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E9246" w14:textId="77777777" w:rsidR="00812D16" w:rsidRPr="003C7D36" w:rsidRDefault="00812D16" w:rsidP="00D46D72">
      <w:pPr>
        <w:spacing w:line="240" w:lineRule="auto"/>
        <w:jc w:val="both"/>
        <w:outlineLvl w:val="0"/>
        <w:rPr>
          <w:szCs w:val="22"/>
        </w:rPr>
      </w:pPr>
    </w:p>
    <w:p w14:paraId="532E76D9" w14:textId="77777777" w:rsidR="00173674" w:rsidRPr="003C7D36" w:rsidRDefault="00173674" w:rsidP="00B97941">
      <w:pPr>
        <w:spacing w:line="240" w:lineRule="auto"/>
        <w:jc w:val="center"/>
        <w:outlineLvl w:val="0"/>
        <w:rPr>
          <w:b/>
          <w:szCs w:val="22"/>
          <w:u w:val="single"/>
        </w:rPr>
      </w:pPr>
      <w:r w:rsidRPr="003C7D36">
        <w:rPr>
          <w:b/>
          <w:szCs w:val="22"/>
          <w:u w:val="single"/>
        </w:rPr>
        <w:t>SAŽETAK KARAKTERISTIKA LIJEKA</w:t>
      </w:r>
    </w:p>
    <w:p w14:paraId="3892407E" w14:textId="77777777" w:rsidR="00173674" w:rsidRPr="003C7D36" w:rsidRDefault="00173674" w:rsidP="00D46D72">
      <w:pPr>
        <w:spacing w:line="240" w:lineRule="auto"/>
        <w:jc w:val="both"/>
        <w:outlineLvl w:val="0"/>
        <w:rPr>
          <w:b/>
          <w:szCs w:val="22"/>
        </w:rPr>
      </w:pPr>
    </w:p>
    <w:p w14:paraId="5DC0FD8F" w14:textId="77777777" w:rsidR="00173674" w:rsidRPr="003C7D36" w:rsidRDefault="00173674" w:rsidP="00D46D72">
      <w:pPr>
        <w:spacing w:line="240" w:lineRule="auto"/>
        <w:jc w:val="both"/>
        <w:outlineLvl w:val="0"/>
        <w:rPr>
          <w:b/>
          <w:szCs w:val="22"/>
        </w:rPr>
      </w:pPr>
    </w:p>
    <w:p w14:paraId="6A66C54C" w14:textId="2E329BFF" w:rsidR="00033D26" w:rsidRPr="003C7D36" w:rsidRDefault="00313239" w:rsidP="00D77E03">
      <w:pPr>
        <w:spacing w:line="240" w:lineRule="auto"/>
        <w:jc w:val="both"/>
        <w:rPr>
          <w:szCs w:val="22"/>
        </w:rPr>
      </w:pPr>
      <w:r w:rsidRPr="003C7D36">
        <w:rPr>
          <w:noProof/>
          <w:szCs w:val="22"/>
          <w:lang w:val="en-US"/>
        </w:rPr>
        <w:drawing>
          <wp:inline distT="0" distB="0" distL="0" distR="0" wp14:anchorId="1621D873" wp14:editId="2B7964EF">
            <wp:extent cx="172085" cy="144780"/>
            <wp:effectExtent l="0" t="0" r="0" b="7620"/>
            <wp:docPr id="1" name="Picture 3"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remansk\AppData\Local\Microsoft\Windows\Temporary Internet Files\Content.Word\BT_1000x858px.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085" cy="144780"/>
                    </a:xfrm>
                    <a:prstGeom prst="rect">
                      <a:avLst/>
                    </a:prstGeom>
                    <a:noFill/>
                    <a:ln>
                      <a:noFill/>
                    </a:ln>
                  </pic:spPr>
                </pic:pic>
              </a:graphicData>
            </a:graphic>
          </wp:inline>
        </w:drawing>
      </w:r>
      <w:r w:rsidRPr="003C7D36">
        <w:rPr>
          <w:szCs w:val="22"/>
        </w:rPr>
        <w:t xml:space="preserve"> </w:t>
      </w:r>
      <w:r w:rsidR="00CF16E7" w:rsidRPr="003C7D36">
        <w:rPr>
          <w:szCs w:val="22"/>
        </w:rPr>
        <w:t>Ovaj lijek je pod dodatnim praćenjem. Time se omogućava brzo otkrivanje novih bezbjednosnih informacija. Zdravstveni radnici treba da prijave svaku sumnju na neželjeno dejstvo ovog lijeka. Za način prijavljivanja neželjenih dejstava vidjeti dio 4.8.</w:t>
      </w:r>
    </w:p>
    <w:p w14:paraId="03ABF2F1" w14:textId="77777777" w:rsidR="00033D26" w:rsidRPr="003C7D36" w:rsidRDefault="00033D26" w:rsidP="00D77E03">
      <w:pPr>
        <w:spacing w:line="240" w:lineRule="auto"/>
        <w:jc w:val="both"/>
        <w:rPr>
          <w:szCs w:val="22"/>
        </w:rPr>
      </w:pPr>
    </w:p>
    <w:p w14:paraId="7693C477" w14:textId="77777777" w:rsidR="00033D26" w:rsidRPr="003C7D36" w:rsidRDefault="00033D26" w:rsidP="00D77E03">
      <w:pPr>
        <w:spacing w:line="240" w:lineRule="auto"/>
        <w:jc w:val="both"/>
        <w:rPr>
          <w:szCs w:val="22"/>
        </w:rPr>
      </w:pPr>
    </w:p>
    <w:p w14:paraId="1DE4FCEC" w14:textId="467493F9" w:rsidR="00812D16" w:rsidRPr="003C7D36" w:rsidRDefault="00812D16" w:rsidP="00D77E03">
      <w:pPr>
        <w:suppressAutoHyphens/>
        <w:spacing w:line="240" w:lineRule="auto"/>
        <w:ind w:left="567" w:hanging="567"/>
        <w:jc w:val="both"/>
        <w:rPr>
          <w:szCs w:val="22"/>
        </w:rPr>
      </w:pPr>
      <w:r w:rsidRPr="003C7D36">
        <w:rPr>
          <w:b/>
          <w:szCs w:val="22"/>
        </w:rPr>
        <w:t>1.</w:t>
      </w:r>
      <w:r w:rsidRPr="003C7D36">
        <w:rPr>
          <w:b/>
          <w:szCs w:val="22"/>
        </w:rPr>
        <w:tab/>
        <w:t>NAZIV LIJEKA</w:t>
      </w:r>
    </w:p>
    <w:p w14:paraId="74C7AE97" w14:textId="77777777" w:rsidR="00812D16" w:rsidRPr="003C7D36" w:rsidRDefault="00812D16" w:rsidP="00D77E03">
      <w:pPr>
        <w:spacing w:line="240" w:lineRule="auto"/>
        <w:jc w:val="both"/>
        <w:rPr>
          <w:iCs/>
          <w:szCs w:val="22"/>
        </w:rPr>
      </w:pPr>
    </w:p>
    <w:p w14:paraId="2B81D449" w14:textId="2DF5F113" w:rsidR="00F85365" w:rsidRPr="003C7D36" w:rsidRDefault="00766FA3" w:rsidP="00D77E03">
      <w:pPr>
        <w:widowControl w:val="0"/>
        <w:tabs>
          <w:tab w:val="clear" w:pos="567"/>
        </w:tabs>
        <w:spacing w:line="240" w:lineRule="auto"/>
        <w:jc w:val="both"/>
        <w:rPr>
          <w:bCs/>
          <w:iCs/>
          <w:szCs w:val="22"/>
        </w:rPr>
      </w:pPr>
      <w:r w:rsidRPr="003C7D36">
        <w:rPr>
          <w:iCs/>
          <w:szCs w:val="22"/>
        </w:rPr>
        <w:t>Lorviqua, 25 mg, film tablet</w:t>
      </w:r>
      <w:r w:rsidR="00953D79" w:rsidRPr="003C7D36">
        <w:rPr>
          <w:iCs/>
          <w:szCs w:val="22"/>
        </w:rPr>
        <w:t>a</w:t>
      </w:r>
    </w:p>
    <w:p w14:paraId="2EB9D10F" w14:textId="4F2E237E" w:rsidR="00F85365" w:rsidRPr="003C7D36" w:rsidRDefault="00766FA3" w:rsidP="00D77E03">
      <w:pPr>
        <w:widowControl w:val="0"/>
        <w:tabs>
          <w:tab w:val="clear" w:pos="567"/>
        </w:tabs>
        <w:spacing w:line="240" w:lineRule="auto"/>
        <w:jc w:val="both"/>
        <w:rPr>
          <w:bCs/>
          <w:iCs/>
          <w:szCs w:val="22"/>
        </w:rPr>
      </w:pPr>
      <w:r w:rsidRPr="003C7D36">
        <w:rPr>
          <w:iCs/>
          <w:szCs w:val="22"/>
        </w:rPr>
        <w:t>Lorviqua, 100 mg, film tablet</w:t>
      </w:r>
      <w:r w:rsidR="00953D79" w:rsidRPr="003C7D36">
        <w:rPr>
          <w:iCs/>
          <w:szCs w:val="22"/>
        </w:rPr>
        <w:t>a</w:t>
      </w:r>
    </w:p>
    <w:p w14:paraId="2995EC71" w14:textId="7DA7587A" w:rsidR="00812D16" w:rsidRPr="003C7D36" w:rsidRDefault="00812D16" w:rsidP="00D77E03">
      <w:pPr>
        <w:spacing w:line="240" w:lineRule="auto"/>
        <w:jc w:val="both"/>
        <w:rPr>
          <w:iCs/>
          <w:szCs w:val="22"/>
        </w:rPr>
      </w:pPr>
    </w:p>
    <w:p w14:paraId="17FA2AA5" w14:textId="734E76DF" w:rsidR="00C0634F" w:rsidRPr="003C7D36" w:rsidRDefault="00C0634F" w:rsidP="00D77E03">
      <w:pPr>
        <w:spacing w:line="240" w:lineRule="auto"/>
        <w:jc w:val="both"/>
        <w:rPr>
          <w:iCs/>
          <w:szCs w:val="22"/>
        </w:rPr>
      </w:pPr>
      <w:r w:rsidRPr="003C7D36">
        <w:rPr>
          <w:szCs w:val="22"/>
        </w:rPr>
        <w:t>INN: lor</w:t>
      </w:r>
      <w:r w:rsidR="0052575B" w:rsidRPr="003C7D36">
        <w:rPr>
          <w:szCs w:val="22"/>
        </w:rPr>
        <w:t>latinib</w:t>
      </w:r>
    </w:p>
    <w:p w14:paraId="779C632B" w14:textId="77777777" w:rsidR="00812D16" w:rsidRPr="003C7D36" w:rsidRDefault="00812D16" w:rsidP="00D77E03">
      <w:pPr>
        <w:spacing w:line="240" w:lineRule="auto"/>
        <w:jc w:val="both"/>
        <w:rPr>
          <w:iCs/>
          <w:szCs w:val="22"/>
        </w:rPr>
      </w:pPr>
    </w:p>
    <w:p w14:paraId="3AE1CE77" w14:textId="77777777" w:rsidR="001549D4" w:rsidRPr="003C7D36" w:rsidRDefault="001549D4" w:rsidP="00D77E03">
      <w:pPr>
        <w:spacing w:line="240" w:lineRule="auto"/>
        <w:jc w:val="both"/>
        <w:rPr>
          <w:iCs/>
          <w:szCs w:val="22"/>
        </w:rPr>
      </w:pPr>
    </w:p>
    <w:p w14:paraId="45956AB2" w14:textId="77777777" w:rsidR="00812D16" w:rsidRPr="003C7D36" w:rsidRDefault="00812D16" w:rsidP="00D77E03">
      <w:pPr>
        <w:suppressAutoHyphens/>
        <w:spacing w:line="240" w:lineRule="auto"/>
        <w:ind w:left="567" w:hanging="567"/>
        <w:jc w:val="both"/>
        <w:rPr>
          <w:szCs w:val="22"/>
        </w:rPr>
      </w:pPr>
      <w:r w:rsidRPr="003C7D36">
        <w:rPr>
          <w:b/>
          <w:szCs w:val="22"/>
        </w:rPr>
        <w:t>2.</w:t>
      </w:r>
      <w:r w:rsidRPr="003C7D36">
        <w:rPr>
          <w:b/>
          <w:szCs w:val="22"/>
        </w:rPr>
        <w:tab/>
        <w:t>KVALITATIVNI I KVANTITATIVNI SASTAV</w:t>
      </w:r>
    </w:p>
    <w:p w14:paraId="102B1518" w14:textId="77777777" w:rsidR="00812D16" w:rsidRPr="003C7D36" w:rsidRDefault="00812D16" w:rsidP="00D77E03">
      <w:pPr>
        <w:spacing w:line="240" w:lineRule="auto"/>
        <w:jc w:val="both"/>
        <w:rPr>
          <w:iCs/>
          <w:szCs w:val="22"/>
        </w:rPr>
      </w:pPr>
    </w:p>
    <w:p w14:paraId="5FD4F8CF" w14:textId="38147E74" w:rsidR="00173674" w:rsidRPr="003C7D36" w:rsidRDefault="00173674" w:rsidP="00D77E03">
      <w:pPr>
        <w:widowControl w:val="0"/>
        <w:tabs>
          <w:tab w:val="clear" w:pos="567"/>
        </w:tabs>
        <w:spacing w:line="240" w:lineRule="auto"/>
        <w:jc w:val="both"/>
        <w:rPr>
          <w:bCs/>
          <w:szCs w:val="22"/>
          <w:u w:val="single"/>
        </w:rPr>
      </w:pPr>
      <w:r w:rsidRPr="003C7D36">
        <w:rPr>
          <w:szCs w:val="22"/>
          <w:u w:val="single"/>
        </w:rPr>
        <w:t>Lorviqua, 25 mg, film tablet</w:t>
      </w:r>
      <w:r w:rsidR="00953D79" w:rsidRPr="003C7D36">
        <w:rPr>
          <w:szCs w:val="22"/>
          <w:u w:val="single"/>
        </w:rPr>
        <w:t>a</w:t>
      </w:r>
    </w:p>
    <w:p w14:paraId="0859F4CB" w14:textId="77777777" w:rsidR="00D818FB" w:rsidRPr="003C7D36" w:rsidRDefault="00D818FB" w:rsidP="00D77E03">
      <w:pPr>
        <w:tabs>
          <w:tab w:val="clear" w:pos="567"/>
        </w:tabs>
        <w:autoSpaceDE w:val="0"/>
        <w:autoSpaceDN w:val="0"/>
        <w:adjustRightInd w:val="0"/>
        <w:spacing w:line="240" w:lineRule="auto"/>
        <w:jc w:val="both"/>
        <w:rPr>
          <w:bCs/>
          <w:szCs w:val="22"/>
        </w:rPr>
      </w:pPr>
    </w:p>
    <w:p w14:paraId="7E10D02E" w14:textId="77777777" w:rsidR="0025070C" w:rsidRPr="003C7D36" w:rsidRDefault="0025070C" w:rsidP="00D77E03">
      <w:pPr>
        <w:tabs>
          <w:tab w:val="clear" w:pos="567"/>
        </w:tabs>
        <w:autoSpaceDE w:val="0"/>
        <w:autoSpaceDN w:val="0"/>
        <w:adjustRightInd w:val="0"/>
        <w:spacing w:line="240" w:lineRule="auto"/>
        <w:jc w:val="both"/>
        <w:rPr>
          <w:bCs/>
          <w:szCs w:val="22"/>
        </w:rPr>
      </w:pPr>
      <w:r w:rsidRPr="003C7D36">
        <w:rPr>
          <w:szCs w:val="22"/>
        </w:rPr>
        <w:t>Svaka film tableta sadrži 25 mg lorlatiniba.</w:t>
      </w:r>
    </w:p>
    <w:p w14:paraId="660F7D01" w14:textId="77777777" w:rsidR="00F90BF1" w:rsidRPr="003C7D36" w:rsidRDefault="00F90BF1" w:rsidP="00D77E03">
      <w:pPr>
        <w:tabs>
          <w:tab w:val="clear" w:pos="567"/>
        </w:tabs>
        <w:autoSpaceDE w:val="0"/>
        <w:autoSpaceDN w:val="0"/>
        <w:adjustRightInd w:val="0"/>
        <w:spacing w:line="240" w:lineRule="auto"/>
        <w:jc w:val="both"/>
        <w:rPr>
          <w:rFonts w:eastAsia="SimSun"/>
          <w:szCs w:val="22"/>
        </w:rPr>
      </w:pPr>
    </w:p>
    <w:p w14:paraId="7B3B78C9" w14:textId="77777777" w:rsidR="00F90BF1" w:rsidRPr="003C7D36" w:rsidRDefault="0056006C" w:rsidP="00D77E03">
      <w:pPr>
        <w:tabs>
          <w:tab w:val="clear" w:pos="567"/>
        </w:tabs>
        <w:autoSpaceDE w:val="0"/>
        <w:autoSpaceDN w:val="0"/>
        <w:adjustRightInd w:val="0"/>
        <w:spacing w:line="240" w:lineRule="auto"/>
        <w:jc w:val="both"/>
        <w:rPr>
          <w:rFonts w:eastAsia="SimSun"/>
          <w:iCs/>
          <w:szCs w:val="22"/>
        </w:rPr>
      </w:pPr>
      <w:r w:rsidRPr="003C7D36">
        <w:rPr>
          <w:iCs/>
          <w:szCs w:val="22"/>
        </w:rPr>
        <w:t>Ekscipijensi sa poznatim dejstvom</w:t>
      </w:r>
    </w:p>
    <w:p w14:paraId="3395A6AA" w14:textId="77777777" w:rsidR="0056006C" w:rsidRPr="003C7D36" w:rsidRDefault="00F90BF1" w:rsidP="00D77E03">
      <w:pPr>
        <w:tabs>
          <w:tab w:val="clear" w:pos="567"/>
        </w:tabs>
        <w:autoSpaceDE w:val="0"/>
        <w:autoSpaceDN w:val="0"/>
        <w:adjustRightInd w:val="0"/>
        <w:spacing w:line="240" w:lineRule="auto"/>
        <w:jc w:val="both"/>
        <w:rPr>
          <w:bCs/>
          <w:szCs w:val="22"/>
        </w:rPr>
      </w:pPr>
      <w:r w:rsidRPr="003C7D36">
        <w:rPr>
          <w:szCs w:val="22"/>
        </w:rPr>
        <w:t>Svaka film tableta sadrži 1,58 mg laktoza monohidrata.</w:t>
      </w:r>
    </w:p>
    <w:p w14:paraId="0F27941D" w14:textId="77777777" w:rsidR="0056006C" w:rsidRPr="003C7D36" w:rsidRDefault="0056006C" w:rsidP="00D77E03">
      <w:pPr>
        <w:tabs>
          <w:tab w:val="clear" w:pos="567"/>
        </w:tabs>
        <w:autoSpaceDE w:val="0"/>
        <w:autoSpaceDN w:val="0"/>
        <w:adjustRightInd w:val="0"/>
        <w:spacing w:line="240" w:lineRule="auto"/>
        <w:jc w:val="both"/>
        <w:rPr>
          <w:bCs/>
          <w:szCs w:val="22"/>
        </w:rPr>
      </w:pPr>
    </w:p>
    <w:p w14:paraId="7C69D387" w14:textId="0543EE47" w:rsidR="00F90BF1" w:rsidRPr="003C7D36" w:rsidRDefault="00F90BF1" w:rsidP="00D77E03">
      <w:pPr>
        <w:widowControl w:val="0"/>
        <w:tabs>
          <w:tab w:val="clear" w:pos="567"/>
        </w:tabs>
        <w:spacing w:line="240" w:lineRule="auto"/>
        <w:jc w:val="both"/>
        <w:rPr>
          <w:bCs/>
          <w:szCs w:val="22"/>
          <w:u w:val="single"/>
        </w:rPr>
      </w:pPr>
      <w:r w:rsidRPr="003C7D36">
        <w:rPr>
          <w:szCs w:val="22"/>
          <w:u w:val="single"/>
        </w:rPr>
        <w:t>Lorviqua, 100 mg, film tablet</w:t>
      </w:r>
      <w:r w:rsidR="00953D79" w:rsidRPr="003C7D36">
        <w:rPr>
          <w:szCs w:val="22"/>
          <w:u w:val="single"/>
        </w:rPr>
        <w:t>a</w:t>
      </w:r>
    </w:p>
    <w:p w14:paraId="02E4EEB0" w14:textId="77777777" w:rsidR="00173674" w:rsidRPr="003C7D36" w:rsidRDefault="00173674" w:rsidP="00D77E03">
      <w:pPr>
        <w:tabs>
          <w:tab w:val="clear" w:pos="567"/>
        </w:tabs>
        <w:autoSpaceDE w:val="0"/>
        <w:autoSpaceDN w:val="0"/>
        <w:adjustRightInd w:val="0"/>
        <w:spacing w:line="240" w:lineRule="auto"/>
        <w:jc w:val="both"/>
        <w:rPr>
          <w:bCs/>
          <w:szCs w:val="22"/>
        </w:rPr>
      </w:pPr>
    </w:p>
    <w:p w14:paraId="23A5872B" w14:textId="77777777" w:rsidR="0025070C" w:rsidRPr="003C7D36" w:rsidRDefault="0025070C" w:rsidP="00D77E03">
      <w:pPr>
        <w:tabs>
          <w:tab w:val="clear" w:pos="567"/>
        </w:tabs>
        <w:autoSpaceDE w:val="0"/>
        <w:autoSpaceDN w:val="0"/>
        <w:adjustRightInd w:val="0"/>
        <w:spacing w:line="240" w:lineRule="auto"/>
        <w:jc w:val="both"/>
        <w:rPr>
          <w:bCs/>
          <w:szCs w:val="22"/>
        </w:rPr>
      </w:pPr>
      <w:r w:rsidRPr="003C7D36">
        <w:rPr>
          <w:szCs w:val="22"/>
        </w:rPr>
        <w:t>Svaka film tableta sadrži 100 mg lorlatiniba.</w:t>
      </w:r>
    </w:p>
    <w:p w14:paraId="203F3D10" w14:textId="77777777" w:rsidR="00F90BF1" w:rsidRPr="003C7D36" w:rsidRDefault="00F90BF1" w:rsidP="00D77E03">
      <w:pPr>
        <w:spacing w:line="240" w:lineRule="auto"/>
        <w:jc w:val="both"/>
        <w:rPr>
          <w:rFonts w:eastAsia="SimSun"/>
          <w:szCs w:val="22"/>
        </w:rPr>
      </w:pPr>
    </w:p>
    <w:p w14:paraId="35166162" w14:textId="77777777" w:rsidR="00F90BF1" w:rsidRPr="003C7D36" w:rsidRDefault="008B5A2B" w:rsidP="00D77E03">
      <w:pPr>
        <w:spacing w:line="240" w:lineRule="auto"/>
        <w:jc w:val="both"/>
        <w:rPr>
          <w:rFonts w:eastAsia="SimSun"/>
          <w:iCs/>
          <w:szCs w:val="22"/>
        </w:rPr>
      </w:pPr>
      <w:r w:rsidRPr="003C7D36">
        <w:rPr>
          <w:iCs/>
          <w:szCs w:val="22"/>
        </w:rPr>
        <w:t xml:space="preserve">Ekscipijensi sa poznatim dejstvom </w:t>
      </w:r>
    </w:p>
    <w:p w14:paraId="36A2CCE3" w14:textId="77777777" w:rsidR="00812D16" w:rsidRPr="003C7D36" w:rsidRDefault="00F90BF1" w:rsidP="00D77E03">
      <w:pPr>
        <w:spacing w:line="240" w:lineRule="auto"/>
        <w:jc w:val="both"/>
        <w:rPr>
          <w:szCs w:val="22"/>
        </w:rPr>
      </w:pPr>
      <w:r w:rsidRPr="003C7D36">
        <w:rPr>
          <w:szCs w:val="22"/>
        </w:rPr>
        <w:t>Svaka film tableta sadrži 4,20 mg laktoza monohidrata.</w:t>
      </w:r>
    </w:p>
    <w:p w14:paraId="1E9AE39A" w14:textId="77777777" w:rsidR="0056006C" w:rsidRPr="003C7D36" w:rsidRDefault="0056006C" w:rsidP="00D77E03">
      <w:pPr>
        <w:tabs>
          <w:tab w:val="clear" w:pos="567"/>
        </w:tabs>
        <w:autoSpaceDE w:val="0"/>
        <w:autoSpaceDN w:val="0"/>
        <w:adjustRightInd w:val="0"/>
        <w:spacing w:line="240" w:lineRule="auto"/>
        <w:jc w:val="both"/>
        <w:rPr>
          <w:szCs w:val="22"/>
        </w:rPr>
      </w:pPr>
    </w:p>
    <w:p w14:paraId="371A5B32" w14:textId="77777777" w:rsidR="0025070C" w:rsidRPr="003C7D36" w:rsidRDefault="0025070C" w:rsidP="00D77E03">
      <w:pPr>
        <w:tabs>
          <w:tab w:val="clear" w:pos="567"/>
        </w:tabs>
        <w:autoSpaceDE w:val="0"/>
        <w:autoSpaceDN w:val="0"/>
        <w:adjustRightInd w:val="0"/>
        <w:spacing w:line="240" w:lineRule="auto"/>
        <w:jc w:val="both"/>
        <w:rPr>
          <w:szCs w:val="22"/>
        </w:rPr>
      </w:pPr>
      <w:r w:rsidRPr="003C7D36">
        <w:rPr>
          <w:szCs w:val="22"/>
        </w:rPr>
        <w:t>Za spisak svih ekscipijenasa, pogledati dio 6.1.</w:t>
      </w:r>
    </w:p>
    <w:p w14:paraId="09295540" w14:textId="77777777" w:rsidR="00812D16" w:rsidRPr="003C7D36" w:rsidRDefault="00812D16" w:rsidP="00D77E03">
      <w:pPr>
        <w:spacing w:line="240" w:lineRule="auto"/>
        <w:jc w:val="both"/>
        <w:rPr>
          <w:szCs w:val="22"/>
        </w:rPr>
      </w:pPr>
    </w:p>
    <w:p w14:paraId="11B821B0" w14:textId="77777777" w:rsidR="00AE033D" w:rsidRPr="003C7D36" w:rsidRDefault="00AE033D" w:rsidP="00D77E03">
      <w:pPr>
        <w:spacing w:line="240" w:lineRule="auto"/>
        <w:jc w:val="both"/>
        <w:rPr>
          <w:szCs w:val="22"/>
        </w:rPr>
      </w:pPr>
    </w:p>
    <w:p w14:paraId="5FF12192" w14:textId="77777777" w:rsidR="00812D16" w:rsidRPr="003C7D36" w:rsidRDefault="00812D16" w:rsidP="00D77E03">
      <w:pPr>
        <w:suppressAutoHyphens/>
        <w:spacing w:line="240" w:lineRule="auto"/>
        <w:ind w:left="567" w:hanging="567"/>
        <w:jc w:val="both"/>
        <w:rPr>
          <w:caps/>
          <w:szCs w:val="22"/>
        </w:rPr>
      </w:pPr>
      <w:r w:rsidRPr="003C7D36">
        <w:rPr>
          <w:b/>
          <w:szCs w:val="22"/>
        </w:rPr>
        <w:t>3.</w:t>
      </w:r>
      <w:r w:rsidRPr="003C7D36">
        <w:rPr>
          <w:b/>
          <w:szCs w:val="22"/>
        </w:rPr>
        <w:tab/>
        <w:t>FARMACEUTSKI OBLIK</w:t>
      </w:r>
    </w:p>
    <w:p w14:paraId="40A1C690" w14:textId="77777777" w:rsidR="00812D16" w:rsidRPr="003C7D36" w:rsidRDefault="00812D16" w:rsidP="00D77E03">
      <w:pPr>
        <w:spacing w:line="240" w:lineRule="auto"/>
        <w:jc w:val="both"/>
        <w:rPr>
          <w:szCs w:val="22"/>
        </w:rPr>
      </w:pPr>
    </w:p>
    <w:p w14:paraId="194B6B11" w14:textId="77777777" w:rsidR="0025070C" w:rsidRPr="003C7D36" w:rsidRDefault="0025070C" w:rsidP="00D77E03">
      <w:pPr>
        <w:tabs>
          <w:tab w:val="clear" w:pos="567"/>
        </w:tabs>
        <w:autoSpaceDE w:val="0"/>
        <w:autoSpaceDN w:val="0"/>
        <w:adjustRightInd w:val="0"/>
        <w:spacing w:line="240" w:lineRule="auto"/>
        <w:jc w:val="both"/>
        <w:rPr>
          <w:szCs w:val="22"/>
        </w:rPr>
      </w:pPr>
      <w:r w:rsidRPr="003C7D36">
        <w:rPr>
          <w:szCs w:val="22"/>
        </w:rPr>
        <w:t>Film tableta (tableta).</w:t>
      </w:r>
    </w:p>
    <w:p w14:paraId="7D571C1A" w14:textId="77777777" w:rsidR="0025070C" w:rsidRPr="003C7D36" w:rsidRDefault="0025070C" w:rsidP="00D77E03">
      <w:pPr>
        <w:tabs>
          <w:tab w:val="clear" w:pos="567"/>
        </w:tabs>
        <w:autoSpaceDE w:val="0"/>
        <w:autoSpaceDN w:val="0"/>
        <w:adjustRightInd w:val="0"/>
        <w:spacing w:line="240" w:lineRule="auto"/>
        <w:jc w:val="both"/>
        <w:rPr>
          <w:bCs/>
          <w:szCs w:val="22"/>
        </w:rPr>
      </w:pPr>
    </w:p>
    <w:p w14:paraId="11DE02BD" w14:textId="1A18CDDF" w:rsidR="00F90BF1" w:rsidRPr="003C7D36" w:rsidRDefault="00F90BF1" w:rsidP="00D77E03">
      <w:pPr>
        <w:widowControl w:val="0"/>
        <w:tabs>
          <w:tab w:val="clear" w:pos="567"/>
        </w:tabs>
        <w:spacing w:line="240" w:lineRule="auto"/>
        <w:jc w:val="both"/>
        <w:rPr>
          <w:bCs/>
          <w:szCs w:val="22"/>
          <w:u w:val="single"/>
        </w:rPr>
      </w:pPr>
      <w:r w:rsidRPr="003C7D36">
        <w:rPr>
          <w:szCs w:val="22"/>
          <w:u w:val="single"/>
        </w:rPr>
        <w:t>Lorviqua, 25 mg, film tablet</w:t>
      </w:r>
      <w:r w:rsidR="00953D79" w:rsidRPr="003C7D36">
        <w:rPr>
          <w:szCs w:val="22"/>
          <w:u w:val="single"/>
        </w:rPr>
        <w:t>a</w:t>
      </w:r>
    </w:p>
    <w:p w14:paraId="0D1BD8B7" w14:textId="77777777" w:rsidR="00173674" w:rsidRPr="003C7D36" w:rsidRDefault="00173674" w:rsidP="00D77E03">
      <w:pPr>
        <w:tabs>
          <w:tab w:val="clear" w:pos="567"/>
        </w:tabs>
        <w:autoSpaceDE w:val="0"/>
        <w:autoSpaceDN w:val="0"/>
        <w:adjustRightInd w:val="0"/>
        <w:spacing w:line="240" w:lineRule="auto"/>
        <w:jc w:val="both"/>
        <w:rPr>
          <w:szCs w:val="22"/>
        </w:rPr>
      </w:pPr>
    </w:p>
    <w:p w14:paraId="0055A5F9" w14:textId="41482AED" w:rsidR="0025070C" w:rsidRPr="003C7D36" w:rsidRDefault="00F944DF" w:rsidP="00D77E03">
      <w:pPr>
        <w:tabs>
          <w:tab w:val="clear" w:pos="567"/>
        </w:tabs>
        <w:autoSpaceDE w:val="0"/>
        <w:autoSpaceDN w:val="0"/>
        <w:adjustRightInd w:val="0"/>
        <w:spacing w:line="240" w:lineRule="auto"/>
        <w:jc w:val="both"/>
        <w:rPr>
          <w:bCs/>
          <w:szCs w:val="22"/>
        </w:rPr>
      </w:pPr>
      <w:r w:rsidRPr="003C7D36">
        <w:rPr>
          <w:szCs w:val="22"/>
        </w:rPr>
        <w:t>Okrugla (8 mm) svijetlo roz</w:t>
      </w:r>
      <w:r w:rsidR="00D77E03" w:rsidRPr="003C7D36">
        <w:rPr>
          <w:szCs w:val="22"/>
        </w:rPr>
        <w:t>a</w:t>
      </w:r>
      <w:r w:rsidRPr="003C7D36">
        <w:rPr>
          <w:szCs w:val="22"/>
        </w:rPr>
        <w:t xml:space="preserve"> film tableta s trenutnim oslobađanjem, sa utisnutom oznakom „Pfizer“ na jednoj strani i „25“ i „LLN“ na drugoj strani.</w:t>
      </w:r>
    </w:p>
    <w:p w14:paraId="70CCEB7D" w14:textId="77777777" w:rsidR="0025070C" w:rsidRPr="003C7D36" w:rsidRDefault="0025070C" w:rsidP="00D77E03">
      <w:pPr>
        <w:tabs>
          <w:tab w:val="clear" w:pos="567"/>
        </w:tabs>
        <w:autoSpaceDE w:val="0"/>
        <w:autoSpaceDN w:val="0"/>
        <w:adjustRightInd w:val="0"/>
        <w:spacing w:line="240" w:lineRule="auto"/>
        <w:jc w:val="both"/>
        <w:rPr>
          <w:bCs/>
          <w:szCs w:val="22"/>
        </w:rPr>
      </w:pPr>
    </w:p>
    <w:p w14:paraId="007316CC" w14:textId="449EA0B4" w:rsidR="00F90BF1" w:rsidRPr="003C7D36" w:rsidRDefault="00F90BF1" w:rsidP="00D77E03">
      <w:pPr>
        <w:widowControl w:val="0"/>
        <w:tabs>
          <w:tab w:val="clear" w:pos="567"/>
        </w:tabs>
        <w:spacing w:line="240" w:lineRule="auto"/>
        <w:jc w:val="both"/>
        <w:rPr>
          <w:bCs/>
          <w:szCs w:val="22"/>
          <w:u w:val="single"/>
        </w:rPr>
      </w:pPr>
      <w:r w:rsidRPr="003C7D36">
        <w:rPr>
          <w:szCs w:val="22"/>
          <w:u w:val="single"/>
        </w:rPr>
        <w:t>Lorviqua, 100 mg, film tablet</w:t>
      </w:r>
      <w:r w:rsidR="00953D79" w:rsidRPr="003C7D36">
        <w:rPr>
          <w:szCs w:val="22"/>
          <w:u w:val="single"/>
        </w:rPr>
        <w:t>a</w:t>
      </w:r>
    </w:p>
    <w:p w14:paraId="5A3E3FB0" w14:textId="77777777" w:rsidR="00173674" w:rsidRPr="003C7D36" w:rsidRDefault="00173674" w:rsidP="00D77E03">
      <w:pPr>
        <w:tabs>
          <w:tab w:val="clear" w:pos="567"/>
        </w:tabs>
        <w:autoSpaceDE w:val="0"/>
        <w:autoSpaceDN w:val="0"/>
        <w:adjustRightInd w:val="0"/>
        <w:spacing w:line="240" w:lineRule="auto"/>
        <w:jc w:val="both"/>
        <w:rPr>
          <w:szCs w:val="22"/>
        </w:rPr>
      </w:pPr>
    </w:p>
    <w:p w14:paraId="211E29E4" w14:textId="08A39620" w:rsidR="0025070C" w:rsidRPr="003C7D36" w:rsidRDefault="00173674" w:rsidP="00D77E03">
      <w:pPr>
        <w:tabs>
          <w:tab w:val="clear" w:pos="567"/>
        </w:tabs>
        <w:autoSpaceDE w:val="0"/>
        <w:autoSpaceDN w:val="0"/>
        <w:adjustRightInd w:val="0"/>
        <w:spacing w:line="240" w:lineRule="auto"/>
        <w:jc w:val="both"/>
        <w:rPr>
          <w:szCs w:val="22"/>
        </w:rPr>
      </w:pPr>
      <w:r w:rsidRPr="003C7D36">
        <w:rPr>
          <w:szCs w:val="22"/>
        </w:rPr>
        <w:t>Ovalna (8,5 x 17 mm) tamno roz</w:t>
      </w:r>
      <w:r w:rsidR="00D77E03" w:rsidRPr="003C7D36">
        <w:rPr>
          <w:szCs w:val="22"/>
        </w:rPr>
        <w:t>a</w:t>
      </w:r>
      <w:r w:rsidRPr="003C7D36">
        <w:rPr>
          <w:szCs w:val="22"/>
        </w:rPr>
        <w:t xml:space="preserve"> film tableta s trenutnim oslobađanjem, sa utisnutom oznakom „Pfizer“ na jednoj strani i „LLN 100“ na drugoj strani.</w:t>
      </w:r>
    </w:p>
    <w:p w14:paraId="1D39E4CD" w14:textId="27FCA3F5" w:rsidR="009B27AC" w:rsidRDefault="009B27AC" w:rsidP="00D77E03">
      <w:pPr>
        <w:tabs>
          <w:tab w:val="clear" w:pos="567"/>
        </w:tabs>
        <w:autoSpaceDE w:val="0"/>
        <w:autoSpaceDN w:val="0"/>
        <w:adjustRightInd w:val="0"/>
        <w:spacing w:line="240" w:lineRule="auto"/>
        <w:jc w:val="both"/>
        <w:rPr>
          <w:szCs w:val="22"/>
        </w:rPr>
      </w:pPr>
    </w:p>
    <w:p w14:paraId="222ABD48" w14:textId="2D34DCBB" w:rsidR="003C7D36" w:rsidRDefault="003C7D36" w:rsidP="00D77E03">
      <w:pPr>
        <w:tabs>
          <w:tab w:val="clear" w:pos="567"/>
        </w:tabs>
        <w:autoSpaceDE w:val="0"/>
        <w:autoSpaceDN w:val="0"/>
        <w:adjustRightInd w:val="0"/>
        <w:spacing w:line="240" w:lineRule="auto"/>
        <w:jc w:val="both"/>
        <w:rPr>
          <w:szCs w:val="22"/>
        </w:rPr>
      </w:pPr>
    </w:p>
    <w:p w14:paraId="6004CE18" w14:textId="712A03BD" w:rsidR="003C7D36" w:rsidRDefault="003C7D36" w:rsidP="00D77E03">
      <w:pPr>
        <w:tabs>
          <w:tab w:val="clear" w:pos="567"/>
        </w:tabs>
        <w:autoSpaceDE w:val="0"/>
        <w:autoSpaceDN w:val="0"/>
        <w:adjustRightInd w:val="0"/>
        <w:spacing w:line="240" w:lineRule="auto"/>
        <w:jc w:val="both"/>
        <w:rPr>
          <w:szCs w:val="22"/>
        </w:rPr>
      </w:pPr>
    </w:p>
    <w:p w14:paraId="73DE5062" w14:textId="2A644C33" w:rsidR="003C7D36" w:rsidRDefault="003C7D36" w:rsidP="00D77E03">
      <w:pPr>
        <w:tabs>
          <w:tab w:val="clear" w:pos="567"/>
        </w:tabs>
        <w:autoSpaceDE w:val="0"/>
        <w:autoSpaceDN w:val="0"/>
        <w:adjustRightInd w:val="0"/>
        <w:spacing w:line="240" w:lineRule="auto"/>
        <w:jc w:val="both"/>
        <w:rPr>
          <w:szCs w:val="22"/>
        </w:rPr>
      </w:pPr>
    </w:p>
    <w:p w14:paraId="64CBF799" w14:textId="2962C912" w:rsidR="003C7D36" w:rsidRDefault="003C7D36" w:rsidP="00D77E03">
      <w:pPr>
        <w:tabs>
          <w:tab w:val="clear" w:pos="567"/>
        </w:tabs>
        <w:autoSpaceDE w:val="0"/>
        <w:autoSpaceDN w:val="0"/>
        <w:adjustRightInd w:val="0"/>
        <w:spacing w:line="240" w:lineRule="auto"/>
        <w:jc w:val="both"/>
        <w:rPr>
          <w:szCs w:val="22"/>
        </w:rPr>
      </w:pPr>
    </w:p>
    <w:p w14:paraId="4DC87CD9" w14:textId="77777777" w:rsidR="003C7D36" w:rsidRPr="003C7D36" w:rsidRDefault="003C7D36" w:rsidP="00D77E03">
      <w:pPr>
        <w:tabs>
          <w:tab w:val="clear" w:pos="567"/>
        </w:tabs>
        <w:autoSpaceDE w:val="0"/>
        <w:autoSpaceDN w:val="0"/>
        <w:adjustRightInd w:val="0"/>
        <w:spacing w:line="240" w:lineRule="auto"/>
        <w:jc w:val="both"/>
        <w:rPr>
          <w:szCs w:val="22"/>
        </w:rPr>
      </w:pPr>
    </w:p>
    <w:p w14:paraId="510B3F33" w14:textId="77777777" w:rsidR="00701AEF" w:rsidRPr="003C7D36" w:rsidRDefault="00701AEF" w:rsidP="00D77E03">
      <w:pPr>
        <w:suppressAutoHyphens/>
        <w:spacing w:line="240" w:lineRule="auto"/>
        <w:ind w:left="567" w:hanging="567"/>
        <w:jc w:val="both"/>
        <w:rPr>
          <w:caps/>
          <w:szCs w:val="22"/>
        </w:rPr>
      </w:pPr>
    </w:p>
    <w:p w14:paraId="3784603E" w14:textId="77777777" w:rsidR="00812D16" w:rsidRPr="003C7D36" w:rsidRDefault="00812D16" w:rsidP="00D77E03">
      <w:pPr>
        <w:spacing w:line="240" w:lineRule="auto"/>
        <w:ind w:left="567" w:hanging="567"/>
        <w:jc w:val="both"/>
        <w:rPr>
          <w:caps/>
          <w:szCs w:val="22"/>
        </w:rPr>
      </w:pPr>
      <w:r w:rsidRPr="003C7D36">
        <w:rPr>
          <w:b/>
          <w:caps/>
          <w:szCs w:val="22"/>
        </w:rPr>
        <w:lastRenderedPageBreak/>
        <w:t>4.</w:t>
      </w:r>
      <w:r w:rsidRPr="003C7D36">
        <w:rPr>
          <w:b/>
          <w:caps/>
          <w:szCs w:val="22"/>
        </w:rPr>
        <w:tab/>
      </w:r>
      <w:r w:rsidRPr="003C7D36">
        <w:rPr>
          <w:b/>
          <w:szCs w:val="22"/>
        </w:rPr>
        <w:t>KLINIČKI PODACI</w:t>
      </w:r>
    </w:p>
    <w:p w14:paraId="6C6D06C2" w14:textId="77777777" w:rsidR="00812D16" w:rsidRPr="003C7D36" w:rsidRDefault="00812D16" w:rsidP="00D77E03">
      <w:pPr>
        <w:spacing w:line="240" w:lineRule="auto"/>
        <w:jc w:val="both"/>
        <w:rPr>
          <w:szCs w:val="22"/>
        </w:rPr>
      </w:pPr>
    </w:p>
    <w:p w14:paraId="2DA93152" w14:textId="77777777" w:rsidR="00812D16" w:rsidRPr="003C7D36" w:rsidRDefault="00812D16" w:rsidP="00211447">
      <w:pPr>
        <w:spacing w:line="240" w:lineRule="auto"/>
        <w:ind w:left="567" w:hanging="567"/>
        <w:jc w:val="both"/>
        <w:outlineLvl w:val="0"/>
        <w:rPr>
          <w:szCs w:val="22"/>
        </w:rPr>
      </w:pPr>
      <w:r w:rsidRPr="003C7D36">
        <w:rPr>
          <w:b/>
          <w:szCs w:val="22"/>
        </w:rPr>
        <w:t>4.1</w:t>
      </w:r>
      <w:r w:rsidRPr="003C7D36">
        <w:rPr>
          <w:b/>
          <w:szCs w:val="22"/>
        </w:rPr>
        <w:tab/>
        <w:t>Terapijske indikacije</w:t>
      </w:r>
    </w:p>
    <w:p w14:paraId="0557FC47" w14:textId="67B0EB2B" w:rsidR="008A45ED" w:rsidRPr="003C7D36" w:rsidRDefault="008A45ED" w:rsidP="00211447">
      <w:pPr>
        <w:tabs>
          <w:tab w:val="clear" w:pos="567"/>
        </w:tabs>
        <w:spacing w:line="240" w:lineRule="auto"/>
        <w:jc w:val="both"/>
        <w:rPr>
          <w:szCs w:val="22"/>
        </w:rPr>
      </w:pPr>
      <w:r w:rsidRPr="003C7D36">
        <w:rPr>
          <w:szCs w:val="22"/>
        </w:rPr>
        <w:t xml:space="preserve">Lijek Lorviqua indikovan je kao monoterapija za liječenje odraslih pacijenata sa </w:t>
      </w:r>
      <w:r w:rsidR="00743E9D" w:rsidRPr="003C7D36">
        <w:rPr>
          <w:szCs w:val="22"/>
        </w:rPr>
        <w:t>ALK (</w:t>
      </w:r>
      <w:r w:rsidR="004001DF" w:rsidRPr="003C7D36">
        <w:rPr>
          <w:szCs w:val="22"/>
        </w:rPr>
        <w:t xml:space="preserve">engl. </w:t>
      </w:r>
      <w:r w:rsidRPr="003C7D36">
        <w:rPr>
          <w:i/>
          <w:szCs w:val="22"/>
        </w:rPr>
        <w:t>anaplast</w:t>
      </w:r>
      <w:r w:rsidR="004001DF" w:rsidRPr="003C7D36">
        <w:rPr>
          <w:i/>
          <w:szCs w:val="22"/>
        </w:rPr>
        <w:t>ic</w:t>
      </w:r>
      <w:r w:rsidRPr="003C7D36">
        <w:rPr>
          <w:i/>
          <w:szCs w:val="22"/>
        </w:rPr>
        <w:t xml:space="preserve"> l</w:t>
      </w:r>
      <w:r w:rsidR="00466DB5" w:rsidRPr="003C7D36">
        <w:rPr>
          <w:i/>
          <w:szCs w:val="22"/>
        </w:rPr>
        <w:t>ymphoma kinase</w:t>
      </w:r>
      <w:r w:rsidR="004001DF" w:rsidRPr="003C7D36">
        <w:rPr>
          <w:szCs w:val="22"/>
        </w:rPr>
        <w:t>) pozitivnim</w:t>
      </w:r>
      <w:r w:rsidRPr="003C7D36">
        <w:rPr>
          <w:szCs w:val="22"/>
        </w:rPr>
        <w:t xml:space="preserve"> </w:t>
      </w:r>
      <w:r w:rsidR="004001DF" w:rsidRPr="003C7D36">
        <w:rPr>
          <w:szCs w:val="22"/>
        </w:rPr>
        <w:t xml:space="preserve">uznapredovalim </w:t>
      </w:r>
      <w:r w:rsidR="00354F11" w:rsidRPr="003C7D36">
        <w:rPr>
          <w:szCs w:val="22"/>
        </w:rPr>
        <w:t>nesitnoćelijsk</w:t>
      </w:r>
      <w:r w:rsidR="004001DF" w:rsidRPr="003C7D36">
        <w:rPr>
          <w:szCs w:val="22"/>
        </w:rPr>
        <w:t>im</w:t>
      </w:r>
      <w:r w:rsidR="00354F11" w:rsidRPr="003C7D36">
        <w:rPr>
          <w:szCs w:val="22"/>
        </w:rPr>
        <w:t xml:space="preserve"> karcinom</w:t>
      </w:r>
      <w:r w:rsidR="004001DF" w:rsidRPr="003C7D36">
        <w:rPr>
          <w:szCs w:val="22"/>
        </w:rPr>
        <w:t>om</w:t>
      </w:r>
      <w:r w:rsidR="00354F11" w:rsidRPr="003C7D36">
        <w:rPr>
          <w:szCs w:val="22"/>
        </w:rPr>
        <w:t xml:space="preserve"> pluća</w:t>
      </w:r>
      <w:r w:rsidRPr="003C7D36">
        <w:rPr>
          <w:szCs w:val="22"/>
        </w:rPr>
        <w:t xml:space="preserve"> (</w:t>
      </w:r>
      <w:r w:rsidR="004001DF" w:rsidRPr="003C7D36">
        <w:rPr>
          <w:szCs w:val="22"/>
        </w:rPr>
        <w:t xml:space="preserve">engl. </w:t>
      </w:r>
      <w:r w:rsidR="004001DF" w:rsidRPr="003C7D36">
        <w:rPr>
          <w:i/>
          <w:szCs w:val="22"/>
        </w:rPr>
        <w:t>non-small cell lung cancer</w:t>
      </w:r>
      <w:r w:rsidR="004001DF" w:rsidRPr="003C7D36">
        <w:rPr>
          <w:szCs w:val="22"/>
        </w:rPr>
        <w:t xml:space="preserve">, </w:t>
      </w:r>
      <w:r w:rsidRPr="003C7D36">
        <w:rPr>
          <w:szCs w:val="22"/>
        </w:rPr>
        <w:t xml:space="preserve">NSCLC) koji </w:t>
      </w:r>
      <w:r w:rsidR="005675FE" w:rsidRPr="003C7D36">
        <w:rPr>
          <w:szCs w:val="22"/>
        </w:rPr>
        <w:t>ni</w:t>
      </w:r>
      <w:r w:rsidR="004001DF" w:rsidRPr="003C7D36">
        <w:rPr>
          <w:szCs w:val="22"/>
        </w:rPr>
        <w:t>je</w:t>
      </w:r>
      <w:r w:rsidRPr="003C7D36">
        <w:rPr>
          <w:szCs w:val="22"/>
        </w:rPr>
        <w:t xml:space="preserve">su prethodno </w:t>
      </w:r>
      <w:r w:rsidR="005675FE" w:rsidRPr="003C7D36">
        <w:rPr>
          <w:szCs w:val="22"/>
        </w:rPr>
        <w:t xml:space="preserve">bili </w:t>
      </w:r>
      <w:r w:rsidRPr="003C7D36">
        <w:rPr>
          <w:szCs w:val="22"/>
        </w:rPr>
        <w:t>liječeni ALK inhibitorom.</w:t>
      </w:r>
    </w:p>
    <w:p w14:paraId="7DEDBFA5" w14:textId="212022D2" w:rsidR="00BA6ADD" w:rsidRPr="003C7D36" w:rsidRDefault="00B45AF6" w:rsidP="00CB7B26">
      <w:pPr>
        <w:tabs>
          <w:tab w:val="clear" w:pos="567"/>
        </w:tabs>
        <w:spacing w:line="240" w:lineRule="auto"/>
        <w:jc w:val="both"/>
        <w:rPr>
          <w:szCs w:val="22"/>
        </w:rPr>
      </w:pPr>
      <w:r w:rsidRPr="003C7D36">
        <w:rPr>
          <w:szCs w:val="22"/>
        </w:rPr>
        <w:t xml:space="preserve">Lijek Lorviqua indikovan je kao monoterapija za liječenje odraslih pacijenata sa </w:t>
      </w:r>
      <w:r w:rsidR="005C0BCE" w:rsidRPr="003C7D36">
        <w:rPr>
          <w:szCs w:val="22"/>
        </w:rPr>
        <w:t xml:space="preserve">ALK  pozitivnim </w:t>
      </w:r>
      <w:r w:rsidRPr="003C7D36">
        <w:rPr>
          <w:szCs w:val="22"/>
        </w:rPr>
        <w:t xml:space="preserve">uznapredovalim nesitnoćelijskim </w:t>
      </w:r>
      <w:r w:rsidR="00103DAC" w:rsidRPr="003C7D36">
        <w:rPr>
          <w:szCs w:val="22"/>
        </w:rPr>
        <w:t xml:space="preserve">karcinomom </w:t>
      </w:r>
      <w:r w:rsidRPr="003C7D36">
        <w:rPr>
          <w:szCs w:val="22"/>
        </w:rPr>
        <w:t>pluća</w:t>
      </w:r>
      <w:r w:rsidR="00466DB5" w:rsidRPr="003C7D36">
        <w:rPr>
          <w:szCs w:val="22"/>
        </w:rPr>
        <w:t>,</w:t>
      </w:r>
      <w:r w:rsidRPr="003C7D36">
        <w:rPr>
          <w:szCs w:val="22"/>
        </w:rPr>
        <w:t xml:space="preserve"> čija je bolest uznapredovala nakon</w:t>
      </w:r>
      <w:r w:rsidR="008713C9" w:rsidRPr="003C7D36">
        <w:rPr>
          <w:szCs w:val="22"/>
        </w:rPr>
        <w:t xml:space="preserve"> primjene</w:t>
      </w:r>
      <w:r w:rsidRPr="003C7D36">
        <w:rPr>
          <w:szCs w:val="22"/>
        </w:rPr>
        <w:t>:</w:t>
      </w:r>
    </w:p>
    <w:p w14:paraId="24DE0937" w14:textId="2105CBAC" w:rsidR="00BA6ADD" w:rsidRPr="003C7D36" w:rsidRDefault="00291944">
      <w:pPr>
        <w:pStyle w:val="ListParagraph"/>
        <w:numPr>
          <w:ilvl w:val="0"/>
          <w:numId w:val="60"/>
        </w:numPr>
        <w:jc w:val="both"/>
        <w:rPr>
          <w:color w:val="auto"/>
          <w:sz w:val="22"/>
          <w:szCs w:val="22"/>
        </w:rPr>
      </w:pPr>
      <w:r w:rsidRPr="003C7D36">
        <w:rPr>
          <w:color w:val="auto"/>
          <w:sz w:val="22"/>
          <w:szCs w:val="22"/>
        </w:rPr>
        <w:t xml:space="preserve">alektiniba ili ceritiniba kao prve terapije ALK inhibitorom tirozin kinaze (engl. </w:t>
      </w:r>
      <w:r w:rsidRPr="003C7D36">
        <w:rPr>
          <w:i/>
          <w:color w:val="auto"/>
          <w:sz w:val="22"/>
          <w:szCs w:val="22"/>
        </w:rPr>
        <w:t xml:space="preserve">tyrosine kinase inhibitor </w:t>
      </w:r>
      <w:r w:rsidRPr="003C7D36">
        <w:rPr>
          <w:color w:val="auto"/>
          <w:sz w:val="22"/>
          <w:szCs w:val="22"/>
        </w:rPr>
        <w:t>- TKI)</w:t>
      </w:r>
      <w:r w:rsidR="0053057D" w:rsidRPr="003C7D36">
        <w:rPr>
          <w:color w:val="auto"/>
          <w:sz w:val="22"/>
          <w:szCs w:val="22"/>
        </w:rPr>
        <w:t>;</w:t>
      </w:r>
      <w:r w:rsidRPr="003C7D36">
        <w:rPr>
          <w:color w:val="auto"/>
          <w:sz w:val="22"/>
          <w:szCs w:val="22"/>
        </w:rPr>
        <w:t xml:space="preserve"> ili</w:t>
      </w:r>
    </w:p>
    <w:p w14:paraId="75144896" w14:textId="76634E76" w:rsidR="00173674" w:rsidRPr="003C7D36" w:rsidRDefault="00173674">
      <w:pPr>
        <w:pStyle w:val="ListParagraph"/>
        <w:numPr>
          <w:ilvl w:val="0"/>
          <w:numId w:val="60"/>
        </w:numPr>
        <w:jc w:val="both"/>
        <w:rPr>
          <w:color w:val="auto"/>
          <w:sz w:val="22"/>
          <w:szCs w:val="22"/>
        </w:rPr>
      </w:pPr>
      <w:r w:rsidRPr="003C7D36">
        <w:rPr>
          <w:color w:val="auto"/>
          <w:sz w:val="22"/>
          <w:szCs w:val="22"/>
        </w:rPr>
        <w:t xml:space="preserve">krizotiniba i najmanje jednog drugog ALK inhibitora tirozin kinaze.  </w:t>
      </w:r>
    </w:p>
    <w:p w14:paraId="263198E1" w14:textId="77777777" w:rsidR="00812D16" w:rsidRPr="003C7D36" w:rsidRDefault="00812D16" w:rsidP="00D77E03">
      <w:pPr>
        <w:tabs>
          <w:tab w:val="clear" w:pos="567"/>
        </w:tabs>
        <w:spacing w:line="240" w:lineRule="auto"/>
        <w:jc w:val="both"/>
        <w:rPr>
          <w:szCs w:val="22"/>
        </w:rPr>
      </w:pPr>
    </w:p>
    <w:p w14:paraId="57C2C947" w14:textId="77777777" w:rsidR="00812D16" w:rsidRPr="003C7D36" w:rsidRDefault="00855481" w:rsidP="00D77E03">
      <w:pPr>
        <w:keepNext/>
        <w:spacing w:line="240" w:lineRule="auto"/>
        <w:jc w:val="both"/>
        <w:outlineLvl w:val="0"/>
        <w:rPr>
          <w:b/>
          <w:szCs w:val="22"/>
        </w:rPr>
      </w:pPr>
      <w:r w:rsidRPr="003C7D36">
        <w:rPr>
          <w:b/>
          <w:szCs w:val="22"/>
        </w:rPr>
        <w:t>4.2</w:t>
      </w:r>
      <w:r w:rsidRPr="003C7D36">
        <w:rPr>
          <w:b/>
          <w:szCs w:val="22"/>
        </w:rPr>
        <w:tab/>
        <w:t>Doziranje i način primjene</w:t>
      </w:r>
    </w:p>
    <w:p w14:paraId="66B084F4" w14:textId="77777777" w:rsidR="00812D16" w:rsidRPr="003C7D36" w:rsidRDefault="00812D16" w:rsidP="00D77E03">
      <w:pPr>
        <w:keepNext/>
        <w:spacing w:line="240" w:lineRule="auto"/>
        <w:jc w:val="both"/>
        <w:rPr>
          <w:szCs w:val="22"/>
        </w:rPr>
      </w:pPr>
    </w:p>
    <w:p w14:paraId="1CE96E84" w14:textId="5B03B495" w:rsidR="0025070C" w:rsidRPr="003C7D36" w:rsidRDefault="0025070C" w:rsidP="00CB7B26">
      <w:pPr>
        <w:keepNext/>
        <w:tabs>
          <w:tab w:val="clear" w:pos="567"/>
        </w:tabs>
        <w:spacing w:line="240" w:lineRule="auto"/>
        <w:jc w:val="both"/>
        <w:rPr>
          <w:szCs w:val="22"/>
        </w:rPr>
      </w:pPr>
      <w:r w:rsidRPr="003C7D36">
        <w:rPr>
          <w:szCs w:val="22"/>
        </w:rPr>
        <w:t xml:space="preserve">Liječenje lorlatinibom treba da započne i prati ljekar iskusan u primjeni </w:t>
      </w:r>
      <w:r w:rsidR="001C006B" w:rsidRPr="003C7D36">
        <w:rPr>
          <w:szCs w:val="22"/>
        </w:rPr>
        <w:t xml:space="preserve">antikancerskih </w:t>
      </w:r>
      <w:r w:rsidRPr="003C7D36">
        <w:rPr>
          <w:szCs w:val="22"/>
        </w:rPr>
        <w:t>ljekova.</w:t>
      </w:r>
    </w:p>
    <w:p w14:paraId="38339604" w14:textId="77777777" w:rsidR="00D77E03" w:rsidRPr="003C7D36" w:rsidRDefault="00D77E03">
      <w:pPr>
        <w:keepNext/>
        <w:tabs>
          <w:tab w:val="clear" w:pos="567"/>
        </w:tabs>
        <w:spacing w:line="240" w:lineRule="auto"/>
        <w:jc w:val="both"/>
        <w:rPr>
          <w:szCs w:val="22"/>
        </w:rPr>
      </w:pPr>
    </w:p>
    <w:p w14:paraId="433DCD5B" w14:textId="3089C212" w:rsidR="00797174" w:rsidRPr="003C7D36" w:rsidRDefault="00797174">
      <w:pPr>
        <w:tabs>
          <w:tab w:val="clear" w:pos="567"/>
        </w:tabs>
        <w:spacing w:line="240" w:lineRule="auto"/>
        <w:jc w:val="both"/>
        <w:rPr>
          <w:szCs w:val="22"/>
        </w:rPr>
      </w:pPr>
      <w:r w:rsidRPr="003C7D36">
        <w:rPr>
          <w:szCs w:val="22"/>
        </w:rPr>
        <w:t>Detekcija ALK-pozitivnog NSCLC-a je neophodna prilikom izbora pacijenata za liječenje lorlatinibom jer su to jedini pacijenti za koje se ova terapija pokazala korisnom. Procjenu za ALK-pozitiv</w:t>
      </w:r>
      <w:r w:rsidR="00466DB5" w:rsidRPr="003C7D36">
        <w:rPr>
          <w:szCs w:val="22"/>
        </w:rPr>
        <w:t>an</w:t>
      </w:r>
      <w:r w:rsidRPr="003C7D36">
        <w:rPr>
          <w:szCs w:val="22"/>
        </w:rPr>
        <w:t xml:space="preserve"> NSCLC bi trebalo da obavljaju laboratorije sa dokazanom stručnošću u specifičnoj tehnologiji koja se koristi. Ne</w:t>
      </w:r>
      <w:r w:rsidR="00466DB5" w:rsidRPr="003C7D36">
        <w:rPr>
          <w:szCs w:val="22"/>
        </w:rPr>
        <w:t>odgovarajuće</w:t>
      </w:r>
      <w:r w:rsidRPr="003C7D36">
        <w:rPr>
          <w:szCs w:val="22"/>
        </w:rPr>
        <w:t xml:space="preserve"> </w:t>
      </w:r>
      <w:r w:rsidR="00466DB5" w:rsidRPr="003C7D36">
        <w:rPr>
          <w:szCs w:val="22"/>
        </w:rPr>
        <w:t xml:space="preserve">izvođenje testa </w:t>
      </w:r>
      <w:r w:rsidRPr="003C7D36">
        <w:rPr>
          <w:szCs w:val="22"/>
        </w:rPr>
        <w:t>mo</w:t>
      </w:r>
      <w:r w:rsidR="00466DB5" w:rsidRPr="003C7D36">
        <w:rPr>
          <w:szCs w:val="22"/>
        </w:rPr>
        <w:t>že</w:t>
      </w:r>
      <w:r w:rsidRPr="003C7D36">
        <w:rPr>
          <w:szCs w:val="22"/>
        </w:rPr>
        <w:t xml:space="preserve"> dovesti do nepouzdanih rezultata test</w:t>
      </w:r>
      <w:r w:rsidR="00466DB5" w:rsidRPr="003C7D36">
        <w:rPr>
          <w:szCs w:val="22"/>
        </w:rPr>
        <w:t>iranja</w:t>
      </w:r>
      <w:r w:rsidRPr="003C7D36">
        <w:rPr>
          <w:szCs w:val="22"/>
        </w:rPr>
        <w:t>.</w:t>
      </w:r>
    </w:p>
    <w:p w14:paraId="2F814720" w14:textId="77777777" w:rsidR="00D77E03" w:rsidRPr="003C7D36" w:rsidRDefault="00D77E03">
      <w:pPr>
        <w:keepNext/>
        <w:spacing w:line="240" w:lineRule="auto"/>
        <w:jc w:val="both"/>
        <w:rPr>
          <w:szCs w:val="22"/>
        </w:rPr>
      </w:pPr>
    </w:p>
    <w:p w14:paraId="67720F0C" w14:textId="3371CAE3" w:rsidR="00B03231" w:rsidRPr="003C7D36" w:rsidRDefault="00B03231">
      <w:pPr>
        <w:keepNext/>
        <w:spacing w:line="240" w:lineRule="auto"/>
        <w:jc w:val="both"/>
        <w:rPr>
          <w:szCs w:val="22"/>
          <w:u w:val="single"/>
        </w:rPr>
      </w:pPr>
      <w:r w:rsidRPr="003C7D36">
        <w:rPr>
          <w:szCs w:val="22"/>
          <w:u w:val="single"/>
        </w:rPr>
        <w:t>Doziranje</w:t>
      </w:r>
    </w:p>
    <w:p w14:paraId="1DB83766" w14:textId="77777777" w:rsidR="00812D16" w:rsidRPr="003C7D36" w:rsidRDefault="00812D16">
      <w:pPr>
        <w:keepNext/>
        <w:spacing w:line="240" w:lineRule="auto"/>
        <w:jc w:val="both"/>
        <w:rPr>
          <w:szCs w:val="22"/>
        </w:rPr>
      </w:pPr>
    </w:p>
    <w:p w14:paraId="3F31F715" w14:textId="77777777" w:rsidR="00173674" w:rsidRPr="003C7D36" w:rsidRDefault="00173674">
      <w:pPr>
        <w:keepNext/>
        <w:tabs>
          <w:tab w:val="clear" w:pos="567"/>
        </w:tabs>
        <w:spacing w:line="240" w:lineRule="auto"/>
        <w:jc w:val="both"/>
        <w:rPr>
          <w:szCs w:val="22"/>
        </w:rPr>
      </w:pPr>
      <w:r w:rsidRPr="003C7D36">
        <w:rPr>
          <w:szCs w:val="22"/>
        </w:rPr>
        <w:t>Preporučena doza lorlatiniba je 100 mg, oralno jednom dnevno.</w:t>
      </w:r>
    </w:p>
    <w:p w14:paraId="7AE0AEDA" w14:textId="77777777" w:rsidR="00173674" w:rsidRPr="003C7D36" w:rsidRDefault="00173674">
      <w:pPr>
        <w:spacing w:line="240" w:lineRule="auto"/>
        <w:jc w:val="both"/>
        <w:rPr>
          <w:szCs w:val="22"/>
        </w:rPr>
      </w:pPr>
    </w:p>
    <w:p w14:paraId="18A0D350" w14:textId="77777777" w:rsidR="0025070C" w:rsidRPr="003C7D36" w:rsidRDefault="0025070C">
      <w:pPr>
        <w:tabs>
          <w:tab w:val="clear" w:pos="567"/>
        </w:tabs>
        <w:spacing w:line="240" w:lineRule="auto"/>
        <w:jc w:val="both"/>
        <w:rPr>
          <w:i/>
          <w:szCs w:val="22"/>
        </w:rPr>
      </w:pPr>
      <w:r w:rsidRPr="003C7D36">
        <w:rPr>
          <w:i/>
          <w:szCs w:val="22"/>
        </w:rPr>
        <w:t>Trajanje liječenja</w:t>
      </w:r>
    </w:p>
    <w:p w14:paraId="6CD7701D" w14:textId="1092ACD6" w:rsidR="0025070C" w:rsidRPr="003C7D36" w:rsidRDefault="0093290A">
      <w:pPr>
        <w:tabs>
          <w:tab w:val="clear" w:pos="567"/>
        </w:tabs>
        <w:spacing w:line="240" w:lineRule="auto"/>
        <w:jc w:val="both"/>
        <w:rPr>
          <w:szCs w:val="22"/>
        </w:rPr>
      </w:pPr>
      <w:r w:rsidRPr="003C7D36">
        <w:rPr>
          <w:szCs w:val="22"/>
        </w:rPr>
        <w:t xml:space="preserve">Liječenje lorlatinibom </w:t>
      </w:r>
      <w:r w:rsidR="00C0085E" w:rsidRPr="003C7D36">
        <w:rPr>
          <w:szCs w:val="22"/>
        </w:rPr>
        <w:t xml:space="preserve">bi trebalo nastaviti do progresije bolesti ili </w:t>
      </w:r>
      <w:r w:rsidRPr="003C7D36">
        <w:rPr>
          <w:szCs w:val="22"/>
        </w:rPr>
        <w:t>neprihvatljive toksičnosti.</w:t>
      </w:r>
    </w:p>
    <w:p w14:paraId="1FF4F063" w14:textId="77777777" w:rsidR="00F85365" w:rsidRPr="003C7D36" w:rsidRDefault="00F85365">
      <w:pPr>
        <w:spacing w:line="240" w:lineRule="auto"/>
        <w:jc w:val="both"/>
        <w:rPr>
          <w:szCs w:val="22"/>
        </w:rPr>
      </w:pPr>
    </w:p>
    <w:p w14:paraId="12B6D684" w14:textId="77777777" w:rsidR="00F85365" w:rsidRPr="003C7D36" w:rsidRDefault="00F85365">
      <w:pPr>
        <w:keepNext/>
        <w:tabs>
          <w:tab w:val="clear" w:pos="567"/>
        </w:tabs>
        <w:spacing w:line="240" w:lineRule="auto"/>
        <w:jc w:val="both"/>
        <w:rPr>
          <w:i/>
          <w:szCs w:val="22"/>
        </w:rPr>
      </w:pPr>
      <w:r w:rsidRPr="003C7D36">
        <w:rPr>
          <w:i/>
          <w:szCs w:val="22"/>
        </w:rPr>
        <w:t>Odložene ili propuštene doze</w:t>
      </w:r>
    </w:p>
    <w:p w14:paraId="0B50438C" w14:textId="77777777" w:rsidR="00F85365" w:rsidRPr="003C7D36" w:rsidRDefault="00F85365">
      <w:pPr>
        <w:keepNext/>
        <w:tabs>
          <w:tab w:val="clear" w:pos="567"/>
        </w:tabs>
        <w:spacing w:line="240" w:lineRule="auto"/>
        <w:jc w:val="both"/>
        <w:rPr>
          <w:szCs w:val="22"/>
        </w:rPr>
      </w:pPr>
      <w:r w:rsidRPr="003C7D36">
        <w:rPr>
          <w:szCs w:val="22"/>
        </w:rPr>
        <w:t>Ako je doza lijeka Lorviqua propuštena, onda pacijent treba da je uzme čim se sjeti, osim u slučaju da je preostalo manje od 4 sata do sljedeće doze i u tom slučaju pacijent ne treba da uzme propuštenu dozu. Pacijenti ne treba da uzimaju 2 doze istovremeno kako bi nadoknadili propuštenu dozu.</w:t>
      </w:r>
    </w:p>
    <w:p w14:paraId="213C112D" w14:textId="77777777" w:rsidR="0025070C" w:rsidRPr="003C7D36" w:rsidRDefault="0025070C">
      <w:pPr>
        <w:spacing w:line="240" w:lineRule="auto"/>
        <w:jc w:val="both"/>
        <w:rPr>
          <w:szCs w:val="22"/>
        </w:rPr>
      </w:pPr>
    </w:p>
    <w:p w14:paraId="186BB17C" w14:textId="77777777" w:rsidR="002C2E88" w:rsidRPr="003C7D36" w:rsidRDefault="002C2E88">
      <w:pPr>
        <w:keepNext/>
        <w:tabs>
          <w:tab w:val="clear" w:pos="567"/>
        </w:tabs>
        <w:spacing w:line="240" w:lineRule="auto"/>
        <w:jc w:val="both"/>
        <w:rPr>
          <w:i/>
          <w:szCs w:val="22"/>
        </w:rPr>
      </w:pPr>
      <w:r w:rsidRPr="003C7D36">
        <w:rPr>
          <w:i/>
          <w:szCs w:val="22"/>
        </w:rPr>
        <w:t>Prilagođavanje doze</w:t>
      </w:r>
    </w:p>
    <w:p w14:paraId="7684961E" w14:textId="6FB2C9BD" w:rsidR="00846431" w:rsidRPr="003C7D36" w:rsidRDefault="00846431">
      <w:pPr>
        <w:jc w:val="both"/>
        <w:rPr>
          <w:szCs w:val="22"/>
        </w:rPr>
      </w:pPr>
      <w:r w:rsidRPr="003C7D36">
        <w:rPr>
          <w:szCs w:val="22"/>
        </w:rPr>
        <w:t>Možda će biti potreban privremeni prekid doziranja ili smanjenje doze u zavisnosti od individualne bezbjednosti i podnošljivosti. Nivoi smanjenja doza lorlatiniba sažeti su u nastavku:</w:t>
      </w:r>
    </w:p>
    <w:p w14:paraId="57800651" w14:textId="1040B76F" w:rsidR="00173674" w:rsidRPr="003C7D36" w:rsidRDefault="00173674" w:rsidP="000D1360">
      <w:pPr>
        <w:numPr>
          <w:ilvl w:val="0"/>
          <w:numId w:val="57"/>
        </w:numPr>
        <w:tabs>
          <w:tab w:val="clear" w:pos="360"/>
          <w:tab w:val="clear" w:pos="567"/>
          <w:tab w:val="num" w:pos="1080"/>
        </w:tabs>
        <w:spacing w:line="240" w:lineRule="auto"/>
        <w:ind w:left="562" w:hanging="562"/>
        <w:jc w:val="both"/>
        <w:rPr>
          <w:szCs w:val="22"/>
        </w:rPr>
      </w:pPr>
      <w:r w:rsidRPr="003C7D36">
        <w:rPr>
          <w:szCs w:val="22"/>
        </w:rPr>
        <w:t>Prvo smanjenje doze: 75 mg oralno jednom dnevno</w:t>
      </w:r>
    </w:p>
    <w:p w14:paraId="657F305C" w14:textId="77777777" w:rsidR="00173674" w:rsidRPr="003C7D36" w:rsidRDefault="00173674" w:rsidP="000D1360">
      <w:pPr>
        <w:numPr>
          <w:ilvl w:val="0"/>
          <w:numId w:val="57"/>
        </w:numPr>
        <w:tabs>
          <w:tab w:val="clear" w:pos="360"/>
          <w:tab w:val="clear" w:pos="567"/>
          <w:tab w:val="num" w:pos="1080"/>
        </w:tabs>
        <w:spacing w:line="240" w:lineRule="auto"/>
        <w:ind w:left="562" w:hanging="562"/>
        <w:jc w:val="both"/>
        <w:rPr>
          <w:szCs w:val="22"/>
        </w:rPr>
      </w:pPr>
      <w:r w:rsidRPr="003C7D36">
        <w:rPr>
          <w:szCs w:val="22"/>
        </w:rPr>
        <w:t>Drugo smanjenje doze: 50 mg oralno jednom dnevno</w:t>
      </w:r>
    </w:p>
    <w:p w14:paraId="5B6F1894" w14:textId="77777777" w:rsidR="00846431" w:rsidRPr="003C7D36" w:rsidRDefault="00846431">
      <w:pPr>
        <w:ind w:left="216"/>
        <w:jc w:val="both"/>
        <w:rPr>
          <w:szCs w:val="22"/>
        </w:rPr>
      </w:pPr>
    </w:p>
    <w:p w14:paraId="500ED9D4" w14:textId="241F2EE1" w:rsidR="00846431" w:rsidRPr="003C7D36" w:rsidRDefault="008B00F8">
      <w:pPr>
        <w:jc w:val="both"/>
        <w:rPr>
          <w:szCs w:val="22"/>
        </w:rPr>
      </w:pPr>
      <w:r w:rsidRPr="003C7D36">
        <w:rPr>
          <w:szCs w:val="22"/>
        </w:rPr>
        <w:t xml:space="preserve">Potrebno je trajno prekinuti primjenu lorlatiniba ako pacijent ne podnosi dozu od 50 mg </w:t>
      </w:r>
      <w:r w:rsidR="00E97418" w:rsidRPr="003C7D36">
        <w:rPr>
          <w:szCs w:val="22"/>
        </w:rPr>
        <w:t xml:space="preserve">koja se uzima </w:t>
      </w:r>
      <w:r w:rsidRPr="003C7D36">
        <w:rPr>
          <w:szCs w:val="22"/>
        </w:rPr>
        <w:t>oralno jednom dnevno.</w:t>
      </w:r>
    </w:p>
    <w:p w14:paraId="64C781B7" w14:textId="77777777" w:rsidR="00846431" w:rsidRPr="003C7D36" w:rsidRDefault="00846431">
      <w:pPr>
        <w:jc w:val="both"/>
        <w:rPr>
          <w:szCs w:val="22"/>
        </w:rPr>
      </w:pPr>
    </w:p>
    <w:p w14:paraId="54C8324E" w14:textId="06C2FCCE" w:rsidR="00846431" w:rsidRPr="003C7D36" w:rsidRDefault="00846431">
      <w:pPr>
        <w:jc w:val="both"/>
        <w:rPr>
          <w:szCs w:val="22"/>
        </w:rPr>
      </w:pPr>
      <w:r w:rsidRPr="003C7D36">
        <w:rPr>
          <w:szCs w:val="22"/>
        </w:rPr>
        <w:t xml:space="preserve">Preporuke za prilagođavanje doze zbog toksičnosti i </w:t>
      </w:r>
      <w:r w:rsidR="000D7B79" w:rsidRPr="003C7D36">
        <w:rPr>
          <w:szCs w:val="22"/>
        </w:rPr>
        <w:t>kod</w:t>
      </w:r>
      <w:r w:rsidRPr="003C7D36">
        <w:rPr>
          <w:szCs w:val="22"/>
        </w:rPr>
        <w:t xml:space="preserve"> pacijen</w:t>
      </w:r>
      <w:r w:rsidR="000D7B79" w:rsidRPr="003C7D36">
        <w:rPr>
          <w:szCs w:val="22"/>
        </w:rPr>
        <w:t>a</w:t>
      </w:r>
      <w:r w:rsidRPr="003C7D36">
        <w:rPr>
          <w:szCs w:val="22"/>
        </w:rPr>
        <w:t>t</w:t>
      </w:r>
      <w:r w:rsidR="000D7B79" w:rsidRPr="003C7D36">
        <w:rPr>
          <w:szCs w:val="22"/>
        </w:rPr>
        <w:t>a</w:t>
      </w:r>
      <w:r w:rsidRPr="003C7D36">
        <w:rPr>
          <w:szCs w:val="22"/>
        </w:rPr>
        <w:t xml:space="preserve"> kod kojih je došlo do razvoja atrioventrikularnog (AV) bloka navedene su u </w:t>
      </w:r>
      <w:r w:rsidR="00D77E03" w:rsidRPr="003C7D36">
        <w:rPr>
          <w:szCs w:val="22"/>
        </w:rPr>
        <w:t>T</w:t>
      </w:r>
      <w:r w:rsidRPr="003C7D36">
        <w:rPr>
          <w:szCs w:val="22"/>
        </w:rPr>
        <w:t>abeli 1.</w:t>
      </w:r>
    </w:p>
    <w:p w14:paraId="1F3EB899" w14:textId="77777777" w:rsidR="003340CC" w:rsidRPr="0031203A" w:rsidRDefault="003340CC" w:rsidP="00D77E03">
      <w:pPr>
        <w:pStyle w:val="Paragraph"/>
        <w:tabs>
          <w:tab w:val="left" w:pos="900"/>
        </w:tabs>
        <w:spacing w:after="0"/>
        <w:jc w:val="both"/>
        <w:rPr>
          <w:b/>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893"/>
      </w:tblGrid>
      <w:tr w:rsidR="00DC4667" w:rsidRPr="003C7D36" w14:paraId="61E2A4C1" w14:textId="77777777" w:rsidTr="00C60037">
        <w:trPr>
          <w:tblHeader/>
        </w:trPr>
        <w:tc>
          <w:tcPr>
            <w:tcW w:w="9288" w:type="dxa"/>
            <w:gridSpan w:val="2"/>
            <w:tcBorders>
              <w:top w:val="nil"/>
              <w:left w:val="nil"/>
              <w:right w:val="nil"/>
            </w:tcBorders>
            <w:shd w:val="clear" w:color="auto" w:fill="auto"/>
          </w:tcPr>
          <w:p w14:paraId="443C8C64" w14:textId="77777777" w:rsidR="003340CC" w:rsidRPr="003C7D36" w:rsidRDefault="003340CC" w:rsidP="00D77E03">
            <w:pPr>
              <w:pStyle w:val="Paragraph"/>
              <w:tabs>
                <w:tab w:val="left" w:pos="900"/>
              </w:tabs>
              <w:spacing w:after="0"/>
              <w:jc w:val="both"/>
              <w:rPr>
                <w:b/>
                <w:sz w:val="22"/>
                <w:szCs w:val="22"/>
              </w:rPr>
            </w:pPr>
            <w:r w:rsidRPr="00C0597B">
              <w:rPr>
                <w:b/>
                <w:sz w:val="22"/>
                <w:szCs w:val="22"/>
              </w:rPr>
              <w:t>Tabela 1.</w:t>
            </w:r>
            <w:r w:rsidRPr="00C0597B">
              <w:rPr>
                <w:b/>
                <w:sz w:val="22"/>
                <w:szCs w:val="22"/>
              </w:rPr>
              <w:tab/>
              <w:t>Preporučena prilagođavanja doze lorlatiniba zbog neželjenih reakcija</w:t>
            </w:r>
          </w:p>
        </w:tc>
      </w:tr>
      <w:tr w:rsidR="00DC4667" w:rsidRPr="003C7D36" w14:paraId="69E13A24" w14:textId="77777777" w:rsidTr="000D1360">
        <w:trPr>
          <w:tblHeader/>
        </w:trPr>
        <w:tc>
          <w:tcPr>
            <w:tcW w:w="4395" w:type="dxa"/>
            <w:shd w:val="clear" w:color="auto" w:fill="auto"/>
          </w:tcPr>
          <w:p w14:paraId="4ED76471" w14:textId="77777777" w:rsidR="003340CC" w:rsidRPr="003C7D36" w:rsidRDefault="003340CC" w:rsidP="00D77E03">
            <w:pPr>
              <w:pStyle w:val="Paragraph"/>
              <w:overflowPunct w:val="0"/>
              <w:autoSpaceDE w:val="0"/>
              <w:autoSpaceDN w:val="0"/>
              <w:adjustRightInd w:val="0"/>
              <w:spacing w:after="0"/>
              <w:jc w:val="both"/>
              <w:textAlignment w:val="baseline"/>
              <w:rPr>
                <w:kern w:val="32"/>
                <w:sz w:val="22"/>
                <w:szCs w:val="22"/>
              </w:rPr>
            </w:pPr>
            <w:r w:rsidRPr="00C0597B">
              <w:rPr>
                <w:b/>
                <w:sz w:val="22"/>
                <w:szCs w:val="22"/>
              </w:rPr>
              <w:t>Neželjena reakcija</w:t>
            </w:r>
            <w:r w:rsidRPr="00C0597B">
              <w:rPr>
                <w:b/>
                <w:sz w:val="22"/>
                <w:szCs w:val="22"/>
                <w:vertAlign w:val="superscript"/>
              </w:rPr>
              <w:t>a</w:t>
            </w:r>
          </w:p>
        </w:tc>
        <w:tc>
          <w:tcPr>
            <w:tcW w:w="4893" w:type="dxa"/>
            <w:shd w:val="clear" w:color="auto" w:fill="auto"/>
          </w:tcPr>
          <w:p w14:paraId="38352535" w14:textId="77777777" w:rsidR="003340CC" w:rsidRPr="003C7D36" w:rsidRDefault="00595D0A" w:rsidP="00D77E03">
            <w:pPr>
              <w:pStyle w:val="Paragraph"/>
              <w:overflowPunct w:val="0"/>
              <w:autoSpaceDE w:val="0"/>
              <w:autoSpaceDN w:val="0"/>
              <w:adjustRightInd w:val="0"/>
              <w:spacing w:after="0"/>
              <w:jc w:val="both"/>
              <w:textAlignment w:val="baseline"/>
              <w:rPr>
                <w:b/>
                <w:kern w:val="32"/>
                <w:sz w:val="22"/>
                <w:szCs w:val="22"/>
              </w:rPr>
            </w:pPr>
            <w:r w:rsidRPr="00C0597B">
              <w:rPr>
                <w:b/>
                <w:sz w:val="22"/>
                <w:szCs w:val="22"/>
              </w:rPr>
              <w:t>Doziranje lorlatiniba</w:t>
            </w:r>
          </w:p>
        </w:tc>
      </w:tr>
      <w:tr w:rsidR="00DC4667" w:rsidRPr="003C7D36" w14:paraId="5BCBB28F" w14:textId="77777777" w:rsidTr="00C60037">
        <w:tc>
          <w:tcPr>
            <w:tcW w:w="9288" w:type="dxa"/>
            <w:gridSpan w:val="2"/>
            <w:shd w:val="clear" w:color="auto" w:fill="auto"/>
          </w:tcPr>
          <w:p w14:paraId="008079C2" w14:textId="77777777" w:rsidR="003340CC" w:rsidRPr="003C7D36" w:rsidRDefault="003340CC" w:rsidP="00D77E03">
            <w:pPr>
              <w:pStyle w:val="Paragraph"/>
              <w:overflowPunct w:val="0"/>
              <w:autoSpaceDE w:val="0"/>
              <w:autoSpaceDN w:val="0"/>
              <w:adjustRightInd w:val="0"/>
              <w:spacing w:after="0"/>
              <w:jc w:val="both"/>
              <w:textAlignment w:val="baseline"/>
              <w:rPr>
                <w:b/>
                <w:kern w:val="32"/>
                <w:sz w:val="22"/>
                <w:szCs w:val="22"/>
              </w:rPr>
            </w:pPr>
            <w:r w:rsidRPr="00C0597B">
              <w:rPr>
                <w:b/>
                <w:sz w:val="22"/>
                <w:szCs w:val="22"/>
              </w:rPr>
              <w:t xml:space="preserve">Hiperholesterolemija ili hipertrigliceridemija </w:t>
            </w:r>
          </w:p>
        </w:tc>
      </w:tr>
      <w:tr w:rsidR="00DC4667" w:rsidRPr="003C7D36" w14:paraId="2302CA3F" w14:textId="77777777" w:rsidTr="000D1360">
        <w:tc>
          <w:tcPr>
            <w:tcW w:w="4395" w:type="dxa"/>
            <w:shd w:val="clear" w:color="auto" w:fill="auto"/>
            <w:vAlign w:val="center"/>
          </w:tcPr>
          <w:p w14:paraId="308E02CD" w14:textId="77777777" w:rsidR="00BF2CCF" w:rsidRPr="003C7D36" w:rsidRDefault="00BF2CCF" w:rsidP="00D77E03">
            <w:pPr>
              <w:pStyle w:val="Paragraph"/>
              <w:spacing w:after="0"/>
              <w:jc w:val="both"/>
              <w:rPr>
                <w:kern w:val="32"/>
                <w:sz w:val="22"/>
                <w:szCs w:val="22"/>
              </w:rPr>
            </w:pPr>
            <w:r w:rsidRPr="00C0597B">
              <w:rPr>
                <w:sz w:val="22"/>
                <w:szCs w:val="22"/>
              </w:rPr>
              <w:t>Blaga hiperholesterolemija</w:t>
            </w:r>
          </w:p>
          <w:p w14:paraId="530E3229" w14:textId="77777777" w:rsidR="00BF2CCF" w:rsidRPr="003C7D36" w:rsidRDefault="00BF2CCF" w:rsidP="00D77E03">
            <w:pPr>
              <w:pStyle w:val="Paragraph"/>
              <w:spacing w:after="0"/>
              <w:ind w:left="180"/>
              <w:jc w:val="both"/>
              <w:rPr>
                <w:kern w:val="32"/>
                <w:sz w:val="22"/>
                <w:szCs w:val="22"/>
              </w:rPr>
            </w:pPr>
            <w:r w:rsidRPr="00C0597B">
              <w:rPr>
                <w:sz w:val="22"/>
                <w:szCs w:val="22"/>
              </w:rPr>
              <w:t>(holesterol između GGN-a i 300 mg/dl ili između GGN-a i 7,75 mmol/l)</w:t>
            </w:r>
          </w:p>
          <w:p w14:paraId="62A737DE" w14:textId="77777777" w:rsidR="00333DC2" w:rsidRPr="003C7D36" w:rsidRDefault="00333DC2" w:rsidP="00D77E03">
            <w:pPr>
              <w:pStyle w:val="Paragraph"/>
              <w:spacing w:after="0"/>
              <w:ind w:left="180" w:hanging="180"/>
              <w:jc w:val="both"/>
              <w:rPr>
                <w:kern w:val="32"/>
                <w:sz w:val="22"/>
                <w:szCs w:val="22"/>
              </w:rPr>
            </w:pPr>
          </w:p>
          <w:p w14:paraId="44172BD8" w14:textId="77777777" w:rsidR="00BF2CCF" w:rsidRPr="003C7D36" w:rsidRDefault="00BF2CCF" w:rsidP="00D77E03">
            <w:pPr>
              <w:widowControl w:val="0"/>
              <w:jc w:val="both"/>
              <w:rPr>
                <w:kern w:val="32"/>
                <w:szCs w:val="22"/>
                <w:u w:val="single"/>
              </w:rPr>
            </w:pPr>
            <w:r w:rsidRPr="00C0597B">
              <w:rPr>
                <w:szCs w:val="22"/>
                <w:u w:val="single"/>
              </w:rPr>
              <w:t>ILI</w:t>
            </w:r>
          </w:p>
          <w:p w14:paraId="47F9E266" w14:textId="77777777" w:rsidR="00333DC2" w:rsidRPr="003C7D36" w:rsidRDefault="00333DC2" w:rsidP="00D77E03">
            <w:pPr>
              <w:widowControl w:val="0"/>
              <w:jc w:val="both"/>
              <w:rPr>
                <w:kern w:val="32"/>
                <w:szCs w:val="22"/>
              </w:rPr>
            </w:pPr>
          </w:p>
          <w:p w14:paraId="586F303B" w14:textId="77777777" w:rsidR="00BF2CCF" w:rsidRPr="003C7D36" w:rsidRDefault="00BF2CCF" w:rsidP="00D77E03">
            <w:pPr>
              <w:widowControl w:val="0"/>
              <w:jc w:val="both"/>
              <w:rPr>
                <w:kern w:val="32"/>
                <w:szCs w:val="22"/>
              </w:rPr>
            </w:pPr>
            <w:r w:rsidRPr="00C0597B">
              <w:rPr>
                <w:szCs w:val="22"/>
              </w:rPr>
              <w:t>Umjerena hiperholesterolemija</w:t>
            </w:r>
          </w:p>
          <w:p w14:paraId="3C9A24B8" w14:textId="77777777" w:rsidR="00BF2CCF" w:rsidRPr="003C7D36" w:rsidRDefault="00BF2CCF" w:rsidP="00D77E03">
            <w:pPr>
              <w:pStyle w:val="Paragraph"/>
              <w:spacing w:after="0"/>
              <w:ind w:left="180"/>
              <w:jc w:val="both"/>
              <w:rPr>
                <w:kern w:val="32"/>
                <w:sz w:val="22"/>
                <w:szCs w:val="22"/>
              </w:rPr>
            </w:pPr>
            <w:r w:rsidRPr="00C0597B">
              <w:rPr>
                <w:sz w:val="22"/>
                <w:szCs w:val="22"/>
              </w:rPr>
              <w:lastRenderedPageBreak/>
              <w:t>(holesterol između 301 i 400 mg/dl ili između 7,76 i 10,34 mmol/l)</w:t>
            </w:r>
          </w:p>
          <w:p w14:paraId="007F8628" w14:textId="77777777" w:rsidR="00BF2CCF" w:rsidRPr="003C7D36" w:rsidRDefault="00BF2CCF" w:rsidP="00D77E03">
            <w:pPr>
              <w:pStyle w:val="Paragraph"/>
              <w:spacing w:after="0"/>
              <w:jc w:val="both"/>
              <w:rPr>
                <w:kern w:val="32"/>
                <w:sz w:val="22"/>
                <w:szCs w:val="22"/>
                <w:u w:val="single"/>
              </w:rPr>
            </w:pPr>
          </w:p>
          <w:p w14:paraId="374A61CE" w14:textId="77777777" w:rsidR="00BF2CCF" w:rsidRPr="003C7D36" w:rsidRDefault="00BF2CCF" w:rsidP="00D77E03">
            <w:pPr>
              <w:pStyle w:val="Paragraph"/>
              <w:spacing w:after="0"/>
              <w:jc w:val="both"/>
              <w:rPr>
                <w:kern w:val="32"/>
                <w:sz w:val="22"/>
                <w:szCs w:val="22"/>
                <w:u w:val="single"/>
              </w:rPr>
            </w:pPr>
            <w:r w:rsidRPr="00C0597B">
              <w:rPr>
                <w:sz w:val="22"/>
                <w:szCs w:val="22"/>
                <w:u w:val="single"/>
              </w:rPr>
              <w:t>ILI</w:t>
            </w:r>
          </w:p>
          <w:p w14:paraId="3B96FB4C" w14:textId="77777777" w:rsidR="00BF2CCF" w:rsidRPr="003C7D36" w:rsidRDefault="00BF2CCF" w:rsidP="00D77E03">
            <w:pPr>
              <w:pStyle w:val="Paragraph"/>
              <w:spacing w:after="0"/>
              <w:jc w:val="both"/>
              <w:rPr>
                <w:kern w:val="32"/>
                <w:sz w:val="22"/>
                <w:szCs w:val="22"/>
                <w:u w:val="single"/>
              </w:rPr>
            </w:pPr>
          </w:p>
          <w:p w14:paraId="2A336149" w14:textId="77777777" w:rsidR="00BF2CCF" w:rsidRPr="003C7D36" w:rsidRDefault="00BF2CCF" w:rsidP="00D77E03">
            <w:pPr>
              <w:pStyle w:val="Paragraph"/>
              <w:spacing w:after="0"/>
              <w:jc w:val="both"/>
              <w:rPr>
                <w:kern w:val="32"/>
                <w:sz w:val="22"/>
                <w:szCs w:val="22"/>
              </w:rPr>
            </w:pPr>
            <w:r w:rsidRPr="00C0597B">
              <w:rPr>
                <w:sz w:val="22"/>
                <w:szCs w:val="22"/>
              </w:rPr>
              <w:t>Blaga hipertrigliceridemija</w:t>
            </w:r>
          </w:p>
          <w:p w14:paraId="1027FCB9" w14:textId="77777777" w:rsidR="00BF2CCF" w:rsidRPr="003C7D36" w:rsidRDefault="00BF2CCF" w:rsidP="00D77E03">
            <w:pPr>
              <w:pStyle w:val="Paragraph"/>
              <w:ind w:left="180"/>
              <w:jc w:val="both"/>
              <w:rPr>
                <w:kern w:val="32"/>
                <w:sz w:val="22"/>
                <w:szCs w:val="22"/>
              </w:rPr>
            </w:pPr>
            <w:r w:rsidRPr="00C0597B">
              <w:rPr>
                <w:sz w:val="22"/>
                <w:szCs w:val="22"/>
              </w:rPr>
              <w:t>(trigliceridi između 150 i 300 mg/dl ili 1,71 i 3,42 mmol/l)</w:t>
            </w:r>
          </w:p>
          <w:p w14:paraId="6916F875" w14:textId="77777777" w:rsidR="009929C2" w:rsidRPr="003C7D36" w:rsidRDefault="009929C2" w:rsidP="00D77E03">
            <w:pPr>
              <w:widowControl w:val="0"/>
              <w:jc w:val="both"/>
              <w:rPr>
                <w:kern w:val="32"/>
                <w:szCs w:val="22"/>
              </w:rPr>
            </w:pPr>
            <w:r w:rsidRPr="00C0597B">
              <w:rPr>
                <w:szCs w:val="22"/>
                <w:u w:val="single"/>
              </w:rPr>
              <w:t>ILI</w:t>
            </w:r>
            <w:r w:rsidRPr="00C0597B">
              <w:rPr>
                <w:szCs w:val="22"/>
              </w:rPr>
              <w:t xml:space="preserve"> </w:t>
            </w:r>
          </w:p>
          <w:p w14:paraId="314683A3" w14:textId="77777777" w:rsidR="009929C2" w:rsidRPr="003C7D36" w:rsidRDefault="009929C2" w:rsidP="00D77E03">
            <w:pPr>
              <w:widowControl w:val="0"/>
              <w:jc w:val="both"/>
              <w:rPr>
                <w:kern w:val="32"/>
                <w:szCs w:val="22"/>
              </w:rPr>
            </w:pPr>
          </w:p>
          <w:p w14:paraId="7934C39A" w14:textId="77777777" w:rsidR="00BF2CCF" w:rsidRPr="003C7D36" w:rsidRDefault="00BF2CCF" w:rsidP="00D77E03">
            <w:pPr>
              <w:widowControl w:val="0"/>
              <w:jc w:val="both"/>
              <w:rPr>
                <w:kern w:val="32"/>
                <w:szCs w:val="22"/>
              </w:rPr>
            </w:pPr>
            <w:r w:rsidRPr="00C0597B">
              <w:rPr>
                <w:szCs w:val="22"/>
              </w:rPr>
              <w:t>Umjerena hipertrigliceridemija</w:t>
            </w:r>
          </w:p>
          <w:p w14:paraId="7840DE68" w14:textId="77777777" w:rsidR="00BF2CCF" w:rsidRPr="003C7D36" w:rsidRDefault="00BF2CCF" w:rsidP="00D77E03">
            <w:pPr>
              <w:pStyle w:val="Paragraph"/>
              <w:spacing w:after="0"/>
              <w:ind w:left="187" w:hanging="7"/>
              <w:jc w:val="both"/>
              <w:rPr>
                <w:kern w:val="32"/>
                <w:sz w:val="22"/>
                <w:szCs w:val="22"/>
              </w:rPr>
            </w:pPr>
            <w:r w:rsidRPr="00C0597B">
              <w:rPr>
                <w:sz w:val="22"/>
                <w:szCs w:val="22"/>
              </w:rPr>
              <w:t>(trigliceridi između 301 i 500 mg/dl ili 3,43 i 5,7 mmol/l)</w:t>
            </w:r>
          </w:p>
        </w:tc>
        <w:tc>
          <w:tcPr>
            <w:tcW w:w="4893" w:type="dxa"/>
            <w:shd w:val="clear" w:color="auto" w:fill="auto"/>
            <w:vAlign w:val="center"/>
          </w:tcPr>
          <w:p w14:paraId="6BA13889" w14:textId="2ACFC473" w:rsidR="00BF2CCF" w:rsidRPr="003C7D36" w:rsidRDefault="00BF2CCF" w:rsidP="00D77E03">
            <w:pPr>
              <w:pStyle w:val="Paragraph"/>
              <w:spacing w:after="0"/>
              <w:jc w:val="both"/>
              <w:rPr>
                <w:kern w:val="32"/>
                <w:sz w:val="22"/>
                <w:szCs w:val="22"/>
              </w:rPr>
            </w:pPr>
            <w:r w:rsidRPr="00C0597B">
              <w:rPr>
                <w:sz w:val="22"/>
                <w:szCs w:val="22"/>
              </w:rPr>
              <w:lastRenderedPageBreak/>
              <w:t>Uvedite ili prilagodite terapiju za snižavanje nivoa lipida</w:t>
            </w:r>
            <w:r w:rsidRPr="00822B86">
              <w:rPr>
                <w:sz w:val="22"/>
                <w:szCs w:val="22"/>
                <w:vertAlign w:val="superscript"/>
              </w:rPr>
              <w:t>b</w:t>
            </w:r>
            <w:r w:rsidRPr="00446153">
              <w:rPr>
                <w:sz w:val="22"/>
                <w:szCs w:val="22"/>
              </w:rPr>
              <w:t xml:space="preserve"> u skladu sa odgovarajućim uputstvima o propisivanju; nastavite s primjenom iste doze lorlatiniba.</w:t>
            </w:r>
          </w:p>
        </w:tc>
      </w:tr>
      <w:tr w:rsidR="00DC4667" w:rsidRPr="003C7D36" w14:paraId="48BA102B" w14:textId="77777777" w:rsidTr="000D1360">
        <w:trPr>
          <w:cantSplit/>
        </w:trPr>
        <w:tc>
          <w:tcPr>
            <w:tcW w:w="4395" w:type="dxa"/>
            <w:shd w:val="clear" w:color="auto" w:fill="auto"/>
            <w:vAlign w:val="center"/>
          </w:tcPr>
          <w:p w14:paraId="3D158AB5" w14:textId="77777777" w:rsidR="003340CC" w:rsidRPr="003C7D36" w:rsidRDefault="003340CC" w:rsidP="00D77E03">
            <w:pPr>
              <w:pStyle w:val="Paragraph"/>
              <w:spacing w:after="0"/>
              <w:jc w:val="both"/>
              <w:rPr>
                <w:kern w:val="32"/>
                <w:sz w:val="22"/>
                <w:szCs w:val="22"/>
              </w:rPr>
            </w:pPr>
            <w:r w:rsidRPr="00C0597B">
              <w:rPr>
                <w:sz w:val="22"/>
                <w:szCs w:val="22"/>
              </w:rPr>
              <w:t>Teška hiperholesterolemija</w:t>
            </w:r>
          </w:p>
          <w:p w14:paraId="7E7727F4" w14:textId="77777777" w:rsidR="003340CC" w:rsidRPr="003C7D36" w:rsidRDefault="003340CC" w:rsidP="00D77E03">
            <w:pPr>
              <w:pStyle w:val="Paragraph"/>
              <w:spacing w:after="0"/>
              <w:ind w:left="180"/>
              <w:jc w:val="both"/>
              <w:rPr>
                <w:kern w:val="32"/>
                <w:sz w:val="22"/>
                <w:szCs w:val="22"/>
              </w:rPr>
            </w:pPr>
            <w:r w:rsidRPr="00C0597B">
              <w:rPr>
                <w:sz w:val="22"/>
                <w:szCs w:val="22"/>
              </w:rPr>
              <w:t>(holesterol između 401 i 500 mg/dl ili između 10,35 i 12,92 mmol/l)</w:t>
            </w:r>
          </w:p>
          <w:p w14:paraId="3C44B28D" w14:textId="77777777" w:rsidR="003340CC" w:rsidRPr="003C7D36" w:rsidRDefault="003340CC" w:rsidP="00D77E03">
            <w:pPr>
              <w:pStyle w:val="Paragraph"/>
              <w:spacing w:after="0"/>
              <w:jc w:val="both"/>
              <w:rPr>
                <w:kern w:val="32"/>
                <w:sz w:val="22"/>
                <w:szCs w:val="22"/>
              </w:rPr>
            </w:pPr>
          </w:p>
          <w:p w14:paraId="3282AF41" w14:textId="77777777" w:rsidR="003340CC" w:rsidRPr="003C7D36" w:rsidRDefault="003340CC" w:rsidP="00D77E03">
            <w:pPr>
              <w:pStyle w:val="Paragraph"/>
              <w:spacing w:after="0"/>
              <w:jc w:val="both"/>
              <w:rPr>
                <w:kern w:val="32"/>
                <w:sz w:val="22"/>
                <w:szCs w:val="22"/>
                <w:u w:val="single"/>
              </w:rPr>
            </w:pPr>
            <w:r w:rsidRPr="00C0597B">
              <w:rPr>
                <w:sz w:val="22"/>
                <w:szCs w:val="22"/>
                <w:u w:val="single"/>
              </w:rPr>
              <w:t>ILI</w:t>
            </w:r>
          </w:p>
          <w:p w14:paraId="5A8A16E5" w14:textId="77777777" w:rsidR="003340CC" w:rsidRPr="003C7D36" w:rsidRDefault="003340CC" w:rsidP="00D77E03">
            <w:pPr>
              <w:pStyle w:val="Paragraph"/>
              <w:spacing w:after="0"/>
              <w:jc w:val="both"/>
              <w:rPr>
                <w:kern w:val="32"/>
                <w:sz w:val="22"/>
                <w:szCs w:val="22"/>
                <w:u w:val="single"/>
              </w:rPr>
            </w:pPr>
          </w:p>
          <w:p w14:paraId="7E9D3790" w14:textId="77777777" w:rsidR="003340CC" w:rsidRPr="003C7D36" w:rsidRDefault="003340CC" w:rsidP="00D77E03">
            <w:pPr>
              <w:pStyle w:val="Paragraph"/>
              <w:spacing w:after="0"/>
              <w:jc w:val="both"/>
              <w:rPr>
                <w:kern w:val="32"/>
                <w:sz w:val="22"/>
                <w:szCs w:val="22"/>
              </w:rPr>
            </w:pPr>
            <w:r w:rsidRPr="00C0597B">
              <w:rPr>
                <w:sz w:val="22"/>
                <w:szCs w:val="22"/>
              </w:rPr>
              <w:t>Teška hipertrigliceridemija</w:t>
            </w:r>
          </w:p>
          <w:p w14:paraId="7069907C" w14:textId="77777777" w:rsidR="003340CC" w:rsidRPr="003C7D36" w:rsidRDefault="003340CC" w:rsidP="00D77E03">
            <w:pPr>
              <w:pStyle w:val="Paragraph"/>
              <w:spacing w:after="0"/>
              <w:ind w:left="180"/>
              <w:jc w:val="both"/>
              <w:rPr>
                <w:kern w:val="32"/>
                <w:sz w:val="22"/>
                <w:szCs w:val="22"/>
              </w:rPr>
            </w:pPr>
            <w:r w:rsidRPr="00C0597B">
              <w:rPr>
                <w:sz w:val="22"/>
                <w:szCs w:val="22"/>
              </w:rPr>
              <w:t>(trigliceridi između 501 i 1000 mg/dl ili 5,71 i 11,4 mmol/l)</w:t>
            </w:r>
          </w:p>
        </w:tc>
        <w:tc>
          <w:tcPr>
            <w:tcW w:w="4893" w:type="dxa"/>
            <w:shd w:val="clear" w:color="auto" w:fill="auto"/>
            <w:vAlign w:val="center"/>
          </w:tcPr>
          <w:p w14:paraId="1CD8EAF2" w14:textId="51C38415" w:rsidR="003340CC" w:rsidRPr="003C7D36" w:rsidRDefault="003340CC" w:rsidP="00D77E03">
            <w:pPr>
              <w:pStyle w:val="Paragraph"/>
              <w:spacing w:after="0"/>
              <w:jc w:val="both"/>
              <w:rPr>
                <w:kern w:val="32"/>
                <w:sz w:val="22"/>
                <w:szCs w:val="22"/>
              </w:rPr>
            </w:pPr>
            <w:r w:rsidRPr="00C0597B">
              <w:rPr>
                <w:sz w:val="22"/>
                <w:szCs w:val="22"/>
              </w:rPr>
              <w:t>Uvedite terapiju za snižavanje nivoa lipida</w:t>
            </w:r>
            <w:r w:rsidRPr="00C0597B">
              <w:rPr>
                <w:sz w:val="22"/>
                <w:szCs w:val="22"/>
                <w:vertAlign w:val="superscript"/>
              </w:rPr>
              <w:t xml:space="preserve"> b</w:t>
            </w:r>
            <w:r w:rsidRPr="00C0597B">
              <w:rPr>
                <w:sz w:val="22"/>
                <w:szCs w:val="22"/>
              </w:rPr>
              <w:t>; ako je pacijent već na terapiji za snižavanje nivoa lipida, povećajte dozu te terapije</w:t>
            </w:r>
            <w:r w:rsidRPr="00822B86">
              <w:rPr>
                <w:sz w:val="22"/>
                <w:szCs w:val="22"/>
                <w:vertAlign w:val="superscript"/>
              </w:rPr>
              <w:t>b</w:t>
            </w:r>
            <w:r w:rsidRPr="00822B86">
              <w:rPr>
                <w:sz w:val="22"/>
                <w:szCs w:val="22"/>
              </w:rPr>
              <w:t xml:space="preserve"> u skladu sa odgovarajućim uputstvima o propisivanju; ili zamijenite sa novom terapijom</w:t>
            </w:r>
            <w:r w:rsidRPr="00446153">
              <w:rPr>
                <w:sz w:val="22"/>
                <w:szCs w:val="22"/>
              </w:rPr>
              <w:t xml:space="preserve"> za snižavanje nivoa lipida</w:t>
            </w:r>
            <w:r w:rsidRPr="00446153">
              <w:rPr>
                <w:sz w:val="22"/>
                <w:szCs w:val="22"/>
                <w:vertAlign w:val="superscript"/>
              </w:rPr>
              <w:t>b</w:t>
            </w:r>
            <w:r w:rsidRPr="00446153">
              <w:rPr>
                <w:sz w:val="22"/>
                <w:szCs w:val="22"/>
              </w:rPr>
              <w:t xml:space="preserve">. Nastavite sa primjenom iste doze lorlatiniba bez prekida. </w:t>
            </w:r>
          </w:p>
        </w:tc>
      </w:tr>
      <w:tr w:rsidR="00DC4667" w:rsidRPr="003C7D36" w14:paraId="554DA474" w14:textId="77777777" w:rsidTr="000D1360">
        <w:trPr>
          <w:cantSplit/>
        </w:trPr>
        <w:tc>
          <w:tcPr>
            <w:tcW w:w="4395" w:type="dxa"/>
            <w:shd w:val="clear" w:color="auto" w:fill="auto"/>
            <w:vAlign w:val="center"/>
          </w:tcPr>
          <w:p w14:paraId="250B1BB0" w14:textId="77777777" w:rsidR="003340CC" w:rsidRPr="003C7D36" w:rsidRDefault="003340CC" w:rsidP="00D77E03">
            <w:pPr>
              <w:pStyle w:val="Paragraph"/>
              <w:spacing w:after="0"/>
              <w:jc w:val="both"/>
              <w:rPr>
                <w:kern w:val="32"/>
                <w:sz w:val="22"/>
                <w:szCs w:val="22"/>
              </w:rPr>
            </w:pPr>
            <w:r w:rsidRPr="00C0597B">
              <w:rPr>
                <w:sz w:val="22"/>
                <w:szCs w:val="22"/>
              </w:rPr>
              <w:t>Hiperholesterolemija koja je opasna po život</w:t>
            </w:r>
          </w:p>
          <w:p w14:paraId="3631EF27" w14:textId="77777777" w:rsidR="003340CC" w:rsidRPr="003C7D36" w:rsidRDefault="003340CC" w:rsidP="00D77E03">
            <w:pPr>
              <w:pStyle w:val="Paragraph"/>
              <w:spacing w:after="0"/>
              <w:ind w:left="180"/>
              <w:jc w:val="both"/>
              <w:rPr>
                <w:kern w:val="32"/>
                <w:sz w:val="22"/>
                <w:szCs w:val="22"/>
              </w:rPr>
            </w:pPr>
            <w:r w:rsidRPr="00C0597B">
              <w:rPr>
                <w:sz w:val="22"/>
                <w:szCs w:val="22"/>
              </w:rPr>
              <w:t>(holesterol iznad 500 mg/dl ili iznad 12,92 mmol/l)</w:t>
            </w:r>
          </w:p>
          <w:p w14:paraId="34B07832" w14:textId="77777777" w:rsidR="003340CC" w:rsidRPr="003C7D36" w:rsidRDefault="003340CC" w:rsidP="00D77E03">
            <w:pPr>
              <w:pStyle w:val="Paragraph"/>
              <w:spacing w:after="0"/>
              <w:jc w:val="both"/>
              <w:rPr>
                <w:kern w:val="32"/>
                <w:sz w:val="22"/>
                <w:szCs w:val="22"/>
              </w:rPr>
            </w:pPr>
          </w:p>
          <w:p w14:paraId="70FFE583" w14:textId="77777777" w:rsidR="003340CC" w:rsidRPr="003C7D36" w:rsidRDefault="003340CC" w:rsidP="00D77E03">
            <w:pPr>
              <w:pStyle w:val="Paragraph"/>
              <w:spacing w:after="0"/>
              <w:jc w:val="both"/>
              <w:rPr>
                <w:kern w:val="32"/>
                <w:sz w:val="22"/>
                <w:szCs w:val="22"/>
                <w:u w:val="single"/>
              </w:rPr>
            </w:pPr>
            <w:r w:rsidRPr="00C0597B">
              <w:rPr>
                <w:sz w:val="22"/>
                <w:szCs w:val="22"/>
                <w:u w:val="single"/>
              </w:rPr>
              <w:t>ILI</w:t>
            </w:r>
          </w:p>
          <w:p w14:paraId="2414BA25" w14:textId="77777777" w:rsidR="003340CC" w:rsidRPr="003C7D36" w:rsidRDefault="003340CC" w:rsidP="00D77E03">
            <w:pPr>
              <w:pStyle w:val="Paragraph"/>
              <w:spacing w:after="0"/>
              <w:jc w:val="both"/>
              <w:rPr>
                <w:kern w:val="32"/>
                <w:sz w:val="22"/>
                <w:szCs w:val="22"/>
                <w:u w:val="single"/>
              </w:rPr>
            </w:pPr>
          </w:p>
          <w:p w14:paraId="4A35D21E" w14:textId="77777777" w:rsidR="003340CC" w:rsidRPr="003C7D36" w:rsidRDefault="003340CC" w:rsidP="00D77E03">
            <w:pPr>
              <w:pStyle w:val="Paragraph"/>
              <w:spacing w:after="0"/>
              <w:jc w:val="both"/>
              <w:rPr>
                <w:kern w:val="32"/>
                <w:sz w:val="22"/>
                <w:szCs w:val="22"/>
              </w:rPr>
            </w:pPr>
            <w:r w:rsidRPr="00C0597B">
              <w:rPr>
                <w:sz w:val="22"/>
                <w:szCs w:val="22"/>
              </w:rPr>
              <w:t>Hipertrigliceridemija koja je opasna po život</w:t>
            </w:r>
          </w:p>
          <w:p w14:paraId="0DCA96FA" w14:textId="77777777" w:rsidR="003340CC" w:rsidRPr="003C7D36" w:rsidRDefault="003340CC" w:rsidP="00D77E03">
            <w:pPr>
              <w:pStyle w:val="Paragraph"/>
              <w:spacing w:after="0"/>
              <w:ind w:left="180"/>
              <w:jc w:val="both"/>
              <w:rPr>
                <w:kern w:val="32"/>
                <w:sz w:val="22"/>
                <w:szCs w:val="22"/>
              </w:rPr>
            </w:pPr>
            <w:r w:rsidRPr="00C0597B">
              <w:rPr>
                <w:sz w:val="22"/>
                <w:szCs w:val="22"/>
              </w:rPr>
              <w:t>(trigliceridi iznad 1000 mg/dl ili iznad 11,4 mmol/l)</w:t>
            </w:r>
          </w:p>
        </w:tc>
        <w:tc>
          <w:tcPr>
            <w:tcW w:w="4893" w:type="dxa"/>
            <w:shd w:val="clear" w:color="auto" w:fill="auto"/>
            <w:vAlign w:val="center"/>
          </w:tcPr>
          <w:p w14:paraId="300EB2A3" w14:textId="77777777" w:rsidR="003340CC" w:rsidRPr="003C7D36" w:rsidRDefault="003340CC" w:rsidP="00D77E03">
            <w:pPr>
              <w:pStyle w:val="Paragraph"/>
              <w:spacing w:after="0"/>
              <w:jc w:val="both"/>
              <w:rPr>
                <w:kern w:val="32"/>
                <w:sz w:val="22"/>
                <w:szCs w:val="22"/>
              </w:rPr>
            </w:pPr>
            <w:r w:rsidRPr="00C0597B">
              <w:rPr>
                <w:sz w:val="22"/>
                <w:szCs w:val="22"/>
              </w:rPr>
              <w:t>Uvedite terapiju za snižavanje nivoa lipida</w:t>
            </w:r>
            <w:r w:rsidRPr="00C0597B">
              <w:rPr>
                <w:sz w:val="22"/>
                <w:szCs w:val="22"/>
                <w:vertAlign w:val="superscript"/>
              </w:rPr>
              <w:t xml:space="preserve"> b</w:t>
            </w:r>
            <w:r w:rsidRPr="00C0597B">
              <w:rPr>
                <w:sz w:val="22"/>
                <w:szCs w:val="22"/>
              </w:rPr>
              <w:t xml:space="preserve"> ili povećajte dozu ove terapije</w:t>
            </w:r>
            <w:r w:rsidRPr="00822B86">
              <w:rPr>
                <w:sz w:val="22"/>
                <w:szCs w:val="22"/>
                <w:vertAlign w:val="superscript"/>
              </w:rPr>
              <w:t>b</w:t>
            </w:r>
            <w:r w:rsidRPr="00822B86">
              <w:rPr>
                <w:sz w:val="22"/>
                <w:szCs w:val="22"/>
              </w:rPr>
              <w:t xml:space="preserve"> u skladu sa odgovarajućim uputstvima o propisivanju ili zamijenite sa novom terapijom za snižavanje nivoa lipida</w:t>
            </w:r>
            <w:r w:rsidRPr="00446153">
              <w:rPr>
                <w:sz w:val="22"/>
                <w:szCs w:val="22"/>
                <w:vertAlign w:val="superscript"/>
              </w:rPr>
              <w:t>b</w:t>
            </w:r>
            <w:r w:rsidRPr="00446153">
              <w:rPr>
                <w:sz w:val="22"/>
                <w:szCs w:val="22"/>
              </w:rPr>
              <w:t>. Prekinite primjenu lorlatiniba dok se hiperholesterolemija i/ili hipertrigliceridemija ne vrate na umjereni ili blagi stepen težine.</w:t>
            </w:r>
          </w:p>
          <w:p w14:paraId="3EE7EB6F" w14:textId="77777777" w:rsidR="003340CC" w:rsidRPr="003C7D36" w:rsidRDefault="003340CC" w:rsidP="00D77E03">
            <w:pPr>
              <w:pStyle w:val="Paragraph"/>
              <w:spacing w:after="0"/>
              <w:jc w:val="both"/>
              <w:rPr>
                <w:kern w:val="32"/>
                <w:sz w:val="22"/>
                <w:szCs w:val="22"/>
              </w:rPr>
            </w:pPr>
          </w:p>
          <w:p w14:paraId="623FE175" w14:textId="77777777" w:rsidR="003340CC" w:rsidRPr="003C7D36" w:rsidRDefault="003340CC" w:rsidP="00D77E03">
            <w:pPr>
              <w:pStyle w:val="Paragraph"/>
              <w:spacing w:after="0"/>
              <w:jc w:val="both"/>
              <w:rPr>
                <w:kern w:val="32"/>
                <w:sz w:val="22"/>
                <w:szCs w:val="22"/>
              </w:rPr>
            </w:pPr>
            <w:r w:rsidRPr="00C0597B">
              <w:rPr>
                <w:sz w:val="22"/>
                <w:szCs w:val="22"/>
              </w:rPr>
              <w:t>Ponovo uvedite lorlatinib u istoj dozi, dok je terapija za</w:t>
            </w:r>
            <w:r w:rsidRPr="00822B86">
              <w:rPr>
                <w:sz w:val="22"/>
                <w:szCs w:val="22"/>
              </w:rPr>
              <w:t xml:space="preserve"> snižavanje nivoa lipida</w:t>
            </w:r>
            <w:r w:rsidRPr="00822B86">
              <w:rPr>
                <w:sz w:val="22"/>
                <w:szCs w:val="22"/>
                <w:vertAlign w:val="superscript"/>
              </w:rPr>
              <w:t>b</w:t>
            </w:r>
            <w:r w:rsidRPr="00822B86">
              <w:rPr>
                <w:sz w:val="22"/>
                <w:szCs w:val="22"/>
              </w:rPr>
              <w:t xml:space="preserve"> na maksimalnoj dozi, a u skladu s odgovarajućim uputstvima o</w:t>
            </w:r>
            <w:r w:rsidRPr="00446153">
              <w:rPr>
                <w:sz w:val="22"/>
                <w:szCs w:val="22"/>
              </w:rPr>
              <w:t xml:space="preserve"> propisivanju.</w:t>
            </w:r>
          </w:p>
          <w:p w14:paraId="47B92111" w14:textId="77777777" w:rsidR="003340CC" w:rsidRPr="003C7D36" w:rsidRDefault="003340CC" w:rsidP="00D77E03">
            <w:pPr>
              <w:pStyle w:val="Paragraph"/>
              <w:spacing w:after="0"/>
              <w:jc w:val="both"/>
              <w:rPr>
                <w:kern w:val="32"/>
                <w:sz w:val="22"/>
                <w:szCs w:val="22"/>
              </w:rPr>
            </w:pPr>
          </w:p>
          <w:p w14:paraId="243661AB" w14:textId="77777777" w:rsidR="003340CC" w:rsidRPr="003C7D36" w:rsidRDefault="003340CC" w:rsidP="00D77E03">
            <w:pPr>
              <w:pStyle w:val="Paragraph"/>
              <w:spacing w:after="0"/>
              <w:jc w:val="both"/>
              <w:rPr>
                <w:kern w:val="32"/>
                <w:sz w:val="22"/>
                <w:szCs w:val="22"/>
              </w:rPr>
            </w:pPr>
            <w:r w:rsidRPr="00C0597B">
              <w:rPr>
                <w:sz w:val="22"/>
                <w:szCs w:val="22"/>
              </w:rPr>
              <w:t>Ako se teška hiperholesterolemija i/ili hipertrigliceridemija vrate, uprkos maksimalno povećanoj terapiji za smanjenje nivoa lipida</w:t>
            </w:r>
            <w:r w:rsidRPr="00C0597B">
              <w:rPr>
                <w:sz w:val="22"/>
                <w:szCs w:val="22"/>
                <w:vertAlign w:val="superscript"/>
              </w:rPr>
              <w:t>b</w:t>
            </w:r>
            <w:r w:rsidRPr="00C0597B">
              <w:rPr>
                <w:sz w:val="22"/>
                <w:szCs w:val="22"/>
              </w:rPr>
              <w:t xml:space="preserve"> u skladu s odgovaraju</w:t>
            </w:r>
            <w:r w:rsidRPr="00822B86">
              <w:rPr>
                <w:sz w:val="22"/>
                <w:szCs w:val="22"/>
              </w:rPr>
              <w:t>ćim uputstvima o propisivanju, smanjite dozu lorlatiniba za 1 nivo doze.</w:t>
            </w:r>
          </w:p>
        </w:tc>
      </w:tr>
      <w:tr w:rsidR="00DC4667" w:rsidRPr="003C7D36" w14:paraId="1986A708" w14:textId="77777777" w:rsidTr="00C60037">
        <w:tc>
          <w:tcPr>
            <w:tcW w:w="9288" w:type="dxa"/>
            <w:gridSpan w:val="2"/>
            <w:shd w:val="clear" w:color="auto" w:fill="auto"/>
          </w:tcPr>
          <w:p w14:paraId="1EAACCFC" w14:textId="032D6B1A" w:rsidR="003340CC" w:rsidRPr="003C7D36" w:rsidRDefault="003340CC" w:rsidP="00D77E03">
            <w:pPr>
              <w:pStyle w:val="Paragraph"/>
              <w:keepNext/>
              <w:widowControl w:val="0"/>
              <w:overflowPunct w:val="0"/>
              <w:autoSpaceDE w:val="0"/>
              <w:autoSpaceDN w:val="0"/>
              <w:adjustRightInd w:val="0"/>
              <w:spacing w:after="0"/>
              <w:jc w:val="both"/>
              <w:textAlignment w:val="baseline"/>
              <w:rPr>
                <w:b/>
                <w:kern w:val="32"/>
                <w:sz w:val="22"/>
                <w:szCs w:val="22"/>
              </w:rPr>
            </w:pPr>
            <w:r w:rsidRPr="00C0597B">
              <w:rPr>
                <w:b/>
                <w:sz w:val="22"/>
                <w:szCs w:val="22"/>
              </w:rPr>
              <w:lastRenderedPageBreak/>
              <w:t xml:space="preserve">Dejstva na centralni nervni sistem </w:t>
            </w:r>
            <w:r w:rsidR="002A3963" w:rsidRPr="00C0597B">
              <w:rPr>
                <w:b/>
                <w:sz w:val="22"/>
                <w:szCs w:val="22"/>
              </w:rPr>
              <w:t xml:space="preserve">(CNS) </w:t>
            </w:r>
            <w:r w:rsidRPr="00C0597B">
              <w:rPr>
                <w:b/>
                <w:sz w:val="22"/>
                <w:szCs w:val="22"/>
              </w:rPr>
              <w:t>(obuhva</w:t>
            </w:r>
            <w:r w:rsidR="002A3963" w:rsidRPr="00822B86">
              <w:rPr>
                <w:b/>
                <w:sz w:val="22"/>
                <w:szCs w:val="22"/>
              </w:rPr>
              <w:t>t</w:t>
            </w:r>
            <w:r w:rsidRPr="00822B86">
              <w:rPr>
                <w:b/>
                <w:sz w:val="22"/>
                <w:szCs w:val="22"/>
              </w:rPr>
              <w:t>a psihotična dejstva i promjene raspoloženja, kognitivnog i mentalnog statusa ili govora)</w:t>
            </w:r>
          </w:p>
        </w:tc>
      </w:tr>
      <w:tr w:rsidR="00DC4667" w:rsidRPr="003C7D36" w14:paraId="3BB5513D" w14:textId="77777777" w:rsidTr="000D1360">
        <w:tc>
          <w:tcPr>
            <w:tcW w:w="4395" w:type="dxa"/>
            <w:shd w:val="clear" w:color="auto" w:fill="auto"/>
            <w:vAlign w:val="center"/>
          </w:tcPr>
          <w:p w14:paraId="5DC29C52" w14:textId="77777777" w:rsidR="003340CC" w:rsidRPr="003C7D36" w:rsidRDefault="003340CC" w:rsidP="00D77E03">
            <w:pPr>
              <w:pStyle w:val="Paragraph"/>
              <w:keepNext/>
              <w:widowControl w:val="0"/>
              <w:spacing w:after="0"/>
              <w:jc w:val="both"/>
              <w:rPr>
                <w:kern w:val="32"/>
                <w:sz w:val="22"/>
                <w:szCs w:val="22"/>
              </w:rPr>
            </w:pPr>
            <w:r w:rsidRPr="00C0597B">
              <w:rPr>
                <w:sz w:val="22"/>
                <w:szCs w:val="22"/>
              </w:rPr>
              <w:t>Gradus 2: Umjereni</w:t>
            </w:r>
          </w:p>
          <w:p w14:paraId="0DF3DB65" w14:textId="77777777" w:rsidR="003340CC" w:rsidRPr="003C7D36" w:rsidRDefault="003340CC" w:rsidP="00D77E03">
            <w:pPr>
              <w:pStyle w:val="Paragraph"/>
              <w:keepNext/>
              <w:widowControl w:val="0"/>
              <w:spacing w:after="0"/>
              <w:jc w:val="both"/>
              <w:rPr>
                <w:kern w:val="32"/>
                <w:sz w:val="22"/>
                <w:szCs w:val="22"/>
              </w:rPr>
            </w:pPr>
            <w:r w:rsidRPr="00C0597B">
              <w:rPr>
                <w:sz w:val="22"/>
                <w:szCs w:val="22"/>
              </w:rPr>
              <w:t xml:space="preserve"> </w:t>
            </w:r>
          </w:p>
          <w:p w14:paraId="5F3470DB" w14:textId="77777777" w:rsidR="003340CC" w:rsidRPr="003C7D36" w:rsidRDefault="003340CC" w:rsidP="00D77E03">
            <w:pPr>
              <w:pStyle w:val="Paragraph"/>
              <w:keepNext/>
              <w:widowControl w:val="0"/>
              <w:spacing w:after="0"/>
              <w:jc w:val="both"/>
              <w:rPr>
                <w:kern w:val="32"/>
                <w:sz w:val="22"/>
                <w:szCs w:val="22"/>
                <w:u w:val="single"/>
              </w:rPr>
            </w:pPr>
            <w:r w:rsidRPr="00C0597B">
              <w:rPr>
                <w:sz w:val="22"/>
                <w:szCs w:val="22"/>
                <w:u w:val="single"/>
              </w:rPr>
              <w:t xml:space="preserve">ILI </w:t>
            </w:r>
          </w:p>
          <w:p w14:paraId="79DA601D" w14:textId="77777777" w:rsidR="003340CC" w:rsidRPr="003C7D36" w:rsidRDefault="003340CC" w:rsidP="00D77E03">
            <w:pPr>
              <w:pStyle w:val="Paragraph"/>
              <w:keepNext/>
              <w:widowControl w:val="0"/>
              <w:spacing w:after="0"/>
              <w:ind w:firstLine="810"/>
              <w:jc w:val="both"/>
              <w:rPr>
                <w:kern w:val="32"/>
                <w:sz w:val="22"/>
                <w:szCs w:val="22"/>
                <w:u w:val="single"/>
              </w:rPr>
            </w:pPr>
          </w:p>
          <w:p w14:paraId="49A64194" w14:textId="77777777" w:rsidR="003340CC" w:rsidRPr="003C7D36" w:rsidRDefault="003340CC" w:rsidP="00D77E03">
            <w:pPr>
              <w:pStyle w:val="Paragraph"/>
              <w:keepNext/>
              <w:widowControl w:val="0"/>
              <w:spacing w:after="0"/>
              <w:jc w:val="both"/>
              <w:rPr>
                <w:kern w:val="32"/>
                <w:sz w:val="22"/>
                <w:szCs w:val="22"/>
              </w:rPr>
            </w:pPr>
            <w:r w:rsidRPr="00C0597B">
              <w:rPr>
                <w:sz w:val="22"/>
                <w:szCs w:val="22"/>
              </w:rPr>
              <w:t xml:space="preserve">Gradus 3: Teški </w:t>
            </w:r>
          </w:p>
        </w:tc>
        <w:tc>
          <w:tcPr>
            <w:tcW w:w="4893" w:type="dxa"/>
            <w:shd w:val="clear" w:color="auto" w:fill="auto"/>
            <w:vAlign w:val="center"/>
          </w:tcPr>
          <w:p w14:paraId="0A2EAD26" w14:textId="77777777" w:rsidR="003340CC" w:rsidRPr="003C7D36" w:rsidRDefault="003340CC" w:rsidP="00D77E03">
            <w:pPr>
              <w:pStyle w:val="Paragraph"/>
              <w:keepNext/>
              <w:widowControl w:val="0"/>
              <w:spacing w:after="0"/>
              <w:jc w:val="both"/>
              <w:rPr>
                <w:kern w:val="32"/>
                <w:sz w:val="22"/>
                <w:szCs w:val="22"/>
              </w:rPr>
            </w:pPr>
            <w:r w:rsidRPr="00C0597B">
              <w:rPr>
                <w:sz w:val="22"/>
                <w:szCs w:val="22"/>
              </w:rPr>
              <w:t xml:space="preserve">Prekinite primjenu dok toksičnost ne bude manja ili jednaka gradusu 1. Potom ponovo uvedite lorlatinib u dozi smanjenoj za 1 nivo. </w:t>
            </w:r>
          </w:p>
        </w:tc>
      </w:tr>
      <w:tr w:rsidR="00DC4667" w:rsidRPr="003C7D36" w14:paraId="1122F64F" w14:textId="77777777" w:rsidTr="000D1360">
        <w:tc>
          <w:tcPr>
            <w:tcW w:w="4395" w:type="dxa"/>
            <w:shd w:val="clear" w:color="auto" w:fill="auto"/>
            <w:vAlign w:val="center"/>
          </w:tcPr>
          <w:p w14:paraId="35FA611C" w14:textId="77777777" w:rsidR="003340CC" w:rsidRPr="003C7D36" w:rsidRDefault="003340CC" w:rsidP="00D77E03">
            <w:pPr>
              <w:pStyle w:val="Paragraph"/>
              <w:keepNext/>
              <w:widowControl w:val="0"/>
              <w:spacing w:after="0"/>
              <w:ind w:left="180" w:hanging="180"/>
              <w:jc w:val="both"/>
              <w:rPr>
                <w:kern w:val="32"/>
                <w:sz w:val="22"/>
                <w:szCs w:val="22"/>
              </w:rPr>
            </w:pPr>
            <w:r w:rsidRPr="00C0597B">
              <w:rPr>
                <w:sz w:val="22"/>
                <w:szCs w:val="22"/>
              </w:rPr>
              <w:t>Gradus 4: Opasno po život / Indikovana hitna intervencija</w:t>
            </w:r>
          </w:p>
        </w:tc>
        <w:tc>
          <w:tcPr>
            <w:tcW w:w="4893" w:type="dxa"/>
            <w:shd w:val="clear" w:color="auto" w:fill="auto"/>
            <w:vAlign w:val="center"/>
          </w:tcPr>
          <w:p w14:paraId="616C41BE" w14:textId="77777777" w:rsidR="003340CC" w:rsidRPr="003C7D36" w:rsidRDefault="003340CC" w:rsidP="00D77E03">
            <w:pPr>
              <w:pStyle w:val="Paragraph"/>
              <w:keepNext/>
              <w:tabs>
                <w:tab w:val="left" w:pos="4247"/>
              </w:tabs>
              <w:overflowPunct w:val="0"/>
              <w:autoSpaceDE w:val="0"/>
              <w:autoSpaceDN w:val="0"/>
              <w:adjustRightInd w:val="0"/>
              <w:spacing w:after="0"/>
              <w:jc w:val="both"/>
              <w:textAlignment w:val="baseline"/>
              <w:rPr>
                <w:kern w:val="32"/>
                <w:sz w:val="22"/>
                <w:szCs w:val="22"/>
              </w:rPr>
            </w:pPr>
            <w:r w:rsidRPr="00C0597B">
              <w:rPr>
                <w:sz w:val="22"/>
                <w:szCs w:val="22"/>
              </w:rPr>
              <w:t>Trajno prekinite primjenu lorlatiniba.</w:t>
            </w:r>
          </w:p>
        </w:tc>
      </w:tr>
      <w:tr w:rsidR="00DC4667" w:rsidRPr="003C7D36" w14:paraId="67E39CFD" w14:textId="77777777" w:rsidTr="00C60037">
        <w:tc>
          <w:tcPr>
            <w:tcW w:w="9288" w:type="dxa"/>
            <w:gridSpan w:val="2"/>
            <w:shd w:val="clear" w:color="auto" w:fill="auto"/>
          </w:tcPr>
          <w:p w14:paraId="054FF7D7" w14:textId="77777777" w:rsidR="00C60037" w:rsidRPr="003C7D36" w:rsidRDefault="00C60037" w:rsidP="00D77E03">
            <w:pPr>
              <w:pStyle w:val="Paragraph"/>
              <w:keepNext/>
              <w:tabs>
                <w:tab w:val="left" w:pos="4247"/>
              </w:tabs>
              <w:overflowPunct w:val="0"/>
              <w:autoSpaceDE w:val="0"/>
              <w:autoSpaceDN w:val="0"/>
              <w:adjustRightInd w:val="0"/>
              <w:spacing w:after="0"/>
              <w:jc w:val="both"/>
              <w:textAlignment w:val="baseline"/>
              <w:rPr>
                <w:b/>
                <w:kern w:val="32"/>
                <w:sz w:val="22"/>
                <w:szCs w:val="22"/>
              </w:rPr>
            </w:pPr>
            <w:r w:rsidRPr="00C0597B">
              <w:rPr>
                <w:b/>
                <w:sz w:val="22"/>
                <w:szCs w:val="22"/>
              </w:rPr>
              <w:t xml:space="preserve">Povećanje nivoa lipaze / amilaze </w:t>
            </w:r>
          </w:p>
        </w:tc>
      </w:tr>
      <w:tr w:rsidR="00DC4667" w:rsidRPr="003C7D36" w14:paraId="3FAE5C79" w14:textId="77777777" w:rsidTr="000D1360">
        <w:tc>
          <w:tcPr>
            <w:tcW w:w="4395" w:type="dxa"/>
            <w:shd w:val="clear" w:color="auto" w:fill="auto"/>
          </w:tcPr>
          <w:p w14:paraId="220A845B" w14:textId="77777777" w:rsidR="00C60037" w:rsidRPr="003C7D36" w:rsidRDefault="00C60037" w:rsidP="00D77E03">
            <w:pPr>
              <w:pStyle w:val="Paragraph"/>
              <w:keepNext/>
              <w:widowControl w:val="0"/>
              <w:spacing w:after="0"/>
              <w:ind w:left="180" w:hanging="180"/>
              <w:jc w:val="both"/>
              <w:rPr>
                <w:sz w:val="22"/>
                <w:szCs w:val="22"/>
              </w:rPr>
            </w:pPr>
            <w:r w:rsidRPr="00C0597B">
              <w:rPr>
                <w:sz w:val="22"/>
                <w:szCs w:val="22"/>
              </w:rPr>
              <w:t>Gradus 3: Teški</w:t>
            </w:r>
          </w:p>
          <w:p w14:paraId="088466DC" w14:textId="77777777" w:rsidR="00C60037" w:rsidRPr="003C7D36" w:rsidRDefault="00C60037" w:rsidP="00D77E03">
            <w:pPr>
              <w:pStyle w:val="Paragraph"/>
              <w:keepNext/>
              <w:widowControl w:val="0"/>
              <w:spacing w:after="0"/>
              <w:ind w:left="180" w:hanging="180"/>
              <w:jc w:val="both"/>
              <w:rPr>
                <w:sz w:val="22"/>
                <w:szCs w:val="22"/>
              </w:rPr>
            </w:pPr>
          </w:p>
          <w:p w14:paraId="5A6ACA8E" w14:textId="77777777" w:rsidR="00C60037" w:rsidRPr="003C7D36" w:rsidRDefault="00C60037" w:rsidP="00D77E03">
            <w:pPr>
              <w:pStyle w:val="Paragraph"/>
              <w:keepNext/>
              <w:widowControl w:val="0"/>
              <w:spacing w:after="0"/>
              <w:ind w:left="180" w:hanging="180"/>
              <w:jc w:val="both"/>
              <w:rPr>
                <w:sz w:val="22"/>
                <w:szCs w:val="22"/>
              </w:rPr>
            </w:pPr>
            <w:r w:rsidRPr="00C0597B">
              <w:rPr>
                <w:sz w:val="22"/>
                <w:szCs w:val="22"/>
                <w:u w:val="single"/>
              </w:rPr>
              <w:t>ILI</w:t>
            </w:r>
            <w:r w:rsidRPr="00C0597B">
              <w:rPr>
                <w:sz w:val="22"/>
                <w:szCs w:val="22"/>
              </w:rPr>
              <w:t xml:space="preserve"> </w:t>
            </w:r>
          </w:p>
          <w:p w14:paraId="4DE9921C" w14:textId="77777777" w:rsidR="00C60037" w:rsidRPr="003C7D36" w:rsidRDefault="00C60037" w:rsidP="00D77E03">
            <w:pPr>
              <w:pStyle w:val="Paragraph"/>
              <w:keepNext/>
              <w:widowControl w:val="0"/>
              <w:spacing w:after="0"/>
              <w:ind w:left="180" w:hanging="180"/>
              <w:jc w:val="both"/>
              <w:rPr>
                <w:sz w:val="22"/>
                <w:szCs w:val="22"/>
              </w:rPr>
            </w:pPr>
          </w:p>
          <w:p w14:paraId="149724ED" w14:textId="77777777" w:rsidR="00C60037" w:rsidRPr="003C7D36" w:rsidRDefault="00C60037" w:rsidP="00D77E03">
            <w:pPr>
              <w:pStyle w:val="Paragraph"/>
              <w:keepNext/>
              <w:widowControl w:val="0"/>
              <w:spacing w:after="0"/>
              <w:ind w:left="180" w:hanging="180"/>
              <w:jc w:val="both"/>
              <w:rPr>
                <w:kern w:val="32"/>
                <w:sz w:val="22"/>
                <w:szCs w:val="22"/>
              </w:rPr>
            </w:pPr>
            <w:r w:rsidRPr="00C0597B">
              <w:rPr>
                <w:sz w:val="22"/>
                <w:szCs w:val="22"/>
              </w:rPr>
              <w:t>Gradus 4: Opasno po život / Indikovana hitna intervencija</w:t>
            </w:r>
          </w:p>
        </w:tc>
        <w:tc>
          <w:tcPr>
            <w:tcW w:w="4893" w:type="dxa"/>
            <w:shd w:val="clear" w:color="auto" w:fill="auto"/>
            <w:vAlign w:val="center"/>
          </w:tcPr>
          <w:p w14:paraId="05704908" w14:textId="77777777" w:rsidR="00C60037" w:rsidRPr="003C7D36" w:rsidRDefault="00C60037" w:rsidP="00D77E03">
            <w:pPr>
              <w:pStyle w:val="Paragraph"/>
              <w:keepNext/>
              <w:tabs>
                <w:tab w:val="left" w:pos="4247"/>
              </w:tabs>
              <w:overflowPunct w:val="0"/>
              <w:autoSpaceDE w:val="0"/>
              <w:autoSpaceDN w:val="0"/>
              <w:adjustRightInd w:val="0"/>
              <w:spacing w:after="0"/>
              <w:jc w:val="both"/>
              <w:textAlignment w:val="baseline"/>
              <w:rPr>
                <w:kern w:val="32"/>
                <w:sz w:val="22"/>
                <w:szCs w:val="22"/>
              </w:rPr>
            </w:pPr>
            <w:r w:rsidRPr="00C0597B">
              <w:rPr>
                <w:sz w:val="22"/>
                <w:szCs w:val="22"/>
              </w:rPr>
              <w:t>Prekinite primjenu lorlatiniba dok se lipaza ili amilaza ne vrate na početne vrijednosti. Potom ponovo uvedite lorlatinib u dozi smanjenoj za 1 nivo.</w:t>
            </w:r>
          </w:p>
        </w:tc>
      </w:tr>
      <w:tr w:rsidR="00DC4667" w:rsidRPr="003C7D36" w14:paraId="6A6FE693" w14:textId="77777777" w:rsidTr="00C60037">
        <w:tc>
          <w:tcPr>
            <w:tcW w:w="9288" w:type="dxa"/>
            <w:gridSpan w:val="2"/>
            <w:shd w:val="clear" w:color="auto" w:fill="auto"/>
            <w:vAlign w:val="center"/>
          </w:tcPr>
          <w:p w14:paraId="1F1E5A03" w14:textId="20D3A5F2" w:rsidR="00C60037" w:rsidRPr="003C7D36" w:rsidRDefault="00C60037" w:rsidP="00D77E03">
            <w:pPr>
              <w:pStyle w:val="Paragraph"/>
              <w:tabs>
                <w:tab w:val="left" w:pos="4247"/>
              </w:tabs>
              <w:overflowPunct w:val="0"/>
              <w:autoSpaceDE w:val="0"/>
              <w:autoSpaceDN w:val="0"/>
              <w:adjustRightInd w:val="0"/>
              <w:spacing w:after="0"/>
              <w:jc w:val="both"/>
              <w:textAlignment w:val="baseline"/>
              <w:rPr>
                <w:kern w:val="32"/>
                <w:sz w:val="22"/>
                <w:szCs w:val="22"/>
              </w:rPr>
            </w:pPr>
            <w:r w:rsidRPr="00C0597B">
              <w:rPr>
                <w:b/>
                <w:sz w:val="22"/>
                <w:szCs w:val="22"/>
              </w:rPr>
              <w:t>Intersticijalna bolest pluća (</w:t>
            </w:r>
            <w:r w:rsidR="00030F01" w:rsidRPr="00C0597B">
              <w:rPr>
                <w:b/>
                <w:kern w:val="32"/>
                <w:sz w:val="22"/>
                <w:szCs w:val="22"/>
              </w:rPr>
              <w:t xml:space="preserve">engl. </w:t>
            </w:r>
            <w:r w:rsidR="00030F01" w:rsidRPr="00C0597B">
              <w:rPr>
                <w:b/>
                <w:i/>
                <w:iCs/>
                <w:kern w:val="32"/>
                <w:sz w:val="22"/>
                <w:szCs w:val="22"/>
              </w:rPr>
              <w:t>interstitial lung disease</w:t>
            </w:r>
            <w:r w:rsidR="00030F01" w:rsidRPr="00822B86">
              <w:rPr>
                <w:b/>
                <w:kern w:val="32"/>
                <w:sz w:val="22"/>
                <w:szCs w:val="22"/>
              </w:rPr>
              <w:t xml:space="preserve"> – </w:t>
            </w:r>
            <w:r w:rsidRPr="00822B86">
              <w:rPr>
                <w:b/>
                <w:sz w:val="22"/>
                <w:szCs w:val="22"/>
              </w:rPr>
              <w:t xml:space="preserve">ILD) / Pneumonitis </w:t>
            </w:r>
          </w:p>
        </w:tc>
      </w:tr>
      <w:tr w:rsidR="00DC4667" w:rsidRPr="003C7D36" w14:paraId="706E766F" w14:textId="77777777" w:rsidTr="000D1360">
        <w:tc>
          <w:tcPr>
            <w:tcW w:w="4395" w:type="dxa"/>
            <w:shd w:val="clear" w:color="auto" w:fill="auto"/>
            <w:vAlign w:val="center"/>
          </w:tcPr>
          <w:p w14:paraId="61ED8C29" w14:textId="77777777" w:rsidR="00C60037" w:rsidRPr="003C7D36" w:rsidRDefault="00C60037" w:rsidP="00D77E03">
            <w:pPr>
              <w:pStyle w:val="Paragraph"/>
              <w:widowControl w:val="0"/>
              <w:spacing w:after="0"/>
              <w:ind w:left="180" w:hanging="180"/>
              <w:jc w:val="both"/>
              <w:rPr>
                <w:kern w:val="32"/>
                <w:sz w:val="22"/>
                <w:szCs w:val="22"/>
              </w:rPr>
            </w:pPr>
            <w:r w:rsidRPr="00C0597B">
              <w:rPr>
                <w:sz w:val="22"/>
                <w:szCs w:val="22"/>
              </w:rPr>
              <w:t>Gradus 1: Blagi</w:t>
            </w:r>
          </w:p>
          <w:p w14:paraId="7126FD46" w14:textId="77777777" w:rsidR="00C60037" w:rsidRPr="003C7D36" w:rsidRDefault="00C60037" w:rsidP="00D77E03">
            <w:pPr>
              <w:pStyle w:val="Paragraph"/>
              <w:widowControl w:val="0"/>
              <w:spacing w:after="0"/>
              <w:ind w:left="180" w:hanging="180"/>
              <w:jc w:val="both"/>
              <w:rPr>
                <w:kern w:val="32"/>
                <w:sz w:val="22"/>
                <w:szCs w:val="22"/>
              </w:rPr>
            </w:pPr>
          </w:p>
          <w:p w14:paraId="7FCF5459" w14:textId="77777777" w:rsidR="00C60037" w:rsidRPr="003C7D36" w:rsidRDefault="00C60037" w:rsidP="00D77E03">
            <w:pPr>
              <w:pStyle w:val="Paragraph"/>
              <w:widowControl w:val="0"/>
              <w:spacing w:after="0"/>
              <w:ind w:left="180" w:hanging="180"/>
              <w:jc w:val="both"/>
              <w:rPr>
                <w:kern w:val="32"/>
                <w:sz w:val="22"/>
                <w:szCs w:val="22"/>
                <w:u w:val="single"/>
              </w:rPr>
            </w:pPr>
            <w:r w:rsidRPr="00C0597B">
              <w:rPr>
                <w:sz w:val="22"/>
                <w:szCs w:val="22"/>
                <w:u w:val="single"/>
              </w:rPr>
              <w:t xml:space="preserve">ILI </w:t>
            </w:r>
          </w:p>
          <w:p w14:paraId="4FE3C627" w14:textId="77777777" w:rsidR="00C60037" w:rsidRPr="003C7D36" w:rsidRDefault="00C60037" w:rsidP="00D77E03">
            <w:pPr>
              <w:pStyle w:val="Paragraph"/>
              <w:widowControl w:val="0"/>
              <w:spacing w:after="0"/>
              <w:ind w:left="180" w:hanging="180"/>
              <w:jc w:val="both"/>
              <w:rPr>
                <w:kern w:val="32"/>
                <w:sz w:val="22"/>
                <w:szCs w:val="22"/>
              </w:rPr>
            </w:pPr>
          </w:p>
          <w:p w14:paraId="7035AEB1" w14:textId="77777777" w:rsidR="00C60037" w:rsidRPr="003C7D36" w:rsidRDefault="00C60037" w:rsidP="00D77E03">
            <w:pPr>
              <w:pStyle w:val="Paragraph"/>
              <w:widowControl w:val="0"/>
              <w:spacing w:after="0"/>
              <w:ind w:left="180" w:hanging="180"/>
              <w:jc w:val="both"/>
              <w:rPr>
                <w:kern w:val="32"/>
                <w:sz w:val="22"/>
                <w:szCs w:val="22"/>
              </w:rPr>
            </w:pPr>
            <w:r w:rsidRPr="00C0597B">
              <w:rPr>
                <w:sz w:val="22"/>
                <w:szCs w:val="22"/>
              </w:rPr>
              <w:t>Gradus 2: Umjereni</w:t>
            </w:r>
          </w:p>
        </w:tc>
        <w:tc>
          <w:tcPr>
            <w:tcW w:w="4893" w:type="dxa"/>
            <w:shd w:val="clear" w:color="auto" w:fill="auto"/>
            <w:vAlign w:val="center"/>
          </w:tcPr>
          <w:p w14:paraId="567BA50D" w14:textId="77777777" w:rsidR="00C60037" w:rsidRPr="003C7D36" w:rsidRDefault="00C60037" w:rsidP="00D77E03">
            <w:pPr>
              <w:pStyle w:val="Paragraph"/>
              <w:keepNext/>
              <w:tabs>
                <w:tab w:val="left" w:pos="4247"/>
              </w:tabs>
              <w:overflowPunct w:val="0"/>
              <w:autoSpaceDE w:val="0"/>
              <w:autoSpaceDN w:val="0"/>
              <w:adjustRightInd w:val="0"/>
              <w:spacing w:after="0"/>
              <w:jc w:val="both"/>
              <w:textAlignment w:val="baseline"/>
              <w:rPr>
                <w:kern w:val="32"/>
                <w:sz w:val="22"/>
                <w:szCs w:val="22"/>
              </w:rPr>
            </w:pPr>
            <w:r w:rsidRPr="00C0597B">
              <w:rPr>
                <w:sz w:val="22"/>
                <w:szCs w:val="22"/>
              </w:rPr>
              <w:t>Prekinite primjenu lorlatiniba dok se simptomi ne vrate na početne vrijednosti i razmotrite uvođenje kortikosteroida. Ponovo uvedite lorlatinib u dozi smanjenoj za 1 nivo.</w:t>
            </w:r>
          </w:p>
          <w:p w14:paraId="6077BB2A" w14:textId="77777777" w:rsidR="00C60037" w:rsidRPr="003C7D36" w:rsidRDefault="00C60037" w:rsidP="00D77E03">
            <w:pPr>
              <w:pStyle w:val="Paragraph"/>
              <w:keepNext/>
              <w:tabs>
                <w:tab w:val="left" w:pos="4247"/>
              </w:tabs>
              <w:overflowPunct w:val="0"/>
              <w:autoSpaceDE w:val="0"/>
              <w:autoSpaceDN w:val="0"/>
              <w:adjustRightInd w:val="0"/>
              <w:spacing w:after="0"/>
              <w:jc w:val="both"/>
              <w:textAlignment w:val="baseline"/>
              <w:rPr>
                <w:kern w:val="32"/>
                <w:sz w:val="22"/>
                <w:szCs w:val="22"/>
              </w:rPr>
            </w:pPr>
          </w:p>
          <w:p w14:paraId="6C54131F" w14:textId="38F24F9F" w:rsidR="00C60037" w:rsidRPr="003C7D36" w:rsidRDefault="00C60037" w:rsidP="00D77E03">
            <w:pPr>
              <w:pStyle w:val="Paragraph"/>
              <w:tabs>
                <w:tab w:val="left" w:pos="4247"/>
              </w:tabs>
              <w:overflowPunct w:val="0"/>
              <w:autoSpaceDE w:val="0"/>
              <w:autoSpaceDN w:val="0"/>
              <w:adjustRightInd w:val="0"/>
              <w:spacing w:after="0"/>
              <w:jc w:val="both"/>
              <w:textAlignment w:val="baseline"/>
              <w:rPr>
                <w:kern w:val="32"/>
                <w:sz w:val="22"/>
                <w:szCs w:val="22"/>
              </w:rPr>
            </w:pPr>
            <w:r w:rsidRPr="00C0597B">
              <w:rPr>
                <w:sz w:val="22"/>
                <w:szCs w:val="22"/>
              </w:rPr>
              <w:t xml:space="preserve">Trajno prekinite primjenu lorlatiniba ako se </w:t>
            </w:r>
            <w:r w:rsidR="003E047A" w:rsidRPr="00822B86">
              <w:rPr>
                <w:sz w:val="22"/>
                <w:szCs w:val="22"/>
              </w:rPr>
              <w:t>intersticijalna bolest pluća</w:t>
            </w:r>
            <w:r w:rsidRPr="00822B86">
              <w:rPr>
                <w:sz w:val="22"/>
                <w:szCs w:val="22"/>
              </w:rPr>
              <w:t>/pneumonitis ponovo javi ili ne dođe do oporavka nakon 6 sedmica od prekida primjene lorlatiniba i terapije kortikosteroidima.</w:t>
            </w:r>
          </w:p>
        </w:tc>
      </w:tr>
      <w:tr w:rsidR="00DC4667" w:rsidRPr="003C7D36" w14:paraId="0A54D7D7" w14:textId="77777777" w:rsidTr="000D1360">
        <w:tc>
          <w:tcPr>
            <w:tcW w:w="4395" w:type="dxa"/>
            <w:shd w:val="clear" w:color="auto" w:fill="auto"/>
            <w:vAlign w:val="center"/>
          </w:tcPr>
          <w:p w14:paraId="58C268FF" w14:textId="77777777" w:rsidR="00F944DF" w:rsidRPr="003C7D36" w:rsidRDefault="00C60037" w:rsidP="00D77E03">
            <w:pPr>
              <w:pStyle w:val="Paragraph"/>
              <w:widowControl w:val="0"/>
              <w:spacing w:after="0"/>
              <w:ind w:left="180" w:hanging="180"/>
              <w:jc w:val="both"/>
              <w:rPr>
                <w:kern w:val="32"/>
                <w:sz w:val="22"/>
                <w:szCs w:val="22"/>
              </w:rPr>
            </w:pPr>
            <w:r w:rsidRPr="00C0597B">
              <w:rPr>
                <w:sz w:val="22"/>
                <w:szCs w:val="22"/>
              </w:rPr>
              <w:t xml:space="preserve">Gradus 3: Teški </w:t>
            </w:r>
          </w:p>
          <w:p w14:paraId="3542F566" w14:textId="77777777" w:rsidR="00F944DF" w:rsidRPr="003C7D36" w:rsidRDefault="00F944DF" w:rsidP="00D77E03">
            <w:pPr>
              <w:pStyle w:val="Paragraph"/>
              <w:widowControl w:val="0"/>
              <w:spacing w:after="0"/>
              <w:ind w:left="180" w:hanging="180"/>
              <w:jc w:val="both"/>
              <w:rPr>
                <w:kern w:val="32"/>
                <w:sz w:val="22"/>
                <w:szCs w:val="22"/>
              </w:rPr>
            </w:pPr>
          </w:p>
          <w:p w14:paraId="64CD2012" w14:textId="77777777" w:rsidR="00F944DF" w:rsidRPr="003C7D36" w:rsidRDefault="00F944DF" w:rsidP="00D77E03">
            <w:pPr>
              <w:pStyle w:val="Paragraph"/>
              <w:widowControl w:val="0"/>
              <w:spacing w:after="0"/>
              <w:ind w:left="180" w:hanging="180"/>
              <w:jc w:val="both"/>
              <w:rPr>
                <w:kern w:val="32"/>
                <w:sz w:val="22"/>
                <w:szCs w:val="22"/>
                <w:u w:val="single"/>
              </w:rPr>
            </w:pPr>
            <w:r w:rsidRPr="00C0597B">
              <w:rPr>
                <w:sz w:val="22"/>
                <w:szCs w:val="22"/>
                <w:u w:val="single"/>
              </w:rPr>
              <w:t>ILI</w:t>
            </w:r>
          </w:p>
          <w:p w14:paraId="2C544076" w14:textId="77777777" w:rsidR="00F944DF" w:rsidRPr="003C7D36" w:rsidRDefault="00F944DF" w:rsidP="00D77E03">
            <w:pPr>
              <w:pStyle w:val="Paragraph"/>
              <w:widowControl w:val="0"/>
              <w:spacing w:after="0"/>
              <w:ind w:left="180" w:hanging="180"/>
              <w:jc w:val="both"/>
              <w:rPr>
                <w:kern w:val="32"/>
                <w:sz w:val="22"/>
                <w:szCs w:val="22"/>
              </w:rPr>
            </w:pPr>
          </w:p>
          <w:p w14:paraId="3739B440" w14:textId="77777777" w:rsidR="00C60037" w:rsidRPr="003C7D36" w:rsidRDefault="00F944DF" w:rsidP="00D77E03">
            <w:pPr>
              <w:pStyle w:val="Paragraph"/>
              <w:widowControl w:val="0"/>
              <w:spacing w:after="0"/>
              <w:ind w:left="180" w:hanging="180"/>
              <w:jc w:val="both"/>
              <w:rPr>
                <w:kern w:val="32"/>
                <w:sz w:val="22"/>
                <w:szCs w:val="22"/>
              </w:rPr>
            </w:pPr>
            <w:r w:rsidRPr="00C0597B">
              <w:rPr>
                <w:sz w:val="22"/>
                <w:szCs w:val="22"/>
              </w:rPr>
              <w:t>Gradus 4: Opasno po život / Indikovana hitna intervencija</w:t>
            </w:r>
          </w:p>
        </w:tc>
        <w:tc>
          <w:tcPr>
            <w:tcW w:w="4893" w:type="dxa"/>
            <w:shd w:val="clear" w:color="auto" w:fill="auto"/>
            <w:vAlign w:val="center"/>
          </w:tcPr>
          <w:p w14:paraId="3BC4DCBB" w14:textId="77777777" w:rsidR="00C60037" w:rsidRPr="003C7D36" w:rsidRDefault="00C60037" w:rsidP="00D77E03">
            <w:pPr>
              <w:pStyle w:val="Paragraph"/>
              <w:tabs>
                <w:tab w:val="left" w:pos="4247"/>
              </w:tabs>
              <w:overflowPunct w:val="0"/>
              <w:autoSpaceDE w:val="0"/>
              <w:autoSpaceDN w:val="0"/>
              <w:adjustRightInd w:val="0"/>
              <w:spacing w:after="0"/>
              <w:jc w:val="both"/>
              <w:textAlignment w:val="baseline"/>
              <w:rPr>
                <w:kern w:val="32"/>
                <w:sz w:val="22"/>
                <w:szCs w:val="22"/>
              </w:rPr>
            </w:pPr>
            <w:r w:rsidRPr="00C0597B">
              <w:rPr>
                <w:sz w:val="22"/>
                <w:szCs w:val="22"/>
              </w:rPr>
              <w:t>Trajno prekinite primjenu lorlatiniba.</w:t>
            </w:r>
          </w:p>
        </w:tc>
      </w:tr>
      <w:tr w:rsidR="00DC4667" w:rsidRPr="003C7D36" w14:paraId="4DDC51BB" w14:textId="77777777" w:rsidTr="00C60037">
        <w:tc>
          <w:tcPr>
            <w:tcW w:w="9288" w:type="dxa"/>
            <w:gridSpan w:val="2"/>
            <w:shd w:val="clear" w:color="auto" w:fill="auto"/>
            <w:vAlign w:val="center"/>
          </w:tcPr>
          <w:p w14:paraId="73E907C7" w14:textId="65FD5825" w:rsidR="00C60037" w:rsidRPr="003C7D36" w:rsidRDefault="00C60037" w:rsidP="00D77E03">
            <w:pPr>
              <w:pStyle w:val="Paragraph"/>
              <w:tabs>
                <w:tab w:val="left" w:pos="4247"/>
              </w:tabs>
              <w:overflowPunct w:val="0"/>
              <w:autoSpaceDE w:val="0"/>
              <w:autoSpaceDN w:val="0"/>
              <w:adjustRightInd w:val="0"/>
              <w:spacing w:after="0"/>
              <w:jc w:val="both"/>
              <w:textAlignment w:val="baseline"/>
              <w:rPr>
                <w:b/>
                <w:kern w:val="32"/>
                <w:sz w:val="22"/>
                <w:szCs w:val="22"/>
              </w:rPr>
            </w:pPr>
            <w:r w:rsidRPr="00C0597B">
              <w:rPr>
                <w:b/>
                <w:sz w:val="22"/>
                <w:szCs w:val="22"/>
              </w:rPr>
              <w:t>Produženje PR</w:t>
            </w:r>
            <w:r w:rsidR="00FB0014" w:rsidRPr="0031203A">
              <w:rPr>
                <w:sz w:val="22"/>
                <w:szCs w:val="22"/>
              </w:rPr>
              <w:t> </w:t>
            </w:r>
            <w:r w:rsidRPr="00C0597B">
              <w:rPr>
                <w:b/>
                <w:sz w:val="22"/>
                <w:szCs w:val="22"/>
              </w:rPr>
              <w:t>intervala / Atrioventrikularni (AV) blok</w:t>
            </w:r>
          </w:p>
        </w:tc>
      </w:tr>
      <w:tr w:rsidR="00DC4667" w:rsidRPr="003C7D36" w14:paraId="282F47DB" w14:textId="77777777" w:rsidTr="000D1360">
        <w:trPr>
          <w:trHeight w:val="1484"/>
        </w:trPr>
        <w:tc>
          <w:tcPr>
            <w:tcW w:w="4395" w:type="dxa"/>
            <w:shd w:val="clear" w:color="auto" w:fill="auto"/>
            <w:vAlign w:val="center"/>
          </w:tcPr>
          <w:p w14:paraId="18385744" w14:textId="77777777" w:rsidR="00C60037" w:rsidRPr="003C7D36" w:rsidRDefault="00C60037" w:rsidP="00D77E03">
            <w:pPr>
              <w:pStyle w:val="Paragraph"/>
              <w:widowControl w:val="0"/>
              <w:spacing w:after="0"/>
              <w:ind w:left="180" w:hanging="180"/>
              <w:jc w:val="both"/>
              <w:rPr>
                <w:kern w:val="32"/>
                <w:sz w:val="22"/>
                <w:szCs w:val="22"/>
              </w:rPr>
            </w:pPr>
            <w:r w:rsidRPr="00C0597B">
              <w:rPr>
                <w:sz w:val="22"/>
                <w:szCs w:val="22"/>
              </w:rPr>
              <w:t>AV blok prvog stepena:</w:t>
            </w:r>
          </w:p>
          <w:p w14:paraId="4478877F" w14:textId="77777777" w:rsidR="00C60037" w:rsidRPr="003C7D36" w:rsidRDefault="00C60037" w:rsidP="00D77E03">
            <w:pPr>
              <w:pStyle w:val="Paragraph"/>
              <w:widowControl w:val="0"/>
              <w:spacing w:after="0"/>
              <w:ind w:left="360"/>
              <w:jc w:val="both"/>
              <w:rPr>
                <w:kern w:val="32"/>
                <w:sz w:val="22"/>
                <w:szCs w:val="22"/>
              </w:rPr>
            </w:pPr>
            <w:r w:rsidRPr="00C0597B">
              <w:rPr>
                <w:sz w:val="22"/>
                <w:szCs w:val="22"/>
              </w:rPr>
              <w:t xml:space="preserve">Asimptomatski </w:t>
            </w:r>
          </w:p>
        </w:tc>
        <w:tc>
          <w:tcPr>
            <w:tcW w:w="4893" w:type="dxa"/>
            <w:shd w:val="clear" w:color="auto" w:fill="auto"/>
            <w:vAlign w:val="center"/>
          </w:tcPr>
          <w:p w14:paraId="5EF2EB07" w14:textId="432B6B71" w:rsidR="00C60037" w:rsidRPr="003C7D36" w:rsidRDefault="00C60037" w:rsidP="00D77E03">
            <w:pPr>
              <w:pStyle w:val="Paragraph"/>
              <w:tabs>
                <w:tab w:val="left" w:pos="4247"/>
              </w:tabs>
              <w:overflowPunct w:val="0"/>
              <w:autoSpaceDE w:val="0"/>
              <w:autoSpaceDN w:val="0"/>
              <w:adjustRightInd w:val="0"/>
              <w:spacing w:after="0"/>
              <w:jc w:val="both"/>
              <w:textAlignment w:val="baseline"/>
              <w:rPr>
                <w:b/>
                <w:kern w:val="32"/>
                <w:sz w:val="22"/>
                <w:szCs w:val="22"/>
              </w:rPr>
            </w:pPr>
            <w:r w:rsidRPr="00C0597B">
              <w:rPr>
                <w:sz w:val="22"/>
                <w:szCs w:val="22"/>
              </w:rPr>
              <w:t>Nastavite sa primjenom iste doze lorlatiniba bez prekida. Razmotrite dejstva konkomitantnih ljekova, procijenite i korigujte elektrolitni disbalans koji može dovesti do produženja PR</w:t>
            </w:r>
            <w:r w:rsidR="00FB0014" w:rsidRPr="0031203A">
              <w:rPr>
                <w:sz w:val="22"/>
                <w:szCs w:val="22"/>
              </w:rPr>
              <w:t> </w:t>
            </w:r>
            <w:r w:rsidRPr="00C0597B">
              <w:rPr>
                <w:sz w:val="22"/>
                <w:szCs w:val="22"/>
              </w:rPr>
              <w:t xml:space="preserve">intervala. Pažljivo pratite EKG/simptome potencijalno povezane s AV blokom. </w:t>
            </w:r>
          </w:p>
        </w:tc>
      </w:tr>
      <w:tr w:rsidR="00DC4667" w:rsidRPr="003C7D36" w14:paraId="5BD224E2" w14:textId="77777777" w:rsidTr="000D1360">
        <w:trPr>
          <w:trHeight w:val="1421"/>
        </w:trPr>
        <w:tc>
          <w:tcPr>
            <w:tcW w:w="4395" w:type="dxa"/>
            <w:shd w:val="clear" w:color="auto" w:fill="auto"/>
            <w:vAlign w:val="center"/>
          </w:tcPr>
          <w:p w14:paraId="38E46E02" w14:textId="77777777" w:rsidR="00210ABD" w:rsidRPr="003C7D36" w:rsidRDefault="00210ABD" w:rsidP="00D77E03">
            <w:pPr>
              <w:pStyle w:val="Paragraph"/>
              <w:widowControl w:val="0"/>
              <w:spacing w:after="0"/>
              <w:ind w:left="180" w:hanging="180"/>
              <w:jc w:val="both"/>
              <w:rPr>
                <w:kern w:val="32"/>
                <w:sz w:val="22"/>
                <w:szCs w:val="22"/>
              </w:rPr>
            </w:pPr>
            <w:r w:rsidRPr="00C0597B">
              <w:rPr>
                <w:sz w:val="22"/>
                <w:szCs w:val="22"/>
              </w:rPr>
              <w:t>AV blok prvog stepena:</w:t>
            </w:r>
          </w:p>
          <w:p w14:paraId="2E5D0736" w14:textId="77777777" w:rsidR="00210ABD" w:rsidRPr="003C7D36" w:rsidRDefault="00210ABD" w:rsidP="00D77E03">
            <w:pPr>
              <w:pStyle w:val="Paragraph"/>
              <w:widowControl w:val="0"/>
              <w:spacing w:after="0"/>
              <w:ind w:firstLine="360"/>
              <w:jc w:val="both"/>
              <w:rPr>
                <w:kern w:val="32"/>
                <w:sz w:val="22"/>
                <w:szCs w:val="22"/>
              </w:rPr>
            </w:pPr>
            <w:r w:rsidRPr="00C0597B">
              <w:rPr>
                <w:sz w:val="22"/>
                <w:szCs w:val="22"/>
              </w:rPr>
              <w:t xml:space="preserve">Simptomatski </w:t>
            </w:r>
          </w:p>
        </w:tc>
        <w:tc>
          <w:tcPr>
            <w:tcW w:w="4893" w:type="dxa"/>
            <w:shd w:val="clear" w:color="auto" w:fill="auto"/>
            <w:vAlign w:val="center"/>
          </w:tcPr>
          <w:p w14:paraId="41EA7D35" w14:textId="73C5AC62" w:rsidR="00210ABD" w:rsidRPr="003C7D36" w:rsidRDefault="00210ABD" w:rsidP="00D77E03">
            <w:pPr>
              <w:pStyle w:val="Paragraph"/>
              <w:tabs>
                <w:tab w:val="left" w:pos="4247"/>
              </w:tabs>
              <w:overflowPunct w:val="0"/>
              <w:autoSpaceDE w:val="0"/>
              <w:autoSpaceDN w:val="0"/>
              <w:adjustRightInd w:val="0"/>
              <w:spacing w:after="0"/>
              <w:jc w:val="both"/>
              <w:textAlignment w:val="baseline"/>
              <w:rPr>
                <w:sz w:val="22"/>
                <w:szCs w:val="22"/>
              </w:rPr>
            </w:pPr>
            <w:r w:rsidRPr="00C0597B">
              <w:rPr>
                <w:sz w:val="22"/>
                <w:szCs w:val="22"/>
              </w:rPr>
              <w:t>Prekinite primjenu lorlatiniba. Razmotrite dejstva konkomitantnih ljekova, procijenite i korigujte elektrolitni disbalans koji može dovesti do produženja PR intervala. Pažljivo pratite EKG/simptome potencijalno povezane s AV</w:t>
            </w:r>
            <w:r w:rsidR="00FB0014" w:rsidRPr="0031203A">
              <w:rPr>
                <w:sz w:val="22"/>
                <w:szCs w:val="22"/>
              </w:rPr>
              <w:t> </w:t>
            </w:r>
            <w:r w:rsidRPr="00C0597B">
              <w:rPr>
                <w:sz w:val="22"/>
                <w:szCs w:val="22"/>
              </w:rPr>
              <w:t>blokom. Ako se simptomi povuku, ponovo uvedite lorlatinib u dozi smanjenoj za 1 nivo.</w:t>
            </w:r>
          </w:p>
        </w:tc>
      </w:tr>
      <w:tr w:rsidR="00DC4667" w:rsidRPr="003C7D36" w14:paraId="375BB663" w14:textId="77777777" w:rsidTr="000D1360">
        <w:tc>
          <w:tcPr>
            <w:tcW w:w="4395" w:type="dxa"/>
            <w:shd w:val="clear" w:color="auto" w:fill="auto"/>
            <w:vAlign w:val="center"/>
          </w:tcPr>
          <w:p w14:paraId="27DDC8A5" w14:textId="77777777" w:rsidR="00C60037" w:rsidRPr="003C7D36" w:rsidRDefault="00C60037" w:rsidP="00D77E03">
            <w:pPr>
              <w:pStyle w:val="Paragraph"/>
              <w:widowControl w:val="0"/>
              <w:spacing w:after="0"/>
              <w:ind w:left="180" w:hanging="180"/>
              <w:jc w:val="both"/>
              <w:rPr>
                <w:kern w:val="32"/>
                <w:sz w:val="22"/>
                <w:szCs w:val="22"/>
              </w:rPr>
            </w:pPr>
            <w:r w:rsidRPr="00C0597B">
              <w:rPr>
                <w:sz w:val="22"/>
                <w:szCs w:val="22"/>
              </w:rPr>
              <w:t>AV blok drugog stepena</w:t>
            </w:r>
          </w:p>
          <w:p w14:paraId="026733EB" w14:textId="77777777" w:rsidR="00C60037" w:rsidRPr="003C7D36" w:rsidRDefault="00C60037" w:rsidP="00D77E03">
            <w:pPr>
              <w:pStyle w:val="Paragraph"/>
              <w:widowControl w:val="0"/>
              <w:spacing w:after="0"/>
              <w:ind w:left="180" w:firstLine="180"/>
              <w:jc w:val="both"/>
              <w:rPr>
                <w:kern w:val="32"/>
                <w:sz w:val="22"/>
                <w:szCs w:val="22"/>
              </w:rPr>
            </w:pPr>
            <w:r w:rsidRPr="00C0597B">
              <w:rPr>
                <w:sz w:val="22"/>
                <w:szCs w:val="22"/>
              </w:rPr>
              <w:t xml:space="preserve">Asimptomatski </w:t>
            </w:r>
          </w:p>
        </w:tc>
        <w:tc>
          <w:tcPr>
            <w:tcW w:w="4893" w:type="dxa"/>
            <w:shd w:val="clear" w:color="auto" w:fill="auto"/>
          </w:tcPr>
          <w:p w14:paraId="4C3F66E8" w14:textId="5B082EF6" w:rsidR="00C60037" w:rsidRPr="003C7D36" w:rsidRDefault="00C60037" w:rsidP="00D77E03">
            <w:pPr>
              <w:pStyle w:val="Paragraph"/>
              <w:tabs>
                <w:tab w:val="left" w:pos="4247"/>
              </w:tabs>
              <w:overflowPunct w:val="0"/>
              <w:autoSpaceDE w:val="0"/>
              <w:autoSpaceDN w:val="0"/>
              <w:adjustRightInd w:val="0"/>
              <w:spacing w:after="0"/>
              <w:jc w:val="both"/>
              <w:textAlignment w:val="baseline"/>
              <w:rPr>
                <w:kern w:val="32"/>
                <w:sz w:val="22"/>
                <w:szCs w:val="22"/>
              </w:rPr>
            </w:pPr>
            <w:r w:rsidRPr="00C0597B">
              <w:rPr>
                <w:sz w:val="22"/>
                <w:szCs w:val="22"/>
              </w:rPr>
              <w:t>Prekinite primjenu lorlatiniba. Razmotrite dejstva konkomitantnih ljekova, procijenite i korigujte elektrolitni disbalans koji može dovesti do produženja PR</w:t>
            </w:r>
            <w:r w:rsidR="00FB0014" w:rsidRPr="0031203A">
              <w:rPr>
                <w:sz w:val="22"/>
                <w:szCs w:val="22"/>
              </w:rPr>
              <w:t> </w:t>
            </w:r>
            <w:r w:rsidRPr="00C0597B">
              <w:rPr>
                <w:sz w:val="22"/>
                <w:szCs w:val="22"/>
              </w:rPr>
              <w:t>intervala. Pažljivo pratite EKG/simptome potencijalno povezane s AV</w:t>
            </w:r>
            <w:r w:rsidR="00FB0014" w:rsidRPr="0031203A">
              <w:rPr>
                <w:sz w:val="22"/>
                <w:szCs w:val="22"/>
              </w:rPr>
              <w:t> </w:t>
            </w:r>
            <w:r w:rsidRPr="00C0597B">
              <w:rPr>
                <w:sz w:val="22"/>
                <w:szCs w:val="22"/>
              </w:rPr>
              <w:t>blokom. Ako u narednim zapisima EKG-a nema AV</w:t>
            </w:r>
            <w:r w:rsidR="00FB0014" w:rsidRPr="0031203A">
              <w:rPr>
                <w:sz w:val="22"/>
                <w:szCs w:val="22"/>
              </w:rPr>
              <w:t> </w:t>
            </w:r>
            <w:r w:rsidRPr="00C0597B">
              <w:rPr>
                <w:sz w:val="22"/>
                <w:szCs w:val="22"/>
              </w:rPr>
              <w:t>bloka drugog stepena, ponovo uvedite lorlatinib u dozi smanjenoj za 1 nivo.</w:t>
            </w:r>
          </w:p>
        </w:tc>
      </w:tr>
      <w:tr w:rsidR="00DC4667" w:rsidRPr="003C7D36" w14:paraId="3063BCCF" w14:textId="77777777" w:rsidTr="000D1360">
        <w:trPr>
          <w:cantSplit/>
        </w:trPr>
        <w:tc>
          <w:tcPr>
            <w:tcW w:w="4395" w:type="dxa"/>
            <w:shd w:val="clear" w:color="auto" w:fill="auto"/>
            <w:vAlign w:val="center"/>
          </w:tcPr>
          <w:p w14:paraId="5470D838" w14:textId="77777777" w:rsidR="00210ABD" w:rsidRPr="003C7D36" w:rsidRDefault="00210ABD" w:rsidP="00D77E03">
            <w:pPr>
              <w:pStyle w:val="Paragraph"/>
              <w:widowControl w:val="0"/>
              <w:spacing w:after="0"/>
              <w:ind w:left="180" w:hanging="180"/>
              <w:jc w:val="both"/>
              <w:rPr>
                <w:kern w:val="32"/>
                <w:sz w:val="22"/>
                <w:szCs w:val="22"/>
              </w:rPr>
            </w:pPr>
            <w:r w:rsidRPr="00C0597B">
              <w:rPr>
                <w:sz w:val="22"/>
                <w:szCs w:val="22"/>
              </w:rPr>
              <w:lastRenderedPageBreak/>
              <w:t>AV blok drugog stepena</w:t>
            </w:r>
          </w:p>
          <w:p w14:paraId="0823B789" w14:textId="77777777" w:rsidR="00210ABD" w:rsidRPr="003C7D36" w:rsidRDefault="00210ABD" w:rsidP="00D77E03">
            <w:pPr>
              <w:pStyle w:val="Paragraph"/>
              <w:widowControl w:val="0"/>
              <w:spacing w:after="0"/>
              <w:ind w:firstLine="360"/>
              <w:jc w:val="both"/>
              <w:rPr>
                <w:kern w:val="32"/>
                <w:sz w:val="22"/>
                <w:szCs w:val="22"/>
              </w:rPr>
            </w:pPr>
            <w:r w:rsidRPr="00C0597B">
              <w:rPr>
                <w:sz w:val="22"/>
                <w:szCs w:val="22"/>
              </w:rPr>
              <w:t xml:space="preserve">Simptomatski </w:t>
            </w:r>
          </w:p>
        </w:tc>
        <w:tc>
          <w:tcPr>
            <w:tcW w:w="4893" w:type="dxa"/>
            <w:shd w:val="clear" w:color="auto" w:fill="auto"/>
          </w:tcPr>
          <w:p w14:paraId="5D44B86B" w14:textId="4A31AECA" w:rsidR="00210ABD" w:rsidRPr="003C7D36" w:rsidRDefault="00210ABD" w:rsidP="00D77E03">
            <w:pPr>
              <w:pStyle w:val="Paragraph"/>
              <w:tabs>
                <w:tab w:val="left" w:pos="4247"/>
              </w:tabs>
              <w:overflowPunct w:val="0"/>
              <w:autoSpaceDE w:val="0"/>
              <w:autoSpaceDN w:val="0"/>
              <w:adjustRightInd w:val="0"/>
              <w:spacing w:after="0"/>
              <w:jc w:val="both"/>
              <w:textAlignment w:val="baseline"/>
              <w:rPr>
                <w:sz w:val="22"/>
                <w:szCs w:val="22"/>
              </w:rPr>
            </w:pPr>
            <w:r w:rsidRPr="00C0597B">
              <w:rPr>
                <w:sz w:val="22"/>
                <w:szCs w:val="22"/>
              </w:rPr>
              <w:t>Prekinite primjenu lorlatiniba. Razmotrite dejstva konkomitantnih ljekova, procijenite i korigujte elektrolitni disbalans koji može dovesti do produženja PR</w:t>
            </w:r>
            <w:r w:rsidR="00FB0014" w:rsidRPr="0031203A">
              <w:rPr>
                <w:sz w:val="22"/>
                <w:szCs w:val="22"/>
              </w:rPr>
              <w:t> </w:t>
            </w:r>
            <w:r w:rsidRPr="00C0597B">
              <w:rPr>
                <w:sz w:val="22"/>
                <w:szCs w:val="22"/>
              </w:rPr>
              <w:t>intervala. Uputite pacijenta na posmatranje i praćenje rada srca. Razmotrite ugradnju pejsmejkera u slučaju da se održava postojanje simptomatskog AV</w:t>
            </w:r>
            <w:r w:rsidR="00FB0014" w:rsidRPr="0031203A">
              <w:rPr>
                <w:sz w:val="22"/>
                <w:szCs w:val="22"/>
              </w:rPr>
              <w:t> </w:t>
            </w:r>
            <w:r w:rsidRPr="00C0597B">
              <w:rPr>
                <w:sz w:val="22"/>
                <w:szCs w:val="22"/>
              </w:rPr>
              <w:t>bloka. Ako se simptomi i AV</w:t>
            </w:r>
            <w:r w:rsidR="00FB0014" w:rsidRPr="0031203A">
              <w:rPr>
                <w:sz w:val="22"/>
                <w:szCs w:val="22"/>
              </w:rPr>
              <w:t> </w:t>
            </w:r>
            <w:r w:rsidRPr="00C0597B">
              <w:rPr>
                <w:sz w:val="22"/>
                <w:szCs w:val="22"/>
              </w:rPr>
              <w:t>blok drugog stepena povuku ili ako se pacijent vrati na asimptomatski AV blok prvog stepena, ponovo uvedite lorlatinib u dozi smanjenoj za 1 nivo.</w:t>
            </w:r>
          </w:p>
        </w:tc>
      </w:tr>
      <w:tr w:rsidR="00DC4667" w:rsidRPr="003C7D36" w14:paraId="3D39657D" w14:textId="77777777" w:rsidTr="0031203A">
        <w:trPr>
          <w:trHeight w:val="3178"/>
        </w:trPr>
        <w:tc>
          <w:tcPr>
            <w:tcW w:w="4395" w:type="dxa"/>
            <w:shd w:val="clear" w:color="auto" w:fill="auto"/>
            <w:vAlign w:val="center"/>
          </w:tcPr>
          <w:p w14:paraId="7D4F262A" w14:textId="77777777" w:rsidR="00C60037" w:rsidRPr="003C7D36" w:rsidRDefault="00C60037" w:rsidP="00D77E03">
            <w:pPr>
              <w:pStyle w:val="Paragraph"/>
              <w:widowControl w:val="0"/>
              <w:spacing w:after="0"/>
              <w:ind w:left="180" w:hanging="180"/>
              <w:jc w:val="both"/>
              <w:rPr>
                <w:kern w:val="32"/>
                <w:sz w:val="22"/>
                <w:szCs w:val="22"/>
              </w:rPr>
            </w:pPr>
            <w:r w:rsidRPr="00C0597B">
              <w:rPr>
                <w:sz w:val="22"/>
                <w:szCs w:val="22"/>
              </w:rPr>
              <w:t>Kompletni AV blok</w:t>
            </w:r>
          </w:p>
        </w:tc>
        <w:tc>
          <w:tcPr>
            <w:tcW w:w="4893" w:type="dxa"/>
            <w:shd w:val="clear" w:color="auto" w:fill="auto"/>
            <w:vAlign w:val="center"/>
          </w:tcPr>
          <w:p w14:paraId="607818B6" w14:textId="39DDF236" w:rsidR="00C60037" w:rsidRPr="003C7D36" w:rsidRDefault="00C60037" w:rsidP="00D77E03">
            <w:pPr>
              <w:pStyle w:val="Paragraph"/>
              <w:tabs>
                <w:tab w:val="left" w:pos="4247"/>
              </w:tabs>
              <w:overflowPunct w:val="0"/>
              <w:autoSpaceDE w:val="0"/>
              <w:autoSpaceDN w:val="0"/>
              <w:adjustRightInd w:val="0"/>
              <w:jc w:val="both"/>
              <w:textAlignment w:val="baseline"/>
              <w:rPr>
                <w:kern w:val="32"/>
                <w:sz w:val="22"/>
                <w:szCs w:val="22"/>
              </w:rPr>
            </w:pPr>
            <w:r w:rsidRPr="00C0597B">
              <w:rPr>
                <w:sz w:val="22"/>
                <w:szCs w:val="22"/>
              </w:rPr>
              <w:t>Prekinite primjenu lorlatiniba. Razmotrite dejstva konkomitantnih ljekova, procijenite i korigujte elektrolitni disbalans koji može dovesti do produženja PR</w:t>
            </w:r>
            <w:r w:rsidR="00FB0014" w:rsidRPr="0031203A">
              <w:rPr>
                <w:sz w:val="22"/>
                <w:szCs w:val="22"/>
              </w:rPr>
              <w:t> </w:t>
            </w:r>
            <w:r w:rsidRPr="00C0597B">
              <w:rPr>
                <w:sz w:val="22"/>
                <w:szCs w:val="22"/>
              </w:rPr>
              <w:t>intervala. Uputite pacijenta na posmatranje i praćenje rada srca. Kada postoje ozbiljni simptomi udruženi sa AV</w:t>
            </w:r>
            <w:r w:rsidR="00FB0014" w:rsidRPr="0031203A">
              <w:rPr>
                <w:sz w:val="22"/>
                <w:szCs w:val="22"/>
              </w:rPr>
              <w:t> </w:t>
            </w:r>
            <w:r w:rsidRPr="00C0597B">
              <w:rPr>
                <w:sz w:val="22"/>
                <w:szCs w:val="22"/>
              </w:rPr>
              <w:t>blokom, može biti indikovano stavljanje pejsmejkera. Ako se AV</w:t>
            </w:r>
            <w:r w:rsidR="00FB0014" w:rsidRPr="0031203A">
              <w:rPr>
                <w:sz w:val="22"/>
                <w:szCs w:val="22"/>
              </w:rPr>
              <w:t> </w:t>
            </w:r>
            <w:r w:rsidRPr="00C0597B">
              <w:rPr>
                <w:sz w:val="22"/>
                <w:szCs w:val="22"/>
              </w:rPr>
              <w:t xml:space="preserve">blok ne povuče, treba razmotriti stavljanje trajnog pejsmejkera. </w:t>
            </w:r>
          </w:p>
          <w:p w14:paraId="7A58D6E7" w14:textId="12A1D2B1" w:rsidR="00C60037" w:rsidRPr="003C7D36" w:rsidRDefault="00C60037" w:rsidP="00D77E03">
            <w:pPr>
              <w:pStyle w:val="Paragraph"/>
              <w:tabs>
                <w:tab w:val="left" w:pos="4247"/>
              </w:tabs>
              <w:overflowPunct w:val="0"/>
              <w:autoSpaceDE w:val="0"/>
              <w:autoSpaceDN w:val="0"/>
              <w:adjustRightInd w:val="0"/>
              <w:spacing w:after="0"/>
              <w:jc w:val="both"/>
              <w:textAlignment w:val="baseline"/>
              <w:rPr>
                <w:kern w:val="32"/>
                <w:sz w:val="22"/>
                <w:szCs w:val="22"/>
              </w:rPr>
            </w:pPr>
            <w:r w:rsidRPr="00C0597B">
              <w:rPr>
                <w:sz w:val="22"/>
                <w:szCs w:val="22"/>
              </w:rPr>
              <w:t>Ako je stavljen pejsmejker, ponovo uvedite lorlatinib u punoj dozi. Ako nije stavljen pejsmejker, ponovo uvedite lorlatinib u dozi smanjenoj za 1 nivo tek kada simptomi nestanu i kada je PR</w:t>
            </w:r>
            <w:r w:rsidR="00FB0014" w:rsidRPr="0031203A">
              <w:rPr>
                <w:sz w:val="22"/>
                <w:szCs w:val="22"/>
              </w:rPr>
              <w:t> </w:t>
            </w:r>
            <w:r w:rsidRPr="00C0597B">
              <w:rPr>
                <w:sz w:val="22"/>
                <w:szCs w:val="22"/>
              </w:rPr>
              <w:t>interval kraći od 200 ms.</w:t>
            </w:r>
          </w:p>
        </w:tc>
      </w:tr>
      <w:tr w:rsidR="00DC4667" w:rsidRPr="003C7D36" w14:paraId="0A04794D" w14:textId="77777777" w:rsidTr="001F4024">
        <w:trPr>
          <w:trHeight w:val="889"/>
        </w:trPr>
        <w:tc>
          <w:tcPr>
            <w:tcW w:w="9288" w:type="dxa"/>
            <w:gridSpan w:val="2"/>
            <w:shd w:val="clear" w:color="auto" w:fill="auto"/>
            <w:vAlign w:val="center"/>
          </w:tcPr>
          <w:p w14:paraId="17F5EC3F" w14:textId="77777777" w:rsidR="000E32D2" w:rsidRPr="00C0597B" w:rsidRDefault="000E32D2" w:rsidP="00D77E03">
            <w:pPr>
              <w:pStyle w:val="Paragraph"/>
              <w:tabs>
                <w:tab w:val="left" w:pos="4247"/>
              </w:tabs>
              <w:overflowPunct w:val="0"/>
              <w:autoSpaceDE w:val="0"/>
              <w:autoSpaceDN w:val="0"/>
              <w:adjustRightInd w:val="0"/>
              <w:jc w:val="both"/>
              <w:textAlignment w:val="baseline"/>
              <w:rPr>
                <w:b/>
                <w:bCs/>
                <w:kern w:val="32"/>
                <w:sz w:val="22"/>
                <w:szCs w:val="22"/>
              </w:rPr>
            </w:pPr>
          </w:p>
          <w:p w14:paraId="32B87474" w14:textId="77777777" w:rsidR="000E32D2" w:rsidRPr="00822B86" w:rsidRDefault="000E32D2" w:rsidP="00D77E03">
            <w:pPr>
              <w:pStyle w:val="Paragraph"/>
              <w:tabs>
                <w:tab w:val="left" w:pos="4247"/>
              </w:tabs>
              <w:overflowPunct w:val="0"/>
              <w:autoSpaceDE w:val="0"/>
              <w:autoSpaceDN w:val="0"/>
              <w:adjustRightInd w:val="0"/>
              <w:jc w:val="both"/>
              <w:textAlignment w:val="baseline"/>
              <w:rPr>
                <w:b/>
                <w:bCs/>
                <w:kern w:val="32"/>
                <w:sz w:val="22"/>
                <w:szCs w:val="22"/>
              </w:rPr>
            </w:pPr>
          </w:p>
          <w:p w14:paraId="7C224BFA" w14:textId="77777777" w:rsidR="000E32D2" w:rsidRPr="00446153" w:rsidRDefault="000E32D2" w:rsidP="00D77E03">
            <w:pPr>
              <w:pStyle w:val="Paragraph"/>
              <w:tabs>
                <w:tab w:val="left" w:pos="4247"/>
              </w:tabs>
              <w:overflowPunct w:val="0"/>
              <w:autoSpaceDE w:val="0"/>
              <w:autoSpaceDN w:val="0"/>
              <w:adjustRightInd w:val="0"/>
              <w:jc w:val="both"/>
              <w:textAlignment w:val="baseline"/>
              <w:rPr>
                <w:b/>
                <w:bCs/>
                <w:kern w:val="32"/>
                <w:sz w:val="22"/>
                <w:szCs w:val="22"/>
              </w:rPr>
            </w:pPr>
          </w:p>
          <w:p w14:paraId="45F60401" w14:textId="695850D8" w:rsidR="00B40742" w:rsidRPr="0093305C" w:rsidRDefault="00B40742" w:rsidP="00D77E03">
            <w:pPr>
              <w:pStyle w:val="Paragraph"/>
              <w:tabs>
                <w:tab w:val="left" w:pos="4247"/>
              </w:tabs>
              <w:overflowPunct w:val="0"/>
              <w:autoSpaceDE w:val="0"/>
              <w:autoSpaceDN w:val="0"/>
              <w:adjustRightInd w:val="0"/>
              <w:jc w:val="both"/>
              <w:textAlignment w:val="baseline"/>
              <w:rPr>
                <w:sz w:val="22"/>
                <w:szCs w:val="22"/>
              </w:rPr>
            </w:pPr>
            <w:r w:rsidRPr="0093305C">
              <w:rPr>
                <w:b/>
                <w:bCs/>
                <w:kern w:val="32"/>
                <w:sz w:val="22"/>
                <w:szCs w:val="22"/>
              </w:rPr>
              <w:t>Hipertenzija</w:t>
            </w:r>
          </w:p>
        </w:tc>
      </w:tr>
      <w:tr w:rsidR="00DC4667" w:rsidRPr="003C7D36" w14:paraId="512FAD17" w14:textId="77777777" w:rsidTr="000D1360">
        <w:trPr>
          <w:trHeight w:val="2793"/>
        </w:trPr>
        <w:tc>
          <w:tcPr>
            <w:tcW w:w="4395" w:type="dxa"/>
            <w:shd w:val="clear" w:color="auto" w:fill="auto"/>
          </w:tcPr>
          <w:p w14:paraId="4B3E14CF" w14:textId="4D89AE00" w:rsidR="00B40742" w:rsidRPr="00446153" w:rsidRDefault="005706FF" w:rsidP="00D77E03">
            <w:pPr>
              <w:pStyle w:val="Paragraph"/>
              <w:widowControl w:val="0"/>
              <w:spacing w:after="0"/>
              <w:ind w:left="180" w:hanging="180"/>
              <w:jc w:val="both"/>
              <w:rPr>
                <w:sz w:val="22"/>
                <w:szCs w:val="22"/>
              </w:rPr>
            </w:pPr>
            <w:r w:rsidRPr="00C0597B">
              <w:rPr>
                <w:kern w:val="32"/>
                <w:sz w:val="22"/>
                <w:szCs w:val="22"/>
              </w:rPr>
              <w:t xml:space="preserve">Gradus </w:t>
            </w:r>
            <w:r w:rsidR="00B40742" w:rsidRPr="00C0597B">
              <w:rPr>
                <w:kern w:val="32"/>
                <w:sz w:val="22"/>
                <w:szCs w:val="22"/>
              </w:rPr>
              <w:t xml:space="preserve">3. stepen (sistolni krvni pritisak 160 mmHg ili viši ili dijastolni krvni pritisak 100 mmHg ili viši; indikovana medicinska intervencija; više od </w:t>
            </w:r>
            <w:r w:rsidR="00B40742" w:rsidRPr="00822B86">
              <w:rPr>
                <w:kern w:val="32"/>
                <w:sz w:val="22"/>
                <w:szCs w:val="22"/>
              </w:rPr>
              <w:t>jednog antihipertenziva ili indikovana intenzivnija terapija od prethodno prim</w:t>
            </w:r>
            <w:r w:rsidR="00691940" w:rsidRPr="00822B86">
              <w:rPr>
                <w:kern w:val="32"/>
                <w:sz w:val="22"/>
                <w:szCs w:val="22"/>
              </w:rPr>
              <w:t>j</w:t>
            </w:r>
            <w:r w:rsidR="00B40742" w:rsidRPr="00822B86">
              <w:rPr>
                <w:kern w:val="32"/>
                <w:sz w:val="22"/>
                <w:szCs w:val="22"/>
              </w:rPr>
              <w:t>enjene)</w:t>
            </w:r>
          </w:p>
        </w:tc>
        <w:tc>
          <w:tcPr>
            <w:tcW w:w="4893" w:type="dxa"/>
            <w:shd w:val="clear" w:color="auto" w:fill="auto"/>
            <w:vAlign w:val="center"/>
          </w:tcPr>
          <w:p w14:paraId="00DBC1E0" w14:textId="221714FF" w:rsidR="00B40742" w:rsidRPr="003C7D36" w:rsidRDefault="00B40742" w:rsidP="00D77E03">
            <w:pPr>
              <w:tabs>
                <w:tab w:val="left" w:pos="4247"/>
              </w:tabs>
              <w:overflowPunct w:val="0"/>
              <w:autoSpaceDE w:val="0"/>
              <w:autoSpaceDN w:val="0"/>
              <w:adjustRightInd w:val="0"/>
              <w:jc w:val="both"/>
              <w:textAlignment w:val="baseline"/>
              <w:rPr>
                <w:szCs w:val="22"/>
                <w:lang w:eastAsia="hr-HR" w:bidi="hr-HR"/>
              </w:rPr>
            </w:pPr>
            <w:r w:rsidRPr="003C7D36">
              <w:rPr>
                <w:szCs w:val="22"/>
                <w:lang w:eastAsia="hr-HR" w:bidi="hr-HR"/>
              </w:rPr>
              <w:t>Ne prim</w:t>
            </w:r>
            <w:r w:rsidR="005706FF" w:rsidRPr="003C7D36">
              <w:rPr>
                <w:szCs w:val="22"/>
                <w:lang w:eastAsia="hr-HR" w:bidi="hr-HR"/>
              </w:rPr>
              <w:t>j</w:t>
            </w:r>
            <w:r w:rsidRPr="003C7D36">
              <w:rPr>
                <w:szCs w:val="22"/>
                <w:lang w:eastAsia="hr-HR" w:bidi="hr-HR"/>
              </w:rPr>
              <w:t xml:space="preserve">enjujte lorlatinib dok se stanje hipertenzije ne vrati na </w:t>
            </w:r>
            <w:r w:rsidR="005706FF" w:rsidRPr="003C7D36">
              <w:rPr>
                <w:szCs w:val="22"/>
                <w:lang w:eastAsia="hr-HR" w:bidi="hr-HR"/>
              </w:rPr>
              <w:t xml:space="preserve">gradus </w:t>
            </w:r>
            <w:r w:rsidRPr="003C7D36">
              <w:rPr>
                <w:szCs w:val="22"/>
                <w:lang w:eastAsia="hr-HR" w:bidi="hr-HR"/>
              </w:rPr>
              <w:t>1</w:t>
            </w:r>
            <w:r w:rsidR="005706FF" w:rsidRPr="003C7D36" w:rsidDel="005706FF">
              <w:rPr>
                <w:szCs w:val="22"/>
                <w:lang w:eastAsia="hr-HR" w:bidi="hr-HR"/>
              </w:rPr>
              <w:t xml:space="preserve"> </w:t>
            </w:r>
            <w:r w:rsidR="005706FF" w:rsidRPr="003C7D36">
              <w:rPr>
                <w:szCs w:val="22"/>
                <w:lang w:eastAsia="hr-HR" w:bidi="hr-HR"/>
              </w:rPr>
              <w:t xml:space="preserve"> i</w:t>
            </w:r>
            <w:r w:rsidRPr="003C7D36">
              <w:rPr>
                <w:szCs w:val="22"/>
                <w:lang w:eastAsia="hr-HR" w:bidi="hr-HR"/>
              </w:rPr>
              <w:t>li manje (sistolni krvni pritisak manji od 140 mmHg i dijastolni krvni pritisak manji od 90 mmHg), zatim nastavite sa prim</w:t>
            </w:r>
            <w:r w:rsidR="005706FF" w:rsidRPr="003C7D36">
              <w:rPr>
                <w:szCs w:val="22"/>
                <w:lang w:eastAsia="hr-HR" w:bidi="hr-HR"/>
              </w:rPr>
              <w:t>j</w:t>
            </w:r>
            <w:r w:rsidRPr="003C7D36">
              <w:rPr>
                <w:szCs w:val="22"/>
                <w:lang w:eastAsia="hr-HR" w:bidi="hr-HR"/>
              </w:rPr>
              <w:t xml:space="preserve">enom iste doze lorlatiniba. </w:t>
            </w:r>
          </w:p>
          <w:p w14:paraId="09A9648D" w14:textId="77777777" w:rsidR="00B40742" w:rsidRPr="003C7D36" w:rsidRDefault="00B40742" w:rsidP="00D77E03">
            <w:pPr>
              <w:tabs>
                <w:tab w:val="left" w:pos="4247"/>
              </w:tabs>
              <w:overflowPunct w:val="0"/>
              <w:autoSpaceDE w:val="0"/>
              <w:autoSpaceDN w:val="0"/>
              <w:adjustRightInd w:val="0"/>
              <w:jc w:val="both"/>
              <w:textAlignment w:val="baseline"/>
              <w:rPr>
                <w:szCs w:val="22"/>
                <w:lang w:eastAsia="hr-HR" w:bidi="hr-HR"/>
              </w:rPr>
            </w:pPr>
          </w:p>
          <w:p w14:paraId="42833536" w14:textId="6802F0A2" w:rsidR="00B40742" w:rsidRPr="003C7D36" w:rsidRDefault="00B40742" w:rsidP="00D77E03">
            <w:pPr>
              <w:tabs>
                <w:tab w:val="left" w:pos="4247"/>
              </w:tabs>
              <w:overflowPunct w:val="0"/>
              <w:autoSpaceDE w:val="0"/>
              <w:autoSpaceDN w:val="0"/>
              <w:adjustRightInd w:val="0"/>
              <w:jc w:val="both"/>
              <w:textAlignment w:val="baseline"/>
              <w:rPr>
                <w:szCs w:val="22"/>
                <w:lang w:eastAsia="hr-HR" w:bidi="hr-HR"/>
              </w:rPr>
            </w:pPr>
            <w:r w:rsidRPr="003C7D36">
              <w:rPr>
                <w:szCs w:val="22"/>
                <w:lang w:eastAsia="hr-HR" w:bidi="hr-HR"/>
              </w:rPr>
              <w:t xml:space="preserve">Ako se ponovo pojavi hipertenzija </w:t>
            </w:r>
            <w:r w:rsidR="005706FF" w:rsidRPr="003C7D36">
              <w:rPr>
                <w:szCs w:val="22"/>
                <w:lang w:eastAsia="hr-HR" w:bidi="hr-HR"/>
              </w:rPr>
              <w:t xml:space="preserve">gradus </w:t>
            </w:r>
            <w:r w:rsidRPr="003C7D36">
              <w:rPr>
                <w:szCs w:val="22"/>
                <w:lang w:eastAsia="hr-HR" w:bidi="hr-HR"/>
              </w:rPr>
              <w:t>3, ne prim</w:t>
            </w:r>
            <w:r w:rsidR="005706FF" w:rsidRPr="003C7D36">
              <w:rPr>
                <w:szCs w:val="22"/>
                <w:lang w:eastAsia="hr-HR" w:bidi="hr-HR"/>
              </w:rPr>
              <w:t>j</w:t>
            </w:r>
            <w:r w:rsidRPr="003C7D36">
              <w:rPr>
                <w:szCs w:val="22"/>
                <w:lang w:eastAsia="hr-HR" w:bidi="hr-HR"/>
              </w:rPr>
              <w:t xml:space="preserve">enjujte lorlatinib dok se stanje hipertenzije ne vrati na </w:t>
            </w:r>
            <w:r w:rsidR="005706FF" w:rsidRPr="003C7D36">
              <w:rPr>
                <w:szCs w:val="22"/>
                <w:lang w:eastAsia="hr-HR" w:bidi="hr-HR"/>
              </w:rPr>
              <w:t xml:space="preserve">gradus </w:t>
            </w:r>
            <w:r w:rsidRPr="003C7D36">
              <w:rPr>
                <w:szCs w:val="22"/>
                <w:lang w:eastAsia="hr-HR" w:bidi="hr-HR"/>
              </w:rPr>
              <w:t>1 ili manje, a potom nastavite da prim</w:t>
            </w:r>
            <w:r w:rsidR="005706FF" w:rsidRPr="003C7D36">
              <w:rPr>
                <w:szCs w:val="22"/>
                <w:lang w:eastAsia="hr-HR" w:bidi="hr-HR"/>
              </w:rPr>
              <w:t>j</w:t>
            </w:r>
            <w:r w:rsidRPr="003C7D36">
              <w:rPr>
                <w:szCs w:val="22"/>
                <w:lang w:eastAsia="hr-HR" w:bidi="hr-HR"/>
              </w:rPr>
              <w:t>enjujete smanjenu dozu.</w:t>
            </w:r>
          </w:p>
          <w:p w14:paraId="3E9D429B" w14:textId="77777777" w:rsidR="00B40742" w:rsidRPr="003C7D36" w:rsidRDefault="00B40742" w:rsidP="00D77E03">
            <w:pPr>
              <w:tabs>
                <w:tab w:val="left" w:pos="4247"/>
              </w:tabs>
              <w:overflowPunct w:val="0"/>
              <w:autoSpaceDE w:val="0"/>
              <w:autoSpaceDN w:val="0"/>
              <w:adjustRightInd w:val="0"/>
              <w:jc w:val="both"/>
              <w:textAlignment w:val="baseline"/>
              <w:rPr>
                <w:szCs w:val="22"/>
                <w:lang w:eastAsia="hr-HR" w:bidi="hr-HR"/>
              </w:rPr>
            </w:pPr>
          </w:p>
          <w:p w14:paraId="27B12045" w14:textId="55225403" w:rsidR="00B40742" w:rsidRPr="00C0597B" w:rsidRDefault="00B40742" w:rsidP="00D77E03">
            <w:pPr>
              <w:pStyle w:val="Paragraph"/>
              <w:tabs>
                <w:tab w:val="left" w:pos="4247"/>
              </w:tabs>
              <w:overflowPunct w:val="0"/>
              <w:autoSpaceDE w:val="0"/>
              <w:autoSpaceDN w:val="0"/>
              <w:adjustRightInd w:val="0"/>
              <w:jc w:val="both"/>
              <w:textAlignment w:val="baseline"/>
              <w:rPr>
                <w:sz w:val="22"/>
                <w:szCs w:val="22"/>
              </w:rPr>
            </w:pPr>
            <w:r w:rsidRPr="003C7D36">
              <w:rPr>
                <w:sz w:val="22"/>
                <w:szCs w:val="22"/>
                <w:lang w:eastAsia="hr-HR" w:bidi="hr-HR"/>
              </w:rPr>
              <w:t>Ako se optimalnim medicinskim l</w:t>
            </w:r>
            <w:r w:rsidR="005706FF" w:rsidRPr="003C7D36">
              <w:rPr>
                <w:sz w:val="22"/>
                <w:szCs w:val="22"/>
                <w:lang w:eastAsia="hr-HR" w:bidi="hr-HR"/>
              </w:rPr>
              <w:t>ij</w:t>
            </w:r>
            <w:r w:rsidRPr="003C7D36">
              <w:rPr>
                <w:sz w:val="22"/>
                <w:szCs w:val="22"/>
                <w:lang w:eastAsia="hr-HR" w:bidi="hr-HR"/>
              </w:rPr>
              <w:t>ečenjem ne može postići odgovarajuća kontrola hipertenzije, trajno prekinite prim</w:t>
            </w:r>
            <w:r w:rsidR="005706FF" w:rsidRPr="003C7D36">
              <w:rPr>
                <w:sz w:val="22"/>
                <w:szCs w:val="22"/>
                <w:lang w:eastAsia="hr-HR" w:bidi="hr-HR"/>
              </w:rPr>
              <w:t>j</w:t>
            </w:r>
            <w:r w:rsidRPr="003C7D36">
              <w:rPr>
                <w:sz w:val="22"/>
                <w:szCs w:val="22"/>
                <w:lang w:eastAsia="hr-HR" w:bidi="hr-HR"/>
              </w:rPr>
              <w:t>enu lorlatiniba.</w:t>
            </w:r>
          </w:p>
        </w:tc>
      </w:tr>
      <w:tr w:rsidR="00DC4667" w:rsidRPr="003C7D36" w14:paraId="4B0A07F9" w14:textId="77777777" w:rsidTr="000D1360">
        <w:trPr>
          <w:trHeight w:val="2793"/>
        </w:trPr>
        <w:tc>
          <w:tcPr>
            <w:tcW w:w="4395" w:type="dxa"/>
            <w:shd w:val="clear" w:color="auto" w:fill="auto"/>
          </w:tcPr>
          <w:p w14:paraId="7ABD37AB" w14:textId="63C601E0" w:rsidR="00B40742" w:rsidRPr="003C7D36" w:rsidRDefault="00B40742" w:rsidP="00D77E03">
            <w:pPr>
              <w:pStyle w:val="Paragraph"/>
              <w:widowControl w:val="0"/>
              <w:spacing w:after="0"/>
              <w:ind w:left="180" w:hanging="180"/>
              <w:jc w:val="both"/>
              <w:rPr>
                <w:sz w:val="22"/>
                <w:szCs w:val="22"/>
              </w:rPr>
            </w:pPr>
            <w:r w:rsidRPr="003C7D36">
              <w:rPr>
                <w:sz w:val="22"/>
                <w:szCs w:val="22"/>
              </w:rPr>
              <w:lastRenderedPageBreak/>
              <w:t>4. stepen (posl</w:t>
            </w:r>
            <w:r w:rsidR="00691940" w:rsidRPr="003C7D36">
              <w:rPr>
                <w:sz w:val="22"/>
                <w:szCs w:val="22"/>
              </w:rPr>
              <w:t>j</w:t>
            </w:r>
            <w:r w:rsidRPr="003C7D36">
              <w:rPr>
                <w:sz w:val="22"/>
                <w:szCs w:val="22"/>
              </w:rPr>
              <w:t>edice koje mogu biti životno ugrožavajuće, hitna intervencija je indikovana)</w:t>
            </w:r>
          </w:p>
        </w:tc>
        <w:tc>
          <w:tcPr>
            <w:tcW w:w="4893" w:type="dxa"/>
            <w:shd w:val="clear" w:color="auto" w:fill="auto"/>
            <w:vAlign w:val="center"/>
          </w:tcPr>
          <w:p w14:paraId="2EFA5887" w14:textId="4B775245" w:rsidR="00B40742" w:rsidRPr="003C7D36" w:rsidRDefault="00B40742" w:rsidP="00D77E03">
            <w:pPr>
              <w:pStyle w:val="Paragraph"/>
              <w:tabs>
                <w:tab w:val="left" w:pos="4247"/>
              </w:tabs>
              <w:overflowPunct w:val="0"/>
              <w:autoSpaceDE w:val="0"/>
              <w:autoSpaceDN w:val="0"/>
              <w:adjustRightInd w:val="0"/>
              <w:spacing w:after="0"/>
              <w:jc w:val="both"/>
              <w:textAlignment w:val="baseline"/>
              <w:rPr>
                <w:sz w:val="22"/>
                <w:szCs w:val="22"/>
              </w:rPr>
            </w:pPr>
            <w:r w:rsidRPr="003C7D36">
              <w:rPr>
                <w:sz w:val="22"/>
                <w:szCs w:val="22"/>
              </w:rPr>
              <w:t>Ne prim</w:t>
            </w:r>
            <w:r w:rsidR="00691940" w:rsidRPr="003C7D36">
              <w:rPr>
                <w:sz w:val="22"/>
                <w:szCs w:val="22"/>
              </w:rPr>
              <w:t>j</w:t>
            </w:r>
            <w:r w:rsidRPr="003C7D36">
              <w:rPr>
                <w:sz w:val="22"/>
                <w:szCs w:val="22"/>
              </w:rPr>
              <w:t>enjujte lorlatinib dok se stanje hipertenzije ne vrati na 1. stepen ili manje, zatim nastavite sa prim</w:t>
            </w:r>
            <w:r w:rsidR="00691940" w:rsidRPr="003C7D36">
              <w:rPr>
                <w:sz w:val="22"/>
                <w:szCs w:val="22"/>
              </w:rPr>
              <w:t>j</w:t>
            </w:r>
            <w:r w:rsidRPr="003C7D36">
              <w:rPr>
                <w:sz w:val="22"/>
                <w:szCs w:val="22"/>
              </w:rPr>
              <w:t>enom smanjene doze ili trajno prekinite prim</w:t>
            </w:r>
            <w:r w:rsidR="00FD3FD2" w:rsidRPr="003C7D36">
              <w:rPr>
                <w:sz w:val="22"/>
                <w:szCs w:val="22"/>
              </w:rPr>
              <w:t>j</w:t>
            </w:r>
            <w:r w:rsidRPr="003C7D36">
              <w:rPr>
                <w:sz w:val="22"/>
                <w:szCs w:val="22"/>
              </w:rPr>
              <w:t>enu lorlatiniba.</w:t>
            </w:r>
          </w:p>
          <w:p w14:paraId="55230756" w14:textId="77777777" w:rsidR="00B40742" w:rsidRPr="003C7D36" w:rsidRDefault="00B40742" w:rsidP="00D77E03">
            <w:pPr>
              <w:pStyle w:val="Paragraph"/>
              <w:tabs>
                <w:tab w:val="left" w:pos="4247"/>
              </w:tabs>
              <w:overflowPunct w:val="0"/>
              <w:autoSpaceDE w:val="0"/>
              <w:autoSpaceDN w:val="0"/>
              <w:adjustRightInd w:val="0"/>
              <w:spacing w:after="0"/>
              <w:jc w:val="both"/>
              <w:textAlignment w:val="baseline"/>
              <w:rPr>
                <w:kern w:val="32"/>
                <w:sz w:val="22"/>
                <w:szCs w:val="22"/>
              </w:rPr>
            </w:pPr>
          </w:p>
          <w:p w14:paraId="480D8DE9" w14:textId="02483A39" w:rsidR="00B40742" w:rsidRPr="003C7D36" w:rsidRDefault="00B40742" w:rsidP="00D77E03">
            <w:pPr>
              <w:pStyle w:val="Paragraph"/>
              <w:tabs>
                <w:tab w:val="left" w:pos="4247"/>
              </w:tabs>
              <w:overflowPunct w:val="0"/>
              <w:autoSpaceDE w:val="0"/>
              <w:autoSpaceDN w:val="0"/>
              <w:adjustRightInd w:val="0"/>
              <w:jc w:val="both"/>
              <w:textAlignment w:val="baseline"/>
              <w:rPr>
                <w:sz w:val="22"/>
                <w:szCs w:val="22"/>
              </w:rPr>
            </w:pPr>
            <w:r w:rsidRPr="003C7D36">
              <w:rPr>
                <w:kern w:val="32"/>
                <w:sz w:val="22"/>
                <w:szCs w:val="22"/>
              </w:rPr>
              <w:t>Ako se ponovno pojavi hipertenzija 4. stepena, trajno prekinite prim</w:t>
            </w:r>
            <w:r w:rsidR="00FD3FD2" w:rsidRPr="003C7D36">
              <w:rPr>
                <w:kern w:val="32"/>
                <w:sz w:val="22"/>
                <w:szCs w:val="22"/>
              </w:rPr>
              <w:t>j</w:t>
            </w:r>
            <w:r w:rsidRPr="003C7D36">
              <w:rPr>
                <w:kern w:val="32"/>
                <w:sz w:val="22"/>
                <w:szCs w:val="22"/>
              </w:rPr>
              <w:t>enu lorlatiniba</w:t>
            </w:r>
            <w:r w:rsidRPr="003C7D36">
              <w:rPr>
                <w:bCs/>
                <w:kern w:val="32"/>
                <w:sz w:val="22"/>
                <w:szCs w:val="22"/>
              </w:rPr>
              <w:t>.</w:t>
            </w:r>
          </w:p>
        </w:tc>
      </w:tr>
      <w:tr w:rsidR="00DC4667" w:rsidRPr="003C7D36" w14:paraId="48ED14C2" w14:textId="77777777" w:rsidTr="00B327F6">
        <w:trPr>
          <w:trHeight w:val="742"/>
        </w:trPr>
        <w:tc>
          <w:tcPr>
            <w:tcW w:w="9288" w:type="dxa"/>
            <w:gridSpan w:val="2"/>
            <w:shd w:val="clear" w:color="auto" w:fill="auto"/>
            <w:vAlign w:val="center"/>
          </w:tcPr>
          <w:p w14:paraId="19E0320E" w14:textId="5071133E" w:rsidR="008E1221" w:rsidRPr="00C0597B" w:rsidRDefault="008E1221" w:rsidP="00D77E03">
            <w:pPr>
              <w:pStyle w:val="Paragraph"/>
              <w:tabs>
                <w:tab w:val="left" w:pos="4247"/>
              </w:tabs>
              <w:overflowPunct w:val="0"/>
              <w:autoSpaceDE w:val="0"/>
              <w:autoSpaceDN w:val="0"/>
              <w:adjustRightInd w:val="0"/>
              <w:jc w:val="both"/>
              <w:textAlignment w:val="baseline"/>
              <w:rPr>
                <w:sz w:val="22"/>
                <w:szCs w:val="22"/>
              </w:rPr>
            </w:pPr>
            <w:r w:rsidRPr="0031203A">
              <w:rPr>
                <w:b/>
                <w:bCs/>
                <w:sz w:val="22"/>
                <w:szCs w:val="22"/>
                <w:lang w:eastAsia="hr-HR" w:bidi="hr-HR"/>
              </w:rPr>
              <w:t>Hiperglikemija</w:t>
            </w:r>
          </w:p>
        </w:tc>
      </w:tr>
      <w:tr w:rsidR="00DC4667" w:rsidRPr="003C7D36" w14:paraId="7680ED80" w14:textId="77777777" w:rsidTr="000D1360">
        <w:trPr>
          <w:trHeight w:val="2793"/>
        </w:trPr>
        <w:tc>
          <w:tcPr>
            <w:tcW w:w="4395" w:type="dxa"/>
            <w:shd w:val="clear" w:color="auto" w:fill="auto"/>
            <w:vAlign w:val="center"/>
          </w:tcPr>
          <w:p w14:paraId="35A20664" w14:textId="68074358" w:rsidR="008E1221" w:rsidRPr="003C7D36" w:rsidRDefault="008E1221" w:rsidP="00D77E03">
            <w:pPr>
              <w:widowControl w:val="0"/>
              <w:jc w:val="both"/>
              <w:rPr>
                <w:bCs/>
                <w:kern w:val="32"/>
                <w:szCs w:val="22"/>
                <w:lang w:eastAsia="hr-HR" w:bidi="hr-HR"/>
              </w:rPr>
            </w:pPr>
            <w:r w:rsidRPr="003C7D36">
              <w:rPr>
                <w:szCs w:val="22"/>
                <w:lang w:eastAsia="hr-HR" w:bidi="hr-HR"/>
              </w:rPr>
              <w:t>Gradus 3</w:t>
            </w:r>
            <w:r w:rsidRPr="003C7D36">
              <w:rPr>
                <w:bCs/>
                <w:kern w:val="32"/>
                <w:szCs w:val="22"/>
                <w:lang w:eastAsia="hr-HR" w:bidi="hr-HR"/>
              </w:rPr>
              <w:t xml:space="preserve"> </w:t>
            </w:r>
          </w:p>
          <w:p w14:paraId="23DC06B7" w14:textId="77777777" w:rsidR="008E1221" w:rsidRPr="003C7D36" w:rsidRDefault="008E1221" w:rsidP="00D77E03">
            <w:pPr>
              <w:widowControl w:val="0"/>
              <w:jc w:val="both"/>
              <w:rPr>
                <w:bCs/>
                <w:kern w:val="32"/>
                <w:szCs w:val="22"/>
                <w:u w:val="single"/>
                <w:lang w:eastAsia="hr-HR" w:bidi="hr-HR"/>
              </w:rPr>
            </w:pPr>
          </w:p>
          <w:p w14:paraId="4AFA72E5" w14:textId="77777777" w:rsidR="008E1221" w:rsidRPr="003C7D36" w:rsidRDefault="008E1221" w:rsidP="00D77E03">
            <w:pPr>
              <w:widowControl w:val="0"/>
              <w:jc w:val="both"/>
              <w:rPr>
                <w:bCs/>
                <w:kern w:val="32"/>
                <w:szCs w:val="22"/>
                <w:lang w:eastAsia="hr-HR" w:bidi="hr-HR"/>
              </w:rPr>
            </w:pPr>
            <w:r w:rsidRPr="003C7D36">
              <w:rPr>
                <w:bCs/>
                <w:kern w:val="32"/>
                <w:szCs w:val="22"/>
                <w:u w:val="single"/>
                <w:lang w:eastAsia="hr-HR" w:bidi="hr-HR"/>
              </w:rPr>
              <w:t>ILI</w:t>
            </w:r>
          </w:p>
          <w:p w14:paraId="0516A1EC" w14:textId="77777777" w:rsidR="008E1221" w:rsidRPr="003C7D36" w:rsidRDefault="008E1221" w:rsidP="00D77E03">
            <w:pPr>
              <w:widowControl w:val="0"/>
              <w:jc w:val="both"/>
              <w:rPr>
                <w:bCs/>
                <w:kern w:val="32"/>
                <w:szCs w:val="22"/>
                <w:lang w:eastAsia="hr-HR" w:bidi="hr-HR"/>
              </w:rPr>
            </w:pPr>
          </w:p>
          <w:p w14:paraId="4A8505D0" w14:textId="59E3F41B" w:rsidR="008E1221" w:rsidRPr="00C0597B" w:rsidRDefault="008E1221" w:rsidP="00D77E03">
            <w:pPr>
              <w:pStyle w:val="Paragraph"/>
              <w:widowControl w:val="0"/>
              <w:spacing w:after="0"/>
              <w:ind w:left="180" w:hanging="180"/>
              <w:jc w:val="both"/>
              <w:rPr>
                <w:sz w:val="22"/>
                <w:szCs w:val="22"/>
              </w:rPr>
            </w:pPr>
            <w:r w:rsidRPr="003C7D36">
              <w:rPr>
                <w:sz w:val="22"/>
                <w:szCs w:val="22"/>
                <w:lang w:eastAsia="hr-HR" w:bidi="hr-HR"/>
              </w:rPr>
              <w:t>Gradus 4</w:t>
            </w:r>
            <w:r w:rsidRPr="003C7D36">
              <w:rPr>
                <w:bCs/>
                <w:kern w:val="32"/>
                <w:sz w:val="22"/>
                <w:szCs w:val="22"/>
                <w:lang w:eastAsia="hr-HR" w:bidi="hr-HR"/>
              </w:rPr>
              <w:t xml:space="preserve"> (perzistentna hiperglikemija veća od 250 mg/dl, iako je primijenjena optimalna terapija za liječenje hiperglikemije)</w:t>
            </w:r>
          </w:p>
        </w:tc>
        <w:tc>
          <w:tcPr>
            <w:tcW w:w="4893" w:type="dxa"/>
            <w:shd w:val="clear" w:color="auto" w:fill="auto"/>
            <w:vAlign w:val="center"/>
          </w:tcPr>
          <w:p w14:paraId="70DD9D59" w14:textId="251549B5" w:rsidR="008E1221" w:rsidRPr="003C7D36" w:rsidRDefault="008E1221" w:rsidP="00D77E03">
            <w:pPr>
              <w:keepNext/>
              <w:tabs>
                <w:tab w:val="left" w:pos="4247"/>
              </w:tabs>
              <w:overflowPunct w:val="0"/>
              <w:autoSpaceDE w:val="0"/>
              <w:autoSpaceDN w:val="0"/>
              <w:adjustRightInd w:val="0"/>
              <w:jc w:val="both"/>
              <w:textAlignment w:val="baseline"/>
              <w:rPr>
                <w:bCs/>
                <w:kern w:val="32"/>
                <w:szCs w:val="22"/>
                <w:lang w:eastAsia="hr-HR" w:bidi="hr-HR"/>
              </w:rPr>
            </w:pPr>
            <w:r w:rsidRPr="003C7D36">
              <w:rPr>
                <w:bCs/>
                <w:kern w:val="32"/>
                <w:szCs w:val="22"/>
                <w:lang w:eastAsia="hr-HR" w:bidi="hr-HR"/>
              </w:rPr>
              <w:t>Ne primjenjujte lorlatinib dok hiperglikemija ne bude pod odgovarajućom kontrolom, a zatim nastavite primjenjivati sl</w:t>
            </w:r>
            <w:r w:rsidR="00691940" w:rsidRPr="003C7D36">
              <w:rPr>
                <w:bCs/>
                <w:kern w:val="32"/>
                <w:szCs w:val="22"/>
                <w:lang w:eastAsia="hr-HR" w:bidi="hr-HR"/>
              </w:rPr>
              <w:t>j</w:t>
            </w:r>
            <w:r w:rsidRPr="003C7D36">
              <w:rPr>
                <w:bCs/>
                <w:kern w:val="32"/>
                <w:szCs w:val="22"/>
                <w:lang w:eastAsia="hr-HR" w:bidi="hr-HR"/>
              </w:rPr>
              <w:t xml:space="preserve">edeću nižu dozu </w:t>
            </w:r>
            <w:r w:rsidRPr="003C7D36">
              <w:rPr>
                <w:szCs w:val="22"/>
                <w:lang w:eastAsia="hr-HR" w:bidi="hr-HR"/>
              </w:rPr>
              <w:t>lorlatiniba</w:t>
            </w:r>
            <w:r w:rsidRPr="003C7D36">
              <w:rPr>
                <w:bCs/>
                <w:kern w:val="32"/>
                <w:szCs w:val="22"/>
                <w:lang w:eastAsia="hr-HR" w:bidi="hr-HR"/>
              </w:rPr>
              <w:t>.</w:t>
            </w:r>
          </w:p>
          <w:p w14:paraId="00EA47A3" w14:textId="77777777" w:rsidR="008E1221" w:rsidRPr="003C7D36" w:rsidRDefault="008E1221" w:rsidP="00D77E03">
            <w:pPr>
              <w:tabs>
                <w:tab w:val="left" w:pos="4247"/>
              </w:tabs>
              <w:overflowPunct w:val="0"/>
              <w:autoSpaceDE w:val="0"/>
              <w:autoSpaceDN w:val="0"/>
              <w:adjustRightInd w:val="0"/>
              <w:jc w:val="both"/>
              <w:textAlignment w:val="baseline"/>
              <w:rPr>
                <w:bCs/>
                <w:kern w:val="32"/>
                <w:szCs w:val="22"/>
                <w:lang w:eastAsia="hr-HR" w:bidi="hr-HR"/>
              </w:rPr>
            </w:pPr>
          </w:p>
          <w:p w14:paraId="6C3CE097" w14:textId="13D664C7" w:rsidR="008E1221" w:rsidRPr="003C7D36" w:rsidRDefault="008E1221" w:rsidP="00D77E03">
            <w:pPr>
              <w:pStyle w:val="Paragraph"/>
              <w:tabs>
                <w:tab w:val="left" w:pos="4247"/>
              </w:tabs>
              <w:overflowPunct w:val="0"/>
              <w:autoSpaceDE w:val="0"/>
              <w:autoSpaceDN w:val="0"/>
              <w:adjustRightInd w:val="0"/>
              <w:jc w:val="both"/>
              <w:textAlignment w:val="baseline"/>
              <w:rPr>
                <w:sz w:val="22"/>
                <w:szCs w:val="22"/>
              </w:rPr>
            </w:pPr>
            <w:r w:rsidRPr="003C7D36">
              <w:rPr>
                <w:bCs/>
                <w:kern w:val="32"/>
                <w:sz w:val="22"/>
                <w:szCs w:val="22"/>
                <w:lang w:eastAsia="hr-HR" w:bidi="hr-HR"/>
              </w:rPr>
              <w:t>Ako se optimalnim medicinskim liječenjem ne može postići odgovarajuća kontrola hiperglikemije, trajno prekinite primjenu lorlatiniba.</w:t>
            </w:r>
          </w:p>
        </w:tc>
      </w:tr>
      <w:tr w:rsidR="00DC4667" w:rsidRPr="003C7D36" w14:paraId="6F63788B" w14:textId="77777777" w:rsidTr="00C60037">
        <w:tc>
          <w:tcPr>
            <w:tcW w:w="9288" w:type="dxa"/>
            <w:gridSpan w:val="2"/>
            <w:shd w:val="clear" w:color="auto" w:fill="auto"/>
            <w:vAlign w:val="center"/>
          </w:tcPr>
          <w:p w14:paraId="5DF732C4" w14:textId="77777777" w:rsidR="00074A8B" w:rsidRPr="003C7D36" w:rsidRDefault="00074A8B" w:rsidP="00D77E03">
            <w:pPr>
              <w:pStyle w:val="Paragraph"/>
              <w:keepNext/>
              <w:tabs>
                <w:tab w:val="left" w:pos="4247"/>
              </w:tabs>
              <w:overflowPunct w:val="0"/>
              <w:autoSpaceDE w:val="0"/>
              <w:autoSpaceDN w:val="0"/>
              <w:adjustRightInd w:val="0"/>
              <w:spacing w:after="0"/>
              <w:jc w:val="both"/>
              <w:textAlignment w:val="baseline"/>
              <w:rPr>
                <w:kern w:val="32"/>
                <w:sz w:val="22"/>
                <w:szCs w:val="22"/>
              </w:rPr>
            </w:pPr>
            <w:r w:rsidRPr="00C0597B">
              <w:rPr>
                <w:b/>
                <w:sz w:val="22"/>
                <w:szCs w:val="22"/>
              </w:rPr>
              <w:t>Druge neželjene reakcije</w:t>
            </w:r>
          </w:p>
        </w:tc>
      </w:tr>
      <w:tr w:rsidR="00DC4667" w:rsidRPr="003C7D36" w14:paraId="61D89E5B" w14:textId="77777777" w:rsidTr="000D1360">
        <w:tc>
          <w:tcPr>
            <w:tcW w:w="4395" w:type="dxa"/>
            <w:shd w:val="clear" w:color="auto" w:fill="auto"/>
            <w:vAlign w:val="center"/>
          </w:tcPr>
          <w:p w14:paraId="5614698D" w14:textId="77777777" w:rsidR="003340CC" w:rsidRPr="003C7D36" w:rsidRDefault="003340CC" w:rsidP="00D77E03">
            <w:pPr>
              <w:pStyle w:val="Paragraph"/>
              <w:keepNext/>
              <w:widowControl w:val="0"/>
              <w:spacing w:after="0"/>
              <w:jc w:val="both"/>
              <w:rPr>
                <w:kern w:val="32"/>
                <w:sz w:val="22"/>
                <w:szCs w:val="22"/>
              </w:rPr>
            </w:pPr>
            <w:r w:rsidRPr="00C0597B">
              <w:rPr>
                <w:sz w:val="22"/>
                <w:szCs w:val="22"/>
              </w:rPr>
              <w:t xml:space="preserve">Gradus 1: Blagi </w:t>
            </w:r>
          </w:p>
          <w:p w14:paraId="68222634" w14:textId="77777777" w:rsidR="003340CC" w:rsidRPr="003C7D36" w:rsidRDefault="003340CC" w:rsidP="00D77E03">
            <w:pPr>
              <w:pStyle w:val="Paragraph"/>
              <w:keepNext/>
              <w:widowControl w:val="0"/>
              <w:spacing w:after="0"/>
              <w:jc w:val="both"/>
              <w:rPr>
                <w:kern w:val="32"/>
                <w:sz w:val="22"/>
                <w:szCs w:val="22"/>
              </w:rPr>
            </w:pPr>
          </w:p>
          <w:p w14:paraId="01208CE2" w14:textId="77777777" w:rsidR="003340CC" w:rsidRPr="003C7D36" w:rsidRDefault="003340CC" w:rsidP="00D77E03">
            <w:pPr>
              <w:pStyle w:val="Paragraph"/>
              <w:keepNext/>
              <w:widowControl w:val="0"/>
              <w:spacing w:after="0"/>
              <w:jc w:val="both"/>
              <w:rPr>
                <w:kern w:val="32"/>
                <w:sz w:val="22"/>
                <w:szCs w:val="22"/>
              </w:rPr>
            </w:pPr>
            <w:r w:rsidRPr="00C0597B">
              <w:rPr>
                <w:sz w:val="22"/>
                <w:szCs w:val="22"/>
                <w:u w:val="single"/>
              </w:rPr>
              <w:t>ILI</w:t>
            </w:r>
            <w:r w:rsidRPr="00C0597B">
              <w:rPr>
                <w:sz w:val="22"/>
                <w:szCs w:val="22"/>
              </w:rPr>
              <w:t xml:space="preserve"> </w:t>
            </w:r>
          </w:p>
          <w:p w14:paraId="58C97478" w14:textId="77777777" w:rsidR="003340CC" w:rsidRPr="003C7D36" w:rsidRDefault="003340CC" w:rsidP="00D77E03">
            <w:pPr>
              <w:pStyle w:val="Paragraph"/>
              <w:keepNext/>
              <w:widowControl w:val="0"/>
              <w:spacing w:after="0"/>
              <w:jc w:val="both"/>
              <w:rPr>
                <w:kern w:val="32"/>
                <w:sz w:val="22"/>
                <w:szCs w:val="22"/>
              </w:rPr>
            </w:pPr>
          </w:p>
          <w:p w14:paraId="43860C8A" w14:textId="77777777" w:rsidR="003340CC" w:rsidRPr="003C7D36" w:rsidRDefault="003340CC" w:rsidP="00D77E03">
            <w:pPr>
              <w:pStyle w:val="Paragraph"/>
              <w:keepNext/>
              <w:widowControl w:val="0"/>
              <w:spacing w:after="0"/>
              <w:jc w:val="both"/>
              <w:rPr>
                <w:kern w:val="32"/>
                <w:sz w:val="22"/>
                <w:szCs w:val="22"/>
              </w:rPr>
            </w:pPr>
            <w:r w:rsidRPr="00C0597B">
              <w:rPr>
                <w:sz w:val="22"/>
                <w:szCs w:val="22"/>
              </w:rPr>
              <w:t xml:space="preserve">Gradus 2: Umjereni </w:t>
            </w:r>
          </w:p>
        </w:tc>
        <w:tc>
          <w:tcPr>
            <w:tcW w:w="4893" w:type="dxa"/>
            <w:shd w:val="clear" w:color="auto" w:fill="auto"/>
            <w:vAlign w:val="center"/>
          </w:tcPr>
          <w:p w14:paraId="089BF37C" w14:textId="05F161CE" w:rsidR="003340CC" w:rsidRPr="003C7D36" w:rsidRDefault="003340CC" w:rsidP="00D77E03">
            <w:pPr>
              <w:pStyle w:val="Paragraph"/>
              <w:keepNext/>
              <w:tabs>
                <w:tab w:val="left" w:pos="4247"/>
              </w:tabs>
              <w:overflowPunct w:val="0"/>
              <w:autoSpaceDE w:val="0"/>
              <w:autoSpaceDN w:val="0"/>
              <w:adjustRightInd w:val="0"/>
              <w:spacing w:after="0"/>
              <w:jc w:val="both"/>
              <w:textAlignment w:val="baseline"/>
              <w:rPr>
                <w:kern w:val="32"/>
                <w:sz w:val="22"/>
                <w:szCs w:val="22"/>
              </w:rPr>
            </w:pPr>
            <w:r w:rsidRPr="00C0597B">
              <w:rPr>
                <w:sz w:val="22"/>
                <w:szCs w:val="22"/>
              </w:rPr>
              <w:t>Razmislite o tome da ne mijenjate dozu ili je smanjite za 1 nivo doze, prema kliničkoj indikaciji.</w:t>
            </w:r>
          </w:p>
        </w:tc>
      </w:tr>
      <w:tr w:rsidR="00DC4667" w:rsidRPr="003C7D36" w14:paraId="1000C15E" w14:textId="77777777" w:rsidTr="000D1360">
        <w:tc>
          <w:tcPr>
            <w:tcW w:w="4395" w:type="dxa"/>
            <w:shd w:val="clear" w:color="auto" w:fill="auto"/>
            <w:vAlign w:val="center"/>
          </w:tcPr>
          <w:p w14:paraId="4E3FFFBF" w14:textId="77777777" w:rsidR="003340CC" w:rsidRPr="003C7D36" w:rsidRDefault="003340CC" w:rsidP="00D77E03">
            <w:pPr>
              <w:pStyle w:val="Paragraph"/>
              <w:keepNext/>
              <w:widowControl w:val="0"/>
              <w:spacing w:after="0"/>
              <w:jc w:val="both"/>
              <w:rPr>
                <w:kern w:val="32"/>
                <w:sz w:val="22"/>
                <w:szCs w:val="22"/>
              </w:rPr>
            </w:pPr>
            <w:r w:rsidRPr="00C0597B">
              <w:rPr>
                <w:sz w:val="22"/>
                <w:szCs w:val="22"/>
              </w:rPr>
              <w:t>Veći ili jednak gradusu 3: Teški</w:t>
            </w:r>
          </w:p>
        </w:tc>
        <w:tc>
          <w:tcPr>
            <w:tcW w:w="4893" w:type="dxa"/>
            <w:shd w:val="clear" w:color="auto" w:fill="auto"/>
            <w:vAlign w:val="center"/>
          </w:tcPr>
          <w:p w14:paraId="08431171" w14:textId="77777777" w:rsidR="003340CC" w:rsidRPr="003C7D36" w:rsidRDefault="003340CC" w:rsidP="00D77E03">
            <w:pPr>
              <w:pStyle w:val="Paragraph"/>
              <w:keepNext/>
              <w:tabs>
                <w:tab w:val="left" w:pos="4247"/>
              </w:tabs>
              <w:overflowPunct w:val="0"/>
              <w:autoSpaceDE w:val="0"/>
              <w:autoSpaceDN w:val="0"/>
              <w:adjustRightInd w:val="0"/>
              <w:spacing w:after="0"/>
              <w:jc w:val="both"/>
              <w:textAlignment w:val="baseline"/>
              <w:rPr>
                <w:kern w:val="32"/>
                <w:sz w:val="22"/>
                <w:szCs w:val="22"/>
              </w:rPr>
            </w:pPr>
            <w:r w:rsidRPr="00C0597B">
              <w:rPr>
                <w:sz w:val="22"/>
                <w:szCs w:val="22"/>
              </w:rPr>
              <w:t>Prekinite primjenu lorlatiniba dok se simptomi ne povuku na nivo koji je manji ili jednak gradusu 2 ili početnim vrijednostima. Potom ponovo uvedit</w:t>
            </w:r>
            <w:r w:rsidRPr="00822B86">
              <w:rPr>
                <w:sz w:val="22"/>
                <w:szCs w:val="22"/>
              </w:rPr>
              <w:t>e lorlatinib u dozi smanjenoj za 1 nivo.</w:t>
            </w:r>
          </w:p>
        </w:tc>
      </w:tr>
      <w:tr w:rsidR="00D203D5" w:rsidRPr="003C7D36" w14:paraId="7C1E0C2B" w14:textId="77777777" w:rsidTr="00C60037">
        <w:tc>
          <w:tcPr>
            <w:tcW w:w="9288" w:type="dxa"/>
            <w:gridSpan w:val="2"/>
            <w:tcBorders>
              <w:top w:val="single" w:sz="4" w:space="0" w:color="auto"/>
              <w:left w:val="nil"/>
              <w:bottom w:val="nil"/>
              <w:right w:val="nil"/>
            </w:tcBorders>
            <w:shd w:val="clear" w:color="auto" w:fill="auto"/>
          </w:tcPr>
          <w:p w14:paraId="0806F829" w14:textId="0F621E0C" w:rsidR="003340CC" w:rsidRPr="0031203A" w:rsidRDefault="003340CC" w:rsidP="00D77E03">
            <w:pPr>
              <w:pStyle w:val="Paragraph"/>
              <w:keepNext/>
              <w:overflowPunct w:val="0"/>
              <w:autoSpaceDE w:val="0"/>
              <w:autoSpaceDN w:val="0"/>
              <w:adjustRightInd w:val="0"/>
              <w:spacing w:after="0"/>
              <w:jc w:val="both"/>
              <w:textAlignment w:val="baseline"/>
              <w:rPr>
                <w:sz w:val="22"/>
                <w:szCs w:val="22"/>
              </w:rPr>
            </w:pPr>
            <w:r w:rsidRPr="0031203A">
              <w:rPr>
                <w:sz w:val="22"/>
                <w:szCs w:val="22"/>
              </w:rPr>
              <w:t>Skraćenice:</w:t>
            </w:r>
            <w:r w:rsidR="00BE572D" w:rsidRPr="0031203A">
              <w:rPr>
                <w:sz w:val="22"/>
                <w:szCs w:val="22"/>
              </w:rPr>
              <w:t xml:space="preserve"> </w:t>
            </w:r>
            <w:r w:rsidRPr="0031203A">
              <w:rPr>
                <w:sz w:val="22"/>
                <w:szCs w:val="22"/>
              </w:rPr>
              <w:t xml:space="preserve"> </w:t>
            </w:r>
            <w:r w:rsidR="00BE572D" w:rsidRPr="0031203A">
              <w:rPr>
                <w:kern w:val="32"/>
                <w:sz w:val="22"/>
                <w:szCs w:val="22"/>
              </w:rPr>
              <w:t xml:space="preserve">CNS = centralni nervni system; </w:t>
            </w:r>
            <w:r w:rsidRPr="0031203A">
              <w:rPr>
                <w:sz w:val="22"/>
                <w:szCs w:val="22"/>
              </w:rPr>
              <w:t xml:space="preserve">CTCAE=Zajednički terminološki kriterijumi za neželjene događaje (engl. </w:t>
            </w:r>
            <w:r w:rsidRPr="0031203A">
              <w:rPr>
                <w:i/>
                <w:sz w:val="22"/>
                <w:szCs w:val="22"/>
              </w:rPr>
              <w:t>Common Terminology Criteria for Adverse Events</w:t>
            </w:r>
            <w:r w:rsidRPr="0031203A">
              <w:rPr>
                <w:sz w:val="22"/>
                <w:szCs w:val="22"/>
              </w:rPr>
              <w:t xml:space="preserve">); EKG=elektrokardiogram; HMG CoA=3-hidroksi-3-metilglutaril-koenzim A; NCI=Nacionalni </w:t>
            </w:r>
            <w:r w:rsidR="00691940" w:rsidRPr="0031203A">
              <w:rPr>
                <w:sz w:val="22"/>
                <w:szCs w:val="22"/>
              </w:rPr>
              <w:t>I</w:t>
            </w:r>
            <w:r w:rsidRPr="0031203A">
              <w:rPr>
                <w:sz w:val="22"/>
                <w:szCs w:val="22"/>
              </w:rPr>
              <w:t xml:space="preserve">nstitut za rak (engl. </w:t>
            </w:r>
            <w:r w:rsidRPr="0031203A">
              <w:rPr>
                <w:i/>
                <w:sz w:val="22"/>
                <w:szCs w:val="22"/>
              </w:rPr>
              <w:t>National Cancer Institute</w:t>
            </w:r>
            <w:r w:rsidRPr="0031203A">
              <w:rPr>
                <w:sz w:val="22"/>
                <w:szCs w:val="22"/>
              </w:rPr>
              <w:t>);</w:t>
            </w:r>
            <w:r w:rsidR="00C12B60" w:rsidRPr="0031203A">
              <w:rPr>
                <w:sz w:val="22"/>
                <w:szCs w:val="22"/>
              </w:rPr>
              <w:t xml:space="preserve"> </w:t>
            </w:r>
            <w:r w:rsidRPr="0031203A">
              <w:rPr>
                <w:sz w:val="22"/>
                <w:szCs w:val="22"/>
              </w:rPr>
              <w:t>GGN=gornja granica normalnih vrijednosti.</w:t>
            </w:r>
          </w:p>
          <w:p w14:paraId="0E6AFB8A" w14:textId="77777777" w:rsidR="009929C2" w:rsidRPr="0031203A" w:rsidRDefault="003340CC" w:rsidP="00D77E03">
            <w:pPr>
              <w:pStyle w:val="Paragraph"/>
              <w:keepNext/>
              <w:tabs>
                <w:tab w:val="left" w:pos="180"/>
              </w:tabs>
              <w:overflowPunct w:val="0"/>
              <w:autoSpaceDE w:val="0"/>
              <w:autoSpaceDN w:val="0"/>
              <w:adjustRightInd w:val="0"/>
              <w:spacing w:after="0"/>
              <w:ind w:left="180" w:hanging="180"/>
              <w:jc w:val="both"/>
              <w:textAlignment w:val="baseline"/>
              <w:rPr>
                <w:kern w:val="32"/>
                <w:sz w:val="22"/>
                <w:szCs w:val="22"/>
              </w:rPr>
            </w:pPr>
            <w:r w:rsidRPr="0031203A">
              <w:rPr>
                <w:sz w:val="22"/>
                <w:szCs w:val="22"/>
                <w:vertAlign w:val="superscript"/>
              </w:rPr>
              <w:t>a</w:t>
            </w:r>
            <w:r w:rsidRPr="0031203A">
              <w:rPr>
                <w:sz w:val="22"/>
                <w:szCs w:val="22"/>
              </w:rPr>
              <w:tab/>
              <w:t>Kategorije gradusa se zasnivaju na NCI CTCAE klasifikacijama.</w:t>
            </w:r>
          </w:p>
          <w:p w14:paraId="39408AEA" w14:textId="77777777" w:rsidR="003340CC" w:rsidRPr="0031203A" w:rsidRDefault="009929C2" w:rsidP="00D77E03">
            <w:pPr>
              <w:pStyle w:val="Paragraph"/>
              <w:keepNext/>
              <w:tabs>
                <w:tab w:val="left" w:pos="195"/>
              </w:tabs>
              <w:overflowPunct w:val="0"/>
              <w:autoSpaceDE w:val="0"/>
              <w:autoSpaceDN w:val="0"/>
              <w:adjustRightInd w:val="0"/>
              <w:spacing w:after="0"/>
              <w:ind w:left="180" w:hanging="180"/>
              <w:jc w:val="both"/>
              <w:textAlignment w:val="baseline"/>
              <w:rPr>
                <w:kern w:val="32"/>
                <w:sz w:val="22"/>
                <w:szCs w:val="22"/>
              </w:rPr>
            </w:pPr>
            <w:r w:rsidRPr="0031203A">
              <w:rPr>
                <w:sz w:val="22"/>
                <w:szCs w:val="22"/>
                <w:vertAlign w:val="superscript"/>
              </w:rPr>
              <w:t>b</w:t>
            </w:r>
            <w:r w:rsidRPr="0031203A">
              <w:rPr>
                <w:sz w:val="22"/>
                <w:szCs w:val="22"/>
              </w:rPr>
              <w:tab/>
              <w:t>Terapija za smanjenje nivoa lipida može podrazumijevati: inhibitor HMG CoA reduktaze, nikotinsku kiselinu, derivate fibratne kiseline ili etilne estere omega-3 masnih kiselina.</w:t>
            </w:r>
            <w:r w:rsidRPr="0031203A">
              <w:rPr>
                <w:i/>
                <w:sz w:val="22"/>
                <w:szCs w:val="22"/>
              </w:rPr>
              <w:t xml:space="preserve"> </w:t>
            </w:r>
          </w:p>
        </w:tc>
      </w:tr>
    </w:tbl>
    <w:p w14:paraId="27C5D3AB" w14:textId="77777777" w:rsidR="00FC184D" w:rsidRPr="0031203A" w:rsidRDefault="00FC184D" w:rsidP="00D77E03">
      <w:pPr>
        <w:pStyle w:val="Paragraph"/>
        <w:spacing w:after="0"/>
        <w:jc w:val="both"/>
        <w:rPr>
          <w:kern w:val="32"/>
          <w:sz w:val="22"/>
          <w:szCs w:val="22"/>
        </w:rPr>
      </w:pPr>
    </w:p>
    <w:p w14:paraId="6B561F4F" w14:textId="1841CD71" w:rsidR="002C2E88" w:rsidRPr="003C7D36" w:rsidRDefault="002E63CA" w:rsidP="00D77E03">
      <w:pPr>
        <w:pStyle w:val="Paragraph"/>
        <w:keepNext/>
        <w:spacing w:after="0"/>
        <w:jc w:val="both"/>
        <w:rPr>
          <w:i/>
          <w:kern w:val="32"/>
          <w:sz w:val="22"/>
          <w:szCs w:val="22"/>
        </w:rPr>
      </w:pPr>
      <w:bookmarkStart w:id="0" w:name="table_8_double"/>
      <w:bookmarkEnd w:id="0"/>
      <w:r w:rsidRPr="00C0597B">
        <w:rPr>
          <w:i/>
          <w:sz w:val="22"/>
          <w:szCs w:val="22"/>
        </w:rPr>
        <w:t>Snažni inhibitori citohroma P</w:t>
      </w:r>
      <w:r w:rsidRPr="00C0597B">
        <w:rPr>
          <w:i/>
          <w:sz w:val="22"/>
          <w:szCs w:val="22"/>
        </w:rPr>
        <w:noBreakHyphen/>
        <w:t>450 (CYP) 3A4/5</w:t>
      </w:r>
    </w:p>
    <w:p w14:paraId="61FC11E2" w14:textId="4805B2D3" w:rsidR="007C070F" w:rsidRPr="00822B86" w:rsidRDefault="00CB671E" w:rsidP="00D77E03">
      <w:pPr>
        <w:pStyle w:val="Paragraph"/>
        <w:keepNext/>
        <w:spacing w:after="0"/>
        <w:jc w:val="both"/>
        <w:rPr>
          <w:sz w:val="22"/>
          <w:szCs w:val="22"/>
        </w:rPr>
      </w:pPr>
      <w:r w:rsidRPr="00C0597B">
        <w:rPr>
          <w:sz w:val="22"/>
          <w:szCs w:val="22"/>
        </w:rPr>
        <w:t xml:space="preserve">Istovremena primjena lorlatiniba s ljekovima koji su snažni inhibitori CYP3A4/5 i proizvodima soka od grejpfruta može povećati koncentracije lorlatiniba u plazmi. </w:t>
      </w:r>
      <w:r w:rsidRPr="00C0597B">
        <w:rPr>
          <w:rStyle w:val="superscriptChar"/>
          <w:color w:val="auto"/>
          <w:sz w:val="22"/>
          <w:szCs w:val="22"/>
        </w:rPr>
        <w:t xml:space="preserve"> </w:t>
      </w:r>
      <w:r w:rsidRPr="00C0597B">
        <w:rPr>
          <w:rStyle w:val="superscriptChar"/>
          <w:color w:val="auto"/>
          <w:sz w:val="22"/>
          <w:szCs w:val="22"/>
          <w:vertAlign w:val="baseline"/>
        </w:rPr>
        <w:t>Potrebno je razmotriti istovremenu primjenu nekog drugog lijeka koji ima manji potencijal za</w:t>
      </w:r>
      <w:r w:rsidRPr="00822B86">
        <w:rPr>
          <w:rStyle w:val="superscriptChar"/>
          <w:color w:val="auto"/>
          <w:sz w:val="22"/>
          <w:szCs w:val="22"/>
          <w:vertAlign w:val="baseline"/>
        </w:rPr>
        <w:t xml:space="preserve"> inhibiciju CYP3A4/5</w:t>
      </w:r>
      <w:r w:rsidR="00AF183A" w:rsidRPr="00822B86">
        <w:rPr>
          <w:rStyle w:val="superscriptChar"/>
          <w:color w:val="auto"/>
          <w:sz w:val="22"/>
          <w:szCs w:val="22"/>
          <w:vertAlign w:val="baseline"/>
        </w:rPr>
        <w:t xml:space="preserve"> </w:t>
      </w:r>
      <w:r w:rsidRPr="00822B86">
        <w:rPr>
          <w:sz w:val="22"/>
          <w:szCs w:val="22"/>
        </w:rPr>
        <w:t>(vidjeti dio 4.5). Ako se mora istovremeno davati snažan inhibitor CYP3A4/5, mora da se snizi početna doza lorlatiniba od 100 mg jednom dnevno na dozu od 75 mg jednom dnevno (vidjeti d</w:t>
      </w:r>
      <w:r w:rsidR="00AF183A" w:rsidRPr="00446153">
        <w:rPr>
          <w:sz w:val="22"/>
          <w:szCs w:val="22"/>
        </w:rPr>
        <w:t>jelove</w:t>
      </w:r>
      <w:r w:rsidRPr="00446153">
        <w:rPr>
          <w:sz w:val="22"/>
          <w:szCs w:val="22"/>
        </w:rPr>
        <w:t> 4.5 i 5.2)</w:t>
      </w:r>
      <w:r w:rsidRPr="00446153">
        <w:rPr>
          <w:rStyle w:val="superscriptChar"/>
          <w:color w:val="auto"/>
          <w:sz w:val="22"/>
          <w:szCs w:val="22"/>
          <w:vertAlign w:val="baseline"/>
        </w:rPr>
        <w:t>.</w:t>
      </w:r>
      <w:r w:rsidRPr="00446153">
        <w:rPr>
          <w:sz w:val="22"/>
          <w:szCs w:val="22"/>
        </w:rPr>
        <w:t xml:space="preserve"> Ako se prekine istovremena primj</w:t>
      </w:r>
      <w:r w:rsidRPr="0093305C">
        <w:rPr>
          <w:sz w:val="22"/>
          <w:szCs w:val="22"/>
        </w:rPr>
        <w:t xml:space="preserve">ena snažnog inhibitora CYP3A4/5, potrebno je nastaviti s lorlatinibom u dozi koja je primjenjivana prije uvođenja snažnog inhibitora CYP3A4/5 i nakon isteka perioda potrebnog za potpunu eliminaciju lijeka iz organizma (engl. </w:t>
      </w:r>
      <w:r w:rsidRPr="0093305C">
        <w:rPr>
          <w:i/>
          <w:sz w:val="22"/>
          <w:szCs w:val="22"/>
        </w:rPr>
        <w:t>washout period</w:t>
      </w:r>
      <w:r w:rsidRPr="0093305C">
        <w:rPr>
          <w:sz w:val="22"/>
          <w:szCs w:val="22"/>
        </w:rPr>
        <w:t xml:space="preserve">) od 3 do 5 </w:t>
      </w:r>
      <w:r w:rsidR="0043455D" w:rsidRPr="0093305C">
        <w:rPr>
          <w:sz w:val="22"/>
          <w:szCs w:val="22"/>
        </w:rPr>
        <w:t>polu</w:t>
      </w:r>
      <w:r w:rsidR="0043455D">
        <w:rPr>
          <w:sz w:val="22"/>
          <w:szCs w:val="22"/>
        </w:rPr>
        <w:t>vremena eliminacije</w:t>
      </w:r>
      <w:r w:rsidR="0043455D" w:rsidRPr="00C0597B">
        <w:rPr>
          <w:sz w:val="22"/>
          <w:szCs w:val="22"/>
        </w:rPr>
        <w:t xml:space="preserve"> </w:t>
      </w:r>
      <w:r w:rsidRPr="00822B86">
        <w:rPr>
          <w:sz w:val="22"/>
          <w:szCs w:val="22"/>
        </w:rPr>
        <w:t>snažnog inhibitora CYP3A4/5.</w:t>
      </w:r>
    </w:p>
    <w:p w14:paraId="1E46F26E" w14:textId="77777777" w:rsidR="002C2E88" w:rsidRPr="003C7D36" w:rsidRDefault="002C2E88" w:rsidP="00D77E03">
      <w:pPr>
        <w:pStyle w:val="Paragraph"/>
        <w:tabs>
          <w:tab w:val="left" w:pos="6600"/>
        </w:tabs>
        <w:spacing w:after="0"/>
        <w:jc w:val="both"/>
        <w:rPr>
          <w:kern w:val="32"/>
          <w:sz w:val="22"/>
          <w:szCs w:val="22"/>
        </w:rPr>
      </w:pPr>
    </w:p>
    <w:p w14:paraId="22CF2BF2" w14:textId="77777777" w:rsidR="00173674" w:rsidRPr="003C7D36" w:rsidRDefault="00173674" w:rsidP="00D77E03">
      <w:pPr>
        <w:pStyle w:val="Paragraph"/>
        <w:keepNext/>
        <w:spacing w:after="0"/>
        <w:jc w:val="both"/>
        <w:rPr>
          <w:sz w:val="22"/>
          <w:szCs w:val="22"/>
          <w:u w:val="single"/>
        </w:rPr>
      </w:pPr>
      <w:r w:rsidRPr="00C0597B">
        <w:rPr>
          <w:sz w:val="22"/>
          <w:szCs w:val="22"/>
          <w:u w:val="single"/>
        </w:rPr>
        <w:lastRenderedPageBreak/>
        <w:t>Posebne populacije</w:t>
      </w:r>
    </w:p>
    <w:p w14:paraId="00D5AF6C" w14:textId="77777777" w:rsidR="00173674" w:rsidRPr="003C7D36" w:rsidRDefault="00173674" w:rsidP="00D77E03">
      <w:pPr>
        <w:pStyle w:val="Paragraph"/>
        <w:keepNext/>
        <w:spacing w:after="0"/>
        <w:jc w:val="both"/>
        <w:rPr>
          <w:i/>
          <w:sz w:val="22"/>
          <w:szCs w:val="22"/>
        </w:rPr>
      </w:pPr>
    </w:p>
    <w:p w14:paraId="20B760CF" w14:textId="77777777" w:rsidR="00173674" w:rsidRPr="00C0597B" w:rsidRDefault="00173674" w:rsidP="00D77E03">
      <w:pPr>
        <w:tabs>
          <w:tab w:val="clear" w:pos="567"/>
        </w:tabs>
        <w:spacing w:line="240" w:lineRule="auto"/>
        <w:jc w:val="both"/>
        <w:rPr>
          <w:i/>
          <w:szCs w:val="22"/>
        </w:rPr>
      </w:pPr>
      <w:r w:rsidRPr="00C0597B">
        <w:rPr>
          <w:i/>
          <w:szCs w:val="22"/>
        </w:rPr>
        <w:t>Starije osobe (≥ 65 godina)</w:t>
      </w:r>
    </w:p>
    <w:p w14:paraId="36099CE0" w14:textId="77777777" w:rsidR="00173674" w:rsidRPr="00446153" w:rsidRDefault="00173674" w:rsidP="00D77E03">
      <w:pPr>
        <w:tabs>
          <w:tab w:val="clear" w:pos="567"/>
        </w:tabs>
        <w:spacing w:line="240" w:lineRule="auto"/>
        <w:jc w:val="both"/>
        <w:rPr>
          <w:szCs w:val="22"/>
        </w:rPr>
      </w:pPr>
      <w:r w:rsidRPr="00822B86">
        <w:rPr>
          <w:szCs w:val="22"/>
        </w:rPr>
        <w:t>Zbog ograničenih podataka o ovoj populaciji, ne može se dati preporuka za doziranje kod pacijenata starosti 65 godina i starijih (vidjeti dio 5</w:t>
      </w:r>
      <w:r w:rsidRPr="00446153">
        <w:rPr>
          <w:szCs w:val="22"/>
        </w:rPr>
        <w:t xml:space="preserve">.2).  </w:t>
      </w:r>
    </w:p>
    <w:p w14:paraId="29D3FAC8" w14:textId="77777777" w:rsidR="00173674" w:rsidRPr="003C7D36" w:rsidRDefault="00173674" w:rsidP="00D77E03">
      <w:pPr>
        <w:pStyle w:val="Paragraph"/>
        <w:keepNext/>
        <w:spacing w:after="0"/>
        <w:jc w:val="both"/>
        <w:rPr>
          <w:i/>
          <w:sz w:val="22"/>
          <w:szCs w:val="22"/>
        </w:rPr>
      </w:pPr>
    </w:p>
    <w:p w14:paraId="44488BB2" w14:textId="77777777" w:rsidR="00173674" w:rsidRPr="003C7D36" w:rsidRDefault="00173674" w:rsidP="00D77E03">
      <w:pPr>
        <w:pStyle w:val="Paragraph"/>
        <w:keepNext/>
        <w:spacing w:after="0"/>
        <w:jc w:val="both"/>
        <w:rPr>
          <w:i/>
          <w:sz w:val="22"/>
          <w:szCs w:val="22"/>
        </w:rPr>
      </w:pPr>
      <w:r w:rsidRPr="00C0597B">
        <w:rPr>
          <w:i/>
          <w:sz w:val="22"/>
          <w:szCs w:val="22"/>
        </w:rPr>
        <w:t>Oštećenje funkcije bubrega</w:t>
      </w:r>
    </w:p>
    <w:p w14:paraId="482DD153" w14:textId="2358BB65" w:rsidR="00BE572D" w:rsidRPr="003C7D36" w:rsidRDefault="00173674" w:rsidP="00D77E03">
      <w:pPr>
        <w:pStyle w:val="Paragraph"/>
        <w:widowControl w:val="0"/>
        <w:spacing w:after="0"/>
        <w:jc w:val="both"/>
        <w:rPr>
          <w:sz w:val="22"/>
          <w:szCs w:val="22"/>
        </w:rPr>
      </w:pPr>
      <w:r w:rsidRPr="00C0597B">
        <w:rPr>
          <w:sz w:val="22"/>
          <w:szCs w:val="22"/>
        </w:rPr>
        <w:t xml:space="preserve">Nije potrebno prilagođavanje doze za pacijente sa normalnom funkcijom bubrega i sa blagim ili umjerenim oštećenjem funkcije bubrega </w:t>
      </w:r>
      <w:r w:rsidR="00BE572D" w:rsidRPr="003C7D36">
        <w:rPr>
          <w:sz w:val="22"/>
          <w:szCs w:val="22"/>
        </w:rPr>
        <w:t>[</w:t>
      </w:r>
      <w:r w:rsidR="00BE572D" w:rsidRPr="00C0597B">
        <w:rPr>
          <w:sz w:val="22"/>
          <w:szCs w:val="22"/>
        </w:rPr>
        <w:t xml:space="preserve">apsolutni procijenjeni nivo glomerularne filtracije, engl. </w:t>
      </w:r>
      <w:r w:rsidR="00BE572D" w:rsidRPr="00C0597B">
        <w:rPr>
          <w:i/>
          <w:iCs/>
          <w:sz w:val="22"/>
          <w:szCs w:val="22"/>
        </w:rPr>
        <w:t xml:space="preserve">absolute </w:t>
      </w:r>
      <w:r w:rsidR="00BE572D" w:rsidRPr="003C7D36">
        <w:rPr>
          <w:i/>
          <w:iCs/>
          <w:sz w:val="22"/>
          <w:szCs w:val="22"/>
        </w:rPr>
        <w:t>estimated glomerular filtration rate (eGFR)</w:t>
      </w:r>
      <w:r w:rsidR="00BE572D" w:rsidRPr="003C7D36">
        <w:rPr>
          <w:sz w:val="22"/>
          <w:szCs w:val="22"/>
        </w:rPr>
        <w:t>: ≥ 30 ml/min].</w:t>
      </w:r>
      <w:r w:rsidR="00BE572D" w:rsidRPr="00C0597B">
        <w:rPr>
          <w:sz w:val="22"/>
          <w:szCs w:val="22"/>
        </w:rPr>
        <w:t xml:space="preserve"> Smanjena doza lorlatiniba se preporučuje kod pacijenata sa teškim, oštećenjem funkcije bubrega (apsolutni eGFR </w:t>
      </w:r>
      <w:r w:rsidR="00BE572D" w:rsidRPr="003C7D36">
        <w:rPr>
          <w:sz w:val="22"/>
          <w:szCs w:val="22"/>
        </w:rPr>
        <w:t>&lt; 30 ml/min</w:t>
      </w:r>
      <w:r w:rsidR="00BE572D" w:rsidRPr="00C0597B">
        <w:rPr>
          <w:sz w:val="22"/>
          <w:szCs w:val="22"/>
        </w:rPr>
        <w:t>), npr. kao početnu dozu uzeti 75 mg oralno, jednom dnevno. (vid</w:t>
      </w:r>
      <w:r w:rsidR="00AF183A" w:rsidRPr="00C0597B">
        <w:rPr>
          <w:sz w:val="22"/>
          <w:szCs w:val="22"/>
        </w:rPr>
        <w:t>j</w:t>
      </w:r>
      <w:r w:rsidR="00BE572D" w:rsidRPr="00C0597B">
        <w:rPr>
          <w:sz w:val="22"/>
          <w:szCs w:val="22"/>
        </w:rPr>
        <w:t xml:space="preserve">eti </w:t>
      </w:r>
      <w:r w:rsidR="00755F3F" w:rsidRPr="00822B86">
        <w:rPr>
          <w:sz w:val="22"/>
          <w:szCs w:val="22"/>
        </w:rPr>
        <w:t>di</w:t>
      </w:r>
      <w:r w:rsidR="00BE572D" w:rsidRPr="00822B86">
        <w:rPr>
          <w:sz w:val="22"/>
          <w:szCs w:val="22"/>
        </w:rPr>
        <w:t>o 5.2). Ni</w:t>
      </w:r>
      <w:r w:rsidR="00AF183A" w:rsidRPr="00446153">
        <w:rPr>
          <w:sz w:val="22"/>
          <w:szCs w:val="22"/>
        </w:rPr>
        <w:t>je</w:t>
      </w:r>
      <w:r w:rsidR="00BE572D" w:rsidRPr="00446153">
        <w:rPr>
          <w:sz w:val="22"/>
          <w:szCs w:val="22"/>
        </w:rPr>
        <w:t>su dostupne informacije za pacijente na dijalizi.</w:t>
      </w:r>
    </w:p>
    <w:p w14:paraId="35058DC8" w14:textId="77777777" w:rsidR="00173674" w:rsidRPr="003C7D36" w:rsidRDefault="00173674" w:rsidP="00D77E03">
      <w:pPr>
        <w:pStyle w:val="Paragraph"/>
        <w:keepNext/>
        <w:spacing w:after="0"/>
        <w:jc w:val="both"/>
        <w:rPr>
          <w:i/>
          <w:sz w:val="22"/>
          <w:szCs w:val="22"/>
        </w:rPr>
      </w:pPr>
    </w:p>
    <w:p w14:paraId="311CF6F7" w14:textId="77777777" w:rsidR="00173674" w:rsidRPr="003C7D36" w:rsidRDefault="00173674" w:rsidP="00D77E03">
      <w:pPr>
        <w:pStyle w:val="Paragraph"/>
        <w:keepNext/>
        <w:spacing w:after="0"/>
        <w:jc w:val="both"/>
        <w:rPr>
          <w:i/>
          <w:iCs/>
          <w:sz w:val="22"/>
          <w:szCs w:val="22"/>
        </w:rPr>
      </w:pPr>
      <w:r w:rsidRPr="00C0597B">
        <w:rPr>
          <w:i/>
          <w:sz w:val="22"/>
          <w:szCs w:val="22"/>
        </w:rPr>
        <w:t>Oštećenje funkcije jetre</w:t>
      </w:r>
    </w:p>
    <w:p w14:paraId="3F3B3C3F" w14:textId="6F5E0B6B" w:rsidR="00173674" w:rsidRPr="003C7D36" w:rsidRDefault="00D95A0B" w:rsidP="00D77E03">
      <w:pPr>
        <w:pStyle w:val="Paragraph"/>
        <w:spacing w:after="0"/>
        <w:jc w:val="both"/>
        <w:rPr>
          <w:sz w:val="22"/>
          <w:szCs w:val="22"/>
        </w:rPr>
      </w:pPr>
      <w:r w:rsidRPr="00C0597B">
        <w:rPr>
          <w:sz w:val="22"/>
          <w:szCs w:val="22"/>
        </w:rPr>
        <w:t xml:space="preserve">Ne preporučuje se prilagođavanje doze kod pacijenata sa blagim oštećenjem funkcije jetre. </w:t>
      </w:r>
      <w:r w:rsidR="00173674" w:rsidRPr="00C0597B">
        <w:rPr>
          <w:sz w:val="22"/>
          <w:szCs w:val="22"/>
        </w:rPr>
        <w:t>Ni</w:t>
      </w:r>
      <w:r w:rsidR="009C218E" w:rsidRPr="00C0597B">
        <w:rPr>
          <w:sz w:val="22"/>
          <w:szCs w:val="22"/>
        </w:rPr>
        <w:t>je</w:t>
      </w:r>
      <w:r w:rsidR="00173674" w:rsidRPr="00822B86">
        <w:rPr>
          <w:sz w:val="22"/>
          <w:szCs w:val="22"/>
        </w:rPr>
        <w:t>su dostupne informacije u vezi sa upotrebom lorlatiniba kod pacijenta sa umjerenim ili teškim oštećenjem funkcije jetre. Zato, upotreba lorlatiniba se ne preporučuje kod pacijenata sa umjerenim do teškim oštećenjem funkcije jetre (vidjeti dio 5.2).</w:t>
      </w:r>
    </w:p>
    <w:p w14:paraId="5E83008C" w14:textId="77777777" w:rsidR="00173674" w:rsidRPr="00C0597B" w:rsidRDefault="00173674" w:rsidP="00D77E03">
      <w:pPr>
        <w:tabs>
          <w:tab w:val="clear" w:pos="567"/>
        </w:tabs>
        <w:spacing w:line="240" w:lineRule="auto"/>
        <w:jc w:val="both"/>
        <w:rPr>
          <w:szCs w:val="22"/>
        </w:rPr>
      </w:pPr>
    </w:p>
    <w:p w14:paraId="62B8D585" w14:textId="77777777" w:rsidR="00173674" w:rsidRPr="003C7D36" w:rsidRDefault="00173674" w:rsidP="00D77E03">
      <w:pPr>
        <w:pStyle w:val="Paragraph"/>
        <w:spacing w:after="0"/>
        <w:jc w:val="both"/>
        <w:rPr>
          <w:i/>
          <w:sz w:val="22"/>
          <w:szCs w:val="22"/>
        </w:rPr>
      </w:pPr>
      <w:r w:rsidRPr="00822B86">
        <w:rPr>
          <w:i/>
          <w:sz w:val="22"/>
          <w:szCs w:val="22"/>
        </w:rPr>
        <w:t>Pedijatrijska populacija</w:t>
      </w:r>
    </w:p>
    <w:p w14:paraId="67E44746" w14:textId="23A0A32B" w:rsidR="007C070F" w:rsidRPr="003C7D36" w:rsidRDefault="007C070F" w:rsidP="00D77E03">
      <w:pPr>
        <w:pStyle w:val="Paragraph"/>
        <w:spacing w:after="0"/>
        <w:jc w:val="both"/>
        <w:rPr>
          <w:sz w:val="22"/>
          <w:szCs w:val="22"/>
        </w:rPr>
      </w:pPr>
      <w:r w:rsidRPr="00C0597B">
        <w:rPr>
          <w:sz w:val="22"/>
          <w:szCs w:val="22"/>
        </w:rPr>
        <w:t>Bezbjednost i efikasnost lorlatiniba ni</w:t>
      </w:r>
      <w:r w:rsidR="009C218E" w:rsidRPr="00C0597B">
        <w:rPr>
          <w:sz w:val="22"/>
          <w:szCs w:val="22"/>
        </w:rPr>
        <w:t>je</w:t>
      </w:r>
      <w:r w:rsidRPr="00C0597B">
        <w:rPr>
          <w:sz w:val="22"/>
          <w:szCs w:val="22"/>
        </w:rPr>
        <w:t xml:space="preserve">su još utvrđene kod pedijatrijskih pacijenata mlađih od 18 godina. Nema raspoloživih podataka. </w:t>
      </w:r>
    </w:p>
    <w:p w14:paraId="0FD8C32B" w14:textId="77777777" w:rsidR="000E32D2" w:rsidRPr="00C0597B" w:rsidRDefault="000E32D2" w:rsidP="00D77E03">
      <w:pPr>
        <w:spacing w:line="240" w:lineRule="auto"/>
        <w:jc w:val="both"/>
        <w:rPr>
          <w:szCs w:val="22"/>
          <w:u w:val="single"/>
        </w:rPr>
      </w:pPr>
    </w:p>
    <w:p w14:paraId="01C5AD55" w14:textId="7A1196F2" w:rsidR="00F85365" w:rsidRPr="003C7D36" w:rsidRDefault="00F85365" w:rsidP="00D77E03">
      <w:pPr>
        <w:spacing w:line="240" w:lineRule="auto"/>
        <w:jc w:val="both"/>
        <w:rPr>
          <w:szCs w:val="22"/>
          <w:u w:val="single"/>
        </w:rPr>
      </w:pPr>
      <w:r w:rsidRPr="00822B86">
        <w:rPr>
          <w:szCs w:val="22"/>
          <w:u w:val="single"/>
        </w:rPr>
        <w:t xml:space="preserve">Način primjene </w:t>
      </w:r>
    </w:p>
    <w:p w14:paraId="17973AE5" w14:textId="77777777" w:rsidR="00F85365" w:rsidRPr="003C7D36" w:rsidRDefault="00F85365" w:rsidP="00D77E03">
      <w:pPr>
        <w:spacing w:line="240" w:lineRule="auto"/>
        <w:jc w:val="both"/>
        <w:rPr>
          <w:szCs w:val="22"/>
          <w:u w:val="single"/>
        </w:rPr>
      </w:pPr>
    </w:p>
    <w:p w14:paraId="1FBB32B2" w14:textId="77777777" w:rsidR="00F85365" w:rsidRPr="00C0597B" w:rsidRDefault="002F6C83" w:rsidP="00D77E03">
      <w:pPr>
        <w:tabs>
          <w:tab w:val="clear" w:pos="567"/>
        </w:tabs>
        <w:spacing w:line="240" w:lineRule="auto"/>
        <w:jc w:val="both"/>
        <w:rPr>
          <w:szCs w:val="22"/>
        </w:rPr>
      </w:pPr>
      <w:r w:rsidRPr="00C0597B">
        <w:rPr>
          <w:szCs w:val="22"/>
        </w:rPr>
        <w:t xml:space="preserve">Lijek Lorviqua je namijenjen za oralnu upotrebu. </w:t>
      </w:r>
    </w:p>
    <w:p w14:paraId="6B94966D" w14:textId="5FAB88DD" w:rsidR="00F85365" w:rsidRPr="00822B86" w:rsidRDefault="00F85365" w:rsidP="00D77E03">
      <w:pPr>
        <w:tabs>
          <w:tab w:val="clear" w:pos="567"/>
        </w:tabs>
        <w:spacing w:line="240" w:lineRule="auto"/>
        <w:jc w:val="both"/>
        <w:rPr>
          <w:szCs w:val="22"/>
        </w:rPr>
      </w:pPr>
    </w:p>
    <w:p w14:paraId="3E5BC38A" w14:textId="05E8F319" w:rsidR="00F85365" w:rsidRPr="0093305C" w:rsidRDefault="00F85365" w:rsidP="00D77E03">
      <w:pPr>
        <w:tabs>
          <w:tab w:val="clear" w:pos="567"/>
        </w:tabs>
        <w:spacing w:line="240" w:lineRule="auto"/>
        <w:jc w:val="both"/>
        <w:rPr>
          <w:szCs w:val="22"/>
        </w:rPr>
      </w:pPr>
      <w:r w:rsidRPr="00446153">
        <w:rPr>
          <w:szCs w:val="22"/>
        </w:rPr>
        <w:t>Pacijente treba podstaknuti da uzimaju svoju dozu lorlatiniba u približno isto vrijeme svaki dan sa hranom ili bez nje (vidjeti dio 5.2). Tablete treba progutati cijele (ne smiju se žvakati, lomiti ili dijeliti prije gutanja). Tableta se ne smije uzeti ako je slomljena, napukla ili oštećena na neki drugi način.</w:t>
      </w:r>
    </w:p>
    <w:p w14:paraId="61696D5B" w14:textId="77777777" w:rsidR="00F85365" w:rsidRPr="003C7D36" w:rsidRDefault="00F85365" w:rsidP="00D77E03">
      <w:pPr>
        <w:spacing w:line="240" w:lineRule="auto"/>
        <w:jc w:val="both"/>
        <w:rPr>
          <w:szCs w:val="22"/>
        </w:rPr>
      </w:pPr>
    </w:p>
    <w:p w14:paraId="24952F4D" w14:textId="77777777" w:rsidR="00812D16" w:rsidRPr="003C7D36" w:rsidRDefault="00812D16" w:rsidP="00D77E03">
      <w:pPr>
        <w:keepNext/>
        <w:spacing w:line="240" w:lineRule="auto"/>
        <w:ind w:left="567" w:hanging="567"/>
        <w:jc w:val="both"/>
        <w:rPr>
          <w:szCs w:val="22"/>
        </w:rPr>
      </w:pPr>
      <w:r w:rsidRPr="00C0597B">
        <w:rPr>
          <w:b/>
          <w:szCs w:val="22"/>
        </w:rPr>
        <w:t>4.3</w:t>
      </w:r>
      <w:r w:rsidRPr="00C0597B">
        <w:rPr>
          <w:b/>
          <w:szCs w:val="22"/>
        </w:rPr>
        <w:tab/>
        <w:t>Kontraindikacije</w:t>
      </w:r>
    </w:p>
    <w:p w14:paraId="0A445E63" w14:textId="77777777" w:rsidR="00812D16" w:rsidRPr="003C7D36" w:rsidRDefault="00812D16" w:rsidP="00D77E03">
      <w:pPr>
        <w:keepNext/>
        <w:spacing w:line="240" w:lineRule="auto"/>
        <w:jc w:val="both"/>
        <w:rPr>
          <w:szCs w:val="22"/>
        </w:rPr>
      </w:pPr>
    </w:p>
    <w:p w14:paraId="7BE5C564" w14:textId="77777777" w:rsidR="00DC2E42" w:rsidRPr="00C0597B" w:rsidRDefault="00DC2E42" w:rsidP="00D77E03">
      <w:pPr>
        <w:keepNext/>
        <w:tabs>
          <w:tab w:val="clear" w:pos="567"/>
        </w:tabs>
        <w:spacing w:line="240" w:lineRule="auto"/>
        <w:jc w:val="both"/>
        <w:rPr>
          <w:szCs w:val="22"/>
        </w:rPr>
      </w:pPr>
      <w:r w:rsidRPr="00C0597B">
        <w:rPr>
          <w:szCs w:val="22"/>
        </w:rPr>
        <w:t>Preosjetljivost na lorlatinib ili neku od pomoćnih supstanci navedenih u dijelu 6.1.</w:t>
      </w:r>
    </w:p>
    <w:p w14:paraId="38D28DD5" w14:textId="77777777" w:rsidR="00DC2E42" w:rsidRPr="003C7D36" w:rsidRDefault="00DC2E42" w:rsidP="00D77E03">
      <w:pPr>
        <w:pStyle w:val="Paragraph"/>
        <w:spacing w:after="0"/>
        <w:jc w:val="both"/>
        <w:rPr>
          <w:sz w:val="22"/>
          <w:szCs w:val="22"/>
        </w:rPr>
      </w:pPr>
    </w:p>
    <w:p w14:paraId="0097EBA4" w14:textId="5DB0A5C1" w:rsidR="00DC2E42" w:rsidRPr="003C7D36" w:rsidRDefault="00DC2E42" w:rsidP="00D77E03">
      <w:pPr>
        <w:pStyle w:val="Paragraph"/>
        <w:spacing w:after="0"/>
        <w:jc w:val="both"/>
        <w:rPr>
          <w:sz w:val="22"/>
          <w:szCs w:val="22"/>
        </w:rPr>
      </w:pPr>
      <w:r w:rsidRPr="00C0597B">
        <w:rPr>
          <w:sz w:val="22"/>
          <w:szCs w:val="22"/>
        </w:rPr>
        <w:t>Istovremena primjena snažnih induktora CYP3A4/5 (vidjeti d</w:t>
      </w:r>
      <w:r w:rsidR="00AB660C" w:rsidRPr="00C0597B">
        <w:rPr>
          <w:sz w:val="22"/>
          <w:szCs w:val="22"/>
        </w:rPr>
        <w:t>jelove</w:t>
      </w:r>
      <w:r w:rsidRPr="00822B86">
        <w:rPr>
          <w:sz w:val="22"/>
          <w:szCs w:val="22"/>
        </w:rPr>
        <w:t> 4.4 i 4.5).</w:t>
      </w:r>
    </w:p>
    <w:p w14:paraId="5F379C16" w14:textId="77777777" w:rsidR="00812D16" w:rsidRPr="003C7D36" w:rsidRDefault="00812D16" w:rsidP="00D77E03">
      <w:pPr>
        <w:spacing w:line="240" w:lineRule="auto"/>
        <w:jc w:val="both"/>
        <w:rPr>
          <w:szCs w:val="22"/>
        </w:rPr>
      </w:pPr>
    </w:p>
    <w:p w14:paraId="736BE9F5" w14:textId="77777777" w:rsidR="009742A6" w:rsidRPr="00C0597B" w:rsidRDefault="00812D16" w:rsidP="00D77E03">
      <w:pPr>
        <w:keepNext/>
        <w:tabs>
          <w:tab w:val="clear" w:pos="567"/>
        </w:tabs>
        <w:spacing w:line="240" w:lineRule="auto"/>
        <w:ind w:left="567" w:hanging="567"/>
        <w:jc w:val="both"/>
        <w:outlineLvl w:val="0"/>
        <w:rPr>
          <w:szCs w:val="22"/>
        </w:rPr>
      </w:pPr>
      <w:r w:rsidRPr="00C0597B">
        <w:rPr>
          <w:b/>
          <w:szCs w:val="22"/>
        </w:rPr>
        <w:t>4.4</w:t>
      </w:r>
      <w:r w:rsidRPr="00C0597B">
        <w:rPr>
          <w:b/>
          <w:szCs w:val="22"/>
        </w:rPr>
        <w:tab/>
        <w:t>Posebna upozorenja i mjere opreza pri upotrebi lijeka</w:t>
      </w:r>
    </w:p>
    <w:p w14:paraId="0DFB4BE0" w14:textId="77777777" w:rsidR="00812D16" w:rsidRPr="003C7D36" w:rsidRDefault="00812D16" w:rsidP="00D77E03">
      <w:pPr>
        <w:keepNext/>
        <w:spacing w:line="240" w:lineRule="auto"/>
        <w:ind w:left="567" w:hanging="567"/>
        <w:jc w:val="both"/>
        <w:rPr>
          <w:b/>
          <w:szCs w:val="22"/>
        </w:rPr>
      </w:pPr>
    </w:p>
    <w:p w14:paraId="7C9A8B31" w14:textId="77777777" w:rsidR="007C070F" w:rsidRPr="00C0597B" w:rsidRDefault="009742A6" w:rsidP="00D77E03">
      <w:pPr>
        <w:keepNext/>
        <w:spacing w:line="240" w:lineRule="auto"/>
        <w:jc w:val="both"/>
        <w:rPr>
          <w:szCs w:val="22"/>
          <w:u w:val="single"/>
        </w:rPr>
      </w:pPr>
      <w:r w:rsidRPr="00C0597B">
        <w:rPr>
          <w:szCs w:val="22"/>
          <w:u w:val="single"/>
        </w:rPr>
        <w:t>Hiperlipidemija</w:t>
      </w:r>
    </w:p>
    <w:p w14:paraId="4FDAC731" w14:textId="77777777" w:rsidR="009742A6" w:rsidRPr="00822B86" w:rsidRDefault="009742A6" w:rsidP="00D77E03">
      <w:pPr>
        <w:keepNext/>
        <w:spacing w:line="240" w:lineRule="auto"/>
        <w:jc w:val="both"/>
        <w:rPr>
          <w:szCs w:val="22"/>
          <w:u w:val="single"/>
        </w:rPr>
      </w:pPr>
    </w:p>
    <w:p w14:paraId="17188E53" w14:textId="49A9773E" w:rsidR="002B69E7" w:rsidRPr="0093305C" w:rsidRDefault="009742A6" w:rsidP="00D77E03">
      <w:pPr>
        <w:keepNext/>
        <w:spacing w:line="240" w:lineRule="auto"/>
        <w:jc w:val="both"/>
        <w:rPr>
          <w:szCs w:val="22"/>
        </w:rPr>
      </w:pPr>
      <w:r w:rsidRPr="00446153">
        <w:rPr>
          <w:szCs w:val="22"/>
        </w:rPr>
        <w:t xml:space="preserve">Primjena lorlatiniba povezana je sa povišenim vrijednostima holesterola i triglicerida u serumu (vidjeti dio 4.8). Medijana vremena do pojave povećanja holesterola i triglicerida u serumu teškog stepena iznosi </w:t>
      </w:r>
      <w:r w:rsidR="00F85F92" w:rsidRPr="0093305C">
        <w:rPr>
          <w:szCs w:val="22"/>
        </w:rPr>
        <w:t>104 </w:t>
      </w:r>
      <w:r w:rsidRPr="0093305C">
        <w:rPr>
          <w:szCs w:val="22"/>
        </w:rPr>
        <w:t>dan</w:t>
      </w:r>
      <w:r w:rsidR="00F85F92" w:rsidRPr="0093305C">
        <w:rPr>
          <w:szCs w:val="22"/>
        </w:rPr>
        <w:t>a</w:t>
      </w:r>
      <w:r w:rsidRPr="0093305C">
        <w:rPr>
          <w:szCs w:val="22"/>
        </w:rPr>
        <w:t xml:space="preserve"> (raspon: od </w:t>
      </w:r>
      <w:r w:rsidR="00F85F92" w:rsidRPr="0093305C">
        <w:rPr>
          <w:szCs w:val="22"/>
        </w:rPr>
        <w:t xml:space="preserve">29 </w:t>
      </w:r>
      <w:r w:rsidRPr="0093305C">
        <w:rPr>
          <w:szCs w:val="22"/>
        </w:rPr>
        <w:t xml:space="preserve">do 518 dana), odnosno </w:t>
      </w:r>
      <w:r w:rsidR="00103F80" w:rsidRPr="0093305C">
        <w:rPr>
          <w:szCs w:val="22"/>
        </w:rPr>
        <w:t xml:space="preserve">120 </w:t>
      </w:r>
      <w:r w:rsidRPr="0093305C">
        <w:rPr>
          <w:szCs w:val="22"/>
        </w:rPr>
        <w:t xml:space="preserve">dana (raspon: od 15 do </w:t>
      </w:r>
      <w:r w:rsidR="001A1AFD" w:rsidRPr="0093305C">
        <w:rPr>
          <w:szCs w:val="22"/>
        </w:rPr>
        <w:t>780 </w:t>
      </w:r>
      <w:r w:rsidRPr="0093305C">
        <w:rPr>
          <w:szCs w:val="22"/>
        </w:rPr>
        <w:t xml:space="preserve">dana). Potrebno je pratiti holesterol i trigliceride u serumu prije početka liječenja lorlatinibom; 2, 4 i 8 sedmica nakon početka liječenja lorlatinibom i potom redovno. Ako je indikovano, </w:t>
      </w:r>
      <w:r w:rsidR="005001D0" w:rsidRPr="0093305C">
        <w:rPr>
          <w:szCs w:val="22"/>
        </w:rPr>
        <w:t xml:space="preserve">potrebno je </w:t>
      </w:r>
      <w:r w:rsidRPr="0093305C">
        <w:rPr>
          <w:szCs w:val="22"/>
        </w:rPr>
        <w:t>uv</w:t>
      </w:r>
      <w:r w:rsidR="005001D0" w:rsidRPr="0093305C">
        <w:rPr>
          <w:szCs w:val="22"/>
        </w:rPr>
        <w:t>o</w:t>
      </w:r>
      <w:r w:rsidRPr="0093305C">
        <w:rPr>
          <w:szCs w:val="22"/>
        </w:rPr>
        <w:t>dit</w:t>
      </w:r>
      <w:r w:rsidR="005001D0" w:rsidRPr="0093305C">
        <w:rPr>
          <w:szCs w:val="22"/>
        </w:rPr>
        <w:t>i</w:t>
      </w:r>
      <w:r w:rsidRPr="0093305C">
        <w:rPr>
          <w:szCs w:val="22"/>
        </w:rPr>
        <w:t xml:space="preserve"> ili povećat</w:t>
      </w:r>
      <w:r w:rsidR="005001D0" w:rsidRPr="0093305C">
        <w:rPr>
          <w:szCs w:val="22"/>
        </w:rPr>
        <w:t>i</w:t>
      </w:r>
      <w:r w:rsidRPr="0093305C">
        <w:rPr>
          <w:szCs w:val="22"/>
        </w:rPr>
        <w:t xml:space="preserve"> dozu ljekova za snižavanje nivoa lipida (vidjeti dio 4.2).</w:t>
      </w:r>
    </w:p>
    <w:p w14:paraId="2418D2BB" w14:textId="77777777" w:rsidR="002B69E7" w:rsidRPr="0093305C" w:rsidRDefault="002B69E7" w:rsidP="00D77E03">
      <w:pPr>
        <w:keepNext/>
        <w:spacing w:line="240" w:lineRule="auto"/>
        <w:jc w:val="both"/>
        <w:rPr>
          <w:szCs w:val="22"/>
        </w:rPr>
      </w:pPr>
    </w:p>
    <w:p w14:paraId="67591BD5" w14:textId="77777777" w:rsidR="009742A6" w:rsidRPr="003C7D36" w:rsidRDefault="009742A6" w:rsidP="00D77E03">
      <w:pPr>
        <w:keepNext/>
        <w:spacing w:line="240" w:lineRule="auto"/>
        <w:jc w:val="both"/>
        <w:rPr>
          <w:szCs w:val="22"/>
          <w:u w:val="single"/>
        </w:rPr>
      </w:pPr>
      <w:r w:rsidRPr="0093305C">
        <w:rPr>
          <w:szCs w:val="22"/>
          <w:u w:val="single"/>
        </w:rPr>
        <w:t>Dejstva na centralni nervni sistem</w:t>
      </w:r>
    </w:p>
    <w:p w14:paraId="608DBAA8" w14:textId="77777777" w:rsidR="007C070F" w:rsidRPr="003C7D36" w:rsidRDefault="007C070F" w:rsidP="00D77E03">
      <w:pPr>
        <w:keepNext/>
        <w:spacing w:line="240" w:lineRule="auto"/>
        <w:jc w:val="both"/>
        <w:rPr>
          <w:szCs w:val="22"/>
        </w:rPr>
      </w:pPr>
    </w:p>
    <w:p w14:paraId="383E97AC" w14:textId="4D144C18" w:rsidR="002B69E7" w:rsidRPr="003C7D36" w:rsidRDefault="002B69E7" w:rsidP="00D77E03">
      <w:pPr>
        <w:keepNext/>
        <w:spacing w:line="240" w:lineRule="auto"/>
        <w:jc w:val="both"/>
        <w:rPr>
          <w:szCs w:val="22"/>
        </w:rPr>
      </w:pPr>
      <w:r w:rsidRPr="00C0597B">
        <w:rPr>
          <w:szCs w:val="22"/>
        </w:rPr>
        <w:t>Kod pacijenata koji su primali lorlatinib zabilježeni su efekti na centralni nervni sistem (CNS), što podrazumijeva psihotična dejstva i promjene kog</w:t>
      </w:r>
      <w:r w:rsidR="004170DB" w:rsidRPr="00822B86">
        <w:rPr>
          <w:szCs w:val="22"/>
        </w:rPr>
        <w:t>n</w:t>
      </w:r>
      <w:r w:rsidRPr="00822B86">
        <w:rPr>
          <w:szCs w:val="22"/>
        </w:rPr>
        <w:t>itivne funkcije, raspoloženja, mentalnog statusa ili govora (vidjeti dio 4.8). Kod pacijenata kod kojih se razviju efekti na CNS može biti potrebno prilagođavanje doze ili prekid primjene lijeka (vidjeti dio 4.</w:t>
      </w:r>
      <w:r w:rsidR="00ED037D" w:rsidRPr="00446153">
        <w:rPr>
          <w:szCs w:val="22"/>
        </w:rPr>
        <w:t>2</w:t>
      </w:r>
      <w:r w:rsidRPr="00446153">
        <w:rPr>
          <w:szCs w:val="22"/>
        </w:rPr>
        <w:t>).</w:t>
      </w:r>
    </w:p>
    <w:p w14:paraId="544D76C0" w14:textId="77777777" w:rsidR="002B69E7" w:rsidRPr="003C7D36" w:rsidRDefault="002B69E7" w:rsidP="00D77E03">
      <w:pPr>
        <w:spacing w:line="240" w:lineRule="auto"/>
        <w:jc w:val="both"/>
        <w:rPr>
          <w:szCs w:val="22"/>
        </w:rPr>
      </w:pPr>
    </w:p>
    <w:p w14:paraId="3AD198B7" w14:textId="77777777" w:rsidR="002B69E7" w:rsidRPr="00C0597B" w:rsidRDefault="002B69E7" w:rsidP="00D77E03">
      <w:pPr>
        <w:keepNext/>
        <w:jc w:val="both"/>
        <w:rPr>
          <w:szCs w:val="22"/>
          <w:u w:val="single"/>
        </w:rPr>
      </w:pPr>
      <w:r w:rsidRPr="00C0597B">
        <w:rPr>
          <w:szCs w:val="22"/>
          <w:u w:val="single"/>
        </w:rPr>
        <w:lastRenderedPageBreak/>
        <w:t>Atrioventrikularni blok</w:t>
      </w:r>
    </w:p>
    <w:p w14:paraId="15DC6CB7" w14:textId="77777777" w:rsidR="002B69E7" w:rsidRPr="00822B86" w:rsidRDefault="002B69E7" w:rsidP="00D77E03">
      <w:pPr>
        <w:keepNext/>
        <w:spacing w:line="240" w:lineRule="auto"/>
        <w:jc w:val="both"/>
        <w:rPr>
          <w:szCs w:val="22"/>
        </w:rPr>
      </w:pPr>
    </w:p>
    <w:p w14:paraId="44435FDA" w14:textId="4DB2D0B5" w:rsidR="004F16DA" w:rsidRPr="003C7D36" w:rsidRDefault="002B69E7" w:rsidP="00D77E03">
      <w:pPr>
        <w:keepNext/>
        <w:tabs>
          <w:tab w:val="left" w:pos="8460"/>
        </w:tabs>
        <w:spacing w:line="240" w:lineRule="auto"/>
        <w:jc w:val="both"/>
        <w:rPr>
          <w:kern w:val="32"/>
          <w:szCs w:val="22"/>
        </w:rPr>
      </w:pPr>
      <w:r w:rsidRPr="00446153">
        <w:rPr>
          <w:szCs w:val="22"/>
        </w:rPr>
        <w:t>Lorlatinib je ispitivan u populaciji pacijenata iz koje su isključeni pacijenti koji su imali AV</w:t>
      </w:r>
      <w:r w:rsidR="00FB0014" w:rsidRPr="00446153">
        <w:rPr>
          <w:szCs w:val="22"/>
        </w:rPr>
        <w:t> </w:t>
      </w:r>
      <w:r w:rsidRPr="00446153">
        <w:rPr>
          <w:szCs w:val="22"/>
        </w:rPr>
        <w:t>blok drugog ili trećeg stepena (osim ako su imali pejsmejker) ili bilo koji AV</w:t>
      </w:r>
      <w:r w:rsidR="00FB0014" w:rsidRPr="0093305C">
        <w:rPr>
          <w:szCs w:val="22"/>
        </w:rPr>
        <w:t> </w:t>
      </w:r>
      <w:r w:rsidRPr="0093305C">
        <w:rPr>
          <w:szCs w:val="22"/>
        </w:rPr>
        <w:t>blok sa PR</w:t>
      </w:r>
      <w:r w:rsidR="00FB0014" w:rsidRPr="0093305C">
        <w:rPr>
          <w:szCs w:val="22"/>
        </w:rPr>
        <w:t> </w:t>
      </w:r>
      <w:r w:rsidRPr="0093305C">
        <w:rPr>
          <w:szCs w:val="22"/>
        </w:rPr>
        <w:t>intervalom &gt; 220 ms. Zabilježeno je produženje PR</w:t>
      </w:r>
      <w:r w:rsidR="00FB0014" w:rsidRPr="0093305C">
        <w:rPr>
          <w:szCs w:val="22"/>
        </w:rPr>
        <w:t> </w:t>
      </w:r>
      <w:r w:rsidRPr="0093305C">
        <w:rPr>
          <w:szCs w:val="22"/>
        </w:rPr>
        <w:t>intervala i AV</w:t>
      </w:r>
      <w:r w:rsidR="00FB0014" w:rsidRPr="0093305C">
        <w:rPr>
          <w:szCs w:val="22"/>
        </w:rPr>
        <w:t> </w:t>
      </w:r>
      <w:r w:rsidRPr="0093305C">
        <w:rPr>
          <w:szCs w:val="22"/>
        </w:rPr>
        <w:t>blok kod pacijenata koji primaju lorlatinib (vidjeti dio 5.2). Pratite elektrokardiogram (EKG) prije započinjanja primjene lorlatiniba i potom mjesečno, posebno kod pacijenata koji imaju predisponirajuća stanja koja mogu dovesti do pojave klinički značajnih srčanih događaja. Možda će biti potrebno prilagođavanje doze kod pacijenata kod kojih se razvio AV</w:t>
      </w:r>
      <w:r w:rsidR="00FB0014" w:rsidRPr="0093305C">
        <w:rPr>
          <w:szCs w:val="22"/>
        </w:rPr>
        <w:t> </w:t>
      </w:r>
      <w:r w:rsidRPr="0093305C">
        <w:rPr>
          <w:szCs w:val="22"/>
        </w:rPr>
        <w:t xml:space="preserve">blok (vidjeti dio 4.2). </w:t>
      </w:r>
    </w:p>
    <w:p w14:paraId="67C110F3" w14:textId="77777777" w:rsidR="005938A9" w:rsidRPr="003C7D36" w:rsidRDefault="005938A9" w:rsidP="00D77E03">
      <w:pPr>
        <w:keepNext/>
        <w:tabs>
          <w:tab w:val="left" w:pos="8460"/>
        </w:tabs>
        <w:spacing w:line="240" w:lineRule="auto"/>
        <w:jc w:val="both"/>
        <w:rPr>
          <w:kern w:val="32"/>
          <w:szCs w:val="22"/>
        </w:rPr>
      </w:pPr>
    </w:p>
    <w:p w14:paraId="74B4238C" w14:textId="77777777" w:rsidR="005938A9" w:rsidRPr="003C7D36" w:rsidRDefault="005938A9" w:rsidP="00D77E03">
      <w:pPr>
        <w:keepNext/>
        <w:tabs>
          <w:tab w:val="left" w:pos="8460"/>
        </w:tabs>
        <w:spacing w:line="240" w:lineRule="auto"/>
        <w:jc w:val="both"/>
        <w:rPr>
          <w:kern w:val="32"/>
          <w:szCs w:val="22"/>
          <w:u w:val="single"/>
        </w:rPr>
      </w:pPr>
      <w:r w:rsidRPr="00C0597B">
        <w:rPr>
          <w:szCs w:val="22"/>
          <w:u w:val="single"/>
        </w:rPr>
        <w:t>Smanjenje ejekcione frakcije lijeve komore</w:t>
      </w:r>
    </w:p>
    <w:p w14:paraId="3DC4B9EE" w14:textId="77777777" w:rsidR="005938A9" w:rsidRPr="00C0597B" w:rsidRDefault="005938A9" w:rsidP="00D77E03">
      <w:pPr>
        <w:keepNext/>
        <w:tabs>
          <w:tab w:val="left" w:pos="8460"/>
        </w:tabs>
        <w:spacing w:line="240" w:lineRule="auto"/>
        <w:jc w:val="both"/>
        <w:rPr>
          <w:szCs w:val="22"/>
        </w:rPr>
      </w:pPr>
    </w:p>
    <w:p w14:paraId="3F1DB3E8" w14:textId="0B7C6B02" w:rsidR="005938A9" w:rsidRPr="0093305C" w:rsidRDefault="00CC100F" w:rsidP="00D77E03">
      <w:pPr>
        <w:keepNext/>
        <w:tabs>
          <w:tab w:val="left" w:pos="8460"/>
        </w:tabs>
        <w:spacing w:line="240" w:lineRule="auto"/>
        <w:jc w:val="both"/>
        <w:rPr>
          <w:szCs w:val="22"/>
        </w:rPr>
      </w:pPr>
      <w:r w:rsidRPr="00822B86">
        <w:rPr>
          <w:szCs w:val="22"/>
        </w:rPr>
        <w:t>Smanjenje ejekcione frakcije lijeve komore (</w:t>
      </w:r>
      <w:r w:rsidR="005001D0" w:rsidRPr="00822B86">
        <w:rPr>
          <w:szCs w:val="22"/>
        </w:rPr>
        <w:t xml:space="preserve">engl. </w:t>
      </w:r>
      <w:r w:rsidR="005001D0" w:rsidRPr="00822B86">
        <w:rPr>
          <w:i/>
          <w:iCs/>
          <w:szCs w:val="22"/>
        </w:rPr>
        <w:t>left ventricular ejection fraction</w:t>
      </w:r>
      <w:r w:rsidR="005001D0" w:rsidRPr="00446153">
        <w:rPr>
          <w:szCs w:val="22"/>
        </w:rPr>
        <w:t xml:space="preserve"> – </w:t>
      </w:r>
      <w:r w:rsidRPr="00446153">
        <w:rPr>
          <w:szCs w:val="22"/>
        </w:rPr>
        <w:t xml:space="preserve">LVEF) zabilježeno je kod </w:t>
      </w:r>
      <w:r w:rsidRPr="0093305C">
        <w:rPr>
          <w:szCs w:val="22"/>
        </w:rPr>
        <w:t>pacijenata koji su primali lorlatinib i koji su imali početnu procjenu i najmanje jednu kontrolnu procjenu LVEF. Na osnovu dostupnih podataka iz kliničkog ispitivanja, nije moguće odrediti uzročni odnos između efekata na promjene u srčanoj kontraktilnosti i lorlatiniba. Kod pacijenata sa faktorima rizika za bolest srca i onih sa stanjima koja mogu uticati na LVEF, potrebno je razmotriti praćenje rada srca, uključujući procjenu LVEF prije početka i tokom liječenja. Kod pacijenata kod kojih se tokom liječenja razviju značajni znaci/simptomi srčanih bolesti, potrebno je razmotriti praćenje rada srca, uključujući procjenu LVEF.</w:t>
      </w:r>
    </w:p>
    <w:p w14:paraId="718B99F4" w14:textId="77777777" w:rsidR="004F16DA" w:rsidRPr="003C7D36" w:rsidRDefault="004F16DA" w:rsidP="00D77E03">
      <w:pPr>
        <w:spacing w:line="240" w:lineRule="auto"/>
        <w:jc w:val="both"/>
        <w:outlineLvl w:val="0"/>
        <w:rPr>
          <w:szCs w:val="22"/>
        </w:rPr>
      </w:pPr>
    </w:p>
    <w:p w14:paraId="139E1B35" w14:textId="77777777" w:rsidR="004F16DA" w:rsidRPr="003C7D36" w:rsidRDefault="004F16DA" w:rsidP="00D77E03">
      <w:pPr>
        <w:keepNext/>
        <w:spacing w:line="240" w:lineRule="auto"/>
        <w:jc w:val="both"/>
        <w:outlineLvl w:val="0"/>
        <w:rPr>
          <w:szCs w:val="22"/>
          <w:u w:val="single"/>
        </w:rPr>
      </w:pPr>
      <w:r w:rsidRPr="00C0597B">
        <w:rPr>
          <w:szCs w:val="22"/>
          <w:u w:val="single"/>
        </w:rPr>
        <w:t xml:space="preserve">Povećanje nivoa lipaze i amilaze </w:t>
      </w:r>
    </w:p>
    <w:p w14:paraId="33867395" w14:textId="77777777" w:rsidR="004F16DA" w:rsidRPr="003C7D36" w:rsidRDefault="004F16DA" w:rsidP="00D77E03">
      <w:pPr>
        <w:keepNext/>
        <w:spacing w:line="240" w:lineRule="auto"/>
        <w:jc w:val="both"/>
        <w:outlineLvl w:val="0"/>
        <w:rPr>
          <w:szCs w:val="22"/>
        </w:rPr>
      </w:pPr>
    </w:p>
    <w:p w14:paraId="480CDEDD" w14:textId="6E73E85C" w:rsidR="004F16DA" w:rsidRPr="003C7D36" w:rsidRDefault="004F16DA" w:rsidP="00D77E03">
      <w:pPr>
        <w:keepNext/>
        <w:spacing w:line="240" w:lineRule="auto"/>
        <w:jc w:val="both"/>
        <w:outlineLvl w:val="0"/>
        <w:rPr>
          <w:szCs w:val="22"/>
        </w:rPr>
      </w:pPr>
      <w:r w:rsidRPr="00C0597B">
        <w:rPr>
          <w:szCs w:val="22"/>
        </w:rPr>
        <w:t xml:space="preserve">Kod pacijenata koji su primali lorlatinib javljalo se povećanje nivoa lipaze i/ili amilaze (vidjeti dio 4.8). Medijana vremena do pojave povećanja nivoa lipaze i amilaze u serumu je </w:t>
      </w:r>
      <w:r w:rsidR="00DB4821" w:rsidRPr="00C0597B">
        <w:rPr>
          <w:szCs w:val="22"/>
        </w:rPr>
        <w:t>141</w:t>
      </w:r>
      <w:r w:rsidRPr="00C0597B">
        <w:rPr>
          <w:szCs w:val="22"/>
        </w:rPr>
        <w:t xml:space="preserve"> dan (raspon: od </w:t>
      </w:r>
      <w:r w:rsidR="00AA45FC" w:rsidRPr="00C0597B">
        <w:rPr>
          <w:szCs w:val="22"/>
        </w:rPr>
        <w:t>1</w:t>
      </w:r>
      <w:r w:rsidRPr="00C0597B">
        <w:rPr>
          <w:szCs w:val="22"/>
        </w:rPr>
        <w:t xml:space="preserve"> do </w:t>
      </w:r>
      <w:r w:rsidR="00AA45FC" w:rsidRPr="00C0597B">
        <w:rPr>
          <w:szCs w:val="22"/>
        </w:rPr>
        <w:t>1091</w:t>
      </w:r>
      <w:r w:rsidRPr="00C0597B">
        <w:rPr>
          <w:szCs w:val="22"/>
        </w:rPr>
        <w:t xml:space="preserve"> dan), odnosno </w:t>
      </w:r>
      <w:r w:rsidR="00850083" w:rsidRPr="00C0597B">
        <w:rPr>
          <w:szCs w:val="22"/>
        </w:rPr>
        <w:t>138</w:t>
      </w:r>
      <w:r w:rsidRPr="00C0597B">
        <w:rPr>
          <w:szCs w:val="22"/>
        </w:rPr>
        <w:t> dan</w:t>
      </w:r>
      <w:r w:rsidR="005D59D3" w:rsidRPr="00C0597B">
        <w:rPr>
          <w:szCs w:val="22"/>
        </w:rPr>
        <w:t>a</w:t>
      </w:r>
      <w:r w:rsidRPr="00C0597B">
        <w:rPr>
          <w:szCs w:val="22"/>
        </w:rPr>
        <w:t xml:space="preserve"> (raspon: od </w:t>
      </w:r>
      <w:r w:rsidR="005D59D3" w:rsidRPr="00C0597B">
        <w:rPr>
          <w:szCs w:val="22"/>
        </w:rPr>
        <w:t>1</w:t>
      </w:r>
      <w:r w:rsidRPr="00C0597B">
        <w:rPr>
          <w:szCs w:val="22"/>
        </w:rPr>
        <w:t xml:space="preserve"> do </w:t>
      </w:r>
      <w:r w:rsidR="005D59D3" w:rsidRPr="00C0597B">
        <w:rPr>
          <w:szCs w:val="22"/>
        </w:rPr>
        <w:t>1112</w:t>
      </w:r>
      <w:r w:rsidRPr="00C0597B">
        <w:rPr>
          <w:szCs w:val="22"/>
        </w:rPr>
        <w:t xml:space="preserve"> dana). Potrebno je uzeti u obzir rizik za nastanak pankreatitisa kod pacijenata koji primaju lorlatinib zbog istovremene hipertrigliceridemije i/ili potencijalnog intrinzičnog mehanizma. Zbog mogućeg povećanja nivoa lipaze i amilaze, potrebno je pratiti pacijente prije početka liječenja lorlatinibom i redovno nakon toga prema kliničkoj indikaciji (vidjeti dio 4.2). </w:t>
      </w:r>
    </w:p>
    <w:p w14:paraId="30CEA5EB" w14:textId="77777777" w:rsidR="004F16DA" w:rsidRPr="003C7D36" w:rsidRDefault="004F16DA" w:rsidP="00D77E03">
      <w:pPr>
        <w:spacing w:line="240" w:lineRule="auto"/>
        <w:jc w:val="both"/>
        <w:outlineLvl w:val="0"/>
        <w:rPr>
          <w:szCs w:val="22"/>
        </w:rPr>
      </w:pPr>
    </w:p>
    <w:p w14:paraId="02BFF5DA" w14:textId="77777777" w:rsidR="004F16DA" w:rsidRPr="003C7D36" w:rsidRDefault="004F16DA" w:rsidP="00D77E03">
      <w:pPr>
        <w:keepNext/>
        <w:spacing w:line="240" w:lineRule="auto"/>
        <w:jc w:val="both"/>
        <w:outlineLvl w:val="0"/>
        <w:rPr>
          <w:szCs w:val="22"/>
          <w:u w:val="single"/>
        </w:rPr>
      </w:pPr>
      <w:r w:rsidRPr="00C0597B">
        <w:rPr>
          <w:szCs w:val="22"/>
          <w:u w:val="single"/>
        </w:rPr>
        <w:t xml:space="preserve">Intersticijalna bolest pluća / Pneumonitis </w:t>
      </w:r>
    </w:p>
    <w:p w14:paraId="194758A1" w14:textId="77777777" w:rsidR="004F16DA" w:rsidRPr="003C7D36" w:rsidRDefault="004F16DA" w:rsidP="00D77E03">
      <w:pPr>
        <w:keepNext/>
        <w:spacing w:line="240" w:lineRule="auto"/>
        <w:jc w:val="both"/>
        <w:outlineLvl w:val="0"/>
        <w:rPr>
          <w:szCs w:val="22"/>
        </w:rPr>
      </w:pPr>
    </w:p>
    <w:p w14:paraId="611FE750" w14:textId="1E19D79A" w:rsidR="004F16DA" w:rsidRPr="003C7D36" w:rsidRDefault="002B69E7" w:rsidP="00D77E03">
      <w:pPr>
        <w:spacing w:line="240" w:lineRule="auto"/>
        <w:jc w:val="both"/>
        <w:outlineLvl w:val="0"/>
        <w:rPr>
          <w:szCs w:val="22"/>
        </w:rPr>
      </w:pPr>
      <w:r w:rsidRPr="00C0597B">
        <w:rPr>
          <w:szCs w:val="22"/>
        </w:rPr>
        <w:t xml:space="preserve">Uz primjenu lorlatiniba </w:t>
      </w:r>
      <w:r w:rsidRPr="00822B86">
        <w:rPr>
          <w:szCs w:val="22"/>
        </w:rPr>
        <w:t xml:space="preserve">pojavile su se teške plućne neželjene reakcije </w:t>
      </w:r>
      <w:r w:rsidR="00C0597B" w:rsidRPr="0031203A">
        <w:rPr>
          <w:szCs w:val="22"/>
        </w:rPr>
        <w:t>ili pl</w:t>
      </w:r>
      <w:r w:rsidR="0093305C">
        <w:rPr>
          <w:szCs w:val="22"/>
        </w:rPr>
        <w:t>u</w:t>
      </w:r>
      <w:r w:rsidR="00C0597B" w:rsidRPr="0031203A">
        <w:rPr>
          <w:szCs w:val="22"/>
        </w:rPr>
        <w:t xml:space="preserve">ćne neželjene reakcije </w:t>
      </w:r>
      <w:r w:rsidRPr="00C0597B">
        <w:rPr>
          <w:szCs w:val="22"/>
        </w:rPr>
        <w:t>opasne po život koje se podudaraju s intersticijalnom bolesti pluća/pneumonitisom (vidjeti dio 4.8). Svakog pacijenta kod kojeg se pogoršavaju respiratorni simptomi koji ukazuju na intersticijalnu bolesti pluća/pneumonitis (npr. dispneja, kašalj i povišena tjelesna temperatura) treba odmah pregledati pod sumnjom na postojanje intersticijalne bolesti pluća/pneumonitisa. U zavisnosti od težine stanja, potrebno je privremeno obustaviti i/ili trajno prekinuti primjenu lorlatiniba (vidjeti dio 4.2).</w:t>
      </w:r>
    </w:p>
    <w:p w14:paraId="1FF9DC34" w14:textId="7F068F64" w:rsidR="00812D16" w:rsidRPr="003C7D36" w:rsidRDefault="00812D16" w:rsidP="00D77E03">
      <w:pPr>
        <w:spacing w:line="240" w:lineRule="auto"/>
        <w:jc w:val="both"/>
        <w:outlineLvl w:val="0"/>
        <w:rPr>
          <w:szCs w:val="22"/>
        </w:rPr>
      </w:pPr>
    </w:p>
    <w:p w14:paraId="08161532" w14:textId="77777777" w:rsidR="005001D0" w:rsidRPr="003C7D36" w:rsidRDefault="005001D0" w:rsidP="00D77E03">
      <w:pPr>
        <w:jc w:val="both"/>
        <w:outlineLvl w:val="0"/>
        <w:rPr>
          <w:szCs w:val="22"/>
          <w:u w:val="single"/>
        </w:rPr>
      </w:pPr>
      <w:r w:rsidRPr="003C7D36">
        <w:rPr>
          <w:szCs w:val="22"/>
          <w:u w:val="single"/>
        </w:rPr>
        <w:t>Hipertenzija</w:t>
      </w:r>
    </w:p>
    <w:p w14:paraId="5237CAC6" w14:textId="77777777" w:rsidR="005001D0" w:rsidRPr="003C7D36" w:rsidRDefault="005001D0" w:rsidP="00D77E03">
      <w:pPr>
        <w:jc w:val="both"/>
        <w:outlineLvl w:val="0"/>
        <w:rPr>
          <w:szCs w:val="22"/>
        </w:rPr>
      </w:pPr>
    </w:p>
    <w:p w14:paraId="416ADCD4" w14:textId="3A07D1A7" w:rsidR="005001D0" w:rsidRPr="003C7D36" w:rsidRDefault="005001D0" w:rsidP="00D77E03">
      <w:pPr>
        <w:jc w:val="both"/>
        <w:outlineLvl w:val="0"/>
        <w:rPr>
          <w:szCs w:val="22"/>
        </w:rPr>
      </w:pPr>
      <w:r w:rsidRPr="003C7D36">
        <w:rPr>
          <w:szCs w:val="22"/>
        </w:rPr>
        <w:t>Kod pacijenata koji su primali lorlatinib prijavljena je hipertenzija (videti dio 4.8). Potrebno je kontrolisati krvni pritisak prije početka primjene lorlatiniba. Tokom liječenja lorlatinibom, treba pratiti krvni pritisak nakon 2 nedjelje i posl</w:t>
      </w:r>
      <w:r w:rsidR="00726215" w:rsidRPr="003C7D36">
        <w:rPr>
          <w:szCs w:val="22"/>
        </w:rPr>
        <w:t>ij</w:t>
      </w:r>
      <w:r w:rsidRPr="003C7D36">
        <w:rPr>
          <w:szCs w:val="22"/>
        </w:rPr>
        <w:t>e toga najmanje jednom mjesečno. U zavisnosti koliko je teško stanje, potrebno je privremeno prekinuti primjenu lorlatiniba i nastaviti sa primjenom smanjene doze ili trajno prekinuti primjenu lorlatiniba (vid</w:t>
      </w:r>
      <w:r w:rsidR="00726215" w:rsidRPr="003C7D36">
        <w:rPr>
          <w:szCs w:val="22"/>
        </w:rPr>
        <w:t>j</w:t>
      </w:r>
      <w:r w:rsidRPr="003C7D36">
        <w:rPr>
          <w:szCs w:val="22"/>
        </w:rPr>
        <w:t>eti dio 4.2).</w:t>
      </w:r>
    </w:p>
    <w:p w14:paraId="3BA6951F" w14:textId="77777777" w:rsidR="005001D0" w:rsidRPr="003C7D36" w:rsidRDefault="005001D0" w:rsidP="00D77E03">
      <w:pPr>
        <w:jc w:val="both"/>
        <w:outlineLvl w:val="0"/>
        <w:rPr>
          <w:szCs w:val="22"/>
        </w:rPr>
      </w:pPr>
    </w:p>
    <w:p w14:paraId="00B39384" w14:textId="77777777" w:rsidR="005001D0" w:rsidRPr="003C7D36" w:rsidRDefault="005001D0" w:rsidP="00D77E03">
      <w:pPr>
        <w:jc w:val="both"/>
        <w:outlineLvl w:val="0"/>
        <w:rPr>
          <w:szCs w:val="22"/>
          <w:u w:val="single"/>
        </w:rPr>
      </w:pPr>
      <w:r w:rsidRPr="003C7D36">
        <w:rPr>
          <w:szCs w:val="22"/>
          <w:u w:val="single"/>
        </w:rPr>
        <w:t>Hiperglikemija</w:t>
      </w:r>
    </w:p>
    <w:p w14:paraId="042EECD9" w14:textId="77777777" w:rsidR="005001D0" w:rsidRPr="003C7D36" w:rsidRDefault="005001D0" w:rsidP="00D77E03">
      <w:pPr>
        <w:jc w:val="both"/>
        <w:outlineLvl w:val="0"/>
        <w:rPr>
          <w:szCs w:val="22"/>
        </w:rPr>
      </w:pPr>
    </w:p>
    <w:p w14:paraId="1740F5A9" w14:textId="3ACD19C9" w:rsidR="005001D0" w:rsidRPr="003C7D36" w:rsidRDefault="005001D0" w:rsidP="00D77E03">
      <w:pPr>
        <w:jc w:val="both"/>
        <w:outlineLvl w:val="0"/>
        <w:rPr>
          <w:szCs w:val="22"/>
        </w:rPr>
      </w:pPr>
      <w:r w:rsidRPr="003C7D36">
        <w:rPr>
          <w:szCs w:val="22"/>
        </w:rPr>
        <w:t>Kod pacijenata koji su primali lorlatinib pojavila se hiperglikemija (vid</w:t>
      </w:r>
      <w:r w:rsidR="00726215" w:rsidRPr="003C7D36">
        <w:rPr>
          <w:szCs w:val="22"/>
        </w:rPr>
        <w:t>j</w:t>
      </w:r>
      <w:r w:rsidRPr="003C7D36">
        <w:rPr>
          <w:szCs w:val="22"/>
        </w:rPr>
        <w:t xml:space="preserve">eti </w:t>
      </w:r>
      <w:r w:rsidR="005D46AB" w:rsidRPr="003C7D36">
        <w:rPr>
          <w:szCs w:val="22"/>
        </w:rPr>
        <w:t>di</w:t>
      </w:r>
      <w:r w:rsidRPr="003C7D36">
        <w:rPr>
          <w:szCs w:val="22"/>
        </w:rPr>
        <w:t>o 4.8). Nivo glukoze u serumu natašte je potrebno proc</w:t>
      </w:r>
      <w:r w:rsidR="005D46AB" w:rsidRPr="003C7D36">
        <w:rPr>
          <w:szCs w:val="22"/>
        </w:rPr>
        <w:t>ij</w:t>
      </w:r>
      <w:r w:rsidRPr="003C7D36">
        <w:rPr>
          <w:szCs w:val="22"/>
        </w:rPr>
        <w:t>eniti pr</w:t>
      </w:r>
      <w:r w:rsidR="005D46AB" w:rsidRPr="003C7D36">
        <w:rPr>
          <w:szCs w:val="22"/>
        </w:rPr>
        <w:t>ij</w:t>
      </w:r>
      <w:r w:rsidRPr="003C7D36">
        <w:rPr>
          <w:szCs w:val="22"/>
        </w:rPr>
        <w:t>e početka prim</w:t>
      </w:r>
      <w:r w:rsidR="00726215" w:rsidRPr="003C7D36">
        <w:rPr>
          <w:szCs w:val="22"/>
        </w:rPr>
        <w:t>j</w:t>
      </w:r>
      <w:r w:rsidRPr="003C7D36">
        <w:rPr>
          <w:szCs w:val="22"/>
        </w:rPr>
        <w:t>ene lorlatiniba i nakon toga, nivo glukoze u serumu natašte treba pratiti periodično prema nacionalnim sm</w:t>
      </w:r>
      <w:r w:rsidR="005D46AB" w:rsidRPr="003C7D36">
        <w:rPr>
          <w:szCs w:val="22"/>
        </w:rPr>
        <w:t>j</w:t>
      </w:r>
      <w:r w:rsidRPr="003C7D36">
        <w:rPr>
          <w:szCs w:val="22"/>
        </w:rPr>
        <w:t>ernicama. U zavisnosti koliko je teško stanje, potrebno je privremeno prekinuti prim</w:t>
      </w:r>
      <w:r w:rsidR="005D46AB" w:rsidRPr="003C7D36">
        <w:rPr>
          <w:szCs w:val="22"/>
        </w:rPr>
        <w:t>j</w:t>
      </w:r>
      <w:r w:rsidRPr="003C7D36">
        <w:rPr>
          <w:szCs w:val="22"/>
        </w:rPr>
        <w:t>enu lorlatiniba i nastaviti sa prim</w:t>
      </w:r>
      <w:r w:rsidR="005D46AB" w:rsidRPr="003C7D36">
        <w:rPr>
          <w:szCs w:val="22"/>
        </w:rPr>
        <w:t>j</w:t>
      </w:r>
      <w:r w:rsidRPr="003C7D36">
        <w:rPr>
          <w:szCs w:val="22"/>
        </w:rPr>
        <w:t>enom smanjene doze ili trajno prekinuti prim</w:t>
      </w:r>
      <w:r w:rsidR="005D46AB" w:rsidRPr="003C7D36">
        <w:rPr>
          <w:szCs w:val="22"/>
        </w:rPr>
        <w:t>j</w:t>
      </w:r>
      <w:r w:rsidRPr="003C7D36">
        <w:rPr>
          <w:szCs w:val="22"/>
        </w:rPr>
        <w:t>enu lorlatiniba (vid</w:t>
      </w:r>
      <w:r w:rsidR="00726215" w:rsidRPr="003C7D36">
        <w:rPr>
          <w:szCs w:val="22"/>
        </w:rPr>
        <w:t>j</w:t>
      </w:r>
      <w:r w:rsidRPr="003C7D36">
        <w:rPr>
          <w:szCs w:val="22"/>
        </w:rPr>
        <w:t xml:space="preserve">eti </w:t>
      </w:r>
      <w:r w:rsidR="005D46AB" w:rsidRPr="003C7D36">
        <w:rPr>
          <w:szCs w:val="22"/>
        </w:rPr>
        <w:t>di</w:t>
      </w:r>
      <w:r w:rsidRPr="003C7D36">
        <w:rPr>
          <w:szCs w:val="22"/>
        </w:rPr>
        <w:t>o 4.2).</w:t>
      </w:r>
    </w:p>
    <w:p w14:paraId="39B7FD65" w14:textId="77777777" w:rsidR="005001D0" w:rsidRPr="003C7D36" w:rsidRDefault="005001D0" w:rsidP="00D77E03">
      <w:pPr>
        <w:spacing w:line="240" w:lineRule="auto"/>
        <w:jc w:val="both"/>
        <w:outlineLvl w:val="0"/>
        <w:rPr>
          <w:szCs w:val="22"/>
        </w:rPr>
      </w:pPr>
    </w:p>
    <w:p w14:paraId="4F817F32" w14:textId="77777777" w:rsidR="008F574D" w:rsidRPr="003C7D36" w:rsidRDefault="008F574D" w:rsidP="00D77E03">
      <w:pPr>
        <w:keepNext/>
        <w:spacing w:line="240" w:lineRule="auto"/>
        <w:jc w:val="both"/>
        <w:outlineLvl w:val="0"/>
        <w:rPr>
          <w:szCs w:val="22"/>
          <w:u w:val="single"/>
        </w:rPr>
      </w:pPr>
      <w:r w:rsidRPr="00C0597B">
        <w:rPr>
          <w:szCs w:val="22"/>
          <w:u w:val="single"/>
        </w:rPr>
        <w:lastRenderedPageBreak/>
        <w:t>Interakcije ljekova</w:t>
      </w:r>
    </w:p>
    <w:p w14:paraId="35F985DE" w14:textId="77777777" w:rsidR="00233F25" w:rsidRPr="003C7D36" w:rsidRDefault="00233F25" w:rsidP="00D77E03">
      <w:pPr>
        <w:keepNext/>
        <w:spacing w:line="240" w:lineRule="auto"/>
        <w:jc w:val="both"/>
        <w:outlineLvl w:val="0"/>
        <w:rPr>
          <w:szCs w:val="22"/>
        </w:rPr>
      </w:pPr>
    </w:p>
    <w:p w14:paraId="4B391E05" w14:textId="04E5CB2F" w:rsidR="002B69E7" w:rsidRPr="003C7D36" w:rsidRDefault="008F574D" w:rsidP="00D77E03">
      <w:pPr>
        <w:spacing w:line="240" w:lineRule="auto"/>
        <w:jc w:val="both"/>
        <w:outlineLvl w:val="0"/>
        <w:rPr>
          <w:szCs w:val="22"/>
        </w:rPr>
      </w:pPr>
      <w:r w:rsidRPr="00C0597B">
        <w:rPr>
          <w:szCs w:val="22"/>
        </w:rPr>
        <w:t>U studiji sprovedenoj sa zdravim dobrovoljcima, istovremena primjena lorlatiniba i rifampicina, snažnog induktora CYP3A4/5, bila je povezana sa povišenim vrijednostima alanin aminotransferaze (ALT) i aspartat aminotransferaze (AST) bez povećanja ukupnog bilirubina i alkalne fosfataze (vidjeti dio 4.5). Istovremena primjena snažnog induktora CYP3A4/5 je kontraindikovana (vidjeti d</w:t>
      </w:r>
      <w:r w:rsidR="00AB4C55" w:rsidRPr="00822B86">
        <w:rPr>
          <w:szCs w:val="22"/>
        </w:rPr>
        <w:t>jel</w:t>
      </w:r>
      <w:r w:rsidRPr="00822B86">
        <w:rPr>
          <w:szCs w:val="22"/>
        </w:rPr>
        <w:t>o</w:t>
      </w:r>
      <w:r w:rsidR="00AB4C55" w:rsidRPr="00822B86">
        <w:rPr>
          <w:szCs w:val="22"/>
        </w:rPr>
        <w:t>ve</w:t>
      </w:r>
      <w:r w:rsidRPr="00446153">
        <w:rPr>
          <w:szCs w:val="22"/>
        </w:rPr>
        <w:t> 4.3 i 4.5).</w:t>
      </w:r>
      <w:r w:rsidR="00AB4C55" w:rsidRPr="00446153">
        <w:rPr>
          <w:szCs w:val="22"/>
        </w:rPr>
        <w:t xml:space="preserve"> Nisu primijećene klinički značajne promjene u testovima funkcije jetre kod zdravih ispitanika nakon istovremene primjene lorlatiniba sa modafinilom, umjerenim induktorom CYP3A4/5 (vidjeti dio 4.5.).</w:t>
      </w:r>
    </w:p>
    <w:p w14:paraId="6941765D" w14:textId="77777777" w:rsidR="002B69E7" w:rsidRPr="003C7D36" w:rsidRDefault="002B69E7" w:rsidP="00D77E03">
      <w:pPr>
        <w:spacing w:line="240" w:lineRule="auto"/>
        <w:jc w:val="both"/>
        <w:outlineLvl w:val="0"/>
        <w:rPr>
          <w:szCs w:val="22"/>
        </w:rPr>
      </w:pPr>
      <w:r w:rsidRPr="00C0597B">
        <w:rPr>
          <w:szCs w:val="22"/>
        </w:rPr>
        <w:t>Potrebno je izbjegavati istovremenu primjenu lorlatiniba sa supstratima CYP3A4/5 uskog terapijskog indeksa, uključujući između ostalog alfentanil, ciklosporin, dihidroergotamin, ergotamin, fentanil, hormonska kontraceptivna sredstva, pimozid, kinidin, sirolimus i takrolimus jer lorlatinib može smanjiti koncentraciju tih ljekova (vidjeti dio 4.5).</w:t>
      </w:r>
    </w:p>
    <w:p w14:paraId="0F66B1BE" w14:textId="77777777" w:rsidR="002B69E7" w:rsidRPr="003C7D36" w:rsidRDefault="002B69E7" w:rsidP="00D77E03">
      <w:pPr>
        <w:spacing w:line="240" w:lineRule="auto"/>
        <w:jc w:val="both"/>
        <w:outlineLvl w:val="0"/>
        <w:rPr>
          <w:szCs w:val="22"/>
        </w:rPr>
      </w:pPr>
    </w:p>
    <w:p w14:paraId="71BD8556" w14:textId="77777777" w:rsidR="002B69E7" w:rsidRPr="003C7D36" w:rsidRDefault="002B69E7" w:rsidP="00D77E03">
      <w:pPr>
        <w:keepNext/>
        <w:spacing w:line="240" w:lineRule="auto"/>
        <w:jc w:val="both"/>
        <w:outlineLvl w:val="0"/>
        <w:rPr>
          <w:szCs w:val="22"/>
          <w:u w:val="single"/>
        </w:rPr>
      </w:pPr>
      <w:r w:rsidRPr="00C0597B">
        <w:rPr>
          <w:szCs w:val="22"/>
          <w:u w:val="single"/>
        </w:rPr>
        <w:t>Plodnost i trudnoća</w:t>
      </w:r>
    </w:p>
    <w:p w14:paraId="0EB120BE" w14:textId="77777777" w:rsidR="002B69E7" w:rsidRPr="00C0597B" w:rsidRDefault="002B69E7" w:rsidP="00D77E03">
      <w:pPr>
        <w:keepNext/>
        <w:spacing w:line="240" w:lineRule="auto"/>
        <w:jc w:val="both"/>
        <w:outlineLvl w:val="0"/>
        <w:rPr>
          <w:szCs w:val="22"/>
        </w:rPr>
      </w:pPr>
    </w:p>
    <w:p w14:paraId="3C41CD19" w14:textId="09F893EA" w:rsidR="002B69E7" w:rsidRPr="00446153" w:rsidRDefault="002B69E7" w:rsidP="00D77E03">
      <w:pPr>
        <w:keepNext/>
        <w:spacing w:line="240" w:lineRule="auto"/>
        <w:jc w:val="both"/>
        <w:outlineLvl w:val="0"/>
        <w:rPr>
          <w:szCs w:val="22"/>
        </w:rPr>
      </w:pPr>
      <w:r w:rsidRPr="00822B86">
        <w:rPr>
          <w:szCs w:val="22"/>
        </w:rPr>
        <w:t xml:space="preserve">Pacijenti muškog pola, koji imaju ženske partnerke u reproduktivnom periodu, moraju koristiti efikasnu kontracepciju, uključujući prezervativ, a pacijenti muškog pola sa trudnim partnerkama moraju koristiti prezervative tokom liječenja lorlatinibom i još najmanje 14 sedmica nakon posljednje doze (vidjeti dio 4.6). Plodnost muškarca može biti smanjena tokom liječenja lorlatinibom (vidjeti dio 5.3). Prije liječenja, muškarci treba da potraže savjet o efikasnom očuvanju plodnosti. Potrebno je </w:t>
      </w:r>
      <w:r w:rsidR="000D215E" w:rsidRPr="00446153">
        <w:rPr>
          <w:szCs w:val="22"/>
        </w:rPr>
        <w:t>po</w:t>
      </w:r>
      <w:r w:rsidRPr="00446153">
        <w:rPr>
          <w:szCs w:val="22"/>
        </w:rPr>
        <w:t>savjetovati žene u reproduktivnom periodu da izbjegavaju trudnoću dok uzimaju lorlatinib. Tokom liječenja lorlatinibom, pacijentkinjama je potrebna visokoefikasna nehormonska metoda kontracepcije jer hormonska kontraceptivna sredstva mogu postati neefikasna zbog djelovanja lorlatiniba (vidjeti dio 4.5 i 4.6). Ako se ne može izbjeći hormonska metoda kontracepcije, mora se koristiti prezervativ u kombinaciji sa hormonskom metodom. Potrebno je nastaviti sa primjenom efikasne kontracepcije najmanje 35 dana nakon završetka terapije (vidjeti dio 4.6). Nije poznato da li lorlatinib utiče na plodnost žena.</w:t>
      </w:r>
    </w:p>
    <w:p w14:paraId="43661B23" w14:textId="77777777" w:rsidR="00583ACB" w:rsidRPr="0093305C" w:rsidRDefault="00583ACB" w:rsidP="00D77E03">
      <w:pPr>
        <w:keepNext/>
        <w:spacing w:line="240" w:lineRule="auto"/>
        <w:jc w:val="both"/>
        <w:outlineLvl w:val="0"/>
        <w:rPr>
          <w:szCs w:val="22"/>
        </w:rPr>
      </w:pPr>
    </w:p>
    <w:p w14:paraId="3F2BEC80" w14:textId="77777777" w:rsidR="0056006C" w:rsidRPr="003C7D36" w:rsidRDefault="00B159DF" w:rsidP="00D77E03">
      <w:pPr>
        <w:spacing w:line="240" w:lineRule="auto"/>
        <w:jc w:val="both"/>
        <w:outlineLvl w:val="0"/>
        <w:rPr>
          <w:szCs w:val="22"/>
          <w:u w:val="single"/>
        </w:rPr>
      </w:pPr>
      <w:r w:rsidRPr="0093305C">
        <w:rPr>
          <w:szCs w:val="22"/>
          <w:u w:val="single"/>
        </w:rPr>
        <w:t>Nepodnošenje laktoze</w:t>
      </w:r>
    </w:p>
    <w:p w14:paraId="131CBBBA" w14:textId="77777777" w:rsidR="00081F31" w:rsidRPr="003C7D36" w:rsidRDefault="00081F31" w:rsidP="00D77E03">
      <w:pPr>
        <w:spacing w:line="240" w:lineRule="auto"/>
        <w:jc w:val="both"/>
        <w:outlineLvl w:val="0"/>
        <w:rPr>
          <w:szCs w:val="22"/>
        </w:rPr>
      </w:pPr>
    </w:p>
    <w:p w14:paraId="505A7E26" w14:textId="77777777" w:rsidR="00081F31" w:rsidRPr="003C7D36" w:rsidRDefault="00B159DF" w:rsidP="00D77E03">
      <w:pPr>
        <w:spacing w:line="240" w:lineRule="auto"/>
        <w:jc w:val="both"/>
        <w:outlineLvl w:val="0"/>
        <w:rPr>
          <w:szCs w:val="22"/>
        </w:rPr>
      </w:pPr>
      <w:r w:rsidRPr="00C0597B">
        <w:rPr>
          <w:szCs w:val="22"/>
        </w:rPr>
        <w:t>Ovaj lijek sadrži laktozu kao pomoćnu supstancu. Pacijenti sa rijetkim nasljednim poremećajem netolerancije galaktoze, kompletnom deficijencijom laktaze ili malapsorpcijom glukoze i galaktoze, ne smiju uzimati ovaj lijek.</w:t>
      </w:r>
    </w:p>
    <w:p w14:paraId="3AA65EC2" w14:textId="77777777" w:rsidR="00773B31" w:rsidRPr="003C7D36" w:rsidRDefault="00773B31" w:rsidP="00D77E03">
      <w:pPr>
        <w:spacing w:line="240" w:lineRule="auto"/>
        <w:jc w:val="both"/>
        <w:outlineLvl w:val="0"/>
        <w:rPr>
          <w:szCs w:val="22"/>
        </w:rPr>
      </w:pPr>
    </w:p>
    <w:p w14:paraId="1B8E01FC" w14:textId="77777777" w:rsidR="00773B31" w:rsidRPr="003C7D36" w:rsidRDefault="001809EF" w:rsidP="00D77E03">
      <w:pPr>
        <w:spacing w:line="240" w:lineRule="auto"/>
        <w:jc w:val="both"/>
        <w:outlineLvl w:val="0"/>
        <w:rPr>
          <w:szCs w:val="22"/>
          <w:u w:val="single"/>
        </w:rPr>
      </w:pPr>
      <w:r w:rsidRPr="00C0597B">
        <w:rPr>
          <w:szCs w:val="22"/>
          <w:u w:val="single"/>
        </w:rPr>
        <w:t>Sadržaj natrijuma</w:t>
      </w:r>
    </w:p>
    <w:p w14:paraId="31EEDB4B" w14:textId="77777777" w:rsidR="00773B31" w:rsidRPr="003C7D36" w:rsidRDefault="00773B31" w:rsidP="00D77E03">
      <w:pPr>
        <w:spacing w:line="240" w:lineRule="auto"/>
        <w:jc w:val="both"/>
        <w:outlineLvl w:val="0"/>
        <w:rPr>
          <w:szCs w:val="22"/>
        </w:rPr>
      </w:pPr>
    </w:p>
    <w:p w14:paraId="6799B837" w14:textId="6142A584" w:rsidR="000E32D2" w:rsidRPr="003C7D36" w:rsidRDefault="00773B31" w:rsidP="00D77E03">
      <w:pPr>
        <w:tabs>
          <w:tab w:val="clear" w:pos="567"/>
        </w:tabs>
        <w:autoSpaceDE w:val="0"/>
        <w:autoSpaceDN w:val="0"/>
        <w:adjustRightInd w:val="0"/>
        <w:spacing w:line="240" w:lineRule="auto"/>
        <w:jc w:val="both"/>
        <w:rPr>
          <w:szCs w:val="22"/>
        </w:rPr>
      </w:pPr>
      <w:r w:rsidRPr="00C0597B">
        <w:rPr>
          <w:szCs w:val="22"/>
        </w:rPr>
        <w:t xml:space="preserve">Ovaj lijek sadrži manje od 1 mmol natrijuma (23 mg) po tableti od 25 mg ili 100 mg. Pacijenti na dijeti sa niskim sadržajem natrijuma treba da znaju da ovaj lijek sadrži zanemarljive količine natrijuma. </w:t>
      </w:r>
    </w:p>
    <w:p w14:paraId="34A2E518" w14:textId="77777777" w:rsidR="000E32D2" w:rsidRPr="003C7D36" w:rsidRDefault="000E32D2" w:rsidP="00D77E03">
      <w:pPr>
        <w:tabs>
          <w:tab w:val="clear" w:pos="567"/>
        </w:tabs>
        <w:autoSpaceDE w:val="0"/>
        <w:autoSpaceDN w:val="0"/>
        <w:adjustRightInd w:val="0"/>
        <w:spacing w:line="240" w:lineRule="auto"/>
        <w:jc w:val="both"/>
        <w:rPr>
          <w:szCs w:val="22"/>
        </w:rPr>
      </w:pPr>
    </w:p>
    <w:p w14:paraId="1E410E3C" w14:textId="77777777" w:rsidR="000E32D2" w:rsidRPr="00C0597B" w:rsidRDefault="000E32D2" w:rsidP="00D77E03">
      <w:pPr>
        <w:tabs>
          <w:tab w:val="clear" w:pos="567"/>
        </w:tabs>
        <w:autoSpaceDE w:val="0"/>
        <w:autoSpaceDN w:val="0"/>
        <w:adjustRightInd w:val="0"/>
        <w:spacing w:line="240" w:lineRule="auto"/>
        <w:jc w:val="both"/>
        <w:rPr>
          <w:b/>
          <w:szCs w:val="22"/>
        </w:rPr>
      </w:pPr>
    </w:p>
    <w:p w14:paraId="2E587363" w14:textId="0FDCA20A" w:rsidR="00812D16" w:rsidRPr="003C7D36" w:rsidRDefault="00812D16" w:rsidP="00D77E03">
      <w:pPr>
        <w:spacing w:line="240" w:lineRule="auto"/>
        <w:ind w:left="567" w:hanging="567"/>
        <w:jc w:val="both"/>
        <w:outlineLvl w:val="0"/>
        <w:rPr>
          <w:szCs w:val="22"/>
        </w:rPr>
      </w:pPr>
      <w:r w:rsidRPr="00822B86">
        <w:rPr>
          <w:b/>
          <w:szCs w:val="22"/>
        </w:rPr>
        <w:t>4.5</w:t>
      </w:r>
      <w:r w:rsidRPr="00822B86">
        <w:rPr>
          <w:b/>
          <w:szCs w:val="22"/>
        </w:rPr>
        <w:tab/>
        <w:t>Interakcije sa drugim ljekovima i druge vrste interakcija</w:t>
      </w:r>
    </w:p>
    <w:p w14:paraId="124F6C78" w14:textId="77777777" w:rsidR="00812D16" w:rsidRPr="003C7D36" w:rsidRDefault="00812D16" w:rsidP="00D77E03">
      <w:pPr>
        <w:spacing w:line="240" w:lineRule="auto"/>
        <w:jc w:val="both"/>
        <w:rPr>
          <w:szCs w:val="22"/>
        </w:rPr>
      </w:pPr>
    </w:p>
    <w:p w14:paraId="0C00E05C" w14:textId="77777777" w:rsidR="008D14BD" w:rsidRPr="003C7D36" w:rsidRDefault="008D14BD" w:rsidP="00D77E03">
      <w:pPr>
        <w:pStyle w:val="Paragraph"/>
        <w:spacing w:after="0"/>
        <w:jc w:val="both"/>
        <w:rPr>
          <w:i/>
          <w:iCs/>
          <w:sz w:val="22"/>
          <w:szCs w:val="22"/>
        </w:rPr>
      </w:pPr>
      <w:r w:rsidRPr="00C0597B">
        <w:rPr>
          <w:sz w:val="22"/>
          <w:szCs w:val="22"/>
          <w:u w:val="single"/>
        </w:rPr>
        <w:t>Farmakokinetičke interakcije</w:t>
      </w:r>
    </w:p>
    <w:p w14:paraId="18ABD5B5" w14:textId="77777777" w:rsidR="003268D9" w:rsidRPr="003C7D36" w:rsidRDefault="003268D9" w:rsidP="00D77E03">
      <w:pPr>
        <w:pStyle w:val="Paragraph"/>
        <w:spacing w:after="0"/>
        <w:jc w:val="both"/>
        <w:rPr>
          <w:i/>
          <w:iCs/>
          <w:sz w:val="22"/>
          <w:szCs w:val="22"/>
        </w:rPr>
      </w:pPr>
    </w:p>
    <w:p w14:paraId="492B5E12" w14:textId="1467E02F" w:rsidR="0063627E" w:rsidRPr="003C7D36" w:rsidRDefault="008D14BD" w:rsidP="00D77E03">
      <w:pPr>
        <w:pStyle w:val="Paragraph"/>
        <w:spacing w:after="0"/>
        <w:jc w:val="both"/>
        <w:rPr>
          <w:sz w:val="22"/>
          <w:szCs w:val="22"/>
        </w:rPr>
      </w:pPr>
      <w:r w:rsidRPr="00C0597B">
        <w:rPr>
          <w:i/>
          <w:sz w:val="22"/>
          <w:szCs w:val="22"/>
        </w:rPr>
        <w:t>In vitro</w:t>
      </w:r>
      <w:r w:rsidR="00863F63" w:rsidRPr="00C0597B">
        <w:rPr>
          <w:i/>
          <w:sz w:val="22"/>
          <w:szCs w:val="22"/>
        </w:rPr>
        <w:t xml:space="preserve"> </w:t>
      </w:r>
      <w:r w:rsidRPr="00C0597B">
        <w:rPr>
          <w:sz w:val="22"/>
          <w:szCs w:val="22"/>
        </w:rPr>
        <w:t xml:space="preserve">podaci pokazuju da se lorlatinib </w:t>
      </w:r>
      <w:bookmarkStart w:id="1" w:name="_Toc274663624"/>
      <w:r w:rsidRPr="00C0597B">
        <w:rPr>
          <w:sz w:val="22"/>
          <w:szCs w:val="22"/>
        </w:rPr>
        <w:t>primarno metaboliše putem CYP3A4 i uridin-difosfat-glukuronoziltransferaze (UGT)1A4 sa manjim doprinosima CYP2C8, CYP2C19,</w:t>
      </w:r>
      <w:r w:rsidR="00DA4A42" w:rsidRPr="00822B86">
        <w:rPr>
          <w:sz w:val="22"/>
          <w:szCs w:val="22"/>
        </w:rPr>
        <w:t xml:space="preserve"> </w:t>
      </w:r>
      <w:r w:rsidRPr="00822B86">
        <w:rPr>
          <w:sz w:val="22"/>
          <w:szCs w:val="22"/>
        </w:rPr>
        <w:t xml:space="preserve">CYP3A5 i UGT1A3. </w:t>
      </w:r>
    </w:p>
    <w:p w14:paraId="1FC4BE12" w14:textId="77777777" w:rsidR="0063627E" w:rsidRPr="003C7D36" w:rsidRDefault="0063627E" w:rsidP="00D77E03">
      <w:pPr>
        <w:pStyle w:val="Paragraph"/>
        <w:spacing w:after="0"/>
        <w:jc w:val="both"/>
        <w:rPr>
          <w:sz w:val="22"/>
          <w:szCs w:val="22"/>
        </w:rPr>
      </w:pPr>
    </w:p>
    <w:p w14:paraId="59BC70BC" w14:textId="72A313A2" w:rsidR="0063627E" w:rsidRPr="003C7D36" w:rsidRDefault="0063627E" w:rsidP="00D77E03">
      <w:pPr>
        <w:pStyle w:val="Paragraph"/>
        <w:keepNext/>
        <w:spacing w:after="0"/>
        <w:jc w:val="both"/>
        <w:rPr>
          <w:i/>
          <w:sz w:val="22"/>
          <w:szCs w:val="22"/>
        </w:rPr>
      </w:pPr>
      <w:r w:rsidRPr="00C0597B">
        <w:rPr>
          <w:i/>
          <w:sz w:val="22"/>
          <w:szCs w:val="22"/>
        </w:rPr>
        <w:t>Djelovanje ljekova na lorlatinib</w:t>
      </w:r>
    </w:p>
    <w:p w14:paraId="2284194C" w14:textId="77777777" w:rsidR="0063627E" w:rsidRPr="003C7D36" w:rsidRDefault="0063627E" w:rsidP="00D77E03">
      <w:pPr>
        <w:pStyle w:val="Paragraph"/>
        <w:keepNext/>
        <w:spacing w:after="0"/>
        <w:jc w:val="both"/>
        <w:rPr>
          <w:rStyle w:val="BlueText"/>
          <w:color w:val="auto"/>
          <w:sz w:val="22"/>
          <w:szCs w:val="22"/>
        </w:rPr>
      </w:pPr>
    </w:p>
    <w:p w14:paraId="40CB3454" w14:textId="77777777" w:rsidR="0063627E" w:rsidRPr="003C7D36" w:rsidRDefault="0063627E" w:rsidP="00D77E03">
      <w:pPr>
        <w:pStyle w:val="StyleHeading2Titre212H2GulliverGemenFetArial12pt"/>
        <w:spacing w:before="0" w:after="0"/>
        <w:jc w:val="both"/>
        <w:rPr>
          <w:b w:val="0"/>
          <w:i w:val="0"/>
          <w:sz w:val="22"/>
          <w:szCs w:val="22"/>
          <w:u w:val="single"/>
        </w:rPr>
      </w:pPr>
      <w:r w:rsidRPr="0031203A">
        <w:rPr>
          <w:b w:val="0"/>
          <w:i w:val="0"/>
          <w:sz w:val="22"/>
          <w:szCs w:val="22"/>
          <w:u w:val="single"/>
        </w:rPr>
        <w:t>Induktori CYP3A4/5</w:t>
      </w:r>
    </w:p>
    <w:p w14:paraId="4EA34B70" w14:textId="77777777" w:rsidR="0063627E" w:rsidRPr="003C7D36" w:rsidRDefault="0063627E" w:rsidP="00D77E03">
      <w:pPr>
        <w:pStyle w:val="StyleHeading2Titre212H2GulliverGemenFetArial12pt"/>
        <w:spacing w:before="0" w:after="0"/>
        <w:jc w:val="both"/>
        <w:rPr>
          <w:b w:val="0"/>
          <w:i w:val="0"/>
          <w:iCs/>
          <w:sz w:val="22"/>
          <w:szCs w:val="22"/>
          <w:u w:val="single"/>
        </w:rPr>
      </w:pPr>
    </w:p>
    <w:p w14:paraId="2EF1E2C1" w14:textId="6070F47A" w:rsidR="0063627E" w:rsidRPr="003C7D36" w:rsidRDefault="005D59A5" w:rsidP="0031203A">
      <w:pPr>
        <w:pStyle w:val="Paragraph"/>
        <w:keepNext/>
        <w:jc w:val="both"/>
        <w:rPr>
          <w:sz w:val="22"/>
          <w:szCs w:val="22"/>
        </w:rPr>
      </w:pPr>
      <w:bookmarkStart w:id="2" w:name="_Hlk36540018"/>
      <w:r w:rsidRPr="00C0597B">
        <w:rPr>
          <w:sz w:val="22"/>
          <w:szCs w:val="22"/>
        </w:rPr>
        <w:t xml:space="preserve">Rifampin, snažan induktor CYP3A4/5, primijenjen oralno u dozama od 600 mg jednom dnevno tokom 12 dana, smanjio je kod zdravih dobrovoljaca srednju vrijednost površine ispod krive lorlatiniba </w:t>
      </w:r>
      <w:r w:rsidR="00CB7B26" w:rsidRPr="00822B86">
        <w:rPr>
          <w:szCs w:val="22"/>
        </w:rPr>
        <w:t xml:space="preserve"> uz vremenski profil ekstrapoliran od nule do beskonačnosti </w:t>
      </w:r>
      <w:r w:rsidRPr="00822B86">
        <w:rPr>
          <w:szCs w:val="22"/>
        </w:rPr>
        <w:t>(</w:t>
      </w:r>
      <w:r w:rsidR="00CB7B26" w:rsidRPr="00446153">
        <w:rPr>
          <w:szCs w:val="22"/>
        </w:rPr>
        <w:t xml:space="preserve">eng. </w:t>
      </w:r>
      <w:r w:rsidR="00CB7B26" w:rsidRPr="00446153">
        <w:rPr>
          <w:i/>
          <w:szCs w:val="22"/>
        </w:rPr>
        <w:t>area under the curve from time zero to infinity</w:t>
      </w:r>
      <w:r w:rsidR="00CB7B26" w:rsidRPr="0093305C">
        <w:rPr>
          <w:szCs w:val="22"/>
        </w:rPr>
        <w:t xml:space="preserve">, </w:t>
      </w:r>
      <w:r w:rsidRPr="0093305C">
        <w:rPr>
          <w:szCs w:val="22"/>
        </w:rPr>
        <w:t>AUC</w:t>
      </w:r>
      <w:r w:rsidRPr="0093305C">
        <w:rPr>
          <w:szCs w:val="22"/>
          <w:vertAlign w:val="subscript"/>
        </w:rPr>
        <w:t>inf</w:t>
      </w:r>
      <w:r w:rsidRPr="0093305C">
        <w:rPr>
          <w:szCs w:val="22"/>
        </w:rPr>
        <w:t>) za 85% i C</w:t>
      </w:r>
      <w:r w:rsidRPr="0093305C">
        <w:rPr>
          <w:szCs w:val="22"/>
          <w:vertAlign w:val="subscript"/>
        </w:rPr>
        <w:t>max</w:t>
      </w:r>
      <w:r w:rsidRPr="0093305C">
        <w:rPr>
          <w:szCs w:val="22"/>
        </w:rPr>
        <w:t xml:space="preserve"> za 76% pojedinačne oralne doze lorlatiniba od 100 mg; </w:t>
      </w:r>
      <w:r w:rsidRPr="0093305C">
        <w:rPr>
          <w:szCs w:val="22"/>
        </w:rPr>
        <w:lastRenderedPageBreak/>
        <w:t xml:space="preserve">registrovano je i povećanje AST-a i ALT-a. </w:t>
      </w:r>
      <w:bookmarkEnd w:id="2"/>
      <w:r w:rsidRPr="00C0597B">
        <w:rPr>
          <w:sz w:val="22"/>
          <w:szCs w:val="22"/>
        </w:rPr>
        <w:t>Istovremena primjena lorlatiniba sa snažnim induktorima CYP3A4/5 (npr. rifampicinom, karbamazepinom, enzalutamidom, mitotanom, fenitoinom i kantarionom) može smanjiti koncentracije lorlatiniba u plazmi.</w:t>
      </w:r>
      <w:r w:rsidRPr="00822B86">
        <w:rPr>
          <w:rStyle w:val="superscriptChar"/>
          <w:b/>
          <w:color w:val="auto"/>
          <w:sz w:val="22"/>
          <w:szCs w:val="22"/>
        </w:rPr>
        <w:t xml:space="preserve"> </w:t>
      </w:r>
      <w:r w:rsidRPr="00822B86">
        <w:rPr>
          <w:rStyle w:val="superscriptChar"/>
          <w:color w:val="auto"/>
          <w:sz w:val="22"/>
          <w:szCs w:val="22"/>
          <w:vertAlign w:val="baseline"/>
        </w:rPr>
        <w:t>Primjena snažnog induktora CYP3A4/5 s lorlatinibom je kontraindikovana</w:t>
      </w:r>
      <w:r w:rsidRPr="00446153">
        <w:rPr>
          <w:rStyle w:val="superscriptChar"/>
          <w:color w:val="auto"/>
          <w:sz w:val="22"/>
          <w:szCs w:val="22"/>
        </w:rPr>
        <w:t xml:space="preserve"> </w:t>
      </w:r>
      <w:r w:rsidRPr="00446153">
        <w:rPr>
          <w:szCs w:val="22"/>
        </w:rPr>
        <w:t>(vidjeti d</w:t>
      </w:r>
      <w:r w:rsidR="00114296" w:rsidRPr="00446153">
        <w:rPr>
          <w:szCs w:val="22"/>
        </w:rPr>
        <w:t>jel</w:t>
      </w:r>
      <w:r w:rsidRPr="00446153">
        <w:rPr>
          <w:szCs w:val="22"/>
        </w:rPr>
        <w:t>o</w:t>
      </w:r>
      <w:r w:rsidR="0019109A" w:rsidRPr="00446153">
        <w:rPr>
          <w:szCs w:val="22"/>
        </w:rPr>
        <w:t>ve</w:t>
      </w:r>
      <w:r w:rsidRPr="0093305C">
        <w:rPr>
          <w:szCs w:val="22"/>
        </w:rPr>
        <w:t xml:space="preserve"> 4.3 i 4.4). </w:t>
      </w:r>
      <w:r w:rsidR="00114296" w:rsidRPr="0093305C">
        <w:rPr>
          <w:szCs w:val="22"/>
        </w:rPr>
        <w:t>Ni</w:t>
      </w:r>
      <w:r w:rsidR="0019109A" w:rsidRPr="0093305C">
        <w:rPr>
          <w:szCs w:val="22"/>
        </w:rPr>
        <w:t>je</w:t>
      </w:r>
      <w:r w:rsidR="00114296" w:rsidRPr="0093305C">
        <w:rPr>
          <w:szCs w:val="22"/>
        </w:rPr>
        <w:t>su primijećene klinički značajne promjene u testovima funkcije jetre kod istovremene oralne primjene pojedinačne doze lorlatiniba od 100 mg sa umjerenim CYP3A4/5 induktorom modafinilom (400 mg jednom dnevno tokom 19 dana) kod zdravih dobrovoljaca. Istovremena primjena modafinila nije imala značajan efekat na farmakokinetiku lorlatiniba.</w:t>
      </w:r>
      <w:bookmarkStart w:id="3" w:name="_Toc274663625"/>
      <w:bookmarkEnd w:id="1"/>
    </w:p>
    <w:p w14:paraId="1094CC06" w14:textId="77777777" w:rsidR="0063627E" w:rsidRPr="003C7D36" w:rsidRDefault="0063627E" w:rsidP="00D77E03">
      <w:pPr>
        <w:pStyle w:val="StyleHeading2Titre212H2GulliverGemenFetArial12pt"/>
        <w:spacing w:before="0" w:after="0"/>
        <w:jc w:val="both"/>
        <w:rPr>
          <w:b w:val="0"/>
          <w:i w:val="0"/>
          <w:sz w:val="22"/>
          <w:szCs w:val="22"/>
          <w:u w:val="single"/>
        </w:rPr>
      </w:pPr>
      <w:r w:rsidRPr="00C0597B">
        <w:rPr>
          <w:b w:val="0"/>
          <w:i w:val="0"/>
          <w:sz w:val="22"/>
          <w:szCs w:val="22"/>
          <w:u w:val="single"/>
        </w:rPr>
        <w:t>Inhibitori CYP3A4/5</w:t>
      </w:r>
    </w:p>
    <w:p w14:paraId="3763C7B7" w14:textId="77777777" w:rsidR="0063627E" w:rsidRPr="003C7D36" w:rsidRDefault="0063627E" w:rsidP="00D77E03">
      <w:pPr>
        <w:pStyle w:val="StyleHeading2Titre212H2GulliverGemenFetArial12pt"/>
        <w:spacing w:before="0" w:after="0"/>
        <w:jc w:val="both"/>
        <w:rPr>
          <w:b w:val="0"/>
          <w:sz w:val="22"/>
          <w:szCs w:val="22"/>
        </w:rPr>
      </w:pPr>
    </w:p>
    <w:p w14:paraId="0C536DA9" w14:textId="204F2771" w:rsidR="008D14BD" w:rsidRPr="003C7D36" w:rsidRDefault="007F2584" w:rsidP="00D77E03">
      <w:pPr>
        <w:pStyle w:val="Paragraph"/>
        <w:keepNext/>
        <w:spacing w:after="0"/>
        <w:jc w:val="both"/>
        <w:rPr>
          <w:sz w:val="22"/>
          <w:szCs w:val="22"/>
        </w:rPr>
      </w:pPr>
      <w:bookmarkStart w:id="4" w:name="_Hlk36539907"/>
      <w:r w:rsidRPr="00C0597B">
        <w:rPr>
          <w:sz w:val="22"/>
          <w:szCs w:val="22"/>
        </w:rPr>
        <w:t>Itrakonazol, snažan inhibitor CYP3A4/5, primijenjen oralno u dozi od 200 mg jednom dnevno tokom 5 dana, povećao je srednju</w:t>
      </w:r>
      <w:r w:rsidRPr="00822B86">
        <w:rPr>
          <w:sz w:val="22"/>
          <w:szCs w:val="22"/>
        </w:rPr>
        <w:t xml:space="preserve"> vrijednost površine ispod krive lorlatiniba AUC</w:t>
      </w:r>
      <w:r w:rsidRPr="00822B86">
        <w:rPr>
          <w:sz w:val="22"/>
          <w:szCs w:val="22"/>
          <w:vertAlign w:val="subscript"/>
        </w:rPr>
        <w:t>inf</w:t>
      </w:r>
      <w:r w:rsidRPr="00446153">
        <w:rPr>
          <w:sz w:val="22"/>
          <w:szCs w:val="22"/>
        </w:rPr>
        <w:t xml:space="preserve"> za 42% i C</w:t>
      </w:r>
      <w:r w:rsidRPr="00446153">
        <w:rPr>
          <w:sz w:val="22"/>
          <w:szCs w:val="22"/>
          <w:vertAlign w:val="subscript"/>
        </w:rPr>
        <w:t>max</w:t>
      </w:r>
      <w:r w:rsidRPr="00446153">
        <w:rPr>
          <w:sz w:val="22"/>
          <w:szCs w:val="22"/>
        </w:rPr>
        <w:t xml:space="preserve"> za 24% pojedinačne oralne doze lorlatiniba od 100 mg kod zdravih dobrovoljaca. </w:t>
      </w:r>
      <w:bookmarkEnd w:id="4"/>
      <w:r w:rsidRPr="00446153">
        <w:rPr>
          <w:sz w:val="22"/>
          <w:szCs w:val="22"/>
        </w:rPr>
        <w:t>Istovremena primjena lorlatiniba sa snažnim inhibitorima CYP3A4/5 (npr. boceprevirom, kobicistatom, itrakonazol</w:t>
      </w:r>
      <w:r w:rsidRPr="0093305C">
        <w:rPr>
          <w:sz w:val="22"/>
          <w:szCs w:val="22"/>
        </w:rPr>
        <w:t>om, ketokonazolom, posakonazolom, troleandomicinom, vorikonazolom, ritonavirom, paritaprevirom u kombinaciji sa ritonavirom i ombitasvirom i/ili dasabuvirom te ritonavirom u kombinaciji bilo sa elvitegravirom, indinavirom, lopinavirom ili tipranavirom) može povećati koncentracije lorlatiniba u plazmi.</w:t>
      </w:r>
      <w:r w:rsidRPr="0093305C">
        <w:rPr>
          <w:rStyle w:val="superscriptChar"/>
          <w:color w:val="auto"/>
          <w:sz w:val="22"/>
          <w:szCs w:val="22"/>
        </w:rPr>
        <w:t xml:space="preserve"> </w:t>
      </w:r>
      <w:r w:rsidRPr="0093305C">
        <w:rPr>
          <w:sz w:val="22"/>
          <w:szCs w:val="22"/>
        </w:rPr>
        <w:t xml:space="preserve">Proizvodi od grejpfruta takođe mogu povećati koncentracije lorlatiniba u plazmi i treba ih izbjegavati. </w:t>
      </w:r>
      <w:r w:rsidRPr="0093305C">
        <w:rPr>
          <w:rStyle w:val="superscriptChar"/>
          <w:color w:val="auto"/>
          <w:sz w:val="22"/>
          <w:szCs w:val="22"/>
          <w:vertAlign w:val="baseline"/>
        </w:rPr>
        <w:t>Potrebno je razmotriti istovremenu primjenu nekog drugog lijeka koji ima manji potencijal za inhibiciju CYP3A4/5.</w:t>
      </w:r>
      <w:r w:rsidRPr="0093305C">
        <w:rPr>
          <w:sz w:val="22"/>
          <w:szCs w:val="22"/>
        </w:rPr>
        <w:t xml:space="preserve"> Ako se mora istovremeno primijeniti snažan inhibitor CYP3A4/5, preporučuje se smanjenje doze lorlatiniba (vidjeti dio 4.2).</w:t>
      </w:r>
    </w:p>
    <w:p w14:paraId="77A2947A" w14:textId="77777777" w:rsidR="00DB0154" w:rsidRPr="003C7D36" w:rsidRDefault="00DB0154" w:rsidP="00D77E03">
      <w:pPr>
        <w:pStyle w:val="Paragraph"/>
        <w:spacing w:after="0"/>
        <w:jc w:val="both"/>
        <w:rPr>
          <w:sz w:val="22"/>
          <w:szCs w:val="22"/>
        </w:rPr>
      </w:pPr>
      <w:bookmarkStart w:id="5" w:name="_Toc274663626"/>
      <w:bookmarkEnd w:id="3"/>
    </w:p>
    <w:p w14:paraId="448C5E07" w14:textId="77777777" w:rsidR="0063627E" w:rsidRPr="003C7D36" w:rsidRDefault="0063627E" w:rsidP="00D77E03">
      <w:pPr>
        <w:pStyle w:val="StyleHeading2Titre212H2GulliverGemenFetArial12pt"/>
        <w:spacing w:before="0" w:after="0"/>
        <w:jc w:val="both"/>
        <w:rPr>
          <w:b w:val="0"/>
          <w:sz w:val="22"/>
          <w:szCs w:val="22"/>
        </w:rPr>
      </w:pPr>
      <w:r w:rsidRPr="00C0597B">
        <w:rPr>
          <w:b w:val="0"/>
          <w:sz w:val="22"/>
          <w:szCs w:val="22"/>
        </w:rPr>
        <w:t>Djelovanje lorlatiniba na druge ljekove</w:t>
      </w:r>
    </w:p>
    <w:p w14:paraId="58000304" w14:textId="77777777" w:rsidR="0063627E" w:rsidRPr="003C7D36" w:rsidRDefault="0063627E" w:rsidP="00D77E03">
      <w:pPr>
        <w:pStyle w:val="StyleHeading2Titre212H2GulliverGemenFetArial12pt"/>
        <w:spacing w:before="0" w:after="0"/>
        <w:jc w:val="both"/>
        <w:rPr>
          <w:b w:val="0"/>
          <w:sz w:val="22"/>
          <w:szCs w:val="22"/>
          <w:u w:val="single"/>
        </w:rPr>
      </w:pPr>
    </w:p>
    <w:p w14:paraId="13808D71" w14:textId="77777777" w:rsidR="0063627E" w:rsidRPr="003C7D36" w:rsidRDefault="0063627E" w:rsidP="00D77E03">
      <w:pPr>
        <w:pStyle w:val="Paragraph"/>
        <w:keepNext/>
        <w:spacing w:after="0"/>
        <w:jc w:val="both"/>
        <w:rPr>
          <w:sz w:val="22"/>
          <w:szCs w:val="22"/>
          <w:u w:val="single"/>
        </w:rPr>
      </w:pPr>
      <w:r w:rsidRPr="00C0597B">
        <w:rPr>
          <w:sz w:val="22"/>
          <w:szCs w:val="22"/>
          <w:u w:val="single"/>
        </w:rPr>
        <w:t>Supstrati CYP3A4/5</w:t>
      </w:r>
    </w:p>
    <w:p w14:paraId="45BEEB7C" w14:textId="77777777" w:rsidR="0063627E" w:rsidRPr="003C7D36" w:rsidRDefault="0063627E" w:rsidP="00D77E03">
      <w:pPr>
        <w:pStyle w:val="Paragraph"/>
        <w:keepNext/>
        <w:spacing w:after="0"/>
        <w:jc w:val="both"/>
        <w:rPr>
          <w:i/>
          <w:sz w:val="22"/>
          <w:szCs w:val="22"/>
          <w:u w:val="single"/>
        </w:rPr>
      </w:pPr>
    </w:p>
    <w:p w14:paraId="0CA86C86" w14:textId="2F4C29DB" w:rsidR="0063627E" w:rsidRPr="003C7D36" w:rsidRDefault="002D25D6" w:rsidP="00D77E03">
      <w:pPr>
        <w:pStyle w:val="Paragraph"/>
        <w:spacing w:after="0"/>
        <w:jc w:val="both"/>
        <w:rPr>
          <w:sz w:val="22"/>
          <w:szCs w:val="22"/>
        </w:rPr>
      </w:pPr>
      <w:r w:rsidRPr="00C0597B">
        <w:rPr>
          <w:i/>
          <w:sz w:val="22"/>
          <w:szCs w:val="22"/>
        </w:rPr>
        <w:t>In vitro</w:t>
      </w:r>
      <w:r w:rsidRPr="00C0597B">
        <w:rPr>
          <w:sz w:val="22"/>
          <w:szCs w:val="22"/>
        </w:rPr>
        <w:t xml:space="preserve"> studije su pokazale da je lorlatinib vremenski zavisan inhibitor, a takođe i induktor CYP3A4/5. Lorlatinib 150 mg, koji je dat oralno jednom dnevno tokom 15 dana, smanjio je AUC</w:t>
      </w:r>
      <w:r w:rsidRPr="00822B86">
        <w:rPr>
          <w:sz w:val="22"/>
          <w:szCs w:val="22"/>
          <w:vertAlign w:val="subscript"/>
        </w:rPr>
        <w:t>inf</w:t>
      </w:r>
      <w:r w:rsidRPr="00822B86">
        <w:rPr>
          <w:sz w:val="22"/>
          <w:szCs w:val="22"/>
        </w:rPr>
        <w:t xml:space="preserve"> za 61% i C</w:t>
      </w:r>
      <w:r w:rsidRPr="00822B86">
        <w:rPr>
          <w:sz w:val="22"/>
          <w:szCs w:val="22"/>
          <w:vertAlign w:val="subscript"/>
        </w:rPr>
        <w:t>max</w:t>
      </w:r>
      <w:r w:rsidRPr="00446153">
        <w:rPr>
          <w:sz w:val="22"/>
          <w:szCs w:val="22"/>
        </w:rPr>
        <w:t xml:space="preserve"> za 50% pojedinačne oralne doze od 2 mg midazolama (osjetljivog supstrata CYP3A); stoga, lorlatinib je umjeren induktor CYP3A. Zato je potrebno izbjegavati istovremenu primjenu lorlatiniba sa supstratima CYP3A4/5 uskog terapijskog indeksa, uključujući između ostalog alfentanil, ciklosporin, dihidroergotamin, ergotam</w:t>
      </w:r>
      <w:r w:rsidRPr="0093305C">
        <w:rPr>
          <w:sz w:val="22"/>
          <w:szCs w:val="22"/>
        </w:rPr>
        <w:t>in, fentanil, hormonska kontraceptivna sredstva, pimozid, kinidin, sirolimus i takrolimus, s obzirom na to da lorlatinib može smanjiti koncentraciju tih ljekova (vidjeti dio 4.4).</w:t>
      </w:r>
      <w:bookmarkEnd w:id="5"/>
    </w:p>
    <w:p w14:paraId="3458014F" w14:textId="77777777" w:rsidR="0063627E" w:rsidRPr="0031203A" w:rsidRDefault="0063627E" w:rsidP="00D77E03">
      <w:pPr>
        <w:pStyle w:val="Paragraph"/>
        <w:spacing w:after="0"/>
        <w:jc w:val="both"/>
        <w:rPr>
          <w:sz w:val="22"/>
          <w:szCs w:val="22"/>
        </w:rPr>
      </w:pPr>
    </w:p>
    <w:p w14:paraId="2F37091E" w14:textId="33B34288" w:rsidR="0063627E" w:rsidRPr="003C7D36" w:rsidRDefault="0063627E" w:rsidP="00D77E03">
      <w:pPr>
        <w:pStyle w:val="Paragraph"/>
        <w:spacing w:after="0"/>
        <w:jc w:val="both"/>
        <w:rPr>
          <w:rFonts w:eastAsia="Calibri"/>
          <w:bCs/>
          <w:sz w:val="22"/>
          <w:szCs w:val="22"/>
          <w:u w:val="single"/>
        </w:rPr>
      </w:pPr>
      <w:r w:rsidRPr="00C0597B">
        <w:rPr>
          <w:sz w:val="22"/>
          <w:szCs w:val="22"/>
          <w:u w:val="single"/>
        </w:rPr>
        <w:t>Supstrati CYP2B6</w:t>
      </w:r>
    </w:p>
    <w:p w14:paraId="7F0C3A69" w14:textId="77777777" w:rsidR="006D7FF4" w:rsidRPr="003C7D36" w:rsidRDefault="006D7FF4" w:rsidP="00D77E03">
      <w:pPr>
        <w:pStyle w:val="Paragraph"/>
        <w:spacing w:after="0"/>
        <w:jc w:val="both"/>
        <w:rPr>
          <w:rFonts w:eastAsia="Calibri"/>
          <w:bCs/>
          <w:sz w:val="22"/>
          <w:szCs w:val="22"/>
          <w:u w:val="single"/>
        </w:rPr>
      </w:pPr>
    </w:p>
    <w:p w14:paraId="6D65A06F" w14:textId="303B95B8" w:rsidR="0063627E" w:rsidRPr="003C7D36" w:rsidRDefault="0063627E" w:rsidP="00D77E03">
      <w:pPr>
        <w:pStyle w:val="Paragraph"/>
        <w:spacing w:after="0"/>
        <w:jc w:val="both"/>
        <w:rPr>
          <w:rFonts w:eastAsia="Calibri"/>
          <w:bCs/>
          <w:sz w:val="22"/>
          <w:szCs w:val="22"/>
        </w:rPr>
      </w:pPr>
      <w:r w:rsidRPr="00C0597B">
        <w:rPr>
          <w:sz w:val="22"/>
          <w:szCs w:val="22"/>
        </w:rPr>
        <w:t xml:space="preserve">Lorlatinib 100 mg, koji je dat jednom dnevno tokom 15 dana, smanjio je </w:t>
      </w:r>
      <w:bookmarkStart w:id="6" w:name="_Hlk36473114"/>
      <w:r w:rsidRPr="00C0597B">
        <w:rPr>
          <w:sz w:val="22"/>
          <w:szCs w:val="22"/>
        </w:rPr>
        <w:t>AUC</w:t>
      </w:r>
      <w:r w:rsidRPr="00C0597B">
        <w:rPr>
          <w:sz w:val="22"/>
          <w:szCs w:val="22"/>
          <w:vertAlign w:val="subscript"/>
        </w:rPr>
        <w:t>inf</w:t>
      </w:r>
      <w:r w:rsidRPr="00C0597B">
        <w:rPr>
          <w:sz w:val="22"/>
          <w:szCs w:val="22"/>
        </w:rPr>
        <w:t xml:space="preserve"> za 49,5% i C</w:t>
      </w:r>
      <w:r w:rsidRPr="00822B86">
        <w:rPr>
          <w:sz w:val="22"/>
          <w:szCs w:val="22"/>
          <w:vertAlign w:val="subscript"/>
        </w:rPr>
        <w:t>max</w:t>
      </w:r>
      <w:r w:rsidRPr="00822B86">
        <w:rPr>
          <w:sz w:val="22"/>
          <w:szCs w:val="22"/>
        </w:rPr>
        <w:t xml:space="preserve"> za 53% pojedinačne oralne doze bupropiona od 100 mg</w:t>
      </w:r>
      <w:bookmarkEnd w:id="6"/>
      <w:r w:rsidRPr="00822B86">
        <w:rPr>
          <w:sz w:val="22"/>
          <w:szCs w:val="22"/>
        </w:rPr>
        <w:t xml:space="preserve"> (kombinovani supstrat CYP2B6 i CYP3A4). Prema tome, lorlatinib je slab induktor enzima CYP2B6 i nije potrebno </w:t>
      </w:r>
      <w:r w:rsidRPr="00446153">
        <w:rPr>
          <w:sz w:val="22"/>
          <w:szCs w:val="22"/>
        </w:rPr>
        <w:t>prilagođavanje doze kada se lorlatinib primjenjuje u kombinaciji s ljekovima koji se uglavnom metabolišu putem enzima CYP2B6.</w:t>
      </w:r>
    </w:p>
    <w:p w14:paraId="381EC7DF" w14:textId="77777777" w:rsidR="006D7FF4" w:rsidRPr="003C7D36" w:rsidRDefault="006D7FF4" w:rsidP="00D77E03">
      <w:pPr>
        <w:pStyle w:val="Paragraph"/>
        <w:spacing w:after="0"/>
        <w:jc w:val="both"/>
        <w:rPr>
          <w:rFonts w:eastAsia="Calibri"/>
          <w:bCs/>
          <w:sz w:val="22"/>
          <w:szCs w:val="22"/>
        </w:rPr>
      </w:pPr>
    </w:p>
    <w:p w14:paraId="6EC8A8AC" w14:textId="0FE683DE" w:rsidR="0063627E" w:rsidRPr="003C7D36" w:rsidRDefault="0063627E" w:rsidP="00D77E03">
      <w:pPr>
        <w:pStyle w:val="Paragraph"/>
        <w:keepNext/>
        <w:spacing w:after="0"/>
        <w:jc w:val="both"/>
        <w:rPr>
          <w:rFonts w:eastAsia="Calibri"/>
          <w:bCs/>
          <w:sz w:val="22"/>
          <w:szCs w:val="22"/>
          <w:u w:val="single"/>
        </w:rPr>
      </w:pPr>
      <w:r w:rsidRPr="00C0597B">
        <w:rPr>
          <w:sz w:val="22"/>
          <w:szCs w:val="22"/>
          <w:u w:val="single"/>
        </w:rPr>
        <w:t>Supstrati CYP2C9</w:t>
      </w:r>
    </w:p>
    <w:p w14:paraId="195D8490" w14:textId="77777777" w:rsidR="006D7FF4" w:rsidRPr="003C7D36" w:rsidRDefault="006D7FF4" w:rsidP="00D77E03">
      <w:pPr>
        <w:pStyle w:val="Paragraph"/>
        <w:keepNext/>
        <w:spacing w:after="0"/>
        <w:jc w:val="both"/>
        <w:rPr>
          <w:rFonts w:eastAsia="Calibri"/>
          <w:bCs/>
          <w:sz w:val="22"/>
          <w:szCs w:val="22"/>
          <w:u w:val="single"/>
        </w:rPr>
      </w:pPr>
    </w:p>
    <w:p w14:paraId="22FBD37C" w14:textId="251393BB" w:rsidR="0063627E" w:rsidRPr="003C7D36" w:rsidRDefault="0063627E" w:rsidP="00D77E03">
      <w:pPr>
        <w:pStyle w:val="Paragraph"/>
        <w:keepNext/>
        <w:spacing w:after="0"/>
        <w:jc w:val="both"/>
        <w:rPr>
          <w:rFonts w:eastAsia="Calibri"/>
          <w:bCs/>
          <w:sz w:val="22"/>
          <w:szCs w:val="22"/>
        </w:rPr>
      </w:pPr>
      <w:r w:rsidRPr="00C0597B">
        <w:rPr>
          <w:sz w:val="22"/>
          <w:szCs w:val="22"/>
        </w:rPr>
        <w:t>Lorlatinib 100 mg, koji je dat jednom dnevno tokom 15 dana, smanjio je AUC</w:t>
      </w:r>
      <w:r w:rsidRPr="00C0597B">
        <w:rPr>
          <w:sz w:val="22"/>
          <w:szCs w:val="22"/>
          <w:vertAlign w:val="subscript"/>
        </w:rPr>
        <w:t>inf</w:t>
      </w:r>
      <w:r w:rsidRPr="00C0597B">
        <w:rPr>
          <w:sz w:val="22"/>
          <w:szCs w:val="22"/>
        </w:rPr>
        <w:t xml:space="preserve"> za 43% i C</w:t>
      </w:r>
      <w:r w:rsidRPr="00822B86">
        <w:rPr>
          <w:sz w:val="22"/>
          <w:szCs w:val="22"/>
          <w:vertAlign w:val="subscript"/>
        </w:rPr>
        <w:t>max</w:t>
      </w:r>
      <w:r w:rsidRPr="00822B86">
        <w:rPr>
          <w:sz w:val="22"/>
          <w:szCs w:val="22"/>
        </w:rPr>
        <w:t xml:space="preserve"> za 15% pojedinačne</w:t>
      </w:r>
      <w:r w:rsidR="00AE0730" w:rsidRPr="00446153">
        <w:rPr>
          <w:sz w:val="22"/>
          <w:szCs w:val="22"/>
        </w:rPr>
        <w:t>, oralno primijenjene</w:t>
      </w:r>
      <w:r w:rsidRPr="00446153">
        <w:rPr>
          <w:sz w:val="22"/>
          <w:szCs w:val="22"/>
        </w:rPr>
        <w:t xml:space="preserve"> doze tolbutamida od 500 mg (</w:t>
      </w:r>
      <w:r w:rsidR="00AE0730" w:rsidRPr="00446153">
        <w:rPr>
          <w:sz w:val="22"/>
          <w:szCs w:val="22"/>
        </w:rPr>
        <w:t xml:space="preserve">supstrat </w:t>
      </w:r>
      <w:r w:rsidRPr="00446153">
        <w:rPr>
          <w:sz w:val="22"/>
          <w:szCs w:val="22"/>
        </w:rPr>
        <w:t>osjetljiv</w:t>
      </w:r>
      <w:r w:rsidR="00AE0730" w:rsidRPr="00446153">
        <w:rPr>
          <w:sz w:val="22"/>
          <w:szCs w:val="22"/>
        </w:rPr>
        <w:t xml:space="preserve"> na enzim</w:t>
      </w:r>
      <w:r w:rsidRPr="0093305C">
        <w:rPr>
          <w:sz w:val="22"/>
          <w:szCs w:val="22"/>
        </w:rPr>
        <w:t xml:space="preserve"> CYP2C9). Prema tome, lorlatinib je slab induktor enzima CYP2C9 i nije potrebno prilagođavanje doze za ljekove koji se uglavnom metabolišu putem enzima CYP2C9. Međutim, pacijente treba pratiti u slučaju istovremene primjene ljekova sa uskim terapijskim indeksom, a koji se metabolišu putem enzima CYP2C9 (npr. kumarinski antikoagulansi).</w:t>
      </w:r>
    </w:p>
    <w:p w14:paraId="4E28C6E3" w14:textId="77777777" w:rsidR="006D7FF4" w:rsidRPr="003C7D36" w:rsidRDefault="006D7FF4" w:rsidP="00D77E03">
      <w:pPr>
        <w:pStyle w:val="Paragraph"/>
        <w:keepNext/>
        <w:spacing w:after="0"/>
        <w:jc w:val="both"/>
        <w:rPr>
          <w:rFonts w:eastAsia="Calibri"/>
          <w:bCs/>
          <w:sz w:val="22"/>
          <w:szCs w:val="22"/>
        </w:rPr>
      </w:pPr>
    </w:p>
    <w:p w14:paraId="31ECFF69" w14:textId="0D62C005" w:rsidR="0063627E" w:rsidRPr="003C7D36" w:rsidRDefault="0063627E" w:rsidP="00D77E03">
      <w:pPr>
        <w:pStyle w:val="Paragraph"/>
        <w:spacing w:after="0"/>
        <w:jc w:val="both"/>
        <w:rPr>
          <w:rFonts w:eastAsia="Calibri"/>
          <w:bCs/>
          <w:sz w:val="22"/>
          <w:szCs w:val="22"/>
          <w:u w:val="single"/>
        </w:rPr>
      </w:pPr>
      <w:r w:rsidRPr="00C0597B">
        <w:rPr>
          <w:sz w:val="22"/>
          <w:szCs w:val="22"/>
          <w:u w:val="single"/>
        </w:rPr>
        <w:t>Supstrati UGT</w:t>
      </w:r>
    </w:p>
    <w:p w14:paraId="206D3338" w14:textId="77777777" w:rsidR="006D7FF4" w:rsidRPr="003C7D36" w:rsidRDefault="006D7FF4" w:rsidP="00D77E03">
      <w:pPr>
        <w:pStyle w:val="Paragraph"/>
        <w:spacing w:after="0"/>
        <w:jc w:val="both"/>
        <w:rPr>
          <w:rFonts w:eastAsia="Calibri"/>
          <w:bCs/>
          <w:sz w:val="22"/>
          <w:szCs w:val="22"/>
          <w:u w:val="single"/>
        </w:rPr>
      </w:pPr>
    </w:p>
    <w:p w14:paraId="021350DE" w14:textId="77777777" w:rsidR="00B84D23" w:rsidRDefault="0063627E" w:rsidP="00D77E03">
      <w:pPr>
        <w:pStyle w:val="Paragraph"/>
        <w:spacing w:after="0"/>
        <w:jc w:val="both"/>
        <w:rPr>
          <w:sz w:val="22"/>
          <w:szCs w:val="22"/>
        </w:rPr>
      </w:pPr>
      <w:r w:rsidRPr="00C0597B">
        <w:rPr>
          <w:sz w:val="22"/>
          <w:szCs w:val="22"/>
        </w:rPr>
        <w:t>Lorlatinib 100 mg, koji je dat jednom dnevno tokom 15 dana, smanjio je AUC</w:t>
      </w:r>
      <w:r w:rsidRPr="00C0597B">
        <w:rPr>
          <w:sz w:val="22"/>
          <w:szCs w:val="22"/>
          <w:vertAlign w:val="subscript"/>
        </w:rPr>
        <w:t>inf</w:t>
      </w:r>
      <w:r w:rsidRPr="00C0597B">
        <w:rPr>
          <w:sz w:val="22"/>
          <w:szCs w:val="22"/>
        </w:rPr>
        <w:t xml:space="preserve"> za 45% i C</w:t>
      </w:r>
      <w:r w:rsidRPr="00822B86">
        <w:rPr>
          <w:sz w:val="22"/>
          <w:szCs w:val="22"/>
          <w:vertAlign w:val="subscript"/>
        </w:rPr>
        <w:t>max</w:t>
      </w:r>
      <w:r w:rsidRPr="00822B86">
        <w:rPr>
          <w:sz w:val="22"/>
          <w:szCs w:val="22"/>
        </w:rPr>
        <w:t xml:space="preserve"> za 28% pojedinačne oralne doze acetaminofena od 500 mg (UGT, SULT i CYP1A2, 2A6, 2D6 i 3A4 supstrat). </w:t>
      </w:r>
      <w:r w:rsidRPr="00822B86">
        <w:rPr>
          <w:sz w:val="22"/>
          <w:szCs w:val="22"/>
        </w:rPr>
        <w:lastRenderedPageBreak/>
        <w:t xml:space="preserve">Prema tome, lorlatinib je slab induktor enzima UGT i nije potrebno prilagođavanje doze za ljekove koji se uglavnom metabolišu putem enzima UGT. </w:t>
      </w:r>
    </w:p>
    <w:p w14:paraId="25CBD0B4" w14:textId="05D1DF72" w:rsidR="006D7FF4" w:rsidRPr="003C7D36" w:rsidRDefault="0063627E" w:rsidP="00D77E03">
      <w:pPr>
        <w:pStyle w:val="Paragraph"/>
        <w:spacing w:after="0"/>
        <w:jc w:val="both"/>
        <w:rPr>
          <w:rFonts w:eastAsia="Calibri"/>
          <w:bCs/>
          <w:sz w:val="22"/>
          <w:szCs w:val="22"/>
        </w:rPr>
      </w:pPr>
      <w:r w:rsidRPr="00822B86">
        <w:rPr>
          <w:szCs w:val="22"/>
        </w:rPr>
        <w:t xml:space="preserve">Međutim, pacijente treba pratiti u slučaju istovremene primjene ljekova sa uskim terapijskim indeksom, a koji se metabolišu putem enzima UGT. </w:t>
      </w:r>
    </w:p>
    <w:p w14:paraId="1AFC3BE8" w14:textId="77777777" w:rsidR="0063627E" w:rsidRPr="003C7D36" w:rsidRDefault="0063627E" w:rsidP="00D77E03">
      <w:pPr>
        <w:pStyle w:val="Paragraph"/>
        <w:spacing w:after="0"/>
        <w:jc w:val="both"/>
        <w:rPr>
          <w:rFonts w:eastAsia="Calibri"/>
          <w:bCs/>
          <w:sz w:val="22"/>
          <w:szCs w:val="22"/>
          <w:u w:val="single"/>
        </w:rPr>
      </w:pPr>
      <w:r w:rsidRPr="00C0597B">
        <w:rPr>
          <w:sz w:val="22"/>
          <w:szCs w:val="22"/>
          <w:u w:val="single"/>
        </w:rPr>
        <w:t>Supstrati P-glikoproteina</w:t>
      </w:r>
    </w:p>
    <w:p w14:paraId="32511B56" w14:textId="77777777" w:rsidR="006D7FF4" w:rsidRPr="003C7D36" w:rsidRDefault="006D7FF4" w:rsidP="00D77E03">
      <w:pPr>
        <w:pStyle w:val="Paragraph"/>
        <w:spacing w:after="0"/>
        <w:jc w:val="both"/>
        <w:rPr>
          <w:rFonts w:eastAsia="Calibri"/>
          <w:bCs/>
          <w:sz w:val="22"/>
          <w:szCs w:val="22"/>
        </w:rPr>
      </w:pPr>
    </w:p>
    <w:p w14:paraId="59930447" w14:textId="4293EF6B" w:rsidR="0063627E" w:rsidRPr="003C7D36" w:rsidRDefault="0063627E" w:rsidP="00D77E03">
      <w:pPr>
        <w:pStyle w:val="Paragraph"/>
        <w:spacing w:after="0"/>
        <w:jc w:val="both"/>
        <w:rPr>
          <w:rFonts w:eastAsia="Calibri"/>
          <w:bCs/>
          <w:sz w:val="22"/>
          <w:szCs w:val="22"/>
        </w:rPr>
      </w:pPr>
      <w:r w:rsidRPr="00C0597B">
        <w:rPr>
          <w:sz w:val="22"/>
          <w:szCs w:val="22"/>
        </w:rPr>
        <w:t>Lorlatinib 100 mg, koji je dat jednom dnevno tokom 15 dana, smanjio je AUC</w:t>
      </w:r>
      <w:r w:rsidRPr="00C0597B">
        <w:rPr>
          <w:sz w:val="22"/>
          <w:szCs w:val="22"/>
          <w:vertAlign w:val="subscript"/>
        </w:rPr>
        <w:t>inf</w:t>
      </w:r>
      <w:r w:rsidRPr="00C0597B">
        <w:rPr>
          <w:sz w:val="22"/>
          <w:szCs w:val="22"/>
        </w:rPr>
        <w:t xml:space="preserve"> za 67% i C</w:t>
      </w:r>
      <w:r w:rsidRPr="00C0597B">
        <w:rPr>
          <w:sz w:val="22"/>
          <w:szCs w:val="22"/>
          <w:vertAlign w:val="subscript"/>
        </w:rPr>
        <w:t>max</w:t>
      </w:r>
      <w:r w:rsidRPr="00C0597B">
        <w:rPr>
          <w:sz w:val="22"/>
          <w:szCs w:val="22"/>
        </w:rPr>
        <w:t xml:space="preserve"> za 63% pojedinačne oralne doze feksofenadina od 60 mg [</w:t>
      </w:r>
      <w:r w:rsidR="00AE0730" w:rsidRPr="00822B86">
        <w:rPr>
          <w:sz w:val="22"/>
          <w:szCs w:val="22"/>
        </w:rPr>
        <w:t xml:space="preserve">supstrat </w:t>
      </w:r>
      <w:r w:rsidRPr="00822B86">
        <w:rPr>
          <w:sz w:val="22"/>
          <w:szCs w:val="22"/>
        </w:rPr>
        <w:t>osjetljiv</w:t>
      </w:r>
      <w:r w:rsidR="00AE0730" w:rsidRPr="00822B86">
        <w:rPr>
          <w:sz w:val="22"/>
          <w:szCs w:val="22"/>
        </w:rPr>
        <w:t xml:space="preserve"> na </w:t>
      </w:r>
      <w:r w:rsidRPr="00446153">
        <w:rPr>
          <w:sz w:val="22"/>
          <w:szCs w:val="22"/>
        </w:rPr>
        <w:t xml:space="preserve"> P-glikoprotein (P-gp)]. Prema tome, lorlatinib je umjereni induktor P-gp. Potreban je oprez kada se ljekovi s uskim terapijskim indeksom koji su supstrati P-gp-a (npr. digoksin, dabigatran eteksilat), primjenjuju u kombinaciji s lorlatinibom zbog mogućeg smanjenja koncentracija ovih supstrata u plazmi.</w:t>
      </w:r>
    </w:p>
    <w:p w14:paraId="7817FF31" w14:textId="77777777" w:rsidR="0063627E" w:rsidRPr="003C7D36" w:rsidRDefault="0063627E" w:rsidP="00D77E03">
      <w:pPr>
        <w:pStyle w:val="Paragraph"/>
        <w:spacing w:after="0"/>
        <w:jc w:val="both"/>
        <w:rPr>
          <w:rFonts w:eastAsia="Calibri"/>
          <w:bCs/>
          <w:sz w:val="22"/>
          <w:szCs w:val="22"/>
        </w:rPr>
      </w:pPr>
    </w:p>
    <w:p w14:paraId="62D5971E" w14:textId="5DFD38E8" w:rsidR="0063627E" w:rsidRPr="003C7D36" w:rsidRDefault="00597AF7" w:rsidP="00D77E03">
      <w:pPr>
        <w:pStyle w:val="StyleHeading2Titre212H2GulliverGemenFetArial12pt"/>
        <w:spacing w:before="0" w:after="0"/>
        <w:jc w:val="both"/>
        <w:rPr>
          <w:b w:val="0"/>
          <w:iCs/>
          <w:sz w:val="22"/>
          <w:szCs w:val="22"/>
          <w:u w:val="single"/>
        </w:rPr>
      </w:pPr>
      <w:r w:rsidRPr="00C0597B">
        <w:rPr>
          <w:b w:val="0"/>
          <w:sz w:val="22"/>
          <w:szCs w:val="22"/>
          <w:u w:val="single"/>
        </w:rPr>
        <w:t xml:space="preserve">In vitro </w:t>
      </w:r>
      <w:r w:rsidRPr="00C0597B">
        <w:rPr>
          <w:b w:val="0"/>
          <w:i w:val="0"/>
          <w:sz w:val="22"/>
          <w:szCs w:val="22"/>
          <w:u w:val="single"/>
        </w:rPr>
        <w:t>studije inhibicije i indukcije drugih CYP enzima</w:t>
      </w:r>
    </w:p>
    <w:p w14:paraId="3713431A" w14:textId="77777777" w:rsidR="0063627E" w:rsidRPr="003C7D36" w:rsidRDefault="0063627E" w:rsidP="00D77E03">
      <w:pPr>
        <w:pStyle w:val="StyleHeading2Titre212H2GulliverGemenFetArial12pt"/>
        <w:spacing w:before="0" w:after="0"/>
        <w:jc w:val="both"/>
        <w:rPr>
          <w:b w:val="0"/>
          <w:iCs/>
          <w:sz w:val="22"/>
          <w:szCs w:val="22"/>
          <w:u w:val="single"/>
        </w:rPr>
      </w:pPr>
    </w:p>
    <w:p w14:paraId="43AB8B04" w14:textId="10A85DB7" w:rsidR="0063627E" w:rsidRPr="003C7D36" w:rsidRDefault="0063627E" w:rsidP="00D77E03">
      <w:pPr>
        <w:jc w:val="both"/>
        <w:rPr>
          <w:szCs w:val="22"/>
        </w:rPr>
      </w:pPr>
      <w:r w:rsidRPr="00C0597B">
        <w:rPr>
          <w:i/>
          <w:szCs w:val="22"/>
        </w:rPr>
        <w:t>In vitro</w:t>
      </w:r>
      <w:r w:rsidRPr="00C0597B">
        <w:rPr>
          <w:szCs w:val="22"/>
        </w:rPr>
        <w:t>, lorlatinib ima mali potencijal da izazove interakciju sa drugim ljekovima putem indukcije CYP1A2.</w:t>
      </w:r>
    </w:p>
    <w:p w14:paraId="69207102" w14:textId="1C9C439A" w:rsidR="005D41B8" w:rsidRPr="003C7D36" w:rsidRDefault="005D41B8" w:rsidP="00D77E03">
      <w:pPr>
        <w:jc w:val="both"/>
        <w:rPr>
          <w:szCs w:val="22"/>
        </w:rPr>
      </w:pPr>
    </w:p>
    <w:p w14:paraId="036D01E5" w14:textId="64A08083" w:rsidR="0063627E" w:rsidRPr="003C7D36" w:rsidRDefault="0063627E" w:rsidP="00D77E03">
      <w:pPr>
        <w:pStyle w:val="StyleHeading2Titre212H2GulliverGemenFetArial12pt"/>
        <w:spacing w:before="0" w:after="0"/>
        <w:jc w:val="both"/>
        <w:rPr>
          <w:b w:val="0"/>
          <w:iCs/>
          <w:sz w:val="22"/>
          <w:szCs w:val="22"/>
          <w:u w:val="single"/>
        </w:rPr>
      </w:pPr>
      <w:bookmarkStart w:id="7" w:name="_Toc274663627"/>
      <w:r w:rsidRPr="00C0597B">
        <w:rPr>
          <w:b w:val="0"/>
          <w:sz w:val="22"/>
          <w:szCs w:val="22"/>
          <w:u w:val="single"/>
        </w:rPr>
        <w:t xml:space="preserve">In vitro </w:t>
      </w:r>
      <w:r w:rsidRPr="00C0597B">
        <w:rPr>
          <w:b w:val="0"/>
          <w:i w:val="0"/>
          <w:sz w:val="22"/>
          <w:szCs w:val="22"/>
          <w:u w:val="single"/>
        </w:rPr>
        <w:t xml:space="preserve">studije sa </w:t>
      </w:r>
      <w:bookmarkEnd w:id="7"/>
      <w:r w:rsidRPr="00C0597B">
        <w:rPr>
          <w:b w:val="0"/>
          <w:i w:val="0"/>
          <w:sz w:val="22"/>
          <w:szCs w:val="22"/>
          <w:u w:val="single"/>
        </w:rPr>
        <w:t>transporterima ljekova koji ni</w:t>
      </w:r>
      <w:r w:rsidR="009C218E" w:rsidRPr="00C0597B">
        <w:rPr>
          <w:b w:val="0"/>
          <w:i w:val="0"/>
          <w:sz w:val="22"/>
          <w:szCs w:val="22"/>
          <w:u w:val="single"/>
        </w:rPr>
        <w:t>je</w:t>
      </w:r>
      <w:r w:rsidRPr="00C0597B">
        <w:rPr>
          <w:b w:val="0"/>
          <w:i w:val="0"/>
          <w:sz w:val="22"/>
          <w:szCs w:val="22"/>
          <w:u w:val="single"/>
        </w:rPr>
        <w:t>su P-gp</w:t>
      </w:r>
    </w:p>
    <w:p w14:paraId="07EE66EA" w14:textId="77777777" w:rsidR="0063627E" w:rsidRPr="003C7D36" w:rsidRDefault="0063627E" w:rsidP="00D77E03">
      <w:pPr>
        <w:pStyle w:val="StyleHeading2Titre212H2GulliverGemenFetArial12pt"/>
        <w:spacing w:before="0" w:after="0"/>
        <w:jc w:val="both"/>
        <w:rPr>
          <w:b w:val="0"/>
          <w:sz w:val="22"/>
          <w:szCs w:val="22"/>
        </w:rPr>
      </w:pPr>
    </w:p>
    <w:p w14:paraId="5FEEE5BD" w14:textId="0B0F5BAE" w:rsidR="0063627E" w:rsidRPr="003C7D36" w:rsidRDefault="0063627E" w:rsidP="00D77E03">
      <w:pPr>
        <w:pStyle w:val="Paragraph"/>
        <w:spacing w:after="0"/>
        <w:jc w:val="both"/>
        <w:rPr>
          <w:sz w:val="22"/>
          <w:szCs w:val="22"/>
        </w:rPr>
      </w:pPr>
      <w:r w:rsidRPr="00C0597B">
        <w:rPr>
          <w:sz w:val="22"/>
          <w:szCs w:val="22"/>
        </w:rPr>
        <w:t>In vitro</w:t>
      </w:r>
      <w:r w:rsidRPr="00C0597B">
        <w:rPr>
          <w:i/>
          <w:sz w:val="22"/>
          <w:szCs w:val="22"/>
        </w:rPr>
        <w:t xml:space="preserve"> </w:t>
      </w:r>
      <w:r w:rsidRPr="00C0597B">
        <w:rPr>
          <w:sz w:val="22"/>
          <w:szCs w:val="22"/>
        </w:rPr>
        <w:t xml:space="preserve">studije su pokazale da lorlatinib možda ima potencijal da inhibira </w:t>
      </w:r>
      <w:r w:rsidR="00DE0867" w:rsidRPr="00C0597B">
        <w:rPr>
          <w:sz w:val="22"/>
          <w:szCs w:val="22"/>
        </w:rPr>
        <w:t xml:space="preserve">protein rezistencije karcinoma dojke (engl. </w:t>
      </w:r>
      <w:r w:rsidR="00DE0867" w:rsidRPr="00822B86">
        <w:rPr>
          <w:i/>
          <w:sz w:val="22"/>
          <w:szCs w:val="22"/>
        </w:rPr>
        <w:t>breast cancer resistance protein</w:t>
      </w:r>
      <w:r w:rsidR="00DE0867" w:rsidRPr="00822B86">
        <w:rPr>
          <w:sz w:val="22"/>
          <w:szCs w:val="22"/>
        </w:rPr>
        <w:t xml:space="preserve">, </w:t>
      </w:r>
      <w:r w:rsidRPr="00446153">
        <w:rPr>
          <w:sz w:val="22"/>
          <w:szCs w:val="22"/>
        </w:rPr>
        <w:t>BCRP (gastrointestinalni trakt)</w:t>
      </w:r>
      <w:r w:rsidR="00DE0867" w:rsidRPr="00446153">
        <w:rPr>
          <w:sz w:val="22"/>
          <w:szCs w:val="22"/>
        </w:rPr>
        <w:t>)</w:t>
      </w:r>
      <w:r w:rsidRPr="00446153">
        <w:rPr>
          <w:sz w:val="22"/>
          <w:szCs w:val="22"/>
        </w:rPr>
        <w:t>, OATP1B1, OATP1B3, OCT1, MATE1 i OAT3 pri klinički značajnim koncentracijama.</w:t>
      </w:r>
      <w:r w:rsidRPr="0031203A">
        <w:rPr>
          <w:sz w:val="22"/>
          <w:szCs w:val="22"/>
        </w:rPr>
        <w:t xml:space="preserve"> </w:t>
      </w:r>
      <w:r w:rsidRPr="00C0597B">
        <w:rPr>
          <w:sz w:val="22"/>
          <w:szCs w:val="22"/>
        </w:rPr>
        <w:t xml:space="preserve">Lorlatinib se u kombinaciji sa supstratima BCRP-a, OATP1B1, OATP1B3, OCT1, MATE1 i OAT3 mora oprezno primjenjivati, jer se ne mogu isključiti klinički značajne promjene u izloženosti navedenim supstratima u plazmi. </w:t>
      </w:r>
    </w:p>
    <w:p w14:paraId="67EB4050" w14:textId="46D811DC" w:rsidR="00BF70D2" w:rsidRPr="00C0597B" w:rsidRDefault="00BF70D2" w:rsidP="00D77E03">
      <w:pPr>
        <w:keepNext/>
        <w:spacing w:line="240" w:lineRule="auto"/>
        <w:ind w:left="567" w:hanging="567"/>
        <w:jc w:val="both"/>
        <w:outlineLvl w:val="0"/>
        <w:rPr>
          <w:iCs/>
          <w:szCs w:val="22"/>
        </w:rPr>
      </w:pPr>
    </w:p>
    <w:p w14:paraId="2F49C738" w14:textId="248D8A25" w:rsidR="00812D16" w:rsidRPr="003C7D36" w:rsidRDefault="00812D16" w:rsidP="00D77E03">
      <w:pPr>
        <w:keepNext/>
        <w:spacing w:line="240" w:lineRule="auto"/>
        <w:ind w:left="567" w:hanging="567"/>
        <w:jc w:val="both"/>
        <w:outlineLvl w:val="0"/>
        <w:rPr>
          <w:szCs w:val="22"/>
        </w:rPr>
      </w:pPr>
      <w:r w:rsidRPr="00822B86">
        <w:rPr>
          <w:b/>
          <w:szCs w:val="22"/>
        </w:rPr>
        <w:t>4.6</w:t>
      </w:r>
      <w:r w:rsidRPr="00822B86">
        <w:rPr>
          <w:b/>
          <w:szCs w:val="22"/>
        </w:rPr>
        <w:tab/>
        <w:t>Plodnost, trudnoća i dojenje</w:t>
      </w:r>
    </w:p>
    <w:p w14:paraId="3C6C7C85" w14:textId="77777777" w:rsidR="00812D16" w:rsidRPr="003C7D36" w:rsidRDefault="00812D16" w:rsidP="00D77E03">
      <w:pPr>
        <w:keepNext/>
        <w:spacing w:line="240" w:lineRule="auto"/>
        <w:jc w:val="both"/>
        <w:rPr>
          <w:szCs w:val="22"/>
        </w:rPr>
      </w:pPr>
    </w:p>
    <w:p w14:paraId="28F1D79B" w14:textId="77777777" w:rsidR="00E97FD0" w:rsidRPr="003C7D36" w:rsidRDefault="00E97FD0" w:rsidP="00D77E03">
      <w:pPr>
        <w:keepNext/>
        <w:spacing w:line="240" w:lineRule="auto"/>
        <w:jc w:val="both"/>
        <w:rPr>
          <w:szCs w:val="22"/>
          <w:u w:val="single"/>
        </w:rPr>
      </w:pPr>
      <w:r w:rsidRPr="00C0597B">
        <w:rPr>
          <w:szCs w:val="22"/>
          <w:u w:val="single"/>
        </w:rPr>
        <w:t>Žene u reproduktivnom periodu/Kontracepcija za muškarce i za žene</w:t>
      </w:r>
    </w:p>
    <w:p w14:paraId="60E90E41" w14:textId="77777777" w:rsidR="009265E8" w:rsidRPr="003C7D36" w:rsidRDefault="009265E8" w:rsidP="00D77E03">
      <w:pPr>
        <w:keepNext/>
        <w:spacing w:line="240" w:lineRule="auto"/>
        <w:jc w:val="both"/>
        <w:rPr>
          <w:szCs w:val="22"/>
        </w:rPr>
      </w:pPr>
    </w:p>
    <w:p w14:paraId="67D4AF40" w14:textId="6CF1021D" w:rsidR="000E33EF" w:rsidRPr="003C7D36" w:rsidRDefault="00E97FD0" w:rsidP="00D77E03">
      <w:pPr>
        <w:keepNext/>
        <w:spacing w:line="240" w:lineRule="auto"/>
        <w:jc w:val="both"/>
        <w:rPr>
          <w:szCs w:val="22"/>
        </w:rPr>
      </w:pPr>
      <w:r w:rsidRPr="00C0597B">
        <w:rPr>
          <w:szCs w:val="22"/>
        </w:rPr>
        <w:t xml:space="preserve">Potrebno je posavjetovati žene u reproduktivnom periodu da izbjegavaju trudnoću dok uzimaju lorlatinib. Tokom liječenja lorlatinibom, pacijentkinjama je potrebna visokoefikasna nehormonska metoda kontracepcije jer hormonska kontraceptivna sredstva mogu postati neefikasna zbog djelovanja lorlatiniba (vidjeti </w:t>
      </w:r>
      <w:r w:rsidR="007C42D6" w:rsidRPr="00822B86">
        <w:rPr>
          <w:szCs w:val="22"/>
        </w:rPr>
        <w:t>djelove</w:t>
      </w:r>
      <w:r w:rsidRPr="00822B86">
        <w:rPr>
          <w:szCs w:val="22"/>
        </w:rPr>
        <w:t xml:space="preserve"> 4.4 i 4.5). Ako se ne može izbjeći hormonska metoda kontracepcije, mora se koristiti prezervativ u kombinaciji sa hormonskom metodom. Efikasna kontracepcija mora da se </w:t>
      </w:r>
      <w:r w:rsidR="004C188F" w:rsidRPr="00446153">
        <w:rPr>
          <w:szCs w:val="22"/>
        </w:rPr>
        <w:t>primjenjuje</w:t>
      </w:r>
      <w:r w:rsidRPr="00446153">
        <w:rPr>
          <w:szCs w:val="22"/>
        </w:rPr>
        <w:t xml:space="preserve"> još najmanje 35 dana nakon završetka primjene terapije. </w:t>
      </w:r>
    </w:p>
    <w:p w14:paraId="655409B5" w14:textId="77777777" w:rsidR="000E33EF" w:rsidRPr="003C7D36" w:rsidRDefault="000E33EF" w:rsidP="00D77E03">
      <w:pPr>
        <w:keepNext/>
        <w:spacing w:line="240" w:lineRule="auto"/>
        <w:jc w:val="both"/>
        <w:rPr>
          <w:szCs w:val="22"/>
        </w:rPr>
      </w:pPr>
    </w:p>
    <w:p w14:paraId="64054E53" w14:textId="77777777" w:rsidR="00E97FD0" w:rsidRPr="003C7D36" w:rsidRDefault="00151DDB" w:rsidP="00D77E03">
      <w:pPr>
        <w:keepNext/>
        <w:spacing w:line="240" w:lineRule="auto"/>
        <w:jc w:val="both"/>
        <w:rPr>
          <w:szCs w:val="22"/>
        </w:rPr>
      </w:pPr>
      <w:r w:rsidRPr="00C0597B">
        <w:rPr>
          <w:szCs w:val="22"/>
        </w:rPr>
        <w:t>Tokom liječenja lorlatinibom i tokom najmanje 14 sedmica nakon posljednje doze, pacijenti muškog pola, koji imaju ženske partn</w:t>
      </w:r>
      <w:r w:rsidRPr="00822B86">
        <w:rPr>
          <w:szCs w:val="22"/>
        </w:rPr>
        <w:t>erke u reproduktivnom periodu, moraju koristiti efikasnu kontracepciju, uključujući prezervativ, a pacijenti muškog pola sa trudnim partnerkama moraju koristiti prezervative.</w:t>
      </w:r>
    </w:p>
    <w:p w14:paraId="77804579" w14:textId="77777777" w:rsidR="00C0634F" w:rsidRPr="003C7D36" w:rsidRDefault="00C0634F" w:rsidP="00D77E03">
      <w:pPr>
        <w:keepNext/>
        <w:spacing w:line="240" w:lineRule="auto"/>
        <w:jc w:val="both"/>
        <w:rPr>
          <w:szCs w:val="22"/>
          <w:u w:val="single"/>
        </w:rPr>
      </w:pPr>
    </w:p>
    <w:p w14:paraId="066C2C5D" w14:textId="338B065F" w:rsidR="00C0634F" w:rsidRPr="003C7D36" w:rsidRDefault="00C0634F" w:rsidP="00D77E03">
      <w:pPr>
        <w:keepNext/>
        <w:spacing w:line="240" w:lineRule="auto"/>
        <w:jc w:val="both"/>
        <w:rPr>
          <w:szCs w:val="22"/>
        </w:rPr>
      </w:pPr>
      <w:r w:rsidRPr="00C0597B">
        <w:rPr>
          <w:szCs w:val="22"/>
          <w:u w:val="single"/>
        </w:rPr>
        <w:t>Plodnost</w:t>
      </w:r>
    </w:p>
    <w:p w14:paraId="7EEE8FAC" w14:textId="77777777" w:rsidR="00C0634F" w:rsidRPr="00C0597B" w:rsidRDefault="00C0634F" w:rsidP="00D77E03">
      <w:pPr>
        <w:keepNext/>
        <w:tabs>
          <w:tab w:val="clear" w:pos="567"/>
        </w:tabs>
        <w:spacing w:line="240" w:lineRule="auto"/>
        <w:jc w:val="both"/>
        <w:rPr>
          <w:szCs w:val="22"/>
        </w:rPr>
      </w:pPr>
    </w:p>
    <w:p w14:paraId="210AB9EA" w14:textId="77777777" w:rsidR="00C0634F" w:rsidRPr="00446153" w:rsidRDefault="00C0634F" w:rsidP="00D77E03">
      <w:pPr>
        <w:keepNext/>
        <w:tabs>
          <w:tab w:val="clear" w:pos="567"/>
        </w:tabs>
        <w:spacing w:line="240" w:lineRule="auto"/>
        <w:jc w:val="both"/>
        <w:rPr>
          <w:szCs w:val="22"/>
        </w:rPr>
      </w:pPr>
      <w:r w:rsidRPr="00822B86">
        <w:rPr>
          <w:szCs w:val="22"/>
        </w:rPr>
        <w:t>Na osnovu nekliničkih nalaza bezbjednosti, plodnost muškaraca može biti kompromitovana tokom liječenja lorlatinibom (vidjeti dio 5.3). Nije poznato da li lorlatinib utiče na plodnost žena. Prije liječenja, muškarci treba da potraže savjet o efikasnom očuvanju plodnosti.</w:t>
      </w:r>
    </w:p>
    <w:p w14:paraId="3A9AC3BC" w14:textId="77777777" w:rsidR="00E97FD0" w:rsidRPr="003C7D36" w:rsidRDefault="00E97FD0" w:rsidP="00D77E03">
      <w:pPr>
        <w:spacing w:line="240" w:lineRule="auto"/>
        <w:jc w:val="both"/>
        <w:rPr>
          <w:szCs w:val="22"/>
        </w:rPr>
      </w:pPr>
    </w:p>
    <w:p w14:paraId="5E53C741" w14:textId="77777777" w:rsidR="008254D2" w:rsidRPr="00C0597B" w:rsidRDefault="00812D16" w:rsidP="00D77E03">
      <w:pPr>
        <w:keepNext/>
        <w:tabs>
          <w:tab w:val="clear" w:pos="567"/>
          <w:tab w:val="left" w:pos="1720"/>
        </w:tabs>
        <w:spacing w:line="240" w:lineRule="auto"/>
        <w:jc w:val="both"/>
        <w:rPr>
          <w:szCs w:val="22"/>
        </w:rPr>
      </w:pPr>
      <w:r w:rsidRPr="00C0597B">
        <w:rPr>
          <w:szCs w:val="22"/>
          <w:u w:val="single"/>
        </w:rPr>
        <w:t>Trudnoća</w:t>
      </w:r>
    </w:p>
    <w:p w14:paraId="4F0FFF26" w14:textId="77777777" w:rsidR="009265E8" w:rsidRPr="00822B86" w:rsidRDefault="009265E8" w:rsidP="00D77E03">
      <w:pPr>
        <w:keepNext/>
        <w:tabs>
          <w:tab w:val="clear" w:pos="567"/>
        </w:tabs>
        <w:spacing w:line="240" w:lineRule="auto"/>
        <w:jc w:val="both"/>
        <w:rPr>
          <w:szCs w:val="22"/>
        </w:rPr>
      </w:pPr>
    </w:p>
    <w:p w14:paraId="33BC3C48" w14:textId="38450394" w:rsidR="008254D2" w:rsidRPr="0093305C" w:rsidRDefault="008254D2" w:rsidP="00D77E03">
      <w:pPr>
        <w:keepNext/>
        <w:tabs>
          <w:tab w:val="clear" w:pos="567"/>
        </w:tabs>
        <w:spacing w:line="240" w:lineRule="auto"/>
        <w:jc w:val="both"/>
        <w:rPr>
          <w:szCs w:val="22"/>
        </w:rPr>
      </w:pPr>
      <w:r w:rsidRPr="00446153">
        <w:rPr>
          <w:szCs w:val="22"/>
        </w:rPr>
        <w:t>Ispitivanja sa životinjama pokazala su embrio</w:t>
      </w:r>
      <w:r w:rsidR="004C188F" w:rsidRPr="00446153">
        <w:rPr>
          <w:szCs w:val="22"/>
        </w:rPr>
        <w:t>-</w:t>
      </w:r>
      <w:r w:rsidRPr="00446153">
        <w:rPr>
          <w:szCs w:val="22"/>
        </w:rPr>
        <w:t xml:space="preserve">fetalnu toksičnost (vidjeti dio 5.3). Nema podataka o primjeni lorlatiniba kod trudnica. Lorlatinib može izazvati oštećenje fetusa kada se daje trudnoj ženi. </w:t>
      </w:r>
    </w:p>
    <w:p w14:paraId="57616A13" w14:textId="77777777" w:rsidR="00370001" w:rsidRPr="0093305C" w:rsidRDefault="00370001" w:rsidP="00D77E03">
      <w:pPr>
        <w:tabs>
          <w:tab w:val="clear" w:pos="567"/>
        </w:tabs>
        <w:spacing w:line="240" w:lineRule="auto"/>
        <w:jc w:val="both"/>
        <w:rPr>
          <w:szCs w:val="22"/>
        </w:rPr>
      </w:pPr>
    </w:p>
    <w:p w14:paraId="4F2F4586" w14:textId="77777777" w:rsidR="00370001" w:rsidRPr="0093305C" w:rsidRDefault="00C4696F" w:rsidP="00D77E03">
      <w:pPr>
        <w:tabs>
          <w:tab w:val="clear" w:pos="567"/>
        </w:tabs>
        <w:spacing w:line="240" w:lineRule="auto"/>
        <w:jc w:val="both"/>
        <w:rPr>
          <w:szCs w:val="22"/>
        </w:rPr>
      </w:pPr>
      <w:r w:rsidRPr="0093305C">
        <w:rPr>
          <w:szCs w:val="22"/>
        </w:rPr>
        <w:t>Primjena lorlatiniba se ne savjetuje tokom trudnoće i ženama u reproduktivnom periodu koje ne koriste kontracepciju.</w:t>
      </w:r>
    </w:p>
    <w:p w14:paraId="638B11B9" w14:textId="763CDDCC" w:rsidR="008254D2" w:rsidRDefault="008254D2" w:rsidP="00D77E03">
      <w:pPr>
        <w:spacing w:line="240" w:lineRule="auto"/>
        <w:jc w:val="both"/>
        <w:rPr>
          <w:szCs w:val="22"/>
        </w:rPr>
      </w:pPr>
    </w:p>
    <w:p w14:paraId="1815DAA4" w14:textId="3F30857E" w:rsidR="00E66EE6" w:rsidRDefault="00E66EE6" w:rsidP="00D77E03">
      <w:pPr>
        <w:spacing w:line="240" w:lineRule="auto"/>
        <w:jc w:val="both"/>
        <w:rPr>
          <w:szCs w:val="22"/>
        </w:rPr>
      </w:pPr>
    </w:p>
    <w:p w14:paraId="437E0545" w14:textId="77777777" w:rsidR="00E66EE6" w:rsidRPr="003C7D36" w:rsidRDefault="00E66EE6" w:rsidP="00D77E03">
      <w:pPr>
        <w:spacing w:line="240" w:lineRule="auto"/>
        <w:jc w:val="both"/>
        <w:rPr>
          <w:szCs w:val="22"/>
        </w:rPr>
      </w:pPr>
    </w:p>
    <w:p w14:paraId="6933E38F" w14:textId="29701F7A" w:rsidR="008254D2" w:rsidRPr="003C7D36" w:rsidRDefault="00C0634F" w:rsidP="00D77E03">
      <w:pPr>
        <w:spacing w:line="240" w:lineRule="auto"/>
        <w:jc w:val="both"/>
        <w:rPr>
          <w:szCs w:val="22"/>
        </w:rPr>
      </w:pPr>
      <w:r w:rsidRPr="00C0597B">
        <w:rPr>
          <w:szCs w:val="22"/>
          <w:u w:val="single"/>
        </w:rPr>
        <w:lastRenderedPageBreak/>
        <w:t>Dojenje</w:t>
      </w:r>
    </w:p>
    <w:p w14:paraId="06ADE0BC" w14:textId="77777777" w:rsidR="009265E8" w:rsidRPr="00C0597B" w:rsidRDefault="009265E8" w:rsidP="00D77E03">
      <w:pPr>
        <w:tabs>
          <w:tab w:val="clear" w:pos="567"/>
        </w:tabs>
        <w:spacing w:line="240" w:lineRule="auto"/>
        <w:jc w:val="both"/>
        <w:rPr>
          <w:szCs w:val="22"/>
        </w:rPr>
      </w:pPr>
    </w:p>
    <w:p w14:paraId="57934278" w14:textId="77777777" w:rsidR="008254D2" w:rsidRPr="00446153" w:rsidRDefault="008254D2" w:rsidP="00D77E03">
      <w:pPr>
        <w:tabs>
          <w:tab w:val="clear" w:pos="567"/>
        </w:tabs>
        <w:spacing w:line="240" w:lineRule="auto"/>
        <w:jc w:val="both"/>
        <w:rPr>
          <w:szCs w:val="22"/>
        </w:rPr>
      </w:pPr>
      <w:r w:rsidRPr="00822B86">
        <w:rPr>
          <w:szCs w:val="22"/>
        </w:rPr>
        <w:t>Nije poznato da li se lorlatinib i njegovi metaboliti izlučuju u majčino mlijeko. Ne može se isključiti rizik po novorođenče/odojče.</w:t>
      </w:r>
    </w:p>
    <w:p w14:paraId="4769DBF2" w14:textId="77777777" w:rsidR="00025FED" w:rsidRPr="0093305C" w:rsidRDefault="00025FED" w:rsidP="00D77E03">
      <w:pPr>
        <w:tabs>
          <w:tab w:val="clear" w:pos="567"/>
        </w:tabs>
        <w:spacing w:line="240" w:lineRule="auto"/>
        <w:jc w:val="both"/>
        <w:rPr>
          <w:szCs w:val="22"/>
        </w:rPr>
      </w:pPr>
    </w:p>
    <w:p w14:paraId="4327B166" w14:textId="77777777" w:rsidR="00025FED" w:rsidRPr="0093305C" w:rsidRDefault="008B00F8" w:rsidP="00D77E03">
      <w:pPr>
        <w:tabs>
          <w:tab w:val="clear" w:pos="567"/>
        </w:tabs>
        <w:spacing w:line="240" w:lineRule="auto"/>
        <w:jc w:val="both"/>
        <w:rPr>
          <w:szCs w:val="22"/>
        </w:rPr>
      </w:pPr>
      <w:r w:rsidRPr="0093305C">
        <w:rPr>
          <w:szCs w:val="22"/>
        </w:rPr>
        <w:t xml:space="preserve">Lorlatinib se ne smije koristiti tokom perioda dojenja. Dojenje treba prekinuti tokom liječenja lorlatinibom i još 7 dana nakon posljednje doze. </w:t>
      </w:r>
    </w:p>
    <w:p w14:paraId="20E6D3E2" w14:textId="77777777" w:rsidR="008254D2" w:rsidRPr="003C7D36" w:rsidRDefault="008254D2" w:rsidP="00D77E03">
      <w:pPr>
        <w:spacing w:line="240" w:lineRule="auto"/>
        <w:jc w:val="both"/>
        <w:rPr>
          <w:szCs w:val="22"/>
        </w:rPr>
      </w:pPr>
    </w:p>
    <w:p w14:paraId="525B40AB" w14:textId="77777777" w:rsidR="008254D2" w:rsidRPr="003C7D36" w:rsidRDefault="008254D2" w:rsidP="00D77E03">
      <w:pPr>
        <w:keepNext/>
        <w:spacing w:line="240" w:lineRule="auto"/>
        <w:ind w:left="567" w:hanging="567"/>
        <w:jc w:val="both"/>
        <w:outlineLvl w:val="0"/>
        <w:rPr>
          <w:szCs w:val="22"/>
        </w:rPr>
      </w:pPr>
      <w:r w:rsidRPr="00C0597B">
        <w:rPr>
          <w:b/>
          <w:szCs w:val="22"/>
        </w:rPr>
        <w:t>4.7</w:t>
      </w:r>
      <w:r w:rsidRPr="00C0597B">
        <w:rPr>
          <w:b/>
          <w:szCs w:val="22"/>
        </w:rPr>
        <w:tab/>
        <w:t>Uticaj na sposobnost upravljanja vozilima i rukovanje mašinama</w:t>
      </w:r>
    </w:p>
    <w:p w14:paraId="11CCC979" w14:textId="77777777" w:rsidR="008254D2" w:rsidRPr="003C7D36" w:rsidRDefault="008254D2" w:rsidP="00D77E03">
      <w:pPr>
        <w:keepNext/>
        <w:spacing w:line="240" w:lineRule="auto"/>
        <w:jc w:val="both"/>
        <w:rPr>
          <w:szCs w:val="22"/>
        </w:rPr>
      </w:pPr>
    </w:p>
    <w:p w14:paraId="7859E944" w14:textId="77777777" w:rsidR="008D14BD" w:rsidRPr="00822B86" w:rsidRDefault="003B03DC" w:rsidP="00D77E03">
      <w:pPr>
        <w:keepNext/>
        <w:spacing w:line="240" w:lineRule="auto"/>
        <w:jc w:val="both"/>
        <w:rPr>
          <w:szCs w:val="22"/>
        </w:rPr>
      </w:pPr>
      <w:r w:rsidRPr="00C0597B">
        <w:rPr>
          <w:szCs w:val="22"/>
        </w:rPr>
        <w:t xml:space="preserve">Lorlatinib ima umjeren uticaj na upravljanje vozilima i rukovanje mašinama. Neophodan je oprez pri upravljanju vozilima ili rukovanju mašinama jer se kod pacijenata mogu javiti dejstva na CNS (vidjeti dio 4.8). </w:t>
      </w:r>
    </w:p>
    <w:p w14:paraId="2C56CC64" w14:textId="77777777" w:rsidR="009C32FB" w:rsidRPr="00446153" w:rsidRDefault="009C32FB" w:rsidP="00D77E03">
      <w:pPr>
        <w:spacing w:line="240" w:lineRule="auto"/>
        <w:jc w:val="both"/>
        <w:rPr>
          <w:szCs w:val="22"/>
        </w:rPr>
      </w:pPr>
    </w:p>
    <w:p w14:paraId="18EBE761" w14:textId="77777777" w:rsidR="00812D16" w:rsidRPr="003C7D36" w:rsidRDefault="00855481" w:rsidP="00D77E03">
      <w:pPr>
        <w:keepNext/>
        <w:spacing w:line="240" w:lineRule="auto"/>
        <w:jc w:val="both"/>
        <w:outlineLvl w:val="0"/>
        <w:rPr>
          <w:b/>
          <w:szCs w:val="22"/>
        </w:rPr>
      </w:pPr>
      <w:r w:rsidRPr="0093305C">
        <w:rPr>
          <w:b/>
          <w:szCs w:val="22"/>
        </w:rPr>
        <w:t>4.8</w:t>
      </w:r>
      <w:r w:rsidRPr="0093305C">
        <w:rPr>
          <w:b/>
          <w:szCs w:val="22"/>
        </w:rPr>
        <w:tab/>
        <w:t>Neželjena dejstva</w:t>
      </w:r>
    </w:p>
    <w:p w14:paraId="2D183FEB" w14:textId="77777777" w:rsidR="002A7FBA" w:rsidRPr="00C0597B" w:rsidRDefault="002A7FBA" w:rsidP="00D77E03">
      <w:pPr>
        <w:keepNext/>
        <w:tabs>
          <w:tab w:val="clear" w:pos="567"/>
        </w:tabs>
        <w:spacing w:line="240" w:lineRule="auto"/>
        <w:jc w:val="both"/>
        <w:rPr>
          <w:szCs w:val="22"/>
          <w:u w:val="single"/>
        </w:rPr>
      </w:pPr>
    </w:p>
    <w:p w14:paraId="1658DF62" w14:textId="77777777" w:rsidR="00711460" w:rsidRPr="00822B86" w:rsidRDefault="00711460" w:rsidP="00D77E03">
      <w:pPr>
        <w:keepNext/>
        <w:spacing w:line="240" w:lineRule="auto"/>
        <w:jc w:val="both"/>
        <w:rPr>
          <w:szCs w:val="22"/>
          <w:u w:val="single"/>
        </w:rPr>
      </w:pPr>
      <w:r w:rsidRPr="00822B86">
        <w:rPr>
          <w:szCs w:val="22"/>
          <w:u w:val="single"/>
        </w:rPr>
        <w:t>Sažetak bezbjednosnog profila</w:t>
      </w:r>
    </w:p>
    <w:p w14:paraId="6A7E713D" w14:textId="77777777" w:rsidR="00711460" w:rsidRPr="00446153" w:rsidRDefault="00711460" w:rsidP="00D77E03">
      <w:pPr>
        <w:keepNext/>
        <w:spacing w:line="240" w:lineRule="auto"/>
        <w:jc w:val="both"/>
        <w:rPr>
          <w:szCs w:val="22"/>
        </w:rPr>
      </w:pPr>
    </w:p>
    <w:p w14:paraId="0FCB2BAC" w14:textId="4054B8EF" w:rsidR="00151DDB" w:rsidRPr="0093305C" w:rsidRDefault="00D1237B" w:rsidP="00D77E03">
      <w:pPr>
        <w:jc w:val="both"/>
        <w:rPr>
          <w:szCs w:val="22"/>
        </w:rPr>
      </w:pPr>
      <w:r w:rsidRPr="0093305C">
        <w:rPr>
          <w:szCs w:val="22"/>
        </w:rPr>
        <w:t>Najčešće prijavljene neželjene reakcije bile su hiperholesterolemija (8</w:t>
      </w:r>
      <w:r w:rsidR="00333FD9" w:rsidRPr="0093305C">
        <w:rPr>
          <w:szCs w:val="22"/>
        </w:rPr>
        <w:t>1</w:t>
      </w:r>
      <w:r w:rsidRPr="0093305C">
        <w:rPr>
          <w:szCs w:val="22"/>
        </w:rPr>
        <w:t>,</w:t>
      </w:r>
      <w:r w:rsidR="00333FD9" w:rsidRPr="0093305C">
        <w:rPr>
          <w:szCs w:val="22"/>
        </w:rPr>
        <w:t>1</w:t>
      </w:r>
      <w:r w:rsidRPr="0093305C">
        <w:rPr>
          <w:szCs w:val="22"/>
        </w:rPr>
        <w:t>%), hipertrigliceridemija (67,</w:t>
      </w:r>
      <w:r w:rsidR="00333FD9" w:rsidRPr="0093305C">
        <w:rPr>
          <w:szCs w:val="22"/>
        </w:rPr>
        <w:t>2</w:t>
      </w:r>
      <w:r w:rsidRPr="0093305C">
        <w:rPr>
          <w:szCs w:val="22"/>
        </w:rPr>
        <w:t>%), edem (5</w:t>
      </w:r>
      <w:r w:rsidR="00333FD9" w:rsidRPr="0093305C">
        <w:rPr>
          <w:szCs w:val="22"/>
        </w:rPr>
        <w:t>5</w:t>
      </w:r>
      <w:r w:rsidRPr="0093305C">
        <w:rPr>
          <w:szCs w:val="22"/>
        </w:rPr>
        <w:t>,</w:t>
      </w:r>
      <w:r w:rsidR="00333FD9" w:rsidRPr="0093305C">
        <w:rPr>
          <w:szCs w:val="22"/>
        </w:rPr>
        <w:t>7</w:t>
      </w:r>
      <w:r w:rsidRPr="0093305C">
        <w:rPr>
          <w:szCs w:val="22"/>
        </w:rPr>
        <w:t>%), periferna neuropatija (4</w:t>
      </w:r>
      <w:r w:rsidR="00333FD9" w:rsidRPr="0093305C">
        <w:rPr>
          <w:szCs w:val="22"/>
        </w:rPr>
        <w:t>3</w:t>
      </w:r>
      <w:r w:rsidRPr="0093305C">
        <w:rPr>
          <w:szCs w:val="22"/>
        </w:rPr>
        <w:t>,</w:t>
      </w:r>
      <w:r w:rsidR="00333FD9" w:rsidRPr="0093305C">
        <w:rPr>
          <w:szCs w:val="22"/>
        </w:rPr>
        <w:t>7</w:t>
      </w:r>
      <w:r w:rsidRPr="0093305C">
        <w:rPr>
          <w:szCs w:val="22"/>
        </w:rPr>
        <w:t xml:space="preserve">%), </w:t>
      </w:r>
      <w:r w:rsidR="00333FD9" w:rsidRPr="0093305C">
        <w:rPr>
          <w:szCs w:val="22"/>
        </w:rPr>
        <w:t xml:space="preserve">povećanje tjelesne </w:t>
      </w:r>
      <w:r w:rsidR="0092259D" w:rsidRPr="0093305C">
        <w:rPr>
          <w:szCs w:val="22"/>
        </w:rPr>
        <w:t xml:space="preserve">mase </w:t>
      </w:r>
      <w:r w:rsidR="00333FD9" w:rsidRPr="0093305C">
        <w:rPr>
          <w:szCs w:val="22"/>
        </w:rPr>
        <w:t xml:space="preserve">(30,9%), </w:t>
      </w:r>
      <w:r w:rsidRPr="0093305C">
        <w:rPr>
          <w:szCs w:val="22"/>
        </w:rPr>
        <w:t>dejstva na kognitivne funkcije (2</w:t>
      </w:r>
      <w:r w:rsidR="00333FD9" w:rsidRPr="0093305C">
        <w:rPr>
          <w:szCs w:val="22"/>
        </w:rPr>
        <w:t>7</w:t>
      </w:r>
      <w:r w:rsidRPr="0093305C">
        <w:rPr>
          <w:szCs w:val="22"/>
        </w:rPr>
        <w:t>,</w:t>
      </w:r>
      <w:r w:rsidR="00333FD9" w:rsidRPr="0093305C">
        <w:rPr>
          <w:szCs w:val="22"/>
        </w:rPr>
        <w:t>7</w:t>
      </w:r>
      <w:r w:rsidRPr="0093305C">
        <w:rPr>
          <w:szCs w:val="22"/>
        </w:rPr>
        <w:t>%), umor (2</w:t>
      </w:r>
      <w:r w:rsidR="00333FD9" w:rsidRPr="0093305C">
        <w:rPr>
          <w:szCs w:val="22"/>
        </w:rPr>
        <w:t>7</w:t>
      </w:r>
      <w:r w:rsidRPr="0093305C">
        <w:rPr>
          <w:szCs w:val="22"/>
        </w:rPr>
        <w:t>,</w:t>
      </w:r>
      <w:r w:rsidR="00333FD9" w:rsidRPr="0093305C">
        <w:rPr>
          <w:szCs w:val="22"/>
        </w:rPr>
        <w:t>3</w:t>
      </w:r>
      <w:r w:rsidRPr="0093305C">
        <w:rPr>
          <w:szCs w:val="22"/>
        </w:rPr>
        <w:t>%), artralgija (2</w:t>
      </w:r>
      <w:r w:rsidR="00333FD9" w:rsidRPr="0093305C">
        <w:rPr>
          <w:szCs w:val="22"/>
        </w:rPr>
        <w:t>3</w:t>
      </w:r>
      <w:r w:rsidRPr="0093305C">
        <w:rPr>
          <w:szCs w:val="22"/>
        </w:rPr>
        <w:t>,</w:t>
      </w:r>
      <w:r w:rsidR="00333FD9" w:rsidRPr="0093305C">
        <w:rPr>
          <w:szCs w:val="22"/>
        </w:rPr>
        <w:t>5</w:t>
      </w:r>
      <w:r w:rsidRPr="0093305C">
        <w:rPr>
          <w:szCs w:val="22"/>
        </w:rPr>
        <w:t xml:space="preserve">%), </w:t>
      </w:r>
      <w:r w:rsidR="002B25E8" w:rsidRPr="0093305C">
        <w:rPr>
          <w:szCs w:val="22"/>
        </w:rPr>
        <w:t>dijareja</w:t>
      </w:r>
      <w:r w:rsidR="00333FD9" w:rsidRPr="0093305C">
        <w:rPr>
          <w:szCs w:val="22"/>
        </w:rPr>
        <w:t xml:space="preserve"> (22,9%) i </w:t>
      </w:r>
      <w:r w:rsidRPr="0093305C">
        <w:rPr>
          <w:szCs w:val="22"/>
        </w:rPr>
        <w:t>dejstva na raspoloženje (2</w:t>
      </w:r>
      <w:r w:rsidR="00333FD9" w:rsidRPr="0093305C">
        <w:rPr>
          <w:szCs w:val="22"/>
        </w:rPr>
        <w:t>1</w:t>
      </w:r>
      <w:r w:rsidRPr="0093305C">
        <w:rPr>
          <w:szCs w:val="22"/>
        </w:rPr>
        <w:t>,</w:t>
      </w:r>
      <w:r w:rsidR="00333FD9" w:rsidRPr="0093305C">
        <w:rPr>
          <w:szCs w:val="22"/>
        </w:rPr>
        <w:t>0</w:t>
      </w:r>
      <w:r w:rsidRPr="0093305C">
        <w:rPr>
          <w:szCs w:val="22"/>
        </w:rPr>
        <w:t>%)</w:t>
      </w:r>
      <w:r w:rsidR="00333FD9" w:rsidRPr="0093305C" w:rsidDel="00333FD9">
        <w:rPr>
          <w:szCs w:val="22"/>
        </w:rPr>
        <w:t xml:space="preserve"> </w:t>
      </w:r>
      <w:r w:rsidRPr="0093305C">
        <w:rPr>
          <w:szCs w:val="22"/>
        </w:rPr>
        <w:t xml:space="preserve">.  </w:t>
      </w:r>
    </w:p>
    <w:p w14:paraId="72C3CD3D" w14:textId="32544A0F" w:rsidR="00624CB0" w:rsidRPr="0093305C" w:rsidRDefault="00624CB0" w:rsidP="00D77E03">
      <w:pPr>
        <w:jc w:val="both"/>
        <w:rPr>
          <w:szCs w:val="22"/>
        </w:rPr>
      </w:pPr>
    </w:p>
    <w:p w14:paraId="66A9FC8F" w14:textId="6D3344DA" w:rsidR="00624CB0" w:rsidRPr="0093305C" w:rsidRDefault="00624CB0" w:rsidP="00D77E03">
      <w:pPr>
        <w:jc w:val="both"/>
        <w:rPr>
          <w:szCs w:val="22"/>
        </w:rPr>
      </w:pPr>
      <w:r w:rsidRPr="0093305C">
        <w:rPr>
          <w:szCs w:val="22"/>
        </w:rPr>
        <w:t xml:space="preserve">Ozbiljne neželjene reakcije prijavljene su kod 7,4% pacijenata koji su primali lorlatinib. Najčešće ozbiljne neželjene reakcije na lijek bile su </w:t>
      </w:r>
      <w:r w:rsidR="008A1396" w:rsidRPr="0093305C">
        <w:rPr>
          <w:szCs w:val="22"/>
        </w:rPr>
        <w:t xml:space="preserve">dejstva na </w:t>
      </w:r>
      <w:r w:rsidRPr="0093305C">
        <w:rPr>
          <w:szCs w:val="22"/>
        </w:rPr>
        <w:t>kognitivn</w:t>
      </w:r>
      <w:r w:rsidR="008A1396" w:rsidRPr="0093305C">
        <w:rPr>
          <w:szCs w:val="22"/>
        </w:rPr>
        <w:t>e</w:t>
      </w:r>
      <w:r w:rsidRPr="0093305C">
        <w:rPr>
          <w:szCs w:val="22"/>
        </w:rPr>
        <w:t xml:space="preserve"> </w:t>
      </w:r>
      <w:r w:rsidR="008A1396" w:rsidRPr="0093305C">
        <w:rPr>
          <w:szCs w:val="22"/>
        </w:rPr>
        <w:t>funkcije</w:t>
      </w:r>
      <w:r w:rsidRPr="0093305C">
        <w:rPr>
          <w:szCs w:val="22"/>
        </w:rPr>
        <w:t xml:space="preserve"> i pneumonitis</w:t>
      </w:r>
      <w:r w:rsidR="00A21554" w:rsidRPr="0093305C">
        <w:rPr>
          <w:szCs w:val="22"/>
        </w:rPr>
        <w:t>.</w:t>
      </w:r>
    </w:p>
    <w:p w14:paraId="0057184A" w14:textId="77777777" w:rsidR="00151DDB" w:rsidRPr="0093305C" w:rsidRDefault="00151DDB" w:rsidP="00D77E03">
      <w:pPr>
        <w:jc w:val="both"/>
        <w:rPr>
          <w:szCs w:val="22"/>
        </w:rPr>
      </w:pPr>
    </w:p>
    <w:p w14:paraId="284B8834" w14:textId="0D47733B" w:rsidR="00151DDB" w:rsidRPr="0093305C" w:rsidRDefault="00151DDB" w:rsidP="00D77E03">
      <w:pPr>
        <w:jc w:val="both"/>
        <w:rPr>
          <w:szCs w:val="22"/>
        </w:rPr>
      </w:pPr>
      <w:r w:rsidRPr="0093305C">
        <w:rPr>
          <w:szCs w:val="22"/>
        </w:rPr>
        <w:t>Zbog neželjenih reakcija došlo je do smanjenja doze kod 2</w:t>
      </w:r>
      <w:r w:rsidR="00F45401" w:rsidRPr="0093305C">
        <w:rPr>
          <w:szCs w:val="22"/>
        </w:rPr>
        <w:t>0</w:t>
      </w:r>
      <w:r w:rsidRPr="0093305C">
        <w:rPr>
          <w:szCs w:val="22"/>
        </w:rPr>
        <w:t>,</w:t>
      </w:r>
      <w:r w:rsidR="00F45401" w:rsidRPr="0093305C">
        <w:rPr>
          <w:szCs w:val="22"/>
        </w:rPr>
        <w:t>0</w:t>
      </w:r>
      <w:r w:rsidRPr="0093305C">
        <w:rPr>
          <w:szCs w:val="22"/>
        </w:rPr>
        <w:t>% pacijenata koji su dobijali lorlatinib. Najčešće neželjene reakcije koje su dovele do smanjenja doza bile su edem i periferna neuropatija. Trajni prekid terapije povezan sa neželjenim reakcijama se desio kod 3,</w:t>
      </w:r>
      <w:r w:rsidR="008D4EA4" w:rsidRPr="0093305C">
        <w:rPr>
          <w:szCs w:val="22"/>
        </w:rPr>
        <w:t>2</w:t>
      </w:r>
      <w:r w:rsidRPr="0093305C">
        <w:rPr>
          <w:szCs w:val="22"/>
        </w:rPr>
        <w:t>% pacijenata koji su dobijali lorlatinib. Najčešće neželjene reakcije koje su dovele do trajnih prekida bile su dejstva na kognitivne funkcije</w:t>
      </w:r>
      <w:r w:rsidR="00B70606" w:rsidRPr="0093305C">
        <w:rPr>
          <w:szCs w:val="22"/>
        </w:rPr>
        <w:t>, periferna neuropatija, pneumonitis</w:t>
      </w:r>
      <w:r w:rsidRPr="0093305C">
        <w:rPr>
          <w:szCs w:val="22"/>
        </w:rPr>
        <w:t xml:space="preserve"> i psihotična dejstva.</w:t>
      </w:r>
    </w:p>
    <w:p w14:paraId="74B50B01" w14:textId="77777777" w:rsidR="00711460" w:rsidRPr="0093305C" w:rsidRDefault="00711460" w:rsidP="00D77E03">
      <w:pPr>
        <w:jc w:val="both"/>
        <w:rPr>
          <w:szCs w:val="22"/>
        </w:rPr>
      </w:pPr>
    </w:p>
    <w:p w14:paraId="607424F7" w14:textId="77777777" w:rsidR="00711460" w:rsidRPr="0093305C" w:rsidRDefault="00711460" w:rsidP="00D77E03">
      <w:pPr>
        <w:keepNext/>
        <w:spacing w:line="240" w:lineRule="auto"/>
        <w:jc w:val="both"/>
        <w:rPr>
          <w:szCs w:val="22"/>
          <w:u w:val="single"/>
        </w:rPr>
      </w:pPr>
      <w:r w:rsidRPr="0093305C">
        <w:rPr>
          <w:szCs w:val="22"/>
          <w:u w:val="single"/>
        </w:rPr>
        <w:t>Tabelarni prikaz neželjenih reakcija</w:t>
      </w:r>
    </w:p>
    <w:p w14:paraId="62BAFE75" w14:textId="77777777" w:rsidR="00711460" w:rsidRPr="0093305C" w:rsidRDefault="00711460" w:rsidP="00D77E03">
      <w:pPr>
        <w:keepNext/>
        <w:spacing w:line="240" w:lineRule="auto"/>
        <w:jc w:val="both"/>
        <w:rPr>
          <w:szCs w:val="22"/>
        </w:rPr>
      </w:pPr>
    </w:p>
    <w:p w14:paraId="3AC0A978" w14:textId="749AB60F" w:rsidR="00711460" w:rsidRPr="0093305C" w:rsidRDefault="00711460" w:rsidP="00D77E03">
      <w:pPr>
        <w:keepNext/>
        <w:spacing w:line="240" w:lineRule="auto"/>
        <w:jc w:val="both"/>
        <w:rPr>
          <w:szCs w:val="22"/>
        </w:rPr>
      </w:pPr>
      <w:r w:rsidRPr="0093305C">
        <w:rPr>
          <w:szCs w:val="22"/>
        </w:rPr>
        <w:t xml:space="preserve">U tabeli 2 su prikazane neželjene reakcije koje su se javile kod </w:t>
      </w:r>
      <w:r w:rsidR="00A63828" w:rsidRPr="0093305C">
        <w:rPr>
          <w:szCs w:val="22"/>
        </w:rPr>
        <w:t>476</w:t>
      </w:r>
      <w:r w:rsidRPr="0093305C">
        <w:rPr>
          <w:szCs w:val="22"/>
        </w:rPr>
        <w:t> odraslih pacijenata liječenih lorlatinibom u dozi od 100 mg jednom dnevno sa uznapredovalim NSCLC iz studije A</w:t>
      </w:r>
      <w:r w:rsidR="009261BB" w:rsidRPr="0093305C">
        <w:rPr>
          <w:szCs w:val="22"/>
        </w:rPr>
        <w:t xml:space="preserve"> (N=327) i CROWN studije (N=149)</w:t>
      </w:r>
      <w:r w:rsidRPr="0093305C">
        <w:rPr>
          <w:szCs w:val="22"/>
        </w:rPr>
        <w:t>.</w:t>
      </w:r>
    </w:p>
    <w:p w14:paraId="0C3227B4" w14:textId="77777777" w:rsidR="00711460" w:rsidRPr="0093305C" w:rsidRDefault="00711460" w:rsidP="00D77E03">
      <w:pPr>
        <w:spacing w:line="240" w:lineRule="auto"/>
        <w:jc w:val="both"/>
        <w:rPr>
          <w:szCs w:val="22"/>
        </w:rPr>
      </w:pPr>
    </w:p>
    <w:p w14:paraId="7B29E653" w14:textId="77777777" w:rsidR="00711460" w:rsidRPr="0093305C" w:rsidRDefault="00711460" w:rsidP="00D77E03">
      <w:pPr>
        <w:spacing w:line="240" w:lineRule="auto"/>
        <w:jc w:val="both"/>
        <w:rPr>
          <w:szCs w:val="22"/>
        </w:rPr>
      </w:pPr>
      <w:r w:rsidRPr="0093305C">
        <w:rPr>
          <w:szCs w:val="22"/>
        </w:rPr>
        <w:t>Neželjene reakcije navedene u tabeli 2 prikazane su prema klasifikaciji sistema organa i kategorijama učestalosti na osnovu sljedeće podjele: veoma česta (≥ 1/10), česta (≥ 1/100 i &lt; 1/10), povremena (≥ 1/1000 i &lt; 1/100), rijetka (≥ 1/10 000 i &lt; 1/1000), veoma rijetka (&lt; 1/10 000). U okviru svake grupe učestalosti, neželjena dejstva su prikazana prema opadajućem stepenu ozbiljnosti.</w:t>
      </w:r>
    </w:p>
    <w:p w14:paraId="1175F85D" w14:textId="77777777" w:rsidR="00711460" w:rsidRPr="0093305C" w:rsidRDefault="00711460" w:rsidP="00D77E03">
      <w:pPr>
        <w:spacing w:line="240" w:lineRule="auto"/>
        <w:jc w:val="both"/>
        <w:rPr>
          <w:szCs w:val="22"/>
        </w:rPr>
      </w:pPr>
    </w:p>
    <w:p w14:paraId="75C5C526" w14:textId="77777777" w:rsidR="003B03DC" w:rsidRPr="0093305C" w:rsidRDefault="003B03DC" w:rsidP="00D77E03">
      <w:pPr>
        <w:keepNext/>
        <w:tabs>
          <w:tab w:val="clear" w:pos="567"/>
          <w:tab w:val="left" w:pos="900"/>
        </w:tabs>
        <w:ind w:left="900" w:hanging="900"/>
        <w:jc w:val="both"/>
        <w:rPr>
          <w:b/>
          <w:szCs w:val="22"/>
        </w:rPr>
      </w:pPr>
      <w:r w:rsidRPr="0093305C">
        <w:rPr>
          <w:b/>
          <w:szCs w:val="22"/>
        </w:rPr>
        <w:lastRenderedPageBreak/>
        <w:t>Tabela 2.</w:t>
      </w:r>
      <w:r w:rsidRPr="0093305C">
        <w:rPr>
          <w:b/>
          <w:szCs w:val="22"/>
        </w:rPr>
        <w:tab/>
        <w:t xml:space="preserve">Neželjene reakcije </w:t>
      </w:r>
    </w:p>
    <w:tbl>
      <w:tblPr>
        <w:tblW w:w="9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618"/>
        <w:gridCol w:w="1313"/>
        <w:gridCol w:w="1313"/>
      </w:tblGrid>
      <w:tr w:rsidR="00DC4667" w:rsidRPr="003C7D36" w14:paraId="12C10F30" w14:textId="77777777" w:rsidTr="00372BD1">
        <w:trPr>
          <w:trHeight w:val="494"/>
        </w:trPr>
        <w:tc>
          <w:tcPr>
            <w:tcW w:w="3888" w:type="dxa"/>
          </w:tcPr>
          <w:p w14:paraId="3F2939F1" w14:textId="77777777" w:rsidR="00151DDB" w:rsidRPr="0093305C" w:rsidRDefault="00151DDB" w:rsidP="00D77E03">
            <w:pPr>
              <w:keepNext/>
              <w:overflowPunct w:val="0"/>
              <w:autoSpaceDE w:val="0"/>
              <w:autoSpaceDN w:val="0"/>
              <w:adjustRightInd w:val="0"/>
              <w:spacing w:line="240" w:lineRule="auto"/>
              <w:jc w:val="both"/>
              <w:textAlignment w:val="baseline"/>
              <w:rPr>
                <w:b/>
                <w:szCs w:val="22"/>
              </w:rPr>
            </w:pPr>
            <w:r w:rsidRPr="0093305C">
              <w:rPr>
                <w:b/>
                <w:szCs w:val="22"/>
              </w:rPr>
              <w:t>Klasa sistema organa i neželjena reakcija</w:t>
            </w:r>
          </w:p>
        </w:tc>
        <w:tc>
          <w:tcPr>
            <w:tcW w:w="2618" w:type="dxa"/>
          </w:tcPr>
          <w:p w14:paraId="2BA0A533" w14:textId="77777777" w:rsidR="00151DDB" w:rsidRPr="0093305C" w:rsidRDefault="00151DDB" w:rsidP="00D77E03">
            <w:pPr>
              <w:keepNext/>
              <w:overflowPunct w:val="0"/>
              <w:autoSpaceDE w:val="0"/>
              <w:autoSpaceDN w:val="0"/>
              <w:adjustRightInd w:val="0"/>
              <w:spacing w:line="240" w:lineRule="auto"/>
              <w:jc w:val="both"/>
              <w:textAlignment w:val="baseline"/>
              <w:rPr>
                <w:b/>
                <w:szCs w:val="22"/>
              </w:rPr>
            </w:pPr>
            <w:r w:rsidRPr="0093305C">
              <w:rPr>
                <w:b/>
                <w:szCs w:val="22"/>
              </w:rPr>
              <w:t>Kategorija učestalosti</w:t>
            </w:r>
          </w:p>
          <w:p w14:paraId="4CEE566A" w14:textId="77777777" w:rsidR="00151DDB" w:rsidRPr="0093305C" w:rsidRDefault="00151DDB" w:rsidP="00D77E03">
            <w:pPr>
              <w:keepNext/>
              <w:overflowPunct w:val="0"/>
              <w:autoSpaceDE w:val="0"/>
              <w:autoSpaceDN w:val="0"/>
              <w:adjustRightInd w:val="0"/>
              <w:spacing w:line="240" w:lineRule="auto"/>
              <w:jc w:val="both"/>
              <w:textAlignment w:val="baseline"/>
              <w:rPr>
                <w:b/>
                <w:szCs w:val="22"/>
              </w:rPr>
            </w:pPr>
          </w:p>
        </w:tc>
        <w:tc>
          <w:tcPr>
            <w:tcW w:w="1313" w:type="dxa"/>
          </w:tcPr>
          <w:p w14:paraId="6E7605E2" w14:textId="77777777" w:rsidR="00151DDB" w:rsidRPr="0093305C" w:rsidRDefault="00151DDB" w:rsidP="00D77E03">
            <w:pPr>
              <w:keepNext/>
              <w:overflowPunct w:val="0"/>
              <w:autoSpaceDE w:val="0"/>
              <w:autoSpaceDN w:val="0"/>
              <w:adjustRightInd w:val="0"/>
              <w:spacing w:line="240" w:lineRule="auto"/>
              <w:jc w:val="both"/>
              <w:textAlignment w:val="baseline"/>
              <w:rPr>
                <w:b/>
                <w:szCs w:val="22"/>
              </w:rPr>
            </w:pPr>
            <w:r w:rsidRPr="0093305C">
              <w:rPr>
                <w:b/>
                <w:szCs w:val="22"/>
              </w:rPr>
              <w:t>Svi gradusi</w:t>
            </w:r>
          </w:p>
          <w:p w14:paraId="40CCA617" w14:textId="77777777" w:rsidR="00BE35D8" w:rsidRPr="0093305C" w:rsidRDefault="00BE35D8" w:rsidP="00D77E03">
            <w:pPr>
              <w:keepNext/>
              <w:overflowPunct w:val="0"/>
              <w:autoSpaceDE w:val="0"/>
              <w:autoSpaceDN w:val="0"/>
              <w:adjustRightInd w:val="0"/>
              <w:spacing w:line="240" w:lineRule="auto"/>
              <w:jc w:val="both"/>
              <w:textAlignment w:val="baseline"/>
              <w:rPr>
                <w:b/>
                <w:szCs w:val="22"/>
              </w:rPr>
            </w:pPr>
            <w:r w:rsidRPr="0093305C">
              <w:rPr>
                <w:b/>
                <w:szCs w:val="22"/>
              </w:rPr>
              <w:t>%</w:t>
            </w:r>
          </w:p>
        </w:tc>
        <w:tc>
          <w:tcPr>
            <w:tcW w:w="1313" w:type="dxa"/>
          </w:tcPr>
          <w:p w14:paraId="060C84EB" w14:textId="77777777" w:rsidR="00151DDB" w:rsidRPr="0093305C" w:rsidRDefault="00151DDB" w:rsidP="00D77E03">
            <w:pPr>
              <w:keepNext/>
              <w:overflowPunct w:val="0"/>
              <w:autoSpaceDE w:val="0"/>
              <w:autoSpaceDN w:val="0"/>
              <w:adjustRightInd w:val="0"/>
              <w:spacing w:line="240" w:lineRule="auto"/>
              <w:jc w:val="both"/>
              <w:textAlignment w:val="baseline"/>
              <w:rPr>
                <w:b/>
                <w:szCs w:val="22"/>
              </w:rPr>
            </w:pPr>
            <w:r w:rsidRPr="0093305C">
              <w:rPr>
                <w:b/>
                <w:szCs w:val="22"/>
              </w:rPr>
              <w:t>Gradusi 3</w:t>
            </w:r>
            <w:r w:rsidRPr="0093305C">
              <w:rPr>
                <w:b/>
                <w:szCs w:val="22"/>
              </w:rPr>
              <w:noBreakHyphen/>
              <w:t>4</w:t>
            </w:r>
          </w:p>
          <w:p w14:paraId="2953E691" w14:textId="77777777" w:rsidR="00BE35D8" w:rsidRPr="0093305C" w:rsidRDefault="00BE35D8" w:rsidP="00D77E03">
            <w:pPr>
              <w:keepNext/>
              <w:overflowPunct w:val="0"/>
              <w:autoSpaceDE w:val="0"/>
              <w:autoSpaceDN w:val="0"/>
              <w:adjustRightInd w:val="0"/>
              <w:spacing w:line="240" w:lineRule="auto"/>
              <w:jc w:val="both"/>
              <w:textAlignment w:val="baseline"/>
              <w:rPr>
                <w:b/>
                <w:szCs w:val="22"/>
              </w:rPr>
            </w:pPr>
            <w:r w:rsidRPr="0093305C">
              <w:rPr>
                <w:b/>
                <w:szCs w:val="22"/>
              </w:rPr>
              <w:t>%</w:t>
            </w:r>
          </w:p>
        </w:tc>
      </w:tr>
      <w:tr w:rsidR="00DC4667" w:rsidRPr="003C7D36" w14:paraId="22128ADD" w14:textId="77777777" w:rsidTr="00456BE1">
        <w:tc>
          <w:tcPr>
            <w:tcW w:w="3888" w:type="dxa"/>
          </w:tcPr>
          <w:p w14:paraId="137054FE" w14:textId="77777777" w:rsidR="00151DDB" w:rsidRPr="00C0597B" w:rsidRDefault="00151DDB" w:rsidP="00D77E03">
            <w:pPr>
              <w:keepNext/>
              <w:overflowPunct w:val="0"/>
              <w:autoSpaceDE w:val="0"/>
              <w:autoSpaceDN w:val="0"/>
              <w:adjustRightInd w:val="0"/>
              <w:spacing w:line="240" w:lineRule="auto"/>
              <w:jc w:val="both"/>
              <w:textAlignment w:val="baseline"/>
              <w:rPr>
                <w:szCs w:val="22"/>
              </w:rPr>
            </w:pPr>
            <w:r w:rsidRPr="00C0597B">
              <w:rPr>
                <w:szCs w:val="22"/>
              </w:rPr>
              <w:t>Poremećaji krvi i limfnog sistema</w:t>
            </w:r>
          </w:p>
          <w:p w14:paraId="577962B9" w14:textId="77777777" w:rsidR="00151DDB" w:rsidRPr="00822B86" w:rsidRDefault="00151DDB" w:rsidP="00D77E03">
            <w:pPr>
              <w:keepNext/>
              <w:overflowPunct w:val="0"/>
              <w:autoSpaceDE w:val="0"/>
              <w:autoSpaceDN w:val="0"/>
              <w:adjustRightInd w:val="0"/>
              <w:spacing w:line="240" w:lineRule="auto"/>
              <w:ind w:left="180"/>
              <w:jc w:val="both"/>
              <w:textAlignment w:val="baseline"/>
              <w:rPr>
                <w:szCs w:val="22"/>
              </w:rPr>
            </w:pPr>
            <w:r w:rsidRPr="00822B86">
              <w:rPr>
                <w:szCs w:val="22"/>
              </w:rPr>
              <w:t>Anemija</w:t>
            </w:r>
          </w:p>
        </w:tc>
        <w:tc>
          <w:tcPr>
            <w:tcW w:w="2618" w:type="dxa"/>
          </w:tcPr>
          <w:p w14:paraId="66CD33DD" w14:textId="77777777" w:rsidR="00151DDB" w:rsidRPr="00446153" w:rsidRDefault="00151DDB" w:rsidP="00D77E03">
            <w:pPr>
              <w:keepNext/>
              <w:overflowPunct w:val="0"/>
              <w:autoSpaceDE w:val="0"/>
              <w:autoSpaceDN w:val="0"/>
              <w:adjustRightInd w:val="0"/>
              <w:spacing w:line="240" w:lineRule="auto"/>
              <w:jc w:val="both"/>
              <w:textAlignment w:val="baseline"/>
              <w:rPr>
                <w:szCs w:val="22"/>
              </w:rPr>
            </w:pPr>
          </w:p>
          <w:p w14:paraId="694B8B43" w14:textId="77777777" w:rsidR="00151DDB" w:rsidRPr="0093305C" w:rsidRDefault="00151DDB" w:rsidP="00D77E03">
            <w:pPr>
              <w:keepNext/>
              <w:overflowPunct w:val="0"/>
              <w:autoSpaceDE w:val="0"/>
              <w:autoSpaceDN w:val="0"/>
              <w:adjustRightInd w:val="0"/>
              <w:spacing w:line="240" w:lineRule="auto"/>
              <w:jc w:val="both"/>
              <w:textAlignment w:val="baseline"/>
              <w:rPr>
                <w:szCs w:val="22"/>
              </w:rPr>
            </w:pPr>
            <w:r w:rsidRPr="0093305C">
              <w:rPr>
                <w:szCs w:val="22"/>
              </w:rPr>
              <w:t>Veoma često</w:t>
            </w:r>
          </w:p>
        </w:tc>
        <w:tc>
          <w:tcPr>
            <w:tcW w:w="1313" w:type="dxa"/>
          </w:tcPr>
          <w:p w14:paraId="122A6B59" w14:textId="77777777" w:rsidR="00151DDB" w:rsidRPr="0093305C" w:rsidRDefault="00151DDB" w:rsidP="00D77E03">
            <w:pPr>
              <w:keepNext/>
              <w:overflowPunct w:val="0"/>
              <w:autoSpaceDE w:val="0"/>
              <w:autoSpaceDN w:val="0"/>
              <w:adjustRightInd w:val="0"/>
              <w:spacing w:line="240" w:lineRule="auto"/>
              <w:jc w:val="both"/>
              <w:textAlignment w:val="baseline"/>
              <w:rPr>
                <w:szCs w:val="22"/>
              </w:rPr>
            </w:pPr>
          </w:p>
          <w:p w14:paraId="0064FF4A" w14:textId="40BE79FD" w:rsidR="00151DDB" w:rsidRPr="0093305C" w:rsidRDefault="00151DDB" w:rsidP="00D77E03">
            <w:pPr>
              <w:keepNext/>
              <w:overflowPunct w:val="0"/>
              <w:autoSpaceDE w:val="0"/>
              <w:autoSpaceDN w:val="0"/>
              <w:adjustRightInd w:val="0"/>
              <w:spacing w:line="240" w:lineRule="auto"/>
              <w:jc w:val="both"/>
              <w:textAlignment w:val="baseline"/>
              <w:rPr>
                <w:szCs w:val="22"/>
              </w:rPr>
            </w:pPr>
            <w:r w:rsidRPr="0093305C">
              <w:rPr>
                <w:szCs w:val="22"/>
              </w:rPr>
              <w:t>1</w:t>
            </w:r>
            <w:r w:rsidR="009261BB" w:rsidRPr="0093305C">
              <w:rPr>
                <w:szCs w:val="22"/>
              </w:rPr>
              <w:t>8</w:t>
            </w:r>
            <w:r w:rsidRPr="0093305C">
              <w:rPr>
                <w:szCs w:val="22"/>
              </w:rPr>
              <w:t>,</w:t>
            </w:r>
            <w:r w:rsidR="009261BB" w:rsidRPr="0093305C">
              <w:rPr>
                <w:szCs w:val="22"/>
              </w:rPr>
              <w:t>5</w:t>
            </w:r>
          </w:p>
        </w:tc>
        <w:tc>
          <w:tcPr>
            <w:tcW w:w="1313" w:type="dxa"/>
          </w:tcPr>
          <w:p w14:paraId="3DA27813" w14:textId="77777777" w:rsidR="00151DDB" w:rsidRPr="0093305C" w:rsidRDefault="00151DDB" w:rsidP="00D77E03">
            <w:pPr>
              <w:keepNext/>
              <w:overflowPunct w:val="0"/>
              <w:autoSpaceDE w:val="0"/>
              <w:autoSpaceDN w:val="0"/>
              <w:adjustRightInd w:val="0"/>
              <w:spacing w:line="240" w:lineRule="auto"/>
              <w:jc w:val="both"/>
              <w:textAlignment w:val="baseline"/>
              <w:rPr>
                <w:szCs w:val="22"/>
              </w:rPr>
            </w:pPr>
          </w:p>
          <w:p w14:paraId="1CE5419B" w14:textId="665AA8B6" w:rsidR="00151DDB" w:rsidRPr="0093305C" w:rsidRDefault="009261BB" w:rsidP="00D77E03">
            <w:pPr>
              <w:keepNext/>
              <w:overflowPunct w:val="0"/>
              <w:autoSpaceDE w:val="0"/>
              <w:autoSpaceDN w:val="0"/>
              <w:adjustRightInd w:val="0"/>
              <w:spacing w:line="240" w:lineRule="auto"/>
              <w:jc w:val="both"/>
              <w:textAlignment w:val="baseline"/>
              <w:rPr>
                <w:szCs w:val="22"/>
              </w:rPr>
            </w:pPr>
            <w:r w:rsidRPr="0093305C">
              <w:rPr>
                <w:szCs w:val="22"/>
              </w:rPr>
              <w:t>4</w:t>
            </w:r>
            <w:r w:rsidR="00D8511D" w:rsidRPr="0093305C">
              <w:rPr>
                <w:szCs w:val="22"/>
              </w:rPr>
              <w:t>,2</w:t>
            </w:r>
          </w:p>
        </w:tc>
      </w:tr>
      <w:tr w:rsidR="00DC4667" w:rsidRPr="003C7D36" w14:paraId="233565A3" w14:textId="77777777" w:rsidTr="00456BE1">
        <w:tc>
          <w:tcPr>
            <w:tcW w:w="3888" w:type="dxa"/>
          </w:tcPr>
          <w:p w14:paraId="3C65F290" w14:textId="77777777" w:rsidR="00151DDB" w:rsidRPr="00C0597B" w:rsidRDefault="00151DDB" w:rsidP="00D77E03">
            <w:pPr>
              <w:keepNext/>
              <w:overflowPunct w:val="0"/>
              <w:autoSpaceDE w:val="0"/>
              <w:autoSpaceDN w:val="0"/>
              <w:adjustRightInd w:val="0"/>
              <w:spacing w:line="240" w:lineRule="auto"/>
              <w:jc w:val="both"/>
              <w:textAlignment w:val="baseline"/>
              <w:rPr>
                <w:szCs w:val="22"/>
              </w:rPr>
            </w:pPr>
            <w:r w:rsidRPr="00C0597B">
              <w:rPr>
                <w:szCs w:val="22"/>
              </w:rPr>
              <w:t>Poremećaji metabolizma i ishrane</w:t>
            </w:r>
          </w:p>
          <w:p w14:paraId="2E175395" w14:textId="77777777" w:rsidR="00151DDB" w:rsidRPr="00822B86" w:rsidRDefault="00151DDB" w:rsidP="00D77E03">
            <w:pPr>
              <w:keepNext/>
              <w:overflowPunct w:val="0"/>
              <w:autoSpaceDE w:val="0"/>
              <w:autoSpaceDN w:val="0"/>
              <w:adjustRightInd w:val="0"/>
              <w:spacing w:line="240" w:lineRule="auto"/>
              <w:ind w:left="180"/>
              <w:jc w:val="both"/>
              <w:textAlignment w:val="baseline"/>
              <w:rPr>
                <w:szCs w:val="22"/>
              </w:rPr>
            </w:pPr>
            <w:r w:rsidRPr="00822B86">
              <w:rPr>
                <w:szCs w:val="22"/>
              </w:rPr>
              <w:t>Hiperholesterolemija</w:t>
            </w:r>
            <w:r w:rsidRPr="00822B86">
              <w:rPr>
                <w:szCs w:val="22"/>
                <w:vertAlign w:val="superscript"/>
              </w:rPr>
              <w:t>a</w:t>
            </w:r>
          </w:p>
          <w:p w14:paraId="55D2D7A1" w14:textId="77777777" w:rsidR="00151DDB" w:rsidRPr="00446153" w:rsidRDefault="00151DDB" w:rsidP="00D77E03">
            <w:pPr>
              <w:keepNext/>
              <w:overflowPunct w:val="0"/>
              <w:autoSpaceDE w:val="0"/>
              <w:autoSpaceDN w:val="0"/>
              <w:adjustRightInd w:val="0"/>
              <w:spacing w:line="240" w:lineRule="auto"/>
              <w:ind w:left="180"/>
              <w:jc w:val="both"/>
              <w:textAlignment w:val="baseline"/>
              <w:rPr>
                <w:szCs w:val="22"/>
                <w:vertAlign w:val="superscript"/>
              </w:rPr>
            </w:pPr>
            <w:r w:rsidRPr="00446153">
              <w:rPr>
                <w:szCs w:val="22"/>
              </w:rPr>
              <w:t>Hipertrigliceridemija</w:t>
            </w:r>
            <w:r w:rsidRPr="00446153">
              <w:rPr>
                <w:szCs w:val="22"/>
                <w:vertAlign w:val="superscript"/>
              </w:rPr>
              <w:t>b</w:t>
            </w:r>
          </w:p>
          <w:p w14:paraId="4FEE49BA" w14:textId="3D2107BF" w:rsidR="00981BAE" w:rsidRPr="0093305C" w:rsidRDefault="00981BAE" w:rsidP="00D77E03">
            <w:pPr>
              <w:keepNext/>
              <w:overflowPunct w:val="0"/>
              <w:autoSpaceDE w:val="0"/>
              <w:autoSpaceDN w:val="0"/>
              <w:adjustRightInd w:val="0"/>
              <w:spacing w:line="240" w:lineRule="auto"/>
              <w:ind w:left="180"/>
              <w:jc w:val="both"/>
              <w:textAlignment w:val="baseline"/>
              <w:rPr>
                <w:szCs w:val="22"/>
              </w:rPr>
            </w:pPr>
            <w:r w:rsidRPr="0093305C">
              <w:rPr>
                <w:szCs w:val="22"/>
              </w:rPr>
              <w:t>Hiperglikemija</w:t>
            </w:r>
          </w:p>
        </w:tc>
        <w:tc>
          <w:tcPr>
            <w:tcW w:w="2618" w:type="dxa"/>
          </w:tcPr>
          <w:p w14:paraId="038F532B" w14:textId="77777777" w:rsidR="00151DDB" w:rsidRPr="0093305C" w:rsidRDefault="00151DDB" w:rsidP="00D77E03">
            <w:pPr>
              <w:keepNext/>
              <w:overflowPunct w:val="0"/>
              <w:autoSpaceDE w:val="0"/>
              <w:autoSpaceDN w:val="0"/>
              <w:adjustRightInd w:val="0"/>
              <w:spacing w:line="240" w:lineRule="auto"/>
              <w:jc w:val="both"/>
              <w:textAlignment w:val="baseline"/>
              <w:rPr>
                <w:szCs w:val="22"/>
              </w:rPr>
            </w:pPr>
          </w:p>
          <w:p w14:paraId="2C764FFF" w14:textId="77777777" w:rsidR="00151DDB" w:rsidRPr="0093305C" w:rsidRDefault="00151DDB" w:rsidP="00D77E03">
            <w:pPr>
              <w:keepNext/>
              <w:overflowPunct w:val="0"/>
              <w:autoSpaceDE w:val="0"/>
              <w:autoSpaceDN w:val="0"/>
              <w:adjustRightInd w:val="0"/>
              <w:spacing w:line="240" w:lineRule="auto"/>
              <w:jc w:val="both"/>
              <w:textAlignment w:val="baseline"/>
              <w:rPr>
                <w:szCs w:val="22"/>
              </w:rPr>
            </w:pPr>
            <w:r w:rsidRPr="0093305C">
              <w:rPr>
                <w:szCs w:val="22"/>
              </w:rPr>
              <w:t>Veoma često</w:t>
            </w:r>
          </w:p>
          <w:p w14:paraId="1F26A1E8" w14:textId="77777777" w:rsidR="00151DDB" w:rsidRPr="0093305C" w:rsidRDefault="00151DDB" w:rsidP="00D77E03">
            <w:pPr>
              <w:keepNext/>
              <w:overflowPunct w:val="0"/>
              <w:autoSpaceDE w:val="0"/>
              <w:autoSpaceDN w:val="0"/>
              <w:adjustRightInd w:val="0"/>
              <w:spacing w:line="240" w:lineRule="auto"/>
              <w:jc w:val="both"/>
              <w:textAlignment w:val="baseline"/>
              <w:rPr>
                <w:szCs w:val="22"/>
              </w:rPr>
            </w:pPr>
            <w:r w:rsidRPr="0093305C">
              <w:rPr>
                <w:szCs w:val="22"/>
              </w:rPr>
              <w:t xml:space="preserve">Veoma često </w:t>
            </w:r>
          </w:p>
          <w:p w14:paraId="51E7A607" w14:textId="56B7C70E" w:rsidR="00981BAE" w:rsidRPr="0093305C" w:rsidRDefault="00981BAE" w:rsidP="00D77E03">
            <w:pPr>
              <w:keepNext/>
              <w:overflowPunct w:val="0"/>
              <w:autoSpaceDE w:val="0"/>
              <w:autoSpaceDN w:val="0"/>
              <w:adjustRightInd w:val="0"/>
              <w:spacing w:line="240" w:lineRule="auto"/>
              <w:jc w:val="both"/>
              <w:textAlignment w:val="baseline"/>
              <w:rPr>
                <w:szCs w:val="22"/>
                <w:vertAlign w:val="superscript"/>
              </w:rPr>
            </w:pPr>
            <w:r w:rsidRPr="0093305C">
              <w:rPr>
                <w:szCs w:val="22"/>
              </w:rPr>
              <w:t>Često</w:t>
            </w:r>
          </w:p>
        </w:tc>
        <w:tc>
          <w:tcPr>
            <w:tcW w:w="1313" w:type="dxa"/>
          </w:tcPr>
          <w:p w14:paraId="3ED943D1" w14:textId="77777777" w:rsidR="00151DDB" w:rsidRPr="0093305C" w:rsidRDefault="00151DDB" w:rsidP="00D77E03">
            <w:pPr>
              <w:keepNext/>
              <w:overflowPunct w:val="0"/>
              <w:autoSpaceDE w:val="0"/>
              <w:autoSpaceDN w:val="0"/>
              <w:adjustRightInd w:val="0"/>
              <w:spacing w:line="240" w:lineRule="auto"/>
              <w:jc w:val="both"/>
              <w:textAlignment w:val="baseline"/>
              <w:rPr>
                <w:szCs w:val="22"/>
              </w:rPr>
            </w:pPr>
          </w:p>
          <w:p w14:paraId="300B8AA2" w14:textId="15D8D706" w:rsidR="00151DDB" w:rsidRPr="0093305C" w:rsidRDefault="00151DDB" w:rsidP="00D77E03">
            <w:pPr>
              <w:keepNext/>
              <w:overflowPunct w:val="0"/>
              <w:autoSpaceDE w:val="0"/>
              <w:autoSpaceDN w:val="0"/>
              <w:adjustRightInd w:val="0"/>
              <w:spacing w:line="240" w:lineRule="auto"/>
              <w:jc w:val="both"/>
              <w:textAlignment w:val="baseline"/>
              <w:rPr>
                <w:szCs w:val="22"/>
              </w:rPr>
            </w:pPr>
            <w:r w:rsidRPr="0093305C">
              <w:rPr>
                <w:szCs w:val="22"/>
              </w:rPr>
              <w:t>8</w:t>
            </w:r>
            <w:r w:rsidR="000D2B47" w:rsidRPr="0093305C">
              <w:rPr>
                <w:szCs w:val="22"/>
              </w:rPr>
              <w:t>1</w:t>
            </w:r>
            <w:r w:rsidRPr="0093305C">
              <w:rPr>
                <w:szCs w:val="22"/>
              </w:rPr>
              <w:t>,</w:t>
            </w:r>
            <w:r w:rsidR="000D2B47" w:rsidRPr="0093305C">
              <w:rPr>
                <w:szCs w:val="22"/>
              </w:rPr>
              <w:t>1</w:t>
            </w:r>
          </w:p>
          <w:p w14:paraId="23ED676E" w14:textId="3ABDCBF5" w:rsidR="00151DDB" w:rsidRPr="0093305C" w:rsidRDefault="00151DDB" w:rsidP="00D77E03">
            <w:pPr>
              <w:keepNext/>
              <w:overflowPunct w:val="0"/>
              <w:autoSpaceDE w:val="0"/>
              <w:autoSpaceDN w:val="0"/>
              <w:adjustRightInd w:val="0"/>
              <w:spacing w:line="240" w:lineRule="auto"/>
              <w:jc w:val="both"/>
              <w:textAlignment w:val="baseline"/>
              <w:rPr>
                <w:szCs w:val="22"/>
              </w:rPr>
            </w:pPr>
            <w:r w:rsidRPr="0093305C">
              <w:rPr>
                <w:szCs w:val="22"/>
              </w:rPr>
              <w:t>67,</w:t>
            </w:r>
            <w:r w:rsidR="00D630D4" w:rsidRPr="0093305C">
              <w:rPr>
                <w:szCs w:val="22"/>
              </w:rPr>
              <w:t>2</w:t>
            </w:r>
          </w:p>
          <w:p w14:paraId="45D23D4C" w14:textId="176A39E0" w:rsidR="00981BAE" w:rsidRPr="0093305C" w:rsidDel="007E3FE4" w:rsidRDefault="00981BAE" w:rsidP="00D77E03">
            <w:pPr>
              <w:keepNext/>
              <w:overflowPunct w:val="0"/>
              <w:autoSpaceDE w:val="0"/>
              <w:autoSpaceDN w:val="0"/>
              <w:adjustRightInd w:val="0"/>
              <w:spacing w:line="240" w:lineRule="auto"/>
              <w:jc w:val="both"/>
              <w:textAlignment w:val="baseline"/>
              <w:rPr>
                <w:szCs w:val="22"/>
              </w:rPr>
            </w:pPr>
            <w:r w:rsidRPr="0093305C">
              <w:rPr>
                <w:szCs w:val="22"/>
              </w:rPr>
              <w:t>9,2</w:t>
            </w:r>
          </w:p>
        </w:tc>
        <w:tc>
          <w:tcPr>
            <w:tcW w:w="1313" w:type="dxa"/>
          </w:tcPr>
          <w:p w14:paraId="2D865B49" w14:textId="77777777" w:rsidR="00151DDB" w:rsidRPr="0093305C" w:rsidRDefault="00151DDB" w:rsidP="00D77E03">
            <w:pPr>
              <w:keepNext/>
              <w:overflowPunct w:val="0"/>
              <w:autoSpaceDE w:val="0"/>
              <w:autoSpaceDN w:val="0"/>
              <w:adjustRightInd w:val="0"/>
              <w:spacing w:line="240" w:lineRule="auto"/>
              <w:jc w:val="both"/>
              <w:textAlignment w:val="baseline"/>
              <w:rPr>
                <w:szCs w:val="22"/>
              </w:rPr>
            </w:pPr>
          </w:p>
          <w:p w14:paraId="1668CEB9" w14:textId="0C0A10C8" w:rsidR="00151DDB" w:rsidRPr="0093305C" w:rsidRDefault="00D630D4" w:rsidP="00D77E03">
            <w:pPr>
              <w:keepNext/>
              <w:overflowPunct w:val="0"/>
              <w:autoSpaceDE w:val="0"/>
              <w:autoSpaceDN w:val="0"/>
              <w:adjustRightInd w:val="0"/>
              <w:spacing w:line="240" w:lineRule="auto"/>
              <w:jc w:val="both"/>
              <w:textAlignment w:val="baseline"/>
              <w:rPr>
                <w:szCs w:val="22"/>
              </w:rPr>
            </w:pPr>
            <w:r w:rsidRPr="0093305C">
              <w:rPr>
                <w:szCs w:val="22"/>
              </w:rPr>
              <w:t>18,3</w:t>
            </w:r>
          </w:p>
          <w:p w14:paraId="3B8E3931" w14:textId="793271F0" w:rsidR="00151DDB" w:rsidRPr="0093305C" w:rsidRDefault="00D630D4" w:rsidP="00D77E03">
            <w:pPr>
              <w:keepNext/>
              <w:overflowPunct w:val="0"/>
              <w:autoSpaceDE w:val="0"/>
              <w:autoSpaceDN w:val="0"/>
              <w:adjustRightInd w:val="0"/>
              <w:spacing w:line="240" w:lineRule="auto"/>
              <w:jc w:val="both"/>
              <w:textAlignment w:val="baseline"/>
              <w:rPr>
                <w:szCs w:val="22"/>
              </w:rPr>
            </w:pPr>
            <w:r w:rsidRPr="0093305C">
              <w:rPr>
                <w:szCs w:val="22"/>
              </w:rPr>
              <w:t>19,3</w:t>
            </w:r>
          </w:p>
          <w:p w14:paraId="4DCF4275" w14:textId="44586508" w:rsidR="00981BAE" w:rsidRPr="0093305C" w:rsidDel="007E3FE4" w:rsidRDefault="00981BAE" w:rsidP="00D77E03">
            <w:pPr>
              <w:keepNext/>
              <w:overflowPunct w:val="0"/>
              <w:autoSpaceDE w:val="0"/>
              <w:autoSpaceDN w:val="0"/>
              <w:adjustRightInd w:val="0"/>
              <w:spacing w:line="240" w:lineRule="auto"/>
              <w:jc w:val="both"/>
              <w:textAlignment w:val="baseline"/>
              <w:rPr>
                <w:szCs w:val="22"/>
              </w:rPr>
            </w:pPr>
            <w:r w:rsidRPr="0093305C">
              <w:rPr>
                <w:szCs w:val="22"/>
              </w:rPr>
              <w:t>3,2</w:t>
            </w:r>
          </w:p>
        </w:tc>
      </w:tr>
      <w:tr w:rsidR="00DC4667" w:rsidRPr="003C7D36" w14:paraId="377B3BFC" w14:textId="77777777" w:rsidTr="00456BE1">
        <w:tc>
          <w:tcPr>
            <w:tcW w:w="3888" w:type="dxa"/>
          </w:tcPr>
          <w:p w14:paraId="5EC68B32" w14:textId="77777777" w:rsidR="002956A1" w:rsidRPr="00C0597B" w:rsidRDefault="002956A1" w:rsidP="00D77E03">
            <w:pPr>
              <w:keepNext/>
              <w:overflowPunct w:val="0"/>
              <w:autoSpaceDE w:val="0"/>
              <w:autoSpaceDN w:val="0"/>
              <w:adjustRightInd w:val="0"/>
              <w:spacing w:line="240" w:lineRule="auto"/>
              <w:jc w:val="both"/>
              <w:textAlignment w:val="baseline"/>
              <w:rPr>
                <w:szCs w:val="22"/>
              </w:rPr>
            </w:pPr>
            <w:r w:rsidRPr="00C0597B">
              <w:rPr>
                <w:szCs w:val="22"/>
              </w:rPr>
              <w:t>Psihijatrijski poremećaji</w:t>
            </w:r>
          </w:p>
          <w:p w14:paraId="01D6DB81" w14:textId="77777777" w:rsidR="002956A1" w:rsidRPr="00822B86" w:rsidRDefault="002956A1" w:rsidP="00D77E03">
            <w:pPr>
              <w:keepNext/>
              <w:overflowPunct w:val="0"/>
              <w:autoSpaceDE w:val="0"/>
              <w:autoSpaceDN w:val="0"/>
              <w:adjustRightInd w:val="0"/>
              <w:spacing w:line="240" w:lineRule="auto"/>
              <w:ind w:left="180"/>
              <w:jc w:val="both"/>
              <w:textAlignment w:val="baseline"/>
              <w:rPr>
                <w:szCs w:val="22"/>
              </w:rPr>
            </w:pPr>
            <w:r w:rsidRPr="00822B86">
              <w:rPr>
                <w:szCs w:val="22"/>
              </w:rPr>
              <w:t>Efekti na raspoloženje</w:t>
            </w:r>
            <w:r w:rsidRPr="00822B86">
              <w:rPr>
                <w:szCs w:val="22"/>
                <w:vertAlign w:val="superscript"/>
              </w:rPr>
              <w:t>c</w:t>
            </w:r>
          </w:p>
          <w:p w14:paraId="340D403E" w14:textId="74712705" w:rsidR="00627FA5" w:rsidRPr="00446153" w:rsidRDefault="00627FA5" w:rsidP="00D77E03">
            <w:pPr>
              <w:keepNext/>
              <w:overflowPunct w:val="0"/>
              <w:autoSpaceDE w:val="0"/>
              <w:autoSpaceDN w:val="0"/>
              <w:adjustRightInd w:val="0"/>
              <w:spacing w:line="240" w:lineRule="auto"/>
              <w:ind w:left="180"/>
              <w:jc w:val="both"/>
              <w:textAlignment w:val="baseline"/>
              <w:rPr>
                <w:szCs w:val="22"/>
              </w:rPr>
            </w:pPr>
            <w:r w:rsidRPr="00446153">
              <w:rPr>
                <w:szCs w:val="22"/>
              </w:rPr>
              <w:t>Psihotični efekti</w:t>
            </w:r>
            <w:r w:rsidRPr="00446153">
              <w:rPr>
                <w:szCs w:val="22"/>
                <w:vertAlign w:val="superscript"/>
              </w:rPr>
              <w:t>d</w:t>
            </w:r>
            <w:r w:rsidRPr="00446153">
              <w:rPr>
                <w:szCs w:val="22"/>
              </w:rPr>
              <w:t xml:space="preserve"> </w:t>
            </w:r>
          </w:p>
          <w:p w14:paraId="0BDBA277" w14:textId="7B664E8E" w:rsidR="002956A1" w:rsidRPr="0093305C" w:rsidRDefault="00627FA5" w:rsidP="00D77E03">
            <w:pPr>
              <w:keepNext/>
              <w:overflowPunct w:val="0"/>
              <w:autoSpaceDE w:val="0"/>
              <w:autoSpaceDN w:val="0"/>
              <w:adjustRightInd w:val="0"/>
              <w:spacing w:line="240" w:lineRule="auto"/>
              <w:ind w:left="180"/>
              <w:jc w:val="both"/>
              <w:textAlignment w:val="baseline"/>
              <w:rPr>
                <w:szCs w:val="22"/>
              </w:rPr>
            </w:pPr>
            <w:r w:rsidRPr="0093305C">
              <w:rPr>
                <w:szCs w:val="22"/>
              </w:rPr>
              <w:t xml:space="preserve">Promjene mentalnog statusa </w:t>
            </w:r>
          </w:p>
        </w:tc>
        <w:tc>
          <w:tcPr>
            <w:tcW w:w="2618" w:type="dxa"/>
          </w:tcPr>
          <w:p w14:paraId="1B002FF4" w14:textId="77777777" w:rsidR="002956A1" w:rsidRPr="0093305C" w:rsidRDefault="002956A1" w:rsidP="00D77E03">
            <w:pPr>
              <w:keepNext/>
              <w:overflowPunct w:val="0"/>
              <w:autoSpaceDE w:val="0"/>
              <w:autoSpaceDN w:val="0"/>
              <w:adjustRightInd w:val="0"/>
              <w:spacing w:line="240" w:lineRule="auto"/>
              <w:jc w:val="both"/>
              <w:textAlignment w:val="baseline"/>
              <w:rPr>
                <w:szCs w:val="22"/>
                <w:vertAlign w:val="superscript"/>
              </w:rPr>
            </w:pPr>
          </w:p>
          <w:p w14:paraId="713C67BF" w14:textId="77777777" w:rsidR="002956A1" w:rsidRPr="0093305C" w:rsidRDefault="002956A1" w:rsidP="00D77E03">
            <w:pPr>
              <w:keepNext/>
              <w:overflowPunct w:val="0"/>
              <w:autoSpaceDE w:val="0"/>
              <w:autoSpaceDN w:val="0"/>
              <w:adjustRightInd w:val="0"/>
              <w:spacing w:line="240" w:lineRule="auto"/>
              <w:jc w:val="both"/>
              <w:textAlignment w:val="baseline"/>
              <w:rPr>
                <w:szCs w:val="22"/>
              </w:rPr>
            </w:pPr>
            <w:r w:rsidRPr="0093305C">
              <w:rPr>
                <w:szCs w:val="22"/>
              </w:rPr>
              <w:t>Veoma često</w:t>
            </w:r>
          </w:p>
          <w:p w14:paraId="1B63CE52" w14:textId="77777777" w:rsidR="00627FA5" w:rsidRPr="0093305C" w:rsidRDefault="00627FA5" w:rsidP="00D77E03">
            <w:pPr>
              <w:keepNext/>
              <w:overflowPunct w:val="0"/>
              <w:autoSpaceDE w:val="0"/>
              <w:autoSpaceDN w:val="0"/>
              <w:adjustRightInd w:val="0"/>
              <w:spacing w:line="240" w:lineRule="auto"/>
              <w:jc w:val="both"/>
              <w:textAlignment w:val="baseline"/>
              <w:rPr>
                <w:szCs w:val="22"/>
              </w:rPr>
            </w:pPr>
            <w:r w:rsidRPr="0093305C">
              <w:rPr>
                <w:szCs w:val="22"/>
              </w:rPr>
              <w:t>Često</w:t>
            </w:r>
          </w:p>
          <w:p w14:paraId="2ED59FFE" w14:textId="5EEEE3E6" w:rsidR="002956A1" w:rsidRPr="0093305C" w:rsidRDefault="00627FA5" w:rsidP="00D77E03">
            <w:pPr>
              <w:keepNext/>
              <w:overflowPunct w:val="0"/>
              <w:autoSpaceDE w:val="0"/>
              <w:autoSpaceDN w:val="0"/>
              <w:adjustRightInd w:val="0"/>
              <w:spacing w:line="240" w:lineRule="auto"/>
              <w:jc w:val="both"/>
              <w:textAlignment w:val="baseline"/>
              <w:rPr>
                <w:szCs w:val="22"/>
              </w:rPr>
            </w:pPr>
            <w:r w:rsidRPr="0093305C">
              <w:rPr>
                <w:szCs w:val="22"/>
              </w:rPr>
              <w:t>Često</w:t>
            </w:r>
          </w:p>
        </w:tc>
        <w:tc>
          <w:tcPr>
            <w:tcW w:w="1313" w:type="dxa"/>
          </w:tcPr>
          <w:p w14:paraId="5BDF441B" w14:textId="77777777" w:rsidR="002956A1" w:rsidRPr="0093305C" w:rsidRDefault="002956A1" w:rsidP="00D77E03">
            <w:pPr>
              <w:keepNext/>
              <w:overflowPunct w:val="0"/>
              <w:autoSpaceDE w:val="0"/>
              <w:autoSpaceDN w:val="0"/>
              <w:adjustRightInd w:val="0"/>
              <w:spacing w:line="240" w:lineRule="auto"/>
              <w:jc w:val="both"/>
              <w:textAlignment w:val="baseline"/>
              <w:rPr>
                <w:szCs w:val="22"/>
              </w:rPr>
            </w:pPr>
          </w:p>
          <w:p w14:paraId="1F44B479" w14:textId="7612DC96" w:rsidR="002956A1" w:rsidRPr="0093305C" w:rsidRDefault="002956A1" w:rsidP="00D77E03">
            <w:pPr>
              <w:keepNext/>
              <w:overflowPunct w:val="0"/>
              <w:autoSpaceDE w:val="0"/>
              <w:autoSpaceDN w:val="0"/>
              <w:adjustRightInd w:val="0"/>
              <w:spacing w:line="240" w:lineRule="auto"/>
              <w:jc w:val="both"/>
              <w:textAlignment w:val="baseline"/>
              <w:rPr>
                <w:szCs w:val="22"/>
              </w:rPr>
            </w:pPr>
            <w:r w:rsidRPr="0093305C">
              <w:rPr>
                <w:szCs w:val="22"/>
              </w:rPr>
              <w:t>2</w:t>
            </w:r>
            <w:r w:rsidR="00D82D92" w:rsidRPr="0093305C">
              <w:rPr>
                <w:szCs w:val="22"/>
              </w:rPr>
              <w:t>1</w:t>
            </w:r>
            <w:r w:rsidRPr="0093305C">
              <w:rPr>
                <w:szCs w:val="22"/>
              </w:rPr>
              <w:t>,</w:t>
            </w:r>
            <w:r w:rsidR="00D82D92" w:rsidRPr="0093305C">
              <w:rPr>
                <w:szCs w:val="22"/>
              </w:rPr>
              <w:t>0</w:t>
            </w:r>
          </w:p>
          <w:p w14:paraId="6297DCCD" w14:textId="4CA55C6E" w:rsidR="00627FA5" w:rsidRPr="0093305C" w:rsidRDefault="00F87382" w:rsidP="00D77E03">
            <w:pPr>
              <w:keepNext/>
              <w:overflowPunct w:val="0"/>
              <w:autoSpaceDE w:val="0"/>
              <w:autoSpaceDN w:val="0"/>
              <w:adjustRightInd w:val="0"/>
              <w:spacing w:line="240" w:lineRule="auto"/>
              <w:jc w:val="both"/>
              <w:textAlignment w:val="baseline"/>
              <w:rPr>
                <w:szCs w:val="22"/>
              </w:rPr>
            </w:pPr>
            <w:r w:rsidRPr="0093305C">
              <w:rPr>
                <w:szCs w:val="22"/>
              </w:rPr>
              <w:t>6,5</w:t>
            </w:r>
          </w:p>
          <w:p w14:paraId="3E3FB699" w14:textId="76FE9982" w:rsidR="002956A1" w:rsidRPr="0093305C" w:rsidDel="007E3FE4" w:rsidRDefault="00627FA5" w:rsidP="00D77E03">
            <w:pPr>
              <w:keepNext/>
              <w:overflowPunct w:val="0"/>
              <w:autoSpaceDE w:val="0"/>
              <w:autoSpaceDN w:val="0"/>
              <w:adjustRightInd w:val="0"/>
              <w:spacing w:line="240" w:lineRule="auto"/>
              <w:jc w:val="both"/>
              <w:textAlignment w:val="baseline"/>
              <w:rPr>
                <w:szCs w:val="22"/>
              </w:rPr>
            </w:pPr>
            <w:r w:rsidRPr="0093305C">
              <w:rPr>
                <w:szCs w:val="22"/>
              </w:rPr>
              <w:t>2,0</w:t>
            </w:r>
          </w:p>
        </w:tc>
        <w:tc>
          <w:tcPr>
            <w:tcW w:w="1313" w:type="dxa"/>
          </w:tcPr>
          <w:p w14:paraId="1DD4B753" w14:textId="77777777" w:rsidR="002956A1" w:rsidRPr="0093305C" w:rsidRDefault="002956A1" w:rsidP="00D77E03">
            <w:pPr>
              <w:keepNext/>
              <w:overflowPunct w:val="0"/>
              <w:autoSpaceDE w:val="0"/>
              <w:autoSpaceDN w:val="0"/>
              <w:adjustRightInd w:val="0"/>
              <w:spacing w:line="240" w:lineRule="auto"/>
              <w:jc w:val="both"/>
              <w:textAlignment w:val="baseline"/>
              <w:rPr>
                <w:szCs w:val="22"/>
              </w:rPr>
            </w:pPr>
          </w:p>
          <w:p w14:paraId="0489AC32" w14:textId="7ED7BE33" w:rsidR="002956A1" w:rsidRPr="0093305C" w:rsidRDefault="002956A1" w:rsidP="00D77E03">
            <w:pPr>
              <w:keepNext/>
              <w:overflowPunct w:val="0"/>
              <w:autoSpaceDE w:val="0"/>
              <w:autoSpaceDN w:val="0"/>
              <w:adjustRightInd w:val="0"/>
              <w:spacing w:line="240" w:lineRule="auto"/>
              <w:jc w:val="both"/>
              <w:textAlignment w:val="baseline"/>
              <w:rPr>
                <w:szCs w:val="22"/>
              </w:rPr>
            </w:pPr>
            <w:r w:rsidRPr="0093305C">
              <w:rPr>
                <w:szCs w:val="22"/>
              </w:rPr>
              <w:t>1,</w:t>
            </w:r>
            <w:r w:rsidR="00F87382" w:rsidRPr="0093305C">
              <w:rPr>
                <w:szCs w:val="22"/>
              </w:rPr>
              <w:t>5</w:t>
            </w:r>
          </w:p>
          <w:p w14:paraId="55716FB4" w14:textId="35A8AD5A" w:rsidR="00627FA5" w:rsidRPr="0093305C" w:rsidRDefault="00F87382" w:rsidP="00D77E03">
            <w:pPr>
              <w:keepNext/>
              <w:overflowPunct w:val="0"/>
              <w:autoSpaceDE w:val="0"/>
              <w:autoSpaceDN w:val="0"/>
              <w:adjustRightInd w:val="0"/>
              <w:spacing w:line="240" w:lineRule="auto"/>
              <w:jc w:val="both"/>
              <w:textAlignment w:val="baseline"/>
              <w:rPr>
                <w:szCs w:val="22"/>
              </w:rPr>
            </w:pPr>
            <w:r w:rsidRPr="0093305C">
              <w:rPr>
                <w:szCs w:val="22"/>
              </w:rPr>
              <w:t>0,4</w:t>
            </w:r>
          </w:p>
          <w:p w14:paraId="08657662" w14:textId="7BD7216E" w:rsidR="002956A1" w:rsidRPr="0093305C" w:rsidDel="007E3FE4" w:rsidRDefault="00627FA5" w:rsidP="00D77E03">
            <w:pPr>
              <w:keepNext/>
              <w:overflowPunct w:val="0"/>
              <w:autoSpaceDE w:val="0"/>
              <w:autoSpaceDN w:val="0"/>
              <w:adjustRightInd w:val="0"/>
              <w:spacing w:line="240" w:lineRule="auto"/>
              <w:jc w:val="both"/>
              <w:textAlignment w:val="baseline"/>
              <w:rPr>
                <w:szCs w:val="22"/>
              </w:rPr>
            </w:pPr>
            <w:r w:rsidRPr="0093305C">
              <w:rPr>
                <w:szCs w:val="22"/>
              </w:rPr>
              <w:t>1,7</w:t>
            </w:r>
          </w:p>
        </w:tc>
      </w:tr>
      <w:tr w:rsidR="00DC4667" w:rsidRPr="003C7D36" w14:paraId="7E320E59" w14:textId="77777777" w:rsidTr="00456BE1">
        <w:tc>
          <w:tcPr>
            <w:tcW w:w="3888" w:type="dxa"/>
          </w:tcPr>
          <w:p w14:paraId="0DB8F6BC" w14:textId="77777777" w:rsidR="00151DDB" w:rsidRPr="00C0597B" w:rsidRDefault="00151DDB" w:rsidP="00D77E03">
            <w:pPr>
              <w:keepNext/>
              <w:overflowPunct w:val="0"/>
              <w:autoSpaceDE w:val="0"/>
              <w:autoSpaceDN w:val="0"/>
              <w:adjustRightInd w:val="0"/>
              <w:spacing w:line="240" w:lineRule="auto"/>
              <w:jc w:val="both"/>
              <w:textAlignment w:val="baseline"/>
              <w:rPr>
                <w:szCs w:val="22"/>
              </w:rPr>
            </w:pPr>
            <w:r w:rsidRPr="00C0597B">
              <w:rPr>
                <w:szCs w:val="22"/>
              </w:rPr>
              <w:t>Poremećaji nervnog sistema</w:t>
            </w:r>
          </w:p>
          <w:p w14:paraId="0BDE4904" w14:textId="77777777" w:rsidR="00151DDB" w:rsidRPr="00446153" w:rsidRDefault="00151DDB" w:rsidP="00D77E03">
            <w:pPr>
              <w:keepNext/>
              <w:overflowPunct w:val="0"/>
              <w:autoSpaceDE w:val="0"/>
              <w:autoSpaceDN w:val="0"/>
              <w:adjustRightInd w:val="0"/>
              <w:spacing w:line="240" w:lineRule="auto"/>
              <w:ind w:left="180"/>
              <w:jc w:val="both"/>
              <w:textAlignment w:val="baseline"/>
              <w:rPr>
                <w:szCs w:val="22"/>
              </w:rPr>
            </w:pPr>
            <w:r w:rsidRPr="00822B86">
              <w:rPr>
                <w:szCs w:val="22"/>
              </w:rPr>
              <w:t>Kognitivni efekti</w:t>
            </w:r>
            <w:r w:rsidRPr="00822B86">
              <w:rPr>
                <w:szCs w:val="22"/>
                <w:vertAlign w:val="superscript"/>
              </w:rPr>
              <w:t>e</w:t>
            </w:r>
            <w:r w:rsidRPr="00822B86">
              <w:rPr>
                <w:szCs w:val="22"/>
              </w:rPr>
              <w:t xml:space="preserve"> </w:t>
            </w:r>
          </w:p>
          <w:p w14:paraId="69A3D333" w14:textId="77777777" w:rsidR="00151DDB" w:rsidRPr="0093305C" w:rsidRDefault="00151DDB" w:rsidP="00D77E03">
            <w:pPr>
              <w:keepNext/>
              <w:overflowPunct w:val="0"/>
              <w:autoSpaceDE w:val="0"/>
              <w:autoSpaceDN w:val="0"/>
              <w:adjustRightInd w:val="0"/>
              <w:spacing w:line="240" w:lineRule="auto"/>
              <w:ind w:left="180"/>
              <w:jc w:val="both"/>
              <w:textAlignment w:val="baseline"/>
              <w:rPr>
                <w:szCs w:val="22"/>
              </w:rPr>
            </w:pPr>
            <w:r w:rsidRPr="0093305C">
              <w:rPr>
                <w:szCs w:val="22"/>
              </w:rPr>
              <w:t>Periferna neuropatija</w:t>
            </w:r>
            <w:r w:rsidRPr="0093305C">
              <w:rPr>
                <w:szCs w:val="22"/>
                <w:vertAlign w:val="superscript"/>
              </w:rPr>
              <w:t>f</w:t>
            </w:r>
            <w:r w:rsidRPr="0093305C">
              <w:rPr>
                <w:szCs w:val="22"/>
              </w:rPr>
              <w:t xml:space="preserve"> </w:t>
            </w:r>
          </w:p>
          <w:p w14:paraId="4CEA46EF" w14:textId="77777777" w:rsidR="00151DDB" w:rsidRPr="0093305C" w:rsidRDefault="00151DDB" w:rsidP="00D77E03">
            <w:pPr>
              <w:keepNext/>
              <w:overflowPunct w:val="0"/>
              <w:autoSpaceDE w:val="0"/>
              <w:autoSpaceDN w:val="0"/>
              <w:adjustRightInd w:val="0"/>
              <w:spacing w:line="240" w:lineRule="auto"/>
              <w:ind w:left="180"/>
              <w:jc w:val="both"/>
              <w:textAlignment w:val="baseline"/>
              <w:rPr>
                <w:szCs w:val="22"/>
              </w:rPr>
            </w:pPr>
            <w:r w:rsidRPr="0093305C">
              <w:rPr>
                <w:szCs w:val="22"/>
              </w:rPr>
              <w:t>Glavobolja</w:t>
            </w:r>
          </w:p>
          <w:p w14:paraId="52B01EE2" w14:textId="77777777" w:rsidR="00151DDB" w:rsidRPr="0093305C" w:rsidRDefault="00151DDB" w:rsidP="00D77E03">
            <w:pPr>
              <w:keepNext/>
              <w:overflowPunct w:val="0"/>
              <w:autoSpaceDE w:val="0"/>
              <w:autoSpaceDN w:val="0"/>
              <w:adjustRightInd w:val="0"/>
              <w:spacing w:line="240" w:lineRule="auto"/>
              <w:ind w:left="180"/>
              <w:jc w:val="both"/>
              <w:textAlignment w:val="baseline"/>
              <w:rPr>
                <w:szCs w:val="22"/>
              </w:rPr>
            </w:pPr>
            <w:r w:rsidRPr="0093305C">
              <w:rPr>
                <w:szCs w:val="22"/>
              </w:rPr>
              <w:t>Efekti na govor</w:t>
            </w:r>
            <w:r w:rsidRPr="0093305C">
              <w:rPr>
                <w:szCs w:val="22"/>
                <w:vertAlign w:val="superscript"/>
              </w:rPr>
              <w:t>g</w:t>
            </w:r>
          </w:p>
        </w:tc>
        <w:tc>
          <w:tcPr>
            <w:tcW w:w="2618" w:type="dxa"/>
          </w:tcPr>
          <w:p w14:paraId="499D98B2" w14:textId="77777777" w:rsidR="00151DDB" w:rsidRPr="0093305C" w:rsidRDefault="00151DDB" w:rsidP="00D77E03">
            <w:pPr>
              <w:keepNext/>
              <w:overflowPunct w:val="0"/>
              <w:autoSpaceDE w:val="0"/>
              <w:autoSpaceDN w:val="0"/>
              <w:adjustRightInd w:val="0"/>
              <w:spacing w:line="240" w:lineRule="auto"/>
              <w:jc w:val="both"/>
              <w:textAlignment w:val="baseline"/>
              <w:rPr>
                <w:szCs w:val="22"/>
              </w:rPr>
            </w:pPr>
          </w:p>
          <w:p w14:paraId="3DF7C147" w14:textId="77777777" w:rsidR="00151DDB" w:rsidRPr="0093305C" w:rsidRDefault="00151DDB" w:rsidP="00D77E03">
            <w:pPr>
              <w:keepNext/>
              <w:overflowPunct w:val="0"/>
              <w:autoSpaceDE w:val="0"/>
              <w:autoSpaceDN w:val="0"/>
              <w:adjustRightInd w:val="0"/>
              <w:spacing w:line="240" w:lineRule="auto"/>
              <w:jc w:val="both"/>
              <w:textAlignment w:val="baseline"/>
              <w:rPr>
                <w:szCs w:val="22"/>
              </w:rPr>
            </w:pPr>
            <w:r w:rsidRPr="0093305C">
              <w:rPr>
                <w:szCs w:val="22"/>
              </w:rPr>
              <w:t>Veoma često</w:t>
            </w:r>
          </w:p>
          <w:p w14:paraId="64BE87C0" w14:textId="77777777" w:rsidR="00151DDB" w:rsidRPr="0093305C" w:rsidRDefault="00151DDB" w:rsidP="00D77E03">
            <w:pPr>
              <w:keepNext/>
              <w:overflowPunct w:val="0"/>
              <w:autoSpaceDE w:val="0"/>
              <w:autoSpaceDN w:val="0"/>
              <w:adjustRightInd w:val="0"/>
              <w:spacing w:line="240" w:lineRule="auto"/>
              <w:jc w:val="both"/>
              <w:textAlignment w:val="baseline"/>
              <w:rPr>
                <w:szCs w:val="22"/>
              </w:rPr>
            </w:pPr>
            <w:r w:rsidRPr="0093305C">
              <w:rPr>
                <w:szCs w:val="22"/>
              </w:rPr>
              <w:t>Veoma često</w:t>
            </w:r>
          </w:p>
          <w:p w14:paraId="7C6AAB1C" w14:textId="77777777" w:rsidR="00151DDB" w:rsidRPr="0093305C" w:rsidRDefault="00151DDB" w:rsidP="00D77E03">
            <w:pPr>
              <w:keepNext/>
              <w:overflowPunct w:val="0"/>
              <w:autoSpaceDE w:val="0"/>
              <w:autoSpaceDN w:val="0"/>
              <w:adjustRightInd w:val="0"/>
              <w:spacing w:line="240" w:lineRule="auto"/>
              <w:jc w:val="both"/>
              <w:textAlignment w:val="baseline"/>
              <w:rPr>
                <w:szCs w:val="22"/>
              </w:rPr>
            </w:pPr>
            <w:r w:rsidRPr="0093305C">
              <w:rPr>
                <w:szCs w:val="22"/>
              </w:rPr>
              <w:t>Veoma često</w:t>
            </w:r>
          </w:p>
          <w:p w14:paraId="233353A0" w14:textId="77777777" w:rsidR="00151DDB" w:rsidRPr="0093305C" w:rsidRDefault="00151DDB" w:rsidP="00D77E03">
            <w:pPr>
              <w:keepNext/>
              <w:overflowPunct w:val="0"/>
              <w:autoSpaceDE w:val="0"/>
              <w:autoSpaceDN w:val="0"/>
              <w:adjustRightInd w:val="0"/>
              <w:spacing w:line="240" w:lineRule="auto"/>
              <w:jc w:val="both"/>
              <w:textAlignment w:val="baseline"/>
              <w:rPr>
                <w:szCs w:val="22"/>
                <w:vertAlign w:val="superscript"/>
              </w:rPr>
            </w:pPr>
            <w:r w:rsidRPr="0093305C">
              <w:rPr>
                <w:szCs w:val="22"/>
              </w:rPr>
              <w:t>Često</w:t>
            </w:r>
          </w:p>
        </w:tc>
        <w:tc>
          <w:tcPr>
            <w:tcW w:w="1313" w:type="dxa"/>
          </w:tcPr>
          <w:p w14:paraId="031BDDBF" w14:textId="77777777" w:rsidR="00151DDB" w:rsidRPr="0093305C" w:rsidRDefault="00151DDB" w:rsidP="00D77E03">
            <w:pPr>
              <w:keepNext/>
              <w:overflowPunct w:val="0"/>
              <w:autoSpaceDE w:val="0"/>
              <w:autoSpaceDN w:val="0"/>
              <w:adjustRightInd w:val="0"/>
              <w:spacing w:line="240" w:lineRule="auto"/>
              <w:jc w:val="both"/>
              <w:textAlignment w:val="baseline"/>
              <w:rPr>
                <w:szCs w:val="22"/>
              </w:rPr>
            </w:pPr>
          </w:p>
          <w:p w14:paraId="5F1699D6" w14:textId="230F353B" w:rsidR="00151DDB" w:rsidRPr="0093305C" w:rsidRDefault="00151DDB" w:rsidP="00D77E03">
            <w:pPr>
              <w:keepNext/>
              <w:overflowPunct w:val="0"/>
              <w:autoSpaceDE w:val="0"/>
              <w:autoSpaceDN w:val="0"/>
              <w:adjustRightInd w:val="0"/>
              <w:spacing w:line="240" w:lineRule="auto"/>
              <w:jc w:val="both"/>
              <w:textAlignment w:val="baseline"/>
              <w:rPr>
                <w:szCs w:val="22"/>
              </w:rPr>
            </w:pPr>
            <w:r w:rsidRPr="0093305C">
              <w:rPr>
                <w:szCs w:val="22"/>
              </w:rPr>
              <w:t>2</w:t>
            </w:r>
            <w:r w:rsidR="0076216C" w:rsidRPr="0093305C">
              <w:rPr>
                <w:szCs w:val="22"/>
              </w:rPr>
              <w:t>7,7</w:t>
            </w:r>
          </w:p>
          <w:p w14:paraId="0118A275" w14:textId="1979E29E" w:rsidR="00151DDB" w:rsidRPr="0093305C" w:rsidRDefault="0076216C" w:rsidP="00D77E03">
            <w:pPr>
              <w:keepNext/>
              <w:overflowPunct w:val="0"/>
              <w:autoSpaceDE w:val="0"/>
              <w:autoSpaceDN w:val="0"/>
              <w:adjustRightInd w:val="0"/>
              <w:spacing w:line="240" w:lineRule="auto"/>
              <w:jc w:val="both"/>
              <w:textAlignment w:val="baseline"/>
              <w:rPr>
                <w:szCs w:val="22"/>
              </w:rPr>
            </w:pPr>
            <w:r w:rsidRPr="0093305C">
              <w:rPr>
                <w:szCs w:val="22"/>
              </w:rPr>
              <w:t>43,7</w:t>
            </w:r>
          </w:p>
          <w:p w14:paraId="291D025A" w14:textId="73F77421" w:rsidR="00151DDB" w:rsidRPr="0093305C" w:rsidRDefault="0076216C" w:rsidP="00D77E03">
            <w:pPr>
              <w:keepNext/>
              <w:overflowPunct w:val="0"/>
              <w:autoSpaceDE w:val="0"/>
              <w:autoSpaceDN w:val="0"/>
              <w:adjustRightInd w:val="0"/>
              <w:spacing w:line="240" w:lineRule="auto"/>
              <w:jc w:val="both"/>
              <w:textAlignment w:val="baseline"/>
              <w:rPr>
                <w:szCs w:val="22"/>
              </w:rPr>
            </w:pPr>
            <w:r w:rsidRPr="0093305C">
              <w:rPr>
                <w:szCs w:val="22"/>
              </w:rPr>
              <w:t>17,9</w:t>
            </w:r>
          </w:p>
          <w:p w14:paraId="58EFF1BD" w14:textId="772F00AF" w:rsidR="00151DDB" w:rsidRPr="0093305C" w:rsidDel="007E3FE4" w:rsidRDefault="0076216C" w:rsidP="00D77E03">
            <w:pPr>
              <w:keepNext/>
              <w:overflowPunct w:val="0"/>
              <w:autoSpaceDE w:val="0"/>
              <w:autoSpaceDN w:val="0"/>
              <w:adjustRightInd w:val="0"/>
              <w:spacing w:line="240" w:lineRule="auto"/>
              <w:jc w:val="both"/>
              <w:textAlignment w:val="baseline"/>
              <w:rPr>
                <w:szCs w:val="22"/>
              </w:rPr>
            </w:pPr>
            <w:r w:rsidRPr="0093305C">
              <w:rPr>
                <w:szCs w:val="22"/>
              </w:rPr>
              <w:t>8,2</w:t>
            </w:r>
          </w:p>
        </w:tc>
        <w:tc>
          <w:tcPr>
            <w:tcW w:w="1313" w:type="dxa"/>
          </w:tcPr>
          <w:p w14:paraId="0819CA19" w14:textId="77777777" w:rsidR="00151DDB" w:rsidRPr="0093305C" w:rsidRDefault="00151DDB" w:rsidP="00D77E03">
            <w:pPr>
              <w:keepNext/>
              <w:overflowPunct w:val="0"/>
              <w:autoSpaceDE w:val="0"/>
              <w:autoSpaceDN w:val="0"/>
              <w:adjustRightInd w:val="0"/>
              <w:spacing w:line="240" w:lineRule="auto"/>
              <w:jc w:val="both"/>
              <w:textAlignment w:val="baseline"/>
              <w:rPr>
                <w:szCs w:val="22"/>
              </w:rPr>
            </w:pPr>
          </w:p>
          <w:p w14:paraId="606AE890" w14:textId="613A2C96" w:rsidR="00151DDB" w:rsidRPr="0093305C" w:rsidRDefault="00151DDB" w:rsidP="00D77E03">
            <w:pPr>
              <w:keepNext/>
              <w:overflowPunct w:val="0"/>
              <w:autoSpaceDE w:val="0"/>
              <w:autoSpaceDN w:val="0"/>
              <w:adjustRightInd w:val="0"/>
              <w:spacing w:line="240" w:lineRule="auto"/>
              <w:jc w:val="both"/>
              <w:textAlignment w:val="baseline"/>
              <w:rPr>
                <w:szCs w:val="22"/>
              </w:rPr>
            </w:pPr>
            <w:r w:rsidRPr="0093305C">
              <w:rPr>
                <w:szCs w:val="22"/>
              </w:rPr>
              <w:t>2,</w:t>
            </w:r>
            <w:r w:rsidR="00D34F4F" w:rsidRPr="0093305C">
              <w:rPr>
                <w:szCs w:val="22"/>
              </w:rPr>
              <w:t>9</w:t>
            </w:r>
          </w:p>
          <w:p w14:paraId="0068C118" w14:textId="77777777" w:rsidR="00151DDB" w:rsidRPr="0093305C" w:rsidRDefault="00151DDB" w:rsidP="00D77E03">
            <w:pPr>
              <w:keepNext/>
              <w:overflowPunct w:val="0"/>
              <w:autoSpaceDE w:val="0"/>
              <w:autoSpaceDN w:val="0"/>
              <w:adjustRightInd w:val="0"/>
              <w:spacing w:line="240" w:lineRule="auto"/>
              <w:jc w:val="both"/>
              <w:textAlignment w:val="baseline"/>
              <w:rPr>
                <w:szCs w:val="22"/>
              </w:rPr>
            </w:pPr>
            <w:r w:rsidRPr="0093305C">
              <w:rPr>
                <w:szCs w:val="22"/>
              </w:rPr>
              <w:t>2,7</w:t>
            </w:r>
          </w:p>
          <w:p w14:paraId="4DC474F5" w14:textId="0FCD6FCE" w:rsidR="00151DDB" w:rsidRPr="0093305C" w:rsidRDefault="00151DDB" w:rsidP="00D77E03">
            <w:pPr>
              <w:keepNext/>
              <w:overflowPunct w:val="0"/>
              <w:autoSpaceDE w:val="0"/>
              <w:autoSpaceDN w:val="0"/>
              <w:adjustRightInd w:val="0"/>
              <w:spacing w:line="240" w:lineRule="auto"/>
              <w:jc w:val="both"/>
              <w:textAlignment w:val="baseline"/>
              <w:rPr>
                <w:szCs w:val="22"/>
              </w:rPr>
            </w:pPr>
            <w:r w:rsidRPr="0093305C">
              <w:rPr>
                <w:szCs w:val="22"/>
              </w:rPr>
              <w:t>0,</w:t>
            </w:r>
            <w:r w:rsidR="00D34F4F" w:rsidRPr="0093305C">
              <w:rPr>
                <w:szCs w:val="22"/>
              </w:rPr>
              <w:t>6</w:t>
            </w:r>
          </w:p>
          <w:p w14:paraId="04C7C08A" w14:textId="5746E83C" w:rsidR="00151DDB" w:rsidRPr="0093305C" w:rsidDel="007E3FE4" w:rsidRDefault="00151DDB" w:rsidP="00D77E03">
            <w:pPr>
              <w:keepNext/>
              <w:overflowPunct w:val="0"/>
              <w:autoSpaceDE w:val="0"/>
              <w:autoSpaceDN w:val="0"/>
              <w:adjustRightInd w:val="0"/>
              <w:spacing w:line="240" w:lineRule="auto"/>
              <w:jc w:val="both"/>
              <w:textAlignment w:val="baseline"/>
              <w:rPr>
                <w:szCs w:val="22"/>
              </w:rPr>
            </w:pPr>
            <w:r w:rsidRPr="0093305C">
              <w:rPr>
                <w:szCs w:val="22"/>
              </w:rPr>
              <w:t>0,</w:t>
            </w:r>
            <w:r w:rsidR="00D34F4F" w:rsidRPr="0093305C">
              <w:rPr>
                <w:szCs w:val="22"/>
              </w:rPr>
              <w:t>6</w:t>
            </w:r>
          </w:p>
        </w:tc>
      </w:tr>
      <w:tr w:rsidR="00DC4667" w:rsidRPr="003C7D36" w14:paraId="3EA8C497" w14:textId="77777777" w:rsidTr="00456BE1">
        <w:tc>
          <w:tcPr>
            <w:tcW w:w="3888" w:type="dxa"/>
          </w:tcPr>
          <w:p w14:paraId="615D7094" w14:textId="77777777" w:rsidR="00151DDB" w:rsidRPr="00C0597B" w:rsidRDefault="00151DDB" w:rsidP="00D77E03">
            <w:pPr>
              <w:jc w:val="both"/>
              <w:rPr>
                <w:szCs w:val="22"/>
              </w:rPr>
            </w:pPr>
            <w:r w:rsidRPr="00C0597B">
              <w:rPr>
                <w:szCs w:val="22"/>
              </w:rPr>
              <w:t>Poremećaji oka</w:t>
            </w:r>
          </w:p>
          <w:p w14:paraId="58B4CE88" w14:textId="77777777" w:rsidR="00151DDB" w:rsidRPr="00822B86" w:rsidRDefault="00151DDB" w:rsidP="00D77E03">
            <w:pPr>
              <w:ind w:left="180"/>
              <w:jc w:val="both"/>
              <w:rPr>
                <w:szCs w:val="22"/>
              </w:rPr>
            </w:pPr>
            <w:r w:rsidRPr="00822B86">
              <w:rPr>
                <w:szCs w:val="22"/>
              </w:rPr>
              <w:t>Poremećaj vida</w:t>
            </w:r>
            <w:r w:rsidRPr="00822B86">
              <w:rPr>
                <w:szCs w:val="22"/>
                <w:vertAlign w:val="superscript"/>
              </w:rPr>
              <w:t>h</w:t>
            </w:r>
          </w:p>
        </w:tc>
        <w:tc>
          <w:tcPr>
            <w:tcW w:w="2618" w:type="dxa"/>
          </w:tcPr>
          <w:p w14:paraId="2B641F69" w14:textId="77777777" w:rsidR="00151DDB" w:rsidRPr="00446153" w:rsidRDefault="00151DDB" w:rsidP="00D77E03">
            <w:pPr>
              <w:jc w:val="both"/>
              <w:rPr>
                <w:szCs w:val="22"/>
              </w:rPr>
            </w:pPr>
          </w:p>
          <w:p w14:paraId="3B15B71E" w14:textId="77777777" w:rsidR="00151DDB" w:rsidRPr="0093305C" w:rsidRDefault="00151DDB" w:rsidP="00D77E03">
            <w:pPr>
              <w:jc w:val="both"/>
              <w:rPr>
                <w:szCs w:val="22"/>
              </w:rPr>
            </w:pPr>
            <w:r w:rsidRPr="0093305C">
              <w:rPr>
                <w:szCs w:val="22"/>
              </w:rPr>
              <w:t>Veoma često</w:t>
            </w:r>
          </w:p>
        </w:tc>
        <w:tc>
          <w:tcPr>
            <w:tcW w:w="1313" w:type="dxa"/>
          </w:tcPr>
          <w:p w14:paraId="4B1EC7AC" w14:textId="77777777" w:rsidR="00151DDB" w:rsidRPr="0093305C" w:rsidRDefault="00151DDB" w:rsidP="00D77E03">
            <w:pPr>
              <w:jc w:val="both"/>
              <w:rPr>
                <w:szCs w:val="22"/>
              </w:rPr>
            </w:pPr>
          </w:p>
          <w:p w14:paraId="76DF0027" w14:textId="2734CA6D" w:rsidR="00151DDB" w:rsidRPr="0093305C" w:rsidDel="007E3FE4" w:rsidRDefault="00151DDB" w:rsidP="00D77E03">
            <w:pPr>
              <w:jc w:val="both"/>
              <w:rPr>
                <w:szCs w:val="22"/>
              </w:rPr>
            </w:pPr>
            <w:r w:rsidRPr="0093305C">
              <w:rPr>
                <w:szCs w:val="22"/>
              </w:rPr>
              <w:t>1</w:t>
            </w:r>
            <w:r w:rsidR="007E6856" w:rsidRPr="0093305C">
              <w:rPr>
                <w:szCs w:val="22"/>
              </w:rPr>
              <w:t>7</w:t>
            </w:r>
            <w:r w:rsidRPr="0093305C">
              <w:rPr>
                <w:szCs w:val="22"/>
              </w:rPr>
              <w:t>,</w:t>
            </w:r>
            <w:r w:rsidR="007E6856" w:rsidRPr="0093305C">
              <w:rPr>
                <w:szCs w:val="22"/>
              </w:rPr>
              <w:t>2</w:t>
            </w:r>
          </w:p>
        </w:tc>
        <w:tc>
          <w:tcPr>
            <w:tcW w:w="1313" w:type="dxa"/>
          </w:tcPr>
          <w:p w14:paraId="6415BCDF" w14:textId="77777777" w:rsidR="00151DDB" w:rsidRPr="0093305C" w:rsidRDefault="00151DDB" w:rsidP="00D77E03">
            <w:pPr>
              <w:jc w:val="both"/>
              <w:rPr>
                <w:szCs w:val="22"/>
              </w:rPr>
            </w:pPr>
          </w:p>
          <w:p w14:paraId="30FB95A6" w14:textId="2F466E12" w:rsidR="00151DDB" w:rsidRPr="0093305C" w:rsidDel="007E3FE4" w:rsidRDefault="00151DDB" w:rsidP="00D77E03">
            <w:pPr>
              <w:jc w:val="both"/>
              <w:rPr>
                <w:szCs w:val="22"/>
              </w:rPr>
            </w:pPr>
            <w:r w:rsidRPr="0093305C">
              <w:rPr>
                <w:szCs w:val="22"/>
              </w:rPr>
              <w:t>0,</w:t>
            </w:r>
            <w:r w:rsidR="007E6856" w:rsidRPr="0093305C">
              <w:rPr>
                <w:szCs w:val="22"/>
              </w:rPr>
              <w:t>2</w:t>
            </w:r>
          </w:p>
        </w:tc>
      </w:tr>
      <w:tr w:rsidR="00DC4667" w:rsidRPr="003C7D36" w14:paraId="72265409" w14:textId="77777777" w:rsidTr="00456BE1">
        <w:tc>
          <w:tcPr>
            <w:tcW w:w="3888" w:type="dxa"/>
          </w:tcPr>
          <w:p w14:paraId="228BCAAE" w14:textId="77777777" w:rsidR="008C4970" w:rsidRPr="00C0597B" w:rsidRDefault="008C4970" w:rsidP="00D77E03">
            <w:pPr>
              <w:jc w:val="both"/>
              <w:rPr>
                <w:szCs w:val="22"/>
              </w:rPr>
            </w:pPr>
            <w:r w:rsidRPr="00C0597B">
              <w:rPr>
                <w:szCs w:val="22"/>
              </w:rPr>
              <w:t>Vaskularni poremećaji</w:t>
            </w:r>
          </w:p>
          <w:p w14:paraId="6B0B2EE4" w14:textId="67EB4CA6" w:rsidR="008C4970" w:rsidRPr="00822B86" w:rsidRDefault="008C4970" w:rsidP="00D77E03">
            <w:pPr>
              <w:overflowPunct w:val="0"/>
              <w:autoSpaceDE w:val="0"/>
              <w:autoSpaceDN w:val="0"/>
              <w:adjustRightInd w:val="0"/>
              <w:spacing w:line="240" w:lineRule="auto"/>
              <w:jc w:val="both"/>
              <w:textAlignment w:val="baseline"/>
              <w:rPr>
                <w:szCs w:val="22"/>
              </w:rPr>
            </w:pPr>
            <w:r w:rsidRPr="00822B86">
              <w:rPr>
                <w:szCs w:val="22"/>
              </w:rPr>
              <w:t xml:space="preserve">   Hipertenzija*</w:t>
            </w:r>
          </w:p>
        </w:tc>
        <w:tc>
          <w:tcPr>
            <w:tcW w:w="2618" w:type="dxa"/>
          </w:tcPr>
          <w:p w14:paraId="48E87B88" w14:textId="77777777" w:rsidR="008C4970" w:rsidRPr="00446153" w:rsidRDefault="008C4970" w:rsidP="00D77E03">
            <w:pPr>
              <w:jc w:val="both"/>
              <w:rPr>
                <w:szCs w:val="22"/>
              </w:rPr>
            </w:pPr>
          </w:p>
          <w:p w14:paraId="2712C349" w14:textId="19D7FA95" w:rsidR="008C4970" w:rsidRPr="0093305C" w:rsidRDefault="008C4970" w:rsidP="00D77E03">
            <w:pPr>
              <w:overflowPunct w:val="0"/>
              <w:autoSpaceDE w:val="0"/>
              <w:autoSpaceDN w:val="0"/>
              <w:adjustRightInd w:val="0"/>
              <w:spacing w:line="240" w:lineRule="auto"/>
              <w:jc w:val="both"/>
              <w:textAlignment w:val="baseline"/>
              <w:rPr>
                <w:szCs w:val="22"/>
              </w:rPr>
            </w:pPr>
            <w:r w:rsidRPr="0093305C">
              <w:rPr>
                <w:szCs w:val="22"/>
              </w:rPr>
              <w:t>Veoma često</w:t>
            </w:r>
          </w:p>
        </w:tc>
        <w:tc>
          <w:tcPr>
            <w:tcW w:w="1313" w:type="dxa"/>
          </w:tcPr>
          <w:p w14:paraId="0DB4E85E" w14:textId="77777777" w:rsidR="008C4970" w:rsidRPr="0093305C" w:rsidRDefault="008C4970" w:rsidP="00D77E03">
            <w:pPr>
              <w:jc w:val="both"/>
              <w:rPr>
                <w:szCs w:val="22"/>
              </w:rPr>
            </w:pPr>
          </w:p>
          <w:p w14:paraId="15DA9513" w14:textId="70432780" w:rsidR="008C4970" w:rsidRPr="0093305C" w:rsidRDefault="008C4970" w:rsidP="00D77E03">
            <w:pPr>
              <w:overflowPunct w:val="0"/>
              <w:autoSpaceDE w:val="0"/>
              <w:autoSpaceDN w:val="0"/>
              <w:adjustRightInd w:val="0"/>
              <w:spacing w:line="240" w:lineRule="auto"/>
              <w:jc w:val="both"/>
              <w:textAlignment w:val="baseline"/>
              <w:rPr>
                <w:szCs w:val="22"/>
              </w:rPr>
            </w:pPr>
            <w:r w:rsidRPr="0093305C">
              <w:rPr>
                <w:szCs w:val="22"/>
              </w:rPr>
              <w:t>13,0</w:t>
            </w:r>
          </w:p>
        </w:tc>
        <w:tc>
          <w:tcPr>
            <w:tcW w:w="1313" w:type="dxa"/>
          </w:tcPr>
          <w:p w14:paraId="5B4F5308" w14:textId="77777777" w:rsidR="008C4970" w:rsidRPr="0093305C" w:rsidRDefault="008C4970" w:rsidP="00D77E03">
            <w:pPr>
              <w:jc w:val="both"/>
              <w:rPr>
                <w:szCs w:val="22"/>
              </w:rPr>
            </w:pPr>
          </w:p>
          <w:p w14:paraId="7D95AD4D" w14:textId="0D314BBA" w:rsidR="008C4970" w:rsidRPr="0093305C" w:rsidRDefault="008C4970" w:rsidP="00D77E03">
            <w:pPr>
              <w:overflowPunct w:val="0"/>
              <w:autoSpaceDE w:val="0"/>
              <w:autoSpaceDN w:val="0"/>
              <w:adjustRightInd w:val="0"/>
              <w:spacing w:line="240" w:lineRule="auto"/>
              <w:jc w:val="both"/>
              <w:textAlignment w:val="baseline"/>
              <w:rPr>
                <w:szCs w:val="22"/>
              </w:rPr>
            </w:pPr>
            <w:r w:rsidRPr="0093305C">
              <w:rPr>
                <w:szCs w:val="22"/>
              </w:rPr>
              <w:t>6,1</w:t>
            </w:r>
          </w:p>
        </w:tc>
      </w:tr>
      <w:tr w:rsidR="00DC4667" w:rsidRPr="003C7D36" w14:paraId="2EAE2F11" w14:textId="77777777" w:rsidTr="00456BE1">
        <w:tc>
          <w:tcPr>
            <w:tcW w:w="3888" w:type="dxa"/>
          </w:tcPr>
          <w:p w14:paraId="6B8AB30A" w14:textId="77777777" w:rsidR="00D3356D" w:rsidRPr="003C7D36" w:rsidRDefault="00D3356D" w:rsidP="00D77E03">
            <w:pPr>
              <w:overflowPunct w:val="0"/>
              <w:autoSpaceDE w:val="0"/>
              <w:autoSpaceDN w:val="0"/>
              <w:adjustRightInd w:val="0"/>
              <w:spacing w:line="240" w:lineRule="auto"/>
              <w:jc w:val="both"/>
              <w:textAlignment w:val="baseline"/>
              <w:rPr>
                <w:szCs w:val="22"/>
              </w:rPr>
            </w:pPr>
            <w:r w:rsidRPr="00C0597B">
              <w:rPr>
                <w:szCs w:val="22"/>
              </w:rPr>
              <w:t>Respiratorni, torakalni i medijastinalni poremećaji</w:t>
            </w:r>
          </w:p>
          <w:p w14:paraId="43036CD6" w14:textId="77777777" w:rsidR="00D3356D" w:rsidRPr="00822B86" w:rsidRDefault="00D3356D" w:rsidP="00D77E03">
            <w:pPr>
              <w:overflowPunct w:val="0"/>
              <w:autoSpaceDE w:val="0"/>
              <w:autoSpaceDN w:val="0"/>
              <w:adjustRightInd w:val="0"/>
              <w:spacing w:line="240" w:lineRule="auto"/>
              <w:ind w:left="180"/>
              <w:jc w:val="both"/>
              <w:textAlignment w:val="baseline"/>
              <w:rPr>
                <w:szCs w:val="22"/>
              </w:rPr>
            </w:pPr>
            <w:r w:rsidRPr="00C0597B">
              <w:rPr>
                <w:szCs w:val="22"/>
              </w:rPr>
              <w:t>Pneumonitis</w:t>
            </w:r>
            <w:r w:rsidRPr="00C0597B">
              <w:rPr>
                <w:szCs w:val="22"/>
                <w:vertAlign w:val="superscript"/>
              </w:rPr>
              <w:t>i</w:t>
            </w:r>
            <w:r w:rsidRPr="00C0597B">
              <w:rPr>
                <w:szCs w:val="22"/>
              </w:rPr>
              <w:t xml:space="preserve"> </w:t>
            </w:r>
          </w:p>
        </w:tc>
        <w:tc>
          <w:tcPr>
            <w:tcW w:w="2618" w:type="dxa"/>
          </w:tcPr>
          <w:p w14:paraId="75731E4A" w14:textId="77777777" w:rsidR="00D3356D" w:rsidRPr="00446153" w:rsidRDefault="00D3356D" w:rsidP="00D77E03">
            <w:pPr>
              <w:overflowPunct w:val="0"/>
              <w:autoSpaceDE w:val="0"/>
              <w:autoSpaceDN w:val="0"/>
              <w:adjustRightInd w:val="0"/>
              <w:spacing w:line="240" w:lineRule="auto"/>
              <w:jc w:val="both"/>
              <w:textAlignment w:val="baseline"/>
              <w:rPr>
                <w:szCs w:val="22"/>
              </w:rPr>
            </w:pPr>
          </w:p>
          <w:p w14:paraId="5C5DE0D6" w14:textId="77777777" w:rsidR="00D3356D" w:rsidRPr="0093305C" w:rsidRDefault="00D3356D" w:rsidP="00D77E03">
            <w:pPr>
              <w:overflowPunct w:val="0"/>
              <w:autoSpaceDE w:val="0"/>
              <w:autoSpaceDN w:val="0"/>
              <w:adjustRightInd w:val="0"/>
              <w:spacing w:line="240" w:lineRule="auto"/>
              <w:jc w:val="both"/>
              <w:textAlignment w:val="baseline"/>
              <w:rPr>
                <w:szCs w:val="22"/>
              </w:rPr>
            </w:pPr>
          </w:p>
          <w:p w14:paraId="18875793" w14:textId="77777777" w:rsidR="00D3356D" w:rsidRPr="0093305C" w:rsidRDefault="00D3356D" w:rsidP="00D77E03">
            <w:pPr>
              <w:overflowPunct w:val="0"/>
              <w:autoSpaceDE w:val="0"/>
              <w:autoSpaceDN w:val="0"/>
              <w:adjustRightInd w:val="0"/>
              <w:spacing w:line="240" w:lineRule="auto"/>
              <w:jc w:val="both"/>
              <w:textAlignment w:val="baseline"/>
              <w:rPr>
                <w:szCs w:val="22"/>
              </w:rPr>
            </w:pPr>
            <w:r w:rsidRPr="0093305C">
              <w:rPr>
                <w:szCs w:val="22"/>
              </w:rPr>
              <w:t>Često</w:t>
            </w:r>
          </w:p>
        </w:tc>
        <w:tc>
          <w:tcPr>
            <w:tcW w:w="1313" w:type="dxa"/>
          </w:tcPr>
          <w:p w14:paraId="1B37501C" w14:textId="77777777" w:rsidR="00D3356D" w:rsidRPr="0093305C" w:rsidRDefault="00D3356D" w:rsidP="00D77E03">
            <w:pPr>
              <w:overflowPunct w:val="0"/>
              <w:autoSpaceDE w:val="0"/>
              <w:autoSpaceDN w:val="0"/>
              <w:adjustRightInd w:val="0"/>
              <w:spacing w:line="240" w:lineRule="auto"/>
              <w:jc w:val="both"/>
              <w:textAlignment w:val="baseline"/>
              <w:rPr>
                <w:szCs w:val="22"/>
              </w:rPr>
            </w:pPr>
          </w:p>
          <w:p w14:paraId="3409145F" w14:textId="77777777" w:rsidR="00D3356D" w:rsidRPr="0093305C" w:rsidRDefault="00D3356D" w:rsidP="00D77E03">
            <w:pPr>
              <w:overflowPunct w:val="0"/>
              <w:autoSpaceDE w:val="0"/>
              <w:autoSpaceDN w:val="0"/>
              <w:adjustRightInd w:val="0"/>
              <w:spacing w:line="240" w:lineRule="auto"/>
              <w:jc w:val="both"/>
              <w:textAlignment w:val="baseline"/>
              <w:rPr>
                <w:szCs w:val="22"/>
              </w:rPr>
            </w:pPr>
          </w:p>
          <w:p w14:paraId="5B5F3DF4" w14:textId="3BF98467" w:rsidR="00D3356D" w:rsidRPr="0093305C" w:rsidRDefault="00D3356D" w:rsidP="00D77E03">
            <w:pPr>
              <w:overflowPunct w:val="0"/>
              <w:autoSpaceDE w:val="0"/>
              <w:autoSpaceDN w:val="0"/>
              <w:adjustRightInd w:val="0"/>
              <w:spacing w:line="240" w:lineRule="auto"/>
              <w:jc w:val="both"/>
              <w:textAlignment w:val="baseline"/>
              <w:rPr>
                <w:szCs w:val="22"/>
              </w:rPr>
            </w:pPr>
            <w:r w:rsidRPr="0093305C">
              <w:rPr>
                <w:szCs w:val="22"/>
              </w:rPr>
              <w:t>1,</w:t>
            </w:r>
            <w:r w:rsidR="00C43CA2" w:rsidRPr="0093305C">
              <w:rPr>
                <w:szCs w:val="22"/>
              </w:rPr>
              <w:t>9</w:t>
            </w:r>
          </w:p>
        </w:tc>
        <w:tc>
          <w:tcPr>
            <w:tcW w:w="1313" w:type="dxa"/>
          </w:tcPr>
          <w:p w14:paraId="6FD89161" w14:textId="77777777" w:rsidR="00D3356D" w:rsidRPr="0093305C" w:rsidRDefault="00D3356D" w:rsidP="00D77E03">
            <w:pPr>
              <w:overflowPunct w:val="0"/>
              <w:autoSpaceDE w:val="0"/>
              <w:autoSpaceDN w:val="0"/>
              <w:adjustRightInd w:val="0"/>
              <w:spacing w:line="240" w:lineRule="auto"/>
              <w:jc w:val="both"/>
              <w:textAlignment w:val="baseline"/>
              <w:rPr>
                <w:szCs w:val="22"/>
              </w:rPr>
            </w:pPr>
          </w:p>
          <w:p w14:paraId="624E2AFA" w14:textId="77777777" w:rsidR="00D3356D" w:rsidRPr="0093305C" w:rsidRDefault="00D3356D" w:rsidP="00D77E03">
            <w:pPr>
              <w:overflowPunct w:val="0"/>
              <w:autoSpaceDE w:val="0"/>
              <w:autoSpaceDN w:val="0"/>
              <w:adjustRightInd w:val="0"/>
              <w:spacing w:line="240" w:lineRule="auto"/>
              <w:jc w:val="both"/>
              <w:textAlignment w:val="baseline"/>
              <w:rPr>
                <w:szCs w:val="22"/>
              </w:rPr>
            </w:pPr>
          </w:p>
          <w:p w14:paraId="6BD392A8" w14:textId="6E59316A" w:rsidR="00D3356D" w:rsidRPr="0093305C" w:rsidRDefault="00C43CA2" w:rsidP="00D77E03">
            <w:pPr>
              <w:overflowPunct w:val="0"/>
              <w:autoSpaceDE w:val="0"/>
              <w:autoSpaceDN w:val="0"/>
              <w:adjustRightInd w:val="0"/>
              <w:spacing w:line="240" w:lineRule="auto"/>
              <w:jc w:val="both"/>
              <w:textAlignment w:val="baseline"/>
              <w:rPr>
                <w:szCs w:val="22"/>
              </w:rPr>
            </w:pPr>
            <w:r w:rsidRPr="0093305C">
              <w:rPr>
                <w:szCs w:val="22"/>
              </w:rPr>
              <w:t>0,6</w:t>
            </w:r>
          </w:p>
        </w:tc>
      </w:tr>
      <w:tr w:rsidR="00DC4667" w:rsidRPr="003C7D36" w14:paraId="49C4A808" w14:textId="77777777" w:rsidTr="00456BE1">
        <w:tc>
          <w:tcPr>
            <w:tcW w:w="3888" w:type="dxa"/>
          </w:tcPr>
          <w:p w14:paraId="6B5078B6" w14:textId="77777777" w:rsidR="00151DDB" w:rsidRPr="00C0597B" w:rsidRDefault="00151DDB" w:rsidP="00D77E03">
            <w:pPr>
              <w:overflowPunct w:val="0"/>
              <w:autoSpaceDE w:val="0"/>
              <w:autoSpaceDN w:val="0"/>
              <w:adjustRightInd w:val="0"/>
              <w:spacing w:line="240" w:lineRule="auto"/>
              <w:jc w:val="both"/>
              <w:textAlignment w:val="baseline"/>
              <w:rPr>
                <w:szCs w:val="22"/>
              </w:rPr>
            </w:pPr>
            <w:r w:rsidRPr="00C0597B">
              <w:rPr>
                <w:szCs w:val="22"/>
              </w:rPr>
              <w:t>Gastrointestinalni poremećaji</w:t>
            </w:r>
          </w:p>
          <w:p w14:paraId="0933E0A5" w14:textId="4C7A3220" w:rsidR="00151DDB" w:rsidRPr="00822B86" w:rsidRDefault="00302184" w:rsidP="00D77E03">
            <w:pPr>
              <w:overflowPunct w:val="0"/>
              <w:autoSpaceDE w:val="0"/>
              <w:autoSpaceDN w:val="0"/>
              <w:adjustRightInd w:val="0"/>
              <w:spacing w:line="240" w:lineRule="auto"/>
              <w:ind w:left="180"/>
              <w:jc w:val="both"/>
              <w:textAlignment w:val="baseline"/>
              <w:rPr>
                <w:szCs w:val="22"/>
              </w:rPr>
            </w:pPr>
            <w:r w:rsidRPr="00822B86">
              <w:rPr>
                <w:szCs w:val="22"/>
              </w:rPr>
              <w:t>Dijareja</w:t>
            </w:r>
          </w:p>
          <w:p w14:paraId="263DDD9B" w14:textId="77777777" w:rsidR="00151DDB" w:rsidRPr="00446153" w:rsidRDefault="00151DDB" w:rsidP="00D77E03">
            <w:pPr>
              <w:overflowPunct w:val="0"/>
              <w:autoSpaceDE w:val="0"/>
              <w:autoSpaceDN w:val="0"/>
              <w:adjustRightInd w:val="0"/>
              <w:spacing w:line="240" w:lineRule="auto"/>
              <w:ind w:left="180"/>
              <w:jc w:val="both"/>
              <w:textAlignment w:val="baseline"/>
              <w:rPr>
                <w:szCs w:val="22"/>
              </w:rPr>
            </w:pPr>
            <w:r w:rsidRPr="00446153">
              <w:rPr>
                <w:szCs w:val="22"/>
              </w:rPr>
              <w:t>Mučnina</w:t>
            </w:r>
          </w:p>
          <w:p w14:paraId="2E6B379C" w14:textId="06E1C760" w:rsidR="00151DDB" w:rsidRPr="0093305C" w:rsidRDefault="00302184" w:rsidP="00D77E03">
            <w:pPr>
              <w:overflowPunct w:val="0"/>
              <w:autoSpaceDE w:val="0"/>
              <w:autoSpaceDN w:val="0"/>
              <w:adjustRightInd w:val="0"/>
              <w:spacing w:line="240" w:lineRule="auto"/>
              <w:ind w:left="180"/>
              <w:jc w:val="both"/>
              <w:textAlignment w:val="baseline"/>
              <w:rPr>
                <w:szCs w:val="22"/>
              </w:rPr>
            </w:pPr>
            <w:r w:rsidRPr="0093305C">
              <w:rPr>
                <w:szCs w:val="22"/>
              </w:rPr>
              <w:t>Konstipacija</w:t>
            </w:r>
          </w:p>
        </w:tc>
        <w:tc>
          <w:tcPr>
            <w:tcW w:w="2618" w:type="dxa"/>
          </w:tcPr>
          <w:p w14:paraId="62412D44" w14:textId="77777777" w:rsidR="00151DDB" w:rsidRPr="0093305C" w:rsidRDefault="00151DDB" w:rsidP="00D77E03">
            <w:pPr>
              <w:overflowPunct w:val="0"/>
              <w:autoSpaceDE w:val="0"/>
              <w:autoSpaceDN w:val="0"/>
              <w:adjustRightInd w:val="0"/>
              <w:spacing w:line="240" w:lineRule="auto"/>
              <w:jc w:val="both"/>
              <w:textAlignment w:val="baseline"/>
              <w:rPr>
                <w:szCs w:val="22"/>
              </w:rPr>
            </w:pPr>
          </w:p>
          <w:p w14:paraId="7972827C" w14:textId="77777777" w:rsidR="00151DDB" w:rsidRPr="0093305C" w:rsidRDefault="00151DDB" w:rsidP="00D77E03">
            <w:pPr>
              <w:overflowPunct w:val="0"/>
              <w:autoSpaceDE w:val="0"/>
              <w:autoSpaceDN w:val="0"/>
              <w:adjustRightInd w:val="0"/>
              <w:spacing w:line="240" w:lineRule="auto"/>
              <w:jc w:val="both"/>
              <w:textAlignment w:val="baseline"/>
              <w:rPr>
                <w:szCs w:val="22"/>
              </w:rPr>
            </w:pPr>
            <w:r w:rsidRPr="0093305C">
              <w:rPr>
                <w:szCs w:val="22"/>
              </w:rPr>
              <w:t>Veoma često</w:t>
            </w:r>
          </w:p>
          <w:p w14:paraId="3904C7C2" w14:textId="77777777" w:rsidR="00151DDB" w:rsidRPr="0093305C" w:rsidRDefault="00151DDB" w:rsidP="00D77E03">
            <w:pPr>
              <w:overflowPunct w:val="0"/>
              <w:autoSpaceDE w:val="0"/>
              <w:autoSpaceDN w:val="0"/>
              <w:adjustRightInd w:val="0"/>
              <w:spacing w:line="240" w:lineRule="auto"/>
              <w:jc w:val="both"/>
              <w:textAlignment w:val="baseline"/>
              <w:rPr>
                <w:szCs w:val="22"/>
              </w:rPr>
            </w:pPr>
            <w:r w:rsidRPr="0093305C">
              <w:rPr>
                <w:szCs w:val="22"/>
              </w:rPr>
              <w:t>Veoma često</w:t>
            </w:r>
          </w:p>
          <w:p w14:paraId="077028EF" w14:textId="77777777" w:rsidR="00151DDB" w:rsidRPr="0093305C" w:rsidRDefault="00151DDB" w:rsidP="00D77E03">
            <w:pPr>
              <w:overflowPunct w:val="0"/>
              <w:autoSpaceDE w:val="0"/>
              <w:autoSpaceDN w:val="0"/>
              <w:adjustRightInd w:val="0"/>
              <w:spacing w:line="240" w:lineRule="auto"/>
              <w:jc w:val="both"/>
              <w:textAlignment w:val="baseline"/>
              <w:rPr>
                <w:szCs w:val="22"/>
              </w:rPr>
            </w:pPr>
            <w:r w:rsidRPr="0093305C">
              <w:rPr>
                <w:szCs w:val="22"/>
              </w:rPr>
              <w:t xml:space="preserve">Veoma često </w:t>
            </w:r>
          </w:p>
        </w:tc>
        <w:tc>
          <w:tcPr>
            <w:tcW w:w="1313" w:type="dxa"/>
          </w:tcPr>
          <w:p w14:paraId="74DF08ED" w14:textId="77777777" w:rsidR="00151DDB" w:rsidRPr="0093305C" w:rsidRDefault="00151DDB" w:rsidP="00D77E03">
            <w:pPr>
              <w:overflowPunct w:val="0"/>
              <w:autoSpaceDE w:val="0"/>
              <w:autoSpaceDN w:val="0"/>
              <w:adjustRightInd w:val="0"/>
              <w:spacing w:line="240" w:lineRule="auto"/>
              <w:jc w:val="both"/>
              <w:textAlignment w:val="baseline"/>
              <w:rPr>
                <w:szCs w:val="22"/>
              </w:rPr>
            </w:pPr>
          </w:p>
          <w:p w14:paraId="2B665D77" w14:textId="6EC9B314" w:rsidR="00151DDB" w:rsidRPr="0093305C" w:rsidRDefault="00151DDB" w:rsidP="00D77E03">
            <w:pPr>
              <w:overflowPunct w:val="0"/>
              <w:autoSpaceDE w:val="0"/>
              <w:autoSpaceDN w:val="0"/>
              <w:adjustRightInd w:val="0"/>
              <w:spacing w:line="240" w:lineRule="auto"/>
              <w:jc w:val="both"/>
              <w:textAlignment w:val="baseline"/>
              <w:rPr>
                <w:szCs w:val="22"/>
              </w:rPr>
            </w:pPr>
            <w:r w:rsidRPr="0093305C">
              <w:rPr>
                <w:szCs w:val="22"/>
              </w:rPr>
              <w:t>22,</w:t>
            </w:r>
            <w:r w:rsidR="00A60CBF" w:rsidRPr="0093305C">
              <w:rPr>
                <w:szCs w:val="22"/>
              </w:rPr>
              <w:t>9</w:t>
            </w:r>
          </w:p>
          <w:p w14:paraId="111C7154" w14:textId="4AE804F8" w:rsidR="00151DDB" w:rsidRPr="0093305C" w:rsidRDefault="00A60CBF" w:rsidP="00D77E03">
            <w:pPr>
              <w:overflowPunct w:val="0"/>
              <w:autoSpaceDE w:val="0"/>
              <w:autoSpaceDN w:val="0"/>
              <w:adjustRightInd w:val="0"/>
              <w:spacing w:line="240" w:lineRule="auto"/>
              <w:jc w:val="both"/>
              <w:textAlignment w:val="baseline"/>
              <w:rPr>
                <w:szCs w:val="22"/>
              </w:rPr>
            </w:pPr>
            <w:r w:rsidRPr="0093305C">
              <w:rPr>
                <w:szCs w:val="22"/>
              </w:rPr>
              <w:t>17,6</w:t>
            </w:r>
          </w:p>
          <w:p w14:paraId="0B3467DB" w14:textId="42137DED" w:rsidR="00151DDB" w:rsidRPr="0093305C" w:rsidDel="007E3FE4" w:rsidRDefault="00A60CBF" w:rsidP="00D77E03">
            <w:pPr>
              <w:overflowPunct w:val="0"/>
              <w:autoSpaceDE w:val="0"/>
              <w:autoSpaceDN w:val="0"/>
              <w:adjustRightInd w:val="0"/>
              <w:spacing w:line="240" w:lineRule="auto"/>
              <w:jc w:val="both"/>
              <w:textAlignment w:val="baseline"/>
              <w:rPr>
                <w:szCs w:val="22"/>
              </w:rPr>
            </w:pPr>
            <w:r w:rsidRPr="0093305C">
              <w:rPr>
                <w:szCs w:val="22"/>
              </w:rPr>
              <w:t>17,4</w:t>
            </w:r>
          </w:p>
        </w:tc>
        <w:tc>
          <w:tcPr>
            <w:tcW w:w="1313" w:type="dxa"/>
          </w:tcPr>
          <w:p w14:paraId="7480E2D8" w14:textId="77777777" w:rsidR="00151DDB" w:rsidRPr="0093305C" w:rsidRDefault="00151DDB" w:rsidP="00D77E03">
            <w:pPr>
              <w:overflowPunct w:val="0"/>
              <w:autoSpaceDE w:val="0"/>
              <w:autoSpaceDN w:val="0"/>
              <w:adjustRightInd w:val="0"/>
              <w:spacing w:line="240" w:lineRule="auto"/>
              <w:jc w:val="both"/>
              <w:textAlignment w:val="baseline"/>
              <w:rPr>
                <w:szCs w:val="22"/>
              </w:rPr>
            </w:pPr>
          </w:p>
          <w:p w14:paraId="0F8B71B5" w14:textId="00D2D327" w:rsidR="00151DDB" w:rsidRPr="0093305C" w:rsidRDefault="00151DDB" w:rsidP="00D77E03">
            <w:pPr>
              <w:overflowPunct w:val="0"/>
              <w:autoSpaceDE w:val="0"/>
              <w:autoSpaceDN w:val="0"/>
              <w:adjustRightInd w:val="0"/>
              <w:spacing w:line="240" w:lineRule="auto"/>
              <w:jc w:val="both"/>
              <w:textAlignment w:val="baseline"/>
              <w:rPr>
                <w:szCs w:val="22"/>
              </w:rPr>
            </w:pPr>
            <w:r w:rsidRPr="0093305C">
              <w:rPr>
                <w:szCs w:val="22"/>
              </w:rPr>
              <w:t>1,</w:t>
            </w:r>
            <w:r w:rsidR="00A60CBF" w:rsidRPr="0093305C">
              <w:rPr>
                <w:szCs w:val="22"/>
              </w:rPr>
              <w:t>5</w:t>
            </w:r>
          </w:p>
          <w:p w14:paraId="7395DC55" w14:textId="32FB41C8" w:rsidR="00151DDB" w:rsidRPr="0093305C" w:rsidRDefault="00151DDB" w:rsidP="00D77E03">
            <w:pPr>
              <w:overflowPunct w:val="0"/>
              <w:autoSpaceDE w:val="0"/>
              <w:autoSpaceDN w:val="0"/>
              <w:adjustRightInd w:val="0"/>
              <w:spacing w:line="240" w:lineRule="auto"/>
              <w:jc w:val="both"/>
              <w:textAlignment w:val="baseline"/>
              <w:rPr>
                <w:szCs w:val="22"/>
              </w:rPr>
            </w:pPr>
            <w:r w:rsidRPr="0093305C">
              <w:rPr>
                <w:szCs w:val="22"/>
              </w:rPr>
              <w:t>0,</w:t>
            </w:r>
            <w:r w:rsidR="00A60CBF" w:rsidRPr="0093305C">
              <w:rPr>
                <w:szCs w:val="22"/>
              </w:rPr>
              <w:t>6</w:t>
            </w:r>
          </w:p>
          <w:p w14:paraId="57328FD4" w14:textId="239E71FF" w:rsidR="00151DDB" w:rsidRPr="0093305C" w:rsidDel="007E3FE4" w:rsidRDefault="00151DDB" w:rsidP="00D77E03">
            <w:pPr>
              <w:overflowPunct w:val="0"/>
              <w:autoSpaceDE w:val="0"/>
              <w:autoSpaceDN w:val="0"/>
              <w:adjustRightInd w:val="0"/>
              <w:spacing w:line="240" w:lineRule="auto"/>
              <w:jc w:val="both"/>
              <w:textAlignment w:val="baseline"/>
              <w:rPr>
                <w:szCs w:val="22"/>
              </w:rPr>
            </w:pPr>
            <w:r w:rsidRPr="0093305C">
              <w:rPr>
                <w:szCs w:val="22"/>
              </w:rPr>
              <w:t>0</w:t>
            </w:r>
            <w:r w:rsidR="00A60CBF" w:rsidRPr="0093305C">
              <w:rPr>
                <w:szCs w:val="22"/>
              </w:rPr>
              <w:t>,2</w:t>
            </w:r>
          </w:p>
        </w:tc>
      </w:tr>
      <w:tr w:rsidR="00DC4667" w:rsidRPr="003C7D36" w14:paraId="39C76B39" w14:textId="77777777" w:rsidTr="00456BE1">
        <w:tc>
          <w:tcPr>
            <w:tcW w:w="3888" w:type="dxa"/>
          </w:tcPr>
          <w:p w14:paraId="186F29F4" w14:textId="77777777" w:rsidR="00D3356D" w:rsidRPr="00C0597B" w:rsidRDefault="00D3356D" w:rsidP="00D77E03">
            <w:pPr>
              <w:overflowPunct w:val="0"/>
              <w:autoSpaceDE w:val="0"/>
              <w:autoSpaceDN w:val="0"/>
              <w:adjustRightInd w:val="0"/>
              <w:spacing w:line="240" w:lineRule="auto"/>
              <w:jc w:val="both"/>
              <w:textAlignment w:val="baseline"/>
              <w:rPr>
                <w:szCs w:val="22"/>
              </w:rPr>
            </w:pPr>
            <w:r w:rsidRPr="00C0597B">
              <w:rPr>
                <w:szCs w:val="22"/>
              </w:rPr>
              <w:t>Poremećaji kože i potkožnog tkiva</w:t>
            </w:r>
          </w:p>
          <w:p w14:paraId="7BA93075" w14:textId="77777777" w:rsidR="00D3356D" w:rsidRPr="00446153" w:rsidRDefault="00D3356D" w:rsidP="00D77E03">
            <w:pPr>
              <w:overflowPunct w:val="0"/>
              <w:autoSpaceDE w:val="0"/>
              <w:autoSpaceDN w:val="0"/>
              <w:adjustRightInd w:val="0"/>
              <w:spacing w:line="240" w:lineRule="auto"/>
              <w:ind w:left="180"/>
              <w:jc w:val="both"/>
              <w:textAlignment w:val="baseline"/>
              <w:rPr>
                <w:szCs w:val="22"/>
              </w:rPr>
            </w:pPr>
            <w:r w:rsidRPr="00822B86">
              <w:rPr>
                <w:szCs w:val="22"/>
              </w:rPr>
              <w:t>Osip</w:t>
            </w:r>
            <w:r w:rsidRPr="00822B86">
              <w:rPr>
                <w:szCs w:val="22"/>
                <w:vertAlign w:val="superscript"/>
              </w:rPr>
              <w:t>j</w:t>
            </w:r>
            <w:r w:rsidRPr="00822B86">
              <w:rPr>
                <w:szCs w:val="22"/>
              </w:rPr>
              <w:t xml:space="preserve"> </w:t>
            </w:r>
          </w:p>
        </w:tc>
        <w:tc>
          <w:tcPr>
            <w:tcW w:w="2618" w:type="dxa"/>
          </w:tcPr>
          <w:p w14:paraId="24B4E8E6" w14:textId="77777777" w:rsidR="00D3356D" w:rsidRPr="0093305C" w:rsidRDefault="00D3356D" w:rsidP="00D77E03">
            <w:pPr>
              <w:overflowPunct w:val="0"/>
              <w:autoSpaceDE w:val="0"/>
              <w:autoSpaceDN w:val="0"/>
              <w:adjustRightInd w:val="0"/>
              <w:spacing w:line="240" w:lineRule="auto"/>
              <w:jc w:val="both"/>
              <w:textAlignment w:val="baseline"/>
              <w:rPr>
                <w:szCs w:val="22"/>
              </w:rPr>
            </w:pPr>
          </w:p>
          <w:p w14:paraId="4B5784B7" w14:textId="77777777" w:rsidR="00D3356D" w:rsidRPr="0093305C" w:rsidRDefault="00D3356D" w:rsidP="00D77E03">
            <w:pPr>
              <w:overflowPunct w:val="0"/>
              <w:autoSpaceDE w:val="0"/>
              <w:autoSpaceDN w:val="0"/>
              <w:adjustRightInd w:val="0"/>
              <w:spacing w:line="240" w:lineRule="auto"/>
              <w:jc w:val="both"/>
              <w:textAlignment w:val="baseline"/>
              <w:rPr>
                <w:szCs w:val="22"/>
              </w:rPr>
            </w:pPr>
            <w:r w:rsidRPr="0093305C">
              <w:rPr>
                <w:szCs w:val="22"/>
              </w:rPr>
              <w:t>Veoma često</w:t>
            </w:r>
          </w:p>
        </w:tc>
        <w:tc>
          <w:tcPr>
            <w:tcW w:w="1313" w:type="dxa"/>
          </w:tcPr>
          <w:p w14:paraId="778B2D0E" w14:textId="77777777" w:rsidR="00D3356D" w:rsidRPr="0093305C" w:rsidRDefault="00D3356D" w:rsidP="00D77E03">
            <w:pPr>
              <w:overflowPunct w:val="0"/>
              <w:autoSpaceDE w:val="0"/>
              <w:autoSpaceDN w:val="0"/>
              <w:adjustRightInd w:val="0"/>
              <w:spacing w:line="240" w:lineRule="auto"/>
              <w:jc w:val="both"/>
              <w:textAlignment w:val="baseline"/>
              <w:rPr>
                <w:szCs w:val="22"/>
              </w:rPr>
            </w:pPr>
          </w:p>
          <w:p w14:paraId="314C645A" w14:textId="6C175B7D" w:rsidR="00D3356D" w:rsidRPr="0093305C" w:rsidRDefault="00D3356D" w:rsidP="00D77E03">
            <w:pPr>
              <w:overflowPunct w:val="0"/>
              <w:autoSpaceDE w:val="0"/>
              <w:autoSpaceDN w:val="0"/>
              <w:adjustRightInd w:val="0"/>
              <w:spacing w:line="240" w:lineRule="auto"/>
              <w:jc w:val="both"/>
              <w:textAlignment w:val="baseline"/>
              <w:rPr>
                <w:szCs w:val="22"/>
              </w:rPr>
            </w:pPr>
            <w:r w:rsidRPr="0093305C">
              <w:rPr>
                <w:szCs w:val="22"/>
              </w:rPr>
              <w:t>1</w:t>
            </w:r>
            <w:r w:rsidR="003732CD" w:rsidRPr="0093305C">
              <w:rPr>
                <w:szCs w:val="22"/>
              </w:rPr>
              <w:t>3,7</w:t>
            </w:r>
          </w:p>
        </w:tc>
        <w:tc>
          <w:tcPr>
            <w:tcW w:w="1313" w:type="dxa"/>
          </w:tcPr>
          <w:p w14:paraId="5AB2AAAF" w14:textId="77777777" w:rsidR="00D3356D" w:rsidRPr="0093305C" w:rsidRDefault="00D3356D" w:rsidP="00D77E03">
            <w:pPr>
              <w:overflowPunct w:val="0"/>
              <w:autoSpaceDE w:val="0"/>
              <w:autoSpaceDN w:val="0"/>
              <w:adjustRightInd w:val="0"/>
              <w:spacing w:line="240" w:lineRule="auto"/>
              <w:jc w:val="both"/>
              <w:textAlignment w:val="baseline"/>
              <w:rPr>
                <w:szCs w:val="22"/>
              </w:rPr>
            </w:pPr>
          </w:p>
          <w:p w14:paraId="134ADB30" w14:textId="571DBAD7" w:rsidR="00D3356D" w:rsidRPr="0093305C" w:rsidRDefault="00D3356D" w:rsidP="00D77E03">
            <w:pPr>
              <w:overflowPunct w:val="0"/>
              <w:autoSpaceDE w:val="0"/>
              <w:autoSpaceDN w:val="0"/>
              <w:adjustRightInd w:val="0"/>
              <w:spacing w:line="240" w:lineRule="auto"/>
              <w:jc w:val="both"/>
              <w:textAlignment w:val="baseline"/>
              <w:rPr>
                <w:szCs w:val="22"/>
              </w:rPr>
            </w:pPr>
            <w:r w:rsidRPr="0093305C">
              <w:rPr>
                <w:szCs w:val="22"/>
              </w:rPr>
              <w:t>0,</w:t>
            </w:r>
            <w:r w:rsidR="003732CD" w:rsidRPr="0093305C">
              <w:rPr>
                <w:szCs w:val="22"/>
              </w:rPr>
              <w:t>2</w:t>
            </w:r>
          </w:p>
        </w:tc>
      </w:tr>
      <w:tr w:rsidR="001549D4" w:rsidRPr="003C7D36" w14:paraId="4C4027CE" w14:textId="77777777" w:rsidTr="00ED29DB">
        <w:tc>
          <w:tcPr>
            <w:tcW w:w="3888" w:type="dxa"/>
          </w:tcPr>
          <w:p w14:paraId="365B1C69" w14:textId="77777777" w:rsidR="001549D4" w:rsidRPr="00C0597B" w:rsidRDefault="001549D4" w:rsidP="00ED29DB">
            <w:pPr>
              <w:overflowPunct w:val="0"/>
              <w:autoSpaceDE w:val="0"/>
              <w:autoSpaceDN w:val="0"/>
              <w:adjustRightInd w:val="0"/>
              <w:spacing w:line="240" w:lineRule="auto"/>
              <w:textAlignment w:val="baseline"/>
              <w:rPr>
                <w:rStyle w:val="rynqvb"/>
                <w:szCs w:val="22"/>
                <w:lang w:val="hr-HR"/>
              </w:rPr>
            </w:pPr>
            <w:r w:rsidRPr="00C0597B">
              <w:rPr>
                <w:rStyle w:val="rynqvb"/>
                <w:szCs w:val="22"/>
                <w:lang w:val="hr-HR"/>
              </w:rPr>
              <w:t>Poremećaji bubrega i mokraćnog sistema</w:t>
            </w:r>
          </w:p>
          <w:p w14:paraId="290FA2E5" w14:textId="21B818BF" w:rsidR="001549D4" w:rsidRPr="00822B86" w:rsidRDefault="001549D4" w:rsidP="00ED29DB">
            <w:pPr>
              <w:overflowPunct w:val="0"/>
              <w:autoSpaceDE w:val="0"/>
              <w:autoSpaceDN w:val="0"/>
              <w:adjustRightInd w:val="0"/>
              <w:spacing w:line="240" w:lineRule="auto"/>
              <w:textAlignment w:val="baseline"/>
              <w:rPr>
                <w:szCs w:val="22"/>
              </w:rPr>
            </w:pPr>
            <w:r w:rsidRPr="00822B86">
              <w:rPr>
                <w:rStyle w:val="rynqvb"/>
                <w:szCs w:val="22"/>
                <w:lang w:val="hr-HR"/>
              </w:rPr>
              <w:t>Proteinurija</w:t>
            </w:r>
          </w:p>
        </w:tc>
        <w:tc>
          <w:tcPr>
            <w:tcW w:w="2618" w:type="dxa"/>
          </w:tcPr>
          <w:p w14:paraId="57E8E6E8" w14:textId="77777777" w:rsidR="001549D4" w:rsidRPr="00446153" w:rsidRDefault="001549D4" w:rsidP="00ED29DB">
            <w:pPr>
              <w:overflowPunct w:val="0"/>
              <w:autoSpaceDE w:val="0"/>
              <w:autoSpaceDN w:val="0"/>
              <w:adjustRightInd w:val="0"/>
              <w:spacing w:line="240" w:lineRule="auto"/>
              <w:jc w:val="center"/>
              <w:textAlignment w:val="baseline"/>
              <w:rPr>
                <w:szCs w:val="22"/>
              </w:rPr>
            </w:pPr>
          </w:p>
          <w:p w14:paraId="1CEF4992" w14:textId="712BA024" w:rsidR="001549D4" w:rsidRPr="0093305C" w:rsidRDefault="001549D4" w:rsidP="00DA394F">
            <w:pPr>
              <w:overflowPunct w:val="0"/>
              <w:autoSpaceDE w:val="0"/>
              <w:autoSpaceDN w:val="0"/>
              <w:adjustRightInd w:val="0"/>
              <w:spacing w:line="240" w:lineRule="auto"/>
              <w:textAlignment w:val="baseline"/>
              <w:rPr>
                <w:szCs w:val="22"/>
              </w:rPr>
            </w:pPr>
            <w:r w:rsidRPr="0093305C">
              <w:rPr>
                <w:szCs w:val="22"/>
              </w:rPr>
              <w:t>Često</w:t>
            </w:r>
          </w:p>
        </w:tc>
        <w:tc>
          <w:tcPr>
            <w:tcW w:w="1313" w:type="dxa"/>
          </w:tcPr>
          <w:p w14:paraId="22E6201C" w14:textId="77777777" w:rsidR="001549D4" w:rsidRPr="0093305C" w:rsidRDefault="001549D4" w:rsidP="00DA394F">
            <w:pPr>
              <w:overflowPunct w:val="0"/>
              <w:autoSpaceDE w:val="0"/>
              <w:autoSpaceDN w:val="0"/>
              <w:adjustRightInd w:val="0"/>
              <w:spacing w:line="240" w:lineRule="auto"/>
              <w:textAlignment w:val="baseline"/>
              <w:rPr>
                <w:szCs w:val="22"/>
              </w:rPr>
            </w:pPr>
          </w:p>
          <w:p w14:paraId="716AA33E" w14:textId="19BE01CF" w:rsidR="001549D4" w:rsidRPr="0093305C" w:rsidRDefault="001549D4" w:rsidP="00DA394F">
            <w:pPr>
              <w:overflowPunct w:val="0"/>
              <w:autoSpaceDE w:val="0"/>
              <w:autoSpaceDN w:val="0"/>
              <w:adjustRightInd w:val="0"/>
              <w:spacing w:line="240" w:lineRule="auto"/>
              <w:textAlignment w:val="baseline"/>
              <w:rPr>
                <w:szCs w:val="22"/>
              </w:rPr>
            </w:pPr>
            <w:r w:rsidRPr="0093305C">
              <w:rPr>
                <w:szCs w:val="22"/>
              </w:rPr>
              <w:t xml:space="preserve">3,4 </w:t>
            </w:r>
          </w:p>
        </w:tc>
        <w:tc>
          <w:tcPr>
            <w:tcW w:w="1313" w:type="dxa"/>
          </w:tcPr>
          <w:p w14:paraId="23056FE5" w14:textId="77777777" w:rsidR="001549D4" w:rsidRPr="0093305C" w:rsidRDefault="001549D4" w:rsidP="00DA394F">
            <w:pPr>
              <w:overflowPunct w:val="0"/>
              <w:autoSpaceDE w:val="0"/>
              <w:autoSpaceDN w:val="0"/>
              <w:adjustRightInd w:val="0"/>
              <w:spacing w:line="240" w:lineRule="auto"/>
              <w:textAlignment w:val="baseline"/>
              <w:rPr>
                <w:szCs w:val="22"/>
              </w:rPr>
            </w:pPr>
          </w:p>
          <w:p w14:paraId="22A26D19" w14:textId="6C6A3954" w:rsidR="001549D4" w:rsidRPr="0093305C" w:rsidRDefault="001549D4" w:rsidP="00DA394F">
            <w:pPr>
              <w:overflowPunct w:val="0"/>
              <w:autoSpaceDE w:val="0"/>
              <w:autoSpaceDN w:val="0"/>
              <w:adjustRightInd w:val="0"/>
              <w:spacing w:line="240" w:lineRule="auto"/>
              <w:textAlignment w:val="baseline"/>
              <w:rPr>
                <w:szCs w:val="22"/>
              </w:rPr>
            </w:pPr>
            <w:r w:rsidRPr="0093305C">
              <w:rPr>
                <w:szCs w:val="22"/>
              </w:rPr>
              <w:t xml:space="preserve">0,4 </w:t>
            </w:r>
          </w:p>
        </w:tc>
      </w:tr>
      <w:tr w:rsidR="00DC4667" w:rsidRPr="003C7D36" w14:paraId="3571F12A" w14:textId="77777777" w:rsidTr="00456BE1">
        <w:tc>
          <w:tcPr>
            <w:tcW w:w="3888" w:type="dxa"/>
          </w:tcPr>
          <w:p w14:paraId="326938AF" w14:textId="77777777" w:rsidR="00151DDB" w:rsidRPr="00C0597B" w:rsidRDefault="00151DDB" w:rsidP="00D77E03">
            <w:pPr>
              <w:overflowPunct w:val="0"/>
              <w:autoSpaceDE w:val="0"/>
              <w:autoSpaceDN w:val="0"/>
              <w:adjustRightInd w:val="0"/>
              <w:spacing w:line="240" w:lineRule="auto"/>
              <w:jc w:val="both"/>
              <w:textAlignment w:val="baseline"/>
              <w:rPr>
                <w:szCs w:val="22"/>
              </w:rPr>
            </w:pPr>
            <w:r w:rsidRPr="00C0597B">
              <w:rPr>
                <w:szCs w:val="22"/>
              </w:rPr>
              <w:t>Poremećaji mišićno-koštanog sistema i vezivnog tkiva</w:t>
            </w:r>
          </w:p>
          <w:p w14:paraId="09B05649" w14:textId="77777777" w:rsidR="00151DDB" w:rsidRPr="00822B86" w:rsidRDefault="00151DDB" w:rsidP="00D77E03">
            <w:pPr>
              <w:overflowPunct w:val="0"/>
              <w:autoSpaceDE w:val="0"/>
              <w:autoSpaceDN w:val="0"/>
              <w:adjustRightInd w:val="0"/>
              <w:spacing w:line="240" w:lineRule="auto"/>
              <w:ind w:left="180"/>
              <w:jc w:val="both"/>
              <w:textAlignment w:val="baseline"/>
              <w:rPr>
                <w:szCs w:val="22"/>
              </w:rPr>
            </w:pPr>
            <w:r w:rsidRPr="00822B86">
              <w:rPr>
                <w:szCs w:val="22"/>
              </w:rPr>
              <w:t>Artralgija</w:t>
            </w:r>
          </w:p>
          <w:p w14:paraId="4CEAF7A6" w14:textId="77777777" w:rsidR="00151DDB" w:rsidRPr="00446153" w:rsidRDefault="00151DDB" w:rsidP="00D77E03">
            <w:pPr>
              <w:overflowPunct w:val="0"/>
              <w:autoSpaceDE w:val="0"/>
              <w:autoSpaceDN w:val="0"/>
              <w:adjustRightInd w:val="0"/>
              <w:spacing w:line="240" w:lineRule="auto"/>
              <w:ind w:left="180"/>
              <w:jc w:val="both"/>
              <w:textAlignment w:val="baseline"/>
              <w:rPr>
                <w:szCs w:val="22"/>
              </w:rPr>
            </w:pPr>
            <w:r w:rsidRPr="00446153">
              <w:rPr>
                <w:szCs w:val="22"/>
              </w:rPr>
              <w:t>Mijalgija</w:t>
            </w:r>
            <w:r w:rsidRPr="00446153">
              <w:rPr>
                <w:szCs w:val="22"/>
                <w:vertAlign w:val="superscript"/>
              </w:rPr>
              <w:t>k</w:t>
            </w:r>
            <w:r w:rsidRPr="00446153">
              <w:rPr>
                <w:szCs w:val="22"/>
              </w:rPr>
              <w:t xml:space="preserve"> </w:t>
            </w:r>
          </w:p>
        </w:tc>
        <w:tc>
          <w:tcPr>
            <w:tcW w:w="2618" w:type="dxa"/>
          </w:tcPr>
          <w:p w14:paraId="6D2B7FEE" w14:textId="77777777" w:rsidR="00151DDB" w:rsidRPr="0093305C" w:rsidRDefault="00151DDB" w:rsidP="00D77E03">
            <w:pPr>
              <w:overflowPunct w:val="0"/>
              <w:autoSpaceDE w:val="0"/>
              <w:autoSpaceDN w:val="0"/>
              <w:adjustRightInd w:val="0"/>
              <w:spacing w:line="240" w:lineRule="auto"/>
              <w:jc w:val="both"/>
              <w:textAlignment w:val="baseline"/>
              <w:rPr>
                <w:szCs w:val="22"/>
              </w:rPr>
            </w:pPr>
          </w:p>
          <w:p w14:paraId="38D7CB7E" w14:textId="77777777" w:rsidR="00151DDB" w:rsidRPr="0093305C" w:rsidRDefault="00151DDB" w:rsidP="00D77E03">
            <w:pPr>
              <w:overflowPunct w:val="0"/>
              <w:autoSpaceDE w:val="0"/>
              <w:autoSpaceDN w:val="0"/>
              <w:adjustRightInd w:val="0"/>
              <w:spacing w:line="240" w:lineRule="auto"/>
              <w:jc w:val="both"/>
              <w:textAlignment w:val="baseline"/>
              <w:rPr>
                <w:szCs w:val="22"/>
              </w:rPr>
            </w:pPr>
          </w:p>
          <w:p w14:paraId="49A66854" w14:textId="77777777" w:rsidR="00151DDB" w:rsidRPr="0093305C" w:rsidRDefault="00151DDB" w:rsidP="00D77E03">
            <w:pPr>
              <w:overflowPunct w:val="0"/>
              <w:autoSpaceDE w:val="0"/>
              <w:autoSpaceDN w:val="0"/>
              <w:adjustRightInd w:val="0"/>
              <w:spacing w:line="240" w:lineRule="auto"/>
              <w:jc w:val="both"/>
              <w:textAlignment w:val="baseline"/>
              <w:rPr>
                <w:szCs w:val="22"/>
              </w:rPr>
            </w:pPr>
            <w:r w:rsidRPr="0093305C">
              <w:rPr>
                <w:szCs w:val="22"/>
              </w:rPr>
              <w:t>Veoma često</w:t>
            </w:r>
          </w:p>
          <w:p w14:paraId="0FFD4A44" w14:textId="77777777" w:rsidR="00151DDB" w:rsidRPr="0093305C" w:rsidRDefault="00151DDB" w:rsidP="00D77E03">
            <w:pPr>
              <w:overflowPunct w:val="0"/>
              <w:autoSpaceDE w:val="0"/>
              <w:autoSpaceDN w:val="0"/>
              <w:adjustRightInd w:val="0"/>
              <w:spacing w:line="240" w:lineRule="auto"/>
              <w:jc w:val="both"/>
              <w:textAlignment w:val="baseline"/>
              <w:rPr>
                <w:szCs w:val="22"/>
              </w:rPr>
            </w:pPr>
            <w:r w:rsidRPr="0093305C">
              <w:rPr>
                <w:szCs w:val="22"/>
              </w:rPr>
              <w:t>Veoma često</w:t>
            </w:r>
          </w:p>
        </w:tc>
        <w:tc>
          <w:tcPr>
            <w:tcW w:w="1313" w:type="dxa"/>
          </w:tcPr>
          <w:p w14:paraId="0316CDD3" w14:textId="77777777" w:rsidR="00151DDB" w:rsidRPr="0093305C" w:rsidRDefault="00151DDB" w:rsidP="00D77E03">
            <w:pPr>
              <w:overflowPunct w:val="0"/>
              <w:autoSpaceDE w:val="0"/>
              <w:autoSpaceDN w:val="0"/>
              <w:adjustRightInd w:val="0"/>
              <w:spacing w:line="240" w:lineRule="auto"/>
              <w:jc w:val="both"/>
              <w:textAlignment w:val="baseline"/>
              <w:rPr>
                <w:szCs w:val="22"/>
              </w:rPr>
            </w:pPr>
          </w:p>
          <w:p w14:paraId="1CE2D732" w14:textId="77777777" w:rsidR="00151DDB" w:rsidRPr="0093305C" w:rsidRDefault="00151DDB" w:rsidP="00D77E03">
            <w:pPr>
              <w:overflowPunct w:val="0"/>
              <w:autoSpaceDE w:val="0"/>
              <w:autoSpaceDN w:val="0"/>
              <w:adjustRightInd w:val="0"/>
              <w:spacing w:line="240" w:lineRule="auto"/>
              <w:jc w:val="both"/>
              <w:textAlignment w:val="baseline"/>
              <w:rPr>
                <w:szCs w:val="22"/>
              </w:rPr>
            </w:pPr>
          </w:p>
          <w:p w14:paraId="45664DD7" w14:textId="4A0FC8F7" w:rsidR="00151DDB" w:rsidRPr="0093305C" w:rsidRDefault="00151DDB" w:rsidP="00D77E03">
            <w:pPr>
              <w:overflowPunct w:val="0"/>
              <w:autoSpaceDE w:val="0"/>
              <w:autoSpaceDN w:val="0"/>
              <w:adjustRightInd w:val="0"/>
              <w:spacing w:line="240" w:lineRule="auto"/>
              <w:jc w:val="both"/>
              <w:textAlignment w:val="baseline"/>
              <w:rPr>
                <w:szCs w:val="22"/>
              </w:rPr>
            </w:pPr>
            <w:r w:rsidRPr="0093305C">
              <w:rPr>
                <w:szCs w:val="22"/>
              </w:rPr>
              <w:t>2</w:t>
            </w:r>
            <w:r w:rsidR="00797B52" w:rsidRPr="0093305C">
              <w:rPr>
                <w:szCs w:val="22"/>
              </w:rPr>
              <w:t>3</w:t>
            </w:r>
            <w:r w:rsidRPr="0093305C">
              <w:rPr>
                <w:szCs w:val="22"/>
              </w:rPr>
              <w:t>,</w:t>
            </w:r>
            <w:r w:rsidR="00797B52" w:rsidRPr="0093305C">
              <w:rPr>
                <w:szCs w:val="22"/>
              </w:rPr>
              <w:t>5</w:t>
            </w:r>
          </w:p>
          <w:p w14:paraId="00C51630" w14:textId="77777777" w:rsidR="00151DDB" w:rsidRPr="0093305C" w:rsidDel="007E3FE4" w:rsidRDefault="00151DDB" w:rsidP="00D77E03">
            <w:pPr>
              <w:overflowPunct w:val="0"/>
              <w:autoSpaceDE w:val="0"/>
              <w:autoSpaceDN w:val="0"/>
              <w:adjustRightInd w:val="0"/>
              <w:spacing w:line="240" w:lineRule="auto"/>
              <w:jc w:val="both"/>
              <w:textAlignment w:val="baseline"/>
              <w:rPr>
                <w:szCs w:val="22"/>
              </w:rPr>
            </w:pPr>
            <w:r w:rsidRPr="0093305C">
              <w:rPr>
                <w:szCs w:val="22"/>
              </w:rPr>
              <w:t>19,3</w:t>
            </w:r>
          </w:p>
        </w:tc>
        <w:tc>
          <w:tcPr>
            <w:tcW w:w="1313" w:type="dxa"/>
          </w:tcPr>
          <w:p w14:paraId="23F0E430" w14:textId="77777777" w:rsidR="00151DDB" w:rsidRPr="0093305C" w:rsidRDefault="00151DDB" w:rsidP="00D77E03">
            <w:pPr>
              <w:overflowPunct w:val="0"/>
              <w:autoSpaceDE w:val="0"/>
              <w:autoSpaceDN w:val="0"/>
              <w:adjustRightInd w:val="0"/>
              <w:spacing w:line="240" w:lineRule="auto"/>
              <w:jc w:val="both"/>
              <w:textAlignment w:val="baseline"/>
              <w:rPr>
                <w:szCs w:val="22"/>
              </w:rPr>
            </w:pPr>
          </w:p>
          <w:p w14:paraId="6B6EDA7B" w14:textId="77777777" w:rsidR="00151DDB" w:rsidRPr="0093305C" w:rsidRDefault="00151DDB" w:rsidP="00D77E03">
            <w:pPr>
              <w:overflowPunct w:val="0"/>
              <w:autoSpaceDE w:val="0"/>
              <w:autoSpaceDN w:val="0"/>
              <w:adjustRightInd w:val="0"/>
              <w:spacing w:line="240" w:lineRule="auto"/>
              <w:jc w:val="both"/>
              <w:textAlignment w:val="baseline"/>
              <w:rPr>
                <w:szCs w:val="22"/>
              </w:rPr>
            </w:pPr>
          </w:p>
          <w:p w14:paraId="16C08C3F" w14:textId="5A9D84D2" w:rsidR="00151DDB" w:rsidRPr="0093305C" w:rsidRDefault="00151DDB" w:rsidP="00D77E03">
            <w:pPr>
              <w:overflowPunct w:val="0"/>
              <w:autoSpaceDE w:val="0"/>
              <w:autoSpaceDN w:val="0"/>
              <w:adjustRightInd w:val="0"/>
              <w:spacing w:line="240" w:lineRule="auto"/>
              <w:jc w:val="both"/>
              <w:textAlignment w:val="baseline"/>
              <w:rPr>
                <w:szCs w:val="22"/>
              </w:rPr>
            </w:pPr>
            <w:r w:rsidRPr="0093305C">
              <w:rPr>
                <w:szCs w:val="22"/>
              </w:rPr>
              <w:t>0,</w:t>
            </w:r>
            <w:r w:rsidR="00797B52" w:rsidRPr="0093305C">
              <w:rPr>
                <w:szCs w:val="22"/>
              </w:rPr>
              <w:t>8</w:t>
            </w:r>
          </w:p>
          <w:p w14:paraId="73D109CD" w14:textId="52799287" w:rsidR="00151DDB" w:rsidRPr="0093305C" w:rsidDel="007E3FE4" w:rsidRDefault="00151DDB" w:rsidP="00D77E03">
            <w:pPr>
              <w:overflowPunct w:val="0"/>
              <w:autoSpaceDE w:val="0"/>
              <w:autoSpaceDN w:val="0"/>
              <w:adjustRightInd w:val="0"/>
              <w:spacing w:line="240" w:lineRule="auto"/>
              <w:jc w:val="both"/>
              <w:textAlignment w:val="baseline"/>
              <w:rPr>
                <w:szCs w:val="22"/>
              </w:rPr>
            </w:pPr>
            <w:r w:rsidRPr="0093305C">
              <w:rPr>
                <w:szCs w:val="22"/>
              </w:rPr>
              <w:t>0</w:t>
            </w:r>
            <w:r w:rsidR="00797B52" w:rsidRPr="0093305C">
              <w:rPr>
                <w:szCs w:val="22"/>
              </w:rPr>
              <w:t>,2</w:t>
            </w:r>
          </w:p>
        </w:tc>
      </w:tr>
      <w:tr w:rsidR="00DC4667" w:rsidRPr="003C7D36" w14:paraId="72417FE8" w14:textId="77777777" w:rsidTr="00456BE1">
        <w:tc>
          <w:tcPr>
            <w:tcW w:w="3888" w:type="dxa"/>
          </w:tcPr>
          <w:p w14:paraId="6F3D9D1D" w14:textId="77777777" w:rsidR="00151DDB" w:rsidRPr="00822B86" w:rsidRDefault="00151DDB" w:rsidP="00D77E03">
            <w:pPr>
              <w:overflowPunct w:val="0"/>
              <w:autoSpaceDE w:val="0"/>
              <w:autoSpaceDN w:val="0"/>
              <w:adjustRightInd w:val="0"/>
              <w:spacing w:line="240" w:lineRule="auto"/>
              <w:jc w:val="both"/>
              <w:textAlignment w:val="baseline"/>
              <w:rPr>
                <w:szCs w:val="22"/>
              </w:rPr>
            </w:pPr>
            <w:r w:rsidRPr="00C0597B">
              <w:rPr>
                <w:szCs w:val="22"/>
              </w:rPr>
              <w:t>Opšti poremećaji i reakcije na mjestu primjene</w:t>
            </w:r>
          </w:p>
          <w:p w14:paraId="29C15EF8" w14:textId="77777777" w:rsidR="00151DDB" w:rsidRPr="00446153" w:rsidRDefault="00151DDB" w:rsidP="00D77E03">
            <w:pPr>
              <w:overflowPunct w:val="0"/>
              <w:autoSpaceDE w:val="0"/>
              <w:autoSpaceDN w:val="0"/>
              <w:adjustRightInd w:val="0"/>
              <w:spacing w:line="240" w:lineRule="auto"/>
              <w:ind w:left="180"/>
              <w:jc w:val="both"/>
              <w:textAlignment w:val="baseline"/>
              <w:rPr>
                <w:szCs w:val="22"/>
                <w:vertAlign w:val="superscript"/>
              </w:rPr>
            </w:pPr>
            <w:r w:rsidRPr="00446153">
              <w:rPr>
                <w:szCs w:val="22"/>
              </w:rPr>
              <w:t>Edem</w:t>
            </w:r>
            <w:r w:rsidRPr="00446153">
              <w:rPr>
                <w:szCs w:val="22"/>
                <w:vertAlign w:val="superscript"/>
              </w:rPr>
              <w:t>l</w:t>
            </w:r>
          </w:p>
          <w:p w14:paraId="7A650643" w14:textId="77777777" w:rsidR="00151DDB" w:rsidRPr="0093305C" w:rsidRDefault="00151DDB" w:rsidP="00D77E03">
            <w:pPr>
              <w:overflowPunct w:val="0"/>
              <w:autoSpaceDE w:val="0"/>
              <w:autoSpaceDN w:val="0"/>
              <w:adjustRightInd w:val="0"/>
              <w:spacing w:line="240" w:lineRule="auto"/>
              <w:ind w:left="180"/>
              <w:jc w:val="both"/>
              <w:textAlignment w:val="baseline"/>
              <w:rPr>
                <w:szCs w:val="22"/>
              </w:rPr>
            </w:pPr>
            <w:r w:rsidRPr="0093305C">
              <w:rPr>
                <w:szCs w:val="22"/>
              </w:rPr>
              <w:t>Umor</w:t>
            </w:r>
            <w:r w:rsidRPr="0093305C">
              <w:rPr>
                <w:szCs w:val="22"/>
                <w:vertAlign w:val="superscript"/>
              </w:rPr>
              <w:t>m</w:t>
            </w:r>
            <w:r w:rsidRPr="0093305C">
              <w:rPr>
                <w:szCs w:val="22"/>
              </w:rPr>
              <w:t xml:space="preserve"> </w:t>
            </w:r>
          </w:p>
        </w:tc>
        <w:tc>
          <w:tcPr>
            <w:tcW w:w="2618" w:type="dxa"/>
          </w:tcPr>
          <w:p w14:paraId="10AE450F" w14:textId="77777777" w:rsidR="00151DDB" w:rsidRPr="0093305C" w:rsidRDefault="00151DDB" w:rsidP="00D77E03">
            <w:pPr>
              <w:overflowPunct w:val="0"/>
              <w:autoSpaceDE w:val="0"/>
              <w:autoSpaceDN w:val="0"/>
              <w:adjustRightInd w:val="0"/>
              <w:spacing w:line="240" w:lineRule="auto"/>
              <w:jc w:val="both"/>
              <w:textAlignment w:val="baseline"/>
              <w:rPr>
                <w:szCs w:val="22"/>
              </w:rPr>
            </w:pPr>
          </w:p>
          <w:p w14:paraId="089C08B9" w14:textId="77777777" w:rsidR="00151DDB" w:rsidRPr="0093305C" w:rsidRDefault="00151DDB" w:rsidP="00D77E03">
            <w:pPr>
              <w:overflowPunct w:val="0"/>
              <w:autoSpaceDE w:val="0"/>
              <w:autoSpaceDN w:val="0"/>
              <w:adjustRightInd w:val="0"/>
              <w:spacing w:line="240" w:lineRule="auto"/>
              <w:jc w:val="both"/>
              <w:textAlignment w:val="baseline"/>
              <w:rPr>
                <w:szCs w:val="22"/>
              </w:rPr>
            </w:pPr>
          </w:p>
          <w:p w14:paraId="6507647E" w14:textId="77777777" w:rsidR="00151DDB" w:rsidRPr="0093305C" w:rsidRDefault="00151DDB" w:rsidP="00D77E03">
            <w:pPr>
              <w:overflowPunct w:val="0"/>
              <w:autoSpaceDE w:val="0"/>
              <w:autoSpaceDN w:val="0"/>
              <w:adjustRightInd w:val="0"/>
              <w:spacing w:line="240" w:lineRule="auto"/>
              <w:jc w:val="both"/>
              <w:textAlignment w:val="baseline"/>
              <w:rPr>
                <w:szCs w:val="22"/>
              </w:rPr>
            </w:pPr>
            <w:r w:rsidRPr="0093305C">
              <w:rPr>
                <w:szCs w:val="22"/>
              </w:rPr>
              <w:t>Veoma često</w:t>
            </w:r>
          </w:p>
          <w:p w14:paraId="67A713F5" w14:textId="77777777" w:rsidR="00151DDB" w:rsidRPr="0093305C" w:rsidRDefault="00151DDB" w:rsidP="00D77E03">
            <w:pPr>
              <w:overflowPunct w:val="0"/>
              <w:autoSpaceDE w:val="0"/>
              <w:autoSpaceDN w:val="0"/>
              <w:adjustRightInd w:val="0"/>
              <w:spacing w:line="240" w:lineRule="auto"/>
              <w:jc w:val="both"/>
              <w:textAlignment w:val="baseline"/>
              <w:rPr>
                <w:szCs w:val="22"/>
              </w:rPr>
            </w:pPr>
            <w:r w:rsidRPr="0093305C">
              <w:rPr>
                <w:szCs w:val="22"/>
              </w:rPr>
              <w:t>Veoma često</w:t>
            </w:r>
          </w:p>
        </w:tc>
        <w:tc>
          <w:tcPr>
            <w:tcW w:w="1313" w:type="dxa"/>
          </w:tcPr>
          <w:p w14:paraId="0FB58436" w14:textId="77777777" w:rsidR="00151DDB" w:rsidRPr="0093305C" w:rsidRDefault="00151DDB" w:rsidP="00D77E03">
            <w:pPr>
              <w:overflowPunct w:val="0"/>
              <w:autoSpaceDE w:val="0"/>
              <w:autoSpaceDN w:val="0"/>
              <w:adjustRightInd w:val="0"/>
              <w:spacing w:line="240" w:lineRule="auto"/>
              <w:jc w:val="both"/>
              <w:textAlignment w:val="baseline"/>
              <w:rPr>
                <w:szCs w:val="22"/>
              </w:rPr>
            </w:pPr>
          </w:p>
          <w:p w14:paraId="419DB5CD" w14:textId="77777777" w:rsidR="00151DDB" w:rsidRPr="0093305C" w:rsidRDefault="00151DDB" w:rsidP="00D77E03">
            <w:pPr>
              <w:overflowPunct w:val="0"/>
              <w:autoSpaceDE w:val="0"/>
              <w:autoSpaceDN w:val="0"/>
              <w:adjustRightInd w:val="0"/>
              <w:spacing w:line="240" w:lineRule="auto"/>
              <w:jc w:val="both"/>
              <w:textAlignment w:val="baseline"/>
              <w:rPr>
                <w:szCs w:val="22"/>
              </w:rPr>
            </w:pPr>
          </w:p>
          <w:p w14:paraId="5A545D6D" w14:textId="67FD4501" w:rsidR="00151DDB" w:rsidRPr="0093305C" w:rsidRDefault="00151DDB" w:rsidP="00D77E03">
            <w:pPr>
              <w:overflowPunct w:val="0"/>
              <w:autoSpaceDE w:val="0"/>
              <w:autoSpaceDN w:val="0"/>
              <w:adjustRightInd w:val="0"/>
              <w:spacing w:line="240" w:lineRule="auto"/>
              <w:jc w:val="both"/>
              <w:textAlignment w:val="baseline"/>
              <w:rPr>
                <w:szCs w:val="22"/>
              </w:rPr>
            </w:pPr>
            <w:r w:rsidRPr="0093305C">
              <w:rPr>
                <w:szCs w:val="22"/>
              </w:rPr>
              <w:t>5</w:t>
            </w:r>
            <w:r w:rsidR="00BF1C29" w:rsidRPr="0093305C">
              <w:rPr>
                <w:szCs w:val="22"/>
              </w:rPr>
              <w:t>5,7</w:t>
            </w:r>
          </w:p>
          <w:p w14:paraId="71910446" w14:textId="7A4D1399" w:rsidR="00151DDB" w:rsidRPr="0093305C" w:rsidDel="007E3FE4" w:rsidRDefault="00151DDB" w:rsidP="00D77E03">
            <w:pPr>
              <w:overflowPunct w:val="0"/>
              <w:autoSpaceDE w:val="0"/>
              <w:autoSpaceDN w:val="0"/>
              <w:adjustRightInd w:val="0"/>
              <w:spacing w:line="240" w:lineRule="auto"/>
              <w:jc w:val="both"/>
              <w:textAlignment w:val="baseline"/>
              <w:rPr>
                <w:szCs w:val="22"/>
              </w:rPr>
            </w:pPr>
            <w:r w:rsidRPr="0093305C">
              <w:rPr>
                <w:szCs w:val="22"/>
              </w:rPr>
              <w:t>2</w:t>
            </w:r>
            <w:r w:rsidR="00324C30" w:rsidRPr="0093305C">
              <w:rPr>
                <w:szCs w:val="22"/>
              </w:rPr>
              <w:t>7,3</w:t>
            </w:r>
          </w:p>
        </w:tc>
        <w:tc>
          <w:tcPr>
            <w:tcW w:w="1313" w:type="dxa"/>
          </w:tcPr>
          <w:p w14:paraId="635DDDED" w14:textId="77777777" w:rsidR="00151DDB" w:rsidRPr="0093305C" w:rsidRDefault="00151DDB" w:rsidP="00D77E03">
            <w:pPr>
              <w:overflowPunct w:val="0"/>
              <w:autoSpaceDE w:val="0"/>
              <w:autoSpaceDN w:val="0"/>
              <w:adjustRightInd w:val="0"/>
              <w:spacing w:line="240" w:lineRule="auto"/>
              <w:jc w:val="both"/>
              <w:textAlignment w:val="baseline"/>
              <w:rPr>
                <w:szCs w:val="22"/>
              </w:rPr>
            </w:pPr>
          </w:p>
          <w:p w14:paraId="2317A78A" w14:textId="77777777" w:rsidR="00151DDB" w:rsidRPr="0093305C" w:rsidRDefault="00151DDB" w:rsidP="00D77E03">
            <w:pPr>
              <w:overflowPunct w:val="0"/>
              <w:autoSpaceDE w:val="0"/>
              <w:autoSpaceDN w:val="0"/>
              <w:adjustRightInd w:val="0"/>
              <w:spacing w:line="240" w:lineRule="auto"/>
              <w:jc w:val="both"/>
              <w:textAlignment w:val="baseline"/>
              <w:rPr>
                <w:szCs w:val="22"/>
              </w:rPr>
            </w:pPr>
          </w:p>
          <w:p w14:paraId="5D8315D3" w14:textId="79F5C56C" w:rsidR="00151DDB" w:rsidRPr="0093305C" w:rsidRDefault="00151DDB" w:rsidP="00D77E03">
            <w:pPr>
              <w:overflowPunct w:val="0"/>
              <w:autoSpaceDE w:val="0"/>
              <w:autoSpaceDN w:val="0"/>
              <w:adjustRightInd w:val="0"/>
              <w:spacing w:line="240" w:lineRule="auto"/>
              <w:jc w:val="both"/>
              <w:textAlignment w:val="baseline"/>
              <w:rPr>
                <w:szCs w:val="22"/>
              </w:rPr>
            </w:pPr>
            <w:r w:rsidRPr="0093305C">
              <w:rPr>
                <w:szCs w:val="22"/>
              </w:rPr>
              <w:t>2,</w:t>
            </w:r>
            <w:r w:rsidR="00324C30" w:rsidRPr="0093305C">
              <w:rPr>
                <w:szCs w:val="22"/>
              </w:rPr>
              <w:t>7</w:t>
            </w:r>
          </w:p>
          <w:p w14:paraId="08E91E71" w14:textId="64A3AF5A" w:rsidR="00151DDB" w:rsidRPr="0093305C" w:rsidDel="007E3FE4" w:rsidRDefault="00324C30" w:rsidP="00D77E03">
            <w:pPr>
              <w:overflowPunct w:val="0"/>
              <w:autoSpaceDE w:val="0"/>
              <w:autoSpaceDN w:val="0"/>
              <w:adjustRightInd w:val="0"/>
              <w:spacing w:line="240" w:lineRule="auto"/>
              <w:jc w:val="both"/>
              <w:textAlignment w:val="baseline"/>
              <w:rPr>
                <w:szCs w:val="22"/>
              </w:rPr>
            </w:pPr>
            <w:r w:rsidRPr="0093305C">
              <w:rPr>
                <w:szCs w:val="22"/>
              </w:rPr>
              <w:t>1,3</w:t>
            </w:r>
          </w:p>
        </w:tc>
      </w:tr>
      <w:tr w:rsidR="00DC4667" w:rsidRPr="003C7D36" w14:paraId="2CE232FE" w14:textId="77777777" w:rsidTr="00456BE1">
        <w:trPr>
          <w:trHeight w:val="323"/>
        </w:trPr>
        <w:tc>
          <w:tcPr>
            <w:tcW w:w="3888" w:type="dxa"/>
          </w:tcPr>
          <w:p w14:paraId="55D4E396" w14:textId="77777777" w:rsidR="00151DDB" w:rsidRPr="00C0597B" w:rsidRDefault="00151DDB" w:rsidP="00D77E03">
            <w:pPr>
              <w:overflowPunct w:val="0"/>
              <w:autoSpaceDE w:val="0"/>
              <w:autoSpaceDN w:val="0"/>
              <w:adjustRightInd w:val="0"/>
              <w:spacing w:line="240" w:lineRule="auto"/>
              <w:jc w:val="both"/>
              <w:textAlignment w:val="baseline"/>
              <w:rPr>
                <w:szCs w:val="22"/>
              </w:rPr>
            </w:pPr>
            <w:r w:rsidRPr="00C0597B">
              <w:rPr>
                <w:szCs w:val="22"/>
              </w:rPr>
              <w:t>Ispitivanja</w:t>
            </w:r>
          </w:p>
          <w:p w14:paraId="632BD884" w14:textId="091C6013" w:rsidR="00151DDB" w:rsidRPr="00822B86" w:rsidRDefault="00151DDB" w:rsidP="00D77E03">
            <w:pPr>
              <w:overflowPunct w:val="0"/>
              <w:autoSpaceDE w:val="0"/>
              <w:autoSpaceDN w:val="0"/>
              <w:adjustRightInd w:val="0"/>
              <w:spacing w:line="240" w:lineRule="auto"/>
              <w:ind w:left="180"/>
              <w:jc w:val="both"/>
              <w:textAlignment w:val="baseline"/>
              <w:rPr>
                <w:szCs w:val="22"/>
              </w:rPr>
            </w:pPr>
            <w:r w:rsidRPr="00822B86">
              <w:rPr>
                <w:szCs w:val="22"/>
              </w:rPr>
              <w:t xml:space="preserve">Povećanje </w:t>
            </w:r>
            <w:r w:rsidR="0092259D" w:rsidRPr="00822B86">
              <w:rPr>
                <w:szCs w:val="22"/>
              </w:rPr>
              <w:t>tjelesne mase</w:t>
            </w:r>
          </w:p>
          <w:p w14:paraId="241E36CB" w14:textId="77777777" w:rsidR="00151DDB" w:rsidRPr="003C7D36" w:rsidRDefault="00151DDB" w:rsidP="00D77E03">
            <w:pPr>
              <w:overflowPunct w:val="0"/>
              <w:autoSpaceDE w:val="0"/>
              <w:autoSpaceDN w:val="0"/>
              <w:adjustRightInd w:val="0"/>
              <w:spacing w:line="240" w:lineRule="auto"/>
              <w:ind w:firstLine="180"/>
              <w:jc w:val="both"/>
              <w:textAlignment w:val="baseline"/>
              <w:rPr>
                <w:szCs w:val="22"/>
              </w:rPr>
            </w:pPr>
            <w:r w:rsidRPr="00446153">
              <w:rPr>
                <w:szCs w:val="22"/>
              </w:rPr>
              <w:t>Povećanje nivoa lipaze</w:t>
            </w:r>
          </w:p>
          <w:p w14:paraId="3628C05F" w14:textId="77777777" w:rsidR="00151DDB" w:rsidRPr="00C0597B" w:rsidRDefault="00151DDB" w:rsidP="00D77E03">
            <w:pPr>
              <w:overflowPunct w:val="0"/>
              <w:autoSpaceDE w:val="0"/>
              <w:autoSpaceDN w:val="0"/>
              <w:adjustRightInd w:val="0"/>
              <w:spacing w:line="240" w:lineRule="auto"/>
              <w:ind w:left="180"/>
              <w:jc w:val="both"/>
              <w:textAlignment w:val="baseline"/>
              <w:rPr>
                <w:szCs w:val="22"/>
              </w:rPr>
            </w:pPr>
            <w:r w:rsidRPr="00C0597B">
              <w:rPr>
                <w:szCs w:val="22"/>
              </w:rPr>
              <w:t>Povećanje nivoa amilaze</w:t>
            </w:r>
          </w:p>
          <w:p w14:paraId="5468BFF2" w14:textId="209E70E0" w:rsidR="00151DDB" w:rsidRPr="00446153" w:rsidRDefault="00151DDB">
            <w:pPr>
              <w:overflowPunct w:val="0"/>
              <w:autoSpaceDE w:val="0"/>
              <w:autoSpaceDN w:val="0"/>
              <w:adjustRightInd w:val="0"/>
              <w:spacing w:line="240" w:lineRule="auto"/>
              <w:ind w:left="180"/>
              <w:jc w:val="both"/>
              <w:textAlignment w:val="baseline"/>
              <w:rPr>
                <w:szCs w:val="22"/>
              </w:rPr>
            </w:pPr>
            <w:r w:rsidRPr="00822B86">
              <w:rPr>
                <w:szCs w:val="22"/>
              </w:rPr>
              <w:t xml:space="preserve">Produženje PR intervala </w:t>
            </w:r>
            <w:r w:rsidR="0092259D" w:rsidRPr="00822B86">
              <w:rPr>
                <w:szCs w:val="22"/>
              </w:rPr>
              <w:t xml:space="preserve">na </w:t>
            </w:r>
            <w:r w:rsidRPr="00446153">
              <w:rPr>
                <w:szCs w:val="22"/>
              </w:rPr>
              <w:t>elektrokardiogramu</w:t>
            </w:r>
          </w:p>
        </w:tc>
        <w:tc>
          <w:tcPr>
            <w:tcW w:w="2618" w:type="dxa"/>
          </w:tcPr>
          <w:p w14:paraId="51989309" w14:textId="77777777" w:rsidR="00151DDB" w:rsidRPr="0093305C" w:rsidRDefault="00151DDB" w:rsidP="00D77E03">
            <w:pPr>
              <w:overflowPunct w:val="0"/>
              <w:autoSpaceDE w:val="0"/>
              <w:autoSpaceDN w:val="0"/>
              <w:adjustRightInd w:val="0"/>
              <w:spacing w:line="240" w:lineRule="auto"/>
              <w:jc w:val="both"/>
              <w:textAlignment w:val="baseline"/>
              <w:rPr>
                <w:szCs w:val="22"/>
              </w:rPr>
            </w:pPr>
          </w:p>
          <w:p w14:paraId="654D9E3A" w14:textId="77777777" w:rsidR="00151DDB" w:rsidRPr="0093305C" w:rsidRDefault="00151DDB" w:rsidP="00D77E03">
            <w:pPr>
              <w:overflowPunct w:val="0"/>
              <w:autoSpaceDE w:val="0"/>
              <w:autoSpaceDN w:val="0"/>
              <w:adjustRightInd w:val="0"/>
              <w:spacing w:line="240" w:lineRule="auto"/>
              <w:jc w:val="both"/>
              <w:textAlignment w:val="baseline"/>
              <w:rPr>
                <w:szCs w:val="22"/>
              </w:rPr>
            </w:pPr>
            <w:r w:rsidRPr="0093305C">
              <w:rPr>
                <w:szCs w:val="22"/>
              </w:rPr>
              <w:t>Veoma često</w:t>
            </w:r>
          </w:p>
          <w:p w14:paraId="6DBC0EBA" w14:textId="77777777" w:rsidR="00151DDB" w:rsidRPr="0093305C" w:rsidRDefault="00151DDB" w:rsidP="00D77E03">
            <w:pPr>
              <w:overflowPunct w:val="0"/>
              <w:autoSpaceDE w:val="0"/>
              <w:autoSpaceDN w:val="0"/>
              <w:adjustRightInd w:val="0"/>
              <w:spacing w:line="240" w:lineRule="auto"/>
              <w:jc w:val="both"/>
              <w:textAlignment w:val="baseline"/>
              <w:rPr>
                <w:szCs w:val="22"/>
              </w:rPr>
            </w:pPr>
            <w:r w:rsidRPr="0093305C">
              <w:rPr>
                <w:szCs w:val="22"/>
              </w:rPr>
              <w:t>Veoma često</w:t>
            </w:r>
          </w:p>
          <w:p w14:paraId="628DF8D8" w14:textId="77777777" w:rsidR="00151DDB" w:rsidRPr="0093305C" w:rsidRDefault="00151DDB" w:rsidP="00D77E03">
            <w:pPr>
              <w:overflowPunct w:val="0"/>
              <w:autoSpaceDE w:val="0"/>
              <w:autoSpaceDN w:val="0"/>
              <w:adjustRightInd w:val="0"/>
              <w:spacing w:line="240" w:lineRule="auto"/>
              <w:jc w:val="both"/>
              <w:textAlignment w:val="baseline"/>
              <w:rPr>
                <w:szCs w:val="22"/>
              </w:rPr>
            </w:pPr>
            <w:r w:rsidRPr="0093305C">
              <w:rPr>
                <w:szCs w:val="22"/>
              </w:rPr>
              <w:t>Veoma često</w:t>
            </w:r>
          </w:p>
          <w:p w14:paraId="7B90594C" w14:textId="77777777" w:rsidR="00151DDB" w:rsidRPr="0093305C" w:rsidRDefault="00151DDB" w:rsidP="00D77E03">
            <w:pPr>
              <w:overflowPunct w:val="0"/>
              <w:autoSpaceDE w:val="0"/>
              <w:autoSpaceDN w:val="0"/>
              <w:adjustRightInd w:val="0"/>
              <w:spacing w:line="240" w:lineRule="auto"/>
              <w:jc w:val="both"/>
              <w:textAlignment w:val="baseline"/>
              <w:rPr>
                <w:szCs w:val="22"/>
              </w:rPr>
            </w:pPr>
            <w:r w:rsidRPr="0093305C">
              <w:rPr>
                <w:szCs w:val="22"/>
              </w:rPr>
              <w:t>Povremeno</w:t>
            </w:r>
          </w:p>
        </w:tc>
        <w:tc>
          <w:tcPr>
            <w:tcW w:w="1313" w:type="dxa"/>
          </w:tcPr>
          <w:p w14:paraId="6BBEA8DA" w14:textId="77777777" w:rsidR="00151DDB" w:rsidRPr="0093305C" w:rsidRDefault="00151DDB" w:rsidP="00D77E03">
            <w:pPr>
              <w:overflowPunct w:val="0"/>
              <w:autoSpaceDE w:val="0"/>
              <w:autoSpaceDN w:val="0"/>
              <w:adjustRightInd w:val="0"/>
              <w:spacing w:line="240" w:lineRule="auto"/>
              <w:jc w:val="both"/>
              <w:textAlignment w:val="baseline"/>
              <w:rPr>
                <w:szCs w:val="22"/>
              </w:rPr>
            </w:pPr>
          </w:p>
          <w:p w14:paraId="0C6090EF" w14:textId="768AF7EB" w:rsidR="00151DDB" w:rsidRPr="0093305C" w:rsidRDefault="00315E62" w:rsidP="00D77E03">
            <w:pPr>
              <w:overflowPunct w:val="0"/>
              <w:autoSpaceDE w:val="0"/>
              <w:autoSpaceDN w:val="0"/>
              <w:adjustRightInd w:val="0"/>
              <w:spacing w:line="240" w:lineRule="auto"/>
              <w:jc w:val="both"/>
              <w:textAlignment w:val="baseline"/>
              <w:rPr>
                <w:szCs w:val="22"/>
              </w:rPr>
            </w:pPr>
            <w:r w:rsidRPr="0093305C">
              <w:rPr>
                <w:szCs w:val="22"/>
              </w:rPr>
              <w:t>30,9</w:t>
            </w:r>
          </w:p>
          <w:p w14:paraId="6FA4DD4A" w14:textId="4C55E59C" w:rsidR="00151DDB" w:rsidRPr="0093305C" w:rsidRDefault="00315E62" w:rsidP="00D77E03">
            <w:pPr>
              <w:overflowPunct w:val="0"/>
              <w:autoSpaceDE w:val="0"/>
              <w:autoSpaceDN w:val="0"/>
              <w:adjustRightInd w:val="0"/>
              <w:spacing w:line="240" w:lineRule="auto"/>
              <w:jc w:val="both"/>
              <w:textAlignment w:val="baseline"/>
              <w:rPr>
                <w:szCs w:val="22"/>
              </w:rPr>
            </w:pPr>
            <w:r w:rsidRPr="0093305C">
              <w:rPr>
                <w:szCs w:val="22"/>
              </w:rPr>
              <w:t>12,4</w:t>
            </w:r>
          </w:p>
          <w:p w14:paraId="22CA5021" w14:textId="1656799A" w:rsidR="00151DDB" w:rsidRPr="0093305C" w:rsidRDefault="00315E62" w:rsidP="00D77E03">
            <w:pPr>
              <w:overflowPunct w:val="0"/>
              <w:autoSpaceDE w:val="0"/>
              <w:autoSpaceDN w:val="0"/>
              <w:adjustRightInd w:val="0"/>
              <w:spacing w:line="240" w:lineRule="auto"/>
              <w:jc w:val="both"/>
              <w:textAlignment w:val="baseline"/>
              <w:rPr>
                <w:szCs w:val="22"/>
              </w:rPr>
            </w:pPr>
            <w:r w:rsidRPr="0093305C">
              <w:rPr>
                <w:szCs w:val="22"/>
              </w:rPr>
              <w:t>11,3</w:t>
            </w:r>
          </w:p>
          <w:p w14:paraId="4670B95C" w14:textId="0E83B9F4" w:rsidR="00151DDB" w:rsidRPr="0093305C" w:rsidDel="007E3FE4" w:rsidRDefault="00151DDB" w:rsidP="00D77E03">
            <w:pPr>
              <w:overflowPunct w:val="0"/>
              <w:autoSpaceDE w:val="0"/>
              <w:autoSpaceDN w:val="0"/>
              <w:adjustRightInd w:val="0"/>
              <w:spacing w:line="240" w:lineRule="auto"/>
              <w:jc w:val="both"/>
              <w:textAlignment w:val="baseline"/>
              <w:rPr>
                <w:szCs w:val="22"/>
              </w:rPr>
            </w:pPr>
            <w:r w:rsidRPr="0093305C">
              <w:rPr>
                <w:szCs w:val="22"/>
              </w:rPr>
              <w:t>0,</w:t>
            </w:r>
            <w:r w:rsidR="00315E62" w:rsidRPr="0093305C">
              <w:rPr>
                <w:szCs w:val="22"/>
              </w:rPr>
              <w:t>8</w:t>
            </w:r>
          </w:p>
        </w:tc>
        <w:tc>
          <w:tcPr>
            <w:tcW w:w="1313" w:type="dxa"/>
          </w:tcPr>
          <w:p w14:paraId="6D83E12D" w14:textId="77777777" w:rsidR="00151DDB" w:rsidRPr="0093305C" w:rsidRDefault="00151DDB" w:rsidP="00D77E03">
            <w:pPr>
              <w:overflowPunct w:val="0"/>
              <w:autoSpaceDE w:val="0"/>
              <w:autoSpaceDN w:val="0"/>
              <w:adjustRightInd w:val="0"/>
              <w:spacing w:line="240" w:lineRule="auto"/>
              <w:jc w:val="both"/>
              <w:textAlignment w:val="baseline"/>
              <w:rPr>
                <w:szCs w:val="22"/>
              </w:rPr>
            </w:pPr>
          </w:p>
          <w:p w14:paraId="7762649E" w14:textId="6E81712C" w:rsidR="00151DDB" w:rsidRPr="0093305C" w:rsidRDefault="00315E62" w:rsidP="00D77E03">
            <w:pPr>
              <w:overflowPunct w:val="0"/>
              <w:autoSpaceDE w:val="0"/>
              <w:autoSpaceDN w:val="0"/>
              <w:adjustRightInd w:val="0"/>
              <w:spacing w:line="240" w:lineRule="auto"/>
              <w:jc w:val="both"/>
              <w:textAlignment w:val="baseline"/>
              <w:rPr>
                <w:szCs w:val="22"/>
              </w:rPr>
            </w:pPr>
            <w:r w:rsidRPr="0093305C">
              <w:rPr>
                <w:szCs w:val="22"/>
              </w:rPr>
              <w:t>10,1</w:t>
            </w:r>
          </w:p>
          <w:p w14:paraId="14BB098C" w14:textId="76DF9347" w:rsidR="00151DDB" w:rsidRPr="0093305C" w:rsidRDefault="00315E62" w:rsidP="00D77E03">
            <w:pPr>
              <w:overflowPunct w:val="0"/>
              <w:autoSpaceDE w:val="0"/>
              <w:autoSpaceDN w:val="0"/>
              <w:adjustRightInd w:val="0"/>
              <w:spacing w:line="240" w:lineRule="auto"/>
              <w:jc w:val="both"/>
              <w:textAlignment w:val="baseline"/>
              <w:rPr>
                <w:szCs w:val="22"/>
              </w:rPr>
            </w:pPr>
            <w:r w:rsidRPr="0093305C">
              <w:rPr>
                <w:szCs w:val="22"/>
              </w:rPr>
              <w:t>6,9</w:t>
            </w:r>
          </w:p>
          <w:p w14:paraId="6669F4FB" w14:textId="7A21F304" w:rsidR="00151DDB" w:rsidRPr="0093305C" w:rsidRDefault="00315E62" w:rsidP="00D77E03">
            <w:pPr>
              <w:overflowPunct w:val="0"/>
              <w:autoSpaceDE w:val="0"/>
              <w:autoSpaceDN w:val="0"/>
              <w:adjustRightInd w:val="0"/>
              <w:spacing w:line="240" w:lineRule="auto"/>
              <w:jc w:val="both"/>
              <w:textAlignment w:val="baseline"/>
              <w:rPr>
                <w:szCs w:val="22"/>
              </w:rPr>
            </w:pPr>
            <w:r w:rsidRPr="0093305C">
              <w:rPr>
                <w:szCs w:val="22"/>
              </w:rPr>
              <w:t>2,7</w:t>
            </w:r>
          </w:p>
          <w:p w14:paraId="09E83913" w14:textId="77777777" w:rsidR="00151DDB" w:rsidRPr="0093305C" w:rsidDel="007E3FE4" w:rsidRDefault="00151DDB" w:rsidP="00D77E03">
            <w:pPr>
              <w:overflowPunct w:val="0"/>
              <w:autoSpaceDE w:val="0"/>
              <w:autoSpaceDN w:val="0"/>
              <w:adjustRightInd w:val="0"/>
              <w:spacing w:line="240" w:lineRule="auto"/>
              <w:jc w:val="both"/>
              <w:textAlignment w:val="baseline"/>
              <w:rPr>
                <w:szCs w:val="22"/>
              </w:rPr>
            </w:pPr>
            <w:r w:rsidRPr="0093305C">
              <w:rPr>
                <w:szCs w:val="22"/>
              </w:rPr>
              <w:t>0</w:t>
            </w:r>
          </w:p>
        </w:tc>
      </w:tr>
      <w:tr w:rsidR="00151DDB" w:rsidRPr="003C7D36" w14:paraId="10561C80" w14:textId="77777777" w:rsidTr="00456BE1">
        <w:tc>
          <w:tcPr>
            <w:tcW w:w="9132" w:type="dxa"/>
            <w:gridSpan w:val="4"/>
            <w:tcBorders>
              <w:top w:val="single" w:sz="4" w:space="0" w:color="auto"/>
              <w:left w:val="nil"/>
              <w:bottom w:val="nil"/>
              <w:right w:val="nil"/>
            </w:tcBorders>
          </w:tcPr>
          <w:p w14:paraId="7CCB10BD" w14:textId="5D2BB295" w:rsidR="00151DDB" w:rsidRPr="0031203A" w:rsidRDefault="00151DDB" w:rsidP="00D77E03">
            <w:pPr>
              <w:overflowPunct w:val="0"/>
              <w:autoSpaceDE w:val="0"/>
              <w:autoSpaceDN w:val="0"/>
              <w:adjustRightInd w:val="0"/>
              <w:spacing w:line="240" w:lineRule="auto"/>
              <w:jc w:val="both"/>
              <w:textAlignment w:val="baseline"/>
              <w:rPr>
                <w:szCs w:val="22"/>
              </w:rPr>
            </w:pPr>
            <w:r w:rsidRPr="0031203A">
              <w:rPr>
                <w:szCs w:val="22"/>
              </w:rPr>
              <w:t>Neželjene reakcije, koje predstavljaju isti medicinski koncept ili stanje, grupisane su zajedno i prijavljene kao pojedinačna neželjena reakcija u tabeli iznad. Termini koji su stvarno prijavljeni u studijama i koji pridonose određenoj neželjenoj reakciji navedeni su u zagradama, kao što je prikazano u nastavku.</w:t>
            </w:r>
          </w:p>
          <w:p w14:paraId="154E1408" w14:textId="77777777" w:rsidR="00151DDB" w:rsidRPr="0031203A" w:rsidRDefault="00151DDB" w:rsidP="00D77E03">
            <w:pPr>
              <w:tabs>
                <w:tab w:val="clear" w:pos="567"/>
                <w:tab w:val="left" w:pos="284"/>
              </w:tabs>
              <w:overflowPunct w:val="0"/>
              <w:autoSpaceDE w:val="0"/>
              <w:autoSpaceDN w:val="0"/>
              <w:adjustRightInd w:val="0"/>
              <w:spacing w:line="240" w:lineRule="auto"/>
              <w:ind w:left="284" w:hanging="284"/>
              <w:jc w:val="both"/>
              <w:textAlignment w:val="baseline"/>
              <w:rPr>
                <w:iCs/>
                <w:szCs w:val="22"/>
              </w:rPr>
            </w:pPr>
            <w:r w:rsidRPr="0031203A">
              <w:rPr>
                <w:szCs w:val="22"/>
                <w:vertAlign w:val="superscript"/>
              </w:rPr>
              <w:t>a</w:t>
            </w:r>
            <w:r w:rsidRPr="0031203A">
              <w:rPr>
                <w:szCs w:val="22"/>
                <w:vertAlign w:val="superscript"/>
              </w:rPr>
              <w:tab/>
            </w:r>
            <w:r w:rsidRPr="0031203A">
              <w:rPr>
                <w:szCs w:val="22"/>
              </w:rPr>
              <w:t>Hiperholesterolemija (podrazumijeva povišen nivo holesterola u krvi, hiperholesterolemija).</w:t>
            </w:r>
          </w:p>
          <w:p w14:paraId="6F6323A3" w14:textId="77777777" w:rsidR="00151DDB" w:rsidRPr="0031203A" w:rsidRDefault="00151DDB" w:rsidP="00D77E03">
            <w:pPr>
              <w:tabs>
                <w:tab w:val="clear" w:pos="567"/>
                <w:tab w:val="left" w:pos="284"/>
              </w:tabs>
              <w:overflowPunct w:val="0"/>
              <w:autoSpaceDE w:val="0"/>
              <w:autoSpaceDN w:val="0"/>
              <w:adjustRightInd w:val="0"/>
              <w:spacing w:line="240" w:lineRule="auto"/>
              <w:ind w:left="284" w:hanging="284"/>
              <w:jc w:val="both"/>
              <w:textAlignment w:val="baseline"/>
              <w:rPr>
                <w:iCs/>
                <w:szCs w:val="22"/>
              </w:rPr>
            </w:pPr>
            <w:r w:rsidRPr="0031203A">
              <w:rPr>
                <w:szCs w:val="22"/>
                <w:vertAlign w:val="superscript"/>
              </w:rPr>
              <w:t>b</w:t>
            </w:r>
            <w:r w:rsidRPr="0031203A">
              <w:rPr>
                <w:szCs w:val="22"/>
                <w:vertAlign w:val="superscript"/>
              </w:rPr>
              <w:tab/>
            </w:r>
            <w:r w:rsidRPr="0031203A">
              <w:rPr>
                <w:szCs w:val="22"/>
              </w:rPr>
              <w:t>Hipertrigliceridemija (podrazumijeva povišen nivo triglicerida u krvi, hipertrigliceridemija).</w:t>
            </w:r>
          </w:p>
          <w:p w14:paraId="495B0EEA" w14:textId="210F893F" w:rsidR="00151DDB" w:rsidRPr="0031203A" w:rsidRDefault="00151DDB" w:rsidP="00D77E03">
            <w:pPr>
              <w:tabs>
                <w:tab w:val="left" w:pos="284"/>
              </w:tabs>
              <w:overflowPunct w:val="0"/>
              <w:autoSpaceDE w:val="0"/>
              <w:autoSpaceDN w:val="0"/>
              <w:adjustRightInd w:val="0"/>
              <w:spacing w:line="240" w:lineRule="auto"/>
              <w:ind w:left="284" w:hanging="284"/>
              <w:jc w:val="both"/>
              <w:textAlignment w:val="baseline"/>
              <w:rPr>
                <w:iCs/>
                <w:szCs w:val="22"/>
              </w:rPr>
            </w:pPr>
            <w:r w:rsidRPr="0031203A">
              <w:rPr>
                <w:szCs w:val="22"/>
                <w:vertAlign w:val="superscript"/>
              </w:rPr>
              <w:t>c</w:t>
            </w:r>
            <w:r w:rsidRPr="0031203A">
              <w:rPr>
                <w:szCs w:val="22"/>
                <w:vertAlign w:val="superscript"/>
              </w:rPr>
              <w:tab/>
            </w:r>
            <w:r w:rsidRPr="0031203A">
              <w:rPr>
                <w:szCs w:val="22"/>
              </w:rPr>
              <w:t xml:space="preserve"> Efekti na raspoloženje (podrazumijeva afektivni poremećaj, afektivnu labilnost, agresivnost, agitaciju, </w:t>
            </w:r>
            <w:r w:rsidR="001054F2" w:rsidRPr="0031203A">
              <w:rPr>
                <w:szCs w:val="22"/>
              </w:rPr>
              <w:t xml:space="preserve">bijes, </w:t>
            </w:r>
            <w:r w:rsidRPr="0031203A">
              <w:rPr>
                <w:szCs w:val="22"/>
              </w:rPr>
              <w:t>anksioznost,</w:t>
            </w:r>
            <w:r w:rsidR="00FB4D60" w:rsidRPr="0031203A">
              <w:rPr>
                <w:szCs w:val="22"/>
              </w:rPr>
              <w:t xml:space="preserve"> bipolarni I poremećaj,</w:t>
            </w:r>
            <w:r w:rsidRPr="0031203A">
              <w:rPr>
                <w:szCs w:val="22"/>
              </w:rPr>
              <w:t xml:space="preserve"> depresivno raspoloženje, depresiju, </w:t>
            </w:r>
            <w:r w:rsidR="00B31BD1" w:rsidRPr="0031203A">
              <w:rPr>
                <w:szCs w:val="22"/>
              </w:rPr>
              <w:t xml:space="preserve">depresivne </w:t>
            </w:r>
            <w:r w:rsidR="00B31BD1" w:rsidRPr="0031203A">
              <w:rPr>
                <w:szCs w:val="22"/>
              </w:rPr>
              <w:lastRenderedPageBreak/>
              <w:t xml:space="preserve">simptome, </w:t>
            </w:r>
            <w:r w:rsidRPr="0031203A">
              <w:rPr>
                <w:szCs w:val="22"/>
              </w:rPr>
              <w:t xml:space="preserve">euforično raspoloženje, razdražljivost, maniju, promijenjeno raspoloženje, promjene raspoloženja, </w:t>
            </w:r>
            <w:r w:rsidR="00B31BD1" w:rsidRPr="0031203A">
              <w:rPr>
                <w:szCs w:val="22"/>
              </w:rPr>
              <w:t xml:space="preserve">napade panike, </w:t>
            </w:r>
            <w:r w:rsidRPr="0031203A">
              <w:rPr>
                <w:szCs w:val="22"/>
              </w:rPr>
              <w:t xml:space="preserve">promjenu ličnosti, stres). </w:t>
            </w:r>
          </w:p>
          <w:p w14:paraId="4557F3A9" w14:textId="439482CE" w:rsidR="00151DDB" w:rsidRPr="0031203A" w:rsidRDefault="00151DDB" w:rsidP="00D77E03">
            <w:pPr>
              <w:tabs>
                <w:tab w:val="left" w:pos="284"/>
              </w:tabs>
              <w:overflowPunct w:val="0"/>
              <w:autoSpaceDE w:val="0"/>
              <w:autoSpaceDN w:val="0"/>
              <w:adjustRightInd w:val="0"/>
              <w:spacing w:line="240" w:lineRule="auto"/>
              <w:ind w:left="284" w:hanging="284"/>
              <w:jc w:val="both"/>
              <w:textAlignment w:val="baseline"/>
              <w:rPr>
                <w:iCs/>
                <w:szCs w:val="22"/>
              </w:rPr>
            </w:pPr>
            <w:r w:rsidRPr="0031203A">
              <w:rPr>
                <w:szCs w:val="22"/>
                <w:vertAlign w:val="superscript"/>
              </w:rPr>
              <w:t>d</w:t>
            </w:r>
            <w:r w:rsidRPr="0031203A">
              <w:rPr>
                <w:szCs w:val="22"/>
                <w:vertAlign w:val="superscript"/>
              </w:rPr>
              <w:tab/>
            </w:r>
            <w:r w:rsidRPr="0031203A">
              <w:rPr>
                <w:szCs w:val="22"/>
              </w:rPr>
              <w:t xml:space="preserve">Psihotični efekti (podrazumijeva </w:t>
            </w:r>
            <w:r w:rsidR="00D14057" w:rsidRPr="0031203A">
              <w:rPr>
                <w:szCs w:val="22"/>
              </w:rPr>
              <w:t xml:space="preserve">zvučnu </w:t>
            </w:r>
            <w:r w:rsidRPr="0031203A">
              <w:rPr>
                <w:szCs w:val="22"/>
              </w:rPr>
              <w:t xml:space="preserve">halucinaciju, halucinaciju, </w:t>
            </w:r>
            <w:r w:rsidR="00D14057" w:rsidRPr="0031203A">
              <w:rPr>
                <w:szCs w:val="22"/>
              </w:rPr>
              <w:t xml:space="preserve">vizualnu </w:t>
            </w:r>
            <w:r w:rsidRPr="0031203A">
              <w:rPr>
                <w:szCs w:val="22"/>
              </w:rPr>
              <w:t>halucinaciju).</w:t>
            </w:r>
          </w:p>
          <w:p w14:paraId="5A2B6D44" w14:textId="77777777" w:rsidR="00151DDB" w:rsidRPr="0031203A" w:rsidRDefault="00151DDB" w:rsidP="00D77E03">
            <w:pPr>
              <w:tabs>
                <w:tab w:val="left" w:pos="284"/>
              </w:tabs>
              <w:overflowPunct w:val="0"/>
              <w:autoSpaceDE w:val="0"/>
              <w:autoSpaceDN w:val="0"/>
              <w:adjustRightInd w:val="0"/>
              <w:spacing w:line="240" w:lineRule="auto"/>
              <w:ind w:left="284" w:hanging="284"/>
              <w:jc w:val="both"/>
              <w:textAlignment w:val="baseline"/>
              <w:rPr>
                <w:iCs/>
                <w:szCs w:val="22"/>
              </w:rPr>
            </w:pPr>
            <w:r w:rsidRPr="0031203A">
              <w:rPr>
                <w:szCs w:val="22"/>
                <w:vertAlign w:val="superscript"/>
              </w:rPr>
              <w:t>e</w:t>
            </w:r>
            <w:r w:rsidRPr="0031203A">
              <w:rPr>
                <w:szCs w:val="22"/>
                <w:vertAlign w:val="superscript"/>
              </w:rPr>
              <w:tab/>
            </w:r>
            <w:r w:rsidRPr="0031203A">
              <w:rPr>
                <w:szCs w:val="22"/>
              </w:rPr>
              <w:t xml:space="preserve"> Efekti na kognitivnu funkciju (podrazumijeva događaje po klasifikaciji organskih sistema za poremećaje nervnog sistema: amnezija, kognitivni poremećaj, demencija, poremećaj pažnje, oštećenje pamćenja, oštećenje mentalnih funkcija i takođe uključuju događaje iz klasifikacije organskih sistema za psihijatrijske poremećaje: deficit pažnje/hiperaktivni poremećaj, stanje konfuzije, delirijum, dezorijentisanost, poremećaj čitanja). U okviru ovih efekata, pojmovi koji se odnose na poremećaje nervnog sistema su češće bilježeni od onih koji se odnose na psihijatrijske poremećaje, a prema klasifikaciji organskih sistema. </w:t>
            </w:r>
          </w:p>
          <w:p w14:paraId="4F0B9F7F" w14:textId="787165E5" w:rsidR="00151DDB" w:rsidRPr="0031203A" w:rsidRDefault="00151DDB" w:rsidP="00D77E03">
            <w:pPr>
              <w:tabs>
                <w:tab w:val="clear" w:pos="567"/>
                <w:tab w:val="left" w:pos="284"/>
              </w:tabs>
              <w:overflowPunct w:val="0"/>
              <w:autoSpaceDE w:val="0"/>
              <w:autoSpaceDN w:val="0"/>
              <w:adjustRightInd w:val="0"/>
              <w:spacing w:line="240" w:lineRule="auto"/>
              <w:ind w:left="284" w:hanging="284"/>
              <w:jc w:val="both"/>
              <w:textAlignment w:val="baseline"/>
              <w:rPr>
                <w:iCs/>
                <w:szCs w:val="22"/>
              </w:rPr>
            </w:pPr>
            <w:r w:rsidRPr="0031203A">
              <w:rPr>
                <w:szCs w:val="22"/>
                <w:vertAlign w:val="superscript"/>
              </w:rPr>
              <w:t>f</w:t>
            </w:r>
            <w:r w:rsidRPr="0031203A">
              <w:rPr>
                <w:szCs w:val="22"/>
                <w:vertAlign w:val="superscript"/>
              </w:rPr>
              <w:tab/>
            </w:r>
            <w:r w:rsidRPr="0031203A">
              <w:rPr>
                <w:szCs w:val="22"/>
              </w:rPr>
              <w:t>Periferna neuropatija (podrazumijeva osjećaj žarenja, disesteziju, mravinjanje, poremećaj hoda, hipoesteziju,</w:t>
            </w:r>
            <w:r w:rsidR="00481DC4" w:rsidRPr="0031203A">
              <w:rPr>
                <w:szCs w:val="22"/>
              </w:rPr>
              <w:t xml:space="preserve"> motornu disfunkciju,</w:t>
            </w:r>
            <w:r w:rsidRPr="0031203A">
              <w:rPr>
                <w:szCs w:val="22"/>
              </w:rPr>
              <w:t xml:space="preserve"> mišićnu slabost, neuralgiju, perifernu neuropatiju, neurotoksičnost, paresteziju, </w:t>
            </w:r>
            <w:r w:rsidR="0058145F" w:rsidRPr="0031203A">
              <w:rPr>
                <w:szCs w:val="22"/>
              </w:rPr>
              <w:t xml:space="preserve">perifernu motornu neuropatiju, </w:t>
            </w:r>
            <w:r w:rsidRPr="0031203A">
              <w:rPr>
                <w:szCs w:val="22"/>
              </w:rPr>
              <w:t>perifernu senzornu neuropatiju, paralizu peronealnog nerva, senzorni poremećaj).</w:t>
            </w:r>
          </w:p>
          <w:p w14:paraId="0BF2A428" w14:textId="77777777" w:rsidR="00151DDB" w:rsidRPr="0031203A" w:rsidRDefault="00151DDB" w:rsidP="00D77E03">
            <w:pPr>
              <w:tabs>
                <w:tab w:val="clear" w:pos="567"/>
                <w:tab w:val="left" w:pos="284"/>
              </w:tabs>
              <w:overflowPunct w:val="0"/>
              <w:autoSpaceDE w:val="0"/>
              <w:autoSpaceDN w:val="0"/>
              <w:adjustRightInd w:val="0"/>
              <w:spacing w:line="240" w:lineRule="auto"/>
              <w:ind w:left="284" w:hanging="284"/>
              <w:jc w:val="both"/>
              <w:textAlignment w:val="baseline"/>
              <w:rPr>
                <w:iCs/>
                <w:szCs w:val="22"/>
              </w:rPr>
            </w:pPr>
            <w:r w:rsidRPr="0031203A">
              <w:rPr>
                <w:szCs w:val="22"/>
                <w:vertAlign w:val="superscript"/>
              </w:rPr>
              <w:t>g</w:t>
            </w:r>
            <w:r w:rsidRPr="0031203A">
              <w:rPr>
                <w:szCs w:val="22"/>
                <w:vertAlign w:val="superscript"/>
              </w:rPr>
              <w:tab/>
            </w:r>
            <w:r w:rsidRPr="0031203A">
              <w:rPr>
                <w:szCs w:val="22"/>
              </w:rPr>
              <w:t>Efekti na govor (dizartrija, usporen govor, poremećaj govora).</w:t>
            </w:r>
          </w:p>
          <w:p w14:paraId="76903DE9" w14:textId="77777777" w:rsidR="00151DDB" w:rsidRPr="0031203A" w:rsidRDefault="00151DDB" w:rsidP="00D77E03">
            <w:pPr>
              <w:tabs>
                <w:tab w:val="left" w:pos="284"/>
              </w:tabs>
              <w:overflowPunct w:val="0"/>
              <w:autoSpaceDE w:val="0"/>
              <w:autoSpaceDN w:val="0"/>
              <w:adjustRightInd w:val="0"/>
              <w:spacing w:line="240" w:lineRule="auto"/>
              <w:ind w:left="284" w:hanging="284"/>
              <w:jc w:val="both"/>
              <w:textAlignment w:val="baseline"/>
              <w:rPr>
                <w:iCs/>
                <w:szCs w:val="22"/>
              </w:rPr>
            </w:pPr>
            <w:r w:rsidRPr="0031203A">
              <w:rPr>
                <w:szCs w:val="22"/>
                <w:vertAlign w:val="superscript"/>
              </w:rPr>
              <w:t>h</w:t>
            </w:r>
            <w:r w:rsidRPr="0031203A">
              <w:rPr>
                <w:szCs w:val="22"/>
                <w:vertAlign w:val="superscript"/>
              </w:rPr>
              <w:tab/>
            </w:r>
            <w:r w:rsidRPr="0031203A">
              <w:rPr>
                <w:szCs w:val="22"/>
              </w:rPr>
              <w:t>Poremećaj vida (podrazumijeva diplopiju, fotofobiju, fotopsiju, zamućeni vid, smanjenu oštrinu vida, oštećenje vida, zamućenja u vidnom polju).</w:t>
            </w:r>
          </w:p>
          <w:p w14:paraId="16A41A5E" w14:textId="795D0F26" w:rsidR="002B608C" w:rsidRPr="0031203A" w:rsidRDefault="002B608C" w:rsidP="00D77E03">
            <w:pPr>
              <w:tabs>
                <w:tab w:val="left" w:pos="284"/>
              </w:tabs>
              <w:overflowPunct w:val="0"/>
              <w:autoSpaceDE w:val="0"/>
              <w:autoSpaceDN w:val="0"/>
              <w:adjustRightInd w:val="0"/>
              <w:spacing w:line="240" w:lineRule="auto"/>
              <w:ind w:left="284" w:hanging="284"/>
              <w:jc w:val="both"/>
              <w:textAlignment w:val="baseline"/>
              <w:rPr>
                <w:iCs/>
                <w:szCs w:val="22"/>
              </w:rPr>
            </w:pPr>
            <w:r w:rsidRPr="0031203A">
              <w:rPr>
                <w:szCs w:val="22"/>
                <w:vertAlign w:val="superscript"/>
              </w:rPr>
              <w:t>i</w:t>
            </w:r>
            <w:r w:rsidRPr="0031203A">
              <w:rPr>
                <w:szCs w:val="22"/>
                <w:vertAlign w:val="superscript"/>
              </w:rPr>
              <w:tab/>
            </w:r>
            <w:r w:rsidRPr="0031203A">
              <w:rPr>
                <w:szCs w:val="22"/>
              </w:rPr>
              <w:t xml:space="preserve">Pneumonitis (podrazumijeva intersticijalnu bolest pluća, </w:t>
            </w:r>
            <w:r w:rsidR="009B637B" w:rsidRPr="0031203A">
              <w:rPr>
                <w:szCs w:val="22"/>
              </w:rPr>
              <w:t xml:space="preserve">zasjenčenost </w:t>
            </w:r>
            <w:r w:rsidR="005668A1" w:rsidRPr="0031203A">
              <w:rPr>
                <w:szCs w:val="22"/>
              </w:rPr>
              <w:t xml:space="preserve">pluća, </w:t>
            </w:r>
            <w:r w:rsidRPr="0031203A">
              <w:rPr>
                <w:szCs w:val="22"/>
              </w:rPr>
              <w:t>pneumonitis).</w:t>
            </w:r>
          </w:p>
          <w:p w14:paraId="30945267" w14:textId="77777777" w:rsidR="002B608C" w:rsidRPr="0031203A" w:rsidRDefault="002B608C" w:rsidP="00D77E03">
            <w:pPr>
              <w:tabs>
                <w:tab w:val="left" w:pos="284"/>
              </w:tabs>
              <w:overflowPunct w:val="0"/>
              <w:autoSpaceDE w:val="0"/>
              <w:autoSpaceDN w:val="0"/>
              <w:adjustRightInd w:val="0"/>
              <w:spacing w:line="240" w:lineRule="auto"/>
              <w:ind w:left="284" w:hanging="284"/>
              <w:jc w:val="both"/>
              <w:textAlignment w:val="baseline"/>
              <w:rPr>
                <w:iCs/>
                <w:szCs w:val="22"/>
              </w:rPr>
            </w:pPr>
            <w:r w:rsidRPr="0031203A">
              <w:rPr>
                <w:szCs w:val="22"/>
                <w:vertAlign w:val="superscript"/>
              </w:rPr>
              <w:t>j</w:t>
            </w:r>
            <w:r w:rsidRPr="0031203A">
              <w:rPr>
                <w:szCs w:val="22"/>
                <w:vertAlign w:val="superscript"/>
              </w:rPr>
              <w:tab/>
            </w:r>
            <w:r w:rsidRPr="0031203A">
              <w:rPr>
                <w:szCs w:val="22"/>
              </w:rPr>
              <w:t>Osip (podrazumijeva akneiformni dermatitis, makulopapularni osip, pruritični osip, osip).</w:t>
            </w:r>
          </w:p>
          <w:p w14:paraId="452A137B" w14:textId="77777777" w:rsidR="00EF0F61" w:rsidRPr="0031203A" w:rsidRDefault="002B608C" w:rsidP="00D77E03">
            <w:pPr>
              <w:tabs>
                <w:tab w:val="left" w:pos="284"/>
              </w:tabs>
              <w:overflowPunct w:val="0"/>
              <w:autoSpaceDE w:val="0"/>
              <w:autoSpaceDN w:val="0"/>
              <w:adjustRightInd w:val="0"/>
              <w:spacing w:line="240" w:lineRule="auto"/>
              <w:ind w:left="284" w:hanging="284"/>
              <w:jc w:val="both"/>
              <w:textAlignment w:val="baseline"/>
              <w:rPr>
                <w:iCs/>
                <w:szCs w:val="22"/>
              </w:rPr>
            </w:pPr>
            <w:r w:rsidRPr="0031203A">
              <w:rPr>
                <w:szCs w:val="22"/>
                <w:vertAlign w:val="superscript"/>
              </w:rPr>
              <w:t>k</w:t>
            </w:r>
            <w:r w:rsidRPr="0031203A">
              <w:rPr>
                <w:szCs w:val="22"/>
                <w:vertAlign w:val="superscript"/>
              </w:rPr>
              <w:tab/>
            </w:r>
            <w:r w:rsidRPr="0031203A">
              <w:rPr>
                <w:szCs w:val="22"/>
              </w:rPr>
              <w:t>Mijalgija (podrazumijeva muskuloskeletni bol, mijalgiju).</w:t>
            </w:r>
          </w:p>
          <w:p w14:paraId="7A3A3C42" w14:textId="77777777" w:rsidR="00151DDB" w:rsidRPr="0031203A" w:rsidRDefault="002B608C" w:rsidP="00D77E03">
            <w:pPr>
              <w:tabs>
                <w:tab w:val="left" w:pos="284"/>
              </w:tabs>
              <w:overflowPunct w:val="0"/>
              <w:autoSpaceDE w:val="0"/>
              <w:autoSpaceDN w:val="0"/>
              <w:adjustRightInd w:val="0"/>
              <w:spacing w:line="240" w:lineRule="auto"/>
              <w:ind w:left="284" w:hanging="284"/>
              <w:jc w:val="both"/>
              <w:textAlignment w:val="baseline"/>
              <w:rPr>
                <w:szCs w:val="22"/>
              </w:rPr>
            </w:pPr>
            <w:r w:rsidRPr="0031203A">
              <w:rPr>
                <w:szCs w:val="22"/>
                <w:vertAlign w:val="superscript"/>
              </w:rPr>
              <w:t>l</w:t>
            </w:r>
            <w:r w:rsidRPr="0031203A">
              <w:rPr>
                <w:szCs w:val="22"/>
                <w:vertAlign w:val="superscript"/>
              </w:rPr>
              <w:tab/>
            </w:r>
            <w:r w:rsidRPr="0031203A">
              <w:rPr>
                <w:szCs w:val="22"/>
              </w:rPr>
              <w:t>Edem (podrazumijeva generalizovan edem, edem, periferni edem, periferni otok, otok).</w:t>
            </w:r>
          </w:p>
          <w:p w14:paraId="2726A35E" w14:textId="77777777" w:rsidR="00151DDB" w:rsidRPr="0031203A" w:rsidDel="001D0A18" w:rsidRDefault="002B608C" w:rsidP="00D77E03">
            <w:pPr>
              <w:tabs>
                <w:tab w:val="clear" w:pos="567"/>
                <w:tab w:val="left" w:pos="284"/>
              </w:tabs>
              <w:overflowPunct w:val="0"/>
              <w:autoSpaceDE w:val="0"/>
              <w:autoSpaceDN w:val="0"/>
              <w:adjustRightInd w:val="0"/>
              <w:spacing w:line="240" w:lineRule="auto"/>
              <w:ind w:left="284" w:hanging="284"/>
              <w:jc w:val="both"/>
              <w:textAlignment w:val="baseline"/>
              <w:rPr>
                <w:iCs/>
                <w:szCs w:val="22"/>
                <w:vertAlign w:val="superscript"/>
              </w:rPr>
            </w:pPr>
            <w:r w:rsidRPr="0031203A">
              <w:rPr>
                <w:szCs w:val="22"/>
                <w:vertAlign w:val="superscript"/>
              </w:rPr>
              <w:t>m</w:t>
            </w:r>
            <w:r w:rsidRPr="0031203A">
              <w:rPr>
                <w:szCs w:val="22"/>
                <w:vertAlign w:val="superscript"/>
              </w:rPr>
              <w:tab/>
            </w:r>
            <w:r w:rsidRPr="0031203A">
              <w:rPr>
                <w:szCs w:val="22"/>
              </w:rPr>
              <w:t>Malaksalost (podrazumijeva asteniju, malaksalost).</w:t>
            </w:r>
            <w:r w:rsidRPr="0031203A">
              <w:rPr>
                <w:szCs w:val="22"/>
                <w:vertAlign w:val="superscript"/>
              </w:rPr>
              <w:t xml:space="preserve"> </w:t>
            </w:r>
          </w:p>
        </w:tc>
      </w:tr>
    </w:tbl>
    <w:p w14:paraId="52901BB0" w14:textId="77777777" w:rsidR="00151DDB" w:rsidRPr="00C0597B" w:rsidRDefault="00151DDB" w:rsidP="00D77E03">
      <w:pPr>
        <w:keepNext/>
        <w:spacing w:line="240" w:lineRule="auto"/>
        <w:jc w:val="both"/>
        <w:rPr>
          <w:szCs w:val="22"/>
          <w:u w:val="single"/>
        </w:rPr>
      </w:pPr>
    </w:p>
    <w:p w14:paraId="7D8309D2" w14:textId="77777777" w:rsidR="00DB7AA5" w:rsidRPr="00822B86" w:rsidRDefault="00DB7AA5" w:rsidP="00D77E03">
      <w:pPr>
        <w:keepNext/>
        <w:spacing w:line="240" w:lineRule="auto"/>
        <w:jc w:val="both"/>
        <w:rPr>
          <w:szCs w:val="22"/>
        </w:rPr>
      </w:pPr>
      <w:r w:rsidRPr="00822B86">
        <w:rPr>
          <w:szCs w:val="22"/>
          <w:u w:val="single"/>
        </w:rPr>
        <w:t>Opis odabranih neželjenih reakcija</w:t>
      </w:r>
      <w:r w:rsidRPr="00822B86">
        <w:rPr>
          <w:szCs w:val="22"/>
        </w:rPr>
        <w:t xml:space="preserve"> </w:t>
      </w:r>
    </w:p>
    <w:p w14:paraId="271CCA28" w14:textId="77777777" w:rsidR="00384DE6" w:rsidRPr="00446153" w:rsidRDefault="00384DE6" w:rsidP="00D77E03">
      <w:pPr>
        <w:keepNext/>
        <w:autoSpaceDE w:val="0"/>
        <w:autoSpaceDN w:val="0"/>
        <w:adjustRightInd w:val="0"/>
        <w:spacing w:line="240" w:lineRule="auto"/>
        <w:jc w:val="both"/>
        <w:rPr>
          <w:szCs w:val="22"/>
        </w:rPr>
      </w:pPr>
    </w:p>
    <w:p w14:paraId="16842698" w14:textId="77777777" w:rsidR="00C10D46" w:rsidRPr="0093305C" w:rsidRDefault="00C10D46" w:rsidP="00D77E03">
      <w:pPr>
        <w:keepNext/>
        <w:autoSpaceDE w:val="0"/>
        <w:autoSpaceDN w:val="0"/>
        <w:adjustRightInd w:val="0"/>
        <w:spacing w:line="240" w:lineRule="auto"/>
        <w:jc w:val="both"/>
        <w:rPr>
          <w:i/>
          <w:szCs w:val="22"/>
        </w:rPr>
      </w:pPr>
      <w:r w:rsidRPr="0093305C">
        <w:rPr>
          <w:i/>
          <w:szCs w:val="22"/>
        </w:rPr>
        <w:t>Hiperholesterolemija/hipertrigliceridemija</w:t>
      </w:r>
    </w:p>
    <w:p w14:paraId="66C94253" w14:textId="4526FA11" w:rsidR="00151DDB" w:rsidRPr="0093305C" w:rsidRDefault="00C10D46" w:rsidP="00D77E03">
      <w:pPr>
        <w:autoSpaceDE w:val="0"/>
        <w:autoSpaceDN w:val="0"/>
        <w:adjustRightInd w:val="0"/>
        <w:spacing w:line="240" w:lineRule="auto"/>
        <w:jc w:val="both"/>
        <w:rPr>
          <w:szCs w:val="22"/>
        </w:rPr>
      </w:pPr>
      <w:r w:rsidRPr="0093305C">
        <w:rPr>
          <w:szCs w:val="22"/>
        </w:rPr>
        <w:t>Neželjene reakcije u vidu povećanja nivoa serumskog holesterola ili triglicerida prijavljene su kod 8</w:t>
      </w:r>
      <w:r w:rsidR="00EA303C" w:rsidRPr="0093305C">
        <w:rPr>
          <w:szCs w:val="22"/>
        </w:rPr>
        <w:t>1</w:t>
      </w:r>
      <w:r w:rsidRPr="0093305C">
        <w:rPr>
          <w:szCs w:val="22"/>
        </w:rPr>
        <w:t>,</w:t>
      </w:r>
      <w:r w:rsidR="00EA303C" w:rsidRPr="0093305C">
        <w:rPr>
          <w:szCs w:val="22"/>
        </w:rPr>
        <w:t>1</w:t>
      </w:r>
      <w:r w:rsidRPr="0093305C">
        <w:rPr>
          <w:szCs w:val="22"/>
        </w:rPr>
        <w:t>%, odnosno 67,</w:t>
      </w:r>
      <w:r w:rsidR="006946E8" w:rsidRPr="0093305C">
        <w:rPr>
          <w:szCs w:val="22"/>
        </w:rPr>
        <w:t>2</w:t>
      </w:r>
      <w:r w:rsidRPr="0093305C">
        <w:rPr>
          <w:szCs w:val="22"/>
        </w:rPr>
        <w:t>% pacijenata. Među njima, blage ili umjerene neželjene reakcije u vidu hiperholesterolemije ili hipertrigliceridemije javile su se kod 6</w:t>
      </w:r>
      <w:r w:rsidR="006946E8" w:rsidRPr="0093305C">
        <w:rPr>
          <w:szCs w:val="22"/>
        </w:rPr>
        <w:t>2</w:t>
      </w:r>
      <w:r w:rsidRPr="0093305C">
        <w:rPr>
          <w:szCs w:val="22"/>
        </w:rPr>
        <w:t xml:space="preserve">,8 %, odnosno </w:t>
      </w:r>
      <w:r w:rsidR="006946E8" w:rsidRPr="0093305C">
        <w:rPr>
          <w:szCs w:val="22"/>
        </w:rPr>
        <w:t>47,9</w:t>
      </w:r>
      <w:r w:rsidRPr="0093305C">
        <w:rPr>
          <w:szCs w:val="22"/>
        </w:rPr>
        <w:t xml:space="preserve"> % pacijenta (vidjeti dio 4.4). Medijana vremena do pojave i hiperholesterolemije i hipertrigliceridemije bila je 15 dana (raspon</w:t>
      </w:r>
      <w:r w:rsidR="00C31F53" w:rsidRPr="0093305C">
        <w:rPr>
          <w:szCs w:val="22"/>
        </w:rPr>
        <w:t xml:space="preserve"> hiperholesterolemije</w:t>
      </w:r>
      <w:r w:rsidRPr="0093305C">
        <w:rPr>
          <w:szCs w:val="22"/>
        </w:rPr>
        <w:t>: 1 do </w:t>
      </w:r>
      <w:r w:rsidR="0004668D" w:rsidRPr="0093305C">
        <w:rPr>
          <w:szCs w:val="22"/>
        </w:rPr>
        <w:t xml:space="preserve">784 </w:t>
      </w:r>
      <w:r w:rsidRPr="0093305C">
        <w:rPr>
          <w:szCs w:val="22"/>
        </w:rPr>
        <w:t>dana</w:t>
      </w:r>
      <w:r w:rsidR="0004668D" w:rsidRPr="0093305C">
        <w:rPr>
          <w:szCs w:val="22"/>
        </w:rPr>
        <w:t>; opseg hipertrigliceridemije: 1 do 796 dana</w:t>
      </w:r>
      <w:r w:rsidRPr="0093305C">
        <w:rPr>
          <w:szCs w:val="22"/>
        </w:rPr>
        <w:t xml:space="preserve">). Medijana trajanja hiperholesterolemije i hipertrigliceridemije je bila </w:t>
      </w:r>
      <w:r w:rsidR="0004668D" w:rsidRPr="0093305C">
        <w:rPr>
          <w:szCs w:val="22"/>
        </w:rPr>
        <w:t>451</w:t>
      </w:r>
      <w:r w:rsidRPr="0093305C">
        <w:rPr>
          <w:szCs w:val="22"/>
        </w:rPr>
        <w:t>, odnosno i 4</w:t>
      </w:r>
      <w:r w:rsidR="0004668D" w:rsidRPr="0093305C">
        <w:rPr>
          <w:szCs w:val="22"/>
        </w:rPr>
        <w:t>27</w:t>
      </w:r>
      <w:r w:rsidRPr="0093305C">
        <w:rPr>
          <w:szCs w:val="22"/>
        </w:rPr>
        <w:t> dana.</w:t>
      </w:r>
    </w:p>
    <w:p w14:paraId="52025154" w14:textId="77777777" w:rsidR="00151DDB" w:rsidRPr="0093305C" w:rsidRDefault="00151DDB" w:rsidP="00D77E03">
      <w:pPr>
        <w:autoSpaceDE w:val="0"/>
        <w:autoSpaceDN w:val="0"/>
        <w:adjustRightInd w:val="0"/>
        <w:spacing w:line="240" w:lineRule="auto"/>
        <w:jc w:val="both"/>
        <w:rPr>
          <w:szCs w:val="22"/>
        </w:rPr>
      </w:pPr>
    </w:p>
    <w:p w14:paraId="3DF6E1ED" w14:textId="77777777" w:rsidR="00151DDB" w:rsidRPr="0093305C" w:rsidRDefault="00151DDB" w:rsidP="00D77E03">
      <w:pPr>
        <w:keepNext/>
        <w:autoSpaceDE w:val="0"/>
        <w:autoSpaceDN w:val="0"/>
        <w:adjustRightInd w:val="0"/>
        <w:spacing w:line="240" w:lineRule="auto"/>
        <w:jc w:val="both"/>
        <w:rPr>
          <w:i/>
          <w:szCs w:val="22"/>
        </w:rPr>
      </w:pPr>
      <w:r w:rsidRPr="0093305C">
        <w:rPr>
          <w:i/>
          <w:szCs w:val="22"/>
        </w:rPr>
        <w:t>Dejstva na centralni nervni sistem</w:t>
      </w:r>
    </w:p>
    <w:p w14:paraId="434615D7" w14:textId="63C6EDBC" w:rsidR="00151DDB" w:rsidRPr="0093305C" w:rsidRDefault="00151DDB" w:rsidP="00D77E03">
      <w:pPr>
        <w:keepNext/>
        <w:spacing w:line="240" w:lineRule="auto"/>
        <w:jc w:val="both"/>
        <w:rPr>
          <w:szCs w:val="22"/>
        </w:rPr>
      </w:pPr>
      <w:r w:rsidRPr="0093305C">
        <w:rPr>
          <w:szCs w:val="22"/>
        </w:rPr>
        <w:t>Neželjene reakcije CNS-a su primarno bili efekti na kognitivne funkcije (2</w:t>
      </w:r>
      <w:r w:rsidR="00B61A9A" w:rsidRPr="0093305C">
        <w:rPr>
          <w:szCs w:val="22"/>
        </w:rPr>
        <w:t>7,7</w:t>
      </w:r>
      <w:r w:rsidRPr="0093305C">
        <w:rPr>
          <w:szCs w:val="22"/>
        </w:rPr>
        <w:t>%), efekti na raspoloženje (2</w:t>
      </w:r>
      <w:r w:rsidR="00B61A9A" w:rsidRPr="0093305C">
        <w:rPr>
          <w:szCs w:val="22"/>
        </w:rPr>
        <w:t>1.0</w:t>
      </w:r>
      <w:r w:rsidRPr="0093305C">
        <w:rPr>
          <w:szCs w:val="22"/>
        </w:rPr>
        <w:t>%), efekti na govor (</w:t>
      </w:r>
      <w:r w:rsidR="00B61A9A" w:rsidRPr="0093305C">
        <w:rPr>
          <w:szCs w:val="22"/>
        </w:rPr>
        <w:t>8.2</w:t>
      </w:r>
      <w:r w:rsidRPr="0093305C">
        <w:rPr>
          <w:szCs w:val="22"/>
        </w:rPr>
        <w:t>%) i psihotični efekti (</w:t>
      </w:r>
      <w:r w:rsidR="00B61A9A" w:rsidRPr="0093305C">
        <w:rPr>
          <w:szCs w:val="22"/>
        </w:rPr>
        <w:t>6.5</w:t>
      </w:r>
      <w:r w:rsidRPr="0093305C">
        <w:rPr>
          <w:szCs w:val="22"/>
        </w:rPr>
        <w:t>%) i uglavnom su bili blagi, prolazni i povukli su se spontano nakon odlaganja primjene doze i/ili smanjenja doze (vidjeti dio 4.2 i 4.4). Najčešći efekat na kognitivnu funkciju bilo kog gradusa bio je poremećaj pamćenja (11,</w:t>
      </w:r>
      <w:r w:rsidR="00B61A9A" w:rsidRPr="0093305C">
        <w:rPr>
          <w:szCs w:val="22"/>
        </w:rPr>
        <w:t>3</w:t>
      </w:r>
      <w:r w:rsidRPr="0093305C">
        <w:rPr>
          <w:szCs w:val="22"/>
        </w:rPr>
        <w:t xml:space="preserve">%), a najčešće neželjene reakcije gradusa 3 ili 4 bili su stanje konfuzije </w:t>
      </w:r>
      <w:r w:rsidR="00B61A9A" w:rsidRPr="0093305C">
        <w:rPr>
          <w:szCs w:val="22"/>
        </w:rPr>
        <w:t xml:space="preserve">i kognitivni poremećaj </w:t>
      </w:r>
      <w:r w:rsidRPr="0093305C">
        <w:rPr>
          <w:szCs w:val="22"/>
        </w:rPr>
        <w:t>(</w:t>
      </w:r>
      <w:r w:rsidR="00B61A9A" w:rsidRPr="0093305C">
        <w:rPr>
          <w:szCs w:val="22"/>
        </w:rPr>
        <w:t>1</w:t>
      </w:r>
      <w:r w:rsidRPr="0093305C">
        <w:rPr>
          <w:szCs w:val="22"/>
        </w:rPr>
        <w:t xml:space="preserve">,7% </w:t>
      </w:r>
      <w:r w:rsidR="00B61A9A" w:rsidRPr="0093305C">
        <w:rPr>
          <w:szCs w:val="22"/>
        </w:rPr>
        <w:t>i 0,8% tim redoslijedom</w:t>
      </w:r>
      <w:r w:rsidRPr="0093305C">
        <w:rPr>
          <w:szCs w:val="22"/>
        </w:rPr>
        <w:t xml:space="preserve">). Najčešći efekat na raspoloženje bilo kog gradusa bila je </w:t>
      </w:r>
      <w:r w:rsidR="00E03583" w:rsidRPr="0093305C">
        <w:rPr>
          <w:szCs w:val="22"/>
        </w:rPr>
        <w:t>anksioznost</w:t>
      </w:r>
      <w:r w:rsidR="00E03583" w:rsidRPr="0093305C" w:rsidDel="00E03583">
        <w:rPr>
          <w:szCs w:val="22"/>
        </w:rPr>
        <w:t xml:space="preserve"> </w:t>
      </w:r>
      <w:r w:rsidRPr="0093305C">
        <w:rPr>
          <w:szCs w:val="22"/>
        </w:rPr>
        <w:t>(6,</w:t>
      </w:r>
      <w:r w:rsidR="00E03583" w:rsidRPr="0093305C">
        <w:rPr>
          <w:szCs w:val="22"/>
        </w:rPr>
        <w:t>5</w:t>
      </w:r>
      <w:r w:rsidRPr="0093305C">
        <w:rPr>
          <w:szCs w:val="22"/>
        </w:rPr>
        <w:t xml:space="preserve">%) </w:t>
      </w:r>
      <w:r w:rsidR="00E03583" w:rsidRPr="0093305C">
        <w:rPr>
          <w:szCs w:val="22"/>
        </w:rPr>
        <w:t>a najčešće reakcije gradusa 3 i 4 bili su iritabilnost i depresija (0,8% i 0,4% tim redoslijedom</w:t>
      </w:r>
      <w:r w:rsidR="009B637B" w:rsidRPr="0093305C">
        <w:rPr>
          <w:szCs w:val="22"/>
        </w:rPr>
        <w:t>)</w:t>
      </w:r>
      <w:r w:rsidRPr="0093305C">
        <w:rPr>
          <w:szCs w:val="22"/>
        </w:rPr>
        <w:t>. Najčešći efekat na govor bilo kog gradusa bila je dizartrija (4,</w:t>
      </w:r>
      <w:r w:rsidR="003D5506" w:rsidRPr="0093305C">
        <w:rPr>
          <w:szCs w:val="22"/>
        </w:rPr>
        <w:t>0</w:t>
      </w:r>
      <w:r w:rsidRPr="0093305C">
        <w:rPr>
          <w:szCs w:val="22"/>
        </w:rPr>
        <w:t xml:space="preserve">%), a </w:t>
      </w:r>
      <w:r w:rsidR="009B637B" w:rsidRPr="0093305C">
        <w:rPr>
          <w:szCs w:val="22"/>
        </w:rPr>
        <w:t xml:space="preserve">neželjene </w:t>
      </w:r>
      <w:r w:rsidRPr="0093305C">
        <w:rPr>
          <w:szCs w:val="22"/>
        </w:rPr>
        <w:t>reakcij</w:t>
      </w:r>
      <w:r w:rsidR="003D5506" w:rsidRPr="0093305C">
        <w:rPr>
          <w:szCs w:val="22"/>
        </w:rPr>
        <w:t>e</w:t>
      </w:r>
      <w:r w:rsidRPr="0093305C">
        <w:rPr>
          <w:szCs w:val="22"/>
        </w:rPr>
        <w:t xml:space="preserve"> gradusa 3 ili 4 bil</w:t>
      </w:r>
      <w:r w:rsidR="003D5506" w:rsidRPr="0093305C">
        <w:rPr>
          <w:szCs w:val="22"/>
        </w:rPr>
        <w:t xml:space="preserve">e su </w:t>
      </w:r>
      <w:r w:rsidRPr="0093305C">
        <w:rPr>
          <w:szCs w:val="22"/>
        </w:rPr>
        <w:t xml:space="preserve"> </w:t>
      </w:r>
      <w:r w:rsidR="003D5506" w:rsidRPr="0093305C">
        <w:rPr>
          <w:szCs w:val="22"/>
        </w:rPr>
        <w:t xml:space="preserve">dizartrija, </w:t>
      </w:r>
      <w:r w:rsidRPr="0093305C">
        <w:rPr>
          <w:szCs w:val="22"/>
        </w:rPr>
        <w:t xml:space="preserve">usporen govor </w:t>
      </w:r>
      <w:r w:rsidR="002B19B7" w:rsidRPr="0093305C">
        <w:rPr>
          <w:szCs w:val="22"/>
        </w:rPr>
        <w:t xml:space="preserve">i poremećaj govora </w:t>
      </w:r>
      <w:r w:rsidRPr="0093305C">
        <w:rPr>
          <w:szCs w:val="22"/>
        </w:rPr>
        <w:t>(0,</w:t>
      </w:r>
      <w:r w:rsidR="002B19B7" w:rsidRPr="0093305C">
        <w:rPr>
          <w:szCs w:val="22"/>
        </w:rPr>
        <w:t>2</w:t>
      </w:r>
      <w:r w:rsidRPr="0093305C">
        <w:rPr>
          <w:szCs w:val="22"/>
        </w:rPr>
        <w:t>%</w:t>
      </w:r>
      <w:r w:rsidR="002B19B7" w:rsidRPr="0093305C">
        <w:rPr>
          <w:szCs w:val="22"/>
        </w:rPr>
        <w:t xml:space="preserve"> svaki</w:t>
      </w:r>
      <w:r w:rsidRPr="0093305C">
        <w:rPr>
          <w:szCs w:val="22"/>
        </w:rPr>
        <w:t xml:space="preserve">). Najčešći psihotični efekat bilo kog gradusa bila je halucinacija (3,7%), a najčešće reakcije gradusa 3 ili 4 bile su halucinacija, </w:t>
      </w:r>
      <w:r w:rsidR="004326BD" w:rsidRPr="0093305C">
        <w:rPr>
          <w:szCs w:val="22"/>
        </w:rPr>
        <w:t xml:space="preserve">zvučna </w:t>
      </w:r>
      <w:r w:rsidRPr="0093305C">
        <w:rPr>
          <w:szCs w:val="22"/>
        </w:rPr>
        <w:t xml:space="preserve">halucinacija i vizuelna halucinacija (svaka 0,3%). Medijana vremena do pojave efekata na kognitivnu funkciju, raspoloženje, govor ili pojavu psihotičnog efekta bila je </w:t>
      </w:r>
      <w:r w:rsidR="002B19B7" w:rsidRPr="0093305C">
        <w:rPr>
          <w:szCs w:val="22"/>
        </w:rPr>
        <w:t>109</w:t>
      </w:r>
      <w:r w:rsidRPr="0093305C">
        <w:rPr>
          <w:szCs w:val="22"/>
        </w:rPr>
        <w:t xml:space="preserve">, </w:t>
      </w:r>
      <w:r w:rsidR="002B19B7" w:rsidRPr="0093305C">
        <w:rPr>
          <w:szCs w:val="22"/>
        </w:rPr>
        <w:t>43</w:t>
      </w:r>
      <w:r w:rsidRPr="0093305C">
        <w:rPr>
          <w:szCs w:val="22"/>
        </w:rPr>
        <w:t xml:space="preserve">, </w:t>
      </w:r>
      <w:r w:rsidR="002B19B7" w:rsidRPr="0093305C">
        <w:rPr>
          <w:szCs w:val="22"/>
        </w:rPr>
        <w:t>49</w:t>
      </w:r>
      <w:r w:rsidRPr="0093305C">
        <w:rPr>
          <w:szCs w:val="22"/>
        </w:rPr>
        <w:t>, odnosno 23 dana. Medijana trajanja efekata na kognitivnu funkciju, raspoloženje, govor ili psihotičnog efekta bila je 22</w:t>
      </w:r>
      <w:r w:rsidR="008C1E1B" w:rsidRPr="0093305C">
        <w:rPr>
          <w:szCs w:val="22"/>
        </w:rPr>
        <w:t>3</w:t>
      </w:r>
      <w:r w:rsidRPr="0093305C">
        <w:rPr>
          <w:szCs w:val="22"/>
        </w:rPr>
        <w:t xml:space="preserve">, </w:t>
      </w:r>
      <w:r w:rsidR="008C1E1B" w:rsidRPr="0093305C">
        <w:rPr>
          <w:szCs w:val="22"/>
        </w:rPr>
        <w:t>143</w:t>
      </w:r>
      <w:r w:rsidRPr="0093305C">
        <w:rPr>
          <w:szCs w:val="22"/>
        </w:rPr>
        <w:t xml:space="preserve">, </w:t>
      </w:r>
      <w:r w:rsidR="008C1E1B" w:rsidRPr="0093305C">
        <w:rPr>
          <w:szCs w:val="22"/>
        </w:rPr>
        <w:t>147</w:t>
      </w:r>
      <w:r w:rsidRPr="0093305C">
        <w:rPr>
          <w:szCs w:val="22"/>
        </w:rPr>
        <w:t xml:space="preserve">, odnosno 74 dana.  </w:t>
      </w:r>
    </w:p>
    <w:p w14:paraId="38311A00" w14:textId="77777777" w:rsidR="000E32D2" w:rsidRPr="0093305C" w:rsidRDefault="000E32D2" w:rsidP="00D77E03">
      <w:pPr>
        <w:jc w:val="both"/>
        <w:rPr>
          <w:i/>
          <w:iCs/>
          <w:szCs w:val="22"/>
          <w:lang w:eastAsia="hr-HR" w:bidi="hr-HR"/>
        </w:rPr>
      </w:pPr>
    </w:p>
    <w:p w14:paraId="39250C56" w14:textId="583D068C" w:rsidR="004C48CD" w:rsidRPr="0093305C" w:rsidRDefault="004C48CD" w:rsidP="00D77E03">
      <w:pPr>
        <w:jc w:val="both"/>
        <w:rPr>
          <w:i/>
          <w:iCs/>
          <w:szCs w:val="22"/>
          <w:lang w:eastAsia="hr-HR" w:bidi="hr-HR"/>
        </w:rPr>
      </w:pPr>
      <w:r w:rsidRPr="0093305C">
        <w:rPr>
          <w:i/>
          <w:iCs/>
          <w:szCs w:val="22"/>
          <w:lang w:eastAsia="hr-HR" w:bidi="hr-HR"/>
        </w:rPr>
        <w:t>Hipertenzija</w:t>
      </w:r>
    </w:p>
    <w:p w14:paraId="5D57212C" w14:textId="295E36B9" w:rsidR="004C48CD" w:rsidRPr="0093305C" w:rsidRDefault="004C48CD" w:rsidP="00D77E03">
      <w:pPr>
        <w:jc w:val="both"/>
        <w:rPr>
          <w:szCs w:val="22"/>
          <w:lang w:eastAsia="hr-HR" w:bidi="hr-HR"/>
        </w:rPr>
      </w:pPr>
      <w:r w:rsidRPr="0093305C">
        <w:rPr>
          <w:szCs w:val="22"/>
          <w:lang w:eastAsia="hr-HR" w:bidi="hr-HR"/>
        </w:rPr>
        <w:t>Hipertenzija, kao neželjena reakcija, prijavljena je kod 13 % pacijenata uključenih u studiju A i CROWN (B7461006). Među njima su se blage ili umjerene neželjene reakcije hipertenzije pojavile kod 6,9 % pacijenata (videti dio 4.4). Medijana vremena do pojave hipertenzije iznosila je 208 dana (opseg: 1 do 1028 dana). Medijana trajanja hipertenzije iznosila je 219 dana.</w:t>
      </w:r>
    </w:p>
    <w:p w14:paraId="72A07E55" w14:textId="02954191" w:rsidR="004C48CD" w:rsidRDefault="004C48CD" w:rsidP="00D77E03">
      <w:pPr>
        <w:jc w:val="both"/>
        <w:rPr>
          <w:szCs w:val="22"/>
          <w:lang w:eastAsia="hr-HR" w:bidi="hr-HR"/>
        </w:rPr>
      </w:pPr>
    </w:p>
    <w:p w14:paraId="3300FC51" w14:textId="42655683" w:rsidR="00B84D23" w:rsidRDefault="00B84D23" w:rsidP="00D77E03">
      <w:pPr>
        <w:jc w:val="both"/>
        <w:rPr>
          <w:szCs w:val="22"/>
          <w:lang w:eastAsia="hr-HR" w:bidi="hr-HR"/>
        </w:rPr>
      </w:pPr>
    </w:p>
    <w:p w14:paraId="44B4B60F" w14:textId="77777777" w:rsidR="00B84D23" w:rsidRPr="00822B86" w:rsidRDefault="00B84D23" w:rsidP="00D77E03">
      <w:pPr>
        <w:jc w:val="both"/>
        <w:rPr>
          <w:szCs w:val="22"/>
          <w:lang w:eastAsia="hr-HR" w:bidi="hr-HR"/>
        </w:rPr>
      </w:pPr>
    </w:p>
    <w:p w14:paraId="121B6B8F" w14:textId="77777777" w:rsidR="004C48CD" w:rsidRPr="00822B86" w:rsidRDefault="004C48CD" w:rsidP="00D77E03">
      <w:pPr>
        <w:jc w:val="both"/>
        <w:rPr>
          <w:i/>
          <w:iCs/>
          <w:szCs w:val="22"/>
          <w:lang w:eastAsia="hr-HR" w:bidi="hr-HR"/>
        </w:rPr>
      </w:pPr>
      <w:r w:rsidRPr="00822B86">
        <w:rPr>
          <w:i/>
          <w:iCs/>
          <w:szCs w:val="22"/>
          <w:lang w:eastAsia="hr-HR" w:bidi="hr-HR"/>
        </w:rPr>
        <w:lastRenderedPageBreak/>
        <w:t>Hiperglikemija</w:t>
      </w:r>
    </w:p>
    <w:p w14:paraId="40F9F6FC" w14:textId="3BCBDC8E" w:rsidR="004C48CD" w:rsidRPr="0093305C" w:rsidRDefault="004C48CD" w:rsidP="00D77E03">
      <w:pPr>
        <w:jc w:val="both"/>
        <w:rPr>
          <w:szCs w:val="22"/>
          <w:lang w:eastAsia="hr-HR" w:bidi="hr-HR"/>
        </w:rPr>
      </w:pPr>
      <w:r w:rsidRPr="00446153">
        <w:rPr>
          <w:szCs w:val="22"/>
          <w:lang w:eastAsia="hr-HR" w:bidi="hr-HR"/>
        </w:rPr>
        <w:t xml:space="preserve">Hiperglikemija, kao neželjena reakcija, prijavljena je kod 9,2 % pacijenata uključenih u studiju A i CROWN (B7461006). Među njima su se blage ili umjerene neželjene reakcije hiperglikemije pojavile kod 6,1% pacijenata (videti dio 4.4). Medijana vremena do </w:t>
      </w:r>
      <w:r w:rsidRPr="0093305C">
        <w:rPr>
          <w:szCs w:val="22"/>
          <w:lang w:eastAsia="hr-HR" w:bidi="hr-HR"/>
        </w:rPr>
        <w:t>pojave hiperglikemije iznosila je 145 dana (opseg: 1 do 1058 dana). Medijana trajanja hiperglikemije iznosila je 113 dana.</w:t>
      </w:r>
    </w:p>
    <w:p w14:paraId="72C0C3A7" w14:textId="77777777" w:rsidR="00151DDB" w:rsidRPr="0093305C" w:rsidRDefault="00151DDB" w:rsidP="00D77E03">
      <w:pPr>
        <w:keepNext/>
        <w:jc w:val="both"/>
        <w:rPr>
          <w:szCs w:val="22"/>
        </w:rPr>
      </w:pPr>
    </w:p>
    <w:p w14:paraId="4745C6D2" w14:textId="77777777" w:rsidR="00C0634F" w:rsidRPr="003C7D36" w:rsidRDefault="00C0634F" w:rsidP="00D77E03">
      <w:pPr>
        <w:keepNext/>
        <w:keepLines/>
        <w:jc w:val="both"/>
        <w:rPr>
          <w:szCs w:val="22"/>
          <w:u w:val="single"/>
        </w:rPr>
      </w:pPr>
      <w:r w:rsidRPr="0093305C">
        <w:rPr>
          <w:szCs w:val="22"/>
          <w:u w:val="single"/>
        </w:rPr>
        <w:t>Prijavljivanje sumnji na neželjena dejstva</w:t>
      </w:r>
    </w:p>
    <w:p w14:paraId="5AE93E2E" w14:textId="77777777" w:rsidR="00C0634F" w:rsidRPr="00C0597B" w:rsidRDefault="00C0634F" w:rsidP="00D77E03">
      <w:pPr>
        <w:keepNext/>
        <w:keepLines/>
        <w:jc w:val="both"/>
        <w:rPr>
          <w:szCs w:val="22"/>
          <w:u w:val="single"/>
        </w:rPr>
      </w:pPr>
    </w:p>
    <w:p w14:paraId="41034706" w14:textId="42E55942" w:rsidR="00C0634F" w:rsidRPr="00446153" w:rsidRDefault="00C0634F" w:rsidP="00D77E03">
      <w:pPr>
        <w:keepNext/>
        <w:keepLines/>
        <w:jc w:val="both"/>
        <w:rPr>
          <w:szCs w:val="22"/>
        </w:rPr>
      </w:pPr>
      <w:r w:rsidRPr="00822B86">
        <w:rPr>
          <w:szCs w:val="22"/>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35C882A1" w14:textId="77777777" w:rsidR="00C0634F" w:rsidRPr="003C7D36" w:rsidRDefault="00C0634F" w:rsidP="00D77E03">
      <w:pPr>
        <w:tabs>
          <w:tab w:val="center" w:pos="4536"/>
          <w:tab w:val="right" w:pos="9072"/>
        </w:tabs>
        <w:spacing w:before="120"/>
        <w:jc w:val="both"/>
        <w:rPr>
          <w:bCs/>
          <w:szCs w:val="22"/>
        </w:rPr>
      </w:pPr>
      <w:r w:rsidRPr="0093305C">
        <w:rPr>
          <w:szCs w:val="22"/>
        </w:rPr>
        <w:t xml:space="preserve">Institut za ljekove i medicinska sredstva </w:t>
      </w:r>
    </w:p>
    <w:p w14:paraId="68481EF8" w14:textId="77777777" w:rsidR="00C0634F" w:rsidRPr="003C7D36" w:rsidRDefault="00C0634F" w:rsidP="00D77E03">
      <w:pPr>
        <w:tabs>
          <w:tab w:val="center" w:pos="4536"/>
          <w:tab w:val="right" w:pos="9072"/>
        </w:tabs>
        <w:jc w:val="both"/>
        <w:rPr>
          <w:bCs/>
          <w:szCs w:val="22"/>
        </w:rPr>
      </w:pPr>
      <w:r w:rsidRPr="00C0597B">
        <w:rPr>
          <w:szCs w:val="22"/>
        </w:rPr>
        <w:t>Odjeljenje za farmakovigilancu</w:t>
      </w:r>
    </w:p>
    <w:p w14:paraId="31D9110C" w14:textId="77777777" w:rsidR="00C0634F" w:rsidRPr="003C7D36" w:rsidRDefault="00C0634F" w:rsidP="00D77E03">
      <w:pPr>
        <w:tabs>
          <w:tab w:val="center" w:pos="4536"/>
          <w:tab w:val="right" w:pos="9072"/>
        </w:tabs>
        <w:spacing w:after="120"/>
        <w:jc w:val="both"/>
        <w:rPr>
          <w:bCs/>
          <w:szCs w:val="22"/>
        </w:rPr>
      </w:pPr>
      <w:r w:rsidRPr="00C0597B">
        <w:rPr>
          <w:szCs w:val="22"/>
        </w:rPr>
        <w:t>Bulevar Ivana Crnojevića 64a, 81000 Podgorica</w:t>
      </w:r>
    </w:p>
    <w:p w14:paraId="6F6FC3FC" w14:textId="77777777" w:rsidR="00C0634F" w:rsidRPr="003C7D36" w:rsidRDefault="00C0634F" w:rsidP="00D77E03">
      <w:pPr>
        <w:tabs>
          <w:tab w:val="center" w:pos="4536"/>
          <w:tab w:val="right" w:pos="9072"/>
        </w:tabs>
        <w:jc w:val="both"/>
        <w:rPr>
          <w:bCs/>
          <w:szCs w:val="22"/>
        </w:rPr>
      </w:pPr>
      <w:r w:rsidRPr="00C0597B">
        <w:rPr>
          <w:szCs w:val="22"/>
        </w:rPr>
        <w:t>tel: +382 (0) 20 310 280</w:t>
      </w:r>
    </w:p>
    <w:p w14:paraId="2DBE9774" w14:textId="77777777" w:rsidR="00C0634F" w:rsidRPr="003C7D36" w:rsidRDefault="00C0634F" w:rsidP="00D77E03">
      <w:pPr>
        <w:tabs>
          <w:tab w:val="center" w:pos="4536"/>
          <w:tab w:val="right" w:pos="9072"/>
        </w:tabs>
        <w:jc w:val="both"/>
        <w:rPr>
          <w:bCs/>
          <w:szCs w:val="22"/>
        </w:rPr>
      </w:pPr>
      <w:r w:rsidRPr="00C0597B">
        <w:rPr>
          <w:szCs w:val="22"/>
        </w:rPr>
        <w:t>fax: +382 (0) 20 310 581</w:t>
      </w:r>
    </w:p>
    <w:p w14:paraId="03C50F31" w14:textId="3B9E70F3" w:rsidR="00C0634F" w:rsidRPr="003C7D36" w:rsidRDefault="00C1192C" w:rsidP="00D77E03">
      <w:pPr>
        <w:pStyle w:val="NoSpacing"/>
        <w:jc w:val="both"/>
        <w:rPr>
          <w:rFonts w:ascii="Times New Roman" w:hAnsi="Times New Roman"/>
        </w:rPr>
      </w:pPr>
      <w:hyperlink r:id="rId12" w:history="1">
        <w:r w:rsidR="00C0634F" w:rsidRPr="003C7D36">
          <w:rPr>
            <w:rStyle w:val="Hyperlink"/>
            <w:rFonts w:ascii="Times New Roman" w:hAnsi="Times New Roman"/>
            <w:color w:val="auto"/>
          </w:rPr>
          <w:t>www.cinmed.me</w:t>
        </w:r>
      </w:hyperlink>
    </w:p>
    <w:p w14:paraId="39E47A4E" w14:textId="485FDD7D" w:rsidR="00C0634F" w:rsidRPr="003C7D36" w:rsidRDefault="00C1192C" w:rsidP="00D77E03">
      <w:pPr>
        <w:pStyle w:val="NoSpacing"/>
        <w:jc w:val="both"/>
        <w:rPr>
          <w:rFonts w:ascii="Times New Roman" w:hAnsi="Times New Roman"/>
          <w:u w:val="single"/>
        </w:rPr>
      </w:pPr>
      <w:hyperlink r:id="rId13" w:history="1">
        <w:r w:rsidR="00C0634F" w:rsidRPr="003C7D36">
          <w:rPr>
            <w:rStyle w:val="Hyperlink"/>
            <w:rFonts w:ascii="Times New Roman" w:hAnsi="Times New Roman"/>
            <w:color w:val="auto"/>
          </w:rPr>
          <w:t>nezeljenadejstva@cinmed.me</w:t>
        </w:r>
      </w:hyperlink>
    </w:p>
    <w:p w14:paraId="0D34E253" w14:textId="77777777" w:rsidR="00C0634F" w:rsidRPr="003C7D36" w:rsidRDefault="00C0634F" w:rsidP="00D77E03">
      <w:pPr>
        <w:jc w:val="both"/>
        <w:rPr>
          <w:szCs w:val="22"/>
        </w:rPr>
      </w:pPr>
      <w:r w:rsidRPr="00C0597B">
        <w:rPr>
          <w:szCs w:val="22"/>
        </w:rPr>
        <w:t>putem IS zdravstvene zaštite</w:t>
      </w:r>
    </w:p>
    <w:p w14:paraId="4EEAAE34" w14:textId="0F309BEA" w:rsidR="001549D4" w:rsidRPr="003C7D36" w:rsidRDefault="001549D4" w:rsidP="00D77E03">
      <w:pPr>
        <w:spacing w:line="240" w:lineRule="auto"/>
        <w:jc w:val="both"/>
        <w:rPr>
          <w:rFonts w:eastAsia="Calibri"/>
          <w:szCs w:val="22"/>
        </w:rPr>
      </w:pPr>
      <w:r w:rsidRPr="003C7D36">
        <w:rPr>
          <w:rFonts w:eastAsia="Calibri"/>
          <w:szCs w:val="22"/>
        </w:rPr>
        <w:t>QR kod za online prijavu sumnje na neželjeno dejstvo lijeka:</w:t>
      </w:r>
    </w:p>
    <w:p w14:paraId="6AFEF56C" w14:textId="77777777" w:rsidR="001549D4" w:rsidRPr="003C7D36" w:rsidRDefault="001549D4" w:rsidP="00D77E03">
      <w:pPr>
        <w:spacing w:line="240" w:lineRule="auto"/>
        <w:jc w:val="both"/>
        <w:rPr>
          <w:rFonts w:eastAsia="Calibri"/>
          <w:szCs w:val="22"/>
        </w:rPr>
      </w:pPr>
    </w:p>
    <w:p w14:paraId="2ED49FAB" w14:textId="253C81FC" w:rsidR="001549D4" w:rsidRPr="003C7D36" w:rsidRDefault="00D71CA2" w:rsidP="00D77E03">
      <w:pPr>
        <w:spacing w:line="240" w:lineRule="auto"/>
        <w:jc w:val="both"/>
        <w:rPr>
          <w:szCs w:val="22"/>
        </w:rPr>
      </w:pPr>
      <w:r w:rsidRPr="00D71CA2">
        <w:rPr>
          <w:b/>
          <w:bCs/>
          <w:noProof/>
          <w:szCs w:val="22"/>
          <w:lang w:val="en-US"/>
        </w:rPr>
        <w:drawing>
          <wp:inline distT="0" distB="0" distL="0" distR="0" wp14:anchorId="4B9109A6" wp14:editId="162BF781">
            <wp:extent cx="980796" cy="972000"/>
            <wp:effectExtent l="0" t="0" r="0" b="0"/>
            <wp:docPr id="2" name="Picture 9">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4"/>
                    </pic:cNvPr>
                    <pic:cNvPicPr>
                      <a:picLocks noChangeAspect="1"/>
                    </pic:cNvPicPr>
                  </pic:nvPicPr>
                  <pic:blipFill rotWithShape="1">
                    <a:blip r:embed="rId15"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740C648" w14:textId="77777777" w:rsidR="001549D4" w:rsidRPr="003C7D36" w:rsidRDefault="001549D4" w:rsidP="00D77E03">
      <w:pPr>
        <w:spacing w:line="240" w:lineRule="auto"/>
        <w:jc w:val="both"/>
        <w:rPr>
          <w:szCs w:val="22"/>
        </w:rPr>
      </w:pPr>
    </w:p>
    <w:p w14:paraId="4407EF62" w14:textId="77777777" w:rsidR="00812D16" w:rsidRPr="003C7D36" w:rsidRDefault="00812D16" w:rsidP="00D77E03">
      <w:pPr>
        <w:keepNext/>
        <w:spacing w:line="240" w:lineRule="auto"/>
        <w:ind w:left="567" w:hanging="567"/>
        <w:jc w:val="both"/>
        <w:outlineLvl w:val="0"/>
        <w:rPr>
          <w:szCs w:val="22"/>
        </w:rPr>
      </w:pPr>
      <w:r w:rsidRPr="00C0597B">
        <w:rPr>
          <w:b/>
          <w:szCs w:val="22"/>
        </w:rPr>
        <w:t>4.9</w:t>
      </w:r>
      <w:r w:rsidRPr="00C0597B">
        <w:rPr>
          <w:b/>
          <w:szCs w:val="22"/>
        </w:rPr>
        <w:tab/>
        <w:t>Predoziranje</w:t>
      </w:r>
    </w:p>
    <w:p w14:paraId="7F775BB0" w14:textId="77777777" w:rsidR="00812D16" w:rsidRPr="003C7D36" w:rsidRDefault="00812D16" w:rsidP="00D77E03">
      <w:pPr>
        <w:keepNext/>
        <w:spacing w:line="240" w:lineRule="auto"/>
        <w:jc w:val="both"/>
        <w:rPr>
          <w:szCs w:val="22"/>
        </w:rPr>
      </w:pPr>
    </w:p>
    <w:p w14:paraId="21056E05" w14:textId="619B2AE6" w:rsidR="00BB2B99" w:rsidRPr="00446153" w:rsidRDefault="008D14BD" w:rsidP="00D77E03">
      <w:pPr>
        <w:keepNext/>
        <w:tabs>
          <w:tab w:val="clear" w:pos="567"/>
        </w:tabs>
        <w:spacing w:line="240" w:lineRule="auto"/>
        <w:jc w:val="both"/>
        <w:rPr>
          <w:szCs w:val="22"/>
        </w:rPr>
      </w:pPr>
      <w:r w:rsidRPr="00C0597B">
        <w:rPr>
          <w:szCs w:val="22"/>
        </w:rPr>
        <w:t>Liječenje predoziranja lijekom se sastoji od primjene suportivnih mjera. S obzirom na dozno</w:t>
      </w:r>
      <w:r w:rsidRPr="00C0597B">
        <w:rPr>
          <w:szCs w:val="22"/>
        </w:rPr>
        <w:noBreakHyphen/>
        <w:t>zavisan efekat na PR</w:t>
      </w:r>
      <w:r w:rsidR="00CA7EEF" w:rsidRPr="00822B86">
        <w:rPr>
          <w:szCs w:val="22"/>
        </w:rPr>
        <w:t> </w:t>
      </w:r>
      <w:r w:rsidRPr="00822B86">
        <w:rPr>
          <w:szCs w:val="22"/>
        </w:rPr>
        <w:t>interval, preporučuje se EKG</w:t>
      </w:r>
      <w:r w:rsidR="00CA7EEF" w:rsidRPr="00822B86">
        <w:rPr>
          <w:szCs w:val="22"/>
        </w:rPr>
        <w:t> </w:t>
      </w:r>
      <w:r w:rsidRPr="00446153">
        <w:rPr>
          <w:szCs w:val="22"/>
        </w:rPr>
        <w:t xml:space="preserve">monitoring. Ne postoji antidot za lorlatinib. </w:t>
      </w:r>
    </w:p>
    <w:p w14:paraId="685A6BB0" w14:textId="77777777" w:rsidR="00812D16" w:rsidRPr="003C7D36" w:rsidRDefault="00812D16" w:rsidP="00D77E03">
      <w:pPr>
        <w:spacing w:line="240" w:lineRule="auto"/>
        <w:jc w:val="both"/>
        <w:rPr>
          <w:szCs w:val="22"/>
        </w:rPr>
      </w:pPr>
    </w:p>
    <w:p w14:paraId="6FE22FC7" w14:textId="77777777" w:rsidR="00812D16" w:rsidRPr="00C0597B" w:rsidRDefault="00812D16" w:rsidP="00D77E03">
      <w:pPr>
        <w:spacing w:line="240" w:lineRule="auto"/>
        <w:jc w:val="both"/>
        <w:rPr>
          <w:szCs w:val="22"/>
        </w:rPr>
      </w:pPr>
    </w:p>
    <w:p w14:paraId="534FD443" w14:textId="77777777" w:rsidR="00812D16" w:rsidRPr="00822B86" w:rsidRDefault="00812D16" w:rsidP="00D77E03">
      <w:pPr>
        <w:keepNext/>
        <w:suppressAutoHyphens/>
        <w:spacing w:line="240" w:lineRule="auto"/>
        <w:ind w:left="567" w:hanging="567"/>
        <w:jc w:val="both"/>
        <w:rPr>
          <w:szCs w:val="22"/>
        </w:rPr>
      </w:pPr>
      <w:r w:rsidRPr="00822B86">
        <w:rPr>
          <w:b/>
          <w:szCs w:val="22"/>
        </w:rPr>
        <w:t>5.</w:t>
      </w:r>
      <w:r w:rsidRPr="00822B86">
        <w:rPr>
          <w:b/>
          <w:szCs w:val="22"/>
        </w:rPr>
        <w:tab/>
        <w:t>FARMAKOLOŠKI PODACI</w:t>
      </w:r>
    </w:p>
    <w:p w14:paraId="388EE8A1" w14:textId="77777777" w:rsidR="00812D16" w:rsidRPr="00446153" w:rsidRDefault="00812D16" w:rsidP="00D77E03">
      <w:pPr>
        <w:keepNext/>
        <w:spacing w:line="240" w:lineRule="auto"/>
        <w:jc w:val="both"/>
        <w:rPr>
          <w:szCs w:val="22"/>
        </w:rPr>
      </w:pPr>
    </w:p>
    <w:p w14:paraId="5D7F3D9B" w14:textId="77777777" w:rsidR="00812D16" w:rsidRPr="0093305C" w:rsidRDefault="00812D16" w:rsidP="00D77E03">
      <w:pPr>
        <w:keepNext/>
        <w:spacing w:line="240" w:lineRule="auto"/>
        <w:ind w:left="567" w:hanging="567"/>
        <w:jc w:val="both"/>
        <w:outlineLvl w:val="0"/>
        <w:rPr>
          <w:szCs w:val="22"/>
        </w:rPr>
      </w:pPr>
      <w:r w:rsidRPr="0093305C">
        <w:rPr>
          <w:b/>
          <w:szCs w:val="22"/>
        </w:rPr>
        <w:t xml:space="preserve">5.1 </w:t>
      </w:r>
      <w:r w:rsidRPr="0093305C">
        <w:rPr>
          <w:b/>
          <w:szCs w:val="22"/>
        </w:rPr>
        <w:tab/>
        <w:t>Farmakodinamski podaci</w:t>
      </w:r>
    </w:p>
    <w:p w14:paraId="756B4A55" w14:textId="77777777" w:rsidR="00812D16" w:rsidRPr="0093305C" w:rsidRDefault="00812D16" w:rsidP="00D77E03">
      <w:pPr>
        <w:spacing w:line="240" w:lineRule="auto"/>
        <w:jc w:val="both"/>
        <w:rPr>
          <w:szCs w:val="22"/>
        </w:rPr>
      </w:pPr>
    </w:p>
    <w:p w14:paraId="20B726B2" w14:textId="15BD83CB" w:rsidR="00C0634F" w:rsidRPr="003C7D36" w:rsidRDefault="00151DDB" w:rsidP="00D77E03">
      <w:pPr>
        <w:spacing w:line="240" w:lineRule="auto"/>
        <w:jc w:val="both"/>
        <w:outlineLvl w:val="0"/>
        <w:rPr>
          <w:szCs w:val="22"/>
        </w:rPr>
      </w:pPr>
      <w:r w:rsidRPr="0093305C">
        <w:rPr>
          <w:szCs w:val="22"/>
        </w:rPr>
        <w:t>Farmakoterapijska grupa: antineoplastični agensi, inhibitori protein kinaze</w:t>
      </w:r>
    </w:p>
    <w:p w14:paraId="2275D026" w14:textId="77777777" w:rsidR="00C0634F" w:rsidRPr="003C7D36" w:rsidRDefault="00C0634F" w:rsidP="00D77E03">
      <w:pPr>
        <w:spacing w:line="240" w:lineRule="auto"/>
        <w:jc w:val="both"/>
        <w:outlineLvl w:val="0"/>
        <w:rPr>
          <w:szCs w:val="22"/>
        </w:rPr>
      </w:pPr>
    </w:p>
    <w:p w14:paraId="300F95B7" w14:textId="3840280C" w:rsidR="00151DDB" w:rsidRPr="003C7D36" w:rsidRDefault="00151DDB" w:rsidP="00D77E03">
      <w:pPr>
        <w:spacing w:line="240" w:lineRule="auto"/>
        <w:jc w:val="both"/>
        <w:outlineLvl w:val="0"/>
        <w:rPr>
          <w:szCs w:val="22"/>
        </w:rPr>
      </w:pPr>
      <w:r w:rsidRPr="00C0597B">
        <w:rPr>
          <w:szCs w:val="22"/>
        </w:rPr>
        <w:t>ATC kod: L01</w:t>
      </w:r>
      <w:r w:rsidR="00D5422E" w:rsidRPr="00C0597B">
        <w:rPr>
          <w:szCs w:val="22"/>
        </w:rPr>
        <w:t>ED05</w:t>
      </w:r>
    </w:p>
    <w:p w14:paraId="60EF6A9D" w14:textId="77777777" w:rsidR="00151DDB" w:rsidRPr="003C7D36" w:rsidRDefault="00151DDB" w:rsidP="00D77E03">
      <w:pPr>
        <w:autoSpaceDE w:val="0"/>
        <w:autoSpaceDN w:val="0"/>
        <w:adjustRightInd w:val="0"/>
        <w:spacing w:line="240" w:lineRule="auto"/>
        <w:jc w:val="both"/>
        <w:rPr>
          <w:b/>
          <w:szCs w:val="22"/>
        </w:rPr>
      </w:pPr>
    </w:p>
    <w:p w14:paraId="5BDA00C5" w14:textId="77777777" w:rsidR="00151DDB" w:rsidRPr="003C7D36" w:rsidRDefault="00151DDB" w:rsidP="00D77E03">
      <w:pPr>
        <w:autoSpaceDE w:val="0"/>
        <w:autoSpaceDN w:val="0"/>
        <w:adjustRightInd w:val="0"/>
        <w:spacing w:line="240" w:lineRule="auto"/>
        <w:jc w:val="both"/>
        <w:rPr>
          <w:szCs w:val="22"/>
        </w:rPr>
      </w:pPr>
      <w:r w:rsidRPr="00C0597B">
        <w:rPr>
          <w:szCs w:val="22"/>
          <w:u w:val="single"/>
        </w:rPr>
        <w:t>Mehanizam djelovanja</w:t>
      </w:r>
    </w:p>
    <w:p w14:paraId="555C6972" w14:textId="77777777" w:rsidR="00151DDB" w:rsidRPr="003C7D36" w:rsidRDefault="00151DDB" w:rsidP="00D77E03">
      <w:pPr>
        <w:pStyle w:val="Paragraph"/>
        <w:spacing w:after="0"/>
        <w:jc w:val="both"/>
        <w:rPr>
          <w:sz w:val="22"/>
          <w:szCs w:val="22"/>
        </w:rPr>
      </w:pPr>
    </w:p>
    <w:p w14:paraId="5546191F" w14:textId="359C7016" w:rsidR="00151DDB" w:rsidRPr="003C7D36" w:rsidRDefault="00151DDB" w:rsidP="00D77E03">
      <w:pPr>
        <w:pStyle w:val="Paragraph"/>
        <w:spacing w:after="0"/>
        <w:jc w:val="both"/>
        <w:rPr>
          <w:sz w:val="22"/>
          <w:szCs w:val="22"/>
        </w:rPr>
      </w:pPr>
      <w:r w:rsidRPr="00C0597B">
        <w:rPr>
          <w:sz w:val="22"/>
          <w:szCs w:val="22"/>
        </w:rPr>
        <w:t>Lorlatinib je selektivni, adenozin trifosfat (ATP)</w:t>
      </w:r>
      <w:r w:rsidRPr="00C0597B">
        <w:rPr>
          <w:sz w:val="22"/>
          <w:szCs w:val="22"/>
        </w:rPr>
        <w:noBreakHyphen/>
        <w:t>kompetitivni inhibitor ALK i c</w:t>
      </w:r>
      <w:r w:rsidRPr="00C0597B">
        <w:rPr>
          <w:sz w:val="22"/>
          <w:szCs w:val="22"/>
        </w:rPr>
        <w:noBreakHyphen/>
        <w:t>ros onkogen</w:t>
      </w:r>
      <w:r w:rsidR="00CA7EEF" w:rsidRPr="0031203A">
        <w:rPr>
          <w:sz w:val="22"/>
          <w:szCs w:val="22"/>
        </w:rPr>
        <w:t> </w:t>
      </w:r>
      <w:r w:rsidRPr="00C0597B">
        <w:rPr>
          <w:sz w:val="22"/>
          <w:szCs w:val="22"/>
        </w:rPr>
        <w:t>1 (ROS1) tirozin kinaz</w:t>
      </w:r>
      <w:r w:rsidR="00952975" w:rsidRPr="00C0597B">
        <w:rPr>
          <w:sz w:val="22"/>
          <w:szCs w:val="22"/>
        </w:rPr>
        <w:t>e</w:t>
      </w:r>
      <w:r w:rsidRPr="00C0597B">
        <w:rPr>
          <w:sz w:val="22"/>
          <w:szCs w:val="22"/>
        </w:rPr>
        <w:t>.</w:t>
      </w:r>
    </w:p>
    <w:p w14:paraId="7D3EAAE0" w14:textId="77777777" w:rsidR="00151DDB" w:rsidRPr="003C7D36" w:rsidRDefault="00151DDB" w:rsidP="00D77E03">
      <w:pPr>
        <w:pStyle w:val="Paragraph"/>
        <w:spacing w:after="0"/>
        <w:jc w:val="both"/>
        <w:rPr>
          <w:sz w:val="22"/>
          <w:szCs w:val="22"/>
        </w:rPr>
      </w:pPr>
    </w:p>
    <w:p w14:paraId="3E0EADB5" w14:textId="77777777" w:rsidR="00B84D23" w:rsidRDefault="00151DDB" w:rsidP="00D77E03">
      <w:pPr>
        <w:pStyle w:val="Paragraph"/>
        <w:spacing w:after="0"/>
        <w:jc w:val="both"/>
        <w:rPr>
          <w:sz w:val="22"/>
          <w:szCs w:val="22"/>
        </w:rPr>
      </w:pPr>
      <w:r w:rsidRPr="00C0597B">
        <w:rPr>
          <w:sz w:val="22"/>
          <w:szCs w:val="22"/>
        </w:rPr>
        <w:t xml:space="preserve">U nekliničkim studijama lorlatinib je inhibirao katalitičke aktivnosti nemutiranog ALK-a i klinički značajnih mutiranih ALK kinaza u testovima baziranim na rekombinantnim enzimima i ćelijama. Lorlatinib je pokazao značajnu antitumorsku aktivnost kod miševa koji nose tumorske ksenografte koji eksprimiraju EML4 (engl. </w:t>
      </w:r>
      <w:r w:rsidRPr="00822B86">
        <w:rPr>
          <w:i/>
          <w:sz w:val="22"/>
          <w:szCs w:val="22"/>
        </w:rPr>
        <w:t>echinoderm microtubule-associated protein-like 4</w:t>
      </w:r>
      <w:r w:rsidRPr="00822B86">
        <w:rPr>
          <w:sz w:val="22"/>
          <w:szCs w:val="22"/>
        </w:rPr>
        <w:t xml:space="preserve">) fuzije s ALK-varijantom 1 (v1), uključujući mutacije ALK-a L1196M, G1269A, G1202R i I1171T. Za dvije od navedenih mutacija ALK-a, G1202R i I1171T, zna se da omogućavaju rezistenciju na alektinib, brigatinib, ceritinib i krizotinib. </w:t>
      </w:r>
    </w:p>
    <w:p w14:paraId="682E53CD" w14:textId="03DC8609" w:rsidR="00151DDB" w:rsidRPr="0031203A" w:rsidRDefault="00151DDB" w:rsidP="00D77E03">
      <w:pPr>
        <w:pStyle w:val="Paragraph"/>
        <w:spacing w:after="0"/>
        <w:jc w:val="both"/>
        <w:rPr>
          <w:sz w:val="22"/>
          <w:szCs w:val="22"/>
        </w:rPr>
      </w:pPr>
      <w:r w:rsidRPr="00822B86">
        <w:rPr>
          <w:sz w:val="22"/>
          <w:szCs w:val="22"/>
        </w:rPr>
        <w:lastRenderedPageBreak/>
        <w:t>Lorlatinib je takođe pokazao sposobnost da prolazi kroz krvno</w:t>
      </w:r>
      <w:r w:rsidRPr="00822B86">
        <w:rPr>
          <w:sz w:val="22"/>
          <w:szCs w:val="22"/>
        </w:rPr>
        <w:noBreakHyphen/>
        <w:t>moždanu barijeru. Lorlatinib je pokazao aktivnost kod miševa koji nose ortotopne implantate tumora na mozgu EML4</w:t>
      </w:r>
      <w:r w:rsidRPr="00822B86">
        <w:rPr>
          <w:sz w:val="22"/>
          <w:szCs w:val="22"/>
        </w:rPr>
        <w:noBreakHyphen/>
        <w:t>ALK ili EML4</w:t>
      </w:r>
      <w:r w:rsidRPr="00822B86">
        <w:rPr>
          <w:sz w:val="22"/>
          <w:szCs w:val="22"/>
        </w:rPr>
        <w:noBreakHyphen/>
        <w:t>ALK</w:t>
      </w:r>
      <w:r w:rsidRPr="00822B86">
        <w:rPr>
          <w:sz w:val="22"/>
          <w:szCs w:val="22"/>
          <w:vertAlign w:val="superscript"/>
        </w:rPr>
        <w:t>L1196M</w:t>
      </w:r>
      <w:r w:rsidRPr="00446153">
        <w:rPr>
          <w:sz w:val="22"/>
          <w:szCs w:val="22"/>
        </w:rPr>
        <w:t xml:space="preserve">. </w:t>
      </w:r>
    </w:p>
    <w:p w14:paraId="5451C633" w14:textId="77777777" w:rsidR="00151DDB" w:rsidRPr="003C7D36" w:rsidRDefault="00151DDB" w:rsidP="00D77E03">
      <w:pPr>
        <w:pStyle w:val="Paragraph"/>
        <w:spacing w:after="0"/>
        <w:jc w:val="both"/>
        <w:rPr>
          <w:sz w:val="22"/>
          <w:szCs w:val="22"/>
        </w:rPr>
      </w:pPr>
    </w:p>
    <w:p w14:paraId="602D6D7D" w14:textId="7919D3F7" w:rsidR="00151DDB" w:rsidRPr="00C0597B" w:rsidRDefault="00151DDB" w:rsidP="00D77E03">
      <w:pPr>
        <w:pStyle w:val="Paragraph"/>
        <w:keepNext/>
        <w:spacing w:after="0"/>
        <w:jc w:val="both"/>
        <w:rPr>
          <w:i/>
          <w:sz w:val="22"/>
          <w:szCs w:val="22"/>
        </w:rPr>
      </w:pPr>
      <w:r w:rsidRPr="00C0597B">
        <w:rPr>
          <w:i/>
          <w:sz w:val="22"/>
          <w:szCs w:val="22"/>
        </w:rPr>
        <w:t xml:space="preserve">Klinička efikasnost </w:t>
      </w:r>
    </w:p>
    <w:p w14:paraId="6EE5B126" w14:textId="57BBF438" w:rsidR="00BC7DB3" w:rsidRPr="00822B86" w:rsidRDefault="00BC7DB3" w:rsidP="00D77E03">
      <w:pPr>
        <w:pStyle w:val="Paragraph"/>
        <w:keepNext/>
        <w:spacing w:after="0"/>
        <w:jc w:val="both"/>
        <w:rPr>
          <w:i/>
          <w:sz w:val="22"/>
          <w:szCs w:val="22"/>
        </w:rPr>
      </w:pPr>
    </w:p>
    <w:p w14:paraId="28C2AF76" w14:textId="43C63950" w:rsidR="00C64CB3" w:rsidRPr="00446153" w:rsidRDefault="00C64CB3" w:rsidP="00D77E03">
      <w:pPr>
        <w:keepNext/>
        <w:jc w:val="both"/>
        <w:rPr>
          <w:iCs/>
          <w:szCs w:val="22"/>
        </w:rPr>
      </w:pPr>
      <w:r w:rsidRPr="00446153">
        <w:rPr>
          <w:i/>
          <w:szCs w:val="22"/>
        </w:rPr>
        <w:t>Prethodno neliječeni ALK pozitivan uznapredovali NSCLC (CROWN studija)</w:t>
      </w:r>
    </w:p>
    <w:p w14:paraId="3D91F181" w14:textId="59A232FD" w:rsidR="00C64CB3" w:rsidRPr="0093305C" w:rsidRDefault="00C64CB3" w:rsidP="00D77E03">
      <w:pPr>
        <w:keepNext/>
        <w:jc w:val="both"/>
        <w:rPr>
          <w:szCs w:val="22"/>
        </w:rPr>
      </w:pPr>
    </w:p>
    <w:p w14:paraId="3E8AFC6F" w14:textId="5667F4D4" w:rsidR="00C64CB3" w:rsidRPr="0093305C" w:rsidRDefault="00C64CB3" w:rsidP="00D77E03">
      <w:pPr>
        <w:keepNext/>
        <w:jc w:val="both"/>
        <w:rPr>
          <w:szCs w:val="22"/>
        </w:rPr>
      </w:pPr>
      <w:r w:rsidRPr="0093305C">
        <w:rPr>
          <w:szCs w:val="22"/>
        </w:rPr>
        <w:t>Efikasnost lijeka lorlatiniba za l</w:t>
      </w:r>
      <w:r w:rsidR="00847E49" w:rsidRPr="0093305C">
        <w:rPr>
          <w:szCs w:val="22"/>
        </w:rPr>
        <w:t>ij</w:t>
      </w:r>
      <w:r w:rsidRPr="0093305C">
        <w:rPr>
          <w:szCs w:val="22"/>
        </w:rPr>
        <w:t xml:space="preserve">ečenje pacijenata sa ALK pozitivnim NSCLC koji </w:t>
      </w:r>
      <w:r w:rsidR="00D16ACC" w:rsidRPr="0093305C">
        <w:rPr>
          <w:szCs w:val="22"/>
        </w:rPr>
        <w:t xml:space="preserve">prethodno </w:t>
      </w:r>
      <w:r w:rsidRPr="0093305C">
        <w:rPr>
          <w:szCs w:val="22"/>
        </w:rPr>
        <w:t>nisu primali sistemsku terapiju za metastatsku bolest utvrđena je u otvorenoj, randomizovanoj, aktivno kontrolisanoj, multicentričnoj studiji B7461006 (CRO</w:t>
      </w:r>
      <w:r w:rsidR="00847E49" w:rsidRPr="0093305C">
        <w:rPr>
          <w:szCs w:val="22"/>
        </w:rPr>
        <w:t>W</w:t>
      </w:r>
      <w:r w:rsidRPr="0093305C">
        <w:rPr>
          <w:szCs w:val="22"/>
        </w:rPr>
        <w:t>N studija)</w:t>
      </w:r>
      <w:r w:rsidR="007353BA" w:rsidRPr="0093305C">
        <w:rPr>
          <w:szCs w:val="22"/>
        </w:rPr>
        <w:t xml:space="preserve">. </w:t>
      </w:r>
      <w:r w:rsidR="00D16ACC" w:rsidRPr="0093305C">
        <w:rPr>
          <w:szCs w:val="22"/>
        </w:rPr>
        <w:t>P</w:t>
      </w:r>
      <w:r w:rsidR="007353BA" w:rsidRPr="0093305C">
        <w:rPr>
          <w:szCs w:val="22"/>
        </w:rPr>
        <w:t>acijent</w:t>
      </w:r>
      <w:r w:rsidR="00D16ACC" w:rsidRPr="0093305C">
        <w:rPr>
          <w:szCs w:val="22"/>
        </w:rPr>
        <w:t>i</w:t>
      </w:r>
      <w:r w:rsidR="007353BA" w:rsidRPr="0093305C">
        <w:rPr>
          <w:szCs w:val="22"/>
        </w:rPr>
        <w:t xml:space="preserve"> </w:t>
      </w:r>
      <w:r w:rsidR="00D16ACC" w:rsidRPr="0093305C">
        <w:rPr>
          <w:szCs w:val="22"/>
        </w:rPr>
        <w:t>su morali</w:t>
      </w:r>
      <w:r w:rsidR="007353BA" w:rsidRPr="0093305C">
        <w:rPr>
          <w:szCs w:val="22"/>
        </w:rPr>
        <w:t xml:space="preserve"> ima</w:t>
      </w:r>
      <w:r w:rsidR="00D16ACC" w:rsidRPr="0093305C">
        <w:rPr>
          <w:szCs w:val="22"/>
        </w:rPr>
        <w:t>ti</w:t>
      </w:r>
      <w:r w:rsidR="007353BA" w:rsidRPr="0093305C">
        <w:rPr>
          <w:szCs w:val="22"/>
        </w:rPr>
        <w:t xml:space="preserve"> </w:t>
      </w:r>
      <w:r w:rsidR="00D16ACC" w:rsidRPr="0093305C">
        <w:rPr>
          <w:szCs w:val="22"/>
        </w:rPr>
        <w:t xml:space="preserve">funkcionalni </w:t>
      </w:r>
      <w:r w:rsidR="007353BA" w:rsidRPr="0093305C">
        <w:rPr>
          <w:szCs w:val="22"/>
        </w:rPr>
        <w:t xml:space="preserve">status  </w:t>
      </w:r>
      <w:r w:rsidR="00D16ACC" w:rsidRPr="0093305C">
        <w:rPr>
          <w:szCs w:val="22"/>
        </w:rPr>
        <w:t xml:space="preserve">od 0 do 2  prema engl. </w:t>
      </w:r>
      <w:r w:rsidR="007353BA" w:rsidRPr="0093305C">
        <w:rPr>
          <w:i/>
          <w:szCs w:val="22"/>
        </w:rPr>
        <w:t>Eastern Cooperative Oncology Group</w:t>
      </w:r>
      <w:r w:rsidR="007353BA" w:rsidRPr="0093305C">
        <w:rPr>
          <w:szCs w:val="22"/>
        </w:rPr>
        <w:t xml:space="preserve"> (ECOG) i ALK pozitivan NSCLC što je identifikovano testom VENTANA ALK (D5F3) CDx. </w:t>
      </w:r>
      <w:r w:rsidR="00D16ACC" w:rsidRPr="0093305C">
        <w:rPr>
          <w:szCs w:val="22"/>
        </w:rPr>
        <w:t xml:space="preserve">Uslove za uključivanje u ispitivanje u ispitivanje ispunjavali  </w:t>
      </w:r>
      <w:r w:rsidR="007353BA" w:rsidRPr="0093305C">
        <w:rPr>
          <w:szCs w:val="22"/>
        </w:rPr>
        <w:t xml:space="preserve">su neurološki stabilni pacijenti sa liječenim ili neliječenim asimptomatskim CNS metastazama, uključujući leptomeningealne metastaze. </w:t>
      </w:r>
      <w:r w:rsidR="00C224F3" w:rsidRPr="0093305C">
        <w:rPr>
          <w:szCs w:val="22"/>
        </w:rPr>
        <w:t>Od pacijenata je traženo da završe terapiju zračenjem, uključujući stereotaktično ili djelimično zračenje mozga u roku od 2 nedjelje prije randomizacije; zračenje cijelog mozga u roku od 4 nedjelje prije randomizacije.</w:t>
      </w:r>
    </w:p>
    <w:p w14:paraId="12257082" w14:textId="05B2993D" w:rsidR="004152AB" w:rsidRPr="0093305C" w:rsidRDefault="004152AB" w:rsidP="00D77E03">
      <w:pPr>
        <w:keepNext/>
        <w:jc w:val="both"/>
        <w:rPr>
          <w:szCs w:val="22"/>
        </w:rPr>
      </w:pPr>
    </w:p>
    <w:p w14:paraId="2FAD5CAD" w14:textId="540863C9" w:rsidR="004152AB" w:rsidRPr="0093305C" w:rsidRDefault="004152AB" w:rsidP="00D77E03">
      <w:pPr>
        <w:keepNext/>
        <w:jc w:val="both"/>
        <w:rPr>
          <w:szCs w:val="22"/>
        </w:rPr>
      </w:pPr>
      <w:r w:rsidRPr="0093305C">
        <w:rPr>
          <w:szCs w:val="22"/>
        </w:rPr>
        <w:t>Pacijenti su randomizovani u odnosu 1:1 da primaju lijek lorlatinib 100 mg oralno jednom dnevno ili krizotinib 250 mg oralno dva puta dnevno. Randomizacija je stratifikovana prema etničkom porijeklu (</w:t>
      </w:r>
      <w:r w:rsidR="00D16ACC" w:rsidRPr="0093305C">
        <w:rPr>
          <w:szCs w:val="22"/>
        </w:rPr>
        <w:t xml:space="preserve">azijat </w:t>
      </w:r>
      <w:r w:rsidRPr="0093305C">
        <w:rPr>
          <w:szCs w:val="22"/>
        </w:rPr>
        <w:t>u odnosu na neazijata) i prisustvu ili odsustvu CNS metastaza na početku</w:t>
      </w:r>
      <w:r w:rsidR="00D16ACC" w:rsidRPr="0093305C">
        <w:rPr>
          <w:szCs w:val="22"/>
        </w:rPr>
        <w:t xml:space="preserve"> ispitivanja</w:t>
      </w:r>
      <w:r w:rsidRPr="0093305C">
        <w:rPr>
          <w:szCs w:val="22"/>
        </w:rPr>
        <w:t xml:space="preserve">. </w:t>
      </w:r>
      <w:r w:rsidR="00D46E69" w:rsidRPr="0093305C">
        <w:rPr>
          <w:szCs w:val="22"/>
        </w:rPr>
        <w:t xml:space="preserve">Tretman obje </w:t>
      </w:r>
      <w:r w:rsidR="00116B08" w:rsidRPr="0093305C">
        <w:rPr>
          <w:szCs w:val="22"/>
        </w:rPr>
        <w:t xml:space="preserve">grupe </w:t>
      </w:r>
      <w:r w:rsidR="00D46E69" w:rsidRPr="0093305C">
        <w:rPr>
          <w:szCs w:val="22"/>
        </w:rPr>
        <w:t>je nastavljen do progresije bolesti ili do neprihvatljive toksičnosti. Glavna mjera ishoda efikasnosti bila je preživljavanje bez progresije (</w:t>
      </w:r>
      <w:r w:rsidR="00116B08" w:rsidRPr="0093305C">
        <w:rPr>
          <w:i/>
          <w:szCs w:val="22"/>
        </w:rPr>
        <w:t>progression free survival</w:t>
      </w:r>
      <w:r w:rsidR="00116B08" w:rsidRPr="0093305C">
        <w:rPr>
          <w:szCs w:val="22"/>
        </w:rPr>
        <w:t xml:space="preserve"> - </w:t>
      </w:r>
      <w:r w:rsidR="00D46E69" w:rsidRPr="0093305C">
        <w:rPr>
          <w:szCs w:val="22"/>
        </w:rPr>
        <w:t xml:space="preserve">PFS) kako je utvrđeno </w:t>
      </w:r>
      <w:r w:rsidR="002F1E35" w:rsidRPr="0093305C">
        <w:rPr>
          <w:szCs w:val="22"/>
        </w:rPr>
        <w:t>slijepom nezavisnom centralnom procjenom (</w:t>
      </w:r>
      <w:r w:rsidR="00D46E69" w:rsidRPr="0093305C">
        <w:rPr>
          <w:i/>
          <w:szCs w:val="22"/>
        </w:rPr>
        <w:t>Blinded Independent Central Review</w:t>
      </w:r>
      <w:r w:rsidR="002F1E35" w:rsidRPr="0093305C">
        <w:rPr>
          <w:szCs w:val="22"/>
        </w:rPr>
        <w:t xml:space="preserve">, </w:t>
      </w:r>
      <w:r w:rsidR="00D46E69" w:rsidRPr="0093305C">
        <w:rPr>
          <w:szCs w:val="22"/>
        </w:rPr>
        <w:t>BICR) prema Kriterijumima za proc</w:t>
      </w:r>
      <w:r w:rsidR="00EC141D" w:rsidRPr="0093305C">
        <w:rPr>
          <w:szCs w:val="22"/>
        </w:rPr>
        <w:t>j</w:t>
      </w:r>
      <w:r w:rsidR="00D46E69" w:rsidRPr="0093305C">
        <w:rPr>
          <w:szCs w:val="22"/>
        </w:rPr>
        <w:t>enu odgovora kod solidnih tumora (RECIST) verzija 1.1 (v1.1).</w:t>
      </w:r>
      <w:r w:rsidR="00D9626E" w:rsidRPr="0093305C">
        <w:rPr>
          <w:szCs w:val="22"/>
        </w:rPr>
        <w:t xml:space="preserve"> Dodatne mjere ishoda efikasnosti su bile ukupno preživljavanje (</w:t>
      </w:r>
      <w:r w:rsidR="00116B08" w:rsidRPr="0093305C">
        <w:rPr>
          <w:i/>
          <w:szCs w:val="22"/>
        </w:rPr>
        <w:t>Overall survival</w:t>
      </w:r>
      <w:r w:rsidR="00116B08" w:rsidRPr="0093305C">
        <w:rPr>
          <w:szCs w:val="22"/>
        </w:rPr>
        <w:t xml:space="preserve"> - </w:t>
      </w:r>
      <w:r w:rsidR="00D9626E" w:rsidRPr="0093305C">
        <w:rPr>
          <w:szCs w:val="22"/>
        </w:rPr>
        <w:t>OS), PFS prema procjeni istraživača, PFS2</w:t>
      </w:r>
      <w:r w:rsidR="00116B08" w:rsidRPr="0093305C">
        <w:rPr>
          <w:szCs w:val="22"/>
        </w:rPr>
        <w:t xml:space="preserve"> (drugo preživljavanje bez progresije bolesti)</w:t>
      </w:r>
      <w:r w:rsidR="00D9626E" w:rsidRPr="0093305C">
        <w:rPr>
          <w:szCs w:val="22"/>
        </w:rPr>
        <w:t xml:space="preserve"> i podaci u vezi sa procjenom tumora prema BICR-u, uključujući stopu objektivnog odgovora (</w:t>
      </w:r>
      <w:r w:rsidR="00F73BBD" w:rsidRPr="0093305C">
        <w:rPr>
          <w:i/>
          <w:szCs w:val="22"/>
        </w:rPr>
        <w:t>Objective Response Rate</w:t>
      </w:r>
      <w:r w:rsidR="00F73BBD" w:rsidRPr="0093305C">
        <w:rPr>
          <w:szCs w:val="22"/>
        </w:rPr>
        <w:t xml:space="preserve"> - </w:t>
      </w:r>
      <w:r w:rsidR="00D9626E" w:rsidRPr="0093305C">
        <w:rPr>
          <w:szCs w:val="22"/>
        </w:rPr>
        <w:t>ORR), trajanje odgovora (</w:t>
      </w:r>
      <w:r w:rsidR="00F73BBD" w:rsidRPr="0093305C">
        <w:rPr>
          <w:i/>
          <w:szCs w:val="22"/>
        </w:rPr>
        <w:t>Duration of Response</w:t>
      </w:r>
      <w:r w:rsidR="00F73BBD" w:rsidRPr="0093305C">
        <w:rPr>
          <w:szCs w:val="22"/>
        </w:rPr>
        <w:t xml:space="preserve"> - </w:t>
      </w:r>
      <w:r w:rsidR="00D9626E" w:rsidRPr="0093305C">
        <w:rPr>
          <w:szCs w:val="22"/>
        </w:rPr>
        <w:t>DOR) i vrijeme do intrakranijalne progresije (</w:t>
      </w:r>
      <w:r w:rsidR="00F73BBD" w:rsidRPr="0093305C">
        <w:rPr>
          <w:i/>
          <w:szCs w:val="22"/>
        </w:rPr>
        <w:t>Time to intracranial progression</w:t>
      </w:r>
      <w:r w:rsidR="00F73BBD" w:rsidRPr="0093305C">
        <w:rPr>
          <w:szCs w:val="22"/>
        </w:rPr>
        <w:t xml:space="preserve"> - </w:t>
      </w:r>
      <w:r w:rsidR="00D9626E" w:rsidRPr="0093305C">
        <w:rPr>
          <w:szCs w:val="22"/>
        </w:rPr>
        <w:t xml:space="preserve">IC TTP). </w:t>
      </w:r>
      <w:r w:rsidR="003800E9" w:rsidRPr="0093305C">
        <w:rPr>
          <w:szCs w:val="22"/>
        </w:rPr>
        <w:t xml:space="preserve">Kod pacijenata sa metastazama </w:t>
      </w:r>
      <w:r w:rsidR="00FF2AFB" w:rsidRPr="0093305C">
        <w:rPr>
          <w:szCs w:val="22"/>
        </w:rPr>
        <w:t xml:space="preserve">u centralnom nervnom sistemu </w:t>
      </w:r>
      <w:r w:rsidR="003800E9" w:rsidRPr="0093305C">
        <w:rPr>
          <w:szCs w:val="22"/>
        </w:rPr>
        <w:t>na početku</w:t>
      </w:r>
      <w:r w:rsidR="00FF2AFB" w:rsidRPr="0093305C">
        <w:rPr>
          <w:szCs w:val="22"/>
        </w:rPr>
        <w:t xml:space="preserve"> ispitivanja</w:t>
      </w:r>
      <w:r w:rsidR="003800E9" w:rsidRPr="0093305C">
        <w:rPr>
          <w:szCs w:val="22"/>
        </w:rPr>
        <w:t xml:space="preserve">, dodatne mjere ishoda bile su </w:t>
      </w:r>
      <w:r w:rsidR="00FF2AFB" w:rsidRPr="0093305C">
        <w:rPr>
          <w:szCs w:val="22"/>
        </w:rPr>
        <w:t xml:space="preserve">stopa </w:t>
      </w:r>
      <w:r w:rsidR="003800E9" w:rsidRPr="0093305C">
        <w:rPr>
          <w:szCs w:val="22"/>
        </w:rPr>
        <w:t>intrakranijaln</w:t>
      </w:r>
      <w:r w:rsidR="00FF2AFB" w:rsidRPr="0093305C">
        <w:rPr>
          <w:szCs w:val="22"/>
        </w:rPr>
        <w:t>og</w:t>
      </w:r>
      <w:r w:rsidR="003800E9" w:rsidRPr="0093305C">
        <w:rPr>
          <w:szCs w:val="22"/>
        </w:rPr>
        <w:t xml:space="preserve"> </w:t>
      </w:r>
      <w:r w:rsidR="00FF2AFB" w:rsidRPr="0093305C">
        <w:rPr>
          <w:szCs w:val="22"/>
        </w:rPr>
        <w:t xml:space="preserve"> </w:t>
      </w:r>
      <w:r w:rsidR="003800E9" w:rsidRPr="0093305C">
        <w:rPr>
          <w:szCs w:val="22"/>
        </w:rPr>
        <w:t>objektivnog odgovora (</w:t>
      </w:r>
      <w:r w:rsidR="00F73BBD" w:rsidRPr="0093305C">
        <w:rPr>
          <w:i/>
          <w:szCs w:val="22"/>
        </w:rPr>
        <w:t>Intracranial objective response rate</w:t>
      </w:r>
      <w:r w:rsidR="00F73BBD" w:rsidRPr="0093305C">
        <w:rPr>
          <w:szCs w:val="22"/>
        </w:rPr>
        <w:t xml:space="preserve"> - </w:t>
      </w:r>
      <w:r w:rsidR="003800E9" w:rsidRPr="0093305C">
        <w:rPr>
          <w:szCs w:val="22"/>
        </w:rPr>
        <w:t>I</w:t>
      </w:r>
      <w:r w:rsidR="00F73BBD" w:rsidRPr="0093305C">
        <w:rPr>
          <w:szCs w:val="22"/>
        </w:rPr>
        <w:t>C-</w:t>
      </w:r>
      <w:r w:rsidR="003800E9" w:rsidRPr="0093305C">
        <w:rPr>
          <w:szCs w:val="22"/>
        </w:rPr>
        <w:t xml:space="preserve">ORR) i trajanje </w:t>
      </w:r>
      <w:r w:rsidR="00FF2AFB" w:rsidRPr="0093305C">
        <w:rPr>
          <w:szCs w:val="22"/>
        </w:rPr>
        <w:t xml:space="preserve">intrakranijalnog </w:t>
      </w:r>
      <w:r w:rsidR="003800E9" w:rsidRPr="0093305C">
        <w:rPr>
          <w:szCs w:val="22"/>
        </w:rPr>
        <w:t>odgovora (IC-DOR)</w:t>
      </w:r>
      <w:r w:rsidR="00FF2AFB" w:rsidRPr="0093305C">
        <w:rPr>
          <w:szCs w:val="22"/>
        </w:rPr>
        <w:t>,</w:t>
      </w:r>
      <w:r w:rsidR="003800E9" w:rsidRPr="0093305C">
        <w:rPr>
          <w:szCs w:val="22"/>
        </w:rPr>
        <w:t xml:space="preserve"> sve prema </w:t>
      </w:r>
      <w:r w:rsidR="00FF2AFB" w:rsidRPr="0093305C">
        <w:rPr>
          <w:szCs w:val="22"/>
        </w:rPr>
        <w:t>slijepoj nezavisnoj centralnoj procjeni.</w:t>
      </w:r>
    </w:p>
    <w:p w14:paraId="3839C049" w14:textId="427DC7B7" w:rsidR="004A6B2A" w:rsidRPr="0093305C" w:rsidRDefault="004A6B2A" w:rsidP="00D77E03">
      <w:pPr>
        <w:keepNext/>
        <w:jc w:val="both"/>
        <w:rPr>
          <w:szCs w:val="22"/>
        </w:rPr>
      </w:pPr>
    </w:p>
    <w:p w14:paraId="6E639B48" w14:textId="65A5214E" w:rsidR="004A6B2A" w:rsidRPr="0093305C" w:rsidRDefault="00594A5A" w:rsidP="00D77E03">
      <w:pPr>
        <w:keepNext/>
        <w:jc w:val="both"/>
        <w:rPr>
          <w:szCs w:val="22"/>
        </w:rPr>
      </w:pPr>
      <w:r w:rsidRPr="0093305C">
        <w:rPr>
          <w:szCs w:val="22"/>
        </w:rPr>
        <w:t xml:space="preserve">Ukupno 296 pacijenata je randomizovano na lijek lorlatinib (n=149) ili krizotinib (n=147). </w:t>
      </w:r>
      <w:r w:rsidR="00E60E2B" w:rsidRPr="0093305C">
        <w:rPr>
          <w:szCs w:val="22"/>
        </w:rPr>
        <w:t xml:space="preserve">Demografske karakteristike ukupne </w:t>
      </w:r>
      <w:r w:rsidR="00F73BBD" w:rsidRPr="0093305C">
        <w:rPr>
          <w:szCs w:val="22"/>
        </w:rPr>
        <w:t xml:space="preserve">ispitivane </w:t>
      </w:r>
      <w:r w:rsidR="00E60E2B" w:rsidRPr="0093305C">
        <w:rPr>
          <w:szCs w:val="22"/>
        </w:rPr>
        <w:t xml:space="preserve">populacije bile su: srednja starost 59 godina (raspon: 26 do 90 godina), starost ≥ 65 godina (35%), 59% žena, 49% </w:t>
      </w:r>
      <w:r w:rsidR="003514F4" w:rsidRPr="0093305C">
        <w:rPr>
          <w:szCs w:val="22"/>
        </w:rPr>
        <w:t xml:space="preserve">pacijenata </w:t>
      </w:r>
      <w:r w:rsidR="00E60E2B" w:rsidRPr="0093305C">
        <w:rPr>
          <w:szCs w:val="22"/>
        </w:rPr>
        <w:t>b</w:t>
      </w:r>
      <w:r w:rsidR="003514F4" w:rsidRPr="0093305C">
        <w:rPr>
          <w:szCs w:val="22"/>
        </w:rPr>
        <w:t>ij</w:t>
      </w:r>
      <w:r w:rsidR="00E60E2B" w:rsidRPr="0093305C">
        <w:rPr>
          <w:szCs w:val="22"/>
        </w:rPr>
        <w:t>el</w:t>
      </w:r>
      <w:r w:rsidR="003514F4" w:rsidRPr="0093305C">
        <w:rPr>
          <w:szCs w:val="22"/>
        </w:rPr>
        <w:t>e</w:t>
      </w:r>
      <w:r w:rsidR="00E60E2B" w:rsidRPr="0093305C">
        <w:rPr>
          <w:szCs w:val="22"/>
        </w:rPr>
        <w:t xml:space="preserve">, 44% </w:t>
      </w:r>
      <w:r w:rsidR="003514F4" w:rsidRPr="0093305C">
        <w:rPr>
          <w:szCs w:val="22"/>
        </w:rPr>
        <w:t xml:space="preserve">pacijenata </w:t>
      </w:r>
      <w:r w:rsidR="00E60E2B" w:rsidRPr="0093305C">
        <w:rPr>
          <w:szCs w:val="22"/>
        </w:rPr>
        <w:t>azij</w:t>
      </w:r>
      <w:r w:rsidR="003514F4" w:rsidRPr="0093305C">
        <w:rPr>
          <w:szCs w:val="22"/>
        </w:rPr>
        <w:t>ske</w:t>
      </w:r>
      <w:r w:rsidR="00E60E2B" w:rsidRPr="0093305C">
        <w:rPr>
          <w:szCs w:val="22"/>
        </w:rPr>
        <w:t xml:space="preserve"> i 0,3%</w:t>
      </w:r>
      <w:r w:rsidR="003514F4" w:rsidRPr="0093305C">
        <w:rPr>
          <w:szCs w:val="22"/>
        </w:rPr>
        <w:t xml:space="preserve"> pacijenata </w:t>
      </w:r>
      <w:r w:rsidR="00E60E2B" w:rsidRPr="0093305C">
        <w:rPr>
          <w:szCs w:val="22"/>
        </w:rPr>
        <w:t>crn</w:t>
      </w:r>
      <w:r w:rsidR="003514F4" w:rsidRPr="0093305C">
        <w:rPr>
          <w:szCs w:val="22"/>
        </w:rPr>
        <w:t>e rase</w:t>
      </w:r>
      <w:r w:rsidR="00E60E2B" w:rsidRPr="0093305C">
        <w:rPr>
          <w:szCs w:val="22"/>
        </w:rPr>
        <w:t xml:space="preserve">. </w:t>
      </w:r>
      <w:r w:rsidR="007C5550" w:rsidRPr="0093305C">
        <w:rPr>
          <w:szCs w:val="22"/>
        </w:rPr>
        <w:t>Većina pacijenata je imala adenokarcinom (95%) i nikada nije pušila (59%).</w:t>
      </w:r>
      <w:r w:rsidR="005F1D52" w:rsidRPr="0093305C">
        <w:rPr>
          <w:szCs w:val="22"/>
        </w:rPr>
        <w:t xml:space="preserve"> Metastaze u centralnom nervnom sistemu, kako su utvrdili neuroradiolozi BICR-</w:t>
      </w:r>
      <w:r w:rsidR="00F73BBD" w:rsidRPr="0093305C">
        <w:rPr>
          <w:szCs w:val="22"/>
        </w:rPr>
        <w:t>om</w:t>
      </w:r>
      <w:r w:rsidR="005F1D52" w:rsidRPr="0093305C">
        <w:rPr>
          <w:szCs w:val="22"/>
        </w:rPr>
        <w:t>, bile su prisutne kod 26% (n=78) pacijenata: od njih je 30 pacijenata imalo mjerljive lezije CNS-a</w:t>
      </w:r>
      <w:r w:rsidR="0028027C" w:rsidRPr="0093305C">
        <w:rPr>
          <w:szCs w:val="22"/>
        </w:rPr>
        <w:t>.</w:t>
      </w:r>
    </w:p>
    <w:p w14:paraId="0020864D" w14:textId="6E88C5AC" w:rsidR="00F71B4F" w:rsidRPr="0093305C" w:rsidRDefault="00F71B4F" w:rsidP="00D77E03">
      <w:pPr>
        <w:keepNext/>
        <w:jc w:val="both"/>
        <w:rPr>
          <w:szCs w:val="22"/>
        </w:rPr>
      </w:pPr>
    </w:p>
    <w:p w14:paraId="10144DE0" w14:textId="0AFB938B" w:rsidR="00F71B4F" w:rsidRPr="0093305C" w:rsidRDefault="00F71B4F" w:rsidP="00D77E03">
      <w:pPr>
        <w:keepNext/>
        <w:jc w:val="both"/>
        <w:rPr>
          <w:szCs w:val="22"/>
        </w:rPr>
      </w:pPr>
      <w:r w:rsidRPr="0093305C">
        <w:rPr>
          <w:szCs w:val="22"/>
        </w:rPr>
        <w:t xml:space="preserve">Rezultati studije CROWN su sažeti u tabeli 3. </w:t>
      </w:r>
      <w:r w:rsidR="00F73BBD" w:rsidRPr="0093305C">
        <w:rPr>
          <w:szCs w:val="22"/>
        </w:rPr>
        <w:t xml:space="preserve">Do datuma završetka prikupljanja </w:t>
      </w:r>
      <w:r w:rsidRPr="0093305C">
        <w:rPr>
          <w:szCs w:val="22"/>
        </w:rPr>
        <w:t>podataka, OS i PFS2 podaci ni</w:t>
      </w:r>
      <w:r w:rsidR="00515F7F" w:rsidRPr="0093305C">
        <w:rPr>
          <w:szCs w:val="22"/>
        </w:rPr>
        <w:t>je</w:t>
      </w:r>
      <w:r w:rsidRPr="0093305C">
        <w:rPr>
          <w:szCs w:val="22"/>
        </w:rPr>
        <w:t xml:space="preserve">su bili </w:t>
      </w:r>
      <w:r w:rsidR="004D1AD5" w:rsidRPr="0093305C">
        <w:rPr>
          <w:szCs w:val="22"/>
        </w:rPr>
        <w:t>spremn</w:t>
      </w:r>
      <w:r w:rsidRPr="0093305C">
        <w:rPr>
          <w:szCs w:val="22"/>
        </w:rPr>
        <w:t>i.</w:t>
      </w:r>
    </w:p>
    <w:p w14:paraId="194154AA" w14:textId="5AF4B752" w:rsidR="004A403B" w:rsidRPr="0093305C" w:rsidRDefault="004A403B" w:rsidP="00D77E03">
      <w:pPr>
        <w:keepNext/>
        <w:jc w:val="both"/>
        <w:rPr>
          <w:szCs w:val="22"/>
        </w:rPr>
      </w:pPr>
    </w:p>
    <w:p w14:paraId="7929A1C6" w14:textId="094A33A6" w:rsidR="004A403B" w:rsidRPr="0093305C" w:rsidRDefault="004A403B" w:rsidP="00D77E03">
      <w:pPr>
        <w:keepNext/>
        <w:jc w:val="both"/>
        <w:rPr>
          <w:b/>
          <w:szCs w:val="22"/>
        </w:rPr>
      </w:pPr>
      <w:r w:rsidRPr="0093305C">
        <w:rPr>
          <w:b/>
          <w:szCs w:val="22"/>
        </w:rPr>
        <w:t>Tabela 3. Ukupni rezultati efikasnosti u studiji CROWN</w:t>
      </w:r>
    </w:p>
    <w:tbl>
      <w:tblPr>
        <w:tblW w:w="9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6"/>
        <w:gridCol w:w="2620"/>
        <w:gridCol w:w="66"/>
        <w:gridCol w:w="2555"/>
      </w:tblGrid>
      <w:tr w:rsidR="00B60015" w:rsidRPr="003C7D36" w14:paraId="66521154" w14:textId="77777777" w:rsidTr="00FB0014">
        <w:trPr>
          <w:tblHeader/>
        </w:trPr>
        <w:tc>
          <w:tcPr>
            <w:tcW w:w="4376" w:type="dxa"/>
            <w:tcBorders>
              <w:top w:val="single" w:sz="4" w:space="0" w:color="auto"/>
              <w:left w:val="single" w:sz="4" w:space="0" w:color="auto"/>
              <w:bottom w:val="single" w:sz="4" w:space="0" w:color="auto"/>
              <w:right w:val="single" w:sz="4" w:space="0" w:color="auto"/>
            </w:tcBorders>
            <w:vAlign w:val="center"/>
          </w:tcPr>
          <w:p w14:paraId="4F20B81E" w14:textId="77777777" w:rsidR="00B60015" w:rsidRPr="0093305C" w:rsidRDefault="00B60015" w:rsidP="00FB0014">
            <w:pPr>
              <w:rPr>
                <w:b/>
                <w:szCs w:val="22"/>
              </w:rPr>
            </w:pPr>
            <w:bookmarkStart w:id="8" w:name="_Hlk53069625"/>
            <w:bookmarkStart w:id="9" w:name="_Hlk107913009"/>
          </w:p>
          <w:p w14:paraId="354433A9" w14:textId="0D65D886" w:rsidR="00B60015" w:rsidRPr="0093305C" w:rsidRDefault="00B60015" w:rsidP="00FB0014">
            <w:pPr>
              <w:rPr>
                <w:b/>
                <w:szCs w:val="22"/>
              </w:rPr>
            </w:pPr>
            <w:r w:rsidRPr="0093305C">
              <w:rPr>
                <w:b/>
                <w:szCs w:val="22"/>
              </w:rPr>
              <w:t>Parametar efikasnosti</w:t>
            </w:r>
          </w:p>
        </w:tc>
        <w:tc>
          <w:tcPr>
            <w:tcW w:w="2686" w:type="dxa"/>
            <w:gridSpan w:val="2"/>
            <w:tcBorders>
              <w:top w:val="single" w:sz="4" w:space="0" w:color="auto"/>
              <w:left w:val="single" w:sz="4" w:space="0" w:color="auto"/>
              <w:bottom w:val="single" w:sz="4" w:space="0" w:color="auto"/>
              <w:right w:val="single" w:sz="4" w:space="0" w:color="auto"/>
            </w:tcBorders>
            <w:vAlign w:val="center"/>
            <w:hideMark/>
          </w:tcPr>
          <w:p w14:paraId="147EAF4B" w14:textId="77777777" w:rsidR="00B60015" w:rsidRPr="0093305C" w:rsidRDefault="00B60015" w:rsidP="00FB0014">
            <w:pPr>
              <w:jc w:val="center"/>
              <w:rPr>
                <w:b/>
                <w:szCs w:val="22"/>
              </w:rPr>
            </w:pPr>
            <w:r w:rsidRPr="0093305C">
              <w:rPr>
                <w:b/>
                <w:szCs w:val="22"/>
              </w:rPr>
              <w:t>Lorlatinib</w:t>
            </w:r>
          </w:p>
          <w:p w14:paraId="5B177C01" w14:textId="77777777" w:rsidR="00B60015" w:rsidRPr="0093305C" w:rsidRDefault="00B60015" w:rsidP="00FB0014">
            <w:pPr>
              <w:jc w:val="center"/>
              <w:rPr>
                <w:b/>
                <w:szCs w:val="22"/>
              </w:rPr>
            </w:pPr>
            <w:r w:rsidRPr="0093305C">
              <w:rPr>
                <w:b/>
                <w:szCs w:val="22"/>
              </w:rPr>
              <w:t>N=149</w:t>
            </w:r>
          </w:p>
        </w:tc>
        <w:tc>
          <w:tcPr>
            <w:tcW w:w="2555" w:type="dxa"/>
            <w:tcBorders>
              <w:top w:val="single" w:sz="4" w:space="0" w:color="auto"/>
              <w:left w:val="single" w:sz="4" w:space="0" w:color="auto"/>
              <w:bottom w:val="single" w:sz="4" w:space="0" w:color="auto"/>
              <w:right w:val="single" w:sz="4" w:space="0" w:color="auto"/>
            </w:tcBorders>
            <w:vAlign w:val="center"/>
          </w:tcPr>
          <w:p w14:paraId="2EFD0F33" w14:textId="523B16CB" w:rsidR="00B60015" w:rsidRPr="0093305C" w:rsidRDefault="00B60015" w:rsidP="00FB0014">
            <w:pPr>
              <w:jc w:val="center"/>
              <w:rPr>
                <w:b/>
                <w:szCs w:val="22"/>
              </w:rPr>
            </w:pPr>
            <w:r w:rsidRPr="0093305C">
              <w:rPr>
                <w:b/>
                <w:szCs w:val="22"/>
              </w:rPr>
              <w:t>Krizotinib</w:t>
            </w:r>
          </w:p>
          <w:p w14:paraId="3D3CF364" w14:textId="77777777" w:rsidR="00B60015" w:rsidRPr="0093305C" w:rsidRDefault="00B60015" w:rsidP="00FB0014">
            <w:pPr>
              <w:jc w:val="center"/>
              <w:rPr>
                <w:b/>
                <w:szCs w:val="22"/>
              </w:rPr>
            </w:pPr>
            <w:r w:rsidRPr="0093305C">
              <w:rPr>
                <w:b/>
                <w:szCs w:val="22"/>
              </w:rPr>
              <w:t>N=147</w:t>
            </w:r>
          </w:p>
        </w:tc>
      </w:tr>
      <w:tr w:rsidR="00B60015" w:rsidRPr="003C7D36" w14:paraId="595FA03F" w14:textId="77777777" w:rsidTr="00FB0014">
        <w:tc>
          <w:tcPr>
            <w:tcW w:w="4376" w:type="dxa"/>
            <w:tcBorders>
              <w:top w:val="single" w:sz="4" w:space="0" w:color="auto"/>
              <w:left w:val="single" w:sz="4" w:space="0" w:color="auto"/>
              <w:bottom w:val="single" w:sz="4" w:space="0" w:color="auto"/>
              <w:right w:val="single" w:sz="4" w:space="0" w:color="auto"/>
            </w:tcBorders>
          </w:tcPr>
          <w:p w14:paraId="756FA0B9" w14:textId="7713282A" w:rsidR="00B60015" w:rsidRPr="00446153" w:rsidRDefault="002179AC" w:rsidP="002759E2">
            <w:pPr>
              <w:rPr>
                <w:b/>
                <w:szCs w:val="22"/>
              </w:rPr>
            </w:pPr>
            <w:r w:rsidRPr="00C0597B">
              <w:rPr>
                <w:b/>
                <w:szCs w:val="22"/>
              </w:rPr>
              <w:t xml:space="preserve">Medijana (srednje </w:t>
            </w:r>
            <w:r w:rsidR="00B60015" w:rsidRPr="00C0597B">
              <w:rPr>
                <w:b/>
                <w:szCs w:val="22"/>
              </w:rPr>
              <w:t>trajanje praćenja</w:t>
            </w:r>
            <w:r w:rsidRPr="00C0597B">
              <w:rPr>
                <w:b/>
                <w:szCs w:val="22"/>
              </w:rPr>
              <w:t>)</w:t>
            </w:r>
            <w:r w:rsidR="00B60015" w:rsidRPr="00822B86">
              <w:rPr>
                <w:b/>
                <w:szCs w:val="22"/>
              </w:rPr>
              <w:t xml:space="preserve">, u mjesecima </w:t>
            </w:r>
            <w:r w:rsidR="00B60015" w:rsidRPr="00822B86">
              <w:rPr>
                <w:szCs w:val="22"/>
              </w:rPr>
              <w:t>(95% CI)</w:t>
            </w:r>
            <w:r w:rsidR="00B60015" w:rsidRPr="00822B86">
              <w:rPr>
                <w:szCs w:val="22"/>
                <w:vertAlign w:val="superscript"/>
              </w:rPr>
              <w:t>a</w:t>
            </w:r>
            <w:r w:rsidR="00B60015" w:rsidRPr="00446153">
              <w:rPr>
                <w:b/>
                <w:szCs w:val="22"/>
              </w:rPr>
              <w:t xml:space="preserve"> </w:t>
            </w:r>
          </w:p>
        </w:tc>
        <w:tc>
          <w:tcPr>
            <w:tcW w:w="2686" w:type="dxa"/>
            <w:gridSpan w:val="2"/>
            <w:tcBorders>
              <w:top w:val="single" w:sz="4" w:space="0" w:color="auto"/>
              <w:left w:val="single" w:sz="4" w:space="0" w:color="auto"/>
              <w:bottom w:val="single" w:sz="4" w:space="0" w:color="auto"/>
              <w:right w:val="single" w:sz="4" w:space="0" w:color="auto"/>
            </w:tcBorders>
          </w:tcPr>
          <w:p w14:paraId="5675D7E9" w14:textId="77777777" w:rsidR="00B60015" w:rsidRPr="0093305C" w:rsidRDefault="00B60015" w:rsidP="00FB0014">
            <w:pPr>
              <w:jc w:val="center"/>
              <w:rPr>
                <w:bCs/>
                <w:szCs w:val="22"/>
              </w:rPr>
            </w:pPr>
            <w:r w:rsidRPr="0093305C">
              <w:rPr>
                <w:bCs/>
                <w:szCs w:val="22"/>
              </w:rPr>
              <w:t>18</w:t>
            </w:r>
          </w:p>
          <w:p w14:paraId="01E8E57B" w14:textId="77777777" w:rsidR="00B60015" w:rsidRPr="0093305C" w:rsidRDefault="00B60015" w:rsidP="00FB0014">
            <w:pPr>
              <w:jc w:val="center"/>
              <w:rPr>
                <w:bCs/>
                <w:szCs w:val="22"/>
              </w:rPr>
            </w:pPr>
            <w:r w:rsidRPr="0093305C">
              <w:rPr>
                <w:bCs/>
                <w:szCs w:val="22"/>
              </w:rPr>
              <w:t>(16, 20)</w:t>
            </w:r>
          </w:p>
        </w:tc>
        <w:tc>
          <w:tcPr>
            <w:tcW w:w="2555" w:type="dxa"/>
            <w:tcBorders>
              <w:top w:val="single" w:sz="4" w:space="0" w:color="auto"/>
              <w:left w:val="single" w:sz="4" w:space="0" w:color="auto"/>
              <w:bottom w:val="single" w:sz="4" w:space="0" w:color="auto"/>
              <w:right w:val="single" w:sz="4" w:space="0" w:color="auto"/>
            </w:tcBorders>
          </w:tcPr>
          <w:p w14:paraId="5EB85F5F" w14:textId="77777777" w:rsidR="00B60015" w:rsidRPr="0093305C" w:rsidRDefault="00B60015" w:rsidP="00FB0014">
            <w:pPr>
              <w:jc w:val="center"/>
              <w:rPr>
                <w:bCs/>
                <w:szCs w:val="22"/>
              </w:rPr>
            </w:pPr>
            <w:r w:rsidRPr="0093305C">
              <w:rPr>
                <w:bCs/>
                <w:szCs w:val="22"/>
              </w:rPr>
              <w:t>15</w:t>
            </w:r>
          </w:p>
          <w:p w14:paraId="622FA87D" w14:textId="77777777" w:rsidR="00B60015" w:rsidRPr="0093305C" w:rsidRDefault="00B60015" w:rsidP="00FB0014">
            <w:pPr>
              <w:jc w:val="center"/>
              <w:rPr>
                <w:bCs/>
                <w:szCs w:val="22"/>
              </w:rPr>
            </w:pPr>
            <w:r w:rsidRPr="0093305C">
              <w:rPr>
                <w:bCs/>
                <w:szCs w:val="22"/>
              </w:rPr>
              <w:t>(13, 18)</w:t>
            </w:r>
          </w:p>
        </w:tc>
      </w:tr>
      <w:tr w:rsidR="00B60015" w:rsidRPr="003C7D36" w14:paraId="66BFCFC0" w14:textId="77777777" w:rsidTr="00FB0014">
        <w:tc>
          <w:tcPr>
            <w:tcW w:w="9617" w:type="dxa"/>
            <w:gridSpan w:val="4"/>
            <w:tcBorders>
              <w:top w:val="single" w:sz="4" w:space="0" w:color="auto"/>
              <w:left w:val="single" w:sz="4" w:space="0" w:color="auto"/>
              <w:bottom w:val="single" w:sz="4" w:space="0" w:color="auto"/>
              <w:right w:val="single" w:sz="4" w:space="0" w:color="auto"/>
            </w:tcBorders>
          </w:tcPr>
          <w:p w14:paraId="44936CC0" w14:textId="05D0058D" w:rsidR="00B60015" w:rsidRPr="00822B86" w:rsidRDefault="00B60015" w:rsidP="00D72DA3">
            <w:pPr>
              <w:rPr>
                <w:szCs w:val="22"/>
              </w:rPr>
            </w:pPr>
            <w:r w:rsidRPr="00C0597B">
              <w:rPr>
                <w:b/>
                <w:szCs w:val="22"/>
              </w:rPr>
              <w:t xml:space="preserve">Preživljavanje bez napredovanja </w:t>
            </w:r>
            <w:r w:rsidR="00D72DA3" w:rsidRPr="00C0597B">
              <w:rPr>
                <w:b/>
                <w:szCs w:val="22"/>
              </w:rPr>
              <w:t xml:space="preserve">bolesti </w:t>
            </w:r>
            <w:r w:rsidR="00537ACF" w:rsidRPr="00C0597B">
              <w:rPr>
                <w:b/>
                <w:szCs w:val="22"/>
              </w:rPr>
              <w:t>prema</w:t>
            </w:r>
            <w:r w:rsidRPr="00822B86">
              <w:rPr>
                <w:b/>
                <w:szCs w:val="22"/>
              </w:rPr>
              <w:t xml:space="preserve"> </w:t>
            </w:r>
            <w:r w:rsidR="00D72DA3" w:rsidRPr="00822B86">
              <w:rPr>
                <w:b/>
                <w:szCs w:val="22"/>
              </w:rPr>
              <w:t>slijepoj nezavisnoj centralnoj procjeni</w:t>
            </w:r>
          </w:p>
        </w:tc>
      </w:tr>
      <w:tr w:rsidR="00B60015" w:rsidRPr="003C7D36" w14:paraId="036B69AE" w14:textId="77777777" w:rsidTr="00FB0014">
        <w:tc>
          <w:tcPr>
            <w:tcW w:w="4376" w:type="dxa"/>
            <w:tcBorders>
              <w:top w:val="single" w:sz="4" w:space="0" w:color="auto"/>
              <w:left w:val="single" w:sz="4" w:space="0" w:color="auto"/>
              <w:bottom w:val="single" w:sz="4" w:space="0" w:color="auto"/>
              <w:right w:val="single" w:sz="4" w:space="0" w:color="auto"/>
            </w:tcBorders>
          </w:tcPr>
          <w:p w14:paraId="6791D5F5" w14:textId="455D7420" w:rsidR="00B60015" w:rsidRPr="00C0597B" w:rsidRDefault="00B60015" w:rsidP="00FB0014">
            <w:pPr>
              <w:ind w:left="158"/>
              <w:rPr>
                <w:szCs w:val="22"/>
              </w:rPr>
            </w:pPr>
            <w:r w:rsidRPr="00C0597B">
              <w:rPr>
                <w:szCs w:val="22"/>
              </w:rPr>
              <w:t>Broj pacijenata sa događajem, n (%)</w:t>
            </w:r>
          </w:p>
        </w:tc>
        <w:tc>
          <w:tcPr>
            <w:tcW w:w="2686" w:type="dxa"/>
            <w:gridSpan w:val="2"/>
            <w:tcBorders>
              <w:top w:val="single" w:sz="4" w:space="0" w:color="auto"/>
              <w:left w:val="single" w:sz="4" w:space="0" w:color="auto"/>
              <w:bottom w:val="single" w:sz="4" w:space="0" w:color="auto"/>
              <w:right w:val="single" w:sz="4" w:space="0" w:color="auto"/>
            </w:tcBorders>
          </w:tcPr>
          <w:p w14:paraId="60CA16B5" w14:textId="77777777" w:rsidR="00B60015" w:rsidRPr="00822B86" w:rsidRDefault="00B60015" w:rsidP="00FB0014">
            <w:pPr>
              <w:jc w:val="center"/>
              <w:rPr>
                <w:szCs w:val="22"/>
              </w:rPr>
            </w:pPr>
            <w:r w:rsidRPr="00822B86">
              <w:rPr>
                <w:szCs w:val="22"/>
              </w:rPr>
              <w:t>41 (28%)</w:t>
            </w:r>
          </w:p>
        </w:tc>
        <w:tc>
          <w:tcPr>
            <w:tcW w:w="2555" w:type="dxa"/>
            <w:tcBorders>
              <w:top w:val="single" w:sz="4" w:space="0" w:color="auto"/>
              <w:left w:val="single" w:sz="4" w:space="0" w:color="auto"/>
              <w:bottom w:val="single" w:sz="4" w:space="0" w:color="auto"/>
              <w:right w:val="single" w:sz="4" w:space="0" w:color="auto"/>
            </w:tcBorders>
          </w:tcPr>
          <w:p w14:paraId="43D5FD83" w14:textId="77777777" w:rsidR="00B60015" w:rsidRPr="00446153" w:rsidRDefault="00B60015" w:rsidP="00FB0014">
            <w:pPr>
              <w:jc w:val="center"/>
              <w:rPr>
                <w:szCs w:val="22"/>
              </w:rPr>
            </w:pPr>
            <w:r w:rsidRPr="00446153">
              <w:rPr>
                <w:szCs w:val="22"/>
              </w:rPr>
              <w:t>86 (59%)</w:t>
            </w:r>
          </w:p>
        </w:tc>
      </w:tr>
      <w:tr w:rsidR="00B60015" w:rsidRPr="003C7D36" w14:paraId="05247256" w14:textId="77777777" w:rsidTr="00FB0014">
        <w:tc>
          <w:tcPr>
            <w:tcW w:w="4376" w:type="dxa"/>
            <w:tcBorders>
              <w:top w:val="single" w:sz="4" w:space="0" w:color="auto"/>
              <w:left w:val="single" w:sz="4" w:space="0" w:color="auto"/>
              <w:bottom w:val="single" w:sz="4" w:space="0" w:color="auto"/>
              <w:right w:val="single" w:sz="4" w:space="0" w:color="auto"/>
            </w:tcBorders>
          </w:tcPr>
          <w:p w14:paraId="4AC1D894" w14:textId="466444F1" w:rsidR="00B60015" w:rsidRPr="00C0597B" w:rsidRDefault="00B60015" w:rsidP="00FB0014">
            <w:pPr>
              <w:ind w:left="288"/>
              <w:rPr>
                <w:b/>
                <w:szCs w:val="22"/>
              </w:rPr>
            </w:pPr>
            <w:r w:rsidRPr="00C0597B">
              <w:rPr>
                <w:szCs w:val="22"/>
              </w:rPr>
              <w:t>Progresivna bolest, n (%)</w:t>
            </w:r>
          </w:p>
        </w:tc>
        <w:tc>
          <w:tcPr>
            <w:tcW w:w="2686" w:type="dxa"/>
            <w:gridSpan w:val="2"/>
            <w:tcBorders>
              <w:top w:val="single" w:sz="4" w:space="0" w:color="auto"/>
              <w:left w:val="single" w:sz="4" w:space="0" w:color="auto"/>
              <w:bottom w:val="single" w:sz="4" w:space="0" w:color="auto"/>
              <w:right w:val="single" w:sz="4" w:space="0" w:color="auto"/>
            </w:tcBorders>
          </w:tcPr>
          <w:p w14:paraId="099E9197" w14:textId="77777777" w:rsidR="00B60015" w:rsidRPr="00822B86" w:rsidRDefault="00B60015" w:rsidP="00FB0014">
            <w:pPr>
              <w:jc w:val="center"/>
              <w:rPr>
                <w:szCs w:val="22"/>
              </w:rPr>
            </w:pPr>
            <w:r w:rsidRPr="00822B86">
              <w:rPr>
                <w:szCs w:val="22"/>
              </w:rPr>
              <w:t>32 (22%)</w:t>
            </w:r>
          </w:p>
        </w:tc>
        <w:tc>
          <w:tcPr>
            <w:tcW w:w="2555" w:type="dxa"/>
            <w:tcBorders>
              <w:top w:val="single" w:sz="4" w:space="0" w:color="auto"/>
              <w:left w:val="single" w:sz="4" w:space="0" w:color="auto"/>
              <w:bottom w:val="single" w:sz="4" w:space="0" w:color="auto"/>
              <w:right w:val="single" w:sz="4" w:space="0" w:color="auto"/>
            </w:tcBorders>
          </w:tcPr>
          <w:p w14:paraId="23440FF2" w14:textId="77777777" w:rsidR="00B60015" w:rsidRPr="00446153" w:rsidRDefault="00B60015" w:rsidP="00FB0014">
            <w:pPr>
              <w:jc w:val="center"/>
              <w:rPr>
                <w:szCs w:val="22"/>
              </w:rPr>
            </w:pPr>
            <w:r w:rsidRPr="00446153">
              <w:rPr>
                <w:szCs w:val="22"/>
              </w:rPr>
              <w:t>82 (56%)</w:t>
            </w:r>
          </w:p>
        </w:tc>
      </w:tr>
      <w:tr w:rsidR="00B60015" w:rsidRPr="003C7D36" w14:paraId="16F69374" w14:textId="77777777" w:rsidTr="00FB0014">
        <w:tc>
          <w:tcPr>
            <w:tcW w:w="4376" w:type="dxa"/>
            <w:tcBorders>
              <w:top w:val="single" w:sz="4" w:space="0" w:color="auto"/>
              <w:left w:val="single" w:sz="4" w:space="0" w:color="auto"/>
              <w:bottom w:val="single" w:sz="4" w:space="0" w:color="auto"/>
              <w:right w:val="single" w:sz="4" w:space="0" w:color="auto"/>
            </w:tcBorders>
          </w:tcPr>
          <w:p w14:paraId="6243024A" w14:textId="1EF4E1F6" w:rsidR="00B60015" w:rsidRPr="00C0597B" w:rsidRDefault="00B60015" w:rsidP="00FB0014">
            <w:pPr>
              <w:ind w:left="288"/>
              <w:rPr>
                <w:b/>
                <w:szCs w:val="22"/>
              </w:rPr>
            </w:pPr>
            <w:r w:rsidRPr="00C0597B">
              <w:rPr>
                <w:szCs w:val="22"/>
              </w:rPr>
              <w:t>Smrt, n (%)</w:t>
            </w:r>
          </w:p>
        </w:tc>
        <w:tc>
          <w:tcPr>
            <w:tcW w:w="2686" w:type="dxa"/>
            <w:gridSpan w:val="2"/>
            <w:tcBorders>
              <w:top w:val="single" w:sz="4" w:space="0" w:color="auto"/>
              <w:left w:val="single" w:sz="4" w:space="0" w:color="auto"/>
              <w:bottom w:val="single" w:sz="4" w:space="0" w:color="auto"/>
              <w:right w:val="single" w:sz="4" w:space="0" w:color="auto"/>
            </w:tcBorders>
          </w:tcPr>
          <w:p w14:paraId="3FBBC1CD" w14:textId="77777777" w:rsidR="00B60015" w:rsidRPr="00822B86" w:rsidRDefault="00B60015" w:rsidP="00FB0014">
            <w:pPr>
              <w:jc w:val="center"/>
              <w:rPr>
                <w:szCs w:val="22"/>
              </w:rPr>
            </w:pPr>
            <w:r w:rsidRPr="00822B86">
              <w:rPr>
                <w:szCs w:val="22"/>
              </w:rPr>
              <w:t>9 (6%)</w:t>
            </w:r>
          </w:p>
        </w:tc>
        <w:tc>
          <w:tcPr>
            <w:tcW w:w="2555" w:type="dxa"/>
            <w:tcBorders>
              <w:top w:val="single" w:sz="4" w:space="0" w:color="auto"/>
              <w:left w:val="single" w:sz="4" w:space="0" w:color="auto"/>
              <w:bottom w:val="single" w:sz="4" w:space="0" w:color="auto"/>
              <w:right w:val="single" w:sz="4" w:space="0" w:color="auto"/>
            </w:tcBorders>
          </w:tcPr>
          <w:p w14:paraId="2106A50C" w14:textId="77777777" w:rsidR="00B60015" w:rsidRPr="00446153" w:rsidRDefault="00B60015" w:rsidP="00FB0014">
            <w:pPr>
              <w:jc w:val="center"/>
              <w:rPr>
                <w:szCs w:val="22"/>
              </w:rPr>
            </w:pPr>
            <w:r w:rsidRPr="00446153">
              <w:rPr>
                <w:szCs w:val="22"/>
              </w:rPr>
              <w:t>4 (3%)</w:t>
            </w:r>
          </w:p>
        </w:tc>
      </w:tr>
      <w:tr w:rsidR="00B60015" w:rsidRPr="003C7D36" w14:paraId="12F133E3" w14:textId="77777777" w:rsidTr="00FB0014">
        <w:tc>
          <w:tcPr>
            <w:tcW w:w="4376" w:type="dxa"/>
            <w:tcBorders>
              <w:top w:val="single" w:sz="4" w:space="0" w:color="auto"/>
              <w:left w:val="single" w:sz="4" w:space="0" w:color="auto"/>
              <w:bottom w:val="single" w:sz="4" w:space="0" w:color="auto"/>
              <w:right w:val="single" w:sz="4" w:space="0" w:color="auto"/>
            </w:tcBorders>
          </w:tcPr>
          <w:p w14:paraId="0C8397AB" w14:textId="34F8B916" w:rsidR="00B60015" w:rsidRPr="00822B86" w:rsidRDefault="002179AC" w:rsidP="00FB0014">
            <w:pPr>
              <w:ind w:left="158"/>
              <w:rPr>
                <w:b/>
                <w:szCs w:val="22"/>
              </w:rPr>
            </w:pPr>
            <w:r w:rsidRPr="00C0597B">
              <w:rPr>
                <w:szCs w:val="22"/>
              </w:rPr>
              <w:t>Medijana</w:t>
            </w:r>
            <w:r w:rsidR="00B60015" w:rsidRPr="00C0597B">
              <w:rPr>
                <w:szCs w:val="22"/>
              </w:rPr>
              <w:t>, u mjesecima (95% CI)</w:t>
            </w:r>
            <w:r w:rsidR="00B60015" w:rsidRPr="00C0597B">
              <w:rPr>
                <w:szCs w:val="22"/>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2F5E3C63" w14:textId="7BD7AF6B" w:rsidR="00B60015" w:rsidRPr="0093305C" w:rsidRDefault="00CB167E" w:rsidP="002759E2">
            <w:pPr>
              <w:jc w:val="center"/>
              <w:rPr>
                <w:szCs w:val="22"/>
              </w:rPr>
            </w:pPr>
            <w:r w:rsidRPr="00446153">
              <w:rPr>
                <w:szCs w:val="22"/>
              </w:rPr>
              <w:t xml:space="preserve">NP </w:t>
            </w:r>
            <w:r w:rsidR="00B60015" w:rsidRPr="00446153">
              <w:rPr>
                <w:szCs w:val="22"/>
              </w:rPr>
              <w:t>(N</w:t>
            </w:r>
            <w:r w:rsidRPr="00446153">
              <w:rPr>
                <w:szCs w:val="22"/>
              </w:rPr>
              <w:t>P</w:t>
            </w:r>
            <w:r w:rsidR="00B60015" w:rsidRPr="00446153">
              <w:rPr>
                <w:szCs w:val="22"/>
              </w:rPr>
              <w:t>, N</w:t>
            </w:r>
            <w:r w:rsidRPr="00446153">
              <w:rPr>
                <w:szCs w:val="22"/>
              </w:rPr>
              <w:t>P</w:t>
            </w:r>
            <w:r w:rsidR="00B60015" w:rsidRPr="0093305C">
              <w:rPr>
                <w:szCs w:val="22"/>
              </w:rPr>
              <w:t>)</w:t>
            </w:r>
          </w:p>
        </w:tc>
        <w:tc>
          <w:tcPr>
            <w:tcW w:w="2555" w:type="dxa"/>
            <w:tcBorders>
              <w:top w:val="single" w:sz="4" w:space="0" w:color="auto"/>
              <w:left w:val="single" w:sz="4" w:space="0" w:color="auto"/>
              <w:bottom w:val="single" w:sz="4" w:space="0" w:color="auto"/>
              <w:right w:val="single" w:sz="4" w:space="0" w:color="auto"/>
            </w:tcBorders>
          </w:tcPr>
          <w:p w14:paraId="4D3F5D75" w14:textId="77777777" w:rsidR="00B60015" w:rsidRPr="0093305C" w:rsidRDefault="00B60015" w:rsidP="00FB0014">
            <w:pPr>
              <w:jc w:val="center"/>
              <w:rPr>
                <w:szCs w:val="22"/>
              </w:rPr>
            </w:pPr>
            <w:r w:rsidRPr="0093305C">
              <w:rPr>
                <w:szCs w:val="22"/>
              </w:rPr>
              <w:t>9 (8, 11)</w:t>
            </w:r>
          </w:p>
        </w:tc>
      </w:tr>
      <w:tr w:rsidR="00B60015" w:rsidRPr="003C7D36" w14:paraId="70438B6F" w14:textId="77777777" w:rsidTr="00FB0014">
        <w:tc>
          <w:tcPr>
            <w:tcW w:w="4376" w:type="dxa"/>
            <w:tcBorders>
              <w:top w:val="single" w:sz="4" w:space="0" w:color="auto"/>
              <w:left w:val="single" w:sz="4" w:space="0" w:color="auto"/>
              <w:bottom w:val="single" w:sz="4" w:space="0" w:color="auto"/>
              <w:right w:val="single" w:sz="4" w:space="0" w:color="auto"/>
            </w:tcBorders>
          </w:tcPr>
          <w:p w14:paraId="4A6051E6" w14:textId="1C719A5A" w:rsidR="00B60015" w:rsidRPr="00822B86" w:rsidRDefault="00B60015" w:rsidP="002759E2">
            <w:pPr>
              <w:ind w:left="158"/>
              <w:rPr>
                <w:b/>
                <w:szCs w:val="22"/>
              </w:rPr>
            </w:pPr>
            <w:r w:rsidRPr="00C0597B">
              <w:rPr>
                <w:szCs w:val="22"/>
              </w:rPr>
              <w:t xml:space="preserve">Odnos </w:t>
            </w:r>
            <w:r w:rsidR="002179AC" w:rsidRPr="00C0597B">
              <w:rPr>
                <w:szCs w:val="22"/>
              </w:rPr>
              <w:t xml:space="preserve">rizika </w:t>
            </w:r>
            <w:r w:rsidRPr="00C0597B">
              <w:rPr>
                <w:szCs w:val="22"/>
              </w:rPr>
              <w:t>(95% CI)</w:t>
            </w:r>
            <w:r w:rsidRPr="00822B86">
              <w:rPr>
                <w:szCs w:val="22"/>
                <w:vertAlign w:val="superscript"/>
              </w:rPr>
              <w:t>b</w:t>
            </w:r>
          </w:p>
        </w:tc>
        <w:tc>
          <w:tcPr>
            <w:tcW w:w="5241" w:type="dxa"/>
            <w:gridSpan w:val="3"/>
            <w:tcBorders>
              <w:top w:val="single" w:sz="4" w:space="0" w:color="auto"/>
              <w:left w:val="single" w:sz="4" w:space="0" w:color="auto"/>
              <w:bottom w:val="single" w:sz="4" w:space="0" w:color="auto"/>
              <w:right w:val="single" w:sz="4" w:space="0" w:color="auto"/>
            </w:tcBorders>
          </w:tcPr>
          <w:p w14:paraId="6C32B480" w14:textId="3BC7ACA0" w:rsidR="00B60015" w:rsidRPr="00446153" w:rsidRDefault="00B60015" w:rsidP="00FB0014">
            <w:pPr>
              <w:jc w:val="center"/>
              <w:rPr>
                <w:szCs w:val="22"/>
              </w:rPr>
            </w:pPr>
            <w:r w:rsidRPr="00446153">
              <w:rPr>
                <w:szCs w:val="22"/>
              </w:rPr>
              <w:t>0,28 (0,19, 0,41)</w:t>
            </w:r>
          </w:p>
        </w:tc>
      </w:tr>
      <w:tr w:rsidR="00B60015" w:rsidRPr="003C7D36" w14:paraId="491D0919" w14:textId="77777777" w:rsidTr="00FB0014">
        <w:tc>
          <w:tcPr>
            <w:tcW w:w="4376" w:type="dxa"/>
            <w:tcBorders>
              <w:top w:val="single" w:sz="4" w:space="0" w:color="auto"/>
              <w:left w:val="single" w:sz="4" w:space="0" w:color="auto"/>
              <w:bottom w:val="single" w:sz="4" w:space="0" w:color="auto"/>
              <w:right w:val="single" w:sz="4" w:space="0" w:color="auto"/>
            </w:tcBorders>
          </w:tcPr>
          <w:p w14:paraId="6A4901C1" w14:textId="58AF36AC" w:rsidR="00B60015" w:rsidRPr="00C0597B" w:rsidRDefault="00B60015" w:rsidP="00FB0014">
            <w:pPr>
              <w:ind w:left="158"/>
              <w:rPr>
                <w:b/>
                <w:szCs w:val="22"/>
              </w:rPr>
            </w:pPr>
            <w:r w:rsidRPr="00C0597B">
              <w:rPr>
                <w:szCs w:val="22"/>
              </w:rPr>
              <w:t>p-vrijednost</w:t>
            </w:r>
            <w:r w:rsidRPr="00C0597B">
              <w:rPr>
                <w:szCs w:val="22"/>
                <w:vertAlign w:val="superscript"/>
              </w:rPr>
              <w:t>*</w:t>
            </w:r>
          </w:p>
        </w:tc>
        <w:tc>
          <w:tcPr>
            <w:tcW w:w="5241" w:type="dxa"/>
            <w:gridSpan w:val="3"/>
            <w:tcBorders>
              <w:top w:val="single" w:sz="4" w:space="0" w:color="auto"/>
              <w:left w:val="single" w:sz="4" w:space="0" w:color="auto"/>
              <w:bottom w:val="single" w:sz="4" w:space="0" w:color="auto"/>
              <w:right w:val="single" w:sz="4" w:space="0" w:color="auto"/>
            </w:tcBorders>
          </w:tcPr>
          <w:p w14:paraId="0DD540A1" w14:textId="2B6644DC" w:rsidR="00B60015" w:rsidRPr="00822B86" w:rsidRDefault="00B60015" w:rsidP="00FB0014">
            <w:pPr>
              <w:jc w:val="center"/>
              <w:rPr>
                <w:szCs w:val="22"/>
              </w:rPr>
            </w:pPr>
            <w:r w:rsidRPr="00822B86">
              <w:rPr>
                <w:szCs w:val="22"/>
              </w:rPr>
              <w:t>&lt; 0,0001</w:t>
            </w:r>
          </w:p>
        </w:tc>
      </w:tr>
      <w:tr w:rsidR="00B60015" w:rsidRPr="003C7D36" w14:paraId="77CD9AA8" w14:textId="77777777" w:rsidTr="00FB0014">
        <w:tc>
          <w:tcPr>
            <w:tcW w:w="9617" w:type="dxa"/>
            <w:gridSpan w:val="4"/>
            <w:tcBorders>
              <w:top w:val="single" w:sz="4" w:space="0" w:color="auto"/>
              <w:left w:val="single" w:sz="4" w:space="0" w:color="auto"/>
              <w:bottom w:val="single" w:sz="4" w:space="0" w:color="auto"/>
              <w:right w:val="single" w:sz="4" w:space="0" w:color="auto"/>
            </w:tcBorders>
          </w:tcPr>
          <w:p w14:paraId="79F2EF27" w14:textId="3C411E00" w:rsidR="00B60015" w:rsidRPr="00C0597B" w:rsidRDefault="00B60015" w:rsidP="00FB0014">
            <w:pPr>
              <w:rPr>
                <w:szCs w:val="22"/>
              </w:rPr>
            </w:pPr>
            <w:r w:rsidRPr="00C0597B">
              <w:rPr>
                <w:b/>
                <w:bCs/>
                <w:szCs w:val="22"/>
              </w:rPr>
              <w:lastRenderedPageBreak/>
              <w:t>Ukupno preživljavanje</w:t>
            </w:r>
          </w:p>
        </w:tc>
      </w:tr>
      <w:tr w:rsidR="00B60015" w:rsidRPr="003C7D36" w14:paraId="5ABB3EDC" w14:textId="77777777" w:rsidTr="00FB0014">
        <w:tc>
          <w:tcPr>
            <w:tcW w:w="4376" w:type="dxa"/>
            <w:tcBorders>
              <w:top w:val="single" w:sz="4" w:space="0" w:color="auto"/>
              <w:left w:val="single" w:sz="4" w:space="0" w:color="auto"/>
              <w:bottom w:val="single" w:sz="4" w:space="0" w:color="auto"/>
              <w:right w:val="single" w:sz="4" w:space="0" w:color="auto"/>
            </w:tcBorders>
          </w:tcPr>
          <w:p w14:paraId="25B32A06" w14:textId="340E64D5" w:rsidR="00B60015" w:rsidRPr="00C0597B" w:rsidRDefault="00B60015" w:rsidP="00FB0014">
            <w:pPr>
              <w:ind w:left="158"/>
              <w:rPr>
                <w:szCs w:val="22"/>
              </w:rPr>
            </w:pPr>
            <w:r w:rsidRPr="00C0597B">
              <w:rPr>
                <w:szCs w:val="22"/>
              </w:rPr>
              <w:t>Broj pacijenata sa događajem, n (%)</w:t>
            </w:r>
          </w:p>
        </w:tc>
        <w:tc>
          <w:tcPr>
            <w:tcW w:w="2620" w:type="dxa"/>
            <w:tcBorders>
              <w:top w:val="single" w:sz="4" w:space="0" w:color="auto"/>
              <w:left w:val="single" w:sz="4" w:space="0" w:color="auto"/>
              <w:bottom w:val="single" w:sz="4" w:space="0" w:color="auto"/>
              <w:right w:val="single" w:sz="4" w:space="0" w:color="auto"/>
            </w:tcBorders>
          </w:tcPr>
          <w:p w14:paraId="655FFFEB" w14:textId="77777777" w:rsidR="00B60015" w:rsidRPr="00822B86" w:rsidRDefault="00B60015" w:rsidP="00FB0014">
            <w:pPr>
              <w:jc w:val="center"/>
              <w:rPr>
                <w:szCs w:val="22"/>
              </w:rPr>
            </w:pPr>
            <w:r w:rsidRPr="00822B86">
              <w:rPr>
                <w:szCs w:val="22"/>
              </w:rPr>
              <w:t>23 (15%)</w:t>
            </w:r>
          </w:p>
        </w:tc>
        <w:tc>
          <w:tcPr>
            <w:tcW w:w="2621" w:type="dxa"/>
            <w:gridSpan w:val="2"/>
            <w:tcBorders>
              <w:top w:val="single" w:sz="4" w:space="0" w:color="auto"/>
              <w:left w:val="single" w:sz="4" w:space="0" w:color="auto"/>
              <w:bottom w:val="single" w:sz="4" w:space="0" w:color="auto"/>
              <w:right w:val="single" w:sz="4" w:space="0" w:color="auto"/>
            </w:tcBorders>
          </w:tcPr>
          <w:p w14:paraId="2EE9CF1C" w14:textId="77777777" w:rsidR="00B60015" w:rsidRPr="00446153" w:rsidRDefault="00B60015" w:rsidP="00FB0014">
            <w:pPr>
              <w:jc w:val="center"/>
              <w:rPr>
                <w:szCs w:val="22"/>
              </w:rPr>
            </w:pPr>
            <w:r w:rsidRPr="00446153">
              <w:rPr>
                <w:szCs w:val="22"/>
              </w:rPr>
              <w:t>28 (19%)</w:t>
            </w:r>
          </w:p>
        </w:tc>
      </w:tr>
      <w:tr w:rsidR="00B60015" w:rsidRPr="003C7D36" w14:paraId="262B4669" w14:textId="77777777" w:rsidTr="00FB0014">
        <w:tc>
          <w:tcPr>
            <w:tcW w:w="4376" w:type="dxa"/>
            <w:tcBorders>
              <w:top w:val="single" w:sz="4" w:space="0" w:color="auto"/>
              <w:left w:val="single" w:sz="4" w:space="0" w:color="auto"/>
              <w:bottom w:val="single" w:sz="4" w:space="0" w:color="auto"/>
              <w:right w:val="single" w:sz="4" w:space="0" w:color="auto"/>
            </w:tcBorders>
          </w:tcPr>
          <w:p w14:paraId="5C676805" w14:textId="4D3B398C" w:rsidR="00B60015" w:rsidRPr="00822B86" w:rsidRDefault="002179AC" w:rsidP="00FB0014">
            <w:pPr>
              <w:ind w:left="158"/>
              <w:rPr>
                <w:szCs w:val="22"/>
              </w:rPr>
            </w:pPr>
            <w:r w:rsidRPr="00C0597B">
              <w:rPr>
                <w:szCs w:val="22"/>
              </w:rPr>
              <w:t>Medijana</w:t>
            </w:r>
            <w:r w:rsidR="00B60015" w:rsidRPr="00C0597B">
              <w:rPr>
                <w:szCs w:val="22"/>
              </w:rPr>
              <w:t>, u mjesecima (95% CI)</w:t>
            </w:r>
            <w:r w:rsidR="00B60015" w:rsidRPr="00C0597B">
              <w:rPr>
                <w:szCs w:val="22"/>
                <w:vertAlign w:val="superscript"/>
              </w:rPr>
              <w:t>a</w:t>
            </w:r>
          </w:p>
        </w:tc>
        <w:tc>
          <w:tcPr>
            <w:tcW w:w="2620" w:type="dxa"/>
            <w:tcBorders>
              <w:top w:val="single" w:sz="4" w:space="0" w:color="auto"/>
              <w:left w:val="single" w:sz="4" w:space="0" w:color="auto"/>
              <w:bottom w:val="single" w:sz="4" w:space="0" w:color="auto"/>
              <w:right w:val="single" w:sz="4" w:space="0" w:color="auto"/>
            </w:tcBorders>
          </w:tcPr>
          <w:p w14:paraId="060E6974" w14:textId="4A4D05CC" w:rsidR="00B60015" w:rsidRPr="0093305C" w:rsidRDefault="00CB167E" w:rsidP="002759E2">
            <w:pPr>
              <w:jc w:val="center"/>
              <w:rPr>
                <w:szCs w:val="22"/>
              </w:rPr>
            </w:pPr>
            <w:r w:rsidRPr="00446153">
              <w:rPr>
                <w:szCs w:val="22"/>
              </w:rPr>
              <w:t xml:space="preserve">NP </w:t>
            </w:r>
            <w:r w:rsidR="00B60015" w:rsidRPr="00446153">
              <w:rPr>
                <w:szCs w:val="22"/>
              </w:rPr>
              <w:t>(N</w:t>
            </w:r>
            <w:r w:rsidRPr="00446153">
              <w:rPr>
                <w:szCs w:val="22"/>
              </w:rPr>
              <w:t>P</w:t>
            </w:r>
            <w:r w:rsidR="00B60015" w:rsidRPr="00446153">
              <w:rPr>
                <w:szCs w:val="22"/>
              </w:rPr>
              <w:t>, N</w:t>
            </w:r>
            <w:r w:rsidRPr="00446153">
              <w:rPr>
                <w:szCs w:val="22"/>
              </w:rPr>
              <w:t>P</w:t>
            </w:r>
            <w:r w:rsidR="00B60015" w:rsidRPr="0093305C">
              <w:rPr>
                <w:szCs w:val="22"/>
              </w:rPr>
              <w:t>)</w:t>
            </w:r>
          </w:p>
        </w:tc>
        <w:tc>
          <w:tcPr>
            <w:tcW w:w="2621" w:type="dxa"/>
            <w:gridSpan w:val="2"/>
            <w:tcBorders>
              <w:top w:val="single" w:sz="4" w:space="0" w:color="auto"/>
              <w:left w:val="single" w:sz="4" w:space="0" w:color="auto"/>
              <w:bottom w:val="single" w:sz="4" w:space="0" w:color="auto"/>
              <w:right w:val="single" w:sz="4" w:space="0" w:color="auto"/>
            </w:tcBorders>
          </w:tcPr>
          <w:p w14:paraId="71F02E40" w14:textId="17CF9EF0" w:rsidR="00B60015" w:rsidRPr="0093305C" w:rsidRDefault="00B60015" w:rsidP="00FB0014">
            <w:pPr>
              <w:jc w:val="center"/>
              <w:rPr>
                <w:szCs w:val="22"/>
              </w:rPr>
            </w:pPr>
            <w:r w:rsidRPr="0093305C">
              <w:rPr>
                <w:szCs w:val="22"/>
              </w:rPr>
              <w:t>N</w:t>
            </w:r>
            <w:r w:rsidR="00CB167E" w:rsidRPr="0093305C">
              <w:rPr>
                <w:szCs w:val="22"/>
              </w:rPr>
              <w:t>P</w:t>
            </w:r>
            <w:r w:rsidRPr="0093305C">
              <w:rPr>
                <w:szCs w:val="22"/>
              </w:rPr>
              <w:t xml:space="preserve"> (N</w:t>
            </w:r>
            <w:r w:rsidR="00CB167E" w:rsidRPr="0093305C">
              <w:rPr>
                <w:szCs w:val="22"/>
              </w:rPr>
              <w:t>P</w:t>
            </w:r>
            <w:r w:rsidRPr="0093305C">
              <w:rPr>
                <w:szCs w:val="22"/>
              </w:rPr>
              <w:t>, N</w:t>
            </w:r>
            <w:r w:rsidR="00CB167E" w:rsidRPr="0093305C">
              <w:rPr>
                <w:szCs w:val="22"/>
              </w:rPr>
              <w:t>P</w:t>
            </w:r>
            <w:r w:rsidRPr="0093305C">
              <w:rPr>
                <w:szCs w:val="22"/>
              </w:rPr>
              <w:t>)</w:t>
            </w:r>
          </w:p>
        </w:tc>
      </w:tr>
      <w:tr w:rsidR="00B60015" w:rsidRPr="003C7D36" w14:paraId="686555B2" w14:textId="77777777" w:rsidTr="00FB0014">
        <w:tc>
          <w:tcPr>
            <w:tcW w:w="4376" w:type="dxa"/>
            <w:tcBorders>
              <w:top w:val="single" w:sz="4" w:space="0" w:color="auto"/>
              <w:left w:val="single" w:sz="4" w:space="0" w:color="auto"/>
              <w:bottom w:val="single" w:sz="4" w:space="0" w:color="auto"/>
              <w:right w:val="single" w:sz="4" w:space="0" w:color="auto"/>
            </w:tcBorders>
          </w:tcPr>
          <w:p w14:paraId="6538F90B" w14:textId="13112665" w:rsidR="00B60015" w:rsidRPr="00822B86" w:rsidRDefault="00B60015" w:rsidP="002759E2">
            <w:pPr>
              <w:ind w:left="158"/>
              <w:rPr>
                <w:szCs w:val="22"/>
              </w:rPr>
            </w:pPr>
            <w:r w:rsidRPr="00C0597B">
              <w:rPr>
                <w:szCs w:val="22"/>
              </w:rPr>
              <w:t xml:space="preserve">Odnos </w:t>
            </w:r>
            <w:r w:rsidR="002179AC" w:rsidRPr="00C0597B">
              <w:rPr>
                <w:szCs w:val="22"/>
              </w:rPr>
              <w:t xml:space="preserve">rizika </w:t>
            </w:r>
            <w:r w:rsidRPr="00C0597B">
              <w:rPr>
                <w:szCs w:val="22"/>
              </w:rPr>
              <w:t>(95% CI)</w:t>
            </w:r>
            <w:r w:rsidRPr="00822B86">
              <w:rPr>
                <w:szCs w:val="22"/>
                <w:vertAlign w:val="superscript"/>
              </w:rPr>
              <w:t>b</w:t>
            </w:r>
          </w:p>
        </w:tc>
        <w:tc>
          <w:tcPr>
            <w:tcW w:w="5241" w:type="dxa"/>
            <w:gridSpan w:val="3"/>
            <w:tcBorders>
              <w:top w:val="single" w:sz="4" w:space="0" w:color="auto"/>
              <w:left w:val="single" w:sz="4" w:space="0" w:color="auto"/>
              <w:bottom w:val="single" w:sz="4" w:space="0" w:color="auto"/>
              <w:right w:val="single" w:sz="4" w:space="0" w:color="auto"/>
            </w:tcBorders>
          </w:tcPr>
          <w:p w14:paraId="55B6FF19" w14:textId="10D06276" w:rsidR="00B60015" w:rsidRPr="00446153" w:rsidRDefault="00B60015" w:rsidP="00FB0014">
            <w:pPr>
              <w:jc w:val="center"/>
              <w:rPr>
                <w:szCs w:val="22"/>
              </w:rPr>
            </w:pPr>
            <w:r w:rsidRPr="00446153">
              <w:rPr>
                <w:szCs w:val="22"/>
              </w:rPr>
              <w:t>0,72 (0,41, 1,25)</w:t>
            </w:r>
          </w:p>
        </w:tc>
      </w:tr>
      <w:tr w:rsidR="00B60015" w:rsidRPr="003C7D36" w14:paraId="0A401F90" w14:textId="77777777" w:rsidTr="00FB0014">
        <w:tc>
          <w:tcPr>
            <w:tcW w:w="9617" w:type="dxa"/>
            <w:gridSpan w:val="4"/>
            <w:tcBorders>
              <w:top w:val="single" w:sz="4" w:space="0" w:color="auto"/>
              <w:left w:val="single" w:sz="4" w:space="0" w:color="auto"/>
              <w:bottom w:val="single" w:sz="4" w:space="0" w:color="auto"/>
              <w:right w:val="single" w:sz="4" w:space="0" w:color="auto"/>
            </w:tcBorders>
          </w:tcPr>
          <w:p w14:paraId="129571EC" w14:textId="1871B057" w:rsidR="00B60015" w:rsidRPr="00822B86" w:rsidRDefault="00B60015" w:rsidP="00D72DA3">
            <w:pPr>
              <w:rPr>
                <w:szCs w:val="22"/>
              </w:rPr>
            </w:pPr>
            <w:r w:rsidRPr="00C0597B">
              <w:rPr>
                <w:b/>
                <w:szCs w:val="22"/>
              </w:rPr>
              <w:t xml:space="preserve">Preživljavanje bez progresije </w:t>
            </w:r>
            <w:r w:rsidR="00D72DA3" w:rsidRPr="00C0597B">
              <w:rPr>
                <w:b/>
                <w:szCs w:val="22"/>
              </w:rPr>
              <w:t xml:space="preserve">bolesti </w:t>
            </w:r>
            <w:r w:rsidRPr="00C0597B">
              <w:rPr>
                <w:b/>
                <w:szCs w:val="22"/>
              </w:rPr>
              <w:t xml:space="preserve">prema </w:t>
            </w:r>
            <w:r w:rsidR="00D72DA3" w:rsidRPr="00822B86">
              <w:rPr>
                <w:b/>
                <w:szCs w:val="22"/>
              </w:rPr>
              <w:t>procjeni ispitivača</w:t>
            </w:r>
          </w:p>
        </w:tc>
      </w:tr>
      <w:tr w:rsidR="00B60015" w:rsidRPr="003C7D36" w14:paraId="33E3D76D" w14:textId="77777777" w:rsidTr="00FB0014">
        <w:tc>
          <w:tcPr>
            <w:tcW w:w="4376" w:type="dxa"/>
            <w:tcBorders>
              <w:top w:val="single" w:sz="4" w:space="0" w:color="auto"/>
              <w:left w:val="single" w:sz="4" w:space="0" w:color="auto"/>
              <w:bottom w:val="single" w:sz="4" w:space="0" w:color="auto"/>
              <w:right w:val="single" w:sz="4" w:space="0" w:color="auto"/>
            </w:tcBorders>
          </w:tcPr>
          <w:p w14:paraId="59078CF6" w14:textId="28170A6C" w:rsidR="00B60015" w:rsidRPr="00C0597B" w:rsidRDefault="00537ACF" w:rsidP="00FB0014">
            <w:pPr>
              <w:ind w:left="158"/>
              <w:rPr>
                <w:szCs w:val="22"/>
              </w:rPr>
            </w:pPr>
            <w:r w:rsidRPr="00C0597B">
              <w:rPr>
                <w:szCs w:val="22"/>
              </w:rPr>
              <w:t>Broj pacijenata sa događajem</w:t>
            </w:r>
            <w:r w:rsidR="00B60015" w:rsidRPr="00C0597B">
              <w:rPr>
                <w:szCs w:val="22"/>
              </w:rPr>
              <w:t>, n (%)</w:t>
            </w:r>
          </w:p>
        </w:tc>
        <w:tc>
          <w:tcPr>
            <w:tcW w:w="2620" w:type="dxa"/>
            <w:tcBorders>
              <w:top w:val="single" w:sz="4" w:space="0" w:color="auto"/>
              <w:left w:val="single" w:sz="4" w:space="0" w:color="auto"/>
              <w:bottom w:val="single" w:sz="4" w:space="0" w:color="auto"/>
              <w:right w:val="single" w:sz="4" w:space="0" w:color="auto"/>
            </w:tcBorders>
          </w:tcPr>
          <w:p w14:paraId="11B7954F" w14:textId="77777777" w:rsidR="00B60015" w:rsidRPr="00822B86" w:rsidRDefault="00B60015" w:rsidP="00FB0014">
            <w:pPr>
              <w:jc w:val="center"/>
              <w:rPr>
                <w:szCs w:val="22"/>
              </w:rPr>
            </w:pPr>
            <w:r w:rsidRPr="00822B86">
              <w:rPr>
                <w:szCs w:val="22"/>
              </w:rPr>
              <w:t>40 (27%)</w:t>
            </w:r>
          </w:p>
        </w:tc>
        <w:tc>
          <w:tcPr>
            <w:tcW w:w="2621" w:type="dxa"/>
            <w:gridSpan w:val="2"/>
            <w:tcBorders>
              <w:top w:val="single" w:sz="4" w:space="0" w:color="auto"/>
              <w:left w:val="single" w:sz="4" w:space="0" w:color="auto"/>
              <w:bottom w:val="single" w:sz="4" w:space="0" w:color="auto"/>
              <w:right w:val="single" w:sz="4" w:space="0" w:color="auto"/>
            </w:tcBorders>
          </w:tcPr>
          <w:p w14:paraId="4AE7A64E" w14:textId="77777777" w:rsidR="00B60015" w:rsidRPr="00446153" w:rsidRDefault="00B60015" w:rsidP="00FB0014">
            <w:pPr>
              <w:jc w:val="center"/>
              <w:rPr>
                <w:szCs w:val="22"/>
              </w:rPr>
            </w:pPr>
            <w:r w:rsidRPr="00446153">
              <w:rPr>
                <w:szCs w:val="22"/>
              </w:rPr>
              <w:t>104 (71%)</w:t>
            </w:r>
          </w:p>
        </w:tc>
      </w:tr>
      <w:tr w:rsidR="00B60015" w:rsidRPr="003C7D36" w14:paraId="3B297CBF" w14:textId="77777777" w:rsidTr="00FB0014">
        <w:tc>
          <w:tcPr>
            <w:tcW w:w="4376" w:type="dxa"/>
            <w:tcBorders>
              <w:top w:val="single" w:sz="4" w:space="0" w:color="auto"/>
              <w:left w:val="single" w:sz="4" w:space="0" w:color="auto"/>
              <w:bottom w:val="single" w:sz="4" w:space="0" w:color="auto"/>
              <w:right w:val="single" w:sz="4" w:space="0" w:color="auto"/>
            </w:tcBorders>
          </w:tcPr>
          <w:p w14:paraId="46CC4950" w14:textId="12D06525" w:rsidR="00B60015" w:rsidRPr="00C0597B" w:rsidRDefault="00537ACF" w:rsidP="00FB0014">
            <w:pPr>
              <w:ind w:left="288"/>
              <w:rPr>
                <w:szCs w:val="22"/>
              </w:rPr>
            </w:pPr>
            <w:r w:rsidRPr="00C0597B">
              <w:rPr>
                <w:szCs w:val="22"/>
              </w:rPr>
              <w:t>Progresivna bolest</w:t>
            </w:r>
            <w:r w:rsidR="00B60015" w:rsidRPr="00C0597B">
              <w:rPr>
                <w:szCs w:val="22"/>
              </w:rPr>
              <w:t>, n (%)</w:t>
            </w:r>
          </w:p>
        </w:tc>
        <w:tc>
          <w:tcPr>
            <w:tcW w:w="2620" w:type="dxa"/>
            <w:tcBorders>
              <w:top w:val="single" w:sz="4" w:space="0" w:color="auto"/>
              <w:left w:val="single" w:sz="4" w:space="0" w:color="auto"/>
              <w:bottom w:val="single" w:sz="4" w:space="0" w:color="auto"/>
              <w:right w:val="single" w:sz="4" w:space="0" w:color="auto"/>
            </w:tcBorders>
          </w:tcPr>
          <w:p w14:paraId="26255E4D" w14:textId="77777777" w:rsidR="00B60015" w:rsidRPr="00822B86" w:rsidRDefault="00B60015" w:rsidP="00FB0014">
            <w:pPr>
              <w:jc w:val="center"/>
              <w:rPr>
                <w:szCs w:val="22"/>
              </w:rPr>
            </w:pPr>
            <w:r w:rsidRPr="00822B86">
              <w:rPr>
                <w:szCs w:val="22"/>
              </w:rPr>
              <w:t>34 (23%)</w:t>
            </w:r>
          </w:p>
        </w:tc>
        <w:tc>
          <w:tcPr>
            <w:tcW w:w="2621" w:type="dxa"/>
            <w:gridSpan w:val="2"/>
            <w:tcBorders>
              <w:top w:val="single" w:sz="4" w:space="0" w:color="auto"/>
              <w:left w:val="single" w:sz="4" w:space="0" w:color="auto"/>
              <w:bottom w:val="single" w:sz="4" w:space="0" w:color="auto"/>
              <w:right w:val="single" w:sz="4" w:space="0" w:color="auto"/>
            </w:tcBorders>
          </w:tcPr>
          <w:p w14:paraId="029F7A75" w14:textId="77777777" w:rsidR="00B60015" w:rsidRPr="00446153" w:rsidRDefault="00B60015" w:rsidP="00FB0014">
            <w:pPr>
              <w:jc w:val="center"/>
              <w:rPr>
                <w:szCs w:val="22"/>
              </w:rPr>
            </w:pPr>
            <w:r w:rsidRPr="00446153">
              <w:rPr>
                <w:szCs w:val="22"/>
              </w:rPr>
              <w:t>99 (67%)</w:t>
            </w:r>
          </w:p>
        </w:tc>
      </w:tr>
      <w:tr w:rsidR="00B60015" w:rsidRPr="003C7D36" w14:paraId="3430B32E" w14:textId="77777777" w:rsidTr="00FB0014">
        <w:tc>
          <w:tcPr>
            <w:tcW w:w="4376" w:type="dxa"/>
            <w:tcBorders>
              <w:top w:val="single" w:sz="4" w:space="0" w:color="auto"/>
              <w:left w:val="single" w:sz="4" w:space="0" w:color="auto"/>
              <w:bottom w:val="single" w:sz="4" w:space="0" w:color="auto"/>
              <w:right w:val="single" w:sz="4" w:space="0" w:color="auto"/>
            </w:tcBorders>
          </w:tcPr>
          <w:p w14:paraId="41A3859A" w14:textId="7307DAC4" w:rsidR="00B60015" w:rsidRPr="00C0597B" w:rsidRDefault="00537ACF" w:rsidP="00FB0014">
            <w:pPr>
              <w:ind w:left="288"/>
              <w:rPr>
                <w:szCs w:val="22"/>
              </w:rPr>
            </w:pPr>
            <w:r w:rsidRPr="00C0597B">
              <w:rPr>
                <w:szCs w:val="22"/>
              </w:rPr>
              <w:t>Smrt</w:t>
            </w:r>
            <w:r w:rsidR="00B60015" w:rsidRPr="00C0597B">
              <w:rPr>
                <w:szCs w:val="22"/>
              </w:rPr>
              <w:t>, n (%)</w:t>
            </w:r>
          </w:p>
        </w:tc>
        <w:tc>
          <w:tcPr>
            <w:tcW w:w="2620" w:type="dxa"/>
            <w:tcBorders>
              <w:top w:val="single" w:sz="4" w:space="0" w:color="auto"/>
              <w:left w:val="single" w:sz="4" w:space="0" w:color="auto"/>
              <w:bottom w:val="single" w:sz="4" w:space="0" w:color="auto"/>
              <w:right w:val="single" w:sz="4" w:space="0" w:color="auto"/>
            </w:tcBorders>
          </w:tcPr>
          <w:p w14:paraId="39494A19" w14:textId="77777777" w:rsidR="00B60015" w:rsidRPr="00822B86" w:rsidRDefault="00B60015" w:rsidP="00FB0014">
            <w:pPr>
              <w:jc w:val="center"/>
              <w:rPr>
                <w:szCs w:val="22"/>
              </w:rPr>
            </w:pPr>
            <w:r w:rsidRPr="00822B86">
              <w:rPr>
                <w:szCs w:val="22"/>
              </w:rPr>
              <w:t>6 (4%)</w:t>
            </w:r>
          </w:p>
        </w:tc>
        <w:tc>
          <w:tcPr>
            <w:tcW w:w="2621" w:type="dxa"/>
            <w:gridSpan w:val="2"/>
            <w:tcBorders>
              <w:top w:val="single" w:sz="4" w:space="0" w:color="auto"/>
              <w:left w:val="single" w:sz="4" w:space="0" w:color="auto"/>
              <w:bottom w:val="single" w:sz="4" w:space="0" w:color="auto"/>
              <w:right w:val="single" w:sz="4" w:space="0" w:color="auto"/>
            </w:tcBorders>
          </w:tcPr>
          <w:p w14:paraId="4BAC832A" w14:textId="77777777" w:rsidR="00B60015" w:rsidRPr="00446153" w:rsidRDefault="00B60015" w:rsidP="00FB0014">
            <w:pPr>
              <w:jc w:val="center"/>
              <w:rPr>
                <w:szCs w:val="22"/>
              </w:rPr>
            </w:pPr>
            <w:r w:rsidRPr="00446153">
              <w:rPr>
                <w:szCs w:val="22"/>
              </w:rPr>
              <w:t>5 (3%)</w:t>
            </w:r>
          </w:p>
        </w:tc>
      </w:tr>
      <w:tr w:rsidR="00B60015" w:rsidRPr="003C7D36" w14:paraId="2AA7D133" w14:textId="77777777" w:rsidTr="00FB0014">
        <w:tc>
          <w:tcPr>
            <w:tcW w:w="4376" w:type="dxa"/>
            <w:tcBorders>
              <w:top w:val="single" w:sz="4" w:space="0" w:color="auto"/>
              <w:left w:val="single" w:sz="4" w:space="0" w:color="auto"/>
              <w:bottom w:val="single" w:sz="4" w:space="0" w:color="auto"/>
              <w:right w:val="single" w:sz="4" w:space="0" w:color="auto"/>
            </w:tcBorders>
          </w:tcPr>
          <w:p w14:paraId="4B56CC25" w14:textId="13FAB5EE" w:rsidR="00B60015" w:rsidRPr="00822B86" w:rsidRDefault="002179AC" w:rsidP="00FB0014">
            <w:pPr>
              <w:ind w:left="158"/>
              <w:rPr>
                <w:szCs w:val="22"/>
              </w:rPr>
            </w:pPr>
            <w:r w:rsidRPr="00C0597B">
              <w:rPr>
                <w:szCs w:val="22"/>
              </w:rPr>
              <w:t>Medijana</w:t>
            </w:r>
            <w:r w:rsidR="00537ACF" w:rsidRPr="00C0597B">
              <w:rPr>
                <w:szCs w:val="22"/>
              </w:rPr>
              <w:t xml:space="preserve">, u mjesecima </w:t>
            </w:r>
            <w:r w:rsidR="00B60015" w:rsidRPr="00C0597B">
              <w:rPr>
                <w:szCs w:val="22"/>
              </w:rPr>
              <w:t>(95% CI)</w:t>
            </w:r>
            <w:r w:rsidR="00B60015" w:rsidRPr="00822B86">
              <w:rPr>
                <w:szCs w:val="22"/>
                <w:vertAlign w:val="superscript"/>
              </w:rPr>
              <w:t>a</w:t>
            </w:r>
          </w:p>
        </w:tc>
        <w:tc>
          <w:tcPr>
            <w:tcW w:w="2620" w:type="dxa"/>
            <w:tcBorders>
              <w:top w:val="single" w:sz="4" w:space="0" w:color="auto"/>
              <w:left w:val="single" w:sz="4" w:space="0" w:color="auto"/>
              <w:bottom w:val="single" w:sz="4" w:space="0" w:color="auto"/>
              <w:right w:val="single" w:sz="4" w:space="0" w:color="auto"/>
            </w:tcBorders>
          </w:tcPr>
          <w:p w14:paraId="5BE27883" w14:textId="6B6B487E" w:rsidR="00B60015" w:rsidRPr="0093305C" w:rsidRDefault="00B60015" w:rsidP="00FB0014">
            <w:pPr>
              <w:jc w:val="center"/>
              <w:rPr>
                <w:szCs w:val="22"/>
              </w:rPr>
            </w:pPr>
            <w:r w:rsidRPr="00446153">
              <w:rPr>
                <w:szCs w:val="22"/>
              </w:rPr>
              <w:t>N</w:t>
            </w:r>
            <w:r w:rsidR="00CB167E" w:rsidRPr="00446153">
              <w:rPr>
                <w:szCs w:val="22"/>
              </w:rPr>
              <w:t>P</w:t>
            </w:r>
            <w:r w:rsidRPr="00446153">
              <w:rPr>
                <w:szCs w:val="22"/>
              </w:rPr>
              <w:t xml:space="preserve"> (N</w:t>
            </w:r>
            <w:r w:rsidR="00CB167E" w:rsidRPr="00446153">
              <w:rPr>
                <w:szCs w:val="22"/>
              </w:rPr>
              <w:t>P</w:t>
            </w:r>
            <w:r w:rsidRPr="00446153">
              <w:rPr>
                <w:szCs w:val="22"/>
              </w:rPr>
              <w:t>, N</w:t>
            </w:r>
            <w:r w:rsidR="00CB167E" w:rsidRPr="0093305C">
              <w:rPr>
                <w:szCs w:val="22"/>
              </w:rPr>
              <w:t>P</w:t>
            </w:r>
            <w:r w:rsidRPr="0093305C">
              <w:rPr>
                <w:szCs w:val="22"/>
              </w:rPr>
              <w:t>)</w:t>
            </w:r>
          </w:p>
        </w:tc>
        <w:tc>
          <w:tcPr>
            <w:tcW w:w="2621" w:type="dxa"/>
            <w:gridSpan w:val="2"/>
            <w:tcBorders>
              <w:top w:val="single" w:sz="4" w:space="0" w:color="auto"/>
              <w:left w:val="single" w:sz="4" w:space="0" w:color="auto"/>
              <w:bottom w:val="single" w:sz="4" w:space="0" w:color="auto"/>
              <w:right w:val="single" w:sz="4" w:space="0" w:color="auto"/>
            </w:tcBorders>
          </w:tcPr>
          <w:p w14:paraId="1A3627F6" w14:textId="77777777" w:rsidR="00B60015" w:rsidRPr="0093305C" w:rsidRDefault="00B60015" w:rsidP="00FB0014">
            <w:pPr>
              <w:jc w:val="center"/>
              <w:rPr>
                <w:szCs w:val="22"/>
              </w:rPr>
            </w:pPr>
            <w:r w:rsidRPr="0093305C">
              <w:rPr>
                <w:szCs w:val="22"/>
              </w:rPr>
              <w:t>9 (7, 11)</w:t>
            </w:r>
          </w:p>
        </w:tc>
      </w:tr>
      <w:tr w:rsidR="00B60015" w:rsidRPr="003C7D36" w14:paraId="5531F09C" w14:textId="77777777" w:rsidTr="00FB0014">
        <w:tc>
          <w:tcPr>
            <w:tcW w:w="4376" w:type="dxa"/>
            <w:tcBorders>
              <w:top w:val="single" w:sz="4" w:space="0" w:color="auto"/>
              <w:left w:val="single" w:sz="4" w:space="0" w:color="auto"/>
              <w:bottom w:val="single" w:sz="4" w:space="0" w:color="auto"/>
              <w:right w:val="single" w:sz="4" w:space="0" w:color="auto"/>
            </w:tcBorders>
          </w:tcPr>
          <w:p w14:paraId="03115A49" w14:textId="0DC90555" w:rsidR="00B60015" w:rsidRPr="00822B86" w:rsidRDefault="00537ACF" w:rsidP="002759E2">
            <w:pPr>
              <w:ind w:left="158"/>
              <w:rPr>
                <w:szCs w:val="22"/>
              </w:rPr>
            </w:pPr>
            <w:r w:rsidRPr="00C0597B">
              <w:rPr>
                <w:szCs w:val="22"/>
              </w:rPr>
              <w:t xml:space="preserve">Odnos </w:t>
            </w:r>
            <w:r w:rsidR="002179AC" w:rsidRPr="00C0597B">
              <w:rPr>
                <w:szCs w:val="22"/>
              </w:rPr>
              <w:t xml:space="preserve">rizika </w:t>
            </w:r>
            <w:r w:rsidR="00B60015" w:rsidRPr="00C0597B">
              <w:rPr>
                <w:szCs w:val="22"/>
              </w:rPr>
              <w:t>(95% CI)</w:t>
            </w:r>
            <w:r w:rsidR="00B60015" w:rsidRPr="00822B86">
              <w:rPr>
                <w:szCs w:val="22"/>
                <w:vertAlign w:val="superscript"/>
              </w:rPr>
              <w:t>b</w:t>
            </w:r>
          </w:p>
        </w:tc>
        <w:tc>
          <w:tcPr>
            <w:tcW w:w="5241" w:type="dxa"/>
            <w:gridSpan w:val="3"/>
            <w:tcBorders>
              <w:top w:val="single" w:sz="4" w:space="0" w:color="auto"/>
              <w:left w:val="single" w:sz="4" w:space="0" w:color="auto"/>
              <w:bottom w:val="single" w:sz="4" w:space="0" w:color="auto"/>
              <w:right w:val="single" w:sz="4" w:space="0" w:color="auto"/>
            </w:tcBorders>
          </w:tcPr>
          <w:p w14:paraId="4BC1644E" w14:textId="743CB76F" w:rsidR="00B60015" w:rsidRPr="00446153" w:rsidRDefault="00B60015" w:rsidP="00FB0014">
            <w:pPr>
              <w:jc w:val="center"/>
              <w:rPr>
                <w:szCs w:val="22"/>
              </w:rPr>
            </w:pPr>
            <w:r w:rsidRPr="00446153">
              <w:rPr>
                <w:szCs w:val="22"/>
              </w:rPr>
              <w:t>0,21 (0,14, 0,31)</w:t>
            </w:r>
          </w:p>
        </w:tc>
      </w:tr>
      <w:tr w:rsidR="00B60015" w:rsidRPr="003C7D36" w14:paraId="1A96C8F2" w14:textId="77777777" w:rsidTr="00FB0014">
        <w:tc>
          <w:tcPr>
            <w:tcW w:w="4376" w:type="dxa"/>
            <w:tcBorders>
              <w:top w:val="single" w:sz="4" w:space="0" w:color="auto"/>
              <w:left w:val="single" w:sz="4" w:space="0" w:color="auto"/>
              <w:bottom w:val="single" w:sz="4" w:space="0" w:color="auto"/>
              <w:right w:val="single" w:sz="4" w:space="0" w:color="auto"/>
            </w:tcBorders>
          </w:tcPr>
          <w:p w14:paraId="77E86D35" w14:textId="084318B8" w:rsidR="00B60015" w:rsidRPr="00822B86" w:rsidRDefault="00B60015" w:rsidP="00FB0014">
            <w:pPr>
              <w:ind w:left="158"/>
              <w:rPr>
                <w:szCs w:val="22"/>
              </w:rPr>
            </w:pPr>
            <w:r w:rsidRPr="00C0597B">
              <w:rPr>
                <w:szCs w:val="22"/>
              </w:rPr>
              <w:t>p-</w:t>
            </w:r>
            <w:r w:rsidR="00537ACF" w:rsidRPr="00C0597B">
              <w:rPr>
                <w:szCs w:val="22"/>
              </w:rPr>
              <w:t>vrijednost</w:t>
            </w:r>
            <w:r w:rsidRPr="00C0597B">
              <w:rPr>
                <w:szCs w:val="22"/>
                <w:vertAlign w:val="superscript"/>
              </w:rPr>
              <w:t>*</w:t>
            </w:r>
          </w:p>
        </w:tc>
        <w:tc>
          <w:tcPr>
            <w:tcW w:w="5241" w:type="dxa"/>
            <w:gridSpan w:val="3"/>
            <w:tcBorders>
              <w:top w:val="single" w:sz="4" w:space="0" w:color="auto"/>
              <w:left w:val="single" w:sz="4" w:space="0" w:color="auto"/>
              <w:bottom w:val="single" w:sz="4" w:space="0" w:color="auto"/>
              <w:right w:val="single" w:sz="4" w:space="0" w:color="auto"/>
            </w:tcBorders>
          </w:tcPr>
          <w:p w14:paraId="2AB2709C" w14:textId="52D85733" w:rsidR="00B60015" w:rsidRPr="00446153" w:rsidRDefault="00B60015" w:rsidP="00FB0014">
            <w:pPr>
              <w:jc w:val="center"/>
              <w:rPr>
                <w:szCs w:val="22"/>
              </w:rPr>
            </w:pPr>
            <w:r w:rsidRPr="00446153">
              <w:rPr>
                <w:szCs w:val="22"/>
              </w:rPr>
              <w:t>&lt; 0,0001</w:t>
            </w:r>
          </w:p>
        </w:tc>
      </w:tr>
      <w:tr w:rsidR="00B60015" w:rsidRPr="003C7D36" w14:paraId="2CF915B7" w14:textId="77777777" w:rsidTr="00FB0014">
        <w:tc>
          <w:tcPr>
            <w:tcW w:w="9617" w:type="dxa"/>
            <w:gridSpan w:val="4"/>
            <w:tcBorders>
              <w:top w:val="single" w:sz="4" w:space="0" w:color="auto"/>
              <w:left w:val="single" w:sz="4" w:space="0" w:color="auto"/>
              <w:bottom w:val="single" w:sz="4" w:space="0" w:color="auto"/>
              <w:right w:val="single" w:sz="4" w:space="0" w:color="auto"/>
            </w:tcBorders>
          </w:tcPr>
          <w:p w14:paraId="25A7AF34" w14:textId="5C86C355" w:rsidR="00B60015" w:rsidRPr="00C0597B" w:rsidRDefault="00537ACF" w:rsidP="00FB0014">
            <w:pPr>
              <w:rPr>
                <w:szCs w:val="22"/>
              </w:rPr>
            </w:pPr>
            <w:r w:rsidRPr="00C0597B">
              <w:rPr>
                <w:b/>
                <w:szCs w:val="22"/>
              </w:rPr>
              <w:t xml:space="preserve">Ukupan odgovor </w:t>
            </w:r>
            <w:r w:rsidR="00D72DA3" w:rsidRPr="00C0597B">
              <w:rPr>
                <w:b/>
                <w:szCs w:val="22"/>
              </w:rPr>
              <w:t>prema slijepoj nezavisnoj centralnoj procjeni</w:t>
            </w:r>
          </w:p>
        </w:tc>
      </w:tr>
      <w:tr w:rsidR="00B60015" w:rsidRPr="003C7D36" w14:paraId="38D919D8" w14:textId="77777777" w:rsidTr="00FB0014">
        <w:tc>
          <w:tcPr>
            <w:tcW w:w="4376" w:type="dxa"/>
            <w:tcBorders>
              <w:top w:val="single" w:sz="4" w:space="0" w:color="auto"/>
              <w:left w:val="single" w:sz="4" w:space="0" w:color="auto"/>
              <w:bottom w:val="single" w:sz="4" w:space="0" w:color="auto"/>
              <w:right w:val="single" w:sz="4" w:space="0" w:color="auto"/>
            </w:tcBorders>
          </w:tcPr>
          <w:p w14:paraId="6AC2CD51" w14:textId="004BDB70" w:rsidR="00B60015" w:rsidRPr="00C0597B" w:rsidRDefault="00537ACF" w:rsidP="00FB0014">
            <w:pPr>
              <w:ind w:left="158"/>
              <w:rPr>
                <w:szCs w:val="22"/>
              </w:rPr>
            </w:pPr>
            <w:r w:rsidRPr="00C0597B">
              <w:rPr>
                <w:szCs w:val="22"/>
              </w:rPr>
              <w:t>Stopa ukupnog odgovora</w:t>
            </w:r>
            <w:r w:rsidR="00B60015" w:rsidRPr="00C0597B">
              <w:rPr>
                <w:szCs w:val="22"/>
              </w:rPr>
              <w:t xml:space="preserve">, n (%) </w:t>
            </w:r>
          </w:p>
        </w:tc>
        <w:tc>
          <w:tcPr>
            <w:tcW w:w="2686" w:type="dxa"/>
            <w:gridSpan w:val="2"/>
            <w:tcBorders>
              <w:top w:val="single" w:sz="4" w:space="0" w:color="auto"/>
              <w:left w:val="single" w:sz="4" w:space="0" w:color="auto"/>
              <w:bottom w:val="single" w:sz="4" w:space="0" w:color="auto"/>
              <w:right w:val="single" w:sz="4" w:space="0" w:color="auto"/>
            </w:tcBorders>
          </w:tcPr>
          <w:p w14:paraId="4E4B9356" w14:textId="77777777" w:rsidR="00B60015" w:rsidRPr="00822B86" w:rsidRDefault="00B60015" w:rsidP="00FB0014">
            <w:pPr>
              <w:jc w:val="center"/>
              <w:rPr>
                <w:szCs w:val="22"/>
              </w:rPr>
            </w:pPr>
            <w:r w:rsidRPr="00822B86">
              <w:rPr>
                <w:szCs w:val="22"/>
              </w:rPr>
              <w:t xml:space="preserve">113 (76%) </w:t>
            </w:r>
          </w:p>
        </w:tc>
        <w:tc>
          <w:tcPr>
            <w:tcW w:w="2555" w:type="dxa"/>
            <w:tcBorders>
              <w:top w:val="single" w:sz="4" w:space="0" w:color="auto"/>
              <w:left w:val="single" w:sz="4" w:space="0" w:color="auto"/>
              <w:bottom w:val="single" w:sz="4" w:space="0" w:color="auto"/>
              <w:right w:val="single" w:sz="4" w:space="0" w:color="auto"/>
            </w:tcBorders>
          </w:tcPr>
          <w:p w14:paraId="44602E32" w14:textId="77777777" w:rsidR="00B60015" w:rsidRPr="00446153" w:rsidRDefault="00B60015" w:rsidP="00FB0014">
            <w:pPr>
              <w:jc w:val="center"/>
              <w:rPr>
                <w:szCs w:val="22"/>
              </w:rPr>
            </w:pPr>
            <w:r w:rsidRPr="00446153">
              <w:rPr>
                <w:szCs w:val="22"/>
              </w:rPr>
              <w:t xml:space="preserve">85 (58%) </w:t>
            </w:r>
          </w:p>
        </w:tc>
      </w:tr>
      <w:tr w:rsidR="00B60015" w:rsidRPr="003C7D36" w14:paraId="4E12F0B0" w14:textId="77777777" w:rsidTr="00FB0014">
        <w:tc>
          <w:tcPr>
            <w:tcW w:w="4376" w:type="dxa"/>
            <w:tcBorders>
              <w:top w:val="single" w:sz="4" w:space="0" w:color="auto"/>
              <w:left w:val="single" w:sz="4" w:space="0" w:color="auto"/>
              <w:bottom w:val="single" w:sz="4" w:space="0" w:color="auto"/>
              <w:right w:val="single" w:sz="4" w:space="0" w:color="auto"/>
            </w:tcBorders>
          </w:tcPr>
          <w:p w14:paraId="7BC13999" w14:textId="77777777" w:rsidR="00B60015" w:rsidRPr="00C0597B" w:rsidRDefault="00B60015" w:rsidP="00FB0014">
            <w:pPr>
              <w:ind w:left="158"/>
              <w:rPr>
                <w:szCs w:val="22"/>
              </w:rPr>
            </w:pPr>
            <w:r w:rsidRPr="00C0597B">
              <w:rPr>
                <w:szCs w:val="22"/>
              </w:rPr>
              <w:t>(95% CI)</w:t>
            </w:r>
            <w:r w:rsidRPr="00C0597B">
              <w:rPr>
                <w:szCs w:val="22"/>
                <w:vertAlign w:val="superscript"/>
              </w:rPr>
              <w:t>c</w:t>
            </w:r>
          </w:p>
        </w:tc>
        <w:tc>
          <w:tcPr>
            <w:tcW w:w="2686" w:type="dxa"/>
            <w:gridSpan w:val="2"/>
            <w:tcBorders>
              <w:top w:val="single" w:sz="4" w:space="0" w:color="auto"/>
              <w:left w:val="single" w:sz="4" w:space="0" w:color="auto"/>
              <w:bottom w:val="single" w:sz="4" w:space="0" w:color="auto"/>
              <w:right w:val="single" w:sz="4" w:space="0" w:color="auto"/>
            </w:tcBorders>
          </w:tcPr>
          <w:p w14:paraId="3ECBA362" w14:textId="77777777" w:rsidR="00B60015" w:rsidRPr="00822B86" w:rsidRDefault="00B60015" w:rsidP="00FB0014">
            <w:pPr>
              <w:jc w:val="center"/>
              <w:rPr>
                <w:szCs w:val="22"/>
              </w:rPr>
            </w:pPr>
            <w:r w:rsidRPr="00822B86">
              <w:rPr>
                <w:szCs w:val="22"/>
              </w:rPr>
              <w:t>(68, 83)</w:t>
            </w:r>
          </w:p>
        </w:tc>
        <w:tc>
          <w:tcPr>
            <w:tcW w:w="2555" w:type="dxa"/>
            <w:tcBorders>
              <w:top w:val="single" w:sz="4" w:space="0" w:color="auto"/>
              <w:left w:val="single" w:sz="4" w:space="0" w:color="auto"/>
              <w:bottom w:val="single" w:sz="4" w:space="0" w:color="auto"/>
              <w:right w:val="single" w:sz="4" w:space="0" w:color="auto"/>
            </w:tcBorders>
          </w:tcPr>
          <w:p w14:paraId="2547C9BC" w14:textId="77777777" w:rsidR="00B60015" w:rsidRPr="00446153" w:rsidRDefault="00B60015" w:rsidP="00FB0014">
            <w:pPr>
              <w:jc w:val="center"/>
              <w:rPr>
                <w:szCs w:val="22"/>
              </w:rPr>
            </w:pPr>
            <w:r w:rsidRPr="00446153">
              <w:rPr>
                <w:szCs w:val="22"/>
              </w:rPr>
              <w:t>(49, 66)</w:t>
            </w:r>
          </w:p>
        </w:tc>
      </w:tr>
      <w:tr w:rsidR="00B60015" w:rsidRPr="003C7D36" w14:paraId="21061EF4" w14:textId="77777777" w:rsidTr="00FB0014">
        <w:trPr>
          <w:trHeight w:val="314"/>
        </w:trPr>
        <w:tc>
          <w:tcPr>
            <w:tcW w:w="9617" w:type="dxa"/>
            <w:gridSpan w:val="4"/>
            <w:tcBorders>
              <w:top w:val="single" w:sz="4" w:space="0" w:color="auto"/>
              <w:left w:val="single" w:sz="4" w:space="0" w:color="auto"/>
              <w:bottom w:val="single" w:sz="4" w:space="0" w:color="auto"/>
              <w:right w:val="single" w:sz="4" w:space="0" w:color="auto"/>
            </w:tcBorders>
          </w:tcPr>
          <w:p w14:paraId="47A85D0A" w14:textId="4CD10830" w:rsidR="00B60015" w:rsidRPr="00C0597B" w:rsidRDefault="00537ACF" w:rsidP="00FB0014">
            <w:pPr>
              <w:rPr>
                <w:szCs w:val="22"/>
              </w:rPr>
            </w:pPr>
            <w:r w:rsidRPr="00C0597B">
              <w:rPr>
                <w:b/>
                <w:bCs/>
                <w:szCs w:val="22"/>
              </w:rPr>
              <w:t>Vreme do intrakranijalne progresije</w:t>
            </w:r>
          </w:p>
        </w:tc>
      </w:tr>
      <w:tr w:rsidR="00B60015" w:rsidRPr="003C7D36" w14:paraId="3A4DAF25" w14:textId="77777777" w:rsidTr="00FB0014">
        <w:trPr>
          <w:trHeight w:val="314"/>
        </w:trPr>
        <w:tc>
          <w:tcPr>
            <w:tcW w:w="4376" w:type="dxa"/>
            <w:tcBorders>
              <w:top w:val="single" w:sz="4" w:space="0" w:color="auto"/>
              <w:left w:val="single" w:sz="4" w:space="0" w:color="auto"/>
              <w:bottom w:val="single" w:sz="4" w:space="0" w:color="auto"/>
              <w:right w:val="single" w:sz="4" w:space="0" w:color="auto"/>
            </w:tcBorders>
          </w:tcPr>
          <w:p w14:paraId="02DE33B6" w14:textId="73DE5595" w:rsidR="00B60015" w:rsidRPr="00822B86" w:rsidRDefault="002179AC" w:rsidP="00FB0014">
            <w:pPr>
              <w:ind w:left="162"/>
              <w:rPr>
                <w:szCs w:val="22"/>
              </w:rPr>
            </w:pPr>
            <w:r w:rsidRPr="00C0597B">
              <w:rPr>
                <w:szCs w:val="22"/>
              </w:rPr>
              <w:t>Medijana</w:t>
            </w:r>
            <w:r w:rsidR="00537ACF" w:rsidRPr="00C0597B">
              <w:rPr>
                <w:szCs w:val="22"/>
              </w:rPr>
              <w:t xml:space="preserve">, u mjesecima </w:t>
            </w:r>
            <w:r w:rsidR="00B60015" w:rsidRPr="00C0597B">
              <w:rPr>
                <w:szCs w:val="22"/>
              </w:rPr>
              <w:t>(95% CI)</w:t>
            </w:r>
            <w:r w:rsidR="00B60015" w:rsidRPr="00822B86">
              <w:rPr>
                <w:szCs w:val="22"/>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21728205" w14:textId="59113120" w:rsidR="00B60015" w:rsidRPr="0093305C" w:rsidRDefault="00B60015" w:rsidP="00FB0014">
            <w:pPr>
              <w:jc w:val="center"/>
              <w:rPr>
                <w:szCs w:val="22"/>
              </w:rPr>
            </w:pPr>
            <w:r w:rsidRPr="00446153">
              <w:rPr>
                <w:szCs w:val="22"/>
              </w:rPr>
              <w:t>N</w:t>
            </w:r>
            <w:r w:rsidR="00CB167E" w:rsidRPr="00446153">
              <w:rPr>
                <w:szCs w:val="22"/>
              </w:rPr>
              <w:t>P</w:t>
            </w:r>
            <w:r w:rsidRPr="00446153">
              <w:rPr>
                <w:szCs w:val="22"/>
              </w:rPr>
              <w:t xml:space="preserve"> (N</w:t>
            </w:r>
            <w:r w:rsidR="00CB167E" w:rsidRPr="00446153">
              <w:rPr>
                <w:szCs w:val="22"/>
              </w:rPr>
              <w:t>P</w:t>
            </w:r>
            <w:r w:rsidRPr="00446153">
              <w:rPr>
                <w:szCs w:val="22"/>
              </w:rPr>
              <w:t>, N</w:t>
            </w:r>
            <w:r w:rsidR="00CB167E" w:rsidRPr="0093305C">
              <w:rPr>
                <w:szCs w:val="22"/>
              </w:rPr>
              <w:t>P</w:t>
            </w:r>
            <w:r w:rsidRPr="0093305C">
              <w:rPr>
                <w:szCs w:val="22"/>
              </w:rPr>
              <w:t>)</w:t>
            </w:r>
          </w:p>
        </w:tc>
        <w:tc>
          <w:tcPr>
            <w:tcW w:w="2555" w:type="dxa"/>
            <w:tcBorders>
              <w:top w:val="single" w:sz="4" w:space="0" w:color="auto"/>
              <w:left w:val="single" w:sz="4" w:space="0" w:color="auto"/>
              <w:bottom w:val="single" w:sz="4" w:space="0" w:color="auto"/>
              <w:right w:val="single" w:sz="4" w:space="0" w:color="auto"/>
            </w:tcBorders>
          </w:tcPr>
          <w:p w14:paraId="40F2B670" w14:textId="03966CA0" w:rsidR="00B60015" w:rsidRPr="0093305C" w:rsidRDefault="00B60015" w:rsidP="00FB0014">
            <w:pPr>
              <w:jc w:val="center"/>
              <w:rPr>
                <w:szCs w:val="22"/>
              </w:rPr>
            </w:pPr>
            <w:r w:rsidRPr="0093305C">
              <w:rPr>
                <w:szCs w:val="22"/>
              </w:rPr>
              <w:t>16.6 (11, N</w:t>
            </w:r>
            <w:r w:rsidR="00CB167E" w:rsidRPr="0093305C">
              <w:rPr>
                <w:szCs w:val="22"/>
              </w:rPr>
              <w:t>P</w:t>
            </w:r>
            <w:r w:rsidRPr="0093305C">
              <w:rPr>
                <w:szCs w:val="22"/>
              </w:rPr>
              <w:t>)</w:t>
            </w:r>
          </w:p>
        </w:tc>
      </w:tr>
      <w:tr w:rsidR="00B60015" w:rsidRPr="003C7D36" w14:paraId="3E37C732" w14:textId="77777777" w:rsidTr="00FB0014">
        <w:trPr>
          <w:trHeight w:val="314"/>
        </w:trPr>
        <w:tc>
          <w:tcPr>
            <w:tcW w:w="4376" w:type="dxa"/>
            <w:tcBorders>
              <w:top w:val="single" w:sz="4" w:space="0" w:color="auto"/>
              <w:left w:val="single" w:sz="4" w:space="0" w:color="auto"/>
              <w:bottom w:val="single" w:sz="4" w:space="0" w:color="auto"/>
              <w:right w:val="single" w:sz="4" w:space="0" w:color="auto"/>
            </w:tcBorders>
          </w:tcPr>
          <w:p w14:paraId="5144EAB8" w14:textId="3CD1DAFE" w:rsidR="00B60015" w:rsidRPr="00C0597B" w:rsidRDefault="00537ACF" w:rsidP="002759E2">
            <w:pPr>
              <w:ind w:left="162"/>
              <w:rPr>
                <w:szCs w:val="22"/>
              </w:rPr>
            </w:pPr>
            <w:r w:rsidRPr="00C0597B">
              <w:rPr>
                <w:szCs w:val="22"/>
              </w:rPr>
              <w:t xml:space="preserve">Odnos </w:t>
            </w:r>
            <w:r w:rsidR="00373E0B" w:rsidRPr="00C0597B">
              <w:rPr>
                <w:szCs w:val="22"/>
              </w:rPr>
              <w:t xml:space="preserve">rizika </w:t>
            </w:r>
            <w:r w:rsidR="00B60015" w:rsidRPr="00C0597B">
              <w:rPr>
                <w:szCs w:val="22"/>
              </w:rPr>
              <w:t>(95% CI)</w:t>
            </w:r>
            <w:r w:rsidR="00B60015" w:rsidRPr="0031203A">
              <w:rPr>
                <w:rFonts w:eastAsia="Calibri"/>
                <w:iCs/>
                <w:color w:val="000000"/>
                <w:szCs w:val="22"/>
                <w:vertAlign w:val="superscript"/>
              </w:rPr>
              <w:t>b</w:t>
            </w:r>
          </w:p>
        </w:tc>
        <w:tc>
          <w:tcPr>
            <w:tcW w:w="5241" w:type="dxa"/>
            <w:gridSpan w:val="3"/>
            <w:tcBorders>
              <w:top w:val="single" w:sz="4" w:space="0" w:color="auto"/>
              <w:left w:val="single" w:sz="4" w:space="0" w:color="auto"/>
              <w:bottom w:val="single" w:sz="4" w:space="0" w:color="auto"/>
              <w:right w:val="single" w:sz="4" w:space="0" w:color="auto"/>
            </w:tcBorders>
          </w:tcPr>
          <w:p w14:paraId="5BED6B3C" w14:textId="7A16101D" w:rsidR="00B60015" w:rsidRPr="00822B86" w:rsidRDefault="00B60015" w:rsidP="00FB0014">
            <w:pPr>
              <w:jc w:val="center"/>
              <w:rPr>
                <w:szCs w:val="22"/>
              </w:rPr>
            </w:pPr>
            <w:r w:rsidRPr="00822B86">
              <w:rPr>
                <w:szCs w:val="22"/>
              </w:rPr>
              <w:t>0,07 (0,03, 0,17)</w:t>
            </w:r>
          </w:p>
        </w:tc>
      </w:tr>
      <w:tr w:rsidR="00B60015" w:rsidRPr="003C7D36" w14:paraId="76CFB3B0" w14:textId="77777777" w:rsidTr="00FB0014">
        <w:tc>
          <w:tcPr>
            <w:tcW w:w="9617" w:type="dxa"/>
            <w:gridSpan w:val="4"/>
            <w:tcBorders>
              <w:top w:val="single" w:sz="4" w:space="0" w:color="auto"/>
              <w:left w:val="single" w:sz="4" w:space="0" w:color="auto"/>
              <w:bottom w:val="single" w:sz="4" w:space="0" w:color="auto"/>
              <w:right w:val="single" w:sz="4" w:space="0" w:color="auto"/>
            </w:tcBorders>
            <w:hideMark/>
          </w:tcPr>
          <w:p w14:paraId="7CE1A04D" w14:textId="1070D72A" w:rsidR="00B60015" w:rsidRPr="00C0597B" w:rsidRDefault="00537ACF" w:rsidP="00FB0014">
            <w:pPr>
              <w:rPr>
                <w:szCs w:val="22"/>
              </w:rPr>
            </w:pPr>
            <w:r w:rsidRPr="00C0597B">
              <w:rPr>
                <w:b/>
                <w:szCs w:val="22"/>
              </w:rPr>
              <w:t>Trajanje odgovora</w:t>
            </w:r>
          </w:p>
        </w:tc>
      </w:tr>
      <w:tr w:rsidR="00B60015" w:rsidRPr="003C7D36" w14:paraId="00203AC0" w14:textId="77777777" w:rsidTr="00FB0014">
        <w:tc>
          <w:tcPr>
            <w:tcW w:w="4376" w:type="dxa"/>
            <w:tcBorders>
              <w:top w:val="single" w:sz="4" w:space="0" w:color="auto"/>
              <w:left w:val="single" w:sz="4" w:space="0" w:color="auto"/>
              <w:bottom w:val="single" w:sz="4" w:space="0" w:color="auto"/>
              <w:right w:val="single" w:sz="4" w:space="0" w:color="auto"/>
            </w:tcBorders>
          </w:tcPr>
          <w:p w14:paraId="192D61BF" w14:textId="59CB03D6" w:rsidR="00B60015" w:rsidRPr="00446153" w:rsidRDefault="00537ACF" w:rsidP="00FB0014">
            <w:pPr>
              <w:ind w:left="158"/>
              <w:rPr>
                <w:b/>
                <w:szCs w:val="22"/>
              </w:rPr>
            </w:pPr>
            <w:r w:rsidRPr="00C0597B">
              <w:rPr>
                <w:szCs w:val="22"/>
              </w:rPr>
              <w:t xml:space="preserve">Broj </w:t>
            </w:r>
            <w:r w:rsidR="002179AC" w:rsidRPr="00C0597B">
              <w:rPr>
                <w:szCs w:val="22"/>
              </w:rPr>
              <w:t xml:space="preserve">pacijenata sa </w:t>
            </w:r>
            <w:r w:rsidRPr="00C0597B">
              <w:rPr>
                <w:szCs w:val="22"/>
              </w:rPr>
              <w:t>odgovor</w:t>
            </w:r>
            <w:r w:rsidR="002179AC" w:rsidRPr="00822B86">
              <w:rPr>
                <w:szCs w:val="22"/>
              </w:rPr>
              <w:t>om,</w:t>
            </w:r>
            <w:r w:rsidR="00373E0B" w:rsidRPr="00822B86">
              <w:rPr>
                <w:szCs w:val="22"/>
              </w:rPr>
              <w:t xml:space="preserve"> </w:t>
            </w:r>
            <w:r w:rsidR="002179AC" w:rsidRPr="00822B86">
              <w:rPr>
                <w:szCs w:val="22"/>
              </w:rPr>
              <w:t>n</w:t>
            </w:r>
          </w:p>
        </w:tc>
        <w:tc>
          <w:tcPr>
            <w:tcW w:w="2686" w:type="dxa"/>
            <w:gridSpan w:val="2"/>
            <w:tcBorders>
              <w:top w:val="single" w:sz="4" w:space="0" w:color="auto"/>
              <w:left w:val="single" w:sz="4" w:space="0" w:color="auto"/>
              <w:bottom w:val="single" w:sz="4" w:space="0" w:color="auto"/>
              <w:right w:val="single" w:sz="4" w:space="0" w:color="auto"/>
            </w:tcBorders>
          </w:tcPr>
          <w:p w14:paraId="7D0BAB22" w14:textId="77777777" w:rsidR="00B60015" w:rsidRPr="0093305C" w:rsidRDefault="00B60015" w:rsidP="00FB0014">
            <w:pPr>
              <w:jc w:val="center"/>
              <w:rPr>
                <w:szCs w:val="22"/>
              </w:rPr>
            </w:pPr>
            <w:r w:rsidRPr="0093305C">
              <w:rPr>
                <w:szCs w:val="22"/>
              </w:rPr>
              <w:t>113</w:t>
            </w:r>
          </w:p>
        </w:tc>
        <w:tc>
          <w:tcPr>
            <w:tcW w:w="2555" w:type="dxa"/>
            <w:tcBorders>
              <w:top w:val="single" w:sz="4" w:space="0" w:color="auto"/>
              <w:left w:val="single" w:sz="4" w:space="0" w:color="auto"/>
              <w:bottom w:val="single" w:sz="4" w:space="0" w:color="auto"/>
              <w:right w:val="single" w:sz="4" w:space="0" w:color="auto"/>
            </w:tcBorders>
          </w:tcPr>
          <w:p w14:paraId="43B133E2" w14:textId="77777777" w:rsidR="00B60015" w:rsidRPr="0093305C" w:rsidRDefault="00B60015" w:rsidP="00FB0014">
            <w:pPr>
              <w:jc w:val="center"/>
              <w:rPr>
                <w:szCs w:val="22"/>
              </w:rPr>
            </w:pPr>
            <w:r w:rsidRPr="0093305C">
              <w:rPr>
                <w:szCs w:val="22"/>
              </w:rPr>
              <w:t>85</w:t>
            </w:r>
          </w:p>
        </w:tc>
      </w:tr>
      <w:tr w:rsidR="00B60015" w:rsidRPr="003C7D36" w14:paraId="319652D4" w14:textId="77777777" w:rsidTr="00FB0014">
        <w:tc>
          <w:tcPr>
            <w:tcW w:w="4376" w:type="dxa"/>
            <w:tcBorders>
              <w:top w:val="single" w:sz="4" w:space="0" w:color="auto"/>
              <w:left w:val="single" w:sz="4" w:space="0" w:color="auto"/>
              <w:bottom w:val="single" w:sz="4" w:space="0" w:color="auto"/>
              <w:right w:val="single" w:sz="4" w:space="0" w:color="auto"/>
            </w:tcBorders>
          </w:tcPr>
          <w:p w14:paraId="6F7A7C76" w14:textId="5C5F001B" w:rsidR="00B60015" w:rsidRPr="00822B86" w:rsidRDefault="00373E0B" w:rsidP="00FB0014">
            <w:pPr>
              <w:ind w:left="158"/>
              <w:rPr>
                <w:szCs w:val="22"/>
              </w:rPr>
            </w:pPr>
            <w:r w:rsidRPr="00C0597B">
              <w:rPr>
                <w:szCs w:val="22"/>
              </w:rPr>
              <w:t>Medijana</w:t>
            </w:r>
            <w:r w:rsidR="00537ACF" w:rsidRPr="00C0597B">
              <w:rPr>
                <w:szCs w:val="22"/>
              </w:rPr>
              <w:t xml:space="preserve">, u mjesecima </w:t>
            </w:r>
            <w:r w:rsidR="00B60015" w:rsidRPr="00C0597B">
              <w:rPr>
                <w:szCs w:val="22"/>
              </w:rPr>
              <w:t>(95% CI)</w:t>
            </w:r>
            <w:r w:rsidR="00B60015" w:rsidRPr="00822B86">
              <w:rPr>
                <w:szCs w:val="22"/>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4905BB38" w14:textId="0E0559D3" w:rsidR="00B60015" w:rsidRPr="0093305C" w:rsidRDefault="00B60015" w:rsidP="00FB0014">
            <w:pPr>
              <w:jc w:val="center"/>
              <w:rPr>
                <w:szCs w:val="22"/>
              </w:rPr>
            </w:pPr>
            <w:r w:rsidRPr="00446153">
              <w:rPr>
                <w:szCs w:val="22"/>
              </w:rPr>
              <w:t>N</w:t>
            </w:r>
            <w:r w:rsidR="00CB167E" w:rsidRPr="00446153">
              <w:rPr>
                <w:szCs w:val="22"/>
              </w:rPr>
              <w:t>P</w:t>
            </w:r>
            <w:r w:rsidRPr="00446153">
              <w:rPr>
                <w:szCs w:val="22"/>
              </w:rPr>
              <w:t xml:space="preserve"> (N</w:t>
            </w:r>
            <w:r w:rsidR="00CB167E" w:rsidRPr="00446153">
              <w:rPr>
                <w:szCs w:val="22"/>
              </w:rPr>
              <w:t>P</w:t>
            </w:r>
            <w:r w:rsidRPr="00446153">
              <w:rPr>
                <w:szCs w:val="22"/>
              </w:rPr>
              <w:t>, N</w:t>
            </w:r>
            <w:r w:rsidR="00CB167E" w:rsidRPr="0093305C">
              <w:rPr>
                <w:szCs w:val="22"/>
              </w:rPr>
              <w:t>P</w:t>
            </w:r>
            <w:r w:rsidRPr="0093305C">
              <w:rPr>
                <w:szCs w:val="22"/>
              </w:rPr>
              <w:t>)</w:t>
            </w:r>
          </w:p>
        </w:tc>
        <w:tc>
          <w:tcPr>
            <w:tcW w:w="2555" w:type="dxa"/>
            <w:tcBorders>
              <w:top w:val="single" w:sz="4" w:space="0" w:color="auto"/>
              <w:left w:val="single" w:sz="4" w:space="0" w:color="auto"/>
              <w:bottom w:val="single" w:sz="4" w:space="0" w:color="auto"/>
              <w:right w:val="single" w:sz="4" w:space="0" w:color="auto"/>
            </w:tcBorders>
          </w:tcPr>
          <w:p w14:paraId="7BEC4169" w14:textId="77777777" w:rsidR="00B60015" w:rsidRPr="0093305C" w:rsidRDefault="00B60015" w:rsidP="00FB0014">
            <w:pPr>
              <w:jc w:val="center"/>
              <w:rPr>
                <w:szCs w:val="22"/>
              </w:rPr>
            </w:pPr>
            <w:r w:rsidRPr="0093305C">
              <w:rPr>
                <w:szCs w:val="22"/>
              </w:rPr>
              <w:t>11 (9, 13)</w:t>
            </w:r>
          </w:p>
        </w:tc>
      </w:tr>
      <w:tr w:rsidR="00B60015" w:rsidRPr="003C7D36" w14:paraId="09029E00" w14:textId="77777777" w:rsidTr="00FB0014">
        <w:tc>
          <w:tcPr>
            <w:tcW w:w="4376" w:type="dxa"/>
            <w:tcBorders>
              <w:top w:val="single" w:sz="4" w:space="0" w:color="auto"/>
              <w:left w:val="single" w:sz="4" w:space="0" w:color="auto"/>
              <w:bottom w:val="single" w:sz="4" w:space="0" w:color="auto"/>
              <w:right w:val="single" w:sz="4" w:space="0" w:color="auto"/>
            </w:tcBorders>
          </w:tcPr>
          <w:p w14:paraId="6EF46841" w14:textId="5DA1B4FC" w:rsidR="00B60015" w:rsidRPr="00446153" w:rsidRDefault="00537ACF" w:rsidP="00FB0014">
            <w:pPr>
              <w:rPr>
                <w:b/>
                <w:bCs/>
                <w:szCs w:val="22"/>
              </w:rPr>
            </w:pPr>
            <w:r w:rsidRPr="00C0597B">
              <w:rPr>
                <w:b/>
                <w:bCs/>
                <w:szCs w:val="22"/>
              </w:rPr>
              <w:t xml:space="preserve">Ukupni intrakranijalni odgovor kod </w:t>
            </w:r>
            <w:r w:rsidRPr="00822B86">
              <w:rPr>
                <w:b/>
                <w:bCs/>
                <w:szCs w:val="22"/>
              </w:rPr>
              <w:t>pacijenata sa mjerljivim lezijama CNS-a na početku</w:t>
            </w:r>
            <w:r w:rsidR="00373E0B" w:rsidRPr="00446153">
              <w:rPr>
                <w:b/>
                <w:bCs/>
                <w:szCs w:val="22"/>
              </w:rPr>
              <w:t xml:space="preserve"> ispitivanja</w:t>
            </w:r>
          </w:p>
        </w:tc>
        <w:tc>
          <w:tcPr>
            <w:tcW w:w="2686" w:type="dxa"/>
            <w:gridSpan w:val="2"/>
            <w:tcBorders>
              <w:top w:val="single" w:sz="4" w:space="0" w:color="auto"/>
              <w:left w:val="single" w:sz="4" w:space="0" w:color="auto"/>
              <w:bottom w:val="single" w:sz="4" w:space="0" w:color="auto"/>
              <w:right w:val="single" w:sz="4" w:space="0" w:color="auto"/>
            </w:tcBorders>
            <w:vAlign w:val="bottom"/>
          </w:tcPr>
          <w:p w14:paraId="31506C44" w14:textId="77777777" w:rsidR="00B60015" w:rsidRPr="0093305C" w:rsidRDefault="00B60015" w:rsidP="00FB0014">
            <w:pPr>
              <w:jc w:val="center"/>
              <w:rPr>
                <w:szCs w:val="22"/>
              </w:rPr>
            </w:pPr>
            <w:r w:rsidRPr="0093305C">
              <w:rPr>
                <w:szCs w:val="22"/>
              </w:rPr>
              <w:t>N=17</w:t>
            </w:r>
          </w:p>
        </w:tc>
        <w:tc>
          <w:tcPr>
            <w:tcW w:w="2555" w:type="dxa"/>
            <w:tcBorders>
              <w:top w:val="single" w:sz="4" w:space="0" w:color="auto"/>
              <w:left w:val="single" w:sz="4" w:space="0" w:color="auto"/>
              <w:bottom w:val="single" w:sz="4" w:space="0" w:color="auto"/>
              <w:right w:val="single" w:sz="4" w:space="0" w:color="auto"/>
            </w:tcBorders>
            <w:vAlign w:val="bottom"/>
          </w:tcPr>
          <w:p w14:paraId="755640D8" w14:textId="77777777" w:rsidR="00B60015" w:rsidRPr="0093305C" w:rsidRDefault="00B60015" w:rsidP="00FB0014">
            <w:pPr>
              <w:jc w:val="center"/>
              <w:rPr>
                <w:szCs w:val="22"/>
              </w:rPr>
            </w:pPr>
            <w:r w:rsidRPr="0093305C">
              <w:rPr>
                <w:szCs w:val="22"/>
              </w:rPr>
              <w:t>N=13</w:t>
            </w:r>
          </w:p>
        </w:tc>
      </w:tr>
      <w:tr w:rsidR="00B60015" w:rsidRPr="003C7D36" w14:paraId="1FC01B35" w14:textId="77777777" w:rsidTr="00FB0014">
        <w:tc>
          <w:tcPr>
            <w:tcW w:w="4376" w:type="dxa"/>
            <w:tcBorders>
              <w:top w:val="single" w:sz="4" w:space="0" w:color="auto"/>
              <w:left w:val="single" w:sz="4" w:space="0" w:color="auto"/>
              <w:bottom w:val="single" w:sz="4" w:space="0" w:color="auto"/>
              <w:right w:val="single" w:sz="4" w:space="0" w:color="auto"/>
            </w:tcBorders>
          </w:tcPr>
          <w:p w14:paraId="44741F78" w14:textId="48C953A4" w:rsidR="00B60015" w:rsidRPr="00C0597B" w:rsidRDefault="00537ACF" w:rsidP="00FB0014">
            <w:pPr>
              <w:ind w:left="158"/>
              <w:rPr>
                <w:b/>
                <w:bCs/>
                <w:szCs w:val="22"/>
              </w:rPr>
            </w:pPr>
            <w:r w:rsidRPr="00C0597B">
              <w:rPr>
                <w:szCs w:val="22"/>
              </w:rPr>
              <w:t>Stopa intrakranijalnog odgovora</w:t>
            </w:r>
            <w:r w:rsidR="00B60015" w:rsidRPr="00C0597B">
              <w:rPr>
                <w:szCs w:val="22"/>
              </w:rPr>
              <w:t xml:space="preserve">, n (%) </w:t>
            </w:r>
          </w:p>
        </w:tc>
        <w:tc>
          <w:tcPr>
            <w:tcW w:w="2686" w:type="dxa"/>
            <w:gridSpan w:val="2"/>
            <w:tcBorders>
              <w:top w:val="single" w:sz="4" w:space="0" w:color="auto"/>
              <w:left w:val="single" w:sz="4" w:space="0" w:color="auto"/>
              <w:bottom w:val="single" w:sz="4" w:space="0" w:color="auto"/>
              <w:right w:val="single" w:sz="4" w:space="0" w:color="auto"/>
            </w:tcBorders>
          </w:tcPr>
          <w:p w14:paraId="35E824A6" w14:textId="77777777" w:rsidR="00B60015" w:rsidRPr="00822B86" w:rsidRDefault="00B60015" w:rsidP="00FB0014">
            <w:pPr>
              <w:jc w:val="center"/>
              <w:rPr>
                <w:szCs w:val="22"/>
              </w:rPr>
            </w:pPr>
            <w:r w:rsidRPr="00822B86">
              <w:rPr>
                <w:szCs w:val="22"/>
              </w:rPr>
              <w:t>14 (82%)</w:t>
            </w:r>
          </w:p>
        </w:tc>
        <w:tc>
          <w:tcPr>
            <w:tcW w:w="2555" w:type="dxa"/>
            <w:tcBorders>
              <w:top w:val="single" w:sz="4" w:space="0" w:color="auto"/>
              <w:left w:val="single" w:sz="4" w:space="0" w:color="auto"/>
              <w:bottom w:val="single" w:sz="4" w:space="0" w:color="auto"/>
              <w:right w:val="single" w:sz="4" w:space="0" w:color="auto"/>
            </w:tcBorders>
          </w:tcPr>
          <w:p w14:paraId="25D2B6EB" w14:textId="77777777" w:rsidR="00B60015" w:rsidRPr="00446153" w:rsidRDefault="00B60015" w:rsidP="00FB0014">
            <w:pPr>
              <w:jc w:val="center"/>
              <w:rPr>
                <w:szCs w:val="22"/>
              </w:rPr>
            </w:pPr>
            <w:r w:rsidRPr="00446153">
              <w:rPr>
                <w:szCs w:val="22"/>
              </w:rPr>
              <w:t>3 (23%)</w:t>
            </w:r>
          </w:p>
        </w:tc>
      </w:tr>
      <w:tr w:rsidR="00B60015" w:rsidRPr="003C7D36" w14:paraId="0738F444" w14:textId="77777777" w:rsidTr="00FB0014">
        <w:tc>
          <w:tcPr>
            <w:tcW w:w="4376" w:type="dxa"/>
            <w:tcBorders>
              <w:top w:val="single" w:sz="4" w:space="0" w:color="auto"/>
              <w:left w:val="single" w:sz="4" w:space="0" w:color="auto"/>
              <w:bottom w:val="single" w:sz="4" w:space="0" w:color="auto"/>
              <w:right w:val="single" w:sz="4" w:space="0" w:color="auto"/>
            </w:tcBorders>
          </w:tcPr>
          <w:p w14:paraId="27E07ED2" w14:textId="77777777" w:rsidR="00B60015" w:rsidRPr="00C0597B" w:rsidRDefault="00B60015" w:rsidP="00FB0014">
            <w:pPr>
              <w:ind w:left="288"/>
              <w:rPr>
                <w:szCs w:val="22"/>
              </w:rPr>
            </w:pPr>
            <w:r w:rsidRPr="00C0597B">
              <w:rPr>
                <w:szCs w:val="22"/>
              </w:rPr>
              <w:t>(95% CI)</w:t>
            </w:r>
            <w:r w:rsidRPr="00C0597B">
              <w:rPr>
                <w:szCs w:val="22"/>
                <w:vertAlign w:val="superscript"/>
              </w:rPr>
              <w:t>c</w:t>
            </w:r>
          </w:p>
        </w:tc>
        <w:tc>
          <w:tcPr>
            <w:tcW w:w="2686" w:type="dxa"/>
            <w:gridSpan w:val="2"/>
            <w:tcBorders>
              <w:top w:val="single" w:sz="4" w:space="0" w:color="auto"/>
              <w:left w:val="single" w:sz="4" w:space="0" w:color="auto"/>
              <w:bottom w:val="single" w:sz="4" w:space="0" w:color="auto"/>
              <w:right w:val="single" w:sz="4" w:space="0" w:color="auto"/>
            </w:tcBorders>
          </w:tcPr>
          <w:p w14:paraId="6A6E0B77" w14:textId="77777777" w:rsidR="00B60015" w:rsidRPr="00822B86" w:rsidRDefault="00B60015" w:rsidP="00FB0014">
            <w:pPr>
              <w:jc w:val="center"/>
              <w:rPr>
                <w:szCs w:val="22"/>
              </w:rPr>
            </w:pPr>
            <w:r w:rsidRPr="00822B86">
              <w:rPr>
                <w:szCs w:val="22"/>
              </w:rPr>
              <w:t>(57, 96)</w:t>
            </w:r>
          </w:p>
        </w:tc>
        <w:tc>
          <w:tcPr>
            <w:tcW w:w="2555" w:type="dxa"/>
            <w:tcBorders>
              <w:top w:val="single" w:sz="4" w:space="0" w:color="auto"/>
              <w:left w:val="single" w:sz="4" w:space="0" w:color="auto"/>
              <w:bottom w:val="single" w:sz="4" w:space="0" w:color="auto"/>
              <w:right w:val="single" w:sz="4" w:space="0" w:color="auto"/>
            </w:tcBorders>
          </w:tcPr>
          <w:p w14:paraId="1ABAB185" w14:textId="77777777" w:rsidR="00B60015" w:rsidRPr="00446153" w:rsidRDefault="00B60015" w:rsidP="00FB0014">
            <w:pPr>
              <w:jc w:val="center"/>
              <w:rPr>
                <w:szCs w:val="22"/>
              </w:rPr>
            </w:pPr>
            <w:r w:rsidRPr="00446153">
              <w:rPr>
                <w:szCs w:val="22"/>
              </w:rPr>
              <w:t>(5, 54)</w:t>
            </w:r>
          </w:p>
        </w:tc>
      </w:tr>
      <w:tr w:rsidR="00B60015" w:rsidRPr="003C7D36" w14:paraId="18A0595E" w14:textId="77777777" w:rsidTr="00FB0014">
        <w:tc>
          <w:tcPr>
            <w:tcW w:w="4376" w:type="dxa"/>
            <w:tcBorders>
              <w:top w:val="single" w:sz="4" w:space="0" w:color="auto"/>
              <w:left w:val="single" w:sz="4" w:space="0" w:color="auto"/>
              <w:bottom w:val="single" w:sz="4" w:space="0" w:color="auto"/>
              <w:right w:val="single" w:sz="4" w:space="0" w:color="auto"/>
            </w:tcBorders>
          </w:tcPr>
          <w:p w14:paraId="2EFF89FA" w14:textId="027E8212" w:rsidR="00B60015" w:rsidRPr="00C0597B" w:rsidRDefault="00537ACF" w:rsidP="00FB0014">
            <w:pPr>
              <w:ind w:left="158"/>
              <w:rPr>
                <w:b/>
                <w:bCs/>
                <w:szCs w:val="22"/>
              </w:rPr>
            </w:pPr>
            <w:r w:rsidRPr="00C0597B">
              <w:rPr>
                <w:szCs w:val="22"/>
              </w:rPr>
              <w:t>Ukupna stopa odgovora</w:t>
            </w:r>
          </w:p>
        </w:tc>
        <w:tc>
          <w:tcPr>
            <w:tcW w:w="2686" w:type="dxa"/>
            <w:gridSpan w:val="2"/>
            <w:tcBorders>
              <w:top w:val="single" w:sz="4" w:space="0" w:color="auto"/>
              <w:left w:val="single" w:sz="4" w:space="0" w:color="auto"/>
              <w:bottom w:val="single" w:sz="4" w:space="0" w:color="auto"/>
              <w:right w:val="single" w:sz="4" w:space="0" w:color="auto"/>
            </w:tcBorders>
          </w:tcPr>
          <w:p w14:paraId="1C5D1B48" w14:textId="77777777" w:rsidR="00B60015" w:rsidRPr="00822B86" w:rsidRDefault="00B60015" w:rsidP="00FB0014">
            <w:pPr>
              <w:jc w:val="center"/>
              <w:rPr>
                <w:szCs w:val="22"/>
              </w:rPr>
            </w:pPr>
            <w:r w:rsidRPr="00822B86">
              <w:rPr>
                <w:szCs w:val="22"/>
              </w:rPr>
              <w:t>71%</w:t>
            </w:r>
          </w:p>
        </w:tc>
        <w:tc>
          <w:tcPr>
            <w:tcW w:w="2555" w:type="dxa"/>
            <w:tcBorders>
              <w:top w:val="single" w:sz="4" w:space="0" w:color="auto"/>
              <w:left w:val="single" w:sz="4" w:space="0" w:color="auto"/>
              <w:bottom w:val="single" w:sz="4" w:space="0" w:color="auto"/>
              <w:right w:val="single" w:sz="4" w:space="0" w:color="auto"/>
            </w:tcBorders>
          </w:tcPr>
          <w:p w14:paraId="3AEC5C5E" w14:textId="77777777" w:rsidR="00B60015" w:rsidRPr="00446153" w:rsidRDefault="00B60015" w:rsidP="00FB0014">
            <w:pPr>
              <w:jc w:val="center"/>
              <w:rPr>
                <w:szCs w:val="22"/>
              </w:rPr>
            </w:pPr>
            <w:r w:rsidRPr="00446153">
              <w:rPr>
                <w:szCs w:val="22"/>
              </w:rPr>
              <w:t>8%</w:t>
            </w:r>
          </w:p>
        </w:tc>
      </w:tr>
      <w:tr w:rsidR="00B60015" w:rsidRPr="003C7D36" w14:paraId="0E64C156" w14:textId="77777777" w:rsidTr="00FB0014">
        <w:tc>
          <w:tcPr>
            <w:tcW w:w="4376" w:type="dxa"/>
            <w:tcBorders>
              <w:top w:val="single" w:sz="4" w:space="0" w:color="auto"/>
              <w:left w:val="single" w:sz="4" w:space="0" w:color="auto"/>
              <w:bottom w:val="single" w:sz="4" w:space="0" w:color="auto"/>
              <w:right w:val="single" w:sz="4" w:space="0" w:color="auto"/>
            </w:tcBorders>
          </w:tcPr>
          <w:p w14:paraId="5A912F1B" w14:textId="6AE378B0" w:rsidR="00B60015" w:rsidRPr="00C0597B" w:rsidRDefault="00537ACF" w:rsidP="00FB0014">
            <w:pPr>
              <w:keepNext/>
              <w:keepLines/>
              <w:ind w:left="158"/>
              <w:rPr>
                <w:b/>
                <w:bCs/>
                <w:szCs w:val="22"/>
              </w:rPr>
            </w:pPr>
            <w:r w:rsidRPr="00C0597B">
              <w:rPr>
                <w:szCs w:val="22"/>
              </w:rPr>
              <w:t>Trajanje odgovora</w:t>
            </w:r>
          </w:p>
        </w:tc>
        <w:tc>
          <w:tcPr>
            <w:tcW w:w="2686" w:type="dxa"/>
            <w:gridSpan w:val="2"/>
            <w:tcBorders>
              <w:top w:val="single" w:sz="4" w:space="0" w:color="auto"/>
              <w:left w:val="single" w:sz="4" w:space="0" w:color="auto"/>
              <w:bottom w:val="single" w:sz="4" w:space="0" w:color="auto"/>
              <w:right w:val="single" w:sz="4" w:space="0" w:color="auto"/>
            </w:tcBorders>
          </w:tcPr>
          <w:p w14:paraId="0EC91559" w14:textId="77777777" w:rsidR="00B60015" w:rsidRPr="00822B86" w:rsidRDefault="00B60015" w:rsidP="00FB0014">
            <w:pPr>
              <w:keepNext/>
              <w:keepLines/>
              <w:jc w:val="center"/>
              <w:rPr>
                <w:szCs w:val="22"/>
              </w:rPr>
            </w:pPr>
          </w:p>
        </w:tc>
        <w:tc>
          <w:tcPr>
            <w:tcW w:w="2555" w:type="dxa"/>
            <w:tcBorders>
              <w:top w:val="single" w:sz="4" w:space="0" w:color="auto"/>
              <w:left w:val="single" w:sz="4" w:space="0" w:color="auto"/>
              <w:bottom w:val="single" w:sz="4" w:space="0" w:color="auto"/>
              <w:right w:val="single" w:sz="4" w:space="0" w:color="auto"/>
            </w:tcBorders>
          </w:tcPr>
          <w:p w14:paraId="5344B872" w14:textId="77777777" w:rsidR="00B60015" w:rsidRPr="00446153" w:rsidRDefault="00B60015" w:rsidP="00FB0014">
            <w:pPr>
              <w:keepNext/>
              <w:keepLines/>
              <w:jc w:val="center"/>
              <w:rPr>
                <w:szCs w:val="22"/>
              </w:rPr>
            </w:pPr>
          </w:p>
        </w:tc>
      </w:tr>
      <w:tr w:rsidR="00B60015" w:rsidRPr="003C7D36" w14:paraId="01C3ABB1" w14:textId="77777777" w:rsidTr="00FB0014">
        <w:tc>
          <w:tcPr>
            <w:tcW w:w="4376" w:type="dxa"/>
            <w:tcBorders>
              <w:top w:val="single" w:sz="4" w:space="0" w:color="auto"/>
              <w:left w:val="single" w:sz="4" w:space="0" w:color="auto"/>
              <w:bottom w:val="single" w:sz="4" w:space="0" w:color="auto"/>
              <w:right w:val="single" w:sz="4" w:space="0" w:color="auto"/>
            </w:tcBorders>
          </w:tcPr>
          <w:p w14:paraId="4A59C480" w14:textId="7E539A29" w:rsidR="00B60015" w:rsidRPr="00822B86" w:rsidRDefault="00537ACF" w:rsidP="00FB0014">
            <w:pPr>
              <w:keepNext/>
              <w:keepLines/>
              <w:ind w:left="288"/>
              <w:rPr>
                <w:szCs w:val="22"/>
              </w:rPr>
            </w:pPr>
            <w:r w:rsidRPr="00C0597B">
              <w:rPr>
                <w:szCs w:val="22"/>
              </w:rPr>
              <w:t xml:space="preserve">Broj </w:t>
            </w:r>
            <w:r w:rsidR="00CB167E" w:rsidRPr="00C0597B">
              <w:rPr>
                <w:szCs w:val="22"/>
              </w:rPr>
              <w:t xml:space="preserve">pacijenata sa </w:t>
            </w:r>
            <w:r w:rsidRPr="00C0597B">
              <w:rPr>
                <w:szCs w:val="22"/>
              </w:rPr>
              <w:t>odgovor</w:t>
            </w:r>
            <w:r w:rsidR="00CB167E" w:rsidRPr="00822B86">
              <w:rPr>
                <w:szCs w:val="22"/>
              </w:rPr>
              <w:t>om</w:t>
            </w:r>
          </w:p>
        </w:tc>
        <w:tc>
          <w:tcPr>
            <w:tcW w:w="2686" w:type="dxa"/>
            <w:gridSpan w:val="2"/>
            <w:tcBorders>
              <w:top w:val="single" w:sz="4" w:space="0" w:color="auto"/>
              <w:left w:val="single" w:sz="4" w:space="0" w:color="auto"/>
              <w:bottom w:val="single" w:sz="4" w:space="0" w:color="auto"/>
              <w:right w:val="single" w:sz="4" w:space="0" w:color="auto"/>
            </w:tcBorders>
          </w:tcPr>
          <w:p w14:paraId="70D44E8B" w14:textId="77777777" w:rsidR="00B60015" w:rsidRPr="00446153" w:rsidRDefault="00B60015" w:rsidP="00FB0014">
            <w:pPr>
              <w:keepNext/>
              <w:keepLines/>
              <w:jc w:val="center"/>
              <w:rPr>
                <w:szCs w:val="22"/>
              </w:rPr>
            </w:pPr>
            <w:r w:rsidRPr="00446153">
              <w:rPr>
                <w:szCs w:val="22"/>
              </w:rPr>
              <w:t>14</w:t>
            </w:r>
          </w:p>
        </w:tc>
        <w:tc>
          <w:tcPr>
            <w:tcW w:w="2555" w:type="dxa"/>
            <w:tcBorders>
              <w:top w:val="single" w:sz="4" w:space="0" w:color="auto"/>
              <w:left w:val="single" w:sz="4" w:space="0" w:color="auto"/>
              <w:bottom w:val="single" w:sz="4" w:space="0" w:color="auto"/>
              <w:right w:val="single" w:sz="4" w:space="0" w:color="auto"/>
            </w:tcBorders>
          </w:tcPr>
          <w:p w14:paraId="1BD627DB" w14:textId="77777777" w:rsidR="00B60015" w:rsidRPr="0093305C" w:rsidRDefault="00B60015" w:rsidP="00FB0014">
            <w:pPr>
              <w:keepNext/>
              <w:keepLines/>
              <w:jc w:val="center"/>
              <w:rPr>
                <w:szCs w:val="22"/>
              </w:rPr>
            </w:pPr>
            <w:r w:rsidRPr="0093305C">
              <w:rPr>
                <w:szCs w:val="22"/>
              </w:rPr>
              <w:t>3</w:t>
            </w:r>
          </w:p>
        </w:tc>
      </w:tr>
      <w:tr w:rsidR="00B60015" w:rsidRPr="003C7D36" w14:paraId="2D8C51F1" w14:textId="77777777" w:rsidTr="00FB0014">
        <w:tc>
          <w:tcPr>
            <w:tcW w:w="4376" w:type="dxa"/>
            <w:tcBorders>
              <w:top w:val="single" w:sz="4" w:space="0" w:color="auto"/>
              <w:left w:val="single" w:sz="4" w:space="0" w:color="auto"/>
              <w:bottom w:val="single" w:sz="4" w:space="0" w:color="auto"/>
              <w:right w:val="single" w:sz="4" w:space="0" w:color="auto"/>
            </w:tcBorders>
          </w:tcPr>
          <w:p w14:paraId="4A9E6271" w14:textId="684E2508" w:rsidR="00B60015" w:rsidRPr="00822B86" w:rsidRDefault="00CB167E" w:rsidP="00FB0014">
            <w:pPr>
              <w:keepNext/>
              <w:keepLines/>
              <w:ind w:left="288"/>
              <w:rPr>
                <w:szCs w:val="22"/>
              </w:rPr>
            </w:pPr>
            <w:r w:rsidRPr="00C0597B">
              <w:rPr>
                <w:szCs w:val="22"/>
              </w:rPr>
              <w:t>Medijana</w:t>
            </w:r>
            <w:r w:rsidR="00537ACF" w:rsidRPr="00C0597B">
              <w:rPr>
                <w:szCs w:val="22"/>
              </w:rPr>
              <w:t xml:space="preserve">, u mjesecima </w:t>
            </w:r>
            <w:r w:rsidR="00B60015" w:rsidRPr="00C0597B">
              <w:rPr>
                <w:szCs w:val="22"/>
              </w:rPr>
              <w:t>(95% CI)</w:t>
            </w:r>
            <w:r w:rsidR="00B60015" w:rsidRPr="00822B86">
              <w:rPr>
                <w:szCs w:val="22"/>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39336B49" w14:textId="6B12E6B1" w:rsidR="00B60015" w:rsidRPr="0093305C" w:rsidRDefault="00B60015" w:rsidP="00FB0014">
            <w:pPr>
              <w:keepNext/>
              <w:keepLines/>
              <w:jc w:val="center"/>
              <w:rPr>
                <w:szCs w:val="22"/>
              </w:rPr>
            </w:pPr>
            <w:r w:rsidRPr="00446153">
              <w:rPr>
                <w:szCs w:val="22"/>
              </w:rPr>
              <w:t>N</w:t>
            </w:r>
            <w:r w:rsidR="00CB167E" w:rsidRPr="00446153">
              <w:rPr>
                <w:szCs w:val="22"/>
              </w:rPr>
              <w:t>P</w:t>
            </w:r>
            <w:r w:rsidRPr="00446153">
              <w:rPr>
                <w:szCs w:val="22"/>
              </w:rPr>
              <w:t xml:space="preserve"> (N</w:t>
            </w:r>
            <w:r w:rsidR="00CB167E" w:rsidRPr="00446153">
              <w:rPr>
                <w:szCs w:val="22"/>
              </w:rPr>
              <w:t>P</w:t>
            </w:r>
            <w:r w:rsidRPr="00446153">
              <w:rPr>
                <w:szCs w:val="22"/>
              </w:rPr>
              <w:t>, N</w:t>
            </w:r>
            <w:r w:rsidR="00CB167E" w:rsidRPr="0093305C">
              <w:rPr>
                <w:szCs w:val="22"/>
              </w:rPr>
              <w:t>P</w:t>
            </w:r>
            <w:r w:rsidRPr="0093305C">
              <w:rPr>
                <w:szCs w:val="22"/>
              </w:rPr>
              <w:t>)</w:t>
            </w:r>
          </w:p>
        </w:tc>
        <w:tc>
          <w:tcPr>
            <w:tcW w:w="2555" w:type="dxa"/>
            <w:tcBorders>
              <w:top w:val="single" w:sz="4" w:space="0" w:color="auto"/>
              <w:left w:val="single" w:sz="4" w:space="0" w:color="auto"/>
              <w:bottom w:val="single" w:sz="4" w:space="0" w:color="auto"/>
              <w:right w:val="single" w:sz="4" w:space="0" w:color="auto"/>
            </w:tcBorders>
          </w:tcPr>
          <w:p w14:paraId="04A79F06" w14:textId="77777777" w:rsidR="00B60015" w:rsidRPr="0093305C" w:rsidRDefault="00B60015" w:rsidP="00FB0014">
            <w:pPr>
              <w:keepNext/>
              <w:keepLines/>
              <w:jc w:val="center"/>
              <w:rPr>
                <w:szCs w:val="22"/>
              </w:rPr>
            </w:pPr>
            <w:r w:rsidRPr="0093305C">
              <w:rPr>
                <w:szCs w:val="22"/>
              </w:rPr>
              <w:t>10 (9, 11)</w:t>
            </w:r>
          </w:p>
        </w:tc>
      </w:tr>
      <w:tr w:rsidR="00B60015" w:rsidRPr="003C7D36" w14:paraId="3E60FDD4" w14:textId="77777777" w:rsidTr="00FB0014">
        <w:tc>
          <w:tcPr>
            <w:tcW w:w="4376" w:type="dxa"/>
            <w:tcBorders>
              <w:top w:val="single" w:sz="4" w:space="0" w:color="auto"/>
              <w:left w:val="single" w:sz="4" w:space="0" w:color="auto"/>
              <w:bottom w:val="single" w:sz="4" w:space="0" w:color="auto"/>
              <w:right w:val="single" w:sz="4" w:space="0" w:color="auto"/>
            </w:tcBorders>
          </w:tcPr>
          <w:p w14:paraId="7B305D32" w14:textId="6CFEBFDD" w:rsidR="00B60015" w:rsidRPr="00446153" w:rsidRDefault="00537ACF" w:rsidP="00FB0014">
            <w:pPr>
              <w:keepNext/>
              <w:keepLines/>
              <w:spacing w:line="240" w:lineRule="auto"/>
              <w:rPr>
                <w:szCs w:val="22"/>
              </w:rPr>
            </w:pPr>
            <w:r w:rsidRPr="00C0597B">
              <w:rPr>
                <w:b/>
                <w:bCs/>
                <w:szCs w:val="22"/>
              </w:rPr>
              <w:t>Ukupni intrakranijalni odgovor kod pacijenata sa bilo kojim mjerljivim ili nem</w:t>
            </w:r>
            <w:r w:rsidR="00CB167E" w:rsidRPr="00822B86">
              <w:rPr>
                <w:b/>
                <w:bCs/>
                <w:szCs w:val="22"/>
              </w:rPr>
              <w:t>J</w:t>
            </w:r>
            <w:r w:rsidRPr="00822B86">
              <w:rPr>
                <w:b/>
                <w:bCs/>
                <w:szCs w:val="22"/>
              </w:rPr>
              <w:t>erljivim lezijama CNS-a na početku</w:t>
            </w:r>
            <w:r w:rsidR="00D72DA3" w:rsidRPr="00822B86">
              <w:rPr>
                <w:b/>
                <w:bCs/>
                <w:szCs w:val="22"/>
              </w:rPr>
              <w:t xml:space="preserve"> ispitivanja</w:t>
            </w:r>
          </w:p>
        </w:tc>
        <w:tc>
          <w:tcPr>
            <w:tcW w:w="2686" w:type="dxa"/>
            <w:gridSpan w:val="2"/>
            <w:tcBorders>
              <w:top w:val="single" w:sz="4" w:space="0" w:color="auto"/>
              <w:left w:val="single" w:sz="4" w:space="0" w:color="auto"/>
              <w:bottom w:val="single" w:sz="4" w:space="0" w:color="auto"/>
              <w:right w:val="single" w:sz="4" w:space="0" w:color="auto"/>
            </w:tcBorders>
            <w:vAlign w:val="bottom"/>
          </w:tcPr>
          <w:p w14:paraId="09742E6B" w14:textId="77777777" w:rsidR="00B60015" w:rsidRPr="0093305C" w:rsidRDefault="00B60015" w:rsidP="00FB0014">
            <w:pPr>
              <w:keepNext/>
              <w:keepLines/>
              <w:jc w:val="center"/>
              <w:rPr>
                <w:szCs w:val="22"/>
              </w:rPr>
            </w:pPr>
            <w:r w:rsidRPr="0093305C">
              <w:rPr>
                <w:szCs w:val="22"/>
              </w:rPr>
              <w:t>N=38</w:t>
            </w:r>
          </w:p>
        </w:tc>
        <w:tc>
          <w:tcPr>
            <w:tcW w:w="2555" w:type="dxa"/>
            <w:tcBorders>
              <w:top w:val="single" w:sz="4" w:space="0" w:color="auto"/>
              <w:left w:val="single" w:sz="4" w:space="0" w:color="auto"/>
              <w:bottom w:val="single" w:sz="4" w:space="0" w:color="auto"/>
              <w:right w:val="single" w:sz="4" w:space="0" w:color="auto"/>
            </w:tcBorders>
            <w:vAlign w:val="bottom"/>
          </w:tcPr>
          <w:p w14:paraId="49257E09" w14:textId="77777777" w:rsidR="00B60015" w:rsidRPr="0093305C" w:rsidRDefault="00B60015" w:rsidP="00FB0014">
            <w:pPr>
              <w:keepNext/>
              <w:keepLines/>
              <w:jc w:val="center"/>
              <w:rPr>
                <w:szCs w:val="22"/>
              </w:rPr>
            </w:pPr>
            <w:r w:rsidRPr="0093305C">
              <w:rPr>
                <w:szCs w:val="22"/>
              </w:rPr>
              <w:t>N=40</w:t>
            </w:r>
          </w:p>
        </w:tc>
      </w:tr>
      <w:tr w:rsidR="00B60015" w:rsidRPr="003C7D36" w14:paraId="04CEF2E2" w14:textId="77777777" w:rsidTr="00FB0014">
        <w:tc>
          <w:tcPr>
            <w:tcW w:w="4376" w:type="dxa"/>
            <w:tcBorders>
              <w:top w:val="single" w:sz="4" w:space="0" w:color="auto"/>
              <w:left w:val="single" w:sz="4" w:space="0" w:color="auto"/>
              <w:bottom w:val="single" w:sz="4" w:space="0" w:color="auto"/>
              <w:right w:val="single" w:sz="4" w:space="0" w:color="auto"/>
            </w:tcBorders>
          </w:tcPr>
          <w:p w14:paraId="29F690B3" w14:textId="3CC8CAAE" w:rsidR="00B60015" w:rsidRPr="00C0597B" w:rsidRDefault="00537ACF" w:rsidP="00FB0014">
            <w:pPr>
              <w:keepNext/>
              <w:keepLines/>
              <w:ind w:left="158"/>
              <w:rPr>
                <w:szCs w:val="22"/>
              </w:rPr>
            </w:pPr>
            <w:r w:rsidRPr="00C0597B">
              <w:rPr>
                <w:szCs w:val="22"/>
              </w:rPr>
              <w:t>Stopa intrakranijalnog odgovora</w:t>
            </w:r>
            <w:r w:rsidR="00B60015" w:rsidRPr="00C0597B">
              <w:rPr>
                <w:szCs w:val="22"/>
              </w:rPr>
              <w:t>, n (%)</w:t>
            </w:r>
          </w:p>
        </w:tc>
        <w:tc>
          <w:tcPr>
            <w:tcW w:w="2686" w:type="dxa"/>
            <w:gridSpan w:val="2"/>
            <w:tcBorders>
              <w:top w:val="single" w:sz="4" w:space="0" w:color="auto"/>
              <w:left w:val="single" w:sz="4" w:space="0" w:color="auto"/>
              <w:bottom w:val="single" w:sz="4" w:space="0" w:color="auto"/>
              <w:right w:val="single" w:sz="4" w:space="0" w:color="auto"/>
            </w:tcBorders>
          </w:tcPr>
          <w:p w14:paraId="7319DEF8" w14:textId="77777777" w:rsidR="00B60015" w:rsidRPr="00822B86" w:rsidRDefault="00B60015" w:rsidP="00FB0014">
            <w:pPr>
              <w:keepNext/>
              <w:keepLines/>
              <w:jc w:val="center"/>
              <w:rPr>
                <w:szCs w:val="22"/>
              </w:rPr>
            </w:pPr>
            <w:r w:rsidRPr="00822B86">
              <w:rPr>
                <w:szCs w:val="22"/>
              </w:rPr>
              <w:t xml:space="preserve">25 (66%) </w:t>
            </w:r>
          </w:p>
        </w:tc>
        <w:tc>
          <w:tcPr>
            <w:tcW w:w="2555" w:type="dxa"/>
            <w:tcBorders>
              <w:top w:val="single" w:sz="4" w:space="0" w:color="auto"/>
              <w:left w:val="single" w:sz="4" w:space="0" w:color="auto"/>
              <w:bottom w:val="single" w:sz="4" w:space="0" w:color="auto"/>
              <w:right w:val="single" w:sz="4" w:space="0" w:color="auto"/>
            </w:tcBorders>
          </w:tcPr>
          <w:p w14:paraId="428BB5EC" w14:textId="77777777" w:rsidR="00B60015" w:rsidRPr="00446153" w:rsidRDefault="00B60015" w:rsidP="00FB0014">
            <w:pPr>
              <w:keepNext/>
              <w:keepLines/>
              <w:jc w:val="center"/>
              <w:rPr>
                <w:szCs w:val="22"/>
              </w:rPr>
            </w:pPr>
            <w:r w:rsidRPr="00446153">
              <w:rPr>
                <w:szCs w:val="22"/>
              </w:rPr>
              <w:t xml:space="preserve">8 (20%) </w:t>
            </w:r>
          </w:p>
        </w:tc>
      </w:tr>
      <w:tr w:rsidR="00B60015" w:rsidRPr="003C7D36" w14:paraId="7F7073AA" w14:textId="77777777" w:rsidTr="00FB0014">
        <w:tc>
          <w:tcPr>
            <w:tcW w:w="4376" w:type="dxa"/>
            <w:tcBorders>
              <w:top w:val="single" w:sz="4" w:space="0" w:color="auto"/>
              <w:left w:val="single" w:sz="4" w:space="0" w:color="auto"/>
              <w:bottom w:val="single" w:sz="4" w:space="0" w:color="auto"/>
              <w:right w:val="single" w:sz="4" w:space="0" w:color="auto"/>
            </w:tcBorders>
          </w:tcPr>
          <w:p w14:paraId="12487AE8" w14:textId="77777777" w:rsidR="00B60015" w:rsidRPr="00C0597B" w:rsidRDefault="00B60015" w:rsidP="00FB0014">
            <w:pPr>
              <w:keepNext/>
              <w:keepLines/>
              <w:ind w:left="288"/>
              <w:rPr>
                <w:szCs w:val="22"/>
              </w:rPr>
            </w:pPr>
            <w:r w:rsidRPr="00C0597B">
              <w:rPr>
                <w:szCs w:val="22"/>
              </w:rPr>
              <w:t>(95% CI)</w:t>
            </w:r>
            <w:r w:rsidRPr="00C0597B">
              <w:rPr>
                <w:szCs w:val="22"/>
                <w:vertAlign w:val="superscript"/>
              </w:rPr>
              <w:t xml:space="preserve">c </w:t>
            </w:r>
          </w:p>
        </w:tc>
        <w:tc>
          <w:tcPr>
            <w:tcW w:w="2686" w:type="dxa"/>
            <w:gridSpan w:val="2"/>
            <w:tcBorders>
              <w:top w:val="single" w:sz="4" w:space="0" w:color="auto"/>
              <w:left w:val="single" w:sz="4" w:space="0" w:color="auto"/>
              <w:bottom w:val="single" w:sz="4" w:space="0" w:color="auto"/>
              <w:right w:val="single" w:sz="4" w:space="0" w:color="auto"/>
            </w:tcBorders>
          </w:tcPr>
          <w:p w14:paraId="019FCF9B" w14:textId="77777777" w:rsidR="00B60015" w:rsidRPr="00822B86" w:rsidRDefault="00B60015" w:rsidP="00FB0014">
            <w:pPr>
              <w:keepNext/>
              <w:keepLines/>
              <w:jc w:val="center"/>
              <w:rPr>
                <w:szCs w:val="22"/>
              </w:rPr>
            </w:pPr>
            <w:r w:rsidRPr="00822B86">
              <w:rPr>
                <w:szCs w:val="22"/>
              </w:rPr>
              <w:t>(49, 80)</w:t>
            </w:r>
          </w:p>
        </w:tc>
        <w:tc>
          <w:tcPr>
            <w:tcW w:w="2555" w:type="dxa"/>
            <w:tcBorders>
              <w:top w:val="single" w:sz="4" w:space="0" w:color="auto"/>
              <w:left w:val="single" w:sz="4" w:space="0" w:color="auto"/>
              <w:bottom w:val="single" w:sz="4" w:space="0" w:color="auto"/>
              <w:right w:val="single" w:sz="4" w:space="0" w:color="auto"/>
            </w:tcBorders>
          </w:tcPr>
          <w:p w14:paraId="6AEC1F0F" w14:textId="77777777" w:rsidR="00B60015" w:rsidRPr="00446153" w:rsidRDefault="00B60015" w:rsidP="00FB0014">
            <w:pPr>
              <w:keepNext/>
              <w:keepLines/>
              <w:jc w:val="center"/>
              <w:rPr>
                <w:szCs w:val="22"/>
              </w:rPr>
            </w:pPr>
            <w:r w:rsidRPr="00446153">
              <w:rPr>
                <w:szCs w:val="22"/>
              </w:rPr>
              <w:t>(9, 36)</w:t>
            </w:r>
          </w:p>
        </w:tc>
      </w:tr>
      <w:tr w:rsidR="00B60015" w:rsidRPr="003C7D36" w14:paraId="7FF2E18E" w14:textId="77777777" w:rsidTr="00FB0014">
        <w:tc>
          <w:tcPr>
            <w:tcW w:w="4376" w:type="dxa"/>
            <w:tcBorders>
              <w:top w:val="single" w:sz="4" w:space="0" w:color="auto"/>
              <w:left w:val="single" w:sz="4" w:space="0" w:color="auto"/>
              <w:bottom w:val="single" w:sz="4" w:space="0" w:color="auto"/>
              <w:right w:val="single" w:sz="4" w:space="0" w:color="auto"/>
            </w:tcBorders>
          </w:tcPr>
          <w:p w14:paraId="181237D2" w14:textId="77128DE9" w:rsidR="00B60015" w:rsidRPr="00C0597B" w:rsidRDefault="00537ACF" w:rsidP="00FB0014">
            <w:pPr>
              <w:keepNext/>
              <w:keepLines/>
              <w:ind w:left="158"/>
              <w:rPr>
                <w:szCs w:val="22"/>
              </w:rPr>
            </w:pPr>
            <w:r w:rsidRPr="00C0597B">
              <w:rPr>
                <w:szCs w:val="22"/>
              </w:rPr>
              <w:t>Ukupna stopa odgovora</w:t>
            </w:r>
          </w:p>
        </w:tc>
        <w:tc>
          <w:tcPr>
            <w:tcW w:w="2686" w:type="dxa"/>
            <w:gridSpan w:val="2"/>
            <w:tcBorders>
              <w:top w:val="single" w:sz="4" w:space="0" w:color="auto"/>
              <w:left w:val="single" w:sz="4" w:space="0" w:color="auto"/>
              <w:bottom w:val="single" w:sz="4" w:space="0" w:color="auto"/>
              <w:right w:val="single" w:sz="4" w:space="0" w:color="auto"/>
            </w:tcBorders>
          </w:tcPr>
          <w:p w14:paraId="0DF43EE5" w14:textId="77777777" w:rsidR="00B60015" w:rsidRPr="00822B86" w:rsidRDefault="00B60015" w:rsidP="00FB0014">
            <w:pPr>
              <w:keepNext/>
              <w:keepLines/>
              <w:jc w:val="center"/>
              <w:rPr>
                <w:szCs w:val="22"/>
              </w:rPr>
            </w:pPr>
            <w:r w:rsidRPr="00822B86">
              <w:rPr>
                <w:szCs w:val="22"/>
              </w:rPr>
              <w:t>61%</w:t>
            </w:r>
          </w:p>
        </w:tc>
        <w:tc>
          <w:tcPr>
            <w:tcW w:w="2555" w:type="dxa"/>
            <w:tcBorders>
              <w:top w:val="single" w:sz="4" w:space="0" w:color="auto"/>
              <w:left w:val="single" w:sz="4" w:space="0" w:color="auto"/>
              <w:bottom w:val="single" w:sz="4" w:space="0" w:color="auto"/>
              <w:right w:val="single" w:sz="4" w:space="0" w:color="auto"/>
            </w:tcBorders>
          </w:tcPr>
          <w:p w14:paraId="6E1D953B" w14:textId="77777777" w:rsidR="00B60015" w:rsidRPr="00446153" w:rsidRDefault="00B60015" w:rsidP="00FB0014">
            <w:pPr>
              <w:keepNext/>
              <w:keepLines/>
              <w:jc w:val="center"/>
              <w:rPr>
                <w:szCs w:val="22"/>
              </w:rPr>
            </w:pPr>
            <w:r w:rsidRPr="00446153">
              <w:rPr>
                <w:szCs w:val="22"/>
              </w:rPr>
              <w:t>15%</w:t>
            </w:r>
          </w:p>
        </w:tc>
      </w:tr>
      <w:tr w:rsidR="00B60015" w:rsidRPr="003C7D36" w14:paraId="7DAA7D36" w14:textId="77777777" w:rsidTr="00FB0014">
        <w:tc>
          <w:tcPr>
            <w:tcW w:w="4376" w:type="dxa"/>
            <w:tcBorders>
              <w:top w:val="single" w:sz="4" w:space="0" w:color="auto"/>
              <w:left w:val="single" w:sz="4" w:space="0" w:color="auto"/>
              <w:bottom w:val="single" w:sz="4" w:space="0" w:color="auto"/>
              <w:right w:val="single" w:sz="4" w:space="0" w:color="auto"/>
            </w:tcBorders>
          </w:tcPr>
          <w:p w14:paraId="23C3FECC" w14:textId="69BB95A3" w:rsidR="00B60015" w:rsidRPr="00C0597B" w:rsidRDefault="00537ACF" w:rsidP="00FB0014">
            <w:pPr>
              <w:keepNext/>
              <w:keepLines/>
              <w:ind w:left="158"/>
              <w:rPr>
                <w:szCs w:val="22"/>
              </w:rPr>
            </w:pPr>
            <w:r w:rsidRPr="00C0597B">
              <w:rPr>
                <w:szCs w:val="22"/>
              </w:rPr>
              <w:t>Trajanje odgovora</w:t>
            </w:r>
          </w:p>
        </w:tc>
        <w:tc>
          <w:tcPr>
            <w:tcW w:w="2686" w:type="dxa"/>
            <w:gridSpan w:val="2"/>
            <w:tcBorders>
              <w:top w:val="single" w:sz="4" w:space="0" w:color="auto"/>
              <w:left w:val="single" w:sz="4" w:space="0" w:color="auto"/>
              <w:bottom w:val="single" w:sz="4" w:space="0" w:color="auto"/>
              <w:right w:val="single" w:sz="4" w:space="0" w:color="auto"/>
            </w:tcBorders>
          </w:tcPr>
          <w:p w14:paraId="3112957A" w14:textId="77777777" w:rsidR="00B60015" w:rsidRPr="00822B86" w:rsidRDefault="00B60015" w:rsidP="00FB0014">
            <w:pPr>
              <w:keepNext/>
              <w:keepLines/>
              <w:jc w:val="center"/>
              <w:rPr>
                <w:szCs w:val="22"/>
              </w:rPr>
            </w:pPr>
          </w:p>
        </w:tc>
        <w:tc>
          <w:tcPr>
            <w:tcW w:w="2555" w:type="dxa"/>
            <w:tcBorders>
              <w:top w:val="single" w:sz="4" w:space="0" w:color="auto"/>
              <w:left w:val="single" w:sz="4" w:space="0" w:color="auto"/>
              <w:bottom w:val="single" w:sz="4" w:space="0" w:color="auto"/>
              <w:right w:val="single" w:sz="4" w:space="0" w:color="auto"/>
            </w:tcBorders>
          </w:tcPr>
          <w:p w14:paraId="30FD3A18" w14:textId="77777777" w:rsidR="00B60015" w:rsidRPr="00446153" w:rsidRDefault="00B60015" w:rsidP="00FB0014">
            <w:pPr>
              <w:keepNext/>
              <w:keepLines/>
              <w:jc w:val="center"/>
              <w:rPr>
                <w:szCs w:val="22"/>
              </w:rPr>
            </w:pPr>
          </w:p>
        </w:tc>
      </w:tr>
      <w:tr w:rsidR="00B60015" w:rsidRPr="003C7D36" w14:paraId="0BAD9E49" w14:textId="77777777" w:rsidTr="00FB0014">
        <w:tc>
          <w:tcPr>
            <w:tcW w:w="4376" w:type="dxa"/>
            <w:tcBorders>
              <w:top w:val="single" w:sz="4" w:space="0" w:color="auto"/>
              <w:left w:val="single" w:sz="4" w:space="0" w:color="auto"/>
              <w:bottom w:val="single" w:sz="4" w:space="0" w:color="auto"/>
              <w:right w:val="single" w:sz="4" w:space="0" w:color="auto"/>
            </w:tcBorders>
          </w:tcPr>
          <w:p w14:paraId="1092804C" w14:textId="4F2903F1" w:rsidR="00B60015" w:rsidRPr="00822B86" w:rsidRDefault="00537ACF" w:rsidP="00FB0014">
            <w:pPr>
              <w:keepNext/>
              <w:keepLines/>
              <w:ind w:left="288"/>
              <w:rPr>
                <w:szCs w:val="22"/>
              </w:rPr>
            </w:pPr>
            <w:r w:rsidRPr="00C0597B">
              <w:rPr>
                <w:szCs w:val="22"/>
              </w:rPr>
              <w:t xml:space="preserve">Broj </w:t>
            </w:r>
            <w:r w:rsidR="00CB167E" w:rsidRPr="00C0597B">
              <w:rPr>
                <w:szCs w:val="22"/>
              </w:rPr>
              <w:t xml:space="preserve">pacijenata sa </w:t>
            </w:r>
            <w:r w:rsidRPr="00C0597B">
              <w:rPr>
                <w:szCs w:val="22"/>
              </w:rPr>
              <w:t>odgovor</w:t>
            </w:r>
            <w:r w:rsidR="00CB167E" w:rsidRPr="00822B86">
              <w:rPr>
                <w:szCs w:val="22"/>
              </w:rPr>
              <w:t>om</w:t>
            </w:r>
          </w:p>
        </w:tc>
        <w:tc>
          <w:tcPr>
            <w:tcW w:w="2686" w:type="dxa"/>
            <w:gridSpan w:val="2"/>
            <w:tcBorders>
              <w:top w:val="single" w:sz="4" w:space="0" w:color="auto"/>
              <w:left w:val="single" w:sz="4" w:space="0" w:color="auto"/>
              <w:bottom w:val="single" w:sz="4" w:space="0" w:color="auto"/>
              <w:right w:val="single" w:sz="4" w:space="0" w:color="auto"/>
            </w:tcBorders>
          </w:tcPr>
          <w:p w14:paraId="5F50AADD" w14:textId="77777777" w:rsidR="00B60015" w:rsidRPr="00446153" w:rsidRDefault="00B60015" w:rsidP="00FB0014">
            <w:pPr>
              <w:keepNext/>
              <w:keepLines/>
              <w:jc w:val="center"/>
              <w:rPr>
                <w:szCs w:val="22"/>
              </w:rPr>
            </w:pPr>
            <w:r w:rsidRPr="00446153">
              <w:rPr>
                <w:szCs w:val="22"/>
              </w:rPr>
              <w:t>25</w:t>
            </w:r>
          </w:p>
        </w:tc>
        <w:tc>
          <w:tcPr>
            <w:tcW w:w="2555" w:type="dxa"/>
            <w:tcBorders>
              <w:top w:val="single" w:sz="4" w:space="0" w:color="auto"/>
              <w:left w:val="single" w:sz="4" w:space="0" w:color="auto"/>
              <w:bottom w:val="single" w:sz="4" w:space="0" w:color="auto"/>
              <w:right w:val="single" w:sz="4" w:space="0" w:color="auto"/>
            </w:tcBorders>
          </w:tcPr>
          <w:p w14:paraId="34B7D686" w14:textId="77777777" w:rsidR="00B60015" w:rsidRPr="0093305C" w:rsidRDefault="00B60015" w:rsidP="00FB0014">
            <w:pPr>
              <w:keepNext/>
              <w:keepLines/>
              <w:jc w:val="center"/>
              <w:rPr>
                <w:szCs w:val="22"/>
              </w:rPr>
            </w:pPr>
            <w:r w:rsidRPr="0093305C">
              <w:rPr>
                <w:szCs w:val="22"/>
              </w:rPr>
              <w:t>8</w:t>
            </w:r>
          </w:p>
        </w:tc>
      </w:tr>
      <w:tr w:rsidR="00B60015" w:rsidRPr="003C7D36" w14:paraId="6947D22B" w14:textId="77777777" w:rsidTr="00FB0014">
        <w:tc>
          <w:tcPr>
            <w:tcW w:w="4376" w:type="dxa"/>
            <w:tcBorders>
              <w:top w:val="single" w:sz="4" w:space="0" w:color="auto"/>
              <w:left w:val="single" w:sz="4" w:space="0" w:color="auto"/>
              <w:bottom w:val="single" w:sz="4" w:space="0" w:color="auto"/>
              <w:right w:val="single" w:sz="4" w:space="0" w:color="auto"/>
            </w:tcBorders>
          </w:tcPr>
          <w:p w14:paraId="1E9E1490" w14:textId="6FB43910" w:rsidR="00B60015" w:rsidRPr="00822B86" w:rsidRDefault="00CB167E" w:rsidP="00FB0014">
            <w:pPr>
              <w:keepNext/>
              <w:keepLines/>
              <w:ind w:left="288"/>
              <w:rPr>
                <w:szCs w:val="22"/>
              </w:rPr>
            </w:pPr>
            <w:r w:rsidRPr="00C0597B">
              <w:rPr>
                <w:szCs w:val="22"/>
              </w:rPr>
              <w:t>Medijana</w:t>
            </w:r>
            <w:r w:rsidR="00537ACF" w:rsidRPr="00C0597B">
              <w:rPr>
                <w:szCs w:val="22"/>
              </w:rPr>
              <w:t xml:space="preserve">, u mjesecima </w:t>
            </w:r>
            <w:r w:rsidR="00B60015" w:rsidRPr="00C0597B">
              <w:rPr>
                <w:szCs w:val="22"/>
              </w:rPr>
              <w:t>(95% CI)</w:t>
            </w:r>
            <w:r w:rsidR="00B60015" w:rsidRPr="00822B86">
              <w:rPr>
                <w:szCs w:val="22"/>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31879B13" w14:textId="6BAA4C92" w:rsidR="00B60015" w:rsidRPr="0093305C" w:rsidRDefault="00B60015" w:rsidP="00FB0014">
            <w:pPr>
              <w:keepNext/>
              <w:keepLines/>
              <w:jc w:val="center"/>
              <w:rPr>
                <w:szCs w:val="22"/>
              </w:rPr>
            </w:pPr>
            <w:r w:rsidRPr="00446153">
              <w:rPr>
                <w:szCs w:val="22"/>
              </w:rPr>
              <w:t>N</w:t>
            </w:r>
            <w:r w:rsidR="00CB167E" w:rsidRPr="00446153">
              <w:rPr>
                <w:szCs w:val="22"/>
              </w:rPr>
              <w:t>P</w:t>
            </w:r>
            <w:r w:rsidRPr="00446153">
              <w:rPr>
                <w:szCs w:val="22"/>
              </w:rPr>
              <w:t xml:space="preserve"> (N</w:t>
            </w:r>
            <w:r w:rsidR="00CB167E" w:rsidRPr="00446153">
              <w:rPr>
                <w:szCs w:val="22"/>
              </w:rPr>
              <w:t>P</w:t>
            </w:r>
            <w:r w:rsidRPr="00446153">
              <w:rPr>
                <w:szCs w:val="22"/>
              </w:rPr>
              <w:t>, N</w:t>
            </w:r>
            <w:r w:rsidR="00CB167E" w:rsidRPr="0093305C">
              <w:rPr>
                <w:szCs w:val="22"/>
              </w:rPr>
              <w:t>P</w:t>
            </w:r>
            <w:r w:rsidRPr="0093305C">
              <w:rPr>
                <w:szCs w:val="22"/>
              </w:rPr>
              <w:t>)</w:t>
            </w:r>
          </w:p>
        </w:tc>
        <w:tc>
          <w:tcPr>
            <w:tcW w:w="2555" w:type="dxa"/>
            <w:tcBorders>
              <w:top w:val="single" w:sz="4" w:space="0" w:color="auto"/>
              <w:left w:val="single" w:sz="4" w:space="0" w:color="auto"/>
              <w:bottom w:val="single" w:sz="4" w:space="0" w:color="auto"/>
              <w:right w:val="single" w:sz="4" w:space="0" w:color="auto"/>
            </w:tcBorders>
          </w:tcPr>
          <w:p w14:paraId="3A54FBAC" w14:textId="77777777" w:rsidR="00B60015" w:rsidRPr="0093305C" w:rsidRDefault="00B60015" w:rsidP="00FB0014">
            <w:pPr>
              <w:keepNext/>
              <w:keepLines/>
              <w:jc w:val="center"/>
              <w:rPr>
                <w:szCs w:val="22"/>
              </w:rPr>
            </w:pPr>
            <w:r w:rsidRPr="0093305C">
              <w:rPr>
                <w:szCs w:val="22"/>
              </w:rPr>
              <w:t>9 (6, 11)</w:t>
            </w:r>
          </w:p>
        </w:tc>
      </w:tr>
      <w:tr w:rsidR="00B60015" w:rsidRPr="003C7D36" w14:paraId="6B7D3D38" w14:textId="77777777" w:rsidTr="00FB0014">
        <w:tc>
          <w:tcPr>
            <w:tcW w:w="9617" w:type="dxa"/>
            <w:gridSpan w:val="4"/>
            <w:tcBorders>
              <w:top w:val="single" w:sz="4" w:space="0" w:color="auto"/>
              <w:left w:val="nil"/>
              <w:bottom w:val="nil"/>
              <w:right w:val="nil"/>
            </w:tcBorders>
          </w:tcPr>
          <w:p w14:paraId="0356AFEA" w14:textId="03A4F3B3" w:rsidR="00B60015" w:rsidRPr="0031203A" w:rsidRDefault="00537ACF" w:rsidP="00FB0014">
            <w:pPr>
              <w:tabs>
                <w:tab w:val="left" w:pos="540"/>
              </w:tabs>
              <w:ind w:left="-18"/>
              <w:rPr>
                <w:rFonts w:eastAsia="Calibri"/>
                <w:szCs w:val="22"/>
              </w:rPr>
            </w:pPr>
            <w:r w:rsidRPr="0031203A">
              <w:rPr>
                <w:rFonts w:eastAsia="Calibri"/>
                <w:szCs w:val="22"/>
              </w:rPr>
              <w:t>Skraćenice</w:t>
            </w:r>
            <w:r w:rsidR="00B60015" w:rsidRPr="0031203A">
              <w:rPr>
                <w:rFonts w:eastAsia="Calibri"/>
                <w:szCs w:val="22"/>
              </w:rPr>
              <w:t>: BICR=</w:t>
            </w:r>
            <w:r w:rsidR="00CB167E" w:rsidRPr="0031203A">
              <w:rPr>
                <w:rFonts w:eastAsia="Calibri"/>
                <w:szCs w:val="22"/>
              </w:rPr>
              <w:t xml:space="preserve"> slijepa</w:t>
            </w:r>
            <w:r w:rsidRPr="0031203A">
              <w:rPr>
                <w:rFonts w:eastAsia="Calibri"/>
                <w:szCs w:val="22"/>
              </w:rPr>
              <w:t xml:space="preserve"> nezavisn</w:t>
            </w:r>
            <w:r w:rsidR="00CB167E" w:rsidRPr="0031203A">
              <w:rPr>
                <w:rFonts w:eastAsia="Calibri"/>
                <w:szCs w:val="22"/>
              </w:rPr>
              <w:t>a</w:t>
            </w:r>
            <w:r w:rsidRPr="0031203A">
              <w:rPr>
                <w:rFonts w:eastAsia="Calibri"/>
                <w:szCs w:val="22"/>
              </w:rPr>
              <w:t xml:space="preserve"> centraln</w:t>
            </w:r>
            <w:r w:rsidR="00CB167E" w:rsidRPr="0031203A">
              <w:rPr>
                <w:rFonts w:eastAsia="Calibri"/>
                <w:szCs w:val="22"/>
              </w:rPr>
              <w:t>a</w:t>
            </w:r>
            <w:r w:rsidRPr="0031203A">
              <w:rPr>
                <w:rFonts w:eastAsia="Calibri"/>
                <w:szCs w:val="22"/>
              </w:rPr>
              <w:t xml:space="preserve"> pr</w:t>
            </w:r>
            <w:r w:rsidR="00CB167E" w:rsidRPr="0031203A">
              <w:rPr>
                <w:rFonts w:eastAsia="Calibri"/>
                <w:szCs w:val="22"/>
              </w:rPr>
              <w:t>ocjena</w:t>
            </w:r>
            <w:r w:rsidR="00B60015" w:rsidRPr="0031203A">
              <w:rPr>
                <w:rFonts w:eastAsia="Calibri"/>
                <w:szCs w:val="22"/>
              </w:rPr>
              <w:t>; CI=</w:t>
            </w:r>
            <w:r w:rsidRPr="0031203A">
              <w:rPr>
                <w:rFonts w:eastAsia="Calibri"/>
                <w:szCs w:val="22"/>
              </w:rPr>
              <w:t>interval pov</w:t>
            </w:r>
            <w:r w:rsidR="007F5FE0" w:rsidRPr="0031203A">
              <w:rPr>
                <w:rFonts w:eastAsia="Calibri"/>
                <w:szCs w:val="22"/>
              </w:rPr>
              <w:t>j</w:t>
            </w:r>
            <w:r w:rsidRPr="0031203A">
              <w:rPr>
                <w:rFonts w:eastAsia="Calibri"/>
                <w:szCs w:val="22"/>
              </w:rPr>
              <w:t>erenja</w:t>
            </w:r>
            <w:r w:rsidR="00B60015" w:rsidRPr="0031203A">
              <w:rPr>
                <w:rFonts w:eastAsia="Calibri"/>
                <w:szCs w:val="22"/>
              </w:rPr>
              <w:t>; CNS=</w:t>
            </w:r>
            <w:r w:rsidRPr="0031203A">
              <w:rPr>
                <w:rFonts w:eastAsia="Calibri"/>
                <w:szCs w:val="22"/>
              </w:rPr>
              <w:t>centralni nervni sistem</w:t>
            </w:r>
            <w:r w:rsidR="00B60015" w:rsidRPr="0031203A">
              <w:rPr>
                <w:rFonts w:eastAsia="Calibri"/>
                <w:szCs w:val="22"/>
              </w:rPr>
              <w:t>; INV=</w:t>
            </w:r>
            <w:r w:rsidRPr="0031203A">
              <w:rPr>
                <w:rFonts w:eastAsia="Calibri"/>
                <w:szCs w:val="22"/>
              </w:rPr>
              <w:t>proc</w:t>
            </w:r>
            <w:r w:rsidR="007F5FE0" w:rsidRPr="0031203A">
              <w:rPr>
                <w:rFonts w:eastAsia="Calibri"/>
                <w:szCs w:val="22"/>
              </w:rPr>
              <w:t>j</w:t>
            </w:r>
            <w:r w:rsidRPr="0031203A">
              <w:rPr>
                <w:rFonts w:eastAsia="Calibri"/>
                <w:szCs w:val="22"/>
              </w:rPr>
              <w:t>ena istraži</w:t>
            </w:r>
            <w:r w:rsidR="00CC7F45" w:rsidRPr="0031203A">
              <w:rPr>
                <w:rFonts w:eastAsia="Calibri"/>
                <w:szCs w:val="22"/>
              </w:rPr>
              <w:t>vača</w:t>
            </w:r>
            <w:r w:rsidR="00B60015" w:rsidRPr="0031203A">
              <w:rPr>
                <w:rFonts w:eastAsia="Calibri"/>
                <w:szCs w:val="22"/>
              </w:rPr>
              <w:t>; N/n=</w:t>
            </w:r>
            <w:r w:rsidRPr="0031203A">
              <w:rPr>
                <w:rFonts w:eastAsia="Calibri"/>
                <w:szCs w:val="22"/>
              </w:rPr>
              <w:t>broj pacijenata</w:t>
            </w:r>
            <w:r w:rsidR="00B60015" w:rsidRPr="0031203A">
              <w:rPr>
                <w:rFonts w:eastAsia="Calibri"/>
                <w:szCs w:val="22"/>
              </w:rPr>
              <w:t>; N</w:t>
            </w:r>
            <w:r w:rsidR="00CB167E" w:rsidRPr="0031203A">
              <w:rPr>
                <w:rFonts w:eastAsia="Calibri"/>
                <w:szCs w:val="22"/>
              </w:rPr>
              <w:t>P</w:t>
            </w:r>
            <w:r w:rsidR="00B60015" w:rsidRPr="0031203A">
              <w:rPr>
                <w:rFonts w:eastAsia="Calibri"/>
                <w:szCs w:val="22"/>
              </w:rPr>
              <w:t>=</w:t>
            </w:r>
            <w:r w:rsidRPr="00C0597B">
              <w:rPr>
                <w:szCs w:val="22"/>
              </w:rPr>
              <w:t xml:space="preserve"> </w:t>
            </w:r>
            <w:r w:rsidRPr="0031203A">
              <w:rPr>
                <w:rFonts w:eastAsia="Calibri"/>
                <w:szCs w:val="22"/>
              </w:rPr>
              <w:t>nije proc</w:t>
            </w:r>
            <w:r w:rsidR="007F5FE0" w:rsidRPr="0031203A">
              <w:rPr>
                <w:rFonts w:eastAsia="Calibri"/>
                <w:szCs w:val="22"/>
              </w:rPr>
              <w:t>j</w:t>
            </w:r>
            <w:r w:rsidRPr="0031203A">
              <w:rPr>
                <w:rFonts w:eastAsia="Calibri"/>
                <w:szCs w:val="22"/>
              </w:rPr>
              <w:t>enjivo</w:t>
            </w:r>
            <w:r w:rsidR="00B60015" w:rsidRPr="0031203A">
              <w:rPr>
                <w:rFonts w:eastAsia="Calibri"/>
                <w:szCs w:val="22"/>
              </w:rPr>
              <w:t>.</w:t>
            </w:r>
          </w:p>
          <w:p w14:paraId="2FA753E3" w14:textId="6A25DA04" w:rsidR="00B60015" w:rsidRPr="0031203A" w:rsidRDefault="00B60015" w:rsidP="00FB0014">
            <w:pPr>
              <w:tabs>
                <w:tab w:val="left" w:pos="158"/>
              </w:tabs>
              <w:ind w:left="-14"/>
              <w:rPr>
                <w:rFonts w:eastAsia="Calibri"/>
                <w:iCs/>
                <w:color w:val="000000"/>
                <w:szCs w:val="22"/>
              </w:rPr>
            </w:pPr>
            <w:r w:rsidRPr="0031203A">
              <w:rPr>
                <w:rFonts w:eastAsia="Calibri"/>
                <w:szCs w:val="22"/>
                <w:vertAlign w:val="superscript"/>
              </w:rPr>
              <w:t>*</w:t>
            </w:r>
            <w:r w:rsidRPr="0031203A">
              <w:rPr>
                <w:rFonts w:eastAsia="Calibri"/>
                <w:iCs/>
                <w:color w:val="000000"/>
                <w:szCs w:val="22"/>
              </w:rPr>
              <w:tab/>
            </w:r>
            <w:r w:rsidR="00537ACF" w:rsidRPr="0031203A">
              <w:rPr>
                <w:rFonts w:eastAsia="Calibri"/>
                <w:iCs/>
                <w:color w:val="000000"/>
                <w:szCs w:val="22"/>
              </w:rPr>
              <w:t>p vr</w:t>
            </w:r>
            <w:r w:rsidR="007F5FE0" w:rsidRPr="0031203A">
              <w:rPr>
                <w:rFonts w:eastAsia="Calibri"/>
                <w:iCs/>
                <w:color w:val="000000"/>
                <w:szCs w:val="22"/>
              </w:rPr>
              <w:t>ij</w:t>
            </w:r>
            <w:r w:rsidR="00537ACF" w:rsidRPr="0031203A">
              <w:rPr>
                <w:rFonts w:eastAsia="Calibri"/>
                <w:iCs/>
                <w:color w:val="000000"/>
                <w:szCs w:val="22"/>
              </w:rPr>
              <w:t xml:space="preserve">ednost zasnovana na 1-stranom stratifikovanom </w:t>
            </w:r>
            <w:r w:rsidR="002759E2" w:rsidRPr="0031203A">
              <w:rPr>
                <w:rFonts w:eastAsia="Calibri"/>
                <w:iCs/>
                <w:color w:val="000000"/>
                <w:szCs w:val="22"/>
              </w:rPr>
              <w:t xml:space="preserve">long-rank </w:t>
            </w:r>
            <w:r w:rsidR="00537ACF" w:rsidRPr="0031203A">
              <w:rPr>
                <w:rFonts w:eastAsia="Calibri"/>
                <w:iCs/>
                <w:color w:val="000000"/>
                <w:szCs w:val="22"/>
              </w:rPr>
              <w:t>testu</w:t>
            </w:r>
            <w:r w:rsidRPr="0031203A">
              <w:rPr>
                <w:rFonts w:eastAsia="Calibri"/>
                <w:iCs/>
                <w:color w:val="000000"/>
                <w:szCs w:val="22"/>
              </w:rPr>
              <w:t xml:space="preserve">. </w:t>
            </w:r>
          </w:p>
          <w:p w14:paraId="414A07ED" w14:textId="4929A9F0" w:rsidR="00B60015" w:rsidRPr="0031203A" w:rsidRDefault="00B60015" w:rsidP="00FB0014">
            <w:pPr>
              <w:tabs>
                <w:tab w:val="left" w:pos="158"/>
              </w:tabs>
              <w:ind w:left="144" w:hanging="158"/>
              <w:rPr>
                <w:rFonts w:eastAsia="Calibri"/>
                <w:iCs/>
                <w:color w:val="000000"/>
                <w:szCs w:val="22"/>
                <w:vertAlign w:val="superscript"/>
              </w:rPr>
            </w:pPr>
            <w:r w:rsidRPr="0031203A">
              <w:rPr>
                <w:rFonts w:eastAsia="Calibri"/>
                <w:iCs/>
                <w:color w:val="000000"/>
                <w:szCs w:val="22"/>
                <w:vertAlign w:val="superscript"/>
              </w:rPr>
              <w:t>a</w:t>
            </w:r>
            <w:r w:rsidRPr="0031203A">
              <w:rPr>
                <w:rFonts w:eastAsia="Calibri"/>
                <w:iCs/>
                <w:color w:val="000000"/>
                <w:szCs w:val="22"/>
              </w:rPr>
              <w:tab/>
            </w:r>
            <w:r w:rsidR="00537ACF" w:rsidRPr="0031203A">
              <w:rPr>
                <w:rFonts w:eastAsia="Calibri"/>
                <w:szCs w:val="22"/>
              </w:rPr>
              <w:t xml:space="preserve">Na osnovu </w:t>
            </w:r>
            <w:r w:rsidR="002759E2" w:rsidRPr="0031203A">
              <w:rPr>
                <w:rFonts w:eastAsia="Calibri"/>
                <w:szCs w:val="22"/>
              </w:rPr>
              <w:t xml:space="preserve">Brookmeyer-ove i Crowley-ove </w:t>
            </w:r>
            <w:r w:rsidR="00537ACF" w:rsidRPr="0031203A">
              <w:rPr>
                <w:rFonts w:eastAsia="Calibri"/>
                <w:szCs w:val="22"/>
              </w:rPr>
              <w:t>metode</w:t>
            </w:r>
            <w:r w:rsidRPr="0031203A">
              <w:rPr>
                <w:rFonts w:eastAsia="Calibri"/>
                <w:szCs w:val="22"/>
              </w:rPr>
              <w:t>.</w:t>
            </w:r>
          </w:p>
          <w:p w14:paraId="501EEE7B" w14:textId="0AA8C2CB" w:rsidR="00B60015" w:rsidRPr="0031203A" w:rsidRDefault="00B60015" w:rsidP="00FB0014">
            <w:pPr>
              <w:tabs>
                <w:tab w:val="left" w:pos="158"/>
              </w:tabs>
              <w:ind w:left="144" w:hanging="158"/>
              <w:rPr>
                <w:rFonts w:eastAsia="Calibri"/>
                <w:szCs w:val="22"/>
              </w:rPr>
            </w:pPr>
            <w:r w:rsidRPr="0031203A">
              <w:rPr>
                <w:rFonts w:eastAsia="Calibri"/>
                <w:iCs/>
                <w:color w:val="000000"/>
                <w:szCs w:val="22"/>
                <w:vertAlign w:val="superscript"/>
              </w:rPr>
              <w:t>b</w:t>
            </w:r>
            <w:r w:rsidRPr="0031203A">
              <w:rPr>
                <w:rFonts w:eastAsia="Calibri"/>
                <w:iCs/>
                <w:color w:val="000000"/>
                <w:szCs w:val="22"/>
              </w:rPr>
              <w:tab/>
            </w:r>
            <w:r w:rsidR="00537ACF" w:rsidRPr="0031203A">
              <w:rPr>
                <w:rFonts w:eastAsia="Calibri"/>
                <w:szCs w:val="22"/>
              </w:rPr>
              <w:t xml:space="preserve">Odnos </w:t>
            </w:r>
            <w:r w:rsidR="002759E2" w:rsidRPr="0031203A">
              <w:rPr>
                <w:rFonts w:eastAsia="Calibri"/>
                <w:szCs w:val="22"/>
              </w:rPr>
              <w:t xml:space="preserve">rizika </w:t>
            </w:r>
            <w:r w:rsidR="00537ACF" w:rsidRPr="0031203A">
              <w:rPr>
                <w:rFonts w:eastAsia="Calibri"/>
                <w:szCs w:val="22"/>
              </w:rPr>
              <w:t xml:space="preserve">zasnovan na Cox </w:t>
            </w:r>
            <w:r w:rsidR="002759E2" w:rsidRPr="0031203A">
              <w:rPr>
                <w:rFonts w:eastAsia="Calibri"/>
                <w:szCs w:val="22"/>
              </w:rPr>
              <w:t xml:space="preserve">modelu </w:t>
            </w:r>
            <w:r w:rsidR="00537ACF" w:rsidRPr="0031203A">
              <w:rPr>
                <w:rFonts w:eastAsia="Calibri"/>
                <w:szCs w:val="22"/>
              </w:rPr>
              <w:t>proporcionaln</w:t>
            </w:r>
            <w:r w:rsidR="002759E2" w:rsidRPr="0031203A">
              <w:rPr>
                <w:rFonts w:eastAsia="Calibri"/>
                <w:szCs w:val="22"/>
              </w:rPr>
              <w:t>ih</w:t>
            </w:r>
            <w:r w:rsidR="00537ACF" w:rsidRPr="0031203A">
              <w:rPr>
                <w:rFonts w:eastAsia="Calibri"/>
                <w:szCs w:val="22"/>
              </w:rPr>
              <w:t xml:space="preserve"> </w:t>
            </w:r>
            <w:r w:rsidR="002759E2" w:rsidRPr="0031203A">
              <w:rPr>
                <w:rFonts w:eastAsia="Calibri"/>
                <w:szCs w:val="22"/>
              </w:rPr>
              <w:t>rizika</w:t>
            </w:r>
            <w:r w:rsidR="00537ACF" w:rsidRPr="0031203A">
              <w:rPr>
                <w:rFonts w:eastAsia="Calibri"/>
                <w:szCs w:val="22"/>
              </w:rPr>
              <w:t xml:space="preserve">; pod proporcionalnim </w:t>
            </w:r>
            <w:r w:rsidR="002759E2" w:rsidRPr="0031203A">
              <w:rPr>
                <w:rFonts w:eastAsia="Calibri"/>
                <w:szCs w:val="22"/>
              </w:rPr>
              <w:t>rizicima</w:t>
            </w:r>
            <w:r w:rsidR="00537ACF" w:rsidRPr="0031203A">
              <w:rPr>
                <w:rFonts w:eastAsia="Calibri"/>
                <w:szCs w:val="22"/>
              </w:rPr>
              <w:t xml:space="preserve">, odnos </w:t>
            </w:r>
            <w:r w:rsidR="002759E2" w:rsidRPr="0031203A">
              <w:rPr>
                <w:rFonts w:eastAsia="Calibri"/>
                <w:szCs w:val="22"/>
              </w:rPr>
              <w:t>rizika</w:t>
            </w:r>
            <w:r w:rsidR="00537ACF" w:rsidRPr="0031203A">
              <w:rPr>
                <w:rFonts w:eastAsia="Calibri"/>
                <w:szCs w:val="22"/>
              </w:rPr>
              <w:t xml:space="preserve"> &lt; 1 ukazuje na smanjenje stope </w:t>
            </w:r>
            <w:r w:rsidR="002759E2" w:rsidRPr="0031203A">
              <w:rPr>
                <w:rFonts w:eastAsia="Calibri"/>
                <w:szCs w:val="22"/>
              </w:rPr>
              <w:t>rizika</w:t>
            </w:r>
            <w:r w:rsidR="00537ACF" w:rsidRPr="0031203A">
              <w:rPr>
                <w:rFonts w:eastAsia="Calibri"/>
                <w:szCs w:val="22"/>
              </w:rPr>
              <w:t xml:space="preserve"> u korist lorlatiniba</w:t>
            </w:r>
            <w:r w:rsidRPr="0031203A">
              <w:rPr>
                <w:rFonts w:eastAsia="Calibri"/>
                <w:szCs w:val="22"/>
              </w:rPr>
              <w:t>.</w:t>
            </w:r>
          </w:p>
          <w:p w14:paraId="4DAFC74A" w14:textId="44F5198F" w:rsidR="00B60015" w:rsidRPr="0031203A" w:rsidRDefault="00B60015" w:rsidP="00FB0014">
            <w:pPr>
              <w:tabs>
                <w:tab w:val="left" w:pos="162"/>
              </w:tabs>
              <w:ind w:left="-14"/>
              <w:rPr>
                <w:rFonts w:eastAsia="Calibri"/>
                <w:strike/>
                <w:szCs w:val="22"/>
              </w:rPr>
            </w:pPr>
            <w:r w:rsidRPr="0031203A">
              <w:rPr>
                <w:rFonts w:eastAsia="Calibri"/>
                <w:szCs w:val="22"/>
                <w:vertAlign w:val="superscript"/>
              </w:rPr>
              <w:t>c</w:t>
            </w:r>
            <w:r w:rsidRPr="0031203A">
              <w:rPr>
                <w:rFonts w:eastAsia="Calibri"/>
                <w:iCs/>
                <w:color w:val="000000"/>
                <w:szCs w:val="22"/>
              </w:rPr>
              <w:tab/>
            </w:r>
            <w:r w:rsidR="00537ACF" w:rsidRPr="0031203A">
              <w:rPr>
                <w:rFonts w:eastAsia="Calibri"/>
                <w:szCs w:val="22"/>
              </w:rPr>
              <w:t>Korišćenje tačne metode zasnovane na binomskoj distribuciji</w:t>
            </w:r>
            <w:r w:rsidRPr="0031203A">
              <w:rPr>
                <w:rFonts w:eastAsia="Calibri"/>
                <w:szCs w:val="22"/>
              </w:rPr>
              <w:t>.</w:t>
            </w:r>
          </w:p>
        </w:tc>
      </w:tr>
      <w:bookmarkEnd w:id="8"/>
    </w:tbl>
    <w:p w14:paraId="3EA2774B" w14:textId="77777777" w:rsidR="00B60015" w:rsidRPr="00C0597B" w:rsidRDefault="00B60015" w:rsidP="00B60015">
      <w:pPr>
        <w:keepNext/>
        <w:rPr>
          <w:szCs w:val="22"/>
        </w:rPr>
      </w:pPr>
    </w:p>
    <w:p w14:paraId="79C74C16" w14:textId="164D17C6" w:rsidR="00B60015" w:rsidRPr="0093305C" w:rsidRDefault="00537ACF" w:rsidP="00B60015">
      <w:pPr>
        <w:keepNext/>
        <w:tabs>
          <w:tab w:val="left" w:pos="1066"/>
        </w:tabs>
        <w:rPr>
          <w:b/>
          <w:bCs/>
          <w:szCs w:val="22"/>
        </w:rPr>
      </w:pPr>
      <w:r w:rsidRPr="00822B86">
        <w:rPr>
          <w:b/>
          <w:bCs/>
          <w:szCs w:val="22"/>
        </w:rPr>
        <w:t>Slika</w:t>
      </w:r>
      <w:r w:rsidR="00B60015" w:rsidRPr="00822B86">
        <w:rPr>
          <w:b/>
          <w:bCs/>
          <w:szCs w:val="22"/>
        </w:rPr>
        <w:t> 1.</w:t>
      </w:r>
      <w:r w:rsidR="00B60015" w:rsidRPr="00822B86">
        <w:rPr>
          <w:b/>
          <w:bCs/>
          <w:szCs w:val="22"/>
        </w:rPr>
        <w:tab/>
      </w:r>
      <w:r w:rsidR="007F5FE0" w:rsidRPr="00822B86">
        <w:rPr>
          <w:b/>
          <w:bCs/>
          <w:i/>
          <w:szCs w:val="22"/>
        </w:rPr>
        <w:t>Kaplan-M</w:t>
      </w:r>
      <w:r w:rsidR="002759E2" w:rsidRPr="00446153">
        <w:rPr>
          <w:b/>
          <w:bCs/>
          <w:i/>
          <w:szCs w:val="22"/>
        </w:rPr>
        <w:t>eier</w:t>
      </w:r>
      <w:r w:rsidR="002759E2" w:rsidRPr="00446153">
        <w:rPr>
          <w:b/>
          <w:bCs/>
          <w:szCs w:val="22"/>
        </w:rPr>
        <w:t xml:space="preserve"> - ova</w:t>
      </w:r>
      <w:r w:rsidR="00352315" w:rsidRPr="00446153">
        <w:rPr>
          <w:b/>
          <w:bCs/>
          <w:szCs w:val="22"/>
        </w:rPr>
        <w:t xml:space="preserve"> kriva</w:t>
      </w:r>
      <w:r w:rsidR="007F5FE0" w:rsidRPr="00446153">
        <w:rPr>
          <w:b/>
          <w:bCs/>
          <w:szCs w:val="22"/>
        </w:rPr>
        <w:t xml:space="preserve"> preživljavanja bez progresije </w:t>
      </w:r>
      <w:r w:rsidR="00352315" w:rsidRPr="00446153">
        <w:rPr>
          <w:b/>
          <w:bCs/>
          <w:szCs w:val="22"/>
        </w:rPr>
        <w:t xml:space="preserve">bolesti prema </w:t>
      </w:r>
      <w:r w:rsidR="007F5FE0" w:rsidRPr="0093305C">
        <w:rPr>
          <w:b/>
          <w:bCs/>
          <w:szCs w:val="22"/>
        </w:rPr>
        <w:t>slijep</w:t>
      </w:r>
      <w:r w:rsidR="00352315" w:rsidRPr="0093305C">
        <w:rPr>
          <w:b/>
          <w:bCs/>
          <w:szCs w:val="22"/>
        </w:rPr>
        <w:t>oj</w:t>
      </w:r>
      <w:r w:rsidR="007F5FE0" w:rsidRPr="0093305C">
        <w:rPr>
          <w:b/>
          <w:bCs/>
          <w:szCs w:val="22"/>
        </w:rPr>
        <w:t xml:space="preserve"> nezavisn</w:t>
      </w:r>
      <w:r w:rsidR="00352315" w:rsidRPr="0093305C">
        <w:rPr>
          <w:b/>
          <w:bCs/>
          <w:szCs w:val="22"/>
        </w:rPr>
        <w:t>oj</w:t>
      </w:r>
      <w:r w:rsidR="007F5FE0" w:rsidRPr="0093305C">
        <w:rPr>
          <w:b/>
          <w:bCs/>
          <w:szCs w:val="22"/>
        </w:rPr>
        <w:t xml:space="preserve"> centraln</w:t>
      </w:r>
      <w:r w:rsidR="00352315" w:rsidRPr="0093305C">
        <w:rPr>
          <w:b/>
          <w:bCs/>
          <w:szCs w:val="22"/>
        </w:rPr>
        <w:t>oj</w:t>
      </w:r>
      <w:r w:rsidR="007F5FE0" w:rsidRPr="0093305C">
        <w:rPr>
          <w:b/>
          <w:bCs/>
          <w:szCs w:val="22"/>
        </w:rPr>
        <w:t xml:space="preserve"> pr</w:t>
      </w:r>
      <w:r w:rsidR="00352315" w:rsidRPr="0093305C">
        <w:rPr>
          <w:b/>
          <w:bCs/>
          <w:szCs w:val="22"/>
        </w:rPr>
        <w:t>ocjeni</w:t>
      </w:r>
      <w:r w:rsidR="007F5FE0" w:rsidRPr="0093305C">
        <w:rPr>
          <w:b/>
          <w:bCs/>
          <w:szCs w:val="22"/>
        </w:rPr>
        <w:t xml:space="preserve"> u studiji CROWN</w:t>
      </w:r>
    </w:p>
    <w:p w14:paraId="6DBEF202" w14:textId="77777777" w:rsidR="00B60015" w:rsidRPr="00C0597B" w:rsidRDefault="00B60015" w:rsidP="00B60015">
      <w:pPr>
        <w:keepNext/>
        <w:rPr>
          <w:szCs w:val="22"/>
        </w:rPr>
      </w:pPr>
      <w:r w:rsidRPr="00C0597B">
        <w:rPr>
          <w:noProof/>
          <w:szCs w:val="22"/>
          <w:lang w:val="en-US"/>
        </w:rPr>
        <w:drawing>
          <wp:anchor distT="0" distB="0" distL="114300" distR="114300" simplePos="0" relativeHeight="251659264" behindDoc="0" locked="0" layoutInCell="1" allowOverlap="1" wp14:anchorId="0D26068C" wp14:editId="06D5E7A7">
            <wp:simplePos x="0" y="0"/>
            <wp:positionH relativeFrom="column">
              <wp:posOffset>-97321</wp:posOffset>
            </wp:positionH>
            <wp:positionV relativeFrom="paragraph">
              <wp:posOffset>247540</wp:posOffset>
            </wp:positionV>
            <wp:extent cx="5605272" cy="3745992"/>
            <wp:effectExtent l="0" t="0" r="0" b="698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457961" name="PFI106353 LORBRENA PFS KM Plot_restyle.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605272" cy="3745992"/>
                    </a:xfrm>
                    <a:prstGeom prst="rect">
                      <a:avLst/>
                    </a:prstGeom>
                  </pic:spPr>
                </pic:pic>
              </a:graphicData>
            </a:graphic>
          </wp:anchor>
        </w:drawing>
      </w:r>
    </w:p>
    <w:p w14:paraId="5157270B" w14:textId="0DB69392" w:rsidR="00B60015" w:rsidRPr="0031203A" w:rsidRDefault="007F5FE0" w:rsidP="00B60015">
      <w:pPr>
        <w:keepNext/>
        <w:rPr>
          <w:szCs w:val="22"/>
        </w:rPr>
      </w:pPr>
      <w:bookmarkStart w:id="10" w:name="_Hlk53069700"/>
      <w:r w:rsidRPr="0031203A">
        <w:rPr>
          <w:szCs w:val="22"/>
        </w:rPr>
        <w:t>Skraćenice</w:t>
      </w:r>
      <w:r w:rsidR="00B60015" w:rsidRPr="0031203A">
        <w:rPr>
          <w:szCs w:val="22"/>
        </w:rPr>
        <w:t xml:space="preserve">: </w:t>
      </w:r>
      <w:r w:rsidR="00B60015" w:rsidRPr="0031203A">
        <w:rPr>
          <w:rFonts w:eastAsia="Calibri"/>
          <w:szCs w:val="22"/>
        </w:rPr>
        <w:t>CI=</w:t>
      </w:r>
      <w:r w:rsidRPr="0031203A">
        <w:rPr>
          <w:rFonts w:eastAsia="Calibri"/>
          <w:szCs w:val="22"/>
        </w:rPr>
        <w:t>interval povjerenja</w:t>
      </w:r>
      <w:r w:rsidR="00B60015" w:rsidRPr="0031203A">
        <w:rPr>
          <w:rFonts w:eastAsia="Calibri"/>
          <w:szCs w:val="22"/>
        </w:rPr>
        <w:t>; N/No.=</w:t>
      </w:r>
      <w:r w:rsidRPr="0031203A">
        <w:rPr>
          <w:rFonts w:eastAsia="Calibri"/>
          <w:szCs w:val="22"/>
        </w:rPr>
        <w:t>broj pacijenata</w:t>
      </w:r>
      <w:r w:rsidR="00B60015" w:rsidRPr="0031203A">
        <w:rPr>
          <w:rFonts w:eastAsia="Calibri"/>
          <w:szCs w:val="22"/>
        </w:rPr>
        <w:t>.</w:t>
      </w:r>
      <w:r w:rsidR="00B60015" w:rsidRPr="0031203A">
        <w:rPr>
          <w:szCs w:val="22"/>
        </w:rPr>
        <w:t xml:space="preserve"> </w:t>
      </w:r>
    </w:p>
    <w:bookmarkEnd w:id="10"/>
    <w:p w14:paraId="1781B5A1" w14:textId="77777777" w:rsidR="00B60015" w:rsidRPr="0031203A" w:rsidRDefault="00B60015" w:rsidP="00B60015">
      <w:pPr>
        <w:tabs>
          <w:tab w:val="clear" w:pos="567"/>
        </w:tabs>
        <w:spacing w:line="240" w:lineRule="auto"/>
        <w:rPr>
          <w:szCs w:val="22"/>
        </w:rPr>
      </w:pPr>
    </w:p>
    <w:p w14:paraId="662192CA" w14:textId="2695D5FB" w:rsidR="00B60015" w:rsidRPr="003C7D36" w:rsidRDefault="007F5FE0" w:rsidP="00B60015">
      <w:pPr>
        <w:tabs>
          <w:tab w:val="clear" w:pos="567"/>
        </w:tabs>
        <w:spacing w:line="240" w:lineRule="auto"/>
        <w:rPr>
          <w:szCs w:val="22"/>
        </w:rPr>
      </w:pPr>
      <w:r w:rsidRPr="003C7D36">
        <w:rPr>
          <w:szCs w:val="22"/>
          <w:lang w:val="it-IT"/>
        </w:rPr>
        <w:t>Korist</w:t>
      </w:r>
      <w:r w:rsidRPr="0031203A">
        <w:rPr>
          <w:szCs w:val="22"/>
        </w:rPr>
        <w:t xml:space="preserve"> </w:t>
      </w:r>
      <w:r w:rsidRPr="003C7D36">
        <w:rPr>
          <w:szCs w:val="22"/>
          <w:lang w:val="it-IT"/>
        </w:rPr>
        <w:t>od</w:t>
      </w:r>
      <w:r w:rsidRPr="0031203A">
        <w:rPr>
          <w:szCs w:val="22"/>
        </w:rPr>
        <w:t xml:space="preserve"> </w:t>
      </w:r>
      <w:r w:rsidRPr="003C7D36">
        <w:rPr>
          <w:szCs w:val="22"/>
          <w:lang w:val="it-IT"/>
        </w:rPr>
        <w:t>l</w:t>
      </w:r>
      <w:r w:rsidR="00D528C6" w:rsidRPr="003C7D36">
        <w:rPr>
          <w:szCs w:val="22"/>
          <w:lang w:val="it-IT"/>
        </w:rPr>
        <w:t>ij</w:t>
      </w:r>
      <w:r w:rsidRPr="003C7D36">
        <w:rPr>
          <w:szCs w:val="22"/>
          <w:lang w:val="it-IT"/>
        </w:rPr>
        <w:t>e</w:t>
      </w:r>
      <w:r w:rsidRPr="0031203A">
        <w:rPr>
          <w:szCs w:val="22"/>
        </w:rPr>
        <w:t>č</w:t>
      </w:r>
      <w:r w:rsidRPr="003C7D36">
        <w:rPr>
          <w:szCs w:val="22"/>
          <w:lang w:val="it-IT"/>
        </w:rPr>
        <w:t>enja</w:t>
      </w:r>
      <w:r w:rsidRPr="0031203A">
        <w:rPr>
          <w:szCs w:val="22"/>
        </w:rPr>
        <w:t xml:space="preserve"> </w:t>
      </w:r>
      <w:r w:rsidRPr="003C7D36">
        <w:rPr>
          <w:szCs w:val="22"/>
          <w:lang w:val="it-IT"/>
        </w:rPr>
        <w:t>lorlatinib</w:t>
      </w:r>
      <w:r w:rsidR="00352315" w:rsidRPr="003C7D36">
        <w:rPr>
          <w:szCs w:val="22"/>
          <w:lang w:val="it-IT"/>
        </w:rPr>
        <w:t>inom</w:t>
      </w:r>
      <w:r w:rsidRPr="0031203A">
        <w:rPr>
          <w:szCs w:val="22"/>
        </w:rPr>
        <w:t xml:space="preserve"> </w:t>
      </w:r>
      <w:r w:rsidRPr="003C7D36">
        <w:rPr>
          <w:szCs w:val="22"/>
          <w:lang w:val="it-IT"/>
        </w:rPr>
        <w:t>bila</w:t>
      </w:r>
      <w:r w:rsidRPr="0031203A">
        <w:rPr>
          <w:szCs w:val="22"/>
        </w:rPr>
        <w:t xml:space="preserve"> </w:t>
      </w:r>
      <w:r w:rsidRPr="003C7D36">
        <w:rPr>
          <w:szCs w:val="22"/>
          <w:lang w:val="it-IT"/>
        </w:rPr>
        <w:t>je</w:t>
      </w:r>
      <w:r w:rsidRPr="0031203A">
        <w:rPr>
          <w:szCs w:val="22"/>
        </w:rPr>
        <w:t xml:space="preserve"> </w:t>
      </w:r>
      <w:r w:rsidRPr="003C7D36">
        <w:rPr>
          <w:szCs w:val="22"/>
          <w:lang w:val="it-IT"/>
        </w:rPr>
        <w:t>uporediva</w:t>
      </w:r>
      <w:r w:rsidRPr="0031203A">
        <w:rPr>
          <w:szCs w:val="22"/>
        </w:rPr>
        <w:t xml:space="preserve"> </w:t>
      </w:r>
      <w:r w:rsidRPr="003C7D36">
        <w:rPr>
          <w:szCs w:val="22"/>
          <w:lang w:val="it-IT"/>
        </w:rPr>
        <w:t>u</w:t>
      </w:r>
      <w:r w:rsidRPr="0031203A">
        <w:rPr>
          <w:szCs w:val="22"/>
        </w:rPr>
        <w:t xml:space="preserve"> </w:t>
      </w:r>
      <w:r w:rsidRPr="003C7D36">
        <w:rPr>
          <w:szCs w:val="22"/>
          <w:lang w:val="it-IT"/>
        </w:rPr>
        <w:t>svim</w:t>
      </w:r>
      <w:r w:rsidRPr="0031203A">
        <w:rPr>
          <w:szCs w:val="22"/>
        </w:rPr>
        <w:t xml:space="preserve"> </w:t>
      </w:r>
      <w:r w:rsidRPr="003C7D36">
        <w:rPr>
          <w:szCs w:val="22"/>
          <w:lang w:val="it-IT"/>
        </w:rPr>
        <w:t>podgrupama</w:t>
      </w:r>
      <w:r w:rsidRPr="0031203A">
        <w:rPr>
          <w:szCs w:val="22"/>
        </w:rPr>
        <w:t xml:space="preserve"> </w:t>
      </w:r>
      <w:r w:rsidR="0004239B" w:rsidRPr="003C7D36">
        <w:rPr>
          <w:szCs w:val="22"/>
          <w:lang w:val="it-IT"/>
        </w:rPr>
        <w:t>karakteristika</w:t>
      </w:r>
      <w:r w:rsidR="0004239B" w:rsidRPr="0031203A">
        <w:rPr>
          <w:szCs w:val="22"/>
        </w:rPr>
        <w:t xml:space="preserve"> </w:t>
      </w:r>
      <w:r w:rsidR="0004239B" w:rsidRPr="003C7D36">
        <w:rPr>
          <w:szCs w:val="22"/>
          <w:lang w:val="it-IT"/>
        </w:rPr>
        <w:t>vezanih</w:t>
      </w:r>
      <w:r w:rsidR="0004239B" w:rsidRPr="0031203A">
        <w:rPr>
          <w:szCs w:val="22"/>
        </w:rPr>
        <w:t xml:space="preserve"> </w:t>
      </w:r>
      <w:r w:rsidR="0004239B" w:rsidRPr="003C7D36">
        <w:rPr>
          <w:szCs w:val="22"/>
          <w:lang w:val="it-IT"/>
        </w:rPr>
        <w:t>za</w:t>
      </w:r>
      <w:r w:rsidR="0004239B" w:rsidRPr="0031203A">
        <w:rPr>
          <w:szCs w:val="22"/>
        </w:rPr>
        <w:t xml:space="preserve"> </w:t>
      </w:r>
      <w:r w:rsidR="0004239B" w:rsidRPr="003C7D36">
        <w:rPr>
          <w:szCs w:val="22"/>
          <w:lang w:val="it-IT"/>
        </w:rPr>
        <w:t>pacijente</w:t>
      </w:r>
      <w:r w:rsidR="0004239B" w:rsidRPr="0031203A">
        <w:rPr>
          <w:szCs w:val="22"/>
        </w:rPr>
        <w:t xml:space="preserve"> </w:t>
      </w:r>
      <w:r w:rsidR="0004239B" w:rsidRPr="003C7D36">
        <w:rPr>
          <w:szCs w:val="22"/>
          <w:lang w:val="it-IT"/>
        </w:rPr>
        <w:t>i</w:t>
      </w:r>
      <w:r w:rsidR="0004239B" w:rsidRPr="0031203A">
        <w:rPr>
          <w:szCs w:val="22"/>
        </w:rPr>
        <w:t xml:space="preserve"> </w:t>
      </w:r>
      <w:r w:rsidRPr="0031203A">
        <w:rPr>
          <w:szCs w:val="22"/>
        </w:rPr>
        <w:t xml:space="preserve"> </w:t>
      </w:r>
      <w:r w:rsidRPr="003C7D36">
        <w:rPr>
          <w:szCs w:val="22"/>
          <w:lang w:val="it-IT"/>
        </w:rPr>
        <w:t>bolesti</w:t>
      </w:r>
      <w:r w:rsidR="0004239B" w:rsidRPr="0031203A">
        <w:rPr>
          <w:szCs w:val="22"/>
        </w:rPr>
        <w:t xml:space="preserve"> </w:t>
      </w:r>
      <w:r w:rsidR="0004239B" w:rsidRPr="003C7D36">
        <w:rPr>
          <w:szCs w:val="22"/>
          <w:lang w:val="it-IT"/>
        </w:rPr>
        <w:t>na</w:t>
      </w:r>
      <w:r w:rsidR="0004239B" w:rsidRPr="0031203A">
        <w:rPr>
          <w:szCs w:val="22"/>
        </w:rPr>
        <w:t xml:space="preserve"> </w:t>
      </w:r>
      <w:r w:rsidR="0004239B" w:rsidRPr="003C7D36">
        <w:rPr>
          <w:szCs w:val="22"/>
          <w:lang w:val="it-IT"/>
        </w:rPr>
        <w:t>po</w:t>
      </w:r>
      <w:r w:rsidR="0004239B" w:rsidRPr="0031203A">
        <w:rPr>
          <w:szCs w:val="22"/>
        </w:rPr>
        <w:t>č</w:t>
      </w:r>
      <w:r w:rsidR="0004239B" w:rsidRPr="003C7D36">
        <w:rPr>
          <w:szCs w:val="22"/>
          <w:lang w:val="it-IT"/>
        </w:rPr>
        <w:t>etku</w:t>
      </w:r>
      <w:r w:rsidR="0004239B" w:rsidRPr="0031203A">
        <w:rPr>
          <w:szCs w:val="22"/>
        </w:rPr>
        <w:t xml:space="preserve"> </w:t>
      </w:r>
      <w:r w:rsidR="0004239B" w:rsidRPr="003C7D36">
        <w:rPr>
          <w:szCs w:val="22"/>
          <w:lang w:val="it-IT"/>
        </w:rPr>
        <w:t>ispitivanja</w:t>
      </w:r>
      <w:r w:rsidRPr="0031203A">
        <w:rPr>
          <w:szCs w:val="22"/>
        </w:rPr>
        <w:t xml:space="preserve">, </w:t>
      </w:r>
      <w:r w:rsidRPr="003C7D36">
        <w:rPr>
          <w:szCs w:val="22"/>
          <w:lang w:val="it-IT"/>
        </w:rPr>
        <w:t>uklju</w:t>
      </w:r>
      <w:r w:rsidRPr="0031203A">
        <w:rPr>
          <w:szCs w:val="22"/>
        </w:rPr>
        <w:t>č</w:t>
      </w:r>
      <w:r w:rsidRPr="003C7D36">
        <w:rPr>
          <w:szCs w:val="22"/>
          <w:lang w:val="it-IT"/>
        </w:rPr>
        <w:t>ujuc</w:t>
      </w:r>
      <w:r w:rsidRPr="0031203A">
        <w:rPr>
          <w:szCs w:val="22"/>
        </w:rPr>
        <w:t>́</w:t>
      </w:r>
      <w:r w:rsidRPr="003C7D36">
        <w:rPr>
          <w:szCs w:val="22"/>
          <w:lang w:val="it-IT"/>
        </w:rPr>
        <w:t>i</w:t>
      </w:r>
      <w:r w:rsidRPr="0031203A">
        <w:rPr>
          <w:szCs w:val="22"/>
        </w:rPr>
        <w:t xml:space="preserve"> </w:t>
      </w:r>
      <w:r w:rsidRPr="003C7D36">
        <w:rPr>
          <w:szCs w:val="22"/>
          <w:lang w:val="it-IT"/>
        </w:rPr>
        <w:t>pacijente</w:t>
      </w:r>
      <w:r w:rsidRPr="0031203A">
        <w:rPr>
          <w:szCs w:val="22"/>
        </w:rPr>
        <w:t xml:space="preserve"> </w:t>
      </w:r>
      <w:r w:rsidRPr="003C7D36">
        <w:rPr>
          <w:szCs w:val="22"/>
          <w:lang w:val="it-IT"/>
        </w:rPr>
        <w:t>sa</w:t>
      </w:r>
      <w:r w:rsidRPr="0031203A">
        <w:rPr>
          <w:szCs w:val="22"/>
        </w:rPr>
        <w:t xml:space="preserve"> </w:t>
      </w:r>
      <w:r w:rsidRPr="003C7D36">
        <w:rPr>
          <w:szCs w:val="22"/>
          <w:lang w:val="it-IT"/>
        </w:rPr>
        <w:t>metastazama</w:t>
      </w:r>
      <w:r w:rsidRPr="0031203A">
        <w:rPr>
          <w:szCs w:val="22"/>
        </w:rPr>
        <w:t xml:space="preserve"> </w:t>
      </w:r>
      <w:r w:rsidRPr="003C7D36">
        <w:rPr>
          <w:szCs w:val="22"/>
          <w:lang w:val="it-IT"/>
        </w:rPr>
        <w:t>u</w:t>
      </w:r>
      <w:r w:rsidRPr="0031203A">
        <w:rPr>
          <w:szCs w:val="22"/>
        </w:rPr>
        <w:t xml:space="preserve"> </w:t>
      </w:r>
      <w:r w:rsidRPr="003C7D36">
        <w:rPr>
          <w:szCs w:val="22"/>
          <w:lang w:val="it-IT"/>
        </w:rPr>
        <w:t>CNS</w:t>
      </w:r>
      <w:r w:rsidRPr="0031203A">
        <w:rPr>
          <w:szCs w:val="22"/>
        </w:rPr>
        <w:t xml:space="preserve"> </w:t>
      </w:r>
      <w:r w:rsidRPr="003C7D36">
        <w:rPr>
          <w:szCs w:val="22"/>
          <w:lang w:val="it-IT"/>
        </w:rPr>
        <w:t>na</w:t>
      </w:r>
      <w:r w:rsidRPr="0031203A">
        <w:rPr>
          <w:szCs w:val="22"/>
        </w:rPr>
        <w:t xml:space="preserve"> </w:t>
      </w:r>
      <w:r w:rsidRPr="003C7D36">
        <w:rPr>
          <w:szCs w:val="22"/>
          <w:lang w:val="it-IT"/>
        </w:rPr>
        <w:t>po</w:t>
      </w:r>
      <w:r w:rsidRPr="0031203A">
        <w:rPr>
          <w:szCs w:val="22"/>
        </w:rPr>
        <w:t>č</w:t>
      </w:r>
      <w:r w:rsidRPr="003C7D36">
        <w:rPr>
          <w:szCs w:val="22"/>
          <w:lang w:val="it-IT"/>
        </w:rPr>
        <w:t>etku</w:t>
      </w:r>
      <w:r w:rsidRPr="0031203A">
        <w:rPr>
          <w:szCs w:val="22"/>
        </w:rPr>
        <w:t xml:space="preserve"> </w:t>
      </w:r>
      <w:r w:rsidR="00352315" w:rsidRPr="003C7D36">
        <w:rPr>
          <w:szCs w:val="22"/>
          <w:lang w:val="it-IT"/>
        </w:rPr>
        <w:t>ispitivanja</w:t>
      </w:r>
      <w:r w:rsidR="00352315" w:rsidRPr="0031203A">
        <w:rPr>
          <w:szCs w:val="22"/>
        </w:rPr>
        <w:t xml:space="preserve"> </w:t>
      </w:r>
      <w:r w:rsidRPr="0031203A">
        <w:rPr>
          <w:szCs w:val="22"/>
        </w:rPr>
        <w:t>(</w:t>
      </w:r>
      <w:r w:rsidRPr="003C7D36">
        <w:rPr>
          <w:szCs w:val="22"/>
          <w:lang w:val="it-IT"/>
        </w:rPr>
        <w:t>n</w:t>
      </w:r>
      <w:r w:rsidRPr="0031203A">
        <w:rPr>
          <w:szCs w:val="22"/>
        </w:rPr>
        <w:t xml:space="preserve">=38, </w:t>
      </w:r>
      <w:r w:rsidRPr="003C7D36">
        <w:rPr>
          <w:szCs w:val="22"/>
          <w:lang w:val="it-IT"/>
        </w:rPr>
        <w:t>HR</w:t>
      </w:r>
      <w:r w:rsidRPr="0031203A">
        <w:rPr>
          <w:szCs w:val="22"/>
        </w:rPr>
        <w:t xml:space="preserve">=0,2, 95% </w:t>
      </w:r>
      <w:r w:rsidRPr="003C7D36">
        <w:rPr>
          <w:szCs w:val="22"/>
          <w:lang w:val="it-IT"/>
        </w:rPr>
        <w:t>CI</w:t>
      </w:r>
      <w:r w:rsidRPr="0031203A">
        <w:rPr>
          <w:szCs w:val="22"/>
        </w:rPr>
        <w:t xml:space="preserve">: 0,10-0,43) </w:t>
      </w:r>
      <w:r w:rsidRPr="003C7D36">
        <w:rPr>
          <w:szCs w:val="22"/>
          <w:lang w:val="it-IT"/>
        </w:rPr>
        <w:t>i</w:t>
      </w:r>
      <w:r w:rsidRPr="0031203A">
        <w:rPr>
          <w:szCs w:val="22"/>
        </w:rPr>
        <w:t xml:space="preserve"> </w:t>
      </w:r>
      <w:r w:rsidRPr="003C7D36">
        <w:rPr>
          <w:szCs w:val="22"/>
          <w:lang w:val="it-IT"/>
        </w:rPr>
        <w:t>pacijente</w:t>
      </w:r>
      <w:r w:rsidRPr="0031203A">
        <w:rPr>
          <w:szCs w:val="22"/>
        </w:rPr>
        <w:t xml:space="preserve"> </w:t>
      </w:r>
      <w:r w:rsidRPr="003C7D36">
        <w:rPr>
          <w:szCs w:val="22"/>
          <w:lang w:val="it-IT"/>
        </w:rPr>
        <w:t>bez</w:t>
      </w:r>
      <w:r w:rsidRPr="0031203A">
        <w:rPr>
          <w:szCs w:val="22"/>
        </w:rPr>
        <w:t xml:space="preserve"> </w:t>
      </w:r>
      <w:r w:rsidRPr="003C7D36">
        <w:rPr>
          <w:szCs w:val="22"/>
          <w:lang w:val="it-IT"/>
        </w:rPr>
        <w:t>metastaza</w:t>
      </w:r>
      <w:r w:rsidRPr="0031203A">
        <w:rPr>
          <w:szCs w:val="22"/>
        </w:rPr>
        <w:t xml:space="preserve"> </w:t>
      </w:r>
      <w:r w:rsidR="00352315" w:rsidRPr="003C7D36">
        <w:rPr>
          <w:szCs w:val="22"/>
          <w:lang w:val="it-IT"/>
        </w:rPr>
        <w:t>u</w:t>
      </w:r>
      <w:r w:rsidR="00352315" w:rsidRPr="0031203A">
        <w:rPr>
          <w:szCs w:val="22"/>
        </w:rPr>
        <w:t xml:space="preserve"> </w:t>
      </w:r>
      <w:r w:rsidR="00352315" w:rsidRPr="003C7D36">
        <w:rPr>
          <w:szCs w:val="22"/>
          <w:lang w:val="it-IT"/>
        </w:rPr>
        <w:t>CNS</w:t>
      </w:r>
      <w:r w:rsidR="00352315" w:rsidRPr="0031203A">
        <w:rPr>
          <w:szCs w:val="22"/>
        </w:rPr>
        <w:t>-</w:t>
      </w:r>
      <w:r w:rsidR="00352315" w:rsidRPr="003C7D36">
        <w:rPr>
          <w:szCs w:val="22"/>
          <w:lang w:val="it-IT"/>
        </w:rPr>
        <w:t>u</w:t>
      </w:r>
      <w:r w:rsidR="00352315" w:rsidRPr="0031203A">
        <w:rPr>
          <w:szCs w:val="22"/>
        </w:rPr>
        <w:t xml:space="preserve"> </w:t>
      </w:r>
      <w:r w:rsidRPr="003C7D36">
        <w:rPr>
          <w:szCs w:val="22"/>
          <w:lang w:val="it-IT"/>
        </w:rPr>
        <w:t>na</w:t>
      </w:r>
      <w:r w:rsidRPr="0031203A">
        <w:rPr>
          <w:szCs w:val="22"/>
        </w:rPr>
        <w:t xml:space="preserve"> </w:t>
      </w:r>
      <w:r w:rsidRPr="003C7D36">
        <w:rPr>
          <w:szCs w:val="22"/>
          <w:lang w:val="it-IT"/>
        </w:rPr>
        <w:t>po</w:t>
      </w:r>
      <w:r w:rsidRPr="0031203A">
        <w:rPr>
          <w:szCs w:val="22"/>
        </w:rPr>
        <w:t>č</w:t>
      </w:r>
      <w:r w:rsidRPr="003C7D36">
        <w:rPr>
          <w:szCs w:val="22"/>
          <w:lang w:val="it-IT"/>
        </w:rPr>
        <w:t>etku</w:t>
      </w:r>
      <w:r w:rsidRPr="0031203A">
        <w:rPr>
          <w:szCs w:val="22"/>
        </w:rPr>
        <w:t xml:space="preserve"> </w:t>
      </w:r>
      <w:r w:rsidR="00352315" w:rsidRPr="003C7D36">
        <w:rPr>
          <w:szCs w:val="22"/>
          <w:lang w:val="it-IT"/>
        </w:rPr>
        <w:t>ispitivanja</w:t>
      </w:r>
      <w:r w:rsidR="00352315" w:rsidRPr="0031203A">
        <w:rPr>
          <w:szCs w:val="22"/>
        </w:rPr>
        <w:t xml:space="preserve"> </w:t>
      </w:r>
      <w:r w:rsidRPr="0031203A">
        <w:rPr>
          <w:szCs w:val="22"/>
        </w:rPr>
        <w:t>(</w:t>
      </w:r>
      <w:r w:rsidRPr="003C7D36">
        <w:rPr>
          <w:szCs w:val="22"/>
          <w:lang w:val="it-IT"/>
        </w:rPr>
        <w:t>n</w:t>
      </w:r>
      <w:r w:rsidRPr="0031203A">
        <w:rPr>
          <w:szCs w:val="22"/>
        </w:rPr>
        <w:t xml:space="preserve">= 111, </w:t>
      </w:r>
      <w:r w:rsidRPr="003C7D36">
        <w:rPr>
          <w:szCs w:val="22"/>
          <w:lang w:val="it-IT"/>
        </w:rPr>
        <w:t>HR</w:t>
      </w:r>
      <w:r w:rsidRPr="0031203A">
        <w:rPr>
          <w:szCs w:val="22"/>
        </w:rPr>
        <w:t xml:space="preserve">=0,32, 95% </w:t>
      </w:r>
      <w:r w:rsidRPr="003C7D36">
        <w:rPr>
          <w:szCs w:val="22"/>
          <w:lang w:val="it-IT"/>
        </w:rPr>
        <w:t>CI</w:t>
      </w:r>
      <w:r w:rsidRPr="0031203A">
        <w:rPr>
          <w:szCs w:val="22"/>
        </w:rPr>
        <w:t>: 0,20-0,49)</w:t>
      </w:r>
      <w:r w:rsidR="00B60015" w:rsidRPr="0031203A">
        <w:rPr>
          <w:szCs w:val="22"/>
        </w:rPr>
        <w:t xml:space="preserve">. </w:t>
      </w:r>
    </w:p>
    <w:p w14:paraId="31093D27" w14:textId="77777777" w:rsidR="00B60015" w:rsidRPr="0031203A" w:rsidRDefault="00B60015" w:rsidP="00B60015">
      <w:pPr>
        <w:pStyle w:val="Paragraph"/>
        <w:keepNext/>
        <w:spacing w:after="0"/>
        <w:rPr>
          <w:i/>
          <w:sz w:val="22"/>
          <w:szCs w:val="22"/>
        </w:rPr>
      </w:pPr>
    </w:p>
    <w:bookmarkEnd w:id="9"/>
    <w:p w14:paraId="2B9D5975" w14:textId="26C6ED65" w:rsidR="00C64CB3" w:rsidRPr="0031203A" w:rsidRDefault="007F5FE0" w:rsidP="00D77E03">
      <w:pPr>
        <w:keepNext/>
        <w:jc w:val="both"/>
        <w:rPr>
          <w:i/>
          <w:iCs/>
          <w:szCs w:val="22"/>
        </w:rPr>
      </w:pPr>
      <w:r w:rsidRPr="003C7D36">
        <w:rPr>
          <w:i/>
          <w:iCs/>
          <w:szCs w:val="22"/>
          <w:lang w:val="it-IT"/>
        </w:rPr>
        <w:t>ALK</w:t>
      </w:r>
      <w:r w:rsidRPr="0031203A">
        <w:rPr>
          <w:i/>
          <w:iCs/>
          <w:szCs w:val="22"/>
        </w:rPr>
        <w:t xml:space="preserve"> </w:t>
      </w:r>
      <w:r w:rsidRPr="003C7D36">
        <w:rPr>
          <w:i/>
          <w:iCs/>
          <w:szCs w:val="22"/>
          <w:lang w:val="it-IT"/>
        </w:rPr>
        <w:t>pozitivan</w:t>
      </w:r>
      <w:r w:rsidRPr="0031203A">
        <w:rPr>
          <w:i/>
          <w:iCs/>
          <w:szCs w:val="22"/>
        </w:rPr>
        <w:t xml:space="preserve"> </w:t>
      </w:r>
      <w:r w:rsidRPr="003C7D36">
        <w:rPr>
          <w:i/>
          <w:iCs/>
          <w:szCs w:val="22"/>
          <w:lang w:val="it-IT"/>
        </w:rPr>
        <w:t>uznapredovali</w:t>
      </w:r>
      <w:r w:rsidRPr="0031203A">
        <w:rPr>
          <w:i/>
          <w:iCs/>
          <w:szCs w:val="22"/>
        </w:rPr>
        <w:t xml:space="preserve"> </w:t>
      </w:r>
      <w:r w:rsidRPr="003C7D36">
        <w:rPr>
          <w:i/>
          <w:iCs/>
          <w:szCs w:val="22"/>
          <w:lang w:val="it-IT"/>
        </w:rPr>
        <w:t>NSCLC</w:t>
      </w:r>
      <w:r w:rsidRPr="0031203A">
        <w:rPr>
          <w:i/>
          <w:iCs/>
          <w:szCs w:val="22"/>
        </w:rPr>
        <w:t xml:space="preserve"> </w:t>
      </w:r>
      <w:r w:rsidRPr="003C7D36">
        <w:rPr>
          <w:i/>
          <w:iCs/>
          <w:szCs w:val="22"/>
          <w:lang w:val="it-IT"/>
        </w:rPr>
        <w:t>koji</w:t>
      </w:r>
      <w:r w:rsidRPr="0031203A">
        <w:rPr>
          <w:i/>
          <w:iCs/>
          <w:szCs w:val="22"/>
        </w:rPr>
        <w:t xml:space="preserve"> </w:t>
      </w:r>
      <w:r w:rsidRPr="003C7D36">
        <w:rPr>
          <w:i/>
          <w:iCs/>
          <w:szCs w:val="22"/>
          <w:lang w:val="it-IT"/>
        </w:rPr>
        <w:t>je</w:t>
      </w:r>
      <w:r w:rsidRPr="0031203A">
        <w:rPr>
          <w:i/>
          <w:iCs/>
          <w:szCs w:val="22"/>
        </w:rPr>
        <w:t xml:space="preserve"> </w:t>
      </w:r>
      <w:r w:rsidRPr="003C7D36">
        <w:rPr>
          <w:i/>
          <w:iCs/>
          <w:szCs w:val="22"/>
          <w:lang w:val="it-IT"/>
        </w:rPr>
        <w:t>prethodno</w:t>
      </w:r>
      <w:r w:rsidRPr="0031203A">
        <w:rPr>
          <w:i/>
          <w:iCs/>
          <w:szCs w:val="22"/>
        </w:rPr>
        <w:t xml:space="preserve"> </w:t>
      </w:r>
      <w:r w:rsidRPr="003C7D36">
        <w:rPr>
          <w:i/>
          <w:iCs/>
          <w:szCs w:val="22"/>
          <w:lang w:val="it-IT"/>
        </w:rPr>
        <w:t>lije</w:t>
      </w:r>
      <w:r w:rsidRPr="0031203A">
        <w:rPr>
          <w:i/>
          <w:iCs/>
          <w:szCs w:val="22"/>
        </w:rPr>
        <w:t>č</w:t>
      </w:r>
      <w:r w:rsidRPr="003C7D36">
        <w:rPr>
          <w:i/>
          <w:iCs/>
          <w:szCs w:val="22"/>
          <w:lang w:val="it-IT"/>
        </w:rPr>
        <w:t>en</w:t>
      </w:r>
      <w:r w:rsidRPr="0031203A">
        <w:rPr>
          <w:i/>
          <w:iCs/>
          <w:szCs w:val="22"/>
        </w:rPr>
        <w:t xml:space="preserve"> </w:t>
      </w:r>
      <w:r w:rsidRPr="003C7D36">
        <w:rPr>
          <w:i/>
          <w:iCs/>
          <w:szCs w:val="22"/>
          <w:lang w:val="it-IT"/>
        </w:rPr>
        <w:t>inhibitorom</w:t>
      </w:r>
      <w:r w:rsidRPr="0031203A">
        <w:rPr>
          <w:i/>
          <w:iCs/>
          <w:szCs w:val="22"/>
        </w:rPr>
        <w:t xml:space="preserve"> </w:t>
      </w:r>
      <w:r w:rsidRPr="003C7D36">
        <w:rPr>
          <w:i/>
          <w:iCs/>
          <w:szCs w:val="22"/>
          <w:lang w:val="it-IT"/>
        </w:rPr>
        <w:t>ALK</w:t>
      </w:r>
      <w:r w:rsidRPr="0031203A">
        <w:rPr>
          <w:i/>
          <w:iCs/>
          <w:szCs w:val="22"/>
        </w:rPr>
        <w:t xml:space="preserve"> </w:t>
      </w:r>
      <w:r w:rsidR="0004239B" w:rsidRPr="003C7D36">
        <w:rPr>
          <w:i/>
          <w:iCs/>
          <w:szCs w:val="22"/>
          <w:lang w:val="it-IT"/>
        </w:rPr>
        <w:t>kinaze</w:t>
      </w:r>
    </w:p>
    <w:p w14:paraId="385DD0E0" w14:textId="77777777" w:rsidR="00F75B7F" w:rsidRPr="00C0597B" w:rsidRDefault="00F75B7F" w:rsidP="00D77E03">
      <w:pPr>
        <w:keepNext/>
        <w:jc w:val="both"/>
        <w:rPr>
          <w:szCs w:val="22"/>
        </w:rPr>
      </w:pPr>
    </w:p>
    <w:p w14:paraId="49CE41E1" w14:textId="4D682AF9" w:rsidR="00151DDB" w:rsidRPr="0093305C" w:rsidRDefault="00151DDB" w:rsidP="00D77E03">
      <w:pPr>
        <w:keepNext/>
        <w:jc w:val="both"/>
        <w:rPr>
          <w:szCs w:val="22"/>
        </w:rPr>
      </w:pPr>
      <w:r w:rsidRPr="00822B86">
        <w:rPr>
          <w:szCs w:val="22"/>
        </w:rPr>
        <w:t>Upotreba lorlatiniba za liječenje uznapredovalog</w:t>
      </w:r>
      <w:r w:rsidR="005212F2" w:rsidRPr="00822B86">
        <w:rPr>
          <w:szCs w:val="22"/>
        </w:rPr>
        <w:t>,</w:t>
      </w:r>
      <w:r w:rsidRPr="00822B86">
        <w:rPr>
          <w:szCs w:val="22"/>
        </w:rPr>
        <w:t xml:space="preserve"> </w:t>
      </w:r>
      <w:r w:rsidR="005212F2" w:rsidRPr="00446153">
        <w:rPr>
          <w:szCs w:val="22"/>
        </w:rPr>
        <w:t xml:space="preserve">ALK  pozitivnog </w:t>
      </w:r>
      <w:r w:rsidRPr="00446153">
        <w:rPr>
          <w:szCs w:val="22"/>
        </w:rPr>
        <w:t xml:space="preserve">NSCLC-a, a nakon liječenja najmanje jednim </w:t>
      </w:r>
      <w:r w:rsidR="005212F2" w:rsidRPr="0093305C">
        <w:rPr>
          <w:szCs w:val="22"/>
        </w:rPr>
        <w:t xml:space="preserve">ALK </w:t>
      </w:r>
      <w:r w:rsidRPr="0093305C">
        <w:rPr>
          <w:szCs w:val="22"/>
        </w:rPr>
        <w:t xml:space="preserve">tirozin kinaze </w:t>
      </w:r>
      <w:r w:rsidR="00A67454" w:rsidRPr="0093305C">
        <w:rPr>
          <w:szCs w:val="22"/>
        </w:rPr>
        <w:t xml:space="preserve">inhibitorom </w:t>
      </w:r>
      <w:r w:rsidRPr="0093305C">
        <w:rPr>
          <w:szCs w:val="22"/>
        </w:rPr>
        <w:t xml:space="preserve">druge generacije, ispitivana je u </w:t>
      </w:r>
      <w:r w:rsidR="0004239B" w:rsidRPr="0093305C">
        <w:rPr>
          <w:szCs w:val="22"/>
        </w:rPr>
        <w:t>studiji</w:t>
      </w:r>
      <w:r w:rsidR="00AA1D58" w:rsidRPr="0093305C">
        <w:rPr>
          <w:szCs w:val="22"/>
        </w:rPr>
        <w:t xml:space="preserve"> </w:t>
      </w:r>
      <w:r w:rsidRPr="0093305C">
        <w:rPr>
          <w:szCs w:val="22"/>
        </w:rPr>
        <w:t>A, multicentričn</w:t>
      </w:r>
      <w:r w:rsidR="0004239B" w:rsidRPr="0093305C">
        <w:rPr>
          <w:szCs w:val="22"/>
        </w:rPr>
        <w:t>oj</w:t>
      </w:r>
      <w:r w:rsidR="00AA1D58" w:rsidRPr="0093305C">
        <w:rPr>
          <w:szCs w:val="22"/>
        </w:rPr>
        <w:t xml:space="preserve"> </w:t>
      </w:r>
      <w:r w:rsidR="0004239B" w:rsidRPr="0093305C">
        <w:rPr>
          <w:szCs w:val="22"/>
        </w:rPr>
        <w:t>studiji</w:t>
      </w:r>
      <w:r w:rsidR="00AA1D58" w:rsidRPr="0093305C">
        <w:rPr>
          <w:szCs w:val="22"/>
        </w:rPr>
        <w:t xml:space="preserve"> </w:t>
      </w:r>
      <w:r w:rsidR="00952975" w:rsidRPr="0093305C">
        <w:rPr>
          <w:szCs w:val="22"/>
        </w:rPr>
        <w:t xml:space="preserve">faze 1/2, </w:t>
      </w:r>
      <w:r w:rsidRPr="0093305C">
        <w:rPr>
          <w:szCs w:val="22"/>
        </w:rPr>
        <w:t>sa jednom grupom</w:t>
      </w:r>
      <w:r w:rsidR="00FD29F7" w:rsidRPr="0093305C">
        <w:rPr>
          <w:szCs w:val="22"/>
        </w:rPr>
        <w:t>.</w:t>
      </w:r>
      <w:r w:rsidRPr="0093305C">
        <w:rPr>
          <w:szCs w:val="22"/>
        </w:rPr>
        <w:t xml:space="preserve"> Ukupno 139 pacijenata sa uznapredovalim </w:t>
      </w:r>
      <w:r w:rsidR="00AA1D58" w:rsidRPr="0093305C">
        <w:rPr>
          <w:szCs w:val="22"/>
        </w:rPr>
        <w:t xml:space="preserve">ALK pozitivnim  </w:t>
      </w:r>
      <w:r w:rsidRPr="0093305C">
        <w:rPr>
          <w:szCs w:val="22"/>
        </w:rPr>
        <w:t xml:space="preserve">NSCLC-om, nakon liječenja najmanje jednim inhibitorom </w:t>
      </w:r>
      <w:r w:rsidR="00AA1D58" w:rsidRPr="0093305C">
        <w:rPr>
          <w:szCs w:val="22"/>
        </w:rPr>
        <w:t xml:space="preserve">ALK </w:t>
      </w:r>
      <w:r w:rsidRPr="0093305C">
        <w:rPr>
          <w:szCs w:val="22"/>
        </w:rPr>
        <w:t>tirozin kinaze druge generacije, bilo je uključeno u fazu 2 studije. Pacijenti su kontinuirano primali lorlatinib u preporučenoj dozi od 100 mg oralno jednom dnevno.</w:t>
      </w:r>
    </w:p>
    <w:p w14:paraId="08C23D0B" w14:textId="77777777" w:rsidR="00151DDB" w:rsidRPr="0093305C" w:rsidRDefault="00151DDB" w:rsidP="00D77E03">
      <w:pPr>
        <w:keepNext/>
        <w:jc w:val="both"/>
        <w:rPr>
          <w:szCs w:val="22"/>
        </w:rPr>
      </w:pPr>
    </w:p>
    <w:p w14:paraId="1EAC7C7B" w14:textId="12B8D249" w:rsidR="00151DDB" w:rsidRPr="0093305C" w:rsidRDefault="00151DDB" w:rsidP="00D77E03">
      <w:pPr>
        <w:jc w:val="both"/>
        <w:rPr>
          <w:szCs w:val="22"/>
        </w:rPr>
      </w:pPr>
      <w:r w:rsidRPr="0093305C">
        <w:rPr>
          <w:szCs w:val="22"/>
        </w:rPr>
        <w:t xml:space="preserve">Primarni </w:t>
      </w:r>
      <w:r w:rsidR="00FD29F7" w:rsidRPr="0093305C">
        <w:rPr>
          <w:szCs w:val="22"/>
        </w:rPr>
        <w:t xml:space="preserve">parametar praćenja  </w:t>
      </w:r>
      <w:r w:rsidRPr="0093305C">
        <w:rPr>
          <w:szCs w:val="22"/>
        </w:rPr>
        <w:t xml:space="preserve">efikasnosti u dijelu studije faze 2 bila je stopa objektivnog odgovora (eng. </w:t>
      </w:r>
      <w:r w:rsidRPr="0093305C">
        <w:rPr>
          <w:i/>
          <w:szCs w:val="22"/>
        </w:rPr>
        <w:t>objective response rate - ORR</w:t>
      </w:r>
      <w:r w:rsidRPr="0093305C">
        <w:rPr>
          <w:szCs w:val="22"/>
        </w:rPr>
        <w:t>), što je podrazumijevalo intrakranijalnu (IK) stopu objektivnog odgovora, prema nezavisnoj centralnoj procjeni</w:t>
      </w:r>
      <w:r w:rsidR="00FD29F7" w:rsidRPr="0093305C">
        <w:rPr>
          <w:szCs w:val="22"/>
        </w:rPr>
        <w:t>,</w:t>
      </w:r>
      <w:r w:rsidRPr="0093305C">
        <w:rPr>
          <w:szCs w:val="22"/>
        </w:rPr>
        <w:t xml:space="preserve"> u skladu s modifikovanim Kriterijumima procjene odgovora za solidne tumore (modifikovani RECIST v 1.1. Sekundarni </w:t>
      </w:r>
      <w:r w:rsidR="00FD29F7" w:rsidRPr="0093305C">
        <w:rPr>
          <w:szCs w:val="22"/>
        </w:rPr>
        <w:t xml:space="preserve">parametri praćenja </w:t>
      </w:r>
      <w:r w:rsidRPr="0093305C">
        <w:rPr>
          <w:szCs w:val="22"/>
        </w:rPr>
        <w:t>uključivali su trajanje odgovor</w:t>
      </w:r>
      <w:r w:rsidR="00AA1D58" w:rsidRPr="0093305C">
        <w:rPr>
          <w:szCs w:val="22"/>
        </w:rPr>
        <w:t xml:space="preserve">a (eng  </w:t>
      </w:r>
      <w:r w:rsidR="00AA1D58" w:rsidRPr="0093305C">
        <w:rPr>
          <w:i/>
          <w:szCs w:val="22"/>
        </w:rPr>
        <w:t>duration of response DOR</w:t>
      </w:r>
      <w:r w:rsidR="00AA1D58" w:rsidRPr="0093305C">
        <w:rPr>
          <w:szCs w:val="22"/>
        </w:rPr>
        <w:t>)</w:t>
      </w:r>
      <w:r w:rsidRPr="0093305C">
        <w:rPr>
          <w:szCs w:val="22"/>
        </w:rPr>
        <w:t>, trajanje IK odgovora</w:t>
      </w:r>
      <w:r w:rsidR="00AA1D58" w:rsidRPr="0093305C">
        <w:rPr>
          <w:szCs w:val="22"/>
        </w:rPr>
        <w:t xml:space="preserve"> (eng. IC-DOR)</w:t>
      </w:r>
      <w:r w:rsidRPr="0093305C">
        <w:rPr>
          <w:szCs w:val="22"/>
        </w:rPr>
        <w:t>, vrijeme do prvog tumorskog odgovora</w:t>
      </w:r>
      <w:r w:rsidR="00AA1D58" w:rsidRPr="0093305C">
        <w:rPr>
          <w:szCs w:val="22"/>
        </w:rPr>
        <w:t xml:space="preserve"> (eng. </w:t>
      </w:r>
      <w:r w:rsidR="00AA1D58" w:rsidRPr="0093305C">
        <w:rPr>
          <w:i/>
          <w:szCs w:val="22"/>
        </w:rPr>
        <w:t>Time-to-tumor resp</w:t>
      </w:r>
      <w:r w:rsidR="000E32D2" w:rsidRPr="0093305C">
        <w:rPr>
          <w:i/>
          <w:szCs w:val="22"/>
        </w:rPr>
        <w:t>o</w:t>
      </w:r>
      <w:r w:rsidR="00AA1D58" w:rsidRPr="0093305C">
        <w:rPr>
          <w:i/>
          <w:szCs w:val="22"/>
        </w:rPr>
        <w:t>nse TTR</w:t>
      </w:r>
      <w:r w:rsidR="00AA1D58" w:rsidRPr="0093305C">
        <w:rPr>
          <w:szCs w:val="22"/>
        </w:rPr>
        <w:t>)</w:t>
      </w:r>
      <w:r w:rsidRPr="0093305C">
        <w:rPr>
          <w:szCs w:val="22"/>
        </w:rPr>
        <w:t xml:space="preserve"> i preživljavanje bez progresije bolesti</w:t>
      </w:r>
      <w:r w:rsidR="00AA1D58" w:rsidRPr="0093305C">
        <w:rPr>
          <w:szCs w:val="22"/>
        </w:rPr>
        <w:t xml:space="preserve"> (eng. </w:t>
      </w:r>
      <w:r w:rsidR="00AA1D58" w:rsidRPr="0093305C">
        <w:rPr>
          <w:i/>
          <w:szCs w:val="22"/>
        </w:rPr>
        <w:t>Progre</w:t>
      </w:r>
      <w:r w:rsidR="000E32D2" w:rsidRPr="0093305C">
        <w:rPr>
          <w:i/>
          <w:szCs w:val="22"/>
        </w:rPr>
        <w:t>s</w:t>
      </w:r>
      <w:r w:rsidR="00AA1D58" w:rsidRPr="0093305C">
        <w:rPr>
          <w:i/>
          <w:szCs w:val="22"/>
        </w:rPr>
        <w:t>sion free survival</w:t>
      </w:r>
      <w:r w:rsidR="00AA1D58" w:rsidRPr="0093305C">
        <w:rPr>
          <w:szCs w:val="22"/>
        </w:rPr>
        <w:t>, PFS)</w:t>
      </w:r>
      <w:r w:rsidRPr="0093305C">
        <w:rPr>
          <w:szCs w:val="22"/>
        </w:rPr>
        <w:t>.</w:t>
      </w:r>
    </w:p>
    <w:p w14:paraId="5A3037F9" w14:textId="77777777" w:rsidR="00151DDB" w:rsidRPr="0093305C" w:rsidRDefault="00151DDB" w:rsidP="00D77E03">
      <w:pPr>
        <w:jc w:val="both"/>
        <w:rPr>
          <w:szCs w:val="22"/>
        </w:rPr>
      </w:pPr>
    </w:p>
    <w:p w14:paraId="06E03BA1" w14:textId="786538B6" w:rsidR="00151DDB" w:rsidRPr="0093305C" w:rsidRDefault="00151DDB" w:rsidP="00D77E03">
      <w:pPr>
        <w:jc w:val="both"/>
        <w:rPr>
          <w:szCs w:val="22"/>
        </w:rPr>
      </w:pPr>
      <w:r w:rsidRPr="0093305C">
        <w:rPr>
          <w:szCs w:val="22"/>
        </w:rPr>
        <w:t xml:space="preserve">Demografski podaci za 139 pacijenata sa uznapredovalim </w:t>
      </w:r>
      <w:r w:rsidR="00AA1D58" w:rsidRPr="0093305C">
        <w:rPr>
          <w:szCs w:val="22"/>
        </w:rPr>
        <w:t xml:space="preserve">ALK pozitivnim </w:t>
      </w:r>
      <w:r w:rsidRPr="0093305C">
        <w:rPr>
          <w:szCs w:val="22"/>
        </w:rPr>
        <w:t xml:space="preserve">NSCLC-om  nakon liječenja najmanje jednim </w:t>
      </w:r>
      <w:r w:rsidR="00AA1D58" w:rsidRPr="0093305C">
        <w:rPr>
          <w:szCs w:val="22"/>
        </w:rPr>
        <w:t xml:space="preserve">ALK </w:t>
      </w:r>
      <w:r w:rsidRPr="0093305C">
        <w:rPr>
          <w:szCs w:val="22"/>
        </w:rPr>
        <w:t xml:space="preserve">tirozin kinaze </w:t>
      </w:r>
      <w:r w:rsidR="00AA1D58" w:rsidRPr="0093305C">
        <w:rPr>
          <w:szCs w:val="22"/>
        </w:rPr>
        <w:t xml:space="preserve">inhibitorom </w:t>
      </w:r>
      <w:r w:rsidRPr="0093305C">
        <w:rPr>
          <w:szCs w:val="22"/>
        </w:rPr>
        <w:t xml:space="preserve">druge generacije, pokazuju da je među pacijentima bilo 56% žena, 48% bijelaca, 38% Azijata, a medijana godina starosti bila je 53 godine (raspon od: 29 do 83 godine) dok je 16% pacijenata imalo ≥ 65 godina. Kod 96% pacijenata ECOG (engl. </w:t>
      </w:r>
      <w:r w:rsidRPr="0093305C">
        <w:rPr>
          <w:i/>
          <w:szCs w:val="22"/>
        </w:rPr>
        <w:t xml:space="preserve">Eastern </w:t>
      </w:r>
      <w:r w:rsidRPr="0093305C">
        <w:rPr>
          <w:i/>
          <w:szCs w:val="22"/>
        </w:rPr>
        <w:lastRenderedPageBreak/>
        <w:t>Cooperative Oncology Group, ECOG</w:t>
      </w:r>
      <w:r w:rsidRPr="0093305C">
        <w:rPr>
          <w:szCs w:val="22"/>
        </w:rPr>
        <w:t>) performans</w:t>
      </w:r>
      <w:r w:rsidR="005E73C7" w:rsidRPr="0093305C">
        <w:rPr>
          <w:szCs w:val="22"/>
        </w:rPr>
        <w:t xml:space="preserve"> status</w:t>
      </w:r>
      <w:r w:rsidRPr="0093305C">
        <w:rPr>
          <w:szCs w:val="22"/>
        </w:rPr>
        <w:t xml:space="preserve"> na početku ispitivanja iznosio je 0 ili 1. Metastaze u mozgu su bile prisutne na početku </w:t>
      </w:r>
      <w:r w:rsidR="00FD29F7" w:rsidRPr="0093305C">
        <w:rPr>
          <w:szCs w:val="22"/>
        </w:rPr>
        <w:t xml:space="preserve">studije </w:t>
      </w:r>
      <w:r w:rsidRPr="0093305C">
        <w:rPr>
          <w:szCs w:val="22"/>
        </w:rPr>
        <w:t xml:space="preserve">kod 67% pacijenata. Od 139 pacijenata, 20% prethodno je primalo 1 inhibitor tirozin kinaze ALK, ne uključujući krizotinib, 47% prethodno je primalo 2 inhibitora tirozin kinaze ALK, a 33% je prethodno primalo 3 ili više inhibitora </w:t>
      </w:r>
      <w:r w:rsidR="00A67454" w:rsidRPr="0093305C">
        <w:rPr>
          <w:szCs w:val="22"/>
        </w:rPr>
        <w:t xml:space="preserve">ALK </w:t>
      </w:r>
      <w:r w:rsidRPr="0093305C">
        <w:rPr>
          <w:szCs w:val="22"/>
        </w:rPr>
        <w:t>tirozin kinaze.</w:t>
      </w:r>
    </w:p>
    <w:p w14:paraId="635C3FBE" w14:textId="77777777" w:rsidR="00151DDB" w:rsidRPr="0093305C" w:rsidRDefault="00151DDB" w:rsidP="00D77E03">
      <w:pPr>
        <w:jc w:val="both"/>
        <w:rPr>
          <w:szCs w:val="22"/>
        </w:rPr>
      </w:pPr>
    </w:p>
    <w:p w14:paraId="3A2AB282" w14:textId="5AB79DB5" w:rsidR="00044BCD" w:rsidRPr="0093305C" w:rsidRDefault="00044BCD" w:rsidP="00D77E03">
      <w:pPr>
        <w:jc w:val="both"/>
        <w:rPr>
          <w:szCs w:val="22"/>
        </w:rPr>
      </w:pPr>
      <w:r w:rsidRPr="0093305C">
        <w:rPr>
          <w:szCs w:val="22"/>
        </w:rPr>
        <w:t xml:space="preserve">Glavni rezultati efikasnosti za studiju A su navedeni u </w:t>
      </w:r>
      <w:r w:rsidR="00BA7C77" w:rsidRPr="0093305C">
        <w:rPr>
          <w:szCs w:val="22"/>
        </w:rPr>
        <w:t>T</w:t>
      </w:r>
      <w:r w:rsidRPr="0093305C">
        <w:rPr>
          <w:szCs w:val="22"/>
        </w:rPr>
        <w:t>abel</w:t>
      </w:r>
      <w:r w:rsidR="00BA7C77" w:rsidRPr="0093305C">
        <w:rPr>
          <w:szCs w:val="22"/>
        </w:rPr>
        <w:t>ama</w:t>
      </w:r>
      <w:r w:rsidRPr="0093305C">
        <w:rPr>
          <w:szCs w:val="22"/>
        </w:rPr>
        <w:t xml:space="preserve"> </w:t>
      </w:r>
      <w:r w:rsidR="00025CA2" w:rsidRPr="0093305C">
        <w:rPr>
          <w:szCs w:val="22"/>
        </w:rPr>
        <w:t>4</w:t>
      </w:r>
      <w:r w:rsidRPr="0093305C">
        <w:rPr>
          <w:szCs w:val="22"/>
        </w:rPr>
        <w:t xml:space="preserve"> i </w:t>
      </w:r>
      <w:r w:rsidR="009F572F" w:rsidRPr="0093305C">
        <w:rPr>
          <w:szCs w:val="22"/>
        </w:rPr>
        <w:t>5</w:t>
      </w:r>
      <w:r w:rsidRPr="0093305C">
        <w:rPr>
          <w:szCs w:val="22"/>
        </w:rPr>
        <w:t>.</w:t>
      </w:r>
      <w:r w:rsidR="005E73C7" w:rsidRPr="0093305C">
        <w:rPr>
          <w:szCs w:val="22"/>
        </w:rPr>
        <w:t xml:space="preserve"> </w:t>
      </w:r>
    </w:p>
    <w:p w14:paraId="130F09B5" w14:textId="0D78C36D" w:rsidR="00151DDB" w:rsidRPr="0093305C" w:rsidRDefault="009B42FF" w:rsidP="00D77E03">
      <w:pPr>
        <w:keepNext/>
        <w:keepLines/>
        <w:tabs>
          <w:tab w:val="clear" w:pos="567"/>
          <w:tab w:val="left" w:pos="900"/>
        </w:tabs>
        <w:jc w:val="both"/>
        <w:rPr>
          <w:b/>
          <w:szCs w:val="22"/>
        </w:rPr>
      </w:pPr>
      <w:r w:rsidRPr="0093305C">
        <w:rPr>
          <w:b/>
          <w:szCs w:val="22"/>
        </w:rPr>
        <w:t xml:space="preserve">Tabela </w:t>
      </w:r>
      <w:r w:rsidR="00E5439B" w:rsidRPr="0093305C">
        <w:rPr>
          <w:b/>
          <w:szCs w:val="22"/>
        </w:rPr>
        <w:t>4.</w:t>
      </w:r>
      <w:r w:rsidRPr="0093305C">
        <w:rPr>
          <w:b/>
          <w:szCs w:val="22"/>
        </w:rPr>
        <w:tab/>
        <w:t xml:space="preserve">Rezultati ukupne efikasnosti u studiji A prema prethodnoj terapiji </w:t>
      </w:r>
    </w:p>
    <w:tbl>
      <w:tblPr>
        <w:tblW w:w="47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747"/>
        <w:gridCol w:w="2895"/>
      </w:tblGrid>
      <w:tr w:rsidR="00DC4667" w:rsidRPr="003C7D36" w14:paraId="0CDF56D8" w14:textId="77777777" w:rsidTr="000E4010">
        <w:tc>
          <w:tcPr>
            <w:tcW w:w="1695" w:type="pct"/>
            <w:vMerge w:val="restart"/>
            <w:tcBorders>
              <w:top w:val="single" w:sz="4" w:space="0" w:color="auto"/>
              <w:right w:val="single" w:sz="4" w:space="0" w:color="auto"/>
            </w:tcBorders>
            <w:shd w:val="clear" w:color="auto" w:fill="auto"/>
            <w:vAlign w:val="center"/>
          </w:tcPr>
          <w:p w14:paraId="42F42E7C" w14:textId="77777777" w:rsidR="000E4010" w:rsidRPr="003C7D36" w:rsidRDefault="000E4010" w:rsidP="00D77E03">
            <w:pPr>
              <w:keepNext/>
              <w:keepLines/>
              <w:jc w:val="both"/>
              <w:rPr>
                <w:b/>
                <w:szCs w:val="22"/>
              </w:rPr>
            </w:pPr>
            <w:r w:rsidRPr="0093305C">
              <w:rPr>
                <w:b/>
                <w:szCs w:val="22"/>
              </w:rPr>
              <w:t>Parametar efikasnosti</w:t>
            </w:r>
          </w:p>
        </w:tc>
        <w:tc>
          <w:tcPr>
            <w:tcW w:w="1609" w:type="pct"/>
            <w:tcBorders>
              <w:top w:val="single" w:sz="4" w:space="0" w:color="auto"/>
              <w:left w:val="single" w:sz="4" w:space="0" w:color="auto"/>
              <w:bottom w:val="nil"/>
              <w:right w:val="single" w:sz="4" w:space="0" w:color="auto"/>
            </w:tcBorders>
            <w:shd w:val="clear" w:color="auto" w:fill="auto"/>
          </w:tcPr>
          <w:p w14:paraId="2CA81AB2" w14:textId="77777777" w:rsidR="000E4010" w:rsidRPr="003C7D36" w:rsidRDefault="000E4010" w:rsidP="00D77E03">
            <w:pPr>
              <w:keepNext/>
              <w:keepLines/>
              <w:jc w:val="both"/>
              <w:rPr>
                <w:b/>
                <w:szCs w:val="22"/>
              </w:rPr>
            </w:pPr>
            <w:r w:rsidRPr="00C0597B">
              <w:rPr>
                <w:b/>
                <w:szCs w:val="22"/>
              </w:rPr>
              <w:t>Jedan prethodni ALK TKI</w:t>
            </w:r>
            <w:r w:rsidRPr="0031203A">
              <w:rPr>
                <w:b/>
                <w:szCs w:val="22"/>
                <w:vertAlign w:val="superscript"/>
              </w:rPr>
              <w:t>a</w:t>
            </w:r>
            <w:r w:rsidRPr="00C0597B">
              <w:rPr>
                <w:b/>
                <w:szCs w:val="22"/>
              </w:rPr>
              <w:t xml:space="preserve"> sa ili bez</w:t>
            </w:r>
          </w:p>
          <w:p w14:paraId="4814FBBA" w14:textId="77777777" w:rsidR="000E4010" w:rsidRPr="003C7D36" w:rsidRDefault="000E4010" w:rsidP="00D77E03">
            <w:pPr>
              <w:keepNext/>
              <w:keepLines/>
              <w:jc w:val="both"/>
              <w:rPr>
                <w:b/>
                <w:szCs w:val="22"/>
              </w:rPr>
            </w:pPr>
            <w:r w:rsidRPr="00C0597B">
              <w:rPr>
                <w:b/>
                <w:szCs w:val="22"/>
              </w:rPr>
              <w:t>prethodne hemioterapije</w:t>
            </w:r>
          </w:p>
        </w:tc>
        <w:tc>
          <w:tcPr>
            <w:tcW w:w="1696" w:type="pct"/>
            <w:tcBorders>
              <w:top w:val="single" w:sz="4" w:space="0" w:color="auto"/>
              <w:left w:val="single" w:sz="4" w:space="0" w:color="auto"/>
              <w:bottom w:val="nil"/>
              <w:right w:val="single" w:sz="4" w:space="0" w:color="auto"/>
            </w:tcBorders>
            <w:shd w:val="clear" w:color="auto" w:fill="auto"/>
          </w:tcPr>
          <w:p w14:paraId="6809D8F9" w14:textId="77777777" w:rsidR="000E4010" w:rsidRPr="003C7D36" w:rsidRDefault="000E4010" w:rsidP="00D77E03">
            <w:pPr>
              <w:keepNext/>
              <w:keepLines/>
              <w:jc w:val="both"/>
              <w:rPr>
                <w:b/>
                <w:szCs w:val="22"/>
              </w:rPr>
            </w:pPr>
            <w:r w:rsidRPr="00C0597B">
              <w:rPr>
                <w:b/>
                <w:szCs w:val="22"/>
              </w:rPr>
              <w:t>Dva ili više prethodnih ALK TKI sa ili bez prethodne</w:t>
            </w:r>
          </w:p>
          <w:p w14:paraId="5CD5B075" w14:textId="77777777" w:rsidR="000E4010" w:rsidRPr="003C7D36" w:rsidRDefault="000E4010" w:rsidP="00D77E03">
            <w:pPr>
              <w:keepNext/>
              <w:keepLines/>
              <w:jc w:val="both"/>
              <w:rPr>
                <w:b/>
                <w:szCs w:val="22"/>
              </w:rPr>
            </w:pPr>
            <w:r w:rsidRPr="00C0597B">
              <w:rPr>
                <w:b/>
                <w:szCs w:val="22"/>
              </w:rPr>
              <w:t>hemioterapije</w:t>
            </w:r>
          </w:p>
        </w:tc>
      </w:tr>
      <w:tr w:rsidR="00DC4667" w:rsidRPr="003C7D36" w14:paraId="417D4A8D" w14:textId="77777777" w:rsidTr="000E4010">
        <w:tc>
          <w:tcPr>
            <w:tcW w:w="1695" w:type="pct"/>
            <w:vMerge/>
            <w:tcBorders>
              <w:right w:val="single" w:sz="4" w:space="0" w:color="auto"/>
            </w:tcBorders>
            <w:shd w:val="clear" w:color="auto" w:fill="auto"/>
            <w:vAlign w:val="center"/>
          </w:tcPr>
          <w:p w14:paraId="6F1343E1" w14:textId="77777777" w:rsidR="000E4010" w:rsidRPr="003C7D36" w:rsidRDefault="000E4010" w:rsidP="00D77E03">
            <w:pPr>
              <w:keepNext/>
              <w:keepLines/>
              <w:jc w:val="both"/>
              <w:rPr>
                <w:b/>
                <w:szCs w:val="22"/>
              </w:rPr>
            </w:pPr>
          </w:p>
        </w:tc>
        <w:tc>
          <w:tcPr>
            <w:tcW w:w="1609" w:type="pct"/>
            <w:tcBorders>
              <w:top w:val="nil"/>
              <w:left w:val="single" w:sz="4" w:space="0" w:color="auto"/>
              <w:right w:val="single" w:sz="4" w:space="0" w:color="auto"/>
            </w:tcBorders>
            <w:shd w:val="clear" w:color="auto" w:fill="auto"/>
            <w:vAlign w:val="bottom"/>
          </w:tcPr>
          <w:p w14:paraId="511FFD68" w14:textId="77777777" w:rsidR="000E4010" w:rsidRPr="003C7D36" w:rsidRDefault="000E4010" w:rsidP="00B73C22">
            <w:pPr>
              <w:keepNext/>
              <w:keepLines/>
              <w:jc w:val="center"/>
              <w:rPr>
                <w:b/>
                <w:szCs w:val="22"/>
              </w:rPr>
            </w:pPr>
            <w:r w:rsidRPr="00C0597B">
              <w:rPr>
                <w:b/>
                <w:szCs w:val="22"/>
              </w:rPr>
              <w:t>(N = 28)</w:t>
            </w:r>
          </w:p>
        </w:tc>
        <w:tc>
          <w:tcPr>
            <w:tcW w:w="1696" w:type="pct"/>
            <w:tcBorders>
              <w:top w:val="nil"/>
              <w:left w:val="single" w:sz="4" w:space="0" w:color="auto"/>
              <w:right w:val="single" w:sz="4" w:space="0" w:color="auto"/>
            </w:tcBorders>
            <w:shd w:val="clear" w:color="auto" w:fill="auto"/>
            <w:vAlign w:val="center"/>
          </w:tcPr>
          <w:p w14:paraId="5349638F" w14:textId="77777777" w:rsidR="000E4010" w:rsidRPr="003C7D36" w:rsidRDefault="000E4010" w:rsidP="00B73C22">
            <w:pPr>
              <w:keepNext/>
              <w:keepLines/>
              <w:jc w:val="center"/>
              <w:rPr>
                <w:b/>
                <w:szCs w:val="22"/>
              </w:rPr>
            </w:pPr>
            <w:r w:rsidRPr="00C0597B">
              <w:rPr>
                <w:b/>
                <w:szCs w:val="22"/>
              </w:rPr>
              <w:t>(N = 111)</w:t>
            </w:r>
          </w:p>
        </w:tc>
      </w:tr>
      <w:tr w:rsidR="00DC4667" w:rsidRPr="003C7D36" w14:paraId="25F6C915" w14:textId="77777777" w:rsidTr="000E4010">
        <w:tc>
          <w:tcPr>
            <w:tcW w:w="1695" w:type="pct"/>
            <w:tcBorders>
              <w:right w:val="single" w:sz="4" w:space="0" w:color="auto"/>
            </w:tcBorders>
            <w:shd w:val="clear" w:color="auto" w:fill="auto"/>
          </w:tcPr>
          <w:p w14:paraId="7EA1E8BF" w14:textId="77777777" w:rsidR="000E4010" w:rsidRPr="003C7D36" w:rsidRDefault="000E4010" w:rsidP="00D77E03">
            <w:pPr>
              <w:keepNext/>
              <w:keepLines/>
              <w:spacing w:line="240" w:lineRule="auto"/>
              <w:jc w:val="both"/>
              <w:rPr>
                <w:szCs w:val="22"/>
              </w:rPr>
            </w:pPr>
            <w:r w:rsidRPr="00C0597B">
              <w:rPr>
                <w:szCs w:val="22"/>
              </w:rPr>
              <w:t>Stopa objektivnog odgovora</w:t>
            </w:r>
            <w:r w:rsidRPr="00C0597B">
              <w:rPr>
                <w:szCs w:val="22"/>
                <w:vertAlign w:val="superscript"/>
              </w:rPr>
              <w:t>b</w:t>
            </w:r>
            <w:r w:rsidRPr="00C0597B">
              <w:rPr>
                <w:szCs w:val="22"/>
              </w:rPr>
              <w:t xml:space="preserve"> </w:t>
            </w:r>
          </w:p>
          <w:p w14:paraId="246AEC50" w14:textId="77777777" w:rsidR="000E4010" w:rsidRPr="003C7D36" w:rsidRDefault="000E4010" w:rsidP="00D77E03">
            <w:pPr>
              <w:keepNext/>
              <w:keepLines/>
              <w:spacing w:line="240" w:lineRule="auto"/>
              <w:ind w:left="142"/>
              <w:jc w:val="both"/>
              <w:rPr>
                <w:szCs w:val="22"/>
              </w:rPr>
            </w:pPr>
            <w:r w:rsidRPr="00C0597B">
              <w:rPr>
                <w:szCs w:val="22"/>
              </w:rPr>
              <w:t>(95% CI)</w:t>
            </w:r>
          </w:p>
          <w:p w14:paraId="34F87588" w14:textId="77777777" w:rsidR="000E4010" w:rsidRPr="003C7D36" w:rsidRDefault="000E4010" w:rsidP="00D77E03">
            <w:pPr>
              <w:keepNext/>
              <w:keepLines/>
              <w:spacing w:line="240" w:lineRule="auto"/>
              <w:ind w:left="162"/>
              <w:jc w:val="both"/>
              <w:rPr>
                <w:szCs w:val="22"/>
              </w:rPr>
            </w:pPr>
            <w:r w:rsidRPr="00C0597B">
              <w:rPr>
                <w:szCs w:val="22"/>
              </w:rPr>
              <w:t xml:space="preserve">Kompletan odgovor, n </w:t>
            </w:r>
          </w:p>
          <w:p w14:paraId="3AC1AC49" w14:textId="77777777" w:rsidR="000E4010" w:rsidRPr="003C7D36" w:rsidRDefault="000E4010" w:rsidP="00D77E03">
            <w:pPr>
              <w:keepNext/>
              <w:keepLines/>
              <w:spacing w:line="240" w:lineRule="auto"/>
              <w:ind w:left="162"/>
              <w:jc w:val="both"/>
              <w:rPr>
                <w:szCs w:val="22"/>
              </w:rPr>
            </w:pPr>
            <w:r w:rsidRPr="00C0597B">
              <w:rPr>
                <w:szCs w:val="22"/>
              </w:rPr>
              <w:t xml:space="preserve">Parcijalan odgovor, n </w:t>
            </w:r>
          </w:p>
        </w:tc>
        <w:tc>
          <w:tcPr>
            <w:tcW w:w="1609" w:type="pct"/>
            <w:tcBorders>
              <w:left w:val="single" w:sz="4" w:space="0" w:color="auto"/>
              <w:right w:val="single" w:sz="4" w:space="0" w:color="auto"/>
            </w:tcBorders>
            <w:shd w:val="clear" w:color="auto" w:fill="auto"/>
          </w:tcPr>
          <w:p w14:paraId="32FB4A1B" w14:textId="77777777" w:rsidR="000E4010" w:rsidRPr="003C7D36" w:rsidRDefault="000E4010" w:rsidP="00B73C22">
            <w:pPr>
              <w:keepNext/>
              <w:keepLines/>
              <w:spacing w:line="240" w:lineRule="auto"/>
              <w:jc w:val="center"/>
              <w:rPr>
                <w:szCs w:val="22"/>
              </w:rPr>
            </w:pPr>
            <w:r w:rsidRPr="00C0597B">
              <w:rPr>
                <w:szCs w:val="22"/>
              </w:rPr>
              <w:t>42,9%</w:t>
            </w:r>
          </w:p>
          <w:p w14:paraId="6D56C2A0" w14:textId="77777777" w:rsidR="000E4010" w:rsidRPr="003C7D36" w:rsidRDefault="000E4010" w:rsidP="00B73C22">
            <w:pPr>
              <w:keepNext/>
              <w:keepLines/>
              <w:spacing w:line="240" w:lineRule="auto"/>
              <w:jc w:val="center"/>
              <w:rPr>
                <w:szCs w:val="22"/>
              </w:rPr>
            </w:pPr>
            <w:r w:rsidRPr="00C0597B">
              <w:rPr>
                <w:szCs w:val="22"/>
              </w:rPr>
              <w:t>(24,5, 62,8)</w:t>
            </w:r>
          </w:p>
          <w:p w14:paraId="347565A4" w14:textId="77777777" w:rsidR="000E4010" w:rsidRPr="003C7D36" w:rsidRDefault="000E4010" w:rsidP="00B73C22">
            <w:pPr>
              <w:keepNext/>
              <w:keepLines/>
              <w:spacing w:line="240" w:lineRule="auto"/>
              <w:jc w:val="center"/>
              <w:rPr>
                <w:szCs w:val="22"/>
              </w:rPr>
            </w:pPr>
            <w:r w:rsidRPr="00C0597B">
              <w:rPr>
                <w:szCs w:val="22"/>
              </w:rPr>
              <w:t>1</w:t>
            </w:r>
          </w:p>
          <w:p w14:paraId="16C9259D" w14:textId="77777777" w:rsidR="000E4010" w:rsidRPr="003C7D36" w:rsidRDefault="000E4010" w:rsidP="00B73C22">
            <w:pPr>
              <w:pStyle w:val="TableTextCentered"/>
              <w:keepNext/>
              <w:keepLines/>
              <w:overflowPunct w:val="0"/>
              <w:autoSpaceDE w:val="0"/>
              <w:autoSpaceDN w:val="0"/>
              <w:adjustRightInd w:val="0"/>
              <w:textAlignment w:val="baseline"/>
              <w:rPr>
                <w:sz w:val="22"/>
                <w:szCs w:val="22"/>
              </w:rPr>
            </w:pPr>
            <w:r w:rsidRPr="00C0597B">
              <w:rPr>
                <w:sz w:val="22"/>
                <w:szCs w:val="22"/>
              </w:rPr>
              <w:t>11</w:t>
            </w:r>
          </w:p>
        </w:tc>
        <w:tc>
          <w:tcPr>
            <w:tcW w:w="1696" w:type="pct"/>
            <w:tcBorders>
              <w:left w:val="single" w:sz="4" w:space="0" w:color="auto"/>
              <w:right w:val="single" w:sz="4" w:space="0" w:color="auto"/>
            </w:tcBorders>
            <w:shd w:val="clear" w:color="auto" w:fill="auto"/>
          </w:tcPr>
          <w:p w14:paraId="3DB4B421" w14:textId="77777777" w:rsidR="000E4010" w:rsidRPr="003C7D36" w:rsidRDefault="000E4010" w:rsidP="00B73C22">
            <w:pPr>
              <w:keepNext/>
              <w:keepLines/>
              <w:spacing w:line="240" w:lineRule="auto"/>
              <w:jc w:val="center"/>
              <w:rPr>
                <w:szCs w:val="22"/>
              </w:rPr>
            </w:pPr>
            <w:r w:rsidRPr="00C0597B">
              <w:rPr>
                <w:szCs w:val="22"/>
              </w:rPr>
              <w:t>39,6%</w:t>
            </w:r>
          </w:p>
          <w:p w14:paraId="586F2363" w14:textId="77777777" w:rsidR="000E4010" w:rsidRPr="003C7D36" w:rsidRDefault="000E4010" w:rsidP="00B73C22">
            <w:pPr>
              <w:keepNext/>
              <w:keepLines/>
              <w:spacing w:line="240" w:lineRule="auto"/>
              <w:jc w:val="center"/>
              <w:rPr>
                <w:szCs w:val="22"/>
              </w:rPr>
            </w:pPr>
            <w:r w:rsidRPr="00C0597B">
              <w:rPr>
                <w:szCs w:val="22"/>
              </w:rPr>
              <w:t>(30,5, 49,4)</w:t>
            </w:r>
          </w:p>
          <w:p w14:paraId="3AAD7F28" w14:textId="77777777" w:rsidR="000E4010" w:rsidRPr="003C7D36" w:rsidRDefault="000E4010" w:rsidP="00B73C22">
            <w:pPr>
              <w:keepNext/>
              <w:keepLines/>
              <w:spacing w:line="240" w:lineRule="auto"/>
              <w:jc w:val="center"/>
              <w:rPr>
                <w:szCs w:val="22"/>
              </w:rPr>
            </w:pPr>
            <w:r w:rsidRPr="00C0597B">
              <w:rPr>
                <w:szCs w:val="22"/>
              </w:rPr>
              <w:t>2</w:t>
            </w:r>
          </w:p>
          <w:p w14:paraId="2CF3F47A" w14:textId="77777777" w:rsidR="000E4010" w:rsidRPr="003C7D36" w:rsidRDefault="000E4010" w:rsidP="00B73C22">
            <w:pPr>
              <w:pStyle w:val="TableTextCentered"/>
              <w:keepNext/>
              <w:keepLines/>
              <w:overflowPunct w:val="0"/>
              <w:autoSpaceDE w:val="0"/>
              <w:autoSpaceDN w:val="0"/>
              <w:adjustRightInd w:val="0"/>
              <w:textAlignment w:val="baseline"/>
              <w:rPr>
                <w:sz w:val="22"/>
                <w:szCs w:val="22"/>
              </w:rPr>
            </w:pPr>
            <w:r w:rsidRPr="00C0597B">
              <w:rPr>
                <w:sz w:val="22"/>
                <w:szCs w:val="22"/>
              </w:rPr>
              <w:t>42</w:t>
            </w:r>
          </w:p>
        </w:tc>
      </w:tr>
      <w:tr w:rsidR="00DC4667" w:rsidRPr="003C7D36" w14:paraId="1D1E0BE5" w14:textId="77777777" w:rsidTr="000E4010">
        <w:tc>
          <w:tcPr>
            <w:tcW w:w="1695" w:type="pct"/>
            <w:tcBorders>
              <w:right w:val="single" w:sz="4" w:space="0" w:color="auto"/>
            </w:tcBorders>
            <w:shd w:val="clear" w:color="auto" w:fill="auto"/>
          </w:tcPr>
          <w:p w14:paraId="078CFF87" w14:textId="77777777" w:rsidR="000E4010" w:rsidRPr="003C7D36" w:rsidRDefault="000E4010" w:rsidP="00D77E03">
            <w:pPr>
              <w:keepNext/>
              <w:keepLines/>
              <w:spacing w:line="240" w:lineRule="auto"/>
              <w:jc w:val="both"/>
              <w:rPr>
                <w:szCs w:val="22"/>
              </w:rPr>
            </w:pPr>
            <w:r w:rsidRPr="00C0597B">
              <w:rPr>
                <w:szCs w:val="22"/>
              </w:rPr>
              <w:t>Trajanje odgovora</w:t>
            </w:r>
          </w:p>
          <w:p w14:paraId="473389CD" w14:textId="77777777" w:rsidR="000E4010" w:rsidRPr="003C7D36" w:rsidRDefault="000E4010" w:rsidP="00D77E03">
            <w:pPr>
              <w:keepNext/>
              <w:keepLines/>
              <w:spacing w:line="240" w:lineRule="auto"/>
              <w:ind w:left="162"/>
              <w:jc w:val="both"/>
              <w:rPr>
                <w:szCs w:val="22"/>
              </w:rPr>
            </w:pPr>
            <w:r w:rsidRPr="00C0597B">
              <w:rPr>
                <w:szCs w:val="22"/>
              </w:rPr>
              <w:t>Medijana u mjesecima</w:t>
            </w:r>
          </w:p>
          <w:p w14:paraId="1F3A5A50" w14:textId="77777777" w:rsidR="000E4010" w:rsidRPr="003C7D36" w:rsidRDefault="000E4010" w:rsidP="00D77E03">
            <w:pPr>
              <w:keepNext/>
              <w:keepLines/>
              <w:spacing w:line="240" w:lineRule="auto"/>
              <w:ind w:left="162"/>
              <w:jc w:val="both"/>
              <w:rPr>
                <w:szCs w:val="22"/>
              </w:rPr>
            </w:pPr>
            <w:r w:rsidRPr="00C0597B">
              <w:rPr>
                <w:szCs w:val="22"/>
              </w:rPr>
              <w:t>(95% CI)</w:t>
            </w:r>
          </w:p>
        </w:tc>
        <w:tc>
          <w:tcPr>
            <w:tcW w:w="1609" w:type="pct"/>
            <w:tcBorders>
              <w:left w:val="single" w:sz="4" w:space="0" w:color="auto"/>
              <w:right w:val="single" w:sz="4" w:space="0" w:color="auto"/>
            </w:tcBorders>
            <w:shd w:val="clear" w:color="auto" w:fill="auto"/>
          </w:tcPr>
          <w:p w14:paraId="1CA76490" w14:textId="77777777" w:rsidR="000E4010" w:rsidRPr="003C7D36" w:rsidRDefault="000E4010" w:rsidP="00B73C22">
            <w:pPr>
              <w:pStyle w:val="TableTextCentered"/>
              <w:keepNext/>
              <w:keepLines/>
              <w:rPr>
                <w:sz w:val="22"/>
                <w:szCs w:val="22"/>
              </w:rPr>
            </w:pPr>
          </w:p>
          <w:p w14:paraId="5CC9B650" w14:textId="77777777" w:rsidR="000E4010" w:rsidRPr="003C7D36" w:rsidRDefault="000E4010" w:rsidP="00B73C22">
            <w:pPr>
              <w:pStyle w:val="TableTextCentered"/>
              <w:keepNext/>
              <w:keepLines/>
              <w:rPr>
                <w:sz w:val="22"/>
                <w:szCs w:val="22"/>
              </w:rPr>
            </w:pPr>
            <w:r w:rsidRPr="00C0597B">
              <w:rPr>
                <w:sz w:val="22"/>
                <w:szCs w:val="22"/>
              </w:rPr>
              <w:t>5,6</w:t>
            </w:r>
          </w:p>
          <w:p w14:paraId="4163F846" w14:textId="5E3DA1B1" w:rsidR="000E4010" w:rsidRPr="003C7D36" w:rsidRDefault="000E4010" w:rsidP="00B43121">
            <w:pPr>
              <w:pStyle w:val="TableTextCentered"/>
              <w:keepNext/>
              <w:keepLines/>
              <w:rPr>
                <w:sz w:val="22"/>
                <w:szCs w:val="22"/>
              </w:rPr>
            </w:pPr>
            <w:r w:rsidRPr="00C0597B">
              <w:rPr>
                <w:sz w:val="22"/>
                <w:szCs w:val="22"/>
              </w:rPr>
              <w:t xml:space="preserve">(4,2, </w:t>
            </w:r>
            <w:r w:rsidR="00B43121" w:rsidRPr="00C0597B">
              <w:rPr>
                <w:sz w:val="22"/>
                <w:szCs w:val="22"/>
              </w:rPr>
              <w:t>ND</w:t>
            </w:r>
            <w:r w:rsidRPr="00C0597B">
              <w:rPr>
                <w:sz w:val="22"/>
                <w:szCs w:val="22"/>
              </w:rPr>
              <w:t>)</w:t>
            </w:r>
          </w:p>
        </w:tc>
        <w:tc>
          <w:tcPr>
            <w:tcW w:w="1696" w:type="pct"/>
            <w:tcBorders>
              <w:left w:val="single" w:sz="4" w:space="0" w:color="auto"/>
              <w:right w:val="single" w:sz="4" w:space="0" w:color="auto"/>
            </w:tcBorders>
            <w:shd w:val="clear" w:color="auto" w:fill="auto"/>
          </w:tcPr>
          <w:p w14:paraId="33386DC5" w14:textId="77777777" w:rsidR="000E4010" w:rsidRPr="003C7D36" w:rsidRDefault="000E4010" w:rsidP="00B73C22">
            <w:pPr>
              <w:pStyle w:val="TableTextCentered"/>
              <w:keepNext/>
              <w:keepLines/>
              <w:overflowPunct w:val="0"/>
              <w:autoSpaceDE w:val="0"/>
              <w:autoSpaceDN w:val="0"/>
              <w:adjustRightInd w:val="0"/>
              <w:textAlignment w:val="baseline"/>
              <w:rPr>
                <w:sz w:val="22"/>
                <w:szCs w:val="22"/>
              </w:rPr>
            </w:pPr>
          </w:p>
          <w:p w14:paraId="16D7FE54" w14:textId="77777777" w:rsidR="000E4010" w:rsidRPr="003C7D36" w:rsidRDefault="000E4010" w:rsidP="00B73C22">
            <w:pPr>
              <w:pStyle w:val="TableTextCentered"/>
              <w:keepNext/>
              <w:keepLines/>
              <w:overflowPunct w:val="0"/>
              <w:autoSpaceDE w:val="0"/>
              <w:autoSpaceDN w:val="0"/>
              <w:adjustRightInd w:val="0"/>
              <w:textAlignment w:val="baseline"/>
              <w:rPr>
                <w:sz w:val="22"/>
                <w:szCs w:val="22"/>
              </w:rPr>
            </w:pPr>
            <w:r w:rsidRPr="00C0597B">
              <w:rPr>
                <w:sz w:val="22"/>
                <w:szCs w:val="22"/>
              </w:rPr>
              <w:t>9,9</w:t>
            </w:r>
          </w:p>
          <w:p w14:paraId="7744953C" w14:textId="77777777" w:rsidR="000E4010" w:rsidRPr="003C7D36" w:rsidRDefault="000E4010" w:rsidP="00B73C22">
            <w:pPr>
              <w:pStyle w:val="TableTextCentered"/>
              <w:keepNext/>
              <w:keepLines/>
              <w:overflowPunct w:val="0"/>
              <w:autoSpaceDE w:val="0"/>
              <w:autoSpaceDN w:val="0"/>
              <w:adjustRightInd w:val="0"/>
              <w:textAlignment w:val="baseline"/>
              <w:rPr>
                <w:sz w:val="22"/>
                <w:szCs w:val="22"/>
              </w:rPr>
            </w:pPr>
            <w:r w:rsidRPr="00C0597B">
              <w:rPr>
                <w:sz w:val="22"/>
                <w:szCs w:val="22"/>
              </w:rPr>
              <w:t>(5,7, 24,4)</w:t>
            </w:r>
          </w:p>
        </w:tc>
      </w:tr>
      <w:tr w:rsidR="00DC4667" w:rsidRPr="003C7D36" w14:paraId="2F8BC32A" w14:textId="77777777" w:rsidTr="008127DF">
        <w:tc>
          <w:tcPr>
            <w:tcW w:w="1695" w:type="pct"/>
            <w:tcBorders>
              <w:bottom w:val="single" w:sz="4" w:space="0" w:color="auto"/>
              <w:right w:val="single" w:sz="4" w:space="0" w:color="auto"/>
            </w:tcBorders>
            <w:shd w:val="clear" w:color="auto" w:fill="auto"/>
          </w:tcPr>
          <w:p w14:paraId="24BB15A7" w14:textId="77777777" w:rsidR="000E4010" w:rsidRPr="003C7D36" w:rsidRDefault="000E4010" w:rsidP="00D77E03">
            <w:pPr>
              <w:keepNext/>
              <w:keepLines/>
              <w:spacing w:line="240" w:lineRule="auto"/>
              <w:jc w:val="both"/>
              <w:rPr>
                <w:szCs w:val="22"/>
              </w:rPr>
            </w:pPr>
            <w:r w:rsidRPr="00C0597B">
              <w:rPr>
                <w:szCs w:val="22"/>
              </w:rPr>
              <w:t>Preživljavanje bez progresije</w:t>
            </w:r>
          </w:p>
          <w:p w14:paraId="383A69C1" w14:textId="77777777" w:rsidR="000E4010" w:rsidRPr="003C7D36" w:rsidRDefault="000E4010" w:rsidP="00D77E03">
            <w:pPr>
              <w:keepNext/>
              <w:keepLines/>
              <w:spacing w:line="240" w:lineRule="auto"/>
              <w:ind w:left="162"/>
              <w:jc w:val="both"/>
              <w:rPr>
                <w:szCs w:val="22"/>
              </w:rPr>
            </w:pPr>
            <w:r w:rsidRPr="00C0597B">
              <w:rPr>
                <w:szCs w:val="22"/>
              </w:rPr>
              <w:t>Medijana u mjesecima</w:t>
            </w:r>
          </w:p>
          <w:p w14:paraId="33F7F2E5" w14:textId="77777777" w:rsidR="000E4010" w:rsidRPr="003C7D36" w:rsidRDefault="000E4010" w:rsidP="00D77E03">
            <w:pPr>
              <w:keepNext/>
              <w:keepLines/>
              <w:spacing w:line="240" w:lineRule="auto"/>
              <w:ind w:left="162"/>
              <w:jc w:val="both"/>
              <w:rPr>
                <w:szCs w:val="22"/>
              </w:rPr>
            </w:pPr>
            <w:r w:rsidRPr="00C0597B">
              <w:rPr>
                <w:szCs w:val="22"/>
              </w:rPr>
              <w:t>(95% CI)</w:t>
            </w:r>
          </w:p>
        </w:tc>
        <w:tc>
          <w:tcPr>
            <w:tcW w:w="1609" w:type="pct"/>
            <w:tcBorders>
              <w:left w:val="single" w:sz="4" w:space="0" w:color="auto"/>
              <w:bottom w:val="single" w:sz="4" w:space="0" w:color="auto"/>
              <w:right w:val="single" w:sz="4" w:space="0" w:color="auto"/>
            </w:tcBorders>
            <w:shd w:val="clear" w:color="auto" w:fill="auto"/>
          </w:tcPr>
          <w:p w14:paraId="4A2E169B" w14:textId="77777777" w:rsidR="000E4010" w:rsidRPr="003C7D36" w:rsidRDefault="000E4010" w:rsidP="00B73C22">
            <w:pPr>
              <w:keepNext/>
              <w:keepLines/>
              <w:spacing w:line="240" w:lineRule="auto"/>
              <w:jc w:val="center"/>
              <w:rPr>
                <w:szCs w:val="22"/>
              </w:rPr>
            </w:pPr>
          </w:p>
          <w:p w14:paraId="652602DC" w14:textId="77777777" w:rsidR="000E4010" w:rsidRPr="003C7D36" w:rsidRDefault="000E4010" w:rsidP="00B73C22">
            <w:pPr>
              <w:pStyle w:val="TableTextCentered"/>
              <w:keepNext/>
              <w:keepLines/>
              <w:overflowPunct w:val="0"/>
              <w:autoSpaceDE w:val="0"/>
              <w:autoSpaceDN w:val="0"/>
              <w:adjustRightInd w:val="0"/>
              <w:textAlignment w:val="baseline"/>
              <w:rPr>
                <w:sz w:val="22"/>
                <w:szCs w:val="22"/>
              </w:rPr>
            </w:pPr>
            <w:r w:rsidRPr="00C0597B">
              <w:rPr>
                <w:sz w:val="22"/>
                <w:szCs w:val="22"/>
              </w:rPr>
              <w:t>5,5</w:t>
            </w:r>
          </w:p>
          <w:p w14:paraId="7E48A7DB" w14:textId="77777777" w:rsidR="000E4010" w:rsidRPr="003C7D36" w:rsidRDefault="000E4010" w:rsidP="00B73C22">
            <w:pPr>
              <w:pStyle w:val="TableTextCentered"/>
              <w:keepNext/>
              <w:keepLines/>
              <w:overflowPunct w:val="0"/>
              <w:autoSpaceDE w:val="0"/>
              <w:autoSpaceDN w:val="0"/>
              <w:adjustRightInd w:val="0"/>
              <w:textAlignment w:val="baseline"/>
              <w:rPr>
                <w:sz w:val="22"/>
                <w:szCs w:val="22"/>
              </w:rPr>
            </w:pPr>
            <w:r w:rsidRPr="00C0597B">
              <w:rPr>
                <w:sz w:val="22"/>
                <w:szCs w:val="22"/>
              </w:rPr>
              <w:t>(2,9, 8,2)</w:t>
            </w:r>
          </w:p>
        </w:tc>
        <w:tc>
          <w:tcPr>
            <w:tcW w:w="1696" w:type="pct"/>
            <w:tcBorders>
              <w:left w:val="single" w:sz="4" w:space="0" w:color="auto"/>
              <w:bottom w:val="single" w:sz="4" w:space="0" w:color="auto"/>
              <w:right w:val="single" w:sz="4" w:space="0" w:color="auto"/>
            </w:tcBorders>
            <w:shd w:val="clear" w:color="auto" w:fill="auto"/>
          </w:tcPr>
          <w:p w14:paraId="445C7904" w14:textId="77777777" w:rsidR="000E4010" w:rsidRPr="003C7D36" w:rsidRDefault="000E4010" w:rsidP="00B73C22">
            <w:pPr>
              <w:keepNext/>
              <w:keepLines/>
              <w:spacing w:line="240" w:lineRule="auto"/>
              <w:jc w:val="center"/>
              <w:rPr>
                <w:szCs w:val="22"/>
              </w:rPr>
            </w:pPr>
          </w:p>
          <w:p w14:paraId="2A9B5D0E" w14:textId="77777777" w:rsidR="000E4010" w:rsidRPr="003C7D36" w:rsidRDefault="000E4010" w:rsidP="00B73C22">
            <w:pPr>
              <w:pStyle w:val="TableTextCentered"/>
              <w:keepNext/>
              <w:keepLines/>
              <w:overflowPunct w:val="0"/>
              <w:autoSpaceDE w:val="0"/>
              <w:autoSpaceDN w:val="0"/>
              <w:adjustRightInd w:val="0"/>
              <w:textAlignment w:val="baseline"/>
              <w:rPr>
                <w:sz w:val="22"/>
                <w:szCs w:val="22"/>
              </w:rPr>
            </w:pPr>
            <w:r w:rsidRPr="00C0597B">
              <w:rPr>
                <w:sz w:val="22"/>
                <w:szCs w:val="22"/>
              </w:rPr>
              <w:t>6,9</w:t>
            </w:r>
          </w:p>
          <w:p w14:paraId="254DAA52" w14:textId="77777777" w:rsidR="000E4010" w:rsidRPr="003C7D36" w:rsidRDefault="000E4010" w:rsidP="00B73C22">
            <w:pPr>
              <w:pStyle w:val="TableTextCentered"/>
              <w:keepNext/>
              <w:keepLines/>
              <w:overflowPunct w:val="0"/>
              <w:autoSpaceDE w:val="0"/>
              <w:autoSpaceDN w:val="0"/>
              <w:adjustRightInd w:val="0"/>
              <w:textAlignment w:val="baseline"/>
              <w:rPr>
                <w:sz w:val="22"/>
                <w:szCs w:val="22"/>
              </w:rPr>
            </w:pPr>
            <w:r w:rsidRPr="00C0597B">
              <w:rPr>
                <w:sz w:val="22"/>
                <w:szCs w:val="22"/>
              </w:rPr>
              <w:t>(5,4, 9,5)</w:t>
            </w:r>
          </w:p>
        </w:tc>
      </w:tr>
      <w:tr w:rsidR="008127DF" w:rsidRPr="003C7D36" w14:paraId="6E8B9066" w14:textId="77777777" w:rsidTr="008127DF">
        <w:tc>
          <w:tcPr>
            <w:tcW w:w="5000" w:type="pct"/>
            <w:gridSpan w:val="3"/>
            <w:tcBorders>
              <w:left w:val="nil"/>
              <w:bottom w:val="nil"/>
              <w:right w:val="nil"/>
            </w:tcBorders>
            <w:shd w:val="clear" w:color="auto" w:fill="auto"/>
          </w:tcPr>
          <w:p w14:paraId="1FCADEA7" w14:textId="7C94A1A0" w:rsidR="008127DF" w:rsidRPr="0031203A" w:rsidRDefault="008127DF" w:rsidP="00D77E03">
            <w:pPr>
              <w:pStyle w:val="NoSpacing"/>
              <w:jc w:val="both"/>
              <w:rPr>
                <w:rFonts w:ascii="Times New Roman" w:hAnsi="Times New Roman"/>
              </w:rPr>
            </w:pPr>
            <w:r w:rsidRPr="0031203A">
              <w:rPr>
                <w:rFonts w:ascii="Times New Roman" w:hAnsi="Times New Roman"/>
              </w:rPr>
              <w:t xml:space="preserve">Skraćenice: ALK= </w:t>
            </w:r>
            <w:r w:rsidR="00D532F1">
              <w:rPr>
                <w:rFonts w:ascii="Times New Roman" w:hAnsi="Times New Roman"/>
              </w:rPr>
              <w:t>kinaza anaplastičnog limfoma</w:t>
            </w:r>
            <w:r w:rsidR="00D14057" w:rsidRPr="0031203A">
              <w:rPr>
                <w:rFonts w:ascii="Times New Roman" w:hAnsi="Times New Roman"/>
              </w:rPr>
              <w:t xml:space="preserve"> </w:t>
            </w:r>
            <w:r w:rsidRPr="0031203A">
              <w:rPr>
                <w:rFonts w:ascii="Times New Roman" w:hAnsi="Times New Roman"/>
              </w:rPr>
              <w:t xml:space="preserve">(engl. </w:t>
            </w:r>
            <w:r w:rsidRPr="0031203A">
              <w:rPr>
                <w:rFonts w:ascii="Times New Roman" w:hAnsi="Times New Roman"/>
                <w:i/>
              </w:rPr>
              <w:t>anaplastic lymphoma kinase</w:t>
            </w:r>
            <w:r w:rsidRPr="0031203A">
              <w:rPr>
                <w:rFonts w:ascii="Times New Roman" w:hAnsi="Times New Roman"/>
              </w:rPr>
              <w:t xml:space="preserve">); CI= interval pouzdanosti (eng. </w:t>
            </w:r>
            <w:r w:rsidRPr="0031203A">
              <w:rPr>
                <w:rFonts w:ascii="Times New Roman" w:hAnsi="Times New Roman"/>
                <w:i/>
              </w:rPr>
              <w:t>confidence interval</w:t>
            </w:r>
            <w:r w:rsidRPr="0031203A">
              <w:rPr>
                <w:rFonts w:ascii="Times New Roman" w:hAnsi="Times New Roman"/>
              </w:rPr>
              <w:t xml:space="preserve">); ICR=Nezavisna centralna procjena (eng. </w:t>
            </w:r>
            <w:r w:rsidRPr="0031203A">
              <w:rPr>
                <w:rFonts w:ascii="Times New Roman" w:hAnsi="Times New Roman"/>
                <w:i/>
              </w:rPr>
              <w:t>Independent Central Review</w:t>
            </w:r>
            <w:r w:rsidRPr="0031203A">
              <w:rPr>
                <w:rFonts w:ascii="Times New Roman" w:hAnsi="Times New Roman"/>
              </w:rPr>
              <w:t xml:space="preserve">); N/n=broj pacijenata; </w:t>
            </w:r>
            <w:r w:rsidR="00B43121" w:rsidRPr="0031203A">
              <w:rPr>
                <w:rFonts w:ascii="Times New Roman" w:hAnsi="Times New Roman"/>
              </w:rPr>
              <w:t>ND</w:t>
            </w:r>
            <w:r w:rsidRPr="0031203A">
              <w:rPr>
                <w:rFonts w:ascii="Times New Roman" w:hAnsi="Times New Roman"/>
              </w:rPr>
              <w:t xml:space="preserve">=nije dostignuto (eng. </w:t>
            </w:r>
            <w:r w:rsidRPr="0031203A">
              <w:rPr>
                <w:rFonts w:ascii="Times New Roman" w:hAnsi="Times New Roman"/>
                <w:i/>
              </w:rPr>
              <w:t>not reached</w:t>
            </w:r>
            <w:r w:rsidRPr="0031203A">
              <w:rPr>
                <w:rFonts w:ascii="Times New Roman" w:hAnsi="Times New Roman"/>
              </w:rPr>
              <w:t>); TKI=inhibitor tirozin kinaze (eng. tyrosine kinase inhibitor).</w:t>
            </w:r>
          </w:p>
          <w:p w14:paraId="44CC6F94" w14:textId="77777777" w:rsidR="008127DF" w:rsidRPr="0031203A" w:rsidRDefault="008127DF" w:rsidP="00D77E03">
            <w:pPr>
              <w:pStyle w:val="NoSpacing"/>
              <w:tabs>
                <w:tab w:val="left" w:pos="284"/>
              </w:tabs>
              <w:ind w:left="284" w:hanging="284"/>
              <w:jc w:val="both"/>
              <w:rPr>
                <w:rFonts w:ascii="Times New Roman" w:hAnsi="Times New Roman"/>
              </w:rPr>
            </w:pPr>
            <w:r w:rsidRPr="0031203A">
              <w:rPr>
                <w:rFonts w:ascii="Times New Roman" w:hAnsi="Times New Roman"/>
                <w:vertAlign w:val="superscript"/>
              </w:rPr>
              <w:t>a</w:t>
            </w:r>
            <w:r w:rsidRPr="0031203A">
              <w:rPr>
                <w:rFonts w:ascii="Times New Roman" w:hAnsi="Times New Roman"/>
              </w:rPr>
              <w:tab/>
              <w:t>Alektinib, brigatinib ili ceritinib.</w:t>
            </w:r>
          </w:p>
          <w:p w14:paraId="71E16278" w14:textId="77777777" w:rsidR="008127DF" w:rsidRPr="0031203A" w:rsidRDefault="008127DF" w:rsidP="00D77E03">
            <w:pPr>
              <w:pStyle w:val="NoSpacing"/>
              <w:ind w:left="288" w:hanging="288"/>
              <w:jc w:val="both"/>
              <w:rPr>
                <w:rFonts w:ascii="Times New Roman" w:hAnsi="Times New Roman"/>
              </w:rPr>
            </w:pPr>
            <w:r w:rsidRPr="0031203A">
              <w:rPr>
                <w:rFonts w:ascii="Times New Roman" w:hAnsi="Times New Roman"/>
                <w:vertAlign w:val="superscript"/>
              </w:rPr>
              <w:t>b</w:t>
            </w:r>
            <w:r w:rsidRPr="0031203A">
              <w:rPr>
                <w:rFonts w:ascii="Times New Roman" w:hAnsi="Times New Roman"/>
              </w:rPr>
              <w:tab/>
              <w:t>Po ICR-u.</w:t>
            </w:r>
          </w:p>
        </w:tc>
      </w:tr>
    </w:tbl>
    <w:p w14:paraId="7B2F8E2A" w14:textId="77777777" w:rsidR="0026217C" w:rsidRPr="00C0597B" w:rsidRDefault="0026217C" w:rsidP="00D77E03">
      <w:pPr>
        <w:jc w:val="both"/>
        <w:rPr>
          <w:szCs w:val="22"/>
        </w:rPr>
      </w:pPr>
    </w:p>
    <w:p w14:paraId="6A6DDDDC" w14:textId="6CEDD4E8" w:rsidR="009B42FF" w:rsidRPr="00446153" w:rsidRDefault="009B42FF" w:rsidP="00D77E03">
      <w:pPr>
        <w:keepNext/>
        <w:keepLines/>
        <w:tabs>
          <w:tab w:val="clear" w:pos="567"/>
          <w:tab w:val="left" w:pos="900"/>
        </w:tabs>
        <w:ind w:right="270"/>
        <w:jc w:val="both"/>
        <w:rPr>
          <w:b/>
          <w:szCs w:val="22"/>
        </w:rPr>
      </w:pPr>
      <w:r w:rsidRPr="00822B86">
        <w:rPr>
          <w:b/>
          <w:szCs w:val="22"/>
        </w:rPr>
        <w:t xml:space="preserve">Tabela </w:t>
      </w:r>
      <w:r w:rsidR="00E5439B" w:rsidRPr="00822B86">
        <w:rPr>
          <w:b/>
          <w:szCs w:val="22"/>
        </w:rPr>
        <w:t>5.</w:t>
      </w:r>
      <w:r w:rsidRPr="00822B86">
        <w:rPr>
          <w:b/>
          <w:szCs w:val="22"/>
        </w:rPr>
        <w:tab/>
        <w:t>Rezultati intrakranijalne</w:t>
      </w:r>
      <w:r w:rsidRPr="00446153">
        <w:rPr>
          <w:b/>
          <w:szCs w:val="22"/>
          <w:vertAlign w:val="superscript"/>
        </w:rPr>
        <w:t>*</w:t>
      </w:r>
      <w:r w:rsidRPr="00446153">
        <w:rPr>
          <w:b/>
          <w:szCs w:val="22"/>
        </w:rPr>
        <w:t xml:space="preserve"> efikasnosti u studiji A prema prethodnoj terapiji</w:t>
      </w:r>
      <w:r w:rsidRPr="00446153">
        <w:rPr>
          <w:b/>
          <w:szCs w:val="22"/>
          <w:vertAlign w:val="superscript"/>
        </w:rPr>
        <w:t xml:space="preserve"> </w:t>
      </w:r>
    </w:p>
    <w:tbl>
      <w:tblPr>
        <w:tblW w:w="46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2682"/>
        <w:gridCol w:w="2809"/>
      </w:tblGrid>
      <w:tr w:rsidR="00DC4667" w:rsidRPr="003C7D36" w14:paraId="368E2856" w14:textId="77777777" w:rsidTr="000E4010">
        <w:trPr>
          <w:trHeight w:val="432"/>
        </w:trPr>
        <w:tc>
          <w:tcPr>
            <w:tcW w:w="1716" w:type="pct"/>
            <w:vMerge w:val="restart"/>
            <w:tcBorders>
              <w:top w:val="single" w:sz="4" w:space="0" w:color="auto"/>
              <w:right w:val="single" w:sz="4" w:space="0" w:color="auto"/>
            </w:tcBorders>
            <w:shd w:val="clear" w:color="auto" w:fill="auto"/>
            <w:vAlign w:val="center"/>
          </w:tcPr>
          <w:p w14:paraId="13E543D3" w14:textId="77777777" w:rsidR="000E4010" w:rsidRPr="003C7D36" w:rsidRDefault="000E4010" w:rsidP="00D77E03">
            <w:pPr>
              <w:keepNext/>
              <w:keepLines/>
              <w:jc w:val="both"/>
              <w:rPr>
                <w:b/>
                <w:szCs w:val="22"/>
              </w:rPr>
            </w:pPr>
            <w:r w:rsidRPr="0093305C">
              <w:rPr>
                <w:b/>
                <w:szCs w:val="22"/>
              </w:rPr>
              <w:t>Parametar efikasnosti</w:t>
            </w:r>
          </w:p>
        </w:tc>
        <w:tc>
          <w:tcPr>
            <w:tcW w:w="1604" w:type="pct"/>
            <w:tcBorders>
              <w:top w:val="single" w:sz="4" w:space="0" w:color="auto"/>
              <w:left w:val="single" w:sz="4" w:space="0" w:color="auto"/>
              <w:bottom w:val="nil"/>
              <w:right w:val="single" w:sz="4" w:space="0" w:color="auto"/>
            </w:tcBorders>
            <w:shd w:val="clear" w:color="auto" w:fill="auto"/>
          </w:tcPr>
          <w:p w14:paraId="5D67B5A4" w14:textId="77777777" w:rsidR="000E4010" w:rsidRPr="003C7D36" w:rsidRDefault="000E4010" w:rsidP="00D77E03">
            <w:pPr>
              <w:keepNext/>
              <w:keepLines/>
              <w:jc w:val="both"/>
              <w:rPr>
                <w:b/>
                <w:szCs w:val="22"/>
              </w:rPr>
            </w:pPr>
            <w:r w:rsidRPr="00C0597B">
              <w:rPr>
                <w:b/>
                <w:szCs w:val="22"/>
              </w:rPr>
              <w:t>Jedan prethodni ALK TKI</w:t>
            </w:r>
            <w:r w:rsidRPr="0031203A">
              <w:rPr>
                <w:b/>
                <w:szCs w:val="22"/>
                <w:vertAlign w:val="superscript"/>
              </w:rPr>
              <w:t>a</w:t>
            </w:r>
            <w:r w:rsidRPr="00C0597B">
              <w:rPr>
                <w:b/>
                <w:szCs w:val="22"/>
              </w:rPr>
              <w:t xml:space="preserve"> sa ili bez</w:t>
            </w:r>
          </w:p>
          <w:p w14:paraId="6EB0330F" w14:textId="77777777" w:rsidR="000E4010" w:rsidRPr="003C7D36" w:rsidRDefault="000E4010" w:rsidP="00D77E03">
            <w:pPr>
              <w:keepNext/>
              <w:keepLines/>
              <w:jc w:val="both"/>
              <w:rPr>
                <w:b/>
                <w:szCs w:val="22"/>
              </w:rPr>
            </w:pPr>
            <w:r w:rsidRPr="00C0597B">
              <w:rPr>
                <w:b/>
                <w:szCs w:val="22"/>
              </w:rPr>
              <w:t>prethodne hemioterapije</w:t>
            </w:r>
          </w:p>
        </w:tc>
        <w:tc>
          <w:tcPr>
            <w:tcW w:w="1680" w:type="pct"/>
            <w:tcBorders>
              <w:top w:val="single" w:sz="4" w:space="0" w:color="auto"/>
              <w:left w:val="single" w:sz="4" w:space="0" w:color="auto"/>
              <w:bottom w:val="nil"/>
              <w:right w:val="single" w:sz="4" w:space="0" w:color="auto"/>
            </w:tcBorders>
            <w:shd w:val="clear" w:color="auto" w:fill="auto"/>
          </w:tcPr>
          <w:p w14:paraId="78A3C886" w14:textId="77777777" w:rsidR="000E4010" w:rsidRPr="003C7D36" w:rsidRDefault="000E4010" w:rsidP="00D77E03">
            <w:pPr>
              <w:keepNext/>
              <w:keepLines/>
              <w:jc w:val="both"/>
              <w:rPr>
                <w:b/>
                <w:szCs w:val="22"/>
              </w:rPr>
            </w:pPr>
            <w:r w:rsidRPr="00C0597B">
              <w:rPr>
                <w:b/>
                <w:szCs w:val="22"/>
              </w:rPr>
              <w:t>Dva ili više prethodnih ALK TKI sa ili bez prethodne</w:t>
            </w:r>
          </w:p>
          <w:p w14:paraId="3E50A31B" w14:textId="77777777" w:rsidR="000E4010" w:rsidRPr="003C7D36" w:rsidRDefault="000E4010" w:rsidP="00D77E03">
            <w:pPr>
              <w:keepNext/>
              <w:keepLines/>
              <w:jc w:val="both"/>
              <w:rPr>
                <w:b/>
                <w:szCs w:val="22"/>
              </w:rPr>
            </w:pPr>
            <w:r w:rsidRPr="00C0597B">
              <w:rPr>
                <w:b/>
                <w:szCs w:val="22"/>
              </w:rPr>
              <w:t>hemioterapije</w:t>
            </w:r>
          </w:p>
        </w:tc>
      </w:tr>
      <w:tr w:rsidR="00DC4667" w:rsidRPr="003C7D36" w14:paraId="59A3B9C9" w14:textId="77777777" w:rsidTr="000E4010">
        <w:tc>
          <w:tcPr>
            <w:tcW w:w="1716" w:type="pct"/>
            <w:vMerge/>
            <w:tcBorders>
              <w:right w:val="single" w:sz="4" w:space="0" w:color="auto"/>
            </w:tcBorders>
            <w:shd w:val="clear" w:color="auto" w:fill="auto"/>
            <w:vAlign w:val="center"/>
          </w:tcPr>
          <w:p w14:paraId="06AE49CE" w14:textId="77777777" w:rsidR="000E4010" w:rsidRPr="003C7D36" w:rsidRDefault="000E4010" w:rsidP="00D77E03">
            <w:pPr>
              <w:keepNext/>
              <w:keepLines/>
              <w:jc w:val="both"/>
              <w:rPr>
                <w:b/>
                <w:szCs w:val="22"/>
              </w:rPr>
            </w:pPr>
          </w:p>
        </w:tc>
        <w:tc>
          <w:tcPr>
            <w:tcW w:w="1604" w:type="pct"/>
            <w:tcBorders>
              <w:top w:val="nil"/>
              <w:left w:val="single" w:sz="4" w:space="0" w:color="auto"/>
              <w:right w:val="single" w:sz="4" w:space="0" w:color="auto"/>
            </w:tcBorders>
            <w:shd w:val="clear" w:color="auto" w:fill="auto"/>
          </w:tcPr>
          <w:p w14:paraId="67522027" w14:textId="77777777" w:rsidR="000E4010" w:rsidRPr="003C7D36" w:rsidRDefault="000E4010" w:rsidP="00B73C22">
            <w:pPr>
              <w:keepNext/>
              <w:keepLines/>
              <w:jc w:val="center"/>
              <w:rPr>
                <w:b/>
                <w:szCs w:val="22"/>
              </w:rPr>
            </w:pPr>
            <w:r w:rsidRPr="00C0597B">
              <w:rPr>
                <w:b/>
                <w:szCs w:val="22"/>
              </w:rPr>
              <w:t>(N = 9)</w:t>
            </w:r>
          </w:p>
        </w:tc>
        <w:tc>
          <w:tcPr>
            <w:tcW w:w="1680" w:type="pct"/>
            <w:tcBorders>
              <w:top w:val="nil"/>
              <w:left w:val="single" w:sz="4" w:space="0" w:color="auto"/>
              <w:right w:val="single" w:sz="4" w:space="0" w:color="auto"/>
            </w:tcBorders>
            <w:shd w:val="clear" w:color="auto" w:fill="auto"/>
            <w:vAlign w:val="center"/>
          </w:tcPr>
          <w:p w14:paraId="54A85A79" w14:textId="77777777" w:rsidR="000E4010" w:rsidRPr="003C7D36" w:rsidRDefault="000E4010" w:rsidP="00B73C22">
            <w:pPr>
              <w:keepNext/>
              <w:keepLines/>
              <w:jc w:val="center"/>
              <w:rPr>
                <w:b/>
                <w:szCs w:val="22"/>
              </w:rPr>
            </w:pPr>
            <w:r w:rsidRPr="00C0597B">
              <w:rPr>
                <w:b/>
                <w:szCs w:val="22"/>
              </w:rPr>
              <w:t>(N = 48)</w:t>
            </w:r>
          </w:p>
        </w:tc>
      </w:tr>
      <w:tr w:rsidR="00DC4667" w:rsidRPr="003C7D36" w14:paraId="1BB68739" w14:textId="77777777" w:rsidTr="000E4010">
        <w:tc>
          <w:tcPr>
            <w:tcW w:w="1716" w:type="pct"/>
            <w:tcBorders>
              <w:right w:val="single" w:sz="4" w:space="0" w:color="auto"/>
            </w:tcBorders>
            <w:shd w:val="clear" w:color="auto" w:fill="auto"/>
          </w:tcPr>
          <w:p w14:paraId="791B2816" w14:textId="77777777" w:rsidR="000E4010" w:rsidRPr="003C7D36" w:rsidRDefault="000E4010" w:rsidP="00D77E03">
            <w:pPr>
              <w:keepNext/>
              <w:keepLines/>
              <w:jc w:val="both"/>
              <w:rPr>
                <w:szCs w:val="22"/>
              </w:rPr>
            </w:pPr>
            <w:r w:rsidRPr="00C0597B">
              <w:rPr>
                <w:szCs w:val="22"/>
              </w:rPr>
              <w:t>Stopa objektivnog odgovora</w:t>
            </w:r>
            <w:r w:rsidRPr="00C0597B">
              <w:rPr>
                <w:szCs w:val="22"/>
                <w:vertAlign w:val="superscript"/>
              </w:rPr>
              <w:t>b</w:t>
            </w:r>
          </w:p>
          <w:p w14:paraId="21DDCC8E" w14:textId="77777777" w:rsidR="000E4010" w:rsidRPr="003C7D36" w:rsidRDefault="000E4010" w:rsidP="00D77E03">
            <w:pPr>
              <w:keepNext/>
              <w:keepLines/>
              <w:ind w:left="142"/>
              <w:jc w:val="both"/>
              <w:rPr>
                <w:szCs w:val="22"/>
              </w:rPr>
            </w:pPr>
            <w:r w:rsidRPr="00C0597B">
              <w:rPr>
                <w:szCs w:val="22"/>
              </w:rPr>
              <w:t>(95% CI)</w:t>
            </w:r>
          </w:p>
          <w:p w14:paraId="54FD211A" w14:textId="77777777" w:rsidR="000E4010" w:rsidRPr="003C7D36" w:rsidRDefault="000E4010" w:rsidP="00D77E03">
            <w:pPr>
              <w:keepNext/>
              <w:keepLines/>
              <w:ind w:left="162"/>
              <w:jc w:val="both"/>
              <w:rPr>
                <w:szCs w:val="22"/>
              </w:rPr>
            </w:pPr>
            <w:r w:rsidRPr="00C0597B">
              <w:rPr>
                <w:szCs w:val="22"/>
              </w:rPr>
              <w:t xml:space="preserve">Kompletan odgovor, n </w:t>
            </w:r>
          </w:p>
          <w:p w14:paraId="0DEBC128" w14:textId="77777777" w:rsidR="000E4010" w:rsidRPr="003C7D36" w:rsidRDefault="000E4010" w:rsidP="00D77E03">
            <w:pPr>
              <w:keepNext/>
              <w:keepLines/>
              <w:ind w:left="162"/>
              <w:jc w:val="both"/>
              <w:rPr>
                <w:szCs w:val="22"/>
              </w:rPr>
            </w:pPr>
            <w:r w:rsidRPr="00C0597B">
              <w:rPr>
                <w:szCs w:val="22"/>
              </w:rPr>
              <w:t xml:space="preserve">Parcijalan odgovor, n </w:t>
            </w:r>
          </w:p>
        </w:tc>
        <w:tc>
          <w:tcPr>
            <w:tcW w:w="1604" w:type="pct"/>
            <w:tcBorders>
              <w:left w:val="single" w:sz="4" w:space="0" w:color="auto"/>
              <w:right w:val="single" w:sz="4" w:space="0" w:color="auto"/>
            </w:tcBorders>
            <w:shd w:val="clear" w:color="auto" w:fill="auto"/>
          </w:tcPr>
          <w:p w14:paraId="285DE5C9" w14:textId="77777777" w:rsidR="000E4010" w:rsidRPr="003C7D36" w:rsidRDefault="000E4010" w:rsidP="00B73C22">
            <w:pPr>
              <w:keepNext/>
              <w:keepLines/>
              <w:jc w:val="center"/>
              <w:rPr>
                <w:szCs w:val="22"/>
              </w:rPr>
            </w:pPr>
            <w:r w:rsidRPr="00C0597B">
              <w:rPr>
                <w:szCs w:val="22"/>
              </w:rPr>
              <w:t>66,7%</w:t>
            </w:r>
          </w:p>
          <w:p w14:paraId="35452A16" w14:textId="77777777" w:rsidR="000E4010" w:rsidRPr="003C7D36" w:rsidRDefault="000E4010" w:rsidP="00B73C22">
            <w:pPr>
              <w:keepNext/>
              <w:keepLines/>
              <w:jc w:val="center"/>
              <w:rPr>
                <w:szCs w:val="22"/>
              </w:rPr>
            </w:pPr>
            <w:r w:rsidRPr="00C0597B">
              <w:rPr>
                <w:szCs w:val="22"/>
              </w:rPr>
              <w:t>(29,9, 92,5)</w:t>
            </w:r>
          </w:p>
          <w:p w14:paraId="396C4E35" w14:textId="77777777" w:rsidR="000E4010" w:rsidRPr="003C7D36" w:rsidRDefault="000E4010" w:rsidP="00B73C22">
            <w:pPr>
              <w:keepNext/>
              <w:keepLines/>
              <w:jc w:val="center"/>
              <w:rPr>
                <w:szCs w:val="22"/>
              </w:rPr>
            </w:pPr>
            <w:r w:rsidRPr="00C0597B">
              <w:rPr>
                <w:szCs w:val="22"/>
              </w:rPr>
              <w:t>2</w:t>
            </w:r>
          </w:p>
          <w:p w14:paraId="0B011449" w14:textId="77777777" w:rsidR="000E4010" w:rsidRPr="003C7D36" w:rsidRDefault="000E4010" w:rsidP="00B73C22">
            <w:pPr>
              <w:keepNext/>
              <w:keepLines/>
              <w:jc w:val="center"/>
              <w:rPr>
                <w:szCs w:val="22"/>
              </w:rPr>
            </w:pPr>
            <w:r w:rsidRPr="00C0597B">
              <w:rPr>
                <w:szCs w:val="22"/>
              </w:rPr>
              <w:t>4</w:t>
            </w:r>
          </w:p>
        </w:tc>
        <w:tc>
          <w:tcPr>
            <w:tcW w:w="1680" w:type="pct"/>
            <w:tcBorders>
              <w:left w:val="single" w:sz="4" w:space="0" w:color="auto"/>
              <w:right w:val="single" w:sz="4" w:space="0" w:color="auto"/>
            </w:tcBorders>
            <w:shd w:val="clear" w:color="auto" w:fill="auto"/>
          </w:tcPr>
          <w:p w14:paraId="4373DD81" w14:textId="77777777" w:rsidR="000E4010" w:rsidRPr="003C7D36" w:rsidRDefault="000E4010" w:rsidP="00B73C22">
            <w:pPr>
              <w:keepNext/>
              <w:keepLines/>
              <w:jc w:val="center"/>
              <w:rPr>
                <w:szCs w:val="22"/>
              </w:rPr>
            </w:pPr>
            <w:r w:rsidRPr="00C0597B">
              <w:rPr>
                <w:szCs w:val="22"/>
              </w:rPr>
              <w:t>52,1%</w:t>
            </w:r>
          </w:p>
          <w:p w14:paraId="4F05856A" w14:textId="77777777" w:rsidR="000E4010" w:rsidRPr="003C7D36" w:rsidRDefault="000E4010" w:rsidP="00B73C22">
            <w:pPr>
              <w:keepNext/>
              <w:keepLines/>
              <w:jc w:val="center"/>
              <w:rPr>
                <w:szCs w:val="22"/>
              </w:rPr>
            </w:pPr>
            <w:r w:rsidRPr="00C0597B">
              <w:rPr>
                <w:szCs w:val="22"/>
              </w:rPr>
              <w:t>(37,2, 66,7)</w:t>
            </w:r>
          </w:p>
          <w:p w14:paraId="21DC0E66" w14:textId="77777777" w:rsidR="000E4010" w:rsidRPr="003C7D36" w:rsidRDefault="000E4010" w:rsidP="00B73C22">
            <w:pPr>
              <w:keepNext/>
              <w:keepLines/>
              <w:jc w:val="center"/>
              <w:rPr>
                <w:szCs w:val="22"/>
              </w:rPr>
            </w:pPr>
            <w:r w:rsidRPr="00C0597B">
              <w:rPr>
                <w:szCs w:val="22"/>
              </w:rPr>
              <w:t>10</w:t>
            </w:r>
          </w:p>
          <w:p w14:paraId="12211F32" w14:textId="77777777" w:rsidR="000E4010" w:rsidRPr="003C7D36" w:rsidRDefault="000E4010" w:rsidP="00B73C22">
            <w:pPr>
              <w:keepNext/>
              <w:keepLines/>
              <w:jc w:val="center"/>
              <w:rPr>
                <w:szCs w:val="22"/>
              </w:rPr>
            </w:pPr>
            <w:r w:rsidRPr="00C0597B">
              <w:rPr>
                <w:szCs w:val="22"/>
              </w:rPr>
              <w:t>15</w:t>
            </w:r>
          </w:p>
        </w:tc>
      </w:tr>
      <w:tr w:rsidR="00DC4667" w:rsidRPr="003C7D36" w14:paraId="7B960389" w14:textId="77777777" w:rsidTr="004235A9">
        <w:tc>
          <w:tcPr>
            <w:tcW w:w="1716" w:type="pct"/>
            <w:tcBorders>
              <w:bottom w:val="single" w:sz="4" w:space="0" w:color="auto"/>
              <w:right w:val="single" w:sz="4" w:space="0" w:color="auto"/>
            </w:tcBorders>
            <w:shd w:val="clear" w:color="auto" w:fill="auto"/>
          </w:tcPr>
          <w:p w14:paraId="446E692D" w14:textId="77777777" w:rsidR="000E4010" w:rsidRPr="003C7D36" w:rsidRDefault="000E4010" w:rsidP="00D77E03">
            <w:pPr>
              <w:keepNext/>
              <w:keepLines/>
              <w:jc w:val="both"/>
              <w:rPr>
                <w:szCs w:val="22"/>
              </w:rPr>
            </w:pPr>
            <w:r w:rsidRPr="00C0597B">
              <w:rPr>
                <w:szCs w:val="22"/>
              </w:rPr>
              <w:t xml:space="preserve">Trajanje intrakranijalnog odgovora </w:t>
            </w:r>
          </w:p>
          <w:p w14:paraId="5AC5CA86" w14:textId="77777777" w:rsidR="000E4010" w:rsidRPr="003C7D36" w:rsidRDefault="000E4010" w:rsidP="00D77E03">
            <w:pPr>
              <w:keepNext/>
              <w:keepLines/>
              <w:ind w:left="162"/>
              <w:jc w:val="both"/>
              <w:rPr>
                <w:szCs w:val="22"/>
              </w:rPr>
            </w:pPr>
            <w:r w:rsidRPr="00C0597B">
              <w:rPr>
                <w:szCs w:val="22"/>
              </w:rPr>
              <w:t>Medijana u mjesecima</w:t>
            </w:r>
          </w:p>
          <w:p w14:paraId="70F75516" w14:textId="77777777" w:rsidR="000E4010" w:rsidRPr="003C7D36" w:rsidRDefault="000E4010" w:rsidP="00D77E03">
            <w:pPr>
              <w:keepNext/>
              <w:keepLines/>
              <w:ind w:left="162"/>
              <w:jc w:val="both"/>
              <w:rPr>
                <w:szCs w:val="22"/>
              </w:rPr>
            </w:pPr>
            <w:r w:rsidRPr="00C0597B">
              <w:rPr>
                <w:szCs w:val="22"/>
              </w:rPr>
              <w:t>(95% CI)</w:t>
            </w:r>
          </w:p>
        </w:tc>
        <w:tc>
          <w:tcPr>
            <w:tcW w:w="1604" w:type="pct"/>
            <w:tcBorders>
              <w:left w:val="single" w:sz="4" w:space="0" w:color="auto"/>
              <w:bottom w:val="single" w:sz="4" w:space="0" w:color="auto"/>
              <w:right w:val="single" w:sz="4" w:space="0" w:color="auto"/>
            </w:tcBorders>
            <w:shd w:val="clear" w:color="auto" w:fill="auto"/>
          </w:tcPr>
          <w:p w14:paraId="5B882819" w14:textId="77777777" w:rsidR="000E4010" w:rsidRPr="003C7D36" w:rsidRDefault="000E4010" w:rsidP="00B73C22">
            <w:pPr>
              <w:pStyle w:val="TableTextCentered"/>
              <w:keepNext/>
              <w:keepLines/>
              <w:overflowPunct w:val="0"/>
              <w:autoSpaceDE w:val="0"/>
              <w:autoSpaceDN w:val="0"/>
              <w:adjustRightInd w:val="0"/>
              <w:textAlignment w:val="baseline"/>
              <w:rPr>
                <w:sz w:val="22"/>
                <w:szCs w:val="22"/>
              </w:rPr>
            </w:pPr>
          </w:p>
          <w:p w14:paraId="117731B5" w14:textId="77777777" w:rsidR="000E4010" w:rsidRPr="003C7D36" w:rsidRDefault="000E4010" w:rsidP="00B73C22">
            <w:pPr>
              <w:pStyle w:val="TableTextCentered"/>
              <w:keepNext/>
              <w:keepLines/>
              <w:overflowPunct w:val="0"/>
              <w:autoSpaceDE w:val="0"/>
              <w:autoSpaceDN w:val="0"/>
              <w:adjustRightInd w:val="0"/>
              <w:textAlignment w:val="baseline"/>
              <w:rPr>
                <w:sz w:val="22"/>
                <w:szCs w:val="22"/>
              </w:rPr>
            </w:pPr>
          </w:p>
          <w:p w14:paraId="24BAB270" w14:textId="6DA70256" w:rsidR="000E4010" w:rsidRPr="003C7D36" w:rsidRDefault="00B43121" w:rsidP="00B73C22">
            <w:pPr>
              <w:pStyle w:val="TableTextCentered"/>
              <w:keepNext/>
              <w:keepLines/>
              <w:overflowPunct w:val="0"/>
              <w:autoSpaceDE w:val="0"/>
              <w:autoSpaceDN w:val="0"/>
              <w:adjustRightInd w:val="0"/>
              <w:textAlignment w:val="baseline"/>
              <w:rPr>
                <w:sz w:val="22"/>
                <w:szCs w:val="22"/>
              </w:rPr>
            </w:pPr>
            <w:r w:rsidRPr="00C0597B">
              <w:rPr>
                <w:sz w:val="22"/>
                <w:szCs w:val="22"/>
              </w:rPr>
              <w:t>ND</w:t>
            </w:r>
          </w:p>
          <w:p w14:paraId="295C49AE" w14:textId="3B117C7A" w:rsidR="000E4010" w:rsidRPr="003C7D36" w:rsidRDefault="000E4010" w:rsidP="00B43121">
            <w:pPr>
              <w:pStyle w:val="TableTextCentered"/>
              <w:keepNext/>
              <w:keepLines/>
              <w:overflowPunct w:val="0"/>
              <w:autoSpaceDE w:val="0"/>
              <w:autoSpaceDN w:val="0"/>
              <w:adjustRightInd w:val="0"/>
              <w:textAlignment w:val="baseline"/>
              <w:rPr>
                <w:sz w:val="22"/>
                <w:szCs w:val="22"/>
              </w:rPr>
            </w:pPr>
            <w:r w:rsidRPr="00C0597B">
              <w:rPr>
                <w:sz w:val="22"/>
                <w:szCs w:val="22"/>
              </w:rPr>
              <w:t xml:space="preserve">(4,1, </w:t>
            </w:r>
            <w:r w:rsidR="00B43121" w:rsidRPr="00C0597B">
              <w:rPr>
                <w:sz w:val="22"/>
                <w:szCs w:val="22"/>
              </w:rPr>
              <w:t>ND</w:t>
            </w:r>
            <w:r w:rsidRPr="00C0597B">
              <w:rPr>
                <w:sz w:val="22"/>
                <w:szCs w:val="22"/>
              </w:rPr>
              <w:t>)</w:t>
            </w:r>
          </w:p>
        </w:tc>
        <w:tc>
          <w:tcPr>
            <w:tcW w:w="1680" w:type="pct"/>
            <w:tcBorders>
              <w:left w:val="single" w:sz="4" w:space="0" w:color="auto"/>
              <w:bottom w:val="single" w:sz="4" w:space="0" w:color="auto"/>
              <w:right w:val="single" w:sz="4" w:space="0" w:color="auto"/>
            </w:tcBorders>
            <w:shd w:val="clear" w:color="auto" w:fill="auto"/>
          </w:tcPr>
          <w:p w14:paraId="54836DA1" w14:textId="77777777" w:rsidR="000E4010" w:rsidRPr="003C7D36" w:rsidRDefault="000E4010" w:rsidP="00B73C22">
            <w:pPr>
              <w:pStyle w:val="TableTextCentered"/>
              <w:keepNext/>
              <w:keepLines/>
              <w:overflowPunct w:val="0"/>
              <w:autoSpaceDE w:val="0"/>
              <w:autoSpaceDN w:val="0"/>
              <w:adjustRightInd w:val="0"/>
              <w:textAlignment w:val="baseline"/>
              <w:rPr>
                <w:sz w:val="22"/>
                <w:szCs w:val="22"/>
              </w:rPr>
            </w:pPr>
          </w:p>
          <w:p w14:paraId="51119606" w14:textId="77777777" w:rsidR="000E4010" w:rsidRPr="003C7D36" w:rsidRDefault="000E4010" w:rsidP="00B73C22">
            <w:pPr>
              <w:pStyle w:val="TableTextCentered"/>
              <w:keepNext/>
              <w:keepLines/>
              <w:overflowPunct w:val="0"/>
              <w:autoSpaceDE w:val="0"/>
              <w:autoSpaceDN w:val="0"/>
              <w:adjustRightInd w:val="0"/>
              <w:textAlignment w:val="baseline"/>
              <w:rPr>
                <w:sz w:val="22"/>
                <w:szCs w:val="22"/>
              </w:rPr>
            </w:pPr>
          </w:p>
          <w:p w14:paraId="2AB54A89" w14:textId="77777777" w:rsidR="000E4010" w:rsidRPr="003C7D36" w:rsidRDefault="000E4010" w:rsidP="00B73C22">
            <w:pPr>
              <w:pStyle w:val="TableTextCentered"/>
              <w:keepNext/>
              <w:keepLines/>
              <w:overflowPunct w:val="0"/>
              <w:autoSpaceDE w:val="0"/>
              <w:autoSpaceDN w:val="0"/>
              <w:adjustRightInd w:val="0"/>
              <w:textAlignment w:val="baseline"/>
              <w:rPr>
                <w:sz w:val="22"/>
                <w:szCs w:val="22"/>
              </w:rPr>
            </w:pPr>
            <w:r w:rsidRPr="00C0597B">
              <w:rPr>
                <w:sz w:val="22"/>
                <w:szCs w:val="22"/>
              </w:rPr>
              <w:t>12,4</w:t>
            </w:r>
          </w:p>
          <w:p w14:paraId="07F921E5" w14:textId="28E12911" w:rsidR="000E4010" w:rsidRPr="003C7D36" w:rsidRDefault="000E4010">
            <w:pPr>
              <w:pStyle w:val="TableTextCentered"/>
              <w:keepNext/>
              <w:keepLines/>
              <w:overflowPunct w:val="0"/>
              <w:autoSpaceDE w:val="0"/>
              <w:autoSpaceDN w:val="0"/>
              <w:adjustRightInd w:val="0"/>
              <w:textAlignment w:val="baseline"/>
              <w:rPr>
                <w:sz w:val="22"/>
                <w:szCs w:val="22"/>
              </w:rPr>
            </w:pPr>
            <w:r w:rsidRPr="00C0597B">
              <w:rPr>
                <w:sz w:val="22"/>
                <w:szCs w:val="22"/>
              </w:rPr>
              <w:t xml:space="preserve">(6,0, </w:t>
            </w:r>
            <w:r w:rsidR="00B43121" w:rsidRPr="00C0597B">
              <w:rPr>
                <w:sz w:val="22"/>
                <w:szCs w:val="22"/>
              </w:rPr>
              <w:t>ND</w:t>
            </w:r>
            <w:r w:rsidRPr="00C0597B">
              <w:rPr>
                <w:sz w:val="22"/>
                <w:szCs w:val="22"/>
              </w:rPr>
              <w:t>)</w:t>
            </w:r>
          </w:p>
        </w:tc>
      </w:tr>
      <w:tr w:rsidR="004235A9" w:rsidRPr="003C7D36" w14:paraId="12FDACEC" w14:textId="77777777" w:rsidTr="004235A9">
        <w:tc>
          <w:tcPr>
            <w:tcW w:w="5000" w:type="pct"/>
            <w:gridSpan w:val="3"/>
            <w:tcBorders>
              <w:left w:val="nil"/>
              <w:bottom w:val="nil"/>
              <w:right w:val="nil"/>
            </w:tcBorders>
            <w:shd w:val="clear" w:color="auto" w:fill="auto"/>
          </w:tcPr>
          <w:p w14:paraId="4512AB8F" w14:textId="6D097095" w:rsidR="004235A9" w:rsidRPr="0031203A" w:rsidRDefault="004235A9" w:rsidP="00D77E03">
            <w:pPr>
              <w:pStyle w:val="TableTextCentered"/>
              <w:keepNext/>
              <w:keepLines/>
              <w:overflowPunct w:val="0"/>
              <w:autoSpaceDE w:val="0"/>
              <w:autoSpaceDN w:val="0"/>
              <w:adjustRightInd w:val="0"/>
              <w:jc w:val="both"/>
              <w:textAlignment w:val="baseline"/>
              <w:rPr>
                <w:sz w:val="22"/>
                <w:szCs w:val="22"/>
              </w:rPr>
            </w:pPr>
            <w:r w:rsidRPr="0031203A">
              <w:rPr>
                <w:sz w:val="22"/>
                <w:szCs w:val="22"/>
              </w:rPr>
              <w:t>Skraćenice: ALK=</w:t>
            </w:r>
            <w:r w:rsidR="00D14057" w:rsidRPr="0031203A">
              <w:rPr>
                <w:sz w:val="22"/>
                <w:szCs w:val="22"/>
              </w:rPr>
              <w:t xml:space="preserve"> kinaza </w:t>
            </w:r>
            <w:r w:rsidR="00481FB0" w:rsidRPr="00342E49">
              <w:rPr>
                <w:sz w:val="22"/>
                <w:szCs w:val="22"/>
              </w:rPr>
              <w:t>anaplastičn</w:t>
            </w:r>
            <w:r w:rsidR="00481FB0">
              <w:rPr>
                <w:sz w:val="22"/>
                <w:szCs w:val="22"/>
              </w:rPr>
              <w:t xml:space="preserve">og </w:t>
            </w:r>
            <w:r w:rsidR="00481FB0" w:rsidRPr="00342E49">
              <w:rPr>
                <w:sz w:val="22"/>
                <w:szCs w:val="22"/>
              </w:rPr>
              <w:t>limfom</w:t>
            </w:r>
            <w:r w:rsidR="00481FB0">
              <w:rPr>
                <w:sz w:val="22"/>
                <w:szCs w:val="22"/>
              </w:rPr>
              <w:t>a</w:t>
            </w:r>
            <w:r w:rsidR="00481FB0" w:rsidRPr="00342E49">
              <w:rPr>
                <w:sz w:val="22"/>
                <w:szCs w:val="22"/>
              </w:rPr>
              <w:t xml:space="preserve"> </w:t>
            </w:r>
            <w:r w:rsidRPr="0031203A">
              <w:rPr>
                <w:sz w:val="22"/>
                <w:szCs w:val="22"/>
              </w:rPr>
              <w:t xml:space="preserve">(engl. </w:t>
            </w:r>
            <w:r w:rsidRPr="0031203A">
              <w:rPr>
                <w:i/>
                <w:sz w:val="22"/>
                <w:szCs w:val="22"/>
              </w:rPr>
              <w:t>anaplastic lymphoma kinase</w:t>
            </w:r>
            <w:r w:rsidRPr="0031203A">
              <w:rPr>
                <w:sz w:val="22"/>
                <w:szCs w:val="22"/>
              </w:rPr>
              <w:t xml:space="preserve">); CI= interval pouzdanosti (eng. </w:t>
            </w:r>
            <w:r w:rsidRPr="0031203A">
              <w:rPr>
                <w:i/>
                <w:sz w:val="22"/>
                <w:szCs w:val="22"/>
              </w:rPr>
              <w:t>confidence interval</w:t>
            </w:r>
            <w:r w:rsidRPr="0031203A">
              <w:rPr>
                <w:sz w:val="22"/>
                <w:szCs w:val="22"/>
              </w:rPr>
              <w:t xml:space="preserve">); ICR=Nezavisna centralna procjena (eng. </w:t>
            </w:r>
            <w:r w:rsidRPr="0031203A">
              <w:rPr>
                <w:i/>
                <w:sz w:val="22"/>
                <w:szCs w:val="22"/>
              </w:rPr>
              <w:t>Independent Central Review</w:t>
            </w:r>
            <w:r w:rsidRPr="0031203A">
              <w:rPr>
                <w:sz w:val="22"/>
                <w:szCs w:val="22"/>
              </w:rPr>
              <w:t xml:space="preserve">); N/n=broj pacijenata; </w:t>
            </w:r>
            <w:r w:rsidR="00D32ED6" w:rsidRPr="0031203A">
              <w:rPr>
                <w:sz w:val="22"/>
                <w:szCs w:val="22"/>
              </w:rPr>
              <w:t>ND</w:t>
            </w:r>
            <w:r w:rsidRPr="0031203A">
              <w:rPr>
                <w:sz w:val="22"/>
                <w:szCs w:val="22"/>
              </w:rPr>
              <w:t xml:space="preserve">=nije </w:t>
            </w:r>
            <w:r w:rsidR="00D32ED6" w:rsidRPr="0031203A">
              <w:rPr>
                <w:sz w:val="22"/>
                <w:szCs w:val="22"/>
              </w:rPr>
              <w:t xml:space="preserve">dostignuto </w:t>
            </w:r>
            <w:r w:rsidRPr="0031203A">
              <w:rPr>
                <w:sz w:val="22"/>
                <w:szCs w:val="22"/>
              </w:rPr>
              <w:t xml:space="preserve">(eng. </w:t>
            </w:r>
            <w:r w:rsidRPr="0031203A">
              <w:rPr>
                <w:i/>
                <w:sz w:val="22"/>
                <w:szCs w:val="22"/>
              </w:rPr>
              <w:t>not reached</w:t>
            </w:r>
            <w:r w:rsidRPr="0031203A">
              <w:rPr>
                <w:sz w:val="22"/>
                <w:szCs w:val="22"/>
              </w:rPr>
              <w:t xml:space="preserve">); TKI=inhibitor tirozin kinaze (eng. </w:t>
            </w:r>
            <w:r w:rsidRPr="0031203A">
              <w:rPr>
                <w:i/>
                <w:sz w:val="22"/>
                <w:szCs w:val="22"/>
              </w:rPr>
              <w:t>tyrosine kinase inhibitor</w:t>
            </w:r>
            <w:r w:rsidRPr="0031203A">
              <w:rPr>
                <w:sz w:val="22"/>
                <w:szCs w:val="22"/>
              </w:rPr>
              <w:t>).</w:t>
            </w:r>
          </w:p>
          <w:p w14:paraId="784C7279" w14:textId="631004BC" w:rsidR="004235A9" w:rsidRPr="0031203A" w:rsidRDefault="004235A9" w:rsidP="00D77E03">
            <w:pPr>
              <w:pStyle w:val="TableTextCentered"/>
              <w:keepNext/>
              <w:keepLines/>
              <w:tabs>
                <w:tab w:val="left" w:pos="285"/>
              </w:tabs>
              <w:overflowPunct w:val="0"/>
              <w:autoSpaceDE w:val="0"/>
              <w:autoSpaceDN w:val="0"/>
              <w:adjustRightInd w:val="0"/>
              <w:ind w:left="284" w:hanging="284"/>
              <w:jc w:val="both"/>
              <w:textAlignment w:val="baseline"/>
              <w:rPr>
                <w:sz w:val="22"/>
                <w:szCs w:val="22"/>
              </w:rPr>
            </w:pPr>
            <w:r w:rsidRPr="0031203A">
              <w:rPr>
                <w:sz w:val="22"/>
                <w:szCs w:val="22"/>
                <w:vertAlign w:val="superscript"/>
              </w:rPr>
              <w:t>*</w:t>
            </w:r>
            <w:r w:rsidRPr="0031203A">
              <w:rPr>
                <w:sz w:val="22"/>
                <w:szCs w:val="22"/>
              </w:rPr>
              <w:tab/>
              <w:t>Kod pacijenata sa najmanje jednom metastazom</w:t>
            </w:r>
            <w:r w:rsidR="00D32ED6" w:rsidRPr="0031203A">
              <w:rPr>
                <w:sz w:val="22"/>
                <w:szCs w:val="22"/>
              </w:rPr>
              <w:t xml:space="preserve"> u mozgu</w:t>
            </w:r>
            <w:r w:rsidRPr="0031203A">
              <w:rPr>
                <w:sz w:val="22"/>
                <w:szCs w:val="22"/>
              </w:rPr>
              <w:t xml:space="preserve"> koja se može izmjeriti na početku</w:t>
            </w:r>
            <w:r w:rsidR="00D32ED6" w:rsidRPr="0031203A">
              <w:rPr>
                <w:sz w:val="22"/>
                <w:szCs w:val="22"/>
              </w:rPr>
              <w:t xml:space="preserve"> ispitivanja</w:t>
            </w:r>
            <w:r w:rsidRPr="0031203A">
              <w:rPr>
                <w:sz w:val="22"/>
                <w:szCs w:val="22"/>
              </w:rPr>
              <w:t>.</w:t>
            </w:r>
          </w:p>
          <w:p w14:paraId="27D090E2" w14:textId="77777777" w:rsidR="004235A9" w:rsidRPr="0031203A" w:rsidRDefault="004235A9" w:rsidP="00D77E03">
            <w:pPr>
              <w:pStyle w:val="TableTextCentered"/>
              <w:keepNext/>
              <w:keepLines/>
              <w:tabs>
                <w:tab w:val="left" w:pos="285"/>
              </w:tabs>
              <w:overflowPunct w:val="0"/>
              <w:autoSpaceDE w:val="0"/>
              <w:autoSpaceDN w:val="0"/>
              <w:adjustRightInd w:val="0"/>
              <w:ind w:left="284" w:hanging="284"/>
              <w:jc w:val="both"/>
              <w:textAlignment w:val="baseline"/>
              <w:rPr>
                <w:sz w:val="22"/>
                <w:szCs w:val="22"/>
              </w:rPr>
            </w:pPr>
            <w:r w:rsidRPr="0031203A">
              <w:rPr>
                <w:sz w:val="22"/>
                <w:szCs w:val="22"/>
                <w:vertAlign w:val="superscript"/>
              </w:rPr>
              <w:t>a</w:t>
            </w:r>
            <w:r w:rsidRPr="0031203A">
              <w:rPr>
                <w:sz w:val="22"/>
                <w:szCs w:val="22"/>
              </w:rPr>
              <w:tab/>
              <w:t>Alektinib, brigatinib ili ceritinib.</w:t>
            </w:r>
          </w:p>
          <w:p w14:paraId="0752EA93" w14:textId="77777777" w:rsidR="004235A9" w:rsidRPr="003C7D36" w:rsidRDefault="004235A9" w:rsidP="00D77E03">
            <w:pPr>
              <w:pStyle w:val="TableTextCentered"/>
              <w:keepNext/>
              <w:keepLines/>
              <w:overflowPunct w:val="0"/>
              <w:autoSpaceDE w:val="0"/>
              <w:autoSpaceDN w:val="0"/>
              <w:adjustRightInd w:val="0"/>
              <w:ind w:left="288" w:hanging="288"/>
              <w:jc w:val="both"/>
              <w:textAlignment w:val="baseline"/>
              <w:rPr>
                <w:sz w:val="22"/>
                <w:szCs w:val="22"/>
              </w:rPr>
            </w:pPr>
            <w:r w:rsidRPr="0031203A">
              <w:rPr>
                <w:sz w:val="22"/>
                <w:szCs w:val="22"/>
                <w:vertAlign w:val="superscript"/>
              </w:rPr>
              <w:t>b</w:t>
            </w:r>
            <w:r w:rsidRPr="0031203A">
              <w:rPr>
                <w:sz w:val="22"/>
                <w:szCs w:val="22"/>
              </w:rPr>
              <w:tab/>
              <w:t>Po ICR-u.</w:t>
            </w:r>
          </w:p>
        </w:tc>
      </w:tr>
    </w:tbl>
    <w:p w14:paraId="28DF90F5" w14:textId="77777777" w:rsidR="009B42FF" w:rsidRPr="00C0597B" w:rsidRDefault="009B42FF" w:rsidP="00D77E03">
      <w:pPr>
        <w:spacing w:line="240" w:lineRule="auto"/>
        <w:jc w:val="both"/>
        <w:rPr>
          <w:szCs w:val="22"/>
        </w:rPr>
      </w:pPr>
    </w:p>
    <w:p w14:paraId="23C8DBD3" w14:textId="08A44815" w:rsidR="002B7106" w:rsidRPr="0093305C" w:rsidRDefault="001D6095" w:rsidP="00D77E03">
      <w:pPr>
        <w:spacing w:line="240" w:lineRule="auto"/>
        <w:jc w:val="both"/>
        <w:rPr>
          <w:szCs w:val="22"/>
        </w:rPr>
      </w:pPr>
      <w:r w:rsidRPr="00822B86">
        <w:rPr>
          <w:szCs w:val="22"/>
        </w:rPr>
        <w:t xml:space="preserve">U ukupnoj populaciji u kojoj se procjenjivala efikasnost </w:t>
      </w:r>
      <w:r w:rsidR="005E73C7" w:rsidRPr="00822B86">
        <w:rPr>
          <w:szCs w:val="22"/>
        </w:rPr>
        <w:t>k</w:t>
      </w:r>
      <w:r w:rsidRPr="00822B86">
        <w:rPr>
          <w:szCs w:val="22"/>
        </w:rPr>
        <w:t xml:space="preserve">od 139 pacijenata, 56 pacijenata imalo je objektivan odgovor potvrđen od strane ICR-a sa medijanom vremena do prvog tumorskog odgovora </w:t>
      </w:r>
      <w:r w:rsidR="00A67454" w:rsidRPr="00446153">
        <w:rPr>
          <w:szCs w:val="22"/>
        </w:rPr>
        <w:t xml:space="preserve"> TTR </w:t>
      </w:r>
      <w:r w:rsidRPr="0093305C">
        <w:rPr>
          <w:szCs w:val="22"/>
        </w:rPr>
        <w:t xml:space="preserve">od 1,4 mjeseca (raspon: 1,2 do 16,6 mjeseci). </w:t>
      </w:r>
      <w:r w:rsidR="00D32ED6" w:rsidRPr="0093305C">
        <w:rPr>
          <w:szCs w:val="22"/>
        </w:rPr>
        <w:t>Stopa objektivnog odgovora (</w:t>
      </w:r>
      <w:r w:rsidRPr="0093305C">
        <w:rPr>
          <w:szCs w:val="22"/>
        </w:rPr>
        <w:t>ORR</w:t>
      </w:r>
      <w:r w:rsidR="00D32ED6" w:rsidRPr="0093305C">
        <w:rPr>
          <w:szCs w:val="22"/>
        </w:rPr>
        <w:t>)</w:t>
      </w:r>
      <w:r w:rsidRPr="0093305C">
        <w:rPr>
          <w:szCs w:val="22"/>
        </w:rPr>
        <w:t xml:space="preserve"> za Azijate je bi</w:t>
      </w:r>
      <w:r w:rsidR="00D32ED6" w:rsidRPr="0093305C">
        <w:rPr>
          <w:szCs w:val="22"/>
        </w:rPr>
        <w:t xml:space="preserve">la </w:t>
      </w:r>
      <w:r w:rsidRPr="0093305C">
        <w:rPr>
          <w:szCs w:val="22"/>
        </w:rPr>
        <w:lastRenderedPageBreak/>
        <w:t>49,1% (95%</w:t>
      </w:r>
      <w:r w:rsidR="00E30313" w:rsidRPr="0093305C">
        <w:rPr>
          <w:szCs w:val="22"/>
        </w:rPr>
        <w:t> </w:t>
      </w:r>
      <w:r w:rsidRPr="0093305C">
        <w:rPr>
          <w:szCs w:val="22"/>
        </w:rPr>
        <w:t>CI: 35,1, 63,2) i 31,5% za ne-Azijate (95%</w:t>
      </w:r>
      <w:r w:rsidR="00E30313" w:rsidRPr="0093305C">
        <w:rPr>
          <w:szCs w:val="22"/>
        </w:rPr>
        <w:t> </w:t>
      </w:r>
      <w:r w:rsidRPr="0093305C">
        <w:rPr>
          <w:szCs w:val="22"/>
        </w:rPr>
        <w:t>CI: 21,1, 43,4). Kod 31 pacijenta sa objektivnim IK tumorskim odgovorom i najmanje jednom mjerljivom metastazom u mozgu na početku ispitivanja potvrđenog od strane ICR-a, medijana vremena do prvog IK</w:t>
      </w:r>
      <w:r w:rsidRPr="0093305C">
        <w:rPr>
          <w:szCs w:val="22"/>
        </w:rPr>
        <w:noBreakHyphen/>
        <w:t>TTR iznosila je 1,4 mjeseci (raspon: 1,2 do 16,2 mjeseci). IK ORR je bio 54,5% za Azijate (95%</w:t>
      </w:r>
      <w:r w:rsidR="00E30313" w:rsidRPr="0093305C">
        <w:rPr>
          <w:szCs w:val="22"/>
        </w:rPr>
        <w:t> </w:t>
      </w:r>
      <w:r w:rsidRPr="0093305C">
        <w:rPr>
          <w:szCs w:val="22"/>
        </w:rPr>
        <w:t>CI: 32,2, 75,6) i 46,4% za ne-Azijate (95%</w:t>
      </w:r>
      <w:r w:rsidR="00E30313" w:rsidRPr="0093305C">
        <w:rPr>
          <w:szCs w:val="22"/>
        </w:rPr>
        <w:t> </w:t>
      </w:r>
      <w:r w:rsidRPr="0093305C">
        <w:rPr>
          <w:szCs w:val="22"/>
        </w:rPr>
        <w:t>CI: 27,5, 66,1).</w:t>
      </w:r>
    </w:p>
    <w:p w14:paraId="6BA5F8CE" w14:textId="77777777" w:rsidR="001A6BE9" w:rsidRPr="003C7D36" w:rsidRDefault="001A6BE9" w:rsidP="00D77E03">
      <w:pPr>
        <w:pStyle w:val="Paragraph"/>
        <w:spacing w:after="0"/>
        <w:jc w:val="both"/>
        <w:rPr>
          <w:sz w:val="22"/>
          <w:szCs w:val="22"/>
        </w:rPr>
      </w:pPr>
    </w:p>
    <w:p w14:paraId="5946D7CB" w14:textId="77777777" w:rsidR="00812D16" w:rsidRPr="003C7D36" w:rsidRDefault="00812D16" w:rsidP="00D77E03">
      <w:pPr>
        <w:keepNext/>
        <w:spacing w:line="240" w:lineRule="auto"/>
        <w:jc w:val="both"/>
        <w:rPr>
          <w:bCs/>
          <w:iCs/>
          <w:szCs w:val="22"/>
        </w:rPr>
      </w:pPr>
      <w:r w:rsidRPr="00C0597B">
        <w:rPr>
          <w:szCs w:val="22"/>
          <w:u w:val="single"/>
        </w:rPr>
        <w:t>Pedijatrijska populacija</w:t>
      </w:r>
    </w:p>
    <w:p w14:paraId="0DD16263" w14:textId="77777777" w:rsidR="008D6BE8" w:rsidRPr="003C7D36" w:rsidRDefault="008D6BE8" w:rsidP="00D77E03">
      <w:pPr>
        <w:keepNext/>
        <w:spacing w:line="240" w:lineRule="auto"/>
        <w:jc w:val="both"/>
        <w:rPr>
          <w:bCs/>
          <w:iCs/>
          <w:szCs w:val="22"/>
        </w:rPr>
      </w:pPr>
    </w:p>
    <w:p w14:paraId="34B82910" w14:textId="77777777" w:rsidR="008D6BE8" w:rsidRPr="003C7D36" w:rsidRDefault="00812D16" w:rsidP="00D77E03">
      <w:pPr>
        <w:keepNext/>
        <w:spacing w:line="240" w:lineRule="auto"/>
        <w:jc w:val="both"/>
        <w:outlineLvl w:val="0"/>
        <w:rPr>
          <w:szCs w:val="22"/>
        </w:rPr>
      </w:pPr>
      <w:r w:rsidRPr="00C0597B">
        <w:rPr>
          <w:szCs w:val="22"/>
        </w:rPr>
        <w:t>Evropska agencija za ljekove je ukinula obavezu podnošenja rezultata ispitivanja lorlatiniba u svim podgrupama pedijatrijske populacije za karcinom pluća (sitnoćelijski i nesitnoćelijski karcinom) (vidjeti dio 4.2 za informacije o pedijatrijskoj primjeni).</w:t>
      </w:r>
    </w:p>
    <w:p w14:paraId="180C0E07" w14:textId="77777777" w:rsidR="00375A30" w:rsidRPr="003C7D36" w:rsidRDefault="00375A30" w:rsidP="00D77E03">
      <w:pPr>
        <w:keepNext/>
        <w:spacing w:line="240" w:lineRule="auto"/>
        <w:jc w:val="both"/>
        <w:outlineLvl w:val="0"/>
        <w:rPr>
          <w:szCs w:val="22"/>
        </w:rPr>
      </w:pPr>
    </w:p>
    <w:p w14:paraId="2182D366" w14:textId="660CDE8C" w:rsidR="00375A30" w:rsidRPr="003C7D36" w:rsidRDefault="003553CD" w:rsidP="00D77E03">
      <w:pPr>
        <w:keepNext/>
        <w:spacing w:line="240" w:lineRule="auto"/>
        <w:jc w:val="both"/>
        <w:outlineLvl w:val="0"/>
        <w:rPr>
          <w:szCs w:val="22"/>
        </w:rPr>
      </w:pPr>
      <w:r w:rsidRPr="00C0597B">
        <w:rPr>
          <w:szCs w:val="22"/>
        </w:rPr>
        <w:t>Za o</w:t>
      </w:r>
      <w:r w:rsidR="00375A30" w:rsidRPr="00C0597B">
        <w:rPr>
          <w:szCs w:val="22"/>
        </w:rPr>
        <w:t xml:space="preserve">vaj lijek je </w:t>
      </w:r>
      <w:r w:rsidRPr="00C0597B">
        <w:rPr>
          <w:szCs w:val="22"/>
        </w:rPr>
        <w:t>izdata</w:t>
      </w:r>
      <w:r w:rsidR="00375A30" w:rsidRPr="00822B86">
        <w:rPr>
          <w:szCs w:val="22"/>
        </w:rPr>
        <w:t xml:space="preserve"> „uslovn</w:t>
      </w:r>
      <w:r w:rsidRPr="00822B86">
        <w:rPr>
          <w:szCs w:val="22"/>
        </w:rPr>
        <w:t>a</w:t>
      </w:r>
      <w:r w:rsidR="00375A30" w:rsidRPr="00446153">
        <w:rPr>
          <w:szCs w:val="22"/>
        </w:rPr>
        <w:t xml:space="preserve"> </w:t>
      </w:r>
      <w:r w:rsidRPr="00446153">
        <w:rPr>
          <w:szCs w:val="22"/>
        </w:rPr>
        <w:t>dozvola</w:t>
      </w:r>
      <w:r w:rsidR="00375A30" w:rsidRPr="00446153">
        <w:rPr>
          <w:szCs w:val="22"/>
        </w:rPr>
        <w:t>”.</w:t>
      </w:r>
    </w:p>
    <w:p w14:paraId="32F4B404" w14:textId="77777777" w:rsidR="00375A30" w:rsidRPr="003C7D36" w:rsidRDefault="00375A30" w:rsidP="00D77E03">
      <w:pPr>
        <w:keepNext/>
        <w:spacing w:line="240" w:lineRule="auto"/>
        <w:jc w:val="both"/>
        <w:outlineLvl w:val="0"/>
        <w:rPr>
          <w:szCs w:val="22"/>
        </w:rPr>
      </w:pPr>
      <w:r w:rsidRPr="00C0597B">
        <w:rPr>
          <w:szCs w:val="22"/>
        </w:rPr>
        <w:t>To znači da se očekuju dodatni podaci o ovom lijeku.</w:t>
      </w:r>
    </w:p>
    <w:p w14:paraId="70AACDA0" w14:textId="2D6B478D" w:rsidR="00375A30" w:rsidRPr="003C7D36" w:rsidRDefault="00375A30" w:rsidP="00D77E03">
      <w:pPr>
        <w:keepNext/>
        <w:spacing w:line="240" w:lineRule="auto"/>
        <w:jc w:val="both"/>
        <w:outlineLvl w:val="0"/>
        <w:rPr>
          <w:szCs w:val="22"/>
        </w:rPr>
      </w:pPr>
      <w:r w:rsidRPr="00C0597B">
        <w:rPr>
          <w:szCs w:val="22"/>
        </w:rPr>
        <w:t>Evropska agencija za ljekove</w:t>
      </w:r>
      <w:r w:rsidR="008304EA">
        <w:rPr>
          <w:szCs w:val="22"/>
        </w:rPr>
        <w:t xml:space="preserve"> i Institut za ljekove i medicinska sredstva</w:t>
      </w:r>
      <w:r w:rsidRPr="00C0597B">
        <w:rPr>
          <w:szCs w:val="22"/>
        </w:rPr>
        <w:t xml:space="preserve"> će barem jednom godišnje procjenjivati nove informacije o ovom lijeku i ovaj sažetak karakteristika lijeka će ažurirati prema potrebi.</w:t>
      </w:r>
    </w:p>
    <w:p w14:paraId="639F5A99" w14:textId="77777777" w:rsidR="00812D16" w:rsidRPr="003C7D36" w:rsidRDefault="00812D16" w:rsidP="00D77E03">
      <w:pPr>
        <w:numPr>
          <w:ilvl w:val="12"/>
          <w:numId w:val="0"/>
        </w:numPr>
        <w:spacing w:line="240" w:lineRule="auto"/>
        <w:ind w:right="-2"/>
        <w:jc w:val="both"/>
        <w:rPr>
          <w:iCs/>
          <w:szCs w:val="22"/>
        </w:rPr>
      </w:pPr>
    </w:p>
    <w:p w14:paraId="736399F0" w14:textId="77777777" w:rsidR="00812D16" w:rsidRPr="003C7D36" w:rsidRDefault="00812D16" w:rsidP="00D77E03">
      <w:pPr>
        <w:keepNext/>
        <w:spacing w:line="240" w:lineRule="auto"/>
        <w:ind w:left="567" w:hanging="567"/>
        <w:jc w:val="both"/>
        <w:outlineLvl w:val="0"/>
        <w:rPr>
          <w:szCs w:val="22"/>
        </w:rPr>
      </w:pPr>
      <w:r w:rsidRPr="00C0597B">
        <w:rPr>
          <w:b/>
          <w:szCs w:val="22"/>
        </w:rPr>
        <w:t>5.2</w:t>
      </w:r>
      <w:r w:rsidRPr="00C0597B">
        <w:rPr>
          <w:b/>
          <w:szCs w:val="22"/>
        </w:rPr>
        <w:tab/>
        <w:t xml:space="preserve">Farmakokinetički podaci </w:t>
      </w:r>
    </w:p>
    <w:p w14:paraId="4F157DC7" w14:textId="77777777" w:rsidR="00812D16" w:rsidRPr="003C7D36" w:rsidRDefault="00812D16" w:rsidP="00D77E03">
      <w:pPr>
        <w:keepNext/>
        <w:spacing w:line="240" w:lineRule="auto"/>
        <w:ind w:left="567" w:hanging="567"/>
        <w:jc w:val="both"/>
        <w:outlineLvl w:val="0"/>
        <w:rPr>
          <w:b/>
          <w:szCs w:val="22"/>
        </w:rPr>
      </w:pPr>
    </w:p>
    <w:p w14:paraId="06872339" w14:textId="5938E128" w:rsidR="00147ECD" w:rsidRPr="003C7D36" w:rsidRDefault="00E5439B" w:rsidP="00D77E03">
      <w:pPr>
        <w:pStyle w:val="StyleHeading2Titre212H2GulliverGemenFetArial12pt"/>
        <w:spacing w:before="0" w:after="0"/>
        <w:jc w:val="both"/>
        <w:rPr>
          <w:sz w:val="22"/>
          <w:szCs w:val="22"/>
        </w:rPr>
      </w:pPr>
      <w:r w:rsidRPr="00C0597B">
        <w:rPr>
          <w:b w:val="0"/>
          <w:i w:val="0"/>
          <w:sz w:val="22"/>
          <w:szCs w:val="22"/>
          <w:u w:val="single"/>
        </w:rPr>
        <w:t>Resorpcija</w:t>
      </w:r>
      <w:r w:rsidRPr="00C0597B">
        <w:rPr>
          <w:sz w:val="22"/>
          <w:szCs w:val="22"/>
        </w:rPr>
        <w:t xml:space="preserve"> </w:t>
      </w:r>
    </w:p>
    <w:p w14:paraId="095EF2B7" w14:textId="77777777" w:rsidR="00A91106" w:rsidRPr="003C7D36" w:rsidRDefault="00A91106" w:rsidP="00D77E03">
      <w:pPr>
        <w:pStyle w:val="ListParagraph"/>
        <w:keepNext/>
        <w:numPr>
          <w:ilvl w:val="0"/>
          <w:numId w:val="0"/>
        </w:numPr>
        <w:spacing w:before="0" w:after="0"/>
        <w:ind w:left="7"/>
        <w:jc w:val="both"/>
        <w:rPr>
          <w:color w:val="auto"/>
          <w:sz w:val="22"/>
          <w:szCs w:val="22"/>
        </w:rPr>
      </w:pPr>
    </w:p>
    <w:p w14:paraId="1A920204" w14:textId="25E9E938" w:rsidR="00B609B0" w:rsidRPr="003C7D36" w:rsidRDefault="0015529A" w:rsidP="00D77E03">
      <w:pPr>
        <w:pStyle w:val="ListParagraph"/>
        <w:keepNext/>
        <w:numPr>
          <w:ilvl w:val="0"/>
          <w:numId w:val="0"/>
        </w:numPr>
        <w:spacing w:before="0" w:after="0"/>
        <w:ind w:left="7"/>
        <w:jc w:val="both"/>
        <w:rPr>
          <w:color w:val="auto"/>
          <w:sz w:val="22"/>
          <w:szCs w:val="22"/>
        </w:rPr>
      </w:pPr>
      <w:r w:rsidRPr="00C0597B">
        <w:rPr>
          <w:color w:val="auto"/>
          <w:sz w:val="22"/>
          <w:szCs w:val="22"/>
        </w:rPr>
        <w:t>Maksimalna koncentracija lorlatiniba u plazmi se brzo dostiže sa medijanom T</w:t>
      </w:r>
      <w:r w:rsidRPr="00C0597B">
        <w:rPr>
          <w:color w:val="auto"/>
          <w:sz w:val="22"/>
          <w:szCs w:val="22"/>
          <w:vertAlign w:val="subscript"/>
        </w:rPr>
        <w:t>max</w:t>
      </w:r>
      <w:r w:rsidRPr="00C0597B">
        <w:rPr>
          <w:color w:val="auto"/>
          <w:sz w:val="22"/>
          <w:szCs w:val="22"/>
        </w:rPr>
        <w:t xml:space="preserve"> od 1,2 sata nako</w:t>
      </w:r>
      <w:r w:rsidR="005E50F8" w:rsidRPr="00822B86">
        <w:rPr>
          <w:color w:val="auto"/>
          <w:sz w:val="22"/>
          <w:szCs w:val="22"/>
        </w:rPr>
        <w:t>n</w:t>
      </w:r>
      <w:r w:rsidRPr="00822B86">
        <w:rPr>
          <w:color w:val="auto"/>
          <w:sz w:val="22"/>
          <w:szCs w:val="22"/>
        </w:rPr>
        <w:t xml:space="preserve"> primjene pojedinačne doze od 100 mg i 2</w:t>
      </w:r>
      <w:r w:rsidR="009C6767" w:rsidRPr="00446153">
        <w:rPr>
          <w:color w:val="auto"/>
          <w:sz w:val="22"/>
          <w:szCs w:val="22"/>
        </w:rPr>
        <w:t>,0</w:t>
      </w:r>
      <w:r w:rsidRPr="00446153">
        <w:rPr>
          <w:color w:val="auto"/>
          <w:sz w:val="22"/>
          <w:szCs w:val="22"/>
        </w:rPr>
        <w:t xml:space="preserve"> sata nakon višestruke doze od 100 mg jednom dnevno. </w:t>
      </w:r>
    </w:p>
    <w:p w14:paraId="6E641B62" w14:textId="77777777" w:rsidR="00B609B0" w:rsidRPr="003C7D36" w:rsidRDefault="00B609B0" w:rsidP="00D77E03">
      <w:pPr>
        <w:pStyle w:val="ListParagraph"/>
        <w:numPr>
          <w:ilvl w:val="0"/>
          <w:numId w:val="0"/>
        </w:numPr>
        <w:spacing w:before="0" w:after="0"/>
        <w:ind w:left="7"/>
        <w:jc w:val="both"/>
        <w:rPr>
          <w:color w:val="auto"/>
          <w:sz w:val="22"/>
          <w:szCs w:val="22"/>
        </w:rPr>
      </w:pPr>
    </w:p>
    <w:p w14:paraId="117B66D4" w14:textId="40F08118" w:rsidR="00B609B0" w:rsidRPr="003C7D36" w:rsidRDefault="00B609B0" w:rsidP="00D77E03">
      <w:pPr>
        <w:pStyle w:val="ListParagraph"/>
        <w:numPr>
          <w:ilvl w:val="0"/>
          <w:numId w:val="0"/>
        </w:numPr>
        <w:spacing w:before="0" w:after="0"/>
        <w:ind w:left="7"/>
        <w:jc w:val="both"/>
        <w:rPr>
          <w:rStyle w:val="BlueText"/>
          <w:color w:val="auto"/>
          <w:sz w:val="22"/>
          <w:szCs w:val="22"/>
        </w:rPr>
      </w:pPr>
      <w:r w:rsidRPr="00C0597B">
        <w:rPr>
          <w:color w:val="auto"/>
          <w:sz w:val="22"/>
          <w:szCs w:val="22"/>
        </w:rPr>
        <w:t>Nakon oralne primjene tablete lorlatiniba, srednja vrijednost apsolutne bioraspoloživosti iznosi 80,8% (90%</w:t>
      </w:r>
      <w:r w:rsidR="00E30313" w:rsidRPr="0031203A">
        <w:rPr>
          <w:sz w:val="22"/>
          <w:szCs w:val="22"/>
        </w:rPr>
        <w:t> </w:t>
      </w:r>
      <w:r w:rsidRPr="00C0597B">
        <w:rPr>
          <w:color w:val="auto"/>
          <w:sz w:val="22"/>
          <w:szCs w:val="22"/>
        </w:rPr>
        <w:t>CI: 75,7, 86,2) u poređenju sa intravenskom primjenom.</w:t>
      </w:r>
    </w:p>
    <w:p w14:paraId="46249FF8" w14:textId="77777777" w:rsidR="00B609B0" w:rsidRPr="003C7D36" w:rsidRDefault="00B609B0" w:rsidP="00D77E03">
      <w:pPr>
        <w:pStyle w:val="ListParagraph"/>
        <w:numPr>
          <w:ilvl w:val="0"/>
          <w:numId w:val="0"/>
        </w:numPr>
        <w:spacing w:before="0" w:after="0"/>
        <w:ind w:left="7"/>
        <w:jc w:val="both"/>
        <w:rPr>
          <w:rStyle w:val="BlueText"/>
          <w:color w:val="auto"/>
          <w:sz w:val="22"/>
          <w:szCs w:val="22"/>
        </w:rPr>
      </w:pPr>
    </w:p>
    <w:p w14:paraId="0619B57A" w14:textId="216E0753" w:rsidR="00F51DF3" w:rsidRPr="003C7D36" w:rsidRDefault="00147ECD" w:rsidP="00D77E03">
      <w:pPr>
        <w:pStyle w:val="ListParagraph"/>
        <w:numPr>
          <w:ilvl w:val="0"/>
          <w:numId w:val="0"/>
        </w:numPr>
        <w:spacing w:before="0" w:after="0"/>
        <w:ind w:left="7"/>
        <w:jc w:val="both"/>
        <w:rPr>
          <w:color w:val="auto"/>
          <w:sz w:val="22"/>
          <w:szCs w:val="22"/>
        </w:rPr>
      </w:pPr>
      <w:r w:rsidRPr="00C0597B">
        <w:rPr>
          <w:color w:val="auto"/>
          <w:sz w:val="22"/>
          <w:szCs w:val="22"/>
        </w:rPr>
        <w:t>Primjena lorlatiniba sa visokokaloričnim obrokom sa visokim udjelom masti imal</w:t>
      </w:r>
      <w:r w:rsidR="00D32ED6" w:rsidRPr="00C0597B">
        <w:rPr>
          <w:color w:val="auto"/>
          <w:sz w:val="22"/>
          <w:szCs w:val="22"/>
        </w:rPr>
        <w:t>a</w:t>
      </w:r>
      <w:r w:rsidRPr="00C0597B">
        <w:rPr>
          <w:color w:val="auto"/>
          <w:sz w:val="22"/>
          <w:szCs w:val="22"/>
        </w:rPr>
        <w:t xml:space="preserve"> je za rezultat 5% veću ekspoziciju u poređenju sa primj</w:t>
      </w:r>
      <w:r w:rsidRPr="00822B86">
        <w:rPr>
          <w:color w:val="auto"/>
          <w:sz w:val="22"/>
          <w:szCs w:val="22"/>
        </w:rPr>
        <w:t xml:space="preserve">enom našte. Lorlatinib se može primjenjivati sa ili bez hrane. </w:t>
      </w:r>
    </w:p>
    <w:p w14:paraId="2353CEA2" w14:textId="77777777" w:rsidR="00147ECD" w:rsidRPr="003C7D36" w:rsidRDefault="00147ECD" w:rsidP="00D77E03">
      <w:pPr>
        <w:pStyle w:val="ListParagraph"/>
        <w:numPr>
          <w:ilvl w:val="0"/>
          <w:numId w:val="0"/>
        </w:numPr>
        <w:spacing w:before="0" w:after="0"/>
        <w:ind w:left="7"/>
        <w:jc w:val="both"/>
        <w:rPr>
          <w:rStyle w:val="BlueText"/>
          <w:color w:val="auto"/>
          <w:sz w:val="22"/>
          <w:szCs w:val="22"/>
        </w:rPr>
      </w:pPr>
    </w:p>
    <w:p w14:paraId="612AD100" w14:textId="7622A5B4" w:rsidR="00147ECD" w:rsidRPr="003C7D36" w:rsidRDefault="00147ECD" w:rsidP="00D77E03">
      <w:pPr>
        <w:pStyle w:val="Paragraph"/>
        <w:spacing w:after="0"/>
        <w:jc w:val="both"/>
        <w:rPr>
          <w:sz w:val="22"/>
          <w:szCs w:val="22"/>
        </w:rPr>
      </w:pPr>
      <w:r w:rsidRPr="0031203A">
        <w:rPr>
          <w:sz w:val="22"/>
          <w:szCs w:val="22"/>
        </w:rPr>
        <w:t>Pri dozi od 100 mg jednom dnevno, geometrijska sredina (% koeficijent varijacije [CV]) maksimalne koncentracije u plazmi iznosila je 577 (42) ng/ml, dok je AUC</w:t>
      </w:r>
      <w:r w:rsidRPr="00C0597B">
        <w:rPr>
          <w:sz w:val="22"/>
          <w:szCs w:val="22"/>
          <w:vertAlign w:val="subscript"/>
        </w:rPr>
        <w:t>24</w:t>
      </w:r>
      <w:r w:rsidRPr="00C0597B">
        <w:rPr>
          <w:sz w:val="22"/>
          <w:szCs w:val="22"/>
        </w:rPr>
        <w:t xml:space="preserve"> bila 5.650 (39) ng·h/ml kod pacijenata sa </w:t>
      </w:r>
      <w:r w:rsidR="00E5439B" w:rsidRPr="00822B86">
        <w:rPr>
          <w:sz w:val="22"/>
          <w:szCs w:val="22"/>
        </w:rPr>
        <w:t>kancerom</w:t>
      </w:r>
      <w:r w:rsidRPr="00822B86">
        <w:rPr>
          <w:sz w:val="22"/>
          <w:szCs w:val="22"/>
        </w:rPr>
        <w:t>. Geometrijska sredina (% CV) klirensa nakon oralne upotrebe bila je 17,7 (39) l/h.</w:t>
      </w:r>
    </w:p>
    <w:p w14:paraId="42A0D706" w14:textId="77777777" w:rsidR="00147ECD" w:rsidRPr="003C7D36" w:rsidRDefault="00147ECD" w:rsidP="00D77E03">
      <w:pPr>
        <w:pStyle w:val="Paragraph"/>
        <w:spacing w:after="0"/>
        <w:jc w:val="both"/>
        <w:rPr>
          <w:b/>
          <w:sz w:val="22"/>
          <w:szCs w:val="22"/>
        </w:rPr>
      </w:pPr>
    </w:p>
    <w:p w14:paraId="2F65DBD8" w14:textId="77777777" w:rsidR="00147ECD" w:rsidRPr="003C7D36" w:rsidRDefault="00D11089" w:rsidP="00D77E03">
      <w:pPr>
        <w:pStyle w:val="StyleHeading2Titre212H2GulliverGemenFetArial12pt"/>
        <w:spacing w:before="0" w:after="0"/>
        <w:jc w:val="both"/>
        <w:rPr>
          <w:sz w:val="22"/>
          <w:szCs w:val="22"/>
        </w:rPr>
      </w:pPr>
      <w:r w:rsidRPr="00C0597B">
        <w:rPr>
          <w:b w:val="0"/>
          <w:i w:val="0"/>
          <w:sz w:val="22"/>
          <w:szCs w:val="22"/>
          <w:u w:val="single"/>
        </w:rPr>
        <w:t>Distribucija</w:t>
      </w:r>
    </w:p>
    <w:p w14:paraId="71AFBF10" w14:textId="77777777" w:rsidR="00A91106" w:rsidRPr="003C7D36" w:rsidRDefault="00A91106" w:rsidP="00D77E03">
      <w:pPr>
        <w:pStyle w:val="Paragraph"/>
        <w:keepNext/>
        <w:spacing w:after="0"/>
        <w:jc w:val="both"/>
        <w:rPr>
          <w:sz w:val="22"/>
          <w:szCs w:val="22"/>
        </w:rPr>
      </w:pPr>
    </w:p>
    <w:p w14:paraId="7E41C198" w14:textId="77777777" w:rsidR="00147ECD" w:rsidRPr="003C7D36" w:rsidRDefault="00147ECD" w:rsidP="00D77E03">
      <w:pPr>
        <w:pStyle w:val="Paragraph"/>
        <w:keepNext/>
        <w:spacing w:after="0"/>
        <w:jc w:val="both"/>
        <w:rPr>
          <w:rStyle w:val="BlueText"/>
          <w:color w:val="auto"/>
          <w:sz w:val="22"/>
          <w:szCs w:val="22"/>
        </w:rPr>
      </w:pPr>
      <w:r w:rsidRPr="0031203A">
        <w:rPr>
          <w:i/>
          <w:sz w:val="22"/>
          <w:szCs w:val="22"/>
        </w:rPr>
        <w:t>In vitro</w:t>
      </w:r>
      <w:r w:rsidRPr="00C0597B">
        <w:rPr>
          <w:sz w:val="22"/>
          <w:szCs w:val="22"/>
        </w:rPr>
        <w:t xml:space="preserve"> vezivanje lorlatiniba za proteine humane plazme je 66% sa umjerenim vezivanjem za albumine ili za α</w:t>
      </w:r>
      <w:r w:rsidRPr="00822B86">
        <w:rPr>
          <w:sz w:val="22"/>
          <w:szCs w:val="22"/>
          <w:vertAlign w:val="subscript"/>
        </w:rPr>
        <w:t>1</w:t>
      </w:r>
      <w:r w:rsidRPr="00822B86">
        <w:rPr>
          <w:sz w:val="22"/>
          <w:szCs w:val="22"/>
        </w:rPr>
        <w:noBreakHyphen/>
        <w:t>kiseli glikoprotein.</w:t>
      </w:r>
      <w:r w:rsidRPr="00822B86">
        <w:rPr>
          <w:rStyle w:val="BlueText"/>
          <w:color w:val="auto"/>
          <w:sz w:val="22"/>
          <w:szCs w:val="22"/>
        </w:rPr>
        <w:t xml:space="preserve"> </w:t>
      </w:r>
    </w:p>
    <w:p w14:paraId="3BACDCEE" w14:textId="77777777" w:rsidR="00147ECD" w:rsidRPr="003C7D36" w:rsidRDefault="00147ECD" w:rsidP="00D77E03">
      <w:pPr>
        <w:pStyle w:val="Paragraph"/>
        <w:spacing w:after="0"/>
        <w:jc w:val="both"/>
        <w:rPr>
          <w:sz w:val="22"/>
          <w:szCs w:val="22"/>
        </w:rPr>
      </w:pPr>
    </w:p>
    <w:p w14:paraId="71A461E9" w14:textId="77777777" w:rsidR="00147ECD" w:rsidRPr="003C7D36" w:rsidRDefault="00C520FD" w:rsidP="00D77E03">
      <w:pPr>
        <w:pStyle w:val="StyleHeading2Titre212H2GulliverGemenFetArial12pt"/>
        <w:spacing w:before="0" w:after="0"/>
        <w:jc w:val="both"/>
        <w:rPr>
          <w:sz w:val="22"/>
          <w:szCs w:val="22"/>
        </w:rPr>
      </w:pPr>
      <w:r w:rsidRPr="00C0597B">
        <w:rPr>
          <w:b w:val="0"/>
          <w:i w:val="0"/>
          <w:sz w:val="22"/>
          <w:szCs w:val="22"/>
          <w:u w:val="single"/>
        </w:rPr>
        <w:t>Biotransformacija</w:t>
      </w:r>
    </w:p>
    <w:p w14:paraId="4A4D247A" w14:textId="77777777" w:rsidR="00A91106" w:rsidRPr="003C7D36" w:rsidRDefault="00A91106" w:rsidP="00D77E03">
      <w:pPr>
        <w:pStyle w:val="Paragraph"/>
        <w:keepNext/>
        <w:spacing w:after="0"/>
        <w:jc w:val="both"/>
        <w:rPr>
          <w:iCs/>
          <w:sz w:val="22"/>
          <w:szCs w:val="22"/>
        </w:rPr>
      </w:pPr>
    </w:p>
    <w:p w14:paraId="0C7D277A" w14:textId="77777777" w:rsidR="002B5FFD" w:rsidRPr="003C7D36" w:rsidRDefault="00147ECD" w:rsidP="00D77E03">
      <w:pPr>
        <w:pStyle w:val="Paragraph"/>
        <w:keepNext/>
        <w:spacing w:after="0"/>
        <w:jc w:val="both"/>
        <w:rPr>
          <w:rStyle w:val="BlueText"/>
          <w:color w:val="auto"/>
          <w:sz w:val="22"/>
          <w:szCs w:val="22"/>
        </w:rPr>
      </w:pPr>
      <w:r w:rsidRPr="0031203A">
        <w:rPr>
          <w:sz w:val="22"/>
          <w:szCs w:val="22"/>
        </w:rPr>
        <w:t>Kod ljudi, lorlatinib podliježe oksidaciji i glukuronidaciji kao primarnim metaboličkim putevima</w:t>
      </w:r>
      <w:r w:rsidRPr="00C0597B">
        <w:rPr>
          <w:i/>
          <w:sz w:val="22"/>
          <w:szCs w:val="22"/>
        </w:rPr>
        <w:t>. In vitro</w:t>
      </w:r>
      <w:r w:rsidRPr="00822B86">
        <w:rPr>
          <w:sz w:val="22"/>
          <w:szCs w:val="22"/>
        </w:rPr>
        <w:t xml:space="preserve"> podaci pokazuju da se lorlatinib prvenstveno metaboliše putem CYP3A4 i UGT1A4 s manjim doprinosima CYP2C8, CYP2C19, CYP3A5 i UGT1A3.</w:t>
      </w:r>
      <w:r w:rsidRPr="00822B86">
        <w:rPr>
          <w:rStyle w:val="BlueText"/>
          <w:color w:val="auto"/>
          <w:sz w:val="22"/>
          <w:szCs w:val="22"/>
        </w:rPr>
        <w:t xml:space="preserve"> </w:t>
      </w:r>
    </w:p>
    <w:p w14:paraId="38602DEA" w14:textId="77777777" w:rsidR="00C97F5F" w:rsidRPr="003C7D36" w:rsidRDefault="00C97F5F" w:rsidP="00D77E03">
      <w:pPr>
        <w:pStyle w:val="Paragraph"/>
        <w:spacing w:after="0"/>
        <w:jc w:val="both"/>
        <w:rPr>
          <w:sz w:val="22"/>
          <w:szCs w:val="22"/>
        </w:rPr>
      </w:pPr>
    </w:p>
    <w:p w14:paraId="5CCE457E" w14:textId="77777777" w:rsidR="003B5820" w:rsidRPr="003C7D36" w:rsidRDefault="003B5820" w:rsidP="00D77E03">
      <w:pPr>
        <w:pStyle w:val="Paragraph"/>
        <w:spacing w:after="0"/>
        <w:jc w:val="both"/>
        <w:rPr>
          <w:sz w:val="22"/>
          <w:szCs w:val="22"/>
        </w:rPr>
      </w:pPr>
      <w:r w:rsidRPr="00C0597B">
        <w:rPr>
          <w:sz w:val="22"/>
          <w:szCs w:val="22"/>
        </w:rPr>
        <w:t>U plazmi je metabolit benzoatne kiseline, dobijen oksidativnim cijepanjem amidnih i aromatskih eterskih veza lorlatiniba, registrovan kao glavni metabolit odgovoran za 21% cirkulišuće radioaktivnosti. Metabolit oksidativnog cijepanja farmakološki je neaktivan.</w:t>
      </w:r>
    </w:p>
    <w:p w14:paraId="704CEAA8" w14:textId="77777777" w:rsidR="003B5820" w:rsidRPr="003C7D36" w:rsidRDefault="003B5820" w:rsidP="00D77E03">
      <w:pPr>
        <w:pStyle w:val="Paragraph"/>
        <w:spacing w:after="0"/>
        <w:jc w:val="both"/>
        <w:rPr>
          <w:sz w:val="22"/>
          <w:szCs w:val="22"/>
        </w:rPr>
      </w:pPr>
    </w:p>
    <w:p w14:paraId="51D320D9" w14:textId="77777777" w:rsidR="00156305" w:rsidRPr="003C7D36" w:rsidRDefault="00156305" w:rsidP="00D77E03">
      <w:pPr>
        <w:pStyle w:val="Paragraph"/>
        <w:spacing w:after="0"/>
        <w:jc w:val="both"/>
        <w:rPr>
          <w:rStyle w:val="BlueText"/>
          <w:color w:val="auto"/>
          <w:sz w:val="22"/>
          <w:szCs w:val="22"/>
          <w:u w:val="single"/>
        </w:rPr>
      </w:pPr>
      <w:r w:rsidRPr="00C0597B">
        <w:rPr>
          <w:rStyle w:val="BlueText"/>
          <w:color w:val="auto"/>
          <w:sz w:val="22"/>
          <w:szCs w:val="22"/>
          <w:u w:val="single"/>
        </w:rPr>
        <w:t>Eliminacija</w:t>
      </w:r>
    </w:p>
    <w:p w14:paraId="2B9FFB60" w14:textId="77777777" w:rsidR="00156305" w:rsidRPr="003C7D36" w:rsidRDefault="00156305" w:rsidP="00D77E03">
      <w:pPr>
        <w:pStyle w:val="Paragraph"/>
        <w:spacing w:after="0"/>
        <w:jc w:val="both"/>
        <w:rPr>
          <w:sz w:val="22"/>
          <w:szCs w:val="22"/>
        </w:rPr>
      </w:pPr>
    </w:p>
    <w:p w14:paraId="337B63D9" w14:textId="6C4747C0" w:rsidR="00A92A82" w:rsidRPr="003C7D36" w:rsidRDefault="003B5820" w:rsidP="00D77E03">
      <w:pPr>
        <w:pStyle w:val="Paragraph"/>
        <w:spacing w:after="0"/>
        <w:jc w:val="both"/>
        <w:rPr>
          <w:sz w:val="22"/>
          <w:szCs w:val="22"/>
        </w:rPr>
      </w:pPr>
      <w:r w:rsidRPr="00C0597B">
        <w:rPr>
          <w:sz w:val="22"/>
          <w:szCs w:val="22"/>
        </w:rPr>
        <w:t xml:space="preserve">Poluživot lorlatiniba u plazmi nakon doze od 100 mg bio je 23,6 sata. </w:t>
      </w:r>
      <w:r w:rsidR="009F572F" w:rsidRPr="00C0597B">
        <w:rPr>
          <w:sz w:val="22"/>
          <w:szCs w:val="22"/>
        </w:rPr>
        <w:t>Procijenjen</w:t>
      </w:r>
      <w:r w:rsidR="00D532F1">
        <w:rPr>
          <w:sz w:val="22"/>
          <w:szCs w:val="22"/>
        </w:rPr>
        <w:t>o</w:t>
      </w:r>
      <w:r w:rsidR="009F572F" w:rsidRPr="00C0597B">
        <w:rPr>
          <w:sz w:val="22"/>
          <w:szCs w:val="22"/>
        </w:rPr>
        <w:t xml:space="preserve"> efektivn</w:t>
      </w:r>
      <w:r w:rsidR="00D532F1">
        <w:rPr>
          <w:sz w:val="22"/>
          <w:szCs w:val="22"/>
        </w:rPr>
        <w:t>o</w:t>
      </w:r>
      <w:r w:rsidR="009F572F" w:rsidRPr="00C0597B">
        <w:rPr>
          <w:sz w:val="22"/>
          <w:szCs w:val="22"/>
        </w:rPr>
        <w:t xml:space="preserve"> </w:t>
      </w:r>
      <w:r w:rsidR="00D532F1" w:rsidRPr="00822B86">
        <w:rPr>
          <w:sz w:val="22"/>
          <w:szCs w:val="22"/>
        </w:rPr>
        <w:t>p</w:t>
      </w:r>
      <w:r w:rsidR="00D532F1">
        <w:rPr>
          <w:sz w:val="22"/>
          <w:szCs w:val="22"/>
        </w:rPr>
        <w:t xml:space="preserve">oluvrijeme eliminacije </w:t>
      </w:r>
      <w:r w:rsidR="009F572F" w:rsidRPr="00C0597B">
        <w:rPr>
          <w:sz w:val="22"/>
          <w:szCs w:val="22"/>
        </w:rPr>
        <w:t>lorlatinib</w:t>
      </w:r>
      <w:r w:rsidR="00277845" w:rsidRPr="00C0597B">
        <w:rPr>
          <w:sz w:val="22"/>
          <w:szCs w:val="22"/>
        </w:rPr>
        <w:t>a</w:t>
      </w:r>
      <w:r w:rsidR="009F572F" w:rsidRPr="00C0597B">
        <w:rPr>
          <w:sz w:val="22"/>
          <w:szCs w:val="22"/>
        </w:rPr>
        <w:t xml:space="preserve"> u plazmi </w:t>
      </w:r>
      <w:r w:rsidR="00EC6FBC" w:rsidRPr="00822B86">
        <w:rPr>
          <w:sz w:val="22"/>
          <w:szCs w:val="22"/>
        </w:rPr>
        <w:t xml:space="preserve">u </w:t>
      </w:r>
      <w:r w:rsidR="009F572F" w:rsidRPr="00822B86">
        <w:rPr>
          <w:sz w:val="22"/>
          <w:szCs w:val="22"/>
        </w:rPr>
        <w:t xml:space="preserve">stanju </w:t>
      </w:r>
      <w:r w:rsidR="00EC6FBC" w:rsidRPr="00822B86">
        <w:rPr>
          <w:sz w:val="22"/>
          <w:szCs w:val="22"/>
        </w:rPr>
        <w:t xml:space="preserve">dinamičke ravnoteže </w:t>
      </w:r>
      <w:r w:rsidR="009F572F" w:rsidRPr="00446153">
        <w:rPr>
          <w:sz w:val="22"/>
          <w:szCs w:val="22"/>
        </w:rPr>
        <w:t>nakon završetka autoindukcije bi</w:t>
      </w:r>
      <w:r w:rsidR="00D532F1">
        <w:rPr>
          <w:sz w:val="22"/>
          <w:szCs w:val="22"/>
        </w:rPr>
        <w:t>l</w:t>
      </w:r>
      <w:r w:rsidR="009F572F" w:rsidRPr="00C0597B">
        <w:rPr>
          <w:sz w:val="22"/>
          <w:szCs w:val="22"/>
        </w:rPr>
        <w:t xml:space="preserve">o je 14,83 sata. </w:t>
      </w:r>
      <w:r w:rsidRPr="00C0597B">
        <w:rPr>
          <w:sz w:val="22"/>
          <w:szCs w:val="22"/>
        </w:rPr>
        <w:t xml:space="preserve">Nakon oralne primjene radioaktivno obilježene doze lorlatiniba od 100 mg, srednja vrijednost radioaktivnosti otkrivene u urinu bila je 47,7%, a u stolici 40,9% te je srednja vrijednost ukupno registrovane radioaktivnosti iznosila 88,6%. </w:t>
      </w:r>
      <w:r w:rsidRPr="00C0597B">
        <w:rPr>
          <w:b/>
          <w:sz w:val="22"/>
          <w:szCs w:val="22"/>
          <w:vertAlign w:val="superscript"/>
        </w:rPr>
        <w:t xml:space="preserve"> </w:t>
      </w:r>
    </w:p>
    <w:p w14:paraId="1FB24ABC" w14:textId="77777777" w:rsidR="00A92A82" w:rsidRPr="003C7D36" w:rsidRDefault="00A92A82" w:rsidP="00D77E03">
      <w:pPr>
        <w:pStyle w:val="Paragraph"/>
        <w:spacing w:after="0"/>
        <w:jc w:val="both"/>
        <w:rPr>
          <w:sz w:val="22"/>
          <w:szCs w:val="22"/>
        </w:rPr>
      </w:pPr>
    </w:p>
    <w:p w14:paraId="53BA81D4" w14:textId="10587207" w:rsidR="0063627E" w:rsidRPr="003C7D36" w:rsidRDefault="00147ECD" w:rsidP="00D77E03">
      <w:pPr>
        <w:pStyle w:val="Paragraph"/>
        <w:spacing w:after="0"/>
        <w:jc w:val="both"/>
        <w:rPr>
          <w:sz w:val="22"/>
          <w:szCs w:val="22"/>
        </w:rPr>
      </w:pPr>
      <w:r w:rsidRPr="00C0597B">
        <w:rPr>
          <w:sz w:val="22"/>
          <w:szCs w:val="22"/>
        </w:rPr>
        <w:t xml:space="preserve">Nepromijenjeni lorlatinib je bio glavna komponenta u ljudskoj plazmi i stolici sa 44%, odnosno 9,1% ukupno izračunate radioaktivnosti. Manje od 1% nepromijenjenog lorlatiniba detektovano je u urinu. </w:t>
      </w:r>
    </w:p>
    <w:p w14:paraId="35139029" w14:textId="77777777" w:rsidR="0063627E" w:rsidRPr="003C7D36" w:rsidRDefault="0063627E" w:rsidP="00D77E03">
      <w:pPr>
        <w:pStyle w:val="Paragraph"/>
        <w:spacing w:after="0"/>
        <w:jc w:val="both"/>
        <w:rPr>
          <w:sz w:val="22"/>
          <w:szCs w:val="22"/>
        </w:rPr>
      </w:pPr>
    </w:p>
    <w:p w14:paraId="62947E55" w14:textId="6825E7A7" w:rsidR="00D14057" w:rsidRPr="00822B86" w:rsidRDefault="0063627E" w:rsidP="00D77E03">
      <w:pPr>
        <w:pStyle w:val="Paragraph"/>
        <w:spacing w:after="0"/>
        <w:jc w:val="both"/>
        <w:rPr>
          <w:sz w:val="22"/>
          <w:szCs w:val="22"/>
        </w:rPr>
      </w:pPr>
      <w:r w:rsidRPr="00C0597B">
        <w:rPr>
          <w:sz w:val="22"/>
          <w:szCs w:val="22"/>
        </w:rPr>
        <w:t>Osim toga, lorlatinib je induktor putem ljudskog receptora za pregnan</w:t>
      </w:r>
      <w:r w:rsidRPr="00C0597B">
        <w:rPr>
          <w:sz w:val="22"/>
          <w:szCs w:val="22"/>
        </w:rPr>
        <w:noBreakHyphen/>
        <w:t>X</w:t>
      </w:r>
      <w:r w:rsidRPr="00C0597B">
        <w:rPr>
          <w:sz w:val="22"/>
          <w:szCs w:val="22"/>
        </w:rPr>
        <w:noBreakHyphen/>
      </w:r>
      <w:r w:rsidR="009B0C02" w:rsidRPr="00C0597B">
        <w:rPr>
          <w:sz w:val="22"/>
          <w:szCs w:val="22"/>
        </w:rPr>
        <w:t>receptor</w:t>
      </w:r>
      <w:r w:rsidRPr="00822B86">
        <w:rPr>
          <w:sz w:val="22"/>
          <w:szCs w:val="22"/>
        </w:rPr>
        <w:t xml:space="preserve"> (PXR) i humanog konstitutivnog receptora za androstan (CAR).  </w:t>
      </w:r>
    </w:p>
    <w:p w14:paraId="1134EFDA" w14:textId="77777777" w:rsidR="00CF7EF6" w:rsidRPr="0031203A" w:rsidRDefault="00CF7EF6" w:rsidP="00D77E03">
      <w:pPr>
        <w:pStyle w:val="Paragraph"/>
        <w:spacing w:after="0"/>
        <w:jc w:val="both"/>
        <w:rPr>
          <w:sz w:val="22"/>
          <w:szCs w:val="22"/>
          <w:u w:val="single"/>
        </w:rPr>
      </w:pPr>
    </w:p>
    <w:p w14:paraId="12D58A5C" w14:textId="7638229B" w:rsidR="004D3966" w:rsidRPr="00C0597B" w:rsidRDefault="004D3966" w:rsidP="00D77E03">
      <w:pPr>
        <w:jc w:val="both"/>
        <w:rPr>
          <w:szCs w:val="22"/>
          <w:u w:val="single"/>
        </w:rPr>
      </w:pPr>
      <w:r w:rsidRPr="00C0597B">
        <w:rPr>
          <w:szCs w:val="22"/>
          <w:u w:val="single"/>
        </w:rPr>
        <w:t>Linearnost/nelinearnost</w:t>
      </w:r>
    </w:p>
    <w:p w14:paraId="2529A040" w14:textId="77777777" w:rsidR="004D3966" w:rsidRPr="003C7D36" w:rsidRDefault="004D3966" w:rsidP="00D77E03">
      <w:pPr>
        <w:keepNext/>
        <w:numPr>
          <w:ilvl w:val="12"/>
          <w:numId w:val="0"/>
        </w:numPr>
        <w:spacing w:line="240" w:lineRule="auto"/>
        <w:jc w:val="both"/>
        <w:rPr>
          <w:szCs w:val="22"/>
        </w:rPr>
      </w:pPr>
    </w:p>
    <w:p w14:paraId="48F56CE6" w14:textId="66FDAEFF" w:rsidR="004D3966" w:rsidRPr="003C7D36" w:rsidRDefault="004D3966" w:rsidP="00D77E03">
      <w:pPr>
        <w:keepNext/>
        <w:numPr>
          <w:ilvl w:val="12"/>
          <w:numId w:val="0"/>
        </w:numPr>
        <w:spacing w:line="240" w:lineRule="auto"/>
        <w:jc w:val="both"/>
        <w:rPr>
          <w:szCs w:val="22"/>
        </w:rPr>
      </w:pPr>
      <w:r w:rsidRPr="00C0597B">
        <w:rPr>
          <w:szCs w:val="22"/>
        </w:rPr>
        <w:t>Pri primjeni pojedinačne doze, sistemska izloženost lorlatinib</w:t>
      </w:r>
      <w:r w:rsidR="00EC6FBC" w:rsidRPr="00C0597B">
        <w:rPr>
          <w:szCs w:val="22"/>
        </w:rPr>
        <w:t>u</w:t>
      </w:r>
      <w:r w:rsidRPr="00C0597B">
        <w:rPr>
          <w:szCs w:val="22"/>
        </w:rPr>
        <w:t xml:space="preserve"> (AUC</w:t>
      </w:r>
      <w:r w:rsidRPr="00822B86">
        <w:rPr>
          <w:szCs w:val="22"/>
          <w:vertAlign w:val="subscript"/>
        </w:rPr>
        <w:t>inf</w:t>
      </w:r>
      <w:r w:rsidRPr="00822B86">
        <w:rPr>
          <w:szCs w:val="22"/>
        </w:rPr>
        <w:t xml:space="preserve"> i C</w:t>
      </w:r>
      <w:r w:rsidRPr="00822B86">
        <w:rPr>
          <w:szCs w:val="22"/>
          <w:vertAlign w:val="subscript"/>
        </w:rPr>
        <w:t>max</w:t>
      </w:r>
      <w:r w:rsidRPr="00446153">
        <w:rPr>
          <w:szCs w:val="22"/>
        </w:rPr>
        <w:t>) se povećavala na dozno</w:t>
      </w:r>
      <w:r w:rsidRPr="00446153">
        <w:rPr>
          <w:szCs w:val="22"/>
        </w:rPr>
        <w:noBreakHyphen/>
        <w:t>zavisan način u rasponu doza od 10 do 200 mg. Malo podataka je dostupno van opsega doza 10 do 200 mg; međutim, nije primijećena devijacija od linearnosti za AUC</w:t>
      </w:r>
      <w:r w:rsidRPr="0093305C">
        <w:rPr>
          <w:szCs w:val="22"/>
          <w:vertAlign w:val="subscript"/>
        </w:rPr>
        <w:t>inf</w:t>
      </w:r>
      <w:r w:rsidRPr="0093305C">
        <w:rPr>
          <w:szCs w:val="22"/>
        </w:rPr>
        <w:t xml:space="preserve"> i C</w:t>
      </w:r>
      <w:r w:rsidRPr="0093305C">
        <w:rPr>
          <w:szCs w:val="22"/>
          <w:vertAlign w:val="subscript"/>
        </w:rPr>
        <w:t>max</w:t>
      </w:r>
      <w:r w:rsidRPr="0093305C">
        <w:rPr>
          <w:szCs w:val="22"/>
        </w:rPr>
        <w:t xml:space="preserve"> nakon pojedinačne doze.</w:t>
      </w:r>
    </w:p>
    <w:p w14:paraId="0A5F8F7F" w14:textId="77777777" w:rsidR="000D651C" w:rsidRPr="003C7D36" w:rsidRDefault="000D651C" w:rsidP="00D77E03">
      <w:pPr>
        <w:numPr>
          <w:ilvl w:val="12"/>
          <w:numId w:val="0"/>
        </w:numPr>
        <w:spacing w:line="240" w:lineRule="auto"/>
        <w:ind w:right="-2"/>
        <w:jc w:val="both"/>
        <w:rPr>
          <w:szCs w:val="22"/>
        </w:rPr>
      </w:pPr>
    </w:p>
    <w:p w14:paraId="53A2DC23" w14:textId="76748A0E" w:rsidR="000017BD" w:rsidRPr="003C7D36" w:rsidRDefault="000017BD" w:rsidP="00D77E03">
      <w:pPr>
        <w:numPr>
          <w:ilvl w:val="12"/>
          <w:numId w:val="0"/>
        </w:numPr>
        <w:spacing w:line="240" w:lineRule="auto"/>
        <w:ind w:right="-2"/>
        <w:jc w:val="both"/>
        <w:rPr>
          <w:szCs w:val="22"/>
        </w:rPr>
      </w:pPr>
      <w:r w:rsidRPr="00C0597B">
        <w:rPr>
          <w:szCs w:val="22"/>
        </w:rPr>
        <w:t>Nakon višestruke primjene doze jednom dnevno, C</w:t>
      </w:r>
      <w:r w:rsidRPr="00C0597B">
        <w:rPr>
          <w:szCs w:val="22"/>
          <w:vertAlign w:val="subscript"/>
        </w:rPr>
        <w:t>max</w:t>
      </w:r>
      <w:r w:rsidRPr="00C0597B">
        <w:rPr>
          <w:szCs w:val="22"/>
        </w:rPr>
        <w:t xml:space="preserve"> lorlatiniba se povećala proporcionalno dozi, a AUC</w:t>
      </w:r>
      <w:r w:rsidRPr="00822B86">
        <w:rPr>
          <w:szCs w:val="22"/>
          <w:vertAlign w:val="subscript"/>
        </w:rPr>
        <w:t xml:space="preserve">tau </w:t>
      </w:r>
      <w:r w:rsidRPr="00822B86">
        <w:rPr>
          <w:szCs w:val="22"/>
        </w:rPr>
        <w:t>se povećala, ali nešto manje proporcionalno van opsega doza od 10 do 200 mg jednom dnevno.</w:t>
      </w:r>
    </w:p>
    <w:p w14:paraId="0D4CB71E" w14:textId="77777777" w:rsidR="00B00720" w:rsidRPr="003C7D36" w:rsidRDefault="00B00720" w:rsidP="00D77E03">
      <w:pPr>
        <w:numPr>
          <w:ilvl w:val="12"/>
          <w:numId w:val="0"/>
        </w:numPr>
        <w:spacing w:line="240" w:lineRule="auto"/>
        <w:ind w:right="-2"/>
        <w:jc w:val="both"/>
        <w:rPr>
          <w:szCs w:val="22"/>
        </w:rPr>
      </w:pPr>
    </w:p>
    <w:p w14:paraId="5319AC40" w14:textId="19A4BE52" w:rsidR="004D3966" w:rsidRPr="003C7D36" w:rsidRDefault="004D3966" w:rsidP="00D77E03">
      <w:pPr>
        <w:numPr>
          <w:ilvl w:val="12"/>
          <w:numId w:val="0"/>
        </w:numPr>
        <w:spacing w:line="240" w:lineRule="auto"/>
        <w:ind w:right="-2"/>
        <w:jc w:val="both"/>
        <w:rPr>
          <w:iCs/>
          <w:szCs w:val="22"/>
        </w:rPr>
      </w:pPr>
      <w:r w:rsidRPr="00C0597B">
        <w:rPr>
          <w:szCs w:val="22"/>
        </w:rPr>
        <w:t xml:space="preserve">Isto tako, izloženosti lorlatinibu u plazmi u stanju dinamičke ravnoteže niže su od onih očekivanih kod farmakokinetike pojedinačne doze, što ukazuje na neto efekat autoindukcije koji je zavisan od vremena. </w:t>
      </w:r>
    </w:p>
    <w:p w14:paraId="1AF1EF7D" w14:textId="77777777" w:rsidR="000D651C" w:rsidRPr="003C7D36" w:rsidRDefault="000D651C" w:rsidP="00D77E03">
      <w:pPr>
        <w:jc w:val="both"/>
        <w:rPr>
          <w:rStyle w:val="BlueText"/>
          <w:color w:val="auto"/>
          <w:szCs w:val="22"/>
        </w:rPr>
      </w:pPr>
    </w:p>
    <w:p w14:paraId="4E7D58E3" w14:textId="77777777" w:rsidR="00CB4592" w:rsidRPr="003C7D36" w:rsidRDefault="0051511A" w:rsidP="00D77E03">
      <w:pPr>
        <w:pStyle w:val="Paragraph"/>
        <w:keepNext/>
        <w:spacing w:after="0"/>
        <w:jc w:val="both"/>
        <w:rPr>
          <w:sz w:val="22"/>
          <w:szCs w:val="22"/>
          <w:u w:val="single"/>
        </w:rPr>
      </w:pPr>
      <w:r w:rsidRPr="0031203A">
        <w:rPr>
          <w:sz w:val="22"/>
          <w:szCs w:val="22"/>
          <w:u w:val="single"/>
        </w:rPr>
        <w:t>Oštećenje funkcije jetre</w:t>
      </w:r>
    </w:p>
    <w:p w14:paraId="39C7EB6F" w14:textId="77777777" w:rsidR="00A91106" w:rsidRPr="003C7D36" w:rsidRDefault="00A91106" w:rsidP="00D77E03">
      <w:pPr>
        <w:pStyle w:val="Paragraph"/>
        <w:keepNext/>
        <w:tabs>
          <w:tab w:val="left" w:pos="1350"/>
        </w:tabs>
        <w:spacing w:after="0"/>
        <w:jc w:val="both"/>
        <w:rPr>
          <w:sz w:val="22"/>
          <w:szCs w:val="22"/>
        </w:rPr>
      </w:pPr>
    </w:p>
    <w:p w14:paraId="459FDB8A" w14:textId="2B68B4D0" w:rsidR="0051511A" w:rsidRPr="003C7D36" w:rsidRDefault="00E22965" w:rsidP="00D77E03">
      <w:pPr>
        <w:pStyle w:val="Paragraph"/>
        <w:keepNext/>
        <w:tabs>
          <w:tab w:val="left" w:pos="1350"/>
        </w:tabs>
        <w:spacing w:after="0"/>
        <w:jc w:val="both"/>
        <w:rPr>
          <w:sz w:val="22"/>
          <w:szCs w:val="22"/>
        </w:rPr>
      </w:pPr>
      <w:r w:rsidRPr="00C0597B">
        <w:rPr>
          <w:sz w:val="22"/>
          <w:szCs w:val="22"/>
        </w:rPr>
        <w:t xml:space="preserve">S obzirom na to da se lorlatinib metaboliše u jetri, oštećenje funkcije jetre </w:t>
      </w:r>
      <w:r w:rsidR="009B0C02" w:rsidRPr="00C0597B">
        <w:rPr>
          <w:sz w:val="22"/>
          <w:szCs w:val="22"/>
        </w:rPr>
        <w:t xml:space="preserve">će vjerovatno </w:t>
      </w:r>
      <w:r w:rsidRPr="00C0597B">
        <w:rPr>
          <w:sz w:val="22"/>
          <w:szCs w:val="22"/>
        </w:rPr>
        <w:t>povećati koncentracije lorlatiniba u plazmi. U kliničkim studijama koje su rađene ni</w:t>
      </w:r>
      <w:r w:rsidR="009C218E" w:rsidRPr="00822B86">
        <w:rPr>
          <w:sz w:val="22"/>
          <w:szCs w:val="22"/>
        </w:rPr>
        <w:t>je</w:t>
      </w:r>
      <w:r w:rsidRPr="00822B86">
        <w:rPr>
          <w:sz w:val="22"/>
          <w:szCs w:val="22"/>
        </w:rPr>
        <w:t>su bili uključeni pacijenti koji su imali vrijednosti AST ili ALT &gt; 2,5 × GGN, odnosno &gt; 5,0 × GGN ako je to uzrokovano osnovnom malignom bolešću ili sa ukupnim bilirubinom &gt; 1,5 × GGN. Populacijske farmakokinetičke analize pokazale su da se izloženost lorlatinibu</w:t>
      </w:r>
      <w:r w:rsidRPr="00446153">
        <w:rPr>
          <w:sz w:val="22"/>
          <w:szCs w:val="22"/>
        </w:rPr>
        <w:t xml:space="preserve"> nije klinički značajno promijenila kod pacijenata sa blagim oštećenjem funkcije jetre (n = 50). Ne preporučuje se prilagođavanje doze kod pacijenata sa blagim oštećenjem funkcije jetre. Ni</w:t>
      </w:r>
      <w:r w:rsidR="009C218E" w:rsidRPr="0093305C">
        <w:rPr>
          <w:sz w:val="22"/>
          <w:szCs w:val="22"/>
        </w:rPr>
        <w:t>je</w:t>
      </w:r>
      <w:r w:rsidRPr="0093305C">
        <w:rPr>
          <w:sz w:val="22"/>
          <w:szCs w:val="22"/>
        </w:rPr>
        <w:t>su dostupne informacije za pacijente sa umjerenim ili teškim oštećenjem funkcije jetre.</w:t>
      </w:r>
    </w:p>
    <w:p w14:paraId="20B60B49" w14:textId="77777777" w:rsidR="0007321B" w:rsidRPr="003C7D36" w:rsidRDefault="0007321B" w:rsidP="00D77E03">
      <w:pPr>
        <w:pStyle w:val="Paragraph"/>
        <w:tabs>
          <w:tab w:val="left" w:pos="1350"/>
        </w:tabs>
        <w:spacing w:after="0"/>
        <w:jc w:val="both"/>
        <w:rPr>
          <w:sz w:val="22"/>
          <w:szCs w:val="22"/>
        </w:rPr>
      </w:pPr>
    </w:p>
    <w:p w14:paraId="02DBB44F" w14:textId="77777777" w:rsidR="00CB4592" w:rsidRPr="003C7D36" w:rsidRDefault="0051511A" w:rsidP="00D77E03">
      <w:pPr>
        <w:pStyle w:val="Paragraph"/>
        <w:keepNext/>
        <w:spacing w:after="0"/>
        <w:jc w:val="both"/>
        <w:rPr>
          <w:sz w:val="22"/>
          <w:szCs w:val="22"/>
          <w:u w:val="single"/>
        </w:rPr>
      </w:pPr>
      <w:r w:rsidRPr="00C0597B">
        <w:rPr>
          <w:sz w:val="22"/>
          <w:szCs w:val="22"/>
          <w:u w:val="single"/>
        </w:rPr>
        <w:t>Oštećenje funkcije bubrega</w:t>
      </w:r>
    </w:p>
    <w:p w14:paraId="41A0E46F" w14:textId="77777777" w:rsidR="00A91106" w:rsidRPr="003C7D36" w:rsidRDefault="00A91106" w:rsidP="00D77E03">
      <w:pPr>
        <w:pStyle w:val="Paragraph"/>
        <w:keepNext/>
        <w:tabs>
          <w:tab w:val="left" w:pos="1350"/>
        </w:tabs>
        <w:spacing w:after="0"/>
        <w:jc w:val="both"/>
        <w:rPr>
          <w:sz w:val="22"/>
          <w:szCs w:val="22"/>
        </w:rPr>
      </w:pPr>
    </w:p>
    <w:p w14:paraId="41D8186C" w14:textId="2D2F59F5" w:rsidR="009B2CC5" w:rsidRPr="0031203A" w:rsidRDefault="00E22965" w:rsidP="000D1360">
      <w:pPr>
        <w:pStyle w:val="Paragraph"/>
        <w:keepNext/>
        <w:tabs>
          <w:tab w:val="left" w:pos="1350"/>
        </w:tabs>
        <w:jc w:val="both"/>
        <w:rPr>
          <w:sz w:val="22"/>
          <w:szCs w:val="22"/>
        </w:rPr>
      </w:pPr>
      <w:r w:rsidRPr="00C0597B">
        <w:rPr>
          <w:sz w:val="22"/>
          <w:szCs w:val="22"/>
        </w:rPr>
        <w:t xml:space="preserve">Manje od 1% primijenjene doze detektovano je u obliku nepromijenjenog lorlatiniba u urinu. Populacijske farmakokinetičke analize pokazale su da se izloženost lorlatinibu </w:t>
      </w:r>
      <w:r w:rsidR="00115BA3" w:rsidRPr="00C0597B">
        <w:rPr>
          <w:sz w:val="22"/>
          <w:szCs w:val="22"/>
        </w:rPr>
        <w:t>u</w:t>
      </w:r>
      <w:r w:rsidR="006678AD" w:rsidRPr="00C0597B">
        <w:rPr>
          <w:sz w:val="22"/>
          <w:szCs w:val="22"/>
        </w:rPr>
        <w:t xml:space="preserve"> plazm</w:t>
      </w:r>
      <w:r w:rsidR="00115BA3" w:rsidRPr="00822B86">
        <w:rPr>
          <w:sz w:val="22"/>
          <w:szCs w:val="22"/>
        </w:rPr>
        <w:t>i u stanju dinamičke ravnot</w:t>
      </w:r>
      <w:r w:rsidR="00115BA3" w:rsidRPr="00446153">
        <w:rPr>
          <w:sz w:val="22"/>
          <w:szCs w:val="22"/>
        </w:rPr>
        <w:t>eže</w:t>
      </w:r>
      <w:r w:rsidR="006678AD" w:rsidRPr="00446153">
        <w:rPr>
          <w:sz w:val="22"/>
          <w:szCs w:val="22"/>
        </w:rPr>
        <w:t xml:space="preserve"> i </w:t>
      </w:r>
      <w:r w:rsidR="00115BA3" w:rsidRPr="00446153">
        <w:rPr>
          <w:sz w:val="22"/>
          <w:szCs w:val="22"/>
        </w:rPr>
        <w:t xml:space="preserve">vrijednosti </w:t>
      </w:r>
      <w:r w:rsidR="006678AD" w:rsidRPr="00446153">
        <w:rPr>
          <w:sz w:val="22"/>
          <w:szCs w:val="22"/>
        </w:rPr>
        <w:t>C</w:t>
      </w:r>
      <w:r w:rsidR="006678AD" w:rsidRPr="00446153">
        <w:rPr>
          <w:sz w:val="22"/>
          <w:szCs w:val="22"/>
          <w:vertAlign w:val="subscript"/>
        </w:rPr>
        <w:t>max</w:t>
      </w:r>
      <w:r w:rsidR="006678AD" w:rsidRPr="0093305C">
        <w:rPr>
          <w:sz w:val="22"/>
          <w:szCs w:val="22"/>
        </w:rPr>
        <w:t xml:space="preserve"> blago povećavaju sa pogoršanjem osnovne funkcije bubrega</w:t>
      </w:r>
      <w:r w:rsidRPr="0093305C">
        <w:rPr>
          <w:sz w:val="22"/>
          <w:szCs w:val="22"/>
        </w:rPr>
        <w:t>. N</w:t>
      </w:r>
      <w:r w:rsidR="006D1845" w:rsidRPr="0093305C">
        <w:rPr>
          <w:sz w:val="22"/>
          <w:szCs w:val="22"/>
        </w:rPr>
        <w:t>a osnovu studija o oštećenju funkcije bubrega n</w:t>
      </w:r>
      <w:r w:rsidRPr="0093305C">
        <w:rPr>
          <w:sz w:val="22"/>
          <w:szCs w:val="22"/>
        </w:rPr>
        <w:t>e preporučuje se prilagođavanje početne doze kod pacijenata sa blagim ili umjerenim oštećenjem funkcije bubrega</w:t>
      </w:r>
      <w:r w:rsidR="006D1845" w:rsidRPr="0031203A">
        <w:rPr>
          <w:sz w:val="22"/>
          <w:szCs w:val="22"/>
        </w:rPr>
        <w:t xml:space="preserve"> </w:t>
      </w:r>
      <w:r w:rsidR="006D1845" w:rsidRPr="003C7D36">
        <w:rPr>
          <w:sz w:val="22"/>
          <w:szCs w:val="22"/>
        </w:rPr>
        <w:t xml:space="preserve">[eGFR zasnovan na </w:t>
      </w:r>
      <w:r w:rsidR="006D1845" w:rsidRPr="003C7D36">
        <w:rPr>
          <w:i/>
          <w:iCs/>
          <w:sz w:val="22"/>
          <w:szCs w:val="22"/>
        </w:rPr>
        <w:t>Modification of Diet in Renal Disease Study equation (MDRD)</w:t>
      </w:r>
      <w:r w:rsidR="006D1845" w:rsidRPr="00C0597B">
        <w:rPr>
          <w:sz w:val="22"/>
          <w:szCs w:val="22"/>
        </w:rPr>
        <w:t xml:space="preserve"> izvedeni eGFR (u ml/min/1.73 </w:t>
      </w:r>
      <w:r w:rsidR="006D1845" w:rsidRPr="003C7D36">
        <w:rPr>
          <w:sz w:val="22"/>
          <w:szCs w:val="22"/>
        </w:rPr>
        <w:t>m</w:t>
      </w:r>
      <w:r w:rsidR="006D1845" w:rsidRPr="003C7D36">
        <w:rPr>
          <w:sz w:val="22"/>
          <w:szCs w:val="22"/>
          <w:vertAlign w:val="superscript"/>
        </w:rPr>
        <w:t>2</w:t>
      </w:r>
      <w:r w:rsidR="006D1845" w:rsidRPr="003C7D36">
        <w:rPr>
          <w:sz w:val="22"/>
          <w:szCs w:val="22"/>
        </w:rPr>
        <w:t>)</w:t>
      </w:r>
      <w:r w:rsidR="00E30313" w:rsidRPr="0031203A">
        <w:rPr>
          <w:sz w:val="22"/>
          <w:szCs w:val="22"/>
        </w:rPr>
        <w:t xml:space="preserve">  </w:t>
      </w:r>
      <w:r w:rsidR="006D1845" w:rsidRPr="003C7D36">
        <w:rPr>
          <w:sz w:val="22"/>
          <w:szCs w:val="22"/>
        </w:rPr>
        <w:t>x</w:t>
      </w:r>
      <w:r w:rsidR="00E30313" w:rsidRPr="0031203A">
        <w:rPr>
          <w:sz w:val="22"/>
          <w:szCs w:val="22"/>
        </w:rPr>
        <w:t> </w:t>
      </w:r>
      <w:r w:rsidR="006D1845" w:rsidRPr="003C7D36">
        <w:rPr>
          <w:sz w:val="22"/>
          <w:szCs w:val="22"/>
        </w:rPr>
        <w:t>izmjerena površina tijela/1,73≥ 30 ml/min). U ovoj studiji PIK lorlatiniba se povećao za 41% kod ispitanika sa teškim oštećenjem funkcije bubrega (apsolutni eGFR</w:t>
      </w:r>
      <w:r w:rsidR="00CC0170" w:rsidRPr="003C7D36">
        <w:rPr>
          <w:sz w:val="22"/>
          <w:szCs w:val="22"/>
        </w:rPr>
        <w:t xml:space="preserve"> </w:t>
      </w:r>
      <w:r w:rsidR="006D1845" w:rsidRPr="003C7D36">
        <w:rPr>
          <w:sz w:val="22"/>
          <w:szCs w:val="22"/>
        </w:rPr>
        <w:t>&lt; 30 ml/min) u poređenju sa ispitanicima sa normalnom funkcijom bubrega (apsolutni eGFR</w:t>
      </w:r>
      <w:r w:rsidR="00CC0170" w:rsidRPr="003C7D36">
        <w:rPr>
          <w:sz w:val="22"/>
          <w:szCs w:val="22"/>
        </w:rPr>
        <w:t xml:space="preserve"> </w:t>
      </w:r>
      <w:r w:rsidR="006D1845" w:rsidRPr="003C7D36">
        <w:rPr>
          <w:sz w:val="22"/>
          <w:szCs w:val="22"/>
        </w:rPr>
        <w:t>≥ 90 m</w:t>
      </w:r>
      <w:r w:rsidR="009E7FE0" w:rsidRPr="003C7D36">
        <w:rPr>
          <w:sz w:val="22"/>
          <w:szCs w:val="22"/>
        </w:rPr>
        <w:t>l</w:t>
      </w:r>
      <w:r w:rsidR="006D1845" w:rsidRPr="003C7D36">
        <w:rPr>
          <w:sz w:val="22"/>
          <w:szCs w:val="22"/>
        </w:rPr>
        <w:t>/min)</w:t>
      </w:r>
      <w:r w:rsidR="006D1845" w:rsidRPr="00C0597B">
        <w:rPr>
          <w:sz w:val="22"/>
          <w:szCs w:val="22"/>
        </w:rPr>
        <w:t>. Smanjena doza lorlatiniba se preporučuje kod pacijenata sa teškim oštećenjem bubrega, npr. kao početnu dozu uzeti 75 mg oralno, jednom dnevno (vid</w:t>
      </w:r>
      <w:r w:rsidR="009E7FE0" w:rsidRPr="00C0597B">
        <w:rPr>
          <w:sz w:val="22"/>
          <w:szCs w:val="22"/>
        </w:rPr>
        <w:t>j</w:t>
      </w:r>
      <w:r w:rsidR="006D1845" w:rsidRPr="00822B86">
        <w:rPr>
          <w:sz w:val="22"/>
          <w:szCs w:val="22"/>
        </w:rPr>
        <w:t xml:space="preserve">eti </w:t>
      </w:r>
      <w:r w:rsidR="009E7FE0" w:rsidRPr="00822B86">
        <w:rPr>
          <w:sz w:val="22"/>
          <w:szCs w:val="22"/>
        </w:rPr>
        <w:t>di</w:t>
      </w:r>
      <w:r w:rsidR="006D1845" w:rsidRPr="00446153">
        <w:rPr>
          <w:sz w:val="22"/>
          <w:szCs w:val="22"/>
        </w:rPr>
        <w:t>o 4.2).  Ni</w:t>
      </w:r>
      <w:r w:rsidR="00CC0170" w:rsidRPr="00446153">
        <w:rPr>
          <w:sz w:val="22"/>
          <w:szCs w:val="22"/>
        </w:rPr>
        <w:t>je</w:t>
      </w:r>
      <w:r w:rsidR="006D1845" w:rsidRPr="00446153">
        <w:rPr>
          <w:sz w:val="22"/>
          <w:szCs w:val="22"/>
        </w:rPr>
        <w:t>su dostupne informacije za pacijente na dijalizi.</w:t>
      </w:r>
    </w:p>
    <w:p w14:paraId="1A2DC86B" w14:textId="0C9AE65F" w:rsidR="00075CC0" w:rsidRPr="003C7D36" w:rsidRDefault="00676E6B" w:rsidP="00D77E03">
      <w:pPr>
        <w:keepNext/>
        <w:numPr>
          <w:ilvl w:val="12"/>
          <w:numId w:val="0"/>
        </w:numPr>
        <w:spacing w:line="240" w:lineRule="auto"/>
        <w:jc w:val="both"/>
        <w:rPr>
          <w:szCs w:val="22"/>
          <w:u w:val="single"/>
        </w:rPr>
      </w:pPr>
      <w:r w:rsidRPr="00C0597B">
        <w:rPr>
          <w:szCs w:val="22"/>
          <w:u w:val="single"/>
        </w:rPr>
        <w:t>Starost</w:t>
      </w:r>
      <w:r w:rsidR="00BD2884" w:rsidRPr="00C0597B">
        <w:rPr>
          <w:szCs w:val="22"/>
          <w:u w:val="single"/>
        </w:rPr>
        <w:t xml:space="preserve">, pol, rasa, tjelesna </w:t>
      </w:r>
      <w:r w:rsidR="0027754F" w:rsidRPr="00C0597B">
        <w:rPr>
          <w:szCs w:val="22"/>
          <w:u w:val="single"/>
        </w:rPr>
        <w:t>masa</w:t>
      </w:r>
      <w:r w:rsidR="00BD2884" w:rsidRPr="00822B86">
        <w:rPr>
          <w:szCs w:val="22"/>
          <w:u w:val="single"/>
        </w:rPr>
        <w:t xml:space="preserve"> i fenotip</w:t>
      </w:r>
    </w:p>
    <w:p w14:paraId="696E7AE6" w14:textId="77777777" w:rsidR="009B2CC5" w:rsidRPr="003C7D36" w:rsidRDefault="009B2CC5" w:rsidP="00D77E03">
      <w:pPr>
        <w:keepNext/>
        <w:numPr>
          <w:ilvl w:val="12"/>
          <w:numId w:val="0"/>
        </w:numPr>
        <w:spacing w:line="240" w:lineRule="auto"/>
        <w:jc w:val="both"/>
        <w:rPr>
          <w:szCs w:val="22"/>
        </w:rPr>
      </w:pPr>
    </w:p>
    <w:p w14:paraId="4E6DB514" w14:textId="2D84803D" w:rsidR="002B7106" w:rsidRPr="003C7D36" w:rsidRDefault="00075CC0" w:rsidP="00D77E03">
      <w:pPr>
        <w:keepNext/>
        <w:numPr>
          <w:ilvl w:val="12"/>
          <w:numId w:val="0"/>
        </w:numPr>
        <w:spacing w:line="240" w:lineRule="auto"/>
        <w:jc w:val="both"/>
        <w:rPr>
          <w:szCs w:val="22"/>
        </w:rPr>
      </w:pPr>
      <w:r w:rsidRPr="00C0597B">
        <w:rPr>
          <w:szCs w:val="22"/>
        </w:rPr>
        <w:t>Populaci</w:t>
      </w:r>
      <w:r w:rsidR="00396476" w:rsidRPr="00C0597B">
        <w:rPr>
          <w:szCs w:val="22"/>
        </w:rPr>
        <w:t>on</w:t>
      </w:r>
      <w:r w:rsidRPr="00C0597B">
        <w:rPr>
          <w:szCs w:val="22"/>
        </w:rPr>
        <w:t xml:space="preserve">e farmakokinetičke analize kod pacijenata sa uznapredovalim NSCLC-om i </w:t>
      </w:r>
      <w:r w:rsidR="006B77F7" w:rsidRPr="00822B86">
        <w:rPr>
          <w:szCs w:val="22"/>
        </w:rPr>
        <w:t>kod</w:t>
      </w:r>
      <w:r w:rsidRPr="00822B86">
        <w:rPr>
          <w:szCs w:val="22"/>
        </w:rPr>
        <w:t xml:space="preserve"> zdravih dobrovoljaca pokazuju da nema klinički značajnih efekata zbog godina starosti, pola, rase, tjelesne </w:t>
      </w:r>
      <w:r w:rsidR="0027754F" w:rsidRPr="00446153">
        <w:rPr>
          <w:szCs w:val="22"/>
        </w:rPr>
        <w:t xml:space="preserve">mase </w:t>
      </w:r>
      <w:r w:rsidRPr="0093305C">
        <w:rPr>
          <w:szCs w:val="22"/>
        </w:rPr>
        <w:t>i fenotipova za CYP3A5 i CYP2C19.</w:t>
      </w:r>
    </w:p>
    <w:p w14:paraId="61C88CD7" w14:textId="77777777" w:rsidR="00686379" w:rsidRPr="003C7D36" w:rsidRDefault="00686379" w:rsidP="00D77E03">
      <w:pPr>
        <w:spacing w:line="240" w:lineRule="auto"/>
        <w:jc w:val="both"/>
        <w:rPr>
          <w:iCs/>
          <w:szCs w:val="22"/>
          <w:u w:val="single"/>
        </w:rPr>
      </w:pPr>
    </w:p>
    <w:p w14:paraId="65D0065E" w14:textId="77777777" w:rsidR="00686379" w:rsidRPr="003C7D36" w:rsidRDefault="00686379" w:rsidP="00D77E03">
      <w:pPr>
        <w:pStyle w:val="Paragraph"/>
        <w:keepNext/>
        <w:tabs>
          <w:tab w:val="left" w:pos="1350"/>
        </w:tabs>
        <w:spacing w:after="0"/>
        <w:jc w:val="both"/>
        <w:rPr>
          <w:b/>
          <w:sz w:val="22"/>
          <w:szCs w:val="22"/>
        </w:rPr>
      </w:pPr>
      <w:r w:rsidRPr="00C0597B">
        <w:rPr>
          <w:sz w:val="22"/>
          <w:szCs w:val="22"/>
          <w:u w:val="single"/>
        </w:rPr>
        <w:t>Srčana elektrofiziologija</w:t>
      </w:r>
      <w:r w:rsidRPr="00C0597B">
        <w:rPr>
          <w:b/>
          <w:sz w:val="22"/>
          <w:szCs w:val="22"/>
        </w:rPr>
        <w:t xml:space="preserve"> </w:t>
      </w:r>
    </w:p>
    <w:p w14:paraId="7891446C" w14:textId="77777777" w:rsidR="00686379" w:rsidRPr="003C7D36" w:rsidRDefault="00686379" w:rsidP="00D77E03">
      <w:pPr>
        <w:pStyle w:val="Paragraph"/>
        <w:keepNext/>
        <w:spacing w:after="0"/>
        <w:jc w:val="both"/>
        <w:rPr>
          <w:sz w:val="22"/>
          <w:szCs w:val="22"/>
        </w:rPr>
      </w:pPr>
    </w:p>
    <w:p w14:paraId="77FAE23C" w14:textId="6330F303" w:rsidR="00686379" w:rsidRPr="003C7D36" w:rsidRDefault="00686379" w:rsidP="00D77E03">
      <w:pPr>
        <w:pStyle w:val="Paragraph"/>
        <w:keepNext/>
        <w:spacing w:after="0"/>
        <w:jc w:val="both"/>
        <w:rPr>
          <w:sz w:val="22"/>
          <w:szCs w:val="22"/>
        </w:rPr>
      </w:pPr>
      <w:r w:rsidRPr="00C0597B">
        <w:rPr>
          <w:sz w:val="22"/>
          <w:szCs w:val="22"/>
        </w:rPr>
        <w:t>U studiji A,</w:t>
      </w:r>
      <w:r w:rsidRPr="0031203A">
        <w:rPr>
          <w:sz w:val="22"/>
          <w:szCs w:val="22"/>
        </w:rPr>
        <w:t xml:space="preserve"> </w:t>
      </w:r>
      <w:r w:rsidRPr="00C0597B">
        <w:rPr>
          <w:sz w:val="22"/>
          <w:szCs w:val="22"/>
        </w:rPr>
        <w:t xml:space="preserve">2 pacijenta (0,7%) su imala </w:t>
      </w:r>
      <w:r w:rsidR="0027754F" w:rsidRPr="00C0597B">
        <w:rPr>
          <w:sz w:val="22"/>
          <w:szCs w:val="22"/>
        </w:rPr>
        <w:t xml:space="preserve">apsolutne </w:t>
      </w:r>
      <w:r w:rsidRPr="00C0597B">
        <w:rPr>
          <w:sz w:val="22"/>
          <w:szCs w:val="22"/>
        </w:rPr>
        <w:t xml:space="preserve">vrijednosti QTc sa </w:t>
      </w:r>
      <w:r w:rsidRPr="00822B86">
        <w:rPr>
          <w:rStyle w:val="paragraph-h1"/>
          <w:sz w:val="22"/>
          <w:szCs w:val="22"/>
        </w:rPr>
        <w:t xml:space="preserve">Fridericijovom korekcijom </w:t>
      </w:r>
      <w:r w:rsidRPr="00822B86">
        <w:rPr>
          <w:sz w:val="22"/>
          <w:szCs w:val="22"/>
        </w:rPr>
        <w:t xml:space="preserve">(QTcF) &gt; 500 ms i 5 pacijenata (1,8%) imalo je promjenu QTcF u odnosu na početne vrijednosti &gt; 60 ms. </w:t>
      </w:r>
    </w:p>
    <w:p w14:paraId="6EC61380" w14:textId="72B57273" w:rsidR="00686379" w:rsidRDefault="00686379" w:rsidP="00D77E03">
      <w:pPr>
        <w:pStyle w:val="Paragraph"/>
        <w:spacing w:after="0"/>
        <w:jc w:val="both"/>
        <w:rPr>
          <w:sz w:val="22"/>
          <w:szCs w:val="22"/>
        </w:rPr>
      </w:pPr>
    </w:p>
    <w:p w14:paraId="35F49725" w14:textId="77777777" w:rsidR="00871BD2" w:rsidRPr="003C7D36" w:rsidRDefault="00871BD2" w:rsidP="00D77E03">
      <w:pPr>
        <w:pStyle w:val="Paragraph"/>
        <w:spacing w:after="0"/>
        <w:jc w:val="both"/>
        <w:rPr>
          <w:sz w:val="22"/>
          <w:szCs w:val="22"/>
        </w:rPr>
      </w:pPr>
    </w:p>
    <w:p w14:paraId="3FE71182" w14:textId="44F53FC2" w:rsidR="00686379" w:rsidRPr="003C7D36" w:rsidRDefault="00686379" w:rsidP="00D77E03">
      <w:pPr>
        <w:pStyle w:val="Paragraph"/>
        <w:spacing w:after="0"/>
        <w:jc w:val="both"/>
        <w:rPr>
          <w:sz w:val="22"/>
          <w:szCs w:val="22"/>
        </w:rPr>
      </w:pPr>
      <w:r w:rsidRPr="00C0597B">
        <w:rPr>
          <w:sz w:val="22"/>
          <w:szCs w:val="22"/>
        </w:rPr>
        <w:lastRenderedPageBreak/>
        <w:t xml:space="preserve">Pored toga, procijenjen je efekat pojedinačne oralno primijenjene doze lorlatiniba (50 mg, 75 mg i 100 mg) sa i bez 200 mg itrakonazola jednom dnevno u </w:t>
      </w:r>
      <w:r w:rsidRPr="00822B86">
        <w:rPr>
          <w:sz w:val="22"/>
          <w:szCs w:val="22"/>
        </w:rPr>
        <w:t>dvosmjernoj ukrštenoj studiji sa 16 zdravih dobrovoljaca. U ovoj studiji ni</w:t>
      </w:r>
      <w:r w:rsidR="009C218E" w:rsidRPr="00446153">
        <w:rPr>
          <w:sz w:val="22"/>
          <w:szCs w:val="22"/>
        </w:rPr>
        <w:t>je</w:t>
      </w:r>
      <w:r w:rsidRPr="00446153">
        <w:rPr>
          <w:sz w:val="22"/>
          <w:szCs w:val="22"/>
        </w:rPr>
        <w:t>su registrovana povećanja srednje vrijednosti QTc intervala pri zabilježenim srednjim vrijednostima koncentracija lorlatiniba.</w:t>
      </w:r>
    </w:p>
    <w:p w14:paraId="1E977362" w14:textId="77777777" w:rsidR="00686379" w:rsidRPr="003C7D36" w:rsidRDefault="00686379" w:rsidP="00D77E03">
      <w:pPr>
        <w:pStyle w:val="Paragraph"/>
        <w:spacing w:after="0"/>
        <w:jc w:val="both"/>
        <w:rPr>
          <w:sz w:val="22"/>
          <w:szCs w:val="22"/>
        </w:rPr>
      </w:pPr>
    </w:p>
    <w:p w14:paraId="33323132" w14:textId="40E2AA3D" w:rsidR="00686379" w:rsidRPr="003C7D36" w:rsidRDefault="00686379" w:rsidP="00D77E03">
      <w:pPr>
        <w:pStyle w:val="Paragraph"/>
        <w:spacing w:after="0"/>
        <w:jc w:val="both"/>
        <w:rPr>
          <w:sz w:val="22"/>
          <w:szCs w:val="22"/>
        </w:rPr>
      </w:pPr>
      <w:r w:rsidRPr="00C0597B">
        <w:rPr>
          <w:sz w:val="22"/>
          <w:szCs w:val="22"/>
        </w:rPr>
        <w:t>Kod 295 pacijenata koji su primali lorlatinib u preporučenoj dozi od 100 mg jednom dnevno i kojima su u</w:t>
      </w:r>
      <w:r w:rsidR="0027754F" w:rsidRPr="00822B86">
        <w:rPr>
          <w:sz w:val="22"/>
          <w:szCs w:val="22"/>
        </w:rPr>
        <w:t>rađena</w:t>
      </w:r>
      <w:r w:rsidRPr="00822B86">
        <w:rPr>
          <w:sz w:val="22"/>
          <w:szCs w:val="22"/>
        </w:rPr>
        <w:t xml:space="preserve"> mjerenja EKG-a u toku studije</w:t>
      </w:r>
      <w:r w:rsidR="005427DA" w:rsidRPr="0031203A">
        <w:rPr>
          <w:sz w:val="22"/>
          <w:szCs w:val="22"/>
        </w:rPr>
        <w:t> </w:t>
      </w:r>
      <w:r w:rsidRPr="00C0597B">
        <w:rPr>
          <w:sz w:val="22"/>
          <w:szCs w:val="22"/>
        </w:rPr>
        <w:t xml:space="preserve">A, lorlatinib je ispitivan u populaciji pacijenata iz koje su isključeni pacijenti koji su imali </w:t>
      </w:r>
      <w:r w:rsidR="0027754F" w:rsidRPr="00C0597B">
        <w:rPr>
          <w:sz w:val="22"/>
          <w:szCs w:val="22"/>
        </w:rPr>
        <w:t xml:space="preserve">korigovani </w:t>
      </w:r>
      <w:r w:rsidRPr="00822B86">
        <w:rPr>
          <w:sz w:val="22"/>
          <w:szCs w:val="22"/>
        </w:rPr>
        <w:t>QTc interval &gt; 470 ms. U ispitivanoj populaciji, maksimalna srednja vrijednost promjene od početne vrijednosti za PR interval iznosila je 16,4 ms (gornja granica dvostranog 90% CI-a iznosila je 19,4 ms) (vidjeti d</w:t>
      </w:r>
      <w:r w:rsidR="00CC0170" w:rsidRPr="00446153">
        <w:rPr>
          <w:sz w:val="22"/>
          <w:szCs w:val="22"/>
        </w:rPr>
        <w:t>jelove</w:t>
      </w:r>
      <w:r w:rsidRPr="00446153">
        <w:rPr>
          <w:sz w:val="22"/>
          <w:szCs w:val="22"/>
        </w:rPr>
        <w:t> 4.2, 4.4 i 4.8). Od tih pacijenata, njih 7 je imalo početnu vrijednost PR-a</w:t>
      </w:r>
      <w:r w:rsidR="005427DA" w:rsidRPr="0031203A">
        <w:rPr>
          <w:sz w:val="22"/>
          <w:szCs w:val="22"/>
        </w:rPr>
        <w:t> </w:t>
      </w:r>
      <w:r w:rsidRPr="00C0597B">
        <w:rPr>
          <w:sz w:val="22"/>
          <w:szCs w:val="22"/>
        </w:rPr>
        <w:t>&gt; 200 ms. U grupi</w:t>
      </w:r>
      <w:r w:rsidR="004B4E0D" w:rsidRPr="00C0597B">
        <w:rPr>
          <w:sz w:val="22"/>
          <w:szCs w:val="22"/>
        </w:rPr>
        <w:t xml:space="preserve"> o</w:t>
      </w:r>
      <w:r w:rsidR="004B4E0D" w:rsidRPr="00822B86">
        <w:rPr>
          <w:sz w:val="22"/>
          <w:szCs w:val="22"/>
        </w:rPr>
        <w:t>d</w:t>
      </w:r>
      <w:r w:rsidRPr="00822B86">
        <w:rPr>
          <w:sz w:val="22"/>
          <w:szCs w:val="22"/>
        </w:rPr>
        <w:t xml:space="preserve"> 284 </w:t>
      </w:r>
      <w:r w:rsidR="004B4E0D" w:rsidRPr="00822B86">
        <w:rPr>
          <w:sz w:val="22"/>
          <w:szCs w:val="22"/>
        </w:rPr>
        <w:t xml:space="preserve">pacijenata </w:t>
      </w:r>
      <w:r w:rsidRPr="00822B86">
        <w:rPr>
          <w:sz w:val="22"/>
          <w:szCs w:val="22"/>
        </w:rPr>
        <w:t>s PR intervalom &lt; 200 ms, 14% je imalo produženje PR intervala ≥ 200 ms nakon početka uzimanja lorlatiniba. Produženje PR intervala pokazalo je zavisnost od koncentracije.  Atrioventrikularni blok se pojav</w:t>
      </w:r>
      <w:r w:rsidRPr="00446153">
        <w:rPr>
          <w:sz w:val="22"/>
          <w:szCs w:val="22"/>
        </w:rPr>
        <w:t>io kod 1,0% pacijenata.</w:t>
      </w:r>
    </w:p>
    <w:p w14:paraId="279626A7" w14:textId="77777777" w:rsidR="00686379" w:rsidRPr="003C7D36" w:rsidRDefault="00686379" w:rsidP="00D77E03">
      <w:pPr>
        <w:pStyle w:val="Paragraph"/>
        <w:spacing w:after="0"/>
        <w:jc w:val="both"/>
        <w:rPr>
          <w:sz w:val="22"/>
          <w:szCs w:val="22"/>
        </w:rPr>
      </w:pPr>
    </w:p>
    <w:p w14:paraId="4655A631" w14:textId="77777777" w:rsidR="00686379" w:rsidRPr="003C7D36" w:rsidRDefault="00686379" w:rsidP="00D77E03">
      <w:pPr>
        <w:pStyle w:val="Paragraph"/>
        <w:spacing w:after="0"/>
        <w:jc w:val="both"/>
        <w:rPr>
          <w:sz w:val="22"/>
          <w:szCs w:val="22"/>
        </w:rPr>
      </w:pPr>
      <w:r w:rsidRPr="00C0597B">
        <w:rPr>
          <w:sz w:val="22"/>
          <w:szCs w:val="22"/>
        </w:rPr>
        <w:t>Za pacijente kod kojih se razvilo produženje PR intervala, možda je potrebno prilagođavanje doze (vidjeti dio 4.2).</w:t>
      </w:r>
    </w:p>
    <w:p w14:paraId="5ED57141" w14:textId="77777777" w:rsidR="002B7106" w:rsidRPr="003C7D36" w:rsidRDefault="002B7106" w:rsidP="00D77E03">
      <w:pPr>
        <w:spacing w:line="240" w:lineRule="auto"/>
        <w:jc w:val="both"/>
        <w:rPr>
          <w:iCs/>
          <w:szCs w:val="22"/>
          <w:u w:val="single"/>
        </w:rPr>
      </w:pPr>
    </w:p>
    <w:p w14:paraId="3D66A115" w14:textId="77777777" w:rsidR="00812D16" w:rsidRPr="003C7D36" w:rsidRDefault="00812D16" w:rsidP="00D77E03">
      <w:pPr>
        <w:keepNext/>
        <w:numPr>
          <w:ilvl w:val="12"/>
          <w:numId w:val="0"/>
        </w:numPr>
        <w:spacing w:line="240" w:lineRule="auto"/>
        <w:jc w:val="both"/>
        <w:rPr>
          <w:szCs w:val="22"/>
        </w:rPr>
      </w:pPr>
      <w:r w:rsidRPr="00C0597B">
        <w:rPr>
          <w:b/>
          <w:szCs w:val="22"/>
        </w:rPr>
        <w:t>5.3</w:t>
      </w:r>
      <w:r w:rsidRPr="00C0597B">
        <w:rPr>
          <w:b/>
          <w:szCs w:val="22"/>
        </w:rPr>
        <w:tab/>
        <w:t>Pretklinički podaci o bezbjednosti</w:t>
      </w:r>
    </w:p>
    <w:p w14:paraId="253E6DA2" w14:textId="77777777" w:rsidR="00812D16" w:rsidRPr="003C7D36" w:rsidRDefault="00812D16" w:rsidP="00D77E03">
      <w:pPr>
        <w:keepNext/>
        <w:spacing w:line="240" w:lineRule="auto"/>
        <w:jc w:val="both"/>
        <w:rPr>
          <w:szCs w:val="22"/>
        </w:rPr>
      </w:pPr>
    </w:p>
    <w:p w14:paraId="6700B2DF" w14:textId="77777777" w:rsidR="00AC35FA" w:rsidRPr="003C7D36" w:rsidRDefault="00AC35FA" w:rsidP="00D77E03">
      <w:pPr>
        <w:keepNext/>
        <w:spacing w:line="240" w:lineRule="auto"/>
        <w:jc w:val="both"/>
        <w:rPr>
          <w:szCs w:val="22"/>
          <w:u w:val="single"/>
        </w:rPr>
      </w:pPr>
      <w:r w:rsidRPr="00C0597B">
        <w:rPr>
          <w:szCs w:val="22"/>
          <w:u w:val="single"/>
        </w:rPr>
        <w:t>Toksičnost ponovljenih doza</w:t>
      </w:r>
    </w:p>
    <w:p w14:paraId="20DAF8BE" w14:textId="77777777" w:rsidR="00DE4EDC" w:rsidRPr="003C7D36" w:rsidRDefault="00DE4EDC" w:rsidP="00D77E03">
      <w:pPr>
        <w:pStyle w:val="Paragraph"/>
        <w:keepNext/>
        <w:spacing w:after="0"/>
        <w:jc w:val="both"/>
        <w:rPr>
          <w:sz w:val="22"/>
          <w:szCs w:val="22"/>
        </w:rPr>
      </w:pPr>
    </w:p>
    <w:p w14:paraId="0B8561CD" w14:textId="3B69565E" w:rsidR="00A55134" w:rsidRPr="003C7D36" w:rsidRDefault="00A55134" w:rsidP="00D77E03">
      <w:pPr>
        <w:pStyle w:val="Paragraph"/>
        <w:keepNext/>
        <w:spacing w:after="0"/>
        <w:jc w:val="both"/>
        <w:rPr>
          <w:sz w:val="22"/>
          <w:szCs w:val="22"/>
        </w:rPr>
      </w:pPr>
      <w:r w:rsidRPr="00C0597B">
        <w:rPr>
          <w:sz w:val="22"/>
          <w:szCs w:val="22"/>
        </w:rPr>
        <w:t>Glavne registrovane toksičnosti bile su upale različitih tkiva (kože i grlića materice kod pacova i pluća, traheje, kože, limfnih čvorova i/ili usne duplje, uključujući mandibularnu kost kod pasa; povezano sa povišenim vrijednostima bijelih krvnih ćelija, fibrinogena i/ili globulina i smanjenim vrijednostima albumina) i promjene u p</w:t>
      </w:r>
      <w:r w:rsidRPr="00822B86">
        <w:rPr>
          <w:sz w:val="22"/>
          <w:szCs w:val="22"/>
        </w:rPr>
        <w:t>ankreasu (sa povišenim vrijednostima amilaza i lipaza), hepatobilijarnom sistemu (s povišenim vrijednostima enzima jetre), muškom reproduktivnom sistemu, kardiovaskularnom sistemu, bubrezima i gastrointestinalnom traktu, perifernim nervima i CNS-u (potencijal za oštećenje kognitivnih funkcija) pri dozi koja odgovara kliničkoj izloženosti ljudi pri preporučenom doziranju. Promjene u krvnom pritisku i srčanoj frekvenciji te QRS</w:t>
      </w:r>
      <w:r w:rsidR="005427DA" w:rsidRPr="0031203A">
        <w:rPr>
          <w:sz w:val="22"/>
          <w:szCs w:val="22"/>
        </w:rPr>
        <w:t> </w:t>
      </w:r>
      <w:r w:rsidRPr="00C0597B">
        <w:rPr>
          <w:sz w:val="22"/>
          <w:szCs w:val="22"/>
        </w:rPr>
        <w:t>kompleksu i PR</w:t>
      </w:r>
      <w:r w:rsidR="005427DA" w:rsidRPr="0031203A">
        <w:rPr>
          <w:sz w:val="22"/>
          <w:szCs w:val="22"/>
        </w:rPr>
        <w:t> </w:t>
      </w:r>
      <w:r w:rsidRPr="00C0597B">
        <w:rPr>
          <w:sz w:val="22"/>
          <w:szCs w:val="22"/>
        </w:rPr>
        <w:t xml:space="preserve"> intervalu su takođe bile registrovane kod životinja nakon akutnog doziranja (na osnovu C</w:t>
      </w:r>
      <w:r w:rsidRPr="00822B86">
        <w:rPr>
          <w:sz w:val="22"/>
          <w:szCs w:val="22"/>
          <w:vertAlign w:val="subscript"/>
        </w:rPr>
        <w:t>max</w:t>
      </w:r>
      <w:r w:rsidRPr="00822B86">
        <w:rPr>
          <w:sz w:val="22"/>
          <w:szCs w:val="22"/>
        </w:rPr>
        <w:t xml:space="preserve"> pri izloženosti približno 2,6 puta većoj od kliničke izloženosti ljudi pri dozi od 100 mg nakon pojedinačne doze). Svi nalazi na ciljnim organima, sa izuzetkom hip</w:t>
      </w:r>
      <w:r w:rsidRPr="00446153">
        <w:rPr>
          <w:sz w:val="22"/>
          <w:szCs w:val="22"/>
        </w:rPr>
        <w:t xml:space="preserve">erplazije hepatičnog žučnog </w:t>
      </w:r>
      <w:r w:rsidR="00CC0170" w:rsidRPr="00446153">
        <w:rPr>
          <w:sz w:val="22"/>
          <w:szCs w:val="22"/>
        </w:rPr>
        <w:t>puta</w:t>
      </w:r>
      <w:r w:rsidRPr="00446153">
        <w:rPr>
          <w:sz w:val="22"/>
          <w:szCs w:val="22"/>
        </w:rPr>
        <w:t>, bili su djelimično do potpuno reverzibilni.</w:t>
      </w:r>
    </w:p>
    <w:p w14:paraId="1705A19C" w14:textId="77777777" w:rsidR="0020069B" w:rsidRPr="003C7D36" w:rsidRDefault="0020069B" w:rsidP="00D77E03">
      <w:pPr>
        <w:spacing w:line="240" w:lineRule="auto"/>
        <w:jc w:val="both"/>
        <w:rPr>
          <w:szCs w:val="22"/>
        </w:rPr>
      </w:pPr>
    </w:p>
    <w:p w14:paraId="4E15909F" w14:textId="77777777" w:rsidR="00AC35FA" w:rsidRPr="003C7D36" w:rsidRDefault="00AC35FA" w:rsidP="00D77E03">
      <w:pPr>
        <w:keepNext/>
        <w:spacing w:line="240" w:lineRule="auto"/>
        <w:jc w:val="both"/>
        <w:rPr>
          <w:szCs w:val="22"/>
          <w:u w:val="single"/>
        </w:rPr>
      </w:pPr>
      <w:r w:rsidRPr="00C0597B">
        <w:rPr>
          <w:szCs w:val="22"/>
          <w:u w:val="single"/>
        </w:rPr>
        <w:t>Genotoksičnost</w:t>
      </w:r>
    </w:p>
    <w:p w14:paraId="2C5A1162" w14:textId="77777777" w:rsidR="00DE4EDC" w:rsidRPr="00C0597B" w:rsidRDefault="00DE4EDC" w:rsidP="00D77E03">
      <w:pPr>
        <w:keepNext/>
        <w:spacing w:line="240" w:lineRule="auto"/>
        <w:jc w:val="both"/>
        <w:rPr>
          <w:szCs w:val="22"/>
        </w:rPr>
      </w:pPr>
    </w:p>
    <w:p w14:paraId="1659AC7A" w14:textId="52A9BFA0" w:rsidR="00F7128A" w:rsidRPr="003C7D36" w:rsidRDefault="00F7128A" w:rsidP="00D77E03">
      <w:pPr>
        <w:keepNext/>
        <w:spacing w:line="240" w:lineRule="auto"/>
        <w:jc w:val="both"/>
        <w:rPr>
          <w:szCs w:val="22"/>
        </w:rPr>
      </w:pPr>
      <w:r w:rsidRPr="00822B86">
        <w:rPr>
          <w:szCs w:val="22"/>
        </w:rPr>
        <w:t xml:space="preserve">Lorlatinib nije mutagen, ali je aneugeničan </w:t>
      </w:r>
      <w:r w:rsidRPr="00822B86">
        <w:rPr>
          <w:i/>
          <w:szCs w:val="22"/>
        </w:rPr>
        <w:t>in vitro</w:t>
      </w:r>
      <w:r w:rsidRPr="00822B86">
        <w:rPr>
          <w:szCs w:val="22"/>
        </w:rPr>
        <w:t xml:space="preserve"> i </w:t>
      </w:r>
      <w:r w:rsidRPr="00822B86">
        <w:rPr>
          <w:i/>
          <w:szCs w:val="22"/>
        </w:rPr>
        <w:t>in vivo</w:t>
      </w:r>
      <w:r w:rsidRPr="00822B86">
        <w:rPr>
          <w:szCs w:val="22"/>
        </w:rPr>
        <w:t xml:space="preserve">, s tim da nije registrovan nivo efekta aneugeničnosti pri približno 16,5 puta većoj </w:t>
      </w:r>
      <w:r w:rsidR="00AE5233" w:rsidRPr="00446153">
        <w:rPr>
          <w:szCs w:val="22"/>
        </w:rPr>
        <w:t xml:space="preserve">od </w:t>
      </w:r>
      <w:r w:rsidRPr="00446153">
        <w:rPr>
          <w:szCs w:val="22"/>
        </w:rPr>
        <w:t>kliničk</w:t>
      </w:r>
      <w:r w:rsidR="00AE5233" w:rsidRPr="00446153">
        <w:rPr>
          <w:szCs w:val="22"/>
        </w:rPr>
        <w:t>e</w:t>
      </w:r>
      <w:r w:rsidRPr="00446153">
        <w:rPr>
          <w:szCs w:val="22"/>
        </w:rPr>
        <w:t xml:space="preserve"> izloženosti ljudi pri dozi od 100 mg na osnovu AUC-a. </w:t>
      </w:r>
    </w:p>
    <w:p w14:paraId="093A8FED" w14:textId="77777777" w:rsidR="00AC35FA" w:rsidRPr="003C7D36" w:rsidRDefault="00AC35FA" w:rsidP="00D77E03">
      <w:pPr>
        <w:spacing w:line="240" w:lineRule="auto"/>
        <w:jc w:val="both"/>
        <w:rPr>
          <w:szCs w:val="22"/>
        </w:rPr>
      </w:pPr>
    </w:p>
    <w:p w14:paraId="26B03524" w14:textId="77777777" w:rsidR="00AC35FA" w:rsidRPr="003C7D36" w:rsidRDefault="00AC35FA" w:rsidP="00D77E03">
      <w:pPr>
        <w:keepNext/>
        <w:spacing w:line="240" w:lineRule="auto"/>
        <w:jc w:val="both"/>
        <w:rPr>
          <w:szCs w:val="22"/>
          <w:u w:val="single"/>
        </w:rPr>
      </w:pPr>
      <w:r w:rsidRPr="00C0597B">
        <w:rPr>
          <w:szCs w:val="22"/>
          <w:u w:val="single"/>
        </w:rPr>
        <w:t>Karcinogenost</w:t>
      </w:r>
    </w:p>
    <w:p w14:paraId="50F368D7" w14:textId="77777777" w:rsidR="00DE4EDC" w:rsidRPr="003C7D36" w:rsidRDefault="00DE4EDC" w:rsidP="00D77E03">
      <w:pPr>
        <w:keepNext/>
        <w:spacing w:line="240" w:lineRule="auto"/>
        <w:jc w:val="both"/>
        <w:rPr>
          <w:szCs w:val="22"/>
        </w:rPr>
      </w:pPr>
    </w:p>
    <w:p w14:paraId="2509D3E1" w14:textId="3BFE71F5" w:rsidR="00AC35FA" w:rsidRPr="003C7D36" w:rsidRDefault="00AC35FA" w:rsidP="00D77E03">
      <w:pPr>
        <w:keepNext/>
        <w:spacing w:line="240" w:lineRule="auto"/>
        <w:jc w:val="both"/>
        <w:rPr>
          <w:szCs w:val="22"/>
        </w:rPr>
      </w:pPr>
      <w:r w:rsidRPr="00C0597B">
        <w:rPr>
          <w:szCs w:val="22"/>
        </w:rPr>
        <w:t>Studije karcinogenosti ni</w:t>
      </w:r>
      <w:r w:rsidR="009C218E" w:rsidRPr="00C0597B">
        <w:rPr>
          <w:szCs w:val="22"/>
        </w:rPr>
        <w:t>je</w:t>
      </w:r>
      <w:r w:rsidRPr="00822B86">
        <w:rPr>
          <w:szCs w:val="22"/>
        </w:rPr>
        <w:t>su sprovedene sa lorlatinibom.</w:t>
      </w:r>
    </w:p>
    <w:p w14:paraId="05121511" w14:textId="77777777" w:rsidR="00AC35FA" w:rsidRPr="003C7D36" w:rsidRDefault="00AC35FA" w:rsidP="00D77E03">
      <w:pPr>
        <w:spacing w:line="240" w:lineRule="auto"/>
        <w:jc w:val="both"/>
        <w:rPr>
          <w:szCs w:val="22"/>
        </w:rPr>
      </w:pPr>
    </w:p>
    <w:p w14:paraId="21BED4BD" w14:textId="77777777" w:rsidR="00AC35FA" w:rsidRPr="003C7D36" w:rsidRDefault="00AC35FA" w:rsidP="00D77E03">
      <w:pPr>
        <w:spacing w:line="240" w:lineRule="auto"/>
        <w:jc w:val="both"/>
        <w:rPr>
          <w:szCs w:val="22"/>
          <w:u w:val="single"/>
        </w:rPr>
      </w:pPr>
      <w:r w:rsidRPr="00C0597B">
        <w:rPr>
          <w:szCs w:val="22"/>
          <w:u w:val="single"/>
        </w:rPr>
        <w:t>Reproduktivna toksičnost</w:t>
      </w:r>
    </w:p>
    <w:p w14:paraId="30F42CE7" w14:textId="77777777" w:rsidR="00DE4EDC" w:rsidRPr="003C7D36" w:rsidRDefault="00DE4EDC" w:rsidP="00D77E03">
      <w:pPr>
        <w:spacing w:line="240" w:lineRule="auto"/>
        <w:jc w:val="both"/>
        <w:rPr>
          <w:szCs w:val="22"/>
        </w:rPr>
      </w:pPr>
    </w:p>
    <w:p w14:paraId="226B7662" w14:textId="77777777" w:rsidR="00AC35FA" w:rsidRPr="003C7D36" w:rsidRDefault="0020069B" w:rsidP="00D77E03">
      <w:pPr>
        <w:spacing w:line="240" w:lineRule="auto"/>
        <w:jc w:val="both"/>
        <w:rPr>
          <w:szCs w:val="22"/>
        </w:rPr>
      </w:pPr>
      <w:r w:rsidRPr="00C0597B">
        <w:rPr>
          <w:szCs w:val="22"/>
        </w:rPr>
        <w:t>Kod pacova i pasa registrovana je degeneracija seminifernih tubula i/ili atrofija u testisima i promjene u epididimisima (upala i/ili vakuolizacija). Kod pasa je registrovana minimalna do blaga glandularna atrofija u prostati pri dozi koja odgovara kliničkoj izloženosti ljudi pri preporučenom doziranju. Efekti na muške reproduktivne organe bili su djelimično do potpuno reverziblni.</w:t>
      </w:r>
    </w:p>
    <w:p w14:paraId="0FA946A0" w14:textId="77777777" w:rsidR="00AC35FA" w:rsidRPr="003C7D36" w:rsidRDefault="00AC35FA" w:rsidP="00D77E03">
      <w:pPr>
        <w:spacing w:line="240" w:lineRule="auto"/>
        <w:jc w:val="both"/>
        <w:rPr>
          <w:szCs w:val="22"/>
        </w:rPr>
      </w:pPr>
    </w:p>
    <w:p w14:paraId="66DE5012" w14:textId="47D2BFD6" w:rsidR="00180617" w:rsidRPr="003C7D36" w:rsidRDefault="00F7128A" w:rsidP="0031203A">
      <w:pPr>
        <w:spacing w:line="240" w:lineRule="auto"/>
        <w:jc w:val="both"/>
        <w:rPr>
          <w:b/>
          <w:szCs w:val="22"/>
        </w:rPr>
      </w:pPr>
      <w:r w:rsidRPr="00C0597B">
        <w:rPr>
          <w:szCs w:val="22"/>
        </w:rPr>
        <w:t>U ispitivanjima embrio</w:t>
      </w:r>
      <w:r w:rsidRPr="00C0597B">
        <w:rPr>
          <w:szCs w:val="22"/>
        </w:rPr>
        <w:noBreakHyphen/>
        <w:t xml:space="preserve">fetalne toksičnosti, sprovedenim na pacovima i </w:t>
      </w:r>
      <w:r w:rsidR="00D532F1">
        <w:rPr>
          <w:szCs w:val="22"/>
        </w:rPr>
        <w:t>kunićima</w:t>
      </w:r>
      <w:r w:rsidRPr="00C0597B">
        <w:rPr>
          <w:szCs w:val="22"/>
        </w:rPr>
        <w:t xml:space="preserve">, registrovana je povećana embrioletalnost i smanjena tjelesna </w:t>
      </w:r>
      <w:r w:rsidR="00AE5233" w:rsidRPr="00C0597B">
        <w:rPr>
          <w:szCs w:val="22"/>
        </w:rPr>
        <w:t xml:space="preserve">masa </w:t>
      </w:r>
      <w:r w:rsidRPr="00822B86">
        <w:rPr>
          <w:szCs w:val="22"/>
        </w:rPr>
        <w:t>fetusa i malformacije. Morfološke abnormalnosti fetusa uključivale su rotirane ekstremitete, prekomjeran broj prstiju, gastroshizu, malformaciju bubrega, kupolastu glavu, visoko nepce i dilataciju komora mozga. Ekspozicija pri najnižim dozama sa embrio</w:t>
      </w:r>
      <w:r w:rsidRPr="00822B86">
        <w:rPr>
          <w:szCs w:val="22"/>
        </w:rPr>
        <w:noBreakHyphen/>
        <w:t>fetalnim efektima kod životinja bila je ekvivalentna kliničkoj izloženosti ljudi pri dozi od 100 mg, na osnovu AUC.</w:t>
      </w:r>
    </w:p>
    <w:p w14:paraId="79B29D33" w14:textId="77777777" w:rsidR="00F7128A" w:rsidRPr="003C7D36" w:rsidRDefault="00812D16" w:rsidP="00D77E03">
      <w:pPr>
        <w:keepNext/>
        <w:suppressAutoHyphens/>
        <w:spacing w:line="240" w:lineRule="auto"/>
        <w:ind w:left="567" w:hanging="567"/>
        <w:jc w:val="both"/>
        <w:rPr>
          <w:b/>
          <w:szCs w:val="22"/>
        </w:rPr>
      </w:pPr>
      <w:r w:rsidRPr="00C0597B">
        <w:rPr>
          <w:b/>
          <w:szCs w:val="22"/>
        </w:rPr>
        <w:lastRenderedPageBreak/>
        <w:t>6.</w:t>
      </w:r>
      <w:r w:rsidRPr="00C0597B">
        <w:rPr>
          <w:b/>
          <w:szCs w:val="22"/>
        </w:rPr>
        <w:tab/>
        <w:t>FARMACEUTSKI PODACI</w:t>
      </w:r>
    </w:p>
    <w:p w14:paraId="5445A57D" w14:textId="77777777" w:rsidR="00812D16" w:rsidRPr="003C7D36" w:rsidRDefault="00812D16" w:rsidP="00D77E03">
      <w:pPr>
        <w:keepNext/>
        <w:suppressAutoHyphens/>
        <w:spacing w:line="240" w:lineRule="auto"/>
        <w:ind w:left="567" w:hanging="567"/>
        <w:jc w:val="both"/>
        <w:rPr>
          <w:szCs w:val="22"/>
        </w:rPr>
      </w:pPr>
    </w:p>
    <w:p w14:paraId="0EEA7EE9" w14:textId="77777777" w:rsidR="002B7106" w:rsidRPr="003C7D36" w:rsidRDefault="002B7106" w:rsidP="00D77E03">
      <w:pPr>
        <w:keepNext/>
        <w:spacing w:line="240" w:lineRule="auto"/>
        <w:ind w:left="567" w:hanging="567"/>
        <w:jc w:val="both"/>
        <w:outlineLvl w:val="0"/>
        <w:rPr>
          <w:szCs w:val="22"/>
        </w:rPr>
      </w:pPr>
      <w:bookmarkStart w:id="11" w:name="OLE_LINK1"/>
      <w:r w:rsidRPr="00C0597B">
        <w:rPr>
          <w:b/>
          <w:szCs w:val="22"/>
        </w:rPr>
        <w:t>6.1</w:t>
      </w:r>
      <w:r w:rsidRPr="00C0597B">
        <w:rPr>
          <w:b/>
          <w:szCs w:val="22"/>
        </w:rPr>
        <w:tab/>
        <w:t>Lista pomoćnih supstanci (ekscipijenasa)</w:t>
      </w:r>
    </w:p>
    <w:p w14:paraId="55136398" w14:textId="77777777" w:rsidR="002B7106" w:rsidRPr="003C7D36" w:rsidRDefault="002B7106" w:rsidP="00D77E03">
      <w:pPr>
        <w:keepNext/>
        <w:spacing w:line="240" w:lineRule="auto"/>
        <w:jc w:val="both"/>
        <w:rPr>
          <w:i/>
          <w:szCs w:val="22"/>
        </w:rPr>
      </w:pPr>
    </w:p>
    <w:p w14:paraId="63E0ABD6" w14:textId="77777777" w:rsidR="002B7106" w:rsidRPr="003C7D36" w:rsidRDefault="002B7106" w:rsidP="00D77E03">
      <w:pPr>
        <w:keepNext/>
        <w:tabs>
          <w:tab w:val="clear" w:pos="567"/>
        </w:tabs>
        <w:spacing w:line="240" w:lineRule="auto"/>
        <w:jc w:val="both"/>
        <w:rPr>
          <w:iCs/>
          <w:szCs w:val="22"/>
          <w:u w:val="single"/>
        </w:rPr>
      </w:pPr>
      <w:r w:rsidRPr="00C0597B">
        <w:rPr>
          <w:szCs w:val="22"/>
          <w:u w:val="single"/>
        </w:rPr>
        <w:t>Jezgro tablete</w:t>
      </w:r>
    </w:p>
    <w:p w14:paraId="3D2D26FB" w14:textId="77777777" w:rsidR="002B7106" w:rsidRPr="003C7D36" w:rsidRDefault="002B7106" w:rsidP="00D77E03">
      <w:pPr>
        <w:keepNext/>
        <w:tabs>
          <w:tab w:val="clear" w:pos="567"/>
        </w:tabs>
        <w:spacing w:line="240" w:lineRule="auto"/>
        <w:jc w:val="both"/>
        <w:rPr>
          <w:iCs/>
          <w:szCs w:val="22"/>
        </w:rPr>
      </w:pPr>
    </w:p>
    <w:p w14:paraId="083D36CA" w14:textId="77777777" w:rsidR="002B7106" w:rsidRPr="003C7D36" w:rsidRDefault="002B7106" w:rsidP="00D77E03">
      <w:pPr>
        <w:keepNext/>
        <w:tabs>
          <w:tab w:val="clear" w:pos="567"/>
        </w:tabs>
        <w:spacing w:line="240" w:lineRule="auto"/>
        <w:jc w:val="both"/>
        <w:rPr>
          <w:iCs/>
          <w:szCs w:val="22"/>
        </w:rPr>
      </w:pPr>
      <w:r w:rsidRPr="00C0597B">
        <w:rPr>
          <w:szCs w:val="22"/>
        </w:rPr>
        <w:t>Mikrokristalna celuloza</w:t>
      </w:r>
    </w:p>
    <w:p w14:paraId="2F6BA16D" w14:textId="77777777" w:rsidR="002B7106" w:rsidRPr="003C7D36" w:rsidRDefault="002B7106" w:rsidP="00D77E03">
      <w:pPr>
        <w:tabs>
          <w:tab w:val="clear" w:pos="567"/>
        </w:tabs>
        <w:spacing w:line="240" w:lineRule="auto"/>
        <w:jc w:val="both"/>
        <w:rPr>
          <w:iCs/>
          <w:szCs w:val="22"/>
        </w:rPr>
      </w:pPr>
      <w:r w:rsidRPr="00C0597B">
        <w:rPr>
          <w:szCs w:val="22"/>
        </w:rPr>
        <w:t>Kalcijum hidrogen fosfat</w:t>
      </w:r>
    </w:p>
    <w:p w14:paraId="4F1C955C" w14:textId="77777777" w:rsidR="002B7106" w:rsidRPr="003C7D36" w:rsidRDefault="002B7106" w:rsidP="00D77E03">
      <w:pPr>
        <w:tabs>
          <w:tab w:val="clear" w:pos="567"/>
        </w:tabs>
        <w:spacing w:line="240" w:lineRule="auto"/>
        <w:jc w:val="both"/>
        <w:rPr>
          <w:iCs/>
          <w:szCs w:val="22"/>
        </w:rPr>
      </w:pPr>
      <w:r w:rsidRPr="00C0597B">
        <w:rPr>
          <w:szCs w:val="22"/>
        </w:rPr>
        <w:t>Natrijum skrob glikolat</w:t>
      </w:r>
    </w:p>
    <w:p w14:paraId="169ABE32" w14:textId="77777777" w:rsidR="002B7106" w:rsidRPr="003C7D36" w:rsidRDefault="002B7106" w:rsidP="00D77E03">
      <w:pPr>
        <w:tabs>
          <w:tab w:val="clear" w:pos="567"/>
        </w:tabs>
        <w:spacing w:line="240" w:lineRule="auto"/>
        <w:jc w:val="both"/>
        <w:rPr>
          <w:iCs/>
          <w:szCs w:val="22"/>
        </w:rPr>
      </w:pPr>
      <w:r w:rsidRPr="00C0597B">
        <w:rPr>
          <w:szCs w:val="22"/>
        </w:rPr>
        <w:t>Magnezijum stearat</w:t>
      </w:r>
    </w:p>
    <w:p w14:paraId="497F3A7D" w14:textId="77777777" w:rsidR="002B7106" w:rsidRPr="003C7D36" w:rsidRDefault="002B7106" w:rsidP="00D77E03">
      <w:pPr>
        <w:tabs>
          <w:tab w:val="clear" w:pos="567"/>
        </w:tabs>
        <w:spacing w:line="240" w:lineRule="auto"/>
        <w:jc w:val="both"/>
        <w:rPr>
          <w:iCs/>
          <w:szCs w:val="22"/>
          <w:u w:val="single"/>
        </w:rPr>
      </w:pPr>
    </w:p>
    <w:p w14:paraId="30F39B56" w14:textId="77777777" w:rsidR="002B7106" w:rsidRPr="003C7D36" w:rsidRDefault="002B7106" w:rsidP="00D77E03">
      <w:pPr>
        <w:keepNext/>
        <w:widowControl w:val="0"/>
        <w:tabs>
          <w:tab w:val="clear" w:pos="567"/>
        </w:tabs>
        <w:spacing w:line="240" w:lineRule="auto"/>
        <w:jc w:val="both"/>
        <w:rPr>
          <w:iCs/>
          <w:szCs w:val="22"/>
        </w:rPr>
      </w:pPr>
      <w:r w:rsidRPr="00C0597B">
        <w:rPr>
          <w:szCs w:val="22"/>
          <w:u w:val="single"/>
        </w:rPr>
        <w:t>Film obloga</w:t>
      </w:r>
    </w:p>
    <w:p w14:paraId="0C9B087D" w14:textId="77777777" w:rsidR="002B7106" w:rsidRPr="003C7D36" w:rsidRDefault="002B7106" w:rsidP="00D77E03">
      <w:pPr>
        <w:pStyle w:val="Paragraph"/>
        <w:keepNext/>
        <w:widowControl w:val="0"/>
        <w:spacing w:after="0"/>
        <w:jc w:val="both"/>
        <w:rPr>
          <w:rStyle w:val="Instructions"/>
          <w:i w:val="0"/>
          <w:color w:val="auto"/>
          <w:sz w:val="22"/>
          <w:szCs w:val="22"/>
        </w:rPr>
      </w:pPr>
    </w:p>
    <w:p w14:paraId="32A15982" w14:textId="77777777" w:rsidR="002B7106" w:rsidRPr="003C7D36" w:rsidRDefault="002B7106" w:rsidP="00D77E03">
      <w:pPr>
        <w:pStyle w:val="Paragraph"/>
        <w:keepNext/>
        <w:widowControl w:val="0"/>
        <w:spacing w:after="0"/>
        <w:jc w:val="both"/>
        <w:rPr>
          <w:rStyle w:val="Instructions"/>
          <w:i w:val="0"/>
          <w:color w:val="auto"/>
          <w:sz w:val="22"/>
          <w:szCs w:val="22"/>
        </w:rPr>
      </w:pPr>
      <w:r w:rsidRPr="00C0597B">
        <w:rPr>
          <w:rStyle w:val="Instructions"/>
          <w:i w:val="0"/>
          <w:color w:val="auto"/>
          <w:sz w:val="22"/>
          <w:szCs w:val="22"/>
        </w:rPr>
        <w:t xml:space="preserve">Hipromeloza </w:t>
      </w:r>
    </w:p>
    <w:p w14:paraId="72F3AF9C" w14:textId="77777777" w:rsidR="002B7106" w:rsidRPr="003C7D36" w:rsidRDefault="002B7106" w:rsidP="00D77E03">
      <w:pPr>
        <w:pStyle w:val="Paragraph"/>
        <w:keepNext/>
        <w:widowControl w:val="0"/>
        <w:spacing w:after="0"/>
        <w:jc w:val="both"/>
        <w:rPr>
          <w:rStyle w:val="Instructions"/>
          <w:i w:val="0"/>
          <w:color w:val="auto"/>
          <w:sz w:val="22"/>
          <w:szCs w:val="22"/>
        </w:rPr>
      </w:pPr>
      <w:r w:rsidRPr="00C0597B">
        <w:rPr>
          <w:rStyle w:val="Instructions"/>
          <w:i w:val="0"/>
          <w:color w:val="auto"/>
          <w:sz w:val="22"/>
          <w:szCs w:val="22"/>
        </w:rPr>
        <w:t>Laktoza monohidrat</w:t>
      </w:r>
    </w:p>
    <w:p w14:paraId="09A4D648" w14:textId="77777777" w:rsidR="002B7106" w:rsidRPr="003C7D36" w:rsidRDefault="002B7106" w:rsidP="00D77E03">
      <w:pPr>
        <w:pStyle w:val="Paragraph"/>
        <w:keepNext/>
        <w:widowControl w:val="0"/>
        <w:spacing w:after="0"/>
        <w:jc w:val="both"/>
        <w:rPr>
          <w:rStyle w:val="Instructions"/>
          <w:i w:val="0"/>
          <w:color w:val="auto"/>
          <w:sz w:val="22"/>
          <w:szCs w:val="22"/>
        </w:rPr>
      </w:pPr>
      <w:r w:rsidRPr="00C0597B">
        <w:rPr>
          <w:rStyle w:val="Instructions"/>
          <w:i w:val="0"/>
          <w:color w:val="auto"/>
          <w:sz w:val="22"/>
          <w:szCs w:val="22"/>
        </w:rPr>
        <w:t xml:space="preserve">Makrogol </w:t>
      </w:r>
    </w:p>
    <w:p w14:paraId="13BD3D22" w14:textId="77777777" w:rsidR="002B7106" w:rsidRPr="003C7D36" w:rsidRDefault="002B7106" w:rsidP="00D77E03">
      <w:pPr>
        <w:keepNext/>
        <w:widowControl w:val="0"/>
        <w:tabs>
          <w:tab w:val="clear" w:pos="567"/>
        </w:tabs>
        <w:spacing w:line="240" w:lineRule="auto"/>
        <w:jc w:val="both"/>
        <w:rPr>
          <w:iCs/>
          <w:szCs w:val="22"/>
        </w:rPr>
      </w:pPr>
      <w:r w:rsidRPr="00C0597B">
        <w:rPr>
          <w:szCs w:val="22"/>
        </w:rPr>
        <w:t>Triacetin</w:t>
      </w:r>
    </w:p>
    <w:p w14:paraId="5DDF04EF" w14:textId="09D5AAAA" w:rsidR="002B7106" w:rsidRPr="003C7D36" w:rsidRDefault="002B7106" w:rsidP="00D77E03">
      <w:pPr>
        <w:keepNext/>
        <w:widowControl w:val="0"/>
        <w:tabs>
          <w:tab w:val="clear" w:pos="567"/>
        </w:tabs>
        <w:spacing w:line="240" w:lineRule="auto"/>
        <w:jc w:val="both"/>
        <w:rPr>
          <w:iCs/>
          <w:szCs w:val="22"/>
        </w:rPr>
      </w:pPr>
      <w:r w:rsidRPr="00C0597B">
        <w:rPr>
          <w:szCs w:val="22"/>
        </w:rPr>
        <w:t>Titan dioksid (E171)</w:t>
      </w:r>
    </w:p>
    <w:p w14:paraId="4FCD3EE2" w14:textId="23C8852C" w:rsidR="002B7106" w:rsidRPr="003C7D36" w:rsidRDefault="00822B86" w:rsidP="00D77E03">
      <w:pPr>
        <w:keepNext/>
        <w:widowControl w:val="0"/>
        <w:tabs>
          <w:tab w:val="clear" w:pos="567"/>
        </w:tabs>
        <w:spacing w:line="240" w:lineRule="auto"/>
        <w:jc w:val="both"/>
        <w:rPr>
          <w:iCs/>
          <w:szCs w:val="22"/>
        </w:rPr>
      </w:pPr>
      <w:r>
        <w:rPr>
          <w:szCs w:val="22"/>
        </w:rPr>
        <w:t>G</w:t>
      </w:r>
      <w:r w:rsidR="007B0F9E" w:rsidRPr="00C0597B">
        <w:rPr>
          <w:szCs w:val="22"/>
        </w:rPr>
        <w:t xml:space="preserve">vožđe </w:t>
      </w:r>
      <w:r w:rsidR="002B7106" w:rsidRPr="00822B86">
        <w:rPr>
          <w:szCs w:val="22"/>
        </w:rPr>
        <w:t>oksid</w:t>
      </w:r>
      <w:r>
        <w:rPr>
          <w:szCs w:val="22"/>
        </w:rPr>
        <w:t>, crni</w:t>
      </w:r>
      <w:r w:rsidR="002B7106" w:rsidRPr="00822B86">
        <w:rPr>
          <w:szCs w:val="22"/>
        </w:rPr>
        <w:t xml:space="preserve"> (E172)</w:t>
      </w:r>
    </w:p>
    <w:p w14:paraId="0FF239D3" w14:textId="2CFDDFDE" w:rsidR="002B7106" w:rsidRPr="003C7D36" w:rsidRDefault="00822B86" w:rsidP="00D77E03">
      <w:pPr>
        <w:keepNext/>
        <w:widowControl w:val="0"/>
        <w:tabs>
          <w:tab w:val="clear" w:pos="567"/>
        </w:tabs>
        <w:spacing w:line="240" w:lineRule="auto"/>
        <w:jc w:val="both"/>
        <w:rPr>
          <w:iCs/>
          <w:szCs w:val="22"/>
        </w:rPr>
      </w:pPr>
      <w:r>
        <w:rPr>
          <w:szCs w:val="22"/>
        </w:rPr>
        <w:t>G</w:t>
      </w:r>
      <w:r w:rsidR="007B0F9E" w:rsidRPr="00C0597B">
        <w:rPr>
          <w:szCs w:val="22"/>
        </w:rPr>
        <w:t xml:space="preserve">vožđe </w:t>
      </w:r>
      <w:r w:rsidR="002B7106" w:rsidRPr="00822B86">
        <w:rPr>
          <w:szCs w:val="22"/>
        </w:rPr>
        <w:t>oksid</w:t>
      </w:r>
      <w:r>
        <w:rPr>
          <w:szCs w:val="22"/>
        </w:rPr>
        <w:t>, crveni</w:t>
      </w:r>
      <w:r w:rsidR="002B7106" w:rsidRPr="00822B86">
        <w:rPr>
          <w:szCs w:val="22"/>
        </w:rPr>
        <w:t xml:space="preserve"> (E172)</w:t>
      </w:r>
    </w:p>
    <w:p w14:paraId="5AA0FF56" w14:textId="77777777" w:rsidR="002B7106" w:rsidRPr="003C7D36" w:rsidRDefault="002B7106" w:rsidP="00D77E03">
      <w:pPr>
        <w:tabs>
          <w:tab w:val="clear" w:pos="567"/>
        </w:tabs>
        <w:spacing w:line="240" w:lineRule="auto"/>
        <w:jc w:val="both"/>
        <w:rPr>
          <w:iCs/>
          <w:szCs w:val="22"/>
        </w:rPr>
      </w:pPr>
    </w:p>
    <w:p w14:paraId="6D705C1C" w14:textId="77777777" w:rsidR="002B7106" w:rsidRPr="003C7D36" w:rsidRDefault="002B7106" w:rsidP="00D77E03">
      <w:pPr>
        <w:keepNext/>
        <w:spacing w:line="240" w:lineRule="auto"/>
        <w:ind w:left="567" w:hanging="567"/>
        <w:jc w:val="both"/>
        <w:outlineLvl w:val="0"/>
        <w:rPr>
          <w:szCs w:val="22"/>
        </w:rPr>
      </w:pPr>
      <w:r w:rsidRPr="00C0597B">
        <w:rPr>
          <w:b/>
          <w:szCs w:val="22"/>
        </w:rPr>
        <w:t>6.2</w:t>
      </w:r>
      <w:r w:rsidRPr="00C0597B">
        <w:rPr>
          <w:b/>
          <w:szCs w:val="22"/>
        </w:rPr>
        <w:tab/>
        <w:t>Inkompatibilnosti</w:t>
      </w:r>
    </w:p>
    <w:p w14:paraId="0A8A7E29" w14:textId="77777777" w:rsidR="002B7106" w:rsidRPr="003C7D36" w:rsidRDefault="002B7106" w:rsidP="00D77E03">
      <w:pPr>
        <w:keepNext/>
        <w:spacing w:line="240" w:lineRule="auto"/>
        <w:jc w:val="both"/>
        <w:rPr>
          <w:szCs w:val="22"/>
        </w:rPr>
      </w:pPr>
    </w:p>
    <w:p w14:paraId="7E16923A" w14:textId="287C3B6C" w:rsidR="002B7106" w:rsidRPr="003C7D36" w:rsidRDefault="002B7106" w:rsidP="00D77E03">
      <w:pPr>
        <w:keepNext/>
        <w:spacing w:line="240" w:lineRule="auto"/>
        <w:jc w:val="both"/>
        <w:rPr>
          <w:szCs w:val="22"/>
        </w:rPr>
      </w:pPr>
      <w:r w:rsidRPr="00C0597B">
        <w:rPr>
          <w:szCs w:val="22"/>
        </w:rPr>
        <w:t>Nije primjen</w:t>
      </w:r>
      <w:r w:rsidR="00953D79" w:rsidRPr="00C0597B">
        <w:rPr>
          <w:szCs w:val="22"/>
        </w:rPr>
        <w:t>lj</w:t>
      </w:r>
      <w:r w:rsidRPr="00822B86">
        <w:rPr>
          <w:szCs w:val="22"/>
        </w:rPr>
        <w:t xml:space="preserve">ivo. </w:t>
      </w:r>
    </w:p>
    <w:p w14:paraId="42F4C922" w14:textId="77777777" w:rsidR="002B7106" w:rsidRPr="003C7D36" w:rsidRDefault="002B7106" w:rsidP="00D77E03">
      <w:pPr>
        <w:spacing w:line="240" w:lineRule="auto"/>
        <w:jc w:val="both"/>
        <w:rPr>
          <w:szCs w:val="22"/>
        </w:rPr>
      </w:pPr>
    </w:p>
    <w:p w14:paraId="43D5062D" w14:textId="77777777" w:rsidR="002B7106" w:rsidRPr="003C7D36" w:rsidRDefault="002B7106" w:rsidP="00D77E03">
      <w:pPr>
        <w:keepNext/>
        <w:spacing w:line="240" w:lineRule="auto"/>
        <w:ind w:left="567" w:hanging="567"/>
        <w:jc w:val="both"/>
        <w:outlineLvl w:val="0"/>
        <w:rPr>
          <w:szCs w:val="22"/>
        </w:rPr>
      </w:pPr>
      <w:r w:rsidRPr="00C0597B">
        <w:rPr>
          <w:b/>
          <w:szCs w:val="22"/>
        </w:rPr>
        <w:t>6.3</w:t>
      </w:r>
      <w:r w:rsidRPr="00C0597B">
        <w:rPr>
          <w:b/>
          <w:szCs w:val="22"/>
        </w:rPr>
        <w:tab/>
        <w:t>Rok upotrebe</w:t>
      </w:r>
    </w:p>
    <w:p w14:paraId="5E5ACA9B" w14:textId="77777777" w:rsidR="002B7106" w:rsidRPr="003C7D36" w:rsidRDefault="002B7106" w:rsidP="00D77E03">
      <w:pPr>
        <w:keepNext/>
        <w:spacing w:line="240" w:lineRule="auto"/>
        <w:jc w:val="both"/>
        <w:rPr>
          <w:szCs w:val="22"/>
        </w:rPr>
      </w:pPr>
    </w:p>
    <w:p w14:paraId="5C1B897A" w14:textId="2216C593" w:rsidR="002B7106" w:rsidRPr="003C7D36" w:rsidRDefault="00392E95" w:rsidP="00D77E03">
      <w:pPr>
        <w:keepNext/>
        <w:spacing w:line="240" w:lineRule="auto"/>
        <w:jc w:val="both"/>
        <w:rPr>
          <w:szCs w:val="22"/>
        </w:rPr>
      </w:pPr>
      <w:r w:rsidRPr="00C0597B">
        <w:rPr>
          <w:szCs w:val="22"/>
        </w:rPr>
        <w:t>3 godine</w:t>
      </w:r>
    </w:p>
    <w:p w14:paraId="2776001D" w14:textId="77777777" w:rsidR="002B7106" w:rsidRPr="003C7D36" w:rsidRDefault="002B7106" w:rsidP="00D77E03">
      <w:pPr>
        <w:keepNext/>
        <w:spacing w:line="240" w:lineRule="auto"/>
        <w:jc w:val="both"/>
        <w:rPr>
          <w:szCs w:val="22"/>
        </w:rPr>
      </w:pPr>
    </w:p>
    <w:p w14:paraId="74EF167F" w14:textId="77777777" w:rsidR="002B7106" w:rsidRPr="003C7D36" w:rsidRDefault="002B7106" w:rsidP="00D77E03">
      <w:pPr>
        <w:keepNext/>
        <w:spacing w:line="240" w:lineRule="auto"/>
        <w:ind w:left="567" w:hanging="567"/>
        <w:jc w:val="both"/>
        <w:outlineLvl w:val="0"/>
        <w:rPr>
          <w:b/>
          <w:szCs w:val="22"/>
        </w:rPr>
      </w:pPr>
      <w:r w:rsidRPr="00C0597B">
        <w:rPr>
          <w:b/>
          <w:szCs w:val="22"/>
        </w:rPr>
        <w:t>6.4</w:t>
      </w:r>
      <w:r w:rsidRPr="00C0597B">
        <w:rPr>
          <w:b/>
          <w:szCs w:val="22"/>
        </w:rPr>
        <w:tab/>
        <w:t>Posebne mjere upozorenja pri čuvanju lijeka</w:t>
      </w:r>
    </w:p>
    <w:p w14:paraId="4A95AC7D" w14:textId="77777777" w:rsidR="00822B86" w:rsidRPr="003C7D36" w:rsidRDefault="00822B86" w:rsidP="00D77E03">
      <w:pPr>
        <w:keepNext/>
        <w:spacing w:line="240" w:lineRule="auto"/>
        <w:ind w:left="567" w:hanging="567"/>
        <w:jc w:val="both"/>
        <w:outlineLvl w:val="0"/>
        <w:rPr>
          <w:szCs w:val="22"/>
        </w:rPr>
      </w:pPr>
    </w:p>
    <w:p w14:paraId="75221B12" w14:textId="0A12F733" w:rsidR="002B7106" w:rsidRPr="003C7D36" w:rsidRDefault="00822B86" w:rsidP="00D77E03">
      <w:pPr>
        <w:keepNext/>
        <w:tabs>
          <w:tab w:val="clear" w:pos="567"/>
        </w:tabs>
        <w:spacing w:line="240" w:lineRule="auto"/>
        <w:jc w:val="both"/>
        <w:rPr>
          <w:i/>
          <w:szCs w:val="22"/>
        </w:rPr>
      </w:pPr>
      <w:r>
        <w:rPr>
          <w:szCs w:val="22"/>
        </w:rPr>
        <w:t>L</w:t>
      </w:r>
      <w:r w:rsidR="002B7106" w:rsidRPr="00C0597B">
        <w:rPr>
          <w:szCs w:val="22"/>
        </w:rPr>
        <w:t>ijek ne zaht</w:t>
      </w:r>
      <w:r w:rsidR="0007687B" w:rsidRPr="00C0597B">
        <w:rPr>
          <w:szCs w:val="22"/>
        </w:rPr>
        <w:t>i</w:t>
      </w:r>
      <w:r w:rsidR="002B7106" w:rsidRPr="00822B86">
        <w:rPr>
          <w:szCs w:val="22"/>
        </w:rPr>
        <w:t>jeva posebne uslove čuvanj</w:t>
      </w:r>
      <w:r w:rsidR="000D26E1">
        <w:rPr>
          <w:szCs w:val="22"/>
        </w:rPr>
        <w:t>a</w:t>
      </w:r>
      <w:r w:rsidR="002B7106" w:rsidRPr="00822B86">
        <w:rPr>
          <w:szCs w:val="22"/>
        </w:rPr>
        <w:t>.</w:t>
      </w:r>
      <w:r w:rsidR="002B7106" w:rsidRPr="00822B86">
        <w:rPr>
          <w:i/>
          <w:szCs w:val="22"/>
        </w:rPr>
        <w:t xml:space="preserve"> </w:t>
      </w:r>
    </w:p>
    <w:p w14:paraId="38756BCA" w14:textId="77777777" w:rsidR="002B7106" w:rsidRPr="003C7D36" w:rsidRDefault="002B7106" w:rsidP="00D77E03">
      <w:pPr>
        <w:keepNext/>
        <w:tabs>
          <w:tab w:val="clear" w:pos="567"/>
        </w:tabs>
        <w:spacing w:line="240" w:lineRule="auto"/>
        <w:jc w:val="both"/>
        <w:rPr>
          <w:szCs w:val="22"/>
        </w:rPr>
      </w:pPr>
    </w:p>
    <w:p w14:paraId="0BB4EDBE" w14:textId="77777777" w:rsidR="002B7106" w:rsidRPr="003C7D36" w:rsidRDefault="002B7106" w:rsidP="00D77E03">
      <w:pPr>
        <w:spacing w:line="240" w:lineRule="auto"/>
        <w:ind w:left="567" w:hanging="567"/>
        <w:jc w:val="both"/>
        <w:outlineLvl w:val="0"/>
        <w:rPr>
          <w:b/>
          <w:szCs w:val="22"/>
        </w:rPr>
      </w:pPr>
      <w:r w:rsidRPr="00C0597B">
        <w:rPr>
          <w:b/>
          <w:szCs w:val="22"/>
        </w:rPr>
        <w:t>6.5</w:t>
      </w:r>
      <w:r w:rsidRPr="00C0597B">
        <w:rPr>
          <w:b/>
          <w:szCs w:val="22"/>
        </w:rPr>
        <w:tab/>
        <w:t xml:space="preserve">Vrsta i sadržaj pakovanja </w:t>
      </w:r>
    </w:p>
    <w:p w14:paraId="37113ED5" w14:textId="77777777" w:rsidR="002B7106" w:rsidRPr="003C7D36" w:rsidRDefault="002B7106" w:rsidP="00D77E03">
      <w:pPr>
        <w:spacing w:line="240" w:lineRule="auto"/>
        <w:jc w:val="both"/>
        <w:rPr>
          <w:szCs w:val="22"/>
        </w:rPr>
      </w:pPr>
    </w:p>
    <w:p w14:paraId="2BA43CAF" w14:textId="39D6CEBE" w:rsidR="002B7106" w:rsidRPr="003C7D36" w:rsidRDefault="00E849CA" w:rsidP="00D77E03">
      <w:pPr>
        <w:spacing w:line="240" w:lineRule="auto"/>
        <w:jc w:val="both"/>
        <w:rPr>
          <w:szCs w:val="22"/>
        </w:rPr>
      </w:pPr>
      <w:r>
        <w:rPr>
          <w:szCs w:val="22"/>
        </w:rPr>
        <w:t xml:space="preserve">Unutrašnje pakovanje je </w:t>
      </w:r>
      <w:r w:rsidR="002B7106" w:rsidRPr="00C0597B">
        <w:rPr>
          <w:szCs w:val="22"/>
        </w:rPr>
        <w:t>OPA/Al/PVC</w:t>
      </w:r>
      <w:r>
        <w:rPr>
          <w:szCs w:val="22"/>
        </w:rPr>
        <w:t xml:space="preserve"> blister</w:t>
      </w:r>
      <w:r w:rsidR="002B7106" w:rsidRPr="00C0597B">
        <w:rPr>
          <w:szCs w:val="22"/>
        </w:rPr>
        <w:t xml:space="preserve"> zatvoren aluminijumskom folijom</w:t>
      </w:r>
      <w:r w:rsidR="00E25A09">
        <w:rPr>
          <w:szCs w:val="22"/>
        </w:rPr>
        <w:t>.</w:t>
      </w:r>
      <w:r w:rsidR="002B7106" w:rsidRPr="00C0597B">
        <w:rPr>
          <w:szCs w:val="22"/>
        </w:rPr>
        <w:t xml:space="preserve"> </w:t>
      </w:r>
    </w:p>
    <w:p w14:paraId="56B8CE1B" w14:textId="77777777" w:rsidR="002B7106" w:rsidRPr="003C7D36" w:rsidRDefault="002B7106" w:rsidP="00D77E03">
      <w:pPr>
        <w:spacing w:line="240" w:lineRule="auto"/>
        <w:jc w:val="both"/>
        <w:rPr>
          <w:szCs w:val="22"/>
        </w:rPr>
      </w:pPr>
    </w:p>
    <w:p w14:paraId="0AC7B50F" w14:textId="41006A96" w:rsidR="002B7106" w:rsidRPr="00822B86" w:rsidRDefault="002B7106" w:rsidP="00D77E03">
      <w:pPr>
        <w:widowControl w:val="0"/>
        <w:tabs>
          <w:tab w:val="clear" w:pos="567"/>
        </w:tabs>
        <w:spacing w:line="240" w:lineRule="auto"/>
        <w:jc w:val="both"/>
        <w:rPr>
          <w:bCs/>
          <w:szCs w:val="22"/>
          <w:u w:val="single"/>
        </w:rPr>
      </w:pPr>
      <w:r w:rsidRPr="00C0597B">
        <w:rPr>
          <w:szCs w:val="22"/>
          <w:u w:val="single"/>
        </w:rPr>
        <w:t>Lorviqua, 25 mg, film tablet</w:t>
      </w:r>
      <w:r w:rsidR="00953D79" w:rsidRPr="00C0597B">
        <w:rPr>
          <w:szCs w:val="22"/>
          <w:u w:val="single"/>
        </w:rPr>
        <w:t>a</w:t>
      </w:r>
    </w:p>
    <w:p w14:paraId="01EB90C2" w14:textId="00C633A8" w:rsidR="00E25A09" w:rsidRDefault="00E25A09" w:rsidP="00D77E03">
      <w:pPr>
        <w:widowControl w:val="0"/>
        <w:tabs>
          <w:tab w:val="clear" w:pos="567"/>
        </w:tabs>
        <w:spacing w:line="240" w:lineRule="auto"/>
        <w:jc w:val="both"/>
        <w:rPr>
          <w:szCs w:val="22"/>
        </w:rPr>
      </w:pPr>
      <w:r w:rsidRPr="00E25A09">
        <w:rPr>
          <w:szCs w:val="22"/>
        </w:rPr>
        <w:t>Spolj</w:t>
      </w:r>
      <w:r>
        <w:rPr>
          <w:szCs w:val="22"/>
        </w:rPr>
        <w:t>aš</w:t>
      </w:r>
      <w:r w:rsidRPr="00E25A09">
        <w:rPr>
          <w:szCs w:val="22"/>
        </w:rPr>
        <w:t>nje pakovanje je složiva ka</w:t>
      </w:r>
      <w:r>
        <w:rPr>
          <w:szCs w:val="22"/>
        </w:rPr>
        <w:t>rtonska kutija u kojoj se nalazi</w:t>
      </w:r>
      <w:r w:rsidRPr="00E25A09">
        <w:rPr>
          <w:szCs w:val="22"/>
        </w:rPr>
        <w:t xml:space="preserve"> </w:t>
      </w:r>
      <w:r>
        <w:rPr>
          <w:szCs w:val="22"/>
        </w:rPr>
        <w:t>9 blistera sa po 10 film tableta (ukupno 90 film tableta) i Uputstvo za lijek.</w:t>
      </w:r>
    </w:p>
    <w:p w14:paraId="664403FF" w14:textId="77777777" w:rsidR="002B7106" w:rsidRPr="00446153" w:rsidRDefault="002B7106" w:rsidP="00D77E03">
      <w:pPr>
        <w:tabs>
          <w:tab w:val="clear" w:pos="567"/>
        </w:tabs>
        <w:autoSpaceDE w:val="0"/>
        <w:autoSpaceDN w:val="0"/>
        <w:adjustRightInd w:val="0"/>
        <w:spacing w:line="240" w:lineRule="auto"/>
        <w:jc w:val="both"/>
        <w:rPr>
          <w:bCs/>
          <w:szCs w:val="22"/>
        </w:rPr>
      </w:pPr>
    </w:p>
    <w:p w14:paraId="77E72DDC" w14:textId="1FA30167" w:rsidR="002B7106" w:rsidRDefault="002B7106" w:rsidP="00D77E03">
      <w:pPr>
        <w:widowControl w:val="0"/>
        <w:tabs>
          <w:tab w:val="clear" w:pos="567"/>
        </w:tabs>
        <w:spacing w:line="240" w:lineRule="auto"/>
        <w:jc w:val="both"/>
        <w:rPr>
          <w:szCs w:val="22"/>
        </w:rPr>
      </w:pPr>
      <w:r w:rsidRPr="00E849CA">
        <w:rPr>
          <w:szCs w:val="22"/>
          <w:u w:val="single"/>
        </w:rPr>
        <w:t>Lorviqua, 100 mg, film tablet</w:t>
      </w:r>
      <w:r w:rsidR="00953D79" w:rsidRPr="00E849CA">
        <w:rPr>
          <w:szCs w:val="22"/>
          <w:u w:val="single"/>
        </w:rPr>
        <w:t>a</w:t>
      </w:r>
    </w:p>
    <w:p w14:paraId="59EC3CB6" w14:textId="134296CB" w:rsidR="00E25A09" w:rsidRPr="00E25A09" w:rsidRDefault="00E25A09" w:rsidP="00D77E03">
      <w:pPr>
        <w:widowControl w:val="0"/>
        <w:tabs>
          <w:tab w:val="clear" w:pos="567"/>
        </w:tabs>
        <w:spacing w:line="240" w:lineRule="auto"/>
        <w:jc w:val="both"/>
        <w:rPr>
          <w:bCs/>
          <w:szCs w:val="22"/>
          <w:u w:val="single"/>
        </w:rPr>
      </w:pPr>
      <w:r w:rsidRPr="00E25A09">
        <w:rPr>
          <w:szCs w:val="22"/>
        </w:rPr>
        <w:t>Spolj</w:t>
      </w:r>
      <w:r>
        <w:rPr>
          <w:szCs w:val="22"/>
        </w:rPr>
        <w:t>aš</w:t>
      </w:r>
      <w:r w:rsidRPr="00E25A09">
        <w:rPr>
          <w:szCs w:val="22"/>
        </w:rPr>
        <w:t>nje pakovanje je složiva ka</w:t>
      </w:r>
      <w:r>
        <w:rPr>
          <w:szCs w:val="22"/>
        </w:rPr>
        <w:t>rtonska kutija u kojoj se nalaze 3 blistera sa po 10 film tableta (ukupno 30 film tableta) i Uputstvo za lijek.</w:t>
      </w:r>
    </w:p>
    <w:p w14:paraId="7AD75AC9" w14:textId="77777777" w:rsidR="002B7106" w:rsidRPr="003C7D36" w:rsidRDefault="002B7106" w:rsidP="00D77E03">
      <w:pPr>
        <w:spacing w:line="240" w:lineRule="auto"/>
        <w:jc w:val="both"/>
        <w:outlineLvl w:val="0"/>
        <w:rPr>
          <w:b/>
          <w:szCs w:val="22"/>
        </w:rPr>
      </w:pPr>
    </w:p>
    <w:p w14:paraId="7A9A1B40" w14:textId="4AF5B8DF" w:rsidR="00812D16" w:rsidRPr="003C7D36" w:rsidRDefault="00812D16" w:rsidP="00D77E03">
      <w:pPr>
        <w:keepNext/>
        <w:spacing w:line="240" w:lineRule="auto"/>
        <w:ind w:left="567" w:hanging="567"/>
        <w:jc w:val="both"/>
        <w:outlineLvl w:val="0"/>
        <w:rPr>
          <w:b/>
          <w:szCs w:val="22"/>
        </w:rPr>
      </w:pPr>
      <w:r w:rsidRPr="00C0597B">
        <w:rPr>
          <w:b/>
          <w:szCs w:val="22"/>
        </w:rPr>
        <w:t>6.6</w:t>
      </w:r>
      <w:r w:rsidRPr="00C0597B">
        <w:rPr>
          <w:b/>
          <w:szCs w:val="22"/>
        </w:rPr>
        <w:tab/>
        <w:t>Posebne mjere opreza pri odlaganju materijala koji treba odbaciti nakon primjene lijeka (i druga uputstva za rukovanje lijekom)</w:t>
      </w:r>
    </w:p>
    <w:p w14:paraId="05145A78" w14:textId="77777777" w:rsidR="00812D16" w:rsidRPr="003C7D36" w:rsidRDefault="00812D16" w:rsidP="00D77E03">
      <w:pPr>
        <w:keepNext/>
        <w:spacing w:line="240" w:lineRule="auto"/>
        <w:jc w:val="both"/>
        <w:rPr>
          <w:szCs w:val="22"/>
        </w:rPr>
      </w:pPr>
    </w:p>
    <w:p w14:paraId="2B095351" w14:textId="58338173" w:rsidR="00812D16" w:rsidRPr="00C0597B" w:rsidRDefault="00812D16" w:rsidP="00D77E03">
      <w:pPr>
        <w:keepNext/>
        <w:spacing w:line="240" w:lineRule="auto"/>
        <w:jc w:val="both"/>
        <w:rPr>
          <w:szCs w:val="22"/>
        </w:rPr>
      </w:pPr>
      <w:r w:rsidRPr="00C0597B">
        <w:rPr>
          <w:szCs w:val="22"/>
        </w:rPr>
        <w:t xml:space="preserve">Svu neiskorišćenu količinu lijeka ili otpadnog materijala nakon njegove upotrebe treba ukloniti, u skladu sa važećim propisima. </w:t>
      </w:r>
      <w:bookmarkEnd w:id="11"/>
    </w:p>
    <w:p w14:paraId="1FCE2577" w14:textId="49793495" w:rsidR="00812D16" w:rsidRPr="003C7D36" w:rsidRDefault="00812D16" w:rsidP="00D77E03">
      <w:pPr>
        <w:spacing w:line="240" w:lineRule="auto"/>
        <w:jc w:val="both"/>
        <w:rPr>
          <w:szCs w:val="22"/>
        </w:rPr>
      </w:pPr>
    </w:p>
    <w:p w14:paraId="49E30E5F" w14:textId="58AC3F16" w:rsidR="00953D79" w:rsidRDefault="00953D79" w:rsidP="00D77E03">
      <w:pPr>
        <w:spacing w:line="240" w:lineRule="auto"/>
        <w:jc w:val="both"/>
        <w:rPr>
          <w:szCs w:val="22"/>
        </w:rPr>
      </w:pPr>
    </w:p>
    <w:p w14:paraId="62FD0D53" w14:textId="278D0421" w:rsidR="00E25A09" w:rsidRDefault="00E25A09" w:rsidP="00D77E03">
      <w:pPr>
        <w:spacing w:line="240" w:lineRule="auto"/>
        <w:jc w:val="both"/>
        <w:rPr>
          <w:szCs w:val="22"/>
        </w:rPr>
      </w:pPr>
    </w:p>
    <w:p w14:paraId="67E42E24" w14:textId="022ADD7D" w:rsidR="00E25A09" w:rsidRDefault="00E25A09" w:rsidP="00D77E03">
      <w:pPr>
        <w:spacing w:line="240" w:lineRule="auto"/>
        <w:jc w:val="both"/>
        <w:rPr>
          <w:szCs w:val="22"/>
        </w:rPr>
      </w:pPr>
    </w:p>
    <w:p w14:paraId="417FB484" w14:textId="123433F4" w:rsidR="00E25A09" w:rsidRDefault="00E25A09" w:rsidP="00D77E03">
      <w:pPr>
        <w:spacing w:line="240" w:lineRule="auto"/>
        <w:jc w:val="both"/>
        <w:rPr>
          <w:szCs w:val="22"/>
        </w:rPr>
      </w:pPr>
    </w:p>
    <w:p w14:paraId="710DC311" w14:textId="34EEB8F6" w:rsidR="00E25A09" w:rsidRPr="003C7D36" w:rsidRDefault="00E25A09" w:rsidP="00D77E03">
      <w:pPr>
        <w:spacing w:line="240" w:lineRule="auto"/>
        <w:jc w:val="both"/>
        <w:rPr>
          <w:szCs w:val="22"/>
        </w:rPr>
      </w:pPr>
    </w:p>
    <w:p w14:paraId="4280144E" w14:textId="77777777" w:rsidR="00812D16" w:rsidRPr="003C7D36" w:rsidRDefault="00812D16" w:rsidP="00D77E03">
      <w:pPr>
        <w:keepNext/>
        <w:spacing w:line="240" w:lineRule="auto"/>
        <w:ind w:left="567" w:hanging="567"/>
        <w:jc w:val="both"/>
        <w:rPr>
          <w:szCs w:val="22"/>
        </w:rPr>
      </w:pPr>
      <w:r w:rsidRPr="00C0597B">
        <w:rPr>
          <w:b/>
          <w:szCs w:val="22"/>
        </w:rPr>
        <w:lastRenderedPageBreak/>
        <w:t>7.</w:t>
      </w:r>
      <w:r w:rsidRPr="00C0597B">
        <w:rPr>
          <w:b/>
          <w:szCs w:val="22"/>
        </w:rPr>
        <w:tab/>
        <w:t>NOSILAC DOZVOLE</w:t>
      </w:r>
    </w:p>
    <w:p w14:paraId="4697D884" w14:textId="77777777" w:rsidR="00812D16" w:rsidRPr="003C7D36" w:rsidRDefault="00812D16" w:rsidP="00D77E03">
      <w:pPr>
        <w:keepNext/>
        <w:spacing w:line="240" w:lineRule="auto"/>
        <w:jc w:val="both"/>
        <w:rPr>
          <w:szCs w:val="22"/>
        </w:rPr>
      </w:pPr>
    </w:p>
    <w:p w14:paraId="349A0879" w14:textId="77777777" w:rsidR="00C0634F" w:rsidRPr="003C7D36" w:rsidRDefault="00C0634F" w:rsidP="00D77E03">
      <w:pPr>
        <w:jc w:val="both"/>
        <w:rPr>
          <w:szCs w:val="22"/>
        </w:rPr>
      </w:pPr>
      <w:r w:rsidRPr="00C0597B">
        <w:rPr>
          <w:szCs w:val="22"/>
        </w:rPr>
        <w:t xml:space="preserve">Evropa Lek Pharma d.o.o. Podgorica </w:t>
      </w:r>
    </w:p>
    <w:p w14:paraId="4A0AB17F" w14:textId="3214CDFB" w:rsidR="00812D16" w:rsidRPr="003C7D36" w:rsidRDefault="00C0634F" w:rsidP="00D77E03">
      <w:pPr>
        <w:jc w:val="both"/>
        <w:rPr>
          <w:szCs w:val="22"/>
        </w:rPr>
      </w:pPr>
      <w:r w:rsidRPr="00C0597B">
        <w:rPr>
          <w:szCs w:val="22"/>
        </w:rPr>
        <w:t>Kritskog odreda 4/1</w:t>
      </w:r>
      <w:r w:rsidR="00355161">
        <w:rPr>
          <w:szCs w:val="22"/>
        </w:rPr>
        <w:t xml:space="preserve">, </w:t>
      </w:r>
      <w:r w:rsidRPr="00C0597B">
        <w:rPr>
          <w:szCs w:val="22"/>
        </w:rPr>
        <w:t>81000 Podgorica, Crna Gora</w:t>
      </w:r>
    </w:p>
    <w:p w14:paraId="174823E4" w14:textId="026005E1" w:rsidR="00812D16" w:rsidRPr="003C7D36" w:rsidRDefault="00812D16" w:rsidP="00D77E03">
      <w:pPr>
        <w:spacing w:line="240" w:lineRule="auto"/>
        <w:jc w:val="both"/>
        <w:rPr>
          <w:szCs w:val="22"/>
        </w:rPr>
      </w:pPr>
    </w:p>
    <w:p w14:paraId="38CE3672" w14:textId="77777777" w:rsidR="00953D79" w:rsidRPr="003C7D36" w:rsidRDefault="00953D79" w:rsidP="00D77E03">
      <w:pPr>
        <w:spacing w:line="240" w:lineRule="auto"/>
        <w:jc w:val="both"/>
        <w:rPr>
          <w:szCs w:val="22"/>
        </w:rPr>
      </w:pPr>
    </w:p>
    <w:p w14:paraId="459591A2" w14:textId="48A612B5" w:rsidR="00812D16" w:rsidRPr="00822B86" w:rsidRDefault="00812D16" w:rsidP="00D77E03">
      <w:pPr>
        <w:keepNext/>
        <w:spacing w:line="240" w:lineRule="auto"/>
        <w:ind w:left="567" w:hanging="567"/>
        <w:jc w:val="both"/>
        <w:rPr>
          <w:b/>
          <w:szCs w:val="22"/>
        </w:rPr>
      </w:pPr>
      <w:r w:rsidRPr="00C0597B">
        <w:rPr>
          <w:b/>
          <w:szCs w:val="22"/>
        </w:rPr>
        <w:t>8.</w:t>
      </w:r>
      <w:r w:rsidRPr="00C0597B">
        <w:rPr>
          <w:b/>
          <w:szCs w:val="22"/>
        </w:rPr>
        <w:tab/>
        <w:t xml:space="preserve">BROJ DOZVOLE ZA STAVLJANJE LIJEKA U PROMET </w:t>
      </w:r>
    </w:p>
    <w:p w14:paraId="2628750F" w14:textId="15AFF402" w:rsidR="00353969" w:rsidRPr="003C7D36" w:rsidRDefault="00353969" w:rsidP="00D77E03">
      <w:pPr>
        <w:keepNext/>
        <w:spacing w:line="240" w:lineRule="auto"/>
        <w:ind w:left="567" w:hanging="567"/>
        <w:jc w:val="both"/>
        <w:rPr>
          <w:b/>
          <w:szCs w:val="22"/>
        </w:rPr>
      </w:pPr>
    </w:p>
    <w:p w14:paraId="4D18634C" w14:textId="0A746E6E" w:rsidR="00740A95" w:rsidRPr="003C7D36" w:rsidRDefault="00740A95" w:rsidP="00D77E03">
      <w:pPr>
        <w:keepNext/>
        <w:spacing w:line="240" w:lineRule="auto"/>
        <w:ind w:left="567" w:hanging="567"/>
        <w:jc w:val="both"/>
        <w:rPr>
          <w:szCs w:val="22"/>
        </w:rPr>
      </w:pPr>
      <w:r w:rsidRPr="003C7D36">
        <w:rPr>
          <w:szCs w:val="22"/>
        </w:rPr>
        <w:t xml:space="preserve">Lorviqua, </w:t>
      </w:r>
      <w:r w:rsidR="00E25A09" w:rsidRPr="003C7D36">
        <w:rPr>
          <w:szCs w:val="22"/>
        </w:rPr>
        <w:t>25 mg</w:t>
      </w:r>
      <w:r w:rsidR="00E25A09">
        <w:rPr>
          <w:szCs w:val="22"/>
        </w:rPr>
        <w:t>,</w:t>
      </w:r>
      <w:r w:rsidR="00E25A09" w:rsidRPr="003C7D36">
        <w:rPr>
          <w:szCs w:val="22"/>
        </w:rPr>
        <w:t xml:space="preserve"> </w:t>
      </w:r>
      <w:r w:rsidRPr="003C7D36">
        <w:rPr>
          <w:szCs w:val="22"/>
        </w:rPr>
        <w:t>film tableta, blister, 90</w:t>
      </w:r>
      <w:r w:rsidR="00A35ED9">
        <w:rPr>
          <w:szCs w:val="22"/>
        </w:rPr>
        <w:t xml:space="preserve"> (9x10)</w:t>
      </w:r>
      <w:r w:rsidRPr="003C7D36">
        <w:rPr>
          <w:szCs w:val="22"/>
        </w:rPr>
        <w:t xml:space="preserve"> film tableta: </w:t>
      </w:r>
      <w:r w:rsidR="001D1BA7" w:rsidRPr="00F76316">
        <w:t xml:space="preserve">2030/25/656 </w:t>
      </w:r>
      <w:r w:rsidR="001D1BA7">
        <w:t>-</w:t>
      </w:r>
      <w:r w:rsidR="001D1BA7" w:rsidRPr="00F76316">
        <w:t xml:space="preserve"> 7954</w:t>
      </w:r>
    </w:p>
    <w:p w14:paraId="79D3C8DF" w14:textId="5D3ED2B9" w:rsidR="00570130" w:rsidRPr="003C7D36" w:rsidRDefault="00570130" w:rsidP="00D77E03">
      <w:pPr>
        <w:keepNext/>
        <w:spacing w:line="240" w:lineRule="auto"/>
        <w:ind w:left="567" w:hanging="567"/>
        <w:jc w:val="both"/>
        <w:rPr>
          <w:szCs w:val="22"/>
        </w:rPr>
      </w:pPr>
      <w:r w:rsidRPr="003C7D36">
        <w:rPr>
          <w:szCs w:val="22"/>
        </w:rPr>
        <w:t xml:space="preserve">Lorviqua, </w:t>
      </w:r>
      <w:r w:rsidR="00E25A09" w:rsidRPr="003C7D36">
        <w:rPr>
          <w:szCs w:val="22"/>
        </w:rPr>
        <w:t>100 mg</w:t>
      </w:r>
      <w:r w:rsidR="00E25A09">
        <w:rPr>
          <w:szCs w:val="22"/>
        </w:rPr>
        <w:t>,</w:t>
      </w:r>
      <w:r w:rsidR="00E25A09" w:rsidRPr="003C7D36">
        <w:rPr>
          <w:szCs w:val="22"/>
        </w:rPr>
        <w:t xml:space="preserve"> </w:t>
      </w:r>
      <w:r w:rsidRPr="003C7D36">
        <w:rPr>
          <w:szCs w:val="22"/>
        </w:rPr>
        <w:t>film tableta, blister, 30</w:t>
      </w:r>
      <w:r w:rsidR="00A35ED9">
        <w:rPr>
          <w:szCs w:val="22"/>
        </w:rPr>
        <w:t xml:space="preserve"> (3x10)</w:t>
      </w:r>
      <w:r w:rsidRPr="003C7D36">
        <w:rPr>
          <w:szCs w:val="22"/>
        </w:rPr>
        <w:t xml:space="preserve"> film tableta: </w:t>
      </w:r>
      <w:r w:rsidR="001D1BA7" w:rsidRPr="00A7728D">
        <w:rPr>
          <w:rFonts w:ascii="TimesNewRoman" w:hAnsi="TimesNewRoman" w:cs="TimesNewRoman"/>
        </w:rPr>
        <w:t>2030/25/657 - 7955</w:t>
      </w:r>
    </w:p>
    <w:p w14:paraId="3CCE2FDE" w14:textId="77777777" w:rsidR="00740A95" w:rsidRPr="003C7D36" w:rsidRDefault="00740A95" w:rsidP="00D77E03">
      <w:pPr>
        <w:keepNext/>
        <w:spacing w:line="240" w:lineRule="auto"/>
        <w:ind w:left="567" w:hanging="567"/>
        <w:jc w:val="both"/>
        <w:rPr>
          <w:szCs w:val="22"/>
        </w:rPr>
      </w:pPr>
    </w:p>
    <w:p w14:paraId="0FEDA7CE" w14:textId="77777777" w:rsidR="0037715A" w:rsidRPr="003C7D36" w:rsidRDefault="0037715A" w:rsidP="00D77E03">
      <w:pPr>
        <w:keepNext/>
        <w:spacing w:line="240" w:lineRule="auto"/>
        <w:jc w:val="both"/>
        <w:rPr>
          <w:szCs w:val="22"/>
        </w:rPr>
      </w:pPr>
    </w:p>
    <w:p w14:paraId="2B4B355F" w14:textId="277C2584" w:rsidR="00812D16" w:rsidRPr="00822B86" w:rsidRDefault="00812D16" w:rsidP="00D77E03">
      <w:pPr>
        <w:spacing w:line="240" w:lineRule="auto"/>
        <w:ind w:left="567" w:hanging="567"/>
        <w:jc w:val="both"/>
        <w:rPr>
          <w:b/>
          <w:szCs w:val="22"/>
        </w:rPr>
      </w:pPr>
      <w:r w:rsidRPr="00C0597B">
        <w:rPr>
          <w:b/>
          <w:szCs w:val="22"/>
        </w:rPr>
        <w:t>9.</w:t>
      </w:r>
      <w:r w:rsidRPr="00C0597B">
        <w:rPr>
          <w:b/>
          <w:szCs w:val="22"/>
        </w:rPr>
        <w:tab/>
        <w:t>DATUM PRVE DOZVOLE/OBNOVE DOZVOLE ZA STAVLJANJE LIJEKA U PROMET</w:t>
      </w:r>
    </w:p>
    <w:p w14:paraId="60B80381" w14:textId="3055307F" w:rsidR="00740A95" w:rsidRPr="00446153" w:rsidRDefault="00740A95" w:rsidP="00D77E03">
      <w:pPr>
        <w:spacing w:line="240" w:lineRule="auto"/>
        <w:ind w:left="567" w:hanging="567"/>
        <w:jc w:val="both"/>
        <w:rPr>
          <w:b/>
          <w:szCs w:val="22"/>
        </w:rPr>
      </w:pPr>
    </w:p>
    <w:p w14:paraId="11CA7372" w14:textId="46629B21" w:rsidR="00A35ED9" w:rsidRPr="001D1BA7" w:rsidRDefault="00A35ED9" w:rsidP="00A35ED9">
      <w:pPr>
        <w:spacing w:line="240" w:lineRule="auto"/>
        <w:ind w:left="567" w:hanging="567"/>
        <w:jc w:val="both"/>
        <w:rPr>
          <w:szCs w:val="22"/>
        </w:rPr>
      </w:pPr>
      <w:r w:rsidRPr="001D1BA7">
        <w:rPr>
          <w:szCs w:val="22"/>
        </w:rPr>
        <w:t xml:space="preserve">Datum prve dozvole: </w:t>
      </w:r>
      <w:r w:rsidR="001D1BA7" w:rsidRPr="001D1BA7">
        <w:rPr>
          <w:rFonts w:ascii="TimesNewRoman" w:eastAsia="SimSun" w:hAnsi="TimesNewRoman" w:cs="TimesNewRoman"/>
          <w:szCs w:val="22"/>
        </w:rPr>
        <w:t>16.06.2022. godine,</w:t>
      </w:r>
    </w:p>
    <w:p w14:paraId="46290485" w14:textId="101E99EC" w:rsidR="00353969" w:rsidRPr="001D1BA7" w:rsidRDefault="00A35ED9" w:rsidP="00D77E03">
      <w:pPr>
        <w:spacing w:line="240" w:lineRule="auto"/>
        <w:ind w:left="567" w:hanging="567"/>
        <w:jc w:val="both"/>
        <w:rPr>
          <w:szCs w:val="22"/>
        </w:rPr>
      </w:pPr>
      <w:r w:rsidRPr="001D1BA7">
        <w:rPr>
          <w:szCs w:val="22"/>
        </w:rPr>
        <w:t xml:space="preserve">Datum </w:t>
      </w:r>
      <w:r w:rsidR="00446153" w:rsidRPr="001D1BA7">
        <w:rPr>
          <w:szCs w:val="22"/>
        </w:rPr>
        <w:t xml:space="preserve">poslednje </w:t>
      </w:r>
      <w:r w:rsidRPr="001D1BA7">
        <w:rPr>
          <w:szCs w:val="22"/>
        </w:rPr>
        <w:t xml:space="preserve">obnove dozvole: </w:t>
      </w:r>
      <w:r w:rsidR="001D1BA7" w:rsidRPr="001D1BA7">
        <w:rPr>
          <w:rFonts w:ascii="TimesNewRoman" w:hAnsi="TimesNewRoman" w:cs="TimesNewRoman"/>
        </w:rPr>
        <w:t>07.02.2025. godine</w:t>
      </w:r>
    </w:p>
    <w:p w14:paraId="100FBA19" w14:textId="76C7E1E6" w:rsidR="00D14057" w:rsidRPr="001D1BA7" w:rsidRDefault="00D14057" w:rsidP="00D77E03">
      <w:pPr>
        <w:spacing w:line="240" w:lineRule="auto"/>
        <w:ind w:left="567" w:hanging="567"/>
        <w:jc w:val="both"/>
        <w:rPr>
          <w:szCs w:val="22"/>
        </w:rPr>
      </w:pPr>
    </w:p>
    <w:p w14:paraId="6D321A15" w14:textId="77777777" w:rsidR="00A35ED9" w:rsidRPr="001D1BA7" w:rsidRDefault="00A35ED9" w:rsidP="00D77E03">
      <w:pPr>
        <w:spacing w:line="240" w:lineRule="auto"/>
        <w:ind w:left="567" w:hanging="567"/>
        <w:jc w:val="both"/>
        <w:rPr>
          <w:szCs w:val="22"/>
        </w:rPr>
      </w:pPr>
    </w:p>
    <w:p w14:paraId="61E2B8BE" w14:textId="1C1B1AEE" w:rsidR="00812D16" w:rsidRPr="001D1BA7" w:rsidRDefault="00812D16" w:rsidP="00D77E03">
      <w:pPr>
        <w:keepNext/>
        <w:spacing w:line="240" w:lineRule="auto"/>
        <w:ind w:left="567" w:hanging="567"/>
        <w:jc w:val="both"/>
        <w:rPr>
          <w:b/>
          <w:szCs w:val="22"/>
        </w:rPr>
      </w:pPr>
      <w:r w:rsidRPr="001D1BA7">
        <w:rPr>
          <w:b/>
          <w:szCs w:val="22"/>
        </w:rPr>
        <w:t>10.</w:t>
      </w:r>
      <w:r w:rsidRPr="001D1BA7">
        <w:rPr>
          <w:b/>
          <w:szCs w:val="22"/>
        </w:rPr>
        <w:tab/>
        <w:t>DATUM REVIZIJE TEKSTA</w:t>
      </w:r>
    </w:p>
    <w:p w14:paraId="56E4EC55" w14:textId="131F3C50" w:rsidR="001D1BA7" w:rsidRPr="001D1BA7" w:rsidRDefault="001D1BA7" w:rsidP="00D77E03">
      <w:pPr>
        <w:keepNext/>
        <w:spacing w:line="240" w:lineRule="auto"/>
        <w:ind w:left="567" w:hanging="567"/>
        <w:jc w:val="both"/>
        <w:rPr>
          <w:b/>
          <w:szCs w:val="22"/>
        </w:rPr>
      </w:pPr>
    </w:p>
    <w:p w14:paraId="3059756C" w14:textId="6A77D8A9" w:rsidR="001D1BA7" w:rsidRPr="001D1BA7" w:rsidRDefault="001D1BA7" w:rsidP="00D77E03">
      <w:pPr>
        <w:keepNext/>
        <w:spacing w:line="240" w:lineRule="auto"/>
        <w:ind w:left="567" w:hanging="567"/>
        <w:jc w:val="both"/>
        <w:rPr>
          <w:szCs w:val="22"/>
        </w:rPr>
      </w:pPr>
      <w:r w:rsidRPr="001D1BA7">
        <w:rPr>
          <w:szCs w:val="22"/>
        </w:rPr>
        <w:t>Februar, 2025. godine</w:t>
      </w:r>
    </w:p>
    <w:p w14:paraId="51D63FC4" w14:textId="02FFBDAD" w:rsidR="00812D16" w:rsidRPr="003C7D36" w:rsidRDefault="00812D16" w:rsidP="00D77E03">
      <w:pPr>
        <w:keepNext/>
        <w:spacing w:line="240" w:lineRule="auto"/>
        <w:jc w:val="both"/>
        <w:rPr>
          <w:szCs w:val="22"/>
        </w:rPr>
      </w:pPr>
    </w:p>
    <w:p w14:paraId="281C4774" w14:textId="787A7E43" w:rsidR="009E0AAF" w:rsidRPr="003C7D36" w:rsidRDefault="009E0AAF" w:rsidP="00D77E03">
      <w:pPr>
        <w:keepNext/>
        <w:spacing w:line="240" w:lineRule="auto"/>
        <w:jc w:val="both"/>
        <w:rPr>
          <w:szCs w:val="22"/>
        </w:rPr>
      </w:pPr>
    </w:p>
    <w:p w14:paraId="1E524CC3" w14:textId="28B5D55D" w:rsidR="00880D81" w:rsidRDefault="00926BB1" w:rsidP="00D77E03">
      <w:pPr>
        <w:keepNext/>
        <w:spacing w:line="240" w:lineRule="auto"/>
        <w:jc w:val="both"/>
        <w:rPr>
          <w:szCs w:val="22"/>
        </w:rPr>
      </w:pPr>
      <w:r w:rsidRPr="00C0597B">
        <w:rPr>
          <w:szCs w:val="22"/>
        </w:rPr>
        <w:t xml:space="preserve"> </w:t>
      </w:r>
    </w:p>
    <w:p w14:paraId="5A455D8A" w14:textId="77777777" w:rsidR="00880D81" w:rsidRPr="00880D81" w:rsidRDefault="00880D81" w:rsidP="0031203A">
      <w:pPr>
        <w:rPr>
          <w:szCs w:val="22"/>
        </w:rPr>
      </w:pPr>
    </w:p>
    <w:p w14:paraId="6D9F830D" w14:textId="77777777" w:rsidR="00880D81" w:rsidRPr="00880D81" w:rsidRDefault="00880D81" w:rsidP="0031203A">
      <w:pPr>
        <w:rPr>
          <w:szCs w:val="22"/>
        </w:rPr>
      </w:pPr>
    </w:p>
    <w:p w14:paraId="39D86259" w14:textId="77777777" w:rsidR="00880D81" w:rsidRPr="00880D81" w:rsidRDefault="00880D81" w:rsidP="0031203A">
      <w:pPr>
        <w:rPr>
          <w:szCs w:val="22"/>
        </w:rPr>
      </w:pPr>
    </w:p>
    <w:p w14:paraId="1C83535D" w14:textId="77777777" w:rsidR="00880D81" w:rsidRPr="00880D81" w:rsidRDefault="00880D81" w:rsidP="0031203A">
      <w:pPr>
        <w:rPr>
          <w:szCs w:val="22"/>
        </w:rPr>
      </w:pPr>
    </w:p>
    <w:p w14:paraId="2C286036" w14:textId="77777777" w:rsidR="00880D81" w:rsidRPr="00880D81" w:rsidRDefault="00880D81" w:rsidP="0031203A">
      <w:pPr>
        <w:rPr>
          <w:szCs w:val="22"/>
        </w:rPr>
      </w:pPr>
    </w:p>
    <w:p w14:paraId="27051356" w14:textId="77777777" w:rsidR="00880D81" w:rsidRPr="00880D81" w:rsidRDefault="00880D81" w:rsidP="0031203A">
      <w:pPr>
        <w:rPr>
          <w:szCs w:val="22"/>
        </w:rPr>
      </w:pPr>
    </w:p>
    <w:p w14:paraId="4F3947D3" w14:textId="77777777" w:rsidR="00880D81" w:rsidRPr="00880D81" w:rsidRDefault="00880D81" w:rsidP="0031203A">
      <w:pPr>
        <w:rPr>
          <w:szCs w:val="22"/>
        </w:rPr>
      </w:pPr>
    </w:p>
    <w:p w14:paraId="0BFC391E" w14:textId="77777777" w:rsidR="00880D81" w:rsidRPr="00880D81" w:rsidRDefault="00880D81" w:rsidP="0031203A">
      <w:pPr>
        <w:rPr>
          <w:szCs w:val="22"/>
        </w:rPr>
      </w:pPr>
    </w:p>
    <w:p w14:paraId="274DF83C" w14:textId="77777777" w:rsidR="00880D81" w:rsidRPr="00880D81" w:rsidRDefault="00880D81" w:rsidP="0031203A">
      <w:pPr>
        <w:rPr>
          <w:szCs w:val="22"/>
        </w:rPr>
      </w:pPr>
    </w:p>
    <w:p w14:paraId="2076FE1E" w14:textId="77777777" w:rsidR="00880D81" w:rsidRPr="00880D81" w:rsidRDefault="00880D81" w:rsidP="0031203A">
      <w:pPr>
        <w:rPr>
          <w:szCs w:val="22"/>
        </w:rPr>
      </w:pPr>
    </w:p>
    <w:p w14:paraId="5AE71C70" w14:textId="77777777" w:rsidR="00880D81" w:rsidRPr="00880D81" w:rsidRDefault="00880D81" w:rsidP="0031203A">
      <w:pPr>
        <w:rPr>
          <w:szCs w:val="22"/>
        </w:rPr>
      </w:pPr>
    </w:p>
    <w:p w14:paraId="3E3A20E8" w14:textId="77777777" w:rsidR="00880D81" w:rsidRPr="00880D81" w:rsidRDefault="00880D81" w:rsidP="0031203A">
      <w:pPr>
        <w:rPr>
          <w:szCs w:val="22"/>
        </w:rPr>
      </w:pPr>
    </w:p>
    <w:p w14:paraId="2F1E1F14" w14:textId="77777777" w:rsidR="00880D81" w:rsidRPr="00880D81" w:rsidRDefault="00880D81" w:rsidP="0031203A">
      <w:pPr>
        <w:rPr>
          <w:szCs w:val="22"/>
        </w:rPr>
      </w:pPr>
    </w:p>
    <w:p w14:paraId="22D1F4AD" w14:textId="77777777" w:rsidR="00880D81" w:rsidRPr="00880D81" w:rsidRDefault="00880D81" w:rsidP="0031203A">
      <w:pPr>
        <w:rPr>
          <w:szCs w:val="22"/>
        </w:rPr>
      </w:pPr>
    </w:p>
    <w:p w14:paraId="1CDA3C68" w14:textId="77777777" w:rsidR="00880D81" w:rsidRPr="00880D81" w:rsidRDefault="00880D81" w:rsidP="0031203A">
      <w:pPr>
        <w:rPr>
          <w:szCs w:val="22"/>
        </w:rPr>
      </w:pPr>
    </w:p>
    <w:p w14:paraId="328D42FE" w14:textId="77777777" w:rsidR="00880D81" w:rsidRPr="00880D81" w:rsidRDefault="00880D81" w:rsidP="0031203A">
      <w:pPr>
        <w:rPr>
          <w:szCs w:val="22"/>
        </w:rPr>
      </w:pPr>
    </w:p>
    <w:p w14:paraId="42009474" w14:textId="77777777" w:rsidR="00880D81" w:rsidRPr="00880D81" w:rsidRDefault="00880D81" w:rsidP="0031203A">
      <w:pPr>
        <w:rPr>
          <w:szCs w:val="22"/>
        </w:rPr>
      </w:pPr>
    </w:p>
    <w:p w14:paraId="1A9A3509" w14:textId="77777777" w:rsidR="00880D81" w:rsidRPr="00880D81" w:rsidRDefault="00880D81" w:rsidP="0031203A">
      <w:pPr>
        <w:rPr>
          <w:szCs w:val="22"/>
        </w:rPr>
      </w:pPr>
    </w:p>
    <w:p w14:paraId="4D711C59" w14:textId="77777777" w:rsidR="00880D81" w:rsidRPr="00880D81" w:rsidRDefault="00880D81" w:rsidP="0031203A">
      <w:pPr>
        <w:rPr>
          <w:szCs w:val="22"/>
        </w:rPr>
      </w:pPr>
    </w:p>
    <w:p w14:paraId="0DA72DD4" w14:textId="77777777" w:rsidR="00880D81" w:rsidRPr="00880D81" w:rsidRDefault="00880D81" w:rsidP="0031203A">
      <w:pPr>
        <w:rPr>
          <w:szCs w:val="22"/>
        </w:rPr>
      </w:pPr>
    </w:p>
    <w:p w14:paraId="4B02E6E9" w14:textId="77777777" w:rsidR="00880D81" w:rsidRPr="00880D81" w:rsidRDefault="00880D81" w:rsidP="0031203A">
      <w:pPr>
        <w:rPr>
          <w:szCs w:val="22"/>
        </w:rPr>
      </w:pPr>
    </w:p>
    <w:p w14:paraId="37B718EC" w14:textId="77777777" w:rsidR="00880D81" w:rsidRPr="00880D81" w:rsidRDefault="00880D81" w:rsidP="0031203A">
      <w:pPr>
        <w:rPr>
          <w:szCs w:val="22"/>
        </w:rPr>
      </w:pPr>
    </w:p>
    <w:p w14:paraId="78925D54" w14:textId="77777777" w:rsidR="00880D81" w:rsidRPr="00880D81" w:rsidRDefault="00880D81" w:rsidP="0031203A">
      <w:pPr>
        <w:rPr>
          <w:szCs w:val="22"/>
        </w:rPr>
      </w:pPr>
    </w:p>
    <w:p w14:paraId="5AD078A9" w14:textId="77777777" w:rsidR="00880D81" w:rsidRPr="00880D81" w:rsidRDefault="00880D81" w:rsidP="0031203A">
      <w:pPr>
        <w:rPr>
          <w:szCs w:val="22"/>
        </w:rPr>
      </w:pPr>
    </w:p>
    <w:p w14:paraId="62EAE951" w14:textId="77777777" w:rsidR="00880D81" w:rsidRPr="00880D81" w:rsidRDefault="00880D81" w:rsidP="0031203A">
      <w:pPr>
        <w:rPr>
          <w:szCs w:val="22"/>
        </w:rPr>
      </w:pPr>
    </w:p>
    <w:p w14:paraId="1C8D0A12" w14:textId="77777777" w:rsidR="00880D81" w:rsidRPr="00880D81" w:rsidRDefault="00880D81" w:rsidP="0031203A">
      <w:pPr>
        <w:rPr>
          <w:szCs w:val="22"/>
        </w:rPr>
      </w:pPr>
    </w:p>
    <w:p w14:paraId="3B1065CE" w14:textId="77777777" w:rsidR="00880D81" w:rsidRPr="00880D81" w:rsidRDefault="00880D81" w:rsidP="0031203A">
      <w:pPr>
        <w:rPr>
          <w:szCs w:val="22"/>
        </w:rPr>
      </w:pPr>
    </w:p>
    <w:p w14:paraId="4C58C890" w14:textId="77777777" w:rsidR="00880D81" w:rsidRPr="00880D81" w:rsidRDefault="00880D81" w:rsidP="0031203A">
      <w:pPr>
        <w:rPr>
          <w:szCs w:val="22"/>
        </w:rPr>
      </w:pPr>
    </w:p>
    <w:p w14:paraId="494E1BF1" w14:textId="77777777" w:rsidR="00880D81" w:rsidRPr="00880D81" w:rsidRDefault="00880D81" w:rsidP="0031203A">
      <w:pPr>
        <w:rPr>
          <w:szCs w:val="22"/>
        </w:rPr>
      </w:pPr>
    </w:p>
    <w:p w14:paraId="62C7230E" w14:textId="64EAE3B9" w:rsidR="00880D81" w:rsidRDefault="00880D81" w:rsidP="00880D81">
      <w:pPr>
        <w:rPr>
          <w:szCs w:val="22"/>
        </w:rPr>
      </w:pPr>
      <w:bookmarkStart w:id="12" w:name="_GoBack"/>
      <w:bookmarkEnd w:id="12"/>
    </w:p>
    <w:p w14:paraId="563CA1AC" w14:textId="77777777" w:rsidR="000C5C59" w:rsidRPr="00880D81" w:rsidRDefault="000C5C59" w:rsidP="0031203A">
      <w:pPr>
        <w:jc w:val="center"/>
        <w:rPr>
          <w:szCs w:val="22"/>
        </w:rPr>
      </w:pPr>
    </w:p>
    <w:sectPr w:rsidR="000C5C59" w:rsidRPr="00880D81" w:rsidSect="00516DDD">
      <w:footerReference w:type="default" r:id="rId17"/>
      <w:footerReference w:type="first" r:id="rId18"/>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943D63" w14:textId="77777777" w:rsidR="00C1192C" w:rsidRDefault="00C1192C">
      <w:r>
        <w:separator/>
      </w:r>
    </w:p>
  </w:endnote>
  <w:endnote w:type="continuationSeparator" w:id="0">
    <w:p w14:paraId="7F70A1B9" w14:textId="77777777" w:rsidR="00C1192C" w:rsidRDefault="00C1192C">
      <w:r>
        <w:continuationSeparator/>
      </w:r>
    </w:p>
  </w:endnote>
  <w:endnote w:type="continuationNotice" w:id="1">
    <w:p w14:paraId="594D3007" w14:textId="77777777" w:rsidR="00C1192C" w:rsidRDefault="00C1192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5014081"/>
      <w:docPartObj>
        <w:docPartGallery w:val="Page Numbers (Bottom of Page)"/>
        <w:docPartUnique/>
      </w:docPartObj>
    </w:sdtPr>
    <w:sdtEndPr>
      <w:rPr>
        <w:rFonts w:ascii="Times New Roman" w:hAnsi="Times New Roman"/>
        <w:sz w:val="22"/>
        <w:szCs w:val="22"/>
      </w:rPr>
    </w:sdtEndPr>
    <w:sdtContent>
      <w:sdt>
        <w:sdtPr>
          <w:id w:val="1728636285"/>
          <w:docPartObj>
            <w:docPartGallery w:val="Page Numbers (Top of Page)"/>
            <w:docPartUnique/>
          </w:docPartObj>
        </w:sdtPr>
        <w:sdtEndPr>
          <w:rPr>
            <w:rFonts w:ascii="Times New Roman" w:hAnsi="Times New Roman"/>
            <w:sz w:val="22"/>
            <w:szCs w:val="22"/>
          </w:rPr>
        </w:sdtEndPr>
        <w:sdtContent>
          <w:p w14:paraId="4EFAD221" w14:textId="5D11AAB5" w:rsidR="000D26E1" w:rsidRPr="00DC4667" w:rsidRDefault="000D26E1">
            <w:pPr>
              <w:pStyle w:val="Footer"/>
              <w:jc w:val="center"/>
              <w:rPr>
                <w:rFonts w:ascii="Times New Roman" w:hAnsi="Times New Roman"/>
                <w:sz w:val="22"/>
                <w:szCs w:val="22"/>
              </w:rPr>
            </w:pPr>
            <w:r w:rsidRPr="00DC4667">
              <w:rPr>
                <w:rFonts w:ascii="Times New Roman" w:hAnsi="Times New Roman"/>
                <w:bCs/>
                <w:sz w:val="22"/>
                <w:szCs w:val="22"/>
              </w:rPr>
              <w:fldChar w:fldCharType="begin"/>
            </w:r>
            <w:r w:rsidRPr="00DC4667">
              <w:rPr>
                <w:rFonts w:ascii="Times New Roman" w:hAnsi="Times New Roman"/>
                <w:bCs/>
                <w:sz w:val="22"/>
                <w:szCs w:val="22"/>
              </w:rPr>
              <w:instrText xml:space="preserve"> PAGE </w:instrText>
            </w:r>
            <w:r w:rsidRPr="00DC4667">
              <w:rPr>
                <w:rFonts w:ascii="Times New Roman" w:hAnsi="Times New Roman"/>
                <w:bCs/>
                <w:sz w:val="22"/>
                <w:szCs w:val="22"/>
              </w:rPr>
              <w:fldChar w:fldCharType="separate"/>
            </w:r>
            <w:r w:rsidR="00626EC2">
              <w:rPr>
                <w:rFonts w:ascii="Times New Roman" w:hAnsi="Times New Roman"/>
                <w:bCs/>
                <w:sz w:val="22"/>
                <w:szCs w:val="22"/>
              </w:rPr>
              <w:t>24</w:t>
            </w:r>
            <w:r w:rsidRPr="00DC4667">
              <w:rPr>
                <w:rFonts w:ascii="Times New Roman" w:hAnsi="Times New Roman"/>
                <w:bCs/>
                <w:sz w:val="22"/>
                <w:szCs w:val="22"/>
              </w:rPr>
              <w:fldChar w:fldCharType="end"/>
            </w:r>
            <w:r w:rsidRPr="00DC4667">
              <w:rPr>
                <w:rFonts w:ascii="Times New Roman" w:hAnsi="Times New Roman"/>
                <w:sz w:val="22"/>
                <w:szCs w:val="22"/>
              </w:rPr>
              <w:t xml:space="preserve"> / </w:t>
            </w:r>
            <w:r w:rsidRPr="00DC4667">
              <w:rPr>
                <w:rFonts w:ascii="Times New Roman" w:hAnsi="Times New Roman"/>
                <w:bCs/>
                <w:sz w:val="22"/>
                <w:szCs w:val="22"/>
              </w:rPr>
              <w:fldChar w:fldCharType="begin"/>
            </w:r>
            <w:r w:rsidRPr="00DC4667">
              <w:rPr>
                <w:rFonts w:ascii="Times New Roman" w:hAnsi="Times New Roman"/>
                <w:bCs/>
                <w:sz w:val="22"/>
                <w:szCs w:val="22"/>
              </w:rPr>
              <w:instrText xml:space="preserve"> NUMPAGES  </w:instrText>
            </w:r>
            <w:r w:rsidRPr="00DC4667">
              <w:rPr>
                <w:rFonts w:ascii="Times New Roman" w:hAnsi="Times New Roman"/>
                <w:bCs/>
                <w:sz w:val="22"/>
                <w:szCs w:val="22"/>
              </w:rPr>
              <w:fldChar w:fldCharType="separate"/>
            </w:r>
            <w:r w:rsidR="00626EC2">
              <w:rPr>
                <w:rFonts w:ascii="Times New Roman" w:hAnsi="Times New Roman"/>
                <w:bCs/>
                <w:sz w:val="22"/>
                <w:szCs w:val="22"/>
              </w:rPr>
              <w:t>24</w:t>
            </w:r>
            <w:r w:rsidRPr="00DC4667">
              <w:rPr>
                <w:rFonts w:ascii="Times New Roman" w:hAnsi="Times New Roman"/>
                <w:bCs/>
                <w:sz w:val="22"/>
                <w:szCs w:val="22"/>
              </w:rPr>
              <w:fldChar w:fldCharType="end"/>
            </w:r>
          </w:p>
        </w:sdtContent>
      </w:sdt>
    </w:sdtContent>
  </w:sdt>
  <w:p w14:paraId="6D229105" w14:textId="3F66203A" w:rsidR="000D26E1" w:rsidRDefault="000D26E1">
    <w:pPr>
      <w:pStyle w:val="Footer"/>
      <w:tabs>
        <w:tab w:val="right" w:pos="8931"/>
      </w:tabs>
      <w:ind w:right="96"/>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42F9A" w14:textId="08FB8E0B" w:rsidR="000D26E1" w:rsidRDefault="000D26E1">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CCE7E2" w14:textId="77777777" w:rsidR="00C1192C" w:rsidRDefault="00C1192C">
      <w:r>
        <w:separator/>
      </w:r>
    </w:p>
  </w:footnote>
  <w:footnote w:type="continuationSeparator" w:id="0">
    <w:p w14:paraId="56CD4F1A" w14:textId="77777777" w:rsidR="00C1192C" w:rsidRDefault="00C1192C">
      <w:r>
        <w:continuationSeparator/>
      </w:r>
    </w:p>
  </w:footnote>
  <w:footnote w:type="continuationNotice" w:id="1">
    <w:p w14:paraId="17131772" w14:textId="77777777" w:rsidR="00C1192C" w:rsidRDefault="00C1192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58BEC428">
      <w:start w:val="1"/>
      <w:numFmt w:val="bullet"/>
      <w:lvlText w:val=""/>
      <w:lvlJc w:val="left"/>
      <w:pPr>
        <w:tabs>
          <w:tab w:val="num" w:pos="360"/>
        </w:tabs>
        <w:ind w:left="360" w:hanging="360"/>
      </w:pPr>
      <w:rPr>
        <w:rFonts w:ascii="Symbol" w:hAnsi="Symbol" w:hint="default"/>
      </w:rPr>
    </w:lvl>
    <w:lvl w:ilvl="1" w:tplc="D58E50EA" w:tentative="1">
      <w:start w:val="1"/>
      <w:numFmt w:val="bullet"/>
      <w:lvlText w:val="o"/>
      <w:lvlJc w:val="left"/>
      <w:pPr>
        <w:tabs>
          <w:tab w:val="num" w:pos="1080"/>
        </w:tabs>
        <w:ind w:left="1080" w:hanging="360"/>
      </w:pPr>
      <w:rPr>
        <w:rFonts w:ascii="Courier New" w:hAnsi="Courier New" w:cs="Courier New" w:hint="default"/>
      </w:rPr>
    </w:lvl>
    <w:lvl w:ilvl="2" w:tplc="7AE64518" w:tentative="1">
      <w:start w:val="1"/>
      <w:numFmt w:val="bullet"/>
      <w:lvlText w:val=""/>
      <w:lvlJc w:val="left"/>
      <w:pPr>
        <w:tabs>
          <w:tab w:val="num" w:pos="1800"/>
        </w:tabs>
        <w:ind w:left="1800" w:hanging="360"/>
      </w:pPr>
      <w:rPr>
        <w:rFonts w:ascii="Wingdings" w:hAnsi="Wingdings" w:hint="default"/>
      </w:rPr>
    </w:lvl>
    <w:lvl w:ilvl="3" w:tplc="40F672A2" w:tentative="1">
      <w:start w:val="1"/>
      <w:numFmt w:val="bullet"/>
      <w:lvlText w:val=""/>
      <w:lvlJc w:val="left"/>
      <w:pPr>
        <w:tabs>
          <w:tab w:val="num" w:pos="2520"/>
        </w:tabs>
        <w:ind w:left="2520" w:hanging="360"/>
      </w:pPr>
      <w:rPr>
        <w:rFonts w:ascii="Symbol" w:hAnsi="Symbol" w:hint="default"/>
      </w:rPr>
    </w:lvl>
    <w:lvl w:ilvl="4" w:tplc="17BE4EC8" w:tentative="1">
      <w:start w:val="1"/>
      <w:numFmt w:val="bullet"/>
      <w:lvlText w:val="o"/>
      <w:lvlJc w:val="left"/>
      <w:pPr>
        <w:tabs>
          <w:tab w:val="num" w:pos="3240"/>
        </w:tabs>
        <w:ind w:left="3240" w:hanging="360"/>
      </w:pPr>
      <w:rPr>
        <w:rFonts w:ascii="Courier New" w:hAnsi="Courier New" w:cs="Courier New" w:hint="default"/>
      </w:rPr>
    </w:lvl>
    <w:lvl w:ilvl="5" w:tplc="BC92D142" w:tentative="1">
      <w:start w:val="1"/>
      <w:numFmt w:val="bullet"/>
      <w:lvlText w:val=""/>
      <w:lvlJc w:val="left"/>
      <w:pPr>
        <w:tabs>
          <w:tab w:val="num" w:pos="3960"/>
        </w:tabs>
        <w:ind w:left="3960" w:hanging="360"/>
      </w:pPr>
      <w:rPr>
        <w:rFonts w:ascii="Wingdings" w:hAnsi="Wingdings" w:hint="default"/>
      </w:rPr>
    </w:lvl>
    <w:lvl w:ilvl="6" w:tplc="4A368214" w:tentative="1">
      <w:start w:val="1"/>
      <w:numFmt w:val="bullet"/>
      <w:lvlText w:val=""/>
      <w:lvlJc w:val="left"/>
      <w:pPr>
        <w:tabs>
          <w:tab w:val="num" w:pos="4680"/>
        </w:tabs>
        <w:ind w:left="4680" w:hanging="360"/>
      </w:pPr>
      <w:rPr>
        <w:rFonts w:ascii="Symbol" w:hAnsi="Symbol" w:hint="default"/>
      </w:rPr>
    </w:lvl>
    <w:lvl w:ilvl="7" w:tplc="D1BCC8C8" w:tentative="1">
      <w:start w:val="1"/>
      <w:numFmt w:val="bullet"/>
      <w:lvlText w:val="o"/>
      <w:lvlJc w:val="left"/>
      <w:pPr>
        <w:tabs>
          <w:tab w:val="num" w:pos="5400"/>
        </w:tabs>
        <w:ind w:left="5400" w:hanging="360"/>
      </w:pPr>
      <w:rPr>
        <w:rFonts w:ascii="Courier New" w:hAnsi="Courier New" w:cs="Courier New" w:hint="default"/>
      </w:rPr>
    </w:lvl>
    <w:lvl w:ilvl="8" w:tplc="53704402"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1C405C"/>
    <w:multiLevelType w:val="hybridMultilevel"/>
    <w:tmpl w:val="BBA2DA9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9C44CC1"/>
    <w:multiLevelType w:val="hybridMultilevel"/>
    <w:tmpl w:val="7FF2C56E"/>
    <w:lvl w:ilvl="0" w:tplc="3668BDC4">
      <w:start w:val="1"/>
      <w:numFmt w:val="bullet"/>
      <w:lvlText w:val=""/>
      <w:lvlJc w:val="left"/>
      <w:pPr>
        <w:tabs>
          <w:tab w:val="num" w:pos="720"/>
        </w:tabs>
        <w:ind w:left="720" w:hanging="360"/>
      </w:pPr>
      <w:rPr>
        <w:rFonts w:ascii="Symbol" w:hAnsi="Symbol" w:hint="default"/>
      </w:rPr>
    </w:lvl>
    <w:lvl w:ilvl="1" w:tplc="805CCB7A" w:tentative="1">
      <w:start w:val="1"/>
      <w:numFmt w:val="bullet"/>
      <w:lvlText w:val="o"/>
      <w:lvlJc w:val="left"/>
      <w:pPr>
        <w:tabs>
          <w:tab w:val="num" w:pos="1440"/>
        </w:tabs>
        <w:ind w:left="1440" w:hanging="360"/>
      </w:pPr>
      <w:rPr>
        <w:rFonts w:ascii="Courier New" w:hAnsi="Courier New" w:cs="Courier New" w:hint="default"/>
      </w:rPr>
    </w:lvl>
    <w:lvl w:ilvl="2" w:tplc="B9383534" w:tentative="1">
      <w:start w:val="1"/>
      <w:numFmt w:val="bullet"/>
      <w:lvlText w:val=""/>
      <w:lvlJc w:val="left"/>
      <w:pPr>
        <w:tabs>
          <w:tab w:val="num" w:pos="2160"/>
        </w:tabs>
        <w:ind w:left="2160" w:hanging="360"/>
      </w:pPr>
      <w:rPr>
        <w:rFonts w:ascii="Wingdings" w:hAnsi="Wingdings" w:hint="default"/>
      </w:rPr>
    </w:lvl>
    <w:lvl w:ilvl="3" w:tplc="8B04AEEA" w:tentative="1">
      <w:start w:val="1"/>
      <w:numFmt w:val="bullet"/>
      <w:lvlText w:val=""/>
      <w:lvlJc w:val="left"/>
      <w:pPr>
        <w:tabs>
          <w:tab w:val="num" w:pos="2880"/>
        </w:tabs>
        <w:ind w:left="2880" w:hanging="360"/>
      </w:pPr>
      <w:rPr>
        <w:rFonts w:ascii="Symbol" w:hAnsi="Symbol" w:hint="default"/>
      </w:rPr>
    </w:lvl>
    <w:lvl w:ilvl="4" w:tplc="CEF40D8C" w:tentative="1">
      <w:start w:val="1"/>
      <w:numFmt w:val="bullet"/>
      <w:lvlText w:val="o"/>
      <w:lvlJc w:val="left"/>
      <w:pPr>
        <w:tabs>
          <w:tab w:val="num" w:pos="3600"/>
        </w:tabs>
        <w:ind w:left="3600" w:hanging="360"/>
      </w:pPr>
      <w:rPr>
        <w:rFonts w:ascii="Courier New" w:hAnsi="Courier New" w:cs="Courier New" w:hint="default"/>
      </w:rPr>
    </w:lvl>
    <w:lvl w:ilvl="5" w:tplc="27344F92" w:tentative="1">
      <w:start w:val="1"/>
      <w:numFmt w:val="bullet"/>
      <w:lvlText w:val=""/>
      <w:lvlJc w:val="left"/>
      <w:pPr>
        <w:tabs>
          <w:tab w:val="num" w:pos="4320"/>
        </w:tabs>
        <w:ind w:left="4320" w:hanging="360"/>
      </w:pPr>
      <w:rPr>
        <w:rFonts w:ascii="Wingdings" w:hAnsi="Wingdings" w:hint="default"/>
      </w:rPr>
    </w:lvl>
    <w:lvl w:ilvl="6" w:tplc="028ADA90" w:tentative="1">
      <w:start w:val="1"/>
      <w:numFmt w:val="bullet"/>
      <w:lvlText w:val=""/>
      <w:lvlJc w:val="left"/>
      <w:pPr>
        <w:tabs>
          <w:tab w:val="num" w:pos="5040"/>
        </w:tabs>
        <w:ind w:left="5040" w:hanging="360"/>
      </w:pPr>
      <w:rPr>
        <w:rFonts w:ascii="Symbol" w:hAnsi="Symbol" w:hint="default"/>
      </w:rPr>
    </w:lvl>
    <w:lvl w:ilvl="7" w:tplc="4C9ECFE0" w:tentative="1">
      <w:start w:val="1"/>
      <w:numFmt w:val="bullet"/>
      <w:lvlText w:val="o"/>
      <w:lvlJc w:val="left"/>
      <w:pPr>
        <w:tabs>
          <w:tab w:val="num" w:pos="5760"/>
        </w:tabs>
        <w:ind w:left="5760" w:hanging="360"/>
      </w:pPr>
      <w:rPr>
        <w:rFonts w:ascii="Courier New" w:hAnsi="Courier New" w:cs="Courier New" w:hint="default"/>
      </w:rPr>
    </w:lvl>
    <w:lvl w:ilvl="8" w:tplc="5CCA4FE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CB1CAA"/>
    <w:multiLevelType w:val="hybridMultilevel"/>
    <w:tmpl w:val="AF92FEBE"/>
    <w:lvl w:ilvl="0" w:tplc="7AC2DF9A">
      <w:start w:val="3"/>
      <w:numFmt w:val="bullet"/>
      <w:lvlText w:val="-"/>
      <w:lvlJc w:val="left"/>
      <w:pPr>
        <w:ind w:left="720" w:hanging="360"/>
      </w:pPr>
      <w:rPr>
        <w:rFonts w:ascii="Times New Roman" w:eastAsia="Times New Roman" w:hAnsi="Times New Roman" w:cs="Times New Roman"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64525C"/>
    <w:multiLevelType w:val="hybridMultilevel"/>
    <w:tmpl w:val="C0AC1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300B8E"/>
    <w:multiLevelType w:val="hybridMultilevel"/>
    <w:tmpl w:val="0D5CB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4532A6"/>
    <w:multiLevelType w:val="hybridMultilevel"/>
    <w:tmpl w:val="872ADA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BDA3A28"/>
    <w:multiLevelType w:val="hybridMultilevel"/>
    <w:tmpl w:val="8D020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66409"/>
    <w:multiLevelType w:val="hybridMultilevel"/>
    <w:tmpl w:val="E7066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96121"/>
    <w:multiLevelType w:val="hybridMultilevel"/>
    <w:tmpl w:val="1A2C728C"/>
    <w:lvl w:ilvl="0" w:tplc="953EF36C">
      <w:start w:val="1"/>
      <w:numFmt w:val="bullet"/>
      <w:lvlText w:val="-"/>
      <w:legacy w:legacy="1" w:legacySpace="0" w:legacyIndent="360"/>
      <w:lvlJc w:val="left"/>
      <w:pPr>
        <w:ind w:left="360" w:hanging="360"/>
      </w:pPr>
    </w:lvl>
    <w:lvl w:ilvl="1" w:tplc="0776AACE" w:tentative="1">
      <w:start w:val="1"/>
      <w:numFmt w:val="bullet"/>
      <w:lvlText w:val="o"/>
      <w:lvlJc w:val="left"/>
      <w:pPr>
        <w:ind w:left="1440" w:hanging="360"/>
      </w:pPr>
      <w:rPr>
        <w:rFonts w:ascii="Courier New" w:hAnsi="Courier New" w:cs="Courier New" w:hint="default"/>
      </w:rPr>
    </w:lvl>
    <w:lvl w:ilvl="2" w:tplc="12CA4286" w:tentative="1">
      <w:start w:val="1"/>
      <w:numFmt w:val="bullet"/>
      <w:lvlText w:val=""/>
      <w:lvlJc w:val="left"/>
      <w:pPr>
        <w:ind w:left="2160" w:hanging="360"/>
      </w:pPr>
      <w:rPr>
        <w:rFonts w:ascii="Wingdings" w:hAnsi="Wingdings" w:hint="default"/>
      </w:rPr>
    </w:lvl>
    <w:lvl w:ilvl="3" w:tplc="929C0CFE" w:tentative="1">
      <w:start w:val="1"/>
      <w:numFmt w:val="bullet"/>
      <w:lvlText w:val=""/>
      <w:lvlJc w:val="left"/>
      <w:pPr>
        <w:ind w:left="2880" w:hanging="360"/>
      </w:pPr>
      <w:rPr>
        <w:rFonts w:ascii="Symbol" w:hAnsi="Symbol" w:hint="default"/>
      </w:rPr>
    </w:lvl>
    <w:lvl w:ilvl="4" w:tplc="B0CC1C0A" w:tentative="1">
      <w:start w:val="1"/>
      <w:numFmt w:val="bullet"/>
      <w:lvlText w:val="o"/>
      <w:lvlJc w:val="left"/>
      <w:pPr>
        <w:ind w:left="3600" w:hanging="360"/>
      </w:pPr>
      <w:rPr>
        <w:rFonts w:ascii="Courier New" w:hAnsi="Courier New" w:cs="Courier New" w:hint="default"/>
      </w:rPr>
    </w:lvl>
    <w:lvl w:ilvl="5" w:tplc="F91C55A0" w:tentative="1">
      <w:start w:val="1"/>
      <w:numFmt w:val="bullet"/>
      <w:lvlText w:val=""/>
      <w:lvlJc w:val="left"/>
      <w:pPr>
        <w:ind w:left="4320" w:hanging="360"/>
      </w:pPr>
      <w:rPr>
        <w:rFonts w:ascii="Wingdings" w:hAnsi="Wingdings" w:hint="default"/>
      </w:rPr>
    </w:lvl>
    <w:lvl w:ilvl="6" w:tplc="3F725DBC" w:tentative="1">
      <w:start w:val="1"/>
      <w:numFmt w:val="bullet"/>
      <w:lvlText w:val=""/>
      <w:lvlJc w:val="left"/>
      <w:pPr>
        <w:ind w:left="5040" w:hanging="360"/>
      </w:pPr>
      <w:rPr>
        <w:rFonts w:ascii="Symbol" w:hAnsi="Symbol" w:hint="default"/>
      </w:rPr>
    </w:lvl>
    <w:lvl w:ilvl="7" w:tplc="7CE4B8CA" w:tentative="1">
      <w:start w:val="1"/>
      <w:numFmt w:val="bullet"/>
      <w:lvlText w:val="o"/>
      <w:lvlJc w:val="left"/>
      <w:pPr>
        <w:ind w:left="5760" w:hanging="360"/>
      </w:pPr>
      <w:rPr>
        <w:rFonts w:ascii="Courier New" w:hAnsi="Courier New" w:cs="Courier New" w:hint="default"/>
      </w:rPr>
    </w:lvl>
    <w:lvl w:ilvl="8" w:tplc="B726A2AE" w:tentative="1">
      <w:start w:val="1"/>
      <w:numFmt w:val="bullet"/>
      <w:lvlText w:val=""/>
      <w:lvlJc w:val="left"/>
      <w:pPr>
        <w:ind w:left="6480" w:hanging="360"/>
      </w:pPr>
      <w:rPr>
        <w:rFonts w:ascii="Wingdings" w:hAnsi="Wingdings" w:hint="default"/>
      </w:rPr>
    </w:lvl>
  </w:abstractNum>
  <w:abstractNum w:abstractNumId="12"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1A873F7"/>
    <w:multiLevelType w:val="hybridMultilevel"/>
    <w:tmpl w:val="25D81D7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23506859"/>
    <w:multiLevelType w:val="hybridMultilevel"/>
    <w:tmpl w:val="6A56D9E2"/>
    <w:lvl w:ilvl="0" w:tplc="68BA1FD8">
      <w:start w:val="16"/>
      <w:numFmt w:val="bullet"/>
      <w:lvlText w:val="-"/>
      <w:lvlJc w:val="left"/>
      <w:pPr>
        <w:ind w:left="720" w:hanging="360"/>
      </w:pPr>
      <w:rPr>
        <w:rFonts w:ascii="Times New Roman" w:eastAsia="SimSun" w:hAnsi="Times New Roman" w:cs="Times New Roman" w:hint="default"/>
      </w:rPr>
    </w:lvl>
    <w:lvl w:ilvl="1" w:tplc="E79CF0C0" w:tentative="1">
      <w:start w:val="1"/>
      <w:numFmt w:val="bullet"/>
      <w:lvlText w:val="o"/>
      <w:lvlJc w:val="left"/>
      <w:pPr>
        <w:ind w:left="1440" w:hanging="360"/>
      </w:pPr>
      <w:rPr>
        <w:rFonts w:ascii="Courier New" w:hAnsi="Courier New" w:cs="Courier New" w:hint="default"/>
      </w:rPr>
    </w:lvl>
    <w:lvl w:ilvl="2" w:tplc="83EA2A50" w:tentative="1">
      <w:start w:val="1"/>
      <w:numFmt w:val="bullet"/>
      <w:lvlText w:val=""/>
      <w:lvlJc w:val="left"/>
      <w:pPr>
        <w:ind w:left="2160" w:hanging="360"/>
      </w:pPr>
      <w:rPr>
        <w:rFonts w:ascii="Wingdings" w:hAnsi="Wingdings" w:hint="default"/>
      </w:rPr>
    </w:lvl>
    <w:lvl w:ilvl="3" w:tplc="AD24AD5A" w:tentative="1">
      <w:start w:val="1"/>
      <w:numFmt w:val="bullet"/>
      <w:lvlText w:val=""/>
      <w:lvlJc w:val="left"/>
      <w:pPr>
        <w:ind w:left="2880" w:hanging="360"/>
      </w:pPr>
      <w:rPr>
        <w:rFonts w:ascii="Symbol" w:hAnsi="Symbol" w:hint="default"/>
      </w:rPr>
    </w:lvl>
    <w:lvl w:ilvl="4" w:tplc="D44E68DC" w:tentative="1">
      <w:start w:val="1"/>
      <w:numFmt w:val="bullet"/>
      <w:lvlText w:val="o"/>
      <w:lvlJc w:val="left"/>
      <w:pPr>
        <w:ind w:left="3600" w:hanging="360"/>
      </w:pPr>
      <w:rPr>
        <w:rFonts w:ascii="Courier New" w:hAnsi="Courier New" w:cs="Courier New" w:hint="default"/>
      </w:rPr>
    </w:lvl>
    <w:lvl w:ilvl="5" w:tplc="3D78B6B4" w:tentative="1">
      <w:start w:val="1"/>
      <w:numFmt w:val="bullet"/>
      <w:lvlText w:val=""/>
      <w:lvlJc w:val="left"/>
      <w:pPr>
        <w:ind w:left="4320" w:hanging="360"/>
      </w:pPr>
      <w:rPr>
        <w:rFonts w:ascii="Wingdings" w:hAnsi="Wingdings" w:hint="default"/>
      </w:rPr>
    </w:lvl>
    <w:lvl w:ilvl="6" w:tplc="A8D8107C" w:tentative="1">
      <w:start w:val="1"/>
      <w:numFmt w:val="bullet"/>
      <w:lvlText w:val=""/>
      <w:lvlJc w:val="left"/>
      <w:pPr>
        <w:ind w:left="5040" w:hanging="360"/>
      </w:pPr>
      <w:rPr>
        <w:rFonts w:ascii="Symbol" w:hAnsi="Symbol" w:hint="default"/>
      </w:rPr>
    </w:lvl>
    <w:lvl w:ilvl="7" w:tplc="C6A64126" w:tentative="1">
      <w:start w:val="1"/>
      <w:numFmt w:val="bullet"/>
      <w:lvlText w:val="o"/>
      <w:lvlJc w:val="left"/>
      <w:pPr>
        <w:ind w:left="5760" w:hanging="360"/>
      </w:pPr>
      <w:rPr>
        <w:rFonts w:ascii="Courier New" w:hAnsi="Courier New" w:cs="Courier New" w:hint="default"/>
      </w:rPr>
    </w:lvl>
    <w:lvl w:ilvl="8" w:tplc="9A58A616" w:tentative="1">
      <w:start w:val="1"/>
      <w:numFmt w:val="bullet"/>
      <w:lvlText w:val=""/>
      <w:lvlJc w:val="left"/>
      <w:pPr>
        <w:ind w:left="6480" w:hanging="360"/>
      </w:pPr>
      <w:rPr>
        <w:rFonts w:ascii="Wingdings" w:hAnsi="Wingdings" w:hint="default"/>
      </w:rPr>
    </w:lvl>
  </w:abstractNum>
  <w:abstractNum w:abstractNumId="15" w15:restartNumberingAfterBreak="0">
    <w:nsid w:val="24A45079"/>
    <w:multiLevelType w:val="hybridMultilevel"/>
    <w:tmpl w:val="F7C4A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396E3E"/>
    <w:multiLevelType w:val="hybridMultilevel"/>
    <w:tmpl w:val="2CC2639C"/>
    <w:lvl w:ilvl="0" w:tplc="E6B2BAD8">
      <w:start w:val="1"/>
      <w:numFmt w:val="bullet"/>
      <w:lvlText w:val=""/>
      <w:lvlJc w:val="left"/>
      <w:pPr>
        <w:ind w:left="720" w:hanging="360"/>
      </w:pPr>
      <w:rPr>
        <w:rFonts w:ascii="Symbol" w:hAnsi="Symbol" w:hint="default"/>
      </w:rPr>
    </w:lvl>
    <w:lvl w:ilvl="1" w:tplc="887A4816" w:tentative="1">
      <w:start w:val="1"/>
      <w:numFmt w:val="bullet"/>
      <w:lvlText w:val="o"/>
      <w:lvlJc w:val="left"/>
      <w:pPr>
        <w:ind w:left="1440" w:hanging="360"/>
      </w:pPr>
      <w:rPr>
        <w:rFonts w:ascii="Courier New" w:hAnsi="Courier New" w:cs="Courier New" w:hint="default"/>
      </w:rPr>
    </w:lvl>
    <w:lvl w:ilvl="2" w:tplc="CFE044EC" w:tentative="1">
      <w:start w:val="1"/>
      <w:numFmt w:val="bullet"/>
      <w:lvlText w:val=""/>
      <w:lvlJc w:val="left"/>
      <w:pPr>
        <w:ind w:left="2160" w:hanging="360"/>
      </w:pPr>
      <w:rPr>
        <w:rFonts w:ascii="Wingdings" w:hAnsi="Wingdings" w:hint="default"/>
      </w:rPr>
    </w:lvl>
    <w:lvl w:ilvl="3" w:tplc="96723986" w:tentative="1">
      <w:start w:val="1"/>
      <w:numFmt w:val="bullet"/>
      <w:lvlText w:val=""/>
      <w:lvlJc w:val="left"/>
      <w:pPr>
        <w:ind w:left="2880" w:hanging="360"/>
      </w:pPr>
      <w:rPr>
        <w:rFonts w:ascii="Symbol" w:hAnsi="Symbol" w:hint="default"/>
      </w:rPr>
    </w:lvl>
    <w:lvl w:ilvl="4" w:tplc="4328CEEE" w:tentative="1">
      <w:start w:val="1"/>
      <w:numFmt w:val="bullet"/>
      <w:lvlText w:val="o"/>
      <w:lvlJc w:val="left"/>
      <w:pPr>
        <w:ind w:left="3600" w:hanging="360"/>
      </w:pPr>
      <w:rPr>
        <w:rFonts w:ascii="Courier New" w:hAnsi="Courier New" w:cs="Courier New" w:hint="default"/>
      </w:rPr>
    </w:lvl>
    <w:lvl w:ilvl="5" w:tplc="327C0686" w:tentative="1">
      <w:start w:val="1"/>
      <w:numFmt w:val="bullet"/>
      <w:lvlText w:val=""/>
      <w:lvlJc w:val="left"/>
      <w:pPr>
        <w:ind w:left="4320" w:hanging="360"/>
      </w:pPr>
      <w:rPr>
        <w:rFonts w:ascii="Wingdings" w:hAnsi="Wingdings" w:hint="default"/>
      </w:rPr>
    </w:lvl>
    <w:lvl w:ilvl="6" w:tplc="B11AE3D8" w:tentative="1">
      <w:start w:val="1"/>
      <w:numFmt w:val="bullet"/>
      <w:lvlText w:val=""/>
      <w:lvlJc w:val="left"/>
      <w:pPr>
        <w:ind w:left="5040" w:hanging="360"/>
      </w:pPr>
      <w:rPr>
        <w:rFonts w:ascii="Symbol" w:hAnsi="Symbol" w:hint="default"/>
      </w:rPr>
    </w:lvl>
    <w:lvl w:ilvl="7" w:tplc="62F24A06" w:tentative="1">
      <w:start w:val="1"/>
      <w:numFmt w:val="bullet"/>
      <w:lvlText w:val="o"/>
      <w:lvlJc w:val="left"/>
      <w:pPr>
        <w:ind w:left="5760" w:hanging="360"/>
      </w:pPr>
      <w:rPr>
        <w:rFonts w:ascii="Courier New" w:hAnsi="Courier New" w:cs="Courier New" w:hint="default"/>
      </w:rPr>
    </w:lvl>
    <w:lvl w:ilvl="8" w:tplc="5D8086FC" w:tentative="1">
      <w:start w:val="1"/>
      <w:numFmt w:val="bullet"/>
      <w:lvlText w:val=""/>
      <w:lvlJc w:val="left"/>
      <w:pPr>
        <w:ind w:left="6480" w:hanging="360"/>
      </w:pPr>
      <w:rPr>
        <w:rFonts w:ascii="Wingdings" w:hAnsi="Wingdings" w:hint="default"/>
      </w:rPr>
    </w:lvl>
  </w:abstractNum>
  <w:abstractNum w:abstractNumId="17" w15:restartNumberingAfterBreak="0">
    <w:nsid w:val="2AFC397C"/>
    <w:multiLevelType w:val="hybridMultilevel"/>
    <w:tmpl w:val="2A64B824"/>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8" w15:restartNumberingAfterBreak="0">
    <w:nsid w:val="2E135BD9"/>
    <w:multiLevelType w:val="hybridMultilevel"/>
    <w:tmpl w:val="DAD6C0E0"/>
    <w:lvl w:ilvl="0" w:tplc="F54E3504">
      <w:start w:val="1"/>
      <w:numFmt w:val="bullet"/>
      <w:lvlText w:val=""/>
      <w:lvlJc w:val="left"/>
      <w:pPr>
        <w:tabs>
          <w:tab w:val="num" w:pos="397"/>
        </w:tabs>
        <w:ind w:left="397" w:hanging="397"/>
      </w:pPr>
      <w:rPr>
        <w:rFonts w:ascii="Symbol" w:hAnsi="Symbol" w:hint="default"/>
      </w:rPr>
    </w:lvl>
    <w:lvl w:ilvl="1" w:tplc="44FE2492" w:tentative="1">
      <w:start w:val="1"/>
      <w:numFmt w:val="bullet"/>
      <w:lvlText w:val="o"/>
      <w:lvlJc w:val="left"/>
      <w:pPr>
        <w:tabs>
          <w:tab w:val="num" w:pos="1440"/>
        </w:tabs>
        <w:ind w:left="1440" w:hanging="360"/>
      </w:pPr>
      <w:rPr>
        <w:rFonts w:ascii="Courier New" w:hAnsi="Courier New" w:cs="Courier New" w:hint="default"/>
      </w:rPr>
    </w:lvl>
    <w:lvl w:ilvl="2" w:tplc="54083736" w:tentative="1">
      <w:start w:val="1"/>
      <w:numFmt w:val="bullet"/>
      <w:lvlText w:val=""/>
      <w:lvlJc w:val="left"/>
      <w:pPr>
        <w:tabs>
          <w:tab w:val="num" w:pos="2160"/>
        </w:tabs>
        <w:ind w:left="2160" w:hanging="360"/>
      </w:pPr>
      <w:rPr>
        <w:rFonts w:ascii="Wingdings" w:hAnsi="Wingdings" w:hint="default"/>
      </w:rPr>
    </w:lvl>
    <w:lvl w:ilvl="3" w:tplc="758629DC" w:tentative="1">
      <w:start w:val="1"/>
      <w:numFmt w:val="bullet"/>
      <w:lvlText w:val=""/>
      <w:lvlJc w:val="left"/>
      <w:pPr>
        <w:tabs>
          <w:tab w:val="num" w:pos="2880"/>
        </w:tabs>
        <w:ind w:left="2880" w:hanging="360"/>
      </w:pPr>
      <w:rPr>
        <w:rFonts w:ascii="Symbol" w:hAnsi="Symbol" w:hint="default"/>
      </w:rPr>
    </w:lvl>
    <w:lvl w:ilvl="4" w:tplc="6C44F2F0" w:tentative="1">
      <w:start w:val="1"/>
      <w:numFmt w:val="bullet"/>
      <w:lvlText w:val="o"/>
      <w:lvlJc w:val="left"/>
      <w:pPr>
        <w:tabs>
          <w:tab w:val="num" w:pos="3600"/>
        </w:tabs>
        <w:ind w:left="3600" w:hanging="360"/>
      </w:pPr>
      <w:rPr>
        <w:rFonts w:ascii="Courier New" w:hAnsi="Courier New" w:cs="Courier New" w:hint="default"/>
      </w:rPr>
    </w:lvl>
    <w:lvl w:ilvl="5" w:tplc="9EBE4782" w:tentative="1">
      <w:start w:val="1"/>
      <w:numFmt w:val="bullet"/>
      <w:lvlText w:val=""/>
      <w:lvlJc w:val="left"/>
      <w:pPr>
        <w:tabs>
          <w:tab w:val="num" w:pos="4320"/>
        </w:tabs>
        <w:ind w:left="4320" w:hanging="360"/>
      </w:pPr>
      <w:rPr>
        <w:rFonts w:ascii="Wingdings" w:hAnsi="Wingdings" w:hint="default"/>
      </w:rPr>
    </w:lvl>
    <w:lvl w:ilvl="6" w:tplc="C3203E7A" w:tentative="1">
      <w:start w:val="1"/>
      <w:numFmt w:val="bullet"/>
      <w:lvlText w:val=""/>
      <w:lvlJc w:val="left"/>
      <w:pPr>
        <w:tabs>
          <w:tab w:val="num" w:pos="5040"/>
        </w:tabs>
        <w:ind w:left="5040" w:hanging="360"/>
      </w:pPr>
      <w:rPr>
        <w:rFonts w:ascii="Symbol" w:hAnsi="Symbol" w:hint="default"/>
      </w:rPr>
    </w:lvl>
    <w:lvl w:ilvl="7" w:tplc="62BA063C" w:tentative="1">
      <w:start w:val="1"/>
      <w:numFmt w:val="bullet"/>
      <w:lvlText w:val="o"/>
      <w:lvlJc w:val="left"/>
      <w:pPr>
        <w:tabs>
          <w:tab w:val="num" w:pos="5760"/>
        </w:tabs>
        <w:ind w:left="5760" w:hanging="360"/>
      </w:pPr>
      <w:rPr>
        <w:rFonts w:ascii="Courier New" w:hAnsi="Courier New" w:cs="Courier New" w:hint="default"/>
      </w:rPr>
    </w:lvl>
    <w:lvl w:ilvl="8" w:tplc="9F5ABED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541609"/>
    <w:multiLevelType w:val="hybridMultilevel"/>
    <w:tmpl w:val="1E5AABE8"/>
    <w:lvl w:ilvl="0" w:tplc="9DF669F8">
      <w:start w:val="1"/>
      <w:numFmt w:val="decimal"/>
      <w:lvlText w:val="%1."/>
      <w:lvlJc w:val="left"/>
      <w:pPr>
        <w:tabs>
          <w:tab w:val="num" w:pos="570"/>
        </w:tabs>
        <w:ind w:left="570" w:hanging="570"/>
      </w:pPr>
      <w:rPr>
        <w:rFonts w:hint="default"/>
      </w:rPr>
    </w:lvl>
    <w:lvl w:ilvl="1" w:tplc="CCD4773A" w:tentative="1">
      <w:start w:val="1"/>
      <w:numFmt w:val="lowerLetter"/>
      <w:lvlText w:val="%2."/>
      <w:lvlJc w:val="left"/>
      <w:pPr>
        <w:tabs>
          <w:tab w:val="num" w:pos="1080"/>
        </w:tabs>
        <w:ind w:left="1080" w:hanging="360"/>
      </w:pPr>
    </w:lvl>
    <w:lvl w:ilvl="2" w:tplc="72B4BE74" w:tentative="1">
      <w:start w:val="1"/>
      <w:numFmt w:val="lowerRoman"/>
      <w:lvlText w:val="%3."/>
      <w:lvlJc w:val="right"/>
      <w:pPr>
        <w:tabs>
          <w:tab w:val="num" w:pos="1800"/>
        </w:tabs>
        <w:ind w:left="1800" w:hanging="180"/>
      </w:pPr>
    </w:lvl>
    <w:lvl w:ilvl="3" w:tplc="FBF464AA" w:tentative="1">
      <w:start w:val="1"/>
      <w:numFmt w:val="decimal"/>
      <w:lvlText w:val="%4."/>
      <w:lvlJc w:val="left"/>
      <w:pPr>
        <w:tabs>
          <w:tab w:val="num" w:pos="2520"/>
        </w:tabs>
        <w:ind w:left="2520" w:hanging="360"/>
      </w:pPr>
    </w:lvl>
    <w:lvl w:ilvl="4" w:tplc="2E5836F8" w:tentative="1">
      <w:start w:val="1"/>
      <w:numFmt w:val="lowerLetter"/>
      <w:lvlText w:val="%5."/>
      <w:lvlJc w:val="left"/>
      <w:pPr>
        <w:tabs>
          <w:tab w:val="num" w:pos="3240"/>
        </w:tabs>
        <w:ind w:left="3240" w:hanging="360"/>
      </w:pPr>
    </w:lvl>
    <w:lvl w:ilvl="5" w:tplc="2806B33C" w:tentative="1">
      <w:start w:val="1"/>
      <w:numFmt w:val="lowerRoman"/>
      <w:lvlText w:val="%6."/>
      <w:lvlJc w:val="right"/>
      <w:pPr>
        <w:tabs>
          <w:tab w:val="num" w:pos="3960"/>
        </w:tabs>
        <w:ind w:left="3960" w:hanging="180"/>
      </w:pPr>
    </w:lvl>
    <w:lvl w:ilvl="6" w:tplc="B19C449C" w:tentative="1">
      <w:start w:val="1"/>
      <w:numFmt w:val="decimal"/>
      <w:lvlText w:val="%7."/>
      <w:lvlJc w:val="left"/>
      <w:pPr>
        <w:tabs>
          <w:tab w:val="num" w:pos="4680"/>
        </w:tabs>
        <w:ind w:left="4680" w:hanging="360"/>
      </w:pPr>
    </w:lvl>
    <w:lvl w:ilvl="7" w:tplc="928C80DE" w:tentative="1">
      <w:start w:val="1"/>
      <w:numFmt w:val="lowerLetter"/>
      <w:lvlText w:val="%8."/>
      <w:lvlJc w:val="left"/>
      <w:pPr>
        <w:tabs>
          <w:tab w:val="num" w:pos="5400"/>
        </w:tabs>
        <w:ind w:left="5400" w:hanging="360"/>
      </w:pPr>
    </w:lvl>
    <w:lvl w:ilvl="8" w:tplc="4CEEC422" w:tentative="1">
      <w:start w:val="1"/>
      <w:numFmt w:val="lowerRoman"/>
      <w:lvlText w:val="%9."/>
      <w:lvlJc w:val="right"/>
      <w:pPr>
        <w:tabs>
          <w:tab w:val="num" w:pos="6120"/>
        </w:tabs>
        <w:ind w:left="6120" w:hanging="180"/>
      </w:pPr>
    </w:lvl>
  </w:abstractNum>
  <w:abstractNum w:abstractNumId="20" w15:restartNumberingAfterBreak="0">
    <w:nsid w:val="2F7259E5"/>
    <w:multiLevelType w:val="hybridMultilevel"/>
    <w:tmpl w:val="6B04D1EE"/>
    <w:lvl w:ilvl="0" w:tplc="3676BCA4">
      <w:start w:val="1"/>
      <w:numFmt w:val="bullet"/>
      <w:lvlText w:val=""/>
      <w:lvlJc w:val="left"/>
      <w:pPr>
        <w:ind w:left="720" w:hanging="360"/>
      </w:pPr>
      <w:rPr>
        <w:rFonts w:ascii="Symbol" w:hAnsi="Symbol" w:hint="default"/>
      </w:rPr>
    </w:lvl>
    <w:lvl w:ilvl="1" w:tplc="94D2C542" w:tentative="1">
      <w:start w:val="1"/>
      <w:numFmt w:val="bullet"/>
      <w:lvlText w:val="o"/>
      <w:lvlJc w:val="left"/>
      <w:pPr>
        <w:ind w:left="1440" w:hanging="360"/>
      </w:pPr>
      <w:rPr>
        <w:rFonts w:ascii="Courier New" w:hAnsi="Courier New" w:cs="Courier New" w:hint="default"/>
      </w:rPr>
    </w:lvl>
    <w:lvl w:ilvl="2" w:tplc="29BA2186" w:tentative="1">
      <w:start w:val="1"/>
      <w:numFmt w:val="bullet"/>
      <w:lvlText w:val=""/>
      <w:lvlJc w:val="left"/>
      <w:pPr>
        <w:ind w:left="2160" w:hanging="360"/>
      </w:pPr>
      <w:rPr>
        <w:rFonts w:ascii="Wingdings" w:hAnsi="Wingdings" w:hint="default"/>
      </w:rPr>
    </w:lvl>
    <w:lvl w:ilvl="3" w:tplc="9E5E1ED4" w:tentative="1">
      <w:start w:val="1"/>
      <w:numFmt w:val="bullet"/>
      <w:lvlText w:val=""/>
      <w:lvlJc w:val="left"/>
      <w:pPr>
        <w:ind w:left="2880" w:hanging="360"/>
      </w:pPr>
      <w:rPr>
        <w:rFonts w:ascii="Symbol" w:hAnsi="Symbol" w:hint="default"/>
      </w:rPr>
    </w:lvl>
    <w:lvl w:ilvl="4" w:tplc="F18C1CBA" w:tentative="1">
      <w:start w:val="1"/>
      <w:numFmt w:val="bullet"/>
      <w:lvlText w:val="o"/>
      <w:lvlJc w:val="left"/>
      <w:pPr>
        <w:ind w:left="3600" w:hanging="360"/>
      </w:pPr>
      <w:rPr>
        <w:rFonts w:ascii="Courier New" w:hAnsi="Courier New" w:cs="Courier New" w:hint="default"/>
      </w:rPr>
    </w:lvl>
    <w:lvl w:ilvl="5" w:tplc="785CCC06" w:tentative="1">
      <w:start w:val="1"/>
      <w:numFmt w:val="bullet"/>
      <w:lvlText w:val=""/>
      <w:lvlJc w:val="left"/>
      <w:pPr>
        <w:ind w:left="4320" w:hanging="360"/>
      </w:pPr>
      <w:rPr>
        <w:rFonts w:ascii="Wingdings" w:hAnsi="Wingdings" w:hint="default"/>
      </w:rPr>
    </w:lvl>
    <w:lvl w:ilvl="6" w:tplc="9574158E" w:tentative="1">
      <w:start w:val="1"/>
      <w:numFmt w:val="bullet"/>
      <w:lvlText w:val=""/>
      <w:lvlJc w:val="left"/>
      <w:pPr>
        <w:ind w:left="5040" w:hanging="360"/>
      </w:pPr>
      <w:rPr>
        <w:rFonts w:ascii="Symbol" w:hAnsi="Symbol" w:hint="default"/>
      </w:rPr>
    </w:lvl>
    <w:lvl w:ilvl="7" w:tplc="5D4A6050" w:tentative="1">
      <w:start w:val="1"/>
      <w:numFmt w:val="bullet"/>
      <w:lvlText w:val="o"/>
      <w:lvlJc w:val="left"/>
      <w:pPr>
        <w:ind w:left="5760" w:hanging="360"/>
      </w:pPr>
      <w:rPr>
        <w:rFonts w:ascii="Courier New" w:hAnsi="Courier New" w:cs="Courier New" w:hint="default"/>
      </w:rPr>
    </w:lvl>
    <w:lvl w:ilvl="8" w:tplc="4FCA7B8C" w:tentative="1">
      <w:start w:val="1"/>
      <w:numFmt w:val="bullet"/>
      <w:lvlText w:val=""/>
      <w:lvlJc w:val="left"/>
      <w:pPr>
        <w:ind w:left="6480" w:hanging="360"/>
      </w:pPr>
      <w:rPr>
        <w:rFonts w:ascii="Wingdings" w:hAnsi="Wingdings" w:hint="default"/>
      </w:rPr>
    </w:lvl>
  </w:abstractNum>
  <w:abstractNum w:abstractNumId="21" w15:restartNumberingAfterBreak="0">
    <w:nsid w:val="349B4AFA"/>
    <w:multiLevelType w:val="hybridMultilevel"/>
    <w:tmpl w:val="DE4CC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8D20402"/>
    <w:multiLevelType w:val="hybridMultilevel"/>
    <w:tmpl w:val="34CA80B6"/>
    <w:lvl w:ilvl="0" w:tplc="2A80E928">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3A353FD4"/>
    <w:multiLevelType w:val="hybridMultilevel"/>
    <w:tmpl w:val="BDC2643E"/>
    <w:lvl w:ilvl="0" w:tplc="DBB684CE">
      <w:start w:val="1"/>
      <w:numFmt w:val="bullet"/>
      <w:lvlText w:val="-"/>
      <w:legacy w:legacy="1" w:legacySpace="0" w:legacyIndent="360"/>
      <w:lvlJc w:val="left"/>
      <w:pPr>
        <w:ind w:left="360" w:hanging="360"/>
      </w:pPr>
    </w:lvl>
    <w:lvl w:ilvl="1" w:tplc="44EC9C1C" w:tentative="1">
      <w:start w:val="1"/>
      <w:numFmt w:val="bullet"/>
      <w:lvlText w:val="o"/>
      <w:lvlJc w:val="left"/>
      <w:pPr>
        <w:ind w:left="1440" w:hanging="360"/>
      </w:pPr>
      <w:rPr>
        <w:rFonts w:ascii="Courier New" w:hAnsi="Courier New" w:cs="Courier New" w:hint="default"/>
      </w:rPr>
    </w:lvl>
    <w:lvl w:ilvl="2" w:tplc="89424266" w:tentative="1">
      <w:start w:val="1"/>
      <w:numFmt w:val="bullet"/>
      <w:lvlText w:val=""/>
      <w:lvlJc w:val="left"/>
      <w:pPr>
        <w:ind w:left="2160" w:hanging="360"/>
      </w:pPr>
      <w:rPr>
        <w:rFonts w:ascii="Wingdings" w:hAnsi="Wingdings" w:hint="default"/>
      </w:rPr>
    </w:lvl>
    <w:lvl w:ilvl="3" w:tplc="CB98339A" w:tentative="1">
      <w:start w:val="1"/>
      <w:numFmt w:val="bullet"/>
      <w:lvlText w:val=""/>
      <w:lvlJc w:val="left"/>
      <w:pPr>
        <w:ind w:left="2880" w:hanging="360"/>
      </w:pPr>
      <w:rPr>
        <w:rFonts w:ascii="Symbol" w:hAnsi="Symbol" w:hint="default"/>
      </w:rPr>
    </w:lvl>
    <w:lvl w:ilvl="4" w:tplc="08D0955E" w:tentative="1">
      <w:start w:val="1"/>
      <w:numFmt w:val="bullet"/>
      <w:lvlText w:val="o"/>
      <w:lvlJc w:val="left"/>
      <w:pPr>
        <w:ind w:left="3600" w:hanging="360"/>
      </w:pPr>
      <w:rPr>
        <w:rFonts w:ascii="Courier New" w:hAnsi="Courier New" w:cs="Courier New" w:hint="default"/>
      </w:rPr>
    </w:lvl>
    <w:lvl w:ilvl="5" w:tplc="BA5E201A" w:tentative="1">
      <w:start w:val="1"/>
      <w:numFmt w:val="bullet"/>
      <w:lvlText w:val=""/>
      <w:lvlJc w:val="left"/>
      <w:pPr>
        <w:ind w:left="4320" w:hanging="360"/>
      </w:pPr>
      <w:rPr>
        <w:rFonts w:ascii="Wingdings" w:hAnsi="Wingdings" w:hint="default"/>
      </w:rPr>
    </w:lvl>
    <w:lvl w:ilvl="6" w:tplc="FB58FF8E" w:tentative="1">
      <w:start w:val="1"/>
      <w:numFmt w:val="bullet"/>
      <w:lvlText w:val=""/>
      <w:lvlJc w:val="left"/>
      <w:pPr>
        <w:ind w:left="5040" w:hanging="360"/>
      </w:pPr>
      <w:rPr>
        <w:rFonts w:ascii="Symbol" w:hAnsi="Symbol" w:hint="default"/>
      </w:rPr>
    </w:lvl>
    <w:lvl w:ilvl="7" w:tplc="92F671EE" w:tentative="1">
      <w:start w:val="1"/>
      <w:numFmt w:val="bullet"/>
      <w:lvlText w:val="o"/>
      <w:lvlJc w:val="left"/>
      <w:pPr>
        <w:ind w:left="5760" w:hanging="360"/>
      </w:pPr>
      <w:rPr>
        <w:rFonts w:ascii="Courier New" w:hAnsi="Courier New" w:cs="Courier New" w:hint="default"/>
      </w:rPr>
    </w:lvl>
    <w:lvl w:ilvl="8" w:tplc="40627384" w:tentative="1">
      <w:start w:val="1"/>
      <w:numFmt w:val="bullet"/>
      <w:lvlText w:val=""/>
      <w:lvlJc w:val="left"/>
      <w:pPr>
        <w:ind w:left="6480" w:hanging="360"/>
      </w:pPr>
      <w:rPr>
        <w:rFonts w:ascii="Wingdings" w:hAnsi="Wingdings" w:hint="default"/>
      </w:rPr>
    </w:lvl>
  </w:abstractNum>
  <w:abstractNum w:abstractNumId="25" w15:restartNumberingAfterBreak="0">
    <w:nsid w:val="3D4E15CA"/>
    <w:multiLevelType w:val="hybridMultilevel"/>
    <w:tmpl w:val="11B0E324"/>
    <w:lvl w:ilvl="0" w:tplc="3E3866A4">
      <w:start w:val="1"/>
      <w:numFmt w:val="bullet"/>
      <w:lvlText w:val=""/>
      <w:lvlJc w:val="left"/>
      <w:pPr>
        <w:ind w:left="720" w:hanging="360"/>
      </w:pPr>
      <w:rPr>
        <w:rFonts w:ascii="Symbol" w:hAnsi="Symbol" w:hint="default"/>
      </w:rPr>
    </w:lvl>
    <w:lvl w:ilvl="1" w:tplc="3C40C234" w:tentative="1">
      <w:start w:val="1"/>
      <w:numFmt w:val="bullet"/>
      <w:lvlText w:val="o"/>
      <w:lvlJc w:val="left"/>
      <w:pPr>
        <w:ind w:left="1440" w:hanging="360"/>
      </w:pPr>
      <w:rPr>
        <w:rFonts w:ascii="Courier New" w:hAnsi="Courier New" w:cs="Courier New" w:hint="default"/>
      </w:rPr>
    </w:lvl>
    <w:lvl w:ilvl="2" w:tplc="BAC0D6A6" w:tentative="1">
      <w:start w:val="1"/>
      <w:numFmt w:val="bullet"/>
      <w:lvlText w:val=""/>
      <w:lvlJc w:val="left"/>
      <w:pPr>
        <w:ind w:left="2160" w:hanging="360"/>
      </w:pPr>
      <w:rPr>
        <w:rFonts w:ascii="Wingdings" w:hAnsi="Wingdings" w:hint="default"/>
      </w:rPr>
    </w:lvl>
    <w:lvl w:ilvl="3" w:tplc="5AD86E04" w:tentative="1">
      <w:start w:val="1"/>
      <w:numFmt w:val="bullet"/>
      <w:lvlText w:val=""/>
      <w:lvlJc w:val="left"/>
      <w:pPr>
        <w:ind w:left="2880" w:hanging="360"/>
      </w:pPr>
      <w:rPr>
        <w:rFonts w:ascii="Symbol" w:hAnsi="Symbol" w:hint="default"/>
      </w:rPr>
    </w:lvl>
    <w:lvl w:ilvl="4" w:tplc="1F8C9D3C" w:tentative="1">
      <w:start w:val="1"/>
      <w:numFmt w:val="bullet"/>
      <w:lvlText w:val="o"/>
      <w:lvlJc w:val="left"/>
      <w:pPr>
        <w:ind w:left="3600" w:hanging="360"/>
      </w:pPr>
      <w:rPr>
        <w:rFonts w:ascii="Courier New" w:hAnsi="Courier New" w:cs="Courier New" w:hint="default"/>
      </w:rPr>
    </w:lvl>
    <w:lvl w:ilvl="5" w:tplc="8EEEA360" w:tentative="1">
      <w:start w:val="1"/>
      <w:numFmt w:val="bullet"/>
      <w:lvlText w:val=""/>
      <w:lvlJc w:val="left"/>
      <w:pPr>
        <w:ind w:left="4320" w:hanging="360"/>
      </w:pPr>
      <w:rPr>
        <w:rFonts w:ascii="Wingdings" w:hAnsi="Wingdings" w:hint="default"/>
      </w:rPr>
    </w:lvl>
    <w:lvl w:ilvl="6" w:tplc="4544AAD6" w:tentative="1">
      <w:start w:val="1"/>
      <w:numFmt w:val="bullet"/>
      <w:lvlText w:val=""/>
      <w:lvlJc w:val="left"/>
      <w:pPr>
        <w:ind w:left="5040" w:hanging="360"/>
      </w:pPr>
      <w:rPr>
        <w:rFonts w:ascii="Symbol" w:hAnsi="Symbol" w:hint="default"/>
      </w:rPr>
    </w:lvl>
    <w:lvl w:ilvl="7" w:tplc="413E63D4" w:tentative="1">
      <w:start w:val="1"/>
      <w:numFmt w:val="bullet"/>
      <w:lvlText w:val="o"/>
      <w:lvlJc w:val="left"/>
      <w:pPr>
        <w:ind w:left="5760" w:hanging="360"/>
      </w:pPr>
      <w:rPr>
        <w:rFonts w:ascii="Courier New" w:hAnsi="Courier New" w:cs="Courier New" w:hint="default"/>
      </w:rPr>
    </w:lvl>
    <w:lvl w:ilvl="8" w:tplc="5BA8BA9A" w:tentative="1">
      <w:start w:val="1"/>
      <w:numFmt w:val="bullet"/>
      <w:lvlText w:val=""/>
      <w:lvlJc w:val="left"/>
      <w:pPr>
        <w:ind w:left="6480" w:hanging="360"/>
      </w:pPr>
      <w:rPr>
        <w:rFonts w:ascii="Wingdings" w:hAnsi="Wingdings" w:hint="default"/>
      </w:rPr>
    </w:lvl>
  </w:abstractNum>
  <w:abstractNum w:abstractNumId="26"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7" w15:restartNumberingAfterBreak="0">
    <w:nsid w:val="3F932330"/>
    <w:multiLevelType w:val="hybridMultilevel"/>
    <w:tmpl w:val="30BC06B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A24039"/>
    <w:multiLevelType w:val="hybridMultilevel"/>
    <w:tmpl w:val="3DE62288"/>
    <w:lvl w:ilvl="0" w:tplc="77D8177E">
      <w:start w:val="1"/>
      <w:numFmt w:val="bullet"/>
      <w:lvlText w:val=""/>
      <w:lvlJc w:val="left"/>
      <w:pPr>
        <w:ind w:left="360" w:hanging="360"/>
      </w:pPr>
      <w:rPr>
        <w:rFonts w:ascii="Symbol" w:hAnsi="Symbol" w:hint="default"/>
      </w:rPr>
    </w:lvl>
    <w:lvl w:ilvl="1" w:tplc="A97A4CA6" w:tentative="1">
      <w:start w:val="1"/>
      <w:numFmt w:val="bullet"/>
      <w:lvlText w:val="o"/>
      <w:lvlJc w:val="left"/>
      <w:pPr>
        <w:ind w:left="1080" w:hanging="360"/>
      </w:pPr>
      <w:rPr>
        <w:rFonts w:ascii="Courier New" w:hAnsi="Courier New" w:cs="Courier New" w:hint="default"/>
      </w:rPr>
    </w:lvl>
    <w:lvl w:ilvl="2" w:tplc="D046CA8C" w:tentative="1">
      <w:start w:val="1"/>
      <w:numFmt w:val="bullet"/>
      <w:lvlText w:val=""/>
      <w:lvlJc w:val="left"/>
      <w:pPr>
        <w:ind w:left="1800" w:hanging="360"/>
      </w:pPr>
      <w:rPr>
        <w:rFonts w:ascii="Wingdings" w:hAnsi="Wingdings" w:hint="default"/>
      </w:rPr>
    </w:lvl>
    <w:lvl w:ilvl="3" w:tplc="DD68779E" w:tentative="1">
      <w:start w:val="1"/>
      <w:numFmt w:val="bullet"/>
      <w:lvlText w:val=""/>
      <w:lvlJc w:val="left"/>
      <w:pPr>
        <w:ind w:left="2520" w:hanging="360"/>
      </w:pPr>
      <w:rPr>
        <w:rFonts w:ascii="Symbol" w:hAnsi="Symbol" w:hint="default"/>
      </w:rPr>
    </w:lvl>
    <w:lvl w:ilvl="4" w:tplc="6BC833CC" w:tentative="1">
      <w:start w:val="1"/>
      <w:numFmt w:val="bullet"/>
      <w:lvlText w:val="o"/>
      <w:lvlJc w:val="left"/>
      <w:pPr>
        <w:ind w:left="3240" w:hanging="360"/>
      </w:pPr>
      <w:rPr>
        <w:rFonts w:ascii="Courier New" w:hAnsi="Courier New" w:cs="Courier New" w:hint="default"/>
      </w:rPr>
    </w:lvl>
    <w:lvl w:ilvl="5" w:tplc="729C3FB4" w:tentative="1">
      <w:start w:val="1"/>
      <w:numFmt w:val="bullet"/>
      <w:lvlText w:val=""/>
      <w:lvlJc w:val="left"/>
      <w:pPr>
        <w:ind w:left="3960" w:hanging="360"/>
      </w:pPr>
      <w:rPr>
        <w:rFonts w:ascii="Wingdings" w:hAnsi="Wingdings" w:hint="default"/>
      </w:rPr>
    </w:lvl>
    <w:lvl w:ilvl="6" w:tplc="492475CE" w:tentative="1">
      <w:start w:val="1"/>
      <w:numFmt w:val="bullet"/>
      <w:lvlText w:val=""/>
      <w:lvlJc w:val="left"/>
      <w:pPr>
        <w:ind w:left="4680" w:hanging="360"/>
      </w:pPr>
      <w:rPr>
        <w:rFonts w:ascii="Symbol" w:hAnsi="Symbol" w:hint="default"/>
      </w:rPr>
    </w:lvl>
    <w:lvl w:ilvl="7" w:tplc="EA461034" w:tentative="1">
      <w:start w:val="1"/>
      <w:numFmt w:val="bullet"/>
      <w:lvlText w:val="o"/>
      <w:lvlJc w:val="left"/>
      <w:pPr>
        <w:ind w:left="5400" w:hanging="360"/>
      </w:pPr>
      <w:rPr>
        <w:rFonts w:ascii="Courier New" w:hAnsi="Courier New" w:cs="Courier New" w:hint="default"/>
      </w:rPr>
    </w:lvl>
    <w:lvl w:ilvl="8" w:tplc="1A28B53A" w:tentative="1">
      <w:start w:val="1"/>
      <w:numFmt w:val="bullet"/>
      <w:lvlText w:val=""/>
      <w:lvlJc w:val="left"/>
      <w:pPr>
        <w:ind w:left="6120" w:hanging="360"/>
      </w:pPr>
      <w:rPr>
        <w:rFonts w:ascii="Wingdings" w:hAnsi="Wingdings" w:hint="default"/>
      </w:rPr>
    </w:lvl>
  </w:abstractNum>
  <w:abstractNum w:abstractNumId="29" w15:restartNumberingAfterBreak="0">
    <w:nsid w:val="422B2363"/>
    <w:multiLevelType w:val="hybridMultilevel"/>
    <w:tmpl w:val="A23EBC7E"/>
    <w:lvl w:ilvl="0" w:tplc="FCF8624C">
      <w:start w:val="1"/>
      <w:numFmt w:val="bullet"/>
      <w:lvlText w:val=""/>
      <w:lvlJc w:val="left"/>
      <w:pPr>
        <w:ind w:left="720" w:hanging="360"/>
      </w:pPr>
      <w:rPr>
        <w:rFonts w:ascii="Symbol" w:hAnsi="Symbol" w:hint="default"/>
      </w:rPr>
    </w:lvl>
    <w:lvl w:ilvl="1" w:tplc="89226F20">
      <w:start w:val="1"/>
      <w:numFmt w:val="bullet"/>
      <w:lvlText w:val="o"/>
      <w:lvlJc w:val="left"/>
      <w:pPr>
        <w:ind w:left="1440" w:hanging="360"/>
      </w:pPr>
      <w:rPr>
        <w:rFonts w:ascii="Courier New" w:hAnsi="Courier New" w:cs="Courier New" w:hint="default"/>
      </w:rPr>
    </w:lvl>
    <w:lvl w:ilvl="2" w:tplc="A2CE4756" w:tentative="1">
      <w:start w:val="1"/>
      <w:numFmt w:val="bullet"/>
      <w:lvlText w:val=""/>
      <w:lvlJc w:val="left"/>
      <w:pPr>
        <w:ind w:left="2160" w:hanging="360"/>
      </w:pPr>
      <w:rPr>
        <w:rFonts w:ascii="Wingdings" w:hAnsi="Wingdings" w:hint="default"/>
      </w:rPr>
    </w:lvl>
    <w:lvl w:ilvl="3" w:tplc="4650D2CA" w:tentative="1">
      <w:start w:val="1"/>
      <w:numFmt w:val="bullet"/>
      <w:lvlText w:val=""/>
      <w:lvlJc w:val="left"/>
      <w:pPr>
        <w:ind w:left="2880" w:hanging="360"/>
      </w:pPr>
      <w:rPr>
        <w:rFonts w:ascii="Symbol" w:hAnsi="Symbol" w:hint="default"/>
      </w:rPr>
    </w:lvl>
    <w:lvl w:ilvl="4" w:tplc="39B8D264" w:tentative="1">
      <w:start w:val="1"/>
      <w:numFmt w:val="bullet"/>
      <w:lvlText w:val="o"/>
      <w:lvlJc w:val="left"/>
      <w:pPr>
        <w:ind w:left="3600" w:hanging="360"/>
      </w:pPr>
      <w:rPr>
        <w:rFonts w:ascii="Courier New" w:hAnsi="Courier New" w:cs="Courier New" w:hint="default"/>
      </w:rPr>
    </w:lvl>
    <w:lvl w:ilvl="5" w:tplc="D12E91BC" w:tentative="1">
      <w:start w:val="1"/>
      <w:numFmt w:val="bullet"/>
      <w:lvlText w:val=""/>
      <w:lvlJc w:val="left"/>
      <w:pPr>
        <w:ind w:left="4320" w:hanging="360"/>
      </w:pPr>
      <w:rPr>
        <w:rFonts w:ascii="Wingdings" w:hAnsi="Wingdings" w:hint="default"/>
      </w:rPr>
    </w:lvl>
    <w:lvl w:ilvl="6" w:tplc="7BCCA38E" w:tentative="1">
      <w:start w:val="1"/>
      <w:numFmt w:val="bullet"/>
      <w:lvlText w:val=""/>
      <w:lvlJc w:val="left"/>
      <w:pPr>
        <w:ind w:left="5040" w:hanging="360"/>
      </w:pPr>
      <w:rPr>
        <w:rFonts w:ascii="Symbol" w:hAnsi="Symbol" w:hint="default"/>
      </w:rPr>
    </w:lvl>
    <w:lvl w:ilvl="7" w:tplc="E8DE3AC6" w:tentative="1">
      <w:start w:val="1"/>
      <w:numFmt w:val="bullet"/>
      <w:lvlText w:val="o"/>
      <w:lvlJc w:val="left"/>
      <w:pPr>
        <w:ind w:left="5760" w:hanging="360"/>
      </w:pPr>
      <w:rPr>
        <w:rFonts w:ascii="Courier New" w:hAnsi="Courier New" w:cs="Courier New" w:hint="default"/>
      </w:rPr>
    </w:lvl>
    <w:lvl w:ilvl="8" w:tplc="3FFC2E36" w:tentative="1">
      <w:start w:val="1"/>
      <w:numFmt w:val="bullet"/>
      <w:lvlText w:val=""/>
      <w:lvlJc w:val="left"/>
      <w:pPr>
        <w:ind w:left="6480" w:hanging="360"/>
      </w:pPr>
      <w:rPr>
        <w:rFonts w:ascii="Wingdings" w:hAnsi="Wingdings" w:hint="default"/>
      </w:rPr>
    </w:lvl>
  </w:abstractNum>
  <w:abstractNum w:abstractNumId="30" w15:restartNumberingAfterBreak="0">
    <w:nsid w:val="45EE03CE"/>
    <w:multiLevelType w:val="hybridMultilevel"/>
    <w:tmpl w:val="2DE063E6"/>
    <w:lvl w:ilvl="0" w:tplc="B36E348C">
      <w:start w:val="1"/>
      <w:numFmt w:val="bullet"/>
      <w:lvlText w:val=""/>
      <w:lvlJc w:val="left"/>
      <w:pPr>
        <w:tabs>
          <w:tab w:val="num" w:pos="360"/>
        </w:tabs>
        <w:ind w:left="360" w:hanging="360"/>
      </w:pPr>
      <w:rPr>
        <w:rFonts w:ascii="Symbol" w:hAnsi="Symbol" w:hint="default"/>
      </w:rPr>
    </w:lvl>
    <w:lvl w:ilvl="1" w:tplc="5754A40E">
      <w:start w:val="1"/>
      <w:numFmt w:val="bullet"/>
      <w:lvlText w:val=""/>
      <w:lvlJc w:val="left"/>
      <w:pPr>
        <w:tabs>
          <w:tab w:val="num" w:pos="1080"/>
        </w:tabs>
        <w:ind w:left="1080" w:hanging="360"/>
      </w:pPr>
      <w:rPr>
        <w:rFonts w:ascii="Symbol" w:hAnsi="Symbol" w:hint="default"/>
      </w:rPr>
    </w:lvl>
    <w:lvl w:ilvl="2" w:tplc="46C42F44" w:tentative="1">
      <w:start w:val="1"/>
      <w:numFmt w:val="bullet"/>
      <w:lvlText w:val=""/>
      <w:lvlJc w:val="left"/>
      <w:pPr>
        <w:tabs>
          <w:tab w:val="num" w:pos="1800"/>
        </w:tabs>
        <w:ind w:left="1800" w:hanging="360"/>
      </w:pPr>
      <w:rPr>
        <w:rFonts w:ascii="Wingdings" w:hAnsi="Wingdings" w:hint="default"/>
      </w:rPr>
    </w:lvl>
    <w:lvl w:ilvl="3" w:tplc="8A1CEF90" w:tentative="1">
      <w:start w:val="1"/>
      <w:numFmt w:val="bullet"/>
      <w:lvlText w:val=""/>
      <w:lvlJc w:val="left"/>
      <w:pPr>
        <w:tabs>
          <w:tab w:val="num" w:pos="2520"/>
        </w:tabs>
        <w:ind w:left="2520" w:hanging="360"/>
      </w:pPr>
      <w:rPr>
        <w:rFonts w:ascii="Symbol" w:hAnsi="Symbol" w:hint="default"/>
      </w:rPr>
    </w:lvl>
    <w:lvl w:ilvl="4" w:tplc="EE803B38" w:tentative="1">
      <w:start w:val="1"/>
      <w:numFmt w:val="bullet"/>
      <w:lvlText w:val="o"/>
      <w:lvlJc w:val="left"/>
      <w:pPr>
        <w:tabs>
          <w:tab w:val="num" w:pos="3240"/>
        </w:tabs>
        <w:ind w:left="3240" w:hanging="360"/>
      </w:pPr>
      <w:rPr>
        <w:rFonts w:ascii="Courier New" w:hAnsi="Courier New" w:hint="default"/>
      </w:rPr>
    </w:lvl>
    <w:lvl w:ilvl="5" w:tplc="53020F6A" w:tentative="1">
      <w:start w:val="1"/>
      <w:numFmt w:val="bullet"/>
      <w:lvlText w:val=""/>
      <w:lvlJc w:val="left"/>
      <w:pPr>
        <w:tabs>
          <w:tab w:val="num" w:pos="3960"/>
        </w:tabs>
        <w:ind w:left="3960" w:hanging="360"/>
      </w:pPr>
      <w:rPr>
        <w:rFonts w:ascii="Wingdings" w:hAnsi="Wingdings" w:hint="default"/>
      </w:rPr>
    </w:lvl>
    <w:lvl w:ilvl="6" w:tplc="BA12E052" w:tentative="1">
      <w:start w:val="1"/>
      <w:numFmt w:val="bullet"/>
      <w:lvlText w:val=""/>
      <w:lvlJc w:val="left"/>
      <w:pPr>
        <w:tabs>
          <w:tab w:val="num" w:pos="4680"/>
        </w:tabs>
        <w:ind w:left="4680" w:hanging="360"/>
      </w:pPr>
      <w:rPr>
        <w:rFonts w:ascii="Symbol" w:hAnsi="Symbol" w:hint="default"/>
      </w:rPr>
    </w:lvl>
    <w:lvl w:ilvl="7" w:tplc="6C6034C2" w:tentative="1">
      <w:start w:val="1"/>
      <w:numFmt w:val="bullet"/>
      <w:lvlText w:val="o"/>
      <w:lvlJc w:val="left"/>
      <w:pPr>
        <w:tabs>
          <w:tab w:val="num" w:pos="5400"/>
        </w:tabs>
        <w:ind w:left="5400" w:hanging="360"/>
      </w:pPr>
      <w:rPr>
        <w:rFonts w:ascii="Courier New" w:hAnsi="Courier New" w:hint="default"/>
      </w:rPr>
    </w:lvl>
    <w:lvl w:ilvl="8" w:tplc="48401E9A"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6E33CBC"/>
    <w:multiLevelType w:val="hybridMultilevel"/>
    <w:tmpl w:val="5D32ABE6"/>
    <w:lvl w:ilvl="0" w:tplc="283272F2">
      <w:start w:val="1"/>
      <w:numFmt w:val="bullet"/>
      <w:lvlText w:val=""/>
      <w:lvlJc w:val="left"/>
      <w:pPr>
        <w:ind w:left="720" w:hanging="360"/>
      </w:pPr>
      <w:rPr>
        <w:rFonts w:ascii="Symbol" w:hAnsi="Symbol" w:hint="default"/>
      </w:rPr>
    </w:lvl>
    <w:lvl w:ilvl="1" w:tplc="47782D5C" w:tentative="1">
      <w:start w:val="1"/>
      <w:numFmt w:val="bullet"/>
      <w:lvlText w:val="o"/>
      <w:lvlJc w:val="left"/>
      <w:pPr>
        <w:ind w:left="1440" w:hanging="360"/>
      </w:pPr>
      <w:rPr>
        <w:rFonts w:ascii="Courier New" w:hAnsi="Courier New" w:cs="Courier New" w:hint="default"/>
      </w:rPr>
    </w:lvl>
    <w:lvl w:ilvl="2" w:tplc="8FF6712A" w:tentative="1">
      <w:start w:val="1"/>
      <w:numFmt w:val="bullet"/>
      <w:lvlText w:val=""/>
      <w:lvlJc w:val="left"/>
      <w:pPr>
        <w:ind w:left="2160" w:hanging="360"/>
      </w:pPr>
      <w:rPr>
        <w:rFonts w:ascii="Wingdings" w:hAnsi="Wingdings" w:hint="default"/>
      </w:rPr>
    </w:lvl>
    <w:lvl w:ilvl="3" w:tplc="FBAA3DAC" w:tentative="1">
      <w:start w:val="1"/>
      <w:numFmt w:val="bullet"/>
      <w:lvlText w:val=""/>
      <w:lvlJc w:val="left"/>
      <w:pPr>
        <w:ind w:left="2880" w:hanging="360"/>
      </w:pPr>
      <w:rPr>
        <w:rFonts w:ascii="Symbol" w:hAnsi="Symbol" w:hint="default"/>
      </w:rPr>
    </w:lvl>
    <w:lvl w:ilvl="4" w:tplc="5BA2AFDC" w:tentative="1">
      <w:start w:val="1"/>
      <w:numFmt w:val="bullet"/>
      <w:lvlText w:val="o"/>
      <w:lvlJc w:val="left"/>
      <w:pPr>
        <w:ind w:left="3600" w:hanging="360"/>
      </w:pPr>
      <w:rPr>
        <w:rFonts w:ascii="Courier New" w:hAnsi="Courier New" w:cs="Courier New" w:hint="default"/>
      </w:rPr>
    </w:lvl>
    <w:lvl w:ilvl="5" w:tplc="3D429138" w:tentative="1">
      <w:start w:val="1"/>
      <w:numFmt w:val="bullet"/>
      <w:lvlText w:val=""/>
      <w:lvlJc w:val="left"/>
      <w:pPr>
        <w:ind w:left="4320" w:hanging="360"/>
      </w:pPr>
      <w:rPr>
        <w:rFonts w:ascii="Wingdings" w:hAnsi="Wingdings" w:hint="default"/>
      </w:rPr>
    </w:lvl>
    <w:lvl w:ilvl="6" w:tplc="9A1A5836" w:tentative="1">
      <w:start w:val="1"/>
      <w:numFmt w:val="bullet"/>
      <w:lvlText w:val=""/>
      <w:lvlJc w:val="left"/>
      <w:pPr>
        <w:ind w:left="5040" w:hanging="360"/>
      </w:pPr>
      <w:rPr>
        <w:rFonts w:ascii="Symbol" w:hAnsi="Symbol" w:hint="default"/>
      </w:rPr>
    </w:lvl>
    <w:lvl w:ilvl="7" w:tplc="77CC2B6A" w:tentative="1">
      <w:start w:val="1"/>
      <w:numFmt w:val="bullet"/>
      <w:lvlText w:val="o"/>
      <w:lvlJc w:val="left"/>
      <w:pPr>
        <w:ind w:left="5760" w:hanging="360"/>
      </w:pPr>
      <w:rPr>
        <w:rFonts w:ascii="Courier New" w:hAnsi="Courier New" w:cs="Courier New" w:hint="default"/>
      </w:rPr>
    </w:lvl>
    <w:lvl w:ilvl="8" w:tplc="E3FAAB8A" w:tentative="1">
      <w:start w:val="1"/>
      <w:numFmt w:val="bullet"/>
      <w:lvlText w:val=""/>
      <w:lvlJc w:val="left"/>
      <w:pPr>
        <w:ind w:left="6480" w:hanging="360"/>
      </w:pPr>
      <w:rPr>
        <w:rFonts w:ascii="Wingdings" w:hAnsi="Wingdings" w:hint="default"/>
      </w:rPr>
    </w:lvl>
  </w:abstractNum>
  <w:abstractNum w:abstractNumId="32" w15:restartNumberingAfterBreak="0">
    <w:nsid w:val="4716680C"/>
    <w:multiLevelType w:val="hybridMultilevel"/>
    <w:tmpl w:val="03AAFC06"/>
    <w:lvl w:ilvl="0" w:tplc="F3828DD4">
      <w:start w:val="1"/>
      <w:numFmt w:val="bullet"/>
      <w:lvlText w:val=""/>
      <w:lvlJc w:val="left"/>
      <w:pPr>
        <w:ind w:left="180" w:hanging="360"/>
      </w:pPr>
      <w:rPr>
        <w:rFonts w:ascii="Symbol" w:hAnsi="Symbol" w:hint="default"/>
        <w:color w:val="auto"/>
        <w:sz w:val="20"/>
      </w:rPr>
    </w:lvl>
    <w:lvl w:ilvl="1" w:tplc="69FEC8E4" w:tentative="1">
      <w:start w:val="1"/>
      <w:numFmt w:val="bullet"/>
      <w:lvlText w:val="o"/>
      <w:lvlJc w:val="left"/>
      <w:pPr>
        <w:ind w:left="900" w:hanging="360"/>
      </w:pPr>
      <w:rPr>
        <w:rFonts w:ascii="Courier New" w:hAnsi="Courier New" w:cs="Courier New" w:hint="default"/>
      </w:rPr>
    </w:lvl>
    <w:lvl w:ilvl="2" w:tplc="6C4E75EE" w:tentative="1">
      <w:start w:val="1"/>
      <w:numFmt w:val="bullet"/>
      <w:lvlText w:val=""/>
      <w:lvlJc w:val="left"/>
      <w:pPr>
        <w:ind w:left="1620" w:hanging="360"/>
      </w:pPr>
      <w:rPr>
        <w:rFonts w:ascii="Wingdings" w:hAnsi="Wingdings" w:hint="default"/>
      </w:rPr>
    </w:lvl>
    <w:lvl w:ilvl="3" w:tplc="B3F69AC0" w:tentative="1">
      <w:start w:val="1"/>
      <w:numFmt w:val="bullet"/>
      <w:lvlText w:val=""/>
      <w:lvlJc w:val="left"/>
      <w:pPr>
        <w:ind w:left="2340" w:hanging="360"/>
      </w:pPr>
      <w:rPr>
        <w:rFonts w:ascii="Symbol" w:hAnsi="Symbol" w:hint="default"/>
      </w:rPr>
    </w:lvl>
    <w:lvl w:ilvl="4" w:tplc="599889A2" w:tentative="1">
      <w:start w:val="1"/>
      <w:numFmt w:val="bullet"/>
      <w:lvlText w:val="o"/>
      <w:lvlJc w:val="left"/>
      <w:pPr>
        <w:ind w:left="3060" w:hanging="360"/>
      </w:pPr>
      <w:rPr>
        <w:rFonts w:ascii="Courier New" w:hAnsi="Courier New" w:cs="Courier New" w:hint="default"/>
      </w:rPr>
    </w:lvl>
    <w:lvl w:ilvl="5" w:tplc="7522F8D8" w:tentative="1">
      <w:start w:val="1"/>
      <w:numFmt w:val="bullet"/>
      <w:lvlText w:val=""/>
      <w:lvlJc w:val="left"/>
      <w:pPr>
        <w:ind w:left="3780" w:hanging="360"/>
      </w:pPr>
      <w:rPr>
        <w:rFonts w:ascii="Wingdings" w:hAnsi="Wingdings" w:hint="default"/>
      </w:rPr>
    </w:lvl>
    <w:lvl w:ilvl="6" w:tplc="411E9122" w:tentative="1">
      <w:start w:val="1"/>
      <w:numFmt w:val="bullet"/>
      <w:lvlText w:val=""/>
      <w:lvlJc w:val="left"/>
      <w:pPr>
        <w:ind w:left="4500" w:hanging="360"/>
      </w:pPr>
      <w:rPr>
        <w:rFonts w:ascii="Symbol" w:hAnsi="Symbol" w:hint="default"/>
      </w:rPr>
    </w:lvl>
    <w:lvl w:ilvl="7" w:tplc="5138274E" w:tentative="1">
      <w:start w:val="1"/>
      <w:numFmt w:val="bullet"/>
      <w:lvlText w:val="o"/>
      <w:lvlJc w:val="left"/>
      <w:pPr>
        <w:ind w:left="5220" w:hanging="360"/>
      </w:pPr>
      <w:rPr>
        <w:rFonts w:ascii="Courier New" w:hAnsi="Courier New" w:cs="Courier New" w:hint="default"/>
      </w:rPr>
    </w:lvl>
    <w:lvl w:ilvl="8" w:tplc="619276C2" w:tentative="1">
      <w:start w:val="1"/>
      <w:numFmt w:val="bullet"/>
      <w:lvlText w:val=""/>
      <w:lvlJc w:val="left"/>
      <w:pPr>
        <w:ind w:left="5940" w:hanging="360"/>
      </w:pPr>
      <w:rPr>
        <w:rFonts w:ascii="Wingdings" w:hAnsi="Wingdings" w:hint="default"/>
      </w:rPr>
    </w:lvl>
  </w:abstractNum>
  <w:abstractNum w:abstractNumId="33" w15:restartNumberingAfterBreak="0">
    <w:nsid w:val="49057F60"/>
    <w:multiLevelType w:val="hybridMultilevel"/>
    <w:tmpl w:val="BA164FEC"/>
    <w:lvl w:ilvl="0" w:tplc="602E1CFA">
      <w:start w:val="1"/>
      <w:numFmt w:val="bullet"/>
      <w:lvlText w:val=""/>
      <w:lvlJc w:val="left"/>
      <w:pPr>
        <w:ind w:left="766" w:hanging="360"/>
      </w:pPr>
      <w:rPr>
        <w:rFonts w:ascii="Symbol" w:hAnsi="Symbol" w:hint="default"/>
      </w:rPr>
    </w:lvl>
    <w:lvl w:ilvl="1" w:tplc="F2E61DFA" w:tentative="1">
      <w:start w:val="1"/>
      <w:numFmt w:val="bullet"/>
      <w:lvlText w:val="o"/>
      <w:lvlJc w:val="left"/>
      <w:pPr>
        <w:ind w:left="1486" w:hanging="360"/>
      </w:pPr>
      <w:rPr>
        <w:rFonts w:ascii="Courier New" w:hAnsi="Courier New" w:cs="Courier New" w:hint="default"/>
      </w:rPr>
    </w:lvl>
    <w:lvl w:ilvl="2" w:tplc="71E6DF34" w:tentative="1">
      <w:start w:val="1"/>
      <w:numFmt w:val="bullet"/>
      <w:lvlText w:val=""/>
      <w:lvlJc w:val="left"/>
      <w:pPr>
        <w:ind w:left="2206" w:hanging="360"/>
      </w:pPr>
      <w:rPr>
        <w:rFonts w:ascii="Wingdings" w:hAnsi="Wingdings" w:hint="default"/>
      </w:rPr>
    </w:lvl>
    <w:lvl w:ilvl="3" w:tplc="566E3732" w:tentative="1">
      <w:start w:val="1"/>
      <w:numFmt w:val="bullet"/>
      <w:lvlText w:val=""/>
      <w:lvlJc w:val="left"/>
      <w:pPr>
        <w:ind w:left="2926" w:hanging="360"/>
      </w:pPr>
      <w:rPr>
        <w:rFonts w:ascii="Symbol" w:hAnsi="Symbol" w:hint="default"/>
      </w:rPr>
    </w:lvl>
    <w:lvl w:ilvl="4" w:tplc="ED6E19DA" w:tentative="1">
      <w:start w:val="1"/>
      <w:numFmt w:val="bullet"/>
      <w:lvlText w:val="o"/>
      <w:lvlJc w:val="left"/>
      <w:pPr>
        <w:ind w:left="3646" w:hanging="360"/>
      </w:pPr>
      <w:rPr>
        <w:rFonts w:ascii="Courier New" w:hAnsi="Courier New" w:cs="Courier New" w:hint="default"/>
      </w:rPr>
    </w:lvl>
    <w:lvl w:ilvl="5" w:tplc="2D962CA0" w:tentative="1">
      <w:start w:val="1"/>
      <w:numFmt w:val="bullet"/>
      <w:lvlText w:val=""/>
      <w:lvlJc w:val="left"/>
      <w:pPr>
        <w:ind w:left="4366" w:hanging="360"/>
      </w:pPr>
      <w:rPr>
        <w:rFonts w:ascii="Wingdings" w:hAnsi="Wingdings" w:hint="default"/>
      </w:rPr>
    </w:lvl>
    <w:lvl w:ilvl="6" w:tplc="3C062350" w:tentative="1">
      <w:start w:val="1"/>
      <w:numFmt w:val="bullet"/>
      <w:lvlText w:val=""/>
      <w:lvlJc w:val="left"/>
      <w:pPr>
        <w:ind w:left="5086" w:hanging="360"/>
      </w:pPr>
      <w:rPr>
        <w:rFonts w:ascii="Symbol" w:hAnsi="Symbol" w:hint="default"/>
      </w:rPr>
    </w:lvl>
    <w:lvl w:ilvl="7" w:tplc="02E66C52" w:tentative="1">
      <w:start w:val="1"/>
      <w:numFmt w:val="bullet"/>
      <w:lvlText w:val="o"/>
      <w:lvlJc w:val="left"/>
      <w:pPr>
        <w:ind w:left="5806" w:hanging="360"/>
      </w:pPr>
      <w:rPr>
        <w:rFonts w:ascii="Courier New" w:hAnsi="Courier New" w:cs="Courier New" w:hint="default"/>
      </w:rPr>
    </w:lvl>
    <w:lvl w:ilvl="8" w:tplc="F5F08F2A" w:tentative="1">
      <w:start w:val="1"/>
      <w:numFmt w:val="bullet"/>
      <w:lvlText w:val=""/>
      <w:lvlJc w:val="left"/>
      <w:pPr>
        <w:ind w:left="6526" w:hanging="360"/>
      </w:pPr>
      <w:rPr>
        <w:rFonts w:ascii="Wingdings" w:hAnsi="Wingdings" w:hint="default"/>
      </w:rPr>
    </w:lvl>
  </w:abstractNum>
  <w:abstractNum w:abstractNumId="34"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5" w15:restartNumberingAfterBreak="0">
    <w:nsid w:val="4E23486A"/>
    <w:multiLevelType w:val="hybridMultilevel"/>
    <w:tmpl w:val="F78C58D4"/>
    <w:lvl w:ilvl="0" w:tplc="3872C5EC">
      <w:start w:val="20"/>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521954CD"/>
    <w:multiLevelType w:val="hybridMultilevel"/>
    <w:tmpl w:val="0A886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9F5B55"/>
    <w:multiLevelType w:val="hybridMultilevel"/>
    <w:tmpl w:val="638A3018"/>
    <w:lvl w:ilvl="0" w:tplc="8B0E1546">
      <w:start w:val="1"/>
      <w:numFmt w:val="bullet"/>
      <w:lvlText w:val=""/>
      <w:lvlJc w:val="left"/>
      <w:pPr>
        <w:ind w:left="360" w:hanging="360"/>
      </w:pPr>
      <w:rPr>
        <w:rFonts w:ascii="Symbol" w:hAnsi="Symbol" w:hint="default"/>
      </w:rPr>
    </w:lvl>
    <w:lvl w:ilvl="1" w:tplc="84A66FFA" w:tentative="1">
      <w:start w:val="1"/>
      <w:numFmt w:val="bullet"/>
      <w:lvlText w:val="o"/>
      <w:lvlJc w:val="left"/>
      <w:pPr>
        <w:ind w:left="1440" w:hanging="360"/>
      </w:pPr>
      <w:rPr>
        <w:rFonts w:ascii="Courier New" w:hAnsi="Courier New" w:cs="Courier New" w:hint="default"/>
      </w:rPr>
    </w:lvl>
    <w:lvl w:ilvl="2" w:tplc="338877A0" w:tentative="1">
      <w:start w:val="1"/>
      <w:numFmt w:val="bullet"/>
      <w:lvlText w:val=""/>
      <w:lvlJc w:val="left"/>
      <w:pPr>
        <w:ind w:left="2160" w:hanging="360"/>
      </w:pPr>
      <w:rPr>
        <w:rFonts w:ascii="Wingdings" w:hAnsi="Wingdings" w:hint="default"/>
      </w:rPr>
    </w:lvl>
    <w:lvl w:ilvl="3" w:tplc="C5FA9F2C" w:tentative="1">
      <w:start w:val="1"/>
      <w:numFmt w:val="bullet"/>
      <w:lvlText w:val=""/>
      <w:lvlJc w:val="left"/>
      <w:pPr>
        <w:ind w:left="2880" w:hanging="360"/>
      </w:pPr>
      <w:rPr>
        <w:rFonts w:ascii="Symbol" w:hAnsi="Symbol" w:hint="default"/>
      </w:rPr>
    </w:lvl>
    <w:lvl w:ilvl="4" w:tplc="0532B9E6" w:tentative="1">
      <w:start w:val="1"/>
      <w:numFmt w:val="bullet"/>
      <w:lvlText w:val="o"/>
      <w:lvlJc w:val="left"/>
      <w:pPr>
        <w:ind w:left="3600" w:hanging="360"/>
      </w:pPr>
      <w:rPr>
        <w:rFonts w:ascii="Courier New" w:hAnsi="Courier New" w:cs="Courier New" w:hint="default"/>
      </w:rPr>
    </w:lvl>
    <w:lvl w:ilvl="5" w:tplc="6406D3CA" w:tentative="1">
      <w:start w:val="1"/>
      <w:numFmt w:val="bullet"/>
      <w:lvlText w:val=""/>
      <w:lvlJc w:val="left"/>
      <w:pPr>
        <w:ind w:left="4320" w:hanging="360"/>
      </w:pPr>
      <w:rPr>
        <w:rFonts w:ascii="Wingdings" w:hAnsi="Wingdings" w:hint="default"/>
      </w:rPr>
    </w:lvl>
    <w:lvl w:ilvl="6" w:tplc="92509126" w:tentative="1">
      <w:start w:val="1"/>
      <w:numFmt w:val="bullet"/>
      <w:lvlText w:val=""/>
      <w:lvlJc w:val="left"/>
      <w:pPr>
        <w:ind w:left="5040" w:hanging="360"/>
      </w:pPr>
      <w:rPr>
        <w:rFonts w:ascii="Symbol" w:hAnsi="Symbol" w:hint="default"/>
      </w:rPr>
    </w:lvl>
    <w:lvl w:ilvl="7" w:tplc="0444FA1A" w:tentative="1">
      <w:start w:val="1"/>
      <w:numFmt w:val="bullet"/>
      <w:lvlText w:val="o"/>
      <w:lvlJc w:val="left"/>
      <w:pPr>
        <w:ind w:left="5760" w:hanging="360"/>
      </w:pPr>
      <w:rPr>
        <w:rFonts w:ascii="Courier New" w:hAnsi="Courier New" w:cs="Courier New" w:hint="default"/>
      </w:rPr>
    </w:lvl>
    <w:lvl w:ilvl="8" w:tplc="82DE216C" w:tentative="1">
      <w:start w:val="1"/>
      <w:numFmt w:val="bullet"/>
      <w:lvlText w:val=""/>
      <w:lvlJc w:val="left"/>
      <w:pPr>
        <w:ind w:left="6480" w:hanging="360"/>
      </w:pPr>
      <w:rPr>
        <w:rFonts w:ascii="Wingdings" w:hAnsi="Wingdings" w:hint="default"/>
      </w:rPr>
    </w:lvl>
  </w:abstractNum>
  <w:abstractNum w:abstractNumId="3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9" w15:restartNumberingAfterBreak="0">
    <w:nsid w:val="560D0415"/>
    <w:multiLevelType w:val="hybridMultilevel"/>
    <w:tmpl w:val="B9CE9F6A"/>
    <w:lvl w:ilvl="0" w:tplc="2188DE7A">
      <w:start w:val="1"/>
      <w:numFmt w:val="decimal"/>
      <w:pStyle w:val="ListParagraph"/>
      <w:lvlText w:val="%1."/>
      <w:lvlJc w:val="left"/>
      <w:pPr>
        <w:ind w:left="1440" w:hanging="360"/>
      </w:pPr>
    </w:lvl>
    <w:lvl w:ilvl="1" w:tplc="84D0A022" w:tentative="1">
      <w:start w:val="1"/>
      <w:numFmt w:val="lowerLetter"/>
      <w:lvlText w:val="%2."/>
      <w:lvlJc w:val="left"/>
      <w:pPr>
        <w:ind w:left="2160" w:hanging="360"/>
      </w:pPr>
    </w:lvl>
    <w:lvl w:ilvl="2" w:tplc="E02A709E" w:tentative="1">
      <w:start w:val="1"/>
      <w:numFmt w:val="lowerRoman"/>
      <w:lvlText w:val="%3."/>
      <w:lvlJc w:val="right"/>
      <w:pPr>
        <w:ind w:left="2880" w:hanging="180"/>
      </w:pPr>
    </w:lvl>
    <w:lvl w:ilvl="3" w:tplc="EBF8490A" w:tentative="1">
      <w:start w:val="1"/>
      <w:numFmt w:val="decimal"/>
      <w:lvlText w:val="%4."/>
      <w:lvlJc w:val="left"/>
      <w:pPr>
        <w:ind w:left="3600" w:hanging="360"/>
      </w:pPr>
    </w:lvl>
    <w:lvl w:ilvl="4" w:tplc="6812FDDA" w:tentative="1">
      <w:start w:val="1"/>
      <w:numFmt w:val="lowerLetter"/>
      <w:lvlText w:val="%5."/>
      <w:lvlJc w:val="left"/>
      <w:pPr>
        <w:ind w:left="4320" w:hanging="360"/>
      </w:pPr>
    </w:lvl>
    <w:lvl w:ilvl="5" w:tplc="5DFABB44" w:tentative="1">
      <w:start w:val="1"/>
      <w:numFmt w:val="lowerRoman"/>
      <w:lvlText w:val="%6."/>
      <w:lvlJc w:val="right"/>
      <w:pPr>
        <w:ind w:left="5040" w:hanging="180"/>
      </w:pPr>
    </w:lvl>
    <w:lvl w:ilvl="6" w:tplc="BA947552" w:tentative="1">
      <w:start w:val="1"/>
      <w:numFmt w:val="decimal"/>
      <w:lvlText w:val="%7."/>
      <w:lvlJc w:val="left"/>
      <w:pPr>
        <w:ind w:left="5760" w:hanging="360"/>
      </w:pPr>
    </w:lvl>
    <w:lvl w:ilvl="7" w:tplc="4E2689A4" w:tentative="1">
      <w:start w:val="1"/>
      <w:numFmt w:val="lowerLetter"/>
      <w:lvlText w:val="%8."/>
      <w:lvlJc w:val="left"/>
      <w:pPr>
        <w:ind w:left="6480" w:hanging="360"/>
      </w:pPr>
    </w:lvl>
    <w:lvl w:ilvl="8" w:tplc="E828F3A4" w:tentative="1">
      <w:start w:val="1"/>
      <w:numFmt w:val="lowerRoman"/>
      <w:lvlText w:val="%9."/>
      <w:lvlJc w:val="right"/>
      <w:pPr>
        <w:ind w:left="7200" w:hanging="180"/>
      </w:pPr>
    </w:lvl>
  </w:abstractNum>
  <w:abstractNum w:abstractNumId="40" w15:restartNumberingAfterBreak="0">
    <w:nsid w:val="56345AF2"/>
    <w:multiLevelType w:val="hybridMultilevel"/>
    <w:tmpl w:val="8B408FBE"/>
    <w:lvl w:ilvl="0" w:tplc="832235E8">
      <w:start w:val="1"/>
      <w:numFmt w:val="bullet"/>
      <w:lvlText w:val=""/>
      <w:lvlJc w:val="left"/>
      <w:pPr>
        <w:ind w:left="360" w:hanging="360"/>
      </w:pPr>
      <w:rPr>
        <w:rFonts w:ascii="Symbol" w:hAnsi="Symbol" w:hint="default"/>
      </w:rPr>
    </w:lvl>
    <w:lvl w:ilvl="1" w:tplc="92621E30">
      <w:start w:val="1"/>
      <w:numFmt w:val="bullet"/>
      <w:lvlText w:val="o"/>
      <w:lvlJc w:val="left"/>
      <w:pPr>
        <w:ind w:left="1080" w:hanging="360"/>
      </w:pPr>
      <w:rPr>
        <w:rFonts w:ascii="Courier New" w:hAnsi="Courier New" w:cs="Courier New" w:hint="default"/>
      </w:rPr>
    </w:lvl>
    <w:lvl w:ilvl="2" w:tplc="87B6B7B4" w:tentative="1">
      <w:start w:val="1"/>
      <w:numFmt w:val="bullet"/>
      <w:lvlText w:val=""/>
      <w:lvlJc w:val="left"/>
      <w:pPr>
        <w:ind w:left="1800" w:hanging="360"/>
      </w:pPr>
      <w:rPr>
        <w:rFonts w:ascii="Wingdings" w:hAnsi="Wingdings" w:hint="default"/>
      </w:rPr>
    </w:lvl>
    <w:lvl w:ilvl="3" w:tplc="14D21474" w:tentative="1">
      <w:start w:val="1"/>
      <w:numFmt w:val="bullet"/>
      <w:lvlText w:val=""/>
      <w:lvlJc w:val="left"/>
      <w:pPr>
        <w:ind w:left="2520" w:hanging="360"/>
      </w:pPr>
      <w:rPr>
        <w:rFonts w:ascii="Symbol" w:hAnsi="Symbol" w:hint="default"/>
      </w:rPr>
    </w:lvl>
    <w:lvl w:ilvl="4" w:tplc="FCDE567A" w:tentative="1">
      <w:start w:val="1"/>
      <w:numFmt w:val="bullet"/>
      <w:lvlText w:val="o"/>
      <w:lvlJc w:val="left"/>
      <w:pPr>
        <w:ind w:left="3240" w:hanging="360"/>
      </w:pPr>
      <w:rPr>
        <w:rFonts w:ascii="Courier New" w:hAnsi="Courier New" w:cs="Courier New" w:hint="default"/>
      </w:rPr>
    </w:lvl>
    <w:lvl w:ilvl="5" w:tplc="178CDB0C" w:tentative="1">
      <w:start w:val="1"/>
      <w:numFmt w:val="bullet"/>
      <w:lvlText w:val=""/>
      <w:lvlJc w:val="left"/>
      <w:pPr>
        <w:ind w:left="3960" w:hanging="360"/>
      </w:pPr>
      <w:rPr>
        <w:rFonts w:ascii="Wingdings" w:hAnsi="Wingdings" w:hint="default"/>
      </w:rPr>
    </w:lvl>
    <w:lvl w:ilvl="6" w:tplc="0A3C242E" w:tentative="1">
      <w:start w:val="1"/>
      <w:numFmt w:val="bullet"/>
      <w:lvlText w:val=""/>
      <w:lvlJc w:val="left"/>
      <w:pPr>
        <w:ind w:left="4680" w:hanging="360"/>
      </w:pPr>
      <w:rPr>
        <w:rFonts w:ascii="Symbol" w:hAnsi="Symbol" w:hint="default"/>
      </w:rPr>
    </w:lvl>
    <w:lvl w:ilvl="7" w:tplc="3D6E1946" w:tentative="1">
      <w:start w:val="1"/>
      <w:numFmt w:val="bullet"/>
      <w:lvlText w:val="o"/>
      <w:lvlJc w:val="left"/>
      <w:pPr>
        <w:ind w:left="5400" w:hanging="360"/>
      </w:pPr>
      <w:rPr>
        <w:rFonts w:ascii="Courier New" w:hAnsi="Courier New" w:cs="Courier New" w:hint="default"/>
      </w:rPr>
    </w:lvl>
    <w:lvl w:ilvl="8" w:tplc="EEF84166" w:tentative="1">
      <w:start w:val="1"/>
      <w:numFmt w:val="bullet"/>
      <w:lvlText w:val=""/>
      <w:lvlJc w:val="left"/>
      <w:pPr>
        <w:ind w:left="6120" w:hanging="360"/>
      </w:pPr>
      <w:rPr>
        <w:rFonts w:ascii="Wingdings" w:hAnsi="Wingdings" w:hint="default"/>
      </w:rPr>
    </w:lvl>
  </w:abstractNum>
  <w:abstractNum w:abstractNumId="41" w15:restartNumberingAfterBreak="0">
    <w:nsid w:val="58575980"/>
    <w:multiLevelType w:val="hybridMultilevel"/>
    <w:tmpl w:val="04B27F42"/>
    <w:lvl w:ilvl="0" w:tplc="2344452C">
      <w:start w:val="1"/>
      <w:numFmt w:val="bullet"/>
      <w:lvlText w:val=""/>
      <w:lvlJc w:val="left"/>
      <w:pPr>
        <w:ind w:left="360" w:hanging="360"/>
      </w:pPr>
      <w:rPr>
        <w:rFonts w:ascii="Symbol" w:hAnsi="Symbol" w:hint="default"/>
      </w:rPr>
    </w:lvl>
    <w:lvl w:ilvl="1" w:tplc="30F811D2" w:tentative="1">
      <w:start w:val="1"/>
      <w:numFmt w:val="bullet"/>
      <w:lvlText w:val="o"/>
      <w:lvlJc w:val="left"/>
      <w:pPr>
        <w:ind w:left="1080" w:hanging="360"/>
      </w:pPr>
      <w:rPr>
        <w:rFonts w:ascii="Courier New" w:hAnsi="Courier New" w:cs="Courier New" w:hint="default"/>
      </w:rPr>
    </w:lvl>
    <w:lvl w:ilvl="2" w:tplc="003091AE" w:tentative="1">
      <w:start w:val="1"/>
      <w:numFmt w:val="bullet"/>
      <w:lvlText w:val=""/>
      <w:lvlJc w:val="left"/>
      <w:pPr>
        <w:ind w:left="1800" w:hanging="360"/>
      </w:pPr>
      <w:rPr>
        <w:rFonts w:ascii="Wingdings" w:hAnsi="Wingdings" w:hint="default"/>
      </w:rPr>
    </w:lvl>
    <w:lvl w:ilvl="3" w:tplc="679C4862" w:tentative="1">
      <w:start w:val="1"/>
      <w:numFmt w:val="bullet"/>
      <w:lvlText w:val=""/>
      <w:lvlJc w:val="left"/>
      <w:pPr>
        <w:ind w:left="2520" w:hanging="360"/>
      </w:pPr>
      <w:rPr>
        <w:rFonts w:ascii="Symbol" w:hAnsi="Symbol" w:hint="default"/>
      </w:rPr>
    </w:lvl>
    <w:lvl w:ilvl="4" w:tplc="42EA7A46" w:tentative="1">
      <w:start w:val="1"/>
      <w:numFmt w:val="bullet"/>
      <w:lvlText w:val="o"/>
      <w:lvlJc w:val="left"/>
      <w:pPr>
        <w:ind w:left="3240" w:hanging="360"/>
      </w:pPr>
      <w:rPr>
        <w:rFonts w:ascii="Courier New" w:hAnsi="Courier New" w:cs="Courier New" w:hint="default"/>
      </w:rPr>
    </w:lvl>
    <w:lvl w:ilvl="5" w:tplc="31785648" w:tentative="1">
      <w:start w:val="1"/>
      <w:numFmt w:val="bullet"/>
      <w:lvlText w:val=""/>
      <w:lvlJc w:val="left"/>
      <w:pPr>
        <w:ind w:left="3960" w:hanging="360"/>
      </w:pPr>
      <w:rPr>
        <w:rFonts w:ascii="Wingdings" w:hAnsi="Wingdings" w:hint="default"/>
      </w:rPr>
    </w:lvl>
    <w:lvl w:ilvl="6" w:tplc="5C8CF6F0" w:tentative="1">
      <w:start w:val="1"/>
      <w:numFmt w:val="bullet"/>
      <w:lvlText w:val=""/>
      <w:lvlJc w:val="left"/>
      <w:pPr>
        <w:ind w:left="4680" w:hanging="360"/>
      </w:pPr>
      <w:rPr>
        <w:rFonts w:ascii="Symbol" w:hAnsi="Symbol" w:hint="default"/>
      </w:rPr>
    </w:lvl>
    <w:lvl w:ilvl="7" w:tplc="F710A592" w:tentative="1">
      <w:start w:val="1"/>
      <w:numFmt w:val="bullet"/>
      <w:lvlText w:val="o"/>
      <w:lvlJc w:val="left"/>
      <w:pPr>
        <w:ind w:left="5400" w:hanging="360"/>
      </w:pPr>
      <w:rPr>
        <w:rFonts w:ascii="Courier New" w:hAnsi="Courier New" w:cs="Courier New" w:hint="default"/>
      </w:rPr>
    </w:lvl>
    <w:lvl w:ilvl="8" w:tplc="53F6544C" w:tentative="1">
      <w:start w:val="1"/>
      <w:numFmt w:val="bullet"/>
      <w:lvlText w:val=""/>
      <w:lvlJc w:val="left"/>
      <w:pPr>
        <w:ind w:left="6120" w:hanging="360"/>
      </w:pPr>
      <w:rPr>
        <w:rFonts w:ascii="Wingdings" w:hAnsi="Wingdings" w:hint="default"/>
      </w:rPr>
    </w:lvl>
  </w:abstractNum>
  <w:abstractNum w:abstractNumId="42" w15:restartNumberingAfterBreak="0">
    <w:nsid w:val="58B56C73"/>
    <w:multiLevelType w:val="hybridMultilevel"/>
    <w:tmpl w:val="5BA42128"/>
    <w:lvl w:ilvl="0" w:tplc="2B3C20E0">
      <w:start w:val="2"/>
      <w:numFmt w:val="decimal"/>
      <w:lvlText w:val="%1."/>
      <w:lvlJc w:val="left"/>
      <w:pPr>
        <w:tabs>
          <w:tab w:val="num" w:pos="570"/>
        </w:tabs>
        <w:ind w:left="570" w:hanging="570"/>
      </w:pPr>
      <w:rPr>
        <w:rFonts w:hint="default"/>
      </w:rPr>
    </w:lvl>
    <w:lvl w:ilvl="1" w:tplc="7BC260DA" w:tentative="1">
      <w:start w:val="1"/>
      <w:numFmt w:val="lowerLetter"/>
      <w:lvlText w:val="%2."/>
      <w:lvlJc w:val="left"/>
      <w:pPr>
        <w:tabs>
          <w:tab w:val="num" w:pos="1080"/>
        </w:tabs>
        <w:ind w:left="1080" w:hanging="360"/>
      </w:pPr>
    </w:lvl>
    <w:lvl w:ilvl="2" w:tplc="12AEDC88" w:tentative="1">
      <w:start w:val="1"/>
      <w:numFmt w:val="lowerRoman"/>
      <w:lvlText w:val="%3."/>
      <w:lvlJc w:val="right"/>
      <w:pPr>
        <w:tabs>
          <w:tab w:val="num" w:pos="1800"/>
        </w:tabs>
        <w:ind w:left="1800" w:hanging="180"/>
      </w:pPr>
    </w:lvl>
    <w:lvl w:ilvl="3" w:tplc="CD525156" w:tentative="1">
      <w:start w:val="1"/>
      <w:numFmt w:val="decimal"/>
      <w:lvlText w:val="%4."/>
      <w:lvlJc w:val="left"/>
      <w:pPr>
        <w:tabs>
          <w:tab w:val="num" w:pos="2520"/>
        </w:tabs>
        <w:ind w:left="2520" w:hanging="360"/>
      </w:pPr>
    </w:lvl>
    <w:lvl w:ilvl="4" w:tplc="A68A9D4A" w:tentative="1">
      <w:start w:val="1"/>
      <w:numFmt w:val="lowerLetter"/>
      <w:lvlText w:val="%5."/>
      <w:lvlJc w:val="left"/>
      <w:pPr>
        <w:tabs>
          <w:tab w:val="num" w:pos="3240"/>
        </w:tabs>
        <w:ind w:left="3240" w:hanging="360"/>
      </w:pPr>
    </w:lvl>
    <w:lvl w:ilvl="5" w:tplc="C94601D6" w:tentative="1">
      <w:start w:val="1"/>
      <w:numFmt w:val="lowerRoman"/>
      <w:lvlText w:val="%6."/>
      <w:lvlJc w:val="right"/>
      <w:pPr>
        <w:tabs>
          <w:tab w:val="num" w:pos="3960"/>
        </w:tabs>
        <w:ind w:left="3960" w:hanging="180"/>
      </w:pPr>
    </w:lvl>
    <w:lvl w:ilvl="6" w:tplc="BDD88D12" w:tentative="1">
      <w:start w:val="1"/>
      <w:numFmt w:val="decimal"/>
      <w:lvlText w:val="%7."/>
      <w:lvlJc w:val="left"/>
      <w:pPr>
        <w:tabs>
          <w:tab w:val="num" w:pos="4680"/>
        </w:tabs>
        <w:ind w:left="4680" w:hanging="360"/>
      </w:pPr>
    </w:lvl>
    <w:lvl w:ilvl="7" w:tplc="82A229D2" w:tentative="1">
      <w:start w:val="1"/>
      <w:numFmt w:val="lowerLetter"/>
      <w:lvlText w:val="%8."/>
      <w:lvlJc w:val="left"/>
      <w:pPr>
        <w:tabs>
          <w:tab w:val="num" w:pos="5400"/>
        </w:tabs>
        <w:ind w:left="5400" w:hanging="360"/>
      </w:pPr>
    </w:lvl>
    <w:lvl w:ilvl="8" w:tplc="E3B40FBE" w:tentative="1">
      <w:start w:val="1"/>
      <w:numFmt w:val="lowerRoman"/>
      <w:lvlText w:val="%9."/>
      <w:lvlJc w:val="right"/>
      <w:pPr>
        <w:tabs>
          <w:tab w:val="num" w:pos="6120"/>
        </w:tabs>
        <w:ind w:left="6120" w:hanging="180"/>
      </w:pPr>
    </w:lvl>
  </w:abstractNum>
  <w:abstractNum w:abstractNumId="43" w15:restartNumberingAfterBreak="0">
    <w:nsid w:val="5ACC7D6D"/>
    <w:multiLevelType w:val="hybridMultilevel"/>
    <w:tmpl w:val="E15AD40A"/>
    <w:lvl w:ilvl="0" w:tplc="0A1AEB0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0BD751D"/>
    <w:multiLevelType w:val="hybridMultilevel"/>
    <w:tmpl w:val="4BC08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0F0242B"/>
    <w:multiLevelType w:val="hybridMultilevel"/>
    <w:tmpl w:val="99E8E1BA"/>
    <w:lvl w:ilvl="0" w:tplc="86F038F6">
      <w:start w:val="1"/>
      <w:numFmt w:val="bullet"/>
      <w:lvlText w:val=""/>
      <w:lvlJc w:val="left"/>
      <w:pPr>
        <w:ind w:left="720" w:hanging="360"/>
      </w:pPr>
      <w:rPr>
        <w:rFonts w:ascii="Symbol" w:hAnsi="Symbol" w:hint="default"/>
      </w:rPr>
    </w:lvl>
    <w:lvl w:ilvl="1" w:tplc="96468ED2" w:tentative="1">
      <w:start w:val="1"/>
      <w:numFmt w:val="bullet"/>
      <w:lvlText w:val="o"/>
      <w:lvlJc w:val="left"/>
      <w:pPr>
        <w:ind w:left="1440" w:hanging="360"/>
      </w:pPr>
      <w:rPr>
        <w:rFonts w:ascii="Courier New" w:hAnsi="Courier New" w:cs="Courier New" w:hint="default"/>
      </w:rPr>
    </w:lvl>
    <w:lvl w:ilvl="2" w:tplc="7716259A" w:tentative="1">
      <w:start w:val="1"/>
      <w:numFmt w:val="bullet"/>
      <w:lvlText w:val=""/>
      <w:lvlJc w:val="left"/>
      <w:pPr>
        <w:ind w:left="2160" w:hanging="360"/>
      </w:pPr>
      <w:rPr>
        <w:rFonts w:ascii="Wingdings" w:hAnsi="Wingdings" w:hint="default"/>
      </w:rPr>
    </w:lvl>
    <w:lvl w:ilvl="3" w:tplc="005872B2" w:tentative="1">
      <w:start w:val="1"/>
      <w:numFmt w:val="bullet"/>
      <w:lvlText w:val=""/>
      <w:lvlJc w:val="left"/>
      <w:pPr>
        <w:ind w:left="2880" w:hanging="360"/>
      </w:pPr>
      <w:rPr>
        <w:rFonts w:ascii="Symbol" w:hAnsi="Symbol" w:hint="default"/>
      </w:rPr>
    </w:lvl>
    <w:lvl w:ilvl="4" w:tplc="A3184FA6" w:tentative="1">
      <w:start w:val="1"/>
      <w:numFmt w:val="bullet"/>
      <w:lvlText w:val="o"/>
      <w:lvlJc w:val="left"/>
      <w:pPr>
        <w:ind w:left="3600" w:hanging="360"/>
      </w:pPr>
      <w:rPr>
        <w:rFonts w:ascii="Courier New" w:hAnsi="Courier New" w:cs="Courier New" w:hint="default"/>
      </w:rPr>
    </w:lvl>
    <w:lvl w:ilvl="5" w:tplc="0D4C86DC" w:tentative="1">
      <w:start w:val="1"/>
      <w:numFmt w:val="bullet"/>
      <w:lvlText w:val=""/>
      <w:lvlJc w:val="left"/>
      <w:pPr>
        <w:ind w:left="4320" w:hanging="360"/>
      </w:pPr>
      <w:rPr>
        <w:rFonts w:ascii="Wingdings" w:hAnsi="Wingdings" w:hint="default"/>
      </w:rPr>
    </w:lvl>
    <w:lvl w:ilvl="6" w:tplc="489ACA62" w:tentative="1">
      <w:start w:val="1"/>
      <w:numFmt w:val="bullet"/>
      <w:lvlText w:val=""/>
      <w:lvlJc w:val="left"/>
      <w:pPr>
        <w:ind w:left="5040" w:hanging="360"/>
      </w:pPr>
      <w:rPr>
        <w:rFonts w:ascii="Symbol" w:hAnsi="Symbol" w:hint="default"/>
      </w:rPr>
    </w:lvl>
    <w:lvl w:ilvl="7" w:tplc="B0A07A40" w:tentative="1">
      <w:start w:val="1"/>
      <w:numFmt w:val="bullet"/>
      <w:lvlText w:val="o"/>
      <w:lvlJc w:val="left"/>
      <w:pPr>
        <w:ind w:left="5760" w:hanging="360"/>
      </w:pPr>
      <w:rPr>
        <w:rFonts w:ascii="Courier New" w:hAnsi="Courier New" w:cs="Courier New" w:hint="default"/>
      </w:rPr>
    </w:lvl>
    <w:lvl w:ilvl="8" w:tplc="6038C7E4" w:tentative="1">
      <w:start w:val="1"/>
      <w:numFmt w:val="bullet"/>
      <w:lvlText w:val=""/>
      <w:lvlJc w:val="left"/>
      <w:pPr>
        <w:ind w:left="6480" w:hanging="360"/>
      </w:pPr>
      <w:rPr>
        <w:rFonts w:ascii="Wingdings" w:hAnsi="Wingdings" w:hint="default"/>
      </w:rPr>
    </w:lvl>
  </w:abstractNum>
  <w:abstractNum w:abstractNumId="46" w15:restartNumberingAfterBreak="0">
    <w:nsid w:val="63A03701"/>
    <w:multiLevelType w:val="hybridMultilevel"/>
    <w:tmpl w:val="AACCDAD6"/>
    <w:lvl w:ilvl="0" w:tplc="F658150C">
      <w:start w:val="1"/>
      <w:numFmt w:val="bullet"/>
      <w:lvlText w:val=""/>
      <w:lvlJc w:val="left"/>
      <w:pPr>
        <w:tabs>
          <w:tab w:val="num" w:pos="360"/>
        </w:tabs>
        <w:ind w:left="567" w:hanging="567"/>
      </w:pPr>
      <w:rPr>
        <w:rFonts w:ascii="Symbol" w:hAnsi="Symbol" w:hint="default"/>
      </w:rPr>
    </w:lvl>
    <w:lvl w:ilvl="1" w:tplc="5754A40E">
      <w:start w:val="1"/>
      <w:numFmt w:val="bullet"/>
      <w:lvlText w:val=""/>
      <w:lvlJc w:val="left"/>
      <w:pPr>
        <w:tabs>
          <w:tab w:val="num" w:pos="1080"/>
        </w:tabs>
        <w:ind w:left="1080" w:hanging="360"/>
      </w:pPr>
      <w:rPr>
        <w:rFonts w:ascii="Symbol" w:hAnsi="Symbol" w:hint="default"/>
      </w:rPr>
    </w:lvl>
    <w:lvl w:ilvl="2" w:tplc="46C42F44" w:tentative="1">
      <w:start w:val="1"/>
      <w:numFmt w:val="bullet"/>
      <w:lvlText w:val=""/>
      <w:lvlJc w:val="left"/>
      <w:pPr>
        <w:tabs>
          <w:tab w:val="num" w:pos="1800"/>
        </w:tabs>
        <w:ind w:left="1800" w:hanging="360"/>
      </w:pPr>
      <w:rPr>
        <w:rFonts w:ascii="Wingdings" w:hAnsi="Wingdings" w:hint="default"/>
      </w:rPr>
    </w:lvl>
    <w:lvl w:ilvl="3" w:tplc="8A1CEF90" w:tentative="1">
      <w:start w:val="1"/>
      <w:numFmt w:val="bullet"/>
      <w:lvlText w:val=""/>
      <w:lvlJc w:val="left"/>
      <w:pPr>
        <w:tabs>
          <w:tab w:val="num" w:pos="2520"/>
        </w:tabs>
        <w:ind w:left="2520" w:hanging="360"/>
      </w:pPr>
      <w:rPr>
        <w:rFonts w:ascii="Symbol" w:hAnsi="Symbol" w:hint="default"/>
      </w:rPr>
    </w:lvl>
    <w:lvl w:ilvl="4" w:tplc="EE803B38" w:tentative="1">
      <w:start w:val="1"/>
      <w:numFmt w:val="bullet"/>
      <w:lvlText w:val="o"/>
      <w:lvlJc w:val="left"/>
      <w:pPr>
        <w:tabs>
          <w:tab w:val="num" w:pos="3240"/>
        </w:tabs>
        <w:ind w:left="3240" w:hanging="360"/>
      </w:pPr>
      <w:rPr>
        <w:rFonts w:ascii="Courier New" w:hAnsi="Courier New" w:hint="default"/>
      </w:rPr>
    </w:lvl>
    <w:lvl w:ilvl="5" w:tplc="53020F6A" w:tentative="1">
      <w:start w:val="1"/>
      <w:numFmt w:val="bullet"/>
      <w:lvlText w:val=""/>
      <w:lvlJc w:val="left"/>
      <w:pPr>
        <w:tabs>
          <w:tab w:val="num" w:pos="3960"/>
        </w:tabs>
        <w:ind w:left="3960" w:hanging="360"/>
      </w:pPr>
      <w:rPr>
        <w:rFonts w:ascii="Wingdings" w:hAnsi="Wingdings" w:hint="default"/>
      </w:rPr>
    </w:lvl>
    <w:lvl w:ilvl="6" w:tplc="BA12E052" w:tentative="1">
      <w:start w:val="1"/>
      <w:numFmt w:val="bullet"/>
      <w:lvlText w:val=""/>
      <w:lvlJc w:val="left"/>
      <w:pPr>
        <w:tabs>
          <w:tab w:val="num" w:pos="4680"/>
        </w:tabs>
        <w:ind w:left="4680" w:hanging="360"/>
      </w:pPr>
      <w:rPr>
        <w:rFonts w:ascii="Symbol" w:hAnsi="Symbol" w:hint="default"/>
      </w:rPr>
    </w:lvl>
    <w:lvl w:ilvl="7" w:tplc="6C6034C2" w:tentative="1">
      <w:start w:val="1"/>
      <w:numFmt w:val="bullet"/>
      <w:lvlText w:val="o"/>
      <w:lvlJc w:val="left"/>
      <w:pPr>
        <w:tabs>
          <w:tab w:val="num" w:pos="5400"/>
        </w:tabs>
        <w:ind w:left="5400" w:hanging="360"/>
      </w:pPr>
      <w:rPr>
        <w:rFonts w:ascii="Courier New" w:hAnsi="Courier New" w:hint="default"/>
      </w:rPr>
    </w:lvl>
    <w:lvl w:ilvl="8" w:tplc="48401E9A"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8"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4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50" w15:restartNumberingAfterBreak="0">
    <w:nsid w:val="69E95A54"/>
    <w:multiLevelType w:val="hybridMultilevel"/>
    <w:tmpl w:val="3C18EFB0"/>
    <w:lvl w:ilvl="0" w:tplc="DEBA12FE">
      <w:start w:val="1"/>
      <w:numFmt w:val="bullet"/>
      <w:lvlText w:val=""/>
      <w:lvlJc w:val="left"/>
      <w:pPr>
        <w:tabs>
          <w:tab w:val="num" w:pos="397"/>
        </w:tabs>
        <w:ind w:left="397" w:hanging="397"/>
      </w:pPr>
      <w:rPr>
        <w:rFonts w:ascii="Symbol" w:hAnsi="Symbol" w:hint="default"/>
      </w:rPr>
    </w:lvl>
    <w:lvl w:ilvl="1" w:tplc="0C3C9E98" w:tentative="1">
      <w:start w:val="1"/>
      <w:numFmt w:val="bullet"/>
      <w:lvlText w:val="o"/>
      <w:lvlJc w:val="left"/>
      <w:pPr>
        <w:tabs>
          <w:tab w:val="num" w:pos="1440"/>
        </w:tabs>
        <w:ind w:left="1440" w:hanging="360"/>
      </w:pPr>
      <w:rPr>
        <w:rFonts w:ascii="Courier New" w:hAnsi="Courier New" w:cs="Courier New" w:hint="default"/>
      </w:rPr>
    </w:lvl>
    <w:lvl w:ilvl="2" w:tplc="BFD848D4" w:tentative="1">
      <w:start w:val="1"/>
      <w:numFmt w:val="bullet"/>
      <w:lvlText w:val=""/>
      <w:lvlJc w:val="left"/>
      <w:pPr>
        <w:tabs>
          <w:tab w:val="num" w:pos="2160"/>
        </w:tabs>
        <w:ind w:left="2160" w:hanging="360"/>
      </w:pPr>
      <w:rPr>
        <w:rFonts w:ascii="Wingdings" w:hAnsi="Wingdings" w:hint="default"/>
      </w:rPr>
    </w:lvl>
    <w:lvl w:ilvl="3" w:tplc="756291A8" w:tentative="1">
      <w:start w:val="1"/>
      <w:numFmt w:val="bullet"/>
      <w:lvlText w:val=""/>
      <w:lvlJc w:val="left"/>
      <w:pPr>
        <w:tabs>
          <w:tab w:val="num" w:pos="2880"/>
        </w:tabs>
        <w:ind w:left="2880" w:hanging="360"/>
      </w:pPr>
      <w:rPr>
        <w:rFonts w:ascii="Symbol" w:hAnsi="Symbol" w:hint="default"/>
      </w:rPr>
    </w:lvl>
    <w:lvl w:ilvl="4" w:tplc="5664C780" w:tentative="1">
      <w:start w:val="1"/>
      <w:numFmt w:val="bullet"/>
      <w:lvlText w:val="o"/>
      <w:lvlJc w:val="left"/>
      <w:pPr>
        <w:tabs>
          <w:tab w:val="num" w:pos="3600"/>
        </w:tabs>
        <w:ind w:left="3600" w:hanging="360"/>
      </w:pPr>
      <w:rPr>
        <w:rFonts w:ascii="Courier New" w:hAnsi="Courier New" w:cs="Courier New" w:hint="default"/>
      </w:rPr>
    </w:lvl>
    <w:lvl w:ilvl="5" w:tplc="24D6B2BE" w:tentative="1">
      <w:start w:val="1"/>
      <w:numFmt w:val="bullet"/>
      <w:lvlText w:val=""/>
      <w:lvlJc w:val="left"/>
      <w:pPr>
        <w:tabs>
          <w:tab w:val="num" w:pos="4320"/>
        </w:tabs>
        <w:ind w:left="4320" w:hanging="360"/>
      </w:pPr>
      <w:rPr>
        <w:rFonts w:ascii="Wingdings" w:hAnsi="Wingdings" w:hint="default"/>
      </w:rPr>
    </w:lvl>
    <w:lvl w:ilvl="6" w:tplc="9C0AAD6C" w:tentative="1">
      <w:start w:val="1"/>
      <w:numFmt w:val="bullet"/>
      <w:lvlText w:val=""/>
      <w:lvlJc w:val="left"/>
      <w:pPr>
        <w:tabs>
          <w:tab w:val="num" w:pos="5040"/>
        </w:tabs>
        <w:ind w:left="5040" w:hanging="360"/>
      </w:pPr>
      <w:rPr>
        <w:rFonts w:ascii="Symbol" w:hAnsi="Symbol" w:hint="default"/>
      </w:rPr>
    </w:lvl>
    <w:lvl w:ilvl="7" w:tplc="8BD62AB6" w:tentative="1">
      <w:start w:val="1"/>
      <w:numFmt w:val="bullet"/>
      <w:lvlText w:val="o"/>
      <w:lvlJc w:val="left"/>
      <w:pPr>
        <w:tabs>
          <w:tab w:val="num" w:pos="5760"/>
        </w:tabs>
        <w:ind w:left="5760" w:hanging="360"/>
      </w:pPr>
      <w:rPr>
        <w:rFonts w:ascii="Courier New" w:hAnsi="Courier New" w:cs="Courier New" w:hint="default"/>
      </w:rPr>
    </w:lvl>
    <w:lvl w:ilvl="8" w:tplc="E404EF74"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2"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53" w15:restartNumberingAfterBreak="0">
    <w:nsid w:val="6F9337D0"/>
    <w:multiLevelType w:val="hybridMultilevel"/>
    <w:tmpl w:val="B6C885E6"/>
    <w:lvl w:ilvl="0" w:tplc="D8561EBA">
      <w:start w:val="1"/>
      <w:numFmt w:val="bullet"/>
      <w:lvlText w:val=""/>
      <w:lvlJc w:val="left"/>
      <w:pPr>
        <w:tabs>
          <w:tab w:val="num" w:pos="720"/>
        </w:tabs>
        <w:ind w:left="720" w:hanging="360"/>
      </w:pPr>
      <w:rPr>
        <w:rFonts w:ascii="Symbol" w:hAnsi="Symbol" w:hint="default"/>
      </w:rPr>
    </w:lvl>
    <w:lvl w:ilvl="1" w:tplc="255A50EC" w:tentative="1">
      <w:start w:val="1"/>
      <w:numFmt w:val="bullet"/>
      <w:lvlText w:val="o"/>
      <w:lvlJc w:val="left"/>
      <w:pPr>
        <w:tabs>
          <w:tab w:val="num" w:pos="1440"/>
        </w:tabs>
        <w:ind w:left="1440" w:hanging="360"/>
      </w:pPr>
      <w:rPr>
        <w:rFonts w:ascii="Courier New" w:hAnsi="Courier New" w:cs="Courier New" w:hint="default"/>
      </w:rPr>
    </w:lvl>
    <w:lvl w:ilvl="2" w:tplc="FD068284" w:tentative="1">
      <w:start w:val="1"/>
      <w:numFmt w:val="bullet"/>
      <w:lvlText w:val=""/>
      <w:lvlJc w:val="left"/>
      <w:pPr>
        <w:tabs>
          <w:tab w:val="num" w:pos="2160"/>
        </w:tabs>
        <w:ind w:left="2160" w:hanging="360"/>
      </w:pPr>
      <w:rPr>
        <w:rFonts w:ascii="Wingdings" w:hAnsi="Wingdings" w:hint="default"/>
      </w:rPr>
    </w:lvl>
    <w:lvl w:ilvl="3" w:tplc="9E521E14" w:tentative="1">
      <w:start w:val="1"/>
      <w:numFmt w:val="bullet"/>
      <w:lvlText w:val=""/>
      <w:lvlJc w:val="left"/>
      <w:pPr>
        <w:tabs>
          <w:tab w:val="num" w:pos="2880"/>
        </w:tabs>
        <w:ind w:left="2880" w:hanging="360"/>
      </w:pPr>
      <w:rPr>
        <w:rFonts w:ascii="Symbol" w:hAnsi="Symbol" w:hint="default"/>
      </w:rPr>
    </w:lvl>
    <w:lvl w:ilvl="4" w:tplc="33EE93D2" w:tentative="1">
      <w:start w:val="1"/>
      <w:numFmt w:val="bullet"/>
      <w:lvlText w:val="o"/>
      <w:lvlJc w:val="left"/>
      <w:pPr>
        <w:tabs>
          <w:tab w:val="num" w:pos="3600"/>
        </w:tabs>
        <w:ind w:left="3600" w:hanging="360"/>
      </w:pPr>
      <w:rPr>
        <w:rFonts w:ascii="Courier New" w:hAnsi="Courier New" w:cs="Courier New" w:hint="default"/>
      </w:rPr>
    </w:lvl>
    <w:lvl w:ilvl="5" w:tplc="68DAD714" w:tentative="1">
      <w:start w:val="1"/>
      <w:numFmt w:val="bullet"/>
      <w:lvlText w:val=""/>
      <w:lvlJc w:val="left"/>
      <w:pPr>
        <w:tabs>
          <w:tab w:val="num" w:pos="4320"/>
        </w:tabs>
        <w:ind w:left="4320" w:hanging="360"/>
      </w:pPr>
      <w:rPr>
        <w:rFonts w:ascii="Wingdings" w:hAnsi="Wingdings" w:hint="default"/>
      </w:rPr>
    </w:lvl>
    <w:lvl w:ilvl="6" w:tplc="C55A9252" w:tentative="1">
      <w:start w:val="1"/>
      <w:numFmt w:val="bullet"/>
      <w:lvlText w:val=""/>
      <w:lvlJc w:val="left"/>
      <w:pPr>
        <w:tabs>
          <w:tab w:val="num" w:pos="5040"/>
        </w:tabs>
        <w:ind w:left="5040" w:hanging="360"/>
      </w:pPr>
      <w:rPr>
        <w:rFonts w:ascii="Symbol" w:hAnsi="Symbol" w:hint="default"/>
      </w:rPr>
    </w:lvl>
    <w:lvl w:ilvl="7" w:tplc="ED10208A" w:tentative="1">
      <w:start w:val="1"/>
      <w:numFmt w:val="bullet"/>
      <w:lvlText w:val="o"/>
      <w:lvlJc w:val="left"/>
      <w:pPr>
        <w:tabs>
          <w:tab w:val="num" w:pos="5760"/>
        </w:tabs>
        <w:ind w:left="5760" w:hanging="360"/>
      </w:pPr>
      <w:rPr>
        <w:rFonts w:ascii="Courier New" w:hAnsi="Courier New" w:cs="Courier New" w:hint="default"/>
      </w:rPr>
    </w:lvl>
    <w:lvl w:ilvl="8" w:tplc="D36A2112"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1F47D7C"/>
    <w:multiLevelType w:val="hybridMultilevel"/>
    <w:tmpl w:val="F3F0C64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55" w15:restartNumberingAfterBreak="0">
    <w:nsid w:val="727665FC"/>
    <w:multiLevelType w:val="hybridMultilevel"/>
    <w:tmpl w:val="80ACD9A4"/>
    <w:lvl w:ilvl="0" w:tplc="69C4EEB2">
      <w:start w:val="1"/>
      <w:numFmt w:val="bullet"/>
      <w:lvlText w:val=""/>
      <w:lvlJc w:val="left"/>
      <w:pPr>
        <w:ind w:left="720" w:hanging="360"/>
      </w:pPr>
      <w:rPr>
        <w:rFonts w:ascii="Symbol" w:hAnsi="Symbol" w:hint="default"/>
      </w:rPr>
    </w:lvl>
    <w:lvl w:ilvl="1" w:tplc="A7387B04" w:tentative="1">
      <w:start w:val="1"/>
      <w:numFmt w:val="bullet"/>
      <w:lvlText w:val="o"/>
      <w:lvlJc w:val="left"/>
      <w:pPr>
        <w:ind w:left="1440" w:hanging="360"/>
      </w:pPr>
      <w:rPr>
        <w:rFonts w:ascii="Courier New" w:hAnsi="Courier New" w:cs="Courier New" w:hint="default"/>
      </w:rPr>
    </w:lvl>
    <w:lvl w:ilvl="2" w:tplc="EECA3974" w:tentative="1">
      <w:start w:val="1"/>
      <w:numFmt w:val="bullet"/>
      <w:lvlText w:val=""/>
      <w:lvlJc w:val="left"/>
      <w:pPr>
        <w:ind w:left="2160" w:hanging="360"/>
      </w:pPr>
      <w:rPr>
        <w:rFonts w:ascii="Wingdings" w:hAnsi="Wingdings" w:hint="default"/>
      </w:rPr>
    </w:lvl>
    <w:lvl w:ilvl="3" w:tplc="97AAC9C4" w:tentative="1">
      <w:start w:val="1"/>
      <w:numFmt w:val="bullet"/>
      <w:lvlText w:val=""/>
      <w:lvlJc w:val="left"/>
      <w:pPr>
        <w:ind w:left="2880" w:hanging="360"/>
      </w:pPr>
      <w:rPr>
        <w:rFonts w:ascii="Symbol" w:hAnsi="Symbol" w:hint="default"/>
      </w:rPr>
    </w:lvl>
    <w:lvl w:ilvl="4" w:tplc="164CE336" w:tentative="1">
      <w:start w:val="1"/>
      <w:numFmt w:val="bullet"/>
      <w:lvlText w:val="o"/>
      <w:lvlJc w:val="left"/>
      <w:pPr>
        <w:ind w:left="3600" w:hanging="360"/>
      </w:pPr>
      <w:rPr>
        <w:rFonts w:ascii="Courier New" w:hAnsi="Courier New" w:cs="Courier New" w:hint="default"/>
      </w:rPr>
    </w:lvl>
    <w:lvl w:ilvl="5" w:tplc="42BEC696" w:tentative="1">
      <w:start w:val="1"/>
      <w:numFmt w:val="bullet"/>
      <w:lvlText w:val=""/>
      <w:lvlJc w:val="left"/>
      <w:pPr>
        <w:ind w:left="4320" w:hanging="360"/>
      </w:pPr>
      <w:rPr>
        <w:rFonts w:ascii="Wingdings" w:hAnsi="Wingdings" w:hint="default"/>
      </w:rPr>
    </w:lvl>
    <w:lvl w:ilvl="6" w:tplc="1EB428E0" w:tentative="1">
      <w:start w:val="1"/>
      <w:numFmt w:val="bullet"/>
      <w:lvlText w:val=""/>
      <w:lvlJc w:val="left"/>
      <w:pPr>
        <w:ind w:left="5040" w:hanging="360"/>
      </w:pPr>
      <w:rPr>
        <w:rFonts w:ascii="Symbol" w:hAnsi="Symbol" w:hint="default"/>
      </w:rPr>
    </w:lvl>
    <w:lvl w:ilvl="7" w:tplc="5D54EA86" w:tentative="1">
      <w:start w:val="1"/>
      <w:numFmt w:val="bullet"/>
      <w:lvlText w:val="o"/>
      <w:lvlJc w:val="left"/>
      <w:pPr>
        <w:ind w:left="5760" w:hanging="360"/>
      </w:pPr>
      <w:rPr>
        <w:rFonts w:ascii="Courier New" w:hAnsi="Courier New" w:cs="Courier New" w:hint="default"/>
      </w:rPr>
    </w:lvl>
    <w:lvl w:ilvl="8" w:tplc="A416786C" w:tentative="1">
      <w:start w:val="1"/>
      <w:numFmt w:val="bullet"/>
      <w:lvlText w:val=""/>
      <w:lvlJc w:val="left"/>
      <w:pPr>
        <w:ind w:left="6480" w:hanging="360"/>
      </w:pPr>
      <w:rPr>
        <w:rFonts w:ascii="Wingdings" w:hAnsi="Wingdings" w:hint="default"/>
      </w:rPr>
    </w:lvl>
  </w:abstractNum>
  <w:abstractNum w:abstractNumId="56" w15:restartNumberingAfterBreak="0">
    <w:nsid w:val="72AB50F1"/>
    <w:multiLevelType w:val="hybridMultilevel"/>
    <w:tmpl w:val="64CEA6CC"/>
    <w:lvl w:ilvl="0" w:tplc="E30861DA">
      <w:start w:val="1"/>
      <w:numFmt w:val="decimal"/>
      <w:lvlText w:val="%1)"/>
      <w:lvlJc w:val="left"/>
      <w:pPr>
        <w:ind w:left="720" w:hanging="360"/>
      </w:pPr>
      <w:rPr>
        <w:rFonts w:hint="default"/>
      </w:rPr>
    </w:lvl>
    <w:lvl w:ilvl="1" w:tplc="3F5E6EB2" w:tentative="1">
      <w:start w:val="1"/>
      <w:numFmt w:val="lowerLetter"/>
      <w:lvlText w:val="%2."/>
      <w:lvlJc w:val="left"/>
      <w:pPr>
        <w:ind w:left="1440" w:hanging="360"/>
      </w:pPr>
    </w:lvl>
    <w:lvl w:ilvl="2" w:tplc="02C24E28" w:tentative="1">
      <w:start w:val="1"/>
      <w:numFmt w:val="lowerRoman"/>
      <w:lvlText w:val="%3."/>
      <w:lvlJc w:val="right"/>
      <w:pPr>
        <w:ind w:left="2160" w:hanging="180"/>
      </w:pPr>
    </w:lvl>
    <w:lvl w:ilvl="3" w:tplc="D292DB2E" w:tentative="1">
      <w:start w:val="1"/>
      <w:numFmt w:val="decimal"/>
      <w:lvlText w:val="%4."/>
      <w:lvlJc w:val="left"/>
      <w:pPr>
        <w:ind w:left="2880" w:hanging="360"/>
      </w:pPr>
    </w:lvl>
    <w:lvl w:ilvl="4" w:tplc="F280A63E" w:tentative="1">
      <w:start w:val="1"/>
      <w:numFmt w:val="lowerLetter"/>
      <w:lvlText w:val="%5."/>
      <w:lvlJc w:val="left"/>
      <w:pPr>
        <w:ind w:left="3600" w:hanging="360"/>
      </w:pPr>
    </w:lvl>
    <w:lvl w:ilvl="5" w:tplc="2D12901E" w:tentative="1">
      <w:start w:val="1"/>
      <w:numFmt w:val="lowerRoman"/>
      <w:lvlText w:val="%6."/>
      <w:lvlJc w:val="right"/>
      <w:pPr>
        <w:ind w:left="4320" w:hanging="180"/>
      </w:pPr>
    </w:lvl>
    <w:lvl w:ilvl="6" w:tplc="7B24A6CA" w:tentative="1">
      <w:start w:val="1"/>
      <w:numFmt w:val="decimal"/>
      <w:lvlText w:val="%7."/>
      <w:lvlJc w:val="left"/>
      <w:pPr>
        <w:ind w:left="5040" w:hanging="360"/>
      </w:pPr>
    </w:lvl>
    <w:lvl w:ilvl="7" w:tplc="18607874" w:tentative="1">
      <w:start w:val="1"/>
      <w:numFmt w:val="lowerLetter"/>
      <w:lvlText w:val="%8."/>
      <w:lvlJc w:val="left"/>
      <w:pPr>
        <w:ind w:left="5760" w:hanging="360"/>
      </w:pPr>
    </w:lvl>
    <w:lvl w:ilvl="8" w:tplc="99A60492" w:tentative="1">
      <w:start w:val="1"/>
      <w:numFmt w:val="lowerRoman"/>
      <w:lvlText w:val="%9."/>
      <w:lvlJc w:val="right"/>
      <w:pPr>
        <w:ind w:left="6480" w:hanging="180"/>
      </w:pPr>
    </w:lvl>
  </w:abstractNum>
  <w:abstractNum w:abstractNumId="57" w15:restartNumberingAfterBreak="0">
    <w:nsid w:val="753A7FB2"/>
    <w:multiLevelType w:val="hybridMultilevel"/>
    <w:tmpl w:val="370C16D2"/>
    <w:lvl w:ilvl="0" w:tplc="FFFFFFFF">
      <w:start w:val="1"/>
      <w:numFmt w:val="bullet"/>
      <w:lvlText w:val="-"/>
      <w:lvlJc w:val="left"/>
      <w:pPr>
        <w:ind w:left="360" w:hanging="360"/>
      </w:pPr>
      <w:rPr>
        <w:rFonts w:hint="default"/>
      </w:rPr>
    </w:lvl>
    <w:lvl w:ilvl="1" w:tplc="30F811D2" w:tentative="1">
      <w:start w:val="1"/>
      <w:numFmt w:val="bullet"/>
      <w:lvlText w:val="o"/>
      <w:lvlJc w:val="left"/>
      <w:pPr>
        <w:ind w:left="1080" w:hanging="360"/>
      </w:pPr>
      <w:rPr>
        <w:rFonts w:ascii="Courier New" w:hAnsi="Courier New" w:cs="Courier New" w:hint="default"/>
      </w:rPr>
    </w:lvl>
    <w:lvl w:ilvl="2" w:tplc="003091AE" w:tentative="1">
      <w:start w:val="1"/>
      <w:numFmt w:val="bullet"/>
      <w:lvlText w:val=""/>
      <w:lvlJc w:val="left"/>
      <w:pPr>
        <w:ind w:left="1800" w:hanging="360"/>
      </w:pPr>
      <w:rPr>
        <w:rFonts w:ascii="Wingdings" w:hAnsi="Wingdings" w:hint="default"/>
      </w:rPr>
    </w:lvl>
    <w:lvl w:ilvl="3" w:tplc="679C4862" w:tentative="1">
      <w:start w:val="1"/>
      <w:numFmt w:val="bullet"/>
      <w:lvlText w:val=""/>
      <w:lvlJc w:val="left"/>
      <w:pPr>
        <w:ind w:left="2520" w:hanging="360"/>
      </w:pPr>
      <w:rPr>
        <w:rFonts w:ascii="Symbol" w:hAnsi="Symbol" w:hint="default"/>
      </w:rPr>
    </w:lvl>
    <w:lvl w:ilvl="4" w:tplc="42EA7A46" w:tentative="1">
      <w:start w:val="1"/>
      <w:numFmt w:val="bullet"/>
      <w:lvlText w:val="o"/>
      <w:lvlJc w:val="left"/>
      <w:pPr>
        <w:ind w:left="3240" w:hanging="360"/>
      </w:pPr>
      <w:rPr>
        <w:rFonts w:ascii="Courier New" w:hAnsi="Courier New" w:cs="Courier New" w:hint="default"/>
      </w:rPr>
    </w:lvl>
    <w:lvl w:ilvl="5" w:tplc="31785648" w:tentative="1">
      <w:start w:val="1"/>
      <w:numFmt w:val="bullet"/>
      <w:lvlText w:val=""/>
      <w:lvlJc w:val="left"/>
      <w:pPr>
        <w:ind w:left="3960" w:hanging="360"/>
      </w:pPr>
      <w:rPr>
        <w:rFonts w:ascii="Wingdings" w:hAnsi="Wingdings" w:hint="default"/>
      </w:rPr>
    </w:lvl>
    <w:lvl w:ilvl="6" w:tplc="5C8CF6F0" w:tentative="1">
      <w:start w:val="1"/>
      <w:numFmt w:val="bullet"/>
      <w:lvlText w:val=""/>
      <w:lvlJc w:val="left"/>
      <w:pPr>
        <w:ind w:left="4680" w:hanging="360"/>
      </w:pPr>
      <w:rPr>
        <w:rFonts w:ascii="Symbol" w:hAnsi="Symbol" w:hint="default"/>
      </w:rPr>
    </w:lvl>
    <w:lvl w:ilvl="7" w:tplc="F710A592" w:tentative="1">
      <w:start w:val="1"/>
      <w:numFmt w:val="bullet"/>
      <w:lvlText w:val="o"/>
      <w:lvlJc w:val="left"/>
      <w:pPr>
        <w:ind w:left="5400" w:hanging="360"/>
      </w:pPr>
      <w:rPr>
        <w:rFonts w:ascii="Courier New" w:hAnsi="Courier New" w:cs="Courier New" w:hint="default"/>
      </w:rPr>
    </w:lvl>
    <w:lvl w:ilvl="8" w:tplc="53F6544C" w:tentative="1">
      <w:start w:val="1"/>
      <w:numFmt w:val="bullet"/>
      <w:lvlText w:val=""/>
      <w:lvlJc w:val="left"/>
      <w:pPr>
        <w:ind w:left="6120" w:hanging="360"/>
      </w:pPr>
      <w:rPr>
        <w:rFonts w:ascii="Wingdings" w:hAnsi="Wingdings" w:hint="default"/>
      </w:rPr>
    </w:lvl>
  </w:abstractNum>
  <w:abstractNum w:abstractNumId="58"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9" w15:restartNumberingAfterBreak="0">
    <w:nsid w:val="7F553CDF"/>
    <w:multiLevelType w:val="hybridMultilevel"/>
    <w:tmpl w:val="FC42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8"/>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49"/>
  </w:num>
  <w:num w:numId="6">
    <w:abstractNumId w:val="42"/>
  </w:num>
  <w:num w:numId="7">
    <w:abstractNumId w:val="19"/>
  </w:num>
  <w:num w:numId="8">
    <w:abstractNumId w:val="26"/>
  </w:num>
  <w:num w:numId="9">
    <w:abstractNumId w:val="56"/>
  </w:num>
  <w:num w:numId="10">
    <w:abstractNumId w:val="1"/>
  </w:num>
  <w:num w:numId="11">
    <w:abstractNumId w:val="51"/>
  </w:num>
  <w:num w:numId="12">
    <w:abstractNumId w:val="22"/>
  </w:num>
  <w:num w:numId="13">
    <w:abstractNumId w:val="12"/>
  </w:num>
  <w:num w:numId="14">
    <w:abstractNumId w:val="4"/>
  </w:num>
  <w:num w:numId="15">
    <w:abstractNumId w:val="0"/>
    <w:lvlOverride w:ilvl="0">
      <w:lvl w:ilvl="0">
        <w:start w:val="1"/>
        <w:numFmt w:val="bullet"/>
        <w:lvlText w:val="-"/>
        <w:legacy w:legacy="1" w:legacySpace="0" w:legacyIndent="360"/>
        <w:lvlJc w:val="left"/>
        <w:pPr>
          <w:ind w:left="360" w:hanging="360"/>
        </w:pPr>
      </w:lvl>
    </w:lvlOverride>
  </w:num>
  <w:num w:numId="16">
    <w:abstractNumId w:val="52"/>
  </w:num>
  <w:num w:numId="17">
    <w:abstractNumId w:val="34"/>
  </w:num>
  <w:num w:numId="18">
    <w:abstractNumId w:val="38"/>
  </w:num>
  <w:num w:numId="19">
    <w:abstractNumId w:val="58"/>
  </w:num>
  <w:num w:numId="20">
    <w:abstractNumId w:val="47"/>
  </w:num>
  <w:num w:numId="21">
    <w:abstractNumId w:val="53"/>
  </w:num>
  <w:num w:numId="22">
    <w:abstractNumId w:val="50"/>
  </w:num>
  <w:num w:numId="23">
    <w:abstractNumId w:val="18"/>
  </w:num>
  <w:num w:numId="24">
    <w:abstractNumId w:val="53"/>
  </w:num>
  <w:num w:numId="25">
    <w:abstractNumId w:val="4"/>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2"/>
  </w:num>
  <w:num w:numId="29">
    <w:abstractNumId w:val="55"/>
  </w:num>
  <w:num w:numId="30">
    <w:abstractNumId w:val="20"/>
  </w:num>
  <w:num w:numId="31">
    <w:abstractNumId w:val="25"/>
  </w:num>
  <w:num w:numId="32">
    <w:abstractNumId w:val="24"/>
  </w:num>
  <w:num w:numId="33">
    <w:abstractNumId w:val="14"/>
  </w:num>
  <w:num w:numId="34">
    <w:abstractNumId w:val="30"/>
  </w:num>
  <w:num w:numId="35">
    <w:abstractNumId w:val="41"/>
  </w:num>
  <w:num w:numId="36">
    <w:abstractNumId w:val="11"/>
  </w:num>
  <w:num w:numId="37">
    <w:abstractNumId w:val="31"/>
  </w:num>
  <w:num w:numId="38">
    <w:abstractNumId w:val="45"/>
  </w:num>
  <w:num w:numId="39">
    <w:abstractNumId w:val="37"/>
  </w:num>
  <w:num w:numId="40">
    <w:abstractNumId w:val="29"/>
  </w:num>
  <w:num w:numId="41">
    <w:abstractNumId w:val="16"/>
  </w:num>
  <w:num w:numId="42">
    <w:abstractNumId w:val="28"/>
  </w:num>
  <w:num w:numId="43">
    <w:abstractNumId w:val="40"/>
  </w:num>
  <w:num w:numId="44">
    <w:abstractNumId w:val="59"/>
  </w:num>
  <w:num w:numId="45">
    <w:abstractNumId w:val="6"/>
  </w:num>
  <w:num w:numId="46">
    <w:abstractNumId w:val="2"/>
  </w:num>
  <w:num w:numId="47">
    <w:abstractNumId w:val="13"/>
  </w:num>
  <w:num w:numId="48">
    <w:abstractNumId w:val="23"/>
  </w:num>
  <w:num w:numId="49">
    <w:abstractNumId w:val="15"/>
  </w:num>
  <w:num w:numId="50">
    <w:abstractNumId w:val="7"/>
  </w:num>
  <w:num w:numId="51">
    <w:abstractNumId w:val="5"/>
  </w:num>
  <w:num w:numId="52">
    <w:abstractNumId w:val="43"/>
  </w:num>
  <w:num w:numId="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
  </w:num>
  <w:num w:numId="55">
    <w:abstractNumId w:val="17"/>
  </w:num>
  <w:num w:numId="56">
    <w:abstractNumId w:val="44"/>
  </w:num>
  <w:num w:numId="57">
    <w:abstractNumId w:val="46"/>
  </w:num>
  <w:num w:numId="58">
    <w:abstractNumId w:val="54"/>
  </w:num>
  <w:num w:numId="59">
    <w:abstractNumId w:val="35"/>
  </w:num>
  <w:num w:numId="60">
    <w:abstractNumId w:val="36"/>
  </w:num>
  <w:num w:numId="61">
    <w:abstractNumId w:val="9"/>
  </w:num>
  <w:num w:numId="62">
    <w:abstractNumId w:val="27"/>
  </w:num>
  <w:num w:numId="63">
    <w:abstractNumId w:val="57"/>
  </w:num>
  <w:num w:numId="64">
    <w:abstractNumId w:val="21"/>
  </w:num>
  <w:num w:numId="65">
    <w:abstractNumId w:val="53"/>
  </w:num>
  <w:num w:numId="66">
    <w:abstractNumId w:val="5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01C"/>
    <w:rsid w:val="00000BA0"/>
    <w:rsid w:val="00000D62"/>
    <w:rsid w:val="00001587"/>
    <w:rsid w:val="000017BD"/>
    <w:rsid w:val="00001EE6"/>
    <w:rsid w:val="00002059"/>
    <w:rsid w:val="0000324B"/>
    <w:rsid w:val="0000362A"/>
    <w:rsid w:val="000038B9"/>
    <w:rsid w:val="00003AEF"/>
    <w:rsid w:val="0000406B"/>
    <w:rsid w:val="00004263"/>
    <w:rsid w:val="0000486F"/>
    <w:rsid w:val="00004CF1"/>
    <w:rsid w:val="00005057"/>
    <w:rsid w:val="00005701"/>
    <w:rsid w:val="00007528"/>
    <w:rsid w:val="00007F7A"/>
    <w:rsid w:val="000102A3"/>
    <w:rsid w:val="0001164F"/>
    <w:rsid w:val="00013775"/>
    <w:rsid w:val="000146AF"/>
    <w:rsid w:val="00014869"/>
    <w:rsid w:val="000150D3"/>
    <w:rsid w:val="00015574"/>
    <w:rsid w:val="00016646"/>
    <w:rsid w:val="000166C1"/>
    <w:rsid w:val="00017707"/>
    <w:rsid w:val="0002006B"/>
    <w:rsid w:val="000202EF"/>
    <w:rsid w:val="0002067F"/>
    <w:rsid w:val="000206E8"/>
    <w:rsid w:val="00020AE8"/>
    <w:rsid w:val="0002118F"/>
    <w:rsid w:val="000212BB"/>
    <w:rsid w:val="000222D7"/>
    <w:rsid w:val="0002231E"/>
    <w:rsid w:val="00023A2C"/>
    <w:rsid w:val="000243B4"/>
    <w:rsid w:val="00025060"/>
    <w:rsid w:val="00025376"/>
    <w:rsid w:val="00025C22"/>
    <w:rsid w:val="00025CA2"/>
    <w:rsid w:val="00025EBE"/>
    <w:rsid w:val="00025FED"/>
    <w:rsid w:val="00026BF2"/>
    <w:rsid w:val="000271F6"/>
    <w:rsid w:val="00027885"/>
    <w:rsid w:val="00027A84"/>
    <w:rsid w:val="00027FF4"/>
    <w:rsid w:val="000303E2"/>
    <w:rsid w:val="00030445"/>
    <w:rsid w:val="00030F01"/>
    <w:rsid w:val="00031802"/>
    <w:rsid w:val="000318C7"/>
    <w:rsid w:val="00031DEA"/>
    <w:rsid w:val="00032B9D"/>
    <w:rsid w:val="00033D26"/>
    <w:rsid w:val="00033FDB"/>
    <w:rsid w:val="000341C1"/>
    <w:rsid w:val="000344F6"/>
    <w:rsid w:val="00035C49"/>
    <w:rsid w:val="00035FC1"/>
    <w:rsid w:val="00040AFC"/>
    <w:rsid w:val="00040F59"/>
    <w:rsid w:val="00041319"/>
    <w:rsid w:val="00042263"/>
    <w:rsid w:val="0004239B"/>
    <w:rsid w:val="000423E1"/>
    <w:rsid w:val="00042BF9"/>
    <w:rsid w:val="00042C68"/>
    <w:rsid w:val="00043505"/>
    <w:rsid w:val="00043C70"/>
    <w:rsid w:val="00043E88"/>
    <w:rsid w:val="00044042"/>
    <w:rsid w:val="00044BCD"/>
    <w:rsid w:val="0004544D"/>
    <w:rsid w:val="00045492"/>
    <w:rsid w:val="000455DE"/>
    <w:rsid w:val="00045DB5"/>
    <w:rsid w:val="0004668D"/>
    <w:rsid w:val="000474D2"/>
    <w:rsid w:val="000479C5"/>
    <w:rsid w:val="0005016B"/>
    <w:rsid w:val="000502B6"/>
    <w:rsid w:val="00050DFD"/>
    <w:rsid w:val="00051335"/>
    <w:rsid w:val="0005370F"/>
    <w:rsid w:val="00053809"/>
    <w:rsid w:val="000538B6"/>
    <w:rsid w:val="00053914"/>
    <w:rsid w:val="00054756"/>
    <w:rsid w:val="000556C8"/>
    <w:rsid w:val="000560C5"/>
    <w:rsid w:val="00056C49"/>
    <w:rsid w:val="00056FE0"/>
    <w:rsid w:val="00060090"/>
    <w:rsid w:val="000603C8"/>
    <w:rsid w:val="000608A4"/>
    <w:rsid w:val="000608D5"/>
    <w:rsid w:val="00060AA1"/>
    <w:rsid w:val="00061246"/>
    <w:rsid w:val="00061A72"/>
    <w:rsid w:val="00061FEE"/>
    <w:rsid w:val="000631FD"/>
    <w:rsid w:val="00063BC5"/>
    <w:rsid w:val="000643D3"/>
    <w:rsid w:val="00064777"/>
    <w:rsid w:val="00064848"/>
    <w:rsid w:val="00064CF2"/>
    <w:rsid w:val="000651B9"/>
    <w:rsid w:val="00066169"/>
    <w:rsid w:val="00066443"/>
    <w:rsid w:val="00067B16"/>
    <w:rsid w:val="00067BA2"/>
    <w:rsid w:val="00070079"/>
    <w:rsid w:val="00071F31"/>
    <w:rsid w:val="00071F8A"/>
    <w:rsid w:val="0007277A"/>
    <w:rsid w:val="0007298F"/>
    <w:rsid w:val="00072F54"/>
    <w:rsid w:val="0007321B"/>
    <w:rsid w:val="0007395B"/>
    <w:rsid w:val="00073BA1"/>
    <w:rsid w:val="00073E04"/>
    <w:rsid w:val="0007401B"/>
    <w:rsid w:val="000746E6"/>
    <w:rsid w:val="00074A8B"/>
    <w:rsid w:val="000757B2"/>
    <w:rsid w:val="00075CC0"/>
    <w:rsid w:val="0007628D"/>
    <w:rsid w:val="0007661E"/>
    <w:rsid w:val="0007687B"/>
    <w:rsid w:val="00080B4C"/>
    <w:rsid w:val="000812C6"/>
    <w:rsid w:val="00081DAB"/>
    <w:rsid w:val="00081F31"/>
    <w:rsid w:val="00081FFC"/>
    <w:rsid w:val="000830C8"/>
    <w:rsid w:val="00083AE7"/>
    <w:rsid w:val="0008432A"/>
    <w:rsid w:val="00085176"/>
    <w:rsid w:val="00085231"/>
    <w:rsid w:val="00085E5A"/>
    <w:rsid w:val="00086537"/>
    <w:rsid w:val="000865E8"/>
    <w:rsid w:val="00086753"/>
    <w:rsid w:val="0008785F"/>
    <w:rsid w:val="00087FEE"/>
    <w:rsid w:val="00090414"/>
    <w:rsid w:val="000923B2"/>
    <w:rsid w:val="00092829"/>
    <w:rsid w:val="00092B09"/>
    <w:rsid w:val="0009351E"/>
    <w:rsid w:val="0009479A"/>
    <w:rsid w:val="00094AD6"/>
    <w:rsid w:val="000959F7"/>
    <w:rsid w:val="00095ADE"/>
    <w:rsid w:val="00095D61"/>
    <w:rsid w:val="00095DD9"/>
    <w:rsid w:val="00095E44"/>
    <w:rsid w:val="0009626A"/>
    <w:rsid w:val="00096549"/>
    <w:rsid w:val="00096D8D"/>
    <w:rsid w:val="00096FE8"/>
    <w:rsid w:val="0009755A"/>
    <w:rsid w:val="00097DFB"/>
    <w:rsid w:val="000A083B"/>
    <w:rsid w:val="000A1232"/>
    <w:rsid w:val="000A12D9"/>
    <w:rsid w:val="000A2CF4"/>
    <w:rsid w:val="000A30E5"/>
    <w:rsid w:val="000A30FB"/>
    <w:rsid w:val="000A40D0"/>
    <w:rsid w:val="000A4957"/>
    <w:rsid w:val="000A4B57"/>
    <w:rsid w:val="000A5ABC"/>
    <w:rsid w:val="000A6C2E"/>
    <w:rsid w:val="000A76C0"/>
    <w:rsid w:val="000A7988"/>
    <w:rsid w:val="000B0097"/>
    <w:rsid w:val="000B03AA"/>
    <w:rsid w:val="000B101F"/>
    <w:rsid w:val="000B13B3"/>
    <w:rsid w:val="000B1C56"/>
    <w:rsid w:val="000B1F4B"/>
    <w:rsid w:val="000B2F27"/>
    <w:rsid w:val="000B2F58"/>
    <w:rsid w:val="000B37A8"/>
    <w:rsid w:val="000B38E8"/>
    <w:rsid w:val="000B3C0F"/>
    <w:rsid w:val="000B45D5"/>
    <w:rsid w:val="000B46D4"/>
    <w:rsid w:val="000B4BC2"/>
    <w:rsid w:val="000B5108"/>
    <w:rsid w:val="000B51D9"/>
    <w:rsid w:val="000B5B1F"/>
    <w:rsid w:val="000B63A9"/>
    <w:rsid w:val="000B794E"/>
    <w:rsid w:val="000B7AF6"/>
    <w:rsid w:val="000C004A"/>
    <w:rsid w:val="000C03FB"/>
    <w:rsid w:val="000C06F7"/>
    <w:rsid w:val="000C09A7"/>
    <w:rsid w:val="000C0A02"/>
    <w:rsid w:val="000C264C"/>
    <w:rsid w:val="000C268E"/>
    <w:rsid w:val="000C308F"/>
    <w:rsid w:val="000C36F6"/>
    <w:rsid w:val="000C3AC5"/>
    <w:rsid w:val="000C3C12"/>
    <w:rsid w:val="000C3F28"/>
    <w:rsid w:val="000C5137"/>
    <w:rsid w:val="000C544A"/>
    <w:rsid w:val="000C59BA"/>
    <w:rsid w:val="000C5A4E"/>
    <w:rsid w:val="000C5C59"/>
    <w:rsid w:val="000C5C9D"/>
    <w:rsid w:val="000C635D"/>
    <w:rsid w:val="000C63F4"/>
    <w:rsid w:val="000C781E"/>
    <w:rsid w:val="000C7F49"/>
    <w:rsid w:val="000D1360"/>
    <w:rsid w:val="000D1AEE"/>
    <w:rsid w:val="000D1F4F"/>
    <w:rsid w:val="000D1FAF"/>
    <w:rsid w:val="000D2066"/>
    <w:rsid w:val="000D215E"/>
    <w:rsid w:val="000D26E1"/>
    <w:rsid w:val="000D2B47"/>
    <w:rsid w:val="000D4D07"/>
    <w:rsid w:val="000D651C"/>
    <w:rsid w:val="000D6758"/>
    <w:rsid w:val="000D7015"/>
    <w:rsid w:val="000D710E"/>
    <w:rsid w:val="000D7535"/>
    <w:rsid w:val="000D7B79"/>
    <w:rsid w:val="000E165D"/>
    <w:rsid w:val="000E1BAF"/>
    <w:rsid w:val="000E220D"/>
    <w:rsid w:val="000E223E"/>
    <w:rsid w:val="000E2491"/>
    <w:rsid w:val="000E2EA9"/>
    <w:rsid w:val="000E329B"/>
    <w:rsid w:val="000E32D2"/>
    <w:rsid w:val="000E33EF"/>
    <w:rsid w:val="000E4010"/>
    <w:rsid w:val="000E4024"/>
    <w:rsid w:val="000E46A3"/>
    <w:rsid w:val="000E4E88"/>
    <w:rsid w:val="000E5726"/>
    <w:rsid w:val="000E5F2B"/>
    <w:rsid w:val="000E623D"/>
    <w:rsid w:val="000E64C2"/>
    <w:rsid w:val="000E6C94"/>
    <w:rsid w:val="000E7D27"/>
    <w:rsid w:val="000F0DC8"/>
    <w:rsid w:val="000F14E7"/>
    <w:rsid w:val="000F1BB2"/>
    <w:rsid w:val="000F217A"/>
    <w:rsid w:val="000F2A30"/>
    <w:rsid w:val="000F3F94"/>
    <w:rsid w:val="000F46EE"/>
    <w:rsid w:val="000F5235"/>
    <w:rsid w:val="000F5861"/>
    <w:rsid w:val="000F5B21"/>
    <w:rsid w:val="000F6A0D"/>
    <w:rsid w:val="000F7300"/>
    <w:rsid w:val="000F7AEB"/>
    <w:rsid w:val="00100698"/>
    <w:rsid w:val="00101B9B"/>
    <w:rsid w:val="001025A0"/>
    <w:rsid w:val="00102DFE"/>
    <w:rsid w:val="00102F65"/>
    <w:rsid w:val="00103501"/>
    <w:rsid w:val="00103B2D"/>
    <w:rsid w:val="00103CD2"/>
    <w:rsid w:val="00103DAC"/>
    <w:rsid w:val="00103F80"/>
    <w:rsid w:val="00104061"/>
    <w:rsid w:val="001043D5"/>
    <w:rsid w:val="001045A7"/>
    <w:rsid w:val="001054F2"/>
    <w:rsid w:val="001060B4"/>
    <w:rsid w:val="00106D82"/>
    <w:rsid w:val="00107186"/>
    <w:rsid w:val="00107236"/>
    <w:rsid w:val="001074B3"/>
    <w:rsid w:val="001101A2"/>
    <w:rsid w:val="001106F7"/>
    <w:rsid w:val="001108A9"/>
    <w:rsid w:val="001114C1"/>
    <w:rsid w:val="00111726"/>
    <w:rsid w:val="00111E73"/>
    <w:rsid w:val="00112177"/>
    <w:rsid w:val="00112EDA"/>
    <w:rsid w:val="00112F66"/>
    <w:rsid w:val="00114174"/>
    <w:rsid w:val="00114296"/>
    <w:rsid w:val="00114967"/>
    <w:rsid w:val="00114B2C"/>
    <w:rsid w:val="00115366"/>
    <w:rsid w:val="0011548C"/>
    <w:rsid w:val="00115771"/>
    <w:rsid w:val="00115BA3"/>
    <w:rsid w:val="00116B08"/>
    <w:rsid w:val="00116C49"/>
    <w:rsid w:val="00116EBB"/>
    <w:rsid w:val="00117481"/>
    <w:rsid w:val="00117B4A"/>
    <w:rsid w:val="00117C1D"/>
    <w:rsid w:val="001205A3"/>
    <w:rsid w:val="00121172"/>
    <w:rsid w:val="00121FA5"/>
    <w:rsid w:val="00122F44"/>
    <w:rsid w:val="0012320C"/>
    <w:rsid w:val="00123248"/>
    <w:rsid w:val="00123688"/>
    <w:rsid w:val="001239E5"/>
    <w:rsid w:val="00124232"/>
    <w:rsid w:val="001248F4"/>
    <w:rsid w:val="00125805"/>
    <w:rsid w:val="00126E63"/>
    <w:rsid w:val="00127F47"/>
    <w:rsid w:val="00127F83"/>
    <w:rsid w:val="001307E5"/>
    <w:rsid w:val="0013298F"/>
    <w:rsid w:val="00133572"/>
    <w:rsid w:val="00133C95"/>
    <w:rsid w:val="00134E4A"/>
    <w:rsid w:val="00134F6C"/>
    <w:rsid w:val="00135AF1"/>
    <w:rsid w:val="001364FB"/>
    <w:rsid w:val="001365F2"/>
    <w:rsid w:val="00136838"/>
    <w:rsid w:val="00136D7A"/>
    <w:rsid w:val="001374C5"/>
    <w:rsid w:val="0014008A"/>
    <w:rsid w:val="00140ED2"/>
    <w:rsid w:val="00141470"/>
    <w:rsid w:val="00141540"/>
    <w:rsid w:val="001417DE"/>
    <w:rsid w:val="00142AB1"/>
    <w:rsid w:val="001433C4"/>
    <w:rsid w:val="001439B3"/>
    <w:rsid w:val="001449DF"/>
    <w:rsid w:val="00144AFE"/>
    <w:rsid w:val="0014569B"/>
    <w:rsid w:val="00146130"/>
    <w:rsid w:val="00146525"/>
    <w:rsid w:val="001470E0"/>
    <w:rsid w:val="00147594"/>
    <w:rsid w:val="00147681"/>
    <w:rsid w:val="00147ECD"/>
    <w:rsid w:val="00150060"/>
    <w:rsid w:val="00150219"/>
    <w:rsid w:val="00151DDB"/>
    <w:rsid w:val="00152020"/>
    <w:rsid w:val="0015326B"/>
    <w:rsid w:val="00153E09"/>
    <w:rsid w:val="001547CB"/>
    <w:rsid w:val="001549D4"/>
    <w:rsid w:val="00154C69"/>
    <w:rsid w:val="00154F8D"/>
    <w:rsid w:val="0015521D"/>
    <w:rsid w:val="0015529A"/>
    <w:rsid w:val="00156305"/>
    <w:rsid w:val="0015645B"/>
    <w:rsid w:val="00156490"/>
    <w:rsid w:val="0015704C"/>
    <w:rsid w:val="00157805"/>
    <w:rsid w:val="00157895"/>
    <w:rsid w:val="00160C98"/>
    <w:rsid w:val="00160F2B"/>
    <w:rsid w:val="001613CC"/>
    <w:rsid w:val="00161701"/>
    <w:rsid w:val="00161A0A"/>
    <w:rsid w:val="00161ABE"/>
    <w:rsid w:val="00161BB5"/>
    <w:rsid w:val="00161E87"/>
    <w:rsid w:val="00162966"/>
    <w:rsid w:val="00163C8A"/>
    <w:rsid w:val="00163CB6"/>
    <w:rsid w:val="0016566C"/>
    <w:rsid w:val="00165B16"/>
    <w:rsid w:val="0016625A"/>
    <w:rsid w:val="00166D37"/>
    <w:rsid w:val="001703C3"/>
    <w:rsid w:val="0017075F"/>
    <w:rsid w:val="001727F0"/>
    <w:rsid w:val="00172B06"/>
    <w:rsid w:val="0017347E"/>
    <w:rsid w:val="00173674"/>
    <w:rsid w:val="001738D3"/>
    <w:rsid w:val="00174578"/>
    <w:rsid w:val="00174A16"/>
    <w:rsid w:val="001751BA"/>
    <w:rsid w:val="001752D8"/>
    <w:rsid w:val="00175931"/>
    <w:rsid w:val="00175B4F"/>
    <w:rsid w:val="0017624D"/>
    <w:rsid w:val="00176B25"/>
    <w:rsid w:val="00176C9C"/>
    <w:rsid w:val="00177078"/>
    <w:rsid w:val="00177857"/>
    <w:rsid w:val="001800ED"/>
    <w:rsid w:val="00180617"/>
    <w:rsid w:val="001809EF"/>
    <w:rsid w:val="001810E8"/>
    <w:rsid w:val="0018238B"/>
    <w:rsid w:val="001826C7"/>
    <w:rsid w:val="00183419"/>
    <w:rsid w:val="0018394A"/>
    <w:rsid w:val="00183D6B"/>
    <w:rsid w:val="001844E4"/>
    <w:rsid w:val="00184DCC"/>
    <w:rsid w:val="001860F3"/>
    <w:rsid w:val="00186276"/>
    <w:rsid w:val="00186A9D"/>
    <w:rsid w:val="00186CA8"/>
    <w:rsid w:val="001874A6"/>
    <w:rsid w:val="0018765B"/>
    <w:rsid w:val="001904AE"/>
    <w:rsid w:val="00190913"/>
    <w:rsid w:val="00190E69"/>
    <w:rsid w:val="0019109A"/>
    <w:rsid w:val="00191A5D"/>
    <w:rsid w:val="0019236A"/>
    <w:rsid w:val="00192C28"/>
    <w:rsid w:val="00193B21"/>
    <w:rsid w:val="00193DD3"/>
    <w:rsid w:val="001948AA"/>
    <w:rsid w:val="00195859"/>
    <w:rsid w:val="001958AE"/>
    <w:rsid w:val="00195F65"/>
    <w:rsid w:val="001973C1"/>
    <w:rsid w:val="0019777A"/>
    <w:rsid w:val="00197C7D"/>
    <w:rsid w:val="00197CF4"/>
    <w:rsid w:val="001A024A"/>
    <w:rsid w:val="001A0697"/>
    <w:rsid w:val="001A07E2"/>
    <w:rsid w:val="001A0A5D"/>
    <w:rsid w:val="001A1AFD"/>
    <w:rsid w:val="001A2018"/>
    <w:rsid w:val="001A206B"/>
    <w:rsid w:val="001A2703"/>
    <w:rsid w:val="001A2F92"/>
    <w:rsid w:val="001A2FA8"/>
    <w:rsid w:val="001A36E0"/>
    <w:rsid w:val="001A56F1"/>
    <w:rsid w:val="001A5D0E"/>
    <w:rsid w:val="001A62AC"/>
    <w:rsid w:val="001A672A"/>
    <w:rsid w:val="001A6BE9"/>
    <w:rsid w:val="001A6D2C"/>
    <w:rsid w:val="001A7687"/>
    <w:rsid w:val="001B01C8"/>
    <w:rsid w:val="001B0821"/>
    <w:rsid w:val="001B0B0B"/>
    <w:rsid w:val="001B0B52"/>
    <w:rsid w:val="001B13F6"/>
    <w:rsid w:val="001B15C7"/>
    <w:rsid w:val="001B1747"/>
    <w:rsid w:val="001B1DBF"/>
    <w:rsid w:val="001B2131"/>
    <w:rsid w:val="001B26B7"/>
    <w:rsid w:val="001B27FD"/>
    <w:rsid w:val="001B2D44"/>
    <w:rsid w:val="001B3B51"/>
    <w:rsid w:val="001B3D19"/>
    <w:rsid w:val="001B4E1D"/>
    <w:rsid w:val="001B555F"/>
    <w:rsid w:val="001B6E29"/>
    <w:rsid w:val="001B72BA"/>
    <w:rsid w:val="001B752A"/>
    <w:rsid w:val="001C006B"/>
    <w:rsid w:val="001C0B5E"/>
    <w:rsid w:val="001C0BF3"/>
    <w:rsid w:val="001C0D02"/>
    <w:rsid w:val="001C0D14"/>
    <w:rsid w:val="001C12FB"/>
    <w:rsid w:val="001C2122"/>
    <w:rsid w:val="001C2DB4"/>
    <w:rsid w:val="001C3228"/>
    <w:rsid w:val="001C35E9"/>
    <w:rsid w:val="001C3697"/>
    <w:rsid w:val="001C36BD"/>
    <w:rsid w:val="001C3733"/>
    <w:rsid w:val="001C3B08"/>
    <w:rsid w:val="001C427C"/>
    <w:rsid w:val="001C4658"/>
    <w:rsid w:val="001C49B3"/>
    <w:rsid w:val="001C50A0"/>
    <w:rsid w:val="001C5AB4"/>
    <w:rsid w:val="001C5B30"/>
    <w:rsid w:val="001D1130"/>
    <w:rsid w:val="001D1BA7"/>
    <w:rsid w:val="001D2953"/>
    <w:rsid w:val="001D2C03"/>
    <w:rsid w:val="001D35B5"/>
    <w:rsid w:val="001D3C05"/>
    <w:rsid w:val="001D3DC0"/>
    <w:rsid w:val="001D4EAF"/>
    <w:rsid w:val="001D5920"/>
    <w:rsid w:val="001D5FBB"/>
    <w:rsid w:val="001D6095"/>
    <w:rsid w:val="001D6AF4"/>
    <w:rsid w:val="001D6C52"/>
    <w:rsid w:val="001D70D0"/>
    <w:rsid w:val="001D73F0"/>
    <w:rsid w:val="001D77C2"/>
    <w:rsid w:val="001E038D"/>
    <w:rsid w:val="001E0496"/>
    <w:rsid w:val="001E0995"/>
    <w:rsid w:val="001E0CC1"/>
    <w:rsid w:val="001E0D21"/>
    <w:rsid w:val="001E0FC6"/>
    <w:rsid w:val="001E162B"/>
    <w:rsid w:val="001E1C10"/>
    <w:rsid w:val="001E299F"/>
    <w:rsid w:val="001E36BB"/>
    <w:rsid w:val="001E3CC0"/>
    <w:rsid w:val="001E77C3"/>
    <w:rsid w:val="001F0411"/>
    <w:rsid w:val="001F090B"/>
    <w:rsid w:val="001F1198"/>
    <w:rsid w:val="001F15C3"/>
    <w:rsid w:val="001F180A"/>
    <w:rsid w:val="001F1A28"/>
    <w:rsid w:val="001F1AD0"/>
    <w:rsid w:val="001F2F96"/>
    <w:rsid w:val="001F35E8"/>
    <w:rsid w:val="001F4014"/>
    <w:rsid w:val="001F4024"/>
    <w:rsid w:val="001F4277"/>
    <w:rsid w:val="001F445E"/>
    <w:rsid w:val="001F4939"/>
    <w:rsid w:val="001F4A2E"/>
    <w:rsid w:val="001F4E87"/>
    <w:rsid w:val="001F60A1"/>
    <w:rsid w:val="001F6310"/>
    <w:rsid w:val="001F6423"/>
    <w:rsid w:val="001F6655"/>
    <w:rsid w:val="001F7837"/>
    <w:rsid w:val="0020069B"/>
    <w:rsid w:val="00200B77"/>
    <w:rsid w:val="00200DFB"/>
    <w:rsid w:val="00201213"/>
    <w:rsid w:val="002015CE"/>
    <w:rsid w:val="0020165E"/>
    <w:rsid w:val="00201A97"/>
    <w:rsid w:val="0020272E"/>
    <w:rsid w:val="0020289E"/>
    <w:rsid w:val="00202E50"/>
    <w:rsid w:val="002039BB"/>
    <w:rsid w:val="00203BDF"/>
    <w:rsid w:val="00203D05"/>
    <w:rsid w:val="00204AAB"/>
    <w:rsid w:val="00204D6C"/>
    <w:rsid w:val="002050F3"/>
    <w:rsid w:val="00205180"/>
    <w:rsid w:val="00207F81"/>
    <w:rsid w:val="002109F4"/>
    <w:rsid w:val="00210ABD"/>
    <w:rsid w:val="00210C64"/>
    <w:rsid w:val="002110FD"/>
    <w:rsid w:val="00211447"/>
    <w:rsid w:val="002117C3"/>
    <w:rsid w:val="00211FDA"/>
    <w:rsid w:val="002139E9"/>
    <w:rsid w:val="0021500E"/>
    <w:rsid w:val="00215FDA"/>
    <w:rsid w:val="002160C2"/>
    <w:rsid w:val="002179AC"/>
    <w:rsid w:val="002211F9"/>
    <w:rsid w:val="00221201"/>
    <w:rsid w:val="00222637"/>
    <w:rsid w:val="00222809"/>
    <w:rsid w:val="00222BB9"/>
    <w:rsid w:val="0022313C"/>
    <w:rsid w:val="00223535"/>
    <w:rsid w:val="00223C85"/>
    <w:rsid w:val="002250A8"/>
    <w:rsid w:val="00225263"/>
    <w:rsid w:val="002258D6"/>
    <w:rsid w:val="002260CC"/>
    <w:rsid w:val="002261EF"/>
    <w:rsid w:val="00226E3A"/>
    <w:rsid w:val="002274FB"/>
    <w:rsid w:val="002309D2"/>
    <w:rsid w:val="00231B61"/>
    <w:rsid w:val="0023246C"/>
    <w:rsid w:val="002324F2"/>
    <w:rsid w:val="0023290D"/>
    <w:rsid w:val="00232A71"/>
    <w:rsid w:val="0023313D"/>
    <w:rsid w:val="0023315B"/>
    <w:rsid w:val="00233F25"/>
    <w:rsid w:val="00234456"/>
    <w:rsid w:val="002347FE"/>
    <w:rsid w:val="00235739"/>
    <w:rsid w:val="00235E36"/>
    <w:rsid w:val="002360D3"/>
    <w:rsid w:val="002371C9"/>
    <w:rsid w:val="00237E47"/>
    <w:rsid w:val="002400AA"/>
    <w:rsid w:val="00240512"/>
    <w:rsid w:val="002410A8"/>
    <w:rsid w:val="002414D2"/>
    <w:rsid w:val="0024178D"/>
    <w:rsid w:val="00242984"/>
    <w:rsid w:val="0024326C"/>
    <w:rsid w:val="0024392B"/>
    <w:rsid w:val="00243E77"/>
    <w:rsid w:val="002442F9"/>
    <w:rsid w:val="0024460D"/>
    <w:rsid w:val="00244800"/>
    <w:rsid w:val="002450C6"/>
    <w:rsid w:val="002456EE"/>
    <w:rsid w:val="00245DCF"/>
    <w:rsid w:val="00246C65"/>
    <w:rsid w:val="00246EF4"/>
    <w:rsid w:val="0024721F"/>
    <w:rsid w:val="002479B6"/>
    <w:rsid w:val="0025070C"/>
    <w:rsid w:val="00251A10"/>
    <w:rsid w:val="00252BFF"/>
    <w:rsid w:val="00252D84"/>
    <w:rsid w:val="002535E6"/>
    <w:rsid w:val="00253732"/>
    <w:rsid w:val="00253A20"/>
    <w:rsid w:val="002542A8"/>
    <w:rsid w:val="00254852"/>
    <w:rsid w:val="00256814"/>
    <w:rsid w:val="00256976"/>
    <w:rsid w:val="002578E2"/>
    <w:rsid w:val="00260A11"/>
    <w:rsid w:val="0026169A"/>
    <w:rsid w:val="00261F5D"/>
    <w:rsid w:val="00261FA3"/>
    <w:rsid w:val="0026217C"/>
    <w:rsid w:val="00262732"/>
    <w:rsid w:val="00262763"/>
    <w:rsid w:val="00263B72"/>
    <w:rsid w:val="00264BEA"/>
    <w:rsid w:val="00266374"/>
    <w:rsid w:val="002670DF"/>
    <w:rsid w:val="00267850"/>
    <w:rsid w:val="00267CD4"/>
    <w:rsid w:val="00270EA1"/>
    <w:rsid w:val="00271032"/>
    <w:rsid w:val="0027181C"/>
    <w:rsid w:val="00273B2C"/>
    <w:rsid w:val="00273C02"/>
    <w:rsid w:val="00273E3E"/>
    <w:rsid w:val="00274147"/>
    <w:rsid w:val="00275189"/>
    <w:rsid w:val="002756DC"/>
    <w:rsid w:val="002759E2"/>
    <w:rsid w:val="00276412"/>
    <w:rsid w:val="00276437"/>
    <w:rsid w:val="00276B90"/>
    <w:rsid w:val="0027754F"/>
    <w:rsid w:val="00277845"/>
    <w:rsid w:val="00277D8D"/>
    <w:rsid w:val="00280053"/>
    <w:rsid w:val="00280064"/>
    <w:rsid w:val="0028027C"/>
    <w:rsid w:val="0028063F"/>
    <w:rsid w:val="00280740"/>
    <w:rsid w:val="00280CFC"/>
    <w:rsid w:val="00280F9E"/>
    <w:rsid w:val="002813AC"/>
    <w:rsid w:val="002814F8"/>
    <w:rsid w:val="0028198F"/>
    <w:rsid w:val="00281B9E"/>
    <w:rsid w:val="00281E64"/>
    <w:rsid w:val="002824B2"/>
    <w:rsid w:val="00283B02"/>
    <w:rsid w:val="00283C5D"/>
    <w:rsid w:val="002844B0"/>
    <w:rsid w:val="0028469A"/>
    <w:rsid w:val="00284B37"/>
    <w:rsid w:val="00285289"/>
    <w:rsid w:val="002853AE"/>
    <w:rsid w:val="00286076"/>
    <w:rsid w:val="00286322"/>
    <w:rsid w:val="00286570"/>
    <w:rsid w:val="0028678D"/>
    <w:rsid w:val="00286B68"/>
    <w:rsid w:val="00287798"/>
    <w:rsid w:val="00290655"/>
    <w:rsid w:val="00290A45"/>
    <w:rsid w:val="00291944"/>
    <w:rsid w:val="00292285"/>
    <w:rsid w:val="00294A1C"/>
    <w:rsid w:val="00294CB0"/>
    <w:rsid w:val="002956A1"/>
    <w:rsid w:val="00295898"/>
    <w:rsid w:val="00295C03"/>
    <w:rsid w:val="00295C6F"/>
    <w:rsid w:val="00296B03"/>
    <w:rsid w:val="00296C1F"/>
    <w:rsid w:val="00296FAB"/>
    <w:rsid w:val="002977C0"/>
    <w:rsid w:val="002A0193"/>
    <w:rsid w:val="002A09DC"/>
    <w:rsid w:val="002A0A0B"/>
    <w:rsid w:val="002A0B86"/>
    <w:rsid w:val="002A0D14"/>
    <w:rsid w:val="002A11C3"/>
    <w:rsid w:val="002A18F1"/>
    <w:rsid w:val="002A284C"/>
    <w:rsid w:val="002A2F3B"/>
    <w:rsid w:val="002A3963"/>
    <w:rsid w:val="002A39B7"/>
    <w:rsid w:val="002A41E6"/>
    <w:rsid w:val="002A44C8"/>
    <w:rsid w:val="002A49CB"/>
    <w:rsid w:val="002A4C2E"/>
    <w:rsid w:val="002A545A"/>
    <w:rsid w:val="002A5E48"/>
    <w:rsid w:val="002A608E"/>
    <w:rsid w:val="002A61C7"/>
    <w:rsid w:val="002A7AF6"/>
    <w:rsid w:val="002A7FBA"/>
    <w:rsid w:val="002B0059"/>
    <w:rsid w:val="002B0273"/>
    <w:rsid w:val="002B0455"/>
    <w:rsid w:val="002B0889"/>
    <w:rsid w:val="002B0FD7"/>
    <w:rsid w:val="002B19B7"/>
    <w:rsid w:val="002B25E8"/>
    <w:rsid w:val="002B261C"/>
    <w:rsid w:val="002B2BEE"/>
    <w:rsid w:val="002B3106"/>
    <w:rsid w:val="002B35C5"/>
    <w:rsid w:val="002B3793"/>
    <w:rsid w:val="002B3935"/>
    <w:rsid w:val="002B3995"/>
    <w:rsid w:val="002B406A"/>
    <w:rsid w:val="002B41D4"/>
    <w:rsid w:val="002B422B"/>
    <w:rsid w:val="002B47B5"/>
    <w:rsid w:val="002B543F"/>
    <w:rsid w:val="002B58D1"/>
    <w:rsid w:val="002B5FFD"/>
    <w:rsid w:val="002B608C"/>
    <w:rsid w:val="002B6165"/>
    <w:rsid w:val="002B69E7"/>
    <w:rsid w:val="002B7106"/>
    <w:rsid w:val="002B7D73"/>
    <w:rsid w:val="002C0559"/>
    <w:rsid w:val="002C06E3"/>
    <w:rsid w:val="002C0801"/>
    <w:rsid w:val="002C145F"/>
    <w:rsid w:val="002C2CE2"/>
    <w:rsid w:val="002C2E88"/>
    <w:rsid w:val="002C33B3"/>
    <w:rsid w:val="002C384E"/>
    <w:rsid w:val="002C434A"/>
    <w:rsid w:val="002C44B0"/>
    <w:rsid w:val="002C4E07"/>
    <w:rsid w:val="002C521B"/>
    <w:rsid w:val="002C608B"/>
    <w:rsid w:val="002C6396"/>
    <w:rsid w:val="002C67D4"/>
    <w:rsid w:val="002C74F1"/>
    <w:rsid w:val="002C7964"/>
    <w:rsid w:val="002D0586"/>
    <w:rsid w:val="002D079F"/>
    <w:rsid w:val="002D0C22"/>
    <w:rsid w:val="002D1023"/>
    <w:rsid w:val="002D1459"/>
    <w:rsid w:val="002D1470"/>
    <w:rsid w:val="002D1ABB"/>
    <w:rsid w:val="002D21CF"/>
    <w:rsid w:val="002D25D6"/>
    <w:rsid w:val="002D2BBA"/>
    <w:rsid w:val="002D32E0"/>
    <w:rsid w:val="002D3520"/>
    <w:rsid w:val="002D3DB7"/>
    <w:rsid w:val="002D46BD"/>
    <w:rsid w:val="002D4705"/>
    <w:rsid w:val="002D4A3F"/>
    <w:rsid w:val="002D4A78"/>
    <w:rsid w:val="002D58C9"/>
    <w:rsid w:val="002D5B65"/>
    <w:rsid w:val="002D6396"/>
    <w:rsid w:val="002D7E5E"/>
    <w:rsid w:val="002E07BA"/>
    <w:rsid w:val="002E07EF"/>
    <w:rsid w:val="002E0D06"/>
    <w:rsid w:val="002E117E"/>
    <w:rsid w:val="002E173D"/>
    <w:rsid w:val="002E1810"/>
    <w:rsid w:val="002E2D92"/>
    <w:rsid w:val="002E3D5B"/>
    <w:rsid w:val="002E45F0"/>
    <w:rsid w:val="002E4A3C"/>
    <w:rsid w:val="002E4E94"/>
    <w:rsid w:val="002E63CA"/>
    <w:rsid w:val="002E71B0"/>
    <w:rsid w:val="002E767C"/>
    <w:rsid w:val="002F0C29"/>
    <w:rsid w:val="002F1B7D"/>
    <w:rsid w:val="002F1E35"/>
    <w:rsid w:val="002F1F28"/>
    <w:rsid w:val="002F2E71"/>
    <w:rsid w:val="002F3673"/>
    <w:rsid w:val="002F43CA"/>
    <w:rsid w:val="002F53D4"/>
    <w:rsid w:val="002F57AA"/>
    <w:rsid w:val="002F5950"/>
    <w:rsid w:val="002F6C83"/>
    <w:rsid w:val="002F6EF7"/>
    <w:rsid w:val="002F714C"/>
    <w:rsid w:val="002F77BF"/>
    <w:rsid w:val="002F7E87"/>
    <w:rsid w:val="003004A2"/>
    <w:rsid w:val="00300A56"/>
    <w:rsid w:val="00300CF2"/>
    <w:rsid w:val="00300F1F"/>
    <w:rsid w:val="00302184"/>
    <w:rsid w:val="003022FE"/>
    <w:rsid w:val="003023DF"/>
    <w:rsid w:val="00303DD5"/>
    <w:rsid w:val="00303E6A"/>
    <w:rsid w:val="0030584B"/>
    <w:rsid w:val="00305FEA"/>
    <w:rsid w:val="00306990"/>
    <w:rsid w:val="00306A13"/>
    <w:rsid w:val="003073D0"/>
    <w:rsid w:val="00307B74"/>
    <w:rsid w:val="00310764"/>
    <w:rsid w:val="00310BE6"/>
    <w:rsid w:val="0031139E"/>
    <w:rsid w:val="00311A7E"/>
    <w:rsid w:val="00311B34"/>
    <w:rsid w:val="00311BFD"/>
    <w:rsid w:val="0031203A"/>
    <w:rsid w:val="00312303"/>
    <w:rsid w:val="00313239"/>
    <w:rsid w:val="00314718"/>
    <w:rsid w:val="0031488A"/>
    <w:rsid w:val="00314B76"/>
    <w:rsid w:val="00315E62"/>
    <w:rsid w:val="003165DF"/>
    <w:rsid w:val="00316F60"/>
    <w:rsid w:val="003175E1"/>
    <w:rsid w:val="00317C39"/>
    <w:rsid w:val="00320203"/>
    <w:rsid w:val="003218F5"/>
    <w:rsid w:val="00321BB0"/>
    <w:rsid w:val="00321F52"/>
    <w:rsid w:val="00322002"/>
    <w:rsid w:val="0032256C"/>
    <w:rsid w:val="003230AE"/>
    <w:rsid w:val="0032349C"/>
    <w:rsid w:val="00323FEC"/>
    <w:rsid w:val="0032463E"/>
    <w:rsid w:val="003247B0"/>
    <w:rsid w:val="00324C30"/>
    <w:rsid w:val="00325E81"/>
    <w:rsid w:val="003268D9"/>
    <w:rsid w:val="00326948"/>
    <w:rsid w:val="00327052"/>
    <w:rsid w:val="0032754E"/>
    <w:rsid w:val="00330158"/>
    <w:rsid w:val="00330A16"/>
    <w:rsid w:val="003316E2"/>
    <w:rsid w:val="00332F42"/>
    <w:rsid w:val="00333DC2"/>
    <w:rsid w:val="00333FD9"/>
    <w:rsid w:val="003340CC"/>
    <w:rsid w:val="0033486D"/>
    <w:rsid w:val="00334947"/>
    <w:rsid w:val="00335228"/>
    <w:rsid w:val="003357F0"/>
    <w:rsid w:val="00336549"/>
    <w:rsid w:val="003367C4"/>
    <w:rsid w:val="00336D8E"/>
    <w:rsid w:val="00336ED8"/>
    <w:rsid w:val="003375B3"/>
    <w:rsid w:val="003376B3"/>
    <w:rsid w:val="00341091"/>
    <w:rsid w:val="00341423"/>
    <w:rsid w:val="00341FE2"/>
    <w:rsid w:val="00342DBA"/>
    <w:rsid w:val="00343235"/>
    <w:rsid w:val="00344E10"/>
    <w:rsid w:val="00344FE6"/>
    <w:rsid w:val="00345F9C"/>
    <w:rsid w:val="00346320"/>
    <w:rsid w:val="003476A9"/>
    <w:rsid w:val="00347776"/>
    <w:rsid w:val="0034779B"/>
    <w:rsid w:val="0035095A"/>
    <w:rsid w:val="00350C56"/>
    <w:rsid w:val="003514F4"/>
    <w:rsid w:val="00351A91"/>
    <w:rsid w:val="003520C4"/>
    <w:rsid w:val="00352315"/>
    <w:rsid w:val="003528E1"/>
    <w:rsid w:val="0035316C"/>
    <w:rsid w:val="003533AE"/>
    <w:rsid w:val="003537C8"/>
    <w:rsid w:val="00353969"/>
    <w:rsid w:val="00354DD1"/>
    <w:rsid w:val="00354F11"/>
    <w:rsid w:val="00355025"/>
    <w:rsid w:val="00355161"/>
    <w:rsid w:val="003553CD"/>
    <w:rsid w:val="0035561B"/>
    <w:rsid w:val="0035575A"/>
    <w:rsid w:val="00355B65"/>
    <w:rsid w:val="00355E14"/>
    <w:rsid w:val="00357425"/>
    <w:rsid w:val="00357C5E"/>
    <w:rsid w:val="00357DC0"/>
    <w:rsid w:val="00360584"/>
    <w:rsid w:val="00360740"/>
    <w:rsid w:val="003608BD"/>
    <w:rsid w:val="003609C0"/>
    <w:rsid w:val="00360DBD"/>
    <w:rsid w:val="003611C7"/>
    <w:rsid w:val="00361280"/>
    <w:rsid w:val="0036137C"/>
    <w:rsid w:val="003615F1"/>
    <w:rsid w:val="00361A6E"/>
    <w:rsid w:val="00361F7C"/>
    <w:rsid w:val="003626AF"/>
    <w:rsid w:val="00363D7F"/>
    <w:rsid w:val="00365588"/>
    <w:rsid w:val="0036655E"/>
    <w:rsid w:val="003673F5"/>
    <w:rsid w:val="00367C66"/>
    <w:rsid w:val="00370001"/>
    <w:rsid w:val="003700B2"/>
    <w:rsid w:val="0037034B"/>
    <w:rsid w:val="0037233D"/>
    <w:rsid w:val="00372BD1"/>
    <w:rsid w:val="003732CD"/>
    <w:rsid w:val="003736EF"/>
    <w:rsid w:val="003737E3"/>
    <w:rsid w:val="00373E0B"/>
    <w:rsid w:val="00373E7E"/>
    <w:rsid w:val="00374430"/>
    <w:rsid w:val="00375A30"/>
    <w:rsid w:val="0037660A"/>
    <w:rsid w:val="0037715A"/>
    <w:rsid w:val="003800E9"/>
    <w:rsid w:val="0038049C"/>
    <w:rsid w:val="0038097C"/>
    <w:rsid w:val="00380A1A"/>
    <w:rsid w:val="00380D80"/>
    <w:rsid w:val="00381200"/>
    <w:rsid w:val="00381924"/>
    <w:rsid w:val="0038299C"/>
    <w:rsid w:val="0038302D"/>
    <w:rsid w:val="00383E4E"/>
    <w:rsid w:val="003849E3"/>
    <w:rsid w:val="00384DE6"/>
    <w:rsid w:val="00384E19"/>
    <w:rsid w:val="00384F3A"/>
    <w:rsid w:val="0038500E"/>
    <w:rsid w:val="0038713F"/>
    <w:rsid w:val="0038761D"/>
    <w:rsid w:val="00387D6A"/>
    <w:rsid w:val="00390058"/>
    <w:rsid w:val="003906F8"/>
    <w:rsid w:val="00390AD3"/>
    <w:rsid w:val="003911E9"/>
    <w:rsid w:val="00392E95"/>
    <w:rsid w:val="003935EE"/>
    <w:rsid w:val="00393EE9"/>
    <w:rsid w:val="0039408A"/>
    <w:rsid w:val="003945F5"/>
    <w:rsid w:val="0039595B"/>
    <w:rsid w:val="00395E3E"/>
    <w:rsid w:val="00396476"/>
    <w:rsid w:val="0039673D"/>
    <w:rsid w:val="0039686D"/>
    <w:rsid w:val="00396FF2"/>
    <w:rsid w:val="003971DD"/>
    <w:rsid w:val="003975DA"/>
    <w:rsid w:val="00397893"/>
    <w:rsid w:val="003A0A91"/>
    <w:rsid w:val="003A0D79"/>
    <w:rsid w:val="003A10D2"/>
    <w:rsid w:val="003A160B"/>
    <w:rsid w:val="003A1745"/>
    <w:rsid w:val="003A2407"/>
    <w:rsid w:val="003A2CF0"/>
    <w:rsid w:val="003A2E5A"/>
    <w:rsid w:val="003A33D3"/>
    <w:rsid w:val="003A3880"/>
    <w:rsid w:val="003A4738"/>
    <w:rsid w:val="003A4B3F"/>
    <w:rsid w:val="003A4B52"/>
    <w:rsid w:val="003A5018"/>
    <w:rsid w:val="003A5524"/>
    <w:rsid w:val="003A5879"/>
    <w:rsid w:val="003A5B02"/>
    <w:rsid w:val="003A5BC5"/>
    <w:rsid w:val="003A5D55"/>
    <w:rsid w:val="003A6F46"/>
    <w:rsid w:val="003A75E6"/>
    <w:rsid w:val="003A778E"/>
    <w:rsid w:val="003B02E0"/>
    <w:rsid w:val="003B03DC"/>
    <w:rsid w:val="003B064E"/>
    <w:rsid w:val="003B1832"/>
    <w:rsid w:val="003B1B29"/>
    <w:rsid w:val="003B255B"/>
    <w:rsid w:val="003B31FA"/>
    <w:rsid w:val="003B3317"/>
    <w:rsid w:val="003B39CB"/>
    <w:rsid w:val="003B4B2F"/>
    <w:rsid w:val="003B4C50"/>
    <w:rsid w:val="003B4C6C"/>
    <w:rsid w:val="003B52D4"/>
    <w:rsid w:val="003B5820"/>
    <w:rsid w:val="003B6C7E"/>
    <w:rsid w:val="003B789A"/>
    <w:rsid w:val="003C05AD"/>
    <w:rsid w:val="003C0ECC"/>
    <w:rsid w:val="003C11CF"/>
    <w:rsid w:val="003C11E2"/>
    <w:rsid w:val="003C1CA5"/>
    <w:rsid w:val="003C1EC7"/>
    <w:rsid w:val="003C2C35"/>
    <w:rsid w:val="003C365E"/>
    <w:rsid w:val="003C3D8E"/>
    <w:rsid w:val="003C3EE8"/>
    <w:rsid w:val="003C4381"/>
    <w:rsid w:val="003C4B95"/>
    <w:rsid w:val="003C4BC4"/>
    <w:rsid w:val="003C4BD7"/>
    <w:rsid w:val="003C5488"/>
    <w:rsid w:val="003C5997"/>
    <w:rsid w:val="003C5E61"/>
    <w:rsid w:val="003C64A0"/>
    <w:rsid w:val="003C686B"/>
    <w:rsid w:val="003C6CBC"/>
    <w:rsid w:val="003C6D46"/>
    <w:rsid w:val="003C6F0B"/>
    <w:rsid w:val="003C756E"/>
    <w:rsid w:val="003C7BA3"/>
    <w:rsid w:val="003C7D36"/>
    <w:rsid w:val="003C7E22"/>
    <w:rsid w:val="003D01A8"/>
    <w:rsid w:val="003D11AB"/>
    <w:rsid w:val="003D2DBF"/>
    <w:rsid w:val="003D2FB5"/>
    <w:rsid w:val="003D3204"/>
    <w:rsid w:val="003D3642"/>
    <w:rsid w:val="003D36D7"/>
    <w:rsid w:val="003D4150"/>
    <w:rsid w:val="003D4ACD"/>
    <w:rsid w:val="003D4BC8"/>
    <w:rsid w:val="003D4BCE"/>
    <w:rsid w:val="003D4E9C"/>
    <w:rsid w:val="003D509C"/>
    <w:rsid w:val="003D5506"/>
    <w:rsid w:val="003D56D7"/>
    <w:rsid w:val="003D5EE8"/>
    <w:rsid w:val="003D733A"/>
    <w:rsid w:val="003D7444"/>
    <w:rsid w:val="003D7A54"/>
    <w:rsid w:val="003E047A"/>
    <w:rsid w:val="003E0D78"/>
    <w:rsid w:val="003E1CB1"/>
    <w:rsid w:val="003E2217"/>
    <w:rsid w:val="003E22A0"/>
    <w:rsid w:val="003E2F24"/>
    <w:rsid w:val="003E3A1D"/>
    <w:rsid w:val="003E3A4F"/>
    <w:rsid w:val="003E523A"/>
    <w:rsid w:val="003E5418"/>
    <w:rsid w:val="003E559B"/>
    <w:rsid w:val="003E6015"/>
    <w:rsid w:val="003E6CA0"/>
    <w:rsid w:val="003E7701"/>
    <w:rsid w:val="003E7E93"/>
    <w:rsid w:val="003E7ED9"/>
    <w:rsid w:val="003F1F41"/>
    <w:rsid w:val="003F2221"/>
    <w:rsid w:val="003F2FDE"/>
    <w:rsid w:val="003F330B"/>
    <w:rsid w:val="003F3BDF"/>
    <w:rsid w:val="003F5581"/>
    <w:rsid w:val="003F5A28"/>
    <w:rsid w:val="003F6FDF"/>
    <w:rsid w:val="004001DF"/>
    <w:rsid w:val="004016F5"/>
    <w:rsid w:val="00402064"/>
    <w:rsid w:val="00402491"/>
    <w:rsid w:val="00402C66"/>
    <w:rsid w:val="004045AA"/>
    <w:rsid w:val="00404CC7"/>
    <w:rsid w:val="0040549A"/>
    <w:rsid w:val="00405574"/>
    <w:rsid w:val="00405CC9"/>
    <w:rsid w:val="00405F10"/>
    <w:rsid w:val="00406A40"/>
    <w:rsid w:val="0040711E"/>
    <w:rsid w:val="004076AC"/>
    <w:rsid w:val="00407D67"/>
    <w:rsid w:val="004102ED"/>
    <w:rsid w:val="00410347"/>
    <w:rsid w:val="0041169A"/>
    <w:rsid w:val="00412450"/>
    <w:rsid w:val="00412E8C"/>
    <w:rsid w:val="004130EF"/>
    <w:rsid w:val="004134FE"/>
    <w:rsid w:val="004138DE"/>
    <w:rsid w:val="00413B39"/>
    <w:rsid w:val="00414083"/>
    <w:rsid w:val="00414853"/>
    <w:rsid w:val="00414B2F"/>
    <w:rsid w:val="00414D00"/>
    <w:rsid w:val="004150F7"/>
    <w:rsid w:val="004152AB"/>
    <w:rsid w:val="0041544D"/>
    <w:rsid w:val="0041557B"/>
    <w:rsid w:val="00415E58"/>
    <w:rsid w:val="00416231"/>
    <w:rsid w:val="004170DB"/>
    <w:rsid w:val="00417858"/>
    <w:rsid w:val="00417AC9"/>
    <w:rsid w:val="0042015F"/>
    <w:rsid w:val="004208AB"/>
    <w:rsid w:val="0042160C"/>
    <w:rsid w:val="004219EF"/>
    <w:rsid w:val="00421A72"/>
    <w:rsid w:val="00422F87"/>
    <w:rsid w:val="004235A9"/>
    <w:rsid w:val="00424348"/>
    <w:rsid w:val="00424520"/>
    <w:rsid w:val="004258DD"/>
    <w:rsid w:val="004260B7"/>
    <w:rsid w:val="0042636A"/>
    <w:rsid w:val="00426370"/>
    <w:rsid w:val="00426C54"/>
    <w:rsid w:val="00426CD9"/>
    <w:rsid w:val="00427EBF"/>
    <w:rsid w:val="00430F41"/>
    <w:rsid w:val="00430FEB"/>
    <w:rsid w:val="004310EE"/>
    <w:rsid w:val="00431AEC"/>
    <w:rsid w:val="004326BD"/>
    <w:rsid w:val="00432E48"/>
    <w:rsid w:val="00433677"/>
    <w:rsid w:val="004337E5"/>
    <w:rsid w:val="00433ACF"/>
    <w:rsid w:val="004340D5"/>
    <w:rsid w:val="0043455D"/>
    <w:rsid w:val="00434880"/>
    <w:rsid w:val="00434A21"/>
    <w:rsid w:val="0043526D"/>
    <w:rsid w:val="0043694D"/>
    <w:rsid w:val="0043797C"/>
    <w:rsid w:val="00440AD6"/>
    <w:rsid w:val="00440E46"/>
    <w:rsid w:val="0044475E"/>
    <w:rsid w:val="00445901"/>
    <w:rsid w:val="004460E9"/>
    <w:rsid w:val="00446153"/>
    <w:rsid w:val="00446E00"/>
    <w:rsid w:val="00447B6F"/>
    <w:rsid w:val="004504A6"/>
    <w:rsid w:val="00452100"/>
    <w:rsid w:val="004528A2"/>
    <w:rsid w:val="00452C91"/>
    <w:rsid w:val="00453431"/>
    <w:rsid w:val="004534E9"/>
    <w:rsid w:val="00453623"/>
    <w:rsid w:val="00453C11"/>
    <w:rsid w:val="004557B0"/>
    <w:rsid w:val="0045618E"/>
    <w:rsid w:val="00456BC9"/>
    <w:rsid w:val="00456BE1"/>
    <w:rsid w:val="00457165"/>
    <w:rsid w:val="004574BA"/>
    <w:rsid w:val="00457946"/>
    <w:rsid w:val="00457D8B"/>
    <w:rsid w:val="00460724"/>
    <w:rsid w:val="00460A17"/>
    <w:rsid w:val="00460F0B"/>
    <w:rsid w:val="0046120A"/>
    <w:rsid w:val="00461A4A"/>
    <w:rsid w:val="00462F1D"/>
    <w:rsid w:val="00462F79"/>
    <w:rsid w:val="00463438"/>
    <w:rsid w:val="0046372A"/>
    <w:rsid w:val="0046390D"/>
    <w:rsid w:val="00463ECE"/>
    <w:rsid w:val="00465388"/>
    <w:rsid w:val="00466638"/>
    <w:rsid w:val="0046690F"/>
    <w:rsid w:val="00466B1B"/>
    <w:rsid w:val="00466DB5"/>
    <w:rsid w:val="004677C9"/>
    <w:rsid w:val="00470CB5"/>
    <w:rsid w:val="00471422"/>
    <w:rsid w:val="00471EAB"/>
    <w:rsid w:val="004723EE"/>
    <w:rsid w:val="00475A92"/>
    <w:rsid w:val="0047751F"/>
    <w:rsid w:val="004778B9"/>
    <w:rsid w:val="004778CC"/>
    <w:rsid w:val="00477BB9"/>
    <w:rsid w:val="00477CD6"/>
    <w:rsid w:val="00477FF7"/>
    <w:rsid w:val="0048020B"/>
    <w:rsid w:val="00480353"/>
    <w:rsid w:val="00480A75"/>
    <w:rsid w:val="004812C1"/>
    <w:rsid w:val="0048147B"/>
    <w:rsid w:val="00481DC4"/>
    <w:rsid w:val="00481FB0"/>
    <w:rsid w:val="0048221E"/>
    <w:rsid w:val="00482F88"/>
    <w:rsid w:val="0048311A"/>
    <w:rsid w:val="00484045"/>
    <w:rsid w:val="00484C73"/>
    <w:rsid w:val="00485709"/>
    <w:rsid w:val="004859EE"/>
    <w:rsid w:val="00486275"/>
    <w:rsid w:val="00486974"/>
    <w:rsid w:val="00487366"/>
    <w:rsid w:val="004873E4"/>
    <w:rsid w:val="0048765C"/>
    <w:rsid w:val="00487BFE"/>
    <w:rsid w:val="0049072C"/>
    <w:rsid w:val="0049090E"/>
    <w:rsid w:val="00490FD1"/>
    <w:rsid w:val="00491482"/>
    <w:rsid w:val="00491546"/>
    <w:rsid w:val="00491AD2"/>
    <w:rsid w:val="00492089"/>
    <w:rsid w:val="0049277F"/>
    <w:rsid w:val="00492B9D"/>
    <w:rsid w:val="004930EC"/>
    <w:rsid w:val="004935C0"/>
    <w:rsid w:val="00493691"/>
    <w:rsid w:val="00493B43"/>
    <w:rsid w:val="004943F2"/>
    <w:rsid w:val="00494997"/>
    <w:rsid w:val="00494EB1"/>
    <w:rsid w:val="00495A02"/>
    <w:rsid w:val="00496414"/>
    <w:rsid w:val="00497081"/>
    <w:rsid w:val="0049721F"/>
    <w:rsid w:val="00497A38"/>
    <w:rsid w:val="00497AD1"/>
    <w:rsid w:val="00497CDD"/>
    <w:rsid w:val="00497D42"/>
    <w:rsid w:val="004A0A40"/>
    <w:rsid w:val="004A0F59"/>
    <w:rsid w:val="004A2835"/>
    <w:rsid w:val="004A34B0"/>
    <w:rsid w:val="004A3527"/>
    <w:rsid w:val="004A3D00"/>
    <w:rsid w:val="004A403B"/>
    <w:rsid w:val="004A45BD"/>
    <w:rsid w:val="004A4656"/>
    <w:rsid w:val="004A54A9"/>
    <w:rsid w:val="004A681C"/>
    <w:rsid w:val="004A6B2A"/>
    <w:rsid w:val="004A6C82"/>
    <w:rsid w:val="004A6DB9"/>
    <w:rsid w:val="004A77B0"/>
    <w:rsid w:val="004A7F2F"/>
    <w:rsid w:val="004B08A9"/>
    <w:rsid w:val="004B1CED"/>
    <w:rsid w:val="004B1E66"/>
    <w:rsid w:val="004B1F41"/>
    <w:rsid w:val="004B2DCB"/>
    <w:rsid w:val="004B34A7"/>
    <w:rsid w:val="004B3B06"/>
    <w:rsid w:val="004B3ED5"/>
    <w:rsid w:val="004B4643"/>
    <w:rsid w:val="004B4E0D"/>
    <w:rsid w:val="004B50D9"/>
    <w:rsid w:val="004B50ED"/>
    <w:rsid w:val="004B5B90"/>
    <w:rsid w:val="004B6658"/>
    <w:rsid w:val="004B6800"/>
    <w:rsid w:val="004B6A8C"/>
    <w:rsid w:val="004B7750"/>
    <w:rsid w:val="004B78A8"/>
    <w:rsid w:val="004B7F67"/>
    <w:rsid w:val="004C06BE"/>
    <w:rsid w:val="004C0938"/>
    <w:rsid w:val="004C0A0C"/>
    <w:rsid w:val="004C188F"/>
    <w:rsid w:val="004C1994"/>
    <w:rsid w:val="004C424E"/>
    <w:rsid w:val="004C48CD"/>
    <w:rsid w:val="004C69ED"/>
    <w:rsid w:val="004C70FC"/>
    <w:rsid w:val="004C751A"/>
    <w:rsid w:val="004D022C"/>
    <w:rsid w:val="004D0324"/>
    <w:rsid w:val="004D14BE"/>
    <w:rsid w:val="004D1AD5"/>
    <w:rsid w:val="004D20EA"/>
    <w:rsid w:val="004D21C1"/>
    <w:rsid w:val="004D22C4"/>
    <w:rsid w:val="004D2675"/>
    <w:rsid w:val="004D31B1"/>
    <w:rsid w:val="004D3353"/>
    <w:rsid w:val="004D38EF"/>
    <w:rsid w:val="004D3966"/>
    <w:rsid w:val="004D4080"/>
    <w:rsid w:val="004D4246"/>
    <w:rsid w:val="004D6BB7"/>
    <w:rsid w:val="004D6C54"/>
    <w:rsid w:val="004D7452"/>
    <w:rsid w:val="004E05FD"/>
    <w:rsid w:val="004E0928"/>
    <w:rsid w:val="004E10F4"/>
    <w:rsid w:val="004E1A0D"/>
    <w:rsid w:val="004E1CA5"/>
    <w:rsid w:val="004E23F5"/>
    <w:rsid w:val="004E2939"/>
    <w:rsid w:val="004E2A5E"/>
    <w:rsid w:val="004E3185"/>
    <w:rsid w:val="004E342C"/>
    <w:rsid w:val="004E3E8D"/>
    <w:rsid w:val="004E4177"/>
    <w:rsid w:val="004E445A"/>
    <w:rsid w:val="004E47BE"/>
    <w:rsid w:val="004E5418"/>
    <w:rsid w:val="004E5B1A"/>
    <w:rsid w:val="004E5D56"/>
    <w:rsid w:val="004E63E5"/>
    <w:rsid w:val="004E64E4"/>
    <w:rsid w:val="004E6A47"/>
    <w:rsid w:val="004E6B76"/>
    <w:rsid w:val="004F0439"/>
    <w:rsid w:val="004F1437"/>
    <w:rsid w:val="004F158F"/>
    <w:rsid w:val="004F16DA"/>
    <w:rsid w:val="004F1B80"/>
    <w:rsid w:val="004F29BA"/>
    <w:rsid w:val="004F2DE1"/>
    <w:rsid w:val="004F3399"/>
    <w:rsid w:val="004F3468"/>
    <w:rsid w:val="004F3540"/>
    <w:rsid w:val="004F39AB"/>
    <w:rsid w:val="004F46DF"/>
    <w:rsid w:val="004F52DB"/>
    <w:rsid w:val="004F5624"/>
    <w:rsid w:val="004F5DA4"/>
    <w:rsid w:val="004F5F70"/>
    <w:rsid w:val="004F62B2"/>
    <w:rsid w:val="004F6424"/>
    <w:rsid w:val="004F7169"/>
    <w:rsid w:val="005001D0"/>
    <w:rsid w:val="00500F24"/>
    <w:rsid w:val="0050100B"/>
    <w:rsid w:val="00501120"/>
    <w:rsid w:val="00501FCB"/>
    <w:rsid w:val="005026D8"/>
    <w:rsid w:val="00502D9B"/>
    <w:rsid w:val="00503198"/>
    <w:rsid w:val="005033E2"/>
    <w:rsid w:val="005040CD"/>
    <w:rsid w:val="00504229"/>
    <w:rsid w:val="00504928"/>
    <w:rsid w:val="0050506E"/>
    <w:rsid w:val="00505229"/>
    <w:rsid w:val="00505BD2"/>
    <w:rsid w:val="0050637F"/>
    <w:rsid w:val="0050668A"/>
    <w:rsid w:val="00506E1F"/>
    <w:rsid w:val="00507250"/>
    <w:rsid w:val="00507F98"/>
    <w:rsid w:val="005108A3"/>
    <w:rsid w:val="00510DB5"/>
    <w:rsid w:val="00510F6E"/>
    <w:rsid w:val="00511422"/>
    <w:rsid w:val="005118AE"/>
    <w:rsid w:val="0051212F"/>
    <w:rsid w:val="00512E97"/>
    <w:rsid w:val="0051511A"/>
    <w:rsid w:val="00515155"/>
    <w:rsid w:val="0051586F"/>
    <w:rsid w:val="0051587A"/>
    <w:rsid w:val="005158FA"/>
    <w:rsid w:val="005159AB"/>
    <w:rsid w:val="00515F7F"/>
    <w:rsid w:val="0051605B"/>
    <w:rsid w:val="0051661B"/>
    <w:rsid w:val="005169AD"/>
    <w:rsid w:val="00516CF8"/>
    <w:rsid w:val="00516DDD"/>
    <w:rsid w:val="00517BE1"/>
    <w:rsid w:val="00520218"/>
    <w:rsid w:val="0052036E"/>
    <w:rsid w:val="005208B9"/>
    <w:rsid w:val="00520CCB"/>
    <w:rsid w:val="005212F2"/>
    <w:rsid w:val="005218D9"/>
    <w:rsid w:val="005221F0"/>
    <w:rsid w:val="00524541"/>
    <w:rsid w:val="00524807"/>
    <w:rsid w:val="005252FE"/>
    <w:rsid w:val="0052575B"/>
    <w:rsid w:val="005257A1"/>
    <w:rsid w:val="00525FF9"/>
    <w:rsid w:val="00527FBB"/>
    <w:rsid w:val="0053057D"/>
    <w:rsid w:val="00530A65"/>
    <w:rsid w:val="0053140C"/>
    <w:rsid w:val="00532C41"/>
    <w:rsid w:val="00532D3F"/>
    <w:rsid w:val="00532F14"/>
    <w:rsid w:val="0053302B"/>
    <w:rsid w:val="00533169"/>
    <w:rsid w:val="0053386D"/>
    <w:rsid w:val="00534250"/>
    <w:rsid w:val="00534433"/>
    <w:rsid w:val="00534700"/>
    <w:rsid w:val="00535A3B"/>
    <w:rsid w:val="00536588"/>
    <w:rsid w:val="0053683D"/>
    <w:rsid w:val="005371BF"/>
    <w:rsid w:val="005373EB"/>
    <w:rsid w:val="0053791F"/>
    <w:rsid w:val="00537ACF"/>
    <w:rsid w:val="00537E78"/>
    <w:rsid w:val="005427DA"/>
    <w:rsid w:val="00543003"/>
    <w:rsid w:val="00543B81"/>
    <w:rsid w:val="00544598"/>
    <w:rsid w:val="00545000"/>
    <w:rsid w:val="00546622"/>
    <w:rsid w:val="00547538"/>
    <w:rsid w:val="00547C4C"/>
    <w:rsid w:val="00550242"/>
    <w:rsid w:val="00551542"/>
    <w:rsid w:val="00551A14"/>
    <w:rsid w:val="00552904"/>
    <w:rsid w:val="00553A43"/>
    <w:rsid w:val="00553BD5"/>
    <w:rsid w:val="00553BFA"/>
    <w:rsid w:val="00553EFB"/>
    <w:rsid w:val="00554D05"/>
    <w:rsid w:val="0055596B"/>
    <w:rsid w:val="0055627E"/>
    <w:rsid w:val="005566C7"/>
    <w:rsid w:val="005574AA"/>
    <w:rsid w:val="0056006C"/>
    <w:rsid w:val="0056030F"/>
    <w:rsid w:val="0056077E"/>
    <w:rsid w:val="00560EDA"/>
    <w:rsid w:val="005616A1"/>
    <w:rsid w:val="00561D34"/>
    <w:rsid w:val="005621B5"/>
    <w:rsid w:val="005626F6"/>
    <w:rsid w:val="005629EE"/>
    <w:rsid w:val="0056363E"/>
    <w:rsid w:val="00563797"/>
    <w:rsid w:val="005648FA"/>
    <w:rsid w:val="00564D50"/>
    <w:rsid w:val="00566794"/>
    <w:rsid w:val="005668A1"/>
    <w:rsid w:val="00567346"/>
    <w:rsid w:val="0056744A"/>
    <w:rsid w:val="005675FE"/>
    <w:rsid w:val="00567B57"/>
    <w:rsid w:val="00570130"/>
    <w:rsid w:val="005706FF"/>
    <w:rsid w:val="00570E8E"/>
    <w:rsid w:val="00571669"/>
    <w:rsid w:val="005717A1"/>
    <w:rsid w:val="0057280F"/>
    <w:rsid w:val="0057342C"/>
    <w:rsid w:val="0057371B"/>
    <w:rsid w:val="00573CB5"/>
    <w:rsid w:val="005754FF"/>
    <w:rsid w:val="00575EB8"/>
    <w:rsid w:val="00575F6B"/>
    <w:rsid w:val="0057613A"/>
    <w:rsid w:val="0058137F"/>
    <w:rsid w:val="0058145F"/>
    <w:rsid w:val="00581890"/>
    <w:rsid w:val="00581933"/>
    <w:rsid w:val="0058209A"/>
    <w:rsid w:val="005826B3"/>
    <w:rsid w:val="00582A9B"/>
    <w:rsid w:val="00582AB8"/>
    <w:rsid w:val="005830E0"/>
    <w:rsid w:val="005831E3"/>
    <w:rsid w:val="005832AB"/>
    <w:rsid w:val="00583ACB"/>
    <w:rsid w:val="00583F34"/>
    <w:rsid w:val="0058437C"/>
    <w:rsid w:val="00584731"/>
    <w:rsid w:val="00585242"/>
    <w:rsid w:val="005863C1"/>
    <w:rsid w:val="005869C8"/>
    <w:rsid w:val="00587599"/>
    <w:rsid w:val="00591DD3"/>
    <w:rsid w:val="005921F6"/>
    <w:rsid w:val="005923CD"/>
    <w:rsid w:val="005935F4"/>
    <w:rsid w:val="0059389B"/>
    <w:rsid w:val="005938A9"/>
    <w:rsid w:val="00593E0A"/>
    <w:rsid w:val="005941B0"/>
    <w:rsid w:val="00594A5A"/>
    <w:rsid w:val="00594D60"/>
    <w:rsid w:val="00594FCB"/>
    <w:rsid w:val="00595ABD"/>
    <w:rsid w:val="00595D0A"/>
    <w:rsid w:val="00597AF7"/>
    <w:rsid w:val="005A009A"/>
    <w:rsid w:val="005A0AAD"/>
    <w:rsid w:val="005A0BFC"/>
    <w:rsid w:val="005A167F"/>
    <w:rsid w:val="005A346E"/>
    <w:rsid w:val="005A38AD"/>
    <w:rsid w:val="005A6305"/>
    <w:rsid w:val="005A6C62"/>
    <w:rsid w:val="005A6C85"/>
    <w:rsid w:val="005A73CF"/>
    <w:rsid w:val="005A785E"/>
    <w:rsid w:val="005A79D3"/>
    <w:rsid w:val="005B06C1"/>
    <w:rsid w:val="005B1C75"/>
    <w:rsid w:val="005B3EB1"/>
    <w:rsid w:val="005B3F23"/>
    <w:rsid w:val="005B3F6F"/>
    <w:rsid w:val="005B4007"/>
    <w:rsid w:val="005B425E"/>
    <w:rsid w:val="005B4DF2"/>
    <w:rsid w:val="005B50C2"/>
    <w:rsid w:val="005B57CC"/>
    <w:rsid w:val="005B5EB0"/>
    <w:rsid w:val="005B620F"/>
    <w:rsid w:val="005B7522"/>
    <w:rsid w:val="005B798B"/>
    <w:rsid w:val="005B7CF8"/>
    <w:rsid w:val="005C0BCE"/>
    <w:rsid w:val="005C10D8"/>
    <w:rsid w:val="005C1674"/>
    <w:rsid w:val="005C1994"/>
    <w:rsid w:val="005C1FAE"/>
    <w:rsid w:val="005C3201"/>
    <w:rsid w:val="005C39E8"/>
    <w:rsid w:val="005C5660"/>
    <w:rsid w:val="005C66CB"/>
    <w:rsid w:val="005C71E4"/>
    <w:rsid w:val="005C72E3"/>
    <w:rsid w:val="005C7C35"/>
    <w:rsid w:val="005C7EA5"/>
    <w:rsid w:val="005D0674"/>
    <w:rsid w:val="005D0FC6"/>
    <w:rsid w:val="005D1109"/>
    <w:rsid w:val="005D11B2"/>
    <w:rsid w:val="005D221A"/>
    <w:rsid w:val="005D2DF0"/>
    <w:rsid w:val="005D31EF"/>
    <w:rsid w:val="005D321D"/>
    <w:rsid w:val="005D41B8"/>
    <w:rsid w:val="005D452C"/>
    <w:rsid w:val="005D46AB"/>
    <w:rsid w:val="005D4B68"/>
    <w:rsid w:val="005D59A5"/>
    <w:rsid w:val="005D59D3"/>
    <w:rsid w:val="005D7538"/>
    <w:rsid w:val="005D79AD"/>
    <w:rsid w:val="005D7E61"/>
    <w:rsid w:val="005E0478"/>
    <w:rsid w:val="005E088F"/>
    <w:rsid w:val="005E11C1"/>
    <w:rsid w:val="005E1B59"/>
    <w:rsid w:val="005E2563"/>
    <w:rsid w:val="005E31FE"/>
    <w:rsid w:val="005E394C"/>
    <w:rsid w:val="005E3A4C"/>
    <w:rsid w:val="005E3CC2"/>
    <w:rsid w:val="005E406E"/>
    <w:rsid w:val="005E42BF"/>
    <w:rsid w:val="005E4E70"/>
    <w:rsid w:val="005E50F8"/>
    <w:rsid w:val="005E539E"/>
    <w:rsid w:val="005E65BB"/>
    <w:rsid w:val="005E73C7"/>
    <w:rsid w:val="005E7B20"/>
    <w:rsid w:val="005F0DA0"/>
    <w:rsid w:val="005F1046"/>
    <w:rsid w:val="005F1D52"/>
    <w:rsid w:val="005F2767"/>
    <w:rsid w:val="005F2D22"/>
    <w:rsid w:val="005F4790"/>
    <w:rsid w:val="005F4914"/>
    <w:rsid w:val="005F52CE"/>
    <w:rsid w:val="005F5B02"/>
    <w:rsid w:val="005F62B7"/>
    <w:rsid w:val="005F67FC"/>
    <w:rsid w:val="005F6869"/>
    <w:rsid w:val="005F697B"/>
    <w:rsid w:val="005F6BB9"/>
    <w:rsid w:val="00600056"/>
    <w:rsid w:val="006000AE"/>
    <w:rsid w:val="00600580"/>
    <w:rsid w:val="00600A79"/>
    <w:rsid w:val="00600AB7"/>
    <w:rsid w:val="0060118A"/>
    <w:rsid w:val="00601736"/>
    <w:rsid w:val="006024A6"/>
    <w:rsid w:val="00603148"/>
    <w:rsid w:val="00603461"/>
    <w:rsid w:val="00603F0E"/>
    <w:rsid w:val="00605693"/>
    <w:rsid w:val="00606572"/>
    <w:rsid w:val="0060670C"/>
    <w:rsid w:val="0060681A"/>
    <w:rsid w:val="00606FC7"/>
    <w:rsid w:val="00607521"/>
    <w:rsid w:val="00607AD5"/>
    <w:rsid w:val="00610456"/>
    <w:rsid w:val="00610D72"/>
    <w:rsid w:val="006111EC"/>
    <w:rsid w:val="00611473"/>
    <w:rsid w:val="00611B36"/>
    <w:rsid w:val="006127D2"/>
    <w:rsid w:val="006136D8"/>
    <w:rsid w:val="0061371C"/>
    <w:rsid w:val="00613A34"/>
    <w:rsid w:val="00614013"/>
    <w:rsid w:val="00614F98"/>
    <w:rsid w:val="00615ADA"/>
    <w:rsid w:val="00620840"/>
    <w:rsid w:val="00620ADA"/>
    <w:rsid w:val="00621363"/>
    <w:rsid w:val="00621797"/>
    <w:rsid w:val="00621E8A"/>
    <w:rsid w:val="006221CD"/>
    <w:rsid w:val="00622220"/>
    <w:rsid w:val="006222E3"/>
    <w:rsid w:val="00622363"/>
    <w:rsid w:val="006225AE"/>
    <w:rsid w:val="00624CB0"/>
    <w:rsid w:val="0062508C"/>
    <w:rsid w:val="00625CD0"/>
    <w:rsid w:val="00625E08"/>
    <w:rsid w:val="006263B4"/>
    <w:rsid w:val="006266A9"/>
    <w:rsid w:val="00626DC8"/>
    <w:rsid w:val="00626EC2"/>
    <w:rsid w:val="00627FA5"/>
    <w:rsid w:val="00630426"/>
    <w:rsid w:val="006304A4"/>
    <w:rsid w:val="006316C1"/>
    <w:rsid w:val="00631ED4"/>
    <w:rsid w:val="006321C8"/>
    <w:rsid w:val="0063243F"/>
    <w:rsid w:val="00632A2B"/>
    <w:rsid w:val="00633BC7"/>
    <w:rsid w:val="00633F42"/>
    <w:rsid w:val="0063408D"/>
    <w:rsid w:val="006345C7"/>
    <w:rsid w:val="00635AC7"/>
    <w:rsid w:val="00635E9C"/>
    <w:rsid w:val="0063627E"/>
    <w:rsid w:val="0063753F"/>
    <w:rsid w:val="00637B41"/>
    <w:rsid w:val="00640FB1"/>
    <w:rsid w:val="006414EE"/>
    <w:rsid w:val="00642524"/>
    <w:rsid w:val="00642D0A"/>
    <w:rsid w:val="006430ED"/>
    <w:rsid w:val="00643899"/>
    <w:rsid w:val="00643CF7"/>
    <w:rsid w:val="00644817"/>
    <w:rsid w:val="00645675"/>
    <w:rsid w:val="00645F28"/>
    <w:rsid w:val="0064630E"/>
    <w:rsid w:val="00646617"/>
    <w:rsid w:val="00646A95"/>
    <w:rsid w:val="00646FE1"/>
    <w:rsid w:val="00647075"/>
    <w:rsid w:val="006471E7"/>
    <w:rsid w:val="0064771B"/>
    <w:rsid w:val="00647847"/>
    <w:rsid w:val="00650D3D"/>
    <w:rsid w:val="006512B3"/>
    <w:rsid w:val="006520A5"/>
    <w:rsid w:val="00654465"/>
    <w:rsid w:val="00654E4E"/>
    <w:rsid w:val="0065581D"/>
    <w:rsid w:val="00655C2F"/>
    <w:rsid w:val="006560BD"/>
    <w:rsid w:val="006566E1"/>
    <w:rsid w:val="00657042"/>
    <w:rsid w:val="00657551"/>
    <w:rsid w:val="00657979"/>
    <w:rsid w:val="00660403"/>
    <w:rsid w:val="00660529"/>
    <w:rsid w:val="00660C6E"/>
    <w:rsid w:val="00661140"/>
    <w:rsid w:val="00661717"/>
    <w:rsid w:val="00661AAF"/>
    <w:rsid w:val="00663935"/>
    <w:rsid w:val="00663A09"/>
    <w:rsid w:val="00663D67"/>
    <w:rsid w:val="0066472A"/>
    <w:rsid w:val="006658C6"/>
    <w:rsid w:val="00666A8F"/>
    <w:rsid w:val="00666BAA"/>
    <w:rsid w:val="0066736D"/>
    <w:rsid w:val="006678AD"/>
    <w:rsid w:val="0067033C"/>
    <w:rsid w:val="00670CF1"/>
    <w:rsid w:val="006710DD"/>
    <w:rsid w:val="00671FC9"/>
    <w:rsid w:val="006721B5"/>
    <w:rsid w:val="00672F00"/>
    <w:rsid w:val="00673200"/>
    <w:rsid w:val="00673C74"/>
    <w:rsid w:val="0067501E"/>
    <w:rsid w:val="0067507A"/>
    <w:rsid w:val="0067516E"/>
    <w:rsid w:val="006761E7"/>
    <w:rsid w:val="00676E6B"/>
    <w:rsid w:val="00676EA1"/>
    <w:rsid w:val="006773D2"/>
    <w:rsid w:val="00677691"/>
    <w:rsid w:val="00680581"/>
    <w:rsid w:val="00680A56"/>
    <w:rsid w:val="00681A41"/>
    <w:rsid w:val="006821B2"/>
    <w:rsid w:val="006824F7"/>
    <w:rsid w:val="00682AB8"/>
    <w:rsid w:val="006830BF"/>
    <w:rsid w:val="0068386F"/>
    <w:rsid w:val="006838C0"/>
    <w:rsid w:val="006839B0"/>
    <w:rsid w:val="00683E98"/>
    <w:rsid w:val="00683FD3"/>
    <w:rsid w:val="00684B19"/>
    <w:rsid w:val="00685856"/>
    <w:rsid w:val="00685901"/>
    <w:rsid w:val="00685BB9"/>
    <w:rsid w:val="00686172"/>
    <w:rsid w:val="00686379"/>
    <w:rsid w:val="0068657C"/>
    <w:rsid w:val="00686598"/>
    <w:rsid w:val="006866D0"/>
    <w:rsid w:val="00686D1E"/>
    <w:rsid w:val="00687E06"/>
    <w:rsid w:val="00690127"/>
    <w:rsid w:val="006916CD"/>
    <w:rsid w:val="00691940"/>
    <w:rsid w:val="00691BFF"/>
    <w:rsid w:val="00691FA6"/>
    <w:rsid w:val="00693482"/>
    <w:rsid w:val="0069434D"/>
    <w:rsid w:val="006946E8"/>
    <w:rsid w:val="00694C8D"/>
    <w:rsid w:val="006953C1"/>
    <w:rsid w:val="00695F75"/>
    <w:rsid w:val="00696024"/>
    <w:rsid w:val="00696854"/>
    <w:rsid w:val="006969BA"/>
    <w:rsid w:val="00696EB2"/>
    <w:rsid w:val="0069741A"/>
    <w:rsid w:val="00697FD4"/>
    <w:rsid w:val="006A092B"/>
    <w:rsid w:val="006A0DEA"/>
    <w:rsid w:val="006A0E91"/>
    <w:rsid w:val="006A0FD1"/>
    <w:rsid w:val="006A14B7"/>
    <w:rsid w:val="006A16E9"/>
    <w:rsid w:val="006A291F"/>
    <w:rsid w:val="006A3CEE"/>
    <w:rsid w:val="006A3E1C"/>
    <w:rsid w:val="006A5450"/>
    <w:rsid w:val="006A655F"/>
    <w:rsid w:val="006A6AFA"/>
    <w:rsid w:val="006A7D9F"/>
    <w:rsid w:val="006B00E5"/>
    <w:rsid w:val="006B0199"/>
    <w:rsid w:val="006B0A32"/>
    <w:rsid w:val="006B0BD8"/>
    <w:rsid w:val="006B1616"/>
    <w:rsid w:val="006B369F"/>
    <w:rsid w:val="006B3B61"/>
    <w:rsid w:val="006B4557"/>
    <w:rsid w:val="006B45E1"/>
    <w:rsid w:val="006B4F4A"/>
    <w:rsid w:val="006B502E"/>
    <w:rsid w:val="006B59CC"/>
    <w:rsid w:val="006B6A6B"/>
    <w:rsid w:val="006B6BF3"/>
    <w:rsid w:val="006B77F7"/>
    <w:rsid w:val="006B7A3E"/>
    <w:rsid w:val="006B7B1D"/>
    <w:rsid w:val="006B7F68"/>
    <w:rsid w:val="006C0251"/>
    <w:rsid w:val="006C0320"/>
    <w:rsid w:val="006C096F"/>
    <w:rsid w:val="006C0D24"/>
    <w:rsid w:val="006C1ED7"/>
    <w:rsid w:val="006C1F85"/>
    <w:rsid w:val="006C2B9A"/>
    <w:rsid w:val="006C39BB"/>
    <w:rsid w:val="006C3F54"/>
    <w:rsid w:val="006C4082"/>
    <w:rsid w:val="006C4502"/>
    <w:rsid w:val="006C4BBF"/>
    <w:rsid w:val="006C6114"/>
    <w:rsid w:val="006C6D2A"/>
    <w:rsid w:val="006D12F6"/>
    <w:rsid w:val="006D1845"/>
    <w:rsid w:val="006D210A"/>
    <w:rsid w:val="006D2288"/>
    <w:rsid w:val="006D3837"/>
    <w:rsid w:val="006D4464"/>
    <w:rsid w:val="006D5E37"/>
    <w:rsid w:val="006D5E91"/>
    <w:rsid w:val="006D726E"/>
    <w:rsid w:val="006D7294"/>
    <w:rsid w:val="006D73D8"/>
    <w:rsid w:val="006D7E87"/>
    <w:rsid w:val="006D7FF4"/>
    <w:rsid w:val="006E0714"/>
    <w:rsid w:val="006E12DB"/>
    <w:rsid w:val="006E141F"/>
    <w:rsid w:val="006E14E6"/>
    <w:rsid w:val="006E1AEE"/>
    <w:rsid w:val="006E2C07"/>
    <w:rsid w:val="006E2F52"/>
    <w:rsid w:val="006E30EC"/>
    <w:rsid w:val="006E32A9"/>
    <w:rsid w:val="006E3755"/>
    <w:rsid w:val="006E3B9C"/>
    <w:rsid w:val="006E4E91"/>
    <w:rsid w:val="006E51A2"/>
    <w:rsid w:val="006E6CD1"/>
    <w:rsid w:val="006F01A3"/>
    <w:rsid w:val="006F04B5"/>
    <w:rsid w:val="006F0793"/>
    <w:rsid w:val="006F0B56"/>
    <w:rsid w:val="006F0DE2"/>
    <w:rsid w:val="006F0DF6"/>
    <w:rsid w:val="006F11BD"/>
    <w:rsid w:val="006F1A10"/>
    <w:rsid w:val="006F2449"/>
    <w:rsid w:val="006F25B4"/>
    <w:rsid w:val="006F32C7"/>
    <w:rsid w:val="006F3392"/>
    <w:rsid w:val="006F3495"/>
    <w:rsid w:val="006F349F"/>
    <w:rsid w:val="006F417D"/>
    <w:rsid w:val="006F4DE6"/>
    <w:rsid w:val="006F5C83"/>
    <w:rsid w:val="006F61F9"/>
    <w:rsid w:val="006F67CC"/>
    <w:rsid w:val="006F6A9E"/>
    <w:rsid w:val="006F6B89"/>
    <w:rsid w:val="006F74CB"/>
    <w:rsid w:val="006F7F09"/>
    <w:rsid w:val="0070072C"/>
    <w:rsid w:val="0070170A"/>
    <w:rsid w:val="00701AEF"/>
    <w:rsid w:val="00701C2D"/>
    <w:rsid w:val="00701CB0"/>
    <w:rsid w:val="00702162"/>
    <w:rsid w:val="0070234F"/>
    <w:rsid w:val="00702561"/>
    <w:rsid w:val="00703682"/>
    <w:rsid w:val="00703930"/>
    <w:rsid w:val="0070568E"/>
    <w:rsid w:val="00705702"/>
    <w:rsid w:val="00705A09"/>
    <w:rsid w:val="00705F00"/>
    <w:rsid w:val="0070610E"/>
    <w:rsid w:val="00707112"/>
    <w:rsid w:val="0070718A"/>
    <w:rsid w:val="00707759"/>
    <w:rsid w:val="00710081"/>
    <w:rsid w:val="00710B0D"/>
    <w:rsid w:val="00711460"/>
    <w:rsid w:val="00711698"/>
    <w:rsid w:val="0071309E"/>
    <w:rsid w:val="00713CB5"/>
    <w:rsid w:val="00714E27"/>
    <w:rsid w:val="00714E3F"/>
    <w:rsid w:val="0071558B"/>
    <w:rsid w:val="007155C3"/>
    <w:rsid w:val="0071670C"/>
    <w:rsid w:val="0071772B"/>
    <w:rsid w:val="0071776A"/>
    <w:rsid w:val="007177C8"/>
    <w:rsid w:val="0072057A"/>
    <w:rsid w:val="00721189"/>
    <w:rsid w:val="00721520"/>
    <w:rsid w:val="007216B5"/>
    <w:rsid w:val="0072172F"/>
    <w:rsid w:val="007221C3"/>
    <w:rsid w:val="007227E4"/>
    <w:rsid w:val="00722F2C"/>
    <w:rsid w:val="007254D1"/>
    <w:rsid w:val="00725B32"/>
    <w:rsid w:val="00725B3C"/>
    <w:rsid w:val="00725D17"/>
    <w:rsid w:val="00726215"/>
    <w:rsid w:val="0072641B"/>
    <w:rsid w:val="007304F2"/>
    <w:rsid w:val="007326A4"/>
    <w:rsid w:val="0073279B"/>
    <w:rsid w:val="00732B9B"/>
    <w:rsid w:val="00732BCE"/>
    <w:rsid w:val="00733D54"/>
    <w:rsid w:val="00734CEE"/>
    <w:rsid w:val="007353BA"/>
    <w:rsid w:val="00736A4F"/>
    <w:rsid w:val="00736EC5"/>
    <w:rsid w:val="00737753"/>
    <w:rsid w:val="00737768"/>
    <w:rsid w:val="00737FFA"/>
    <w:rsid w:val="00740A95"/>
    <w:rsid w:val="00740BB8"/>
    <w:rsid w:val="00740CE9"/>
    <w:rsid w:val="00740DFB"/>
    <w:rsid w:val="0074111D"/>
    <w:rsid w:val="007416FF"/>
    <w:rsid w:val="00741ECC"/>
    <w:rsid w:val="0074269E"/>
    <w:rsid w:val="007428E3"/>
    <w:rsid w:val="00742A48"/>
    <w:rsid w:val="0074328D"/>
    <w:rsid w:val="0074394E"/>
    <w:rsid w:val="00743E9D"/>
    <w:rsid w:val="0074422D"/>
    <w:rsid w:val="0074453F"/>
    <w:rsid w:val="00744F8C"/>
    <w:rsid w:val="007453CF"/>
    <w:rsid w:val="007463EF"/>
    <w:rsid w:val="007473A3"/>
    <w:rsid w:val="00750D0A"/>
    <w:rsid w:val="00751A2C"/>
    <w:rsid w:val="00751D53"/>
    <w:rsid w:val="00751D93"/>
    <w:rsid w:val="00752300"/>
    <w:rsid w:val="007524DD"/>
    <w:rsid w:val="00753039"/>
    <w:rsid w:val="00753BF5"/>
    <w:rsid w:val="00753C78"/>
    <w:rsid w:val="00753DC6"/>
    <w:rsid w:val="007544F1"/>
    <w:rsid w:val="007546F8"/>
    <w:rsid w:val="00755361"/>
    <w:rsid w:val="0075579B"/>
    <w:rsid w:val="00755BAB"/>
    <w:rsid w:val="00755F3F"/>
    <w:rsid w:val="0075698F"/>
    <w:rsid w:val="00757018"/>
    <w:rsid w:val="00760433"/>
    <w:rsid w:val="0076080E"/>
    <w:rsid w:val="00761885"/>
    <w:rsid w:val="00761BF2"/>
    <w:rsid w:val="0076216C"/>
    <w:rsid w:val="0076411D"/>
    <w:rsid w:val="00764B35"/>
    <w:rsid w:val="00766FA3"/>
    <w:rsid w:val="007670F8"/>
    <w:rsid w:val="007671D4"/>
    <w:rsid w:val="0076723F"/>
    <w:rsid w:val="00770202"/>
    <w:rsid w:val="0077048F"/>
    <w:rsid w:val="00770A85"/>
    <w:rsid w:val="00770AC3"/>
    <w:rsid w:val="007724B7"/>
    <w:rsid w:val="007730F9"/>
    <w:rsid w:val="00773B31"/>
    <w:rsid w:val="00773DC9"/>
    <w:rsid w:val="00773E98"/>
    <w:rsid w:val="007751AD"/>
    <w:rsid w:val="0077572E"/>
    <w:rsid w:val="00776D85"/>
    <w:rsid w:val="00777BE4"/>
    <w:rsid w:val="0078031B"/>
    <w:rsid w:val="00780EFE"/>
    <w:rsid w:val="00781145"/>
    <w:rsid w:val="007839FB"/>
    <w:rsid w:val="00783E56"/>
    <w:rsid w:val="00784F44"/>
    <w:rsid w:val="00785A9A"/>
    <w:rsid w:val="00786672"/>
    <w:rsid w:val="007868B8"/>
    <w:rsid w:val="00787093"/>
    <w:rsid w:val="007870BF"/>
    <w:rsid w:val="007872CF"/>
    <w:rsid w:val="00787C40"/>
    <w:rsid w:val="007900A7"/>
    <w:rsid w:val="0079201C"/>
    <w:rsid w:val="0079307F"/>
    <w:rsid w:val="00793600"/>
    <w:rsid w:val="007940C5"/>
    <w:rsid w:val="007947C4"/>
    <w:rsid w:val="0079496B"/>
    <w:rsid w:val="00795812"/>
    <w:rsid w:val="00795CE1"/>
    <w:rsid w:val="00797174"/>
    <w:rsid w:val="00797249"/>
    <w:rsid w:val="00797B52"/>
    <w:rsid w:val="007A0646"/>
    <w:rsid w:val="007A06AC"/>
    <w:rsid w:val="007A0FD5"/>
    <w:rsid w:val="007A1A3E"/>
    <w:rsid w:val="007A1B2F"/>
    <w:rsid w:val="007A1B66"/>
    <w:rsid w:val="007A1FED"/>
    <w:rsid w:val="007A376A"/>
    <w:rsid w:val="007A44BB"/>
    <w:rsid w:val="007A4636"/>
    <w:rsid w:val="007A4F69"/>
    <w:rsid w:val="007A52CD"/>
    <w:rsid w:val="007A5719"/>
    <w:rsid w:val="007A5DB5"/>
    <w:rsid w:val="007A5F9F"/>
    <w:rsid w:val="007A6290"/>
    <w:rsid w:val="007A66AA"/>
    <w:rsid w:val="007A69F2"/>
    <w:rsid w:val="007A71E4"/>
    <w:rsid w:val="007A7377"/>
    <w:rsid w:val="007A7881"/>
    <w:rsid w:val="007B0B83"/>
    <w:rsid w:val="007B0F9E"/>
    <w:rsid w:val="007B1014"/>
    <w:rsid w:val="007B103F"/>
    <w:rsid w:val="007B1484"/>
    <w:rsid w:val="007B15D0"/>
    <w:rsid w:val="007B1A10"/>
    <w:rsid w:val="007B31AB"/>
    <w:rsid w:val="007B3268"/>
    <w:rsid w:val="007B37F1"/>
    <w:rsid w:val="007B42D3"/>
    <w:rsid w:val="007B46D9"/>
    <w:rsid w:val="007B4D33"/>
    <w:rsid w:val="007B528F"/>
    <w:rsid w:val="007B55A7"/>
    <w:rsid w:val="007B6659"/>
    <w:rsid w:val="007B6C39"/>
    <w:rsid w:val="007B6E7E"/>
    <w:rsid w:val="007B727E"/>
    <w:rsid w:val="007B76AB"/>
    <w:rsid w:val="007B7DBD"/>
    <w:rsid w:val="007C014C"/>
    <w:rsid w:val="007C070F"/>
    <w:rsid w:val="007C09EA"/>
    <w:rsid w:val="007C0A80"/>
    <w:rsid w:val="007C0EBA"/>
    <w:rsid w:val="007C1547"/>
    <w:rsid w:val="007C1550"/>
    <w:rsid w:val="007C181E"/>
    <w:rsid w:val="007C1F4A"/>
    <w:rsid w:val="007C264B"/>
    <w:rsid w:val="007C42D6"/>
    <w:rsid w:val="007C45D3"/>
    <w:rsid w:val="007C4612"/>
    <w:rsid w:val="007C5170"/>
    <w:rsid w:val="007C5550"/>
    <w:rsid w:val="007C597B"/>
    <w:rsid w:val="007C6031"/>
    <w:rsid w:val="007C636A"/>
    <w:rsid w:val="007C6BBC"/>
    <w:rsid w:val="007C6C0D"/>
    <w:rsid w:val="007C760C"/>
    <w:rsid w:val="007D01EF"/>
    <w:rsid w:val="007D02CC"/>
    <w:rsid w:val="007D05B5"/>
    <w:rsid w:val="007D0626"/>
    <w:rsid w:val="007D08FD"/>
    <w:rsid w:val="007D1584"/>
    <w:rsid w:val="007D1F4F"/>
    <w:rsid w:val="007D2044"/>
    <w:rsid w:val="007D3BF7"/>
    <w:rsid w:val="007D4793"/>
    <w:rsid w:val="007D485C"/>
    <w:rsid w:val="007D4F33"/>
    <w:rsid w:val="007D554B"/>
    <w:rsid w:val="007D65BE"/>
    <w:rsid w:val="007D65C7"/>
    <w:rsid w:val="007D68F2"/>
    <w:rsid w:val="007D69DE"/>
    <w:rsid w:val="007D6AD6"/>
    <w:rsid w:val="007D74D2"/>
    <w:rsid w:val="007D7875"/>
    <w:rsid w:val="007D79B5"/>
    <w:rsid w:val="007D7AB6"/>
    <w:rsid w:val="007E0EAD"/>
    <w:rsid w:val="007E13B1"/>
    <w:rsid w:val="007E13FA"/>
    <w:rsid w:val="007E1D1C"/>
    <w:rsid w:val="007E2334"/>
    <w:rsid w:val="007E23CE"/>
    <w:rsid w:val="007E2CE7"/>
    <w:rsid w:val="007E307F"/>
    <w:rsid w:val="007E3C45"/>
    <w:rsid w:val="007E43D0"/>
    <w:rsid w:val="007E4B35"/>
    <w:rsid w:val="007E4C22"/>
    <w:rsid w:val="007E4F00"/>
    <w:rsid w:val="007E54F8"/>
    <w:rsid w:val="007E5987"/>
    <w:rsid w:val="007E5BD8"/>
    <w:rsid w:val="007E62CC"/>
    <w:rsid w:val="007E6856"/>
    <w:rsid w:val="007E68A4"/>
    <w:rsid w:val="007E68B9"/>
    <w:rsid w:val="007E7BF9"/>
    <w:rsid w:val="007E7C5A"/>
    <w:rsid w:val="007F02BC"/>
    <w:rsid w:val="007F02E5"/>
    <w:rsid w:val="007F0715"/>
    <w:rsid w:val="007F1D17"/>
    <w:rsid w:val="007F20D7"/>
    <w:rsid w:val="007F23DE"/>
    <w:rsid w:val="007F2584"/>
    <w:rsid w:val="007F2C01"/>
    <w:rsid w:val="007F2E65"/>
    <w:rsid w:val="007F35CC"/>
    <w:rsid w:val="007F3902"/>
    <w:rsid w:val="007F3CFC"/>
    <w:rsid w:val="007F43BA"/>
    <w:rsid w:val="007F45D1"/>
    <w:rsid w:val="007F496B"/>
    <w:rsid w:val="007F50D7"/>
    <w:rsid w:val="007F5ADD"/>
    <w:rsid w:val="007F5BD3"/>
    <w:rsid w:val="007F5F34"/>
    <w:rsid w:val="007F5F3B"/>
    <w:rsid w:val="007F5FE0"/>
    <w:rsid w:val="007F6350"/>
    <w:rsid w:val="007F64BE"/>
    <w:rsid w:val="007F68CE"/>
    <w:rsid w:val="007F6DC3"/>
    <w:rsid w:val="007F7A54"/>
    <w:rsid w:val="008006B4"/>
    <w:rsid w:val="008015B6"/>
    <w:rsid w:val="008018DE"/>
    <w:rsid w:val="0080396C"/>
    <w:rsid w:val="00803FD4"/>
    <w:rsid w:val="0080481C"/>
    <w:rsid w:val="00804C54"/>
    <w:rsid w:val="008056DD"/>
    <w:rsid w:val="00805926"/>
    <w:rsid w:val="008079DC"/>
    <w:rsid w:val="008102B9"/>
    <w:rsid w:val="0081104C"/>
    <w:rsid w:val="008121F2"/>
    <w:rsid w:val="008127DF"/>
    <w:rsid w:val="00812D16"/>
    <w:rsid w:val="00814647"/>
    <w:rsid w:val="00814892"/>
    <w:rsid w:val="00815D7A"/>
    <w:rsid w:val="00815FCD"/>
    <w:rsid w:val="0081625B"/>
    <w:rsid w:val="0081661D"/>
    <w:rsid w:val="00816B08"/>
    <w:rsid w:val="00816B8E"/>
    <w:rsid w:val="00816C40"/>
    <w:rsid w:val="00816C51"/>
    <w:rsid w:val="00817046"/>
    <w:rsid w:val="0081718B"/>
    <w:rsid w:val="00817C48"/>
    <w:rsid w:val="00821865"/>
    <w:rsid w:val="00822340"/>
    <w:rsid w:val="008225EB"/>
    <w:rsid w:val="00822B86"/>
    <w:rsid w:val="00822EE8"/>
    <w:rsid w:val="00823018"/>
    <w:rsid w:val="0082327D"/>
    <w:rsid w:val="0082433D"/>
    <w:rsid w:val="008254D2"/>
    <w:rsid w:val="008263B6"/>
    <w:rsid w:val="00826424"/>
    <w:rsid w:val="00826509"/>
    <w:rsid w:val="00827AA2"/>
    <w:rsid w:val="00827ADE"/>
    <w:rsid w:val="00827FF3"/>
    <w:rsid w:val="008304EA"/>
    <w:rsid w:val="0083354D"/>
    <w:rsid w:val="00833C08"/>
    <w:rsid w:val="008341CF"/>
    <w:rsid w:val="008345DE"/>
    <w:rsid w:val="0083561B"/>
    <w:rsid w:val="0083694D"/>
    <w:rsid w:val="008376DE"/>
    <w:rsid w:val="00837741"/>
    <w:rsid w:val="00837CBE"/>
    <w:rsid w:val="00837D78"/>
    <w:rsid w:val="00840D79"/>
    <w:rsid w:val="0084226A"/>
    <w:rsid w:val="00842A21"/>
    <w:rsid w:val="00843391"/>
    <w:rsid w:val="00843ADC"/>
    <w:rsid w:val="00843B63"/>
    <w:rsid w:val="00843CDF"/>
    <w:rsid w:val="0084577E"/>
    <w:rsid w:val="00845826"/>
    <w:rsid w:val="00845DAD"/>
    <w:rsid w:val="00846431"/>
    <w:rsid w:val="0084684B"/>
    <w:rsid w:val="00847A60"/>
    <w:rsid w:val="00847E49"/>
    <w:rsid w:val="00850083"/>
    <w:rsid w:val="00850279"/>
    <w:rsid w:val="00851377"/>
    <w:rsid w:val="008514B0"/>
    <w:rsid w:val="0085437C"/>
    <w:rsid w:val="0085440B"/>
    <w:rsid w:val="00854ACA"/>
    <w:rsid w:val="00854B2F"/>
    <w:rsid w:val="00855481"/>
    <w:rsid w:val="00855671"/>
    <w:rsid w:val="00856354"/>
    <w:rsid w:val="008566DE"/>
    <w:rsid w:val="008568E1"/>
    <w:rsid w:val="00856BE9"/>
    <w:rsid w:val="00856D58"/>
    <w:rsid w:val="00857891"/>
    <w:rsid w:val="008578F8"/>
    <w:rsid w:val="00860566"/>
    <w:rsid w:val="00860DC5"/>
    <w:rsid w:val="0086129A"/>
    <w:rsid w:val="0086165C"/>
    <w:rsid w:val="00861752"/>
    <w:rsid w:val="00861B26"/>
    <w:rsid w:val="008620D4"/>
    <w:rsid w:val="0086215C"/>
    <w:rsid w:val="00862931"/>
    <w:rsid w:val="008629EE"/>
    <w:rsid w:val="00862EED"/>
    <w:rsid w:val="00863960"/>
    <w:rsid w:val="00863F63"/>
    <w:rsid w:val="00864285"/>
    <w:rsid w:val="008643FC"/>
    <w:rsid w:val="008649B9"/>
    <w:rsid w:val="00864FDB"/>
    <w:rsid w:val="0086750A"/>
    <w:rsid w:val="008677C7"/>
    <w:rsid w:val="0086784F"/>
    <w:rsid w:val="00867AB8"/>
    <w:rsid w:val="00867C7B"/>
    <w:rsid w:val="00870394"/>
    <w:rsid w:val="008705EE"/>
    <w:rsid w:val="0087073B"/>
    <w:rsid w:val="008713C9"/>
    <w:rsid w:val="0087148A"/>
    <w:rsid w:val="00871BD2"/>
    <w:rsid w:val="00873967"/>
    <w:rsid w:val="008739AF"/>
    <w:rsid w:val="00873BA0"/>
    <w:rsid w:val="00873CA1"/>
    <w:rsid w:val="008742CA"/>
    <w:rsid w:val="008743BB"/>
    <w:rsid w:val="008754DB"/>
    <w:rsid w:val="00875B62"/>
    <w:rsid w:val="00875D91"/>
    <w:rsid w:val="00875DFE"/>
    <w:rsid w:val="00876945"/>
    <w:rsid w:val="00876A7A"/>
    <w:rsid w:val="008770D4"/>
    <w:rsid w:val="008774C8"/>
    <w:rsid w:val="008800E5"/>
    <w:rsid w:val="00880381"/>
    <w:rsid w:val="008804EC"/>
    <w:rsid w:val="008805A6"/>
    <w:rsid w:val="00880D81"/>
    <w:rsid w:val="0088127F"/>
    <w:rsid w:val="008815EF"/>
    <w:rsid w:val="00881B88"/>
    <w:rsid w:val="00881EE5"/>
    <w:rsid w:val="00883598"/>
    <w:rsid w:val="00883ED5"/>
    <w:rsid w:val="008848D6"/>
    <w:rsid w:val="00884C14"/>
    <w:rsid w:val="00885273"/>
    <w:rsid w:val="008852F7"/>
    <w:rsid w:val="00885EF8"/>
    <w:rsid w:val="00885F2C"/>
    <w:rsid w:val="00886386"/>
    <w:rsid w:val="00886AE2"/>
    <w:rsid w:val="00886E05"/>
    <w:rsid w:val="0088701C"/>
    <w:rsid w:val="0088738D"/>
    <w:rsid w:val="00887B9A"/>
    <w:rsid w:val="008917C9"/>
    <w:rsid w:val="00891BF6"/>
    <w:rsid w:val="00892459"/>
    <w:rsid w:val="00892571"/>
    <w:rsid w:val="008925B4"/>
    <w:rsid w:val="008929AA"/>
    <w:rsid w:val="00892AA5"/>
    <w:rsid w:val="00893633"/>
    <w:rsid w:val="0089499B"/>
    <w:rsid w:val="00894ACA"/>
    <w:rsid w:val="00894EC5"/>
    <w:rsid w:val="00895800"/>
    <w:rsid w:val="00896658"/>
    <w:rsid w:val="008967B5"/>
    <w:rsid w:val="00897623"/>
    <w:rsid w:val="00897ACD"/>
    <w:rsid w:val="008A03AC"/>
    <w:rsid w:val="008A1008"/>
    <w:rsid w:val="008A1396"/>
    <w:rsid w:val="008A1A76"/>
    <w:rsid w:val="008A1E1F"/>
    <w:rsid w:val="008A22E2"/>
    <w:rsid w:val="008A305C"/>
    <w:rsid w:val="008A313A"/>
    <w:rsid w:val="008A345A"/>
    <w:rsid w:val="008A3DB9"/>
    <w:rsid w:val="008A45ED"/>
    <w:rsid w:val="008A5788"/>
    <w:rsid w:val="008A6A5C"/>
    <w:rsid w:val="008A7316"/>
    <w:rsid w:val="008A7335"/>
    <w:rsid w:val="008B00F8"/>
    <w:rsid w:val="008B1E38"/>
    <w:rsid w:val="008B2C5F"/>
    <w:rsid w:val="008B3200"/>
    <w:rsid w:val="008B364F"/>
    <w:rsid w:val="008B45D8"/>
    <w:rsid w:val="008B4937"/>
    <w:rsid w:val="008B4A1C"/>
    <w:rsid w:val="008B500A"/>
    <w:rsid w:val="008B57BE"/>
    <w:rsid w:val="008B5A2B"/>
    <w:rsid w:val="008B72B5"/>
    <w:rsid w:val="008B79EF"/>
    <w:rsid w:val="008B7F49"/>
    <w:rsid w:val="008C090B"/>
    <w:rsid w:val="008C0C72"/>
    <w:rsid w:val="008C106B"/>
    <w:rsid w:val="008C1610"/>
    <w:rsid w:val="008C1E1B"/>
    <w:rsid w:val="008C2BBB"/>
    <w:rsid w:val="008C2F1E"/>
    <w:rsid w:val="008C30E5"/>
    <w:rsid w:val="008C3B5B"/>
    <w:rsid w:val="008C409F"/>
    <w:rsid w:val="008C4970"/>
    <w:rsid w:val="008C4CBB"/>
    <w:rsid w:val="008C5942"/>
    <w:rsid w:val="008C5CFD"/>
    <w:rsid w:val="008C602D"/>
    <w:rsid w:val="008C6650"/>
    <w:rsid w:val="008C6BCC"/>
    <w:rsid w:val="008C7923"/>
    <w:rsid w:val="008D098D"/>
    <w:rsid w:val="008D135A"/>
    <w:rsid w:val="008D14BD"/>
    <w:rsid w:val="008D1832"/>
    <w:rsid w:val="008D1834"/>
    <w:rsid w:val="008D2205"/>
    <w:rsid w:val="008D2331"/>
    <w:rsid w:val="008D242D"/>
    <w:rsid w:val="008D347F"/>
    <w:rsid w:val="008D35AD"/>
    <w:rsid w:val="008D36CD"/>
    <w:rsid w:val="008D4380"/>
    <w:rsid w:val="008D441B"/>
    <w:rsid w:val="008D4441"/>
    <w:rsid w:val="008D48D1"/>
    <w:rsid w:val="008D4EA4"/>
    <w:rsid w:val="008D5045"/>
    <w:rsid w:val="008D5456"/>
    <w:rsid w:val="008D5CAE"/>
    <w:rsid w:val="008D5FC7"/>
    <w:rsid w:val="008D6BE8"/>
    <w:rsid w:val="008D6D11"/>
    <w:rsid w:val="008D6F89"/>
    <w:rsid w:val="008E0466"/>
    <w:rsid w:val="008E11B5"/>
    <w:rsid w:val="008E1221"/>
    <w:rsid w:val="008E13F8"/>
    <w:rsid w:val="008E27E9"/>
    <w:rsid w:val="008E42DE"/>
    <w:rsid w:val="008E6537"/>
    <w:rsid w:val="008E6700"/>
    <w:rsid w:val="008E67B3"/>
    <w:rsid w:val="008E7A01"/>
    <w:rsid w:val="008E7C0B"/>
    <w:rsid w:val="008E7FB4"/>
    <w:rsid w:val="008F016B"/>
    <w:rsid w:val="008F088F"/>
    <w:rsid w:val="008F0E8C"/>
    <w:rsid w:val="008F141D"/>
    <w:rsid w:val="008F2C49"/>
    <w:rsid w:val="008F2D2C"/>
    <w:rsid w:val="008F35C0"/>
    <w:rsid w:val="008F36F0"/>
    <w:rsid w:val="008F4A55"/>
    <w:rsid w:val="008F52DD"/>
    <w:rsid w:val="008F550B"/>
    <w:rsid w:val="008F574D"/>
    <w:rsid w:val="008F66BC"/>
    <w:rsid w:val="008F6C59"/>
    <w:rsid w:val="008F6D5B"/>
    <w:rsid w:val="008F78D1"/>
    <w:rsid w:val="008F7CFF"/>
    <w:rsid w:val="008F7ED1"/>
    <w:rsid w:val="009002AF"/>
    <w:rsid w:val="00901623"/>
    <w:rsid w:val="00901C8D"/>
    <w:rsid w:val="009022C9"/>
    <w:rsid w:val="00902E61"/>
    <w:rsid w:val="00904A4D"/>
    <w:rsid w:val="00904AE4"/>
    <w:rsid w:val="00905643"/>
    <w:rsid w:val="00905B63"/>
    <w:rsid w:val="00905EE9"/>
    <w:rsid w:val="0090659B"/>
    <w:rsid w:val="009065F4"/>
    <w:rsid w:val="00907241"/>
    <w:rsid w:val="009075A7"/>
    <w:rsid w:val="00907DFB"/>
    <w:rsid w:val="00910624"/>
    <w:rsid w:val="00910A20"/>
    <w:rsid w:val="00910FBA"/>
    <w:rsid w:val="00911D39"/>
    <w:rsid w:val="009121F6"/>
    <w:rsid w:val="00912B9F"/>
    <w:rsid w:val="009132F5"/>
    <w:rsid w:val="00914067"/>
    <w:rsid w:val="009150ED"/>
    <w:rsid w:val="00915A0D"/>
    <w:rsid w:val="00915BA8"/>
    <w:rsid w:val="009169EE"/>
    <w:rsid w:val="00916DD4"/>
    <w:rsid w:val="009174A4"/>
    <w:rsid w:val="00917C0F"/>
    <w:rsid w:val="0092040E"/>
    <w:rsid w:val="00920C57"/>
    <w:rsid w:val="00920C6C"/>
    <w:rsid w:val="00921897"/>
    <w:rsid w:val="00921C6D"/>
    <w:rsid w:val="009222D3"/>
    <w:rsid w:val="0092259D"/>
    <w:rsid w:val="009227D9"/>
    <w:rsid w:val="0092295B"/>
    <w:rsid w:val="00923A9F"/>
    <w:rsid w:val="00923C44"/>
    <w:rsid w:val="00923CE4"/>
    <w:rsid w:val="00925099"/>
    <w:rsid w:val="00925CE2"/>
    <w:rsid w:val="009261BB"/>
    <w:rsid w:val="009265E8"/>
    <w:rsid w:val="00926BB1"/>
    <w:rsid w:val="00927791"/>
    <w:rsid w:val="00930607"/>
    <w:rsid w:val="00930D0A"/>
    <w:rsid w:val="009319E1"/>
    <w:rsid w:val="0093290A"/>
    <w:rsid w:val="009329BA"/>
    <w:rsid w:val="00932A89"/>
    <w:rsid w:val="0093304D"/>
    <w:rsid w:val="0093305C"/>
    <w:rsid w:val="00934E99"/>
    <w:rsid w:val="00935129"/>
    <w:rsid w:val="00935208"/>
    <w:rsid w:val="0093681B"/>
    <w:rsid w:val="00936939"/>
    <w:rsid w:val="00936C8D"/>
    <w:rsid w:val="009374C4"/>
    <w:rsid w:val="009378CB"/>
    <w:rsid w:val="00937EE0"/>
    <w:rsid w:val="0094053B"/>
    <w:rsid w:val="00940591"/>
    <w:rsid w:val="00940837"/>
    <w:rsid w:val="00940B4B"/>
    <w:rsid w:val="0094195E"/>
    <w:rsid w:val="00942040"/>
    <w:rsid w:val="00942C9F"/>
    <w:rsid w:val="00942D00"/>
    <w:rsid w:val="00942E7A"/>
    <w:rsid w:val="00943F98"/>
    <w:rsid w:val="00944AC2"/>
    <w:rsid w:val="00945360"/>
    <w:rsid w:val="00945631"/>
    <w:rsid w:val="009456B0"/>
    <w:rsid w:val="009471B2"/>
    <w:rsid w:val="00947322"/>
    <w:rsid w:val="00947549"/>
    <w:rsid w:val="0094797A"/>
    <w:rsid w:val="00947CF3"/>
    <w:rsid w:val="00950C3F"/>
    <w:rsid w:val="009522C6"/>
    <w:rsid w:val="00952975"/>
    <w:rsid w:val="00953D79"/>
    <w:rsid w:val="009549D1"/>
    <w:rsid w:val="009555E0"/>
    <w:rsid w:val="0095793C"/>
    <w:rsid w:val="0096111E"/>
    <w:rsid w:val="00961125"/>
    <w:rsid w:val="009615A7"/>
    <w:rsid w:val="009623D8"/>
    <w:rsid w:val="00963362"/>
    <w:rsid w:val="009634E3"/>
    <w:rsid w:val="00963BD1"/>
    <w:rsid w:val="009650F0"/>
    <w:rsid w:val="0096593F"/>
    <w:rsid w:val="00965FB5"/>
    <w:rsid w:val="009664A2"/>
    <w:rsid w:val="00966B1F"/>
    <w:rsid w:val="00966E60"/>
    <w:rsid w:val="00970A7E"/>
    <w:rsid w:val="00970FA8"/>
    <w:rsid w:val="00971074"/>
    <w:rsid w:val="0097116E"/>
    <w:rsid w:val="00973517"/>
    <w:rsid w:val="0097398B"/>
    <w:rsid w:val="00973E96"/>
    <w:rsid w:val="009742A6"/>
    <w:rsid w:val="00974518"/>
    <w:rsid w:val="00975500"/>
    <w:rsid w:val="00976A07"/>
    <w:rsid w:val="00976D3A"/>
    <w:rsid w:val="00976EDB"/>
    <w:rsid w:val="009772E8"/>
    <w:rsid w:val="00977714"/>
    <w:rsid w:val="009803EE"/>
    <w:rsid w:val="00980FE0"/>
    <w:rsid w:val="009816FE"/>
    <w:rsid w:val="0098170B"/>
    <w:rsid w:val="00981B10"/>
    <w:rsid w:val="00981BAE"/>
    <w:rsid w:val="00982A4E"/>
    <w:rsid w:val="00982C90"/>
    <w:rsid w:val="00985008"/>
    <w:rsid w:val="00985A91"/>
    <w:rsid w:val="00985F8B"/>
    <w:rsid w:val="00987D26"/>
    <w:rsid w:val="00987E46"/>
    <w:rsid w:val="00990B70"/>
    <w:rsid w:val="00990C3B"/>
    <w:rsid w:val="00990CE0"/>
    <w:rsid w:val="00991356"/>
    <w:rsid w:val="00991CBD"/>
    <w:rsid w:val="009921E6"/>
    <w:rsid w:val="009928B7"/>
    <w:rsid w:val="009929C2"/>
    <w:rsid w:val="00992D2B"/>
    <w:rsid w:val="0099321A"/>
    <w:rsid w:val="0099375B"/>
    <w:rsid w:val="009937C5"/>
    <w:rsid w:val="009947E8"/>
    <w:rsid w:val="009950F6"/>
    <w:rsid w:val="00995904"/>
    <w:rsid w:val="00995B90"/>
    <w:rsid w:val="00995E3D"/>
    <w:rsid w:val="009960B7"/>
    <w:rsid w:val="009967A0"/>
    <w:rsid w:val="00996B2C"/>
    <w:rsid w:val="00996E50"/>
    <w:rsid w:val="00996F08"/>
    <w:rsid w:val="0099707C"/>
    <w:rsid w:val="009972FE"/>
    <w:rsid w:val="009A07DB"/>
    <w:rsid w:val="009A0997"/>
    <w:rsid w:val="009A2EB0"/>
    <w:rsid w:val="009A490C"/>
    <w:rsid w:val="009A660A"/>
    <w:rsid w:val="009A6F60"/>
    <w:rsid w:val="009B005B"/>
    <w:rsid w:val="009B045C"/>
    <w:rsid w:val="009B0C02"/>
    <w:rsid w:val="009B0E4B"/>
    <w:rsid w:val="009B1DB7"/>
    <w:rsid w:val="009B27AC"/>
    <w:rsid w:val="009B2CC5"/>
    <w:rsid w:val="009B42FF"/>
    <w:rsid w:val="009B4B59"/>
    <w:rsid w:val="009B4CB2"/>
    <w:rsid w:val="009B536C"/>
    <w:rsid w:val="009B5C19"/>
    <w:rsid w:val="009B637B"/>
    <w:rsid w:val="009B6496"/>
    <w:rsid w:val="009B658D"/>
    <w:rsid w:val="009B6EFC"/>
    <w:rsid w:val="009C01DA"/>
    <w:rsid w:val="009C02E1"/>
    <w:rsid w:val="009C1528"/>
    <w:rsid w:val="009C1866"/>
    <w:rsid w:val="009C20CC"/>
    <w:rsid w:val="009C218E"/>
    <w:rsid w:val="009C2BDF"/>
    <w:rsid w:val="009C32FB"/>
    <w:rsid w:val="009C3558"/>
    <w:rsid w:val="009C4FDD"/>
    <w:rsid w:val="009C54D7"/>
    <w:rsid w:val="009C562E"/>
    <w:rsid w:val="009C5E44"/>
    <w:rsid w:val="009C6767"/>
    <w:rsid w:val="009C7531"/>
    <w:rsid w:val="009C76FE"/>
    <w:rsid w:val="009D1449"/>
    <w:rsid w:val="009D1647"/>
    <w:rsid w:val="009D1737"/>
    <w:rsid w:val="009D1C60"/>
    <w:rsid w:val="009D220C"/>
    <w:rsid w:val="009D221F"/>
    <w:rsid w:val="009D282E"/>
    <w:rsid w:val="009D31B8"/>
    <w:rsid w:val="009D3D9E"/>
    <w:rsid w:val="009D4D49"/>
    <w:rsid w:val="009D532C"/>
    <w:rsid w:val="009D69B7"/>
    <w:rsid w:val="009D6E32"/>
    <w:rsid w:val="009E09F0"/>
    <w:rsid w:val="009E0AAF"/>
    <w:rsid w:val="009E0C82"/>
    <w:rsid w:val="009E14C8"/>
    <w:rsid w:val="009E19E8"/>
    <w:rsid w:val="009E1E1A"/>
    <w:rsid w:val="009E1E7B"/>
    <w:rsid w:val="009E1F0F"/>
    <w:rsid w:val="009E228B"/>
    <w:rsid w:val="009E2962"/>
    <w:rsid w:val="009E2B54"/>
    <w:rsid w:val="009E2EBC"/>
    <w:rsid w:val="009E377C"/>
    <w:rsid w:val="009E411C"/>
    <w:rsid w:val="009E458A"/>
    <w:rsid w:val="009E5316"/>
    <w:rsid w:val="009E5D7C"/>
    <w:rsid w:val="009E5DFC"/>
    <w:rsid w:val="009E6BB7"/>
    <w:rsid w:val="009E6DC5"/>
    <w:rsid w:val="009E7849"/>
    <w:rsid w:val="009E7FE0"/>
    <w:rsid w:val="009F1286"/>
    <w:rsid w:val="009F1789"/>
    <w:rsid w:val="009F2591"/>
    <w:rsid w:val="009F2E3B"/>
    <w:rsid w:val="009F35C0"/>
    <w:rsid w:val="009F36D2"/>
    <w:rsid w:val="009F379B"/>
    <w:rsid w:val="009F39E9"/>
    <w:rsid w:val="009F3B6B"/>
    <w:rsid w:val="009F4504"/>
    <w:rsid w:val="009F4F50"/>
    <w:rsid w:val="009F502C"/>
    <w:rsid w:val="009F50D8"/>
    <w:rsid w:val="009F572F"/>
    <w:rsid w:val="009F5BF6"/>
    <w:rsid w:val="009F603B"/>
    <w:rsid w:val="009F62C2"/>
    <w:rsid w:val="009F692B"/>
    <w:rsid w:val="009F6987"/>
    <w:rsid w:val="009F720F"/>
    <w:rsid w:val="009F7671"/>
    <w:rsid w:val="009F767E"/>
    <w:rsid w:val="009F7767"/>
    <w:rsid w:val="009F7E70"/>
    <w:rsid w:val="00A00D15"/>
    <w:rsid w:val="00A00E33"/>
    <w:rsid w:val="00A010E7"/>
    <w:rsid w:val="00A011A5"/>
    <w:rsid w:val="00A01A17"/>
    <w:rsid w:val="00A01A60"/>
    <w:rsid w:val="00A02519"/>
    <w:rsid w:val="00A03D43"/>
    <w:rsid w:val="00A03DFC"/>
    <w:rsid w:val="00A03E36"/>
    <w:rsid w:val="00A04B74"/>
    <w:rsid w:val="00A05B48"/>
    <w:rsid w:val="00A06DFA"/>
    <w:rsid w:val="00A06E6E"/>
    <w:rsid w:val="00A076F9"/>
    <w:rsid w:val="00A07997"/>
    <w:rsid w:val="00A07F87"/>
    <w:rsid w:val="00A10152"/>
    <w:rsid w:val="00A103FA"/>
    <w:rsid w:val="00A106CC"/>
    <w:rsid w:val="00A10D56"/>
    <w:rsid w:val="00A11D3E"/>
    <w:rsid w:val="00A1210B"/>
    <w:rsid w:val="00A13659"/>
    <w:rsid w:val="00A14208"/>
    <w:rsid w:val="00A1504F"/>
    <w:rsid w:val="00A15715"/>
    <w:rsid w:val="00A1593C"/>
    <w:rsid w:val="00A15CD0"/>
    <w:rsid w:val="00A1637F"/>
    <w:rsid w:val="00A17A12"/>
    <w:rsid w:val="00A206ED"/>
    <w:rsid w:val="00A20806"/>
    <w:rsid w:val="00A20C7F"/>
    <w:rsid w:val="00A20F6E"/>
    <w:rsid w:val="00A21554"/>
    <w:rsid w:val="00A21D41"/>
    <w:rsid w:val="00A22950"/>
    <w:rsid w:val="00A22DBA"/>
    <w:rsid w:val="00A2329D"/>
    <w:rsid w:val="00A2423D"/>
    <w:rsid w:val="00A24571"/>
    <w:rsid w:val="00A2490E"/>
    <w:rsid w:val="00A25442"/>
    <w:rsid w:val="00A25539"/>
    <w:rsid w:val="00A25BFF"/>
    <w:rsid w:val="00A26541"/>
    <w:rsid w:val="00A26648"/>
    <w:rsid w:val="00A26F79"/>
    <w:rsid w:val="00A27522"/>
    <w:rsid w:val="00A310A2"/>
    <w:rsid w:val="00A3136F"/>
    <w:rsid w:val="00A3170D"/>
    <w:rsid w:val="00A31E17"/>
    <w:rsid w:val="00A32978"/>
    <w:rsid w:val="00A33475"/>
    <w:rsid w:val="00A33AA1"/>
    <w:rsid w:val="00A34D0C"/>
    <w:rsid w:val="00A34D76"/>
    <w:rsid w:val="00A35125"/>
    <w:rsid w:val="00A3560A"/>
    <w:rsid w:val="00A35ED9"/>
    <w:rsid w:val="00A365D0"/>
    <w:rsid w:val="00A37A4A"/>
    <w:rsid w:val="00A37D1F"/>
    <w:rsid w:val="00A37D3C"/>
    <w:rsid w:val="00A402B8"/>
    <w:rsid w:val="00A4043E"/>
    <w:rsid w:val="00A40D25"/>
    <w:rsid w:val="00A410E2"/>
    <w:rsid w:val="00A41543"/>
    <w:rsid w:val="00A41C97"/>
    <w:rsid w:val="00A42511"/>
    <w:rsid w:val="00A42A18"/>
    <w:rsid w:val="00A437D9"/>
    <w:rsid w:val="00A43C16"/>
    <w:rsid w:val="00A44147"/>
    <w:rsid w:val="00A443A6"/>
    <w:rsid w:val="00A45536"/>
    <w:rsid w:val="00A4591E"/>
    <w:rsid w:val="00A45A1A"/>
    <w:rsid w:val="00A45E61"/>
    <w:rsid w:val="00A462A8"/>
    <w:rsid w:val="00A47F32"/>
    <w:rsid w:val="00A53220"/>
    <w:rsid w:val="00A538E6"/>
    <w:rsid w:val="00A53F7B"/>
    <w:rsid w:val="00A54514"/>
    <w:rsid w:val="00A55134"/>
    <w:rsid w:val="00A553E9"/>
    <w:rsid w:val="00A55A15"/>
    <w:rsid w:val="00A55E53"/>
    <w:rsid w:val="00A55F21"/>
    <w:rsid w:val="00A56102"/>
    <w:rsid w:val="00A56800"/>
    <w:rsid w:val="00A56D7E"/>
    <w:rsid w:val="00A57404"/>
    <w:rsid w:val="00A575BD"/>
    <w:rsid w:val="00A57AF4"/>
    <w:rsid w:val="00A60246"/>
    <w:rsid w:val="00A60A5D"/>
    <w:rsid w:val="00A60CBF"/>
    <w:rsid w:val="00A60EEC"/>
    <w:rsid w:val="00A61AE5"/>
    <w:rsid w:val="00A62035"/>
    <w:rsid w:val="00A630BA"/>
    <w:rsid w:val="00A6326A"/>
    <w:rsid w:val="00A63828"/>
    <w:rsid w:val="00A63B83"/>
    <w:rsid w:val="00A643A6"/>
    <w:rsid w:val="00A643C6"/>
    <w:rsid w:val="00A6459F"/>
    <w:rsid w:val="00A648B5"/>
    <w:rsid w:val="00A64D5D"/>
    <w:rsid w:val="00A65BD9"/>
    <w:rsid w:val="00A663E7"/>
    <w:rsid w:val="00A66406"/>
    <w:rsid w:val="00A6645B"/>
    <w:rsid w:val="00A66647"/>
    <w:rsid w:val="00A66718"/>
    <w:rsid w:val="00A66D70"/>
    <w:rsid w:val="00A6717D"/>
    <w:rsid w:val="00A671EF"/>
    <w:rsid w:val="00A67454"/>
    <w:rsid w:val="00A67BEB"/>
    <w:rsid w:val="00A70157"/>
    <w:rsid w:val="00A70558"/>
    <w:rsid w:val="00A70B31"/>
    <w:rsid w:val="00A71AE7"/>
    <w:rsid w:val="00A723CD"/>
    <w:rsid w:val="00A72969"/>
    <w:rsid w:val="00A72B43"/>
    <w:rsid w:val="00A73A74"/>
    <w:rsid w:val="00A746B5"/>
    <w:rsid w:val="00A759FE"/>
    <w:rsid w:val="00A75C42"/>
    <w:rsid w:val="00A75CF1"/>
    <w:rsid w:val="00A75E5C"/>
    <w:rsid w:val="00A75FE1"/>
    <w:rsid w:val="00A762F1"/>
    <w:rsid w:val="00A76D67"/>
    <w:rsid w:val="00A770D5"/>
    <w:rsid w:val="00A77562"/>
    <w:rsid w:val="00A776B8"/>
    <w:rsid w:val="00A800FA"/>
    <w:rsid w:val="00A80DBA"/>
    <w:rsid w:val="00A81EB6"/>
    <w:rsid w:val="00A82CB1"/>
    <w:rsid w:val="00A82DE9"/>
    <w:rsid w:val="00A837FE"/>
    <w:rsid w:val="00A83EC7"/>
    <w:rsid w:val="00A83FD6"/>
    <w:rsid w:val="00A84334"/>
    <w:rsid w:val="00A85357"/>
    <w:rsid w:val="00A856B8"/>
    <w:rsid w:val="00A85B41"/>
    <w:rsid w:val="00A85FAC"/>
    <w:rsid w:val="00A868EA"/>
    <w:rsid w:val="00A86A99"/>
    <w:rsid w:val="00A871E5"/>
    <w:rsid w:val="00A87AC3"/>
    <w:rsid w:val="00A902DD"/>
    <w:rsid w:val="00A91106"/>
    <w:rsid w:val="00A91617"/>
    <w:rsid w:val="00A9197D"/>
    <w:rsid w:val="00A919C4"/>
    <w:rsid w:val="00A91D6A"/>
    <w:rsid w:val="00A9203A"/>
    <w:rsid w:val="00A921E7"/>
    <w:rsid w:val="00A929C6"/>
    <w:rsid w:val="00A92A82"/>
    <w:rsid w:val="00A92F1A"/>
    <w:rsid w:val="00A93C1C"/>
    <w:rsid w:val="00A944DC"/>
    <w:rsid w:val="00A963AB"/>
    <w:rsid w:val="00A96FA8"/>
    <w:rsid w:val="00A9770A"/>
    <w:rsid w:val="00AA0A43"/>
    <w:rsid w:val="00AA0DD3"/>
    <w:rsid w:val="00AA171A"/>
    <w:rsid w:val="00AA1C07"/>
    <w:rsid w:val="00AA1D58"/>
    <w:rsid w:val="00AA25EE"/>
    <w:rsid w:val="00AA2F84"/>
    <w:rsid w:val="00AA3688"/>
    <w:rsid w:val="00AA4006"/>
    <w:rsid w:val="00AA45FC"/>
    <w:rsid w:val="00AA46A7"/>
    <w:rsid w:val="00AA4EEB"/>
    <w:rsid w:val="00AA5259"/>
    <w:rsid w:val="00AA5887"/>
    <w:rsid w:val="00AA6013"/>
    <w:rsid w:val="00AA7BE4"/>
    <w:rsid w:val="00AB0C28"/>
    <w:rsid w:val="00AB19F8"/>
    <w:rsid w:val="00AB2A61"/>
    <w:rsid w:val="00AB3311"/>
    <w:rsid w:val="00AB3A12"/>
    <w:rsid w:val="00AB3BF1"/>
    <w:rsid w:val="00AB41CE"/>
    <w:rsid w:val="00AB4C55"/>
    <w:rsid w:val="00AB5A8D"/>
    <w:rsid w:val="00AB5E28"/>
    <w:rsid w:val="00AB660C"/>
    <w:rsid w:val="00AB6642"/>
    <w:rsid w:val="00AB7322"/>
    <w:rsid w:val="00AB7DCC"/>
    <w:rsid w:val="00AC031B"/>
    <w:rsid w:val="00AC18C8"/>
    <w:rsid w:val="00AC2531"/>
    <w:rsid w:val="00AC260E"/>
    <w:rsid w:val="00AC26A9"/>
    <w:rsid w:val="00AC2D28"/>
    <w:rsid w:val="00AC2EFE"/>
    <w:rsid w:val="00AC35FA"/>
    <w:rsid w:val="00AC3930"/>
    <w:rsid w:val="00AC3AB1"/>
    <w:rsid w:val="00AC4F8E"/>
    <w:rsid w:val="00AC518B"/>
    <w:rsid w:val="00AC68C6"/>
    <w:rsid w:val="00AC6CBF"/>
    <w:rsid w:val="00AC7612"/>
    <w:rsid w:val="00AC79C1"/>
    <w:rsid w:val="00AC7A97"/>
    <w:rsid w:val="00AC7CA4"/>
    <w:rsid w:val="00AC7E31"/>
    <w:rsid w:val="00AD0376"/>
    <w:rsid w:val="00AD0C99"/>
    <w:rsid w:val="00AD259D"/>
    <w:rsid w:val="00AD3F7F"/>
    <w:rsid w:val="00AD493B"/>
    <w:rsid w:val="00AD4A64"/>
    <w:rsid w:val="00AD4D4E"/>
    <w:rsid w:val="00AD4E7B"/>
    <w:rsid w:val="00AD531C"/>
    <w:rsid w:val="00AD5644"/>
    <w:rsid w:val="00AD598F"/>
    <w:rsid w:val="00AD623E"/>
    <w:rsid w:val="00AD6D09"/>
    <w:rsid w:val="00AD7437"/>
    <w:rsid w:val="00AE033D"/>
    <w:rsid w:val="00AE0730"/>
    <w:rsid w:val="00AE07DA"/>
    <w:rsid w:val="00AE098E"/>
    <w:rsid w:val="00AE0BBA"/>
    <w:rsid w:val="00AE141D"/>
    <w:rsid w:val="00AE1543"/>
    <w:rsid w:val="00AE1808"/>
    <w:rsid w:val="00AE1C9A"/>
    <w:rsid w:val="00AE2291"/>
    <w:rsid w:val="00AE25C8"/>
    <w:rsid w:val="00AE27FB"/>
    <w:rsid w:val="00AE34AE"/>
    <w:rsid w:val="00AE4003"/>
    <w:rsid w:val="00AE40E5"/>
    <w:rsid w:val="00AE4113"/>
    <w:rsid w:val="00AE4380"/>
    <w:rsid w:val="00AE4E42"/>
    <w:rsid w:val="00AE4FAC"/>
    <w:rsid w:val="00AE5233"/>
    <w:rsid w:val="00AE5525"/>
    <w:rsid w:val="00AE5A48"/>
    <w:rsid w:val="00AE6381"/>
    <w:rsid w:val="00AE656F"/>
    <w:rsid w:val="00AE6742"/>
    <w:rsid w:val="00AE79D2"/>
    <w:rsid w:val="00AE7A5D"/>
    <w:rsid w:val="00AE7D78"/>
    <w:rsid w:val="00AF0762"/>
    <w:rsid w:val="00AF15B3"/>
    <w:rsid w:val="00AF183A"/>
    <w:rsid w:val="00AF3174"/>
    <w:rsid w:val="00AF37B7"/>
    <w:rsid w:val="00AF41F6"/>
    <w:rsid w:val="00AF438E"/>
    <w:rsid w:val="00AF459B"/>
    <w:rsid w:val="00AF45CA"/>
    <w:rsid w:val="00AF4979"/>
    <w:rsid w:val="00AF4B5B"/>
    <w:rsid w:val="00AF501E"/>
    <w:rsid w:val="00AF518F"/>
    <w:rsid w:val="00AF5CEE"/>
    <w:rsid w:val="00AF7506"/>
    <w:rsid w:val="00B00720"/>
    <w:rsid w:val="00B007DD"/>
    <w:rsid w:val="00B00977"/>
    <w:rsid w:val="00B0098A"/>
    <w:rsid w:val="00B01016"/>
    <w:rsid w:val="00B0146E"/>
    <w:rsid w:val="00B01800"/>
    <w:rsid w:val="00B01BC9"/>
    <w:rsid w:val="00B01FF2"/>
    <w:rsid w:val="00B02160"/>
    <w:rsid w:val="00B02179"/>
    <w:rsid w:val="00B02180"/>
    <w:rsid w:val="00B027CB"/>
    <w:rsid w:val="00B03231"/>
    <w:rsid w:val="00B0352B"/>
    <w:rsid w:val="00B0473D"/>
    <w:rsid w:val="00B059D5"/>
    <w:rsid w:val="00B069A2"/>
    <w:rsid w:val="00B07289"/>
    <w:rsid w:val="00B073E6"/>
    <w:rsid w:val="00B074F8"/>
    <w:rsid w:val="00B07BCD"/>
    <w:rsid w:val="00B07E0C"/>
    <w:rsid w:val="00B10F18"/>
    <w:rsid w:val="00B11322"/>
    <w:rsid w:val="00B11457"/>
    <w:rsid w:val="00B118FE"/>
    <w:rsid w:val="00B11A3D"/>
    <w:rsid w:val="00B121B0"/>
    <w:rsid w:val="00B13B87"/>
    <w:rsid w:val="00B13BF5"/>
    <w:rsid w:val="00B15894"/>
    <w:rsid w:val="00B158E6"/>
    <w:rsid w:val="00B159DF"/>
    <w:rsid w:val="00B17057"/>
    <w:rsid w:val="00B173C2"/>
    <w:rsid w:val="00B177E1"/>
    <w:rsid w:val="00B17FAB"/>
    <w:rsid w:val="00B204DC"/>
    <w:rsid w:val="00B207B7"/>
    <w:rsid w:val="00B21561"/>
    <w:rsid w:val="00B21BE7"/>
    <w:rsid w:val="00B2230B"/>
    <w:rsid w:val="00B22C5F"/>
    <w:rsid w:val="00B22D0A"/>
    <w:rsid w:val="00B233A0"/>
    <w:rsid w:val="00B23687"/>
    <w:rsid w:val="00B24319"/>
    <w:rsid w:val="00B24730"/>
    <w:rsid w:val="00B24B38"/>
    <w:rsid w:val="00B25710"/>
    <w:rsid w:val="00B25EC0"/>
    <w:rsid w:val="00B272C4"/>
    <w:rsid w:val="00B27499"/>
    <w:rsid w:val="00B27828"/>
    <w:rsid w:val="00B27B03"/>
    <w:rsid w:val="00B30970"/>
    <w:rsid w:val="00B3195D"/>
    <w:rsid w:val="00B31B62"/>
    <w:rsid w:val="00B31BD1"/>
    <w:rsid w:val="00B31F5A"/>
    <w:rsid w:val="00B3208E"/>
    <w:rsid w:val="00B327F6"/>
    <w:rsid w:val="00B329E5"/>
    <w:rsid w:val="00B33711"/>
    <w:rsid w:val="00B33C9F"/>
    <w:rsid w:val="00B34156"/>
    <w:rsid w:val="00B3427E"/>
    <w:rsid w:val="00B34301"/>
    <w:rsid w:val="00B34397"/>
    <w:rsid w:val="00B34889"/>
    <w:rsid w:val="00B352AB"/>
    <w:rsid w:val="00B35D65"/>
    <w:rsid w:val="00B35DD9"/>
    <w:rsid w:val="00B364DB"/>
    <w:rsid w:val="00B36C0A"/>
    <w:rsid w:val="00B36E08"/>
    <w:rsid w:val="00B37113"/>
    <w:rsid w:val="00B37352"/>
    <w:rsid w:val="00B3748C"/>
    <w:rsid w:val="00B37550"/>
    <w:rsid w:val="00B3779E"/>
    <w:rsid w:val="00B402C6"/>
    <w:rsid w:val="00B40742"/>
    <w:rsid w:val="00B41DC1"/>
    <w:rsid w:val="00B42159"/>
    <w:rsid w:val="00B4291D"/>
    <w:rsid w:val="00B42E0C"/>
    <w:rsid w:val="00B42EC1"/>
    <w:rsid w:val="00B42F69"/>
    <w:rsid w:val="00B43121"/>
    <w:rsid w:val="00B4457C"/>
    <w:rsid w:val="00B4484E"/>
    <w:rsid w:val="00B455C9"/>
    <w:rsid w:val="00B459CB"/>
    <w:rsid w:val="00B45AF6"/>
    <w:rsid w:val="00B46C27"/>
    <w:rsid w:val="00B46EC7"/>
    <w:rsid w:val="00B47A70"/>
    <w:rsid w:val="00B50A91"/>
    <w:rsid w:val="00B5160B"/>
    <w:rsid w:val="00B5175C"/>
    <w:rsid w:val="00B51761"/>
    <w:rsid w:val="00B51871"/>
    <w:rsid w:val="00B51F9D"/>
    <w:rsid w:val="00B52022"/>
    <w:rsid w:val="00B52187"/>
    <w:rsid w:val="00B5347A"/>
    <w:rsid w:val="00B54691"/>
    <w:rsid w:val="00B54E03"/>
    <w:rsid w:val="00B55634"/>
    <w:rsid w:val="00B55D4C"/>
    <w:rsid w:val="00B55F1A"/>
    <w:rsid w:val="00B60015"/>
    <w:rsid w:val="00B60311"/>
    <w:rsid w:val="00B604E1"/>
    <w:rsid w:val="00B609B0"/>
    <w:rsid w:val="00B60CCD"/>
    <w:rsid w:val="00B611C8"/>
    <w:rsid w:val="00B613DE"/>
    <w:rsid w:val="00B615D0"/>
    <w:rsid w:val="00B61A9A"/>
    <w:rsid w:val="00B61F1F"/>
    <w:rsid w:val="00B62695"/>
    <w:rsid w:val="00B6273C"/>
    <w:rsid w:val="00B62854"/>
    <w:rsid w:val="00B62E25"/>
    <w:rsid w:val="00B62EF1"/>
    <w:rsid w:val="00B6324A"/>
    <w:rsid w:val="00B632FF"/>
    <w:rsid w:val="00B640CC"/>
    <w:rsid w:val="00B645B6"/>
    <w:rsid w:val="00B64B2F"/>
    <w:rsid w:val="00B667BF"/>
    <w:rsid w:val="00B674D6"/>
    <w:rsid w:val="00B6797D"/>
    <w:rsid w:val="00B67F24"/>
    <w:rsid w:val="00B70606"/>
    <w:rsid w:val="00B70FFB"/>
    <w:rsid w:val="00B71041"/>
    <w:rsid w:val="00B71886"/>
    <w:rsid w:val="00B72339"/>
    <w:rsid w:val="00B7245B"/>
    <w:rsid w:val="00B72E67"/>
    <w:rsid w:val="00B735B8"/>
    <w:rsid w:val="00B73C22"/>
    <w:rsid w:val="00B73F56"/>
    <w:rsid w:val="00B74858"/>
    <w:rsid w:val="00B752EB"/>
    <w:rsid w:val="00B7607A"/>
    <w:rsid w:val="00B76446"/>
    <w:rsid w:val="00B772BA"/>
    <w:rsid w:val="00B77745"/>
    <w:rsid w:val="00B77BE4"/>
    <w:rsid w:val="00B809BA"/>
    <w:rsid w:val="00B80AB3"/>
    <w:rsid w:val="00B812BE"/>
    <w:rsid w:val="00B813D5"/>
    <w:rsid w:val="00B81A4F"/>
    <w:rsid w:val="00B8211F"/>
    <w:rsid w:val="00B8216B"/>
    <w:rsid w:val="00B8258D"/>
    <w:rsid w:val="00B825B4"/>
    <w:rsid w:val="00B83EB6"/>
    <w:rsid w:val="00B84179"/>
    <w:rsid w:val="00B84D23"/>
    <w:rsid w:val="00B84E7E"/>
    <w:rsid w:val="00B858BF"/>
    <w:rsid w:val="00B86608"/>
    <w:rsid w:val="00B87847"/>
    <w:rsid w:val="00B90477"/>
    <w:rsid w:val="00B91EB8"/>
    <w:rsid w:val="00B92AA5"/>
    <w:rsid w:val="00B93030"/>
    <w:rsid w:val="00B9374C"/>
    <w:rsid w:val="00B93904"/>
    <w:rsid w:val="00B93DFD"/>
    <w:rsid w:val="00B93E4E"/>
    <w:rsid w:val="00B93FB5"/>
    <w:rsid w:val="00B94100"/>
    <w:rsid w:val="00B955FE"/>
    <w:rsid w:val="00B95710"/>
    <w:rsid w:val="00B9586B"/>
    <w:rsid w:val="00B96425"/>
    <w:rsid w:val="00B96744"/>
    <w:rsid w:val="00B96E46"/>
    <w:rsid w:val="00B97941"/>
    <w:rsid w:val="00BA0180"/>
    <w:rsid w:val="00BA072A"/>
    <w:rsid w:val="00BA0B9F"/>
    <w:rsid w:val="00BA0C95"/>
    <w:rsid w:val="00BA1F17"/>
    <w:rsid w:val="00BA3287"/>
    <w:rsid w:val="00BA48E7"/>
    <w:rsid w:val="00BA49F4"/>
    <w:rsid w:val="00BA5146"/>
    <w:rsid w:val="00BA6419"/>
    <w:rsid w:val="00BA6550"/>
    <w:rsid w:val="00BA6ADD"/>
    <w:rsid w:val="00BA6DB1"/>
    <w:rsid w:val="00BA713B"/>
    <w:rsid w:val="00BA7316"/>
    <w:rsid w:val="00BA770D"/>
    <w:rsid w:val="00BA7AE1"/>
    <w:rsid w:val="00BA7BEF"/>
    <w:rsid w:val="00BA7C77"/>
    <w:rsid w:val="00BB0EC5"/>
    <w:rsid w:val="00BB10B8"/>
    <w:rsid w:val="00BB262C"/>
    <w:rsid w:val="00BB2B99"/>
    <w:rsid w:val="00BB3642"/>
    <w:rsid w:val="00BB45F3"/>
    <w:rsid w:val="00BB4A3B"/>
    <w:rsid w:val="00BB4C10"/>
    <w:rsid w:val="00BB51CF"/>
    <w:rsid w:val="00BB59F6"/>
    <w:rsid w:val="00BB5EF0"/>
    <w:rsid w:val="00BB5F3B"/>
    <w:rsid w:val="00BB66AB"/>
    <w:rsid w:val="00BB781E"/>
    <w:rsid w:val="00BB7BBA"/>
    <w:rsid w:val="00BC0448"/>
    <w:rsid w:val="00BC0AD6"/>
    <w:rsid w:val="00BC122E"/>
    <w:rsid w:val="00BC281B"/>
    <w:rsid w:val="00BC3584"/>
    <w:rsid w:val="00BC377B"/>
    <w:rsid w:val="00BC382C"/>
    <w:rsid w:val="00BC3CB8"/>
    <w:rsid w:val="00BC5838"/>
    <w:rsid w:val="00BC65C8"/>
    <w:rsid w:val="00BC6610"/>
    <w:rsid w:val="00BC6DC2"/>
    <w:rsid w:val="00BC78E4"/>
    <w:rsid w:val="00BC7DB3"/>
    <w:rsid w:val="00BC7E97"/>
    <w:rsid w:val="00BD0E2E"/>
    <w:rsid w:val="00BD1F9B"/>
    <w:rsid w:val="00BD2884"/>
    <w:rsid w:val="00BD7D30"/>
    <w:rsid w:val="00BE01EE"/>
    <w:rsid w:val="00BE0895"/>
    <w:rsid w:val="00BE184A"/>
    <w:rsid w:val="00BE1DA4"/>
    <w:rsid w:val="00BE35D8"/>
    <w:rsid w:val="00BE442D"/>
    <w:rsid w:val="00BE448D"/>
    <w:rsid w:val="00BE4ED6"/>
    <w:rsid w:val="00BE54F3"/>
    <w:rsid w:val="00BE572D"/>
    <w:rsid w:val="00BE5F67"/>
    <w:rsid w:val="00BE6016"/>
    <w:rsid w:val="00BE6027"/>
    <w:rsid w:val="00BE7805"/>
    <w:rsid w:val="00BE7920"/>
    <w:rsid w:val="00BF151D"/>
    <w:rsid w:val="00BF1C29"/>
    <w:rsid w:val="00BF1D68"/>
    <w:rsid w:val="00BF1E46"/>
    <w:rsid w:val="00BF2214"/>
    <w:rsid w:val="00BF2A3A"/>
    <w:rsid w:val="00BF2CCF"/>
    <w:rsid w:val="00BF2CD1"/>
    <w:rsid w:val="00BF2DFE"/>
    <w:rsid w:val="00BF33BB"/>
    <w:rsid w:val="00BF340C"/>
    <w:rsid w:val="00BF3C88"/>
    <w:rsid w:val="00BF4B6A"/>
    <w:rsid w:val="00BF5135"/>
    <w:rsid w:val="00BF54F3"/>
    <w:rsid w:val="00BF66EE"/>
    <w:rsid w:val="00BF70D2"/>
    <w:rsid w:val="00BF782A"/>
    <w:rsid w:val="00C00312"/>
    <w:rsid w:val="00C00828"/>
    <w:rsid w:val="00C0085E"/>
    <w:rsid w:val="00C009F5"/>
    <w:rsid w:val="00C01129"/>
    <w:rsid w:val="00C011D0"/>
    <w:rsid w:val="00C013B7"/>
    <w:rsid w:val="00C01908"/>
    <w:rsid w:val="00C01DD9"/>
    <w:rsid w:val="00C02099"/>
    <w:rsid w:val="00C02239"/>
    <w:rsid w:val="00C022E1"/>
    <w:rsid w:val="00C02E92"/>
    <w:rsid w:val="00C035A1"/>
    <w:rsid w:val="00C0398D"/>
    <w:rsid w:val="00C03A17"/>
    <w:rsid w:val="00C04C2C"/>
    <w:rsid w:val="00C052A0"/>
    <w:rsid w:val="00C052A6"/>
    <w:rsid w:val="00C055D1"/>
    <w:rsid w:val="00C0597B"/>
    <w:rsid w:val="00C05C3D"/>
    <w:rsid w:val="00C0634F"/>
    <w:rsid w:val="00C06644"/>
    <w:rsid w:val="00C067D7"/>
    <w:rsid w:val="00C06945"/>
    <w:rsid w:val="00C06ABB"/>
    <w:rsid w:val="00C071AC"/>
    <w:rsid w:val="00C1073A"/>
    <w:rsid w:val="00C109A2"/>
    <w:rsid w:val="00C10D46"/>
    <w:rsid w:val="00C11581"/>
    <w:rsid w:val="00C11707"/>
    <w:rsid w:val="00C1192C"/>
    <w:rsid w:val="00C11C5A"/>
    <w:rsid w:val="00C11E1D"/>
    <w:rsid w:val="00C11E4C"/>
    <w:rsid w:val="00C11EB2"/>
    <w:rsid w:val="00C12102"/>
    <w:rsid w:val="00C12B60"/>
    <w:rsid w:val="00C13CC5"/>
    <w:rsid w:val="00C142EE"/>
    <w:rsid w:val="00C14954"/>
    <w:rsid w:val="00C14BD9"/>
    <w:rsid w:val="00C14DFE"/>
    <w:rsid w:val="00C15574"/>
    <w:rsid w:val="00C15EEC"/>
    <w:rsid w:val="00C16799"/>
    <w:rsid w:val="00C179B0"/>
    <w:rsid w:val="00C20245"/>
    <w:rsid w:val="00C20CA6"/>
    <w:rsid w:val="00C21475"/>
    <w:rsid w:val="00C21A97"/>
    <w:rsid w:val="00C21AD6"/>
    <w:rsid w:val="00C220C6"/>
    <w:rsid w:val="00C224F3"/>
    <w:rsid w:val="00C226F9"/>
    <w:rsid w:val="00C22B70"/>
    <w:rsid w:val="00C23154"/>
    <w:rsid w:val="00C23398"/>
    <w:rsid w:val="00C23476"/>
    <w:rsid w:val="00C23958"/>
    <w:rsid w:val="00C23B23"/>
    <w:rsid w:val="00C23CA3"/>
    <w:rsid w:val="00C2428B"/>
    <w:rsid w:val="00C24532"/>
    <w:rsid w:val="00C251EC"/>
    <w:rsid w:val="00C26C22"/>
    <w:rsid w:val="00C270BE"/>
    <w:rsid w:val="00C27B03"/>
    <w:rsid w:val="00C27FE5"/>
    <w:rsid w:val="00C300F4"/>
    <w:rsid w:val="00C3089B"/>
    <w:rsid w:val="00C31C7E"/>
    <w:rsid w:val="00C31F53"/>
    <w:rsid w:val="00C31F7E"/>
    <w:rsid w:val="00C3361D"/>
    <w:rsid w:val="00C340FB"/>
    <w:rsid w:val="00C347B9"/>
    <w:rsid w:val="00C34B40"/>
    <w:rsid w:val="00C34BD2"/>
    <w:rsid w:val="00C34C99"/>
    <w:rsid w:val="00C34E6F"/>
    <w:rsid w:val="00C355DE"/>
    <w:rsid w:val="00C3560D"/>
    <w:rsid w:val="00C35836"/>
    <w:rsid w:val="00C35D11"/>
    <w:rsid w:val="00C36069"/>
    <w:rsid w:val="00C40B04"/>
    <w:rsid w:val="00C41CD3"/>
    <w:rsid w:val="00C42690"/>
    <w:rsid w:val="00C43438"/>
    <w:rsid w:val="00C43CA2"/>
    <w:rsid w:val="00C44264"/>
    <w:rsid w:val="00C44D1C"/>
    <w:rsid w:val="00C46251"/>
    <w:rsid w:val="00C4696F"/>
    <w:rsid w:val="00C46ADF"/>
    <w:rsid w:val="00C478D2"/>
    <w:rsid w:val="00C4790F"/>
    <w:rsid w:val="00C47B19"/>
    <w:rsid w:val="00C47E41"/>
    <w:rsid w:val="00C47FC0"/>
    <w:rsid w:val="00C501F7"/>
    <w:rsid w:val="00C50B5A"/>
    <w:rsid w:val="00C50EB2"/>
    <w:rsid w:val="00C50FBE"/>
    <w:rsid w:val="00C5114B"/>
    <w:rsid w:val="00C5163E"/>
    <w:rsid w:val="00C5189F"/>
    <w:rsid w:val="00C51DEE"/>
    <w:rsid w:val="00C520FD"/>
    <w:rsid w:val="00C52154"/>
    <w:rsid w:val="00C528CC"/>
    <w:rsid w:val="00C528F6"/>
    <w:rsid w:val="00C53659"/>
    <w:rsid w:val="00C53ABD"/>
    <w:rsid w:val="00C53AD3"/>
    <w:rsid w:val="00C53C94"/>
    <w:rsid w:val="00C559DD"/>
    <w:rsid w:val="00C56369"/>
    <w:rsid w:val="00C56719"/>
    <w:rsid w:val="00C5704B"/>
    <w:rsid w:val="00C57741"/>
    <w:rsid w:val="00C57839"/>
    <w:rsid w:val="00C60037"/>
    <w:rsid w:val="00C60356"/>
    <w:rsid w:val="00C6074F"/>
    <w:rsid w:val="00C60C84"/>
    <w:rsid w:val="00C62568"/>
    <w:rsid w:val="00C6296C"/>
    <w:rsid w:val="00C64143"/>
    <w:rsid w:val="00C6434D"/>
    <w:rsid w:val="00C646CE"/>
    <w:rsid w:val="00C647F6"/>
    <w:rsid w:val="00C64CB3"/>
    <w:rsid w:val="00C652E5"/>
    <w:rsid w:val="00C656B3"/>
    <w:rsid w:val="00C65952"/>
    <w:rsid w:val="00C65B6E"/>
    <w:rsid w:val="00C67025"/>
    <w:rsid w:val="00C67318"/>
    <w:rsid w:val="00C67446"/>
    <w:rsid w:val="00C67738"/>
    <w:rsid w:val="00C70652"/>
    <w:rsid w:val="00C7073E"/>
    <w:rsid w:val="00C70962"/>
    <w:rsid w:val="00C70C51"/>
    <w:rsid w:val="00C71674"/>
    <w:rsid w:val="00C71FB1"/>
    <w:rsid w:val="00C72EC6"/>
    <w:rsid w:val="00C733F7"/>
    <w:rsid w:val="00C73622"/>
    <w:rsid w:val="00C740AA"/>
    <w:rsid w:val="00C741DA"/>
    <w:rsid w:val="00C7430D"/>
    <w:rsid w:val="00C75300"/>
    <w:rsid w:val="00C75690"/>
    <w:rsid w:val="00C7641B"/>
    <w:rsid w:val="00C7697F"/>
    <w:rsid w:val="00C76E89"/>
    <w:rsid w:val="00C77028"/>
    <w:rsid w:val="00C77780"/>
    <w:rsid w:val="00C81126"/>
    <w:rsid w:val="00C8136C"/>
    <w:rsid w:val="00C82562"/>
    <w:rsid w:val="00C82FAC"/>
    <w:rsid w:val="00C82FFA"/>
    <w:rsid w:val="00C84032"/>
    <w:rsid w:val="00C8439B"/>
    <w:rsid w:val="00C84A1B"/>
    <w:rsid w:val="00C8506B"/>
    <w:rsid w:val="00C85521"/>
    <w:rsid w:val="00C855AE"/>
    <w:rsid w:val="00C856C0"/>
    <w:rsid w:val="00C85E35"/>
    <w:rsid w:val="00C863EE"/>
    <w:rsid w:val="00C86948"/>
    <w:rsid w:val="00C86FAD"/>
    <w:rsid w:val="00C87DB7"/>
    <w:rsid w:val="00C90161"/>
    <w:rsid w:val="00C90A44"/>
    <w:rsid w:val="00C91A78"/>
    <w:rsid w:val="00C91CA4"/>
    <w:rsid w:val="00C92646"/>
    <w:rsid w:val="00C9316A"/>
    <w:rsid w:val="00C93B5E"/>
    <w:rsid w:val="00C93D91"/>
    <w:rsid w:val="00C95A18"/>
    <w:rsid w:val="00C95CCD"/>
    <w:rsid w:val="00C95D8D"/>
    <w:rsid w:val="00C9672F"/>
    <w:rsid w:val="00C97C7F"/>
    <w:rsid w:val="00C97F5F"/>
    <w:rsid w:val="00CA01CF"/>
    <w:rsid w:val="00CA08EF"/>
    <w:rsid w:val="00CA157E"/>
    <w:rsid w:val="00CA2283"/>
    <w:rsid w:val="00CA2AEF"/>
    <w:rsid w:val="00CA2CA3"/>
    <w:rsid w:val="00CA2F7B"/>
    <w:rsid w:val="00CA325F"/>
    <w:rsid w:val="00CA33B8"/>
    <w:rsid w:val="00CA5A17"/>
    <w:rsid w:val="00CA6DD8"/>
    <w:rsid w:val="00CA6E61"/>
    <w:rsid w:val="00CA7EEF"/>
    <w:rsid w:val="00CB1582"/>
    <w:rsid w:val="00CB167E"/>
    <w:rsid w:val="00CB1758"/>
    <w:rsid w:val="00CB22B7"/>
    <w:rsid w:val="00CB25CE"/>
    <w:rsid w:val="00CB2A66"/>
    <w:rsid w:val="00CB2AD7"/>
    <w:rsid w:val="00CB31DA"/>
    <w:rsid w:val="00CB4592"/>
    <w:rsid w:val="00CB5032"/>
    <w:rsid w:val="00CB5A58"/>
    <w:rsid w:val="00CB6178"/>
    <w:rsid w:val="00CB671E"/>
    <w:rsid w:val="00CB675C"/>
    <w:rsid w:val="00CB79EB"/>
    <w:rsid w:val="00CB7B26"/>
    <w:rsid w:val="00CB7DF6"/>
    <w:rsid w:val="00CC0170"/>
    <w:rsid w:val="00CC100F"/>
    <w:rsid w:val="00CC298E"/>
    <w:rsid w:val="00CC2DB1"/>
    <w:rsid w:val="00CC2DC1"/>
    <w:rsid w:val="00CC303F"/>
    <w:rsid w:val="00CC31F1"/>
    <w:rsid w:val="00CC320A"/>
    <w:rsid w:val="00CC3C3A"/>
    <w:rsid w:val="00CC3C96"/>
    <w:rsid w:val="00CC4188"/>
    <w:rsid w:val="00CC4A68"/>
    <w:rsid w:val="00CC7069"/>
    <w:rsid w:val="00CC7F45"/>
    <w:rsid w:val="00CD077C"/>
    <w:rsid w:val="00CD170B"/>
    <w:rsid w:val="00CD180B"/>
    <w:rsid w:val="00CD2381"/>
    <w:rsid w:val="00CD2978"/>
    <w:rsid w:val="00CD2C22"/>
    <w:rsid w:val="00CD2FCF"/>
    <w:rsid w:val="00CD342A"/>
    <w:rsid w:val="00CD3940"/>
    <w:rsid w:val="00CD3F13"/>
    <w:rsid w:val="00CD4F89"/>
    <w:rsid w:val="00CD5C11"/>
    <w:rsid w:val="00CD6F4E"/>
    <w:rsid w:val="00CD79DE"/>
    <w:rsid w:val="00CD7FF4"/>
    <w:rsid w:val="00CE03A0"/>
    <w:rsid w:val="00CE0B21"/>
    <w:rsid w:val="00CE0B92"/>
    <w:rsid w:val="00CE0E73"/>
    <w:rsid w:val="00CE0EFE"/>
    <w:rsid w:val="00CE14EE"/>
    <w:rsid w:val="00CE15F9"/>
    <w:rsid w:val="00CE2F14"/>
    <w:rsid w:val="00CE3D57"/>
    <w:rsid w:val="00CE3FE2"/>
    <w:rsid w:val="00CE4A58"/>
    <w:rsid w:val="00CE52B8"/>
    <w:rsid w:val="00CE5B22"/>
    <w:rsid w:val="00CE6A0B"/>
    <w:rsid w:val="00CE7BF6"/>
    <w:rsid w:val="00CF0950"/>
    <w:rsid w:val="00CF0C8D"/>
    <w:rsid w:val="00CF16E7"/>
    <w:rsid w:val="00CF3540"/>
    <w:rsid w:val="00CF3B07"/>
    <w:rsid w:val="00CF3E48"/>
    <w:rsid w:val="00CF41E8"/>
    <w:rsid w:val="00CF4C13"/>
    <w:rsid w:val="00CF4CBC"/>
    <w:rsid w:val="00CF543A"/>
    <w:rsid w:val="00CF5AAD"/>
    <w:rsid w:val="00CF62E0"/>
    <w:rsid w:val="00CF6384"/>
    <w:rsid w:val="00CF6902"/>
    <w:rsid w:val="00CF78BA"/>
    <w:rsid w:val="00CF7DD6"/>
    <w:rsid w:val="00CF7EF6"/>
    <w:rsid w:val="00D01704"/>
    <w:rsid w:val="00D02B8F"/>
    <w:rsid w:val="00D0343A"/>
    <w:rsid w:val="00D0394F"/>
    <w:rsid w:val="00D03C0E"/>
    <w:rsid w:val="00D0401F"/>
    <w:rsid w:val="00D04270"/>
    <w:rsid w:val="00D054A3"/>
    <w:rsid w:val="00D06C41"/>
    <w:rsid w:val="00D06E88"/>
    <w:rsid w:val="00D10918"/>
    <w:rsid w:val="00D11089"/>
    <w:rsid w:val="00D11F90"/>
    <w:rsid w:val="00D1237B"/>
    <w:rsid w:val="00D1254B"/>
    <w:rsid w:val="00D12B18"/>
    <w:rsid w:val="00D12B56"/>
    <w:rsid w:val="00D12C88"/>
    <w:rsid w:val="00D12DC5"/>
    <w:rsid w:val="00D13527"/>
    <w:rsid w:val="00D13C08"/>
    <w:rsid w:val="00D14057"/>
    <w:rsid w:val="00D1527A"/>
    <w:rsid w:val="00D157E5"/>
    <w:rsid w:val="00D15C3D"/>
    <w:rsid w:val="00D15E4E"/>
    <w:rsid w:val="00D15EA0"/>
    <w:rsid w:val="00D16047"/>
    <w:rsid w:val="00D16ACC"/>
    <w:rsid w:val="00D16F10"/>
    <w:rsid w:val="00D174B6"/>
    <w:rsid w:val="00D17601"/>
    <w:rsid w:val="00D17B4C"/>
    <w:rsid w:val="00D203D5"/>
    <w:rsid w:val="00D203EA"/>
    <w:rsid w:val="00D20D6E"/>
    <w:rsid w:val="00D21269"/>
    <w:rsid w:val="00D21300"/>
    <w:rsid w:val="00D21305"/>
    <w:rsid w:val="00D21E4A"/>
    <w:rsid w:val="00D2213D"/>
    <w:rsid w:val="00D22F7B"/>
    <w:rsid w:val="00D230DC"/>
    <w:rsid w:val="00D2351A"/>
    <w:rsid w:val="00D24246"/>
    <w:rsid w:val="00D24729"/>
    <w:rsid w:val="00D24E8E"/>
    <w:rsid w:val="00D2552E"/>
    <w:rsid w:val="00D26C9A"/>
    <w:rsid w:val="00D27008"/>
    <w:rsid w:val="00D27AFA"/>
    <w:rsid w:val="00D303E8"/>
    <w:rsid w:val="00D315B0"/>
    <w:rsid w:val="00D31BA6"/>
    <w:rsid w:val="00D32ED6"/>
    <w:rsid w:val="00D332B2"/>
    <w:rsid w:val="00D3356D"/>
    <w:rsid w:val="00D335E1"/>
    <w:rsid w:val="00D34A49"/>
    <w:rsid w:val="00D34AB4"/>
    <w:rsid w:val="00D34F4F"/>
    <w:rsid w:val="00D3545E"/>
    <w:rsid w:val="00D355B0"/>
    <w:rsid w:val="00D359DA"/>
    <w:rsid w:val="00D35FEA"/>
    <w:rsid w:val="00D366E4"/>
    <w:rsid w:val="00D372CD"/>
    <w:rsid w:val="00D373A8"/>
    <w:rsid w:val="00D40CC0"/>
    <w:rsid w:val="00D40F0F"/>
    <w:rsid w:val="00D423AC"/>
    <w:rsid w:val="00D42A39"/>
    <w:rsid w:val="00D4398E"/>
    <w:rsid w:val="00D43A94"/>
    <w:rsid w:val="00D441E9"/>
    <w:rsid w:val="00D44628"/>
    <w:rsid w:val="00D44B15"/>
    <w:rsid w:val="00D44DC6"/>
    <w:rsid w:val="00D45AB5"/>
    <w:rsid w:val="00D46726"/>
    <w:rsid w:val="00D46D72"/>
    <w:rsid w:val="00D46E69"/>
    <w:rsid w:val="00D46FF0"/>
    <w:rsid w:val="00D476EA"/>
    <w:rsid w:val="00D508AB"/>
    <w:rsid w:val="00D511C4"/>
    <w:rsid w:val="00D514E5"/>
    <w:rsid w:val="00D52209"/>
    <w:rsid w:val="00D528C6"/>
    <w:rsid w:val="00D532F1"/>
    <w:rsid w:val="00D533A4"/>
    <w:rsid w:val="00D53589"/>
    <w:rsid w:val="00D539D5"/>
    <w:rsid w:val="00D5422E"/>
    <w:rsid w:val="00D5440D"/>
    <w:rsid w:val="00D544D5"/>
    <w:rsid w:val="00D54A65"/>
    <w:rsid w:val="00D54B44"/>
    <w:rsid w:val="00D54C1E"/>
    <w:rsid w:val="00D55674"/>
    <w:rsid w:val="00D567C5"/>
    <w:rsid w:val="00D56A5F"/>
    <w:rsid w:val="00D57093"/>
    <w:rsid w:val="00D57826"/>
    <w:rsid w:val="00D57897"/>
    <w:rsid w:val="00D57FD5"/>
    <w:rsid w:val="00D602DE"/>
    <w:rsid w:val="00D604F1"/>
    <w:rsid w:val="00D604FD"/>
    <w:rsid w:val="00D6096A"/>
    <w:rsid w:val="00D60ABE"/>
    <w:rsid w:val="00D60CE5"/>
    <w:rsid w:val="00D60E2E"/>
    <w:rsid w:val="00D6127B"/>
    <w:rsid w:val="00D612C6"/>
    <w:rsid w:val="00D61811"/>
    <w:rsid w:val="00D630D4"/>
    <w:rsid w:val="00D63F9F"/>
    <w:rsid w:val="00D646D3"/>
    <w:rsid w:val="00D65A13"/>
    <w:rsid w:val="00D662AD"/>
    <w:rsid w:val="00D662F2"/>
    <w:rsid w:val="00D665F1"/>
    <w:rsid w:val="00D66AF3"/>
    <w:rsid w:val="00D6711E"/>
    <w:rsid w:val="00D7045A"/>
    <w:rsid w:val="00D710F7"/>
    <w:rsid w:val="00D714A5"/>
    <w:rsid w:val="00D71CA2"/>
    <w:rsid w:val="00D72DA3"/>
    <w:rsid w:val="00D730D4"/>
    <w:rsid w:val="00D7354A"/>
    <w:rsid w:val="00D736AF"/>
    <w:rsid w:val="00D73B08"/>
    <w:rsid w:val="00D74923"/>
    <w:rsid w:val="00D74A08"/>
    <w:rsid w:val="00D77E03"/>
    <w:rsid w:val="00D80127"/>
    <w:rsid w:val="00D804E2"/>
    <w:rsid w:val="00D805D1"/>
    <w:rsid w:val="00D818FB"/>
    <w:rsid w:val="00D8197D"/>
    <w:rsid w:val="00D81A31"/>
    <w:rsid w:val="00D81B50"/>
    <w:rsid w:val="00D81FB3"/>
    <w:rsid w:val="00D826E1"/>
    <w:rsid w:val="00D82D92"/>
    <w:rsid w:val="00D82D96"/>
    <w:rsid w:val="00D82FD7"/>
    <w:rsid w:val="00D831B8"/>
    <w:rsid w:val="00D83E90"/>
    <w:rsid w:val="00D8453B"/>
    <w:rsid w:val="00D84B79"/>
    <w:rsid w:val="00D84C6A"/>
    <w:rsid w:val="00D84FA6"/>
    <w:rsid w:val="00D8511D"/>
    <w:rsid w:val="00D8574F"/>
    <w:rsid w:val="00D85C5F"/>
    <w:rsid w:val="00D85ECC"/>
    <w:rsid w:val="00D864C7"/>
    <w:rsid w:val="00D869E8"/>
    <w:rsid w:val="00D86EB7"/>
    <w:rsid w:val="00D871E3"/>
    <w:rsid w:val="00D871FF"/>
    <w:rsid w:val="00D875B2"/>
    <w:rsid w:val="00D9004B"/>
    <w:rsid w:val="00D90705"/>
    <w:rsid w:val="00D9098E"/>
    <w:rsid w:val="00D91E9F"/>
    <w:rsid w:val="00D92025"/>
    <w:rsid w:val="00D9204D"/>
    <w:rsid w:val="00D92B5E"/>
    <w:rsid w:val="00D93388"/>
    <w:rsid w:val="00D9392D"/>
    <w:rsid w:val="00D93A31"/>
    <w:rsid w:val="00D93CFF"/>
    <w:rsid w:val="00D93FED"/>
    <w:rsid w:val="00D948AC"/>
    <w:rsid w:val="00D9505E"/>
    <w:rsid w:val="00D95457"/>
    <w:rsid w:val="00D957C7"/>
    <w:rsid w:val="00D95A0B"/>
    <w:rsid w:val="00D961BD"/>
    <w:rsid w:val="00D9626E"/>
    <w:rsid w:val="00D96B95"/>
    <w:rsid w:val="00D97A7B"/>
    <w:rsid w:val="00D97C9D"/>
    <w:rsid w:val="00D97D5A"/>
    <w:rsid w:val="00DA0793"/>
    <w:rsid w:val="00DA07D6"/>
    <w:rsid w:val="00DA1259"/>
    <w:rsid w:val="00DA1AAD"/>
    <w:rsid w:val="00DA1B9E"/>
    <w:rsid w:val="00DA1E08"/>
    <w:rsid w:val="00DA394F"/>
    <w:rsid w:val="00DA3E72"/>
    <w:rsid w:val="00DA42B9"/>
    <w:rsid w:val="00DA468E"/>
    <w:rsid w:val="00DA4A42"/>
    <w:rsid w:val="00DA4A52"/>
    <w:rsid w:val="00DA4FBC"/>
    <w:rsid w:val="00DA4FEC"/>
    <w:rsid w:val="00DA61B9"/>
    <w:rsid w:val="00DA638D"/>
    <w:rsid w:val="00DA71EF"/>
    <w:rsid w:val="00DA7457"/>
    <w:rsid w:val="00DB0154"/>
    <w:rsid w:val="00DB1083"/>
    <w:rsid w:val="00DB1B31"/>
    <w:rsid w:val="00DB2995"/>
    <w:rsid w:val="00DB2BAA"/>
    <w:rsid w:val="00DB2EB2"/>
    <w:rsid w:val="00DB2ED0"/>
    <w:rsid w:val="00DB3317"/>
    <w:rsid w:val="00DB38F0"/>
    <w:rsid w:val="00DB3EE8"/>
    <w:rsid w:val="00DB4701"/>
    <w:rsid w:val="00DB472A"/>
    <w:rsid w:val="00DB4821"/>
    <w:rsid w:val="00DB4E76"/>
    <w:rsid w:val="00DB59C0"/>
    <w:rsid w:val="00DB5A63"/>
    <w:rsid w:val="00DB60C7"/>
    <w:rsid w:val="00DB76BF"/>
    <w:rsid w:val="00DB7AA5"/>
    <w:rsid w:val="00DC0146"/>
    <w:rsid w:val="00DC03EE"/>
    <w:rsid w:val="00DC1355"/>
    <w:rsid w:val="00DC1D01"/>
    <w:rsid w:val="00DC2E42"/>
    <w:rsid w:val="00DC36B8"/>
    <w:rsid w:val="00DC37CE"/>
    <w:rsid w:val="00DC41EB"/>
    <w:rsid w:val="00DC4667"/>
    <w:rsid w:val="00DC4F93"/>
    <w:rsid w:val="00DC53F2"/>
    <w:rsid w:val="00DC583A"/>
    <w:rsid w:val="00DC5921"/>
    <w:rsid w:val="00DC6871"/>
    <w:rsid w:val="00DC6B01"/>
    <w:rsid w:val="00DC7797"/>
    <w:rsid w:val="00DC7E53"/>
    <w:rsid w:val="00DD078A"/>
    <w:rsid w:val="00DD1156"/>
    <w:rsid w:val="00DD11CE"/>
    <w:rsid w:val="00DD1737"/>
    <w:rsid w:val="00DD1E59"/>
    <w:rsid w:val="00DD24A0"/>
    <w:rsid w:val="00DD2B44"/>
    <w:rsid w:val="00DD34E1"/>
    <w:rsid w:val="00DD35B5"/>
    <w:rsid w:val="00DD41AC"/>
    <w:rsid w:val="00DD45E7"/>
    <w:rsid w:val="00DD6306"/>
    <w:rsid w:val="00DD63BB"/>
    <w:rsid w:val="00DD6494"/>
    <w:rsid w:val="00DD6678"/>
    <w:rsid w:val="00DD693D"/>
    <w:rsid w:val="00DD6F51"/>
    <w:rsid w:val="00DD71F6"/>
    <w:rsid w:val="00DD7667"/>
    <w:rsid w:val="00DD777C"/>
    <w:rsid w:val="00DD7896"/>
    <w:rsid w:val="00DE0867"/>
    <w:rsid w:val="00DE0D2F"/>
    <w:rsid w:val="00DE0D75"/>
    <w:rsid w:val="00DE19EB"/>
    <w:rsid w:val="00DE397A"/>
    <w:rsid w:val="00DE434C"/>
    <w:rsid w:val="00DE44C1"/>
    <w:rsid w:val="00DE4EDC"/>
    <w:rsid w:val="00DE545B"/>
    <w:rsid w:val="00DE5B0F"/>
    <w:rsid w:val="00DE64A7"/>
    <w:rsid w:val="00DE6D23"/>
    <w:rsid w:val="00DE7966"/>
    <w:rsid w:val="00DF0FE3"/>
    <w:rsid w:val="00DF1292"/>
    <w:rsid w:val="00DF1E4E"/>
    <w:rsid w:val="00DF1EE5"/>
    <w:rsid w:val="00DF2350"/>
    <w:rsid w:val="00DF2CB1"/>
    <w:rsid w:val="00DF302C"/>
    <w:rsid w:val="00DF33BC"/>
    <w:rsid w:val="00DF408B"/>
    <w:rsid w:val="00DF5019"/>
    <w:rsid w:val="00DF58BF"/>
    <w:rsid w:val="00DF59CA"/>
    <w:rsid w:val="00DF68E5"/>
    <w:rsid w:val="00DF69F9"/>
    <w:rsid w:val="00DF7904"/>
    <w:rsid w:val="00DF7C23"/>
    <w:rsid w:val="00E01BA8"/>
    <w:rsid w:val="00E01D35"/>
    <w:rsid w:val="00E02579"/>
    <w:rsid w:val="00E02B50"/>
    <w:rsid w:val="00E03583"/>
    <w:rsid w:val="00E03BDC"/>
    <w:rsid w:val="00E04340"/>
    <w:rsid w:val="00E04B3F"/>
    <w:rsid w:val="00E04BC1"/>
    <w:rsid w:val="00E04C35"/>
    <w:rsid w:val="00E04D6D"/>
    <w:rsid w:val="00E060C1"/>
    <w:rsid w:val="00E0630A"/>
    <w:rsid w:val="00E06B1E"/>
    <w:rsid w:val="00E07787"/>
    <w:rsid w:val="00E107AD"/>
    <w:rsid w:val="00E10AAF"/>
    <w:rsid w:val="00E114D9"/>
    <w:rsid w:val="00E11D49"/>
    <w:rsid w:val="00E12995"/>
    <w:rsid w:val="00E13375"/>
    <w:rsid w:val="00E147D5"/>
    <w:rsid w:val="00E14C0E"/>
    <w:rsid w:val="00E16642"/>
    <w:rsid w:val="00E1787C"/>
    <w:rsid w:val="00E17CC5"/>
    <w:rsid w:val="00E203C6"/>
    <w:rsid w:val="00E20FA5"/>
    <w:rsid w:val="00E212FA"/>
    <w:rsid w:val="00E2136B"/>
    <w:rsid w:val="00E2175D"/>
    <w:rsid w:val="00E218AC"/>
    <w:rsid w:val="00E21A59"/>
    <w:rsid w:val="00E2245E"/>
    <w:rsid w:val="00E2249E"/>
    <w:rsid w:val="00E22965"/>
    <w:rsid w:val="00E22B76"/>
    <w:rsid w:val="00E234F1"/>
    <w:rsid w:val="00E241ED"/>
    <w:rsid w:val="00E24C3C"/>
    <w:rsid w:val="00E24E3A"/>
    <w:rsid w:val="00E253EC"/>
    <w:rsid w:val="00E25A09"/>
    <w:rsid w:val="00E25AF8"/>
    <w:rsid w:val="00E2623B"/>
    <w:rsid w:val="00E26B0E"/>
    <w:rsid w:val="00E26C55"/>
    <w:rsid w:val="00E26E47"/>
    <w:rsid w:val="00E26F6C"/>
    <w:rsid w:val="00E30313"/>
    <w:rsid w:val="00E30F40"/>
    <w:rsid w:val="00E31BD0"/>
    <w:rsid w:val="00E32474"/>
    <w:rsid w:val="00E32CCA"/>
    <w:rsid w:val="00E34625"/>
    <w:rsid w:val="00E34928"/>
    <w:rsid w:val="00E34B6C"/>
    <w:rsid w:val="00E34CA3"/>
    <w:rsid w:val="00E35C4A"/>
    <w:rsid w:val="00E36404"/>
    <w:rsid w:val="00E364EF"/>
    <w:rsid w:val="00E36977"/>
    <w:rsid w:val="00E37A0F"/>
    <w:rsid w:val="00E37DA6"/>
    <w:rsid w:val="00E37FE3"/>
    <w:rsid w:val="00E40438"/>
    <w:rsid w:val="00E40EB7"/>
    <w:rsid w:val="00E42E55"/>
    <w:rsid w:val="00E43AAA"/>
    <w:rsid w:val="00E4439C"/>
    <w:rsid w:val="00E4498D"/>
    <w:rsid w:val="00E44C62"/>
    <w:rsid w:val="00E45782"/>
    <w:rsid w:val="00E45A2A"/>
    <w:rsid w:val="00E51394"/>
    <w:rsid w:val="00E515BA"/>
    <w:rsid w:val="00E51B14"/>
    <w:rsid w:val="00E51B1C"/>
    <w:rsid w:val="00E51EA1"/>
    <w:rsid w:val="00E5261F"/>
    <w:rsid w:val="00E52F4F"/>
    <w:rsid w:val="00E53341"/>
    <w:rsid w:val="00E5387C"/>
    <w:rsid w:val="00E5439B"/>
    <w:rsid w:val="00E54EF2"/>
    <w:rsid w:val="00E55CC7"/>
    <w:rsid w:val="00E570AA"/>
    <w:rsid w:val="00E57370"/>
    <w:rsid w:val="00E57F1E"/>
    <w:rsid w:val="00E60DC5"/>
    <w:rsid w:val="00E60E2B"/>
    <w:rsid w:val="00E61A4D"/>
    <w:rsid w:val="00E61C85"/>
    <w:rsid w:val="00E61DD6"/>
    <w:rsid w:val="00E63058"/>
    <w:rsid w:val="00E633FB"/>
    <w:rsid w:val="00E63559"/>
    <w:rsid w:val="00E63DCF"/>
    <w:rsid w:val="00E66714"/>
    <w:rsid w:val="00E66CD3"/>
    <w:rsid w:val="00E66EE6"/>
    <w:rsid w:val="00E67180"/>
    <w:rsid w:val="00E676E2"/>
    <w:rsid w:val="00E72323"/>
    <w:rsid w:val="00E7250A"/>
    <w:rsid w:val="00E72D37"/>
    <w:rsid w:val="00E72E8D"/>
    <w:rsid w:val="00E736DB"/>
    <w:rsid w:val="00E74323"/>
    <w:rsid w:val="00E74341"/>
    <w:rsid w:val="00E7497C"/>
    <w:rsid w:val="00E74FA5"/>
    <w:rsid w:val="00E756A8"/>
    <w:rsid w:val="00E76032"/>
    <w:rsid w:val="00E768F2"/>
    <w:rsid w:val="00E77B55"/>
    <w:rsid w:val="00E77E9E"/>
    <w:rsid w:val="00E77FDC"/>
    <w:rsid w:val="00E81DED"/>
    <w:rsid w:val="00E82305"/>
    <w:rsid w:val="00E82316"/>
    <w:rsid w:val="00E825B3"/>
    <w:rsid w:val="00E82956"/>
    <w:rsid w:val="00E83814"/>
    <w:rsid w:val="00E83A49"/>
    <w:rsid w:val="00E846A2"/>
    <w:rsid w:val="00E849CA"/>
    <w:rsid w:val="00E849DE"/>
    <w:rsid w:val="00E8547E"/>
    <w:rsid w:val="00E85948"/>
    <w:rsid w:val="00E85EBC"/>
    <w:rsid w:val="00E8622C"/>
    <w:rsid w:val="00E86536"/>
    <w:rsid w:val="00E9157F"/>
    <w:rsid w:val="00E9167E"/>
    <w:rsid w:val="00E91DC0"/>
    <w:rsid w:val="00E922A4"/>
    <w:rsid w:val="00E925CE"/>
    <w:rsid w:val="00E92B91"/>
    <w:rsid w:val="00E930CF"/>
    <w:rsid w:val="00E93F3F"/>
    <w:rsid w:val="00E967CB"/>
    <w:rsid w:val="00E9700D"/>
    <w:rsid w:val="00E97418"/>
    <w:rsid w:val="00E97FD0"/>
    <w:rsid w:val="00EA05D9"/>
    <w:rsid w:val="00EA0B14"/>
    <w:rsid w:val="00EA1104"/>
    <w:rsid w:val="00EA12FC"/>
    <w:rsid w:val="00EA1927"/>
    <w:rsid w:val="00EA2794"/>
    <w:rsid w:val="00EA29D0"/>
    <w:rsid w:val="00EA303C"/>
    <w:rsid w:val="00EA4A67"/>
    <w:rsid w:val="00EA5257"/>
    <w:rsid w:val="00EA5407"/>
    <w:rsid w:val="00EA59B6"/>
    <w:rsid w:val="00EA7415"/>
    <w:rsid w:val="00EB0433"/>
    <w:rsid w:val="00EB1B8B"/>
    <w:rsid w:val="00EB2239"/>
    <w:rsid w:val="00EB24EC"/>
    <w:rsid w:val="00EB3C54"/>
    <w:rsid w:val="00EB3E79"/>
    <w:rsid w:val="00EB4217"/>
    <w:rsid w:val="00EB485F"/>
    <w:rsid w:val="00EB4951"/>
    <w:rsid w:val="00EB5289"/>
    <w:rsid w:val="00EB5847"/>
    <w:rsid w:val="00EB595B"/>
    <w:rsid w:val="00EC098E"/>
    <w:rsid w:val="00EC0BCB"/>
    <w:rsid w:val="00EC0E71"/>
    <w:rsid w:val="00EC1149"/>
    <w:rsid w:val="00EC141D"/>
    <w:rsid w:val="00EC210C"/>
    <w:rsid w:val="00EC2A31"/>
    <w:rsid w:val="00EC55FB"/>
    <w:rsid w:val="00EC5E20"/>
    <w:rsid w:val="00EC6852"/>
    <w:rsid w:val="00EC6FBC"/>
    <w:rsid w:val="00EC74D9"/>
    <w:rsid w:val="00ED037D"/>
    <w:rsid w:val="00ED0504"/>
    <w:rsid w:val="00ED160A"/>
    <w:rsid w:val="00ED221E"/>
    <w:rsid w:val="00ED22FF"/>
    <w:rsid w:val="00ED29DB"/>
    <w:rsid w:val="00ED2A81"/>
    <w:rsid w:val="00ED2D8D"/>
    <w:rsid w:val="00ED59AF"/>
    <w:rsid w:val="00ED613A"/>
    <w:rsid w:val="00ED68AF"/>
    <w:rsid w:val="00ED6CFA"/>
    <w:rsid w:val="00ED6D53"/>
    <w:rsid w:val="00ED7988"/>
    <w:rsid w:val="00EE086E"/>
    <w:rsid w:val="00EE0945"/>
    <w:rsid w:val="00EE11EA"/>
    <w:rsid w:val="00EE1855"/>
    <w:rsid w:val="00EE1A67"/>
    <w:rsid w:val="00EE1E1C"/>
    <w:rsid w:val="00EE1E1F"/>
    <w:rsid w:val="00EE22AE"/>
    <w:rsid w:val="00EE2923"/>
    <w:rsid w:val="00EE2B68"/>
    <w:rsid w:val="00EE3733"/>
    <w:rsid w:val="00EE395E"/>
    <w:rsid w:val="00EE3B15"/>
    <w:rsid w:val="00EE45B9"/>
    <w:rsid w:val="00EE4BAC"/>
    <w:rsid w:val="00EE5E10"/>
    <w:rsid w:val="00EE6D70"/>
    <w:rsid w:val="00EE7793"/>
    <w:rsid w:val="00EE7DE2"/>
    <w:rsid w:val="00EF048C"/>
    <w:rsid w:val="00EF0F61"/>
    <w:rsid w:val="00EF1386"/>
    <w:rsid w:val="00EF1DF5"/>
    <w:rsid w:val="00EF2491"/>
    <w:rsid w:val="00EF256B"/>
    <w:rsid w:val="00EF3275"/>
    <w:rsid w:val="00EF34C1"/>
    <w:rsid w:val="00EF3FAD"/>
    <w:rsid w:val="00EF4F0D"/>
    <w:rsid w:val="00EF50F1"/>
    <w:rsid w:val="00EF5253"/>
    <w:rsid w:val="00EF5277"/>
    <w:rsid w:val="00EF5CAD"/>
    <w:rsid w:val="00EF611F"/>
    <w:rsid w:val="00EF6C08"/>
    <w:rsid w:val="00EF76E1"/>
    <w:rsid w:val="00F00ECF"/>
    <w:rsid w:val="00F029AF"/>
    <w:rsid w:val="00F03DD1"/>
    <w:rsid w:val="00F04099"/>
    <w:rsid w:val="00F05B66"/>
    <w:rsid w:val="00F06AC2"/>
    <w:rsid w:val="00F06C35"/>
    <w:rsid w:val="00F1030E"/>
    <w:rsid w:val="00F108ED"/>
    <w:rsid w:val="00F10925"/>
    <w:rsid w:val="00F1128B"/>
    <w:rsid w:val="00F11C21"/>
    <w:rsid w:val="00F11E20"/>
    <w:rsid w:val="00F121BE"/>
    <w:rsid w:val="00F125F1"/>
    <w:rsid w:val="00F12ADD"/>
    <w:rsid w:val="00F12F6C"/>
    <w:rsid w:val="00F13DAE"/>
    <w:rsid w:val="00F13FB8"/>
    <w:rsid w:val="00F14633"/>
    <w:rsid w:val="00F157D8"/>
    <w:rsid w:val="00F15DF6"/>
    <w:rsid w:val="00F160D3"/>
    <w:rsid w:val="00F164DA"/>
    <w:rsid w:val="00F201AD"/>
    <w:rsid w:val="00F21481"/>
    <w:rsid w:val="00F21B21"/>
    <w:rsid w:val="00F222BB"/>
    <w:rsid w:val="00F22BD0"/>
    <w:rsid w:val="00F23B43"/>
    <w:rsid w:val="00F23B7A"/>
    <w:rsid w:val="00F2465D"/>
    <w:rsid w:val="00F2491A"/>
    <w:rsid w:val="00F24CA0"/>
    <w:rsid w:val="00F24EF6"/>
    <w:rsid w:val="00F254E4"/>
    <w:rsid w:val="00F26513"/>
    <w:rsid w:val="00F26AAB"/>
    <w:rsid w:val="00F26BDA"/>
    <w:rsid w:val="00F26F5D"/>
    <w:rsid w:val="00F27519"/>
    <w:rsid w:val="00F27776"/>
    <w:rsid w:val="00F3195B"/>
    <w:rsid w:val="00F324D5"/>
    <w:rsid w:val="00F32F69"/>
    <w:rsid w:val="00F337CB"/>
    <w:rsid w:val="00F3381E"/>
    <w:rsid w:val="00F34C92"/>
    <w:rsid w:val="00F35D19"/>
    <w:rsid w:val="00F361F4"/>
    <w:rsid w:val="00F371CF"/>
    <w:rsid w:val="00F377AE"/>
    <w:rsid w:val="00F402EE"/>
    <w:rsid w:val="00F41269"/>
    <w:rsid w:val="00F41319"/>
    <w:rsid w:val="00F426D0"/>
    <w:rsid w:val="00F43993"/>
    <w:rsid w:val="00F443CE"/>
    <w:rsid w:val="00F44B13"/>
    <w:rsid w:val="00F4515C"/>
    <w:rsid w:val="00F45401"/>
    <w:rsid w:val="00F45BE7"/>
    <w:rsid w:val="00F463D7"/>
    <w:rsid w:val="00F47713"/>
    <w:rsid w:val="00F47782"/>
    <w:rsid w:val="00F50163"/>
    <w:rsid w:val="00F510E2"/>
    <w:rsid w:val="00F5133B"/>
    <w:rsid w:val="00F515F1"/>
    <w:rsid w:val="00F51DF3"/>
    <w:rsid w:val="00F5273A"/>
    <w:rsid w:val="00F5275F"/>
    <w:rsid w:val="00F52D6B"/>
    <w:rsid w:val="00F52E18"/>
    <w:rsid w:val="00F535E2"/>
    <w:rsid w:val="00F53ACC"/>
    <w:rsid w:val="00F53EA2"/>
    <w:rsid w:val="00F54516"/>
    <w:rsid w:val="00F546FB"/>
    <w:rsid w:val="00F54BA7"/>
    <w:rsid w:val="00F55335"/>
    <w:rsid w:val="00F55AC7"/>
    <w:rsid w:val="00F55CF7"/>
    <w:rsid w:val="00F5630A"/>
    <w:rsid w:val="00F56DC5"/>
    <w:rsid w:val="00F570B0"/>
    <w:rsid w:val="00F573D9"/>
    <w:rsid w:val="00F57D1C"/>
    <w:rsid w:val="00F6077A"/>
    <w:rsid w:val="00F6086A"/>
    <w:rsid w:val="00F60AC9"/>
    <w:rsid w:val="00F60C8C"/>
    <w:rsid w:val="00F6169B"/>
    <w:rsid w:val="00F6200A"/>
    <w:rsid w:val="00F6272C"/>
    <w:rsid w:val="00F62824"/>
    <w:rsid w:val="00F62D7C"/>
    <w:rsid w:val="00F62F2A"/>
    <w:rsid w:val="00F63133"/>
    <w:rsid w:val="00F634C8"/>
    <w:rsid w:val="00F63C62"/>
    <w:rsid w:val="00F642BA"/>
    <w:rsid w:val="00F64689"/>
    <w:rsid w:val="00F652FA"/>
    <w:rsid w:val="00F653F4"/>
    <w:rsid w:val="00F65A30"/>
    <w:rsid w:val="00F67155"/>
    <w:rsid w:val="00F7058F"/>
    <w:rsid w:val="00F705C4"/>
    <w:rsid w:val="00F70D21"/>
    <w:rsid w:val="00F70FEF"/>
    <w:rsid w:val="00F7128A"/>
    <w:rsid w:val="00F712C3"/>
    <w:rsid w:val="00F71437"/>
    <w:rsid w:val="00F71825"/>
    <w:rsid w:val="00F71933"/>
    <w:rsid w:val="00F71B4F"/>
    <w:rsid w:val="00F72DD6"/>
    <w:rsid w:val="00F73BBD"/>
    <w:rsid w:val="00F73F06"/>
    <w:rsid w:val="00F74872"/>
    <w:rsid w:val="00F74F3A"/>
    <w:rsid w:val="00F75B7F"/>
    <w:rsid w:val="00F75C02"/>
    <w:rsid w:val="00F762F7"/>
    <w:rsid w:val="00F76CA2"/>
    <w:rsid w:val="00F776AF"/>
    <w:rsid w:val="00F77AEF"/>
    <w:rsid w:val="00F77B78"/>
    <w:rsid w:val="00F77ECB"/>
    <w:rsid w:val="00F80602"/>
    <w:rsid w:val="00F81936"/>
    <w:rsid w:val="00F81BF8"/>
    <w:rsid w:val="00F81E47"/>
    <w:rsid w:val="00F824EF"/>
    <w:rsid w:val="00F828A2"/>
    <w:rsid w:val="00F84408"/>
    <w:rsid w:val="00F848A1"/>
    <w:rsid w:val="00F850B2"/>
    <w:rsid w:val="00F85365"/>
    <w:rsid w:val="00F854B5"/>
    <w:rsid w:val="00F85F92"/>
    <w:rsid w:val="00F863D9"/>
    <w:rsid w:val="00F86474"/>
    <w:rsid w:val="00F86729"/>
    <w:rsid w:val="00F868B4"/>
    <w:rsid w:val="00F86B56"/>
    <w:rsid w:val="00F8730A"/>
    <w:rsid w:val="00F87382"/>
    <w:rsid w:val="00F9016F"/>
    <w:rsid w:val="00F90601"/>
    <w:rsid w:val="00F90BF1"/>
    <w:rsid w:val="00F92612"/>
    <w:rsid w:val="00F92C07"/>
    <w:rsid w:val="00F93703"/>
    <w:rsid w:val="00F943BD"/>
    <w:rsid w:val="00F944DF"/>
    <w:rsid w:val="00F9480E"/>
    <w:rsid w:val="00F94CB9"/>
    <w:rsid w:val="00F9587D"/>
    <w:rsid w:val="00F95F7F"/>
    <w:rsid w:val="00F96052"/>
    <w:rsid w:val="00F963C7"/>
    <w:rsid w:val="00F9661D"/>
    <w:rsid w:val="00F96746"/>
    <w:rsid w:val="00F96E7E"/>
    <w:rsid w:val="00F973A3"/>
    <w:rsid w:val="00F97774"/>
    <w:rsid w:val="00FA055D"/>
    <w:rsid w:val="00FA06E3"/>
    <w:rsid w:val="00FA1EE5"/>
    <w:rsid w:val="00FA2F4C"/>
    <w:rsid w:val="00FA369C"/>
    <w:rsid w:val="00FA54E1"/>
    <w:rsid w:val="00FA6A3A"/>
    <w:rsid w:val="00FA74B7"/>
    <w:rsid w:val="00FA78FD"/>
    <w:rsid w:val="00FB0014"/>
    <w:rsid w:val="00FB098A"/>
    <w:rsid w:val="00FB0E9A"/>
    <w:rsid w:val="00FB11BE"/>
    <w:rsid w:val="00FB1310"/>
    <w:rsid w:val="00FB1357"/>
    <w:rsid w:val="00FB1799"/>
    <w:rsid w:val="00FB1B56"/>
    <w:rsid w:val="00FB1D6F"/>
    <w:rsid w:val="00FB27F1"/>
    <w:rsid w:val="00FB3155"/>
    <w:rsid w:val="00FB3AE5"/>
    <w:rsid w:val="00FB4BFD"/>
    <w:rsid w:val="00FB4C6F"/>
    <w:rsid w:val="00FB4D60"/>
    <w:rsid w:val="00FB522E"/>
    <w:rsid w:val="00FB7DD3"/>
    <w:rsid w:val="00FC0631"/>
    <w:rsid w:val="00FC1061"/>
    <w:rsid w:val="00FC1157"/>
    <w:rsid w:val="00FC1729"/>
    <w:rsid w:val="00FC184D"/>
    <w:rsid w:val="00FC2287"/>
    <w:rsid w:val="00FC3C78"/>
    <w:rsid w:val="00FC3E8B"/>
    <w:rsid w:val="00FC45FF"/>
    <w:rsid w:val="00FC4AA8"/>
    <w:rsid w:val="00FC5078"/>
    <w:rsid w:val="00FC5E76"/>
    <w:rsid w:val="00FC6297"/>
    <w:rsid w:val="00FC69CF"/>
    <w:rsid w:val="00FC7214"/>
    <w:rsid w:val="00FC78F7"/>
    <w:rsid w:val="00FC7FB3"/>
    <w:rsid w:val="00FD058F"/>
    <w:rsid w:val="00FD059C"/>
    <w:rsid w:val="00FD0B70"/>
    <w:rsid w:val="00FD11B8"/>
    <w:rsid w:val="00FD1440"/>
    <w:rsid w:val="00FD1489"/>
    <w:rsid w:val="00FD17D7"/>
    <w:rsid w:val="00FD1A32"/>
    <w:rsid w:val="00FD1D16"/>
    <w:rsid w:val="00FD25DA"/>
    <w:rsid w:val="00FD29F7"/>
    <w:rsid w:val="00FD2A7D"/>
    <w:rsid w:val="00FD2DA9"/>
    <w:rsid w:val="00FD35FA"/>
    <w:rsid w:val="00FD37C4"/>
    <w:rsid w:val="00FD38C3"/>
    <w:rsid w:val="00FD3C6D"/>
    <w:rsid w:val="00FD3E02"/>
    <w:rsid w:val="00FD3FD2"/>
    <w:rsid w:val="00FD50CD"/>
    <w:rsid w:val="00FD572D"/>
    <w:rsid w:val="00FD59F1"/>
    <w:rsid w:val="00FD5AA5"/>
    <w:rsid w:val="00FD66A4"/>
    <w:rsid w:val="00FD6B0F"/>
    <w:rsid w:val="00FD6FE2"/>
    <w:rsid w:val="00FD708B"/>
    <w:rsid w:val="00FD74CB"/>
    <w:rsid w:val="00FD7543"/>
    <w:rsid w:val="00FD7BF5"/>
    <w:rsid w:val="00FE1705"/>
    <w:rsid w:val="00FE185C"/>
    <w:rsid w:val="00FE22FB"/>
    <w:rsid w:val="00FE3369"/>
    <w:rsid w:val="00FE39A5"/>
    <w:rsid w:val="00FE3C5F"/>
    <w:rsid w:val="00FE3EBF"/>
    <w:rsid w:val="00FE401B"/>
    <w:rsid w:val="00FE4705"/>
    <w:rsid w:val="00FE54CD"/>
    <w:rsid w:val="00FE557C"/>
    <w:rsid w:val="00FE57DC"/>
    <w:rsid w:val="00FE6156"/>
    <w:rsid w:val="00FE6751"/>
    <w:rsid w:val="00FE73E1"/>
    <w:rsid w:val="00FE7BB5"/>
    <w:rsid w:val="00FE7BF9"/>
    <w:rsid w:val="00FE7CFD"/>
    <w:rsid w:val="00FE7E87"/>
    <w:rsid w:val="00FF086C"/>
    <w:rsid w:val="00FF0F22"/>
    <w:rsid w:val="00FF16A7"/>
    <w:rsid w:val="00FF29C6"/>
    <w:rsid w:val="00FF2AFB"/>
    <w:rsid w:val="00FF4C3A"/>
    <w:rsid w:val="00FF5D51"/>
    <w:rsid w:val="00FF62F4"/>
    <w:rsid w:val="00FF6519"/>
    <w:rsid w:val="00FF6952"/>
    <w:rsid w:val="00FF6E0E"/>
    <w:rsid w:val="00FF770B"/>
    <w:rsid w:val="00FF7EEB"/>
    <w:rsid w:val="00FF7F15"/>
  </w:rsids>
  <m:mathPr>
    <m:mathFont m:val="Cambria Math"/>
    <m:brkBin m:val="before"/>
    <m:brkBinSub m:val="--"/>
    <m:smallFrac m:val="0"/>
    <m:dispDef/>
    <m:lMargin m:val="0"/>
    <m:rMargin m:val="0"/>
    <m:defJc m:val="centerGroup"/>
    <m:wrapRight/>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195167"/>
  <w15:docId w15:val="{A4F29DA5-5BA2-434E-ABF1-4BAF6F3BC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r-Latn-ME"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rPr>
  </w:style>
  <w:style w:type="paragraph" w:styleId="Heading1">
    <w:name w:val="heading 1"/>
    <w:basedOn w:val="Normal"/>
    <w:next w:val="Normal"/>
    <w:link w:val="Heading1Char"/>
    <w:qFormat/>
    <w:rsid w:val="003246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Overskrift 2"/>
    <w:basedOn w:val="Normal"/>
    <w:next w:val="Normal"/>
    <w:link w:val="Heading2Char"/>
    <w:qFormat/>
    <w:rsid w:val="002C2E88"/>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Sidefod"/>
    <w:basedOn w:val="Normal"/>
    <w:link w:val="FooterChar"/>
    <w:uiPriority w:val="99"/>
    <w:pPr>
      <w:tabs>
        <w:tab w:val="center" w:pos="4536"/>
        <w:tab w:val="right" w:pos="8306"/>
      </w:tabs>
    </w:pPr>
    <w:rPr>
      <w:rFonts w:ascii="Arial" w:hAnsi="Arial"/>
      <w:noProof/>
      <w:sz w:val="16"/>
    </w:rPr>
  </w:style>
  <w:style w:type="paragraph" w:styleId="Header">
    <w:name w:val="header"/>
    <w:aliases w:val="Sidehoved,Page 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aliases w:val="Sidetal"/>
    <w:basedOn w:val="DefaultParagraphFont"/>
    <w:rsid w:val="00812D16"/>
  </w:style>
  <w:style w:type="paragraph" w:styleId="BodyText">
    <w:name w:val="Body Text"/>
    <w:aliases w:val="Brødtekst"/>
    <w:basedOn w:val="Normal"/>
    <w:rsid w:val="00812D16"/>
    <w:pPr>
      <w:tabs>
        <w:tab w:val="clear" w:pos="567"/>
      </w:tabs>
      <w:spacing w:line="240" w:lineRule="auto"/>
    </w:pPr>
    <w:rPr>
      <w:i/>
      <w:color w:val="008000"/>
    </w:rPr>
  </w:style>
  <w:style w:type="paragraph" w:styleId="CommentText">
    <w:name w:val="annotation text"/>
    <w:aliases w:val="Kommentartekst,- H19,Annotationtext,Comment Text Char Char,Comment Text Char1 Char Char,Comment Text Char Char Char Char,Comment Text Char Char1"/>
    <w:basedOn w:val="Normal"/>
    <w:link w:val="CommentTextChar3"/>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aliases w:val="Markeringsbobleteks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sr-Latn-ME"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sr-Latn-ME" w:eastAsia="en-GB" w:bidi="ar-SA"/>
    </w:rPr>
  </w:style>
  <w:style w:type="paragraph" w:customStyle="1" w:styleId="NormalAgency">
    <w:name w:val="Normal (Agency)"/>
    <w:link w:val="NormalAgencyChar"/>
    <w:rsid w:val="00C179B0"/>
    <w:rPr>
      <w:rFonts w:ascii="Verdana" w:eastAsia="Verdana" w:hAnsi="Verdana" w:cs="Verdana"/>
      <w:sz w:val="18"/>
      <w:szCs w:val="18"/>
      <w:lang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sr-Latn-ME" w:eastAsia="en-GB" w:bidi="ar-SA"/>
    </w:rPr>
  </w:style>
  <w:style w:type="character" w:styleId="CommentReference">
    <w:name w:val="annotation reference"/>
    <w:aliases w:val="Kommentarhenvisning"/>
    <w:rsid w:val="00BC6DC2"/>
    <w:rPr>
      <w:sz w:val="16"/>
      <w:szCs w:val="16"/>
    </w:rPr>
  </w:style>
  <w:style w:type="paragraph" w:styleId="CommentSubject">
    <w:name w:val="annotation subject"/>
    <w:aliases w:val="Kommentaremne"/>
    <w:basedOn w:val="CommentText"/>
    <w:next w:val="CommentText"/>
    <w:link w:val="CommentSubjectChar1"/>
    <w:uiPriority w:val="99"/>
    <w:rsid w:val="00BC6DC2"/>
    <w:rPr>
      <w:b/>
      <w:bCs/>
    </w:rPr>
  </w:style>
  <w:style w:type="character" w:customStyle="1" w:styleId="CommentTextChar3">
    <w:name w:val="Comment Text Char3"/>
    <w:aliases w:val="Kommentartekst Char,- H19 Char2,Annotationtext Char2,Comment Text Char Char Char2,Comment Text Char1 Char Char Char2,Comment Text Char Char Char Char Char2,Comment Text Char Char1 Char2"/>
    <w:link w:val="CommentText"/>
    <w:uiPriority w:val="99"/>
    <w:rsid w:val="00BC6DC2"/>
    <w:rPr>
      <w:rFonts w:eastAsia="Times New Roman"/>
      <w:lang w:eastAsia="en-US"/>
    </w:rPr>
  </w:style>
  <w:style w:type="character" w:customStyle="1" w:styleId="CommentSubjectChar1">
    <w:name w:val="Comment Subject Char1"/>
    <w:aliases w:val="Kommentaremne Char"/>
    <w:link w:val="CommentSubject"/>
    <w:rsid w:val="00BC6DC2"/>
    <w:rPr>
      <w:rFonts w:eastAsia="Times New Roman"/>
      <w:b/>
      <w:bCs/>
      <w:lang w:eastAsia="en-US"/>
    </w:rPr>
  </w:style>
  <w:style w:type="paragraph" w:styleId="Revision">
    <w:name w:val="Revision"/>
    <w:aliases w:val="Korrektur"/>
    <w:hidden/>
    <w:uiPriority w:val="99"/>
    <w:semiHidden/>
    <w:rsid w:val="00B21BE7"/>
    <w:rPr>
      <w:rFonts w:eastAsia="Times New Roman"/>
      <w:sz w:val="22"/>
    </w:rPr>
  </w:style>
  <w:style w:type="paragraph" w:customStyle="1" w:styleId="Paragraph">
    <w:name w:val="Paragraph"/>
    <w:link w:val="ParagraphChar"/>
    <w:qFormat/>
    <w:rsid w:val="002C2E88"/>
    <w:pPr>
      <w:spacing w:after="240"/>
    </w:pPr>
    <w:rPr>
      <w:rFonts w:eastAsia="Times New Roman"/>
      <w:sz w:val="24"/>
      <w:szCs w:val="24"/>
    </w:rPr>
  </w:style>
  <w:style w:type="character" w:customStyle="1" w:styleId="ParagraphChar">
    <w:name w:val="Paragraph Char"/>
    <w:link w:val="Paragraph"/>
    <w:rsid w:val="002C2E88"/>
    <w:rPr>
      <w:rFonts w:eastAsia="Times New Roman"/>
      <w:sz w:val="24"/>
      <w:szCs w:val="24"/>
    </w:rPr>
  </w:style>
  <w:style w:type="paragraph" w:customStyle="1" w:styleId="superscript">
    <w:name w:val="superscript"/>
    <w:basedOn w:val="Paragraph"/>
    <w:link w:val="superscriptChar"/>
    <w:autoRedefine/>
    <w:rsid w:val="002C2E88"/>
    <w:pPr>
      <w:spacing w:after="120"/>
    </w:pPr>
    <w:rPr>
      <w:rFonts w:eastAsia="MS Mincho"/>
      <w:color w:val="000000"/>
      <w:vertAlign w:val="superscript"/>
      <w:lang w:eastAsia="ja-JP" w:bidi="ml-IN"/>
    </w:rPr>
  </w:style>
  <w:style w:type="character" w:customStyle="1" w:styleId="superscriptChar">
    <w:name w:val="superscript Char"/>
    <w:link w:val="superscript"/>
    <w:rsid w:val="002C2E88"/>
    <w:rPr>
      <w:rFonts w:eastAsia="MS Mincho"/>
      <w:color w:val="000000"/>
      <w:sz w:val="24"/>
      <w:szCs w:val="24"/>
      <w:vertAlign w:val="superscript"/>
      <w:lang w:eastAsia="ja-JP" w:bidi="ml-IN"/>
    </w:rPr>
  </w:style>
  <w:style w:type="paragraph" w:customStyle="1" w:styleId="StyleHeading2Titre212H2GulliverGemenFetArial12pt">
    <w:name w:val="Style Heading 2Titre 212H2Gulliver Gemen. Fet + Arial 12 pt"/>
    <w:basedOn w:val="Heading2"/>
    <w:rsid w:val="002C2E88"/>
    <w:pPr>
      <w:tabs>
        <w:tab w:val="clear" w:pos="567"/>
      </w:tabs>
      <w:spacing w:after="120" w:line="240" w:lineRule="auto"/>
    </w:pPr>
    <w:rPr>
      <w:rFonts w:ascii="Times New Roman" w:eastAsia="Calibri" w:hAnsi="Times New Roman"/>
      <w:iCs w:val="0"/>
      <w:sz w:val="24"/>
      <w:szCs w:val="20"/>
    </w:rPr>
  </w:style>
  <w:style w:type="character" w:customStyle="1" w:styleId="Heading2Char">
    <w:name w:val="Heading 2 Char"/>
    <w:aliases w:val="Overskrift 2 Char"/>
    <w:link w:val="Heading2"/>
    <w:semiHidden/>
    <w:rsid w:val="002C2E88"/>
    <w:rPr>
      <w:rFonts w:ascii="Cambria" w:eastAsia="Times New Roman" w:hAnsi="Cambria" w:cs="Times New Roman"/>
      <w:b/>
      <w:bCs/>
      <w:i/>
      <w:iCs/>
      <w:sz w:val="28"/>
      <w:szCs w:val="28"/>
      <w:lang w:val="sr-Latn-ME"/>
    </w:rPr>
  </w:style>
  <w:style w:type="character" w:customStyle="1" w:styleId="BlueText">
    <w:name w:val="Blue Text"/>
    <w:rsid w:val="008D14BD"/>
    <w:rPr>
      <w:color w:val="0000FF"/>
    </w:rPr>
  </w:style>
  <w:style w:type="character" w:customStyle="1" w:styleId="Instructions">
    <w:name w:val="Instructions"/>
    <w:rsid w:val="00F6200A"/>
    <w:rPr>
      <w:i/>
      <w:iCs/>
      <w:color w:val="008000"/>
    </w:rPr>
  </w:style>
  <w:style w:type="paragraph" w:styleId="ListParagraph">
    <w:name w:val="List Paragraph"/>
    <w:aliases w:val="Listeafsnit"/>
    <w:basedOn w:val="Normal"/>
    <w:uiPriority w:val="34"/>
    <w:qFormat/>
    <w:rsid w:val="00147ECD"/>
    <w:pPr>
      <w:numPr>
        <w:numId w:val="26"/>
      </w:numPr>
      <w:tabs>
        <w:tab w:val="clear" w:pos="567"/>
      </w:tabs>
      <w:overflowPunct w:val="0"/>
      <w:autoSpaceDE w:val="0"/>
      <w:autoSpaceDN w:val="0"/>
      <w:adjustRightInd w:val="0"/>
      <w:spacing w:before="120" w:after="120" w:line="240" w:lineRule="auto"/>
      <w:ind w:left="720" w:hanging="720"/>
      <w:contextualSpacing/>
    </w:pPr>
    <w:rPr>
      <w:rFonts w:eastAsia="Calibri"/>
      <w:color w:val="000000"/>
      <w:sz w:val="24"/>
      <w:szCs w:val="24"/>
    </w:rPr>
  </w:style>
  <w:style w:type="paragraph" w:customStyle="1" w:styleId="TableTextFootnote">
    <w:name w:val="TableText Footnote"/>
    <w:link w:val="TableTextFootnoteChar"/>
    <w:rsid w:val="0073279B"/>
    <w:rPr>
      <w:rFonts w:eastAsia="Times New Roman"/>
    </w:rPr>
  </w:style>
  <w:style w:type="character" w:customStyle="1" w:styleId="TableTextFootnoteChar">
    <w:name w:val="TableText Footnote Char"/>
    <w:link w:val="TableTextFootnote"/>
    <w:locked/>
    <w:rsid w:val="0073279B"/>
    <w:rPr>
      <w:rFonts w:eastAsia="Times New Roman"/>
    </w:rPr>
  </w:style>
  <w:style w:type="paragraph" w:customStyle="1" w:styleId="TableTextCentered">
    <w:name w:val="TableText Centered"/>
    <w:rsid w:val="00044BCD"/>
    <w:pPr>
      <w:jc w:val="center"/>
    </w:pPr>
    <w:rPr>
      <w:rFonts w:eastAsia="Times New Roman"/>
    </w:rPr>
  </w:style>
  <w:style w:type="paragraph" w:styleId="NoSpacing">
    <w:name w:val="No Spacing"/>
    <w:aliases w:val="Ingen afstand"/>
    <w:uiPriority w:val="1"/>
    <w:qFormat/>
    <w:rsid w:val="00044BCD"/>
    <w:rPr>
      <w:rFonts w:ascii="Calibri" w:eastAsia="Calibri" w:hAnsi="Calibri"/>
      <w:sz w:val="22"/>
      <w:szCs w:val="22"/>
    </w:rPr>
  </w:style>
  <w:style w:type="character" w:customStyle="1" w:styleId="paragraph-h1">
    <w:name w:val="paragraph-h1"/>
    <w:rsid w:val="00D372CD"/>
    <w:rPr>
      <w:rFonts w:ascii="Times New Roman" w:hAnsi="Times New Roman" w:cs="Times New Roman" w:hint="default"/>
      <w:sz w:val="24"/>
      <w:szCs w:val="24"/>
    </w:rPr>
  </w:style>
  <w:style w:type="character" w:customStyle="1" w:styleId="FooterChar">
    <w:name w:val="Footer Char"/>
    <w:aliases w:val="Sidefod Char"/>
    <w:link w:val="Footer"/>
    <w:uiPriority w:val="99"/>
    <w:locked/>
    <w:rsid w:val="007416FF"/>
    <w:rPr>
      <w:rFonts w:ascii="Arial" w:eastAsia="Times New Roman" w:hAnsi="Arial"/>
      <w:noProof/>
      <w:sz w:val="16"/>
      <w:lang w:val="sr-Latn-ME"/>
    </w:rPr>
  </w:style>
  <w:style w:type="paragraph" w:styleId="BodyText3">
    <w:name w:val="Body Text 3"/>
    <w:aliases w:val="Brødtekst 3"/>
    <w:basedOn w:val="Normal"/>
    <w:link w:val="BodyText3Char"/>
    <w:rsid w:val="00FC5078"/>
    <w:pPr>
      <w:spacing w:after="120"/>
    </w:pPr>
    <w:rPr>
      <w:sz w:val="16"/>
      <w:szCs w:val="16"/>
    </w:rPr>
  </w:style>
  <w:style w:type="character" w:customStyle="1" w:styleId="BodyText3Char">
    <w:name w:val="Body Text 3 Char"/>
    <w:aliases w:val="Brødtekst 3 Char"/>
    <w:link w:val="BodyText3"/>
    <w:rsid w:val="00FC5078"/>
    <w:rPr>
      <w:rFonts w:eastAsia="Times New Roman"/>
      <w:sz w:val="16"/>
      <w:szCs w:val="16"/>
      <w:lang w:val="sr-Latn-ME"/>
    </w:rPr>
  </w:style>
  <w:style w:type="paragraph" w:styleId="TOC1">
    <w:name w:val="toc 1"/>
    <w:aliases w:val="Indholdsfortegnelse 1"/>
    <w:basedOn w:val="Normal"/>
    <w:next w:val="Normal"/>
    <w:autoRedefine/>
    <w:rsid w:val="00FC5078"/>
    <w:pPr>
      <w:tabs>
        <w:tab w:val="clear" w:pos="567"/>
        <w:tab w:val="decimal" w:pos="216"/>
        <w:tab w:val="right" w:leader="dot" w:pos="8136"/>
      </w:tabs>
      <w:spacing w:line="240" w:lineRule="auto"/>
    </w:pPr>
    <w:rPr>
      <w:caps/>
      <w:sz w:val="24"/>
    </w:rPr>
  </w:style>
  <w:style w:type="character" w:customStyle="1" w:styleId="HeaderChar">
    <w:name w:val="Header Char"/>
    <w:aliases w:val="Sidehoved Char,Page Header Char"/>
    <w:link w:val="Header"/>
    <w:rsid w:val="00232A71"/>
    <w:rPr>
      <w:rFonts w:ascii="Arial" w:eastAsia="Times New Roman" w:hAnsi="Arial"/>
      <w:lang w:val="sr-Latn-ME"/>
    </w:rPr>
  </w:style>
  <w:style w:type="paragraph" w:customStyle="1" w:styleId="Default">
    <w:name w:val="Default"/>
    <w:rsid w:val="008F574D"/>
    <w:pPr>
      <w:autoSpaceDE w:val="0"/>
      <w:autoSpaceDN w:val="0"/>
      <w:adjustRightInd w:val="0"/>
    </w:pPr>
    <w:rPr>
      <w:color w:val="000000"/>
      <w:sz w:val="24"/>
      <w:szCs w:val="24"/>
      <w:lang w:eastAsia="zh-CN"/>
    </w:rPr>
  </w:style>
  <w:style w:type="paragraph" w:styleId="NormalWeb">
    <w:name w:val="Normal (Web)"/>
    <w:basedOn w:val="Normal"/>
    <w:uiPriority w:val="99"/>
    <w:rsid w:val="00FC4AA8"/>
    <w:rPr>
      <w:sz w:val="24"/>
      <w:szCs w:val="24"/>
    </w:rPr>
  </w:style>
  <w:style w:type="character" w:styleId="Emphasis">
    <w:name w:val="Emphasis"/>
    <w:aliases w:val="Fremhæv"/>
    <w:uiPriority w:val="20"/>
    <w:qFormat/>
    <w:rsid w:val="004F158F"/>
    <w:rPr>
      <w:i/>
      <w:iCs/>
    </w:rPr>
  </w:style>
  <w:style w:type="character" w:styleId="FollowedHyperlink">
    <w:name w:val="FollowedHyperlink"/>
    <w:aliases w:val="BesøgtLink"/>
    <w:rsid w:val="00A57AF4"/>
    <w:rPr>
      <w:color w:val="800080"/>
      <w:u w:val="single"/>
    </w:rPr>
  </w:style>
  <w:style w:type="paragraph" w:customStyle="1" w:styleId="SectionHeadings">
    <w:name w:val="Section Headings"/>
    <w:basedOn w:val="Normal"/>
    <w:next w:val="Normal"/>
    <w:rsid w:val="003C11CF"/>
    <w:pPr>
      <w:keepNext/>
      <w:keepLines/>
      <w:tabs>
        <w:tab w:val="clear" w:pos="567"/>
      </w:tabs>
      <w:spacing w:before="240" w:after="120" w:line="240" w:lineRule="auto"/>
    </w:pPr>
    <w:rPr>
      <w:rFonts w:ascii="Arial" w:hAnsi="Arial"/>
      <w:b/>
      <w:caps/>
      <w:sz w:val="20"/>
    </w:rPr>
  </w:style>
  <w:style w:type="character" w:styleId="LineNumber">
    <w:name w:val="line number"/>
    <w:aliases w:val="Linjenummer"/>
    <w:rsid w:val="009555E0"/>
  </w:style>
  <w:style w:type="character" w:customStyle="1" w:styleId="CommentTextChar">
    <w:name w:val="Comment Text Char"/>
    <w:aliases w:val="- H19 Char,Annotationtext Char,Comment Text Char1 Char,Comment Text Char Char Char,Comment Text Char1 Char Char Char,Comment Text Char Char Char Char Char,Comment Text Char Char1 Char"/>
    <w:uiPriority w:val="99"/>
    <w:rsid w:val="00595D0A"/>
    <w:rPr>
      <w:rFonts w:eastAsia="Times New Roman"/>
      <w:lang w:eastAsia="en-US"/>
    </w:rPr>
  </w:style>
  <w:style w:type="character" w:customStyle="1" w:styleId="CommentTextChar2">
    <w:name w:val="Comment Text Char2"/>
    <w:aliases w:val="- H19 Char1,Annotationtext Char1,Comment Text Char Char Char1,Comment Text Char Char Char Char Char1,Comment Text Char Char1 Char1,Comment Text Char1 Char Char Char1,Kommentartekst Char1"/>
    <w:rsid w:val="00D818FB"/>
    <w:rPr>
      <w:rFonts w:eastAsia="Times New Roman"/>
      <w:lang w:eastAsia="en-US"/>
    </w:rPr>
  </w:style>
  <w:style w:type="paragraph" w:customStyle="1" w:styleId="CommentTextChar1">
    <w:name w:val="Comment Text Char1"/>
    <w:basedOn w:val="Normal"/>
    <w:next w:val="CommentText"/>
    <w:link w:val="KommentartextZchn"/>
    <w:qFormat/>
    <w:rsid w:val="00D818FB"/>
    <w:rPr>
      <w:sz w:val="20"/>
    </w:rPr>
  </w:style>
  <w:style w:type="character" w:customStyle="1" w:styleId="KommentartextZchn">
    <w:name w:val="Kommentartext Zchn"/>
    <w:aliases w:val="- H19 Zchn,Annotationtext Zchn,Comment Text Char Char Char Char Zchn,Comment Text Char Char Zchn,Comment Text Char Char1 Zchn,Comment Text Char1 Char Char Zchn,Comment Text Char1 Char Zchn,Comment Text Char1 Zchn,Kommentartekst Zchn"/>
    <w:link w:val="CommentTextChar1"/>
    <w:rsid w:val="00D818FB"/>
    <w:rPr>
      <w:rFonts w:eastAsia="Times New Roman"/>
      <w:lang w:val="sr-Latn-ME"/>
    </w:rPr>
  </w:style>
  <w:style w:type="paragraph" w:customStyle="1" w:styleId="bodytextagency0">
    <w:name w:val="bodytextagency"/>
    <w:basedOn w:val="Normal"/>
    <w:rsid w:val="006D726E"/>
    <w:pPr>
      <w:tabs>
        <w:tab w:val="clear" w:pos="567"/>
      </w:tabs>
      <w:spacing w:after="140" w:line="280" w:lineRule="atLeast"/>
    </w:pPr>
    <w:rPr>
      <w:rFonts w:ascii="Verdana" w:eastAsia="Calibri" w:hAnsi="Verdana"/>
      <w:sz w:val="18"/>
      <w:szCs w:val="18"/>
      <w:lang w:eastAsia="en-GB"/>
    </w:rPr>
  </w:style>
  <w:style w:type="character" w:customStyle="1" w:styleId="CommentSubjectChar">
    <w:name w:val="Comment Subject Char"/>
    <w:uiPriority w:val="99"/>
    <w:semiHidden/>
    <w:rsid w:val="00B604E1"/>
    <w:rPr>
      <w:rFonts w:eastAsia="Times New Roman"/>
      <w:b/>
      <w:bCs/>
      <w:sz w:val="20"/>
      <w:szCs w:val="20"/>
      <w:lang w:eastAsia="en-US"/>
    </w:rPr>
  </w:style>
  <w:style w:type="character" w:customStyle="1" w:styleId="Heading1Char">
    <w:name w:val="Heading 1 Char"/>
    <w:basedOn w:val="DefaultParagraphFont"/>
    <w:link w:val="Heading1"/>
    <w:rsid w:val="0032463E"/>
    <w:rPr>
      <w:rFonts w:asciiTheme="majorHAnsi" w:eastAsiaTheme="majorEastAsia" w:hAnsiTheme="majorHAnsi" w:cstheme="majorBidi"/>
      <w:b/>
      <w:bCs/>
      <w:color w:val="365F91" w:themeColor="accent1" w:themeShade="BF"/>
      <w:sz w:val="28"/>
      <w:szCs w:val="28"/>
      <w:lang w:val="sr-Latn-ME"/>
    </w:rPr>
  </w:style>
  <w:style w:type="table" w:styleId="TableGrid">
    <w:name w:val="Table Grid"/>
    <w:basedOn w:val="TableNormal"/>
    <w:rsid w:val="001736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otertableAgency">
    <w:name w:val="Footer table (Agency)"/>
    <w:basedOn w:val="TableNormal"/>
    <w:semiHidden/>
    <w:rsid w:val="00456BE1"/>
    <w:rPr>
      <w:rFonts w:ascii="Verdana" w:hAnsi="Verdana"/>
    </w:rPr>
    <w:tblPr/>
    <w:tcPr>
      <w:shd w:val="clear" w:color="auto" w:fill="auto"/>
    </w:tcPr>
    <w:tblStylePr w:type="firstRow">
      <w:rPr>
        <w:rFonts w:ascii="Times New Roman" w:hAnsi="Times New Roman"/>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UnresolvedMention1">
    <w:name w:val="Unresolved Mention1"/>
    <w:basedOn w:val="DefaultParagraphFont"/>
    <w:uiPriority w:val="99"/>
    <w:semiHidden/>
    <w:unhideWhenUsed/>
    <w:rsid w:val="00B40742"/>
    <w:rPr>
      <w:color w:val="605E5C"/>
      <w:shd w:val="clear" w:color="auto" w:fill="E1DFDD"/>
    </w:rPr>
  </w:style>
  <w:style w:type="character" w:customStyle="1" w:styleId="rynqvb">
    <w:name w:val="rynqvb"/>
    <w:basedOn w:val="DefaultParagraphFont"/>
    <w:rsid w:val="00154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4723">
      <w:bodyDiv w:val="1"/>
      <w:marLeft w:val="0"/>
      <w:marRight w:val="0"/>
      <w:marTop w:val="0"/>
      <w:marBottom w:val="0"/>
      <w:divBdr>
        <w:top w:val="none" w:sz="0" w:space="0" w:color="auto"/>
        <w:left w:val="none" w:sz="0" w:space="0" w:color="auto"/>
        <w:bottom w:val="none" w:sz="0" w:space="0" w:color="auto"/>
        <w:right w:val="none" w:sz="0" w:space="0" w:color="auto"/>
      </w:divBdr>
    </w:div>
    <w:div w:id="14625866">
      <w:bodyDiv w:val="1"/>
      <w:marLeft w:val="30"/>
      <w:marRight w:val="30"/>
      <w:marTop w:val="0"/>
      <w:marBottom w:val="0"/>
      <w:divBdr>
        <w:top w:val="none" w:sz="0" w:space="0" w:color="auto"/>
        <w:left w:val="none" w:sz="0" w:space="0" w:color="auto"/>
        <w:bottom w:val="none" w:sz="0" w:space="0" w:color="auto"/>
        <w:right w:val="none" w:sz="0" w:space="0" w:color="auto"/>
      </w:divBdr>
      <w:divsChild>
        <w:div w:id="1446122854">
          <w:marLeft w:val="0"/>
          <w:marRight w:val="0"/>
          <w:marTop w:val="0"/>
          <w:marBottom w:val="0"/>
          <w:divBdr>
            <w:top w:val="none" w:sz="0" w:space="0" w:color="auto"/>
            <w:left w:val="none" w:sz="0" w:space="0" w:color="auto"/>
            <w:bottom w:val="none" w:sz="0" w:space="0" w:color="auto"/>
            <w:right w:val="none" w:sz="0" w:space="0" w:color="auto"/>
          </w:divBdr>
          <w:divsChild>
            <w:div w:id="711266637">
              <w:marLeft w:val="0"/>
              <w:marRight w:val="0"/>
              <w:marTop w:val="0"/>
              <w:marBottom w:val="0"/>
              <w:divBdr>
                <w:top w:val="none" w:sz="0" w:space="0" w:color="auto"/>
                <w:left w:val="none" w:sz="0" w:space="0" w:color="auto"/>
                <w:bottom w:val="none" w:sz="0" w:space="0" w:color="auto"/>
                <w:right w:val="none" w:sz="0" w:space="0" w:color="auto"/>
              </w:divBdr>
              <w:divsChild>
                <w:div w:id="867959102">
                  <w:marLeft w:val="180"/>
                  <w:marRight w:val="0"/>
                  <w:marTop w:val="0"/>
                  <w:marBottom w:val="0"/>
                  <w:divBdr>
                    <w:top w:val="none" w:sz="0" w:space="0" w:color="auto"/>
                    <w:left w:val="none" w:sz="0" w:space="0" w:color="auto"/>
                    <w:bottom w:val="none" w:sz="0" w:space="0" w:color="auto"/>
                    <w:right w:val="none" w:sz="0" w:space="0" w:color="auto"/>
                  </w:divBdr>
                  <w:divsChild>
                    <w:div w:id="15171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92138">
      <w:bodyDiv w:val="1"/>
      <w:marLeft w:val="30"/>
      <w:marRight w:val="30"/>
      <w:marTop w:val="0"/>
      <w:marBottom w:val="0"/>
      <w:divBdr>
        <w:top w:val="none" w:sz="0" w:space="0" w:color="auto"/>
        <w:left w:val="none" w:sz="0" w:space="0" w:color="auto"/>
        <w:bottom w:val="none" w:sz="0" w:space="0" w:color="auto"/>
        <w:right w:val="none" w:sz="0" w:space="0" w:color="auto"/>
      </w:divBdr>
      <w:divsChild>
        <w:div w:id="2111898217">
          <w:marLeft w:val="0"/>
          <w:marRight w:val="0"/>
          <w:marTop w:val="0"/>
          <w:marBottom w:val="0"/>
          <w:divBdr>
            <w:top w:val="none" w:sz="0" w:space="0" w:color="auto"/>
            <w:left w:val="none" w:sz="0" w:space="0" w:color="auto"/>
            <w:bottom w:val="none" w:sz="0" w:space="0" w:color="auto"/>
            <w:right w:val="none" w:sz="0" w:space="0" w:color="auto"/>
          </w:divBdr>
          <w:divsChild>
            <w:div w:id="254560908">
              <w:marLeft w:val="0"/>
              <w:marRight w:val="0"/>
              <w:marTop w:val="0"/>
              <w:marBottom w:val="0"/>
              <w:divBdr>
                <w:top w:val="none" w:sz="0" w:space="0" w:color="auto"/>
                <w:left w:val="none" w:sz="0" w:space="0" w:color="auto"/>
                <w:bottom w:val="none" w:sz="0" w:space="0" w:color="auto"/>
                <w:right w:val="none" w:sz="0" w:space="0" w:color="auto"/>
              </w:divBdr>
              <w:divsChild>
                <w:div w:id="2029330815">
                  <w:marLeft w:val="180"/>
                  <w:marRight w:val="0"/>
                  <w:marTop w:val="0"/>
                  <w:marBottom w:val="0"/>
                  <w:divBdr>
                    <w:top w:val="none" w:sz="0" w:space="0" w:color="auto"/>
                    <w:left w:val="none" w:sz="0" w:space="0" w:color="auto"/>
                    <w:bottom w:val="none" w:sz="0" w:space="0" w:color="auto"/>
                    <w:right w:val="none" w:sz="0" w:space="0" w:color="auto"/>
                  </w:divBdr>
                  <w:divsChild>
                    <w:div w:id="76993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71658">
      <w:bodyDiv w:val="1"/>
      <w:marLeft w:val="0"/>
      <w:marRight w:val="0"/>
      <w:marTop w:val="0"/>
      <w:marBottom w:val="0"/>
      <w:divBdr>
        <w:top w:val="none" w:sz="0" w:space="0" w:color="auto"/>
        <w:left w:val="none" w:sz="0" w:space="0" w:color="auto"/>
        <w:bottom w:val="none" w:sz="0" w:space="0" w:color="auto"/>
        <w:right w:val="none" w:sz="0" w:space="0" w:color="auto"/>
      </w:divBdr>
    </w:div>
    <w:div w:id="188179772">
      <w:bodyDiv w:val="1"/>
      <w:marLeft w:val="0"/>
      <w:marRight w:val="0"/>
      <w:marTop w:val="0"/>
      <w:marBottom w:val="0"/>
      <w:divBdr>
        <w:top w:val="none" w:sz="0" w:space="0" w:color="auto"/>
        <w:left w:val="none" w:sz="0" w:space="0" w:color="auto"/>
        <w:bottom w:val="none" w:sz="0" w:space="0" w:color="auto"/>
        <w:right w:val="none" w:sz="0" w:space="0" w:color="auto"/>
      </w:divBdr>
    </w:div>
    <w:div w:id="276454503">
      <w:bodyDiv w:val="1"/>
      <w:marLeft w:val="0"/>
      <w:marRight w:val="0"/>
      <w:marTop w:val="0"/>
      <w:marBottom w:val="0"/>
      <w:divBdr>
        <w:top w:val="none" w:sz="0" w:space="0" w:color="auto"/>
        <w:left w:val="none" w:sz="0" w:space="0" w:color="auto"/>
        <w:bottom w:val="none" w:sz="0" w:space="0" w:color="auto"/>
        <w:right w:val="none" w:sz="0" w:space="0" w:color="auto"/>
      </w:divBdr>
    </w:div>
    <w:div w:id="398750147">
      <w:bodyDiv w:val="1"/>
      <w:marLeft w:val="0"/>
      <w:marRight w:val="0"/>
      <w:marTop w:val="0"/>
      <w:marBottom w:val="0"/>
      <w:divBdr>
        <w:top w:val="none" w:sz="0" w:space="0" w:color="auto"/>
        <w:left w:val="none" w:sz="0" w:space="0" w:color="auto"/>
        <w:bottom w:val="none" w:sz="0" w:space="0" w:color="auto"/>
        <w:right w:val="none" w:sz="0" w:space="0" w:color="auto"/>
      </w:divBdr>
    </w:div>
    <w:div w:id="515774115">
      <w:bodyDiv w:val="1"/>
      <w:marLeft w:val="30"/>
      <w:marRight w:val="30"/>
      <w:marTop w:val="0"/>
      <w:marBottom w:val="0"/>
      <w:divBdr>
        <w:top w:val="none" w:sz="0" w:space="0" w:color="auto"/>
        <w:left w:val="none" w:sz="0" w:space="0" w:color="auto"/>
        <w:bottom w:val="none" w:sz="0" w:space="0" w:color="auto"/>
        <w:right w:val="none" w:sz="0" w:space="0" w:color="auto"/>
      </w:divBdr>
      <w:divsChild>
        <w:div w:id="1971398780">
          <w:marLeft w:val="0"/>
          <w:marRight w:val="0"/>
          <w:marTop w:val="0"/>
          <w:marBottom w:val="0"/>
          <w:divBdr>
            <w:top w:val="none" w:sz="0" w:space="0" w:color="auto"/>
            <w:left w:val="none" w:sz="0" w:space="0" w:color="auto"/>
            <w:bottom w:val="none" w:sz="0" w:space="0" w:color="auto"/>
            <w:right w:val="none" w:sz="0" w:space="0" w:color="auto"/>
          </w:divBdr>
          <w:divsChild>
            <w:div w:id="943927442">
              <w:marLeft w:val="0"/>
              <w:marRight w:val="0"/>
              <w:marTop w:val="0"/>
              <w:marBottom w:val="0"/>
              <w:divBdr>
                <w:top w:val="none" w:sz="0" w:space="0" w:color="auto"/>
                <w:left w:val="none" w:sz="0" w:space="0" w:color="auto"/>
                <w:bottom w:val="none" w:sz="0" w:space="0" w:color="auto"/>
                <w:right w:val="none" w:sz="0" w:space="0" w:color="auto"/>
              </w:divBdr>
              <w:divsChild>
                <w:div w:id="1422877694">
                  <w:marLeft w:val="180"/>
                  <w:marRight w:val="0"/>
                  <w:marTop w:val="0"/>
                  <w:marBottom w:val="0"/>
                  <w:divBdr>
                    <w:top w:val="none" w:sz="0" w:space="0" w:color="auto"/>
                    <w:left w:val="none" w:sz="0" w:space="0" w:color="auto"/>
                    <w:bottom w:val="none" w:sz="0" w:space="0" w:color="auto"/>
                    <w:right w:val="none" w:sz="0" w:space="0" w:color="auto"/>
                  </w:divBdr>
                  <w:divsChild>
                    <w:div w:id="69422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783346">
      <w:bodyDiv w:val="1"/>
      <w:marLeft w:val="0"/>
      <w:marRight w:val="0"/>
      <w:marTop w:val="0"/>
      <w:marBottom w:val="0"/>
      <w:divBdr>
        <w:top w:val="none" w:sz="0" w:space="0" w:color="auto"/>
        <w:left w:val="none" w:sz="0" w:space="0" w:color="auto"/>
        <w:bottom w:val="none" w:sz="0" w:space="0" w:color="auto"/>
        <w:right w:val="none" w:sz="0" w:space="0" w:color="auto"/>
      </w:divBdr>
    </w:div>
    <w:div w:id="572620320">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36454844">
      <w:bodyDiv w:val="1"/>
      <w:marLeft w:val="30"/>
      <w:marRight w:val="30"/>
      <w:marTop w:val="0"/>
      <w:marBottom w:val="0"/>
      <w:divBdr>
        <w:top w:val="none" w:sz="0" w:space="0" w:color="auto"/>
        <w:left w:val="none" w:sz="0" w:space="0" w:color="auto"/>
        <w:bottom w:val="none" w:sz="0" w:space="0" w:color="auto"/>
        <w:right w:val="none" w:sz="0" w:space="0" w:color="auto"/>
      </w:divBdr>
      <w:divsChild>
        <w:div w:id="1948347511">
          <w:marLeft w:val="0"/>
          <w:marRight w:val="0"/>
          <w:marTop w:val="0"/>
          <w:marBottom w:val="0"/>
          <w:divBdr>
            <w:top w:val="none" w:sz="0" w:space="0" w:color="auto"/>
            <w:left w:val="none" w:sz="0" w:space="0" w:color="auto"/>
            <w:bottom w:val="none" w:sz="0" w:space="0" w:color="auto"/>
            <w:right w:val="none" w:sz="0" w:space="0" w:color="auto"/>
          </w:divBdr>
          <w:divsChild>
            <w:div w:id="1325551037">
              <w:marLeft w:val="0"/>
              <w:marRight w:val="0"/>
              <w:marTop w:val="0"/>
              <w:marBottom w:val="0"/>
              <w:divBdr>
                <w:top w:val="none" w:sz="0" w:space="0" w:color="auto"/>
                <w:left w:val="none" w:sz="0" w:space="0" w:color="auto"/>
                <w:bottom w:val="none" w:sz="0" w:space="0" w:color="auto"/>
                <w:right w:val="none" w:sz="0" w:space="0" w:color="auto"/>
              </w:divBdr>
              <w:divsChild>
                <w:div w:id="1476869423">
                  <w:marLeft w:val="180"/>
                  <w:marRight w:val="0"/>
                  <w:marTop w:val="0"/>
                  <w:marBottom w:val="0"/>
                  <w:divBdr>
                    <w:top w:val="none" w:sz="0" w:space="0" w:color="auto"/>
                    <w:left w:val="none" w:sz="0" w:space="0" w:color="auto"/>
                    <w:bottom w:val="none" w:sz="0" w:space="0" w:color="auto"/>
                    <w:right w:val="none" w:sz="0" w:space="0" w:color="auto"/>
                  </w:divBdr>
                  <w:divsChild>
                    <w:div w:id="105041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40265435">
      <w:bodyDiv w:val="1"/>
      <w:marLeft w:val="0"/>
      <w:marRight w:val="0"/>
      <w:marTop w:val="0"/>
      <w:marBottom w:val="0"/>
      <w:divBdr>
        <w:top w:val="none" w:sz="0" w:space="0" w:color="auto"/>
        <w:left w:val="none" w:sz="0" w:space="0" w:color="auto"/>
        <w:bottom w:val="none" w:sz="0" w:space="0" w:color="auto"/>
        <w:right w:val="none" w:sz="0" w:space="0" w:color="auto"/>
      </w:divBdr>
    </w:div>
    <w:div w:id="949623039">
      <w:bodyDiv w:val="1"/>
      <w:marLeft w:val="0"/>
      <w:marRight w:val="0"/>
      <w:marTop w:val="0"/>
      <w:marBottom w:val="0"/>
      <w:divBdr>
        <w:top w:val="none" w:sz="0" w:space="0" w:color="auto"/>
        <w:left w:val="none" w:sz="0" w:space="0" w:color="auto"/>
        <w:bottom w:val="none" w:sz="0" w:space="0" w:color="auto"/>
        <w:right w:val="none" w:sz="0" w:space="0" w:color="auto"/>
      </w:divBdr>
    </w:div>
    <w:div w:id="973876656">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75877726">
      <w:bodyDiv w:val="1"/>
      <w:marLeft w:val="0"/>
      <w:marRight w:val="0"/>
      <w:marTop w:val="0"/>
      <w:marBottom w:val="0"/>
      <w:divBdr>
        <w:top w:val="none" w:sz="0" w:space="0" w:color="auto"/>
        <w:left w:val="none" w:sz="0" w:space="0" w:color="auto"/>
        <w:bottom w:val="none" w:sz="0" w:space="0" w:color="auto"/>
        <w:right w:val="none" w:sz="0" w:space="0" w:color="auto"/>
      </w:divBdr>
    </w:div>
    <w:div w:id="1210453943">
      <w:bodyDiv w:val="1"/>
      <w:marLeft w:val="0"/>
      <w:marRight w:val="0"/>
      <w:marTop w:val="0"/>
      <w:marBottom w:val="0"/>
      <w:divBdr>
        <w:top w:val="none" w:sz="0" w:space="0" w:color="auto"/>
        <w:left w:val="none" w:sz="0" w:space="0" w:color="auto"/>
        <w:bottom w:val="none" w:sz="0" w:space="0" w:color="auto"/>
        <w:right w:val="none" w:sz="0" w:space="0" w:color="auto"/>
      </w:divBdr>
    </w:div>
    <w:div w:id="1260527940">
      <w:bodyDiv w:val="1"/>
      <w:marLeft w:val="30"/>
      <w:marRight w:val="30"/>
      <w:marTop w:val="0"/>
      <w:marBottom w:val="0"/>
      <w:divBdr>
        <w:top w:val="none" w:sz="0" w:space="0" w:color="auto"/>
        <w:left w:val="none" w:sz="0" w:space="0" w:color="auto"/>
        <w:bottom w:val="none" w:sz="0" w:space="0" w:color="auto"/>
        <w:right w:val="none" w:sz="0" w:space="0" w:color="auto"/>
      </w:divBdr>
      <w:divsChild>
        <w:div w:id="1208450295">
          <w:marLeft w:val="0"/>
          <w:marRight w:val="0"/>
          <w:marTop w:val="0"/>
          <w:marBottom w:val="0"/>
          <w:divBdr>
            <w:top w:val="none" w:sz="0" w:space="0" w:color="auto"/>
            <w:left w:val="none" w:sz="0" w:space="0" w:color="auto"/>
            <w:bottom w:val="none" w:sz="0" w:space="0" w:color="auto"/>
            <w:right w:val="none" w:sz="0" w:space="0" w:color="auto"/>
          </w:divBdr>
          <w:divsChild>
            <w:div w:id="498426418">
              <w:marLeft w:val="0"/>
              <w:marRight w:val="0"/>
              <w:marTop w:val="0"/>
              <w:marBottom w:val="0"/>
              <w:divBdr>
                <w:top w:val="none" w:sz="0" w:space="0" w:color="auto"/>
                <w:left w:val="none" w:sz="0" w:space="0" w:color="auto"/>
                <w:bottom w:val="none" w:sz="0" w:space="0" w:color="auto"/>
                <w:right w:val="none" w:sz="0" w:space="0" w:color="auto"/>
              </w:divBdr>
              <w:divsChild>
                <w:div w:id="1703509522">
                  <w:marLeft w:val="180"/>
                  <w:marRight w:val="0"/>
                  <w:marTop w:val="0"/>
                  <w:marBottom w:val="0"/>
                  <w:divBdr>
                    <w:top w:val="none" w:sz="0" w:space="0" w:color="auto"/>
                    <w:left w:val="none" w:sz="0" w:space="0" w:color="auto"/>
                    <w:bottom w:val="none" w:sz="0" w:space="0" w:color="auto"/>
                    <w:right w:val="none" w:sz="0" w:space="0" w:color="auto"/>
                  </w:divBdr>
                  <w:divsChild>
                    <w:div w:id="448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664090">
      <w:bodyDiv w:val="1"/>
      <w:marLeft w:val="0"/>
      <w:marRight w:val="0"/>
      <w:marTop w:val="0"/>
      <w:marBottom w:val="0"/>
      <w:divBdr>
        <w:top w:val="none" w:sz="0" w:space="0" w:color="auto"/>
        <w:left w:val="none" w:sz="0" w:space="0" w:color="auto"/>
        <w:bottom w:val="none" w:sz="0" w:space="0" w:color="auto"/>
        <w:right w:val="none" w:sz="0" w:space="0" w:color="auto"/>
      </w:divBdr>
    </w:div>
    <w:div w:id="1319530186">
      <w:bodyDiv w:val="1"/>
      <w:marLeft w:val="0"/>
      <w:marRight w:val="0"/>
      <w:marTop w:val="0"/>
      <w:marBottom w:val="0"/>
      <w:divBdr>
        <w:top w:val="none" w:sz="0" w:space="0" w:color="auto"/>
        <w:left w:val="none" w:sz="0" w:space="0" w:color="auto"/>
        <w:bottom w:val="none" w:sz="0" w:space="0" w:color="auto"/>
        <w:right w:val="none" w:sz="0" w:space="0" w:color="auto"/>
      </w:divBdr>
    </w:div>
    <w:div w:id="1379159666">
      <w:bodyDiv w:val="1"/>
      <w:marLeft w:val="0"/>
      <w:marRight w:val="0"/>
      <w:marTop w:val="0"/>
      <w:marBottom w:val="0"/>
      <w:divBdr>
        <w:top w:val="none" w:sz="0" w:space="0" w:color="auto"/>
        <w:left w:val="none" w:sz="0" w:space="0" w:color="auto"/>
        <w:bottom w:val="none" w:sz="0" w:space="0" w:color="auto"/>
        <w:right w:val="none" w:sz="0" w:space="0" w:color="auto"/>
      </w:divBdr>
    </w:div>
    <w:div w:id="1475218886">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52904430">
      <w:bodyDiv w:val="1"/>
      <w:marLeft w:val="0"/>
      <w:marRight w:val="0"/>
      <w:marTop w:val="0"/>
      <w:marBottom w:val="0"/>
      <w:divBdr>
        <w:top w:val="none" w:sz="0" w:space="0" w:color="auto"/>
        <w:left w:val="none" w:sz="0" w:space="0" w:color="auto"/>
        <w:bottom w:val="none" w:sz="0" w:space="0" w:color="auto"/>
        <w:right w:val="none" w:sz="0" w:space="0" w:color="auto"/>
      </w:divBdr>
    </w:div>
    <w:div w:id="1679573643">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896889508">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10062019">
      <w:bodyDiv w:val="1"/>
      <w:marLeft w:val="0"/>
      <w:marRight w:val="0"/>
      <w:marTop w:val="0"/>
      <w:marBottom w:val="0"/>
      <w:divBdr>
        <w:top w:val="none" w:sz="0" w:space="0" w:color="auto"/>
        <w:left w:val="none" w:sz="0" w:space="0" w:color="auto"/>
        <w:bottom w:val="none" w:sz="0" w:space="0" w:color="auto"/>
        <w:right w:val="none" w:sz="0" w:space="0" w:color="auto"/>
      </w:divBdr>
    </w:div>
    <w:div w:id="2032680693">
      <w:bodyDiv w:val="1"/>
      <w:marLeft w:val="0"/>
      <w:marRight w:val="0"/>
      <w:marTop w:val="0"/>
      <w:marBottom w:val="0"/>
      <w:divBdr>
        <w:top w:val="none" w:sz="0" w:space="0" w:color="auto"/>
        <w:left w:val="none" w:sz="0" w:space="0" w:color="auto"/>
        <w:bottom w:val="none" w:sz="0" w:space="0" w:color="auto"/>
        <w:right w:val="none" w:sz="0" w:space="0" w:color="auto"/>
      </w:divBdr>
      <w:divsChild>
        <w:div w:id="439222886">
          <w:marLeft w:val="0"/>
          <w:marRight w:val="0"/>
          <w:marTop w:val="0"/>
          <w:marBottom w:val="0"/>
          <w:divBdr>
            <w:top w:val="none" w:sz="0" w:space="0" w:color="auto"/>
            <w:left w:val="none" w:sz="0" w:space="0" w:color="auto"/>
            <w:bottom w:val="none" w:sz="0" w:space="0" w:color="auto"/>
            <w:right w:val="none" w:sz="0" w:space="0" w:color="auto"/>
          </w:divBdr>
        </w:div>
      </w:divsChild>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zeljenadejstva@cinmed.m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inmed.m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giflow-eforms.who-umc.org/me/mead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60827CD87BBD4F8CFC7BC0629D8751" ma:contentTypeVersion="12" ma:contentTypeDescription="Create a new document." ma:contentTypeScope="" ma:versionID="dda052f35ecd618f71c4275af93bdf90">
  <xsd:schema xmlns:xsd="http://www.w3.org/2001/XMLSchema" xmlns:xs="http://www.w3.org/2001/XMLSchema" xmlns:p="http://schemas.microsoft.com/office/2006/metadata/properties" xmlns:ns3="1f56745c-509c-499e-82a2-c3dbb8be3cb5" xmlns:ns4="c1df9db9-ca5c-48db-9c22-7a417c3df4c1" targetNamespace="http://schemas.microsoft.com/office/2006/metadata/properties" ma:root="true" ma:fieldsID="f9391ed5a6c2f3e9451eb7fe5939f09f" ns3:_="" ns4:_="">
    <xsd:import namespace="1f56745c-509c-499e-82a2-c3dbb8be3cb5"/>
    <xsd:import namespace="c1df9db9-ca5c-48db-9c22-7a417c3df4c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6745c-509c-499e-82a2-c3dbb8be3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df9db9-ca5c-48db-9c22-7a417c3df4c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F460F-A6FA-4FAE-9170-6EE20A223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6745c-509c-499e-82a2-c3dbb8be3cb5"/>
    <ds:schemaRef ds:uri="c1df9db9-ca5c-48db-9c22-7a417c3df4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5F84E6-E67E-4EE1-816F-5D650271A993}">
  <ds:schemaRefs>
    <ds:schemaRef ds:uri="http://schemas.microsoft.com/sharepoint/v3/contenttype/forms"/>
  </ds:schemaRefs>
</ds:datastoreItem>
</file>

<file path=customXml/itemProps3.xml><?xml version="1.0" encoding="utf-8"?>
<ds:datastoreItem xmlns:ds="http://schemas.openxmlformats.org/officeDocument/2006/customXml" ds:itemID="{BAABE316-45B9-4208-AC56-3C26D708650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68C9F3-3FDF-4601-A51C-32BEF1561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9398</Words>
  <Characters>53572</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62845</CharactersWithSpaces>
  <SharedDoc>false</SharedDoc>
  <HLinks>
    <vt:vector size="48" baseType="variant">
      <vt:variant>
        <vt:i4>3932209</vt:i4>
      </vt:variant>
      <vt:variant>
        <vt:i4>9</vt:i4>
      </vt:variant>
      <vt:variant>
        <vt:i4>0</vt:i4>
      </vt:variant>
      <vt:variant>
        <vt:i4>5</vt:i4>
      </vt:variant>
      <vt:variant>
        <vt:lpwstr>http://www.ema.europa.eu&lt;/</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ariant>
        <vt:i4>917515</vt:i4>
      </vt:variant>
      <vt:variant>
        <vt:i4>9</vt:i4>
      </vt:variant>
      <vt:variant>
        <vt:i4>0</vt:i4>
      </vt:variant>
      <vt:variant>
        <vt:i4>5</vt:i4>
      </vt:variant>
      <vt:variant>
        <vt:lpwstr>http://gdms.pfizer.com/gdms/drl/objectId/090177e18ef72d01</vt:lpwstr>
      </vt:variant>
      <vt:variant>
        <vt:lpwstr/>
      </vt:variant>
      <vt:variant>
        <vt:i4>6029323</vt:i4>
      </vt:variant>
      <vt:variant>
        <vt:i4>6</vt:i4>
      </vt:variant>
      <vt:variant>
        <vt:i4>0</vt:i4>
      </vt:variant>
      <vt:variant>
        <vt:i4>5</vt:i4>
      </vt:variant>
      <vt:variant>
        <vt:lpwstr>http://gdms.pfizer.com/gdms/drl/objectId/090177e18ef72db7</vt:lpwstr>
      </vt:variant>
      <vt:variant>
        <vt:lpwstr/>
      </vt:variant>
      <vt:variant>
        <vt:i4>589913</vt:i4>
      </vt:variant>
      <vt:variant>
        <vt:i4>3</vt:i4>
      </vt:variant>
      <vt:variant>
        <vt:i4>0</vt:i4>
      </vt:variant>
      <vt:variant>
        <vt:i4>5</vt:i4>
      </vt:variant>
      <vt:variant>
        <vt:lpwstr>http://gdms.pfizer.com/gdms/drl/objectId/090177e18f0a2ca3</vt:lpwstr>
      </vt:variant>
      <vt:variant>
        <vt:lpwstr/>
      </vt:variant>
      <vt:variant>
        <vt:i4>851974</vt:i4>
      </vt:variant>
      <vt:variant>
        <vt:i4>0</vt:i4>
      </vt:variant>
      <vt:variant>
        <vt:i4>0</vt:i4>
      </vt:variant>
      <vt:variant>
        <vt:i4>5</vt:i4>
      </vt:variant>
      <vt:variant>
        <vt:lpwstr>http://gdms.pfizer.com/gdms/drl/objectId/090177e18f593da9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Miroshkina, Anna</dc:creator>
  <cp:lastModifiedBy>Aleksandra Marijanović</cp:lastModifiedBy>
  <cp:revision>16</cp:revision>
  <cp:lastPrinted>2022-07-08T07:42:00Z</cp:lastPrinted>
  <dcterms:created xsi:type="dcterms:W3CDTF">2025-02-05T11:34:00Z</dcterms:created>
  <dcterms:modified xsi:type="dcterms:W3CDTF">2025-02-07T14:11:00Z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0x0101009B60827CD87BBD4F8CFC7BC0629D8751</vt:lpwstr>
  </property>
  <property fmtid="{D5CDD505-2E9C-101B-9397-08002B2CF9AE}" pid="3" name="Pre-Flight-Check">
    <vt:lpwstr>Run by: Inez.Krawczyk; Results: Pass; Run at: 2/22/2021 2:03:10 PM</vt:lpwstr>
  </property>
  <property fmtid="{D5CDD505-2E9C-101B-9397-08002B2CF9AE}" pid="4" name="MSIP_Label_4791b42f-c435-42ca-9531-75a3f42aae3d_Enabled">
    <vt:lpwstr>true</vt:lpwstr>
  </property>
  <property fmtid="{D5CDD505-2E9C-101B-9397-08002B2CF9AE}" pid="5" name="MSIP_Label_4791b42f-c435-42ca-9531-75a3f42aae3d_SetDate">
    <vt:lpwstr>2024-04-02T11:08:59Z</vt:lpwstr>
  </property>
  <property fmtid="{D5CDD505-2E9C-101B-9397-08002B2CF9AE}" pid="6" name="MSIP_Label_4791b42f-c435-42ca-9531-75a3f42aae3d_Method">
    <vt:lpwstr>Privileged</vt:lpwstr>
  </property>
  <property fmtid="{D5CDD505-2E9C-101B-9397-08002B2CF9AE}" pid="7" name="MSIP_Label_4791b42f-c435-42ca-9531-75a3f42aae3d_Name">
    <vt:lpwstr>4791b42f-c435-42ca-9531-75a3f42aae3d</vt:lpwstr>
  </property>
  <property fmtid="{D5CDD505-2E9C-101B-9397-08002B2CF9AE}" pid="8" name="MSIP_Label_4791b42f-c435-42ca-9531-75a3f42aae3d_SiteId">
    <vt:lpwstr>7a916015-20ae-4ad1-9170-eefd915e9272</vt:lpwstr>
  </property>
  <property fmtid="{D5CDD505-2E9C-101B-9397-08002B2CF9AE}" pid="9" name="MSIP_Label_4791b42f-c435-42ca-9531-75a3f42aae3d_ActionId">
    <vt:lpwstr>20817b28-35ed-478b-8fb9-2d10b14025f3</vt:lpwstr>
  </property>
  <property fmtid="{D5CDD505-2E9C-101B-9397-08002B2CF9AE}" pid="10" name="MSIP_Label_4791b42f-c435-42ca-9531-75a3f42aae3d_ContentBits">
    <vt:lpwstr>0</vt:lpwstr>
  </property>
</Properties>
</file>