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EE3064" w14:textId="77777777" w:rsidR="00C06689" w:rsidRPr="00E34696" w:rsidRDefault="00C06689" w:rsidP="00E34696">
      <w:pPr>
        <w:widowControl w:val="0"/>
        <w:jc w:val="center"/>
        <w:rPr>
          <w:b/>
          <w:bCs/>
          <w:iCs/>
          <w:sz w:val="22"/>
          <w:szCs w:val="22"/>
          <w:u w:val="single"/>
          <w:lang w:val="sr-Latn-ME"/>
        </w:rPr>
      </w:pPr>
      <w:r w:rsidRPr="00E34696">
        <w:rPr>
          <w:b/>
          <w:bCs/>
          <w:iCs/>
          <w:sz w:val="22"/>
          <w:szCs w:val="22"/>
          <w:u w:val="single"/>
          <w:lang w:val="sr-Latn-ME"/>
        </w:rPr>
        <w:t>САЖЕТАК КАРАКТЕРИСТИКА ЛИЈЕКА</w:t>
      </w:r>
    </w:p>
    <w:p w14:paraId="63C31CA8" w14:textId="32E6A90B" w:rsidR="002510A5" w:rsidRDefault="002510A5" w:rsidP="00E34696">
      <w:pPr>
        <w:widowControl w:val="0"/>
        <w:rPr>
          <w:b/>
          <w:bCs/>
          <w:i/>
          <w:iCs/>
          <w:sz w:val="22"/>
          <w:szCs w:val="22"/>
          <w:u w:val="single"/>
          <w:lang w:val="sr-Latn-ME"/>
        </w:rPr>
      </w:pPr>
    </w:p>
    <w:p w14:paraId="55EFDBB1" w14:textId="77777777" w:rsidR="00E34696" w:rsidRPr="00E34696" w:rsidRDefault="00E34696" w:rsidP="00E34696">
      <w:pPr>
        <w:widowControl w:val="0"/>
        <w:rPr>
          <w:b/>
          <w:bCs/>
          <w:i/>
          <w:iCs/>
          <w:sz w:val="22"/>
          <w:szCs w:val="22"/>
          <w:u w:val="single"/>
          <w:lang w:val="sr-Latn-ME"/>
        </w:rPr>
      </w:pPr>
    </w:p>
    <w:p w14:paraId="0E1AA21C" w14:textId="77777777" w:rsidR="00C06689" w:rsidRPr="00E34696" w:rsidRDefault="00C06689" w:rsidP="00E34696">
      <w:pPr>
        <w:pStyle w:val="Header"/>
        <w:widowControl w:val="0"/>
        <w:tabs>
          <w:tab w:val="left" w:pos="284"/>
        </w:tabs>
        <w:rPr>
          <w:b/>
          <w:bCs/>
          <w:sz w:val="22"/>
          <w:szCs w:val="22"/>
          <w:lang w:val="sr-Latn-ME"/>
        </w:rPr>
      </w:pPr>
      <w:r w:rsidRPr="00E34696">
        <w:rPr>
          <w:b/>
          <w:bCs/>
          <w:sz w:val="22"/>
          <w:szCs w:val="22"/>
          <w:lang w:val="sr-Latn-ME"/>
        </w:rPr>
        <w:t>1. НАЗИВ ЛИЈЕКА</w:t>
      </w:r>
    </w:p>
    <w:p w14:paraId="2EC9D262" w14:textId="77777777" w:rsidR="00C06689" w:rsidRPr="00E34696" w:rsidRDefault="00C06689" w:rsidP="00E34696">
      <w:pPr>
        <w:pStyle w:val="Header"/>
        <w:widowControl w:val="0"/>
        <w:tabs>
          <w:tab w:val="left" w:pos="284"/>
        </w:tabs>
        <w:rPr>
          <w:sz w:val="22"/>
          <w:szCs w:val="22"/>
          <w:lang w:val="sr-Latn-ME"/>
        </w:rPr>
      </w:pPr>
    </w:p>
    <w:p w14:paraId="0F98B4A6" w14:textId="58E00D98" w:rsidR="00C06689" w:rsidRPr="00E34696" w:rsidRDefault="00C06689" w:rsidP="00E34696">
      <w:pPr>
        <w:widowControl w:val="0"/>
        <w:tabs>
          <w:tab w:val="left" w:pos="284"/>
        </w:tabs>
        <w:jc w:val="both"/>
        <w:rPr>
          <w:sz w:val="22"/>
          <w:lang w:val="sr-Latn-ME"/>
        </w:rPr>
      </w:pPr>
      <w:r w:rsidRPr="00E34696">
        <w:rPr>
          <w:sz w:val="22"/>
          <w:lang w:val="sr-Latn-ME"/>
        </w:rPr>
        <w:t>Fovelid, 250 mg, филм таблет</w:t>
      </w:r>
      <w:r w:rsidR="00F91C1F" w:rsidRPr="00E34696">
        <w:rPr>
          <w:sz w:val="22"/>
          <w:lang w:val="sr-Latn-ME"/>
        </w:rPr>
        <w:t>а</w:t>
      </w:r>
    </w:p>
    <w:p w14:paraId="7056FCDF" w14:textId="267671D0" w:rsidR="00C06689" w:rsidRPr="00E34696" w:rsidRDefault="00C06689" w:rsidP="00E34696">
      <w:pPr>
        <w:widowControl w:val="0"/>
        <w:tabs>
          <w:tab w:val="left" w:pos="284"/>
        </w:tabs>
        <w:jc w:val="both"/>
        <w:rPr>
          <w:sz w:val="22"/>
          <w:lang w:val="sr-Latn-ME"/>
        </w:rPr>
      </w:pPr>
      <w:r w:rsidRPr="00E34696">
        <w:rPr>
          <w:sz w:val="22"/>
          <w:lang w:val="sr-Latn-ME"/>
        </w:rPr>
        <w:t>Fovelid, 500 mg, филм таблет</w:t>
      </w:r>
      <w:r w:rsidR="00F91C1F" w:rsidRPr="00E34696">
        <w:rPr>
          <w:sz w:val="22"/>
          <w:lang w:val="sr-Latn-ME"/>
        </w:rPr>
        <w:t>а</w:t>
      </w:r>
    </w:p>
    <w:p w14:paraId="542FFC88" w14:textId="77777777" w:rsidR="00C06689" w:rsidRPr="00E34696" w:rsidRDefault="00C06689" w:rsidP="00E34696">
      <w:pPr>
        <w:pStyle w:val="Header"/>
        <w:widowControl w:val="0"/>
        <w:tabs>
          <w:tab w:val="left" w:pos="284"/>
        </w:tabs>
        <w:rPr>
          <w:sz w:val="22"/>
          <w:szCs w:val="22"/>
          <w:lang w:val="sr-Latn-ME"/>
        </w:rPr>
      </w:pPr>
    </w:p>
    <w:p w14:paraId="73976008" w14:textId="28CF348A" w:rsidR="00C06689" w:rsidRPr="00E34696" w:rsidRDefault="00C06689" w:rsidP="00E34696">
      <w:pPr>
        <w:pStyle w:val="Header"/>
        <w:widowControl w:val="0"/>
        <w:tabs>
          <w:tab w:val="left" w:pos="284"/>
        </w:tabs>
        <w:rPr>
          <w:sz w:val="22"/>
          <w:szCs w:val="22"/>
          <w:lang w:val="sr-Latn-ME"/>
        </w:rPr>
      </w:pPr>
      <w:r w:rsidRPr="00E34696">
        <w:rPr>
          <w:sz w:val="22"/>
          <w:szCs w:val="22"/>
          <w:lang w:val="sr-Latn-ME"/>
        </w:rPr>
        <w:t>ИНН:</w:t>
      </w:r>
      <w:r w:rsidR="00E848AA" w:rsidRPr="00E34696">
        <w:rPr>
          <w:sz w:val="22"/>
          <w:szCs w:val="22"/>
          <w:lang w:val="sr-Latn-ME"/>
        </w:rPr>
        <w:t xml:space="preserve"> </w:t>
      </w:r>
      <w:r w:rsidRPr="00E34696">
        <w:rPr>
          <w:sz w:val="22"/>
          <w:szCs w:val="22"/>
          <w:lang w:val="sr-Latn-ME"/>
        </w:rPr>
        <w:t>левофлоксацин</w:t>
      </w:r>
    </w:p>
    <w:p w14:paraId="114C19DB" w14:textId="77777777" w:rsidR="006D20A5" w:rsidRPr="00E34696" w:rsidRDefault="006D20A5" w:rsidP="00E34696">
      <w:pPr>
        <w:widowControl w:val="0"/>
        <w:rPr>
          <w:bCs/>
          <w:sz w:val="22"/>
          <w:szCs w:val="22"/>
          <w:lang w:val="sr-Latn-ME"/>
        </w:rPr>
      </w:pPr>
    </w:p>
    <w:p w14:paraId="2F889F48" w14:textId="77777777" w:rsidR="00530BD7" w:rsidRPr="00E34696" w:rsidRDefault="00530BD7" w:rsidP="00E34696">
      <w:pPr>
        <w:widowControl w:val="0"/>
        <w:rPr>
          <w:bCs/>
          <w:sz w:val="22"/>
          <w:szCs w:val="22"/>
          <w:lang w:val="sr-Latn-ME"/>
        </w:rPr>
      </w:pPr>
    </w:p>
    <w:p w14:paraId="275353E4" w14:textId="77777777" w:rsidR="00C06689" w:rsidRPr="00E34696" w:rsidRDefault="00C06689" w:rsidP="00E34696">
      <w:pPr>
        <w:pStyle w:val="Header"/>
        <w:widowControl w:val="0"/>
        <w:tabs>
          <w:tab w:val="left" w:pos="284"/>
        </w:tabs>
        <w:rPr>
          <w:b/>
          <w:bCs/>
          <w:sz w:val="22"/>
          <w:szCs w:val="22"/>
          <w:lang w:val="sr-Latn-ME"/>
        </w:rPr>
      </w:pPr>
      <w:r w:rsidRPr="00E34696">
        <w:rPr>
          <w:b/>
          <w:bCs/>
          <w:sz w:val="22"/>
          <w:szCs w:val="22"/>
          <w:lang w:val="sr-Latn-ME"/>
        </w:rPr>
        <w:t>2. КВАЛИТАТИВНИ И КВАНТИТАТИВНИ САСТАВ</w:t>
      </w:r>
    </w:p>
    <w:p w14:paraId="42C61749" w14:textId="77777777" w:rsidR="00C06689" w:rsidRPr="00E34696" w:rsidRDefault="00C06689" w:rsidP="00E34696">
      <w:pPr>
        <w:widowControl w:val="0"/>
        <w:tabs>
          <w:tab w:val="left" w:pos="284"/>
        </w:tabs>
        <w:jc w:val="both"/>
        <w:rPr>
          <w:sz w:val="22"/>
          <w:szCs w:val="22"/>
          <w:lang w:val="sr-Latn-ME"/>
        </w:rPr>
      </w:pPr>
    </w:p>
    <w:p w14:paraId="447833F8" w14:textId="7B83EED7" w:rsidR="00C06689" w:rsidRPr="00E34696" w:rsidRDefault="00C06689" w:rsidP="00E34696">
      <w:pPr>
        <w:widowControl w:val="0"/>
        <w:tabs>
          <w:tab w:val="left" w:pos="284"/>
        </w:tabs>
        <w:jc w:val="both"/>
        <w:rPr>
          <w:sz w:val="22"/>
          <w:szCs w:val="22"/>
          <w:u w:val="single"/>
          <w:lang w:val="sr-Latn-ME"/>
        </w:rPr>
      </w:pPr>
      <w:r w:rsidRPr="00E34696">
        <w:rPr>
          <w:sz w:val="22"/>
          <w:szCs w:val="22"/>
          <w:u w:val="single"/>
          <w:lang w:val="sr-Latn-ME"/>
        </w:rPr>
        <w:t>Fovelid, 250 mg, филм таблет</w:t>
      </w:r>
      <w:r w:rsidR="00B651E5" w:rsidRPr="00E34696">
        <w:rPr>
          <w:sz w:val="22"/>
          <w:szCs w:val="22"/>
          <w:u w:val="single"/>
          <w:lang w:val="sr-Latn-ME"/>
        </w:rPr>
        <w:t>a</w:t>
      </w:r>
      <w:r w:rsidRPr="00E34696">
        <w:rPr>
          <w:sz w:val="22"/>
          <w:szCs w:val="22"/>
          <w:u w:val="single"/>
          <w:lang w:val="sr-Latn-ME"/>
        </w:rPr>
        <w:t xml:space="preserve"> </w:t>
      </w:r>
    </w:p>
    <w:p w14:paraId="526E92E0"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 xml:space="preserve">Једна филм таблета садржи 250 mg левофлоксацина </w:t>
      </w:r>
      <w:r w:rsidR="00B651E5" w:rsidRPr="00E34696">
        <w:rPr>
          <w:sz w:val="22"/>
          <w:szCs w:val="22"/>
          <w:lang w:val="sr-Latn-ME"/>
        </w:rPr>
        <w:t>(</w:t>
      </w:r>
      <w:r w:rsidRPr="00E34696">
        <w:rPr>
          <w:sz w:val="22"/>
          <w:szCs w:val="22"/>
          <w:lang w:val="sr-Latn-ME"/>
        </w:rPr>
        <w:t>у облику левофлоксацин хемихидрата</w:t>
      </w:r>
      <w:r w:rsidR="00B651E5" w:rsidRPr="00E34696">
        <w:rPr>
          <w:sz w:val="22"/>
          <w:szCs w:val="22"/>
          <w:lang w:val="sr-Latn-ME"/>
        </w:rPr>
        <w:t>)</w:t>
      </w:r>
      <w:r w:rsidRPr="00E34696">
        <w:rPr>
          <w:sz w:val="22"/>
          <w:szCs w:val="22"/>
          <w:lang w:val="sr-Latn-ME"/>
        </w:rPr>
        <w:t>.</w:t>
      </w:r>
    </w:p>
    <w:p w14:paraId="770576C9" w14:textId="77777777" w:rsidR="00C06689" w:rsidRPr="00E34696" w:rsidRDefault="00C06689" w:rsidP="00E34696">
      <w:pPr>
        <w:widowControl w:val="0"/>
        <w:tabs>
          <w:tab w:val="left" w:pos="284"/>
        </w:tabs>
        <w:jc w:val="both"/>
        <w:rPr>
          <w:sz w:val="22"/>
          <w:szCs w:val="22"/>
          <w:lang w:val="sr-Latn-ME"/>
        </w:rPr>
      </w:pPr>
    </w:p>
    <w:p w14:paraId="27AAEDF0" w14:textId="0F6EB5A7" w:rsidR="00C06689" w:rsidRPr="00E34696" w:rsidRDefault="00C06689" w:rsidP="00E34696">
      <w:pPr>
        <w:widowControl w:val="0"/>
        <w:tabs>
          <w:tab w:val="left" w:pos="284"/>
        </w:tabs>
        <w:jc w:val="both"/>
        <w:rPr>
          <w:sz w:val="22"/>
          <w:szCs w:val="22"/>
          <w:u w:val="single"/>
          <w:lang w:val="sr-Latn-ME"/>
        </w:rPr>
      </w:pPr>
      <w:r w:rsidRPr="00E34696">
        <w:rPr>
          <w:sz w:val="22"/>
          <w:szCs w:val="22"/>
          <w:u w:val="single"/>
          <w:lang w:val="sr-Latn-ME"/>
        </w:rPr>
        <w:t>Fovelid, 500 mg, филм таблет</w:t>
      </w:r>
      <w:r w:rsidR="00B651E5" w:rsidRPr="00E34696">
        <w:rPr>
          <w:sz w:val="22"/>
          <w:szCs w:val="22"/>
          <w:u w:val="single"/>
          <w:lang w:val="sr-Latn-ME"/>
        </w:rPr>
        <w:t>a</w:t>
      </w:r>
    </w:p>
    <w:p w14:paraId="6376DFD6"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 xml:space="preserve">Једна филм таблета садржи 500 mg левофлоксацина </w:t>
      </w:r>
      <w:r w:rsidR="00B651E5" w:rsidRPr="00E34696">
        <w:rPr>
          <w:sz w:val="22"/>
          <w:szCs w:val="22"/>
          <w:lang w:val="sr-Latn-ME"/>
        </w:rPr>
        <w:t>(</w:t>
      </w:r>
      <w:r w:rsidRPr="00E34696">
        <w:rPr>
          <w:sz w:val="22"/>
          <w:szCs w:val="22"/>
          <w:lang w:val="sr-Latn-ME"/>
        </w:rPr>
        <w:t>у облику левофлоксацин хемихидрата</w:t>
      </w:r>
      <w:r w:rsidR="00B651E5" w:rsidRPr="00E34696">
        <w:rPr>
          <w:sz w:val="22"/>
          <w:szCs w:val="22"/>
          <w:lang w:val="sr-Latn-ME"/>
        </w:rPr>
        <w:t>)</w:t>
      </w:r>
      <w:r w:rsidRPr="00E34696">
        <w:rPr>
          <w:sz w:val="22"/>
          <w:szCs w:val="22"/>
          <w:lang w:val="sr-Latn-ME"/>
        </w:rPr>
        <w:t>.</w:t>
      </w:r>
    </w:p>
    <w:p w14:paraId="6275F1CD" w14:textId="77777777" w:rsidR="00C06689" w:rsidRPr="00E34696" w:rsidRDefault="00C06689" w:rsidP="00E34696">
      <w:pPr>
        <w:widowControl w:val="0"/>
        <w:tabs>
          <w:tab w:val="left" w:pos="284"/>
        </w:tabs>
        <w:jc w:val="both"/>
        <w:rPr>
          <w:sz w:val="22"/>
          <w:szCs w:val="22"/>
          <w:lang w:val="sr-Latn-ME"/>
        </w:rPr>
      </w:pPr>
    </w:p>
    <w:p w14:paraId="61CA363D" w14:textId="77777777" w:rsidR="00F91C1F" w:rsidRPr="00E34696" w:rsidRDefault="00C06689" w:rsidP="00E34696">
      <w:pPr>
        <w:widowControl w:val="0"/>
        <w:tabs>
          <w:tab w:val="left" w:pos="284"/>
        </w:tabs>
        <w:jc w:val="both"/>
        <w:rPr>
          <w:sz w:val="22"/>
          <w:szCs w:val="22"/>
          <w:lang w:val="sr-Latn-ME"/>
        </w:rPr>
      </w:pPr>
      <w:r w:rsidRPr="00E34696">
        <w:rPr>
          <w:sz w:val="22"/>
          <w:szCs w:val="22"/>
          <w:lang w:val="sr-Latn-ME"/>
        </w:rPr>
        <w:t xml:space="preserve">Помоћнa супстанцa са потврђеним дејством: </w:t>
      </w:r>
    </w:p>
    <w:p w14:paraId="258FAA2A" w14:textId="253B91C6" w:rsidR="00F91C1F" w:rsidRPr="00E34696" w:rsidRDefault="00F91C1F" w:rsidP="00E34696">
      <w:pPr>
        <w:widowControl w:val="0"/>
        <w:tabs>
          <w:tab w:val="left" w:pos="284"/>
        </w:tabs>
        <w:jc w:val="both"/>
        <w:rPr>
          <w:sz w:val="22"/>
          <w:szCs w:val="22"/>
          <w:u w:val="single"/>
          <w:lang w:val="sr-Latn-ME"/>
        </w:rPr>
      </w:pPr>
      <w:r w:rsidRPr="00E34696">
        <w:rPr>
          <w:sz w:val="22"/>
          <w:szCs w:val="22"/>
          <w:u w:val="single"/>
          <w:lang w:val="sr-Latn-ME"/>
        </w:rPr>
        <w:t>Fovelid, 250 mg, филм таблет</w:t>
      </w:r>
      <w:r w:rsidR="00B651E5" w:rsidRPr="00E34696">
        <w:rPr>
          <w:sz w:val="22"/>
          <w:szCs w:val="22"/>
          <w:u w:val="single"/>
          <w:lang w:val="sr-Latn-ME"/>
        </w:rPr>
        <w:t>a</w:t>
      </w:r>
      <w:r w:rsidRPr="00E34696">
        <w:rPr>
          <w:sz w:val="22"/>
          <w:szCs w:val="22"/>
          <w:u w:val="single"/>
          <w:lang w:val="sr-Latn-ME"/>
        </w:rPr>
        <w:t xml:space="preserve"> </w:t>
      </w:r>
    </w:p>
    <w:p w14:paraId="137FC53B" w14:textId="7954250E" w:rsidR="00C06689" w:rsidRPr="00E34696" w:rsidRDefault="00F91C1F" w:rsidP="00E34696">
      <w:pPr>
        <w:widowControl w:val="0"/>
        <w:tabs>
          <w:tab w:val="left" w:pos="284"/>
        </w:tabs>
        <w:jc w:val="both"/>
        <w:rPr>
          <w:sz w:val="22"/>
          <w:szCs w:val="22"/>
          <w:lang w:val="sr-Latn-ME"/>
        </w:rPr>
      </w:pPr>
      <w:r w:rsidRPr="00E34696">
        <w:rPr>
          <w:sz w:val="22"/>
          <w:szCs w:val="22"/>
          <w:lang w:val="sr-Latn-ME"/>
        </w:rPr>
        <w:t>Једна филм таблета садржи 0</w:t>
      </w:r>
      <w:r w:rsidR="00273EC1" w:rsidRPr="00E34696">
        <w:rPr>
          <w:sz w:val="22"/>
          <w:szCs w:val="22"/>
          <w:lang w:val="sr-Latn-ME"/>
        </w:rPr>
        <w:t>,</w:t>
      </w:r>
      <w:r w:rsidRPr="00E34696">
        <w:rPr>
          <w:sz w:val="22"/>
          <w:szCs w:val="22"/>
          <w:lang w:val="sr-Latn-ME"/>
        </w:rPr>
        <w:t xml:space="preserve">02 mg </w:t>
      </w:r>
      <w:r w:rsidR="00C06689" w:rsidRPr="00E34696">
        <w:rPr>
          <w:sz w:val="22"/>
          <w:szCs w:val="22"/>
          <w:lang w:val="sr-Latn-ME"/>
        </w:rPr>
        <w:t>бој</w:t>
      </w:r>
      <w:r w:rsidRPr="00E34696">
        <w:rPr>
          <w:sz w:val="22"/>
          <w:szCs w:val="22"/>
          <w:lang w:val="sr-Latn-ME"/>
        </w:rPr>
        <w:t>е</w:t>
      </w:r>
      <w:r w:rsidR="00C06689" w:rsidRPr="00E34696">
        <w:rPr>
          <w:sz w:val="22"/>
          <w:szCs w:val="22"/>
          <w:lang w:val="sr-Latn-ME"/>
        </w:rPr>
        <w:t xml:space="preserve"> </w:t>
      </w:r>
      <w:r w:rsidR="00C06689" w:rsidRPr="00E34696">
        <w:rPr>
          <w:i/>
          <w:sz w:val="22"/>
          <w:szCs w:val="22"/>
          <w:lang w:val="sr-Latn-ME"/>
        </w:rPr>
        <w:t>Sunset Yеllоw FCF Aluminium lake</w:t>
      </w:r>
      <w:r w:rsidR="00C06689" w:rsidRPr="00E34696">
        <w:rPr>
          <w:sz w:val="22"/>
          <w:szCs w:val="22"/>
          <w:lang w:val="sr-Latn-ME"/>
        </w:rPr>
        <w:t xml:space="preserve"> (Е110).</w:t>
      </w:r>
    </w:p>
    <w:p w14:paraId="27BE3636" w14:textId="77777777" w:rsidR="00C06689" w:rsidRPr="00E34696" w:rsidRDefault="00C06689" w:rsidP="00E34696">
      <w:pPr>
        <w:widowControl w:val="0"/>
        <w:tabs>
          <w:tab w:val="left" w:pos="284"/>
        </w:tabs>
        <w:jc w:val="both"/>
        <w:rPr>
          <w:sz w:val="22"/>
          <w:szCs w:val="22"/>
          <w:lang w:val="sr-Latn-ME"/>
        </w:rPr>
      </w:pPr>
    </w:p>
    <w:p w14:paraId="47327DEC" w14:textId="2C1E78E8" w:rsidR="00273EC1" w:rsidRPr="00E34696" w:rsidRDefault="00273EC1" w:rsidP="00E34696">
      <w:pPr>
        <w:widowControl w:val="0"/>
        <w:tabs>
          <w:tab w:val="left" w:pos="284"/>
        </w:tabs>
        <w:jc w:val="both"/>
        <w:rPr>
          <w:sz w:val="22"/>
          <w:szCs w:val="22"/>
          <w:u w:val="single"/>
          <w:lang w:val="sr-Latn-ME"/>
        </w:rPr>
      </w:pPr>
      <w:r w:rsidRPr="00E34696">
        <w:rPr>
          <w:sz w:val="22"/>
          <w:szCs w:val="22"/>
          <w:u w:val="single"/>
          <w:lang w:val="sr-Latn-ME"/>
        </w:rPr>
        <w:t>Fovelid, 500 mg, филм таблет</w:t>
      </w:r>
      <w:r w:rsidR="00B651E5" w:rsidRPr="00E34696">
        <w:rPr>
          <w:sz w:val="22"/>
          <w:szCs w:val="22"/>
          <w:u w:val="single"/>
          <w:lang w:val="sr-Latn-ME"/>
        </w:rPr>
        <w:t>a</w:t>
      </w:r>
    </w:p>
    <w:p w14:paraId="7715AB6F" w14:textId="77777777" w:rsidR="00273EC1" w:rsidRPr="00E34696" w:rsidRDefault="00273EC1" w:rsidP="00E34696">
      <w:pPr>
        <w:widowControl w:val="0"/>
        <w:tabs>
          <w:tab w:val="left" w:pos="284"/>
        </w:tabs>
        <w:jc w:val="both"/>
        <w:rPr>
          <w:sz w:val="22"/>
          <w:szCs w:val="22"/>
          <w:lang w:val="sr-Latn-ME"/>
        </w:rPr>
      </w:pPr>
      <w:r w:rsidRPr="00E34696">
        <w:rPr>
          <w:sz w:val="22"/>
          <w:szCs w:val="22"/>
          <w:lang w:val="sr-Latn-ME"/>
        </w:rPr>
        <w:t xml:space="preserve">Једна филм таблета садржи 0,038 mg боје </w:t>
      </w:r>
      <w:r w:rsidRPr="00E34696">
        <w:rPr>
          <w:i/>
          <w:sz w:val="22"/>
          <w:szCs w:val="22"/>
          <w:lang w:val="sr-Latn-ME"/>
        </w:rPr>
        <w:t>Sunset Yеllоw FCF Aluminium lake</w:t>
      </w:r>
      <w:r w:rsidRPr="00E34696">
        <w:rPr>
          <w:sz w:val="22"/>
          <w:szCs w:val="22"/>
          <w:lang w:val="sr-Latn-ME"/>
        </w:rPr>
        <w:t xml:space="preserve"> (Е110).</w:t>
      </w:r>
    </w:p>
    <w:p w14:paraId="155EC653" w14:textId="77777777" w:rsidR="00273EC1" w:rsidRPr="00E34696" w:rsidRDefault="00273EC1" w:rsidP="00E34696">
      <w:pPr>
        <w:widowControl w:val="0"/>
        <w:tabs>
          <w:tab w:val="left" w:pos="284"/>
        </w:tabs>
        <w:jc w:val="both"/>
        <w:rPr>
          <w:sz w:val="22"/>
          <w:szCs w:val="22"/>
          <w:lang w:val="sr-Latn-ME"/>
        </w:rPr>
      </w:pPr>
    </w:p>
    <w:p w14:paraId="6FEB2183"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За списак свих ексципијенаса, погледати дио 6.1.</w:t>
      </w:r>
    </w:p>
    <w:p w14:paraId="2A7183BF" w14:textId="77777777" w:rsidR="0003793F" w:rsidRPr="00E34696" w:rsidRDefault="0003793F" w:rsidP="00E34696">
      <w:pPr>
        <w:widowControl w:val="0"/>
        <w:rPr>
          <w:sz w:val="22"/>
          <w:szCs w:val="22"/>
          <w:lang w:val="sr-Latn-ME"/>
        </w:rPr>
      </w:pPr>
    </w:p>
    <w:p w14:paraId="5FD7F241" w14:textId="77777777" w:rsidR="00C37FD7" w:rsidRPr="00E34696" w:rsidRDefault="00C37FD7" w:rsidP="00E34696">
      <w:pPr>
        <w:widowControl w:val="0"/>
        <w:rPr>
          <w:sz w:val="22"/>
          <w:szCs w:val="22"/>
          <w:lang w:val="sr-Latn-ME"/>
        </w:rPr>
      </w:pPr>
    </w:p>
    <w:p w14:paraId="7A758678" w14:textId="77777777" w:rsidR="00C06689" w:rsidRPr="00E34696" w:rsidRDefault="00C06689" w:rsidP="00E34696">
      <w:pPr>
        <w:pStyle w:val="Header"/>
        <w:widowControl w:val="0"/>
        <w:tabs>
          <w:tab w:val="left" w:pos="284"/>
        </w:tabs>
        <w:rPr>
          <w:b/>
          <w:bCs/>
          <w:sz w:val="22"/>
          <w:szCs w:val="22"/>
          <w:lang w:val="sr-Latn-ME"/>
        </w:rPr>
      </w:pPr>
      <w:r w:rsidRPr="00E34696">
        <w:rPr>
          <w:b/>
          <w:bCs/>
          <w:sz w:val="22"/>
          <w:szCs w:val="22"/>
          <w:lang w:val="sr-Latn-ME"/>
        </w:rPr>
        <w:t>3. ФАРМАЦЕУТСКИ ОБЛИК</w:t>
      </w:r>
    </w:p>
    <w:p w14:paraId="09B4A827" w14:textId="77777777" w:rsidR="00C06689" w:rsidRPr="00E34696" w:rsidRDefault="00C06689" w:rsidP="00E34696">
      <w:pPr>
        <w:widowControl w:val="0"/>
        <w:tabs>
          <w:tab w:val="left" w:pos="284"/>
        </w:tabs>
        <w:jc w:val="both"/>
        <w:rPr>
          <w:sz w:val="22"/>
          <w:lang w:val="sr-Latn-ME"/>
        </w:rPr>
      </w:pPr>
    </w:p>
    <w:p w14:paraId="72A38BB3"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Филм таблета.</w:t>
      </w:r>
    </w:p>
    <w:p w14:paraId="07334053" w14:textId="77777777" w:rsidR="00C06689" w:rsidRPr="00E34696" w:rsidRDefault="00C06689" w:rsidP="00E34696">
      <w:pPr>
        <w:widowControl w:val="0"/>
        <w:tabs>
          <w:tab w:val="left" w:pos="284"/>
        </w:tabs>
        <w:jc w:val="both"/>
        <w:rPr>
          <w:sz w:val="22"/>
          <w:szCs w:val="22"/>
          <w:lang w:val="sr-Latn-ME"/>
        </w:rPr>
      </w:pPr>
    </w:p>
    <w:p w14:paraId="54377203" w14:textId="3550AC37" w:rsidR="00C06689" w:rsidRPr="00E34696" w:rsidRDefault="00C06689" w:rsidP="00E34696">
      <w:pPr>
        <w:widowControl w:val="0"/>
        <w:tabs>
          <w:tab w:val="left" w:pos="284"/>
        </w:tabs>
        <w:jc w:val="both"/>
        <w:rPr>
          <w:sz w:val="22"/>
          <w:szCs w:val="22"/>
          <w:lang w:val="sr-Latn-ME"/>
        </w:rPr>
      </w:pPr>
      <w:r w:rsidRPr="00E34696">
        <w:rPr>
          <w:sz w:val="22"/>
          <w:szCs w:val="22"/>
          <w:u w:val="single"/>
          <w:lang w:val="sr-Latn-ME"/>
        </w:rPr>
        <w:t>Fovelid, 250 mg, филм таблет</w:t>
      </w:r>
      <w:r w:rsidR="00B651E5" w:rsidRPr="00E34696">
        <w:rPr>
          <w:sz w:val="22"/>
          <w:szCs w:val="22"/>
          <w:u w:val="single"/>
          <w:lang w:val="sr-Latn-ME"/>
        </w:rPr>
        <w:t>a</w:t>
      </w:r>
      <w:r w:rsidRPr="00E34696">
        <w:rPr>
          <w:sz w:val="22"/>
          <w:szCs w:val="22"/>
          <w:lang w:val="sr-Latn-ME"/>
        </w:rPr>
        <w:t xml:space="preserve">: ружичасте, дугуљасте, биконвексне филм таблете, са подионом </w:t>
      </w:r>
      <w:r w:rsidR="00273EC1" w:rsidRPr="00E34696">
        <w:rPr>
          <w:sz w:val="22"/>
          <w:szCs w:val="22"/>
          <w:lang w:val="sr-Latn-ME"/>
        </w:rPr>
        <w:t xml:space="preserve">цртом </w:t>
      </w:r>
      <w:r w:rsidRPr="00E34696">
        <w:rPr>
          <w:sz w:val="22"/>
          <w:szCs w:val="22"/>
          <w:lang w:val="sr-Latn-ME"/>
        </w:rPr>
        <w:t>на једној страни</w:t>
      </w:r>
      <w:r w:rsidR="00273EC1" w:rsidRPr="00E34696">
        <w:rPr>
          <w:sz w:val="22"/>
          <w:szCs w:val="22"/>
          <w:lang w:val="sr-Latn-ME"/>
        </w:rPr>
        <w:t>, димензија 13,7 mm x 6,7 mm и дебљине 3,8 mm</w:t>
      </w:r>
      <w:r w:rsidRPr="00E34696">
        <w:rPr>
          <w:sz w:val="22"/>
          <w:szCs w:val="22"/>
          <w:lang w:val="sr-Latn-ME"/>
        </w:rPr>
        <w:t xml:space="preserve">. </w:t>
      </w:r>
    </w:p>
    <w:p w14:paraId="6E1DD054"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Таблета се може подијелити на једнаке дозе.</w:t>
      </w:r>
    </w:p>
    <w:p w14:paraId="08CE0E4C" w14:textId="77777777" w:rsidR="00C06689" w:rsidRPr="00E34696" w:rsidRDefault="00C06689" w:rsidP="00E34696">
      <w:pPr>
        <w:widowControl w:val="0"/>
        <w:tabs>
          <w:tab w:val="left" w:pos="284"/>
        </w:tabs>
        <w:jc w:val="both"/>
        <w:rPr>
          <w:sz w:val="22"/>
          <w:szCs w:val="22"/>
          <w:lang w:val="sr-Latn-ME"/>
        </w:rPr>
      </w:pPr>
    </w:p>
    <w:p w14:paraId="64071CC0" w14:textId="4EB01DB5" w:rsidR="00C06689" w:rsidRPr="00E34696" w:rsidRDefault="00C06689" w:rsidP="00E34696">
      <w:pPr>
        <w:widowControl w:val="0"/>
        <w:tabs>
          <w:tab w:val="left" w:pos="284"/>
        </w:tabs>
        <w:jc w:val="both"/>
        <w:rPr>
          <w:sz w:val="22"/>
          <w:szCs w:val="22"/>
          <w:lang w:val="sr-Latn-ME"/>
        </w:rPr>
      </w:pPr>
      <w:r w:rsidRPr="00E34696">
        <w:rPr>
          <w:sz w:val="22"/>
          <w:szCs w:val="22"/>
          <w:u w:val="single"/>
          <w:lang w:val="sr-Latn-ME"/>
        </w:rPr>
        <w:t>Fovelid, 500 mg, филм таблет</w:t>
      </w:r>
      <w:r w:rsidR="00B651E5" w:rsidRPr="00E34696">
        <w:rPr>
          <w:sz w:val="22"/>
          <w:szCs w:val="22"/>
          <w:u w:val="single"/>
          <w:lang w:val="sr-Latn-ME"/>
        </w:rPr>
        <w:t>a</w:t>
      </w:r>
      <w:r w:rsidRPr="00E34696">
        <w:rPr>
          <w:sz w:val="22"/>
          <w:szCs w:val="22"/>
          <w:lang w:val="sr-Latn-ME"/>
        </w:rPr>
        <w:t xml:space="preserve">: наранџасте, дугуљасте, биконвексне филм таблете, са подионом </w:t>
      </w:r>
      <w:r w:rsidR="00273EC1" w:rsidRPr="00E34696">
        <w:rPr>
          <w:sz w:val="22"/>
          <w:szCs w:val="22"/>
          <w:lang w:val="sr-Latn-ME"/>
        </w:rPr>
        <w:t xml:space="preserve">цртом </w:t>
      </w:r>
      <w:r w:rsidRPr="00E34696">
        <w:rPr>
          <w:sz w:val="22"/>
          <w:szCs w:val="22"/>
          <w:lang w:val="sr-Latn-ME"/>
        </w:rPr>
        <w:t>на једној страни</w:t>
      </w:r>
      <w:r w:rsidR="00273EC1" w:rsidRPr="00E34696">
        <w:rPr>
          <w:sz w:val="22"/>
          <w:szCs w:val="22"/>
          <w:lang w:val="sr-Latn-ME"/>
        </w:rPr>
        <w:t>, димензија 19,3 mm x 7,8 mm и дебљине 5 mm</w:t>
      </w:r>
      <w:r w:rsidRPr="00E34696">
        <w:rPr>
          <w:sz w:val="22"/>
          <w:szCs w:val="22"/>
          <w:lang w:val="sr-Latn-ME"/>
        </w:rPr>
        <w:t xml:space="preserve">. </w:t>
      </w:r>
    </w:p>
    <w:p w14:paraId="7FE6D2DA"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Таблета се може подијелити на једнаке дозе.</w:t>
      </w:r>
    </w:p>
    <w:p w14:paraId="553404FB" w14:textId="77777777" w:rsidR="00411B4B" w:rsidRPr="00E34696" w:rsidRDefault="00411B4B" w:rsidP="00E34696">
      <w:pPr>
        <w:widowControl w:val="0"/>
        <w:rPr>
          <w:bCs/>
          <w:sz w:val="22"/>
          <w:szCs w:val="22"/>
          <w:lang w:val="sr-Latn-ME"/>
        </w:rPr>
      </w:pPr>
    </w:p>
    <w:p w14:paraId="47B000E7" w14:textId="77777777" w:rsidR="00EC2532" w:rsidRPr="00E34696" w:rsidRDefault="00EC2532" w:rsidP="00E34696">
      <w:pPr>
        <w:widowControl w:val="0"/>
        <w:rPr>
          <w:bCs/>
          <w:sz w:val="22"/>
          <w:szCs w:val="22"/>
          <w:lang w:val="sr-Latn-ME"/>
        </w:rPr>
      </w:pPr>
    </w:p>
    <w:p w14:paraId="461F7117" w14:textId="77777777" w:rsidR="00C06689" w:rsidRPr="00E34696" w:rsidRDefault="00C06689" w:rsidP="00E34696">
      <w:pPr>
        <w:pStyle w:val="Header"/>
        <w:widowControl w:val="0"/>
        <w:tabs>
          <w:tab w:val="left" w:pos="284"/>
        </w:tabs>
        <w:jc w:val="both"/>
        <w:rPr>
          <w:b/>
          <w:bCs/>
          <w:sz w:val="22"/>
          <w:szCs w:val="22"/>
          <w:lang w:val="sr-Latn-ME"/>
        </w:rPr>
      </w:pPr>
      <w:r w:rsidRPr="00E34696">
        <w:rPr>
          <w:b/>
          <w:bCs/>
          <w:sz w:val="22"/>
          <w:szCs w:val="22"/>
          <w:lang w:val="sr-Latn-ME"/>
        </w:rPr>
        <w:t>4. КЛИНИЧКИ ПОДАЦИ</w:t>
      </w:r>
    </w:p>
    <w:p w14:paraId="3F424AA9" w14:textId="77777777" w:rsidR="00CD6F02" w:rsidRPr="00E34696" w:rsidRDefault="00CD6F02" w:rsidP="00E34696">
      <w:pPr>
        <w:widowControl w:val="0"/>
        <w:tabs>
          <w:tab w:val="left" w:pos="540"/>
          <w:tab w:val="left" w:pos="569"/>
        </w:tabs>
        <w:jc w:val="both"/>
        <w:rPr>
          <w:bCs/>
          <w:sz w:val="22"/>
          <w:szCs w:val="22"/>
          <w:lang w:val="sr-Latn-ME"/>
        </w:rPr>
      </w:pPr>
    </w:p>
    <w:p w14:paraId="6D36FDEC" w14:textId="77777777" w:rsidR="00C06689" w:rsidRPr="00E34696" w:rsidRDefault="00C06689" w:rsidP="00E34696">
      <w:pPr>
        <w:pStyle w:val="Header"/>
        <w:widowControl w:val="0"/>
        <w:tabs>
          <w:tab w:val="left" w:pos="284"/>
        </w:tabs>
        <w:jc w:val="both"/>
        <w:rPr>
          <w:b/>
          <w:bCs/>
          <w:sz w:val="22"/>
          <w:szCs w:val="22"/>
          <w:lang w:val="sr-Latn-ME"/>
        </w:rPr>
      </w:pPr>
      <w:r w:rsidRPr="00E34696">
        <w:rPr>
          <w:b/>
          <w:bCs/>
          <w:sz w:val="22"/>
          <w:szCs w:val="22"/>
          <w:lang w:val="sr-Latn-ME"/>
        </w:rPr>
        <w:t>4.1. Терапијске индикације</w:t>
      </w:r>
    </w:p>
    <w:p w14:paraId="71B84057" w14:textId="77777777" w:rsidR="00C06689" w:rsidRPr="00E34696" w:rsidRDefault="00C06689" w:rsidP="00E34696">
      <w:pPr>
        <w:pStyle w:val="Header"/>
        <w:widowControl w:val="0"/>
        <w:tabs>
          <w:tab w:val="left" w:pos="284"/>
        </w:tabs>
        <w:jc w:val="both"/>
        <w:rPr>
          <w:bCs/>
          <w:sz w:val="22"/>
          <w:szCs w:val="22"/>
          <w:lang w:val="sr-Latn-ME"/>
        </w:rPr>
      </w:pPr>
    </w:p>
    <w:p w14:paraId="44894251"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Лијек Fovelid је индикован код одраслих особа у терапији сљедећих инфекција (погледати дјелове 4.4 и 5.1):</w:t>
      </w:r>
    </w:p>
    <w:p w14:paraId="60C1E8E0" w14:textId="474F9E28" w:rsidR="00C06689" w:rsidRPr="00E34696" w:rsidRDefault="00C06689" w:rsidP="00E34696">
      <w:pPr>
        <w:widowControl w:val="0"/>
        <w:numPr>
          <w:ilvl w:val="0"/>
          <w:numId w:val="12"/>
        </w:numPr>
        <w:tabs>
          <w:tab w:val="left" w:pos="284"/>
        </w:tabs>
        <w:ind w:left="0" w:firstLine="0"/>
        <w:contextualSpacing/>
        <w:jc w:val="both"/>
        <w:rPr>
          <w:sz w:val="22"/>
          <w:szCs w:val="22"/>
          <w:lang w:val="sr-Latn-ME"/>
        </w:rPr>
      </w:pPr>
      <w:r w:rsidRPr="00E34696">
        <w:rPr>
          <w:sz w:val="22"/>
          <w:szCs w:val="22"/>
          <w:lang w:val="sr-Latn-ME"/>
        </w:rPr>
        <w:t>Акутни пијелонефритис и компликоване инфекције уринарног тракта (погледати дио 4.4)</w:t>
      </w:r>
      <w:r w:rsidR="00346447" w:rsidRPr="00E34696">
        <w:rPr>
          <w:sz w:val="22"/>
          <w:szCs w:val="22"/>
          <w:lang w:val="sr-Latn-ME"/>
        </w:rPr>
        <w:t>.</w:t>
      </w:r>
    </w:p>
    <w:p w14:paraId="0A0FD636" w14:textId="547336E0" w:rsidR="00C06689" w:rsidRPr="00E34696" w:rsidRDefault="00C06689" w:rsidP="00E34696">
      <w:pPr>
        <w:widowControl w:val="0"/>
        <w:numPr>
          <w:ilvl w:val="0"/>
          <w:numId w:val="12"/>
        </w:numPr>
        <w:tabs>
          <w:tab w:val="left" w:pos="284"/>
        </w:tabs>
        <w:ind w:left="0" w:firstLine="0"/>
        <w:contextualSpacing/>
        <w:jc w:val="both"/>
        <w:rPr>
          <w:sz w:val="22"/>
          <w:szCs w:val="22"/>
          <w:lang w:val="sr-Latn-ME"/>
        </w:rPr>
      </w:pPr>
      <w:r w:rsidRPr="00E34696">
        <w:rPr>
          <w:sz w:val="22"/>
          <w:szCs w:val="22"/>
          <w:lang w:val="sr-Latn-ME"/>
        </w:rPr>
        <w:t>Хронични бактеријски простатитис</w:t>
      </w:r>
      <w:r w:rsidR="00346447" w:rsidRPr="00E34696">
        <w:rPr>
          <w:sz w:val="22"/>
          <w:szCs w:val="22"/>
          <w:lang w:val="sr-Latn-ME"/>
        </w:rPr>
        <w:t>.</w:t>
      </w:r>
    </w:p>
    <w:p w14:paraId="1C997A42" w14:textId="630D211D" w:rsidR="00C06689" w:rsidRPr="00E34696" w:rsidRDefault="00C06689" w:rsidP="00E34696">
      <w:pPr>
        <w:widowControl w:val="0"/>
        <w:numPr>
          <w:ilvl w:val="0"/>
          <w:numId w:val="13"/>
        </w:numPr>
        <w:tabs>
          <w:tab w:val="left" w:pos="284"/>
        </w:tabs>
        <w:ind w:left="0" w:firstLine="0"/>
        <w:jc w:val="both"/>
        <w:rPr>
          <w:sz w:val="22"/>
          <w:szCs w:val="22"/>
          <w:lang w:val="sr-Latn-ME"/>
        </w:rPr>
      </w:pPr>
      <w:r w:rsidRPr="00E34696">
        <w:rPr>
          <w:sz w:val="22"/>
          <w:szCs w:val="22"/>
          <w:lang w:val="sr-Latn-ME"/>
        </w:rPr>
        <w:t>Инхалациони антракс: као профилакса након изложености и као терапија (погледати дио 4.4)</w:t>
      </w:r>
      <w:r w:rsidR="00346447" w:rsidRPr="00E34696">
        <w:rPr>
          <w:sz w:val="22"/>
          <w:szCs w:val="22"/>
          <w:lang w:val="sr-Latn-ME"/>
        </w:rPr>
        <w:t>.</w:t>
      </w:r>
    </w:p>
    <w:p w14:paraId="46F408FF" w14:textId="77777777" w:rsidR="00C06689" w:rsidRPr="00E34696" w:rsidRDefault="00C06689" w:rsidP="00E34696">
      <w:pPr>
        <w:widowControl w:val="0"/>
        <w:tabs>
          <w:tab w:val="left" w:pos="284"/>
        </w:tabs>
        <w:jc w:val="both"/>
        <w:rPr>
          <w:sz w:val="22"/>
          <w:szCs w:val="22"/>
          <w:lang w:val="sr-Latn-ME"/>
        </w:rPr>
      </w:pPr>
    </w:p>
    <w:p w14:paraId="1B0A025E" w14:textId="16FD6250" w:rsidR="00C06689" w:rsidRPr="00E34696" w:rsidRDefault="00C06689" w:rsidP="00E34696">
      <w:pPr>
        <w:widowControl w:val="0"/>
        <w:tabs>
          <w:tab w:val="left" w:pos="284"/>
        </w:tabs>
        <w:jc w:val="both"/>
        <w:rPr>
          <w:sz w:val="22"/>
          <w:szCs w:val="22"/>
          <w:lang w:val="sr-Latn-ME"/>
        </w:rPr>
      </w:pPr>
      <w:r w:rsidRPr="00E34696">
        <w:rPr>
          <w:sz w:val="22"/>
          <w:szCs w:val="22"/>
          <w:lang w:val="sr-Latn-ME"/>
        </w:rPr>
        <w:t>Код инфекција наведених у тексту испод, лијек Fovelid треба примјењивати само када се не могу примјењивати антибиотици који се уобичајено препоручују за терапију тих ин</w:t>
      </w:r>
      <w:r w:rsidR="005C3540" w:rsidRPr="00E34696">
        <w:rPr>
          <w:sz w:val="22"/>
          <w:szCs w:val="22"/>
          <w:lang w:val="sr-Latn-ME"/>
        </w:rPr>
        <w:t>фекција</w:t>
      </w:r>
      <w:r w:rsidRPr="00E34696">
        <w:rPr>
          <w:sz w:val="22"/>
          <w:szCs w:val="22"/>
          <w:lang w:val="sr-Latn-ME"/>
        </w:rPr>
        <w:t>.</w:t>
      </w:r>
    </w:p>
    <w:p w14:paraId="6A09A0EB" w14:textId="0A0A46ED" w:rsidR="00C06689" w:rsidRPr="00E34696" w:rsidRDefault="00C06689" w:rsidP="00E34696">
      <w:pPr>
        <w:widowControl w:val="0"/>
        <w:numPr>
          <w:ilvl w:val="0"/>
          <w:numId w:val="12"/>
        </w:numPr>
        <w:tabs>
          <w:tab w:val="left" w:pos="284"/>
        </w:tabs>
        <w:ind w:left="0" w:firstLine="0"/>
        <w:jc w:val="both"/>
        <w:rPr>
          <w:sz w:val="22"/>
          <w:szCs w:val="22"/>
          <w:lang w:val="sr-Latn-ME"/>
        </w:rPr>
      </w:pPr>
      <w:r w:rsidRPr="00E34696">
        <w:rPr>
          <w:sz w:val="22"/>
          <w:szCs w:val="22"/>
          <w:lang w:val="sr-Latn-ME"/>
        </w:rPr>
        <w:t>Акутни бактеријски синузитис</w:t>
      </w:r>
      <w:r w:rsidR="00346447" w:rsidRPr="00E34696">
        <w:rPr>
          <w:sz w:val="22"/>
          <w:szCs w:val="22"/>
          <w:lang w:val="sr-Latn-ME"/>
        </w:rPr>
        <w:t>.</w:t>
      </w:r>
    </w:p>
    <w:p w14:paraId="0E6F503C" w14:textId="77777777" w:rsidR="00C06689" w:rsidRPr="00E34696" w:rsidRDefault="00C06689" w:rsidP="00E34696">
      <w:pPr>
        <w:widowControl w:val="0"/>
        <w:numPr>
          <w:ilvl w:val="0"/>
          <w:numId w:val="12"/>
        </w:numPr>
        <w:tabs>
          <w:tab w:val="left" w:pos="284"/>
        </w:tabs>
        <w:ind w:left="0" w:firstLine="0"/>
        <w:jc w:val="both"/>
        <w:rPr>
          <w:sz w:val="22"/>
          <w:szCs w:val="22"/>
          <w:lang w:val="sr-Latn-ME"/>
        </w:rPr>
      </w:pPr>
      <w:r w:rsidRPr="00E34696">
        <w:rPr>
          <w:sz w:val="22"/>
          <w:szCs w:val="22"/>
          <w:lang w:val="sr-Latn-ME"/>
        </w:rPr>
        <w:t>Акутна егзацербација хроничне опструктивне болести плућа укључујући бронхитис.</w:t>
      </w:r>
    </w:p>
    <w:p w14:paraId="5F65C0BF" w14:textId="77777777" w:rsidR="00C06689" w:rsidRPr="00E34696" w:rsidRDefault="00C06689" w:rsidP="00E34696">
      <w:pPr>
        <w:widowControl w:val="0"/>
        <w:numPr>
          <w:ilvl w:val="0"/>
          <w:numId w:val="13"/>
        </w:numPr>
        <w:tabs>
          <w:tab w:val="left" w:pos="284"/>
        </w:tabs>
        <w:ind w:left="0" w:firstLine="0"/>
        <w:contextualSpacing/>
        <w:jc w:val="both"/>
        <w:rPr>
          <w:sz w:val="22"/>
          <w:szCs w:val="22"/>
          <w:lang w:val="sr-Latn-ME"/>
        </w:rPr>
      </w:pPr>
      <w:r w:rsidRPr="00E34696">
        <w:rPr>
          <w:sz w:val="22"/>
          <w:szCs w:val="22"/>
          <w:lang w:val="sr-Latn-ME"/>
        </w:rPr>
        <w:t>Ванболничка пнеумонија.</w:t>
      </w:r>
    </w:p>
    <w:p w14:paraId="5DA04D01" w14:textId="77777777" w:rsidR="00C06689" w:rsidRPr="00E34696" w:rsidRDefault="00C06689" w:rsidP="00E34696">
      <w:pPr>
        <w:widowControl w:val="0"/>
        <w:numPr>
          <w:ilvl w:val="0"/>
          <w:numId w:val="13"/>
        </w:numPr>
        <w:tabs>
          <w:tab w:val="left" w:pos="284"/>
        </w:tabs>
        <w:ind w:left="0" w:firstLine="0"/>
        <w:contextualSpacing/>
        <w:jc w:val="both"/>
        <w:rPr>
          <w:sz w:val="22"/>
          <w:szCs w:val="22"/>
          <w:lang w:val="sr-Latn-ME"/>
        </w:rPr>
      </w:pPr>
      <w:r w:rsidRPr="00E34696">
        <w:rPr>
          <w:sz w:val="22"/>
          <w:szCs w:val="22"/>
          <w:lang w:val="sr-Latn-ME"/>
        </w:rPr>
        <w:lastRenderedPageBreak/>
        <w:t>Компликоване инфекције коже и меких ткива.</w:t>
      </w:r>
    </w:p>
    <w:p w14:paraId="69B71599" w14:textId="77777777" w:rsidR="00C06689" w:rsidRPr="00E34696" w:rsidRDefault="00C06689" w:rsidP="00E34696">
      <w:pPr>
        <w:widowControl w:val="0"/>
        <w:numPr>
          <w:ilvl w:val="0"/>
          <w:numId w:val="13"/>
        </w:numPr>
        <w:tabs>
          <w:tab w:val="left" w:pos="284"/>
        </w:tabs>
        <w:ind w:left="0" w:firstLine="0"/>
        <w:jc w:val="both"/>
        <w:rPr>
          <w:sz w:val="22"/>
          <w:szCs w:val="22"/>
          <w:lang w:val="sr-Latn-ME"/>
        </w:rPr>
      </w:pPr>
      <w:r w:rsidRPr="00E34696">
        <w:rPr>
          <w:sz w:val="22"/>
          <w:szCs w:val="22"/>
          <w:lang w:val="sr-Latn-ME"/>
        </w:rPr>
        <w:t>Некомпликовани циститис (погледати дио 4.4).</w:t>
      </w:r>
    </w:p>
    <w:p w14:paraId="2FC4808D" w14:textId="77777777" w:rsidR="00C06689" w:rsidRPr="00E34696" w:rsidRDefault="00C06689" w:rsidP="00E34696">
      <w:pPr>
        <w:widowControl w:val="0"/>
        <w:tabs>
          <w:tab w:val="left" w:pos="284"/>
        </w:tabs>
        <w:jc w:val="both"/>
        <w:rPr>
          <w:sz w:val="22"/>
          <w:szCs w:val="22"/>
          <w:lang w:val="sr-Latn-ME"/>
        </w:rPr>
      </w:pPr>
    </w:p>
    <w:p w14:paraId="20845F44" w14:textId="2D5DD5B9" w:rsidR="00C06689" w:rsidRPr="00E34696" w:rsidRDefault="00C06689" w:rsidP="00E34696">
      <w:pPr>
        <w:widowControl w:val="0"/>
        <w:tabs>
          <w:tab w:val="left" w:pos="284"/>
        </w:tabs>
        <w:jc w:val="both"/>
        <w:rPr>
          <w:sz w:val="22"/>
          <w:szCs w:val="22"/>
          <w:lang w:val="sr-Latn-ME"/>
        </w:rPr>
      </w:pPr>
      <w:r w:rsidRPr="00E34696">
        <w:rPr>
          <w:sz w:val="22"/>
          <w:szCs w:val="22"/>
          <w:lang w:val="sr-Latn-ME"/>
        </w:rPr>
        <w:t xml:space="preserve">Лијек Fovelid, филм таблете, такође </w:t>
      </w:r>
      <w:r w:rsidR="005C3540" w:rsidRPr="00E34696">
        <w:rPr>
          <w:sz w:val="22"/>
          <w:szCs w:val="22"/>
          <w:lang w:val="sr-Latn-ME"/>
        </w:rPr>
        <w:t>може</w:t>
      </w:r>
      <w:r w:rsidRPr="00E34696">
        <w:rPr>
          <w:sz w:val="22"/>
          <w:szCs w:val="22"/>
          <w:lang w:val="sr-Latn-ME"/>
        </w:rPr>
        <w:t xml:space="preserve"> да се корист</w:t>
      </w:r>
      <w:r w:rsidR="005C3540" w:rsidRPr="00E34696">
        <w:rPr>
          <w:sz w:val="22"/>
          <w:szCs w:val="22"/>
          <w:lang w:val="sr-Latn-ME"/>
        </w:rPr>
        <w:t>и</w:t>
      </w:r>
      <w:r w:rsidRPr="00E34696">
        <w:rPr>
          <w:sz w:val="22"/>
          <w:szCs w:val="22"/>
          <w:lang w:val="sr-Latn-ME"/>
        </w:rPr>
        <w:t xml:space="preserve"> у наставку терапије код пацијената код којих је дошло до побољшања након иницијалне примjене интравенског левофлоксацина.</w:t>
      </w:r>
    </w:p>
    <w:p w14:paraId="11477678" w14:textId="77777777" w:rsidR="00C06689" w:rsidRPr="00E34696" w:rsidRDefault="00C06689" w:rsidP="00E34696">
      <w:pPr>
        <w:widowControl w:val="0"/>
        <w:tabs>
          <w:tab w:val="left" w:pos="284"/>
        </w:tabs>
        <w:jc w:val="both"/>
        <w:rPr>
          <w:sz w:val="22"/>
          <w:szCs w:val="22"/>
          <w:lang w:val="sr-Latn-ME"/>
        </w:rPr>
      </w:pPr>
    </w:p>
    <w:p w14:paraId="7D9886FF" w14:textId="03DCF5D9" w:rsidR="00C06689" w:rsidRPr="00E34696" w:rsidRDefault="00C06689" w:rsidP="00E34696">
      <w:pPr>
        <w:widowControl w:val="0"/>
        <w:tabs>
          <w:tab w:val="left" w:pos="284"/>
        </w:tabs>
        <w:jc w:val="both"/>
        <w:rPr>
          <w:sz w:val="22"/>
          <w:szCs w:val="22"/>
          <w:lang w:val="sr-Latn-ME"/>
        </w:rPr>
      </w:pPr>
      <w:r w:rsidRPr="00E34696">
        <w:rPr>
          <w:sz w:val="22"/>
          <w:szCs w:val="22"/>
          <w:lang w:val="sr-Latn-ME"/>
        </w:rPr>
        <w:t>Треба узети у обзир званичне смjернице кој</w:t>
      </w:r>
      <w:r w:rsidR="005C3540" w:rsidRPr="00E34696">
        <w:rPr>
          <w:sz w:val="22"/>
          <w:szCs w:val="22"/>
          <w:lang w:val="sr-Latn-ME"/>
        </w:rPr>
        <w:t>е</w:t>
      </w:r>
      <w:r w:rsidRPr="00E34696">
        <w:rPr>
          <w:sz w:val="22"/>
          <w:szCs w:val="22"/>
          <w:lang w:val="sr-Latn-ME"/>
        </w:rPr>
        <w:t xml:space="preserve"> се односе на правилну примjену антибиотика.</w:t>
      </w:r>
    </w:p>
    <w:p w14:paraId="5F7FE7AF" w14:textId="77777777" w:rsidR="00411B4B" w:rsidRPr="00E34696" w:rsidRDefault="00411B4B" w:rsidP="00E34696">
      <w:pPr>
        <w:widowControl w:val="0"/>
        <w:tabs>
          <w:tab w:val="left" w:pos="540"/>
          <w:tab w:val="left" w:pos="569"/>
        </w:tabs>
        <w:jc w:val="both"/>
        <w:rPr>
          <w:bCs/>
          <w:sz w:val="22"/>
          <w:szCs w:val="22"/>
          <w:lang w:val="sr-Latn-ME"/>
        </w:rPr>
      </w:pPr>
    </w:p>
    <w:p w14:paraId="48E818F0" w14:textId="77777777" w:rsidR="00C06689" w:rsidRPr="00E34696" w:rsidRDefault="00C06689" w:rsidP="00E34696">
      <w:pPr>
        <w:widowControl w:val="0"/>
        <w:numPr>
          <w:ilvl w:val="12"/>
          <w:numId w:val="0"/>
        </w:numPr>
        <w:jc w:val="both"/>
        <w:rPr>
          <w:sz w:val="22"/>
          <w:szCs w:val="22"/>
          <w:lang w:val="sr-Latn-ME"/>
        </w:rPr>
      </w:pPr>
      <w:r w:rsidRPr="00E34696">
        <w:rPr>
          <w:b/>
          <w:bCs/>
          <w:sz w:val="22"/>
          <w:szCs w:val="22"/>
          <w:lang w:val="sr-Latn-ME"/>
        </w:rPr>
        <w:t>4.2. Дозирање и начин примјене</w:t>
      </w:r>
    </w:p>
    <w:p w14:paraId="0B118C67" w14:textId="77777777" w:rsidR="0072020E" w:rsidRPr="00E34696" w:rsidRDefault="0072020E" w:rsidP="00E34696">
      <w:pPr>
        <w:widowControl w:val="0"/>
        <w:tabs>
          <w:tab w:val="left" w:pos="540"/>
          <w:tab w:val="left" w:pos="569"/>
        </w:tabs>
        <w:jc w:val="both"/>
        <w:rPr>
          <w:bCs/>
          <w:sz w:val="22"/>
          <w:szCs w:val="22"/>
          <w:lang w:val="sr-Latn-ME"/>
        </w:rPr>
      </w:pPr>
    </w:p>
    <w:p w14:paraId="3B43FD65"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Лијек Fovelid филм таблете се примјењује једном или два пута дневно. Доза лијека зависи од врсте и тежине инфекције, као и од осјетљивости бактерије за коју се претпоставља да је узрочник инфекције.</w:t>
      </w:r>
    </w:p>
    <w:p w14:paraId="3A5CEB73" w14:textId="77777777" w:rsidR="00C06689" w:rsidRPr="00E34696" w:rsidRDefault="00C06689" w:rsidP="00E34696">
      <w:pPr>
        <w:widowControl w:val="0"/>
        <w:tabs>
          <w:tab w:val="left" w:pos="284"/>
        </w:tabs>
        <w:jc w:val="both"/>
        <w:rPr>
          <w:sz w:val="22"/>
          <w:szCs w:val="22"/>
          <w:lang w:val="sr-Latn-ME"/>
        </w:rPr>
      </w:pPr>
    </w:p>
    <w:p w14:paraId="19C179DD"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Лијек Fovelid филм таблете такође могу да се користе у наставку терапије код пацијената код којих је дошло до побољшања након иницијалне примјене интравенског левофлоксацина; с обзиром на то да постоји биоеквивалентност између интравенског и оралног облика, може се користити исто дозирање.</w:t>
      </w:r>
    </w:p>
    <w:p w14:paraId="2E6CDA05" w14:textId="77777777" w:rsidR="00C06689" w:rsidRPr="00E34696" w:rsidRDefault="00C06689" w:rsidP="00E34696">
      <w:pPr>
        <w:widowControl w:val="0"/>
        <w:tabs>
          <w:tab w:val="left" w:pos="284"/>
        </w:tabs>
        <w:jc w:val="both"/>
        <w:rPr>
          <w:sz w:val="22"/>
          <w:szCs w:val="22"/>
          <w:lang w:val="sr-Latn-ME"/>
        </w:rPr>
      </w:pPr>
    </w:p>
    <w:p w14:paraId="20F4B747" w14:textId="77777777" w:rsidR="00C06689" w:rsidRPr="00E34696" w:rsidRDefault="00C06689" w:rsidP="00E34696">
      <w:pPr>
        <w:widowControl w:val="0"/>
        <w:tabs>
          <w:tab w:val="left" w:pos="284"/>
        </w:tabs>
        <w:jc w:val="both"/>
        <w:rPr>
          <w:sz w:val="22"/>
          <w:szCs w:val="22"/>
          <w:u w:val="single"/>
          <w:lang w:val="sr-Latn-ME"/>
        </w:rPr>
      </w:pPr>
      <w:r w:rsidRPr="00E34696">
        <w:rPr>
          <w:sz w:val="22"/>
          <w:szCs w:val="22"/>
          <w:u w:val="single"/>
          <w:lang w:val="sr-Latn-ME"/>
        </w:rPr>
        <w:t>Дозирање</w:t>
      </w:r>
    </w:p>
    <w:p w14:paraId="6727E0E1" w14:textId="5F52A92F" w:rsidR="00C06689" w:rsidRPr="00E34696" w:rsidRDefault="005C3540" w:rsidP="00E34696">
      <w:pPr>
        <w:widowControl w:val="0"/>
        <w:tabs>
          <w:tab w:val="left" w:pos="284"/>
        </w:tabs>
        <w:jc w:val="both"/>
        <w:rPr>
          <w:sz w:val="22"/>
          <w:szCs w:val="22"/>
          <w:lang w:val="sr-Latn-ME"/>
        </w:rPr>
      </w:pPr>
      <w:r w:rsidRPr="00E34696">
        <w:rPr>
          <w:sz w:val="22"/>
          <w:szCs w:val="22"/>
          <w:lang w:val="sr-Latn-ME"/>
        </w:rPr>
        <w:t xml:space="preserve">За примјену лијека Fovelid, могу </w:t>
      </w:r>
      <w:r w:rsidR="00C06689" w:rsidRPr="00E34696">
        <w:rPr>
          <w:sz w:val="22"/>
          <w:szCs w:val="22"/>
          <w:lang w:val="sr-Latn-ME"/>
        </w:rPr>
        <w:t>се препору</w:t>
      </w:r>
      <w:r w:rsidRPr="00E34696">
        <w:rPr>
          <w:sz w:val="22"/>
          <w:szCs w:val="22"/>
          <w:lang w:val="sr-Latn-ME"/>
        </w:rPr>
        <w:t>чити</w:t>
      </w:r>
      <w:r w:rsidR="00C06689" w:rsidRPr="00E34696">
        <w:rPr>
          <w:sz w:val="22"/>
          <w:szCs w:val="22"/>
          <w:lang w:val="sr-Latn-ME"/>
        </w:rPr>
        <w:t xml:space="preserve"> </w:t>
      </w:r>
      <w:r w:rsidRPr="00E34696">
        <w:rPr>
          <w:sz w:val="22"/>
          <w:szCs w:val="22"/>
          <w:lang w:val="sr-Latn-ME"/>
        </w:rPr>
        <w:t>сљедеће дозе:</w:t>
      </w:r>
      <w:r w:rsidR="00C06689" w:rsidRPr="00E34696">
        <w:rPr>
          <w:sz w:val="22"/>
          <w:szCs w:val="22"/>
          <w:lang w:val="sr-Latn-ME"/>
        </w:rPr>
        <w:t xml:space="preserve"> </w:t>
      </w:r>
    </w:p>
    <w:p w14:paraId="01315DEC" w14:textId="77777777" w:rsidR="00C1324C" w:rsidRPr="00E34696" w:rsidRDefault="00C1324C" w:rsidP="00E34696">
      <w:pPr>
        <w:widowControl w:val="0"/>
        <w:tabs>
          <w:tab w:val="left" w:pos="284"/>
        </w:tabs>
        <w:jc w:val="both"/>
        <w:rPr>
          <w:sz w:val="22"/>
          <w:szCs w:val="22"/>
          <w:lang w:val="sr-Latn-ME"/>
        </w:rPr>
      </w:pPr>
    </w:p>
    <w:p w14:paraId="74733EBA" w14:textId="77777777" w:rsidR="00C06689" w:rsidRPr="00E34696" w:rsidRDefault="00C06689" w:rsidP="00E34696">
      <w:pPr>
        <w:widowControl w:val="0"/>
        <w:tabs>
          <w:tab w:val="left" w:pos="284"/>
        </w:tabs>
        <w:jc w:val="both"/>
        <w:rPr>
          <w:sz w:val="22"/>
          <w:szCs w:val="22"/>
          <w:lang w:val="sr-Latn-ME"/>
        </w:rPr>
      </w:pPr>
      <w:r w:rsidRPr="00E34696">
        <w:rPr>
          <w:i/>
          <w:sz w:val="22"/>
          <w:szCs w:val="22"/>
          <w:lang w:val="sr-Latn-ME"/>
        </w:rPr>
        <w:t>Дозирање код пацијената са нормалном функцијом бубрега</w:t>
      </w:r>
      <w:r w:rsidRPr="00E34696">
        <w:rPr>
          <w:sz w:val="22"/>
          <w:szCs w:val="22"/>
          <w:lang w:val="sr-Latn-ME"/>
        </w:rPr>
        <w:t xml:space="preserve"> (клиренс креатинина &gt;50 ml/min):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35"/>
        <w:gridCol w:w="2441"/>
        <w:gridCol w:w="2587"/>
      </w:tblGrid>
      <w:tr w:rsidR="00C06689" w:rsidRPr="00E34696" w14:paraId="027C68FF" w14:textId="77777777" w:rsidTr="00CF11E2">
        <w:tc>
          <w:tcPr>
            <w:tcW w:w="4035" w:type="dxa"/>
            <w:vAlign w:val="center"/>
          </w:tcPr>
          <w:p w14:paraId="043A567E" w14:textId="77777777" w:rsidR="00C06689" w:rsidRPr="00E34696" w:rsidRDefault="00C06689" w:rsidP="00E34696">
            <w:pPr>
              <w:widowControl w:val="0"/>
              <w:autoSpaceDE w:val="0"/>
              <w:autoSpaceDN w:val="0"/>
              <w:adjustRightInd w:val="0"/>
              <w:jc w:val="both"/>
              <w:rPr>
                <w:sz w:val="22"/>
                <w:szCs w:val="22"/>
                <w:lang w:val="sr-Latn-ME"/>
              </w:rPr>
            </w:pPr>
            <w:r w:rsidRPr="00E34696">
              <w:rPr>
                <w:b/>
                <w:bCs/>
                <w:sz w:val="22"/>
                <w:szCs w:val="22"/>
                <w:lang w:val="sr-Latn-ME"/>
              </w:rPr>
              <w:t xml:space="preserve">Индикације </w:t>
            </w:r>
          </w:p>
        </w:tc>
        <w:tc>
          <w:tcPr>
            <w:tcW w:w="2441" w:type="dxa"/>
            <w:vAlign w:val="center"/>
          </w:tcPr>
          <w:p w14:paraId="4D14C90F" w14:textId="77777777" w:rsidR="00C06689" w:rsidRPr="00E34696" w:rsidRDefault="00C06689" w:rsidP="00E34696">
            <w:pPr>
              <w:widowControl w:val="0"/>
              <w:autoSpaceDE w:val="0"/>
              <w:autoSpaceDN w:val="0"/>
              <w:adjustRightInd w:val="0"/>
              <w:jc w:val="both"/>
              <w:rPr>
                <w:sz w:val="22"/>
                <w:szCs w:val="22"/>
                <w:lang w:val="sr-Latn-ME"/>
              </w:rPr>
            </w:pPr>
            <w:r w:rsidRPr="00E34696">
              <w:rPr>
                <w:b/>
                <w:bCs/>
                <w:sz w:val="22"/>
                <w:szCs w:val="22"/>
                <w:lang w:val="sr-Latn-ME"/>
              </w:rPr>
              <w:t xml:space="preserve">Дневна доза (у зависности од тежине инфекције) </w:t>
            </w:r>
          </w:p>
        </w:tc>
        <w:tc>
          <w:tcPr>
            <w:tcW w:w="2587" w:type="dxa"/>
            <w:vAlign w:val="center"/>
          </w:tcPr>
          <w:p w14:paraId="31722183" w14:textId="77777777" w:rsidR="00C06689" w:rsidRPr="00E34696" w:rsidRDefault="00C06689" w:rsidP="00E34696">
            <w:pPr>
              <w:widowControl w:val="0"/>
              <w:autoSpaceDE w:val="0"/>
              <w:autoSpaceDN w:val="0"/>
              <w:adjustRightInd w:val="0"/>
              <w:jc w:val="both"/>
              <w:rPr>
                <w:sz w:val="22"/>
                <w:szCs w:val="22"/>
                <w:lang w:val="sr-Latn-ME"/>
              </w:rPr>
            </w:pPr>
            <w:r w:rsidRPr="00E34696">
              <w:rPr>
                <w:b/>
                <w:bCs/>
                <w:sz w:val="22"/>
                <w:szCs w:val="22"/>
                <w:lang w:val="sr-Latn-ME"/>
              </w:rPr>
              <w:t>Дужина терапије (у зависности од тежине инфекције)</w:t>
            </w:r>
          </w:p>
        </w:tc>
      </w:tr>
      <w:tr w:rsidR="00C06689" w:rsidRPr="00E34696" w14:paraId="7F2C0CDC" w14:textId="77777777" w:rsidTr="00CF11E2">
        <w:tc>
          <w:tcPr>
            <w:tcW w:w="4035" w:type="dxa"/>
            <w:vAlign w:val="center"/>
          </w:tcPr>
          <w:p w14:paraId="79D4C045" w14:textId="77777777" w:rsidR="00C06689" w:rsidRPr="00E34696" w:rsidRDefault="00C06689" w:rsidP="00E34696">
            <w:pPr>
              <w:widowControl w:val="0"/>
              <w:autoSpaceDE w:val="0"/>
              <w:autoSpaceDN w:val="0"/>
              <w:adjustRightInd w:val="0"/>
              <w:jc w:val="both"/>
              <w:rPr>
                <w:sz w:val="22"/>
                <w:szCs w:val="22"/>
                <w:lang w:val="sr-Latn-ME"/>
              </w:rPr>
            </w:pPr>
            <w:r w:rsidRPr="00E34696">
              <w:rPr>
                <w:sz w:val="22"/>
                <w:szCs w:val="22"/>
                <w:lang w:val="sr-Latn-ME"/>
              </w:rPr>
              <w:t>Акутни бактеријски синузитис</w:t>
            </w:r>
          </w:p>
        </w:tc>
        <w:tc>
          <w:tcPr>
            <w:tcW w:w="2441" w:type="dxa"/>
            <w:vAlign w:val="center"/>
          </w:tcPr>
          <w:p w14:paraId="71E11BC4" w14:textId="77777777" w:rsidR="00C06689" w:rsidRPr="00E34696" w:rsidRDefault="00C06689" w:rsidP="00E34696">
            <w:pPr>
              <w:widowControl w:val="0"/>
              <w:autoSpaceDE w:val="0"/>
              <w:autoSpaceDN w:val="0"/>
              <w:adjustRightInd w:val="0"/>
              <w:jc w:val="both"/>
              <w:rPr>
                <w:sz w:val="22"/>
                <w:szCs w:val="22"/>
                <w:lang w:val="sr-Latn-ME"/>
              </w:rPr>
            </w:pPr>
            <w:r w:rsidRPr="00E34696">
              <w:rPr>
                <w:sz w:val="22"/>
                <w:szCs w:val="22"/>
                <w:lang w:val="sr-Latn-ME"/>
              </w:rPr>
              <w:t>500 mg, једном дневно</w:t>
            </w:r>
          </w:p>
        </w:tc>
        <w:tc>
          <w:tcPr>
            <w:tcW w:w="2587" w:type="dxa"/>
            <w:vAlign w:val="center"/>
          </w:tcPr>
          <w:p w14:paraId="63F312FB" w14:textId="77777777" w:rsidR="00C06689" w:rsidRPr="00E34696" w:rsidRDefault="00C06689" w:rsidP="00E34696">
            <w:pPr>
              <w:widowControl w:val="0"/>
              <w:autoSpaceDE w:val="0"/>
              <w:autoSpaceDN w:val="0"/>
              <w:adjustRightInd w:val="0"/>
              <w:jc w:val="both"/>
              <w:rPr>
                <w:sz w:val="22"/>
                <w:szCs w:val="22"/>
                <w:lang w:val="sr-Latn-ME"/>
              </w:rPr>
            </w:pPr>
            <w:r w:rsidRPr="00E34696">
              <w:rPr>
                <w:sz w:val="22"/>
                <w:szCs w:val="22"/>
                <w:lang w:val="sr-Latn-ME"/>
              </w:rPr>
              <w:t xml:space="preserve">10-14 дана </w:t>
            </w:r>
          </w:p>
        </w:tc>
      </w:tr>
      <w:tr w:rsidR="00C06689" w:rsidRPr="00E34696" w14:paraId="72AF7AE5" w14:textId="77777777" w:rsidTr="00CF11E2">
        <w:tc>
          <w:tcPr>
            <w:tcW w:w="4035" w:type="dxa"/>
            <w:vAlign w:val="center"/>
          </w:tcPr>
          <w:p w14:paraId="57F6406B" w14:textId="77777777" w:rsidR="00C06689" w:rsidRPr="00E34696" w:rsidRDefault="00C06689" w:rsidP="00E34696">
            <w:pPr>
              <w:widowControl w:val="0"/>
              <w:autoSpaceDE w:val="0"/>
              <w:autoSpaceDN w:val="0"/>
              <w:adjustRightInd w:val="0"/>
              <w:jc w:val="both"/>
              <w:rPr>
                <w:sz w:val="22"/>
                <w:szCs w:val="22"/>
                <w:lang w:val="sr-Latn-ME"/>
              </w:rPr>
            </w:pPr>
            <w:r w:rsidRPr="00E34696">
              <w:rPr>
                <w:sz w:val="22"/>
                <w:szCs w:val="22"/>
                <w:lang w:val="sr-Latn-ME"/>
              </w:rPr>
              <w:t>Aкутна бактеријска егзацербација хроничне опструктивне болести плућа укључујући бронхитис</w:t>
            </w:r>
          </w:p>
        </w:tc>
        <w:tc>
          <w:tcPr>
            <w:tcW w:w="2441" w:type="dxa"/>
            <w:vAlign w:val="center"/>
          </w:tcPr>
          <w:p w14:paraId="1D122350" w14:textId="77777777" w:rsidR="00C06689" w:rsidRPr="00E34696" w:rsidRDefault="00C06689" w:rsidP="00E34696">
            <w:pPr>
              <w:widowControl w:val="0"/>
              <w:autoSpaceDE w:val="0"/>
              <w:autoSpaceDN w:val="0"/>
              <w:adjustRightInd w:val="0"/>
              <w:jc w:val="both"/>
              <w:rPr>
                <w:sz w:val="22"/>
                <w:szCs w:val="22"/>
                <w:lang w:val="sr-Latn-ME"/>
              </w:rPr>
            </w:pPr>
            <w:r w:rsidRPr="00E34696">
              <w:rPr>
                <w:sz w:val="22"/>
                <w:szCs w:val="22"/>
                <w:lang w:val="sr-Latn-ME"/>
              </w:rPr>
              <w:t>500 mg, jeдном дневно</w:t>
            </w:r>
          </w:p>
        </w:tc>
        <w:tc>
          <w:tcPr>
            <w:tcW w:w="2587" w:type="dxa"/>
            <w:vAlign w:val="center"/>
          </w:tcPr>
          <w:p w14:paraId="5BE170C1" w14:textId="77777777" w:rsidR="00C06689" w:rsidRPr="00E34696" w:rsidRDefault="00C06689" w:rsidP="00E34696">
            <w:pPr>
              <w:widowControl w:val="0"/>
              <w:autoSpaceDE w:val="0"/>
              <w:autoSpaceDN w:val="0"/>
              <w:adjustRightInd w:val="0"/>
              <w:jc w:val="both"/>
              <w:rPr>
                <w:sz w:val="22"/>
                <w:szCs w:val="22"/>
                <w:lang w:val="sr-Latn-ME"/>
              </w:rPr>
            </w:pPr>
            <w:r w:rsidRPr="00E34696">
              <w:rPr>
                <w:sz w:val="22"/>
                <w:szCs w:val="22"/>
                <w:lang w:val="sr-Latn-ME"/>
              </w:rPr>
              <w:t xml:space="preserve">7-10 дана </w:t>
            </w:r>
          </w:p>
        </w:tc>
      </w:tr>
      <w:tr w:rsidR="00C06689" w:rsidRPr="00E34696" w14:paraId="28004D42" w14:textId="77777777" w:rsidTr="00CF11E2">
        <w:tc>
          <w:tcPr>
            <w:tcW w:w="4035" w:type="dxa"/>
            <w:vAlign w:val="center"/>
          </w:tcPr>
          <w:p w14:paraId="510A9AC7" w14:textId="77777777" w:rsidR="00C06689" w:rsidRPr="00E34696" w:rsidRDefault="00C06689" w:rsidP="00E34696">
            <w:pPr>
              <w:widowControl w:val="0"/>
              <w:autoSpaceDE w:val="0"/>
              <w:autoSpaceDN w:val="0"/>
              <w:adjustRightInd w:val="0"/>
              <w:jc w:val="both"/>
              <w:rPr>
                <w:sz w:val="22"/>
                <w:szCs w:val="22"/>
                <w:lang w:val="sr-Latn-ME"/>
              </w:rPr>
            </w:pPr>
            <w:r w:rsidRPr="00E34696">
              <w:rPr>
                <w:sz w:val="22"/>
                <w:szCs w:val="22"/>
                <w:lang w:val="sr-Latn-ME"/>
              </w:rPr>
              <w:t xml:space="preserve">Ванболничка пнеумонија </w:t>
            </w:r>
          </w:p>
        </w:tc>
        <w:tc>
          <w:tcPr>
            <w:tcW w:w="2441" w:type="dxa"/>
            <w:vAlign w:val="center"/>
          </w:tcPr>
          <w:p w14:paraId="1EE09A3D" w14:textId="77777777" w:rsidR="00C06689" w:rsidRPr="00E34696" w:rsidRDefault="00C06689" w:rsidP="00E34696">
            <w:pPr>
              <w:widowControl w:val="0"/>
              <w:autoSpaceDE w:val="0"/>
              <w:autoSpaceDN w:val="0"/>
              <w:adjustRightInd w:val="0"/>
              <w:jc w:val="both"/>
              <w:rPr>
                <w:sz w:val="22"/>
                <w:szCs w:val="22"/>
                <w:lang w:val="sr-Latn-ME"/>
              </w:rPr>
            </w:pPr>
            <w:r w:rsidRPr="00E34696">
              <w:rPr>
                <w:sz w:val="22"/>
                <w:szCs w:val="22"/>
                <w:lang w:val="sr-Latn-ME"/>
              </w:rPr>
              <w:t xml:space="preserve">500 mg, jeдном или два пут дневно </w:t>
            </w:r>
          </w:p>
        </w:tc>
        <w:tc>
          <w:tcPr>
            <w:tcW w:w="2587" w:type="dxa"/>
            <w:vAlign w:val="center"/>
          </w:tcPr>
          <w:p w14:paraId="2989D6C0" w14:textId="77777777" w:rsidR="00C06689" w:rsidRPr="00E34696" w:rsidRDefault="00C06689" w:rsidP="00E34696">
            <w:pPr>
              <w:widowControl w:val="0"/>
              <w:autoSpaceDE w:val="0"/>
              <w:autoSpaceDN w:val="0"/>
              <w:adjustRightInd w:val="0"/>
              <w:jc w:val="both"/>
              <w:rPr>
                <w:sz w:val="22"/>
                <w:szCs w:val="22"/>
                <w:lang w:val="sr-Latn-ME"/>
              </w:rPr>
            </w:pPr>
            <w:r w:rsidRPr="00E34696">
              <w:rPr>
                <w:sz w:val="22"/>
                <w:szCs w:val="22"/>
                <w:lang w:val="sr-Latn-ME"/>
              </w:rPr>
              <w:t xml:space="preserve">7-14 дана </w:t>
            </w:r>
          </w:p>
        </w:tc>
      </w:tr>
      <w:tr w:rsidR="00C06689" w:rsidRPr="00E34696" w14:paraId="6FB11188" w14:textId="77777777" w:rsidTr="00CF11E2">
        <w:tc>
          <w:tcPr>
            <w:tcW w:w="4035" w:type="dxa"/>
            <w:vAlign w:val="center"/>
          </w:tcPr>
          <w:p w14:paraId="2EA097B9" w14:textId="77777777" w:rsidR="00C06689" w:rsidRPr="00E34696" w:rsidRDefault="00C06689" w:rsidP="00E34696">
            <w:pPr>
              <w:widowControl w:val="0"/>
              <w:autoSpaceDE w:val="0"/>
              <w:autoSpaceDN w:val="0"/>
              <w:adjustRightInd w:val="0"/>
              <w:jc w:val="both"/>
              <w:rPr>
                <w:sz w:val="22"/>
                <w:szCs w:val="22"/>
                <w:lang w:val="sr-Latn-ME"/>
              </w:rPr>
            </w:pPr>
            <w:r w:rsidRPr="00E34696">
              <w:rPr>
                <w:sz w:val="22"/>
                <w:szCs w:val="22"/>
                <w:lang w:val="sr-Latn-ME"/>
              </w:rPr>
              <w:t>Акутни пијелонефритис</w:t>
            </w:r>
          </w:p>
        </w:tc>
        <w:tc>
          <w:tcPr>
            <w:tcW w:w="2441" w:type="dxa"/>
            <w:vAlign w:val="center"/>
          </w:tcPr>
          <w:p w14:paraId="61E95744" w14:textId="77777777" w:rsidR="00C06689" w:rsidRPr="00E34696" w:rsidRDefault="00C06689" w:rsidP="00E34696">
            <w:pPr>
              <w:widowControl w:val="0"/>
              <w:autoSpaceDE w:val="0"/>
              <w:autoSpaceDN w:val="0"/>
              <w:adjustRightInd w:val="0"/>
              <w:jc w:val="both"/>
              <w:rPr>
                <w:sz w:val="22"/>
                <w:szCs w:val="22"/>
                <w:lang w:val="sr-Latn-ME"/>
              </w:rPr>
            </w:pPr>
            <w:r w:rsidRPr="00E34696">
              <w:rPr>
                <w:sz w:val="22"/>
                <w:szCs w:val="22"/>
                <w:lang w:val="sr-Latn-ME"/>
              </w:rPr>
              <w:t>500 mg, једном дневно</w:t>
            </w:r>
          </w:p>
        </w:tc>
        <w:tc>
          <w:tcPr>
            <w:tcW w:w="2587" w:type="dxa"/>
            <w:vAlign w:val="center"/>
          </w:tcPr>
          <w:p w14:paraId="4FC5BB58" w14:textId="77777777" w:rsidR="00C06689" w:rsidRPr="00E34696" w:rsidRDefault="00C06689" w:rsidP="00E34696">
            <w:pPr>
              <w:widowControl w:val="0"/>
              <w:autoSpaceDE w:val="0"/>
              <w:autoSpaceDN w:val="0"/>
              <w:adjustRightInd w:val="0"/>
              <w:jc w:val="both"/>
              <w:rPr>
                <w:sz w:val="22"/>
                <w:szCs w:val="22"/>
                <w:lang w:val="sr-Latn-ME"/>
              </w:rPr>
            </w:pPr>
            <w:r w:rsidRPr="00E34696">
              <w:rPr>
                <w:sz w:val="22"/>
                <w:szCs w:val="22"/>
                <w:lang w:val="sr-Latn-ME"/>
              </w:rPr>
              <w:t>7-10 дана</w:t>
            </w:r>
          </w:p>
        </w:tc>
      </w:tr>
      <w:tr w:rsidR="00C06689" w:rsidRPr="00E34696" w14:paraId="78A33854" w14:textId="77777777" w:rsidTr="00CF11E2">
        <w:tc>
          <w:tcPr>
            <w:tcW w:w="4035" w:type="dxa"/>
            <w:vAlign w:val="center"/>
          </w:tcPr>
          <w:p w14:paraId="76FA8431" w14:textId="77777777" w:rsidR="00C06689" w:rsidRPr="00E34696" w:rsidRDefault="00C06689" w:rsidP="00E34696">
            <w:pPr>
              <w:widowControl w:val="0"/>
              <w:autoSpaceDE w:val="0"/>
              <w:autoSpaceDN w:val="0"/>
              <w:adjustRightInd w:val="0"/>
              <w:jc w:val="both"/>
              <w:rPr>
                <w:sz w:val="22"/>
                <w:szCs w:val="22"/>
                <w:lang w:val="sr-Latn-ME"/>
              </w:rPr>
            </w:pPr>
            <w:r w:rsidRPr="00E34696">
              <w:rPr>
                <w:sz w:val="22"/>
                <w:szCs w:val="22"/>
                <w:lang w:val="sr-Latn-ME"/>
              </w:rPr>
              <w:t>Koмпликоване инфекције уринарног тракта</w:t>
            </w:r>
          </w:p>
        </w:tc>
        <w:tc>
          <w:tcPr>
            <w:tcW w:w="2441" w:type="dxa"/>
            <w:vAlign w:val="center"/>
          </w:tcPr>
          <w:p w14:paraId="03AE3A53" w14:textId="77777777" w:rsidR="00C06689" w:rsidRPr="00E34696" w:rsidRDefault="00C06689" w:rsidP="00E34696">
            <w:pPr>
              <w:widowControl w:val="0"/>
              <w:autoSpaceDE w:val="0"/>
              <w:autoSpaceDN w:val="0"/>
              <w:adjustRightInd w:val="0"/>
              <w:jc w:val="both"/>
              <w:rPr>
                <w:sz w:val="22"/>
                <w:szCs w:val="22"/>
                <w:lang w:val="sr-Latn-ME"/>
              </w:rPr>
            </w:pPr>
            <w:r w:rsidRPr="00E34696">
              <w:rPr>
                <w:sz w:val="22"/>
                <w:szCs w:val="22"/>
                <w:lang w:val="sr-Latn-ME"/>
              </w:rPr>
              <w:t xml:space="preserve">500 mg, jeдном дневно </w:t>
            </w:r>
          </w:p>
        </w:tc>
        <w:tc>
          <w:tcPr>
            <w:tcW w:w="2587" w:type="dxa"/>
            <w:vAlign w:val="center"/>
          </w:tcPr>
          <w:p w14:paraId="4E0032A1" w14:textId="77777777" w:rsidR="00C06689" w:rsidRPr="00E34696" w:rsidRDefault="00C06689" w:rsidP="00E34696">
            <w:pPr>
              <w:widowControl w:val="0"/>
              <w:autoSpaceDE w:val="0"/>
              <w:autoSpaceDN w:val="0"/>
              <w:adjustRightInd w:val="0"/>
              <w:jc w:val="both"/>
              <w:rPr>
                <w:sz w:val="22"/>
                <w:szCs w:val="22"/>
                <w:lang w:val="sr-Latn-ME"/>
              </w:rPr>
            </w:pPr>
            <w:r w:rsidRPr="00E34696">
              <w:rPr>
                <w:sz w:val="22"/>
                <w:szCs w:val="22"/>
                <w:lang w:val="sr-Latn-ME"/>
              </w:rPr>
              <w:t>7-14 дана</w:t>
            </w:r>
          </w:p>
        </w:tc>
      </w:tr>
      <w:tr w:rsidR="00C06689" w:rsidRPr="00E34696" w14:paraId="2DA9CCB1" w14:textId="77777777" w:rsidTr="00CF11E2">
        <w:tc>
          <w:tcPr>
            <w:tcW w:w="4035" w:type="dxa"/>
            <w:vAlign w:val="center"/>
          </w:tcPr>
          <w:p w14:paraId="28B4F9A9" w14:textId="77777777" w:rsidR="00C06689" w:rsidRPr="00E34696" w:rsidRDefault="00C06689" w:rsidP="00E34696">
            <w:pPr>
              <w:widowControl w:val="0"/>
              <w:autoSpaceDE w:val="0"/>
              <w:autoSpaceDN w:val="0"/>
              <w:adjustRightInd w:val="0"/>
              <w:jc w:val="both"/>
              <w:rPr>
                <w:sz w:val="22"/>
                <w:szCs w:val="22"/>
                <w:lang w:val="sr-Latn-ME"/>
              </w:rPr>
            </w:pPr>
            <w:r w:rsidRPr="00E34696">
              <w:rPr>
                <w:sz w:val="22"/>
                <w:szCs w:val="22"/>
                <w:lang w:val="sr-Latn-ME"/>
              </w:rPr>
              <w:t>Некомпликовани циститис</w:t>
            </w:r>
          </w:p>
        </w:tc>
        <w:tc>
          <w:tcPr>
            <w:tcW w:w="2441" w:type="dxa"/>
            <w:vAlign w:val="center"/>
          </w:tcPr>
          <w:p w14:paraId="41DA87B6" w14:textId="77777777" w:rsidR="00C06689" w:rsidRPr="00E34696" w:rsidRDefault="00C06689" w:rsidP="00E34696">
            <w:pPr>
              <w:widowControl w:val="0"/>
              <w:autoSpaceDE w:val="0"/>
              <w:autoSpaceDN w:val="0"/>
              <w:adjustRightInd w:val="0"/>
              <w:jc w:val="both"/>
              <w:rPr>
                <w:sz w:val="22"/>
                <w:szCs w:val="22"/>
                <w:lang w:val="sr-Latn-ME"/>
              </w:rPr>
            </w:pPr>
            <w:r w:rsidRPr="00E34696">
              <w:rPr>
                <w:sz w:val="22"/>
                <w:szCs w:val="22"/>
                <w:lang w:val="sr-Latn-ME"/>
              </w:rPr>
              <w:t>250 mg, jeдном дневно</w:t>
            </w:r>
          </w:p>
        </w:tc>
        <w:tc>
          <w:tcPr>
            <w:tcW w:w="2587" w:type="dxa"/>
            <w:vAlign w:val="center"/>
          </w:tcPr>
          <w:p w14:paraId="7795173F" w14:textId="77777777" w:rsidR="00C06689" w:rsidRPr="00E34696" w:rsidRDefault="00C06689" w:rsidP="00E34696">
            <w:pPr>
              <w:widowControl w:val="0"/>
              <w:autoSpaceDE w:val="0"/>
              <w:autoSpaceDN w:val="0"/>
              <w:adjustRightInd w:val="0"/>
              <w:jc w:val="both"/>
              <w:rPr>
                <w:sz w:val="22"/>
                <w:szCs w:val="22"/>
                <w:lang w:val="sr-Latn-ME"/>
              </w:rPr>
            </w:pPr>
            <w:r w:rsidRPr="00E34696">
              <w:rPr>
                <w:sz w:val="22"/>
                <w:szCs w:val="22"/>
                <w:lang w:val="sr-Latn-ME"/>
              </w:rPr>
              <w:t>3 дана</w:t>
            </w:r>
          </w:p>
        </w:tc>
      </w:tr>
      <w:tr w:rsidR="00C06689" w:rsidRPr="00E34696" w14:paraId="27C439A2" w14:textId="77777777" w:rsidTr="00CF11E2">
        <w:tc>
          <w:tcPr>
            <w:tcW w:w="4035" w:type="dxa"/>
            <w:vAlign w:val="center"/>
          </w:tcPr>
          <w:p w14:paraId="661E5F11" w14:textId="77777777" w:rsidR="00C06689" w:rsidRPr="00E34696" w:rsidRDefault="00C06689" w:rsidP="00E34696">
            <w:pPr>
              <w:widowControl w:val="0"/>
              <w:autoSpaceDE w:val="0"/>
              <w:autoSpaceDN w:val="0"/>
              <w:adjustRightInd w:val="0"/>
              <w:jc w:val="both"/>
              <w:rPr>
                <w:sz w:val="22"/>
                <w:szCs w:val="22"/>
                <w:lang w:val="sr-Latn-ME"/>
              </w:rPr>
            </w:pPr>
            <w:r w:rsidRPr="00E34696">
              <w:rPr>
                <w:sz w:val="22"/>
                <w:szCs w:val="22"/>
                <w:lang w:val="sr-Latn-ME"/>
              </w:rPr>
              <w:t>Хронични бактеријски простатитис</w:t>
            </w:r>
          </w:p>
        </w:tc>
        <w:tc>
          <w:tcPr>
            <w:tcW w:w="2441" w:type="dxa"/>
            <w:vAlign w:val="center"/>
          </w:tcPr>
          <w:p w14:paraId="3631F4EE" w14:textId="77777777" w:rsidR="00C06689" w:rsidRPr="00E34696" w:rsidRDefault="00C06689" w:rsidP="00E34696">
            <w:pPr>
              <w:widowControl w:val="0"/>
              <w:autoSpaceDE w:val="0"/>
              <w:autoSpaceDN w:val="0"/>
              <w:adjustRightInd w:val="0"/>
              <w:jc w:val="both"/>
              <w:rPr>
                <w:sz w:val="22"/>
                <w:szCs w:val="22"/>
                <w:lang w:val="sr-Latn-ME"/>
              </w:rPr>
            </w:pPr>
            <w:r w:rsidRPr="00E34696">
              <w:rPr>
                <w:sz w:val="22"/>
                <w:szCs w:val="22"/>
                <w:lang w:val="sr-Latn-ME"/>
              </w:rPr>
              <w:t xml:space="preserve">500 mg, jeдном дневно </w:t>
            </w:r>
          </w:p>
        </w:tc>
        <w:tc>
          <w:tcPr>
            <w:tcW w:w="2587" w:type="dxa"/>
            <w:vAlign w:val="center"/>
          </w:tcPr>
          <w:p w14:paraId="358E1B90" w14:textId="77777777" w:rsidR="00C06689" w:rsidRPr="00E34696" w:rsidRDefault="00C06689" w:rsidP="00E34696">
            <w:pPr>
              <w:widowControl w:val="0"/>
              <w:autoSpaceDE w:val="0"/>
              <w:autoSpaceDN w:val="0"/>
              <w:adjustRightInd w:val="0"/>
              <w:jc w:val="both"/>
              <w:rPr>
                <w:sz w:val="22"/>
                <w:szCs w:val="22"/>
                <w:lang w:val="sr-Latn-ME"/>
              </w:rPr>
            </w:pPr>
            <w:r w:rsidRPr="00E34696">
              <w:rPr>
                <w:sz w:val="22"/>
                <w:szCs w:val="22"/>
                <w:lang w:val="sr-Latn-ME"/>
              </w:rPr>
              <w:t xml:space="preserve">28 дана </w:t>
            </w:r>
          </w:p>
        </w:tc>
      </w:tr>
      <w:tr w:rsidR="00C06689" w:rsidRPr="00E34696" w14:paraId="34FD6232" w14:textId="77777777" w:rsidTr="00CF11E2">
        <w:tc>
          <w:tcPr>
            <w:tcW w:w="4035" w:type="dxa"/>
            <w:vAlign w:val="center"/>
          </w:tcPr>
          <w:p w14:paraId="2DE3B8EB" w14:textId="77777777" w:rsidR="00C06689" w:rsidRPr="00E34696" w:rsidRDefault="00C06689" w:rsidP="00E34696">
            <w:pPr>
              <w:widowControl w:val="0"/>
              <w:autoSpaceDE w:val="0"/>
              <w:autoSpaceDN w:val="0"/>
              <w:adjustRightInd w:val="0"/>
              <w:jc w:val="both"/>
              <w:rPr>
                <w:sz w:val="22"/>
                <w:szCs w:val="22"/>
                <w:lang w:val="sr-Latn-ME"/>
              </w:rPr>
            </w:pPr>
            <w:r w:rsidRPr="00E34696">
              <w:rPr>
                <w:sz w:val="22"/>
                <w:szCs w:val="22"/>
                <w:lang w:val="sr-Latn-ME"/>
              </w:rPr>
              <w:t>Компликоване инфекције коже и меких ткива</w:t>
            </w:r>
          </w:p>
        </w:tc>
        <w:tc>
          <w:tcPr>
            <w:tcW w:w="2441" w:type="dxa"/>
            <w:vAlign w:val="center"/>
          </w:tcPr>
          <w:p w14:paraId="1439EAA3" w14:textId="77777777" w:rsidR="00C06689" w:rsidRPr="00E34696" w:rsidRDefault="00C06689" w:rsidP="00E34696">
            <w:pPr>
              <w:widowControl w:val="0"/>
              <w:autoSpaceDE w:val="0"/>
              <w:autoSpaceDN w:val="0"/>
              <w:adjustRightInd w:val="0"/>
              <w:jc w:val="both"/>
              <w:rPr>
                <w:sz w:val="22"/>
                <w:szCs w:val="22"/>
                <w:lang w:val="sr-Latn-ME"/>
              </w:rPr>
            </w:pPr>
            <w:r w:rsidRPr="00E34696">
              <w:rPr>
                <w:sz w:val="22"/>
                <w:szCs w:val="22"/>
                <w:lang w:val="sr-Latn-ME"/>
              </w:rPr>
              <w:t xml:space="preserve">500 mg jeдном или два пута дневно </w:t>
            </w:r>
          </w:p>
        </w:tc>
        <w:tc>
          <w:tcPr>
            <w:tcW w:w="2587" w:type="dxa"/>
            <w:vAlign w:val="center"/>
          </w:tcPr>
          <w:p w14:paraId="0CEB2BD6" w14:textId="77777777" w:rsidR="00C06689" w:rsidRPr="00E34696" w:rsidRDefault="00C06689" w:rsidP="00E34696">
            <w:pPr>
              <w:widowControl w:val="0"/>
              <w:autoSpaceDE w:val="0"/>
              <w:autoSpaceDN w:val="0"/>
              <w:adjustRightInd w:val="0"/>
              <w:jc w:val="both"/>
              <w:rPr>
                <w:sz w:val="22"/>
                <w:szCs w:val="22"/>
                <w:lang w:val="sr-Latn-ME"/>
              </w:rPr>
            </w:pPr>
            <w:r w:rsidRPr="00E34696">
              <w:rPr>
                <w:sz w:val="22"/>
                <w:szCs w:val="22"/>
                <w:lang w:val="sr-Latn-ME"/>
              </w:rPr>
              <w:t xml:space="preserve">7-14 дана </w:t>
            </w:r>
          </w:p>
        </w:tc>
      </w:tr>
      <w:tr w:rsidR="00C06689" w:rsidRPr="00E34696" w14:paraId="0694B133" w14:textId="77777777" w:rsidTr="00CF11E2">
        <w:tc>
          <w:tcPr>
            <w:tcW w:w="4035" w:type="dxa"/>
            <w:vAlign w:val="center"/>
          </w:tcPr>
          <w:p w14:paraId="77ACED81" w14:textId="77777777" w:rsidR="00C06689" w:rsidRPr="00E34696" w:rsidRDefault="00C06689" w:rsidP="00E34696">
            <w:pPr>
              <w:widowControl w:val="0"/>
              <w:autoSpaceDE w:val="0"/>
              <w:autoSpaceDN w:val="0"/>
              <w:adjustRightInd w:val="0"/>
              <w:jc w:val="both"/>
              <w:rPr>
                <w:sz w:val="22"/>
                <w:szCs w:val="22"/>
                <w:lang w:val="sr-Latn-ME"/>
              </w:rPr>
            </w:pPr>
            <w:r w:rsidRPr="00E34696">
              <w:rPr>
                <w:sz w:val="22"/>
                <w:szCs w:val="22"/>
                <w:lang w:val="sr-Latn-ME"/>
              </w:rPr>
              <w:t>Инхалациони антракс</w:t>
            </w:r>
          </w:p>
        </w:tc>
        <w:tc>
          <w:tcPr>
            <w:tcW w:w="2441" w:type="dxa"/>
            <w:vAlign w:val="center"/>
          </w:tcPr>
          <w:p w14:paraId="402069CC" w14:textId="77777777" w:rsidR="00C06689" w:rsidRPr="00E34696" w:rsidRDefault="00C06689" w:rsidP="00E34696">
            <w:pPr>
              <w:widowControl w:val="0"/>
              <w:autoSpaceDE w:val="0"/>
              <w:autoSpaceDN w:val="0"/>
              <w:adjustRightInd w:val="0"/>
              <w:jc w:val="both"/>
              <w:rPr>
                <w:sz w:val="22"/>
                <w:szCs w:val="22"/>
                <w:lang w:val="sr-Latn-ME"/>
              </w:rPr>
            </w:pPr>
            <w:r w:rsidRPr="00E34696">
              <w:rPr>
                <w:sz w:val="22"/>
                <w:szCs w:val="22"/>
                <w:lang w:val="sr-Latn-ME"/>
              </w:rPr>
              <w:t>500 mg, jeдном дневно</w:t>
            </w:r>
          </w:p>
        </w:tc>
        <w:tc>
          <w:tcPr>
            <w:tcW w:w="2587" w:type="dxa"/>
            <w:vAlign w:val="center"/>
          </w:tcPr>
          <w:p w14:paraId="36877B5F" w14:textId="77777777" w:rsidR="00C06689" w:rsidRPr="00E34696" w:rsidRDefault="00C06689" w:rsidP="00E34696">
            <w:pPr>
              <w:widowControl w:val="0"/>
              <w:autoSpaceDE w:val="0"/>
              <w:autoSpaceDN w:val="0"/>
              <w:adjustRightInd w:val="0"/>
              <w:jc w:val="both"/>
              <w:rPr>
                <w:sz w:val="22"/>
                <w:szCs w:val="22"/>
                <w:lang w:val="sr-Latn-ME"/>
              </w:rPr>
            </w:pPr>
            <w:r w:rsidRPr="00E34696">
              <w:rPr>
                <w:sz w:val="22"/>
                <w:szCs w:val="22"/>
                <w:lang w:val="sr-Latn-ME"/>
              </w:rPr>
              <w:t>8 недјеља</w:t>
            </w:r>
          </w:p>
        </w:tc>
      </w:tr>
    </w:tbl>
    <w:p w14:paraId="115EA229" w14:textId="6A3AC6C8" w:rsidR="00C06689" w:rsidRPr="00E34696" w:rsidRDefault="00C06689" w:rsidP="00E34696">
      <w:pPr>
        <w:widowControl w:val="0"/>
        <w:tabs>
          <w:tab w:val="left" w:pos="284"/>
        </w:tabs>
        <w:jc w:val="both"/>
        <w:rPr>
          <w:sz w:val="22"/>
          <w:szCs w:val="22"/>
          <w:lang w:val="sr-Latn-ME"/>
        </w:rPr>
      </w:pPr>
    </w:p>
    <w:p w14:paraId="767FADF2" w14:textId="77777777" w:rsidR="00C06689" w:rsidRPr="00E34696" w:rsidRDefault="00C06689" w:rsidP="00E34696">
      <w:pPr>
        <w:widowControl w:val="0"/>
        <w:tabs>
          <w:tab w:val="left" w:pos="284"/>
        </w:tabs>
        <w:jc w:val="both"/>
        <w:rPr>
          <w:b/>
          <w:i/>
          <w:sz w:val="22"/>
          <w:szCs w:val="22"/>
          <w:u w:val="single"/>
          <w:lang w:val="sr-Latn-ME"/>
        </w:rPr>
      </w:pPr>
      <w:r w:rsidRPr="00E34696">
        <w:rPr>
          <w:b/>
          <w:i/>
          <w:sz w:val="22"/>
          <w:szCs w:val="22"/>
          <w:u w:val="single"/>
          <w:lang w:val="sr-Latn-ME"/>
        </w:rPr>
        <w:t>Посебне популације</w:t>
      </w:r>
    </w:p>
    <w:p w14:paraId="2C6E54FE" w14:textId="77777777" w:rsidR="00C06689" w:rsidRPr="00E34696" w:rsidRDefault="00C06689" w:rsidP="00E34696">
      <w:pPr>
        <w:widowControl w:val="0"/>
        <w:tabs>
          <w:tab w:val="left" w:pos="284"/>
        </w:tabs>
        <w:jc w:val="both"/>
        <w:rPr>
          <w:sz w:val="22"/>
          <w:szCs w:val="22"/>
          <w:lang w:val="sr-Latn-ME"/>
        </w:rPr>
      </w:pPr>
      <w:r w:rsidRPr="00E34696">
        <w:rPr>
          <w:i/>
          <w:sz w:val="22"/>
          <w:szCs w:val="22"/>
          <w:lang w:val="sr-Latn-ME"/>
        </w:rPr>
        <w:t>Пацијенти са оштећеном функцијом бубрега</w:t>
      </w:r>
      <w:r w:rsidRPr="00E34696">
        <w:rPr>
          <w:sz w:val="22"/>
          <w:szCs w:val="22"/>
          <w:lang w:val="sr-Latn-ME"/>
        </w:rPr>
        <w:t xml:space="preserve"> (клиренс креатинина ≤ 50 ml/min)</w:t>
      </w:r>
    </w:p>
    <w:tbl>
      <w:tblPr>
        <w:tblW w:w="5000" w:type="pct"/>
        <w:tblBorders>
          <w:top w:val="nil"/>
          <w:left w:val="nil"/>
          <w:bottom w:val="nil"/>
          <w:right w:val="nil"/>
        </w:tblBorders>
        <w:tblLook w:val="0000" w:firstRow="0" w:lastRow="0" w:firstColumn="0" w:lastColumn="0" w:noHBand="0" w:noVBand="0"/>
      </w:tblPr>
      <w:tblGrid>
        <w:gridCol w:w="2687"/>
        <w:gridCol w:w="2128"/>
        <w:gridCol w:w="2126"/>
        <w:gridCol w:w="2120"/>
      </w:tblGrid>
      <w:tr w:rsidR="00E34696" w:rsidRPr="00E34696" w14:paraId="076C31C8" w14:textId="77777777" w:rsidTr="00E34696">
        <w:tc>
          <w:tcPr>
            <w:tcW w:w="1483" w:type="pct"/>
            <w:tcBorders>
              <w:top w:val="single" w:sz="6" w:space="0" w:color="000000"/>
              <w:left w:val="single" w:sz="5" w:space="0" w:color="000000"/>
              <w:bottom w:val="single" w:sz="5" w:space="0" w:color="000000"/>
              <w:right w:val="single" w:sz="6" w:space="0" w:color="000000"/>
            </w:tcBorders>
          </w:tcPr>
          <w:p w14:paraId="09EDEE61" w14:textId="50E6B7D8" w:rsidR="00C06689" w:rsidRPr="00E34696" w:rsidRDefault="00C06689" w:rsidP="00E34696">
            <w:pPr>
              <w:widowControl w:val="0"/>
              <w:autoSpaceDE w:val="0"/>
              <w:autoSpaceDN w:val="0"/>
              <w:adjustRightInd w:val="0"/>
              <w:jc w:val="both"/>
              <w:rPr>
                <w:sz w:val="22"/>
                <w:szCs w:val="22"/>
                <w:lang w:val="sr-Latn-ME"/>
              </w:rPr>
            </w:pPr>
            <w:r w:rsidRPr="00E34696">
              <w:rPr>
                <w:sz w:val="22"/>
                <w:szCs w:val="22"/>
                <w:lang w:val="sr-Latn-ME"/>
              </w:rPr>
              <w:tab/>
            </w:r>
          </w:p>
        </w:tc>
        <w:tc>
          <w:tcPr>
            <w:tcW w:w="3517" w:type="pct"/>
            <w:gridSpan w:val="3"/>
            <w:tcBorders>
              <w:top w:val="single" w:sz="6" w:space="0" w:color="000000"/>
              <w:left w:val="single" w:sz="6" w:space="0" w:color="000000"/>
              <w:bottom w:val="single" w:sz="5" w:space="0" w:color="000000"/>
              <w:right w:val="single" w:sz="5" w:space="0" w:color="000000"/>
            </w:tcBorders>
            <w:vAlign w:val="center"/>
          </w:tcPr>
          <w:p w14:paraId="07DEBFAE" w14:textId="77777777" w:rsidR="00C06689" w:rsidRPr="00E34696" w:rsidRDefault="00C06689" w:rsidP="00E34696">
            <w:pPr>
              <w:widowControl w:val="0"/>
              <w:autoSpaceDE w:val="0"/>
              <w:autoSpaceDN w:val="0"/>
              <w:adjustRightInd w:val="0"/>
              <w:jc w:val="both"/>
              <w:rPr>
                <w:sz w:val="22"/>
                <w:szCs w:val="22"/>
                <w:lang w:val="sr-Latn-ME"/>
              </w:rPr>
            </w:pPr>
            <w:r w:rsidRPr="00E34696">
              <w:rPr>
                <w:b/>
                <w:bCs/>
                <w:sz w:val="22"/>
                <w:szCs w:val="22"/>
                <w:lang w:val="sr-Latn-ME"/>
              </w:rPr>
              <w:t>Режим дозирања</w:t>
            </w:r>
          </w:p>
        </w:tc>
      </w:tr>
      <w:tr w:rsidR="00E34696" w:rsidRPr="00E34696" w14:paraId="3BE006EA" w14:textId="77777777" w:rsidTr="00CF11E2">
        <w:tc>
          <w:tcPr>
            <w:tcW w:w="1483" w:type="pct"/>
            <w:tcBorders>
              <w:top w:val="single" w:sz="5" w:space="0" w:color="000000"/>
              <w:left w:val="single" w:sz="5" w:space="0" w:color="000000"/>
              <w:bottom w:val="single" w:sz="6" w:space="0" w:color="000000"/>
              <w:right w:val="single" w:sz="6" w:space="0" w:color="000000"/>
            </w:tcBorders>
          </w:tcPr>
          <w:p w14:paraId="5CBE88A4" w14:textId="77777777" w:rsidR="00C06689" w:rsidRPr="00E34696" w:rsidRDefault="00C06689" w:rsidP="00E34696">
            <w:pPr>
              <w:widowControl w:val="0"/>
              <w:autoSpaceDE w:val="0"/>
              <w:autoSpaceDN w:val="0"/>
              <w:adjustRightInd w:val="0"/>
              <w:jc w:val="both"/>
              <w:rPr>
                <w:sz w:val="22"/>
                <w:szCs w:val="22"/>
                <w:lang w:val="sr-Latn-ME"/>
              </w:rPr>
            </w:pPr>
          </w:p>
        </w:tc>
        <w:tc>
          <w:tcPr>
            <w:tcW w:w="1174" w:type="pct"/>
            <w:tcBorders>
              <w:top w:val="single" w:sz="5" w:space="0" w:color="000000"/>
              <w:left w:val="single" w:sz="6" w:space="0" w:color="000000"/>
              <w:bottom w:val="single" w:sz="6" w:space="0" w:color="000000"/>
              <w:right w:val="single" w:sz="6" w:space="0" w:color="000000"/>
            </w:tcBorders>
            <w:vAlign w:val="center"/>
          </w:tcPr>
          <w:p w14:paraId="148CE442" w14:textId="77777777" w:rsidR="00C06689" w:rsidRPr="00E34696" w:rsidRDefault="00C06689" w:rsidP="00E34696">
            <w:pPr>
              <w:widowControl w:val="0"/>
              <w:autoSpaceDE w:val="0"/>
              <w:autoSpaceDN w:val="0"/>
              <w:adjustRightInd w:val="0"/>
              <w:jc w:val="both"/>
              <w:rPr>
                <w:sz w:val="22"/>
                <w:szCs w:val="22"/>
                <w:lang w:val="sr-Latn-ME"/>
              </w:rPr>
            </w:pPr>
            <w:r w:rsidRPr="00E34696">
              <w:rPr>
                <w:b/>
                <w:bCs/>
                <w:sz w:val="22"/>
                <w:szCs w:val="22"/>
                <w:lang w:val="sr-Latn-ME"/>
              </w:rPr>
              <w:t xml:space="preserve">250 mg/24 h </w:t>
            </w:r>
          </w:p>
        </w:tc>
        <w:tc>
          <w:tcPr>
            <w:tcW w:w="1173" w:type="pct"/>
            <w:tcBorders>
              <w:top w:val="single" w:sz="5" w:space="0" w:color="000000"/>
              <w:left w:val="single" w:sz="6" w:space="0" w:color="000000"/>
              <w:bottom w:val="single" w:sz="6" w:space="0" w:color="000000"/>
              <w:right w:val="single" w:sz="6" w:space="0" w:color="000000"/>
            </w:tcBorders>
            <w:vAlign w:val="center"/>
          </w:tcPr>
          <w:p w14:paraId="7C1D61EF" w14:textId="77777777" w:rsidR="00C06689" w:rsidRPr="00E34696" w:rsidRDefault="00C06689" w:rsidP="00E34696">
            <w:pPr>
              <w:widowControl w:val="0"/>
              <w:autoSpaceDE w:val="0"/>
              <w:autoSpaceDN w:val="0"/>
              <w:adjustRightInd w:val="0"/>
              <w:jc w:val="both"/>
              <w:rPr>
                <w:sz w:val="22"/>
                <w:szCs w:val="22"/>
                <w:lang w:val="sr-Latn-ME"/>
              </w:rPr>
            </w:pPr>
            <w:r w:rsidRPr="00E34696">
              <w:rPr>
                <w:b/>
                <w:bCs/>
                <w:sz w:val="22"/>
                <w:szCs w:val="22"/>
                <w:lang w:val="sr-Latn-ME"/>
              </w:rPr>
              <w:t xml:space="preserve">500 mg/24 h </w:t>
            </w:r>
          </w:p>
        </w:tc>
        <w:tc>
          <w:tcPr>
            <w:tcW w:w="1170" w:type="pct"/>
            <w:tcBorders>
              <w:top w:val="single" w:sz="5" w:space="0" w:color="000000"/>
              <w:left w:val="single" w:sz="6" w:space="0" w:color="000000"/>
              <w:bottom w:val="single" w:sz="6" w:space="0" w:color="000000"/>
              <w:right w:val="single" w:sz="5" w:space="0" w:color="000000"/>
            </w:tcBorders>
            <w:vAlign w:val="center"/>
          </w:tcPr>
          <w:p w14:paraId="0E43033D" w14:textId="77777777" w:rsidR="00C06689" w:rsidRPr="00E34696" w:rsidRDefault="00C06689" w:rsidP="00E34696">
            <w:pPr>
              <w:widowControl w:val="0"/>
              <w:autoSpaceDE w:val="0"/>
              <w:autoSpaceDN w:val="0"/>
              <w:adjustRightInd w:val="0"/>
              <w:jc w:val="both"/>
              <w:rPr>
                <w:sz w:val="22"/>
                <w:szCs w:val="22"/>
                <w:lang w:val="sr-Latn-ME"/>
              </w:rPr>
            </w:pPr>
            <w:r w:rsidRPr="00E34696">
              <w:rPr>
                <w:b/>
                <w:bCs/>
                <w:sz w:val="22"/>
                <w:szCs w:val="22"/>
                <w:lang w:val="sr-Latn-ME"/>
              </w:rPr>
              <w:t xml:space="preserve">500 mg/12 h </w:t>
            </w:r>
          </w:p>
        </w:tc>
      </w:tr>
      <w:tr w:rsidR="00E34696" w:rsidRPr="00E34696" w14:paraId="762243AA" w14:textId="77777777" w:rsidTr="00CF11E2">
        <w:tc>
          <w:tcPr>
            <w:tcW w:w="1483" w:type="pct"/>
            <w:tcBorders>
              <w:top w:val="single" w:sz="6" w:space="0" w:color="000000"/>
              <w:left w:val="single" w:sz="5" w:space="0" w:color="000000"/>
              <w:bottom w:val="single" w:sz="5" w:space="0" w:color="000000"/>
              <w:right w:val="single" w:sz="6" w:space="0" w:color="000000"/>
            </w:tcBorders>
            <w:vAlign w:val="center"/>
          </w:tcPr>
          <w:p w14:paraId="1C760AFD" w14:textId="77777777" w:rsidR="00C06689" w:rsidRPr="00E34696" w:rsidRDefault="00C06689" w:rsidP="00E34696">
            <w:pPr>
              <w:widowControl w:val="0"/>
              <w:autoSpaceDE w:val="0"/>
              <w:autoSpaceDN w:val="0"/>
              <w:adjustRightInd w:val="0"/>
              <w:jc w:val="both"/>
              <w:rPr>
                <w:sz w:val="22"/>
                <w:szCs w:val="22"/>
                <w:lang w:val="sr-Latn-ME"/>
              </w:rPr>
            </w:pPr>
            <w:r w:rsidRPr="00E34696">
              <w:rPr>
                <w:b/>
                <w:bCs/>
                <w:sz w:val="22"/>
                <w:szCs w:val="22"/>
                <w:lang w:val="sr-Latn-ME"/>
              </w:rPr>
              <w:t>Kлиренс креатинина</w:t>
            </w:r>
          </w:p>
        </w:tc>
        <w:tc>
          <w:tcPr>
            <w:tcW w:w="1174" w:type="pct"/>
            <w:tcBorders>
              <w:top w:val="single" w:sz="6" w:space="0" w:color="000000"/>
              <w:left w:val="single" w:sz="6" w:space="0" w:color="000000"/>
              <w:bottom w:val="single" w:sz="5" w:space="0" w:color="000000"/>
              <w:right w:val="single" w:sz="6" w:space="0" w:color="000000"/>
            </w:tcBorders>
            <w:vAlign w:val="center"/>
          </w:tcPr>
          <w:p w14:paraId="7790466D" w14:textId="77777777" w:rsidR="00C06689" w:rsidRPr="00E34696" w:rsidRDefault="00C06689" w:rsidP="00E34696">
            <w:pPr>
              <w:widowControl w:val="0"/>
              <w:autoSpaceDE w:val="0"/>
              <w:autoSpaceDN w:val="0"/>
              <w:adjustRightInd w:val="0"/>
              <w:jc w:val="both"/>
              <w:rPr>
                <w:sz w:val="22"/>
                <w:szCs w:val="22"/>
                <w:lang w:val="sr-Latn-ME"/>
              </w:rPr>
            </w:pPr>
            <w:r w:rsidRPr="00E34696">
              <w:rPr>
                <w:i/>
                <w:iCs/>
                <w:sz w:val="22"/>
                <w:szCs w:val="22"/>
                <w:lang w:val="sr-Latn-ME"/>
              </w:rPr>
              <w:t xml:space="preserve">прва доза: </w:t>
            </w:r>
            <w:r w:rsidRPr="00E34696">
              <w:rPr>
                <w:sz w:val="22"/>
                <w:szCs w:val="22"/>
                <w:lang w:val="sr-Latn-ME"/>
              </w:rPr>
              <w:t xml:space="preserve">250 mg </w:t>
            </w:r>
          </w:p>
        </w:tc>
        <w:tc>
          <w:tcPr>
            <w:tcW w:w="1173" w:type="pct"/>
            <w:tcBorders>
              <w:top w:val="single" w:sz="6" w:space="0" w:color="000000"/>
              <w:left w:val="single" w:sz="6" w:space="0" w:color="000000"/>
              <w:bottom w:val="single" w:sz="5" w:space="0" w:color="000000"/>
              <w:right w:val="single" w:sz="6" w:space="0" w:color="000000"/>
            </w:tcBorders>
            <w:vAlign w:val="center"/>
          </w:tcPr>
          <w:p w14:paraId="74EABE7A" w14:textId="77777777" w:rsidR="00C06689" w:rsidRPr="00E34696" w:rsidRDefault="00C06689" w:rsidP="00E34696">
            <w:pPr>
              <w:widowControl w:val="0"/>
              <w:autoSpaceDE w:val="0"/>
              <w:autoSpaceDN w:val="0"/>
              <w:adjustRightInd w:val="0"/>
              <w:jc w:val="both"/>
              <w:rPr>
                <w:sz w:val="22"/>
                <w:szCs w:val="22"/>
                <w:lang w:val="sr-Latn-ME"/>
              </w:rPr>
            </w:pPr>
            <w:r w:rsidRPr="00E34696">
              <w:rPr>
                <w:i/>
                <w:iCs/>
                <w:sz w:val="22"/>
                <w:szCs w:val="22"/>
                <w:lang w:val="sr-Latn-ME"/>
              </w:rPr>
              <w:t xml:space="preserve">прва доза: </w:t>
            </w:r>
            <w:r w:rsidRPr="00E34696">
              <w:rPr>
                <w:sz w:val="22"/>
                <w:szCs w:val="22"/>
                <w:lang w:val="sr-Latn-ME"/>
              </w:rPr>
              <w:t xml:space="preserve">500 mg </w:t>
            </w:r>
          </w:p>
        </w:tc>
        <w:tc>
          <w:tcPr>
            <w:tcW w:w="1170" w:type="pct"/>
            <w:tcBorders>
              <w:top w:val="single" w:sz="6" w:space="0" w:color="000000"/>
              <w:left w:val="single" w:sz="6" w:space="0" w:color="000000"/>
              <w:bottom w:val="single" w:sz="5" w:space="0" w:color="000000"/>
              <w:right w:val="single" w:sz="5" w:space="0" w:color="000000"/>
            </w:tcBorders>
            <w:vAlign w:val="center"/>
          </w:tcPr>
          <w:p w14:paraId="6C9A4A53" w14:textId="77777777" w:rsidR="00C06689" w:rsidRPr="00E34696" w:rsidRDefault="00C06689" w:rsidP="00E34696">
            <w:pPr>
              <w:widowControl w:val="0"/>
              <w:autoSpaceDE w:val="0"/>
              <w:autoSpaceDN w:val="0"/>
              <w:adjustRightInd w:val="0"/>
              <w:jc w:val="both"/>
              <w:rPr>
                <w:sz w:val="22"/>
                <w:szCs w:val="22"/>
                <w:lang w:val="sr-Latn-ME"/>
              </w:rPr>
            </w:pPr>
            <w:r w:rsidRPr="00E34696">
              <w:rPr>
                <w:i/>
                <w:iCs/>
                <w:sz w:val="22"/>
                <w:szCs w:val="22"/>
                <w:lang w:val="sr-Latn-ME"/>
              </w:rPr>
              <w:t xml:space="preserve">прва доза: </w:t>
            </w:r>
            <w:r w:rsidRPr="00E34696">
              <w:rPr>
                <w:sz w:val="22"/>
                <w:szCs w:val="22"/>
                <w:lang w:val="sr-Latn-ME"/>
              </w:rPr>
              <w:t xml:space="preserve">500 mg </w:t>
            </w:r>
          </w:p>
        </w:tc>
      </w:tr>
      <w:tr w:rsidR="00E34696" w:rsidRPr="00E34696" w14:paraId="2018F52A" w14:textId="77777777" w:rsidTr="00CF11E2">
        <w:tc>
          <w:tcPr>
            <w:tcW w:w="1483" w:type="pct"/>
            <w:tcBorders>
              <w:top w:val="single" w:sz="5" w:space="0" w:color="000000"/>
              <w:left w:val="single" w:sz="5" w:space="0" w:color="000000"/>
              <w:bottom w:val="single" w:sz="6" w:space="0" w:color="000000"/>
              <w:right w:val="single" w:sz="6" w:space="0" w:color="000000"/>
            </w:tcBorders>
            <w:vAlign w:val="center"/>
          </w:tcPr>
          <w:p w14:paraId="1B8AD828" w14:textId="39C30660" w:rsidR="00C06689" w:rsidRPr="00E34696" w:rsidRDefault="005C3540" w:rsidP="00E34696">
            <w:pPr>
              <w:widowControl w:val="0"/>
              <w:autoSpaceDE w:val="0"/>
              <w:autoSpaceDN w:val="0"/>
              <w:adjustRightInd w:val="0"/>
              <w:jc w:val="both"/>
              <w:rPr>
                <w:sz w:val="22"/>
                <w:szCs w:val="22"/>
                <w:lang w:val="sr-Latn-ME"/>
              </w:rPr>
            </w:pPr>
            <w:r w:rsidRPr="00E34696">
              <w:rPr>
                <w:sz w:val="22"/>
                <w:szCs w:val="22"/>
                <w:lang w:val="sr-Latn-ME"/>
              </w:rPr>
              <w:t>50</w:t>
            </w:r>
            <w:r w:rsidR="00C06689" w:rsidRPr="00E34696">
              <w:rPr>
                <w:sz w:val="22"/>
                <w:szCs w:val="22"/>
                <w:lang w:val="sr-Latn-ME"/>
              </w:rPr>
              <w:t>-</w:t>
            </w:r>
            <w:r w:rsidRPr="00E34696">
              <w:rPr>
                <w:sz w:val="22"/>
                <w:szCs w:val="22"/>
                <w:lang w:val="sr-Latn-ME"/>
              </w:rPr>
              <w:t>20</w:t>
            </w:r>
            <w:r w:rsidR="00C06689" w:rsidRPr="00E34696">
              <w:rPr>
                <w:sz w:val="22"/>
                <w:szCs w:val="22"/>
                <w:lang w:val="sr-Latn-ME"/>
              </w:rPr>
              <w:t xml:space="preserve"> ml/min </w:t>
            </w:r>
          </w:p>
        </w:tc>
        <w:tc>
          <w:tcPr>
            <w:tcW w:w="1174" w:type="pct"/>
            <w:tcBorders>
              <w:top w:val="single" w:sz="5" w:space="0" w:color="000000"/>
              <w:left w:val="single" w:sz="6" w:space="0" w:color="000000"/>
              <w:bottom w:val="single" w:sz="6" w:space="0" w:color="000000"/>
              <w:right w:val="single" w:sz="6" w:space="0" w:color="000000"/>
            </w:tcBorders>
            <w:vAlign w:val="center"/>
          </w:tcPr>
          <w:p w14:paraId="389332B3" w14:textId="77777777" w:rsidR="00C06689" w:rsidRPr="00E34696" w:rsidRDefault="00C06689" w:rsidP="00E34696">
            <w:pPr>
              <w:widowControl w:val="0"/>
              <w:autoSpaceDE w:val="0"/>
              <w:autoSpaceDN w:val="0"/>
              <w:adjustRightInd w:val="0"/>
              <w:jc w:val="both"/>
              <w:rPr>
                <w:sz w:val="22"/>
                <w:szCs w:val="22"/>
                <w:lang w:val="sr-Latn-ME"/>
              </w:rPr>
            </w:pPr>
            <w:r w:rsidRPr="00E34696">
              <w:rPr>
                <w:i/>
                <w:iCs/>
                <w:sz w:val="22"/>
                <w:szCs w:val="22"/>
                <w:lang w:val="sr-Latn-ME"/>
              </w:rPr>
              <w:t xml:space="preserve">затим: </w:t>
            </w:r>
            <w:r w:rsidRPr="00E34696">
              <w:rPr>
                <w:sz w:val="22"/>
                <w:szCs w:val="22"/>
                <w:lang w:val="sr-Latn-ME"/>
              </w:rPr>
              <w:t xml:space="preserve">125 mg/24 h </w:t>
            </w:r>
          </w:p>
        </w:tc>
        <w:tc>
          <w:tcPr>
            <w:tcW w:w="1173" w:type="pct"/>
            <w:tcBorders>
              <w:top w:val="single" w:sz="5" w:space="0" w:color="000000"/>
              <w:left w:val="single" w:sz="6" w:space="0" w:color="000000"/>
              <w:bottom w:val="single" w:sz="6" w:space="0" w:color="000000"/>
              <w:right w:val="single" w:sz="6" w:space="0" w:color="000000"/>
            </w:tcBorders>
            <w:vAlign w:val="center"/>
          </w:tcPr>
          <w:p w14:paraId="020CD167" w14:textId="77777777" w:rsidR="00C06689" w:rsidRPr="00E34696" w:rsidRDefault="00C06689" w:rsidP="00E34696">
            <w:pPr>
              <w:widowControl w:val="0"/>
              <w:autoSpaceDE w:val="0"/>
              <w:autoSpaceDN w:val="0"/>
              <w:adjustRightInd w:val="0"/>
              <w:jc w:val="both"/>
              <w:rPr>
                <w:sz w:val="22"/>
                <w:szCs w:val="22"/>
                <w:lang w:val="sr-Latn-ME"/>
              </w:rPr>
            </w:pPr>
            <w:r w:rsidRPr="00E34696">
              <w:rPr>
                <w:i/>
                <w:iCs/>
                <w:sz w:val="22"/>
                <w:szCs w:val="22"/>
                <w:lang w:val="sr-Latn-ME"/>
              </w:rPr>
              <w:t xml:space="preserve">затим: </w:t>
            </w:r>
            <w:r w:rsidRPr="00E34696">
              <w:rPr>
                <w:sz w:val="22"/>
                <w:szCs w:val="22"/>
                <w:lang w:val="sr-Latn-ME"/>
              </w:rPr>
              <w:t xml:space="preserve">250 mg/24 h </w:t>
            </w:r>
          </w:p>
        </w:tc>
        <w:tc>
          <w:tcPr>
            <w:tcW w:w="1170" w:type="pct"/>
            <w:tcBorders>
              <w:top w:val="single" w:sz="5" w:space="0" w:color="000000"/>
              <w:left w:val="single" w:sz="6" w:space="0" w:color="000000"/>
              <w:bottom w:val="single" w:sz="6" w:space="0" w:color="000000"/>
              <w:right w:val="single" w:sz="5" w:space="0" w:color="000000"/>
            </w:tcBorders>
            <w:vAlign w:val="center"/>
          </w:tcPr>
          <w:p w14:paraId="40C9FDC3" w14:textId="77777777" w:rsidR="00C06689" w:rsidRPr="00E34696" w:rsidRDefault="00C06689" w:rsidP="00E34696">
            <w:pPr>
              <w:widowControl w:val="0"/>
              <w:autoSpaceDE w:val="0"/>
              <w:autoSpaceDN w:val="0"/>
              <w:adjustRightInd w:val="0"/>
              <w:jc w:val="both"/>
              <w:rPr>
                <w:sz w:val="22"/>
                <w:szCs w:val="22"/>
                <w:lang w:val="sr-Latn-ME"/>
              </w:rPr>
            </w:pPr>
            <w:r w:rsidRPr="00E34696">
              <w:rPr>
                <w:i/>
                <w:iCs/>
                <w:sz w:val="22"/>
                <w:szCs w:val="22"/>
                <w:lang w:val="sr-Latn-ME"/>
              </w:rPr>
              <w:t xml:space="preserve">затим: </w:t>
            </w:r>
            <w:r w:rsidRPr="00E34696">
              <w:rPr>
                <w:sz w:val="22"/>
                <w:szCs w:val="22"/>
                <w:lang w:val="sr-Latn-ME"/>
              </w:rPr>
              <w:t xml:space="preserve">250 mg/12 h </w:t>
            </w:r>
          </w:p>
        </w:tc>
      </w:tr>
      <w:tr w:rsidR="00E34696" w:rsidRPr="00E34696" w14:paraId="71FCB066" w14:textId="77777777" w:rsidTr="00CF11E2">
        <w:tc>
          <w:tcPr>
            <w:tcW w:w="1483" w:type="pct"/>
            <w:tcBorders>
              <w:top w:val="single" w:sz="6" w:space="0" w:color="000000"/>
              <w:left w:val="single" w:sz="5" w:space="0" w:color="000000"/>
              <w:bottom w:val="single" w:sz="6" w:space="0" w:color="000000"/>
              <w:right w:val="single" w:sz="6" w:space="0" w:color="000000"/>
            </w:tcBorders>
            <w:vAlign w:val="center"/>
          </w:tcPr>
          <w:p w14:paraId="78821622" w14:textId="4FA7F2F6" w:rsidR="00C06689" w:rsidRPr="00E34696" w:rsidRDefault="005C3540" w:rsidP="00E34696">
            <w:pPr>
              <w:widowControl w:val="0"/>
              <w:autoSpaceDE w:val="0"/>
              <w:autoSpaceDN w:val="0"/>
              <w:adjustRightInd w:val="0"/>
              <w:jc w:val="both"/>
              <w:rPr>
                <w:sz w:val="22"/>
                <w:szCs w:val="22"/>
                <w:lang w:val="sr-Latn-ME"/>
              </w:rPr>
            </w:pPr>
            <w:r w:rsidRPr="00E34696">
              <w:rPr>
                <w:sz w:val="22"/>
                <w:szCs w:val="22"/>
                <w:lang w:val="sr-Latn-ME"/>
              </w:rPr>
              <w:t>19</w:t>
            </w:r>
            <w:r w:rsidR="00C06689" w:rsidRPr="00E34696">
              <w:rPr>
                <w:sz w:val="22"/>
                <w:szCs w:val="22"/>
                <w:lang w:val="sr-Latn-ME"/>
              </w:rPr>
              <w:t>-</w:t>
            </w:r>
            <w:r w:rsidRPr="00E34696">
              <w:rPr>
                <w:sz w:val="22"/>
                <w:szCs w:val="22"/>
                <w:lang w:val="sr-Latn-ME"/>
              </w:rPr>
              <w:t>10</w:t>
            </w:r>
            <w:r w:rsidR="00C06689" w:rsidRPr="00E34696">
              <w:rPr>
                <w:sz w:val="22"/>
                <w:szCs w:val="22"/>
                <w:lang w:val="sr-Latn-ME"/>
              </w:rPr>
              <w:t xml:space="preserve"> ml/min </w:t>
            </w:r>
          </w:p>
        </w:tc>
        <w:tc>
          <w:tcPr>
            <w:tcW w:w="1174" w:type="pct"/>
            <w:tcBorders>
              <w:top w:val="single" w:sz="6" w:space="0" w:color="000000"/>
              <w:left w:val="single" w:sz="6" w:space="0" w:color="000000"/>
              <w:bottom w:val="single" w:sz="6" w:space="0" w:color="000000"/>
              <w:right w:val="single" w:sz="6" w:space="0" w:color="000000"/>
            </w:tcBorders>
            <w:vAlign w:val="center"/>
          </w:tcPr>
          <w:p w14:paraId="31981A4D" w14:textId="77777777" w:rsidR="00C06689" w:rsidRPr="00E34696" w:rsidRDefault="00C06689" w:rsidP="00E34696">
            <w:pPr>
              <w:widowControl w:val="0"/>
              <w:autoSpaceDE w:val="0"/>
              <w:autoSpaceDN w:val="0"/>
              <w:adjustRightInd w:val="0"/>
              <w:jc w:val="both"/>
              <w:rPr>
                <w:sz w:val="22"/>
                <w:szCs w:val="22"/>
                <w:lang w:val="sr-Latn-ME"/>
              </w:rPr>
            </w:pPr>
            <w:r w:rsidRPr="00E34696">
              <w:rPr>
                <w:i/>
                <w:iCs/>
                <w:sz w:val="22"/>
                <w:szCs w:val="22"/>
                <w:lang w:val="sr-Latn-ME"/>
              </w:rPr>
              <w:t xml:space="preserve">затим: </w:t>
            </w:r>
            <w:r w:rsidRPr="00E34696">
              <w:rPr>
                <w:sz w:val="22"/>
                <w:szCs w:val="22"/>
                <w:lang w:val="sr-Latn-ME"/>
              </w:rPr>
              <w:t xml:space="preserve">125 mg/48 h </w:t>
            </w:r>
          </w:p>
        </w:tc>
        <w:tc>
          <w:tcPr>
            <w:tcW w:w="1173" w:type="pct"/>
            <w:tcBorders>
              <w:top w:val="single" w:sz="6" w:space="0" w:color="000000"/>
              <w:left w:val="single" w:sz="6" w:space="0" w:color="000000"/>
              <w:bottom w:val="single" w:sz="6" w:space="0" w:color="000000"/>
              <w:right w:val="single" w:sz="6" w:space="0" w:color="000000"/>
            </w:tcBorders>
            <w:vAlign w:val="center"/>
          </w:tcPr>
          <w:p w14:paraId="3335D0DE" w14:textId="77777777" w:rsidR="00C06689" w:rsidRPr="00E34696" w:rsidRDefault="00C06689" w:rsidP="00E34696">
            <w:pPr>
              <w:widowControl w:val="0"/>
              <w:autoSpaceDE w:val="0"/>
              <w:autoSpaceDN w:val="0"/>
              <w:adjustRightInd w:val="0"/>
              <w:jc w:val="both"/>
              <w:rPr>
                <w:sz w:val="22"/>
                <w:szCs w:val="22"/>
                <w:lang w:val="sr-Latn-ME"/>
              </w:rPr>
            </w:pPr>
            <w:r w:rsidRPr="00E34696">
              <w:rPr>
                <w:i/>
                <w:iCs/>
                <w:sz w:val="22"/>
                <w:szCs w:val="22"/>
                <w:lang w:val="sr-Latn-ME"/>
              </w:rPr>
              <w:t xml:space="preserve">затим: </w:t>
            </w:r>
            <w:r w:rsidRPr="00E34696">
              <w:rPr>
                <w:sz w:val="22"/>
                <w:szCs w:val="22"/>
                <w:lang w:val="sr-Latn-ME"/>
              </w:rPr>
              <w:t xml:space="preserve">125 mg/24 h </w:t>
            </w:r>
          </w:p>
        </w:tc>
        <w:tc>
          <w:tcPr>
            <w:tcW w:w="1170" w:type="pct"/>
            <w:tcBorders>
              <w:top w:val="single" w:sz="6" w:space="0" w:color="000000"/>
              <w:left w:val="single" w:sz="6" w:space="0" w:color="000000"/>
              <w:bottom w:val="single" w:sz="6" w:space="0" w:color="000000"/>
              <w:right w:val="single" w:sz="5" w:space="0" w:color="000000"/>
            </w:tcBorders>
            <w:vAlign w:val="center"/>
          </w:tcPr>
          <w:p w14:paraId="329AA6C5" w14:textId="77777777" w:rsidR="00C06689" w:rsidRPr="00E34696" w:rsidRDefault="00C06689" w:rsidP="00E34696">
            <w:pPr>
              <w:widowControl w:val="0"/>
              <w:autoSpaceDE w:val="0"/>
              <w:autoSpaceDN w:val="0"/>
              <w:adjustRightInd w:val="0"/>
              <w:jc w:val="both"/>
              <w:rPr>
                <w:sz w:val="22"/>
                <w:szCs w:val="22"/>
                <w:lang w:val="sr-Latn-ME"/>
              </w:rPr>
            </w:pPr>
            <w:r w:rsidRPr="00E34696">
              <w:rPr>
                <w:i/>
                <w:iCs/>
                <w:sz w:val="22"/>
                <w:szCs w:val="22"/>
                <w:lang w:val="sr-Latn-ME"/>
              </w:rPr>
              <w:t xml:space="preserve">затим: </w:t>
            </w:r>
            <w:r w:rsidRPr="00E34696">
              <w:rPr>
                <w:sz w:val="22"/>
                <w:szCs w:val="22"/>
                <w:lang w:val="sr-Latn-ME"/>
              </w:rPr>
              <w:t xml:space="preserve">125 mg/12 h </w:t>
            </w:r>
          </w:p>
        </w:tc>
      </w:tr>
      <w:tr w:rsidR="00E34696" w:rsidRPr="00E34696" w14:paraId="0EE3F2F4" w14:textId="77777777" w:rsidTr="00CF11E2">
        <w:tc>
          <w:tcPr>
            <w:tcW w:w="1483" w:type="pct"/>
            <w:tcBorders>
              <w:top w:val="single" w:sz="6" w:space="0" w:color="000000"/>
              <w:left w:val="single" w:sz="5" w:space="0" w:color="000000"/>
              <w:right w:val="single" w:sz="6" w:space="0" w:color="000000"/>
            </w:tcBorders>
            <w:vAlign w:val="center"/>
          </w:tcPr>
          <w:p w14:paraId="06083B49" w14:textId="77777777" w:rsidR="00C06689" w:rsidRPr="00E34696" w:rsidRDefault="00C06689" w:rsidP="00E34696">
            <w:pPr>
              <w:widowControl w:val="0"/>
              <w:autoSpaceDE w:val="0"/>
              <w:autoSpaceDN w:val="0"/>
              <w:adjustRightInd w:val="0"/>
              <w:jc w:val="both"/>
              <w:rPr>
                <w:sz w:val="22"/>
                <w:szCs w:val="22"/>
                <w:lang w:val="sr-Latn-ME"/>
              </w:rPr>
            </w:pPr>
            <w:r w:rsidRPr="00E34696">
              <w:rPr>
                <w:sz w:val="22"/>
                <w:szCs w:val="22"/>
                <w:lang w:val="sr-Latn-ME"/>
              </w:rPr>
              <w:t>&lt;10 ml/min (укључујући и хемодијализу и</w:t>
            </w:r>
          </w:p>
        </w:tc>
        <w:tc>
          <w:tcPr>
            <w:tcW w:w="1174" w:type="pct"/>
            <w:tcBorders>
              <w:top w:val="single" w:sz="6" w:space="0" w:color="000000"/>
              <w:left w:val="single" w:sz="6" w:space="0" w:color="000000"/>
              <w:right w:val="single" w:sz="6" w:space="0" w:color="000000"/>
            </w:tcBorders>
            <w:vAlign w:val="center"/>
          </w:tcPr>
          <w:p w14:paraId="04D7074F" w14:textId="77777777" w:rsidR="00C06689" w:rsidRPr="00E34696" w:rsidRDefault="00C06689" w:rsidP="00E34696">
            <w:pPr>
              <w:widowControl w:val="0"/>
              <w:autoSpaceDE w:val="0"/>
              <w:autoSpaceDN w:val="0"/>
              <w:adjustRightInd w:val="0"/>
              <w:jc w:val="both"/>
              <w:rPr>
                <w:sz w:val="22"/>
                <w:szCs w:val="22"/>
                <w:lang w:val="sr-Latn-ME"/>
              </w:rPr>
            </w:pPr>
            <w:r w:rsidRPr="00E34696">
              <w:rPr>
                <w:i/>
                <w:iCs/>
                <w:sz w:val="22"/>
                <w:szCs w:val="22"/>
                <w:lang w:val="sr-Latn-ME"/>
              </w:rPr>
              <w:t xml:space="preserve">затим: </w:t>
            </w:r>
            <w:r w:rsidRPr="00E34696">
              <w:rPr>
                <w:sz w:val="22"/>
                <w:szCs w:val="22"/>
                <w:lang w:val="sr-Latn-ME"/>
              </w:rPr>
              <w:t xml:space="preserve">125 mg/48 h </w:t>
            </w:r>
          </w:p>
        </w:tc>
        <w:tc>
          <w:tcPr>
            <w:tcW w:w="1173" w:type="pct"/>
            <w:tcBorders>
              <w:top w:val="single" w:sz="6" w:space="0" w:color="000000"/>
              <w:left w:val="single" w:sz="6" w:space="0" w:color="000000"/>
              <w:right w:val="single" w:sz="6" w:space="0" w:color="000000"/>
            </w:tcBorders>
            <w:vAlign w:val="center"/>
          </w:tcPr>
          <w:p w14:paraId="4840267C" w14:textId="77777777" w:rsidR="00C06689" w:rsidRPr="00E34696" w:rsidRDefault="00C06689" w:rsidP="00E34696">
            <w:pPr>
              <w:widowControl w:val="0"/>
              <w:autoSpaceDE w:val="0"/>
              <w:autoSpaceDN w:val="0"/>
              <w:adjustRightInd w:val="0"/>
              <w:jc w:val="both"/>
              <w:rPr>
                <w:sz w:val="22"/>
                <w:szCs w:val="22"/>
                <w:lang w:val="sr-Latn-ME"/>
              </w:rPr>
            </w:pPr>
            <w:r w:rsidRPr="00E34696">
              <w:rPr>
                <w:i/>
                <w:iCs/>
                <w:sz w:val="22"/>
                <w:szCs w:val="22"/>
                <w:lang w:val="sr-Latn-ME"/>
              </w:rPr>
              <w:t xml:space="preserve">затим: </w:t>
            </w:r>
            <w:r w:rsidRPr="00E34696">
              <w:rPr>
                <w:sz w:val="22"/>
                <w:szCs w:val="22"/>
                <w:lang w:val="sr-Latn-ME"/>
              </w:rPr>
              <w:t xml:space="preserve">125 mg/24 h </w:t>
            </w:r>
          </w:p>
        </w:tc>
        <w:tc>
          <w:tcPr>
            <w:tcW w:w="1170" w:type="pct"/>
            <w:tcBorders>
              <w:top w:val="single" w:sz="6" w:space="0" w:color="000000"/>
              <w:left w:val="single" w:sz="6" w:space="0" w:color="000000"/>
              <w:right w:val="single" w:sz="5" w:space="0" w:color="000000"/>
            </w:tcBorders>
            <w:vAlign w:val="center"/>
          </w:tcPr>
          <w:p w14:paraId="60113325" w14:textId="77777777" w:rsidR="00C06689" w:rsidRPr="00E34696" w:rsidRDefault="00C06689" w:rsidP="00E34696">
            <w:pPr>
              <w:widowControl w:val="0"/>
              <w:autoSpaceDE w:val="0"/>
              <w:autoSpaceDN w:val="0"/>
              <w:adjustRightInd w:val="0"/>
              <w:jc w:val="both"/>
              <w:rPr>
                <w:sz w:val="22"/>
                <w:szCs w:val="22"/>
                <w:lang w:val="sr-Latn-ME"/>
              </w:rPr>
            </w:pPr>
            <w:r w:rsidRPr="00E34696">
              <w:rPr>
                <w:i/>
                <w:iCs/>
                <w:sz w:val="22"/>
                <w:szCs w:val="22"/>
                <w:lang w:val="sr-Latn-ME"/>
              </w:rPr>
              <w:t xml:space="preserve">затим: </w:t>
            </w:r>
            <w:r w:rsidRPr="00E34696">
              <w:rPr>
                <w:sz w:val="22"/>
                <w:szCs w:val="22"/>
                <w:lang w:val="sr-Latn-ME"/>
              </w:rPr>
              <w:t xml:space="preserve">125 mg/24 h </w:t>
            </w:r>
          </w:p>
        </w:tc>
      </w:tr>
      <w:tr w:rsidR="00E34696" w:rsidRPr="00E34696" w14:paraId="145FD656" w14:textId="77777777" w:rsidTr="00CF11E2">
        <w:tc>
          <w:tcPr>
            <w:tcW w:w="1483" w:type="pct"/>
            <w:tcBorders>
              <w:left w:val="single" w:sz="5" w:space="0" w:color="000000"/>
              <w:bottom w:val="single" w:sz="6" w:space="0" w:color="000000"/>
              <w:right w:val="single" w:sz="6" w:space="0" w:color="000000"/>
            </w:tcBorders>
          </w:tcPr>
          <w:p w14:paraId="59EC2C51" w14:textId="77777777" w:rsidR="00C06689" w:rsidRPr="00E34696" w:rsidRDefault="00C06689" w:rsidP="00E34696">
            <w:pPr>
              <w:widowControl w:val="0"/>
              <w:autoSpaceDE w:val="0"/>
              <w:autoSpaceDN w:val="0"/>
              <w:adjustRightInd w:val="0"/>
              <w:jc w:val="both"/>
              <w:rPr>
                <w:sz w:val="22"/>
                <w:szCs w:val="22"/>
                <w:lang w:val="sr-Latn-ME"/>
              </w:rPr>
            </w:pPr>
            <w:r w:rsidRPr="00E34696">
              <w:rPr>
                <w:sz w:val="22"/>
                <w:szCs w:val="22"/>
                <w:lang w:val="sr-Latn-ME"/>
              </w:rPr>
              <w:t xml:space="preserve">CAPD)¹ </w:t>
            </w:r>
          </w:p>
        </w:tc>
        <w:tc>
          <w:tcPr>
            <w:tcW w:w="1174" w:type="pct"/>
            <w:tcBorders>
              <w:left w:val="single" w:sz="6" w:space="0" w:color="000000"/>
              <w:bottom w:val="single" w:sz="6" w:space="0" w:color="000000"/>
              <w:right w:val="single" w:sz="6" w:space="0" w:color="000000"/>
            </w:tcBorders>
          </w:tcPr>
          <w:p w14:paraId="546D09AC" w14:textId="77777777" w:rsidR="00C06689" w:rsidRPr="00E34696" w:rsidRDefault="00C06689" w:rsidP="00E34696">
            <w:pPr>
              <w:widowControl w:val="0"/>
              <w:autoSpaceDE w:val="0"/>
              <w:autoSpaceDN w:val="0"/>
              <w:adjustRightInd w:val="0"/>
              <w:jc w:val="both"/>
              <w:rPr>
                <w:sz w:val="22"/>
                <w:szCs w:val="22"/>
                <w:lang w:val="sr-Latn-ME"/>
              </w:rPr>
            </w:pPr>
          </w:p>
        </w:tc>
        <w:tc>
          <w:tcPr>
            <w:tcW w:w="1173" w:type="pct"/>
            <w:tcBorders>
              <w:left w:val="single" w:sz="6" w:space="0" w:color="000000"/>
              <w:bottom w:val="single" w:sz="6" w:space="0" w:color="000000"/>
              <w:right w:val="single" w:sz="6" w:space="0" w:color="000000"/>
            </w:tcBorders>
          </w:tcPr>
          <w:p w14:paraId="7618FB0D" w14:textId="77777777" w:rsidR="00C06689" w:rsidRPr="00E34696" w:rsidRDefault="00C06689" w:rsidP="00E34696">
            <w:pPr>
              <w:widowControl w:val="0"/>
              <w:autoSpaceDE w:val="0"/>
              <w:autoSpaceDN w:val="0"/>
              <w:adjustRightInd w:val="0"/>
              <w:jc w:val="both"/>
              <w:rPr>
                <w:sz w:val="22"/>
                <w:szCs w:val="22"/>
                <w:lang w:val="sr-Latn-ME"/>
              </w:rPr>
            </w:pPr>
          </w:p>
        </w:tc>
        <w:tc>
          <w:tcPr>
            <w:tcW w:w="1170" w:type="pct"/>
            <w:tcBorders>
              <w:left w:val="single" w:sz="6" w:space="0" w:color="000000"/>
              <w:bottom w:val="single" w:sz="6" w:space="0" w:color="000000"/>
              <w:right w:val="single" w:sz="5" w:space="0" w:color="000000"/>
            </w:tcBorders>
          </w:tcPr>
          <w:p w14:paraId="37640D52" w14:textId="77777777" w:rsidR="00C06689" w:rsidRPr="00E34696" w:rsidRDefault="00C06689" w:rsidP="00E34696">
            <w:pPr>
              <w:widowControl w:val="0"/>
              <w:autoSpaceDE w:val="0"/>
              <w:autoSpaceDN w:val="0"/>
              <w:adjustRightInd w:val="0"/>
              <w:jc w:val="both"/>
              <w:rPr>
                <w:sz w:val="22"/>
                <w:szCs w:val="22"/>
                <w:lang w:val="sr-Latn-ME"/>
              </w:rPr>
            </w:pPr>
          </w:p>
        </w:tc>
      </w:tr>
    </w:tbl>
    <w:p w14:paraId="3BAE6906"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 xml:space="preserve">¹Нијесу потребне додатне дозе након хемодијализе или континуиране амбулантне перитонеалне дијализе (CAPD, engl. </w:t>
      </w:r>
      <w:r w:rsidRPr="00E34696">
        <w:rPr>
          <w:i/>
          <w:iCs/>
          <w:sz w:val="22"/>
          <w:szCs w:val="22"/>
          <w:lang w:val="sr-Latn-ME"/>
        </w:rPr>
        <w:t>Continuous Ambulatory Peritoneal Dialysis</w:t>
      </w:r>
      <w:r w:rsidRPr="00E34696">
        <w:rPr>
          <w:sz w:val="22"/>
          <w:szCs w:val="22"/>
          <w:lang w:val="sr-Latn-ME"/>
        </w:rPr>
        <w:t>).</w:t>
      </w:r>
    </w:p>
    <w:p w14:paraId="2CFFE578" w14:textId="77777777" w:rsidR="00452E9D" w:rsidRPr="00E34696" w:rsidRDefault="00452E9D" w:rsidP="00E34696">
      <w:pPr>
        <w:widowControl w:val="0"/>
        <w:tabs>
          <w:tab w:val="left" w:pos="540"/>
          <w:tab w:val="left" w:pos="569"/>
        </w:tabs>
        <w:jc w:val="both"/>
        <w:rPr>
          <w:bCs/>
          <w:sz w:val="22"/>
          <w:szCs w:val="22"/>
          <w:u w:val="single"/>
          <w:lang w:val="sr-Latn-ME"/>
        </w:rPr>
      </w:pPr>
    </w:p>
    <w:p w14:paraId="701301B6" w14:textId="77777777" w:rsidR="00C06689" w:rsidRPr="00E34696" w:rsidRDefault="00C06689" w:rsidP="00E34696">
      <w:pPr>
        <w:widowControl w:val="0"/>
        <w:tabs>
          <w:tab w:val="left" w:pos="284"/>
        </w:tabs>
        <w:jc w:val="both"/>
        <w:rPr>
          <w:i/>
          <w:sz w:val="22"/>
          <w:szCs w:val="22"/>
          <w:lang w:val="sr-Latn-ME"/>
        </w:rPr>
      </w:pPr>
      <w:r w:rsidRPr="00E34696">
        <w:rPr>
          <w:i/>
          <w:sz w:val="22"/>
          <w:szCs w:val="22"/>
          <w:lang w:val="sr-Latn-ME"/>
        </w:rPr>
        <w:t>Пацијенти са оштећеном функцијом јетре</w:t>
      </w:r>
    </w:p>
    <w:p w14:paraId="24358A25"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 xml:space="preserve">Није потребно прилагођавање дозе, с обзиром на то да се левофлоксацин не метаболише у </w:t>
      </w:r>
      <w:r w:rsidRPr="00E34696">
        <w:rPr>
          <w:sz w:val="22"/>
          <w:szCs w:val="22"/>
          <w:lang w:val="sr-Latn-ME"/>
        </w:rPr>
        <w:lastRenderedPageBreak/>
        <w:t>значајној мјери у јетри и излучује се углавном путем бубрега.</w:t>
      </w:r>
    </w:p>
    <w:p w14:paraId="35017DFE" w14:textId="77777777" w:rsidR="00C06689" w:rsidRPr="00E34696" w:rsidRDefault="00C06689" w:rsidP="00E34696">
      <w:pPr>
        <w:widowControl w:val="0"/>
        <w:tabs>
          <w:tab w:val="left" w:pos="284"/>
        </w:tabs>
        <w:jc w:val="both"/>
        <w:rPr>
          <w:sz w:val="22"/>
          <w:szCs w:val="22"/>
          <w:lang w:val="sr-Latn-ME"/>
        </w:rPr>
      </w:pPr>
    </w:p>
    <w:p w14:paraId="154B36DE" w14:textId="77777777" w:rsidR="00C06689" w:rsidRPr="00E34696" w:rsidRDefault="00C06689" w:rsidP="00E34696">
      <w:pPr>
        <w:widowControl w:val="0"/>
        <w:tabs>
          <w:tab w:val="left" w:pos="284"/>
        </w:tabs>
        <w:jc w:val="both"/>
        <w:rPr>
          <w:i/>
          <w:sz w:val="22"/>
          <w:szCs w:val="22"/>
          <w:lang w:val="sr-Latn-ME"/>
        </w:rPr>
      </w:pPr>
      <w:r w:rsidRPr="00E34696">
        <w:rPr>
          <w:i/>
          <w:sz w:val="22"/>
          <w:szCs w:val="22"/>
          <w:lang w:val="sr-Latn-ME"/>
        </w:rPr>
        <w:t>Старији пацијенти</w:t>
      </w:r>
    </w:p>
    <w:p w14:paraId="0184A1F8" w14:textId="4C8BC122" w:rsidR="00C06689" w:rsidRPr="00E34696" w:rsidRDefault="00C06689" w:rsidP="00E34696">
      <w:pPr>
        <w:widowControl w:val="0"/>
        <w:tabs>
          <w:tab w:val="left" w:pos="284"/>
        </w:tabs>
        <w:jc w:val="both"/>
        <w:rPr>
          <w:sz w:val="22"/>
          <w:szCs w:val="22"/>
          <w:lang w:val="sr-Latn-ME"/>
        </w:rPr>
      </w:pPr>
      <w:r w:rsidRPr="00E34696">
        <w:rPr>
          <w:sz w:val="22"/>
          <w:szCs w:val="22"/>
          <w:lang w:val="sr-Latn-ME"/>
        </w:rPr>
        <w:t xml:space="preserve">Није потребно прилагођавање дозе код старијих пацијената, осим ако постоји оштећење функције бубрега (погледати дио 4.4 – </w:t>
      </w:r>
      <w:r w:rsidR="003A4FDF" w:rsidRPr="00E34696">
        <w:rPr>
          <w:sz w:val="22"/>
          <w:szCs w:val="22"/>
          <w:lang w:val="sr-Latn-ME"/>
        </w:rPr>
        <w:t>,,</w:t>
      </w:r>
      <w:r w:rsidRPr="00E34696">
        <w:rPr>
          <w:sz w:val="22"/>
          <w:szCs w:val="22"/>
          <w:lang w:val="sr-Latn-ME"/>
        </w:rPr>
        <w:t xml:space="preserve">Тендинитис и руптуре тетива” и </w:t>
      </w:r>
      <w:r w:rsidR="00FA11D5" w:rsidRPr="00E34696">
        <w:rPr>
          <w:sz w:val="22"/>
          <w:szCs w:val="22"/>
          <w:lang w:val="sr-Latn-ME"/>
        </w:rPr>
        <w:t>,,</w:t>
      </w:r>
      <w:r w:rsidRPr="00E34696">
        <w:rPr>
          <w:sz w:val="22"/>
          <w:szCs w:val="22"/>
          <w:lang w:val="sr-Latn-ME"/>
        </w:rPr>
        <w:t>Продужење QТ интервалa”).</w:t>
      </w:r>
    </w:p>
    <w:p w14:paraId="584646DD" w14:textId="77777777" w:rsidR="00C06689" w:rsidRPr="00E34696" w:rsidRDefault="00C06689" w:rsidP="00E34696">
      <w:pPr>
        <w:widowControl w:val="0"/>
        <w:tabs>
          <w:tab w:val="left" w:pos="284"/>
        </w:tabs>
        <w:jc w:val="both"/>
        <w:rPr>
          <w:sz w:val="22"/>
          <w:szCs w:val="22"/>
          <w:lang w:val="sr-Latn-ME"/>
        </w:rPr>
      </w:pPr>
    </w:p>
    <w:p w14:paraId="1B1966BA" w14:textId="77777777" w:rsidR="00C06689" w:rsidRPr="00E34696" w:rsidRDefault="00C06689" w:rsidP="00E34696">
      <w:pPr>
        <w:widowControl w:val="0"/>
        <w:tabs>
          <w:tab w:val="left" w:pos="284"/>
        </w:tabs>
        <w:jc w:val="both"/>
        <w:rPr>
          <w:sz w:val="22"/>
          <w:szCs w:val="22"/>
          <w:u w:val="single"/>
          <w:lang w:val="sr-Latn-ME"/>
        </w:rPr>
      </w:pPr>
      <w:r w:rsidRPr="00E34696">
        <w:rPr>
          <w:sz w:val="22"/>
          <w:szCs w:val="22"/>
          <w:u w:val="single"/>
          <w:lang w:val="sr-Latn-ME"/>
        </w:rPr>
        <w:t>Педијатријска популација</w:t>
      </w:r>
    </w:p>
    <w:p w14:paraId="3886B5BA"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Левофлоксацин је контраиндикован код дјеце и адолесцената у периоду раста (погледати дио 4.3).</w:t>
      </w:r>
    </w:p>
    <w:p w14:paraId="22F67757" w14:textId="77777777" w:rsidR="00C06689" w:rsidRPr="00E34696" w:rsidRDefault="00C06689" w:rsidP="00E34696">
      <w:pPr>
        <w:widowControl w:val="0"/>
        <w:tabs>
          <w:tab w:val="left" w:pos="284"/>
        </w:tabs>
        <w:jc w:val="both"/>
        <w:rPr>
          <w:sz w:val="22"/>
          <w:szCs w:val="22"/>
          <w:lang w:val="sr-Latn-ME"/>
        </w:rPr>
      </w:pPr>
    </w:p>
    <w:p w14:paraId="644D051E" w14:textId="77777777" w:rsidR="00C06689" w:rsidRPr="00E34696" w:rsidRDefault="00C06689" w:rsidP="00E34696">
      <w:pPr>
        <w:widowControl w:val="0"/>
        <w:tabs>
          <w:tab w:val="left" w:pos="284"/>
        </w:tabs>
        <w:jc w:val="both"/>
        <w:rPr>
          <w:sz w:val="22"/>
          <w:szCs w:val="22"/>
          <w:u w:val="single"/>
          <w:lang w:val="sr-Latn-ME"/>
        </w:rPr>
      </w:pPr>
      <w:r w:rsidRPr="00E34696">
        <w:rPr>
          <w:sz w:val="22"/>
          <w:szCs w:val="22"/>
          <w:u w:val="single"/>
          <w:lang w:val="sr-Latn-ME"/>
        </w:rPr>
        <w:t>Начин примјене</w:t>
      </w:r>
    </w:p>
    <w:p w14:paraId="79CA38CB"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Таблету треба прогутати, без претходног мрвљења и са довољном количином течности. Таблете се могу подијелити на пола дуж подионе линије како би се унијела одговарајућа доза лијека. Лијек се може узимати током или између оброка. Таблете треба узети најмање 2 сата прије или 2 сата након узимања препарата који садрже соли гвожђа, соли цинка,</w:t>
      </w:r>
      <w:r w:rsidRPr="00E34696">
        <w:rPr>
          <w:b/>
          <w:sz w:val="22"/>
          <w:szCs w:val="22"/>
          <w:lang w:val="sr-Latn-ME"/>
        </w:rPr>
        <w:t xml:space="preserve"> </w:t>
      </w:r>
      <w:r w:rsidRPr="00E34696">
        <w:rPr>
          <w:sz w:val="22"/>
          <w:szCs w:val="22"/>
          <w:lang w:val="sr-Latn-ME"/>
        </w:rPr>
        <w:t xml:space="preserve">антацида који садржи магнезијум или алуминијум, или диданозина (само формулације диданозина које садрже супстанце за пуферовање са алуминијумом или магнезијумом), као и примјене сукралфата, с обзиром на то да може доћи до смањења ресорпције лијека (погледати дио 4.5). </w:t>
      </w:r>
    </w:p>
    <w:p w14:paraId="5DF1CF56" w14:textId="77777777" w:rsidR="00452E9D" w:rsidRPr="00E34696" w:rsidRDefault="00452E9D" w:rsidP="00E34696">
      <w:pPr>
        <w:widowControl w:val="0"/>
        <w:tabs>
          <w:tab w:val="left" w:pos="540"/>
          <w:tab w:val="left" w:pos="569"/>
        </w:tabs>
        <w:jc w:val="both"/>
        <w:rPr>
          <w:bCs/>
          <w:sz w:val="22"/>
          <w:szCs w:val="22"/>
          <w:lang w:val="sr-Latn-ME"/>
        </w:rPr>
      </w:pPr>
    </w:p>
    <w:p w14:paraId="20ABFF5E" w14:textId="77777777" w:rsidR="0072020E" w:rsidRPr="00E34696" w:rsidRDefault="00C06689" w:rsidP="00E34696">
      <w:pPr>
        <w:widowControl w:val="0"/>
        <w:tabs>
          <w:tab w:val="left" w:pos="540"/>
          <w:tab w:val="left" w:pos="569"/>
        </w:tabs>
        <w:jc w:val="both"/>
        <w:rPr>
          <w:b/>
          <w:bCs/>
          <w:sz w:val="22"/>
          <w:szCs w:val="22"/>
          <w:lang w:val="sr-Latn-ME"/>
        </w:rPr>
      </w:pPr>
      <w:r w:rsidRPr="00E34696">
        <w:rPr>
          <w:b/>
          <w:bCs/>
          <w:sz w:val="22"/>
          <w:szCs w:val="22"/>
          <w:lang w:val="sr-Latn-ME"/>
        </w:rPr>
        <w:t>4.3. Контраиндикације</w:t>
      </w:r>
    </w:p>
    <w:p w14:paraId="01708CEC" w14:textId="77777777" w:rsidR="00C06689" w:rsidRPr="00E34696" w:rsidRDefault="00C06689" w:rsidP="00E34696">
      <w:pPr>
        <w:widowControl w:val="0"/>
        <w:tabs>
          <w:tab w:val="left" w:pos="540"/>
          <w:tab w:val="left" w:pos="569"/>
        </w:tabs>
        <w:jc w:val="both"/>
        <w:rPr>
          <w:bCs/>
          <w:sz w:val="22"/>
          <w:szCs w:val="22"/>
          <w:lang w:val="sr-Latn-ME"/>
        </w:rPr>
      </w:pPr>
    </w:p>
    <w:p w14:paraId="55DAF00E"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Левофлоксацин је контраиндикован:</w:t>
      </w:r>
    </w:p>
    <w:p w14:paraId="4B383D60" w14:textId="77777777" w:rsidR="00C06689" w:rsidRPr="00E34696" w:rsidRDefault="00C06689" w:rsidP="00E34696">
      <w:pPr>
        <w:widowControl w:val="0"/>
        <w:numPr>
          <w:ilvl w:val="0"/>
          <w:numId w:val="13"/>
        </w:numPr>
        <w:tabs>
          <w:tab w:val="left" w:pos="284"/>
        </w:tabs>
        <w:ind w:left="0" w:firstLine="0"/>
        <w:contextualSpacing/>
        <w:jc w:val="both"/>
        <w:rPr>
          <w:sz w:val="22"/>
          <w:szCs w:val="22"/>
          <w:lang w:val="sr-Latn-ME"/>
        </w:rPr>
      </w:pPr>
      <w:r w:rsidRPr="00E34696">
        <w:rPr>
          <w:sz w:val="22"/>
          <w:szCs w:val="22"/>
          <w:lang w:val="sr-Latn-ME"/>
        </w:rPr>
        <w:t>код пацијената који су преосјетљиви на левофлоксацин, друге хинолоне или на било коју од помоћних супстанци наведених у дијелу 6.1;</w:t>
      </w:r>
    </w:p>
    <w:p w14:paraId="47976D95" w14:textId="77777777" w:rsidR="00C06689" w:rsidRPr="00E34696" w:rsidRDefault="00C06689" w:rsidP="00E34696">
      <w:pPr>
        <w:widowControl w:val="0"/>
        <w:numPr>
          <w:ilvl w:val="0"/>
          <w:numId w:val="13"/>
        </w:numPr>
        <w:tabs>
          <w:tab w:val="left" w:pos="284"/>
        </w:tabs>
        <w:ind w:left="0" w:firstLine="0"/>
        <w:contextualSpacing/>
        <w:jc w:val="both"/>
        <w:rPr>
          <w:sz w:val="22"/>
          <w:szCs w:val="22"/>
          <w:lang w:val="sr-Latn-ME"/>
        </w:rPr>
      </w:pPr>
      <w:r w:rsidRPr="00E34696">
        <w:rPr>
          <w:sz w:val="22"/>
          <w:szCs w:val="22"/>
          <w:lang w:val="sr-Latn-ME"/>
        </w:rPr>
        <w:t>код пацијената са епилепсијом;</w:t>
      </w:r>
    </w:p>
    <w:p w14:paraId="1753C193" w14:textId="77777777" w:rsidR="00C06689" w:rsidRPr="00E34696" w:rsidRDefault="00C06689" w:rsidP="00E34696">
      <w:pPr>
        <w:widowControl w:val="0"/>
        <w:numPr>
          <w:ilvl w:val="0"/>
          <w:numId w:val="13"/>
        </w:numPr>
        <w:tabs>
          <w:tab w:val="left" w:pos="284"/>
        </w:tabs>
        <w:ind w:left="0" w:firstLine="0"/>
        <w:contextualSpacing/>
        <w:jc w:val="both"/>
        <w:rPr>
          <w:sz w:val="22"/>
          <w:szCs w:val="22"/>
          <w:lang w:val="sr-Latn-ME"/>
        </w:rPr>
      </w:pPr>
      <w:r w:rsidRPr="00E34696">
        <w:rPr>
          <w:sz w:val="22"/>
          <w:szCs w:val="22"/>
          <w:lang w:val="sr-Latn-ME"/>
        </w:rPr>
        <w:t>код пацијената са анамнестичким податком о обољењу тетива које је повезано са узимањем флуорохинолона;</w:t>
      </w:r>
    </w:p>
    <w:p w14:paraId="0335F315" w14:textId="77777777" w:rsidR="00C06689" w:rsidRPr="00E34696" w:rsidRDefault="00C06689" w:rsidP="00E34696">
      <w:pPr>
        <w:widowControl w:val="0"/>
        <w:numPr>
          <w:ilvl w:val="0"/>
          <w:numId w:val="13"/>
        </w:numPr>
        <w:tabs>
          <w:tab w:val="left" w:pos="284"/>
        </w:tabs>
        <w:ind w:left="0" w:firstLine="0"/>
        <w:contextualSpacing/>
        <w:jc w:val="both"/>
        <w:rPr>
          <w:sz w:val="22"/>
          <w:szCs w:val="22"/>
          <w:lang w:val="sr-Latn-ME"/>
        </w:rPr>
      </w:pPr>
      <w:r w:rsidRPr="00E34696">
        <w:rPr>
          <w:sz w:val="22"/>
          <w:szCs w:val="22"/>
          <w:lang w:val="sr-Latn-ME"/>
        </w:rPr>
        <w:t>код дјеце и адолесцената у периоду раста;</w:t>
      </w:r>
    </w:p>
    <w:p w14:paraId="47BB1577" w14:textId="77777777" w:rsidR="00C06689" w:rsidRPr="00E34696" w:rsidRDefault="00C06689" w:rsidP="00E34696">
      <w:pPr>
        <w:widowControl w:val="0"/>
        <w:numPr>
          <w:ilvl w:val="0"/>
          <w:numId w:val="13"/>
        </w:numPr>
        <w:tabs>
          <w:tab w:val="left" w:pos="284"/>
        </w:tabs>
        <w:ind w:left="0" w:firstLine="0"/>
        <w:contextualSpacing/>
        <w:jc w:val="both"/>
        <w:rPr>
          <w:sz w:val="22"/>
          <w:szCs w:val="22"/>
          <w:lang w:val="sr-Latn-ME"/>
        </w:rPr>
      </w:pPr>
      <w:r w:rsidRPr="00E34696">
        <w:rPr>
          <w:sz w:val="22"/>
          <w:szCs w:val="22"/>
          <w:lang w:val="sr-Latn-ME"/>
        </w:rPr>
        <w:t>током трудноће;</w:t>
      </w:r>
    </w:p>
    <w:p w14:paraId="6F334FD8" w14:textId="77777777" w:rsidR="00C06689" w:rsidRPr="00E34696" w:rsidRDefault="00C06689" w:rsidP="00E34696">
      <w:pPr>
        <w:widowControl w:val="0"/>
        <w:numPr>
          <w:ilvl w:val="0"/>
          <w:numId w:val="13"/>
        </w:numPr>
        <w:tabs>
          <w:tab w:val="left" w:pos="284"/>
        </w:tabs>
        <w:ind w:left="0" w:firstLine="0"/>
        <w:contextualSpacing/>
        <w:jc w:val="both"/>
        <w:rPr>
          <w:sz w:val="22"/>
          <w:szCs w:val="22"/>
          <w:lang w:val="sr-Latn-ME"/>
        </w:rPr>
      </w:pPr>
      <w:r w:rsidRPr="00E34696">
        <w:rPr>
          <w:sz w:val="22"/>
          <w:szCs w:val="22"/>
          <w:lang w:val="sr-Latn-ME"/>
        </w:rPr>
        <w:t xml:space="preserve">код жена које доје. </w:t>
      </w:r>
    </w:p>
    <w:p w14:paraId="1E8B0B9B" w14:textId="77777777" w:rsidR="00C06689" w:rsidRPr="00E34696" w:rsidRDefault="00C06689" w:rsidP="00E34696">
      <w:pPr>
        <w:widowControl w:val="0"/>
        <w:tabs>
          <w:tab w:val="left" w:pos="540"/>
          <w:tab w:val="left" w:pos="569"/>
        </w:tabs>
        <w:jc w:val="both"/>
        <w:rPr>
          <w:bCs/>
          <w:sz w:val="22"/>
          <w:szCs w:val="22"/>
          <w:lang w:val="sr-Latn-ME"/>
        </w:rPr>
      </w:pPr>
    </w:p>
    <w:p w14:paraId="5748EFC8" w14:textId="77777777" w:rsidR="00C06689" w:rsidRPr="00E34696" w:rsidRDefault="00C06689" w:rsidP="00E34696">
      <w:pPr>
        <w:pStyle w:val="Header"/>
        <w:widowControl w:val="0"/>
        <w:tabs>
          <w:tab w:val="left" w:pos="284"/>
        </w:tabs>
        <w:jc w:val="both"/>
        <w:rPr>
          <w:b/>
          <w:bCs/>
          <w:sz w:val="22"/>
          <w:szCs w:val="22"/>
          <w:lang w:val="sr-Latn-ME"/>
        </w:rPr>
      </w:pPr>
      <w:r w:rsidRPr="00E34696">
        <w:rPr>
          <w:b/>
          <w:bCs/>
          <w:sz w:val="22"/>
          <w:szCs w:val="22"/>
          <w:lang w:val="sr-Latn-ME"/>
        </w:rPr>
        <w:t>4.4. Посебна упозорења и мјере опреза при употреби лијека</w:t>
      </w:r>
    </w:p>
    <w:p w14:paraId="2423A785" w14:textId="77777777" w:rsidR="00C06689" w:rsidRPr="00E34696" w:rsidRDefault="00C06689" w:rsidP="00E34696">
      <w:pPr>
        <w:pStyle w:val="Header"/>
        <w:widowControl w:val="0"/>
        <w:tabs>
          <w:tab w:val="left" w:pos="284"/>
        </w:tabs>
        <w:jc w:val="both"/>
        <w:rPr>
          <w:b/>
          <w:bCs/>
          <w:sz w:val="22"/>
          <w:szCs w:val="22"/>
          <w:lang w:val="sr-Latn-ME"/>
        </w:rPr>
      </w:pPr>
    </w:p>
    <w:p w14:paraId="06DE6752"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 xml:space="preserve">Примјену левофлоксацина треба избјегавати код пацијената који су претходно доживјели озбиљна нежељена дејства повезана са употребом хинолонских и флуорохинолонских антибиотика (погледати дио 4.8). </w:t>
      </w:r>
    </w:p>
    <w:p w14:paraId="1D2E6BA4"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Лијечење ових пацијената левофлоксацином треба започети само у одсуству алтернативних начина лијечења и након пажљиве процјене односа користи и ризика (погледати такође дио 4.3).</w:t>
      </w:r>
    </w:p>
    <w:p w14:paraId="18E4248F" w14:textId="77777777" w:rsidR="00C06689" w:rsidRPr="00E34696" w:rsidRDefault="00C06689" w:rsidP="00E34696">
      <w:pPr>
        <w:widowControl w:val="0"/>
        <w:tabs>
          <w:tab w:val="left" w:pos="284"/>
        </w:tabs>
        <w:jc w:val="both"/>
        <w:rPr>
          <w:sz w:val="22"/>
          <w:szCs w:val="22"/>
          <w:lang w:val="sr-Latn-ME"/>
        </w:rPr>
      </w:pPr>
    </w:p>
    <w:p w14:paraId="035B3B59" w14:textId="77777777" w:rsidR="00C06689" w:rsidRPr="00E34696" w:rsidRDefault="00C06689" w:rsidP="00E34696">
      <w:pPr>
        <w:widowControl w:val="0"/>
        <w:tabs>
          <w:tab w:val="left" w:pos="284"/>
        </w:tabs>
        <w:jc w:val="both"/>
        <w:rPr>
          <w:sz w:val="22"/>
          <w:szCs w:val="22"/>
          <w:u w:val="single"/>
          <w:lang w:val="sr-Latn-ME"/>
        </w:rPr>
      </w:pPr>
      <w:r w:rsidRPr="00E34696">
        <w:rPr>
          <w:sz w:val="22"/>
          <w:szCs w:val="22"/>
          <w:u w:val="single"/>
          <w:lang w:val="sr-Latn-ME"/>
        </w:rPr>
        <w:t xml:space="preserve">Ризик од појаве резистенције </w:t>
      </w:r>
    </w:p>
    <w:p w14:paraId="5E007E0D" w14:textId="6B58A8C9" w:rsidR="00C06689" w:rsidRPr="00E34696" w:rsidRDefault="00C06689" w:rsidP="00E34696">
      <w:pPr>
        <w:widowControl w:val="0"/>
        <w:tabs>
          <w:tab w:val="left" w:pos="284"/>
        </w:tabs>
        <w:jc w:val="both"/>
        <w:rPr>
          <w:sz w:val="22"/>
          <w:szCs w:val="22"/>
          <w:lang w:val="sr-Latn-ME"/>
        </w:rPr>
      </w:pPr>
      <w:r w:rsidRPr="00E34696">
        <w:rPr>
          <w:sz w:val="22"/>
          <w:szCs w:val="22"/>
          <w:lang w:val="sr-Latn-ME"/>
        </w:rPr>
        <w:t xml:space="preserve">Врло је вјероватно да су метицилин-резистентни сојеви </w:t>
      </w:r>
      <w:r w:rsidRPr="00E34696">
        <w:rPr>
          <w:i/>
          <w:sz w:val="22"/>
          <w:szCs w:val="22"/>
          <w:lang w:val="sr-Latn-ME"/>
        </w:rPr>
        <w:t>S. aureusa</w:t>
      </w:r>
      <w:r w:rsidRPr="00E34696">
        <w:rPr>
          <w:sz w:val="22"/>
          <w:szCs w:val="22"/>
          <w:lang w:val="sr-Latn-ME"/>
        </w:rPr>
        <w:t xml:space="preserve"> </w:t>
      </w:r>
      <w:r w:rsidR="001868EB" w:rsidRPr="00E34696">
        <w:rPr>
          <w:sz w:val="22"/>
          <w:szCs w:val="22"/>
          <w:lang w:val="sr-Latn-ME"/>
        </w:rPr>
        <w:t xml:space="preserve">(MRSA) </w:t>
      </w:r>
      <w:r w:rsidRPr="00E34696">
        <w:rPr>
          <w:sz w:val="22"/>
          <w:szCs w:val="22"/>
          <w:lang w:val="sr-Latn-ME"/>
        </w:rPr>
        <w:t>резистентни и на дјеловање флуорохинолона, па самим тим и на левофлоксацин. Из тог разлога се не препоручује примјена левофлоксацина код МRSA инфекција које су дијагностиковане или на које се сумња, осим у случајевима лабораторијске потврде осјетљивости микроорганизама на дејство левофлоксацина (или када се из неких разлога не могу примјењивати антибиотици који се уобичајено прописују за лијечење МRSA инфекција).</w:t>
      </w:r>
    </w:p>
    <w:p w14:paraId="53F0A5D1" w14:textId="77777777" w:rsidR="00C06689" w:rsidRPr="00E34696" w:rsidRDefault="00C06689" w:rsidP="00E34696">
      <w:pPr>
        <w:widowControl w:val="0"/>
        <w:tabs>
          <w:tab w:val="left" w:pos="284"/>
        </w:tabs>
        <w:jc w:val="both"/>
        <w:rPr>
          <w:sz w:val="22"/>
          <w:szCs w:val="22"/>
          <w:lang w:val="sr-Latn-ME"/>
        </w:rPr>
      </w:pPr>
    </w:p>
    <w:p w14:paraId="52162EBF" w14:textId="43500AC0" w:rsidR="00C06689" w:rsidRPr="00E34696" w:rsidRDefault="00C06689" w:rsidP="00E34696">
      <w:pPr>
        <w:widowControl w:val="0"/>
        <w:tabs>
          <w:tab w:val="left" w:pos="284"/>
        </w:tabs>
        <w:jc w:val="both"/>
        <w:rPr>
          <w:sz w:val="22"/>
          <w:szCs w:val="22"/>
          <w:lang w:val="sr-Latn-ME"/>
        </w:rPr>
      </w:pPr>
      <w:r w:rsidRPr="00E34696">
        <w:rPr>
          <w:sz w:val="22"/>
          <w:szCs w:val="22"/>
          <w:lang w:val="sr-Latn-ME"/>
        </w:rPr>
        <w:t>Левофлоксацин се може примјењивати у лијечењу акутног бактеријског синузитиса и акутне егзацербације хроничног бронхитиса, када су ове инфекције адекватно дијагностиковане.</w:t>
      </w:r>
    </w:p>
    <w:p w14:paraId="380C3DD6" w14:textId="77777777" w:rsidR="00C06689" w:rsidRPr="00E34696" w:rsidRDefault="00C06689" w:rsidP="00E34696">
      <w:pPr>
        <w:widowControl w:val="0"/>
        <w:tabs>
          <w:tab w:val="left" w:pos="284"/>
        </w:tabs>
        <w:jc w:val="both"/>
        <w:rPr>
          <w:sz w:val="22"/>
          <w:szCs w:val="22"/>
          <w:lang w:val="sr-Latn-ME"/>
        </w:rPr>
      </w:pPr>
    </w:p>
    <w:p w14:paraId="48AD1C86" w14:textId="309EADC7" w:rsidR="00C06689" w:rsidRPr="00E34696" w:rsidRDefault="00C06689" w:rsidP="00E34696">
      <w:pPr>
        <w:widowControl w:val="0"/>
        <w:tabs>
          <w:tab w:val="left" w:pos="284"/>
        </w:tabs>
        <w:jc w:val="both"/>
        <w:rPr>
          <w:sz w:val="22"/>
          <w:szCs w:val="22"/>
          <w:lang w:val="sr-Latn-ME"/>
        </w:rPr>
      </w:pPr>
      <w:r w:rsidRPr="00E34696">
        <w:rPr>
          <w:sz w:val="22"/>
          <w:szCs w:val="22"/>
          <w:lang w:val="sr-Latn-ME"/>
        </w:rPr>
        <w:t xml:space="preserve">Резистенција бактерије </w:t>
      </w:r>
      <w:r w:rsidRPr="00E34696">
        <w:rPr>
          <w:i/>
          <w:sz w:val="22"/>
          <w:szCs w:val="22"/>
          <w:lang w:val="sr-Latn-ME"/>
        </w:rPr>
        <w:t>Е. coli</w:t>
      </w:r>
      <w:r w:rsidRPr="00E34696">
        <w:rPr>
          <w:sz w:val="22"/>
          <w:szCs w:val="22"/>
          <w:lang w:val="sr-Latn-ME"/>
        </w:rPr>
        <w:t xml:space="preserve"> (најчешће</w:t>
      </w:r>
      <w:r w:rsidR="007F7C1A" w:rsidRPr="00E34696">
        <w:rPr>
          <w:sz w:val="22"/>
          <w:szCs w:val="22"/>
          <w:lang w:val="sr-Latn-ME"/>
        </w:rPr>
        <w:t>г</w:t>
      </w:r>
      <w:r w:rsidRPr="00E34696">
        <w:rPr>
          <w:sz w:val="22"/>
          <w:szCs w:val="22"/>
          <w:lang w:val="sr-Latn-ME"/>
        </w:rPr>
        <w:t xml:space="preserve"> патогена укљученог у инфекција уринарног тракта) на флуорохинолоне варира у европским земљама. Љекарима се савјетује да узму у обзир локалне преваленце резистенције </w:t>
      </w:r>
      <w:r w:rsidRPr="00E34696">
        <w:rPr>
          <w:i/>
          <w:sz w:val="22"/>
          <w:szCs w:val="22"/>
          <w:lang w:val="sr-Latn-ME"/>
        </w:rPr>
        <w:t>Е. coli</w:t>
      </w:r>
      <w:r w:rsidRPr="00E34696">
        <w:rPr>
          <w:sz w:val="22"/>
          <w:szCs w:val="22"/>
          <w:lang w:val="sr-Latn-ME"/>
        </w:rPr>
        <w:t xml:space="preserve"> на флуорохинолоне.</w:t>
      </w:r>
    </w:p>
    <w:p w14:paraId="342C1C18" w14:textId="77777777" w:rsidR="00C06689" w:rsidRPr="00E34696" w:rsidRDefault="00C06689" w:rsidP="00E34696">
      <w:pPr>
        <w:widowControl w:val="0"/>
        <w:tabs>
          <w:tab w:val="left" w:pos="284"/>
        </w:tabs>
        <w:jc w:val="both"/>
        <w:rPr>
          <w:sz w:val="22"/>
          <w:szCs w:val="22"/>
          <w:lang w:val="sr-Latn-ME"/>
        </w:rPr>
      </w:pPr>
    </w:p>
    <w:p w14:paraId="1B3E8F46"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 xml:space="preserve">Инхалациони антракс: примјена левофлоксацина код људи темељи се на </w:t>
      </w:r>
      <w:r w:rsidRPr="00E34696">
        <w:rPr>
          <w:i/>
          <w:sz w:val="22"/>
          <w:szCs w:val="22"/>
          <w:lang w:val="sr-Latn-ME"/>
        </w:rPr>
        <w:t>in vitro</w:t>
      </w:r>
      <w:r w:rsidRPr="00E34696">
        <w:rPr>
          <w:sz w:val="22"/>
          <w:szCs w:val="22"/>
          <w:lang w:val="sr-Latn-ME"/>
        </w:rPr>
        <w:t xml:space="preserve"> испитивањима осјетљивости </w:t>
      </w:r>
      <w:r w:rsidRPr="00E34696">
        <w:rPr>
          <w:i/>
          <w:sz w:val="22"/>
          <w:szCs w:val="22"/>
          <w:lang w:val="sr-Latn-ME"/>
        </w:rPr>
        <w:t>Bacillus аnthracis</w:t>
      </w:r>
      <w:r w:rsidRPr="00E34696">
        <w:rPr>
          <w:sz w:val="22"/>
          <w:szCs w:val="22"/>
          <w:lang w:val="sr-Latn-ME"/>
        </w:rPr>
        <w:t xml:space="preserve"> и испитивањима на животињама, уз ограничене податке који се </w:t>
      </w:r>
      <w:r w:rsidRPr="00E34696">
        <w:rPr>
          <w:sz w:val="22"/>
          <w:szCs w:val="22"/>
          <w:lang w:val="sr-Latn-ME"/>
        </w:rPr>
        <w:lastRenderedPageBreak/>
        <w:t>односе на хуману популацију. Примјена лијека треба да буде у складу са националним и/или интернационалним смјерницама за терапију антракса.</w:t>
      </w:r>
    </w:p>
    <w:p w14:paraId="4A0B4001" w14:textId="77777777" w:rsidR="00C06689" w:rsidRPr="00E34696" w:rsidRDefault="00C06689" w:rsidP="00E34696">
      <w:pPr>
        <w:widowControl w:val="0"/>
        <w:tabs>
          <w:tab w:val="left" w:pos="284"/>
        </w:tabs>
        <w:jc w:val="both"/>
        <w:rPr>
          <w:sz w:val="22"/>
          <w:szCs w:val="22"/>
          <w:lang w:val="sr-Latn-ME"/>
        </w:rPr>
      </w:pPr>
    </w:p>
    <w:p w14:paraId="2CA33C75" w14:textId="591D139A" w:rsidR="00C06689" w:rsidRPr="00CF11E2" w:rsidRDefault="00C06689" w:rsidP="00E34696">
      <w:pPr>
        <w:widowControl w:val="0"/>
        <w:tabs>
          <w:tab w:val="left" w:pos="284"/>
        </w:tabs>
        <w:jc w:val="both"/>
        <w:rPr>
          <w:sz w:val="22"/>
          <w:szCs w:val="22"/>
          <w:u w:val="single"/>
          <w:lang w:val="sr-Cyrl-BA"/>
        </w:rPr>
      </w:pPr>
      <w:r w:rsidRPr="00E34696">
        <w:rPr>
          <w:sz w:val="22"/>
          <w:szCs w:val="22"/>
          <w:u w:val="single"/>
          <w:lang w:val="sr-Latn-ME"/>
        </w:rPr>
        <w:t>Дуготрајн</w:t>
      </w:r>
      <w:r w:rsidR="00D17AAF">
        <w:rPr>
          <w:sz w:val="22"/>
          <w:szCs w:val="22"/>
          <w:u w:val="single"/>
          <w:lang w:val="sr-Cyrl-BA"/>
        </w:rPr>
        <w:t>а</w:t>
      </w:r>
      <w:r w:rsidRPr="00E34696">
        <w:rPr>
          <w:sz w:val="22"/>
          <w:szCs w:val="22"/>
          <w:u w:val="single"/>
          <w:lang w:val="sr-Latn-ME"/>
        </w:rPr>
        <w:t>, онеспособљавајућ</w:t>
      </w:r>
      <w:r w:rsidR="00D17AAF">
        <w:rPr>
          <w:sz w:val="22"/>
          <w:szCs w:val="22"/>
          <w:u w:val="single"/>
          <w:lang w:val="sr-Cyrl-BA"/>
        </w:rPr>
        <w:t>а</w:t>
      </w:r>
      <w:r w:rsidRPr="00E34696">
        <w:rPr>
          <w:sz w:val="22"/>
          <w:szCs w:val="22"/>
          <w:u w:val="single"/>
          <w:lang w:val="sr-Latn-ME"/>
        </w:rPr>
        <w:t xml:space="preserve"> и потенцијално иреверзибилн</w:t>
      </w:r>
      <w:r w:rsidR="00D17AAF">
        <w:rPr>
          <w:sz w:val="22"/>
          <w:szCs w:val="22"/>
          <w:u w:val="single"/>
          <w:lang w:val="sr-Cyrl-BA"/>
        </w:rPr>
        <w:t>а</w:t>
      </w:r>
      <w:r w:rsidRPr="00E34696">
        <w:rPr>
          <w:sz w:val="22"/>
          <w:szCs w:val="22"/>
          <w:u w:val="single"/>
          <w:lang w:val="sr-Latn-ME"/>
        </w:rPr>
        <w:t xml:space="preserve"> нежељен</w:t>
      </w:r>
      <w:r w:rsidR="00D17AAF">
        <w:rPr>
          <w:sz w:val="22"/>
          <w:szCs w:val="22"/>
          <w:u w:val="single"/>
          <w:lang w:val="sr-Cyrl-BA"/>
        </w:rPr>
        <w:t>а</w:t>
      </w:r>
      <w:r w:rsidRPr="00E34696">
        <w:rPr>
          <w:sz w:val="22"/>
          <w:szCs w:val="22"/>
          <w:u w:val="single"/>
          <w:lang w:val="sr-Latn-ME"/>
        </w:rPr>
        <w:t xml:space="preserve"> </w:t>
      </w:r>
      <w:r w:rsidR="00D17AAF">
        <w:rPr>
          <w:sz w:val="22"/>
          <w:szCs w:val="22"/>
          <w:u w:val="single"/>
          <w:lang w:val="sr-Cyrl-BA"/>
        </w:rPr>
        <w:t>дејства</w:t>
      </w:r>
    </w:p>
    <w:p w14:paraId="0D532308" w14:textId="4B85F275" w:rsidR="00C06689" w:rsidRPr="00E34696" w:rsidRDefault="00C06689" w:rsidP="00E34696">
      <w:pPr>
        <w:widowControl w:val="0"/>
        <w:tabs>
          <w:tab w:val="left" w:pos="284"/>
        </w:tabs>
        <w:jc w:val="both"/>
        <w:rPr>
          <w:sz w:val="22"/>
          <w:szCs w:val="22"/>
          <w:lang w:val="sr-Latn-ME"/>
        </w:rPr>
      </w:pPr>
      <w:r w:rsidRPr="00E34696">
        <w:rPr>
          <w:sz w:val="22"/>
          <w:szCs w:val="22"/>
          <w:lang w:val="sr-Latn-ME"/>
        </w:rPr>
        <w:t>Веома ријетки случајеви дуготрајних (у трајању од више мјесеци или година), онеспособљавајућих и потенцијално иреверзибилних oзбиљних нежељених</w:t>
      </w:r>
      <w:r w:rsidR="00282BCB">
        <w:rPr>
          <w:sz w:val="22"/>
          <w:szCs w:val="22"/>
          <w:lang w:val="sr-Cyrl-BA"/>
        </w:rPr>
        <w:t xml:space="preserve"> дејстава</w:t>
      </w:r>
      <w:r w:rsidRPr="00E34696">
        <w:rPr>
          <w:sz w:val="22"/>
          <w:szCs w:val="22"/>
          <w:lang w:val="sr-Latn-ME"/>
        </w:rPr>
        <w:t>, које погађају различите, понекад и вишеструке системе органа (мишићно-коштани, нервни систем, чула, психијатријски поремећаји), пријављени су код пацијената који су примали хинолоне и флуорохинолоне независно од њихов</w:t>
      </w:r>
      <w:r w:rsidR="001868EB" w:rsidRPr="00E34696">
        <w:rPr>
          <w:sz w:val="22"/>
          <w:szCs w:val="22"/>
          <w:lang w:val="sr-Latn-ME"/>
        </w:rPr>
        <w:t>ог</w:t>
      </w:r>
      <w:r w:rsidRPr="00E34696">
        <w:rPr>
          <w:sz w:val="22"/>
          <w:szCs w:val="22"/>
          <w:lang w:val="sr-Latn-ME"/>
        </w:rPr>
        <w:t xml:space="preserve"> </w:t>
      </w:r>
      <w:r w:rsidR="001868EB" w:rsidRPr="00E34696">
        <w:rPr>
          <w:sz w:val="22"/>
          <w:szCs w:val="22"/>
          <w:lang w:val="sr-Latn-ME"/>
        </w:rPr>
        <w:t xml:space="preserve">узраста </w:t>
      </w:r>
      <w:r w:rsidRPr="00E34696">
        <w:rPr>
          <w:sz w:val="22"/>
          <w:szCs w:val="22"/>
          <w:lang w:val="sr-Latn-ME"/>
        </w:rPr>
        <w:t>и већ постојећих фактора ризика. Терапију левофлоксацином треба прекинути одмах након првих знакова или симптома озбиљних нежељених реакција, а пацијенте савјетовати да се обрате свом љекару.</w:t>
      </w:r>
    </w:p>
    <w:p w14:paraId="4973AB2B" w14:textId="77777777" w:rsidR="00C06689" w:rsidRPr="00E34696" w:rsidRDefault="00C06689" w:rsidP="00E34696">
      <w:pPr>
        <w:widowControl w:val="0"/>
        <w:tabs>
          <w:tab w:val="left" w:pos="284"/>
        </w:tabs>
        <w:jc w:val="both"/>
        <w:rPr>
          <w:sz w:val="22"/>
          <w:szCs w:val="22"/>
          <w:lang w:val="sr-Latn-ME"/>
        </w:rPr>
      </w:pPr>
    </w:p>
    <w:p w14:paraId="757A7279" w14:textId="77777777" w:rsidR="00C06689" w:rsidRPr="00E34696" w:rsidRDefault="00C06689" w:rsidP="00E34696">
      <w:pPr>
        <w:widowControl w:val="0"/>
        <w:tabs>
          <w:tab w:val="left" w:pos="284"/>
        </w:tabs>
        <w:jc w:val="both"/>
        <w:rPr>
          <w:sz w:val="22"/>
          <w:szCs w:val="22"/>
          <w:u w:val="single"/>
          <w:lang w:val="sr-Latn-ME"/>
        </w:rPr>
      </w:pPr>
      <w:r w:rsidRPr="00E34696">
        <w:rPr>
          <w:sz w:val="22"/>
          <w:szCs w:val="22"/>
          <w:u w:val="single"/>
          <w:lang w:val="sr-Latn-ME"/>
        </w:rPr>
        <w:t>Тендинитис и руптуре тетива</w:t>
      </w:r>
    </w:p>
    <w:p w14:paraId="758694B3" w14:textId="260AE2BC" w:rsidR="00C06689" w:rsidRPr="00E34696" w:rsidRDefault="00C06689" w:rsidP="00E34696">
      <w:pPr>
        <w:widowControl w:val="0"/>
        <w:tabs>
          <w:tab w:val="left" w:pos="284"/>
        </w:tabs>
        <w:jc w:val="both"/>
        <w:rPr>
          <w:sz w:val="22"/>
          <w:szCs w:val="22"/>
          <w:lang w:val="sr-Latn-ME"/>
        </w:rPr>
      </w:pPr>
      <w:r w:rsidRPr="00E34696">
        <w:rPr>
          <w:sz w:val="22"/>
          <w:szCs w:val="22"/>
          <w:lang w:val="sr-Latn-ME"/>
        </w:rPr>
        <w:t>Тендинитис и руптура тетива (најчешће</w:t>
      </w:r>
      <w:r w:rsidR="0091094E" w:rsidRPr="00E34696">
        <w:rPr>
          <w:sz w:val="22"/>
          <w:szCs w:val="22"/>
          <w:lang w:val="sr-Latn-ME"/>
        </w:rPr>
        <w:t>,</w:t>
      </w:r>
      <w:r w:rsidRPr="00E34696">
        <w:rPr>
          <w:sz w:val="22"/>
          <w:szCs w:val="22"/>
          <w:lang w:val="sr-Latn-ME"/>
        </w:rPr>
        <w:t xml:space="preserve"> али не искључиво Ахилова тетива), које су понекад билатералне, могу се јавити у року од 48 сати од почетка примјене хинолона и флуорохинолона, а дешавало се и да се појаве и до неколико мјесеци након престанка лијечења. Ризик од појаве тендинитиса и руптуре тетиве повећан је код старијих пацијената, код пацијената са оштећењем бубрега, пацијената са трансплантираним органима, код пацијената који примају више од 1000 mg левофлоксацина дневно и код пацијената који се истовремено лијече и кортикостероидима. Истовремену примјену са кортикостероидима треба избјегавати. Код првог знака тендинитиса (нпр. болно отицање, инфламација), лијечење левофлоксацином треба прекинути и размотрити алтернативне начине лијечења. Екстремитете захваћене тендинитисом треба третирати на одговарајући начин (нпр. имобилизација). Кортикостероиди се не смију користити ако се јаве знаци тендинопатије.</w:t>
      </w:r>
    </w:p>
    <w:p w14:paraId="5B9C3E51" w14:textId="140F7E9F" w:rsidR="00867ADD" w:rsidRPr="00E34696" w:rsidRDefault="00867ADD" w:rsidP="00E34696">
      <w:pPr>
        <w:widowControl w:val="0"/>
        <w:tabs>
          <w:tab w:val="left" w:pos="284"/>
        </w:tabs>
        <w:jc w:val="both"/>
        <w:rPr>
          <w:sz w:val="22"/>
          <w:szCs w:val="22"/>
          <w:lang w:val="sr-Latn-ME"/>
        </w:rPr>
      </w:pPr>
    </w:p>
    <w:p w14:paraId="4A7D4645" w14:textId="77777777" w:rsidR="00867ADD" w:rsidRPr="00E34696" w:rsidRDefault="00867ADD" w:rsidP="00E34696">
      <w:pPr>
        <w:pStyle w:val="NASLOV123"/>
        <w:widowControl w:val="0"/>
        <w:spacing w:before="0" w:after="0"/>
        <w:jc w:val="both"/>
        <w:rPr>
          <w:b w:val="0"/>
          <w:u w:val="single"/>
          <w:lang w:val="sr-Latn-ME"/>
        </w:rPr>
      </w:pPr>
      <w:r w:rsidRPr="00E34696">
        <w:rPr>
          <w:b w:val="0"/>
          <w:u w:val="single"/>
          <w:lang w:val="sr-Latn-ME"/>
        </w:rPr>
        <w:t>Миоклонус</w:t>
      </w:r>
    </w:p>
    <w:p w14:paraId="42FD9EC1" w14:textId="6CB3417A" w:rsidR="00867ADD" w:rsidRPr="00E34696" w:rsidRDefault="00867ADD" w:rsidP="00E34696">
      <w:pPr>
        <w:pStyle w:val="NASLOV123"/>
        <w:widowControl w:val="0"/>
        <w:spacing w:before="0" w:after="0"/>
        <w:jc w:val="both"/>
        <w:rPr>
          <w:b w:val="0"/>
          <w:lang w:val="sr-Latn-ME"/>
        </w:rPr>
      </w:pPr>
      <w:r w:rsidRPr="00E34696">
        <w:rPr>
          <w:b w:val="0"/>
          <w:lang w:val="sr-Latn-ME"/>
        </w:rPr>
        <w:t>Код  пацијената који су били на терапији левофлоксацином заб</w:t>
      </w:r>
      <w:r w:rsidR="00335452" w:rsidRPr="00E34696">
        <w:rPr>
          <w:b w:val="0"/>
          <w:lang w:val="sr-Latn-ME"/>
        </w:rPr>
        <w:t>иљ</w:t>
      </w:r>
      <w:r w:rsidRPr="00E34696">
        <w:rPr>
          <w:b w:val="0"/>
          <w:lang w:val="sr-Latn-ME"/>
        </w:rPr>
        <w:t>ежени су случајеви миоклонуса (</w:t>
      </w:r>
      <w:r w:rsidR="0091094E" w:rsidRPr="00E34696">
        <w:rPr>
          <w:b w:val="0"/>
          <w:lang w:val="sr-Latn-ME"/>
        </w:rPr>
        <w:t>погледати</w:t>
      </w:r>
      <w:r w:rsidRPr="00E34696">
        <w:rPr>
          <w:b w:val="0"/>
          <w:lang w:val="sr-Latn-ME"/>
        </w:rPr>
        <w:t xml:space="preserve"> </w:t>
      </w:r>
      <w:r w:rsidR="0091094E" w:rsidRPr="00E34696">
        <w:rPr>
          <w:b w:val="0"/>
          <w:lang w:val="sr-Latn-ME"/>
        </w:rPr>
        <w:t>дио</w:t>
      </w:r>
      <w:r w:rsidRPr="00E34696">
        <w:rPr>
          <w:b w:val="0"/>
          <w:lang w:val="sr-Latn-ME"/>
        </w:rPr>
        <w:t xml:space="preserve"> 4.8). Ризик од појаве миоклонуса повећан је код старијих особа, као и код особа са оштећењем функције бубрега, уколико доза левофлоксацина није прилагођена према клиренсу креатинина. При првој појави миоклонуса потребно је одмах прекинути прим</w:t>
      </w:r>
      <w:r w:rsidR="0091094E" w:rsidRPr="00E34696">
        <w:rPr>
          <w:b w:val="0"/>
          <w:lang w:val="sr-Latn-ME"/>
        </w:rPr>
        <w:t>ј</w:t>
      </w:r>
      <w:r w:rsidRPr="00E34696">
        <w:rPr>
          <w:b w:val="0"/>
          <w:lang w:val="sr-Latn-ME"/>
        </w:rPr>
        <w:t>ену левофлоксацина и започети одговарајуће л</w:t>
      </w:r>
      <w:r w:rsidR="0091094E" w:rsidRPr="00E34696">
        <w:rPr>
          <w:b w:val="0"/>
          <w:lang w:val="sr-Latn-ME"/>
        </w:rPr>
        <w:t>иј</w:t>
      </w:r>
      <w:r w:rsidRPr="00E34696">
        <w:rPr>
          <w:b w:val="0"/>
          <w:lang w:val="sr-Latn-ME"/>
        </w:rPr>
        <w:t xml:space="preserve">ечење. </w:t>
      </w:r>
    </w:p>
    <w:p w14:paraId="470383E6" w14:textId="77777777" w:rsidR="00C06689" w:rsidRPr="00E34696" w:rsidRDefault="00C06689" w:rsidP="00E34696">
      <w:pPr>
        <w:widowControl w:val="0"/>
        <w:tabs>
          <w:tab w:val="left" w:pos="284"/>
        </w:tabs>
        <w:jc w:val="both"/>
        <w:rPr>
          <w:sz w:val="22"/>
          <w:szCs w:val="22"/>
          <w:lang w:val="sr-Latn-ME"/>
        </w:rPr>
      </w:pPr>
    </w:p>
    <w:p w14:paraId="6CE7E58B" w14:textId="77777777" w:rsidR="00C06689" w:rsidRPr="00E34696" w:rsidRDefault="00C06689" w:rsidP="00E34696">
      <w:pPr>
        <w:widowControl w:val="0"/>
        <w:tabs>
          <w:tab w:val="left" w:pos="284"/>
        </w:tabs>
        <w:jc w:val="both"/>
        <w:rPr>
          <w:sz w:val="22"/>
          <w:szCs w:val="22"/>
          <w:u w:val="single"/>
          <w:lang w:val="sr-Latn-ME"/>
        </w:rPr>
      </w:pPr>
      <w:r w:rsidRPr="00E34696">
        <w:rPr>
          <w:sz w:val="22"/>
          <w:szCs w:val="22"/>
          <w:u w:val="single"/>
          <w:lang w:val="sr-Latn-ME"/>
        </w:rPr>
        <w:t xml:space="preserve">Болест узоркована бактеријом </w:t>
      </w:r>
      <w:r w:rsidRPr="00E34696">
        <w:rPr>
          <w:i/>
          <w:sz w:val="22"/>
          <w:szCs w:val="22"/>
          <w:u w:val="single"/>
          <w:lang w:val="sr-Latn-ME"/>
        </w:rPr>
        <w:t>Clostridium difficile</w:t>
      </w:r>
    </w:p>
    <w:p w14:paraId="175E0148"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Дијареја, посебно уколико је тешка, упорна и/или са траговима крви, која се појављује током или након лијечења левофлоксацином</w:t>
      </w:r>
      <w:r w:rsidRPr="00E34696">
        <w:rPr>
          <w:b/>
          <w:sz w:val="22"/>
          <w:szCs w:val="22"/>
          <w:lang w:val="sr-Latn-ME"/>
        </w:rPr>
        <w:t xml:space="preserve"> </w:t>
      </w:r>
      <w:r w:rsidRPr="00E34696">
        <w:rPr>
          <w:sz w:val="22"/>
          <w:szCs w:val="22"/>
          <w:lang w:val="sr-Latn-ME"/>
        </w:rPr>
        <w:t>(</w:t>
      </w:r>
      <w:r w:rsidRPr="00E34696">
        <w:rPr>
          <w:rFonts w:eastAsia="TimesNewRoman"/>
          <w:sz w:val="22"/>
          <w:szCs w:val="22"/>
          <w:lang w:val="sr-Latn-ME"/>
        </w:rPr>
        <w:t>укључујући неколико недјеља након третмана</w:t>
      </w:r>
      <w:r w:rsidRPr="00E34696">
        <w:rPr>
          <w:sz w:val="22"/>
          <w:szCs w:val="22"/>
          <w:lang w:val="sr-Latn-ME"/>
        </w:rPr>
        <w:t xml:space="preserve">), може да указује на обољење повезано са бактеријом </w:t>
      </w:r>
      <w:r w:rsidRPr="00E34696">
        <w:rPr>
          <w:i/>
          <w:sz w:val="22"/>
          <w:szCs w:val="22"/>
          <w:lang w:val="sr-Latn-ME"/>
        </w:rPr>
        <w:t>Clostridium difficile</w:t>
      </w:r>
      <w:r w:rsidRPr="00E34696">
        <w:rPr>
          <w:sz w:val="22"/>
          <w:szCs w:val="22"/>
          <w:lang w:val="sr-Latn-ME"/>
        </w:rPr>
        <w:t xml:space="preserve"> (CDAD, engl. </w:t>
      </w:r>
      <w:r w:rsidRPr="00E34696">
        <w:rPr>
          <w:i/>
          <w:iCs/>
          <w:sz w:val="22"/>
          <w:szCs w:val="22"/>
          <w:lang w:val="sr-Latn-ME"/>
        </w:rPr>
        <w:t>Clostridium Difficile-Associated Disease</w:t>
      </w:r>
      <w:r w:rsidRPr="00E34696">
        <w:rPr>
          <w:sz w:val="22"/>
          <w:szCs w:val="22"/>
          <w:lang w:val="sr-Latn-ME"/>
        </w:rPr>
        <w:t>). Ово обољење према тежини може да се креће од благог до животно угрожавајућег, а његов најтежи облик је псеудомембранозни колитис (погледати дио 4.8). Стога је веома важно да се ова дијагноза узме у обзир код особа код којих се развије озбиљна дијареја током или по завршетку терапије левофлоксацином. Уколико се посумња на CDAD или се CDAD потврди, треба одмах престати са примјеном левофлоксацина и без одлагања започети са спровођењем одговарајуће терапије. У том клиничком стању контраиндиковани су љекови који инхибирају перисталтику.</w:t>
      </w:r>
    </w:p>
    <w:p w14:paraId="0C63DD55" w14:textId="77777777" w:rsidR="00C06689" w:rsidRPr="00E34696" w:rsidRDefault="00C06689" w:rsidP="00E34696">
      <w:pPr>
        <w:widowControl w:val="0"/>
        <w:tabs>
          <w:tab w:val="left" w:pos="284"/>
        </w:tabs>
        <w:jc w:val="both"/>
        <w:rPr>
          <w:sz w:val="22"/>
          <w:szCs w:val="22"/>
          <w:lang w:val="sr-Latn-ME"/>
        </w:rPr>
      </w:pPr>
    </w:p>
    <w:p w14:paraId="6E2EC5DD" w14:textId="77777777" w:rsidR="00C06689" w:rsidRPr="00E34696" w:rsidRDefault="00C06689" w:rsidP="00E34696">
      <w:pPr>
        <w:widowControl w:val="0"/>
        <w:tabs>
          <w:tab w:val="left" w:pos="284"/>
        </w:tabs>
        <w:jc w:val="both"/>
        <w:rPr>
          <w:sz w:val="22"/>
          <w:szCs w:val="22"/>
          <w:u w:val="single"/>
          <w:lang w:val="sr-Latn-ME"/>
        </w:rPr>
      </w:pPr>
      <w:r w:rsidRPr="00E34696">
        <w:rPr>
          <w:sz w:val="22"/>
          <w:szCs w:val="22"/>
          <w:u w:val="single"/>
          <w:lang w:val="sr-Latn-ME"/>
        </w:rPr>
        <w:t>Пацијенти склони епилептичним нападима</w:t>
      </w:r>
    </w:p>
    <w:p w14:paraId="1369B423" w14:textId="0E4534C4" w:rsidR="00C06689" w:rsidRPr="00E34696" w:rsidRDefault="00C06689" w:rsidP="00E34696">
      <w:pPr>
        <w:widowControl w:val="0"/>
        <w:tabs>
          <w:tab w:val="left" w:pos="284"/>
        </w:tabs>
        <w:jc w:val="both"/>
        <w:rPr>
          <w:sz w:val="22"/>
          <w:szCs w:val="22"/>
          <w:lang w:val="sr-Latn-ME"/>
        </w:rPr>
      </w:pPr>
      <w:r w:rsidRPr="00E34696">
        <w:rPr>
          <w:sz w:val="22"/>
          <w:szCs w:val="22"/>
          <w:lang w:val="sr-Latn-ME"/>
        </w:rPr>
        <w:t>Хинолони могу снизити праг за настанак конвулзија и да на тај начин буду окидач за епилептични напад. Левофлоксацин је контраиндикован код пацијената са епилепсијом у анамнези (погледати дио 4.3), а као што је случај и са осталим хинолонима, потребан је посебан опрез код пацијената који су склони епилептичним нападима или код пацијената који истовремено узимају љекове који снижавају праг за појаву конвулзија, као што је теофилин (погледати дио 4.5). У случају појаве епилептичних напада (погледати дио 4.8), треба прекинути са примјеном левофлоксацина.</w:t>
      </w:r>
    </w:p>
    <w:p w14:paraId="59305823" w14:textId="77777777" w:rsidR="00C06689" w:rsidRPr="00E34696" w:rsidRDefault="00C06689" w:rsidP="00E34696">
      <w:pPr>
        <w:widowControl w:val="0"/>
        <w:tabs>
          <w:tab w:val="left" w:pos="284"/>
        </w:tabs>
        <w:jc w:val="both"/>
        <w:rPr>
          <w:sz w:val="22"/>
          <w:szCs w:val="22"/>
          <w:lang w:val="sr-Latn-ME"/>
        </w:rPr>
      </w:pPr>
    </w:p>
    <w:p w14:paraId="2EB2241D" w14:textId="77777777" w:rsidR="00C06689" w:rsidRPr="00CF11E2" w:rsidRDefault="00C06689" w:rsidP="00E34696">
      <w:pPr>
        <w:widowControl w:val="0"/>
        <w:tabs>
          <w:tab w:val="left" w:pos="284"/>
        </w:tabs>
        <w:jc w:val="both"/>
        <w:rPr>
          <w:sz w:val="22"/>
          <w:szCs w:val="22"/>
          <w:u w:val="single"/>
          <w:lang w:val="sr-Cyrl-ME"/>
        </w:rPr>
      </w:pPr>
      <w:r w:rsidRPr="00E34696">
        <w:rPr>
          <w:sz w:val="22"/>
          <w:szCs w:val="22"/>
          <w:u w:val="single"/>
          <w:lang w:val="sr-Latn-ME"/>
        </w:rPr>
        <w:t>Пацијенти са дефицитом глукоза-6-фосфат дехидрогеназе</w:t>
      </w:r>
    </w:p>
    <w:p w14:paraId="03202782"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 xml:space="preserve">Пацијенти са латентном или постојећом дефицијенцијом глукоза-6-фосфат дехидрогеназе могу бити склони хемолитичким реакцијама када се лијече антибиотицима из групе хинолона. Због тога, уколико се левофлоксацин користи код ових пацијената, треба их контролисати због </w:t>
      </w:r>
      <w:r w:rsidRPr="00E34696">
        <w:rPr>
          <w:sz w:val="22"/>
          <w:szCs w:val="22"/>
          <w:lang w:val="sr-Latn-ME"/>
        </w:rPr>
        <w:lastRenderedPageBreak/>
        <w:t>потенцијалног настанка хемолизе.</w:t>
      </w:r>
    </w:p>
    <w:p w14:paraId="066E434D" w14:textId="77777777" w:rsidR="00C06689" w:rsidRPr="00E34696" w:rsidRDefault="00C06689" w:rsidP="00E34696">
      <w:pPr>
        <w:widowControl w:val="0"/>
        <w:tabs>
          <w:tab w:val="left" w:pos="284"/>
        </w:tabs>
        <w:jc w:val="both"/>
        <w:rPr>
          <w:sz w:val="22"/>
          <w:szCs w:val="22"/>
          <w:u w:val="single"/>
          <w:lang w:val="sr-Latn-ME"/>
        </w:rPr>
      </w:pPr>
      <w:r w:rsidRPr="00E34696">
        <w:rPr>
          <w:sz w:val="22"/>
          <w:szCs w:val="22"/>
          <w:u w:val="single"/>
          <w:lang w:val="sr-Latn-ME"/>
        </w:rPr>
        <w:t>Пацијенти са оштећеном функцијом бубрега</w:t>
      </w:r>
    </w:p>
    <w:p w14:paraId="4F189EEE"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С обзиром на то да се левофлоксацин излучује претежно путем бубрега, код пацијената са оштећеном бубрежном функцијом треба прилагодити дозу левофлоксацина (погледати дио 4.2).</w:t>
      </w:r>
    </w:p>
    <w:p w14:paraId="7E95E35B" w14:textId="77777777" w:rsidR="00C06689" w:rsidRPr="00E34696" w:rsidRDefault="00C06689" w:rsidP="00E34696">
      <w:pPr>
        <w:widowControl w:val="0"/>
        <w:tabs>
          <w:tab w:val="left" w:pos="284"/>
        </w:tabs>
        <w:jc w:val="both"/>
        <w:rPr>
          <w:sz w:val="22"/>
          <w:szCs w:val="22"/>
          <w:lang w:val="sr-Latn-ME"/>
        </w:rPr>
      </w:pPr>
    </w:p>
    <w:p w14:paraId="57401DA2" w14:textId="77777777" w:rsidR="00C06689" w:rsidRPr="00E34696" w:rsidRDefault="00C06689" w:rsidP="00E34696">
      <w:pPr>
        <w:widowControl w:val="0"/>
        <w:tabs>
          <w:tab w:val="left" w:pos="284"/>
        </w:tabs>
        <w:jc w:val="both"/>
        <w:rPr>
          <w:sz w:val="22"/>
          <w:szCs w:val="22"/>
          <w:u w:val="single"/>
          <w:lang w:val="sr-Latn-ME"/>
        </w:rPr>
      </w:pPr>
      <w:r w:rsidRPr="00E34696">
        <w:rPr>
          <w:sz w:val="22"/>
          <w:szCs w:val="22"/>
          <w:u w:val="single"/>
          <w:lang w:val="sr-Latn-ME"/>
        </w:rPr>
        <w:t>Реакције преосјетљивости</w:t>
      </w:r>
    </w:p>
    <w:p w14:paraId="51BDA831" w14:textId="4E92D5E9" w:rsidR="00C06689" w:rsidRPr="00E34696" w:rsidRDefault="00C06689" w:rsidP="00E34696">
      <w:pPr>
        <w:widowControl w:val="0"/>
        <w:tabs>
          <w:tab w:val="left" w:pos="284"/>
        </w:tabs>
        <w:jc w:val="both"/>
        <w:rPr>
          <w:sz w:val="22"/>
          <w:szCs w:val="22"/>
          <w:lang w:val="sr-Latn-ME"/>
        </w:rPr>
      </w:pPr>
      <w:r w:rsidRPr="00E34696">
        <w:rPr>
          <w:sz w:val="22"/>
          <w:szCs w:val="22"/>
          <w:lang w:val="sr-Latn-ME"/>
        </w:rPr>
        <w:t>Левофлоксацин може да изазове озбиљне реакције преосјетљивости, потенцијално са смртним исходом (нпр. ангиоедем или анафилактички шок), које се могу јавити и након иницијалне дозе лијека (погледати дио 4.8). Пацијенти треба одмах да прекину терапију и обрате се љекару како би добили одговарајућу стручну помоћ.</w:t>
      </w:r>
    </w:p>
    <w:p w14:paraId="73EA3F8E" w14:textId="77777777" w:rsidR="00C06689" w:rsidRPr="00E34696" w:rsidRDefault="00C06689" w:rsidP="00E34696">
      <w:pPr>
        <w:widowControl w:val="0"/>
        <w:tabs>
          <w:tab w:val="left" w:pos="284"/>
        </w:tabs>
        <w:jc w:val="both"/>
        <w:rPr>
          <w:sz w:val="22"/>
          <w:szCs w:val="22"/>
          <w:lang w:val="sr-Latn-ME"/>
        </w:rPr>
      </w:pPr>
    </w:p>
    <w:p w14:paraId="7C953008" w14:textId="03D16B2F" w:rsidR="00C06689" w:rsidRPr="00E34696" w:rsidRDefault="001868EB" w:rsidP="00E34696">
      <w:pPr>
        <w:widowControl w:val="0"/>
        <w:tabs>
          <w:tab w:val="left" w:pos="284"/>
        </w:tabs>
        <w:jc w:val="both"/>
        <w:rPr>
          <w:sz w:val="22"/>
          <w:szCs w:val="22"/>
          <w:u w:val="single"/>
          <w:lang w:val="sr-Latn-ME"/>
        </w:rPr>
      </w:pPr>
      <w:r w:rsidRPr="00E34696">
        <w:rPr>
          <w:sz w:val="22"/>
          <w:szCs w:val="22"/>
          <w:u w:val="single"/>
          <w:lang w:val="sr-Latn-ME"/>
        </w:rPr>
        <w:t xml:space="preserve">Тешке </w:t>
      </w:r>
      <w:r w:rsidR="00C06689" w:rsidRPr="00E34696">
        <w:rPr>
          <w:sz w:val="22"/>
          <w:szCs w:val="22"/>
          <w:u w:val="single"/>
          <w:lang w:val="sr-Latn-ME"/>
        </w:rPr>
        <w:t>нежељене реакције на кожи</w:t>
      </w:r>
    </w:p>
    <w:p w14:paraId="02609015" w14:textId="25768BA8" w:rsidR="00C06689" w:rsidRPr="00E34696" w:rsidRDefault="00DD58E6" w:rsidP="00E34696">
      <w:pPr>
        <w:widowControl w:val="0"/>
        <w:tabs>
          <w:tab w:val="left" w:pos="284"/>
        </w:tabs>
        <w:jc w:val="both"/>
        <w:rPr>
          <w:sz w:val="22"/>
          <w:szCs w:val="22"/>
          <w:lang w:val="sr-Latn-ME"/>
        </w:rPr>
      </w:pPr>
      <w:r w:rsidRPr="00E34696">
        <w:rPr>
          <w:sz w:val="22"/>
          <w:szCs w:val="22"/>
          <w:lang w:val="sr-Latn-ME"/>
        </w:rPr>
        <w:t xml:space="preserve">Тешке </w:t>
      </w:r>
      <w:r w:rsidR="00C06689" w:rsidRPr="00E34696">
        <w:rPr>
          <w:sz w:val="22"/>
          <w:szCs w:val="22"/>
          <w:lang w:val="sr-Latn-ME"/>
        </w:rPr>
        <w:t>нежељене реакције на кожи (</w:t>
      </w:r>
      <w:r w:rsidRPr="00E34696">
        <w:rPr>
          <w:sz w:val="22"/>
          <w:szCs w:val="22"/>
          <w:lang w:val="sr-Latn-ME"/>
        </w:rPr>
        <w:t xml:space="preserve">енг. </w:t>
      </w:r>
      <w:r w:rsidR="00C06689" w:rsidRPr="00E34696">
        <w:rPr>
          <w:i/>
          <w:sz w:val="22"/>
          <w:szCs w:val="22"/>
          <w:lang w:val="sr-Latn-ME"/>
        </w:rPr>
        <w:t>Severe cutaneous adverse reactions</w:t>
      </w:r>
      <w:r w:rsidR="00C06689" w:rsidRPr="00E34696">
        <w:rPr>
          <w:sz w:val="22"/>
          <w:szCs w:val="22"/>
          <w:lang w:val="sr-Latn-ME"/>
        </w:rPr>
        <w:t xml:space="preserve"> (SCARs)), укључујући токсичну епидермалну некролизу (TEN: познату као</w:t>
      </w:r>
      <w:r w:rsidR="00C06689" w:rsidRPr="00E34696">
        <w:rPr>
          <w:b/>
          <w:sz w:val="22"/>
          <w:szCs w:val="22"/>
          <w:lang w:val="sr-Latn-ME"/>
        </w:rPr>
        <w:t xml:space="preserve"> </w:t>
      </w:r>
      <w:r w:rsidR="00C06689" w:rsidRPr="00E34696">
        <w:rPr>
          <w:i/>
          <w:sz w:val="22"/>
          <w:szCs w:val="22"/>
          <w:lang w:val="sr-Latn-ME"/>
        </w:rPr>
        <w:t>Lyell-</w:t>
      </w:r>
      <w:r w:rsidR="00C06689" w:rsidRPr="00E34696">
        <w:rPr>
          <w:sz w:val="22"/>
          <w:szCs w:val="22"/>
          <w:lang w:val="sr-Latn-ME"/>
        </w:rPr>
        <w:t xml:space="preserve">ов синдром), </w:t>
      </w:r>
      <w:r w:rsidR="00C06689" w:rsidRPr="00E34696">
        <w:rPr>
          <w:i/>
          <w:sz w:val="22"/>
          <w:szCs w:val="22"/>
          <w:lang w:val="sr-Latn-ME"/>
        </w:rPr>
        <w:t>Stevens Johnson</w:t>
      </w:r>
      <w:r w:rsidR="00C06689" w:rsidRPr="00E34696">
        <w:rPr>
          <w:sz w:val="22"/>
          <w:szCs w:val="22"/>
          <w:lang w:val="sr-Latn-ME"/>
        </w:rPr>
        <w:t>-ов синдром (SJS) и реакцију на лијек са еозинофилијом и системским симптомима (DRESS), кој</w:t>
      </w:r>
      <w:r w:rsidRPr="00E34696">
        <w:rPr>
          <w:sz w:val="22"/>
          <w:szCs w:val="22"/>
          <w:lang w:val="sr-Latn-ME"/>
        </w:rPr>
        <w:t>е</w:t>
      </w:r>
      <w:r w:rsidR="00C06689" w:rsidRPr="00E34696">
        <w:rPr>
          <w:sz w:val="22"/>
          <w:szCs w:val="22"/>
          <w:lang w:val="sr-Latn-ME"/>
        </w:rPr>
        <w:t xml:space="preserve"> могу бити животно угрожавајуће или фаталне, забиљежене су приликом употребе левофлоксацина (погледати дио 4.8). Када се пропише лијек, пацијенте треба обавијестити о знаковима и симптомима </w:t>
      </w:r>
      <w:r w:rsidRPr="00E34696">
        <w:rPr>
          <w:sz w:val="22"/>
          <w:szCs w:val="22"/>
          <w:lang w:val="sr-Latn-ME"/>
        </w:rPr>
        <w:t xml:space="preserve">тешких </w:t>
      </w:r>
      <w:r w:rsidR="00C06689" w:rsidRPr="00E34696">
        <w:rPr>
          <w:sz w:val="22"/>
          <w:szCs w:val="22"/>
          <w:lang w:val="sr-Latn-ME"/>
        </w:rPr>
        <w:t>кожних реакција и пажљиво их пратити. Ако се појаве знакови и симптоми који указују на ове кожне реакције, употребу левофлоксацина треба одмах прекинути и размотрити алтернативно лијечење. Ако је пацијент развио озбиљну реакцију као што је SJS, ТEN или DRESS приликом употребе левофлоксацина, лијечење левофлоксацином код тих пацијената не смије се поново започети.</w:t>
      </w:r>
    </w:p>
    <w:p w14:paraId="4D841BC4" w14:textId="77777777" w:rsidR="00C06689" w:rsidRPr="00E34696" w:rsidRDefault="00C06689" w:rsidP="00E34696">
      <w:pPr>
        <w:widowControl w:val="0"/>
        <w:tabs>
          <w:tab w:val="left" w:pos="284"/>
        </w:tabs>
        <w:jc w:val="both"/>
        <w:rPr>
          <w:sz w:val="22"/>
          <w:szCs w:val="22"/>
          <w:lang w:val="sr-Latn-ME"/>
        </w:rPr>
      </w:pPr>
    </w:p>
    <w:p w14:paraId="602A1980" w14:textId="77777777" w:rsidR="00C06689" w:rsidRPr="00E34696" w:rsidRDefault="00C06689" w:rsidP="00E34696">
      <w:pPr>
        <w:widowControl w:val="0"/>
        <w:tabs>
          <w:tab w:val="left" w:pos="284"/>
        </w:tabs>
        <w:jc w:val="both"/>
        <w:rPr>
          <w:sz w:val="22"/>
          <w:szCs w:val="22"/>
          <w:u w:val="single"/>
          <w:lang w:val="sr-Latn-ME"/>
        </w:rPr>
      </w:pPr>
      <w:r w:rsidRPr="00E34696">
        <w:rPr>
          <w:sz w:val="22"/>
          <w:szCs w:val="22"/>
          <w:u w:val="single"/>
          <w:lang w:val="sr-Latn-ME"/>
        </w:rPr>
        <w:t>Дисгликемија</w:t>
      </w:r>
    </w:p>
    <w:p w14:paraId="2CD8E7A9" w14:textId="77777777" w:rsidR="00B1065E" w:rsidRPr="00E34696" w:rsidRDefault="00C06689" w:rsidP="00E34696">
      <w:pPr>
        <w:widowControl w:val="0"/>
        <w:tabs>
          <w:tab w:val="left" w:pos="284"/>
        </w:tabs>
        <w:jc w:val="both"/>
        <w:rPr>
          <w:sz w:val="22"/>
          <w:szCs w:val="22"/>
          <w:lang w:val="sr-Latn-ME"/>
        </w:rPr>
      </w:pPr>
      <w:r w:rsidRPr="00E34696">
        <w:rPr>
          <w:sz w:val="22"/>
          <w:szCs w:val="22"/>
          <w:lang w:val="sr-Latn-ME"/>
        </w:rPr>
        <w:t>Као и код свих хинолона, пријављени су случајеви поремећаја концентрације глукозе у крви, укључујући хипогликемију и хипергликемију, кој</w:t>
      </w:r>
      <w:r w:rsidR="00DD58E6" w:rsidRPr="00E34696">
        <w:rPr>
          <w:sz w:val="22"/>
          <w:szCs w:val="22"/>
          <w:lang w:val="sr-Latn-ME"/>
        </w:rPr>
        <w:t>и</w:t>
      </w:r>
      <w:r w:rsidRPr="00E34696">
        <w:rPr>
          <w:sz w:val="22"/>
          <w:szCs w:val="22"/>
          <w:lang w:val="sr-Latn-ME"/>
        </w:rPr>
        <w:t xml:space="preserve"> се јавља</w:t>
      </w:r>
      <w:r w:rsidR="00DD58E6" w:rsidRPr="00E34696">
        <w:rPr>
          <w:sz w:val="22"/>
          <w:szCs w:val="22"/>
          <w:lang w:val="sr-Latn-ME"/>
        </w:rPr>
        <w:t>ју</w:t>
      </w:r>
      <w:r w:rsidRPr="00E34696">
        <w:rPr>
          <w:sz w:val="22"/>
          <w:szCs w:val="22"/>
          <w:lang w:val="sr-Latn-ME"/>
        </w:rPr>
        <w:t xml:space="preserve"> чешће код старијих особа, обично код пацијената са дијабетесом који истовремено примају терапију оралним хипогликемиком (нпр. глибенкламидом) или инсулином. Пријављени су случајеви  хипогликемијске коме. Код пацијената који имају дијабетес препоручује се пажљиво праћење концентрације глукозе у крви (погледати дио 4.8). </w:t>
      </w:r>
    </w:p>
    <w:p w14:paraId="4A21388A" w14:textId="568AFB56" w:rsidR="00C06689" w:rsidRPr="00E34696" w:rsidRDefault="00C06689" w:rsidP="00E34696">
      <w:pPr>
        <w:widowControl w:val="0"/>
        <w:tabs>
          <w:tab w:val="left" w:pos="284"/>
        </w:tabs>
        <w:jc w:val="both"/>
        <w:rPr>
          <w:sz w:val="22"/>
          <w:szCs w:val="22"/>
          <w:lang w:val="sr-Latn-ME"/>
        </w:rPr>
      </w:pPr>
      <w:r w:rsidRPr="00E34696">
        <w:rPr>
          <w:sz w:val="22"/>
          <w:szCs w:val="22"/>
          <w:lang w:val="sr-Latn-ME"/>
        </w:rPr>
        <w:t xml:space="preserve">Терапију лијеком Fovelid треба одмах обуставити уколико пацијент </w:t>
      </w:r>
      <w:r w:rsidR="00DD58E6" w:rsidRPr="00E34696">
        <w:rPr>
          <w:sz w:val="22"/>
          <w:szCs w:val="22"/>
          <w:lang w:val="sr-Latn-ME"/>
        </w:rPr>
        <w:t xml:space="preserve">пријави </w:t>
      </w:r>
      <w:r w:rsidRPr="00E34696">
        <w:rPr>
          <w:sz w:val="22"/>
          <w:szCs w:val="22"/>
          <w:lang w:val="sr-Latn-ME"/>
        </w:rPr>
        <w:t>поремећај нивоа глукозе у крви и треба размотрити алтернативну терапију нефлуорохинолинским антибактеријским љековима.</w:t>
      </w:r>
    </w:p>
    <w:p w14:paraId="7782D554" w14:textId="77777777" w:rsidR="00C06689" w:rsidRPr="00E34696" w:rsidRDefault="00C06689" w:rsidP="00E34696">
      <w:pPr>
        <w:widowControl w:val="0"/>
        <w:tabs>
          <w:tab w:val="left" w:pos="284"/>
        </w:tabs>
        <w:jc w:val="both"/>
        <w:rPr>
          <w:sz w:val="22"/>
          <w:szCs w:val="22"/>
          <w:lang w:val="sr-Latn-ME"/>
        </w:rPr>
      </w:pPr>
    </w:p>
    <w:p w14:paraId="713EF77E" w14:textId="77777777" w:rsidR="00C06689" w:rsidRPr="00E34696" w:rsidRDefault="00C06689" w:rsidP="00E34696">
      <w:pPr>
        <w:widowControl w:val="0"/>
        <w:tabs>
          <w:tab w:val="left" w:pos="284"/>
        </w:tabs>
        <w:jc w:val="both"/>
        <w:rPr>
          <w:sz w:val="22"/>
          <w:szCs w:val="22"/>
          <w:u w:val="single"/>
          <w:lang w:val="sr-Latn-ME"/>
        </w:rPr>
      </w:pPr>
      <w:r w:rsidRPr="00E34696">
        <w:rPr>
          <w:sz w:val="22"/>
          <w:szCs w:val="22"/>
          <w:u w:val="single"/>
          <w:lang w:val="sr-Latn-ME"/>
        </w:rPr>
        <w:t xml:space="preserve">Превенција фотосензибилизације </w:t>
      </w:r>
    </w:p>
    <w:p w14:paraId="17A97FE8"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Пријављени су случајеви појаве фотосензибилизације приликом терапије левофлоксацином (погледати дио 4.8). Препоручује се да се пацијенти непотребно не излажу јаком сунцу или вјештачким UV зрацима (нпр. кварцне лампе, соларијуми) током терапије и 48 сати по завршетку терапије левофлоксацином, како би се спријечиле реакције фотосензибилизације.</w:t>
      </w:r>
    </w:p>
    <w:p w14:paraId="5C9CA6BE" w14:textId="77777777" w:rsidR="00C06689" w:rsidRPr="00E34696" w:rsidRDefault="00C06689" w:rsidP="00E34696">
      <w:pPr>
        <w:widowControl w:val="0"/>
        <w:tabs>
          <w:tab w:val="left" w:pos="284"/>
        </w:tabs>
        <w:jc w:val="both"/>
        <w:rPr>
          <w:sz w:val="22"/>
          <w:szCs w:val="22"/>
          <w:lang w:val="sr-Latn-ME"/>
        </w:rPr>
      </w:pPr>
    </w:p>
    <w:p w14:paraId="00B5C176" w14:textId="77777777" w:rsidR="00C06689" w:rsidRPr="00E34696" w:rsidRDefault="00C06689" w:rsidP="00E34696">
      <w:pPr>
        <w:widowControl w:val="0"/>
        <w:tabs>
          <w:tab w:val="left" w:pos="284"/>
        </w:tabs>
        <w:jc w:val="both"/>
        <w:rPr>
          <w:sz w:val="22"/>
          <w:szCs w:val="22"/>
          <w:u w:val="single"/>
          <w:lang w:val="sr-Latn-ME"/>
        </w:rPr>
      </w:pPr>
      <w:r w:rsidRPr="00E34696">
        <w:rPr>
          <w:sz w:val="22"/>
          <w:szCs w:val="22"/>
          <w:u w:val="single"/>
          <w:lang w:val="sr-Latn-ME"/>
        </w:rPr>
        <w:t>Пацијенти који примају антагонисте витамина К</w:t>
      </w:r>
    </w:p>
    <w:p w14:paraId="57CB77B3" w14:textId="1005EDB1" w:rsidR="00C06689" w:rsidRPr="00E34696" w:rsidRDefault="00C06689" w:rsidP="00E34696">
      <w:pPr>
        <w:widowControl w:val="0"/>
        <w:tabs>
          <w:tab w:val="left" w:pos="284"/>
        </w:tabs>
        <w:jc w:val="both"/>
        <w:rPr>
          <w:sz w:val="22"/>
          <w:szCs w:val="22"/>
          <w:lang w:val="sr-Latn-ME"/>
        </w:rPr>
      </w:pPr>
      <w:r w:rsidRPr="00E34696">
        <w:rPr>
          <w:sz w:val="22"/>
          <w:szCs w:val="22"/>
          <w:lang w:val="sr-Latn-ME"/>
        </w:rPr>
        <w:t>Због могућег повећања вриједности параметара коагулације (PТ/INR) и/или крварења код пацијената који истовремено примају левофлоксацин и антагонисте витамина К (нпр. варфарин), треба контролисати вриједности параметара коагулације ако се ови љекови примјењују истовремено (погледати дио 4.5).</w:t>
      </w:r>
    </w:p>
    <w:p w14:paraId="33BBF1D6" w14:textId="77777777" w:rsidR="00C06689" w:rsidRPr="00E34696" w:rsidRDefault="00C06689" w:rsidP="00E34696">
      <w:pPr>
        <w:widowControl w:val="0"/>
        <w:tabs>
          <w:tab w:val="left" w:pos="284"/>
        </w:tabs>
        <w:jc w:val="both"/>
        <w:rPr>
          <w:sz w:val="22"/>
          <w:szCs w:val="22"/>
          <w:lang w:val="sr-Latn-ME"/>
        </w:rPr>
      </w:pPr>
    </w:p>
    <w:p w14:paraId="4C395B95" w14:textId="77777777" w:rsidR="00C06689" w:rsidRPr="00E34696" w:rsidRDefault="00C06689" w:rsidP="00E34696">
      <w:pPr>
        <w:widowControl w:val="0"/>
        <w:tabs>
          <w:tab w:val="left" w:pos="284"/>
        </w:tabs>
        <w:jc w:val="both"/>
        <w:rPr>
          <w:sz w:val="22"/>
          <w:szCs w:val="22"/>
          <w:u w:val="single"/>
          <w:lang w:val="sr-Latn-ME"/>
        </w:rPr>
      </w:pPr>
      <w:r w:rsidRPr="00E34696">
        <w:rPr>
          <w:sz w:val="22"/>
          <w:szCs w:val="22"/>
          <w:u w:val="single"/>
          <w:lang w:val="sr-Latn-ME"/>
        </w:rPr>
        <w:t>Психотичне реакције</w:t>
      </w:r>
    </w:p>
    <w:p w14:paraId="4F7B4FD9" w14:textId="70B93898" w:rsidR="00C06689" w:rsidRPr="00E34696" w:rsidRDefault="00C06689" w:rsidP="00E34696">
      <w:pPr>
        <w:widowControl w:val="0"/>
        <w:tabs>
          <w:tab w:val="left" w:pos="284"/>
        </w:tabs>
        <w:jc w:val="both"/>
        <w:rPr>
          <w:sz w:val="22"/>
          <w:szCs w:val="22"/>
          <w:lang w:val="sr-Latn-ME"/>
        </w:rPr>
      </w:pPr>
      <w:r w:rsidRPr="00E34696">
        <w:rPr>
          <w:sz w:val="22"/>
          <w:szCs w:val="22"/>
          <w:lang w:val="sr-Latn-ME"/>
        </w:rPr>
        <w:t>Психотичне реакције забиљежене су код пацијената лијечених хинолонима, укључујући левофлоксацин. У веома ријетким случајевима оне могу прећи у суицидне мисли и аутодеструктивно понашање – понекад након само једне дозе левофлоксацина (погледати дио 4.8). Ако пацијенти развију такве реакције, потребно је одмах прекинути примјену левофлоксацина приликом првих знакова или симптома ових реакција и пацијенту треба сав</w:t>
      </w:r>
      <w:r w:rsidR="00DD58E6" w:rsidRPr="00E34696">
        <w:rPr>
          <w:sz w:val="22"/>
          <w:szCs w:val="22"/>
          <w:lang w:val="sr-Latn-ME"/>
        </w:rPr>
        <w:t>ј</w:t>
      </w:r>
      <w:r w:rsidRPr="00E34696">
        <w:rPr>
          <w:sz w:val="22"/>
          <w:szCs w:val="22"/>
          <w:lang w:val="sr-Latn-ME"/>
        </w:rPr>
        <w:t xml:space="preserve">етовати да контактира свог </w:t>
      </w:r>
      <w:r w:rsidR="00B1065E" w:rsidRPr="00E34696">
        <w:rPr>
          <w:sz w:val="22"/>
          <w:szCs w:val="22"/>
          <w:lang w:val="sr-Latn-ME"/>
        </w:rPr>
        <w:t>љ</w:t>
      </w:r>
      <w:r w:rsidRPr="00E34696">
        <w:rPr>
          <w:sz w:val="22"/>
          <w:szCs w:val="22"/>
          <w:lang w:val="sr-Latn-ME"/>
        </w:rPr>
        <w:t>екара. Треба размотрити алтернативну терапију нефлуорохинолонским антибактеријским љековима и предузети одговарајуће мјере. Савјетује се опрез уколико се левофлоксацин примјењује код пацијената са психозама или код пацијената са психијатријским болестима у анамнези.</w:t>
      </w:r>
    </w:p>
    <w:p w14:paraId="0BAD922E" w14:textId="77777777" w:rsidR="006F554D" w:rsidRPr="00E34696" w:rsidRDefault="006F554D" w:rsidP="00E34696">
      <w:pPr>
        <w:widowControl w:val="0"/>
        <w:tabs>
          <w:tab w:val="left" w:pos="284"/>
        </w:tabs>
        <w:jc w:val="both"/>
        <w:rPr>
          <w:sz w:val="22"/>
          <w:szCs w:val="22"/>
          <w:u w:val="single"/>
          <w:lang w:val="sr-Latn-ME"/>
        </w:rPr>
      </w:pPr>
    </w:p>
    <w:p w14:paraId="1BF2C00B" w14:textId="757E5C73" w:rsidR="00C06689" w:rsidRPr="00E34696" w:rsidRDefault="00C06689" w:rsidP="00E34696">
      <w:pPr>
        <w:widowControl w:val="0"/>
        <w:tabs>
          <w:tab w:val="left" w:pos="284"/>
        </w:tabs>
        <w:jc w:val="both"/>
        <w:rPr>
          <w:sz w:val="22"/>
          <w:szCs w:val="22"/>
          <w:u w:val="single"/>
          <w:lang w:val="sr-Latn-ME"/>
        </w:rPr>
      </w:pPr>
      <w:r w:rsidRPr="00E34696">
        <w:rPr>
          <w:sz w:val="22"/>
          <w:szCs w:val="22"/>
          <w:u w:val="single"/>
          <w:lang w:val="sr-Latn-ME"/>
        </w:rPr>
        <w:lastRenderedPageBreak/>
        <w:t>Продужавање QТ интервала</w:t>
      </w:r>
    </w:p>
    <w:p w14:paraId="4ABE1F8A"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Флуорохинолоне укључујући и левофлоксацин, треба примјењивати са опрезом код пацијената код којих постоји ризик од продужавања QТ интервала, као у случају:</w:t>
      </w:r>
    </w:p>
    <w:p w14:paraId="7ACCDE26" w14:textId="6F3753C8" w:rsidR="00C06689" w:rsidRPr="00E34696" w:rsidRDefault="00C06689" w:rsidP="00E34696">
      <w:pPr>
        <w:widowControl w:val="0"/>
        <w:numPr>
          <w:ilvl w:val="0"/>
          <w:numId w:val="15"/>
        </w:numPr>
        <w:tabs>
          <w:tab w:val="left" w:pos="284"/>
        </w:tabs>
        <w:ind w:left="284" w:hanging="284"/>
        <w:jc w:val="both"/>
        <w:rPr>
          <w:sz w:val="22"/>
          <w:szCs w:val="22"/>
          <w:lang w:val="sr-Latn-ME"/>
        </w:rPr>
      </w:pPr>
      <w:r w:rsidRPr="00E34696">
        <w:rPr>
          <w:sz w:val="22"/>
          <w:szCs w:val="22"/>
          <w:lang w:val="sr-Latn-ME"/>
        </w:rPr>
        <w:t>синдрома конгенитално продуженог QТ интервала,</w:t>
      </w:r>
    </w:p>
    <w:p w14:paraId="20736306" w14:textId="2EA030EA" w:rsidR="00C06689" w:rsidRPr="00E34696" w:rsidRDefault="00C06689" w:rsidP="00E34696">
      <w:pPr>
        <w:widowControl w:val="0"/>
        <w:numPr>
          <w:ilvl w:val="0"/>
          <w:numId w:val="15"/>
        </w:numPr>
        <w:tabs>
          <w:tab w:val="left" w:pos="284"/>
        </w:tabs>
        <w:ind w:left="284" w:hanging="284"/>
        <w:jc w:val="both"/>
        <w:rPr>
          <w:sz w:val="22"/>
          <w:szCs w:val="22"/>
          <w:lang w:val="sr-Latn-ME"/>
        </w:rPr>
      </w:pPr>
      <w:r w:rsidRPr="00E34696">
        <w:rPr>
          <w:sz w:val="22"/>
          <w:szCs w:val="22"/>
          <w:lang w:val="sr-Latn-ME"/>
        </w:rPr>
        <w:t>истовремене примјене љекова за које се зна да продужавају QТ интервал (нпр. антиаритмици класе IА и III, трициклични антидепресиви, макролиди, антипсихотици),</w:t>
      </w:r>
    </w:p>
    <w:p w14:paraId="05AAA38B" w14:textId="45BE7BE5" w:rsidR="00C06689" w:rsidRPr="00E34696" w:rsidRDefault="00C06689" w:rsidP="00E34696">
      <w:pPr>
        <w:widowControl w:val="0"/>
        <w:numPr>
          <w:ilvl w:val="0"/>
          <w:numId w:val="15"/>
        </w:numPr>
        <w:tabs>
          <w:tab w:val="left" w:pos="284"/>
        </w:tabs>
        <w:ind w:left="284" w:hanging="284"/>
        <w:jc w:val="both"/>
        <w:rPr>
          <w:sz w:val="22"/>
          <w:szCs w:val="22"/>
          <w:lang w:val="sr-Latn-ME"/>
        </w:rPr>
      </w:pPr>
      <w:r w:rsidRPr="00E34696">
        <w:rPr>
          <w:sz w:val="22"/>
          <w:szCs w:val="22"/>
          <w:lang w:val="sr-Latn-ME"/>
        </w:rPr>
        <w:t>некоригован</w:t>
      </w:r>
      <w:r w:rsidR="00D37EF6">
        <w:rPr>
          <w:sz w:val="22"/>
          <w:szCs w:val="22"/>
          <w:lang w:val="sr-Cyrl-BA"/>
        </w:rPr>
        <w:t>ог</w:t>
      </w:r>
      <w:r w:rsidRPr="00E34696">
        <w:rPr>
          <w:sz w:val="22"/>
          <w:szCs w:val="22"/>
          <w:lang w:val="sr-Latn-ME"/>
        </w:rPr>
        <w:t xml:space="preserve"> електролитн</w:t>
      </w:r>
      <w:r w:rsidR="00D37EF6">
        <w:rPr>
          <w:sz w:val="22"/>
          <w:szCs w:val="22"/>
          <w:lang w:val="sr-Cyrl-BA"/>
        </w:rPr>
        <w:t>ог</w:t>
      </w:r>
      <w:r w:rsidRPr="00E34696">
        <w:rPr>
          <w:sz w:val="22"/>
          <w:szCs w:val="22"/>
          <w:lang w:val="sr-Latn-ME"/>
        </w:rPr>
        <w:t xml:space="preserve"> дисбаланс</w:t>
      </w:r>
      <w:r w:rsidR="00D37EF6">
        <w:rPr>
          <w:sz w:val="22"/>
          <w:szCs w:val="22"/>
          <w:lang w:val="sr-Cyrl-BA"/>
        </w:rPr>
        <w:t>а</w:t>
      </w:r>
      <w:r w:rsidRPr="00E34696">
        <w:rPr>
          <w:sz w:val="22"/>
          <w:szCs w:val="22"/>
          <w:lang w:val="sr-Latn-ME"/>
        </w:rPr>
        <w:t xml:space="preserve"> (нпр. хипокалемија, хипомагнеземија), </w:t>
      </w:r>
    </w:p>
    <w:p w14:paraId="7E50AE1C" w14:textId="47C88BF2" w:rsidR="00C06689" w:rsidRPr="00E34696" w:rsidRDefault="00C06689" w:rsidP="00E34696">
      <w:pPr>
        <w:widowControl w:val="0"/>
        <w:numPr>
          <w:ilvl w:val="0"/>
          <w:numId w:val="15"/>
        </w:numPr>
        <w:tabs>
          <w:tab w:val="left" w:pos="284"/>
        </w:tabs>
        <w:ind w:left="284" w:hanging="284"/>
        <w:jc w:val="both"/>
        <w:rPr>
          <w:sz w:val="22"/>
          <w:szCs w:val="22"/>
          <w:lang w:val="sr-Latn-ME"/>
        </w:rPr>
      </w:pPr>
      <w:r w:rsidRPr="00E34696">
        <w:rPr>
          <w:sz w:val="22"/>
          <w:szCs w:val="22"/>
          <w:lang w:val="sr-Latn-ME"/>
        </w:rPr>
        <w:t>обољења срца (нпр. срчана инсуфицијенција, инфаркт миокарда, брадикардија).</w:t>
      </w:r>
    </w:p>
    <w:p w14:paraId="78346539" w14:textId="77777777" w:rsidR="00C06689" w:rsidRPr="00E34696" w:rsidRDefault="00C06689" w:rsidP="00E34696">
      <w:pPr>
        <w:widowControl w:val="0"/>
        <w:tabs>
          <w:tab w:val="left" w:pos="284"/>
        </w:tabs>
        <w:jc w:val="both"/>
        <w:rPr>
          <w:sz w:val="22"/>
          <w:szCs w:val="22"/>
          <w:lang w:val="sr-Latn-ME"/>
        </w:rPr>
      </w:pPr>
    </w:p>
    <w:p w14:paraId="0D1C420F"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Старији пацијенти и жене могу бити осјетљивији на љекове који продужавају QТ интервал. Зато треба бити опрезан приликом примјене флуорохинолона (укључујући и левофлоксацина) у овим популацијама (погледати дјелове 4.2, 4.5, 4.8 и 4.9).</w:t>
      </w:r>
    </w:p>
    <w:p w14:paraId="101EE0CA" w14:textId="77777777" w:rsidR="00C06689" w:rsidRPr="00E34696" w:rsidRDefault="00C06689" w:rsidP="00E34696">
      <w:pPr>
        <w:widowControl w:val="0"/>
        <w:tabs>
          <w:tab w:val="left" w:pos="284"/>
        </w:tabs>
        <w:jc w:val="both"/>
        <w:rPr>
          <w:sz w:val="22"/>
          <w:szCs w:val="22"/>
          <w:lang w:val="sr-Latn-ME"/>
        </w:rPr>
      </w:pPr>
    </w:p>
    <w:p w14:paraId="0BA266B9" w14:textId="77777777" w:rsidR="00C06689" w:rsidRPr="00E34696" w:rsidRDefault="00C06689" w:rsidP="00E34696">
      <w:pPr>
        <w:widowControl w:val="0"/>
        <w:tabs>
          <w:tab w:val="left" w:pos="284"/>
        </w:tabs>
        <w:jc w:val="both"/>
        <w:rPr>
          <w:sz w:val="22"/>
          <w:szCs w:val="22"/>
          <w:u w:val="single"/>
          <w:lang w:val="sr-Latn-ME"/>
        </w:rPr>
      </w:pPr>
      <w:r w:rsidRPr="00E34696">
        <w:rPr>
          <w:sz w:val="22"/>
          <w:szCs w:val="22"/>
          <w:u w:val="single"/>
          <w:lang w:val="sr-Latn-ME"/>
        </w:rPr>
        <w:t>Периферна неуропатија</w:t>
      </w:r>
    </w:p>
    <w:p w14:paraId="704B89AA"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Случајеви сензорне или сензомоторне полинеуропатије која се манифестује као парестезија, хипоестезија, дисестезија или слабост, пријављени су код пацијената који примају хинолоне и флуорохинолоне. Уколико се јаве симптоми неуропатије као што су бол, жарење, трнци, укоченост или слабост, пацијенте који се лијече левофлоксацином треба савјетовати да о томе обавијесте свог љекара прије наставка лијечења како би се спријечио развој потенцијално иреверзибилног стања (погледати дио 4.8).</w:t>
      </w:r>
    </w:p>
    <w:p w14:paraId="1CED4362" w14:textId="77777777" w:rsidR="00C06689" w:rsidRPr="00E34696" w:rsidRDefault="00C06689" w:rsidP="00E34696">
      <w:pPr>
        <w:widowControl w:val="0"/>
        <w:tabs>
          <w:tab w:val="left" w:pos="284"/>
        </w:tabs>
        <w:jc w:val="both"/>
        <w:rPr>
          <w:sz w:val="22"/>
          <w:szCs w:val="22"/>
          <w:u w:val="single"/>
          <w:lang w:val="sr-Latn-ME"/>
        </w:rPr>
      </w:pPr>
    </w:p>
    <w:p w14:paraId="553ECD8F" w14:textId="77777777" w:rsidR="00C06689" w:rsidRPr="00E34696" w:rsidRDefault="00C06689" w:rsidP="00E34696">
      <w:pPr>
        <w:widowControl w:val="0"/>
        <w:tabs>
          <w:tab w:val="left" w:pos="284"/>
        </w:tabs>
        <w:jc w:val="both"/>
        <w:rPr>
          <w:sz w:val="22"/>
          <w:szCs w:val="22"/>
          <w:u w:val="single"/>
          <w:lang w:val="sr-Latn-ME"/>
        </w:rPr>
      </w:pPr>
      <w:r w:rsidRPr="00E34696">
        <w:rPr>
          <w:sz w:val="22"/>
          <w:szCs w:val="22"/>
          <w:u w:val="single"/>
          <w:lang w:val="sr-Latn-ME"/>
        </w:rPr>
        <w:t>Хепатобилијарни поремећаји</w:t>
      </w:r>
    </w:p>
    <w:p w14:paraId="6560C150" w14:textId="436FDE39" w:rsidR="00C06689" w:rsidRPr="00E34696" w:rsidRDefault="00C06689" w:rsidP="00E34696">
      <w:pPr>
        <w:widowControl w:val="0"/>
        <w:tabs>
          <w:tab w:val="left" w:pos="284"/>
        </w:tabs>
        <w:jc w:val="both"/>
        <w:rPr>
          <w:sz w:val="22"/>
          <w:szCs w:val="22"/>
          <w:lang w:val="sr-Latn-ME"/>
        </w:rPr>
      </w:pPr>
      <w:r w:rsidRPr="00E34696">
        <w:rPr>
          <w:sz w:val="22"/>
          <w:szCs w:val="22"/>
          <w:lang w:val="sr-Latn-ME"/>
        </w:rPr>
        <w:t>Код примјене левофлоксацина пријављени су случајеви хепатичке некрозе, па чак и животно угрожавајуће инсуфицијенције јетре, посебно код пацијената са тешким придруженим болестима, као што је сепса (погледати дио 4.8). Пацијенте треба савјетовати да прекину терапију и контактирају љекара уколико прим</w:t>
      </w:r>
      <w:r w:rsidR="00E3637B" w:rsidRPr="00E34696">
        <w:rPr>
          <w:sz w:val="22"/>
          <w:szCs w:val="22"/>
          <w:lang w:val="sr-Latn-ME"/>
        </w:rPr>
        <w:t>и</w:t>
      </w:r>
      <w:r w:rsidRPr="00E34696">
        <w:rPr>
          <w:sz w:val="22"/>
          <w:szCs w:val="22"/>
          <w:lang w:val="sr-Latn-ME"/>
        </w:rPr>
        <w:t>јете знакове и симптоме обољења јетре као што су анорексија, жутица, тамно пребојен урин, пруритус или болна осјетљивост абдомена.</w:t>
      </w:r>
    </w:p>
    <w:p w14:paraId="4BE4F626" w14:textId="77777777" w:rsidR="00C06689" w:rsidRPr="00E34696" w:rsidRDefault="00C06689" w:rsidP="00E34696">
      <w:pPr>
        <w:widowControl w:val="0"/>
        <w:tabs>
          <w:tab w:val="left" w:pos="284"/>
        </w:tabs>
        <w:jc w:val="both"/>
        <w:rPr>
          <w:sz w:val="22"/>
          <w:szCs w:val="22"/>
          <w:lang w:val="sr-Latn-ME"/>
        </w:rPr>
      </w:pPr>
    </w:p>
    <w:p w14:paraId="29C3F2B6" w14:textId="77777777" w:rsidR="00C06689" w:rsidRPr="00E34696" w:rsidRDefault="00C06689" w:rsidP="00E34696">
      <w:pPr>
        <w:widowControl w:val="0"/>
        <w:tabs>
          <w:tab w:val="left" w:pos="284"/>
        </w:tabs>
        <w:jc w:val="both"/>
        <w:rPr>
          <w:sz w:val="22"/>
          <w:szCs w:val="22"/>
          <w:u w:val="single"/>
          <w:lang w:val="sr-Latn-ME"/>
        </w:rPr>
      </w:pPr>
      <w:r w:rsidRPr="00E34696">
        <w:rPr>
          <w:sz w:val="22"/>
          <w:szCs w:val="22"/>
          <w:u w:val="single"/>
          <w:lang w:val="sr-Latn-ME"/>
        </w:rPr>
        <w:t>Егзацербације миастеније гравис</w:t>
      </w:r>
    </w:p>
    <w:p w14:paraId="5D4300F7" w14:textId="74469F3C" w:rsidR="00C06689" w:rsidRPr="00E34696" w:rsidRDefault="00C06689" w:rsidP="00E34696">
      <w:pPr>
        <w:widowControl w:val="0"/>
        <w:tabs>
          <w:tab w:val="left" w:pos="284"/>
        </w:tabs>
        <w:jc w:val="both"/>
        <w:rPr>
          <w:sz w:val="22"/>
          <w:szCs w:val="22"/>
          <w:lang w:val="sr-Latn-ME"/>
        </w:rPr>
      </w:pPr>
      <w:r w:rsidRPr="00E34696">
        <w:rPr>
          <w:sz w:val="22"/>
          <w:szCs w:val="22"/>
          <w:lang w:val="sr-Latn-ME"/>
        </w:rPr>
        <w:t>Флуорохинолони, укључујући левофлоксацин, блокирају неуромускуларну активност што доводи до погоршања слабости мишића код пацијената са миастенијом гравис. Постмаркетиншки су пријављен</w:t>
      </w:r>
      <w:r w:rsidR="003426CC">
        <w:rPr>
          <w:sz w:val="22"/>
          <w:szCs w:val="22"/>
          <w:lang w:val="sr-Cyrl-BA"/>
        </w:rPr>
        <w:t>а</w:t>
      </w:r>
      <w:r w:rsidRPr="00E34696">
        <w:rPr>
          <w:sz w:val="22"/>
          <w:szCs w:val="22"/>
          <w:lang w:val="sr-Latn-ME"/>
        </w:rPr>
        <w:t xml:space="preserve"> озбиљн</w:t>
      </w:r>
      <w:r w:rsidR="006B753E">
        <w:rPr>
          <w:sz w:val="22"/>
          <w:szCs w:val="22"/>
          <w:lang w:val="sr-Cyrl-BA"/>
        </w:rPr>
        <w:t>а</w:t>
      </w:r>
      <w:r w:rsidRPr="00E34696">
        <w:rPr>
          <w:sz w:val="22"/>
          <w:szCs w:val="22"/>
          <w:lang w:val="sr-Latn-ME"/>
        </w:rPr>
        <w:t xml:space="preserve"> нежељен</w:t>
      </w:r>
      <w:r w:rsidR="006B753E">
        <w:rPr>
          <w:sz w:val="22"/>
          <w:szCs w:val="22"/>
          <w:lang w:val="sr-Cyrl-BA"/>
        </w:rPr>
        <w:t>а</w:t>
      </w:r>
      <w:r w:rsidRPr="00E34696">
        <w:rPr>
          <w:sz w:val="22"/>
          <w:szCs w:val="22"/>
          <w:lang w:val="sr-Latn-ME"/>
        </w:rPr>
        <w:t xml:space="preserve"> </w:t>
      </w:r>
      <w:r w:rsidR="006B753E">
        <w:rPr>
          <w:sz w:val="22"/>
          <w:szCs w:val="22"/>
          <w:lang w:val="sr-Cyrl-BA"/>
        </w:rPr>
        <w:t>дејства</w:t>
      </w:r>
      <w:r w:rsidRPr="00E34696">
        <w:rPr>
          <w:sz w:val="22"/>
          <w:szCs w:val="22"/>
          <w:lang w:val="sr-Latn-ME"/>
        </w:rPr>
        <w:t>, укључујући смрт и потребу за респираторном подршком, кој</w:t>
      </w:r>
      <w:r w:rsidR="00E008AB">
        <w:rPr>
          <w:sz w:val="22"/>
          <w:szCs w:val="22"/>
          <w:lang w:val="sr-Cyrl-BA"/>
        </w:rPr>
        <w:t>а</w:t>
      </w:r>
      <w:r w:rsidRPr="00E34696">
        <w:rPr>
          <w:sz w:val="22"/>
          <w:szCs w:val="22"/>
          <w:lang w:val="sr-Latn-ME"/>
        </w:rPr>
        <w:t xml:space="preserve"> су повезан</w:t>
      </w:r>
      <w:r w:rsidR="00E008AB">
        <w:rPr>
          <w:sz w:val="22"/>
          <w:szCs w:val="22"/>
          <w:lang w:val="sr-Cyrl-BA"/>
        </w:rPr>
        <w:t>а</w:t>
      </w:r>
      <w:r w:rsidRPr="00E34696">
        <w:rPr>
          <w:sz w:val="22"/>
          <w:szCs w:val="22"/>
          <w:lang w:val="sr-Latn-ME"/>
        </w:rPr>
        <w:t xml:space="preserve"> са примјеном флуорохинолона код пацијената са миастенијом гравис. Левофлоксацин се не препоручује код пацијената са миастенијом гравис у анамнези.</w:t>
      </w:r>
    </w:p>
    <w:p w14:paraId="6E88DD31" w14:textId="77777777" w:rsidR="00C06689" w:rsidRPr="00E34696" w:rsidRDefault="00C06689" w:rsidP="00E34696">
      <w:pPr>
        <w:widowControl w:val="0"/>
        <w:tabs>
          <w:tab w:val="left" w:pos="284"/>
        </w:tabs>
        <w:jc w:val="both"/>
        <w:rPr>
          <w:sz w:val="22"/>
          <w:szCs w:val="22"/>
          <w:lang w:val="sr-Latn-ME"/>
        </w:rPr>
      </w:pPr>
    </w:p>
    <w:p w14:paraId="139A9C5C" w14:textId="77777777" w:rsidR="00C06689" w:rsidRPr="00E34696" w:rsidRDefault="00C06689" w:rsidP="00E34696">
      <w:pPr>
        <w:widowControl w:val="0"/>
        <w:tabs>
          <w:tab w:val="left" w:pos="284"/>
        </w:tabs>
        <w:jc w:val="both"/>
        <w:rPr>
          <w:sz w:val="22"/>
          <w:szCs w:val="22"/>
          <w:u w:val="single"/>
          <w:lang w:val="sr-Latn-ME"/>
        </w:rPr>
      </w:pPr>
      <w:r w:rsidRPr="00E34696">
        <w:rPr>
          <w:sz w:val="22"/>
          <w:szCs w:val="22"/>
          <w:u w:val="single"/>
          <w:lang w:val="sr-Latn-ME"/>
        </w:rPr>
        <w:t>Поремећај вида</w:t>
      </w:r>
    </w:p>
    <w:p w14:paraId="2D6D3D21"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Уколико приликом примјене левофлоксацина дође до поремећаја вида пацијента или се појаве било какви поремећаји ока треба консултовати офталмолога (погледати дјелове 4.7 и 4.8).</w:t>
      </w:r>
    </w:p>
    <w:p w14:paraId="617A214F" w14:textId="77777777" w:rsidR="00E848AA" w:rsidRPr="00E34696" w:rsidRDefault="00E848AA" w:rsidP="00E34696">
      <w:pPr>
        <w:widowControl w:val="0"/>
        <w:tabs>
          <w:tab w:val="left" w:pos="284"/>
        </w:tabs>
        <w:jc w:val="both"/>
        <w:rPr>
          <w:sz w:val="22"/>
          <w:szCs w:val="22"/>
          <w:u w:val="single"/>
          <w:lang w:val="sr-Latn-ME"/>
        </w:rPr>
      </w:pPr>
    </w:p>
    <w:p w14:paraId="679925F0" w14:textId="1DF88103" w:rsidR="00C06689" w:rsidRPr="00E34696" w:rsidRDefault="00C06689" w:rsidP="00E34696">
      <w:pPr>
        <w:widowControl w:val="0"/>
        <w:tabs>
          <w:tab w:val="left" w:pos="284"/>
        </w:tabs>
        <w:jc w:val="both"/>
        <w:rPr>
          <w:sz w:val="22"/>
          <w:szCs w:val="22"/>
          <w:u w:val="single"/>
          <w:lang w:val="sr-Latn-ME"/>
        </w:rPr>
      </w:pPr>
      <w:r w:rsidRPr="00E34696">
        <w:rPr>
          <w:sz w:val="22"/>
          <w:szCs w:val="22"/>
          <w:u w:val="single"/>
          <w:lang w:val="sr-Latn-ME"/>
        </w:rPr>
        <w:t>Суперинфекција</w:t>
      </w:r>
    </w:p>
    <w:p w14:paraId="79514ED6"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 xml:space="preserve">Употреба левофлоксацина, нарочито продужена, може довести до </w:t>
      </w:r>
      <w:r w:rsidR="00624861" w:rsidRPr="00E34696">
        <w:rPr>
          <w:sz w:val="22"/>
          <w:szCs w:val="22"/>
          <w:lang w:val="sr-Latn-ME"/>
        </w:rPr>
        <w:t xml:space="preserve">прекомјерног </w:t>
      </w:r>
      <w:r w:rsidRPr="00E34696">
        <w:rPr>
          <w:sz w:val="22"/>
          <w:szCs w:val="22"/>
          <w:lang w:val="sr-Latn-ME"/>
        </w:rPr>
        <w:t>раста неосјетљивих микроорганизама. Ако дође до суперинфекције током терапије, треба предузети одговарајуће мјере.</w:t>
      </w:r>
    </w:p>
    <w:p w14:paraId="3F4A621A" w14:textId="77777777" w:rsidR="00C06689" w:rsidRPr="00E34696" w:rsidRDefault="00C06689" w:rsidP="00E34696">
      <w:pPr>
        <w:widowControl w:val="0"/>
        <w:tabs>
          <w:tab w:val="left" w:pos="284"/>
        </w:tabs>
        <w:jc w:val="both"/>
        <w:rPr>
          <w:sz w:val="22"/>
          <w:szCs w:val="22"/>
          <w:lang w:val="sr-Latn-ME"/>
        </w:rPr>
      </w:pPr>
    </w:p>
    <w:p w14:paraId="23A24AC0" w14:textId="77777777" w:rsidR="00C06689" w:rsidRPr="00E34696" w:rsidRDefault="00C06689" w:rsidP="00E34696">
      <w:pPr>
        <w:widowControl w:val="0"/>
        <w:tabs>
          <w:tab w:val="left" w:pos="284"/>
        </w:tabs>
        <w:jc w:val="both"/>
        <w:rPr>
          <w:sz w:val="22"/>
          <w:szCs w:val="22"/>
          <w:u w:val="single"/>
          <w:lang w:val="sr-Latn-ME"/>
        </w:rPr>
      </w:pPr>
      <w:r w:rsidRPr="00E34696">
        <w:rPr>
          <w:sz w:val="22"/>
          <w:szCs w:val="22"/>
          <w:u w:val="single"/>
          <w:lang w:val="sr-Latn-ME"/>
        </w:rPr>
        <w:t>Интерференције са лабораторијским тестовима</w:t>
      </w:r>
    </w:p>
    <w:p w14:paraId="241A7048"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Код пацијената који су на терапији левофлоксацином, одређивање опијата у урину може дати лажно позитивне резултате. Можда ће бити потребно да се позитивни налаз потврди специфичнијом методом.</w:t>
      </w:r>
    </w:p>
    <w:p w14:paraId="25524D67" w14:textId="77777777" w:rsidR="00C06689" w:rsidRPr="00E34696" w:rsidRDefault="00C06689" w:rsidP="00E34696">
      <w:pPr>
        <w:widowControl w:val="0"/>
        <w:tabs>
          <w:tab w:val="left" w:pos="284"/>
        </w:tabs>
        <w:jc w:val="both"/>
        <w:rPr>
          <w:sz w:val="22"/>
          <w:szCs w:val="22"/>
          <w:lang w:val="sr-Latn-ME"/>
        </w:rPr>
      </w:pPr>
    </w:p>
    <w:p w14:paraId="61703AB0"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 xml:space="preserve">Левофлоксацин може спријечити раст бактерије </w:t>
      </w:r>
      <w:r w:rsidRPr="00E34696">
        <w:rPr>
          <w:i/>
          <w:sz w:val="22"/>
          <w:szCs w:val="22"/>
          <w:lang w:val="sr-Latn-ME"/>
        </w:rPr>
        <w:t>Mycobacterium tuberculosis</w:t>
      </w:r>
      <w:r w:rsidRPr="00E34696">
        <w:rPr>
          <w:sz w:val="22"/>
          <w:szCs w:val="22"/>
          <w:lang w:val="sr-Latn-ME"/>
        </w:rPr>
        <w:t xml:space="preserve"> и, стога, може дати лажно негативне резултате у бактериолошкој дијагностици туберкулозе.</w:t>
      </w:r>
    </w:p>
    <w:p w14:paraId="29885CB6" w14:textId="77777777" w:rsidR="00C06689" w:rsidRPr="00E34696" w:rsidRDefault="00C06689" w:rsidP="00E34696">
      <w:pPr>
        <w:widowControl w:val="0"/>
        <w:tabs>
          <w:tab w:val="left" w:pos="284"/>
        </w:tabs>
        <w:jc w:val="both"/>
        <w:rPr>
          <w:sz w:val="22"/>
          <w:szCs w:val="22"/>
          <w:lang w:val="sr-Latn-ME"/>
        </w:rPr>
      </w:pPr>
    </w:p>
    <w:p w14:paraId="6F5985BC" w14:textId="77777777" w:rsidR="00C06689" w:rsidRPr="00E34696" w:rsidRDefault="00C06689" w:rsidP="00E34696">
      <w:pPr>
        <w:widowControl w:val="0"/>
        <w:tabs>
          <w:tab w:val="left" w:pos="284"/>
        </w:tabs>
        <w:jc w:val="both"/>
        <w:rPr>
          <w:sz w:val="22"/>
          <w:szCs w:val="22"/>
          <w:u w:val="single"/>
          <w:lang w:val="sr-Latn-ME"/>
        </w:rPr>
      </w:pPr>
      <w:r w:rsidRPr="00E34696">
        <w:rPr>
          <w:sz w:val="22"/>
          <w:szCs w:val="22"/>
          <w:u w:val="single"/>
          <w:lang w:val="sr-Latn-ME"/>
        </w:rPr>
        <w:t>Анеуризма аорте и дисекција аорте, и регургитација/инсуфицијенција срчаног залиска</w:t>
      </w:r>
    </w:p>
    <w:p w14:paraId="586C7269" w14:textId="0CBD1F0D" w:rsidR="00C06689" w:rsidRPr="00E34696" w:rsidRDefault="00C06689" w:rsidP="00E34696">
      <w:pPr>
        <w:widowControl w:val="0"/>
        <w:tabs>
          <w:tab w:val="left" w:pos="284"/>
        </w:tabs>
        <w:jc w:val="both"/>
        <w:rPr>
          <w:sz w:val="22"/>
          <w:szCs w:val="22"/>
          <w:lang w:val="sr-Latn-ME"/>
        </w:rPr>
      </w:pPr>
      <w:r w:rsidRPr="00E34696">
        <w:rPr>
          <w:sz w:val="22"/>
          <w:szCs w:val="22"/>
          <w:lang w:val="sr-Latn-ME"/>
        </w:rPr>
        <w:t xml:space="preserve">У епидемиолошким студијама пријављен је повећан ризик од анеуризме и дисекције аорте и од регургитације аортног и митралног залиска након узимања флуорохинолона, посебно код старије популације. Случајеви анеуризме и дисекције аорте, понекад са руптуром као компликацијом </w:t>
      </w:r>
      <w:r w:rsidRPr="00E34696">
        <w:rPr>
          <w:sz w:val="22"/>
          <w:szCs w:val="22"/>
          <w:lang w:val="sr-Latn-ME"/>
        </w:rPr>
        <w:lastRenderedPageBreak/>
        <w:t>(укључујући оне са смрним исходом), и регургитације/инсуфицијенције било којих срчаних залистака пријављени су код пацијенти који примају флуоро</w:t>
      </w:r>
      <w:r w:rsidR="00364BC0" w:rsidRPr="00E34696">
        <w:rPr>
          <w:sz w:val="22"/>
          <w:szCs w:val="22"/>
          <w:lang w:val="sr-Latn-ME"/>
        </w:rPr>
        <w:t>х</w:t>
      </w:r>
      <w:r w:rsidRPr="00E34696">
        <w:rPr>
          <w:sz w:val="22"/>
          <w:szCs w:val="22"/>
          <w:lang w:val="sr-Latn-ME"/>
        </w:rPr>
        <w:t>инолоне (погледати дио 4.8).</w:t>
      </w:r>
    </w:p>
    <w:p w14:paraId="536DFC63" w14:textId="1600C43A" w:rsidR="00C06689" w:rsidRPr="00E34696" w:rsidRDefault="00C06689" w:rsidP="00E34696">
      <w:pPr>
        <w:widowControl w:val="0"/>
        <w:tabs>
          <w:tab w:val="left" w:pos="284"/>
        </w:tabs>
        <w:jc w:val="both"/>
        <w:rPr>
          <w:sz w:val="22"/>
          <w:szCs w:val="22"/>
          <w:lang w:val="sr-Latn-ME"/>
        </w:rPr>
      </w:pPr>
      <w:r w:rsidRPr="00E34696">
        <w:rPr>
          <w:sz w:val="22"/>
          <w:szCs w:val="22"/>
          <w:lang w:val="sr-Latn-ME"/>
        </w:rPr>
        <w:t xml:space="preserve">Стога се флуорохинолони смију примјењивати само након пажљиве процјене односа користи и ризика и након разматрања других терапијских опција код пацијената са анеуризматском болешћу или са урођеном болести срчаних залистака у породичној анамнези, или код пацијената којима је претходно дијагностикована анеуризма и/или дисекција аорте или болест срчаних залистака, или код којих постоје други фактори ризика или стања која представљају предиспозицију </w:t>
      </w:r>
      <w:r w:rsidR="00B76354" w:rsidRPr="00E34696">
        <w:rPr>
          <w:sz w:val="22"/>
          <w:szCs w:val="22"/>
          <w:lang w:val="sr-Latn-ME"/>
        </w:rPr>
        <w:t>:</w:t>
      </w:r>
    </w:p>
    <w:p w14:paraId="3D783E6D" w14:textId="00B2DDE6" w:rsidR="00C06689" w:rsidRPr="00E34696" w:rsidRDefault="00C06689" w:rsidP="00E34696">
      <w:pPr>
        <w:widowControl w:val="0"/>
        <w:numPr>
          <w:ilvl w:val="0"/>
          <w:numId w:val="15"/>
        </w:numPr>
        <w:tabs>
          <w:tab w:val="left" w:pos="284"/>
        </w:tabs>
        <w:ind w:left="284" w:hanging="284"/>
        <w:jc w:val="both"/>
        <w:rPr>
          <w:sz w:val="22"/>
          <w:szCs w:val="22"/>
          <w:lang w:val="sr-Latn-ME"/>
        </w:rPr>
      </w:pPr>
      <w:r w:rsidRPr="00E34696">
        <w:rPr>
          <w:sz w:val="22"/>
          <w:szCs w:val="22"/>
          <w:lang w:val="sr-Latn-ME"/>
        </w:rPr>
        <w:t xml:space="preserve">за анеуризму и дисекцију аорте и за регургитацију/инсуфицијенцију срчаних залистака (нпр. поремећаји везивног ткива као што су </w:t>
      </w:r>
      <w:r w:rsidRPr="00E34696">
        <w:rPr>
          <w:i/>
          <w:sz w:val="22"/>
          <w:szCs w:val="22"/>
          <w:lang w:val="sr-Latn-ME"/>
        </w:rPr>
        <w:t>Marfan</w:t>
      </w:r>
      <w:r w:rsidRPr="00E34696">
        <w:rPr>
          <w:sz w:val="22"/>
          <w:szCs w:val="22"/>
          <w:lang w:val="sr-Latn-ME"/>
        </w:rPr>
        <w:t xml:space="preserve">-ов синдром или </w:t>
      </w:r>
      <w:r w:rsidRPr="00E34696">
        <w:rPr>
          <w:i/>
          <w:sz w:val="22"/>
          <w:szCs w:val="22"/>
          <w:lang w:val="sr-Latn-ME"/>
        </w:rPr>
        <w:t>Ehlers-Danlos</w:t>
      </w:r>
      <w:r w:rsidRPr="00E34696">
        <w:rPr>
          <w:sz w:val="22"/>
          <w:szCs w:val="22"/>
          <w:lang w:val="sr-Latn-ME"/>
        </w:rPr>
        <w:t xml:space="preserve">-ов синдром, </w:t>
      </w:r>
      <w:r w:rsidRPr="00E34696">
        <w:rPr>
          <w:i/>
          <w:sz w:val="22"/>
          <w:szCs w:val="22"/>
          <w:lang w:val="sr-Latn-ME"/>
        </w:rPr>
        <w:t>Turner</w:t>
      </w:r>
      <w:r w:rsidRPr="00E34696">
        <w:rPr>
          <w:sz w:val="22"/>
          <w:szCs w:val="22"/>
          <w:lang w:val="sr-Latn-ME"/>
        </w:rPr>
        <w:t xml:space="preserve">-ов синдром, </w:t>
      </w:r>
      <w:r w:rsidRPr="00E34696">
        <w:rPr>
          <w:i/>
          <w:sz w:val="22"/>
          <w:szCs w:val="22"/>
          <w:lang w:val="sr-Latn-ME"/>
        </w:rPr>
        <w:t>Behcet</w:t>
      </w:r>
      <w:r w:rsidRPr="00E34696">
        <w:rPr>
          <w:sz w:val="22"/>
          <w:szCs w:val="22"/>
          <w:lang w:val="sr-Latn-ME"/>
        </w:rPr>
        <w:t xml:space="preserve">-ова болест, хипертензија, реуматоидни артритис) или додатно </w:t>
      </w:r>
    </w:p>
    <w:p w14:paraId="48FFBAFB" w14:textId="77777777" w:rsidR="00C06689" w:rsidRPr="00E34696" w:rsidRDefault="00C06689" w:rsidP="00E34696">
      <w:pPr>
        <w:widowControl w:val="0"/>
        <w:numPr>
          <w:ilvl w:val="0"/>
          <w:numId w:val="15"/>
        </w:numPr>
        <w:tabs>
          <w:tab w:val="left" w:pos="284"/>
        </w:tabs>
        <w:ind w:left="284" w:hanging="284"/>
        <w:jc w:val="both"/>
        <w:rPr>
          <w:sz w:val="22"/>
          <w:szCs w:val="22"/>
          <w:lang w:val="sr-Latn-ME"/>
        </w:rPr>
      </w:pPr>
      <w:r w:rsidRPr="00E34696">
        <w:rPr>
          <w:sz w:val="22"/>
          <w:szCs w:val="22"/>
          <w:lang w:val="sr-Latn-ME"/>
        </w:rPr>
        <w:t xml:space="preserve">за анеуризму и дисекцију аорте (нпр. васкуларни поремећаји као што су </w:t>
      </w:r>
      <w:r w:rsidRPr="00E34696">
        <w:rPr>
          <w:i/>
          <w:sz w:val="22"/>
          <w:szCs w:val="22"/>
          <w:lang w:val="sr-Latn-ME"/>
        </w:rPr>
        <w:t>Takayasu</w:t>
      </w:r>
      <w:r w:rsidRPr="00E34696">
        <w:rPr>
          <w:sz w:val="22"/>
          <w:szCs w:val="22"/>
          <w:lang w:val="sr-Latn-ME"/>
        </w:rPr>
        <w:t xml:space="preserve">-ов артеритис или артеритис џиновских ћелија или позната атеросклероза или </w:t>
      </w:r>
      <w:r w:rsidRPr="00E34696">
        <w:rPr>
          <w:i/>
          <w:sz w:val="22"/>
          <w:szCs w:val="22"/>
          <w:lang w:val="sr-Latn-ME"/>
        </w:rPr>
        <w:t>Sjögren</w:t>
      </w:r>
      <w:r w:rsidRPr="00E34696">
        <w:rPr>
          <w:sz w:val="22"/>
          <w:szCs w:val="22"/>
          <w:lang w:val="sr-Latn-ME"/>
        </w:rPr>
        <w:t>-ов синдром) или додатно</w:t>
      </w:r>
    </w:p>
    <w:p w14:paraId="15B511CB" w14:textId="77777777" w:rsidR="00C06689" w:rsidRPr="00E34696" w:rsidRDefault="00C06689" w:rsidP="00E34696">
      <w:pPr>
        <w:widowControl w:val="0"/>
        <w:numPr>
          <w:ilvl w:val="0"/>
          <w:numId w:val="15"/>
        </w:numPr>
        <w:tabs>
          <w:tab w:val="left" w:pos="284"/>
        </w:tabs>
        <w:ind w:left="284" w:hanging="284"/>
        <w:jc w:val="both"/>
        <w:rPr>
          <w:sz w:val="22"/>
          <w:szCs w:val="22"/>
          <w:lang w:val="sr-Latn-ME"/>
        </w:rPr>
      </w:pPr>
      <w:r w:rsidRPr="00E34696">
        <w:rPr>
          <w:sz w:val="22"/>
          <w:szCs w:val="22"/>
          <w:lang w:val="sr-Latn-ME"/>
        </w:rPr>
        <w:t xml:space="preserve">за регургитацију/инсуфицијенцију срчаних залистака (нпр. инфективни ендокардитис). </w:t>
      </w:r>
    </w:p>
    <w:p w14:paraId="5E784DB8" w14:textId="77777777" w:rsidR="00C06689" w:rsidRPr="00E34696" w:rsidRDefault="00C06689" w:rsidP="00E34696">
      <w:pPr>
        <w:widowControl w:val="0"/>
        <w:tabs>
          <w:tab w:val="left" w:pos="284"/>
        </w:tabs>
        <w:jc w:val="both"/>
        <w:rPr>
          <w:sz w:val="22"/>
          <w:szCs w:val="22"/>
          <w:lang w:val="sr-Latn-ME"/>
        </w:rPr>
      </w:pPr>
    </w:p>
    <w:p w14:paraId="484A75CB"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Ризик од анеуризме и дисекције аорте и њихове руптуре може бити повећан и код пацијената који се истовремено лијече кортикостероидима за системску примјену.</w:t>
      </w:r>
    </w:p>
    <w:p w14:paraId="6B95C070"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Пацијентима треба савјетовати да се у случају изненадног бола у предјелу абдомена, груди или леђа одмах обрате љекару у хитној медицинској служби.</w:t>
      </w:r>
    </w:p>
    <w:p w14:paraId="6984459F" w14:textId="77777777" w:rsidR="008C2437" w:rsidRPr="00E34696" w:rsidRDefault="008C2437" w:rsidP="00E34696">
      <w:pPr>
        <w:widowControl w:val="0"/>
        <w:tabs>
          <w:tab w:val="left" w:pos="284"/>
        </w:tabs>
        <w:jc w:val="both"/>
        <w:rPr>
          <w:sz w:val="22"/>
          <w:szCs w:val="22"/>
          <w:lang w:val="sr-Latn-ME"/>
        </w:rPr>
      </w:pPr>
    </w:p>
    <w:p w14:paraId="27664B9D"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Пацијентима је потребно савјетовати да потраже хитну медицинску помоћ у случају акутне диспнеје, нове појаве палпитација срца или развоја едема абдомена или доњих екстремитета.</w:t>
      </w:r>
    </w:p>
    <w:p w14:paraId="171A7B19" w14:textId="77777777" w:rsidR="00F92933" w:rsidRPr="00E34696" w:rsidRDefault="00F92933" w:rsidP="00E34696">
      <w:pPr>
        <w:widowControl w:val="0"/>
        <w:tabs>
          <w:tab w:val="left" w:pos="284"/>
        </w:tabs>
        <w:jc w:val="both"/>
        <w:rPr>
          <w:sz w:val="22"/>
          <w:szCs w:val="22"/>
          <w:lang w:val="sr-Latn-ME"/>
        </w:rPr>
      </w:pPr>
    </w:p>
    <w:p w14:paraId="6AEB2448" w14:textId="44980592" w:rsidR="00F92933" w:rsidRPr="00E34696" w:rsidRDefault="00F92933" w:rsidP="00E34696">
      <w:pPr>
        <w:widowControl w:val="0"/>
        <w:tabs>
          <w:tab w:val="left" w:pos="284"/>
        </w:tabs>
        <w:jc w:val="both"/>
        <w:rPr>
          <w:sz w:val="22"/>
          <w:szCs w:val="22"/>
          <w:u w:val="single"/>
          <w:lang w:val="sr-Latn-ME"/>
        </w:rPr>
      </w:pPr>
      <w:r w:rsidRPr="00E34696">
        <w:rPr>
          <w:sz w:val="22"/>
          <w:szCs w:val="22"/>
          <w:u w:val="single"/>
          <w:lang w:val="sr-Latn-ME"/>
        </w:rPr>
        <w:t>Акутни панкреатитис</w:t>
      </w:r>
    </w:p>
    <w:p w14:paraId="7F55DF9D" w14:textId="16C03C37" w:rsidR="00F92933" w:rsidRPr="00E34696" w:rsidRDefault="00F92933" w:rsidP="00E34696">
      <w:pPr>
        <w:widowControl w:val="0"/>
        <w:tabs>
          <w:tab w:val="left" w:pos="284"/>
        </w:tabs>
        <w:jc w:val="both"/>
        <w:rPr>
          <w:sz w:val="22"/>
          <w:szCs w:val="22"/>
          <w:lang w:val="sr-Latn-ME"/>
        </w:rPr>
      </w:pPr>
      <w:r w:rsidRPr="00E34696">
        <w:rPr>
          <w:sz w:val="22"/>
          <w:szCs w:val="22"/>
          <w:lang w:val="sr-Latn-ME"/>
        </w:rPr>
        <w:t>Код пацијената који узимају левофлоксацин може се примијетити акутни панкреатитис. Пацијенте треба обавијестити о карактеристичним симптомима акутног панкреатитиса. Пацијенти који имају мучнину, малаксалост, нелагодност у стомаку, акутни бол у стомаку или повраћају требају се хитно прегледати. Ако се сумња на акутни панкреатитис, употребу левофлоксацина треба прекинути; ако се потврди, употребу левофлоксацина не треба поново започети. Треба бити опрезан код пацијената са панкреатитисом у анамнези (погледати дио 4.8).</w:t>
      </w:r>
    </w:p>
    <w:p w14:paraId="67D2C53F" w14:textId="1BE5F5BA" w:rsidR="00867ADD" w:rsidRPr="00E34696" w:rsidRDefault="00867ADD" w:rsidP="00E34696">
      <w:pPr>
        <w:widowControl w:val="0"/>
        <w:tabs>
          <w:tab w:val="left" w:pos="284"/>
        </w:tabs>
        <w:jc w:val="both"/>
        <w:rPr>
          <w:sz w:val="22"/>
          <w:szCs w:val="22"/>
          <w:lang w:val="sr-Latn-ME"/>
        </w:rPr>
      </w:pPr>
    </w:p>
    <w:p w14:paraId="3CA905AF" w14:textId="77777777" w:rsidR="00867ADD" w:rsidRPr="00E34696" w:rsidRDefault="00867ADD" w:rsidP="00E34696">
      <w:pPr>
        <w:widowControl w:val="0"/>
        <w:tabs>
          <w:tab w:val="left" w:pos="284"/>
        </w:tabs>
        <w:jc w:val="both"/>
        <w:rPr>
          <w:sz w:val="22"/>
          <w:szCs w:val="22"/>
          <w:u w:val="single"/>
          <w:lang w:val="sr-Latn-ME"/>
        </w:rPr>
      </w:pPr>
      <w:r w:rsidRPr="00E34696">
        <w:rPr>
          <w:sz w:val="22"/>
          <w:szCs w:val="22"/>
          <w:u w:val="single"/>
          <w:lang w:val="sr-Latn-ME"/>
        </w:rPr>
        <w:t>Поремећаји крви</w:t>
      </w:r>
    </w:p>
    <w:p w14:paraId="6010B35D" w14:textId="71876F4C" w:rsidR="00867ADD" w:rsidRPr="00E34696" w:rsidRDefault="00867ADD" w:rsidP="00E34696">
      <w:pPr>
        <w:widowControl w:val="0"/>
        <w:tabs>
          <w:tab w:val="left" w:pos="284"/>
        </w:tabs>
        <w:jc w:val="both"/>
        <w:rPr>
          <w:sz w:val="22"/>
          <w:szCs w:val="22"/>
          <w:lang w:val="sr-Latn-ME"/>
        </w:rPr>
      </w:pPr>
      <w:r w:rsidRPr="00E34696">
        <w:rPr>
          <w:sz w:val="22"/>
          <w:szCs w:val="22"/>
          <w:lang w:val="sr-Latn-ME"/>
        </w:rPr>
        <w:t>Током л</w:t>
      </w:r>
      <w:r w:rsidR="005B043A" w:rsidRPr="00E34696">
        <w:rPr>
          <w:sz w:val="22"/>
          <w:szCs w:val="22"/>
          <w:lang w:val="sr-Latn-ME"/>
        </w:rPr>
        <w:t>иј</w:t>
      </w:r>
      <w:r w:rsidRPr="00E34696">
        <w:rPr>
          <w:sz w:val="22"/>
          <w:szCs w:val="22"/>
          <w:lang w:val="sr-Latn-ME"/>
        </w:rPr>
        <w:t>ечења левофлоксацином може се развити оштећење коштане сржи, укључујући леукопенију, неутропенију, панцитопенију, хемолитичку анемију, тромбоцитопенију, апластичну анемију или агранулоцитозу (</w:t>
      </w:r>
      <w:r w:rsidR="005B043A" w:rsidRPr="00E34696">
        <w:rPr>
          <w:sz w:val="22"/>
          <w:szCs w:val="22"/>
          <w:lang w:val="sr-Latn-ME"/>
        </w:rPr>
        <w:t>погледати</w:t>
      </w:r>
      <w:r w:rsidRPr="00E34696">
        <w:rPr>
          <w:sz w:val="22"/>
          <w:szCs w:val="22"/>
          <w:lang w:val="sr-Latn-ME"/>
        </w:rPr>
        <w:t xml:space="preserve"> </w:t>
      </w:r>
      <w:r w:rsidR="005B043A" w:rsidRPr="00E34696">
        <w:rPr>
          <w:sz w:val="22"/>
          <w:szCs w:val="22"/>
          <w:lang w:val="sr-Latn-ME"/>
        </w:rPr>
        <w:t>дио</w:t>
      </w:r>
      <w:r w:rsidRPr="00E34696">
        <w:rPr>
          <w:sz w:val="22"/>
          <w:szCs w:val="22"/>
          <w:lang w:val="sr-Latn-ME"/>
        </w:rPr>
        <w:t xml:space="preserve"> 4.8). Уколико се посумња на било који од ових поремећаја крви, потребно је пратити крвну слику. У случају одступања у налазима, треба размотрити прекид л</w:t>
      </w:r>
      <w:r w:rsidR="005B043A" w:rsidRPr="00E34696">
        <w:rPr>
          <w:sz w:val="22"/>
          <w:szCs w:val="22"/>
          <w:lang w:val="sr-Latn-ME"/>
        </w:rPr>
        <w:t>иј</w:t>
      </w:r>
      <w:r w:rsidRPr="00E34696">
        <w:rPr>
          <w:sz w:val="22"/>
          <w:szCs w:val="22"/>
          <w:lang w:val="sr-Latn-ME"/>
        </w:rPr>
        <w:t xml:space="preserve">ечења левофлоксацином.  </w:t>
      </w:r>
    </w:p>
    <w:p w14:paraId="2368C403" w14:textId="77777777" w:rsidR="00F92933" w:rsidRPr="00E34696" w:rsidRDefault="00F92933" w:rsidP="00E34696">
      <w:pPr>
        <w:widowControl w:val="0"/>
        <w:tabs>
          <w:tab w:val="left" w:pos="284"/>
        </w:tabs>
        <w:jc w:val="both"/>
        <w:rPr>
          <w:sz w:val="22"/>
          <w:szCs w:val="22"/>
          <w:lang w:val="sr-Latn-ME"/>
        </w:rPr>
      </w:pPr>
    </w:p>
    <w:p w14:paraId="46BFACC6" w14:textId="77777777" w:rsidR="00C06689" w:rsidRPr="00E34696" w:rsidRDefault="00C06689" w:rsidP="00E34696">
      <w:pPr>
        <w:widowControl w:val="0"/>
        <w:tabs>
          <w:tab w:val="left" w:pos="284"/>
        </w:tabs>
        <w:jc w:val="both"/>
        <w:rPr>
          <w:sz w:val="22"/>
          <w:szCs w:val="22"/>
          <w:u w:val="single"/>
          <w:lang w:val="sr-Latn-ME"/>
        </w:rPr>
      </w:pPr>
      <w:r w:rsidRPr="00E34696">
        <w:rPr>
          <w:sz w:val="22"/>
          <w:szCs w:val="22"/>
          <w:u w:val="single"/>
          <w:lang w:val="sr-Latn-ME"/>
        </w:rPr>
        <w:t>Помоћне супстанце са потврђеним дејством</w:t>
      </w:r>
    </w:p>
    <w:p w14:paraId="4253F16F"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 xml:space="preserve">Лијек Fovelid садржи боју </w:t>
      </w:r>
      <w:r w:rsidRPr="00E34696">
        <w:rPr>
          <w:i/>
          <w:sz w:val="22"/>
          <w:szCs w:val="22"/>
          <w:lang w:val="sr-Latn-ME"/>
        </w:rPr>
        <w:t>Sunset Yеllоw</w:t>
      </w:r>
      <w:r w:rsidRPr="00E34696">
        <w:rPr>
          <w:sz w:val="22"/>
          <w:szCs w:val="22"/>
          <w:lang w:val="sr-Latn-ME"/>
        </w:rPr>
        <w:t xml:space="preserve"> FCF </w:t>
      </w:r>
      <w:r w:rsidRPr="00E34696">
        <w:rPr>
          <w:i/>
          <w:sz w:val="22"/>
          <w:szCs w:val="22"/>
          <w:lang w:val="sr-Latn-ME"/>
        </w:rPr>
        <w:t>Аluminium lake (Е110)</w:t>
      </w:r>
      <w:r w:rsidRPr="00E34696">
        <w:rPr>
          <w:sz w:val="22"/>
          <w:szCs w:val="22"/>
          <w:lang w:val="sr-Latn-ME"/>
        </w:rPr>
        <w:t xml:space="preserve"> која може узроковати алергијске реакције.</w:t>
      </w:r>
    </w:p>
    <w:p w14:paraId="2962106F" w14:textId="77777777" w:rsidR="00057E35" w:rsidRPr="00E34696" w:rsidRDefault="00057E35" w:rsidP="00E34696">
      <w:pPr>
        <w:widowControl w:val="0"/>
        <w:tabs>
          <w:tab w:val="left" w:pos="540"/>
          <w:tab w:val="left" w:pos="569"/>
        </w:tabs>
        <w:jc w:val="both"/>
        <w:rPr>
          <w:bCs/>
          <w:sz w:val="22"/>
          <w:szCs w:val="22"/>
          <w:lang w:val="sr-Latn-ME"/>
        </w:rPr>
      </w:pPr>
    </w:p>
    <w:p w14:paraId="321D3563" w14:textId="77777777" w:rsidR="00C06689" w:rsidRPr="00E34696" w:rsidRDefault="00C06689" w:rsidP="00E34696">
      <w:pPr>
        <w:widowControl w:val="0"/>
        <w:tabs>
          <w:tab w:val="left" w:pos="284"/>
        </w:tabs>
        <w:jc w:val="both"/>
        <w:rPr>
          <w:b/>
          <w:bCs/>
          <w:sz w:val="22"/>
          <w:szCs w:val="22"/>
          <w:lang w:val="sr-Latn-ME"/>
        </w:rPr>
      </w:pPr>
      <w:r w:rsidRPr="00E34696">
        <w:rPr>
          <w:b/>
          <w:bCs/>
          <w:sz w:val="22"/>
          <w:szCs w:val="22"/>
          <w:lang w:val="sr-Latn-ME"/>
        </w:rPr>
        <w:t>4.5. Интеракције са другим љековима и друге врсте интеракција</w:t>
      </w:r>
    </w:p>
    <w:p w14:paraId="2595E03F" w14:textId="77777777" w:rsidR="00C06689" w:rsidRPr="00E34696" w:rsidRDefault="00C06689" w:rsidP="00E34696">
      <w:pPr>
        <w:widowControl w:val="0"/>
        <w:tabs>
          <w:tab w:val="left" w:pos="284"/>
        </w:tabs>
        <w:jc w:val="both"/>
        <w:rPr>
          <w:sz w:val="22"/>
          <w:szCs w:val="22"/>
          <w:u w:val="single"/>
          <w:lang w:val="sr-Latn-ME"/>
        </w:rPr>
      </w:pPr>
    </w:p>
    <w:p w14:paraId="01C89D18" w14:textId="77777777" w:rsidR="00C06689" w:rsidRPr="00E34696" w:rsidRDefault="00C06689" w:rsidP="00E34696">
      <w:pPr>
        <w:widowControl w:val="0"/>
        <w:tabs>
          <w:tab w:val="left" w:pos="284"/>
        </w:tabs>
        <w:jc w:val="both"/>
        <w:rPr>
          <w:sz w:val="22"/>
          <w:szCs w:val="22"/>
          <w:u w:val="single"/>
          <w:lang w:val="sr-Latn-ME"/>
        </w:rPr>
      </w:pPr>
      <w:r w:rsidRPr="00E34696">
        <w:rPr>
          <w:sz w:val="22"/>
          <w:szCs w:val="22"/>
          <w:u w:val="single"/>
          <w:lang w:val="sr-Latn-ME"/>
        </w:rPr>
        <w:t>Утицај других љекова на лијек Fovelid</w:t>
      </w:r>
    </w:p>
    <w:p w14:paraId="083F4AC8" w14:textId="77777777" w:rsidR="00C06689" w:rsidRPr="00E34696" w:rsidRDefault="00C06689" w:rsidP="00E34696">
      <w:pPr>
        <w:widowControl w:val="0"/>
        <w:tabs>
          <w:tab w:val="left" w:pos="284"/>
        </w:tabs>
        <w:jc w:val="both"/>
        <w:rPr>
          <w:sz w:val="22"/>
          <w:szCs w:val="22"/>
          <w:lang w:val="sr-Latn-ME"/>
        </w:rPr>
      </w:pPr>
    </w:p>
    <w:p w14:paraId="7F24A2D0" w14:textId="77777777" w:rsidR="00C06689" w:rsidRPr="00E34696" w:rsidRDefault="00C06689" w:rsidP="00E34696">
      <w:pPr>
        <w:widowControl w:val="0"/>
        <w:tabs>
          <w:tab w:val="left" w:pos="284"/>
        </w:tabs>
        <w:jc w:val="both"/>
        <w:rPr>
          <w:i/>
          <w:sz w:val="22"/>
          <w:szCs w:val="22"/>
          <w:lang w:val="sr-Latn-ME"/>
        </w:rPr>
      </w:pPr>
      <w:r w:rsidRPr="00E34696">
        <w:rPr>
          <w:i/>
          <w:sz w:val="22"/>
          <w:szCs w:val="22"/>
          <w:lang w:val="sr-Latn-ME"/>
        </w:rPr>
        <w:t>Соли гвожђа, соли цинка, антациди који садрже магнезијум или алуминијум, диданозин</w:t>
      </w:r>
    </w:p>
    <w:p w14:paraId="433185C1"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 xml:space="preserve">Ресорпција левофлоксацина је значајно смањена уколико се левофлоксацин примјењује истовремено са солима гвожђа, антацидима који садрже магнезијум или алуминијум или диданозином (само формулације диданозина које садрже пуферске супстанце са алуминијумом или магнезијумом). Истовремена примјена флуорохинолона и мултивитамина који садрже цинк, такође смањује оралну ресорпцију. Препорука је да се препарати који садрже двовалентне или тровалентне катјоне као што су соли гвожђа, соли цинка, антациди који садрже магнезијум или алуминијум или диданозин (само формулације диданозина које садрже пуферске супстанце са алуминијумом или магнезијумом) не узимају 2 сата прије или послије примјене лијека Fovelid (погледати дио 4.2). Калцијумове соли имају минималан утицај на оралну ресорпцију </w:t>
      </w:r>
      <w:r w:rsidRPr="00E34696">
        <w:rPr>
          <w:sz w:val="22"/>
          <w:szCs w:val="22"/>
          <w:lang w:val="sr-Latn-ME"/>
        </w:rPr>
        <w:lastRenderedPageBreak/>
        <w:t>левофлоксацина.</w:t>
      </w:r>
    </w:p>
    <w:p w14:paraId="5DE50558" w14:textId="77777777" w:rsidR="00C06689" w:rsidRPr="00E34696" w:rsidRDefault="00C06689" w:rsidP="00E34696">
      <w:pPr>
        <w:widowControl w:val="0"/>
        <w:tabs>
          <w:tab w:val="left" w:pos="284"/>
        </w:tabs>
        <w:jc w:val="both"/>
        <w:rPr>
          <w:sz w:val="22"/>
          <w:szCs w:val="22"/>
          <w:lang w:val="sr-Latn-ME"/>
        </w:rPr>
      </w:pPr>
    </w:p>
    <w:p w14:paraId="360ADEB4" w14:textId="77777777" w:rsidR="00C06689" w:rsidRPr="00E34696" w:rsidRDefault="00C06689" w:rsidP="00E34696">
      <w:pPr>
        <w:widowControl w:val="0"/>
        <w:tabs>
          <w:tab w:val="left" w:pos="284"/>
        </w:tabs>
        <w:jc w:val="both"/>
        <w:rPr>
          <w:i/>
          <w:sz w:val="22"/>
          <w:szCs w:val="22"/>
          <w:lang w:val="sr-Latn-ME"/>
        </w:rPr>
      </w:pPr>
      <w:r w:rsidRPr="00E34696">
        <w:rPr>
          <w:i/>
          <w:sz w:val="22"/>
          <w:szCs w:val="22"/>
          <w:lang w:val="sr-Latn-ME"/>
        </w:rPr>
        <w:t>Сукралфат</w:t>
      </w:r>
    </w:p>
    <w:p w14:paraId="5A0E8225"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Биорасположивост левофлоксацина је значајно смањена када се примјењује истовремено са сукралфатом. Ако је потребно да пацијент узима оба лијека, најбоље је примјенити сукралфат 2 сата након примјене таблета левофлоксацина (погледати дио 4.2).</w:t>
      </w:r>
    </w:p>
    <w:p w14:paraId="79A3AEB6" w14:textId="77777777" w:rsidR="00C06689" w:rsidRPr="00E34696" w:rsidRDefault="00C06689" w:rsidP="00E34696">
      <w:pPr>
        <w:widowControl w:val="0"/>
        <w:tabs>
          <w:tab w:val="left" w:pos="284"/>
        </w:tabs>
        <w:jc w:val="both"/>
        <w:rPr>
          <w:sz w:val="22"/>
          <w:szCs w:val="22"/>
          <w:lang w:val="sr-Latn-ME"/>
        </w:rPr>
      </w:pPr>
    </w:p>
    <w:p w14:paraId="17728431" w14:textId="77777777" w:rsidR="00C06689" w:rsidRPr="00E34696" w:rsidRDefault="00C06689" w:rsidP="00E34696">
      <w:pPr>
        <w:widowControl w:val="0"/>
        <w:tabs>
          <w:tab w:val="left" w:pos="284"/>
        </w:tabs>
        <w:jc w:val="both"/>
        <w:rPr>
          <w:i/>
          <w:sz w:val="22"/>
          <w:szCs w:val="22"/>
          <w:lang w:val="sr-Latn-ME"/>
        </w:rPr>
      </w:pPr>
      <w:r w:rsidRPr="00E34696">
        <w:rPr>
          <w:i/>
          <w:sz w:val="22"/>
          <w:szCs w:val="22"/>
          <w:lang w:val="sr-Latn-ME"/>
        </w:rPr>
        <w:t>Теофилин, фенбуфен или слични нестероидни антиинфламаторни љекови (НСАИЛ)</w:t>
      </w:r>
    </w:p>
    <w:p w14:paraId="1F45F9E2"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 xml:space="preserve">У клиничком испитивању нијесу забиљежене фармакокинетичке интеракције левофлоксацина са теофилином. Међутим, може доћи до изразитог снижавања прага конвулзија када се хинолони дају истовремено са теофилином, нестероидним антиинфламаторним љековима или другим љековима која снижавају праг конвулзија. </w:t>
      </w:r>
    </w:p>
    <w:p w14:paraId="5A9021C6"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У присуству фенбуфена, концентрације левофлоксацина су за 13% веће од оних када се левофлоксацин примјењивао сам.</w:t>
      </w:r>
    </w:p>
    <w:p w14:paraId="666C9E7D" w14:textId="77777777" w:rsidR="00C06689" w:rsidRPr="00E34696" w:rsidRDefault="00C06689" w:rsidP="00E34696">
      <w:pPr>
        <w:widowControl w:val="0"/>
        <w:tabs>
          <w:tab w:val="left" w:pos="284"/>
        </w:tabs>
        <w:jc w:val="both"/>
        <w:rPr>
          <w:sz w:val="22"/>
          <w:szCs w:val="22"/>
          <w:lang w:val="sr-Latn-ME"/>
        </w:rPr>
      </w:pPr>
    </w:p>
    <w:p w14:paraId="70092163" w14:textId="77777777" w:rsidR="00C06689" w:rsidRPr="00E34696" w:rsidRDefault="00C06689" w:rsidP="00E34696">
      <w:pPr>
        <w:widowControl w:val="0"/>
        <w:tabs>
          <w:tab w:val="left" w:pos="284"/>
        </w:tabs>
        <w:jc w:val="both"/>
        <w:rPr>
          <w:i/>
          <w:sz w:val="22"/>
          <w:szCs w:val="22"/>
          <w:lang w:val="sr-Latn-ME"/>
        </w:rPr>
      </w:pPr>
      <w:r w:rsidRPr="00E34696">
        <w:rPr>
          <w:i/>
          <w:sz w:val="22"/>
          <w:szCs w:val="22"/>
          <w:lang w:val="sr-Latn-ME"/>
        </w:rPr>
        <w:t>Пробенецид и циметидин</w:t>
      </w:r>
    </w:p>
    <w:p w14:paraId="2952B619"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Пробенецид и циметидин имају статистички значајан утицај на елиминацију левофлоксацина. Циметидин смањује ренални клиренс левофлоксацина за 24%, а пробенецид за 34%. То је зато што оба лијека могу да блокирају реналну тубуларну секрецију левофлоксацина. Међутим, статистички значајне кинетичке разлике при дозама испитиваним у студији нијесу биле клинички значајне.</w:t>
      </w:r>
    </w:p>
    <w:p w14:paraId="65209C8B" w14:textId="10150958" w:rsidR="00C06689" w:rsidRPr="00E34696" w:rsidRDefault="00C06689" w:rsidP="00E34696">
      <w:pPr>
        <w:widowControl w:val="0"/>
        <w:tabs>
          <w:tab w:val="left" w:pos="284"/>
        </w:tabs>
        <w:jc w:val="both"/>
        <w:rPr>
          <w:sz w:val="22"/>
          <w:szCs w:val="22"/>
          <w:lang w:val="sr-Latn-ME"/>
        </w:rPr>
      </w:pPr>
      <w:r w:rsidRPr="00E34696">
        <w:rPr>
          <w:sz w:val="22"/>
          <w:szCs w:val="22"/>
          <w:lang w:val="sr-Latn-ME"/>
        </w:rPr>
        <w:t>Опрез се савјетује када се левофлоксацин прим</w:t>
      </w:r>
      <w:r w:rsidR="004D5DA0">
        <w:rPr>
          <w:sz w:val="22"/>
          <w:szCs w:val="22"/>
          <w:lang w:val="sr-Cyrl-BA"/>
        </w:rPr>
        <w:t>ј</w:t>
      </w:r>
      <w:r w:rsidRPr="00E34696">
        <w:rPr>
          <w:sz w:val="22"/>
          <w:szCs w:val="22"/>
          <w:lang w:val="sr-Latn-ME"/>
        </w:rPr>
        <w:t>ењује истовремено са љековима који утичу на тубуларну реналну секрецију, као што су пробенецид и циметидин, посебно код пацијената са ослабљеном функцијом бубрега.</w:t>
      </w:r>
    </w:p>
    <w:p w14:paraId="2F227AEE" w14:textId="77777777" w:rsidR="00C06689" w:rsidRPr="00E34696" w:rsidRDefault="00C06689" w:rsidP="00E34696">
      <w:pPr>
        <w:widowControl w:val="0"/>
        <w:tabs>
          <w:tab w:val="left" w:pos="284"/>
        </w:tabs>
        <w:jc w:val="both"/>
        <w:rPr>
          <w:sz w:val="22"/>
          <w:szCs w:val="22"/>
          <w:lang w:val="sr-Latn-ME"/>
        </w:rPr>
      </w:pPr>
    </w:p>
    <w:p w14:paraId="58D2CEA8" w14:textId="77777777" w:rsidR="00C06689" w:rsidRPr="00E34696" w:rsidRDefault="00C06689" w:rsidP="00E34696">
      <w:pPr>
        <w:widowControl w:val="0"/>
        <w:tabs>
          <w:tab w:val="left" w:pos="284"/>
        </w:tabs>
        <w:jc w:val="both"/>
        <w:rPr>
          <w:i/>
          <w:sz w:val="22"/>
          <w:szCs w:val="22"/>
          <w:lang w:val="sr-Latn-ME"/>
        </w:rPr>
      </w:pPr>
      <w:r w:rsidRPr="00E34696">
        <w:rPr>
          <w:i/>
          <w:sz w:val="22"/>
          <w:szCs w:val="22"/>
          <w:lang w:val="sr-Latn-ME"/>
        </w:rPr>
        <w:t>Остале важне информације</w:t>
      </w:r>
    </w:p>
    <w:p w14:paraId="2A4EE6D6"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У клиничким фармаколошким испитивањима показано је да није било никаквих клинички битних промјена у фармакокинетици левофлоксацина, при истовременој примјени са калцијум карбонатом, дигоксином, глибенкламидом и ранитидином.</w:t>
      </w:r>
    </w:p>
    <w:p w14:paraId="2FFA777C" w14:textId="77777777" w:rsidR="00C06689" w:rsidRPr="00E34696" w:rsidRDefault="00C06689" w:rsidP="00E34696">
      <w:pPr>
        <w:widowControl w:val="0"/>
        <w:tabs>
          <w:tab w:val="left" w:pos="284"/>
        </w:tabs>
        <w:jc w:val="both"/>
        <w:rPr>
          <w:sz w:val="22"/>
          <w:szCs w:val="22"/>
          <w:lang w:val="sr-Latn-ME"/>
        </w:rPr>
      </w:pPr>
    </w:p>
    <w:p w14:paraId="36C69E6C" w14:textId="77777777" w:rsidR="00C06689" w:rsidRPr="00E34696" w:rsidRDefault="00C06689" w:rsidP="00E34696">
      <w:pPr>
        <w:widowControl w:val="0"/>
        <w:tabs>
          <w:tab w:val="left" w:pos="284"/>
        </w:tabs>
        <w:jc w:val="both"/>
        <w:rPr>
          <w:sz w:val="22"/>
          <w:szCs w:val="22"/>
          <w:u w:val="single"/>
          <w:lang w:val="sr-Latn-ME"/>
        </w:rPr>
      </w:pPr>
      <w:r w:rsidRPr="00E34696">
        <w:rPr>
          <w:sz w:val="22"/>
          <w:szCs w:val="22"/>
          <w:u w:val="single"/>
          <w:lang w:val="sr-Latn-ME"/>
        </w:rPr>
        <w:t>Утицај лијека Fovelid на друге љекове</w:t>
      </w:r>
    </w:p>
    <w:p w14:paraId="7CB86EEC" w14:textId="77777777" w:rsidR="00C06689" w:rsidRPr="00E34696" w:rsidRDefault="00C06689" w:rsidP="00E34696">
      <w:pPr>
        <w:widowControl w:val="0"/>
        <w:tabs>
          <w:tab w:val="left" w:pos="284"/>
        </w:tabs>
        <w:jc w:val="both"/>
        <w:rPr>
          <w:sz w:val="22"/>
          <w:szCs w:val="22"/>
          <w:lang w:val="sr-Latn-ME"/>
        </w:rPr>
      </w:pPr>
    </w:p>
    <w:p w14:paraId="4A843DD5" w14:textId="77777777" w:rsidR="00C06689" w:rsidRPr="00E34696" w:rsidRDefault="00C06689" w:rsidP="00E34696">
      <w:pPr>
        <w:widowControl w:val="0"/>
        <w:tabs>
          <w:tab w:val="left" w:pos="284"/>
        </w:tabs>
        <w:jc w:val="both"/>
        <w:rPr>
          <w:i/>
          <w:sz w:val="22"/>
          <w:szCs w:val="22"/>
          <w:lang w:val="sr-Latn-ME"/>
        </w:rPr>
      </w:pPr>
      <w:r w:rsidRPr="00E34696">
        <w:rPr>
          <w:i/>
          <w:sz w:val="22"/>
          <w:szCs w:val="22"/>
          <w:lang w:val="sr-Latn-ME"/>
        </w:rPr>
        <w:t>Циклоспорин</w:t>
      </w:r>
    </w:p>
    <w:p w14:paraId="4E44F603"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Полувријеме елиминације циклоспорина се повећава за 33% при истовременој примјени са левофлоксацином.</w:t>
      </w:r>
    </w:p>
    <w:p w14:paraId="469E9E91" w14:textId="77777777" w:rsidR="00C06689" w:rsidRPr="00E34696" w:rsidRDefault="00C06689" w:rsidP="00E34696">
      <w:pPr>
        <w:widowControl w:val="0"/>
        <w:tabs>
          <w:tab w:val="left" w:pos="284"/>
        </w:tabs>
        <w:jc w:val="both"/>
        <w:rPr>
          <w:sz w:val="22"/>
          <w:szCs w:val="22"/>
          <w:lang w:val="sr-Latn-ME"/>
        </w:rPr>
      </w:pPr>
    </w:p>
    <w:p w14:paraId="4E35F379" w14:textId="77777777" w:rsidR="00C06689" w:rsidRPr="00E34696" w:rsidRDefault="00C06689" w:rsidP="00E34696">
      <w:pPr>
        <w:widowControl w:val="0"/>
        <w:tabs>
          <w:tab w:val="left" w:pos="284"/>
        </w:tabs>
        <w:jc w:val="both"/>
        <w:rPr>
          <w:i/>
          <w:sz w:val="22"/>
          <w:szCs w:val="22"/>
          <w:lang w:val="sr-Latn-ME"/>
        </w:rPr>
      </w:pPr>
      <w:r w:rsidRPr="00E34696">
        <w:rPr>
          <w:i/>
          <w:sz w:val="22"/>
          <w:szCs w:val="22"/>
          <w:lang w:val="sr-Latn-ME"/>
        </w:rPr>
        <w:t>Антагонисти витамина К</w:t>
      </w:r>
    </w:p>
    <w:p w14:paraId="06CA37C9"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Повећане вриједности параметара коагулације (PТ/INR) и/или крварење, које може бити озбиљно, забиљежени су код пацијената који су били истовремено лијечени левофлоксацином и антагонистима витамина К (нпр. варфарин). Због тога је потребно пратити вриједности параметара коагулације код пацијената који узимају антагонисте витамина К (погледати дио 4.4).</w:t>
      </w:r>
    </w:p>
    <w:p w14:paraId="16CAD0CC" w14:textId="77777777" w:rsidR="00C06689" w:rsidRPr="00E34696" w:rsidRDefault="00C06689" w:rsidP="00E34696">
      <w:pPr>
        <w:widowControl w:val="0"/>
        <w:tabs>
          <w:tab w:val="left" w:pos="284"/>
        </w:tabs>
        <w:jc w:val="both"/>
        <w:rPr>
          <w:sz w:val="22"/>
          <w:szCs w:val="22"/>
          <w:lang w:val="sr-Latn-ME"/>
        </w:rPr>
      </w:pPr>
    </w:p>
    <w:p w14:paraId="7DB8CD1D" w14:textId="77777777" w:rsidR="00C06689" w:rsidRPr="00E34696" w:rsidRDefault="00C06689" w:rsidP="00E34696">
      <w:pPr>
        <w:widowControl w:val="0"/>
        <w:tabs>
          <w:tab w:val="left" w:pos="284"/>
        </w:tabs>
        <w:jc w:val="both"/>
        <w:rPr>
          <w:i/>
          <w:sz w:val="22"/>
          <w:szCs w:val="22"/>
          <w:lang w:val="sr-Latn-ME"/>
        </w:rPr>
      </w:pPr>
      <w:r w:rsidRPr="00E34696">
        <w:rPr>
          <w:i/>
          <w:sz w:val="22"/>
          <w:szCs w:val="22"/>
          <w:lang w:val="sr-Latn-ME"/>
        </w:rPr>
        <w:t>Љекови који продужавају QТ интервал</w:t>
      </w:r>
    </w:p>
    <w:p w14:paraId="35A1DBC7" w14:textId="68F77082" w:rsidR="00C06689" w:rsidRPr="00E34696" w:rsidRDefault="00C06689" w:rsidP="00E34696">
      <w:pPr>
        <w:widowControl w:val="0"/>
        <w:tabs>
          <w:tab w:val="left" w:pos="284"/>
        </w:tabs>
        <w:jc w:val="both"/>
        <w:rPr>
          <w:sz w:val="22"/>
          <w:szCs w:val="22"/>
          <w:lang w:val="sr-Latn-ME"/>
        </w:rPr>
      </w:pPr>
      <w:r w:rsidRPr="00E34696">
        <w:rPr>
          <w:sz w:val="22"/>
          <w:szCs w:val="22"/>
          <w:lang w:val="sr-Latn-ME"/>
        </w:rPr>
        <w:t>Левофлоксацин, као и друге флуорохинолоне, треба примјењивати са опрезом код пацијената који примају љекове за продужавање QТ интервала (нпр. антиар</w:t>
      </w:r>
      <w:r w:rsidR="00FE16B0" w:rsidRPr="00E34696">
        <w:rPr>
          <w:sz w:val="22"/>
          <w:szCs w:val="22"/>
          <w:lang w:val="sr-Latn-ME"/>
        </w:rPr>
        <w:t>и</w:t>
      </w:r>
      <w:r w:rsidRPr="00E34696">
        <w:rPr>
          <w:sz w:val="22"/>
          <w:szCs w:val="22"/>
          <w:lang w:val="sr-Latn-ME"/>
        </w:rPr>
        <w:t xml:space="preserve">тмике класе IА и III, трицикличне антидепресиве, макролиде, антипсихотике; погледати дио 4.4 – </w:t>
      </w:r>
      <w:r w:rsidRPr="00E34696">
        <w:rPr>
          <w:i/>
          <w:sz w:val="22"/>
          <w:szCs w:val="22"/>
          <w:lang w:val="sr-Latn-ME"/>
        </w:rPr>
        <w:t>Продужење QТ интервала</w:t>
      </w:r>
      <w:r w:rsidRPr="00E34696">
        <w:rPr>
          <w:sz w:val="22"/>
          <w:szCs w:val="22"/>
          <w:lang w:val="sr-Latn-ME"/>
        </w:rPr>
        <w:t>).</w:t>
      </w:r>
    </w:p>
    <w:p w14:paraId="1D794014" w14:textId="77777777" w:rsidR="00C06689" w:rsidRPr="00E34696" w:rsidRDefault="00C06689" w:rsidP="00E34696">
      <w:pPr>
        <w:widowControl w:val="0"/>
        <w:tabs>
          <w:tab w:val="left" w:pos="284"/>
        </w:tabs>
        <w:jc w:val="both"/>
        <w:rPr>
          <w:sz w:val="22"/>
          <w:szCs w:val="22"/>
          <w:lang w:val="sr-Latn-ME"/>
        </w:rPr>
      </w:pPr>
    </w:p>
    <w:p w14:paraId="4F9C107D" w14:textId="77777777" w:rsidR="00C06689" w:rsidRPr="00E34696" w:rsidRDefault="00C06689" w:rsidP="00E34696">
      <w:pPr>
        <w:widowControl w:val="0"/>
        <w:tabs>
          <w:tab w:val="left" w:pos="284"/>
        </w:tabs>
        <w:jc w:val="both"/>
        <w:rPr>
          <w:sz w:val="22"/>
          <w:szCs w:val="22"/>
          <w:u w:val="single"/>
          <w:lang w:val="sr-Latn-ME"/>
        </w:rPr>
      </w:pPr>
      <w:r w:rsidRPr="00E34696">
        <w:rPr>
          <w:sz w:val="22"/>
          <w:szCs w:val="22"/>
          <w:u w:val="single"/>
          <w:lang w:val="sr-Latn-ME"/>
        </w:rPr>
        <w:t>Остале релевантне информације</w:t>
      </w:r>
    </w:p>
    <w:p w14:paraId="3131615B"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У испитивању фармакокинетичких интеракција, левофлоксацин није показао утицај на фармакокинетику теофилина (који је супстрат за CYP1А2), што указује на то да левофлоксацин не инхибира CYP1А2.</w:t>
      </w:r>
    </w:p>
    <w:p w14:paraId="4E70A0A5" w14:textId="77777777" w:rsidR="00C06689" w:rsidRPr="00E34696" w:rsidRDefault="00C06689" w:rsidP="00E34696">
      <w:pPr>
        <w:widowControl w:val="0"/>
        <w:tabs>
          <w:tab w:val="left" w:pos="284"/>
        </w:tabs>
        <w:jc w:val="both"/>
        <w:rPr>
          <w:sz w:val="22"/>
          <w:szCs w:val="22"/>
          <w:lang w:val="sr-Latn-ME"/>
        </w:rPr>
      </w:pPr>
    </w:p>
    <w:p w14:paraId="51CFC9CF" w14:textId="77777777" w:rsidR="00C06689" w:rsidRPr="00E34696" w:rsidRDefault="00C06689" w:rsidP="00E34696">
      <w:pPr>
        <w:widowControl w:val="0"/>
        <w:tabs>
          <w:tab w:val="left" w:pos="284"/>
        </w:tabs>
        <w:jc w:val="both"/>
        <w:rPr>
          <w:sz w:val="22"/>
          <w:szCs w:val="22"/>
          <w:u w:val="single"/>
          <w:lang w:val="sr-Latn-ME"/>
        </w:rPr>
      </w:pPr>
      <w:r w:rsidRPr="00E34696">
        <w:rPr>
          <w:sz w:val="22"/>
          <w:szCs w:val="22"/>
          <w:u w:val="single"/>
          <w:lang w:val="sr-Latn-ME"/>
        </w:rPr>
        <w:t>Други облици интеракција</w:t>
      </w:r>
    </w:p>
    <w:p w14:paraId="18B8F8C3" w14:textId="77777777" w:rsidR="00C06689" w:rsidRPr="00E34696" w:rsidRDefault="00C06689" w:rsidP="00E34696">
      <w:pPr>
        <w:widowControl w:val="0"/>
        <w:tabs>
          <w:tab w:val="left" w:pos="284"/>
        </w:tabs>
        <w:jc w:val="both"/>
        <w:rPr>
          <w:i/>
          <w:sz w:val="22"/>
          <w:szCs w:val="22"/>
          <w:lang w:val="sr-Latn-ME"/>
        </w:rPr>
      </w:pPr>
      <w:r w:rsidRPr="00E34696">
        <w:rPr>
          <w:i/>
          <w:sz w:val="22"/>
          <w:szCs w:val="22"/>
          <w:lang w:val="sr-Latn-ME"/>
        </w:rPr>
        <w:t>Храна</w:t>
      </w:r>
    </w:p>
    <w:p w14:paraId="0B2C1A20"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Нема клинички значајне интеракције са храном. Због тога се левофлоксацин може узимати независно од оброка.</w:t>
      </w:r>
    </w:p>
    <w:p w14:paraId="35F2E377" w14:textId="77777777" w:rsidR="0072020E" w:rsidRPr="00E34696" w:rsidRDefault="0072020E" w:rsidP="00E34696">
      <w:pPr>
        <w:widowControl w:val="0"/>
        <w:tabs>
          <w:tab w:val="left" w:pos="540"/>
          <w:tab w:val="left" w:pos="569"/>
        </w:tabs>
        <w:jc w:val="both"/>
        <w:rPr>
          <w:bCs/>
          <w:sz w:val="22"/>
          <w:szCs w:val="22"/>
          <w:lang w:val="sr-Latn-ME"/>
        </w:rPr>
      </w:pPr>
    </w:p>
    <w:p w14:paraId="420D1BA8" w14:textId="77777777" w:rsidR="00C06689" w:rsidRPr="00E34696" w:rsidRDefault="00C06689" w:rsidP="00E34696">
      <w:pPr>
        <w:widowControl w:val="0"/>
        <w:tabs>
          <w:tab w:val="left" w:pos="284"/>
        </w:tabs>
        <w:jc w:val="both"/>
        <w:rPr>
          <w:b/>
          <w:bCs/>
          <w:sz w:val="22"/>
          <w:szCs w:val="22"/>
          <w:lang w:val="sr-Latn-ME"/>
        </w:rPr>
      </w:pPr>
      <w:r w:rsidRPr="00E34696">
        <w:rPr>
          <w:b/>
          <w:bCs/>
          <w:sz w:val="22"/>
          <w:szCs w:val="22"/>
          <w:lang w:val="sr-Latn-ME"/>
        </w:rPr>
        <w:t>4.6. Плодност, трудноћа и дојење</w:t>
      </w:r>
    </w:p>
    <w:p w14:paraId="0BEAC431" w14:textId="77777777" w:rsidR="00C06689" w:rsidRPr="00E34696" w:rsidRDefault="00C06689" w:rsidP="00E34696">
      <w:pPr>
        <w:widowControl w:val="0"/>
        <w:tabs>
          <w:tab w:val="left" w:pos="284"/>
        </w:tabs>
        <w:jc w:val="both"/>
        <w:rPr>
          <w:bCs/>
          <w:sz w:val="22"/>
          <w:szCs w:val="22"/>
          <w:lang w:val="sr-Latn-ME"/>
        </w:rPr>
      </w:pPr>
    </w:p>
    <w:p w14:paraId="48753C34" w14:textId="77777777" w:rsidR="00C06689" w:rsidRPr="00E34696" w:rsidRDefault="00C06689" w:rsidP="00E34696">
      <w:pPr>
        <w:widowControl w:val="0"/>
        <w:tabs>
          <w:tab w:val="left" w:pos="284"/>
        </w:tabs>
        <w:jc w:val="both"/>
        <w:rPr>
          <w:sz w:val="22"/>
          <w:szCs w:val="22"/>
          <w:u w:val="single"/>
          <w:lang w:val="sr-Latn-ME"/>
        </w:rPr>
      </w:pPr>
      <w:r w:rsidRPr="00E34696">
        <w:rPr>
          <w:sz w:val="22"/>
          <w:szCs w:val="22"/>
          <w:u w:val="single"/>
          <w:lang w:val="sr-Latn-ME"/>
        </w:rPr>
        <w:t>Трудноћа</w:t>
      </w:r>
    </w:p>
    <w:p w14:paraId="54937DC4" w14:textId="77A40EA8" w:rsidR="00C06689" w:rsidRPr="00E34696" w:rsidRDefault="00C06689" w:rsidP="00E34696">
      <w:pPr>
        <w:widowControl w:val="0"/>
        <w:tabs>
          <w:tab w:val="left" w:pos="284"/>
        </w:tabs>
        <w:jc w:val="both"/>
        <w:rPr>
          <w:sz w:val="22"/>
          <w:szCs w:val="22"/>
          <w:lang w:val="sr-Latn-ME"/>
        </w:rPr>
      </w:pPr>
      <w:r w:rsidRPr="00E34696">
        <w:rPr>
          <w:sz w:val="22"/>
          <w:szCs w:val="22"/>
          <w:lang w:val="sr-Latn-ME"/>
        </w:rPr>
        <w:t>Ограничени су подаци о употреби левофлоксацина код трудница. Студије на животињама нијесу показале директан или индиректан штетни утицај у погледу репродуктивне токсичности (погледати дио 5.3). Међутим, будући да не постоје подаци о примјени лијека код трудница и имајући у виду експерименталн</w:t>
      </w:r>
      <w:r w:rsidR="00FE16B0" w:rsidRPr="00E34696">
        <w:rPr>
          <w:sz w:val="22"/>
          <w:szCs w:val="22"/>
          <w:lang w:val="sr-Latn-ME"/>
        </w:rPr>
        <w:t>е</w:t>
      </w:r>
      <w:r w:rsidRPr="00E34696">
        <w:rPr>
          <w:sz w:val="22"/>
          <w:szCs w:val="22"/>
          <w:lang w:val="sr-Latn-ME"/>
        </w:rPr>
        <w:t xml:space="preserve"> пода</w:t>
      </w:r>
      <w:r w:rsidR="00FE16B0" w:rsidRPr="00E34696">
        <w:rPr>
          <w:sz w:val="22"/>
          <w:szCs w:val="22"/>
          <w:lang w:val="sr-Latn-ME"/>
        </w:rPr>
        <w:t>тке</w:t>
      </w:r>
      <w:r w:rsidRPr="00E34696">
        <w:rPr>
          <w:sz w:val="22"/>
          <w:szCs w:val="22"/>
          <w:lang w:val="sr-Latn-ME"/>
        </w:rPr>
        <w:t xml:space="preserve"> који указују на ризик од оштећења зглобних хрскавица носећих зглобова при примјени флуорохинолона код организма у развоју, левофлоксацин не смије да се користи у току трудноће (погледати дјелове 4.3 и 5.3). </w:t>
      </w:r>
    </w:p>
    <w:p w14:paraId="394CB11A" w14:textId="77777777" w:rsidR="00C06689" w:rsidRPr="00E34696" w:rsidRDefault="00C06689" w:rsidP="00E34696">
      <w:pPr>
        <w:widowControl w:val="0"/>
        <w:tabs>
          <w:tab w:val="left" w:pos="284"/>
        </w:tabs>
        <w:jc w:val="both"/>
        <w:rPr>
          <w:sz w:val="22"/>
          <w:szCs w:val="22"/>
          <w:lang w:val="sr-Latn-ME"/>
        </w:rPr>
      </w:pPr>
    </w:p>
    <w:p w14:paraId="4E3317AC" w14:textId="77777777" w:rsidR="00C06689" w:rsidRPr="00E34696" w:rsidRDefault="00C06689" w:rsidP="00E34696">
      <w:pPr>
        <w:widowControl w:val="0"/>
        <w:tabs>
          <w:tab w:val="left" w:pos="284"/>
        </w:tabs>
        <w:jc w:val="both"/>
        <w:rPr>
          <w:sz w:val="22"/>
          <w:szCs w:val="22"/>
          <w:u w:val="single"/>
          <w:lang w:val="sr-Latn-ME"/>
        </w:rPr>
      </w:pPr>
      <w:r w:rsidRPr="00E34696">
        <w:rPr>
          <w:sz w:val="22"/>
          <w:szCs w:val="22"/>
          <w:u w:val="single"/>
          <w:lang w:val="sr-Latn-ME"/>
        </w:rPr>
        <w:t>Дојење</w:t>
      </w:r>
    </w:p>
    <w:p w14:paraId="19200A89" w14:textId="1EF5D284" w:rsidR="00C06689" w:rsidRPr="00E34696" w:rsidRDefault="00C06689" w:rsidP="00E34696">
      <w:pPr>
        <w:widowControl w:val="0"/>
        <w:tabs>
          <w:tab w:val="left" w:pos="284"/>
        </w:tabs>
        <w:jc w:val="both"/>
        <w:rPr>
          <w:sz w:val="22"/>
          <w:szCs w:val="22"/>
          <w:lang w:val="sr-Latn-ME"/>
        </w:rPr>
      </w:pPr>
      <w:r w:rsidRPr="00E34696">
        <w:rPr>
          <w:sz w:val="22"/>
          <w:szCs w:val="22"/>
          <w:lang w:val="sr-Latn-ME"/>
        </w:rPr>
        <w:t>Лијек Fovelid је контраиндикован код жена које доје. Нема довољно података о излучивању левофлоксацина у мајчино млијеко; међутим, познато је да се други флуорохинолони излучују у млијеко дојиље. У недостатку података о примјени лијека код жена које доје и имајући у виду експерименталн</w:t>
      </w:r>
      <w:r w:rsidR="00FE16B0" w:rsidRPr="00E34696">
        <w:rPr>
          <w:sz w:val="22"/>
          <w:szCs w:val="22"/>
          <w:lang w:val="sr-Latn-ME"/>
        </w:rPr>
        <w:t>е</w:t>
      </w:r>
      <w:r w:rsidRPr="00E34696">
        <w:rPr>
          <w:sz w:val="22"/>
          <w:szCs w:val="22"/>
          <w:lang w:val="sr-Latn-ME"/>
        </w:rPr>
        <w:t xml:space="preserve"> пода</w:t>
      </w:r>
      <w:r w:rsidR="00FE16B0" w:rsidRPr="00E34696">
        <w:rPr>
          <w:sz w:val="22"/>
          <w:szCs w:val="22"/>
          <w:lang w:val="sr-Latn-ME"/>
        </w:rPr>
        <w:t>тке</w:t>
      </w:r>
      <w:r w:rsidRPr="00E34696">
        <w:rPr>
          <w:sz w:val="22"/>
          <w:szCs w:val="22"/>
          <w:lang w:val="sr-Latn-ME"/>
        </w:rPr>
        <w:t xml:space="preserve"> који указују на ризик од оштећења зглобних хрскавица носећих зглобова при примјени флуорохинолона код организма у развоју, левофлоксацин не смије да се користи у току дојења (погледати дјелове 4.3 и 5.3).</w:t>
      </w:r>
    </w:p>
    <w:p w14:paraId="7D40F691" w14:textId="77777777" w:rsidR="00C06689" w:rsidRPr="00E34696" w:rsidRDefault="00C06689" w:rsidP="00E34696">
      <w:pPr>
        <w:widowControl w:val="0"/>
        <w:tabs>
          <w:tab w:val="left" w:pos="284"/>
        </w:tabs>
        <w:jc w:val="both"/>
        <w:rPr>
          <w:sz w:val="22"/>
          <w:szCs w:val="22"/>
          <w:lang w:val="sr-Latn-ME"/>
        </w:rPr>
      </w:pPr>
    </w:p>
    <w:p w14:paraId="40401FD9" w14:textId="77777777" w:rsidR="00C06689" w:rsidRPr="00E34696" w:rsidRDefault="00C06689" w:rsidP="00E34696">
      <w:pPr>
        <w:widowControl w:val="0"/>
        <w:tabs>
          <w:tab w:val="left" w:pos="284"/>
        </w:tabs>
        <w:jc w:val="both"/>
        <w:rPr>
          <w:sz w:val="22"/>
          <w:szCs w:val="22"/>
          <w:u w:val="single"/>
          <w:lang w:val="sr-Latn-ME"/>
        </w:rPr>
      </w:pPr>
      <w:r w:rsidRPr="00E34696">
        <w:rPr>
          <w:sz w:val="22"/>
          <w:szCs w:val="22"/>
          <w:u w:val="single"/>
          <w:lang w:val="sr-Latn-ME"/>
        </w:rPr>
        <w:t>Плодност</w:t>
      </w:r>
    </w:p>
    <w:p w14:paraId="77129561"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Левофлоксацин не утиче на фертилитет и репродуктивну функцију код пацова.</w:t>
      </w:r>
    </w:p>
    <w:p w14:paraId="1EF9AA5E" w14:textId="77777777" w:rsidR="00C06689" w:rsidRPr="00E34696" w:rsidRDefault="00C06689" w:rsidP="00E34696">
      <w:pPr>
        <w:widowControl w:val="0"/>
        <w:tabs>
          <w:tab w:val="left" w:pos="540"/>
          <w:tab w:val="left" w:pos="569"/>
        </w:tabs>
        <w:ind w:left="540" w:hanging="540"/>
        <w:jc w:val="both"/>
        <w:rPr>
          <w:b/>
          <w:bCs/>
          <w:sz w:val="22"/>
          <w:szCs w:val="22"/>
          <w:lang w:val="sr-Latn-ME"/>
        </w:rPr>
      </w:pPr>
    </w:p>
    <w:p w14:paraId="6B09A300" w14:textId="77777777" w:rsidR="00C06689" w:rsidRPr="00E34696" w:rsidRDefault="00C06689" w:rsidP="00E34696">
      <w:pPr>
        <w:pStyle w:val="Header"/>
        <w:widowControl w:val="0"/>
        <w:tabs>
          <w:tab w:val="left" w:pos="284"/>
        </w:tabs>
        <w:jc w:val="both"/>
        <w:rPr>
          <w:sz w:val="22"/>
          <w:szCs w:val="22"/>
          <w:lang w:val="sr-Latn-ME"/>
        </w:rPr>
      </w:pPr>
      <w:r w:rsidRPr="00E34696">
        <w:rPr>
          <w:b/>
          <w:bCs/>
          <w:sz w:val="22"/>
          <w:szCs w:val="22"/>
          <w:lang w:val="sr-Latn-ME"/>
        </w:rPr>
        <w:t>4.7. Утицај на способност управљања возилима и руковање машинама</w:t>
      </w:r>
    </w:p>
    <w:p w14:paraId="6BBF2272" w14:textId="77777777" w:rsidR="00C06689" w:rsidRPr="00E34696" w:rsidRDefault="00C06689" w:rsidP="00E34696">
      <w:pPr>
        <w:widowControl w:val="0"/>
        <w:tabs>
          <w:tab w:val="left" w:pos="284"/>
        </w:tabs>
        <w:jc w:val="both"/>
        <w:rPr>
          <w:sz w:val="22"/>
          <w:szCs w:val="22"/>
          <w:lang w:val="sr-Latn-ME"/>
        </w:rPr>
      </w:pPr>
    </w:p>
    <w:p w14:paraId="1E995B8A"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Лијек Fovelid мало или умјерено утиче на способност управљања возилима и рад са машинама Нека нежељена дјества (нпр. вртоглавица/вертиго, поспаност, поремећаји вида) могу ослабити концентрацију и способност реаговања, па самим тим представљају опасност у ситуацијама кад су те способности посебно важне (нпр. управљање возилом или руковање машинама).</w:t>
      </w:r>
    </w:p>
    <w:p w14:paraId="7C5974CD" w14:textId="77777777" w:rsidR="004E70AD" w:rsidRPr="00E34696" w:rsidRDefault="004E70AD" w:rsidP="00E34696">
      <w:pPr>
        <w:widowControl w:val="0"/>
        <w:tabs>
          <w:tab w:val="left" w:pos="540"/>
          <w:tab w:val="left" w:pos="569"/>
        </w:tabs>
        <w:jc w:val="both"/>
        <w:rPr>
          <w:b/>
          <w:bCs/>
          <w:sz w:val="22"/>
          <w:szCs w:val="22"/>
          <w:lang w:val="sr-Latn-ME"/>
        </w:rPr>
      </w:pPr>
    </w:p>
    <w:p w14:paraId="0EE2DB1B" w14:textId="77777777" w:rsidR="00C06689" w:rsidRPr="00E34696" w:rsidRDefault="00C06689" w:rsidP="00E34696">
      <w:pPr>
        <w:pStyle w:val="Header"/>
        <w:widowControl w:val="0"/>
        <w:tabs>
          <w:tab w:val="left" w:pos="284"/>
        </w:tabs>
        <w:jc w:val="both"/>
        <w:rPr>
          <w:b/>
          <w:bCs/>
          <w:sz w:val="22"/>
          <w:szCs w:val="22"/>
          <w:lang w:val="sr-Latn-ME"/>
        </w:rPr>
      </w:pPr>
      <w:r w:rsidRPr="00E34696">
        <w:rPr>
          <w:b/>
          <w:bCs/>
          <w:sz w:val="22"/>
          <w:szCs w:val="22"/>
          <w:lang w:val="sr-Latn-ME"/>
        </w:rPr>
        <w:t>4.8. Нежељена дејства</w:t>
      </w:r>
    </w:p>
    <w:p w14:paraId="2FFC4D63" w14:textId="77777777" w:rsidR="00C06689" w:rsidRPr="00E34696" w:rsidRDefault="00C06689" w:rsidP="00E34696">
      <w:pPr>
        <w:pStyle w:val="Header"/>
        <w:widowControl w:val="0"/>
        <w:tabs>
          <w:tab w:val="left" w:pos="284"/>
        </w:tabs>
        <w:jc w:val="both"/>
        <w:rPr>
          <w:b/>
          <w:bCs/>
          <w:sz w:val="22"/>
          <w:szCs w:val="22"/>
          <w:lang w:val="sr-Latn-ME"/>
        </w:rPr>
      </w:pPr>
    </w:p>
    <w:p w14:paraId="7D3199BD"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Сљедеће информације заснивају се на резултатима клиничких испитивања на више од 8300 пацијената и великом постмаркетиншком искуству.</w:t>
      </w:r>
    </w:p>
    <w:p w14:paraId="2DDB08AB"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Учесталост нежељених дејстава наведена је према сљедећој конвенцији: веома честа (≥1/10), честа (≥1/100, &lt;1/10), повремена (≥1/1000, &lt;1/100), ријетка (≥1/10000, &lt;1/1000), веома ријетка (&lt;1/10000), непозната учесталост (учесталост се не може процијенити на основу доступних података).</w:t>
      </w:r>
    </w:p>
    <w:p w14:paraId="5B8A3178"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У свакој категорији учесталости, нежељена дејства су наведена према опадајућој озбиљности.</w:t>
      </w:r>
    </w:p>
    <w:p w14:paraId="5F98B59D" w14:textId="77777777" w:rsidR="00C06689" w:rsidRPr="00E34696" w:rsidRDefault="00C06689" w:rsidP="00E34696">
      <w:pPr>
        <w:widowControl w:val="0"/>
        <w:tabs>
          <w:tab w:val="left" w:pos="284"/>
        </w:tabs>
        <w:jc w:val="both"/>
        <w:rPr>
          <w:sz w:val="22"/>
          <w:szCs w:val="22"/>
          <w:lang w:val="sr-Latn-ME"/>
        </w:rPr>
      </w:pPr>
    </w:p>
    <w:p w14:paraId="007C2CE5"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Табела нежељених ефеката: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32"/>
        <w:gridCol w:w="1248"/>
        <w:gridCol w:w="1688"/>
        <w:gridCol w:w="1922"/>
        <w:gridCol w:w="2073"/>
      </w:tblGrid>
      <w:tr w:rsidR="00C06689" w:rsidRPr="00E34696" w14:paraId="57A5E8FD" w14:textId="77777777" w:rsidTr="00CF11E2">
        <w:tc>
          <w:tcPr>
            <w:tcW w:w="2132" w:type="dxa"/>
            <w:shd w:val="clear" w:color="auto" w:fill="F2F2F2"/>
            <w:tcMar>
              <w:top w:w="15" w:type="dxa"/>
              <w:left w:w="15" w:type="dxa"/>
              <w:bottom w:w="0" w:type="dxa"/>
              <w:right w:w="15" w:type="dxa"/>
            </w:tcMar>
            <w:hideMark/>
          </w:tcPr>
          <w:p w14:paraId="36D2ED09" w14:textId="77777777" w:rsidR="00C06689" w:rsidRPr="00E34696" w:rsidRDefault="00C06689" w:rsidP="00E34696">
            <w:pPr>
              <w:widowControl w:val="0"/>
              <w:tabs>
                <w:tab w:val="left" w:pos="284"/>
              </w:tabs>
              <w:jc w:val="both"/>
              <w:rPr>
                <w:b/>
                <w:bCs/>
                <w:sz w:val="22"/>
                <w:szCs w:val="22"/>
                <w:lang w:val="sr-Latn-ME"/>
              </w:rPr>
            </w:pPr>
            <w:r w:rsidRPr="00E34696">
              <w:rPr>
                <w:b/>
                <w:bCs/>
                <w:sz w:val="22"/>
                <w:szCs w:val="22"/>
                <w:lang w:val="sr-Latn-ME"/>
              </w:rPr>
              <w:t>Класа система органа</w:t>
            </w:r>
          </w:p>
        </w:tc>
        <w:tc>
          <w:tcPr>
            <w:tcW w:w="1248" w:type="dxa"/>
            <w:shd w:val="clear" w:color="auto" w:fill="F2F2F2"/>
            <w:tcMar>
              <w:top w:w="15" w:type="dxa"/>
              <w:left w:w="15" w:type="dxa"/>
              <w:bottom w:w="0" w:type="dxa"/>
              <w:right w:w="15" w:type="dxa"/>
            </w:tcMar>
            <w:hideMark/>
          </w:tcPr>
          <w:p w14:paraId="54DC53AD" w14:textId="77777777" w:rsidR="00C06689" w:rsidRPr="00E34696" w:rsidRDefault="00C06689" w:rsidP="00E34696">
            <w:pPr>
              <w:widowControl w:val="0"/>
              <w:tabs>
                <w:tab w:val="left" w:pos="284"/>
              </w:tabs>
              <w:jc w:val="both"/>
              <w:rPr>
                <w:b/>
                <w:sz w:val="22"/>
                <w:szCs w:val="22"/>
                <w:lang w:val="sr-Latn-ME"/>
              </w:rPr>
            </w:pPr>
            <w:r w:rsidRPr="00E34696">
              <w:rPr>
                <w:b/>
                <w:sz w:val="22"/>
                <w:szCs w:val="22"/>
                <w:lang w:val="sr-Latn-ME"/>
              </w:rPr>
              <w:t>Честа</w:t>
            </w:r>
          </w:p>
          <w:p w14:paraId="2382FE3F"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(≥1/100, &lt;1/10)</w:t>
            </w:r>
          </w:p>
        </w:tc>
        <w:tc>
          <w:tcPr>
            <w:tcW w:w="1688" w:type="dxa"/>
            <w:shd w:val="clear" w:color="auto" w:fill="F2F2F2"/>
            <w:tcMar>
              <w:top w:w="15" w:type="dxa"/>
              <w:left w:w="15" w:type="dxa"/>
              <w:bottom w:w="0" w:type="dxa"/>
              <w:right w:w="15" w:type="dxa"/>
            </w:tcMar>
            <w:hideMark/>
          </w:tcPr>
          <w:p w14:paraId="73608E07" w14:textId="77777777" w:rsidR="00C06689" w:rsidRPr="00E34696" w:rsidRDefault="00C06689" w:rsidP="00E34696">
            <w:pPr>
              <w:widowControl w:val="0"/>
              <w:tabs>
                <w:tab w:val="left" w:pos="284"/>
              </w:tabs>
              <w:jc w:val="both"/>
              <w:rPr>
                <w:b/>
                <w:bCs/>
                <w:sz w:val="22"/>
                <w:szCs w:val="22"/>
                <w:lang w:val="sr-Latn-ME"/>
              </w:rPr>
            </w:pPr>
            <w:r w:rsidRPr="00E34696">
              <w:rPr>
                <w:b/>
                <w:bCs/>
                <w:sz w:val="22"/>
                <w:szCs w:val="22"/>
                <w:lang w:val="sr-Latn-ME"/>
              </w:rPr>
              <w:t>Повремена</w:t>
            </w:r>
          </w:p>
          <w:p w14:paraId="5A3585E6"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(≥1/1000, &lt;1/100)</w:t>
            </w:r>
            <w:r w:rsidRPr="00E34696">
              <w:rPr>
                <w:b/>
                <w:bCs/>
                <w:sz w:val="22"/>
                <w:szCs w:val="22"/>
                <w:lang w:val="sr-Latn-ME"/>
              </w:rPr>
              <w:t xml:space="preserve"> </w:t>
            </w:r>
          </w:p>
        </w:tc>
        <w:tc>
          <w:tcPr>
            <w:tcW w:w="1922" w:type="dxa"/>
            <w:shd w:val="clear" w:color="auto" w:fill="F2F2F2"/>
            <w:tcMar>
              <w:top w:w="15" w:type="dxa"/>
              <w:left w:w="15" w:type="dxa"/>
              <w:bottom w:w="0" w:type="dxa"/>
              <w:right w:w="15" w:type="dxa"/>
            </w:tcMar>
            <w:hideMark/>
          </w:tcPr>
          <w:p w14:paraId="525E9D00" w14:textId="77777777" w:rsidR="00C06689" w:rsidRPr="00E34696" w:rsidRDefault="00C06689" w:rsidP="00E34696">
            <w:pPr>
              <w:widowControl w:val="0"/>
              <w:tabs>
                <w:tab w:val="left" w:pos="284"/>
              </w:tabs>
              <w:jc w:val="both"/>
              <w:rPr>
                <w:b/>
                <w:bCs/>
                <w:sz w:val="22"/>
                <w:szCs w:val="22"/>
                <w:lang w:val="sr-Latn-ME"/>
              </w:rPr>
            </w:pPr>
            <w:r w:rsidRPr="00E34696">
              <w:rPr>
                <w:b/>
                <w:bCs/>
                <w:sz w:val="22"/>
                <w:szCs w:val="22"/>
                <w:lang w:val="sr-Latn-ME"/>
              </w:rPr>
              <w:t>Ријетка</w:t>
            </w:r>
          </w:p>
          <w:p w14:paraId="12B9D7AE"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(≥1/10000, &lt;1/1000)</w:t>
            </w:r>
          </w:p>
        </w:tc>
        <w:tc>
          <w:tcPr>
            <w:tcW w:w="2073" w:type="dxa"/>
            <w:shd w:val="clear" w:color="auto" w:fill="F2F2F2"/>
            <w:tcMar>
              <w:top w:w="15" w:type="dxa"/>
              <w:left w:w="15" w:type="dxa"/>
              <w:bottom w:w="0" w:type="dxa"/>
              <w:right w:w="15" w:type="dxa"/>
            </w:tcMar>
            <w:hideMark/>
          </w:tcPr>
          <w:p w14:paraId="08ADC0FA" w14:textId="77777777" w:rsidR="00C06689" w:rsidRPr="00E34696" w:rsidRDefault="00C06689" w:rsidP="00E34696">
            <w:pPr>
              <w:widowControl w:val="0"/>
              <w:tabs>
                <w:tab w:val="left" w:pos="284"/>
              </w:tabs>
              <w:jc w:val="both"/>
              <w:rPr>
                <w:b/>
                <w:sz w:val="22"/>
                <w:szCs w:val="22"/>
                <w:lang w:val="sr-Latn-ME"/>
              </w:rPr>
            </w:pPr>
            <w:r w:rsidRPr="00E34696">
              <w:rPr>
                <w:b/>
                <w:sz w:val="22"/>
                <w:szCs w:val="22"/>
                <w:lang w:val="sr-Latn-ME"/>
              </w:rPr>
              <w:t>Непозната учесталост</w:t>
            </w:r>
          </w:p>
          <w:p w14:paraId="471DA73F" w14:textId="715C2D49" w:rsidR="00C06689" w:rsidRPr="00E34696" w:rsidRDefault="00C06689" w:rsidP="00E34696">
            <w:pPr>
              <w:widowControl w:val="0"/>
              <w:tabs>
                <w:tab w:val="left" w:pos="284"/>
              </w:tabs>
              <w:jc w:val="both"/>
              <w:rPr>
                <w:sz w:val="22"/>
                <w:szCs w:val="22"/>
                <w:lang w:val="sr-Latn-ME"/>
              </w:rPr>
            </w:pPr>
            <w:r w:rsidRPr="00E34696">
              <w:rPr>
                <w:sz w:val="22"/>
                <w:szCs w:val="22"/>
                <w:lang w:val="sr-Latn-ME"/>
              </w:rPr>
              <w:t xml:space="preserve">(учесталост се не може процијенити на основу доступних података) </w:t>
            </w:r>
          </w:p>
        </w:tc>
      </w:tr>
      <w:tr w:rsidR="00C06689" w:rsidRPr="00E34696" w14:paraId="0FF8E6BD" w14:textId="77777777" w:rsidTr="00CF11E2">
        <w:tc>
          <w:tcPr>
            <w:tcW w:w="2132" w:type="dxa"/>
            <w:shd w:val="clear" w:color="auto" w:fill="auto"/>
            <w:tcMar>
              <w:top w:w="15" w:type="dxa"/>
              <w:left w:w="15" w:type="dxa"/>
              <w:bottom w:w="0" w:type="dxa"/>
              <w:right w:w="15" w:type="dxa"/>
            </w:tcMar>
            <w:hideMark/>
          </w:tcPr>
          <w:p w14:paraId="12E8083B" w14:textId="77777777" w:rsidR="00C06689" w:rsidRPr="00E34696" w:rsidRDefault="00C06689" w:rsidP="00E34696">
            <w:pPr>
              <w:widowControl w:val="0"/>
              <w:tabs>
                <w:tab w:val="left" w:pos="284"/>
              </w:tabs>
              <w:jc w:val="both"/>
              <w:rPr>
                <w:i/>
                <w:iCs/>
                <w:sz w:val="22"/>
                <w:szCs w:val="22"/>
                <w:lang w:val="sr-Latn-ME"/>
              </w:rPr>
            </w:pPr>
            <w:r w:rsidRPr="00E34696">
              <w:rPr>
                <w:i/>
                <w:iCs/>
                <w:sz w:val="22"/>
                <w:szCs w:val="22"/>
                <w:lang w:val="sr-Latn-ME"/>
              </w:rPr>
              <w:t>Инфекције и инфестације</w:t>
            </w:r>
          </w:p>
        </w:tc>
        <w:tc>
          <w:tcPr>
            <w:tcW w:w="1248" w:type="dxa"/>
            <w:shd w:val="clear" w:color="auto" w:fill="auto"/>
            <w:tcMar>
              <w:top w:w="15" w:type="dxa"/>
              <w:left w:w="15" w:type="dxa"/>
              <w:bottom w:w="0" w:type="dxa"/>
              <w:right w:w="15" w:type="dxa"/>
            </w:tcMar>
            <w:hideMark/>
          </w:tcPr>
          <w:p w14:paraId="6A907C7F"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 </w:t>
            </w:r>
          </w:p>
        </w:tc>
        <w:tc>
          <w:tcPr>
            <w:tcW w:w="1688" w:type="dxa"/>
            <w:shd w:val="clear" w:color="auto" w:fill="auto"/>
            <w:tcMar>
              <w:top w:w="15" w:type="dxa"/>
              <w:left w:w="15" w:type="dxa"/>
              <w:bottom w:w="0" w:type="dxa"/>
              <w:right w:w="15" w:type="dxa"/>
            </w:tcMar>
            <w:hideMark/>
          </w:tcPr>
          <w:p w14:paraId="440515C3" w14:textId="5799E01A" w:rsidR="00C06689" w:rsidRPr="00E34696" w:rsidRDefault="00C06689" w:rsidP="00E34696">
            <w:pPr>
              <w:widowControl w:val="0"/>
              <w:tabs>
                <w:tab w:val="left" w:pos="284"/>
              </w:tabs>
              <w:jc w:val="both"/>
              <w:rPr>
                <w:sz w:val="22"/>
                <w:szCs w:val="22"/>
                <w:lang w:val="sr-Latn-ME"/>
              </w:rPr>
            </w:pPr>
            <w:r w:rsidRPr="00E34696">
              <w:rPr>
                <w:sz w:val="22"/>
                <w:szCs w:val="22"/>
                <w:lang w:val="sr-Latn-ME"/>
              </w:rPr>
              <w:t xml:space="preserve">Гљивична инфекција (укључујући кандиду) </w:t>
            </w:r>
          </w:p>
          <w:p w14:paraId="1220BCD3"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Резистенција микроорганизама</w:t>
            </w:r>
          </w:p>
        </w:tc>
        <w:tc>
          <w:tcPr>
            <w:tcW w:w="1922" w:type="dxa"/>
            <w:shd w:val="clear" w:color="auto" w:fill="auto"/>
            <w:tcMar>
              <w:top w:w="15" w:type="dxa"/>
              <w:left w:w="15" w:type="dxa"/>
              <w:bottom w:w="0" w:type="dxa"/>
              <w:right w:w="15" w:type="dxa"/>
            </w:tcMar>
            <w:hideMark/>
          </w:tcPr>
          <w:p w14:paraId="0CF89C1C"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 </w:t>
            </w:r>
          </w:p>
        </w:tc>
        <w:tc>
          <w:tcPr>
            <w:tcW w:w="2073" w:type="dxa"/>
            <w:shd w:val="clear" w:color="auto" w:fill="auto"/>
            <w:tcMar>
              <w:top w:w="15" w:type="dxa"/>
              <w:left w:w="15" w:type="dxa"/>
              <w:bottom w:w="0" w:type="dxa"/>
              <w:right w:w="15" w:type="dxa"/>
            </w:tcMar>
            <w:hideMark/>
          </w:tcPr>
          <w:p w14:paraId="38898D27"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 </w:t>
            </w:r>
          </w:p>
        </w:tc>
      </w:tr>
      <w:tr w:rsidR="00C06689" w:rsidRPr="00E34696" w14:paraId="68A48376" w14:textId="77777777" w:rsidTr="00CF11E2">
        <w:tc>
          <w:tcPr>
            <w:tcW w:w="2132" w:type="dxa"/>
            <w:shd w:val="clear" w:color="auto" w:fill="auto"/>
            <w:tcMar>
              <w:top w:w="15" w:type="dxa"/>
              <w:left w:w="15" w:type="dxa"/>
              <w:bottom w:w="0" w:type="dxa"/>
              <w:right w:w="15" w:type="dxa"/>
            </w:tcMar>
            <w:hideMark/>
          </w:tcPr>
          <w:p w14:paraId="5AB8A4C5" w14:textId="77777777" w:rsidR="00C06689" w:rsidRPr="00E34696" w:rsidRDefault="00C06689" w:rsidP="00E34696">
            <w:pPr>
              <w:widowControl w:val="0"/>
              <w:tabs>
                <w:tab w:val="left" w:pos="284"/>
              </w:tabs>
              <w:jc w:val="both"/>
              <w:rPr>
                <w:i/>
                <w:iCs/>
                <w:sz w:val="22"/>
                <w:szCs w:val="22"/>
                <w:lang w:val="sr-Latn-ME"/>
              </w:rPr>
            </w:pPr>
            <w:r w:rsidRPr="00E34696">
              <w:rPr>
                <w:i/>
                <w:iCs/>
                <w:sz w:val="22"/>
                <w:szCs w:val="22"/>
                <w:lang w:val="sr-Latn-ME"/>
              </w:rPr>
              <w:t>Поремећаји крви и лимфног система</w:t>
            </w:r>
          </w:p>
        </w:tc>
        <w:tc>
          <w:tcPr>
            <w:tcW w:w="1248" w:type="dxa"/>
            <w:shd w:val="clear" w:color="auto" w:fill="auto"/>
            <w:tcMar>
              <w:top w:w="15" w:type="dxa"/>
              <w:left w:w="15" w:type="dxa"/>
              <w:bottom w:w="0" w:type="dxa"/>
              <w:right w:w="15" w:type="dxa"/>
            </w:tcMar>
            <w:hideMark/>
          </w:tcPr>
          <w:p w14:paraId="7895F7AC"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 </w:t>
            </w:r>
          </w:p>
        </w:tc>
        <w:tc>
          <w:tcPr>
            <w:tcW w:w="1688" w:type="dxa"/>
            <w:shd w:val="clear" w:color="auto" w:fill="auto"/>
            <w:tcMar>
              <w:top w:w="15" w:type="dxa"/>
              <w:left w:w="15" w:type="dxa"/>
              <w:bottom w:w="0" w:type="dxa"/>
              <w:right w:w="15" w:type="dxa"/>
            </w:tcMar>
            <w:hideMark/>
          </w:tcPr>
          <w:p w14:paraId="2C4B8715" w14:textId="45373098" w:rsidR="00C06689" w:rsidRPr="00E34696" w:rsidRDefault="00C06689" w:rsidP="00E34696">
            <w:pPr>
              <w:widowControl w:val="0"/>
              <w:tabs>
                <w:tab w:val="left" w:pos="284"/>
              </w:tabs>
              <w:jc w:val="both"/>
              <w:rPr>
                <w:sz w:val="22"/>
                <w:szCs w:val="22"/>
                <w:lang w:val="sr-Latn-ME"/>
              </w:rPr>
            </w:pPr>
            <w:r w:rsidRPr="00E34696">
              <w:rPr>
                <w:sz w:val="22"/>
                <w:szCs w:val="22"/>
                <w:lang w:val="sr-Latn-ME"/>
              </w:rPr>
              <w:t xml:space="preserve">Леукопенија </w:t>
            </w:r>
          </w:p>
          <w:p w14:paraId="688A055F"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Eoзинофилија</w:t>
            </w:r>
          </w:p>
        </w:tc>
        <w:tc>
          <w:tcPr>
            <w:tcW w:w="1922" w:type="dxa"/>
            <w:shd w:val="clear" w:color="auto" w:fill="auto"/>
            <w:tcMar>
              <w:top w:w="15" w:type="dxa"/>
              <w:left w:w="15" w:type="dxa"/>
              <w:bottom w:w="0" w:type="dxa"/>
              <w:right w:w="15" w:type="dxa"/>
            </w:tcMar>
            <w:hideMark/>
          </w:tcPr>
          <w:p w14:paraId="11FCF810" w14:textId="71500750" w:rsidR="00C06689" w:rsidRPr="00E34696" w:rsidRDefault="00C06689" w:rsidP="00E34696">
            <w:pPr>
              <w:widowControl w:val="0"/>
              <w:tabs>
                <w:tab w:val="left" w:pos="284"/>
              </w:tabs>
              <w:jc w:val="both"/>
              <w:rPr>
                <w:sz w:val="22"/>
                <w:szCs w:val="22"/>
                <w:lang w:val="sr-Latn-ME"/>
              </w:rPr>
            </w:pPr>
            <w:r w:rsidRPr="00E34696">
              <w:rPr>
                <w:sz w:val="22"/>
                <w:szCs w:val="22"/>
                <w:lang w:val="sr-Latn-ME"/>
              </w:rPr>
              <w:t>Tромбоцитопенија</w:t>
            </w:r>
          </w:p>
          <w:p w14:paraId="30C53C87"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Неутропенија</w:t>
            </w:r>
          </w:p>
        </w:tc>
        <w:tc>
          <w:tcPr>
            <w:tcW w:w="2073" w:type="dxa"/>
            <w:shd w:val="clear" w:color="auto" w:fill="auto"/>
            <w:tcMar>
              <w:top w:w="15" w:type="dxa"/>
              <w:left w:w="15" w:type="dxa"/>
              <w:bottom w:w="0" w:type="dxa"/>
              <w:right w:w="15" w:type="dxa"/>
            </w:tcMar>
            <w:hideMark/>
          </w:tcPr>
          <w:p w14:paraId="047E4DA4" w14:textId="77777777" w:rsidR="00867ADD" w:rsidRPr="00E34696" w:rsidRDefault="00867ADD" w:rsidP="00E34696">
            <w:pPr>
              <w:widowControl w:val="0"/>
              <w:rPr>
                <w:szCs w:val="22"/>
                <w:lang w:val="sr-Latn-ME"/>
              </w:rPr>
            </w:pPr>
            <w:r w:rsidRPr="00E34696">
              <w:rPr>
                <w:sz w:val="22"/>
                <w:szCs w:val="22"/>
                <w:lang w:val="sr-Latn-ME"/>
              </w:rPr>
              <w:t>Оштећење коштане сржи, укључујући апластичну анемију</w:t>
            </w:r>
            <w:r w:rsidRPr="00E34696">
              <w:rPr>
                <w:lang w:val="sr-Latn-ME"/>
              </w:rPr>
              <w:t>,</w:t>
            </w:r>
          </w:p>
          <w:p w14:paraId="19AFE229" w14:textId="287D1EC7" w:rsidR="00C06689" w:rsidRPr="00E34696" w:rsidRDefault="00867ADD" w:rsidP="00E34696">
            <w:pPr>
              <w:widowControl w:val="0"/>
              <w:tabs>
                <w:tab w:val="left" w:pos="284"/>
              </w:tabs>
              <w:jc w:val="both"/>
              <w:rPr>
                <w:sz w:val="22"/>
                <w:szCs w:val="22"/>
                <w:lang w:val="sr-Latn-ME"/>
              </w:rPr>
            </w:pPr>
            <w:r w:rsidRPr="00E34696">
              <w:rPr>
                <w:sz w:val="22"/>
                <w:szCs w:val="22"/>
                <w:lang w:val="sr-Latn-ME"/>
              </w:rPr>
              <w:t>п</w:t>
            </w:r>
            <w:r w:rsidR="00C06689" w:rsidRPr="00E34696">
              <w:rPr>
                <w:sz w:val="22"/>
                <w:szCs w:val="22"/>
                <w:lang w:val="sr-Latn-ME"/>
              </w:rPr>
              <w:t>анцитопенија</w:t>
            </w:r>
            <w:r w:rsidRPr="00E34696">
              <w:rPr>
                <w:sz w:val="22"/>
                <w:szCs w:val="22"/>
                <w:lang w:val="sr-Latn-ME"/>
              </w:rPr>
              <w:t>,</w:t>
            </w:r>
            <w:r w:rsidR="00C06689" w:rsidRPr="00E34696">
              <w:rPr>
                <w:sz w:val="22"/>
                <w:szCs w:val="22"/>
                <w:lang w:val="sr-Latn-ME"/>
              </w:rPr>
              <w:t xml:space="preserve"> </w:t>
            </w:r>
          </w:p>
          <w:p w14:paraId="0B83ED94" w14:textId="63128192" w:rsidR="00C06689" w:rsidRPr="00E34696" w:rsidRDefault="00867ADD" w:rsidP="00E34696">
            <w:pPr>
              <w:widowControl w:val="0"/>
              <w:tabs>
                <w:tab w:val="left" w:pos="284"/>
              </w:tabs>
              <w:jc w:val="both"/>
              <w:rPr>
                <w:sz w:val="22"/>
                <w:szCs w:val="22"/>
                <w:lang w:val="sr-Latn-ME"/>
              </w:rPr>
            </w:pPr>
            <w:r w:rsidRPr="00E34696">
              <w:rPr>
                <w:sz w:val="22"/>
                <w:szCs w:val="22"/>
                <w:lang w:val="sr-Latn-ME"/>
              </w:rPr>
              <w:t>а</w:t>
            </w:r>
            <w:r w:rsidR="00C06689" w:rsidRPr="00E34696">
              <w:rPr>
                <w:sz w:val="22"/>
                <w:szCs w:val="22"/>
                <w:lang w:val="sr-Latn-ME"/>
              </w:rPr>
              <w:t>гранулоцитоза</w:t>
            </w:r>
            <w:r w:rsidRPr="00E34696">
              <w:rPr>
                <w:sz w:val="22"/>
                <w:szCs w:val="22"/>
                <w:lang w:val="sr-Latn-ME"/>
              </w:rPr>
              <w:t>,</w:t>
            </w:r>
            <w:r w:rsidR="00C06689" w:rsidRPr="00E34696">
              <w:rPr>
                <w:sz w:val="22"/>
                <w:szCs w:val="22"/>
                <w:lang w:val="sr-Latn-ME"/>
              </w:rPr>
              <w:t xml:space="preserve"> </w:t>
            </w:r>
          </w:p>
          <w:p w14:paraId="5F3E0075" w14:textId="5801B09A" w:rsidR="00C06689" w:rsidRPr="00E34696" w:rsidRDefault="00867ADD" w:rsidP="00E34696">
            <w:pPr>
              <w:widowControl w:val="0"/>
              <w:tabs>
                <w:tab w:val="left" w:pos="284"/>
              </w:tabs>
              <w:jc w:val="both"/>
              <w:rPr>
                <w:sz w:val="22"/>
                <w:szCs w:val="22"/>
                <w:lang w:val="sr-Latn-ME"/>
              </w:rPr>
            </w:pPr>
            <w:r w:rsidRPr="00E34696">
              <w:rPr>
                <w:sz w:val="22"/>
                <w:szCs w:val="22"/>
                <w:lang w:val="sr-Latn-ME"/>
              </w:rPr>
              <w:lastRenderedPageBreak/>
              <w:t>х</w:t>
            </w:r>
            <w:r w:rsidR="00C06689" w:rsidRPr="00E34696">
              <w:rPr>
                <w:sz w:val="22"/>
                <w:szCs w:val="22"/>
                <w:lang w:val="sr-Latn-ME"/>
              </w:rPr>
              <w:t>емолитичка анемија</w:t>
            </w:r>
          </w:p>
        </w:tc>
      </w:tr>
      <w:tr w:rsidR="00C06689" w:rsidRPr="00E34696" w14:paraId="5963A068" w14:textId="77777777" w:rsidTr="00CF11E2">
        <w:tc>
          <w:tcPr>
            <w:tcW w:w="2132" w:type="dxa"/>
            <w:shd w:val="clear" w:color="auto" w:fill="auto"/>
            <w:tcMar>
              <w:top w:w="15" w:type="dxa"/>
              <w:left w:w="15" w:type="dxa"/>
              <w:bottom w:w="0" w:type="dxa"/>
              <w:right w:w="15" w:type="dxa"/>
            </w:tcMar>
            <w:hideMark/>
          </w:tcPr>
          <w:p w14:paraId="0A54227B" w14:textId="01782E77" w:rsidR="00C06689" w:rsidRPr="00E34696" w:rsidRDefault="00C06689" w:rsidP="00E34696">
            <w:pPr>
              <w:widowControl w:val="0"/>
              <w:tabs>
                <w:tab w:val="left" w:pos="284"/>
              </w:tabs>
              <w:jc w:val="both"/>
              <w:rPr>
                <w:i/>
                <w:iCs/>
                <w:sz w:val="22"/>
                <w:szCs w:val="22"/>
                <w:lang w:val="sr-Latn-ME"/>
              </w:rPr>
            </w:pPr>
            <w:r w:rsidRPr="00E34696">
              <w:rPr>
                <w:i/>
                <w:iCs/>
                <w:sz w:val="22"/>
                <w:szCs w:val="22"/>
                <w:lang w:val="sr-Latn-ME"/>
              </w:rPr>
              <w:lastRenderedPageBreak/>
              <w:t>Поремећаји имуног система</w:t>
            </w:r>
          </w:p>
        </w:tc>
        <w:tc>
          <w:tcPr>
            <w:tcW w:w="1248" w:type="dxa"/>
            <w:shd w:val="clear" w:color="auto" w:fill="auto"/>
            <w:tcMar>
              <w:top w:w="15" w:type="dxa"/>
              <w:left w:w="15" w:type="dxa"/>
              <w:bottom w:w="0" w:type="dxa"/>
              <w:right w:w="15" w:type="dxa"/>
            </w:tcMar>
            <w:hideMark/>
          </w:tcPr>
          <w:p w14:paraId="58BB8FA4"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 </w:t>
            </w:r>
          </w:p>
        </w:tc>
        <w:tc>
          <w:tcPr>
            <w:tcW w:w="1688" w:type="dxa"/>
            <w:shd w:val="clear" w:color="auto" w:fill="auto"/>
            <w:tcMar>
              <w:top w:w="15" w:type="dxa"/>
              <w:left w:w="15" w:type="dxa"/>
              <w:bottom w:w="0" w:type="dxa"/>
              <w:right w:w="15" w:type="dxa"/>
            </w:tcMar>
            <w:hideMark/>
          </w:tcPr>
          <w:p w14:paraId="2E8260F1"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 </w:t>
            </w:r>
          </w:p>
        </w:tc>
        <w:tc>
          <w:tcPr>
            <w:tcW w:w="1922" w:type="dxa"/>
            <w:shd w:val="clear" w:color="auto" w:fill="auto"/>
            <w:tcMar>
              <w:top w:w="15" w:type="dxa"/>
              <w:left w:w="15" w:type="dxa"/>
              <w:bottom w:w="0" w:type="dxa"/>
              <w:right w:w="15" w:type="dxa"/>
            </w:tcMar>
            <w:hideMark/>
          </w:tcPr>
          <w:p w14:paraId="5ACDD9A3" w14:textId="12720E9D" w:rsidR="00C06689" w:rsidRPr="00E34696" w:rsidRDefault="00C06689" w:rsidP="00E34696">
            <w:pPr>
              <w:widowControl w:val="0"/>
              <w:tabs>
                <w:tab w:val="left" w:pos="284"/>
              </w:tabs>
              <w:jc w:val="both"/>
              <w:rPr>
                <w:sz w:val="22"/>
                <w:szCs w:val="22"/>
                <w:lang w:val="sr-Latn-ME"/>
              </w:rPr>
            </w:pPr>
            <w:r w:rsidRPr="00E34696">
              <w:rPr>
                <w:sz w:val="22"/>
                <w:szCs w:val="22"/>
                <w:lang w:val="sr-Latn-ME"/>
              </w:rPr>
              <w:t xml:space="preserve">Aнгиоедем </w:t>
            </w:r>
          </w:p>
          <w:p w14:paraId="2623251F"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Хиперсензитивност (погледати дио 4.4)</w:t>
            </w:r>
          </w:p>
        </w:tc>
        <w:tc>
          <w:tcPr>
            <w:tcW w:w="2073" w:type="dxa"/>
            <w:shd w:val="clear" w:color="auto" w:fill="auto"/>
            <w:tcMar>
              <w:top w:w="15" w:type="dxa"/>
              <w:left w:w="15" w:type="dxa"/>
              <w:bottom w:w="0" w:type="dxa"/>
              <w:right w:w="15" w:type="dxa"/>
            </w:tcMar>
            <w:hideMark/>
          </w:tcPr>
          <w:p w14:paraId="2D53E71C" w14:textId="30AD8E89" w:rsidR="00C06689" w:rsidRPr="00E34696" w:rsidRDefault="00C06689" w:rsidP="00E34696">
            <w:pPr>
              <w:widowControl w:val="0"/>
              <w:tabs>
                <w:tab w:val="left" w:pos="284"/>
              </w:tabs>
              <w:jc w:val="both"/>
              <w:rPr>
                <w:sz w:val="22"/>
                <w:szCs w:val="22"/>
                <w:lang w:val="sr-Latn-ME"/>
              </w:rPr>
            </w:pPr>
            <w:r w:rsidRPr="00E34696">
              <w:rPr>
                <w:sz w:val="22"/>
                <w:szCs w:val="22"/>
                <w:lang w:val="sr-Latn-ME"/>
              </w:rPr>
              <w:t>Aнафилактички шок</w:t>
            </w:r>
            <w:r w:rsidRPr="00E34696">
              <w:rPr>
                <w:sz w:val="22"/>
                <w:szCs w:val="22"/>
                <w:vertAlign w:val="superscript"/>
                <w:lang w:val="sr-Latn-ME"/>
              </w:rPr>
              <w:t>a</w:t>
            </w:r>
          </w:p>
          <w:p w14:paraId="06D5F6A4"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Aнафилактоидне реакције</w:t>
            </w:r>
            <w:r w:rsidRPr="00E34696">
              <w:rPr>
                <w:sz w:val="22"/>
                <w:szCs w:val="22"/>
                <w:vertAlign w:val="superscript"/>
                <w:lang w:val="sr-Latn-ME"/>
              </w:rPr>
              <w:t>a</w:t>
            </w:r>
            <w:r w:rsidRPr="00E34696">
              <w:rPr>
                <w:sz w:val="22"/>
                <w:szCs w:val="22"/>
                <w:lang w:val="sr-Latn-ME"/>
              </w:rPr>
              <w:t xml:space="preserve"> (погледати дио 4.4)</w:t>
            </w:r>
          </w:p>
        </w:tc>
      </w:tr>
      <w:tr w:rsidR="00C06689" w:rsidRPr="00E34696" w14:paraId="75E8FD09" w14:textId="77777777" w:rsidTr="00CF11E2">
        <w:tc>
          <w:tcPr>
            <w:tcW w:w="2132" w:type="dxa"/>
            <w:shd w:val="clear" w:color="auto" w:fill="auto"/>
            <w:tcMar>
              <w:top w:w="15" w:type="dxa"/>
              <w:left w:w="15" w:type="dxa"/>
              <w:bottom w:w="0" w:type="dxa"/>
              <w:right w:w="15" w:type="dxa"/>
            </w:tcMar>
            <w:hideMark/>
          </w:tcPr>
          <w:p w14:paraId="5E0DA3C6" w14:textId="77777777" w:rsidR="00C06689" w:rsidRPr="00E34696" w:rsidRDefault="00C06689" w:rsidP="00E34696">
            <w:pPr>
              <w:widowControl w:val="0"/>
              <w:tabs>
                <w:tab w:val="left" w:pos="284"/>
              </w:tabs>
              <w:jc w:val="both"/>
              <w:rPr>
                <w:i/>
                <w:iCs/>
                <w:sz w:val="22"/>
                <w:szCs w:val="22"/>
                <w:lang w:val="sr-Latn-ME"/>
              </w:rPr>
            </w:pPr>
            <w:r w:rsidRPr="00E34696">
              <w:rPr>
                <w:i/>
                <w:iCs/>
                <w:sz w:val="22"/>
                <w:szCs w:val="22"/>
                <w:lang w:val="sr-Latn-ME"/>
              </w:rPr>
              <w:t>Поремећај метаболизма и исхране</w:t>
            </w:r>
          </w:p>
        </w:tc>
        <w:tc>
          <w:tcPr>
            <w:tcW w:w="1248" w:type="dxa"/>
            <w:shd w:val="clear" w:color="auto" w:fill="auto"/>
            <w:tcMar>
              <w:top w:w="15" w:type="dxa"/>
              <w:left w:w="15" w:type="dxa"/>
              <w:bottom w:w="0" w:type="dxa"/>
              <w:right w:w="15" w:type="dxa"/>
            </w:tcMar>
            <w:hideMark/>
          </w:tcPr>
          <w:p w14:paraId="4C50D5A5"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 </w:t>
            </w:r>
          </w:p>
        </w:tc>
        <w:tc>
          <w:tcPr>
            <w:tcW w:w="1688" w:type="dxa"/>
            <w:shd w:val="clear" w:color="auto" w:fill="auto"/>
            <w:tcMar>
              <w:top w:w="15" w:type="dxa"/>
              <w:left w:w="15" w:type="dxa"/>
              <w:bottom w:w="0" w:type="dxa"/>
              <w:right w:w="15" w:type="dxa"/>
            </w:tcMar>
            <w:hideMark/>
          </w:tcPr>
          <w:p w14:paraId="5420F84D"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Aнорексија</w:t>
            </w:r>
          </w:p>
        </w:tc>
        <w:tc>
          <w:tcPr>
            <w:tcW w:w="1922" w:type="dxa"/>
            <w:shd w:val="clear" w:color="auto" w:fill="auto"/>
            <w:tcMar>
              <w:top w:w="15" w:type="dxa"/>
              <w:left w:w="15" w:type="dxa"/>
              <w:bottom w:w="0" w:type="dxa"/>
              <w:right w:w="15" w:type="dxa"/>
            </w:tcMar>
            <w:hideMark/>
          </w:tcPr>
          <w:p w14:paraId="0FE28841" w14:textId="0D41E721" w:rsidR="00C06689" w:rsidRPr="00E34696" w:rsidRDefault="00C06689" w:rsidP="00E34696">
            <w:pPr>
              <w:widowControl w:val="0"/>
              <w:tabs>
                <w:tab w:val="left" w:pos="284"/>
              </w:tabs>
              <w:jc w:val="both"/>
              <w:rPr>
                <w:sz w:val="22"/>
                <w:szCs w:val="22"/>
                <w:lang w:val="sr-Latn-ME"/>
              </w:rPr>
            </w:pPr>
            <w:r w:rsidRPr="00E34696">
              <w:rPr>
                <w:sz w:val="22"/>
                <w:szCs w:val="22"/>
                <w:lang w:val="sr-Latn-ME"/>
              </w:rPr>
              <w:t>Хипогликемија, посебно код особа са дијабетесом Хипогликемијска кома (погледати дио 4.4)</w:t>
            </w:r>
          </w:p>
        </w:tc>
        <w:tc>
          <w:tcPr>
            <w:tcW w:w="2073" w:type="dxa"/>
            <w:shd w:val="clear" w:color="auto" w:fill="auto"/>
            <w:tcMar>
              <w:top w:w="15" w:type="dxa"/>
              <w:left w:w="15" w:type="dxa"/>
              <w:bottom w:w="0" w:type="dxa"/>
              <w:right w:w="15" w:type="dxa"/>
            </w:tcMar>
            <w:hideMark/>
          </w:tcPr>
          <w:p w14:paraId="0091D6C5"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Хипергликемија, (погледати дио 4.4)</w:t>
            </w:r>
          </w:p>
        </w:tc>
      </w:tr>
      <w:tr w:rsidR="00C06689" w:rsidRPr="00E34696" w14:paraId="0840B381" w14:textId="77777777" w:rsidTr="00CF11E2">
        <w:tc>
          <w:tcPr>
            <w:tcW w:w="2132" w:type="dxa"/>
            <w:shd w:val="clear" w:color="auto" w:fill="auto"/>
            <w:tcMar>
              <w:top w:w="15" w:type="dxa"/>
              <w:left w:w="15" w:type="dxa"/>
              <w:bottom w:w="0" w:type="dxa"/>
              <w:right w:w="15" w:type="dxa"/>
            </w:tcMar>
          </w:tcPr>
          <w:p w14:paraId="06402854" w14:textId="77777777" w:rsidR="00C06689" w:rsidRPr="00E34696" w:rsidRDefault="00C06689" w:rsidP="00E34696">
            <w:pPr>
              <w:widowControl w:val="0"/>
              <w:tabs>
                <w:tab w:val="left" w:pos="284"/>
              </w:tabs>
              <w:jc w:val="both"/>
              <w:rPr>
                <w:i/>
                <w:iCs/>
                <w:sz w:val="22"/>
                <w:szCs w:val="22"/>
                <w:lang w:val="sr-Latn-ME"/>
              </w:rPr>
            </w:pPr>
            <w:r w:rsidRPr="00E34696">
              <w:rPr>
                <w:i/>
                <w:iCs/>
                <w:sz w:val="22"/>
                <w:szCs w:val="22"/>
                <w:lang w:val="sr-Latn-ME"/>
              </w:rPr>
              <w:t>Ендокрини поремећаји</w:t>
            </w:r>
          </w:p>
        </w:tc>
        <w:tc>
          <w:tcPr>
            <w:tcW w:w="1248" w:type="dxa"/>
            <w:shd w:val="clear" w:color="auto" w:fill="auto"/>
            <w:tcMar>
              <w:top w:w="15" w:type="dxa"/>
              <w:left w:w="15" w:type="dxa"/>
              <w:bottom w:w="0" w:type="dxa"/>
              <w:right w:w="15" w:type="dxa"/>
            </w:tcMar>
          </w:tcPr>
          <w:p w14:paraId="6657C64D" w14:textId="77777777" w:rsidR="00C06689" w:rsidRPr="00E34696" w:rsidRDefault="00C06689" w:rsidP="00E34696">
            <w:pPr>
              <w:widowControl w:val="0"/>
              <w:tabs>
                <w:tab w:val="left" w:pos="284"/>
              </w:tabs>
              <w:jc w:val="both"/>
              <w:rPr>
                <w:sz w:val="22"/>
                <w:szCs w:val="22"/>
                <w:lang w:val="sr-Latn-ME"/>
              </w:rPr>
            </w:pPr>
          </w:p>
        </w:tc>
        <w:tc>
          <w:tcPr>
            <w:tcW w:w="1688" w:type="dxa"/>
            <w:shd w:val="clear" w:color="auto" w:fill="auto"/>
            <w:tcMar>
              <w:top w:w="15" w:type="dxa"/>
              <w:left w:w="15" w:type="dxa"/>
              <w:bottom w:w="0" w:type="dxa"/>
              <w:right w:w="15" w:type="dxa"/>
            </w:tcMar>
          </w:tcPr>
          <w:p w14:paraId="505F631F" w14:textId="77777777" w:rsidR="00C06689" w:rsidRPr="00E34696" w:rsidRDefault="00C06689" w:rsidP="00E34696">
            <w:pPr>
              <w:widowControl w:val="0"/>
              <w:tabs>
                <w:tab w:val="left" w:pos="284"/>
              </w:tabs>
              <w:jc w:val="both"/>
              <w:rPr>
                <w:sz w:val="22"/>
                <w:szCs w:val="22"/>
                <w:lang w:val="sr-Latn-ME"/>
              </w:rPr>
            </w:pPr>
          </w:p>
        </w:tc>
        <w:tc>
          <w:tcPr>
            <w:tcW w:w="1922" w:type="dxa"/>
            <w:shd w:val="clear" w:color="auto" w:fill="auto"/>
            <w:tcMar>
              <w:top w:w="15" w:type="dxa"/>
              <w:left w:w="15" w:type="dxa"/>
              <w:bottom w:w="0" w:type="dxa"/>
              <w:right w:w="15" w:type="dxa"/>
            </w:tcMar>
          </w:tcPr>
          <w:p w14:paraId="766A6C5B"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Синдром неодговарајућег лучења антидиуретског хормона (SIADH)</w:t>
            </w:r>
          </w:p>
        </w:tc>
        <w:tc>
          <w:tcPr>
            <w:tcW w:w="2073" w:type="dxa"/>
            <w:shd w:val="clear" w:color="auto" w:fill="auto"/>
            <w:tcMar>
              <w:top w:w="15" w:type="dxa"/>
              <w:left w:w="15" w:type="dxa"/>
              <w:bottom w:w="0" w:type="dxa"/>
              <w:right w:w="15" w:type="dxa"/>
            </w:tcMar>
          </w:tcPr>
          <w:p w14:paraId="6BCBE5ED" w14:textId="77777777" w:rsidR="00C06689" w:rsidRPr="00E34696" w:rsidRDefault="00C06689" w:rsidP="00E34696">
            <w:pPr>
              <w:widowControl w:val="0"/>
              <w:tabs>
                <w:tab w:val="left" w:pos="284"/>
              </w:tabs>
              <w:jc w:val="both"/>
              <w:rPr>
                <w:sz w:val="22"/>
                <w:szCs w:val="22"/>
                <w:lang w:val="sr-Latn-ME"/>
              </w:rPr>
            </w:pPr>
          </w:p>
        </w:tc>
      </w:tr>
      <w:tr w:rsidR="00C06689" w:rsidRPr="00E34696" w14:paraId="719B2860" w14:textId="77777777" w:rsidTr="00CF11E2">
        <w:tc>
          <w:tcPr>
            <w:tcW w:w="2132" w:type="dxa"/>
            <w:shd w:val="clear" w:color="auto" w:fill="auto"/>
            <w:tcMar>
              <w:top w:w="15" w:type="dxa"/>
              <w:left w:w="15" w:type="dxa"/>
              <w:bottom w:w="0" w:type="dxa"/>
              <w:right w:w="15" w:type="dxa"/>
            </w:tcMar>
            <w:hideMark/>
          </w:tcPr>
          <w:p w14:paraId="35331FD3" w14:textId="77777777" w:rsidR="00C06689" w:rsidRPr="00E34696" w:rsidRDefault="00C06689" w:rsidP="00E34696">
            <w:pPr>
              <w:widowControl w:val="0"/>
              <w:tabs>
                <w:tab w:val="left" w:pos="284"/>
              </w:tabs>
              <w:jc w:val="both"/>
              <w:rPr>
                <w:i/>
                <w:iCs/>
                <w:sz w:val="22"/>
                <w:szCs w:val="22"/>
                <w:lang w:val="sr-Latn-ME"/>
              </w:rPr>
            </w:pPr>
            <w:r w:rsidRPr="00E34696">
              <w:rPr>
                <w:i/>
                <w:iCs/>
                <w:sz w:val="22"/>
                <w:szCs w:val="22"/>
                <w:lang w:val="sr-Latn-ME"/>
              </w:rPr>
              <w:t>Психијатријски поремећаји*</w:t>
            </w:r>
          </w:p>
        </w:tc>
        <w:tc>
          <w:tcPr>
            <w:tcW w:w="1248" w:type="dxa"/>
            <w:shd w:val="clear" w:color="auto" w:fill="auto"/>
            <w:tcMar>
              <w:top w:w="15" w:type="dxa"/>
              <w:left w:w="15" w:type="dxa"/>
              <w:bottom w:w="0" w:type="dxa"/>
              <w:right w:w="15" w:type="dxa"/>
            </w:tcMar>
            <w:hideMark/>
          </w:tcPr>
          <w:p w14:paraId="0558B1D4"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Инсомнија</w:t>
            </w:r>
          </w:p>
        </w:tc>
        <w:tc>
          <w:tcPr>
            <w:tcW w:w="1688" w:type="dxa"/>
            <w:shd w:val="clear" w:color="auto" w:fill="auto"/>
            <w:tcMar>
              <w:top w:w="15" w:type="dxa"/>
              <w:left w:w="15" w:type="dxa"/>
              <w:bottom w:w="0" w:type="dxa"/>
              <w:right w:w="15" w:type="dxa"/>
            </w:tcMar>
            <w:hideMark/>
          </w:tcPr>
          <w:p w14:paraId="36AAD321" w14:textId="344C89CC" w:rsidR="00C06689" w:rsidRPr="00E34696" w:rsidRDefault="00C06689" w:rsidP="00E34696">
            <w:pPr>
              <w:widowControl w:val="0"/>
              <w:tabs>
                <w:tab w:val="left" w:pos="284"/>
              </w:tabs>
              <w:jc w:val="both"/>
              <w:rPr>
                <w:sz w:val="22"/>
                <w:szCs w:val="22"/>
                <w:lang w:val="sr-Latn-ME"/>
              </w:rPr>
            </w:pPr>
            <w:r w:rsidRPr="00E34696">
              <w:rPr>
                <w:sz w:val="22"/>
                <w:szCs w:val="22"/>
                <w:lang w:val="sr-Latn-ME"/>
              </w:rPr>
              <w:t xml:space="preserve">Анксиозност </w:t>
            </w:r>
          </w:p>
          <w:p w14:paraId="52726CE8" w14:textId="774F2269" w:rsidR="00C06689" w:rsidRPr="00E34696" w:rsidRDefault="00C06689" w:rsidP="00E34696">
            <w:pPr>
              <w:widowControl w:val="0"/>
              <w:tabs>
                <w:tab w:val="left" w:pos="284"/>
              </w:tabs>
              <w:jc w:val="both"/>
              <w:rPr>
                <w:sz w:val="22"/>
                <w:szCs w:val="22"/>
                <w:lang w:val="sr-Latn-ME"/>
              </w:rPr>
            </w:pPr>
            <w:r w:rsidRPr="00E34696">
              <w:rPr>
                <w:sz w:val="22"/>
                <w:szCs w:val="22"/>
                <w:lang w:val="sr-Latn-ME"/>
              </w:rPr>
              <w:t xml:space="preserve">Koнфузна стања </w:t>
            </w:r>
          </w:p>
          <w:p w14:paraId="0AC8EAE8"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Нервоза</w:t>
            </w:r>
          </w:p>
        </w:tc>
        <w:tc>
          <w:tcPr>
            <w:tcW w:w="1922" w:type="dxa"/>
            <w:shd w:val="clear" w:color="auto" w:fill="auto"/>
            <w:tcMar>
              <w:top w:w="15" w:type="dxa"/>
              <w:left w:w="15" w:type="dxa"/>
              <w:bottom w:w="0" w:type="dxa"/>
              <w:right w:w="15" w:type="dxa"/>
            </w:tcMar>
            <w:hideMark/>
          </w:tcPr>
          <w:p w14:paraId="58E88BF7" w14:textId="2D1623E1" w:rsidR="00C06689" w:rsidRPr="00E34696" w:rsidRDefault="00C06689" w:rsidP="00E34696">
            <w:pPr>
              <w:widowControl w:val="0"/>
              <w:tabs>
                <w:tab w:val="left" w:pos="284"/>
              </w:tabs>
              <w:jc w:val="both"/>
              <w:rPr>
                <w:sz w:val="22"/>
                <w:szCs w:val="22"/>
                <w:lang w:val="sr-Latn-ME"/>
              </w:rPr>
            </w:pPr>
            <w:r w:rsidRPr="00E34696">
              <w:rPr>
                <w:sz w:val="22"/>
                <w:szCs w:val="22"/>
                <w:lang w:val="sr-Latn-ME"/>
              </w:rPr>
              <w:t>Психотичне реакције (са нпр. халуцинацијама, параној</w:t>
            </w:r>
            <w:r w:rsidR="00864B30" w:rsidRPr="00E34696">
              <w:rPr>
                <w:sz w:val="22"/>
                <w:szCs w:val="22"/>
                <w:lang w:val="sr-Latn-ME"/>
              </w:rPr>
              <w:t>ом</w:t>
            </w:r>
            <w:r w:rsidRPr="00E34696">
              <w:rPr>
                <w:sz w:val="22"/>
                <w:szCs w:val="22"/>
                <w:lang w:val="sr-Latn-ME"/>
              </w:rPr>
              <w:t>)</w:t>
            </w:r>
          </w:p>
          <w:p w14:paraId="6C4E59B8" w14:textId="456B4102" w:rsidR="00C06689" w:rsidRPr="00E34696" w:rsidRDefault="00C06689" w:rsidP="00E34696">
            <w:pPr>
              <w:widowControl w:val="0"/>
              <w:tabs>
                <w:tab w:val="left" w:pos="284"/>
              </w:tabs>
              <w:jc w:val="both"/>
              <w:rPr>
                <w:sz w:val="22"/>
                <w:szCs w:val="22"/>
                <w:lang w:val="sr-Latn-ME"/>
              </w:rPr>
            </w:pPr>
            <w:r w:rsidRPr="00E34696">
              <w:rPr>
                <w:sz w:val="22"/>
                <w:szCs w:val="22"/>
                <w:lang w:val="sr-Latn-ME"/>
              </w:rPr>
              <w:t xml:space="preserve">Депресија </w:t>
            </w:r>
          </w:p>
          <w:p w14:paraId="14D4E3A1" w14:textId="3EA9D480" w:rsidR="00C06689" w:rsidRPr="00E34696" w:rsidRDefault="00C06689" w:rsidP="00E34696">
            <w:pPr>
              <w:widowControl w:val="0"/>
              <w:tabs>
                <w:tab w:val="left" w:pos="284"/>
              </w:tabs>
              <w:jc w:val="both"/>
              <w:rPr>
                <w:sz w:val="22"/>
                <w:szCs w:val="22"/>
                <w:lang w:val="sr-Latn-ME"/>
              </w:rPr>
            </w:pPr>
            <w:r w:rsidRPr="00E34696">
              <w:rPr>
                <w:sz w:val="22"/>
                <w:szCs w:val="22"/>
                <w:lang w:val="sr-Latn-ME"/>
              </w:rPr>
              <w:t xml:space="preserve">Aгитација </w:t>
            </w:r>
          </w:p>
          <w:p w14:paraId="462D4DA9" w14:textId="144A061F" w:rsidR="00C06689" w:rsidRPr="00E34696" w:rsidRDefault="00C06689" w:rsidP="00E34696">
            <w:pPr>
              <w:widowControl w:val="0"/>
              <w:tabs>
                <w:tab w:val="left" w:pos="284"/>
              </w:tabs>
              <w:jc w:val="both"/>
              <w:rPr>
                <w:sz w:val="22"/>
                <w:szCs w:val="22"/>
                <w:lang w:val="sr-Latn-ME"/>
              </w:rPr>
            </w:pPr>
            <w:r w:rsidRPr="00E34696">
              <w:rPr>
                <w:sz w:val="22"/>
                <w:szCs w:val="22"/>
                <w:lang w:val="sr-Latn-ME"/>
              </w:rPr>
              <w:t xml:space="preserve">Абнормални снови </w:t>
            </w:r>
          </w:p>
          <w:p w14:paraId="530932BF"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Ноћне море</w:t>
            </w:r>
          </w:p>
          <w:p w14:paraId="22ECA7E0" w14:textId="0A5278AD" w:rsidR="00C06689" w:rsidRPr="00E34696" w:rsidRDefault="00C06689" w:rsidP="00E34696">
            <w:pPr>
              <w:widowControl w:val="0"/>
              <w:tabs>
                <w:tab w:val="left" w:pos="284"/>
              </w:tabs>
              <w:jc w:val="both"/>
              <w:rPr>
                <w:sz w:val="22"/>
                <w:szCs w:val="22"/>
                <w:lang w:val="sr-Latn-ME"/>
              </w:rPr>
            </w:pPr>
            <w:r w:rsidRPr="00E34696">
              <w:rPr>
                <w:sz w:val="22"/>
                <w:szCs w:val="22"/>
                <w:lang w:val="sr-Latn-ME"/>
              </w:rPr>
              <w:t>Делири</w:t>
            </w:r>
            <w:r w:rsidR="00100971" w:rsidRPr="00E34696">
              <w:rPr>
                <w:sz w:val="22"/>
                <w:szCs w:val="22"/>
                <w:lang w:val="sr-Latn-ME"/>
              </w:rPr>
              <w:t>j</w:t>
            </w:r>
            <w:r w:rsidRPr="00E34696">
              <w:rPr>
                <w:sz w:val="22"/>
                <w:szCs w:val="22"/>
                <w:lang w:val="sr-Latn-ME"/>
              </w:rPr>
              <w:t>ум</w:t>
            </w:r>
          </w:p>
          <w:p w14:paraId="6BF0F1B9" w14:textId="77777777" w:rsidR="00C06689" w:rsidRPr="00E34696" w:rsidRDefault="00C06689" w:rsidP="00E34696">
            <w:pPr>
              <w:widowControl w:val="0"/>
              <w:tabs>
                <w:tab w:val="left" w:pos="284"/>
              </w:tabs>
              <w:jc w:val="both"/>
              <w:rPr>
                <w:sz w:val="22"/>
                <w:szCs w:val="22"/>
                <w:lang w:val="sr-Latn-ME"/>
              </w:rPr>
            </w:pPr>
          </w:p>
        </w:tc>
        <w:tc>
          <w:tcPr>
            <w:tcW w:w="2073" w:type="dxa"/>
            <w:shd w:val="clear" w:color="auto" w:fill="auto"/>
            <w:tcMar>
              <w:top w:w="15" w:type="dxa"/>
              <w:left w:w="15" w:type="dxa"/>
              <w:bottom w:w="0" w:type="dxa"/>
              <w:right w:w="15" w:type="dxa"/>
            </w:tcMar>
            <w:hideMark/>
          </w:tcPr>
          <w:p w14:paraId="7C6C6CD5"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Психотичне реакције са аутодеструктивним понашањем, укључујући суицидалне мисли или покушај самоубиства (погледати дио 4.4)</w:t>
            </w:r>
          </w:p>
          <w:p w14:paraId="15762CA3" w14:textId="3CBAE941" w:rsidR="00867ADD" w:rsidRPr="00E34696" w:rsidRDefault="00867ADD" w:rsidP="00E34696">
            <w:pPr>
              <w:widowControl w:val="0"/>
              <w:tabs>
                <w:tab w:val="left" w:pos="284"/>
              </w:tabs>
              <w:jc w:val="both"/>
              <w:rPr>
                <w:sz w:val="22"/>
                <w:szCs w:val="22"/>
                <w:lang w:val="sr-Latn-ME"/>
              </w:rPr>
            </w:pPr>
            <w:r w:rsidRPr="00E34696">
              <w:rPr>
                <w:sz w:val="22"/>
                <w:szCs w:val="22"/>
                <w:lang w:val="sr-Latn-ME"/>
              </w:rPr>
              <w:t>Манија</w:t>
            </w:r>
          </w:p>
        </w:tc>
      </w:tr>
      <w:tr w:rsidR="00C06689" w:rsidRPr="00E34696" w14:paraId="53DA8D6B" w14:textId="77777777" w:rsidTr="00CF11E2">
        <w:tc>
          <w:tcPr>
            <w:tcW w:w="2132" w:type="dxa"/>
            <w:shd w:val="clear" w:color="auto" w:fill="auto"/>
            <w:tcMar>
              <w:top w:w="15" w:type="dxa"/>
              <w:left w:w="15" w:type="dxa"/>
              <w:bottom w:w="0" w:type="dxa"/>
              <w:right w:w="15" w:type="dxa"/>
            </w:tcMar>
            <w:hideMark/>
          </w:tcPr>
          <w:p w14:paraId="6868EFCC" w14:textId="77777777" w:rsidR="00C06689" w:rsidRPr="00E34696" w:rsidRDefault="00C06689" w:rsidP="00E34696">
            <w:pPr>
              <w:widowControl w:val="0"/>
              <w:tabs>
                <w:tab w:val="left" w:pos="284"/>
              </w:tabs>
              <w:jc w:val="both"/>
              <w:rPr>
                <w:i/>
                <w:iCs/>
                <w:sz w:val="22"/>
                <w:szCs w:val="22"/>
                <w:lang w:val="sr-Latn-ME"/>
              </w:rPr>
            </w:pPr>
            <w:r w:rsidRPr="00E34696">
              <w:rPr>
                <w:i/>
                <w:iCs/>
                <w:sz w:val="22"/>
                <w:szCs w:val="22"/>
                <w:lang w:val="sr-Latn-ME"/>
              </w:rPr>
              <w:t>Поремећаји нервног система*</w:t>
            </w:r>
          </w:p>
        </w:tc>
        <w:tc>
          <w:tcPr>
            <w:tcW w:w="1248" w:type="dxa"/>
            <w:shd w:val="clear" w:color="auto" w:fill="auto"/>
            <w:tcMar>
              <w:top w:w="15" w:type="dxa"/>
              <w:left w:w="15" w:type="dxa"/>
              <w:bottom w:w="0" w:type="dxa"/>
              <w:right w:w="15" w:type="dxa"/>
            </w:tcMar>
            <w:hideMark/>
          </w:tcPr>
          <w:p w14:paraId="1CC447F1" w14:textId="76D9A202" w:rsidR="00C06689" w:rsidRPr="00E34696" w:rsidRDefault="00C06689" w:rsidP="00E34696">
            <w:pPr>
              <w:widowControl w:val="0"/>
              <w:tabs>
                <w:tab w:val="left" w:pos="284"/>
              </w:tabs>
              <w:jc w:val="both"/>
              <w:rPr>
                <w:sz w:val="22"/>
                <w:szCs w:val="22"/>
                <w:lang w:val="sr-Latn-ME"/>
              </w:rPr>
            </w:pPr>
            <w:r w:rsidRPr="00E34696">
              <w:rPr>
                <w:sz w:val="22"/>
                <w:szCs w:val="22"/>
                <w:lang w:val="sr-Latn-ME"/>
              </w:rPr>
              <w:t>Главобоља</w:t>
            </w:r>
          </w:p>
          <w:p w14:paraId="3108B26E"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 xml:space="preserve">Вртоглавица </w:t>
            </w:r>
          </w:p>
        </w:tc>
        <w:tc>
          <w:tcPr>
            <w:tcW w:w="1688" w:type="dxa"/>
            <w:shd w:val="clear" w:color="auto" w:fill="auto"/>
            <w:tcMar>
              <w:top w:w="15" w:type="dxa"/>
              <w:left w:w="15" w:type="dxa"/>
              <w:bottom w:w="0" w:type="dxa"/>
              <w:right w:w="15" w:type="dxa"/>
            </w:tcMar>
            <w:hideMark/>
          </w:tcPr>
          <w:p w14:paraId="35B2038C" w14:textId="3CA764AB" w:rsidR="00C06689" w:rsidRPr="00E34696" w:rsidRDefault="00C06689" w:rsidP="00E34696">
            <w:pPr>
              <w:widowControl w:val="0"/>
              <w:tabs>
                <w:tab w:val="left" w:pos="284"/>
              </w:tabs>
              <w:jc w:val="both"/>
              <w:rPr>
                <w:sz w:val="22"/>
                <w:szCs w:val="22"/>
                <w:lang w:val="sr-Latn-ME"/>
              </w:rPr>
            </w:pPr>
            <w:r w:rsidRPr="00E34696">
              <w:rPr>
                <w:sz w:val="22"/>
                <w:szCs w:val="22"/>
                <w:lang w:val="sr-Latn-ME"/>
              </w:rPr>
              <w:t xml:space="preserve">Поспаност   </w:t>
            </w:r>
          </w:p>
          <w:p w14:paraId="093EE6AF" w14:textId="16292343" w:rsidR="00C06689" w:rsidRPr="00E34696" w:rsidRDefault="00C06689" w:rsidP="00E34696">
            <w:pPr>
              <w:widowControl w:val="0"/>
              <w:tabs>
                <w:tab w:val="left" w:pos="284"/>
              </w:tabs>
              <w:jc w:val="both"/>
              <w:rPr>
                <w:sz w:val="22"/>
                <w:szCs w:val="22"/>
                <w:lang w:val="sr-Latn-ME"/>
              </w:rPr>
            </w:pPr>
            <w:r w:rsidRPr="00E34696">
              <w:rPr>
                <w:sz w:val="22"/>
                <w:szCs w:val="22"/>
                <w:lang w:val="sr-Latn-ME"/>
              </w:rPr>
              <w:t xml:space="preserve">Tремор </w:t>
            </w:r>
          </w:p>
          <w:p w14:paraId="4D246C5D"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Дисгеузија</w:t>
            </w:r>
          </w:p>
        </w:tc>
        <w:tc>
          <w:tcPr>
            <w:tcW w:w="1922" w:type="dxa"/>
            <w:shd w:val="clear" w:color="auto" w:fill="auto"/>
            <w:tcMar>
              <w:top w:w="15" w:type="dxa"/>
              <w:left w:w="15" w:type="dxa"/>
              <w:bottom w:w="0" w:type="dxa"/>
              <w:right w:w="15" w:type="dxa"/>
            </w:tcMar>
            <w:hideMark/>
          </w:tcPr>
          <w:p w14:paraId="095E0CBF" w14:textId="7CCDC078" w:rsidR="00C06689" w:rsidRPr="00E34696" w:rsidRDefault="00C06689" w:rsidP="00E34696">
            <w:pPr>
              <w:widowControl w:val="0"/>
              <w:tabs>
                <w:tab w:val="left" w:pos="284"/>
              </w:tabs>
              <w:jc w:val="both"/>
              <w:rPr>
                <w:sz w:val="22"/>
                <w:szCs w:val="22"/>
                <w:lang w:val="sr-Latn-ME"/>
              </w:rPr>
            </w:pPr>
            <w:r w:rsidRPr="00E34696">
              <w:rPr>
                <w:sz w:val="22"/>
                <w:szCs w:val="22"/>
                <w:lang w:val="sr-Latn-ME"/>
              </w:rPr>
              <w:t xml:space="preserve">Koнвулзије (погледати дјелове 4.3 и 4.4), </w:t>
            </w:r>
          </w:p>
          <w:p w14:paraId="781BB082"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Парестезије</w:t>
            </w:r>
          </w:p>
          <w:p w14:paraId="594F631C"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Поремећај памћења</w:t>
            </w:r>
          </w:p>
        </w:tc>
        <w:tc>
          <w:tcPr>
            <w:tcW w:w="2073" w:type="dxa"/>
            <w:shd w:val="clear" w:color="auto" w:fill="auto"/>
            <w:tcMar>
              <w:top w:w="15" w:type="dxa"/>
              <w:left w:w="15" w:type="dxa"/>
              <w:bottom w:w="0" w:type="dxa"/>
              <w:right w:w="15" w:type="dxa"/>
            </w:tcMar>
            <w:hideMark/>
          </w:tcPr>
          <w:p w14:paraId="559A1AFD" w14:textId="433A709F" w:rsidR="00C06689" w:rsidRPr="00E34696" w:rsidRDefault="00C06689" w:rsidP="00E34696">
            <w:pPr>
              <w:widowControl w:val="0"/>
              <w:tabs>
                <w:tab w:val="left" w:pos="284"/>
              </w:tabs>
              <w:jc w:val="both"/>
              <w:rPr>
                <w:sz w:val="22"/>
                <w:szCs w:val="22"/>
                <w:lang w:val="sr-Latn-ME"/>
              </w:rPr>
            </w:pPr>
            <w:r w:rsidRPr="00E34696">
              <w:rPr>
                <w:sz w:val="22"/>
                <w:szCs w:val="22"/>
                <w:lang w:val="sr-Latn-ME"/>
              </w:rPr>
              <w:t xml:space="preserve">Периферна сензорна неуропатија (погледати дио 4.4) </w:t>
            </w:r>
          </w:p>
          <w:p w14:paraId="140A3261" w14:textId="33FF4ED7" w:rsidR="00C06689" w:rsidRPr="00E34696" w:rsidRDefault="00C06689" w:rsidP="00E34696">
            <w:pPr>
              <w:widowControl w:val="0"/>
              <w:tabs>
                <w:tab w:val="left" w:pos="284"/>
              </w:tabs>
              <w:jc w:val="both"/>
              <w:rPr>
                <w:sz w:val="22"/>
                <w:szCs w:val="22"/>
                <w:lang w:val="sr-Latn-ME"/>
              </w:rPr>
            </w:pPr>
            <w:r w:rsidRPr="00E34696">
              <w:rPr>
                <w:sz w:val="22"/>
                <w:szCs w:val="22"/>
                <w:lang w:val="sr-Latn-ME"/>
              </w:rPr>
              <w:t xml:space="preserve">Периферна сензомоторна неуропатија         </w:t>
            </w:r>
          </w:p>
          <w:p w14:paraId="663B7E3D" w14:textId="64806818" w:rsidR="00C06689" w:rsidRPr="00E34696" w:rsidRDefault="00C06689" w:rsidP="00E34696">
            <w:pPr>
              <w:widowControl w:val="0"/>
              <w:tabs>
                <w:tab w:val="left" w:pos="284"/>
              </w:tabs>
              <w:jc w:val="both"/>
              <w:rPr>
                <w:sz w:val="22"/>
                <w:szCs w:val="22"/>
                <w:lang w:val="sr-Latn-ME"/>
              </w:rPr>
            </w:pPr>
            <w:r w:rsidRPr="00E34696">
              <w:rPr>
                <w:sz w:val="22"/>
                <w:szCs w:val="22"/>
                <w:lang w:val="sr-Latn-ME"/>
              </w:rPr>
              <w:t>(погледати дио 4.4)</w:t>
            </w:r>
          </w:p>
          <w:p w14:paraId="1366E38C" w14:textId="2D264054" w:rsidR="00C06689" w:rsidRPr="00E34696" w:rsidRDefault="00C06689" w:rsidP="00E34696">
            <w:pPr>
              <w:widowControl w:val="0"/>
              <w:tabs>
                <w:tab w:val="left" w:pos="284"/>
              </w:tabs>
              <w:jc w:val="both"/>
              <w:rPr>
                <w:sz w:val="22"/>
                <w:szCs w:val="22"/>
                <w:lang w:val="sr-Latn-ME"/>
              </w:rPr>
            </w:pPr>
            <w:r w:rsidRPr="00E34696">
              <w:rPr>
                <w:sz w:val="22"/>
                <w:szCs w:val="22"/>
                <w:lang w:val="sr-Latn-ME"/>
              </w:rPr>
              <w:t xml:space="preserve">Паросмија укључујући и аносмију </w:t>
            </w:r>
          </w:p>
          <w:p w14:paraId="6D342F39" w14:textId="2F7EA7AA" w:rsidR="00C06689" w:rsidRPr="00E34696" w:rsidRDefault="00C06689" w:rsidP="00E34696">
            <w:pPr>
              <w:widowControl w:val="0"/>
              <w:tabs>
                <w:tab w:val="left" w:pos="284"/>
              </w:tabs>
              <w:jc w:val="both"/>
              <w:rPr>
                <w:sz w:val="22"/>
                <w:szCs w:val="22"/>
                <w:lang w:val="sr-Latn-ME"/>
              </w:rPr>
            </w:pPr>
            <w:r w:rsidRPr="00E34696">
              <w:rPr>
                <w:sz w:val="22"/>
                <w:szCs w:val="22"/>
                <w:lang w:val="sr-Latn-ME"/>
              </w:rPr>
              <w:t>Дискинезија</w:t>
            </w:r>
          </w:p>
          <w:p w14:paraId="060494D9" w14:textId="28F2F3BC" w:rsidR="00C06689" w:rsidRPr="00E34696" w:rsidRDefault="00C06689" w:rsidP="00E34696">
            <w:pPr>
              <w:widowControl w:val="0"/>
              <w:tabs>
                <w:tab w:val="left" w:pos="284"/>
              </w:tabs>
              <w:jc w:val="both"/>
              <w:rPr>
                <w:sz w:val="22"/>
                <w:szCs w:val="22"/>
                <w:lang w:val="sr-Latn-ME"/>
              </w:rPr>
            </w:pPr>
            <w:r w:rsidRPr="00E34696">
              <w:rPr>
                <w:sz w:val="22"/>
                <w:szCs w:val="22"/>
                <w:lang w:val="sr-Latn-ME"/>
              </w:rPr>
              <w:t xml:space="preserve">Eкстрапирамидални поремећај </w:t>
            </w:r>
          </w:p>
          <w:p w14:paraId="78CEF51D" w14:textId="7C5DBF50" w:rsidR="00C06689" w:rsidRPr="00E34696" w:rsidRDefault="00C06689" w:rsidP="00E34696">
            <w:pPr>
              <w:widowControl w:val="0"/>
              <w:tabs>
                <w:tab w:val="left" w:pos="284"/>
              </w:tabs>
              <w:jc w:val="both"/>
              <w:rPr>
                <w:sz w:val="22"/>
                <w:szCs w:val="22"/>
                <w:lang w:val="sr-Latn-ME"/>
              </w:rPr>
            </w:pPr>
            <w:r w:rsidRPr="00E34696">
              <w:rPr>
                <w:sz w:val="22"/>
                <w:szCs w:val="22"/>
                <w:lang w:val="sr-Latn-ME"/>
              </w:rPr>
              <w:t>Aгеузија</w:t>
            </w:r>
          </w:p>
          <w:p w14:paraId="369E40CA" w14:textId="0B7D3802" w:rsidR="00C06689" w:rsidRPr="00E34696" w:rsidRDefault="00C06689" w:rsidP="00E34696">
            <w:pPr>
              <w:widowControl w:val="0"/>
              <w:tabs>
                <w:tab w:val="left" w:pos="284"/>
              </w:tabs>
              <w:jc w:val="both"/>
              <w:rPr>
                <w:sz w:val="22"/>
                <w:szCs w:val="22"/>
                <w:lang w:val="sr-Latn-ME"/>
              </w:rPr>
            </w:pPr>
            <w:r w:rsidRPr="00E34696">
              <w:rPr>
                <w:sz w:val="22"/>
                <w:szCs w:val="22"/>
                <w:lang w:val="sr-Latn-ME"/>
              </w:rPr>
              <w:t>Синкопа</w:t>
            </w:r>
          </w:p>
          <w:p w14:paraId="4E5DF883"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Бенигна интракранијална хипертензија</w:t>
            </w:r>
          </w:p>
          <w:p w14:paraId="7028448B" w14:textId="7DF9CA50" w:rsidR="00867ADD" w:rsidRPr="00E34696" w:rsidRDefault="00867ADD" w:rsidP="00E34696">
            <w:pPr>
              <w:widowControl w:val="0"/>
              <w:tabs>
                <w:tab w:val="left" w:pos="284"/>
              </w:tabs>
              <w:jc w:val="both"/>
              <w:rPr>
                <w:sz w:val="22"/>
                <w:szCs w:val="22"/>
                <w:lang w:val="sr-Latn-ME"/>
              </w:rPr>
            </w:pPr>
            <w:r w:rsidRPr="00E34696">
              <w:rPr>
                <w:sz w:val="22"/>
                <w:szCs w:val="22"/>
                <w:lang w:val="sr-Latn-ME"/>
              </w:rPr>
              <w:t>Миоклонус</w:t>
            </w:r>
          </w:p>
        </w:tc>
      </w:tr>
      <w:tr w:rsidR="00C06689" w:rsidRPr="00E34696" w14:paraId="015C47B3" w14:textId="77777777" w:rsidTr="00CF11E2">
        <w:tc>
          <w:tcPr>
            <w:tcW w:w="2132" w:type="dxa"/>
            <w:shd w:val="clear" w:color="auto" w:fill="auto"/>
            <w:tcMar>
              <w:top w:w="15" w:type="dxa"/>
              <w:left w:w="15" w:type="dxa"/>
              <w:bottom w:w="0" w:type="dxa"/>
              <w:right w:w="15" w:type="dxa"/>
            </w:tcMar>
            <w:hideMark/>
          </w:tcPr>
          <w:p w14:paraId="027024B5" w14:textId="77777777" w:rsidR="00C06689" w:rsidRPr="00E34696" w:rsidRDefault="00C06689" w:rsidP="00E34696">
            <w:pPr>
              <w:widowControl w:val="0"/>
              <w:tabs>
                <w:tab w:val="left" w:pos="284"/>
              </w:tabs>
              <w:jc w:val="both"/>
              <w:rPr>
                <w:i/>
                <w:iCs/>
                <w:sz w:val="22"/>
                <w:szCs w:val="22"/>
                <w:lang w:val="sr-Latn-ME"/>
              </w:rPr>
            </w:pPr>
            <w:r w:rsidRPr="00E34696">
              <w:rPr>
                <w:i/>
                <w:iCs/>
                <w:sz w:val="22"/>
                <w:szCs w:val="22"/>
                <w:lang w:val="sr-Latn-ME"/>
              </w:rPr>
              <w:t>Поремећаји ока*</w:t>
            </w:r>
          </w:p>
        </w:tc>
        <w:tc>
          <w:tcPr>
            <w:tcW w:w="1248" w:type="dxa"/>
            <w:shd w:val="clear" w:color="auto" w:fill="auto"/>
            <w:tcMar>
              <w:top w:w="15" w:type="dxa"/>
              <w:left w:w="15" w:type="dxa"/>
              <w:bottom w:w="0" w:type="dxa"/>
              <w:right w:w="15" w:type="dxa"/>
            </w:tcMar>
            <w:hideMark/>
          </w:tcPr>
          <w:p w14:paraId="233CD746"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 </w:t>
            </w:r>
          </w:p>
        </w:tc>
        <w:tc>
          <w:tcPr>
            <w:tcW w:w="1688" w:type="dxa"/>
            <w:shd w:val="clear" w:color="auto" w:fill="auto"/>
            <w:tcMar>
              <w:top w:w="15" w:type="dxa"/>
              <w:left w:w="15" w:type="dxa"/>
              <w:bottom w:w="0" w:type="dxa"/>
              <w:right w:w="15" w:type="dxa"/>
            </w:tcMar>
            <w:hideMark/>
          </w:tcPr>
          <w:p w14:paraId="701B4FA7"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 </w:t>
            </w:r>
          </w:p>
        </w:tc>
        <w:tc>
          <w:tcPr>
            <w:tcW w:w="1922" w:type="dxa"/>
            <w:shd w:val="clear" w:color="auto" w:fill="auto"/>
            <w:tcMar>
              <w:top w:w="15" w:type="dxa"/>
              <w:left w:w="15" w:type="dxa"/>
              <w:bottom w:w="0" w:type="dxa"/>
              <w:right w:w="15" w:type="dxa"/>
            </w:tcMar>
            <w:hideMark/>
          </w:tcPr>
          <w:p w14:paraId="62CBA57D"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Визуелни поремећај, као што је замагљен вид (погледати дио 4.4)</w:t>
            </w:r>
          </w:p>
        </w:tc>
        <w:tc>
          <w:tcPr>
            <w:tcW w:w="2073" w:type="dxa"/>
            <w:shd w:val="clear" w:color="auto" w:fill="auto"/>
            <w:tcMar>
              <w:top w:w="15" w:type="dxa"/>
              <w:left w:w="15" w:type="dxa"/>
              <w:bottom w:w="0" w:type="dxa"/>
              <w:right w:w="15" w:type="dxa"/>
            </w:tcMar>
            <w:hideMark/>
          </w:tcPr>
          <w:p w14:paraId="399894F0"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Пролазни губитак вида (погледати дио 4.4);</w:t>
            </w:r>
          </w:p>
          <w:p w14:paraId="2D967D93"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Увеитис</w:t>
            </w:r>
          </w:p>
        </w:tc>
      </w:tr>
      <w:tr w:rsidR="00C06689" w:rsidRPr="00E34696" w14:paraId="7FC376C3" w14:textId="77777777" w:rsidTr="00CF11E2">
        <w:tc>
          <w:tcPr>
            <w:tcW w:w="2132" w:type="dxa"/>
            <w:shd w:val="clear" w:color="auto" w:fill="auto"/>
            <w:tcMar>
              <w:top w:w="15" w:type="dxa"/>
              <w:left w:w="15" w:type="dxa"/>
              <w:bottom w:w="0" w:type="dxa"/>
              <w:right w:w="15" w:type="dxa"/>
            </w:tcMar>
          </w:tcPr>
          <w:p w14:paraId="4C374298" w14:textId="77777777" w:rsidR="00C06689" w:rsidRPr="00E34696" w:rsidRDefault="00C06689" w:rsidP="00E34696">
            <w:pPr>
              <w:widowControl w:val="0"/>
              <w:tabs>
                <w:tab w:val="left" w:pos="284"/>
              </w:tabs>
              <w:jc w:val="both"/>
              <w:rPr>
                <w:i/>
                <w:iCs/>
                <w:sz w:val="22"/>
                <w:szCs w:val="22"/>
                <w:lang w:val="sr-Latn-ME"/>
              </w:rPr>
            </w:pPr>
            <w:r w:rsidRPr="00E34696">
              <w:rPr>
                <w:i/>
                <w:iCs/>
                <w:sz w:val="22"/>
                <w:szCs w:val="22"/>
                <w:lang w:val="sr-Latn-ME"/>
              </w:rPr>
              <w:t>Поремећаји уха и лабиринта*</w:t>
            </w:r>
          </w:p>
        </w:tc>
        <w:tc>
          <w:tcPr>
            <w:tcW w:w="1248" w:type="dxa"/>
            <w:shd w:val="clear" w:color="auto" w:fill="auto"/>
            <w:tcMar>
              <w:top w:w="15" w:type="dxa"/>
              <w:left w:w="15" w:type="dxa"/>
              <w:bottom w:w="0" w:type="dxa"/>
              <w:right w:w="15" w:type="dxa"/>
            </w:tcMar>
          </w:tcPr>
          <w:p w14:paraId="7F028D45"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 </w:t>
            </w:r>
          </w:p>
        </w:tc>
        <w:tc>
          <w:tcPr>
            <w:tcW w:w="1688" w:type="dxa"/>
            <w:shd w:val="clear" w:color="auto" w:fill="auto"/>
            <w:tcMar>
              <w:top w:w="15" w:type="dxa"/>
              <w:left w:w="15" w:type="dxa"/>
              <w:bottom w:w="0" w:type="dxa"/>
              <w:right w:w="15" w:type="dxa"/>
            </w:tcMar>
          </w:tcPr>
          <w:p w14:paraId="1FF28362"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Вертиго</w:t>
            </w:r>
          </w:p>
        </w:tc>
        <w:tc>
          <w:tcPr>
            <w:tcW w:w="1922" w:type="dxa"/>
            <w:shd w:val="clear" w:color="auto" w:fill="auto"/>
            <w:tcMar>
              <w:top w:w="15" w:type="dxa"/>
              <w:left w:w="15" w:type="dxa"/>
              <w:bottom w:w="0" w:type="dxa"/>
              <w:right w:w="15" w:type="dxa"/>
            </w:tcMar>
          </w:tcPr>
          <w:p w14:paraId="35A70F0F"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Tинитус</w:t>
            </w:r>
          </w:p>
        </w:tc>
        <w:tc>
          <w:tcPr>
            <w:tcW w:w="2073" w:type="dxa"/>
            <w:shd w:val="clear" w:color="auto" w:fill="auto"/>
            <w:tcMar>
              <w:top w:w="15" w:type="dxa"/>
              <w:left w:w="15" w:type="dxa"/>
              <w:bottom w:w="0" w:type="dxa"/>
              <w:right w:w="15" w:type="dxa"/>
            </w:tcMar>
          </w:tcPr>
          <w:p w14:paraId="64F97EB9" w14:textId="33816CDB" w:rsidR="00C06689" w:rsidRPr="00E34696" w:rsidRDefault="00C06689" w:rsidP="00E34696">
            <w:pPr>
              <w:widowControl w:val="0"/>
              <w:tabs>
                <w:tab w:val="left" w:pos="284"/>
              </w:tabs>
              <w:jc w:val="both"/>
              <w:rPr>
                <w:sz w:val="22"/>
                <w:szCs w:val="22"/>
                <w:lang w:val="sr-Latn-ME"/>
              </w:rPr>
            </w:pPr>
            <w:r w:rsidRPr="00E34696">
              <w:rPr>
                <w:sz w:val="22"/>
                <w:szCs w:val="22"/>
                <w:lang w:val="sr-Latn-ME"/>
              </w:rPr>
              <w:t xml:space="preserve">Губитак слуха </w:t>
            </w:r>
          </w:p>
          <w:p w14:paraId="527F7BF6"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Oштећење слуха</w:t>
            </w:r>
          </w:p>
        </w:tc>
      </w:tr>
      <w:tr w:rsidR="00C06689" w:rsidRPr="00E34696" w14:paraId="2E0CE68C" w14:textId="77777777" w:rsidTr="00CF11E2">
        <w:tc>
          <w:tcPr>
            <w:tcW w:w="2132" w:type="dxa"/>
            <w:shd w:val="clear" w:color="auto" w:fill="auto"/>
            <w:tcMar>
              <w:top w:w="15" w:type="dxa"/>
              <w:left w:w="15" w:type="dxa"/>
              <w:bottom w:w="0" w:type="dxa"/>
              <w:right w:w="15" w:type="dxa"/>
            </w:tcMar>
          </w:tcPr>
          <w:p w14:paraId="08B01459" w14:textId="77777777" w:rsidR="00C06689" w:rsidRPr="00E34696" w:rsidRDefault="00C06689" w:rsidP="00E34696">
            <w:pPr>
              <w:widowControl w:val="0"/>
              <w:tabs>
                <w:tab w:val="left" w:pos="284"/>
              </w:tabs>
              <w:jc w:val="both"/>
              <w:rPr>
                <w:i/>
                <w:iCs/>
                <w:sz w:val="22"/>
                <w:szCs w:val="22"/>
                <w:lang w:val="sr-Latn-ME"/>
              </w:rPr>
            </w:pPr>
            <w:r w:rsidRPr="00E34696">
              <w:rPr>
                <w:i/>
                <w:iCs/>
                <w:sz w:val="22"/>
                <w:szCs w:val="22"/>
                <w:lang w:val="sr-Latn-ME"/>
              </w:rPr>
              <w:t>Kaрдиолошки поремећаји**</w:t>
            </w:r>
          </w:p>
        </w:tc>
        <w:tc>
          <w:tcPr>
            <w:tcW w:w="1248" w:type="dxa"/>
            <w:shd w:val="clear" w:color="auto" w:fill="auto"/>
            <w:tcMar>
              <w:top w:w="15" w:type="dxa"/>
              <w:left w:w="15" w:type="dxa"/>
              <w:bottom w:w="0" w:type="dxa"/>
              <w:right w:w="15" w:type="dxa"/>
            </w:tcMar>
          </w:tcPr>
          <w:p w14:paraId="66095766"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 </w:t>
            </w:r>
          </w:p>
        </w:tc>
        <w:tc>
          <w:tcPr>
            <w:tcW w:w="1688" w:type="dxa"/>
            <w:shd w:val="clear" w:color="auto" w:fill="auto"/>
            <w:tcMar>
              <w:top w:w="15" w:type="dxa"/>
              <w:left w:w="15" w:type="dxa"/>
              <w:bottom w:w="0" w:type="dxa"/>
              <w:right w:w="15" w:type="dxa"/>
            </w:tcMar>
          </w:tcPr>
          <w:p w14:paraId="0F6ABF52"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 </w:t>
            </w:r>
          </w:p>
        </w:tc>
        <w:tc>
          <w:tcPr>
            <w:tcW w:w="1922" w:type="dxa"/>
            <w:shd w:val="clear" w:color="auto" w:fill="auto"/>
            <w:tcMar>
              <w:top w:w="15" w:type="dxa"/>
              <w:left w:w="15" w:type="dxa"/>
              <w:bottom w:w="0" w:type="dxa"/>
              <w:right w:w="15" w:type="dxa"/>
            </w:tcMar>
          </w:tcPr>
          <w:p w14:paraId="0D3A6969" w14:textId="5DDA6DDB" w:rsidR="00C06689" w:rsidRPr="00E34696" w:rsidRDefault="00C06689" w:rsidP="00E34696">
            <w:pPr>
              <w:widowControl w:val="0"/>
              <w:tabs>
                <w:tab w:val="left" w:pos="284"/>
              </w:tabs>
              <w:jc w:val="both"/>
              <w:rPr>
                <w:sz w:val="22"/>
                <w:szCs w:val="22"/>
                <w:lang w:val="sr-Latn-ME"/>
              </w:rPr>
            </w:pPr>
            <w:r w:rsidRPr="00E34696">
              <w:rPr>
                <w:sz w:val="22"/>
                <w:szCs w:val="22"/>
                <w:lang w:val="sr-Latn-ME"/>
              </w:rPr>
              <w:t xml:space="preserve">Taхикардија    </w:t>
            </w:r>
          </w:p>
          <w:p w14:paraId="14EA929A"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Палпитације</w:t>
            </w:r>
          </w:p>
        </w:tc>
        <w:tc>
          <w:tcPr>
            <w:tcW w:w="2073" w:type="dxa"/>
            <w:shd w:val="clear" w:color="auto" w:fill="auto"/>
            <w:tcMar>
              <w:top w:w="15" w:type="dxa"/>
              <w:left w:w="15" w:type="dxa"/>
              <w:bottom w:w="0" w:type="dxa"/>
              <w:right w:w="15" w:type="dxa"/>
            </w:tcMar>
          </w:tcPr>
          <w:p w14:paraId="0606CCEE" w14:textId="0739CCBA" w:rsidR="00C06689" w:rsidRPr="00E34696" w:rsidRDefault="00C06689" w:rsidP="00E34696">
            <w:pPr>
              <w:widowControl w:val="0"/>
              <w:tabs>
                <w:tab w:val="left" w:pos="284"/>
              </w:tabs>
              <w:jc w:val="both"/>
              <w:rPr>
                <w:sz w:val="22"/>
                <w:szCs w:val="22"/>
                <w:lang w:val="sr-Latn-ME"/>
              </w:rPr>
            </w:pPr>
            <w:r w:rsidRPr="00E34696">
              <w:rPr>
                <w:sz w:val="22"/>
                <w:szCs w:val="22"/>
                <w:lang w:val="sr-Latn-ME"/>
              </w:rPr>
              <w:t xml:space="preserve">Вентрикуларна тахикардија, што може довести до срчаног застоја </w:t>
            </w:r>
          </w:p>
          <w:p w14:paraId="4DF075AA" w14:textId="1FB54F31" w:rsidR="00C06689" w:rsidRPr="00E34696" w:rsidRDefault="00C06689" w:rsidP="00E34696">
            <w:pPr>
              <w:widowControl w:val="0"/>
              <w:tabs>
                <w:tab w:val="left" w:pos="284"/>
              </w:tabs>
              <w:jc w:val="both"/>
              <w:rPr>
                <w:sz w:val="22"/>
                <w:szCs w:val="22"/>
                <w:lang w:val="sr-Latn-ME"/>
              </w:rPr>
            </w:pPr>
            <w:r w:rsidRPr="00E34696">
              <w:rPr>
                <w:sz w:val="22"/>
                <w:szCs w:val="22"/>
                <w:lang w:val="sr-Latn-ME"/>
              </w:rPr>
              <w:t xml:space="preserve">Вентрикуларна </w:t>
            </w:r>
            <w:r w:rsidRPr="00E34696">
              <w:rPr>
                <w:sz w:val="22"/>
                <w:szCs w:val="22"/>
                <w:lang w:val="sr-Latn-ME"/>
              </w:rPr>
              <w:lastRenderedPageBreak/>
              <w:t xml:space="preserve">аритмија и </w:t>
            </w:r>
            <w:r w:rsidRPr="00E34696">
              <w:rPr>
                <w:i/>
                <w:sz w:val="22"/>
                <w:szCs w:val="22"/>
                <w:lang w:val="sr-Latn-ME"/>
              </w:rPr>
              <w:t>torsade de pointes</w:t>
            </w:r>
            <w:r w:rsidRPr="00E34696">
              <w:rPr>
                <w:sz w:val="22"/>
                <w:szCs w:val="22"/>
                <w:lang w:val="sr-Latn-ME"/>
              </w:rPr>
              <w:t xml:space="preserve"> (пријављенo претежно код пацијената са повећаним ризиком од продужења QT интервала) </w:t>
            </w:r>
          </w:p>
          <w:p w14:paraId="1CDEE53C"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Продужен QT интервал на ЕКG  запису (погледати дјелове 4.4 и 4.9)</w:t>
            </w:r>
          </w:p>
        </w:tc>
      </w:tr>
      <w:tr w:rsidR="00C06689" w:rsidRPr="00E34696" w14:paraId="60EAC9E2" w14:textId="77777777" w:rsidTr="00CF11E2">
        <w:tc>
          <w:tcPr>
            <w:tcW w:w="2132" w:type="dxa"/>
            <w:shd w:val="clear" w:color="auto" w:fill="auto"/>
            <w:tcMar>
              <w:top w:w="15" w:type="dxa"/>
              <w:left w:w="15" w:type="dxa"/>
              <w:bottom w:w="0" w:type="dxa"/>
              <w:right w:w="15" w:type="dxa"/>
            </w:tcMar>
          </w:tcPr>
          <w:p w14:paraId="3FF541BB" w14:textId="77777777" w:rsidR="00C06689" w:rsidRPr="00E34696" w:rsidRDefault="00C06689" w:rsidP="00E34696">
            <w:pPr>
              <w:widowControl w:val="0"/>
              <w:tabs>
                <w:tab w:val="left" w:pos="284"/>
              </w:tabs>
              <w:jc w:val="both"/>
              <w:rPr>
                <w:i/>
                <w:iCs/>
                <w:sz w:val="22"/>
                <w:szCs w:val="22"/>
                <w:lang w:val="sr-Latn-ME"/>
              </w:rPr>
            </w:pPr>
            <w:r w:rsidRPr="00E34696">
              <w:rPr>
                <w:i/>
                <w:iCs/>
                <w:sz w:val="22"/>
                <w:szCs w:val="22"/>
                <w:lang w:val="sr-Latn-ME"/>
              </w:rPr>
              <w:lastRenderedPageBreak/>
              <w:t>Васкуларни поремећаји**</w:t>
            </w:r>
          </w:p>
        </w:tc>
        <w:tc>
          <w:tcPr>
            <w:tcW w:w="1248" w:type="dxa"/>
            <w:shd w:val="clear" w:color="auto" w:fill="auto"/>
            <w:tcMar>
              <w:top w:w="15" w:type="dxa"/>
              <w:left w:w="15" w:type="dxa"/>
              <w:bottom w:w="0" w:type="dxa"/>
              <w:right w:w="15" w:type="dxa"/>
            </w:tcMar>
          </w:tcPr>
          <w:p w14:paraId="3EE7779A" w14:textId="7A9B2C20" w:rsidR="00C06689" w:rsidRPr="00E34696" w:rsidRDefault="00C06689" w:rsidP="00E34696">
            <w:pPr>
              <w:widowControl w:val="0"/>
              <w:tabs>
                <w:tab w:val="left" w:pos="284"/>
              </w:tabs>
              <w:jc w:val="both"/>
              <w:rPr>
                <w:sz w:val="22"/>
                <w:szCs w:val="22"/>
                <w:lang w:val="sr-Latn-ME"/>
              </w:rPr>
            </w:pPr>
            <w:r w:rsidRPr="00E34696">
              <w:rPr>
                <w:iCs/>
                <w:sz w:val="22"/>
                <w:szCs w:val="22"/>
                <w:u w:val="single"/>
                <w:lang w:val="sr-Latn-ME"/>
              </w:rPr>
              <w:t>Само при примјени i.v. инј</w:t>
            </w:r>
            <w:r w:rsidRPr="00E34696">
              <w:rPr>
                <w:i/>
                <w:sz w:val="22"/>
                <w:szCs w:val="22"/>
                <w:lang w:val="sr-Latn-ME"/>
              </w:rPr>
              <w:t>:</w:t>
            </w:r>
            <w:r w:rsidRPr="00E34696">
              <w:rPr>
                <w:sz w:val="22"/>
                <w:szCs w:val="22"/>
                <w:lang w:val="sr-Latn-ME"/>
              </w:rPr>
              <w:t xml:space="preserve"> Флебитис</w:t>
            </w:r>
          </w:p>
        </w:tc>
        <w:tc>
          <w:tcPr>
            <w:tcW w:w="1688" w:type="dxa"/>
            <w:shd w:val="clear" w:color="auto" w:fill="auto"/>
            <w:tcMar>
              <w:top w:w="15" w:type="dxa"/>
              <w:left w:w="15" w:type="dxa"/>
              <w:bottom w:w="0" w:type="dxa"/>
              <w:right w:w="15" w:type="dxa"/>
            </w:tcMar>
          </w:tcPr>
          <w:p w14:paraId="50E43286"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 </w:t>
            </w:r>
          </w:p>
        </w:tc>
        <w:tc>
          <w:tcPr>
            <w:tcW w:w="1922" w:type="dxa"/>
            <w:shd w:val="clear" w:color="auto" w:fill="auto"/>
            <w:tcMar>
              <w:top w:w="15" w:type="dxa"/>
              <w:left w:w="15" w:type="dxa"/>
              <w:bottom w:w="0" w:type="dxa"/>
              <w:right w:w="15" w:type="dxa"/>
            </w:tcMar>
          </w:tcPr>
          <w:p w14:paraId="5D7327E1"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Хипотензија</w:t>
            </w:r>
          </w:p>
        </w:tc>
        <w:tc>
          <w:tcPr>
            <w:tcW w:w="2073" w:type="dxa"/>
            <w:shd w:val="clear" w:color="auto" w:fill="auto"/>
            <w:tcMar>
              <w:top w:w="15" w:type="dxa"/>
              <w:left w:w="15" w:type="dxa"/>
              <w:bottom w:w="0" w:type="dxa"/>
              <w:right w:w="15" w:type="dxa"/>
            </w:tcMar>
          </w:tcPr>
          <w:p w14:paraId="25CDBD7A"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 </w:t>
            </w:r>
          </w:p>
        </w:tc>
      </w:tr>
      <w:tr w:rsidR="00C06689" w:rsidRPr="00E34696" w14:paraId="6B5A0313" w14:textId="77777777" w:rsidTr="00CF11E2">
        <w:tc>
          <w:tcPr>
            <w:tcW w:w="2132" w:type="dxa"/>
            <w:shd w:val="clear" w:color="auto" w:fill="auto"/>
            <w:tcMar>
              <w:top w:w="15" w:type="dxa"/>
              <w:left w:w="15" w:type="dxa"/>
              <w:bottom w:w="0" w:type="dxa"/>
              <w:right w:w="15" w:type="dxa"/>
            </w:tcMar>
          </w:tcPr>
          <w:p w14:paraId="2A4FD7C4" w14:textId="77777777" w:rsidR="00C06689" w:rsidRPr="00E34696" w:rsidRDefault="00C06689" w:rsidP="00E34696">
            <w:pPr>
              <w:widowControl w:val="0"/>
              <w:tabs>
                <w:tab w:val="left" w:pos="284"/>
              </w:tabs>
              <w:jc w:val="both"/>
              <w:rPr>
                <w:i/>
                <w:iCs/>
                <w:sz w:val="22"/>
                <w:szCs w:val="22"/>
                <w:lang w:val="sr-Latn-ME"/>
              </w:rPr>
            </w:pPr>
            <w:r w:rsidRPr="00E34696">
              <w:rPr>
                <w:i/>
                <w:iCs/>
                <w:sz w:val="22"/>
                <w:szCs w:val="22"/>
                <w:lang w:val="sr-Latn-ME"/>
              </w:rPr>
              <w:t>Респираторни, торакални и медијастинални поремећаји</w:t>
            </w:r>
          </w:p>
        </w:tc>
        <w:tc>
          <w:tcPr>
            <w:tcW w:w="1248" w:type="dxa"/>
            <w:shd w:val="clear" w:color="auto" w:fill="auto"/>
            <w:tcMar>
              <w:top w:w="15" w:type="dxa"/>
              <w:left w:w="15" w:type="dxa"/>
              <w:bottom w:w="0" w:type="dxa"/>
              <w:right w:w="15" w:type="dxa"/>
            </w:tcMar>
          </w:tcPr>
          <w:p w14:paraId="54154CEC" w14:textId="77777777" w:rsidR="00C06689" w:rsidRPr="00E34696" w:rsidRDefault="00C06689" w:rsidP="00E34696">
            <w:pPr>
              <w:widowControl w:val="0"/>
              <w:tabs>
                <w:tab w:val="left" w:pos="284"/>
              </w:tabs>
              <w:jc w:val="both"/>
              <w:rPr>
                <w:i/>
                <w:sz w:val="22"/>
                <w:szCs w:val="22"/>
                <w:u w:val="single"/>
                <w:lang w:val="sr-Latn-ME"/>
              </w:rPr>
            </w:pPr>
            <w:r w:rsidRPr="00E34696">
              <w:rPr>
                <w:sz w:val="22"/>
                <w:szCs w:val="22"/>
                <w:lang w:val="sr-Latn-ME"/>
              </w:rPr>
              <w:t> </w:t>
            </w:r>
          </w:p>
        </w:tc>
        <w:tc>
          <w:tcPr>
            <w:tcW w:w="1688" w:type="dxa"/>
            <w:shd w:val="clear" w:color="auto" w:fill="auto"/>
            <w:tcMar>
              <w:top w:w="15" w:type="dxa"/>
              <w:left w:w="15" w:type="dxa"/>
              <w:bottom w:w="0" w:type="dxa"/>
              <w:right w:w="15" w:type="dxa"/>
            </w:tcMar>
          </w:tcPr>
          <w:p w14:paraId="5034E7F4"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Диспнеа</w:t>
            </w:r>
          </w:p>
        </w:tc>
        <w:tc>
          <w:tcPr>
            <w:tcW w:w="1922" w:type="dxa"/>
            <w:shd w:val="clear" w:color="auto" w:fill="auto"/>
            <w:tcMar>
              <w:top w:w="15" w:type="dxa"/>
              <w:left w:w="15" w:type="dxa"/>
              <w:bottom w:w="0" w:type="dxa"/>
              <w:right w:w="15" w:type="dxa"/>
            </w:tcMar>
          </w:tcPr>
          <w:p w14:paraId="18B35CE6"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 </w:t>
            </w:r>
          </w:p>
        </w:tc>
        <w:tc>
          <w:tcPr>
            <w:tcW w:w="2073" w:type="dxa"/>
            <w:shd w:val="clear" w:color="auto" w:fill="auto"/>
            <w:tcMar>
              <w:top w:w="15" w:type="dxa"/>
              <w:left w:w="15" w:type="dxa"/>
              <w:bottom w:w="0" w:type="dxa"/>
              <w:right w:w="15" w:type="dxa"/>
            </w:tcMar>
          </w:tcPr>
          <w:p w14:paraId="33FFB48E"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 xml:space="preserve">Бронхоспазам,    </w:t>
            </w:r>
          </w:p>
          <w:p w14:paraId="73BE6C9F"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Aлергијски пнеумонитис</w:t>
            </w:r>
          </w:p>
        </w:tc>
      </w:tr>
      <w:tr w:rsidR="00C06689" w:rsidRPr="00E34696" w14:paraId="2FFB57A2" w14:textId="77777777" w:rsidTr="00CF11E2">
        <w:tc>
          <w:tcPr>
            <w:tcW w:w="2132" w:type="dxa"/>
            <w:shd w:val="clear" w:color="auto" w:fill="auto"/>
            <w:tcMar>
              <w:top w:w="15" w:type="dxa"/>
              <w:left w:w="15" w:type="dxa"/>
              <w:bottom w:w="0" w:type="dxa"/>
              <w:right w:w="15" w:type="dxa"/>
            </w:tcMar>
          </w:tcPr>
          <w:p w14:paraId="7734DEB8" w14:textId="77777777" w:rsidR="00C06689" w:rsidRPr="00E34696" w:rsidRDefault="00C06689" w:rsidP="00E34696">
            <w:pPr>
              <w:widowControl w:val="0"/>
              <w:tabs>
                <w:tab w:val="left" w:pos="284"/>
              </w:tabs>
              <w:jc w:val="both"/>
              <w:rPr>
                <w:i/>
                <w:iCs/>
                <w:sz w:val="22"/>
                <w:szCs w:val="22"/>
                <w:lang w:val="sr-Latn-ME"/>
              </w:rPr>
            </w:pPr>
            <w:r w:rsidRPr="00E34696">
              <w:rPr>
                <w:i/>
                <w:iCs/>
                <w:sz w:val="22"/>
                <w:szCs w:val="22"/>
                <w:lang w:val="sr-Latn-ME"/>
              </w:rPr>
              <w:t>Гастроинтестинални поремећаји</w:t>
            </w:r>
          </w:p>
        </w:tc>
        <w:tc>
          <w:tcPr>
            <w:tcW w:w="1248" w:type="dxa"/>
            <w:shd w:val="clear" w:color="auto" w:fill="auto"/>
            <w:tcMar>
              <w:top w:w="15" w:type="dxa"/>
              <w:left w:w="15" w:type="dxa"/>
              <w:bottom w:w="0" w:type="dxa"/>
              <w:right w:w="15" w:type="dxa"/>
            </w:tcMar>
          </w:tcPr>
          <w:p w14:paraId="42512B8F" w14:textId="09ABBC1B" w:rsidR="00C06689" w:rsidRPr="00E34696" w:rsidRDefault="00C06689" w:rsidP="00E34696">
            <w:pPr>
              <w:widowControl w:val="0"/>
              <w:tabs>
                <w:tab w:val="left" w:pos="284"/>
              </w:tabs>
              <w:jc w:val="both"/>
              <w:rPr>
                <w:sz w:val="22"/>
                <w:szCs w:val="22"/>
                <w:lang w:val="sr-Latn-ME"/>
              </w:rPr>
            </w:pPr>
            <w:r w:rsidRPr="00E34696">
              <w:rPr>
                <w:sz w:val="22"/>
                <w:szCs w:val="22"/>
                <w:lang w:val="sr-Latn-ME"/>
              </w:rPr>
              <w:t xml:space="preserve">Дијареја    </w:t>
            </w:r>
          </w:p>
          <w:p w14:paraId="3F00EA63" w14:textId="1C5C1F38" w:rsidR="00C06689" w:rsidRPr="00E34696" w:rsidRDefault="00C06689" w:rsidP="00E34696">
            <w:pPr>
              <w:widowControl w:val="0"/>
              <w:tabs>
                <w:tab w:val="left" w:pos="284"/>
              </w:tabs>
              <w:jc w:val="both"/>
              <w:rPr>
                <w:sz w:val="22"/>
                <w:szCs w:val="22"/>
                <w:lang w:val="sr-Latn-ME"/>
              </w:rPr>
            </w:pPr>
            <w:r w:rsidRPr="00E34696">
              <w:rPr>
                <w:sz w:val="22"/>
                <w:szCs w:val="22"/>
                <w:lang w:val="sr-Latn-ME"/>
              </w:rPr>
              <w:t xml:space="preserve">Повраћање  </w:t>
            </w:r>
          </w:p>
          <w:p w14:paraId="212C9ED9"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Наузеја</w:t>
            </w:r>
          </w:p>
        </w:tc>
        <w:tc>
          <w:tcPr>
            <w:tcW w:w="1688" w:type="dxa"/>
            <w:shd w:val="clear" w:color="auto" w:fill="auto"/>
            <w:tcMar>
              <w:top w:w="15" w:type="dxa"/>
              <w:left w:w="15" w:type="dxa"/>
              <w:bottom w:w="0" w:type="dxa"/>
              <w:right w:w="15" w:type="dxa"/>
            </w:tcMar>
          </w:tcPr>
          <w:p w14:paraId="47D6BE3A" w14:textId="15265ECB" w:rsidR="00C06689" w:rsidRPr="00E34696" w:rsidRDefault="00C06689" w:rsidP="00E34696">
            <w:pPr>
              <w:widowControl w:val="0"/>
              <w:tabs>
                <w:tab w:val="left" w:pos="284"/>
              </w:tabs>
              <w:jc w:val="both"/>
              <w:rPr>
                <w:sz w:val="22"/>
                <w:szCs w:val="22"/>
                <w:lang w:val="sr-Latn-ME"/>
              </w:rPr>
            </w:pPr>
            <w:r w:rsidRPr="00E34696">
              <w:rPr>
                <w:sz w:val="22"/>
                <w:szCs w:val="22"/>
                <w:lang w:val="sr-Latn-ME"/>
              </w:rPr>
              <w:t xml:space="preserve">Aбдоминлни бол </w:t>
            </w:r>
          </w:p>
          <w:p w14:paraId="144C9748" w14:textId="7C0F551A" w:rsidR="00C06689" w:rsidRPr="00E34696" w:rsidRDefault="00C06689" w:rsidP="00E34696">
            <w:pPr>
              <w:widowControl w:val="0"/>
              <w:tabs>
                <w:tab w:val="left" w:pos="284"/>
              </w:tabs>
              <w:jc w:val="both"/>
              <w:rPr>
                <w:sz w:val="22"/>
                <w:szCs w:val="22"/>
                <w:lang w:val="sr-Latn-ME"/>
              </w:rPr>
            </w:pPr>
            <w:r w:rsidRPr="00E34696">
              <w:rPr>
                <w:sz w:val="22"/>
                <w:szCs w:val="22"/>
                <w:lang w:val="sr-Latn-ME"/>
              </w:rPr>
              <w:t xml:space="preserve">Диспепсија </w:t>
            </w:r>
          </w:p>
          <w:p w14:paraId="59546153" w14:textId="7340D1F6" w:rsidR="00C06689" w:rsidRPr="00E34696" w:rsidRDefault="00C06689" w:rsidP="00E34696">
            <w:pPr>
              <w:widowControl w:val="0"/>
              <w:tabs>
                <w:tab w:val="left" w:pos="284"/>
              </w:tabs>
              <w:jc w:val="both"/>
              <w:rPr>
                <w:sz w:val="22"/>
                <w:szCs w:val="22"/>
                <w:lang w:val="sr-Latn-ME"/>
              </w:rPr>
            </w:pPr>
            <w:r w:rsidRPr="00E34696">
              <w:rPr>
                <w:sz w:val="22"/>
                <w:szCs w:val="22"/>
                <w:lang w:val="sr-Latn-ME"/>
              </w:rPr>
              <w:t>Флатулације</w:t>
            </w:r>
          </w:p>
          <w:p w14:paraId="15268186"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 xml:space="preserve">Констипација </w:t>
            </w:r>
          </w:p>
        </w:tc>
        <w:tc>
          <w:tcPr>
            <w:tcW w:w="1922" w:type="dxa"/>
            <w:shd w:val="clear" w:color="auto" w:fill="auto"/>
            <w:tcMar>
              <w:top w:w="15" w:type="dxa"/>
              <w:left w:w="15" w:type="dxa"/>
              <w:bottom w:w="0" w:type="dxa"/>
              <w:right w:w="15" w:type="dxa"/>
            </w:tcMar>
          </w:tcPr>
          <w:p w14:paraId="0143B964"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 </w:t>
            </w:r>
          </w:p>
        </w:tc>
        <w:tc>
          <w:tcPr>
            <w:tcW w:w="2073" w:type="dxa"/>
            <w:shd w:val="clear" w:color="auto" w:fill="auto"/>
            <w:tcMar>
              <w:top w:w="15" w:type="dxa"/>
              <w:left w:w="15" w:type="dxa"/>
              <w:bottom w:w="0" w:type="dxa"/>
              <w:right w:w="15" w:type="dxa"/>
            </w:tcMar>
          </w:tcPr>
          <w:p w14:paraId="1E2BDE4A"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 xml:space="preserve">Хеморагијска дијареја, која у веома ријетким случајевима може да указује на ентероколитис, укључујући псеудомембранозни колитис (погледати дио 4.4); </w:t>
            </w:r>
          </w:p>
          <w:p w14:paraId="13FB6FC3" w14:textId="33CEF207" w:rsidR="00C06689" w:rsidRPr="00E34696" w:rsidRDefault="00C06689" w:rsidP="00E34696">
            <w:pPr>
              <w:widowControl w:val="0"/>
              <w:tabs>
                <w:tab w:val="left" w:pos="284"/>
              </w:tabs>
              <w:jc w:val="both"/>
              <w:rPr>
                <w:sz w:val="22"/>
                <w:szCs w:val="22"/>
                <w:lang w:val="sr-Latn-ME"/>
              </w:rPr>
            </w:pPr>
            <w:r w:rsidRPr="00E34696">
              <w:rPr>
                <w:sz w:val="22"/>
                <w:szCs w:val="22"/>
                <w:lang w:val="sr-Latn-ME"/>
              </w:rPr>
              <w:t>Панкреатитис</w:t>
            </w:r>
            <w:r w:rsidR="009D3F7D" w:rsidRPr="00E34696">
              <w:rPr>
                <w:sz w:val="22"/>
                <w:szCs w:val="22"/>
                <w:lang w:val="sr-Latn-ME"/>
              </w:rPr>
              <w:t xml:space="preserve"> (погледати дио 4.4)</w:t>
            </w:r>
          </w:p>
        </w:tc>
      </w:tr>
      <w:tr w:rsidR="00C06689" w:rsidRPr="00E34696" w14:paraId="43EDEDC0" w14:textId="77777777" w:rsidTr="00CF11E2">
        <w:tc>
          <w:tcPr>
            <w:tcW w:w="2132" w:type="dxa"/>
            <w:shd w:val="clear" w:color="auto" w:fill="auto"/>
            <w:tcMar>
              <w:top w:w="15" w:type="dxa"/>
              <w:left w:w="15" w:type="dxa"/>
              <w:bottom w:w="0" w:type="dxa"/>
              <w:right w:w="15" w:type="dxa"/>
            </w:tcMar>
          </w:tcPr>
          <w:p w14:paraId="585D9E21" w14:textId="77777777" w:rsidR="00C06689" w:rsidRPr="00E34696" w:rsidRDefault="00C06689" w:rsidP="00E34696">
            <w:pPr>
              <w:widowControl w:val="0"/>
              <w:tabs>
                <w:tab w:val="left" w:pos="284"/>
              </w:tabs>
              <w:jc w:val="both"/>
              <w:rPr>
                <w:i/>
                <w:iCs/>
                <w:sz w:val="22"/>
                <w:szCs w:val="22"/>
                <w:lang w:val="sr-Latn-ME"/>
              </w:rPr>
            </w:pPr>
            <w:r w:rsidRPr="00E34696">
              <w:rPr>
                <w:i/>
                <w:iCs/>
                <w:sz w:val="22"/>
                <w:szCs w:val="22"/>
                <w:lang w:val="sr-Latn-ME"/>
              </w:rPr>
              <w:t>Хепатобилијарни поремећаји</w:t>
            </w:r>
          </w:p>
        </w:tc>
        <w:tc>
          <w:tcPr>
            <w:tcW w:w="1248" w:type="dxa"/>
            <w:shd w:val="clear" w:color="auto" w:fill="auto"/>
            <w:tcMar>
              <w:top w:w="15" w:type="dxa"/>
              <w:left w:w="15" w:type="dxa"/>
              <w:bottom w:w="0" w:type="dxa"/>
              <w:right w:w="15" w:type="dxa"/>
            </w:tcMar>
          </w:tcPr>
          <w:p w14:paraId="1A8849FF"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Повећане вриједности ензима јетре (ALT/AST, aлкалне фосфаазе, GGT)</w:t>
            </w:r>
          </w:p>
        </w:tc>
        <w:tc>
          <w:tcPr>
            <w:tcW w:w="1688" w:type="dxa"/>
            <w:shd w:val="clear" w:color="auto" w:fill="auto"/>
            <w:tcMar>
              <w:top w:w="15" w:type="dxa"/>
              <w:left w:w="15" w:type="dxa"/>
              <w:bottom w:w="0" w:type="dxa"/>
              <w:right w:w="15" w:type="dxa"/>
            </w:tcMar>
          </w:tcPr>
          <w:p w14:paraId="798B69F0"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Повишенe вриједности билирубина у крви</w:t>
            </w:r>
          </w:p>
        </w:tc>
        <w:tc>
          <w:tcPr>
            <w:tcW w:w="1922" w:type="dxa"/>
            <w:shd w:val="clear" w:color="auto" w:fill="auto"/>
            <w:tcMar>
              <w:top w:w="15" w:type="dxa"/>
              <w:left w:w="15" w:type="dxa"/>
              <w:bottom w:w="0" w:type="dxa"/>
              <w:right w:w="15" w:type="dxa"/>
            </w:tcMar>
          </w:tcPr>
          <w:p w14:paraId="746C2621"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 </w:t>
            </w:r>
          </w:p>
        </w:tc>
        <w:tc>
          <w:tcPr>
            <w:tcW w:w="2073" w:type="dxa"/>
            <w:shd w:val="clear" w:color="auto" w:fill="auto"/>
            <w:tcMar>
              <w:top w:w="15" w:type="dxa"/>
              <w:left w:w="15" w:type="dxa"/>
              <w:bottom w:w="0" w:type="dxa"/>
              <w:right w:w="15" w:type="dxa"/>
            </w:tcMar>
          </w:tcPr>
          <w:p w14:paraId="73FFA942" w14:textId="4F6FB3C4" w:rsidR="00C06689" w:rsidRPr="00E34696" w:rsidRDefault="00C06689" w:rsidP="00E34696">
            <w:pPr>
              <w:widowControl w:val="0"/>
              <w:tabs>
                <w:tab w:val="left" w:pos="284"/>
              </w:tabs>
              <w:jc w:val="both"/>
              <w:rPr>
                <w:sz w:val="22"/>
                <w:szCs w:val="22"/>
                <w:lang w:val="sr-Latn-ME"/>
              </w:rPr>
            </w:pPr>
            <w:r w:rsidRPr="00E34696">
              <w:rPr>
                <w:sz w:val="22"/>
                <w:szCs w:val="22"/>
                <w:lang w:val="sr-Latn-ME"/>
              </w:rPr>
              <w:t xml:space="preserve">Жутица и тешко оштећење јетре, укључујући случајеве са фаталном акутном инсуфицијенцијом јетре, примарно код пацијената са тешким придруженим болестима (погледати дио 4.4.) </w:t>
            </w:r>
          </w:p>
          <w:p w14:paraId="320D511F"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Хепатитис</w:t>
            </w:r>
          </w:p>
        </w:tc>
      </w:tr>
      <w:tr w:rsidR="00C06689" w:rsidRPr="00E34696" w14:paraId="20871B12" w14:textId="77777777" w:rsidTr="00CF11E2">
        <w:tc>
          <w:tcPr>
            <w:tcW w:w="2132" w:type="dxa"/>
            <w:shd w:val="clear" w:color="auto" w:fill="auto"/>
            <w:tcMar>
              <w:top w:w="15" w:type="dxa"/>
              <w:left w:w="15" w:type="dxa"/>
              <w:bottom w:w="0" w:type="dxa"/>
              <w:right w:w="15" w:type="dxa"/>
            </w:tcMar>
          </w:tcPr>
          <w:p w14:paraId="19C6B046" w14:textId="77777777" w:rsidR="00C06689" w:rsidRPr="00E34696" w:rsidRDefault="00C06689" w:rsidP="00E34696">
            <w:pPr>
              <w:widowControl w:val="0"/>
              <w:tabs>
                <w:tab w:val="left" w:pos="284"/>
              </w:tabs>
              <w:jc w:val="both"/>
              <w:rPr>
                <w:iCs/>
                <w:sz w:val="22"/>
                <w:szCs w:val="22"/>
                <w:lang w:val="sr-Latn-ME"/>
              </w:rPr>
            </w:pPr>
            <w:r w:rsidRPr="00E34696">
              <w:rPr>
                <w:i/>
                <w:iCs/>
                <w:sz w:val="22"/>
                <w:szCs w:val="22"/>
                <w:lang w:val="sr-Latn-ME"/>
              </w:rPr>
              <w:t>Поремећаји коже и поткожног ткива</w:t>
            </w:r>
            <w:r w:rsidR="00864B30" w:rsidRPr="00E34696">
              <w:rPr>
                <w:iCs/>
                <w:sz w:val="22"/>
                <w:szCs w:val="22"/>
                <w:vertAlign w:val="superscript"/>
                <w:lang w:val="sr-Latn-ME"/>
              </w:rPr>
              <w:t>б</w:t>
            </w:r>
          </w:p>
        </w:tc>
        <w:tc>
          <w:tcPr>
            <w:tcW w:w="1248" w:type="dxa"/>
            <w:shd w:val="clear" w:color="auto" w:fill="auto"/>
            <w:tcMar>
              <w:top w:w="15" w:type="dxa"/>
              <w:left w:w="15" w:type="dxa"/>
              <w:bottom w:w="0" w:type="dxa"/>
              <w:right w:w="15" w:type="dxa"/>
            </w:tcMar>
          </w:tcPr>
          <w:p w14:paraId="766538E1"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 </w:t>
            </w:r>
          </w:p>
        </w:tc>
        <w:tc>
          <w:tcPr>
            <w:tcW w:w="1688" w:type="dxa"/>
            <w:shd w:val="clear" w:color="auto" w:fill="auto"/>
            <w:tcMar>
              <w:top w:w="15" w:type="dxa"/>
              <w:left w:w="15" w:type="dxa"/>
              <w:bottom w:w="0" w:type="dxa"/>
              <w:right w:w="15" w:type="dxa"/>
            </w:tcMar>
          </w:tcPr>
          <w:p w14:paraId="24440C92"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 xml:space="preserve">Осип, </w:t>
            </w:r>
          </w:p>
          <w:p w14:paraId="61A30831"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 xml:space="preserve">Пруритус, </w:t>
            </w:r>
          </w:p>
          <w:p w14:paraId="467E20C2"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 xml:space="preserve">Уртикарија, </w:t>
            </w:r>
          </w:p>
          <w:p w14:paraId="6FBB8DF6"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Хиперхидроза</w:t>
            </w:r>
          </w:p>
        </w:tc>
        <w:tc>
          <w:tcPr>
            <w:tcW w:w="1922" w:type="dxa"/>
            <w:shd w:val="clear" w:color="auto" w:fill="auto"/>
            <w:tcMar>
              <w:top w:w="15" w:type="dxa"/>
              <w:left w:w="15" w:type="dxa"/>
              <w:bottom w:w="0" w:type="dxa"/>
              <w:right w:w="15" w:type="dxa"/>
            </w:tcMar>
          </w:tcPr>
          <w:p w14:paraId="47170E6D" w14:textId="77777777" w:rsidR="00100971" w:rsidRPr="00E34696" w:rsidRDefault="00C06689" w:rsidP="00E34696">
            <w:pPr>
              <w:widowControl w:val="0"/>
              <w:tabs>
                <w:tab w:val="left" w:pos="284"/>
              </w:tabs>
              <w:jc w:val="both"/>
              <w:rPr>
                <w:sz w:val="22"/>
                <w:szCs w:val="22"/>
                <w:lang w:val="sr-Latn-ME"/>
              </w:rPr>
            </w:pPr>
            <w:r w:rsidRPr="00E34696">
              <w:rPr>
                <w:sz w:val="22"/>
                <w:szCs w:val="22"/>
                <w:lang w:val="sr-Latn-ME"/>
              </w:rPr>
              <w:t xml:space="preserve">Реакције на лијек са еозинофилијом и системским симптомима (DRESS) (погледати дио 4.4), </w:t>
            </w:r>
          </w:p>
          <w:p w14:paraId="09420E42" w14:textId="2DF8AE7F" w:rsidR="00C06689" w:rsidRPr="00E34696" w:rsidRDefault="00100971" w:rsidP="00E34696">
            <w:pPr>
              <w:widowControl w:val="0"/>
              <w:tabs>
                <w:tab w:val="left" w:pos="284"/>
              </w:tabs>
              <w:jc w:val="both"/>
              <w:rPr>
                <w:sz w:val="22"/>
                <w:szCs w:val="22"/>
                <w:lang w:val="sr-Latn-ME"/>
              </w:rPr>
            </w:pPr>
            <w:r w:rsidRPr="00E34696">
              <w:rPr>
                <w:sz w:val="22"/>
                <w:szCs w:val="22"/>
                <w:lang w:val="sr-Latn-ME"/>
              </w:rPr>
              <w:t>Ф</w:t>
            </w:r>
            <w:r w:rsidR="00864B30" w:rsidRPr="00E34696">
              <w:rPr>
                <w:sz w:val="22"/>
                <w:szCs w:val="22"/>
                <w:lang w:val="sr-Latn-ME"/>
              </w:rPr>
              <w:t>иксна ерупција изазвана</w:t>
            </w:r>
            <w:r w:rsidR="00C06689" w:rsidRPr="00E34696">
              <w:rPr>
                <w:sz w:val="22"/>
                <w:szCs w:val="22"/>
                <w:lang w:val="sr-Latn-ME"/>
              </w:rPr>
              <w:t xml:space="preserve">  лијек</w:t>
            </w:r>
            <w:r w:rsidR="00864B30" w:rsidRPr="00E34696">
              <w:rPr>
                <w:sz w:val="22"/>
                <w:szCs w:val="22"/>
                <w:lang w:val="sr-Latn-ME"/>
              </w:rPr>
              <w:t>ом</w:t>
            </w:r>
            <w:r w:rsidR="00C06689" w:rsidRPr="00E34696">
              <w:rPr>
                <w:sz w:val="22"/>
                <w:szCs w:val="22"/>
                <w:lang w:val="sr-Latn-ME"/>
              </w:rPr>
              <w:t xml:space="preserve"> </w:t>
            </w:r>
          </w:p>
        </w:tc>
        <w:tc>
          <w:tcPr>
            <w:tcW w:w="2073" w:type="dxa"/>
            <w:shd w:val="clear" w:color="auto" w:fill="auto"/>
            <w:tcMar>
              <w:top w:w="15" w:type="dxa"/>
              <w:left w:w="15" w:type="dxa"/>
              <w:bottom w:w="0" w:type="dxa"/>
              <w:right w:w="15" w:type="dxa"/>
            </w:tcMar>
          </w:tcPr>
          <w:p w14:paraId="46299F11"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Toксична епидермална некролиза,</w:t>
            </w:r>
          </w:p>
          <w:p w14:paraId="45C825A5" w14:textId="77777777" w:rsidR="00C06689" w:rsidRPr="00E34696" w:rsidRDefault="00C06689" w:rsidP="00E34696">
            <w:pPr>
              <w:widowControl w:val="0"/>
              <w:tabs>
                <w:tab w:val="left" w:pos="284"/>
              </w:tabs>
              <w:jc w:val="both"/>
              <w:rPr>
                <w:sz w:val="22"/>
                <w:szCs w:val="22"/>
                <w:lang w:val="sr-Latn-ME"/>
              </w:rPr>
            </w:pPr>
            <w:r w:rsidRPr="00E34696">
              <w:rPr>
                <w:i/>
                <w:sz w:val="22"/>
                <w:szCs w:val="22"/>
                <w:lang w:val="sr-Latn-ME"/>
              </w:rPr>
              <w:t>Stevens-Johnson</w:t>
            </w:r>
            <w:r w:rsidRPr="00E34696">
              <w:rPr>
                <w:sz w:val="22"/>
                <w:szCs w:val="22"/>
                <w:lang w:val="sr-Latn-ME"/>
              </w:rPr>
              <w:t>–oв синдром,</w:t>
            </w:r>
          </w:p>
          <w:p w14:paraId="2A58F5F2" w14:textId="77777777" w:rsidR="00C06689" w:rsidRPr="00E34696" w:rsidRDefault="00C06689" w:rsidP="00E34696">
            <w:pPr>
              <w:widowControl w:val="0"/>
              <w:tabs>
                <w:tab w:val="left" w:pos="284"/>
              </w:tabs>
              <w:jc w:val="both"/>
              <w:rPr>
                <w:sz w:val="22"/>
                <w:szCs w:val="22"/>
                <w:lang w:val="sr-Latn-ME"/>
              </w:rPr>
            </w:pPr>
            <w:r w:rsidRPr="00E34696">
              <w:rPr>
                <w:i/>
                <w:sz w:val="22"/>
                <w:szCs w:val="22"/>
                <w:lang w:val="sr-Latn-ME"/>
              </w:rPr>
              <w:t>Erythema multiforme</w:t>
            </w:r>
            <w:r w:rsidRPr="00E34696">
              <w:rPr>
                <w:sz w:val="22"/>
                <w:szCs w:val="22"/>
                <w:lang w:val="sr-Latn-ME"/>
              </w:rPr>
              <w:t xml:space="preserve">, </w:t>
            </w:r>
          </w:p>
          <w:p w14:paraId="31E017F0"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Фотосензитивност (погледати дио 4.4),</w:t>
            </w:r>
          </w:p>
          <w:p w14:paraId="7D030F8D"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 xml:space="preserve">Леукоцитокластични васкулитис, </w:t>
            </w:r>
          </w:p>
          <w:p w14:paraId="69018170" w14:textId="14AF7DF6" w:rsidR="00C06689" w:rsidRPr="00E34696" w:rsidRDefault="00C06689" w:rsidP="00E34696">
            <w:pPr>
              <w:widowControl w:val="0"/>
              <w:tabs>
                <w:tab w:val="left" w:pos="284"/>
              </w:tabs>
              <w:jc w:val="both"/>
              <w:rPr>
                <w:sz w:val="22"/>
                <w:szCs w:val="22"/>
                <w:lang w:val="sr-Latn-ME"/>
              </w:rPr>
            </w:pPr>
            <w:r w:rsidRPr="00E34696">
              <w:rPr>
                <w:sz w:val="22"/>
                <w:szCs w:val="22"/>
                <w:lang w:val="sr-Latn-ME"/>
              </w:rPr>
              <w:t>Стоматитис</w:t>
            </w:r>
            <w:r w:rsidR="00867ADD" w:rsidRPr="00E34696">
              <w:rPr>
                <w:sz w:val="22"/>
                <w:szCs w:val="22"/>
                <w:lang w:val="sr-Latn-ME"/>
              </w:rPr>
              <w:t>,</w:t>
            </w:r>
          </w:p>
          <w:p w14:paraId="79788B5B" w14:textId="6E280B2F" w:rsidR="00867ADD" w:rsidRPr="00E34696" w:rsidRDefault="00867ADD" w:rsidP="00E34696">
            <w:pPr>
              <w:widowControl w:val="0"/>
              <w:tabs>
                <w:tab w:val="left" w:pos="284"/>
              </w:tabs>
              <w:jc w:val="both"/>
              <w:rPr>
                <w:sz w:val="22"/>
                <w:szCs w:val="22"/>
                <w:lang w:val="sr-Latn-ME"/>
              </w:rPr>
            </w:pPr>
            <w:r w:rsidRPr="00E34696">
              <w:rPr>
                <w:sz w:val="22"/>
                <w:szCs w:val="22"/>
                <w:lang w:val="sr-Latn-ME"/>
              </w:rPr>
              <w:t>Хиперпигментација коже</w:t>
            </w:r>
          </w:p>
        </w:tc>
      </w:tr>
      <w:tr w:rsidR="00C06689" w:rsidRPr="00E34696" w14:paraId="2BDC364D" w14:textId="77777777" w:rsidTr="00CF11E2">
        <w:tc>
          <w:tcPr>
            <w:tcW w:w="2132" w:type="dxa"/>
            <w:shd w:val="clear" w:color="auto" w:fill="auto"/>
            <w:tcMar>
              <w:top w:w="15" w:type="dxa"/>
              <w:left w:w="15" w:type="dxa"/>
              <w:bottom w:w="0" w:type="dxa"/>
              <w:right w:w="15" w:type="dxa"/>
            </w:tcMar>
          </w:tcPr>
          <w:p w14:paraId="7A264280" w14:textId="77777777" w:rsidR="00C06689" w:rsidRPr="00E34696" w:rsidRDefault="00C06689" w:rsidP="00E34696">
            <w:pPr>
              <w:widowControl w:val="0"/>
              <w:tabs>
                <w:tab w:val="left" w:pos="284"/>
              </w:tabs>
              <w:jc w:val="both"/>
              <w:rPr>
                <w:i/>
                <w:iCs/>
                <w:sz w:val="22"/>
                <w:szCs w:val="22"/>
                <w:lang w:val="sr-Latn-ME"/>
              </w:rPr>
            </w:pPr>
            <w:r w:rsidRPr="00E34696">
              <w:rPr>
                <w:i/>
                <w:iCs/>
                <w:sz w:val="22"/>
                <w:szCs w:val="22"/>
                <w:lang w:val="sr-Latn-ME"/>
              </w:rPr>
              <w:t xml:space="preserve">Поремећаји мишићно-коштаног система и </w:t>
            </w:r>
            <w:r w:rsidRPr="00E34696">
              <w:rPr>
                <w:i/>
                <w:iCs/>
                <w:sz w:val="22"/>
                <w:szCs w:val="22"/>
                <w:lang w:val="sr-Latn-ME"/>
              </w:rPr>
              <w:lastRenderedPageBreak/>
              <w:t>везивног ткива*</w:t>
            </w:r>
          </w:p>
        </w:tc>
        <w:tc>
          <w:tcPr>
            <w:tcW w:w="1248" w:type="dxa"/>
            <w:shd w:val="clear" w:color="auto" w:fill="auto"/>
            <w:tcMar>
              <w:top w:w="15" w:type="dxa"/>
              <w:left w:w="15" w:type="dxa"/>
              <w:bottom w:w="0" w:type="dxa"/>
              <w:right w:w="15" w:type="dxa"/>
            </w:tcMar>
          </w:tcPr>
          <w:p w14:paraId="28D214D9"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lastRenderedPageBreak/>
              <w:t> </w:t>
            </w:r>
          </w:p>
        </w:tc>
        <w:tc>
          <w:tcPr>
            <w:tcW w:w="1688" w:type="dxa"/>
            <w:shd w:val="clear" w:color="auto" w:fill="auto"/>
            <w:tcMar>
              <w:top w:w="15" w:type="dxa"/>
              <w:left w:w="15" w:type="dxa"/>
              <w:bottom w:w="0" w:type="dxa"/>
              <w:right w:w="15" w:type="dxa"/>
            </w:tcMar>
          </w:tcPr>
          <w:p w14:paraId="1E76957C"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 xml:space="preserve">Aртралгија,     </w:t>
            </w:r>
          </w:p>
          <w:p w14:paraId="465188EB"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Mијалгија</w:t>
            </w:r>
          </w:p>
        </w:tc>
        <w:tc>
          <w:tcPr>
            <w:tcW w:w="1922" w:type="dxa"/>
            <w:shd w:val="clear" w:color="auto" w:fill="auto"/>
            <w:tcMar>
              <w:top w:w="15" w:type="dxa"/>
              <w:left w:w="15" w:type="dxa"/>
              <w:bottom w:w="0" w:type="dxa"/>
              <w:right w:w="15" w:type="dxa"/>
            </w:tcMar>
          </w:tcPr>
          <w:p w14:paraId="40FE752A"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 xml:space="preserve">Поремећаји тетива (погледати дјелове </w:t>
            </w:r>
            <w:r w:rsidRPr="00E34696">
              <w:rPr>
                <w:sz w:val="22"/>
                <w:szCs w:val="22"/>
                <w:lang w:val="sr-Latn-ME"/>
              </w:rPr>
              <w:lastRenderedPageBreak/>
              <w:t xml:space="preserve">4.3 и 4.4) укључујући и тендинитис (нпр. Aхилова тетива), </w:t>
            </w:r>
          </w:p>
          <w:p w14:paraId="7CE1A545"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Mишићна слабост која може бити посебно важна код пацијената који болују од миастеније гравис (погледати дио 4.4)</w:t>
            </w:r>
          </w:p>
        </w:tc>
        <w:tc>
          <w:tcPr>
            <w:tcW w:w="2073" w:type="dxa"/>
            <w:shd w:val="clear" w:color="auto" w:fill="auto"/>
            <w:tcMar>
              <w:top w:w="15" w:type="dxa"/>
              <w:left w:w="15" w:type="dxa"/>
              <w:bottom w:w="0" w:type="dxa"/>
              <w:right w:w="15" w:type="dxa"/>
            </w:tcMar>
          </w:tcPr>
          <w:p w14:paraId="778E402C"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lastRenderedPageBreak/>
              <w:t xml:space="preserve">Рабдомиолиза,       </w:t>
            </w:r>
          </w:p>
          <w:p w14:paraId="2740DEC8"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 xml:space="preserve">Руптура тетива (нпр. </w:t>
            </w:r>
            <w:r w:rsidRPr="00E34696">
              <w:rPr>
                <w:sz w:val="22"/>
                <w:szCs w:val="22"/>
                <w:lang w:val="sr-Latn-ME"/>
              </w:rPr>
              <w:lastRenderedPageBreak/>
              <w:t xml:space="preserve">Aхилова тетива) (погледати дјелове 4.3 и 4.4),        </w:t>
            </w:r>
          </w:p>
          <w:p w14:paraId="7EAF6FCD"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 xml:space="preserve">Руптура лигамената, </w:t>
            </w:r>
          </w:p>
          <w:p w14:paraId="2B6100D0"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 xml:space="preserve">Руптура мишића,        </w:t>
            </w:r>
          </w:p>
          <w:p w14:paraId="4368F06C"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Артритис</w:t>
            </w:r>
          </w:p>
        </w:tc>
      </w:tr>
      <w:tr w:rsidR="00C06689" w:rsidRPr="00E34696" w14:paraId="63934562" w14:textId="77777777" w:rsidTr="00CF11E2">
        <w:tc>
          <w:tcPr>
            <w:tcW w:w="2132" w:type="dxa"/>
            <w:shd w:val="clear" w:color="auto" w:fill="auto"/>
            <w:tcMar>
              <w:top w:w="15" w:type="dxa"/>
              <w:left w:w="15" w:type="dxa"/>
              <w:bottom w:w="0" w:type="dxa"/>
              <w:right w:w="15" w:type="dxa"/>
            </w:tcMar>
          </w:tcPr>
          <w:p w14:paraId="3A1C045C" w14:textId="77777777" w:rsidR="00C06689" w:rsidRPr="00E34696" w:rsidRDefault="00C06689" w:rsidP="00E34696">
            <w:pPr>
              <w:widowControl w:val="0"/>
              <w:tabs>
                <w:tab w:val="left" w:pos="284"/>
              </w:tabs>
              <w:jc w:val="both"/>
              <w:rPr>
                <w:i/>
                <w:iCs/>
                <w:sz w:val="22"/>
                <w:szCs w:val="22"/>
                <w:lang w:val="sr-Latn-ME"/>
              </w:rPr>
            </w:pPr>
            <w:r w:rsidRPr="00E34696">
              <w:rPr>
                <w:i/>
                <w:iCs/>
                <w:sz w:val="22"/>
                <w:szCs w:val="22"/>
                <w:lang w:val="sr-Latn-ME"/>
              </w:rPr>
              <w:lastRenderedPageBreak/>
              <w:t>Поремећаји бубрега и уринарног система</w:t>
            </w:r>
          </w:p>
        </w:tc>
        <w:tc>
          <w:tcPr>
            <w:tcW w:w="1248" w:type="dxa"/>
            <w:shd w:val="clear" w:color="auto" w:fill="auto"/>
            <w:tcMar>
              <w:top w:w="15" w:type="dxa"/>
              <w:left w:w="15" w:type="dxa"/>
              <w:bottom w:w="0" w:type="dxa"/>
              <w:right w:w="15" w:type="dxa"/>
            </w:tcMar>
          </w:tcPr>
          <w:p w14:paraId="5FE015D6"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 </w:t>
            </w:r>
          </w:p>
        </w:tc>
        <w:tc>
          <w:tcPr>
            <w:tcW w:w="1688" w:type="dxa"/>
            <w:shd w:val="clear" w:color="auto" w:fill="auto"/>
            <w:tcMar>
              <w:top w:w="15" w:type="dxa"/>
              <w:left w:w="15" w:type="dxa"/>
              <w:bottom w:w="0" w:type="dxa"/>
              <w:right w:w="15" w:type="dxa"/>
            </w:tcMar>
          </w:tcPr>
          <w:p w14:paraId="32B29978"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Пораст креатинина у крви</w:t>
            </w:r>
          </w:p>
        </w:tc>
        <w:tc>
          <w:tcPr>
            <w:tcW w:w="1922" w:type="dxa"/>
            <w:shd w:val="clear" w:color="auto" w:fill="auto"/>
            <w:tcMar>
              <w:top w:w="15" w:type="dxa"/>
              <w:left w:w="15" w:type="dxa"/>
              <w:bottom w:w="0" w:type="dxa"/>
              <w:right w:w="15" w:type="dxa"/>
            </w:tcMar>
          </w:tcPr>
          <w:p w14:paraId="08B66B8F"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Aкутна инсуфицијенција бубрега (нпр. због интерстицијалног нефритиса)</w:t>
            </w:r>
          </w:p>
        </w:tc>
        <w:tc>
          <w:tcPr>
            <w:tcW w:w="2073" w:type="dxa"/>
            <w:shd w:val="clear" w:color="auto" w:fill="auto"/>
            <w:tcMar>
              <w:top w:w="15" w:type="dxa"/>
              <w:left w:w="15" w:type="dxa"/>
              <w:bottom w:w="0" w:type="dxa"/>
              <w:right w:w="15" w:type="dxa"/>
            </w:tcMar>
          </w:tcPr>
          <w:p w14:paraId="5949140E"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 </w:t>
            </w:r>
          </w:p>
        </w:tc>
      </w:tr>
      <w:tr w:rsidR="00C06689" w:rsidRPr="00E34696" w14:paraId="1FE03D18" w14:textId="77777777" w:rsidTr="00CF11E2">
        <w:tc>
          <w:tcPr>
            <w:tcW w:w="2132" w:type="dxa"/>
            <w:shd w:val="clear" w:color="auto" w:fill="auto"/>
            <w:tcMar>
              <w:top w:w="15" w:type="dxa"/>
              <w:left w:w="15" w:type="dxa"/>
              <w:bottom w:w="0" w:type="dxa"/>
              <w:right w:w="15" w:type="dxa"/>
            </w:tcMar>
          </w:tcPr>
          <w:p w14:paraId="23D9BAD0" w14:textId="77777777" w:rsidR="00C06689" w:rsidRPr="00E34696" w:rsidRDefault="00C06689" w:rsidP="00E34696">
            <w:pPr>
              <w:widowControl w:val="0"/>
              <w:tabs>
                <w:tab w:val="left" w:pos="284"/>
              </w:tabs>
              <w:jc w:val="both"/>
              <w:rPr>
                <w:i/>
                <w:iCs/>
                <w:sz w:val="22"/>
                <w:szCs w:val="22"/>
                <w:lang w:val="sr-Latn-ME"/>
              </w:rPr>
            </w:pPr>
            <w:r w:rsidRPr="00E34696">
              <w:rPr>
                <w:i/>
                <w:iCs/>
                <w:sz w:val="22"/>
                <w:szCs w:val="22"/>
                <w:lang w:val="sr-Latn-ME"/>
              </w:rPr>
              <w:t>Oпшти поремећаји и реакције на мјесту примене*</w:t>
            </w:r>
          </w:p>
        </w:tc>
        <w:tc>
          <w:tcPr>
            <w:tcW w:w="1248" w:type="dxa"/>
            <w:shd w:val="clear" w:color="auto" w:fill="auto"/>
            <w:tcMar>
              <w:top w:w="15" w:type="dxa"/>
              <w:left w:w="15" w:type="dxa"/>
              <w:bottom w:w="0" w:type="dxa"/>
              <w:right w:w="15" w:type="dxa"/>
            </w:tcMar>
          </w:tcPr>
          <w:p w14:paraId="72E07ADA" w14:textId="384B13EE" w:rsidR="00C06689" w:rsidRPr="00E34696" w:rsidRDefault="00C06689" w:rsidP="00E34696">
            <w:pPr>
              <w:widowControl w:val="0"/>
              <w:tabs>
                <w:tab w:val="left" w:pos="284"/>
              </w:tabs>
              <w:jc w:val="both"/>
              <w:rPr>
                <w:sz w:val="22"/>
                <w:szCs w:val="22"/>
                <w:lang w:val="sr-Latn-ME"/>
              </w:rPr>
            </w:pPr>
            <w:r w:rsidRPr="00E34696">
              <w:rPr>
                <w:sz w:val="22"/>
                <w:szCs w:val="22"/>
                <w:u w:val="single"/>
                <w:lang w:val="sr-Latn-ME"/>
              </w:rPr>
              <w:t>Само при примјени i.v. инј</w:t>
            </w:r>
            <w:r w:rsidRPr="00E34696">
              <w:rPr>
                <w:sz w:val="22"/>
                <w:szCs w:val="22"/>
                <w:lang w:val="sr-Latn-ME"/>
              </w:rPr>
              <w:t>: Реакција на мјесту прим</w:t>
            </w:r>
            <w:r w:rsidR="00100971" w:rsidRPr="00E34696">
              <w:rPr>
                <w:sz w:val="22"/>
                <w:szCs w:val="22"/>
                <w:lang w:val="sr-Latn-ME"/>
              </w:rPr>
              <w:t>Ј</w:t>
            </w:r>
            <w:r w:rsidRPr="00E34696">
              <w:rPr>
                <w:sz w:val="22"/>
                <w:szCs w:val="22"/>
                <w:lang w:val="sr-Latn-ME"/>
              </w:rPr>
              <w:t>ене (бол, црвенило)</w:t>
            </w:r>
          </w:p>
        </w:tc>
        <w:tc>
          <w:tcPr>
            <w:tcW w:w="1688" w:type="dxa"/>
            <w:shd w:val="clear" w:color="auto" w:fill="auto"/>
            <w:tcMar>
              <w:top w:w="15" w:type="dxa"/>
              <w:left w:w="15" w:type="dxa"/>
              <w:bottom w:w="0" w:type="dxa"/>
              <w:right w:w="15" w:type="dxa"/>
            </w:tcMar>
          </w:tcPr>
          <w:p w14:paraId="28D5ED5D"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Aстенија</w:t>
            </w:r>
          </w:p>
        </w:tc>
        <w:tc>
          <w:tcPr>
            <w:tcW w:w="1922" w:type="dxa"/>
            <w:shd w:val="clear" w:color="auto" w:fill="auto"/>
            <w:tcMar>
              <w:top w:w="15" w:type="dxa"/>
              <w:left w:w="15" w:type="dxa"/>
              <w:bottom w:w="0" w:type="dxa"/>
              <w:right w:w="15" w:type="dxa"/>
            </w:tcMar>
          </w:tcPr>
          <w:p w14:paraId="31FFDF7A"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 xml:space="preserve">Пирексија </w:t>
            </w:r>
          </w:p>
        </w:tc>
        <w:tc>
          <w:tcPr>
            <w:tcW w:w="2073" w:type="dxa"/>
            <w:shd w:val="clear" w:color="auto" w:fill="auto"/>
            <w:tcMar>
              <w:top w:w="15" w:type="dxa"/>
              <w:left w:w="15" w:type="dxa"/>
              <w:bottom w:w="0" w:type="dxa"/>
              <w:right w:w="15" w:type="dxa"/>
            </w:tcMar>
          </w:tcPr>
          <w:p w14:paraId="402D2B3B"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Бол (укључујући бол у леђима, грудима и екстремитетима)</w:t>
            </w:r>
          </w:p>
        </w:tc>
      </w:tr>
    </w:tbl>
    <w:p w14:paraId="78948035" w14:textId="5DA1593C" w:rsidR="00C06689" w:rsidRPr="00D7190C" w:rsidRDefault="00C06689" w:rsidP="00E34696">
      <w:pPr>
        <w:widowControl w:val="0"/>
        <w:tabs>
          <w:tab w:val="left" w:pos="284"/>
        </w:tabs>
        <w:jc w:val="both"/>
        <w:rPr>
          <w:sz w:val="20"/>
          <w:szCs w:val="22"/>
          <w:lang w:val="sr-Latn-ME"/>
        </w:rPr>
      </w:pPr>
      <w:r w:rsidRPr="00D7190C">
        <w:rPr>
          <w:sz w:val="20"/>
          <w:szCs w:val="22"/>
          <w:vertAlign w:val="superscript"/>
          <w:lang w:val="sr-Latn-ME"/>
        </w:rPr>
        <w:t>а</w:t>
      </w:r>
      <w:r w:rsidRPr="00D7190C">
        <w:rPr>
          <w:sz w:val="20"/>
          <w:szCs w:val="22"/>
          <w:lang w:val="sr-Latn-ME"/>
        </w:rPr>
        <w:t xml:space="preserve"> Анафилак</w:t>
      </w:r>
      <w:r w:rsidR="00F969F2" w:rsidRPr="00D7190C">
        <w:rPr>
          <w:sz w:val="20"/>
          <w:szCs w:val="22"/>
          <w:lang w:val="sr-Latn-ME"/>
        </w:rPr>
        <w:t>тичка</w:t>
      </w:r>
      <w:r w:rsidRPr="00D7190C">
        <w:rPr>
          <w:sz w:val="20"/>
          <w:szCs w:val="22"/>
          <w:lang w:val="sr-Latn-ME"/>
        </w:rPr>
        <w:t xml:space="preserve"> и анафилактоидна реакција се могу јавити већ послије прве дозе. </w:t>
      </w:r>
    </w:p>
    <w:p w14:paraId="12F87C36" w14:textId="14E08941" w:rsidR="00100971" w:rsidRPr="00D7190C" w:rsidRDefault="00C06689" w:rsidP="00E34696">
      <w:pPr>
        <w:widowControl w:val="0"/>
        <w:tabs>
          <w:tab w:val="left" w:pos="284"/>
        </w:tabs>
        <w:jc w:val="both"/>
        <w:rPr>
          <w:sz w:val="20"/>
          <w:szCs w:val="22"/>
          <w:lang w:val="sr-Latn-ME"/>
        </w:rPr>
      </w:pPr>
      <w:r w:rsidRPr="00D7190C">
        <w:rPr>
          <w:sz w:val="20"/>
          <w:szCs w:val="22"/>
          <w:vertAlign w:val="superscript"/>
          <w:lang w:val="sr-Latn-ME"/>
        </w:rPr>
        <w:t>б</w:t>
      </w:r>
      <w:r w:rsidRPr="00D7190C">
        <w:rPr>
          <w:sz w:val="20"/>
          <w:szCs w:val="22"/>
          <w:lang w:val="sr-Latn-ME"/>
        </w:rPr>
        <w:t xml:space="preserve"> Мукокутане реакције могу понекад да се јаве већ након прве дозе.</w:t>
      </w:r>
    </w:p>
    <w:p w14:paraId="01AD8355" w14:textId="77777777" w:rsidR="00C06689" w:rsidRPr="00D7190C" w:rsidRDefault="00C06689" w:rsidP="00E34696">
      <w:pPr>
        <w:widowControl w:val="0"/>
        <w:tabs>
          <w:tab w:val="left" w:pos="284"/>
        </w:tabs>
        <w:jc w:val="both"/>
        <w:rPr>
          <w:sz w:val="20"/>
          <w:szCs w:val="22"/>
          <w:lang w:val="sr-Latn-ME"/>
        </w:rPr>
      </w:pPr>
      <w:r w:rsidRPr="00D7190C">
        <w:rPr>
          <w:sz w:val="20"/>
          <w:szCs w:val="22"/>
          <w:lang w:val="sr-Latn-ME"/>
        </w:rPr>
        <w:t xml:space="preserve">Друга нежељена дејства која су повезана са употребом флуорохинолона укључују и: </w:t>
      </w:r>
    </w:p>
    <w:p w14:paraId="0AD8236A" w14:textId="7CF5C87A" w:rsidR="00100971" w:rsidRPr="00D7190C" w:rsidRDefault="00C06689" w:rsidP="00E34696">
      <w:pPr>
        <w:widowControl w:val="0"/>
        <w:tabs>
          <w:tab w:val="left" w:pos="284"/>
        </w:tabs>
        <w:jc w:val="both"/>
        <w:rPr>
          <w:sz w:val="20"/>
          <w:szCs w:val="22"/>
          <w:lang w:val="sr-Latn-ME"/>
        </w:rPr>
      </w:pPr>
      <w:r w:rsidRPr="00D7190C">
        <w:rPr>
          <w:sz w:val="20"/>
          <w:szCs w:val="22"/>
          <w:lang w:val="sr-Latn-ME"/>
        </w:rPr>
        <w:t>• напади порфирије код пацијената који болују од порфирије.</w:t>
      </w:r>
    </w:p>
    <w:p w14:paraId="632451A2" w14:textId="5457B7A2" w:rsidR="00C06689" w:rsidRPr="00D7190C" w:rsidRDefault="00C06689" w:rsidP="00E34696">
      <w:pPr>
        <w:widowControl w:val="0"/>
        <w:tabs>
          <w:tab w:val="left" w:pos="284"/>
        </w:tabs>
        <w:jc w:val="both"/>
        <w:rPr>
          <w:sz w:val="20"/>
          <w:szCs w:val="22"/>
          <w:lang w:val="sr-Latn-ME"/>
        </w:rPr>
      </w:pPr>
      <w:r w:rsidRPr="00D7190C">
        <w:rPr>
          <w:sz w:val="20"/>
          <w:szCs w:val="22"/>
          <w:lang w:val="sr-Latn-ME"/>
        </w:rPr>
        <w:t>*Веома ријетки случајеви дуготрајних (у трајању од више мјесеци или година), онеспособљавајућих и потенцијално иреверзибилних озбилних нежељених реакција, које погађају различите, понекад и вишеструке системе органа и чула (укључујући реакције као што су тендинитис, руптура тетиве, артралгија, бол у екстремитетима, поремећај хода, неутропатија повезана са парестезијом</w:t>
      </w:r>
      <w:r w:rsidR="00867ADD" w:rsidRPr="00D7190C">
        <w:rPr>
          <w:sz w:val="20"/>
          <w:szCs w:val="22"/>
          <w:lang w:val="sr-Latn-ME"/>
        </w:rPr>
        <w:t xml:space="preserve"> </w:t>
      </w:r>
      <w:r w:rsidR="005C0D7B" w:rsidRPr="00D7190C">
        <w:rPr>
          <w:sz w:val="20"/>
          <w:szCs w:val="22"/>
          <w:lang w:val="sr-Latn-ME"/>
        </w:rPr>
        <w:t xml:space="preserve"> и неуралгија</w:t>
      </w:r>
      <w:r w:rsidRPr="00D7190C">
        <w:rPr>
          <w:sz w:val="20"/>
          <w:szCs w:val="22"/>
          <w:lang w:val="sr-Latn-ME"/>
        </w:rPr>
        <w:t xml:space="preserve">, умор, </w:t>
      </w:r>
      <w:r w:rsidR="005C0D7B" w:rsidRPr="00D7190C">
        <w:rPr>
          <w:sz w:val="20"/>
          <w:szCs w:val="22"/>
          <w:lang w:val="sr-Latn-ME"/>
        </w:rPr>
        <w:t xml:space="preserve"> психијатријски симптоми</w:t>
      </w:r>
      <w:r w:rsidR="00867ADD" w:rsidRPr="00D7190C">
        <w:rPr>
          <w:sz w:val="20"/>
          <w:szCs w:val="22"/>
          <w:lang w:val="sr-Latn-ME"/>
        </w:rPr>
        <w:t xml:space="preserve"> (</w:t>
      </w:r>
      <w:r w:rsidR="005B30E4" w:rsidRPr="00D7190C">
        <w:rPr>
          <w:sz w:val="20"/>
          <w:szCs w:val="22"/>
          <w:lang w:val="sr-Latn-ME"/>
        </w:rPr>
        <w:t>укључујући</w:t>
      </w:r>
      <w:r w:rsidR="00843756" w:rsidRPr="00D7190C">
        <w:rPr>
          <w:sz w:val="20"/>
          <w:szCs w:val="22"/>
          <w:lang w:val="sr-Cyrl-ME"/>
        </w:rPr>
        <w:t xml:space="preserve"> </w:t>
      </w:r>
      <w:r w:rsidR="005B30E4" w:rsidRPr="00D7190C">
        <w:rPr>
          <w:sz w:val="20"/>
          <w:szCs w:val="22"/>
          <w:lang w:val="sr-Latn-ME"/>
        </w:rPr>
        <w:t>поремећај</w:t>
      </w:r>
      <w:r w:rsidR="00C564CE" w:rsidRPr="00D7190C">
        <w:rPr>
          <w:sz w:val="20"/>
          <w:szCs w:val="22"/>
          <w:lang w:val="sr-Latn-ME"/>
        </w:rPr>
        <w:t>е</w:t>
      </w:r>
      <w:r w:rsidR="005B30E4" w:rsidRPr="00D7190C">
        <w:rPr>
          <w:sz w:val="20"/>
          <w:szCs w:val="22"/>
          <w:lang w:val="sr-Latn-ME"/>
        </w:rPr>
        <w:t xml:space="preserve"> спавања, анксиозност, нападе панике, депресију и самоубилачке мисли</w:t>
      </w:r>
      <w:r w:rsidR="00867ADD" w:rsidRPr="00D7190C">
        <w:rPr>
          <w:sz w:val="20"/>
          <w:szCs w:val="22"/>
          <w:lang w:val="sr-Latn-ME"/>
        </w:rPr>
        <w:t xml:space="preserve">), </w:t>
      </w:r>
      <w:r w:rsidRPr="00D7190C">
        <w:rPr>
          <w:sz w:val="20"/>
          <w:szCs w:val="22"/>
          <w:lang w:val="sr-Latn-ME"/>
        </w:rPr>
        <w:t>поремећај меморије</w:t>
      </w:r>
      <w:r w:rsidR="005C0D7B" w:rsidRPr="00D7190C">
        <w:rPr>
          <w:sz w:val="20"/>
          <w:szCs w:val="22"/>
          <w:lang w:val="sr-Latn-ME"/>
        </w:rPr>
        <w:t xml:space="preserve"> и концентрације</w:t>
      </w:r>
      <w:r w:rsidRPr="00D7190C">
        <w:rPr>
          <w:sz w:val="20"/>
          <w:szCs w:val="22"/>
          <w:lang w:val="sr-Latn-ME"/>
        </w:rPr>
        <w:t>, као и оштећење вида, слуха, чула мириса и укуса), пријављени су код пацијената који су примали хинолоне и флуорохинолоне, у неким случајевима независно од већ постојећих фактора ризика (погледати дио 4.4).</w:t>
      </w:r>
    </w:p>
    <w:p w14:paraId="15C216C7" w14:textId="33486A7A" w:rsidR="00F969F2" w:rsidRPr="00D7190C" w:rsidRDefault="00C06689" w:rsidP="00E34696">
      <w:pPr>
        <w:widowControl w:val="0"/>
        <w:tabs>
          <w:tab w:val="left" w:pos="284"/>
        </w:tabs>
        <w:jc w:val="both"/>
        <w:rPr>
          <w:sz w:val="20"/>
          <w:szCs w:val="22"/>
          <w:lang w:val="sr-Latn-ME"/>
        </w:rPr>
      </w:pPr>
      <w:r w:rsidRPr="00D7190C">
        <w:rPr>
          <w:sz w:val="20"/>
          <w:szCs w:val="22"/>
          <w:lang w:val="sr-Latn-ME"/>
        </w:rPr>
        <w:t>**Случајеви анеуризме и дисекције аорте, понекад са руптуром као компликацијом (укључујући оне са смртним исходом) и регургитације/инсуфицијенције било којих срчаних залистака пријављени су код пацијената који примају флуоро</w:t>
      </w:r>
      <w:r w:rsidR="00100971" w:rsidRPr="00D7190C">
        <w:rPr>
          <w:sz w:val="20"/>
          <w:szCs w:val="22"/>
          <w:lang w:val="sr-Latn-ME"/>
        </w:rPr>
        <w:t>х</w:t>
      </w:r>
      <w:r w:rsidRPr="00D7190C">
        <w:rPr>
          <w:sz w:val="20"/>
          <w:szCs w:val="22"/>
          <w:lang w:val="sr-Latn-ME"/>
        </w:rPr>
        <w:t>инолоне (погледати дио 4.4).</w:t>
      </w:r>
    </w:p>
    <w:p w14:paraId="51F09CA5" w14:textId="77777777" w:rsidR="00C06689" w:rsidRPr="00E34696" w:rsidRDefault="00C06689" w:rsidP="00E34696">
      <w:pPr>
        <w:widowControl w:val="0"/>
        <w:tabs>
          <w:tab w:val="left" w:pos="284"/>
        </w:tabs>
        <w:jc w:val="both"/>
        <w:rPr>
          <w:rFonts w:eastAsia="Calibri"/>
          <w:sz w:val="22"/>
          <w:szCs w:val="22"/>
          <w:u w:val="single"/>
          <w:lang w:val="sr-Latn-ME"/>
        </w:rPr>
      </w:pPr>
    </w:p>
    <w:p w14:paraId="16B6434E" w14:textId="77777777" w:rsidR="00C06689" w:rsidRPr="00E34696" w:rsidRDefault="00C06689" w:rsidP="00E34696">
      <w:pPr>
        <w:widowControl w:val="0"/>
        <w:tabs>
          <w:tab w:val="center" w:pos="4320"/>
          <w:tab w:val="right" w:pos="8640"/>
        </w:tabs>
        <w:jc w:val="both"/>
        <w:rPr>
          <w:bCs/>
          <w:sz w:val="22"/>
          <w:szCs w:val="22"/>
          <w:u w:val="single"/>
          <w:lang w:val="sr-Latn-ME"/>
        </w:rPr>
      </w:pPr>
      <w:r w:rsidRPr="00E34696">
        <w:rPr>
          <w:bCs/>
          <w:sz w:val="22"/>
          <w:szCs w:val="22"/>
          <w:u w:val="single"/>
          <w:lang w:val="sr-Latn-ME"/>
        </w:rPr>
        <w:t>Пријављивање сумњи на нежељена дејства</w:t>
      </w:r>
    </w:p>
    <w:p w14:paraId="6940C73F" w14:textId="77777777" w:rsidR="00C06689" w:rsidRPr="00E34696" w:rsidRDefault="00C06689" w:rsidP="00E34696">
      <w:pPr>
        <w:widowControl w:val="0"/>
        <w:tabs>
          <w:tab w:val="center" w:pos="4320"/>
          <w:tab w:val="right" w:pos="8640"/>
        </w:tabs>
        <w:jc w:val="both"/>
        <w:rPr>
          <w:bCs/>
          <w:sz w:val="22"/>
          <w:szCs w:val="22"/>
          <w:lang w:val="sr-Latn-ME"/>
        </w:rPr>
      </w:pPr>
      <w:r w:rsidRPr="00E34696">
        <w:rPr>
          <w:bCs/>
          <w:sz w:val="22"/>
          <w:szCs w:val="22"/>
          <w:lang w:val="sr-Latn-ME"/>
        </w:rPr>
        <w:t>Пријављивање нежељених дејстава након добијања дозволе је од великог значаја јер обезбјеђује континуирано праћење односа корист/ризик примјене лијека. Здравствени радници треба да пријаве сваку сумњу на нежељено дејство овог лијека Институту за љекове и медицинска средства (</w:t>
      </w:r>
      <w:r w:rsidRPr="00E34696">
        <w:rPr>
          <w:sz w:val="22"/>
          <w:szCs w:val="22"/>
          <w:lang w:val="sr-Latn-ME"/>
        </w:rPr>
        <w:t>CInMED</w:t>
      </w:r>
      <w:r w:rsidRPr="00E34696">
        <w:rPr>
          <w:bCs/>
          <w:sz w:val="22"/>
          <w:szCs w:val="22"/>
          <w:lang w:val="sr-Latn-ME"/>
        </w:rPr>
        <w:t>):</w:t>
      </w:r>
    </w:p>
    <w:p w14:paraId="7528B9C3" w14:textId="77777777" w:rsidR="00F969F2" w:rsidRPr="00E34696" w:rsidRDefault="00F969F2" w:rsidP="00E34696">
      <w:pPr>
        <w:widowControl w:val="0"/>
        <w:tabs>
          <w:tab w:val="center" w:pos="4320"/>
          <w:tab w:val="right" w:pos="8640"/>
        </w:tabs>
        <w:jc w:val="both"/>
        <w:rPr>
          <w:bCs/>
          <w:sz w:val="22"/>
          <w:szCs w:val="22"/>
          <w:lang w:val="sr-Latn-ME"/>
        </w:rPr>
      </w:pPr>
    </w:p>
    <w:p w14:paraId="366B740A" w14:textId="77777777" w:rsidR="00F969F2" w:rsidRPr="00E34696" w:rsidRDefault="00C06689" w:rsidP="00E34696">
      <w:pPr>
        <w:widowControl w:val="0"/>
        <w:tabs>
          <w:tab w:val="center" w:pos="4320"/>
          <w:tab w:val="right" w:pos="8640"/>
        </w:tabs>
        <w:jc w:val="both"/>
        <w:rPr>
          <w:bCs/>
          <w:sz w:val="22"/>
          <w:szCs w:val="22"/>
          <w:lang w:val="sr-Latn-ME"/>
        </w:rPr>
      </w:pPr>
      <w:r w:rsidRPr="00E34696">
        <w:rPr>
          <w:bCs/>
          <w:sz w:val="22"/>
          <w:szCs w:val="22"/>
          <w:lang w:val="sr-Latn-ME"/>
        </w:rPr>
        <w:t xml:space="preserve">Институт за љекове и медицинска средства </w:t>
      </w:r>
    </w:p>
    <w:p w14:paraId="534F6365" w14:textId="77777777" w:rsidR="00C06689" w:rsidRPr="00E34696" w:rsidRDefault="00C06689" w:rsidP="00E34696">
      <w:pPr>
        <w:widowControl w:val="0"/>
        <w:tabs>
          <w:tab w:val="center" w:pos="4320"/>
          <w:tab w:val="right" w:pos="8640"/>
        </w:tabs>
        <w:jc w:val="both"/>
        <w:rPr>
          <w:bCs/>
          <w:sz w:val="22"/>
          <w:szCs w:val="22"/>
          <w:lang w:val="sr-Latn-ME"/>
        </w:rPr>
      </w:pPr>
      <w:r w:rsidRPr="00E34696">
        <w:rPr>
          <w:bCs/>
          <w:sz w:val="22"/>
          <w:szCs w:val="22"/>
          <w:lang w:val="sr-Latn-ME"/>
        </w:rPr>
        <w:t>Одјељење за фармаковигиланцу</w:t>
      </w:r>
    </w:p>
    <w:p w14:paraId="27A509A3" w14:textId="77777777" w:rsidR="00C06689" w:rsidRPr="00E34696" w:rsidRDefault="00C06689" w:rsidP="00E34696">
      <w:pPr>
        <w:widowControl w:val="0"/>
        <w:tabs>
          <w:tab w:val="center" w:pos="4320"/>
          <w:tab w:val="right" w:pos="8640"/>
        </w:tabs>
        <w:jc w:val="both"/>
        <w:rPr>
          <w:bCs/>
          <w:sz w:val="22"/>
          <w:szCs w:val="22"/>
          <w:lang w:val="sr-Latn-ME"/>
        </w:rPr>
      </w:pPr>
      <w:r w:rsidRPr="00E34696">
        <w:rPr>
          <w:bCs/>
          <w:sz w:val="22"/>
          <w:szCs w:val="22"/>
          <w:lang w:val="sr-Latn-ME"/>
        </w:rPr>
        <w:t>Булевар Ивана Црнојевића 64а, 81000 Подгорица</w:t>
      </w:r>
    </w:p>
    <w:p w14:paraId="016F73EE" w14:textId="77777777" w:rsidR="00C06689" w:rsidRPr="00E34696" w:rsidRDefault="00C06689" w:rsidP="00E34696">
      <w:pPr>
        <w:widowControl w:val="0"/>
        <w:tabs>
          <w:tab w:val="center" w:pos="4320"/>
          <w:tab w:val="right" w:pos="8640"/>
        </w:tabs>
        <w:jc w:val="both"/>
        <w:rPr>
          <w:bCs/>
          <w:sz w:val="22"/>
          <w:szCs w:val="22"/>
          <w:lang w:val="sr-Latn-ME"/>
        </w:rPr>
      </w:pPr>
    </w:p>
    <w:p w14:paraId="2BBF3067" w14:textId="77777777" w:rsidR="00C06689" w:rsidRPr="00E34696" w:rsidRDefault="00C06689" w:rsidP="00E34696">
      <w:pPr>
        <w:widowControl w:val="0"/>
        <w:tabs>
          <w:tab w:val="center" w:pos="4320"/>
          <w:tab w:val="right" w:pos="8640"/>
        </w:tabs>
        <w:jc w:val="both"/>
        <w:rPr>
          <w:bCs/>
          <w:sz w:val="22"/>
          <w:szCs w:val="22"/>
          <w:lang w:val="sr-Latn-ME"/>
        </w:rPr>
      </w:pPr>
      <w:r w:rsidRPr="00E34696">
        <w:rPr>
          <w:bCs/>
          <w:sz w:val="22"/>
          <w:szCs w:val="22"/>
          <w:lang w:val="sr-Latn-ME"/>
        </w:rPr>
        <w:t>тел: +382 (0) 20 310 280</w:t>
      </w:r>
    </w:p>
    <w:p w14:paraId="60B0A912" w14:textId="77777777" w:rsidR="00C06689" w:rsidRPr="00E34696" w:rsidRDefault="00C06689" w:rsidP="00E34696">
      <w:pPr>
        <w:widowControl w:val="0"/>
        <w:tabs>
          <w:tab w:val="left" w:pos="284"/>
          <w:tab w:val="center" w:pos="4320"/>
          <w:tab w:val="right" w:pos="8640"/>
        </w:tabs>
        <w:jc w:val="both"/>
        <w:rPr>
          <w:bCs/>
          <w:sz w:val="22"/>
          <w:szCs w:val="22"/>
          <w:lang w:val="sr-Latn-ME"/>
        </w:rPr>
      </w:pPr>
      <w:r w:rsidRPr="00E34696">
        <w:rPr>
          <w:bCs/>
          <w:sz w:val="22"/>
          <w:szCs w:val="22"/>
          <w:lang w:val="sr-Latn-ME"/>
        </w:rPr>
        <w:t>факс:+382 (0) 20 310 581</w:t>
      </w:r>
    </w:p>
    <w:p w14:paraId="74531215" w14:textId="77777777" w:rsidR="00F969F2" w:rsidRPr="00E34696" w:rsidRDefault="005D6DA0" w:rsidP="00E34696">
      <w:pPr>
        <w:widowControl w:val="0"/>
        <w:tabs>
          <w:tab w:val="left" w:pos="284"/>
          <w:tab w:val="center" w:pos="4320"/>
          <w:tab w:val="right" w:pos="8640"/>
        </w:tabs>
        <w:jc w:val="both"/>
        <w:rPr>
          <w:bCs/>
          <w:sz w:val="22"/>
          <w:szCs w:val="22"/>
          <w:lang w:val="sr-Latn-ME"/>
        </w:rPr>
      </w:pPr>
      <w:hyperlink r:id="rId11" w:history="1">
        <w:r w:rsidR="00F969F2" w:rsidRPr="00E34696">
          <w:rPr>
            <w:rStyle w:val="Hyperlink"/>
            <w:bCs/>
            <w:sz w:val="22"/>
            <w:szCs w:val="22"/>
            <w:lang w:val="sr-Latn-ME"/>
          </w:rPr>
          <w:t>www.cinmed.me</w:t>
        </w:r>
      </w:hyperlink>
    </w:p>
    <w:p w14:paraId="31E99F6C" w14:textId="77777777" w:rsidR="00C06689" w:rsidRPr="00E34696" w:rsidRDefault="005D6DA0" w:rsidP="00E34696">
      <w:pPr>
        <w:widowControl w:val="0"/>
        <w:tabs>
          <w:tab w:val="left" w:pos="284"/>
          <w:tab w:val="center" w:pos="4320"/>
          <w:tab w:val="right" w:pos="8640"/>
        </w:tabs>
        <w:jc w:val="both"/>
        <w:rPr>
          <w:bCs/>
          <w:sz w:val="22"/>
          <w:szCs w:val="22"/>
          <w:lang w:val="sr-Latn-ME"/>
        </w:rPr>
      </w:pPr>
      <w:hyperlink r:id="rId12" w:history="1">
        <w:r w:rsidR="00C06689" w:rsidRPr="00E34696">
          <w:rPr>
            <w:rStyle w:val="Hyperlink"/>
            <w:bCs/>
            <w:sz w:val="22"/>
            <w:szCs w:val="22"/>
            <w:lang w:val="sr-Latn-ME"/>
          </w:rPr>
          <w:t>nezeljenadejstva@cinmed.me</w:t>
        </w:r>
      </w:hyperlink>
    </w:p>
    <w:p w14:paraId="0FCE460F" w14:textId="3CCEEDED" w:rsidR="00C06689" w:rsidRPr="00E34696" w:rsidRDefault="00C06689" w:rsidP="00E34696">
      <w:pPr>
        <w:widowControl w:val="0"/>
        <w:tabs>
          <w:tab w:val="left" w:pos="284"/>
          <w:tab w:val="center" w:pos="4320"/>
          <w:tab w:val="right" w:pos="8640"/>
        </w:tabs>
        <w:jc w:val="both"/>
        <w:rPr>
          <w:bCs/>
          <w:sz w:val="22"/>
          <w:szCs w:val="22"/>
          <w:lang w:val="sr-Latn-ME"/>
        </w:rPr>
      </w:pPr>
      <w:r w:rsidRPr="00E34696">
        <w:rPr>
          <w:bCs/>
          <w:sz w:val="22"/>
          <w:szCs w:val="22"/>
          <w:lang w:val="sr-Latn-ME"/>
        </w:rPr>
        <w:t>путем ИС здравствене заштите</w:t>
      </w:r>
    </w:p>
    <w:p w14:paraId="7762765A" w14:textId="77777777" w:rsidR="00C06689" w:rsidRPr="00E34696" w:rsidRDefault="00C06689" w:rsidP="00E34696">
      <w:pPr>
        <w:widowControl w:val="0"/>
        <w:tabs>
          <w:tab w:val="left" w:pos="284"/>
          <w:tab w:val="center" w:pos="4320"/>
          <w:tab w:val="right" w:pos="8640"/>
        </w:tabs>
        <w:jc w:val="both"/>
        <w:rPr>
          <w:sz w:val="22"/>
          <w:szCs w:val="22"/>
          <w:lang w:val="sr-Latn-ME"/>
        </w:rPr>
      </w:pPr>
      <w:r w:rsidRPr="00E34696">
        <w:rPr>
          <w:sz w:val="22"/>
          <w:szCs w:val="22"/>
          <w:lang w:val="sr-Latn-ME"/>
        </w:rPr>
        <w:t>QR код за online пријаву сумње на нежељено дејство лијека:</w:t>
      </w:r>
    </w:p>
    <w:p w14:paraId="176350C9" w14:textId="77777777" w:rsidR="00C06689" w:rsidRPr="00E34696" w:rsidRDefault="00C06689" w:rsidP="00E34696">
      <w:pPr>
        <w:widowControl w:val="0"/>
        <w:jc w:val="both"/>
        <w:rPr>
          <w:sz w:val="22"/>
          <w:szCs w:val="22"/>
          <w:lang w:val="sr-Latn-ME"/>
        </w:rPr>
      </w:pPr>
    </w:p>
    <w:p w14:paraId="607566B8" w14:textId="0CE7A34A" w:rsidR="00C06689" w:rsidRPr="00E34696" w:rsidRDefault="00FF3E04" w:rsidP="00E34696">
      <w:pPr>
        <w:widowControl w:val="0"/>
        <w:tabs>
          <w:tab w:val="left" w:pos="284"/>
          <w:tab w:val="center" w:pos="4320"/>
          <w:tab w:val="right" w:pos="8640"/>
        </w:tabs>
        <w:jc w:val="both"/>
        <w:rPr>
          <w:bCs/>
          <w:sz w:val="22"/>
          <w:szCs w:val="22"/>
          <w:lang w:val="sr-Latn-ME"/>
        </w:rPr>
      </w:pPr>
      <w:r w:rsidRPr="00E34696">
        <w:rPr>
          <w:noProof/>
          <w:lang w:val="sr-Latn-ME" w:eastAsia="sr-Latn-ME"/>
        </w:rPr>
        <w:lastRenderedPageBreak/>
        <w:drawing>
          <wp:inline distT="0" distB="0" distL="0" distR="0" wp14:anchorId="54928F9B" wp14:editId="2ECBEC83">
            <wp:extent cx="981075" cy="971550"/>
            <wp:effectExtent l="0" t="0" r="9525" b="0"/>
            <wp:docPr id="1979899193" name="Picture 1" descr="A qr code on a white background&#10;&#10;Description automatically generated">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899193" name="Picture 1" descr="A qr code on a white background&#10;&#10;Description automatically generated">
                      <a:hlinkClick r:id="rId13"/>
                    </pic:cNvPr>
                    <pic:cNvPicPr>
                      <a:picLocks noChangeAspect="1"/>
                    </pic:cNvPicPr>
                  </pic:nvPicPr>
                  <pic:blipFill>
                    <a:blip r:embed="rId14" cstate="print">
                      <a:extLst>
                        <a:ext uri="{28A0092B-C50C-407E-A947-70E740481C1C}">
                          <a14:useLocalDpi xmlns:a14="http://schemas.microsoft.com/office/drawing/2010/main" val="0"/>
                        </a:ext>
                      </a:extLst>
                    </a:blip>
                    <a:srcRect l="10118" t="9756" r="9299" b="10384"/>
                    <a:stretch>
                      <a:fillRect/>
                    </a:stretch>
                  </pic:blipFill>
                  <pic:spPr bwMode="auto">
                    <a:xfrm>
                      <a:off x="0" y="0"/>
                      <a:ext cx="981075" cy="971550"/>
                    </a:xfrm>
                    <a:prstGeom prst="rect">
                      <a:avLst/>
                    </a:prstGeom>
                    <a:noFill/>
                    <a:ln>
                      <a:noFill/>
                    </a:ln>
                  </pic:spPr>
                </pic:pic>
              </a:graphicData>
            </a:graphic>
          </wp:inline>
        </w:drawing>
      </w:r>
    </w:p>
    <w:p w14:paraId="2D6FF43F" w14:textId="77777777" w:rsidR="00415698" w:rsidRPr="00E34696" w:rsidRDefault="00415698" w:rsidP="00E34696">
      <w:pPr>
        <w:widowControl w:val="0"/>
        <w:tabs>
          <w:tab w:val="left" w:pos="284"/>
          <w:tab w:val="center" w:pos="4320"/>
          <w:tab w:val="right" w:pos="8640"/>
        </w:tabs>
        <w:jc w:val="both"/>
        <w:rPr>
          <w:bCs/>
          <w:sz w:val="22"/>
          <w:szCs w:val="22"/>
          <w:lang w:val="sr-Latn-ME"/>
        </w:rPr>
      </w:pPr>
    </w:p>
    <w:p w14:paraId="12F27BA9" w14:textId="77777777" w:rsidR="00C06689" w:rsidRPr="00E34696" w:rsidRDefault="00C06689" w:rsidP="00E34696">
      <w:pPr>
        <w:pStyle w:val="Header"/>
        <w:widowControl w:val="0"/>
        <w:tabs>
          <w:tab w:val="left" w:pos="284"/>
        </w:tabs>
        <w:jc w:val="both"/>
        <w:rPr>
          <w:b/>
          <w:bCs/>
          <w:sz w:val="22"/>
          <w:szCs w:val="22"/>
          <w:lang w:val="sr-Latn-ME"/>
        </w:rPr>
      </w:pPr>
      <w:r w:rsidRPr="00E34696">
        <w:rPr>
          <w:b/>
          <w:bCs/>
          <w:sz w:val="22"/>
          <w:szCs w:val="22"/>
          <w:lang w:val="sr-Latn-ME"/>
        </w:rPr>
        <w:t>4.9. Предозирање</w:t>
      </w:r>
    </w:p>
    <w:p w14:paraId="7B7EBB90" w14:textId="77777777" w:rsidR="00C06689" w:rsidRPr="00E34696" w:rsidRDefault="00C06689" w:rsidP="00E34696">
      <w:pPr>
        <w:widowControl w:val="0"/>
        <w:tabs>
          <w:tab w:val="left" w:pos="284"/>
        </w:tabs>
        <w:jc w:val="both"/>
        <w:rPr>
          <w:sz w:val="22"/>
          <w:szCs w:val="22"/>
          <w:lang w:val="sr-Latn-ME"/>
        </w:rPr>
      </w:pPr>
    </w:p>
    <w:p w14:paraId="47EE73DB"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Према испитивањима токсичности на животињама или клиничким фармаколошким студијама са супратерапијским дозама, најважнији знаци који се могу очекивати након акутног предозирања лијеком Fovelid су поремећаји централног нервног система попут конфузије, вртоглавице, поремећај свијести и конвулзија, продужење QТ интервала, као и гастроинтестиналне реакције као што су наузеја и мукозне ерозије.</w:t>
      </w:r>
    </w:p>
    <w:p w14:paraId="21DF6BCE" w14:textId="77777777" w:rsidR="00C06689" w:rsidRPr="00E34696" w:rsidRDefault="00C06689" w:rsidP="00E34696">
      <w:pPr>
        <w:widowControl w:val="0"/>
        <w:tabs>
          <w:tab w:val="left" w:pos="284"/>
        </w:tabs>
        <w:jc w:val="both"/>
        <w:rPr>
          <w:sz w:val="22"/>
          <w:szCs w:val="22"/>
          <w:lang w:val="sr-Latn-ME"/>
        </w:rPr>
      </w:pPr>
    </w:p>
    <w:p w14:paraId="1337901C" w14:textId="56845E3F" w:rsidR="00C06689" w:rsidRPr="00E34696" w:rsidRDefault="00C06689" w:rsidP="00E34696">
      <w:pPr>
        <w:widowControl w:val="0"/>
        <w:tabs>
          <w:tab w:val="left" w:pos="284"/>
        </w:tabs>
        <w:jc w:val="both"/>
        <w:rPr>
          <w:sz w:val="22"/>
          <w:szCs w:val="22"/>
          <w:lang w:val="sr-Latn-ME"/>
        </w:rPr>
      </w:pPr>
      <w:r w:rsidRPr="00E34696">
        <w:rPr>
          <w:sz w:val="22"/>
          <w:szCs w:val="22"/>
          <w:lang w:val="sr-Latn-ME"/>
        </w:rPr>
        <w:t xml:space="preserve">ЦНС ефекти, у које спадају конфузно стање, конвулзије, </w:t>
      </w:r>
      <w:r w:rsidR="00867ADD" w:rsidRPr="00E34696">
        <w:rPr>
          <w:sz w:val="22"/>
          <w:szCs w:val="22"/>
          <w:lang w:val="sr-Latn-ME"/>
        </w:rPr>
        <w:t xml:space="preserve">миоклонус, </w:t>
      </w:r>
      <w:r w:rsidRPr="00E34696">
        <w:rPr>
          <w:sz w:val="22"/>
          <w:szCs w:val="22"/>
          <w:lang w:val="sr-Latn-ME"/>
        </w:rPr>
        <w:t>халуцинације и тремор, су забиљежене током постмаркетиншког праћења.</w:t>
      </w:r>
    </w:p>
    <w:p w14:paraId="55A04695" w14:textId="77777777" w:rsidR="00C06689" w:rsidRPr="00E34696" w:rsidRDefault="00C06689" w:rsidP="00E34696">
      <w:pPr>
        <w:widowControl w:val="0"/>
        <w:tabs>
          <w:tab w:val="left" w:pos="284"/>
        </w:tabs>
        <w:jc w:val="both"/>
        <w:rPr>
          <w:sz w:val="22"/>
          <w:szCs w:val="22"/>
          <w:lang w:val="sr-Latn-ME"/>
        </w:rPr>
      </w:pPr>
    </w:p>
    <w:p w14:paraId="03E27E6B" w14:textId="77777777" w:rsidR="002640F3" w:rsidRPr="00E34696" w:rsidRDefault="00C06689" w:rsidP="00E34696">
      <w:pPr>
        <w:widowControl w:val="0"/>
        <w:tabs>
          <w:tab w:val="left" w:pos="284"/>
        </w:tabs>
        <w:jc w:val="both"/>
        <w:rPr>
          <w:sz w:val="22"/>
          <w:szCs w:val="22"/>
          <w:lang w:val="sr-Latn-ME"/>
        </w:rPr>
      </w:pPr>
      <w:r w:rsidRPr="00E34696">
        <w:rPr>
          <w:sz w:val="22"/>
          <w:szCs w:val="22"/>
          <w:lang w:val="sr-Latn-ME"/>
        </w:rPr>
        <w:t xml:space="preserve">У случају предозирања треба започети симптоматско лијечење. Потребно је урадити ЕКГ због могућег продужења QТ интервала. Антациди се могу примјењивати ради заштите слузокоже желуца. </w:t>
      </w:r>
    </w:p>
    <w:p w14:paraId="00C095C1" w14:textId="1F7919E1" w:rsidR="00C06689" w:rsidRPr="00E34696" w:rsidRDefault="00C06689" w:rsidP="00E34696">
      <w:pPr>
        <w:widowControl w:val="0"/>
        <w:tabs>
          <w:tab w:val="left" w:pos="284"/>
        </w:tabs>
        <w:jc w:val="both"/>
        <w:rPr>
          <w:sz w:val="22"/>
          <w:szCs w:val="22"/>
          <w:lang w:val="sr-Latn-ME"/>
        </w:rPr>
      </w:pPr>
      <w:r w:rsidRPr="00E34696">
        <w:rPr>
          <w:sz w:val="22"/>
          <w:szCs w:val="22"/>
          <w:lang w:val="sr-Latn-ME"/>
        </w:rPr>
        <w:t>Хемодијализа, укључујући перитонеалну дијализу и континуирану амбулантну перитонеалну дијализу (CAPD), није еф</w:t>
      </w:r>
      <w:r w:rsidR="006834EB" w:rsidRPr="00E34696">
        <w:rPr>
          <w:sz w:val="22"/>
          <w:szCs w:val="22"/>
          <w:lang w:val="sr-Latn-ME"/>
        </w:rPr>
        <w:t>икасна</w:t>
      </w:r>
      <w:r w:rsidRPr="00E34696">
        <w:rPr>
          <w:sz w:val="22"/>
          <w:szCs w:val="22"/>
          <w:lang w:val="sr-Latn-ME"/>
        </w:rPr>
        <w:t xml:space="preserve"> у уклањању левофлоксацина из организма. Нема специфичног антидота.</w:t>
      </w:r>
    </w:p>
    <w:p w14:paraId="773DB57F" w14:textId="77777777" w:rsidR="00CD6F02" w:rsidRPr="00E34696" w:rsidRDefault="00CD6F02" w:rsidP="00E34696">
      <w:pPr>
        <w:widowControl w:val="0"/>
        <w:tabs>
          <w:tab w:val="left" w:pos="540"/>
          <w:tab w:val="left" w:pos="569"/>
        </w:tabs>
        <w:jc w:val="both"/>
        <w:rPr>
          <w:b/>
          <w:bCs/>
          <w:sz w:val="22"/>
          <w:szCs w:val="22"/>
          <w:lang w:val="sr-Latn-ME"/>
        </w:rPr>
      </w:pPr>
    </w:p>
    <w:p w14:paraId="1568C5AC" w14:textId="77777777" w:rsidR="00227BDB" w:rsidRPr="00E34696" w:rsidRDefault="00227BDB" w:rsidP="00E34696">
      <w:pPr>
        <w:widowControl w:val="0"/>
        <w:tabs>
          <w:tab w:val="left" w:pos="540"/>
          <w:tab w:val="left" w:pos="569"/>
        </w:tabs>
        <w:jc w:val="both"/>
        <w:rPr>
          <w:b/>
          <w:bCs/>
          <w:sz w:val="22"/>
          <w:szCs w:val="22"/>
          <w:lang w:val="sr-Latn-ME"/>
        </w:rPr>
      </w:pPr>
    </w:p>
    <w:p w14:paraId="6F741227" w14:textId="77777777" w:rsidR="00C06689" w:rsidRPr="00E34696" w:rsidRDefault="00C06689" w:rsidP="00E34696">
      <w:pPr>
        <w:pStyle w:val="Header"/>
        <w:widowControl w:val="0"/>
        <w:tabs>
          <w:tab w:val="left" w:pos="284"/>
        </w:tabs>
        <w:jc w:val="both"/>
        <w:rPr>
          <w:b/>
          <w:bCs/>
          <w:sz w:val="22"/>
          <w:szCs w:val="22"/>
          <w:lang w:val="sr-Latn-ME"/>
        </w:rPr>
      </w:pPr>
      <w:r w:rsidRPr="00E34696">
        <w:rPr>
          <w:b/>
          <w:bCs/>
          <w:sz w:val="22"/>
          <w:szCs w:val="22"/>
          <w:lang w:val="sr-Latn-ME"/>
        </w:rPr>
        <w:t>5. ФАРМАКОЛОШКИ ПОДАЦИ</w:t>
      </w:r>
    </w:p>
    <w:p w14:paraId="52E9449F" w14:textId="77777777" w:rsidR="0072020E" w:rsidRPr="00E34696" w:rsidRDefault="0072020E" w:rsidP="00E34696">
      <w:pPr>
        <w:widowControl w:val="0"/>
        <w:tabs>
          <w:tab w:val="left" w:pos="540"/>
          <w:tab w:val="left" w:pos="569"/>
        </w:tabs>
        <w:jc w:val="both"/>
        <w:rPr>
          <w:b/>
          <w:bCs/>
          <w:sz w:val="22"/>
          <w:szCs w:val="22"/>
          <w:lang w:val="sr-Latn-ME"/>
        </w:rPr>
      </w:pPr>
    </w:p>
    <w:p w14:paraId="59FA7BAD" w14:textId="77777777" w:rsidR="00F45F77" w:rsidRPr="00E34696" w:rsidRDefault="00C06689" w:rsidP="00E34696">
      <w:pPr>
        <w:widowControl w:val="0"/>
        <w:tabs>
          <w:tab w:val="left" w:pos="540"/>
          <w:tab w:val="left" w:pos="569"/>
        </w:tabs>
        <w:jc w:val="both"/>
        <w:rPr>
          <w:b/>
          <w:bCs/>
          <w:sz w:val="22"/>
          <w:szCs w:val="22"/>
          <w:lang w:val="sr-Latn-ME"/>
        </w:rPr>
      </w:pPr>
      <w:r w:rsidRPr="00E34696">
        <w:rPr>
          <w:b/>
          <w:bCs/>
          <w:sz w:val="22"/>
          <w:szCs w:val="22"/>
          <w:lang w:val="sr-Latn-ME"/>
        </w:rPr>
        <w:t>5.1. Фармакодинамски подаци</w:t>
      </w:r>
    </w:p>
    <w:p w14:paraId="7967759C" w14:textId="77777777" w:rsidR="00C06689" w:rsidRPr="00E34696" w:rsidRDefault="00C06689" w:rsidP="00E34696">
      <w:pPr>
        <w:widowControl w:val="0"/>
        <w:tabs>
          <w:tab w:val="left" w:pos="540"/>
          <w:tab w:val="left" w:pos="569"/>
        </w:tabs>
        <w:jc w:val="both"/>
        <w:rPr>
          <w:b/>
          <w:bCs/>
          <w:sz w:val="22"/>
          <w:szCs w:val="22"/>
          <w:lang w:val="sr-Latn-ME"/>
        </w:rPr>
      </w:pPr>
    </w:p>
    <w:p w14:paraId="1117D2BE" w14:textId="7EDC2147" w:rsidR="00C06689" w:rsidRPr="00E34696" w:rsidRDefault="00C06689" w:rsidP="00E34696">
      <w:pPr>
        <w:widowControl w:val="0"/>
        <w:tabs>
          <w:tab w:val="left" w:pos="284"/>
        </w:tabs>
        <w:jc w:val="both"/>
        <w:rPr>
          <w:sz w:val="22"/>
          <w:szCs w:val="22"/>
          <w:lang w:val="sr-Latn-ME"/>
        </w:rPr>
      </w:pPr>
      <w:r w:rsidRPr="00E34696">
        <w:rPr>
          <w:b/>
          <w:bCs/>
          <w:sz w:val="22"/>
          <w:szCs w:val="22"/>
          <w:lang w:val="sr-Latn-ME"/>
        </w:rPr>
        <w:t xml:space="preserve">Фармакотерапијска група: </w:t>
      </w:r>
      <w:r w:rsidRPr="00E34696">
        <w:rPr>
          <w:sz w:val="22"/>
          <w:szCs w:val="22"/>
          <w:lang w:val="sr-Latn-ME"/>
        </w:rPr>
        <w:t xml:space="preserve">Антибактеријски љекови за системску примјену; </w:t>
      </w:r>
      <w:r w:rsidR="009945B9">
        <w:rPr>
          <w:sz w:val="22"/>
          <w:szCs w:val="22"/>
          <w:lang w:val="sr-Cyrl-BA"/>
        </w:rPr>
        <w:t>х</w:t>
      </w:r>
      <w:r w:rsidRPr="00E34696">
        <w:rPr>
          <w:sz w:val="22"/>
          <w:szCs w:val="22"/>
          <w:lang w:val="sr-Latn-ME"/>
        </w:rPr>
        <w:t xml:space="preserve">инолонски антибактеријски љекови; </w:t>
      </w:r>
      <w:r w:rsidR="009945B9">
        <w:rPr>
          <w:sz w:val="22"/>
          <w:szCs w:val="22"/>
          <w:lang w:val="sr-Cyrl-BA"/>
        </w:rPr>
        <w:t>ф</w:t>
      </w:r>
      <w:r w:rsidRPr="00E34696">
        <w:rPr>
          <w:sz w:val="22"/>
          <w:szCs w:val="22"/>
          <w:lang w:val="sr-Latn-ME"/>
        </w:rPr>
        <w:t>луорохинолони</w:t>
      </w:r>
    </w:p>
    <w:p w14:paraId="623CCAA2" w14:textId="77777777" w:rsidR="00DF5867" w:rsidRPr="00E34696" w:rsidRDefault="00DF5867" w:rsidP="00E34696">
      <w:pPr>
        <w:widowControl w:val="0"/>
        <w:tabs>
          <w:tab w:val="left" w:pos="284"/>
        </w:tabs>
        <w:jc w:val="both"/>
        <w:rPr>
          <w:sz w:val="22"/>
          <w:szCs w:val="22"/>
          <w:lang w:val="sr-Latn-ME"/>
        </w:rPr>
      </w:pPr>
    </w:p>
    <w:p w14:paraId="59FC7A3F" w14:textId="77777777" w:rsidR="00C06689" w:rsidRPr="00E34696" w:rsidRDefault="00C06689" w:rsidP="00E34696">
      <w:pPr>
        <w:widowControl w:val="0"/>
        <w:tabs>
          <w:tab w:val="left" w:pos="284"/>
        </w:tabs>
        <w:jc w:val="both"/>
        <w:rPr>
          <w:sz w:val="22"/>
          <w:szCs w:val="22"/>
          <w:lang w:val="sr-Latn-ME"/>
        </w:rPr>
      </w:pPr>
      <w:r w:rsidRPr="00E34696">
        <w:rPr>
          <w:b/>
          <w:bCs/>
          <w:sz w:val="22"/>
          <w:szCs w:val="22"/>
          <w:lang w:val="sr-Latn-ME"/>
        </w:rPr>
        <w:t xml:space="preserve">АТЦ код: </w:t>
      </w:r>
      <w:r w:rsidRPr="00E34696">
        <w:rPr>
          <w:sz w:val="22"/>
          <w:szCs w:val="22"/>
          <w:lang w:val="sr-Latn-ME"/>
        </w:rPr>
        <w:t>Ј01МА12</w:t>
      </w:r>
    </w:p>
    <w:p w14:paraId="45EA97B5" w14:textId="77777777" w:rsidR="002E37A5" w:rsidRPr="00E34696" w:rsidRDefault="002E37A5" w:rsidP="00E34696">
      <w:pPr>
        <w:widowControl w:val="0"/>
        <w:tabs>
          <w:tab w:val="left" w:pos="540"/>
          <w:tab w:val="left" w:pos="569"/>
        </w:tabs>
        <w:jc w:val="both"/>
        <w:rPr>
          <w:b/>
          <w:bCs/>
          <w:sz w:val="22"/>
          <w:szCs w:val="22"/>
          <w:lang w:val="sr-Latn-ME"/>
        </w:rPr>
      </w:pPr>
    </w:p>
    <w:p w14:paraId="53CAC5E8"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Левофлоксацин је синтетски антибактеријски лијек из групе флуорохинолона и представља S (-) енантиомер рацемске супстанце офлоксацин.</w:t>
      </w:r>
    </w:p>
    <w:p w14:paraId="2517363E" w14:textId="77777777" w:rsidR="00C06689" w:rsidRPr="00E34696" w:rsidRDefault="00C06689" w:rsidP="00E34696">
      <w:pPr>
        <w:widowControl w:val="0"/>
        <w:tabs>
          <w:tab w:val="left" w:pos="284"/>
        </w:tabs>
        <w:jc w:val="both"/>
        <w:rPr>
          <w:sz w:val="22"/>
          <w:szCs w:val="22"/>
          <w:lang w:val="sr-Latn-ME"/>
        </w:rPr>
      </w:pPr>
    </w:p>
    <w:p w14:paraId="06889DA7" w14:textId="77777777" w:rsidR="00C06689" w:rsidRPr="00E34696" w:rsidRDefault="00C06689" w:rsidP="00E34696">
      <w:pPr>
        <w:widowControl w:val="0"/>
        <w:tabs>
          <w:tab w:val="left" w:pos="284"/>
        </w:tabs>
        <w:jc w:val="both"/>
        <w:rPr>
          <w:sz w:val="22"/>
          <w:szCs w:val="22"/>
          <w:u w:val="single"/>
          <w:lang w:val="sr-Latn-ME"/>
        </w:rPr>
      </w:pPr>
      <w:r w:rsidRPr="00E34696">
        <w:rPr>
          <w:sz w:val="22"/>
          <w:szCs w:val="22"/>
          <w:u w:val="single"/>
          <w:lang w:val="sr-Latn-ME"/>
        </w:rPr>
        <w:t>Механизам дејства</w:t>
      </w:r>
    </w:p>
    <w:p w14:paraId="4214BAD4"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 xml:space="preserve">Као флуорохинолонски антибиотик, левофлоксацин дјелује на комплекс ДНК-ДНК гиразе и топоизомеразу IV. </w:t>
      </w:r>
    </w:p>
    <w:p w14:paraId="30502278" w14:textId="77777777" w:rsidR="00C06689" w:rsidRPr="00E34696" w:rsidRDefault="00C06689" w:rsidP="00E34696">
      <w:pPr>
        <w:widowControl w:val="0"/>
        <w:tabs>
          <w:tab w:val="left" w:pos="284"/>
        </w:tabs>
        <w:jc w:val="both"/>
        <w:rPr>
          <w:sz w:val="22"/>
          <w:szCs w:val="22"/>
          <w:lang w:val="sr-Latn-ME"/>
        </w:rPr>
      </w:pPr>
    </w:p>
    <w:p w14:paraId="0D472C10" w14:textId="77777777" w:rsidR="00C06689" w:rsidRPr="00E34696" w:rsidRDefault="00C06689" w:rsidP="00E34696">
      <w:pPr>
        <w:widowControl w:val="0"/>
        <w:tabs>
          <w:tab w:val="left" w:pos="284"/>
        </w:tabs>
        <w:jc w:val="both"/>
        <w:rPr>
          <w:sz w:val="22"/>
          <w:szCs w:val="22"/>
          <w:u w:val="single"/>
          <w:lang w:val="sr-Latn-ME"/>
        </w:rPr>
      </w:pPr>
      <w:r w:rsidRPr="00E34696">
        <w:rPr>
          <w:sz w:val="22"/>
          <w:szCs w:val="22"/>
          <w:u w:val="single"/>
          <w:lang w:val="sr-Latn-ME"/>
        </w:rPr>
        <w:t>Однос фармакокинетике/фармакодинамике</w:t>
      </w:r>
    </w:p>
    <w:p w14:paraId="7E722CD0"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Степен бактерицидне активности левофлоксацина зависи од односа максималне концентрације у серуму (C</w:t>
      </w:r>
      <w:r w:rsidRPr="00E34696">
        <w:rPr>
          <w:sz w:val="22"/>
          <w:szCs w:val="22"/>
          <w:vertAlign w:val="subscript"/>
          <w:lang w:val="sr-Latn-ME"/>
        </w:rPr>
        <w:t>mаx</w:t>
      </w:r>
      <w:r w:rsidRPr="00E34696">
        <w:rPr>
          <w:sz w:val="22"/>
          <w:szCs w:val="22"/>
          <w:lang w:val="sr-Latn-ME"/>
        </w:rPr>
        <w:t>) или површине испод криве (ПИК) и минималне инхибиторне концентрације (МИК).</w:t>
      </w:r>
    </w:p>
    <w:p w14:paraId="7D2E20F1" w14:textId="77777777" w:rsidR="00C06689" w:rsidRPr="00E34696" w:rsidRDefault="00C06689" w:rsidP="00E34696">
      <w:pPr>
        <w:widowControl w:val="0"/>
        <w:tabs>
          <w:tab w:val="left" w:pos="284"/>
        </w:tabs>
        <w:jc w:val="both"/>
        <w:rPr>
          <w:sz w:val="22"/>
          <w:szCs w:val="22"/>
          <w:lang w:val="sr-Latn-ME"/>
        </w:rPr>
      </w:pPr>
    </w:p>
    <w:p w14:paraId="6DB2C7A4" w14:textId="77777777" w:rsidR="00C06689" w:rsidRPr="00E34696" w:rsidRDefault="00C06689" w:rsidP="00E34696">
      <w:pPr>
        <w:widowControl w:val="0"/>
        <w:tabs>
          <w:tab w:val="left" w:pos="284"/>
        </w:tabs>
        <w:jc w:val="both"/>
        <w:rPr>
          <w:sz w:val="22"/>
          <w:szCs w:val="22"/>
          <w:u w:val="single"/>
          <w:lang w:val="sr-Latn-ME"/>
        </w:rPr>
      </w:pPr>
      <w:r w:rsidRPr="00E34696">
        <w:rPr>
          <w:sz w:val="22"/>
          <w:szCs w:val="22"/>
          <w:u w:val="single"/>
          <w:lang w:val="sr-Latn-ME"/>
        </w:rPr>
        <w:t>Механизам резистенције</w:t>
      </w:r>
    </w:p>
    <w:p w14:paraId="7EA1D5C9"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 xml:space="preserve">Резистенција на левофлоксацин, настаје постепено у неколико корака усљед мутације циљног мјеста код оба типа топоизомеразе II, ДНК-гиразе и топоизомеразе IV. Други механизами резистеније као што су пермеабилност баријера (карактеристично за бактерије </w:t>
      </w:r>
      <w:r w:rsidRPr="00E34696">
        <w:rPr>
          <w:i/>
          <w:sz w:val="22"/>
          <w:szCs w:val="22"/>
          <w:lang w:val="sr-Latn-ME"/>
        </w:rPr>
        <w:t>Pseudomonas aeruginosa</w:t>
      </w:r>
      <w:r w:rsidRPr="00E34696">
        <w:rPr>
          <w:sz w:val="22"/>
          <w:szCs w:val="22"/>
          <w:lang w:val="sr-Latn-ME"/>
        </w:rPr>
        <w:t>) и ефлукс механизми, такође могу утицати на осјетљивост на левофлоксацин.</w:t>
      </w:r>
    </w:p>
    <w:p w14:paraId="21937FED" w14:textId="77777777" w:rsidR="00C06689" w:rsidRPr="00E34696" w:rsidRDefault="00C06689" w:rsidP="00E34696">
      <w:pPr>
        <w:widowControl w:val="0"/>
        <w:tabs>
          <w:tab w:val="left" w:pos="284"/>
        </w:tabs>
        <w:jc w:val="both"/>
        <w:rPr>
          <w:sz w:val="22"/>
          <w:szCs w:val="22"/>
          <w:lang w:val="sr-Latn-ME"/>
        </w:rPr>
      </w:pPr>
    </w:p>
    <w:p w14:paraId="329F5CF9"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Доказано је постојање унакрсне резистенције између левофлоксацина и осталих флуорохинолона.</w:t>
      </w:r>
    </w:p>
    <w:p w14:paraId="26BE86F0"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Због механизма дејства генерално не постоји унакрсна резистенција између левофлоксацина и осталих антимикробних љекова.</w:t>
      </w:r>
    </w:p>
    <w:p w14:paraId="764B6DCA" w14:textId="77777777" w:rsidR="00C06689" w:rsidRPr="00E34696" w:rsidRDefault="00C06689" w:rsidP="00E34696">
      <w:pPr>
        <w:widowControl w:val="0"/>
        <w:tabs>
          <w:tab w:val="left" w:pos="284"/>
        </w:tabs>
        <w:jc w:val="both"/>
        <w:rPr>
          <w:sz w:val="22"/>
          <w:szCs w:val="22"/>
          <w:lang w:val="sr-Latn-ME"/>
        </w:rPr>
      </w:pPr>
    </w:p>
    <w:p w14:paraId="46BFDEF6" w14:textId="77777777" w:rsidR="00C06689" w:rsidRPr="00E34696" w:rsidRDefault="00C06689" w:rsidP="00E34696">
      <w:pPr>
        <w:widowControl w:val="0"/>
        <w:tabs>
          <w:tab w:val="left" w:pos="284"/>
        </w:tabs>
        <w:jc w:val="both"/>
        <w:rPr>
          <w:sz w:val="22"/>
          <w:szCs w:val="22"/>
          <w:u w:val="single"/>
          <w:lang w:val="sr-Latn-ME"/>
        </w:rPr>
      </w:pPr>
      <w:r w:rsidRPr="00E34696">
        <w:rPr>
          <w:sz w:val="22"/>
          <w:szCs w:val="22"/>
          <w:u w:val="single"/>
          <w:lang w:val="sr-Latn-ME"/>
        </w:rPr>
        <w:t>Границе тестова осјетљивости</w:t>
      </w:r>
    </w:p>
    <w:p w14:paraId="49D95184" w14:textId="2208E869" w:rsidR="00C06689" w:rsidRPr="00E34696" w:rsidRDefault="00C06689" w:rsidP="00E34696">
      <w:pPr>
        <w:widowControl w:val="0"/>
        <w:tabs>
          <w:tab w:val="left" w:pos="284"/>
        </w:tabs>
        <w:jc w:val="both"/>
        <w:rPr>
          <w:sz w:val="22"/>
          <w:szCs w:val="22"/>
          <w:lang w:val="sr-Latn-ME"/>
        </w:rPr>
      </w:pPr>
      <w:r w:rsidRPr="00E34696">
        <w:rPr>
          <w:sz w:val="22"/>
          <w:szCs w:val="22"/>
          <w:lang w:val="sr-Latn-ME"/>
        </w:rPr>
        <w:t xml:space="preserve">ЕUCAST (engl. </w:t>
      </w:r>
      <w:r w:rsidRPr="00E34696">
        <w:rPr>
          <w:i/>
          <w:iCs/>
          <w:sz w:val="22"/>
          <w:szCs w:val="22"/>
          <w:lang w:val="sr-Latn-ME"/>
        </w:rPr>
        <w:t>European Committee on Antimicrobial Susceptibility Testing)</w:t>
      </w:r>
      <w:r w:rsidRPr="00E34696">
        <w:rPr>
          <w:sz w:val="22"/>
          <w:szCs w:val="22"/>
          <w:lang w:val="sr-Latn-ME"/>
        </w:rPr>
        <w:t xml:space="preserve"> препоручује МИК вриједности за левофлоксацин, којим се одвајају осјетљиви од осјетљивих организама</w:t>
      </w:r>
      <w:r w:rsidR="003F0077" w:rsidRPr="00E34696">
        <w:rPr>
          <w:sz w:val="22"/>
          <w:szCs w:val="22"/>
          <w:lang w:val="sr-Latn-ME"/>
        </w:rPr>
        <w:t xml:space="preserve"> </w:t>
      </w:r>
      <w:bookmarkStart w:id="0" w:name="_Hlk169183670"/>
      <w:r w:rsidR="003F0077" w:rsidRPr="00E34696">
        <w:rPr>
          <w:sz w:val="22"/>
          <w:szCs w:val="22"/>
          <w:lang w:val="sr-Latn-ME"/>
        </w:rPr>
        <w:t xml:space="preserve">са повећаном </w:t>
      </w:r>
      <w:r w:rsidR="005A7006" w:rsidRPr="00E34696">
        <w:rPr>
          <w:sz w:val="22"/>
          <w:szCs w:val="22"/>
          <w:lang w:val="sr-Latn-ME"/>
        </w:rPr>
        <w:t>изложеношћу</w:t>
      </w:r>
      <w:r w:rsidRPr="00E34696">
        <w:rPr>
          <w:sz w:val="22"/>
          <w:szCs w:val="22"/>
          <w:lang w:val="sr-Latn-ME"/>
        </w:rPr>
        <w:t xml:space="preserve"> </w:t>
      </w:r>
      <w:bookmarkEnd w:id="0"/>
      <w:r w:rsidRPr="00E34696">
        <w:rPr>
          <w:sz w:val="22"/>
          <w:szCs w:val="22"/>
          <w:lang w:val="sr-Latn-ME"/>
        </w:rPr>
        <w:t xml:space="preserve">као и осјетљиви организми </w:t>
      </w:r>
      <w:r w:rsidR="005A7006" w:rsidRPr="00E34696">
        <w:rPr>
          <w:sz w:val="22"/>
          <w:szCs w:val="22"/>
          <w:lang w:val="sr-Latn-ME"/>
        </w:rPr>
        <w:t xml:space="preserve">са повећаном изложеношћу </w:t>
      </w:r>
      <w:r w:rsidRPr="00E34696">
        <w:rPr>
          <w:sz w:val="22"/>
          <w:szCs w:val="22"/>
          <w:lang w:val="sr-Latn-ME"/>
        </w:rPr>
        <w:t>од резистентних бактерија. Ове вриједности су дате у табели у наставку за МИК тестове (mg/l):</w:t>
      </w:r>
    </w:p>
    <w:p w14:paraId="3119201A" w14:textId="77777777" w:rsidR="00C06689" w:rsidRPr="00E34696" w:rsidRDefault="00C06689" w:rsidP="00E34696">
      <w:pPr>
        <w:widowControl w:val="0"/>
        <w:tabs>
          <w:tab w:val="left" w:pos="284"/>
        </w:tabs>
        <w:jc w:val="both"/>
        <w:rPr>
          <w:sz w:val="22"/>
          <w:szCs w:val="22"/>
          <w:lang w:val="sr-Latn-ME"/>
        </w:rPr>
      </w:pPr>
    </w:p>
    <w:p w14:paraId="2BF1558C" w14:textId="77777777" w:rsidR="00C06689" w:rsidRPr="00E34696" w:rsidRDefault="00C06689" w:rsidP="00E34696">
      <w:pPr>
        <w:widowControl w:val="0"/>
        <w:tabs>
          <w:tab w:val="left" w:pos="284"/>
        </w:tabs>
        <w:jc w:val="both"/>
        <w:rPr>
          <w:sz w:val="22"/>
          <w:szCs w:val="22"/>
          <w:lang w:val="sr-Latn-ME"/>
        </w:rPr>
      </w:pPr>
      <w:r w:rsidRPr="00E34696">
        <w:rPr>
          <w:rFonts w:eastAsia="TimesNewRoman,Italic"/>
          <w:iCs/>
          <w:sz w:val="22"/>
          <w:szCs w:val="22"/>
          <w:lang w:val="sr-Latn-ME"/>
        </w:rPr>
        <w:t>EUCAST клиничке MИК граничне вриједности за левофлоксацин (верзија 10.0, 2020-01-01):</w:t>
      </w:r>
    </w:p>
    <w:p w14:paraId="646B9600" w14:textId="77777777" w:rsidR="00C06689" w:rsidRPr="00E34696" w:rsidRDefault="00C06689" w:rsidP="00E34696">
      <w:pPr>
        <w:widowControl w:val="0"/>
        <w:tabs>
          <w:tab w:val="left" w:pos="284"/>
        </w:tabs>
        <w:jc w:val="both"/>
        <w:rPr>
          <w:sz w:val="22"/>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58"/>
        <w:gridCol w:w="1403"/>
        <w:gridCol w:w="1502"/>
      </w:tblGrid>
      <w:tr w:rsidR="00C06689" w:rsidRPr="00E34696" w14:paraId="567ACDC0" w14:textId="77777777" w:rsidTr="00CF11E2">
        <w:tc>
          <w:tcPr>
            <w:tcW w:w="6158" w:type="dxa"/>
          </w:tcPr>
          <w:p w14:paraId="0E667C68" w14:textId="77777777" w:rsidR="00C06689" w:rsidRPr="00E34696" w:rsidRDefault="00C06689" w:rsidP="00E34696">
            <w:pPr>
              <w:widowControl w:val="0"/>
              <w:autoSpaceDE w:val="0"/>
              <w:autoSpaceDN w:val="0"/>
              <w:adjustRightInd w:val="0"/>
              <w:jc w:val="both"/>
              <w:rPr>
                <w:b/>
                <w:sz w:val="22"/>
                <w:szCs w:val="22"/>
                <w:lang w:val="sr-Latn-ME"/>
              </w:rPr>
            </w:pPr>
            <w:r w:rsidRPr="00E34696">
              <w:rPr>
                <w:sz w:val="22"/>
                <w:szCs w:val="22"/>
                <w:lang w:val="sr-Latn-ME"/>
              </w:rPr>
              <w:t xml:space="preserve">Патоген </w:t>
            </w:r>
          </w:p>
        </w:tc>
        <w:tc>
          <w:tcPr>
            <w:tcW w:w="1403" w:type="dxa"/>
          </w:tcPr>
          <w:p w14:paraId="0CBF65AB" w14:textId="77777777" w:rsidR="00C06689" w:rsidRPr="00E34696" w:rsidRDefault="00C06689" w:rsidP="00E34696">
            <w:pPr>
              <w:widowControl w:val="0"/>
              <w:autoSpaceDE w:val="0"/>
              <w:autoSpaceDN w:val="0"/>
              <w:adjustRightInd w:val="0"/>
              <w:jc w:val="both"/>
              <w:rPr>
                <w:b/>
                <w:sz w:val="22"/>
                <w:szCs w:val="22"/>
                <w:lang w:val="sr-Latn-ME"/>
              </w:rPr>
            </w:pPr>
            <w:r w:rsidRPr="00E34696">
              <w:rPr>
                <w:sz w:val="22"/>
                <w:szCs w:val="22"/>
                <w:lang w:val="sr-Latn-ME"/>
              </w:rPr>
              <w:t>Oсјетљиви</w:t>
            </w:r>
          </w:p>
        </w:tc>
        <w:tc>
          <w:tcPr>
            <w:tcW w:w="1502" w:type="dxa"/>
          </w:tcPr>
          <w:p w14:paraId="25AC1A54" w14:textId="77777777" w:rsidR="00C06689" w:rsidRPr="00E34696" w:rsidRDefault="00C06689" w:rsidP="00E34696">
            <w:pPr>
              <w:widowControl w:val="0"/>
              <w:autoSpaceDE w:val="0"/>
              <w:autoSpaceDN w:val="0"/>
              <w:adjustRightInd w:val="0"/>
              <w:jc w:val="both"/>
              <w:rPr>
                <w:b/>
                <w:sz w:val="22"/>
                <w:szCs w:val="22"/>
                <w:lang w:val="sr-Latn-ME"/>
              </w:rPr>
            </w:pPr>
            <w:r w:rsidRPr="00E34696">
              <w:rPr>
                <w:sz w:val="22"/>
                <w:szCs w:val="22"/>
                <w:lang w:val="sr-Latn-ME"/>
              </w:rPr>
              <w:t xml:space="preserve">Резистентни </w:t>
            </w:r>
          </w:p>
        </w:tc>
      </w:tr>
      <w:tr w:rsidR="00C06689" w:rsidRPr="00E34696" w14:paraId="0DD25D85" w14:textId="77777777" w:rsidTr="00CF11E2">
        <w:tc>
          <w:tcPr>
            <w:tcW w:w="6158" w:type="dxa"/>
          </w:tcPr>
          <w:p w14:paraId="4034124C" w14:textId="4AC8C39C" w:rsidR="00C06689" w:rsidRPr="00E34696" w:rsidRDefault="00C06689" w:rsidP="00E34696">
            <w:pPr>
              <w:widowControl w:val="0"/>
              <w:autoSpaceDE w:val="0"/>
              <w:autoSpaceDN w:val="0"/>
              <w:adjustRightInd w:val="0"/>
              <w:jc w:val="both"/>
              <w:rPr>
                <w:i/>
                <w:sz w:val="22"/>
                <w:szCs w:val="22"/>
                <w:lang w:val="sr-Latn-ME"/>
              </w:rPr>
            </w:pPr>
            <w:r w:rsidRPr="00E34696">
              <w:rPr>
                <w:i/>
                <w:sz w:val="22"/>
                <w:szCs w:val="22"/>
                <w:lang w:val="sr-Latn-ME"/>
              </w:rPr>
              <w:t>Enterobacter</w:t>
            </w:r>
            <w:r w:rsidR="003C2F64" w:rsidRPr="00E34696">
              <w:rPr>
                <w:i/>
                <w:sz w:val="22"/>
                <w:szCs w:val="22"/>
                <w:lang w:val="sr-Latn-ME"/>
              </w:rPr>
              <w:t>ales</w:t>
            </w:r>
            <w:r w:rsidRPr="00E34696">
              <w:rPr>
                <w:i/>
                <w:sz w:val="22"/>
                <w:szCs w:val="22"/>
                <w:lang w:val="sr-Latn-ME"/>
              </w:rPr>
              <w:t xml:space="preserve"> </w:t>
            </w:r>
          </w:p>
        </w:tc>
        <w:tc>
          <w:tcPr>
            <w:tcW w:w="1403" w:type="dxa"/>
          </w:tcPr>
          <w:p w14:paraId="28AEB564" w14:textId="77777777" w:rsidR="00C06689" w:rsidRPr="00E34696" w:rsidRDefault="00C06689" w:rsidP="00E34696">
            <w:pPr>
              <w:widowControl w:val="0"/>
              <w:autoSpaceDE w:val="0"/>
              <w:autoSpaceDN w:val="0"/>
              <w:adjustRightInd w:val="0"/>
              <w:jc w:val="both"/>
              <w:rPr>
                <w:sz w:val="22"/>
                <w:szCs w:val="22"/>
                <w:lang w:val="sr-Latn-ME"/>
              </w:rPr>
            </w:pPr>
            <w:r w:rsidRPr="00E34696">
              <w:rPr>
                <w:sz w:val="22"/>
                <w:szCs w:val="22"/>
                <w:lang w:val="sr-Latn-ME"/>
              </w:rPr>
              <w:t xml:space="preserve">≤0.5 mg/l </w:t>
            </w:r>
          </w:p>
        </w:tc>
        <w:tc>
          <w:tcPr>
            <w:tcW w:w="1502" w:type="dxa"/>
          </w:tcPr>
          <w:p w14:paraId="5171979E" w14:textId="77777777" w:rsidR="00C06689" w:rsidRPr="00E34696" w:rsidRDefault="00C06689" w:rsidP="00E34696">
            <w:pPr>
              <w:widowControl w:val="0"/>
              <w:autoSpaceDE w:val="0"/>
              <w:autoSpaceDN w:val="0"/>
              <w:adjustRightInd w:val="0"/>
              <w:jc w:val="both"/>
              <w:rPr>
                <w:sz w:val="22"/>
                <w:szCs w:val="22"/>
                <w:lang w:val="sr-Latn-ME"/>
              </w:rPr>
            </w:pPr>
            <w:r w:rsidRPr="00E34696">
              <w:rPr>
                <w:sz w:val="22"/>
                <w:szCs w:val="22"/>
                <w:lang w:val="sr-Latn-ME"/>
              </w:rPr>
              <w:t xml:space="preserve">&gt;1 mg/l </w:t>
            </w:r>
          </w:p>
        </w:tc>
      </w:tr>
      <w:tr w:rsidR="00C06689" w:rsidRPr="00E34696" w14:paraId="0B280D41" w14:textId="77777777" w:rsidTr="00CF11E2">
        <w:tc>
          <w:tcPr>
            <w:tcW w:w="6158" w:type="dxa"/>
          </w:tcPr>
          <w:p w14:paraId="5A5A77FA" w14:textId="77777777" w:rsidR="00C06689" w:rsidRPr="00E34696" w:rsidRDefault="00C06689" w:rsidP="00E34696">
            <w:pPr>
              <w:widowControl w:val="0"/>
              <w:autoSpaceDE w:val="0"/>
              <w:autoSpaceDN w:val="0"/>
              <w:adjustRightInd w:val="0"/>
              <w:jc w:val="both"/>
              <w:rPr>
                <w:i/>
                <w:sz w:val="22"/>
                <w:szCs w:val="22"/>
                <w:lang w:val="sr-Latn-ME"/>
              </w:rPr>
            </w:pPr>
            <w:r w:rsidRPr="00E34696">
              <w:rPr>
                <w:i/>
                <w:sz w:val="22"/>
                <w:szCs w:val="22"/>
                <w:lang w:val="sr-Latn-ME"/>
              </w:rPr>
              <w:t xml:space="preserve">Pseudomonas spp. </w:t>
            </w:r>
          </w:p>
        </w:tc>
        <w:tc>
          <w:tcPr>
            <w:tcW w:w="1403" w:type="dxa"/>
          </w:tcPr>
          <w:p w14:paraId="5BB9A8A8" w14:textId="77777777" w:rsidR="00C06689" w:rsidRPr="00E34696" w:rsidRDefault="00C06689" w:rsidP="00E34696">
            <w:pPr>
              <w:widowControl w:val="0"/>
              <w:autoSpaceDE w:val="0"/>
              <w:autoSpaceDN w:val="0"/>
              <w:adjustRightInd w:val="0"/>
              <w:jc w:val="both"/>
              <w:rPr>
                <w:sz w:val="22"/>
                <w:szCs w:val="22"/>
                <w:lang w:val="sr-Latn-ME"/>
              </w:rPr>
            </w:pPr>
            <w:r w:rsidRPr="00E34696">
              <w:rPr>
                <w:sz w:val="22"/>
                <w:szCs w:val="22"/>
                <w:lang w:val="sr-Latn-ME"/>
              </w:rPr>
              <w:t xml:space="preserve">≤0.001 mg/l </w:t>
            </w:r>
          </w:p>
        </w:tc>
        <w:tc>
          <w:tcPr>
            <w:tcW w:w="1502" w:type="dxa"/>
          </w:tcPr>
          <w:p w14:paraId="7C881204" w14:textId="77777777" w:rsidR="00C06689" w:rsidRPr="00E34696" w:rsidRDefault="00C06689" w:rsidP="00E34696">
            <w:pPr>
              <w:widowControl w:val="0"/>
              <w:autoSpaceDE w:val="0"/>
              <w:autoSpaceDN w:val="0"/>
              <w:adjustRightInd w:val="0"/>
              <w:jc w:val="both"/>
              <w:rPr>
                <w:sz w:val="22"/>
                <w:szCs w:val="22"/>
                <w:lang w:val="sr-Latn-ME"/>
              </w:rPr>
            </w:pPr>
            <w:r w:rsidRPr="00E34696">
              <w:rPr>
                <w:sz w:val="22"/>
                <w:szCs w:val="22"/>
                <w:lang w:val="sr-Latn-ME"/>
              </w:rPr>
              <w:t xml:space="preserve">&gt;1 mg/l </w:t>
            </w:r>
          </w:p>
        </w:tc>
      </w:tr>
      <w:tr w:rsidR="00C06689" w:rsidRPr="00E34696" w14:paraId="2D967787" w14:textId="77777777" w:rsidTr="00CF11E2">
        <w:tc>
          <w:tcPr>
            <w:tcW w:w="6158" w:type="dxa"/>
          </w:tcPr>
          <w:p w14:paraId="1A913C60" w14:textId="77777777" w:rsidR="00C06689" w:rsidRPr="00E34696" w:rsidRDefault="00C06689" w:rsidP="00E34696">
            <w:pPr>
              <w:widowControl w:val="0"/>
              <w:autoSpaceDE w:val="0"/>
              <w:autoSpaceDN w:val="0"/>
              <w:adjustRightInd w:val="0"/>
              <w:jc w:val="both"/>
              <w:rPr>
                <w:i/>
                <w:sz w:val="22"/>
                <w:szCs w:val="22"/>
                <w:lang w:val="sr-Latn-ME"/>
              </w:rPr>
            </w:pPr>
            <w:r w:rsidRPr="00E34696">
              <w:rPr>
                <w:i/>
                <w:sz w:val="22"/>
                <w:szCs w:val="22"/>
                <w:lang w:val="sr-Latn-ME"/>
              </w:rPr>
              <w:t xml:space="preserve">Acinetobacter spp. </w:t>
            </w:r>
          </w:p>
        </w:tc>
        <w:tc>
          <w:tcPr>
            <w:tcW w:w="1403" w:type="dxa"/>
          </w:tcPr>
          <w:p w14:paraId="50C5E679" w14:textId="77777777" w:rsidR="00C06689" w:rsidRPr="00E34696" w:rsidRDefault="00C06689" w:rsidP="00E34696">
            <w:pPr>
              <w:widowControl w:val="0"/>
              <w:autoSpaceDE w:val="0"/>
              <w:autoSpaceDN w:val="0"/>
              <w:adjustRightInd w:val="0"/>
              <w:jc w:val="both"/>
              <w:rPr>
                <w:sz w:val="22"/>
                <w:szCs w:val="22"/>
                <w:lang w:val="sr-Latn-ME"/>
              </w:rPr>
            </w:pPr>
            <w:r w:rsidRPr="00E34696">
              <w:rPr>
                <w:sz w:val="22"/>
                <w:szCs w:val="22"/>
                <w:lang w:val="sr-Latn-ME"/>
              </w:rPr>
              <w:t xml:space="preserve">≤0.5 mg/l </w:t>
            </w:r>
          </w:p>
        </w:tc>
        <w:tc>
          <w:tcPr>
            <w:tcW w:w="1502" w:type="dxa"/>
          </w:tcPr>
          <w:p w14:paraId="53278141" w14:textId="77777777" w:rsidR="00C06689" w:rsidRPr="00E34696" w:rsidRDefault="00C06689" w:rsidP="00E34696">
            <w:pPr>
              <w:widowControl w:val="0"/>
              <w:autoSpaceDE w:val="0"/>
              <w:autoSpaceDN w:val="0"/>
              <w:adjustRightInd w:val="0"/>
              <w:jc w:val="both"/>
              <w:rPr>
                <w:sz w:val="22"/>
                <w:szCs w:val="22"/>
                <w:lang w:val="sr-Latn-ME"/>
              </w:rPr>
            </w:pPr>
            <w:r w:rsidRPr="00E34696">
              <w:rPr>
                <w:sz w:val="22"/>
                <w:szCs w:val="22"/>
                <w:lang w:val="sr-Latn-ME"/>
              </w:rPr>
              <w:t xml:space="preserve">&gt;1 mg/l </w:t>
            </w:r>
          </w:p>
        </w:tc>
      </w:tr>
      <w:tr w:rsidR="00C06689" w:rsidRPr="00E34696" w14:paraId="441CB9BD" w14:textId="77777777" w:rsidTr="00CF11E2">
        <w:tc>
          <w:tcPr>
            <w:tcW w:w="6158" w:type="dxa"/>
          </w:tcPr>
          <w:p w14:paraId="00743284" w14:textId="2D949BE2" w:rsidR="00C06689" w:rsidRPr="00E34696" w:rsidRDefault="00C06689" w:rsidP="00E34696">
            <w:pPr>
              <w:widowControl w:val="0"/>
              <w:autoSpaceDE w:val="0"/>
              <w:autoSpaceDN w:val="0"/>
              <w:adjustRightInd w:val="0"/>
              <w:jc w:val="both"/>
              <w:rPr>
                <w:i/>
                <w:sz w:val="22"/>
                <w:szCs w:val="22"/>
                <w:lang w:val="sr-Latn-ME"/>
              </w:rPr>
            </w:pPr>
            <w:r w:rsidRPr="00E34696">
              <w:rPr>
                <w:i/>
                <w:sz w:val="22"/>
                <w:szCs w:val="22"/>
                <w:lang w:val="sr-Latn-ME"/>
              </w:rPr>
              <w:t>Staphylococcus aureus</w:t>
            </w:r>
          </w:p>
          <w:p w14:paraId="04C29579" w14:textId="77777777" w:rsidR="00C06689" w:rsidRPr="00E34696" w:rsidRDefault="00C06689" w:rsidP="00E34696">
            <w:pPr>
              <w:widowControl w:val="0"/>
              <w:autoSpaceDE w:val="0"/>
              <w:autoSpaceDN w:val="0"/>
              <w:adjustRightInd w:val="0"/>
              <w:jc w:val="both"/>
              <w:rPr>
                <w:sz w:val="22"/>
                <w:szCs w:val="22"/>
                <w:lang w:val="sr-Latn-ME"/>
              </w:rPr>
            </w:pPr>
            <w:r w:rsidRPr="00E34696">
              <w:rPr>
                <w:sz w:val="22"/>
                <w:szCs w:val="22"/>
                <w:lang w:val="sr-Latn-ME"/>
              </w:rPr>
              <w:t>Коагулаза негативне стафилококе</w:t>
            </w:r>
          </w:p>
        </w:tc>
        <w:tc>
          <w:tcPr>
            <w:tcW w:w="1403" w:type="dxa"/>
          </w:tcPr>
          <w:p w14:paraId="37ECFA2E" w14:textId="77777777" w:rsidR="00C06689" w:rsidRPr="00E34696" w:rsidRDefault="00C06689" w:rsidP="00E34696">
            <w:pPr>
              <w:widowControl w:val="0"/>
              <w:autoSpaceDE w:val="0"/>
              <w:autoSpaceDN w:val="0"/>
              <w:adjustRightInd w:val="0"/>
              <w:jc w:val="both"/>
              <w:rPr>
                <w:sz w:val="22"/>
                <w:szCs w:val="22"/>
                <w:lang w:val="sr-Latn-ME"/>
              </w:rPr>
            </w:pPr>
            <w:r w:rsidRPr="00E34696">
              <w:rPr>
                <w:sz w:val="22"/>
                <w:szCs w:val="22"/>
                <w:lang w:val="sr-Latn-ME"/>
              </w:rPr>
              <w:t xml:space="preserve">≤0.001 mg/l </w:t>
            </w:r>
          </w:p>
        </w:tc>
        <w:tc>
          <w:tcPr>
            <w:tcW w:w="1502" w:type="dxa"/>
          </w:tcPr>
          <w:p w14:paraId="19469707" w14:textId="13050BBF" w:rsidR="00C06689" w:rsidRPr="00E34696" w:rsidRDefault="00C06689" w:rsidP="00E34696">
            <w:pPr>
              <w:widowControl w:val="0"/>
              <w:autoSpaceDE w:val="0"/>
              <w:autoSpaceDN w:val="0"/>
              <w:adjustRightInd w:val="0"/>
              <w:jc w:val="both"/>
              <w:rPr>
                <w:sz w:val="22"/>
                <w:szCs w:val="22"/>
                <w:lang w:val="sr-Latn-ME"/>
              </w:rPr>
            </w:pPr>
            <w:r w:rsidRPr="00E34696">
              <w:rPr>
                <w:sz w:val="22"/>
                <w:szCs w:val="22"/>
                <w:lang w:val="sr-Latn-ME"/>
              </w:rPr>
              <w:t>&gt;</w:t>
            </w:r>
            <w:r w:rsidR="001F5B8A" w:rsidRPr="00E34696">
              <w:rPr>
                <w:sz w:val="22"/>
                <w:szCs w:val="22"/>
                <w:lang w:val="sr-Latn-ME"/>
              </w:rPr>
              <w:t>1</w:t>
            </w:r>
            <w:r w:rsidRPr="00E34696">
              <w:rPr>
                <w:sz w:val="22"/>
                <w:szCs w:val="22"/>
                <w:lang w:val="sr-Latn-ME"/>
              </w:rPr>
              <w:t xml:space="preserve"> mg/l </w:t>
            </w:r>
          </w:p>
        </w:tc>
      </w:tr>
      <w:tr w:rsidR="00C06689" w:rsidRPr="00E34696" w14:paraId="36C6CE12" w14:textId="77777777" w:rsidTr="00CF11E2">
        <w:tc>
          <w:tcPr>
            <w:tcW w:w="6158" w:type="dxa"/>
          </w:tcPr>
          <w:p w14:paraId="1D0E6B78" w14:textId="77777777" w:rsidR="00C06689" w:rsidRPr="00E34696" w:rsidRDefault="00C06689" w:rsidP="00E34696">
            <w:pPr>
              <w:widowControl w:val="0"/>
              <w:autoSpaceDE w:val="0"/>
              <w:autoSpaceDN w:val="0"/>
              <w:adjustRightInd w:val="0"/>
              <w:jc w:val="both"/>
              <w:rPr>
                <w:i/>
                <w:sz w:val="22"/>
                <w:szCs w:val="22"/>
                <w:lang w:val="sr-Latn-ME"/>
              </w:rPr>
            </w:pPr>
            <w:r w:rsidRPr="00E34696">
              <w:rPr>
                <w:i/>
                <w:sz w:val="22"/>
                <w:szCs w:val="22"/>
                <w:lang w:val="sr-Latn-ME"/>
              </w:rPr>
              <w:t>Enterococcus spp.</w:t>
            </w:r>
            <w:r w:rsidRPr="00E34696">
              <w:rPr>
                <w:i/>
                <w:sz w:val="22"/>
                <w:szCs w:val="22"/>
                <w:vertAlign w:val="superscript"/>
                <w:lang w:val="sr-Latn-ME"/>
              </w:rPr>
              <w:t>1</w:t>
            </w:r>
          </w:p>
        </w:tc>
        <w:tc>
          <w:tcPr>
            <w:tcW w:w="1403" w:type="dxa"/>
          </w:tcPr>
          <w:p w14:paraId="4D3D8BF9" w14:textId="77777777" w:rsidR="00C06689" w:rsidRPr="00E34696" w:rsidRDefault="00C06689" w:rsidP="00E34696">
            <w:pPr>
              <w:widowControl w:val="0"/>
              <w:autoSpaceDE w:val="0"/>
              <w:autoSpaceDN w:val="0"/>
              <w:adjustRightInd w:val="0"/>
              <w:jc w:val="both"/>
              <w:rPr>
                <w:sz w:val="22"/>
                <w:szCs w:val="22"/>
                <w:lang w:val="sr-Latn-ME"/>
              </w:rPr>
            </w:pPr>
            <w:r w:rsidRPr="00E34696">
              <w:rPr>
                <w:sz w:val="22"/>
                <w:szCs w:val="22"/>
                <w:lang w:val="sr-Latn-ME"/>
              </w:rPr>
              <w:t>≤4 mg/l</w:t>
            </w:r>
          </w:p>
        </w:tc>
        <w:tc>
          <w:tcPr>
            <w:tcW w:w="1502" w:type="dxa"/>
          </w:tcPr>
          <w:p w14:paraId="4D2F9DD5" w14:textId="77777777" w:rsidR="00C06689" w:rsidRPr="00E34696" w:rsidRDefault="00C06689" w:rsidP="00E34696">
            <w:pPr>
              <w:widowControl w:val="0"/>
              <w:autoSpaceDE w:val="0"/>
              <w:autoSpaceDN w:val="0"/>
              <w:adjustRightInd w:val="0"/>
              <w:jc w:val="both"/>
              <w:rPr>
                <w:sz w:val="22"/>
                <w:szCs w:val="22"/>
                <w:lang w:val="sr-Latn-ME"/>
              </w:rPr>
            </w:pPr>
            <w:r w:rsidRPr="00E34696">
              <w:rPr>
                <w:sz w:val="22"/>
                <w:szCs w:val="22"/>
                <w:lang w:val="sr-Latn-ME"/>
              </w:rPr>
              <w:t>&gt;4 mg/l</w:t>
            </w:r>
          </w:p>
        </w:tc>
      </w:tr>
      <w:tr w:rsidR="00C06689" w:rsidRPr="00E34696" w14:paraId="6B5983AD" w14:textId="77777777" w:rsidTr="00CF11E2">
        <w:tc>
          <w:tcPr>
            <w:tcW w:w="6158" w:type="dxa"/>
          </w:tcPr>
          <w:p w14:paraId="03DC4C47" w14:textId="77777777" w:rsidR="00C06689" w:rsidRPr="00E34696" w:rsidRDefault="00C06689" w:rsidP="00E34696">
            <w:pPr>
              <w:widowControl w:val="0"/>
              <w:autoSpaceDE w:val="0"/>
              <w:autoSpaceDN w:val="0"/>
              <w:adjustRightInd w:val="0"/>
              <w:jc w:val="both"/>
              <w:rPr>
                <w:i/>
                <w:sz w:val="22"/>
                <w:szCs w:val="22"/>
                <w:lang w:val="sr-Latn-ME"/>
              </w:rPr>
            </w:pPr>
            <w:r w:rsidRPr="00E34696">
              <w:rPr>
                <w:i/>
                <w:iCs/>
                <w:sz w:val="22"/>
                <w:szCs w:val="22"/>
                <w:lang w:val="sr-Latn-ME"/>
              </w:rPr>
              <w:t>Streptococcus</w:t>
            </w:r>
            <w:r w:rsidR="00721D8E" w:rsidRPr="00E34696">
              <w:rPr>
                <w:i/>
                <w:iCs/>
                <w:sz w:val="22"/>
                <w:szCs w:val="22"/>
                <w:lang w:val="sr-Latn-ME"/>
              </w:rPr>
              <w:t xml:space="preserve"> </w:t>
            </w:r>
            <w:r w:rsidRPr="00E34696">
              <w:rPr>
                <w:i/>
                <w:sz w:val="22"/>
                <w:szCs w:val="22"/>
                <w:lang w:val="sr-Latn-ME"/>
              </w:rPr>
              <w:t>pneumoniae</w:t>
            </w:r>
          </w:p>
        </w:tc>
        <w:tc>
          <w:tcPr>
            <w:tcW w:w="1403" w:type="dxa"/>
          </w:tcPr>
          <w:p w14:paraId="3566FB10" w14:textId="77777777" w:rsidR="00C06689" w:rsidRPr="00E34696" w:rsidRDefault="00C06689" w:rsidP="00E34696">
            <w:pPr>
              <w:widowControl w:val="0"/>
              <w:autoSpaceDE w:val="0"/>
              <w:autoSpaceDN w:val="0"/>
              <w:adjustRightInd w:val="0"/>
              <w:jc w:val="both"/>
              <w:rPr>
                <w:sz w:val="22"/>
                <w:szCs w:val="22"/>
                <w:lang w:val="sr-Latn-ME"/>
              </w:rPr>
            </w:pPr>
            <w:r w:rsidRPr="00E34696">
              <w:rPr>
                <w:sz w:val="22"/>
                <w:szCs w:val="22"/>
                <w:lang w:val="sr-Latn-ME"/>
              </w:rPr>
              <w:t xml:space="preserve">≤0.001 mg/l </w:t>
            </w:r>
          </w:p>
        </w:tc>
        <w:tc>
          <w:tcPr>
            <w:tcW w:w="1502" w:type="dxa"/>
          </w:tcPr>
          <w:p w14:paraId="4ABA624A" w14:textId="77777777" w:rsidR="00C06689" w:rsidRPr="00E34696" w:rsidRDefault="00C06689" w:rsidP="00E34696">
            <w:pPr>
              <w:widowControl w:val="0"/>
              <w:autoSpaceDE w:val="0"/>
              <w:autoSpaceDN w:val="0"/>
              <w:adjustRightInd w:val="0"/>
              <w:jc w:val="both"/>
              <w:rPr>
                <w:sz w:val="22"/>
                <w:szCs w:val="22"/>
                <w:lang w:val="sr-Latn-ME"/>
              </w:rPr>
            </w:pPr>
            <w:r w:rsidRPr="00E34696">
              <w:rPr>
                <w:sz w:val="22"/>
                <w:szCs w:val="22"/>
                <w:lang w:val="sr-Latn-ME"/>
              </w:rPr>
              <w:t xml:space="preserve">&gt;2 mg/l </w:t>
            </w:r>
          </w:p>
        </w:tc>
      </w:tr>
      <w:tr w:rsidR="00C06689" w:rsidRPr="00E34696" w14:paraId="67CFEA0C" w14:textId="77777777" w:rsidTr="00CF11E2">
        <w:tc>
          <w:tcPr>
            <w:tcW w:w="6158" w:type="dxa"/>
          </w:tcPr>
          <w:p w14:paraId="641D7909" w14:textId="731C73CA" w:rsidR="00C06689" w:rsidRPr="00E34696" w:rsidRDefault="00C06689" w:rsidP="00E34696">
            <w:pPr>
              <w:widowControl w:val="0"/>
              <w:autoSpaceDE w:val="0"/>
              <w:autoSpaceDN w:val="0"/>
              <w:adjustRightInd w:val="0"/>
              <w:jc w:val="both"/>
              <w:rPr>
                <w:i/>
                <w:sz w:val="22"/>
                <w:szCs w:val="22"/>
                <w:lang w:val="sr-Latn-ME"/>
              </w:rPr>
            </w:pPr>
            <w:r w:rsidRPr="00E34696">
              <w:rPr>
                <w:i/>
                <w:sz w:val="22"/>
                <w:szCs w:val="22"/>
                <w:lang w:val="sr-Latn-ME"/>
              </w:rPr>
              <w:t xml:space="preserve">Streptococcus </w:t>
            </w:r>
            <w:r w:rsidR="00B46DE3" w:rsidRPr="00E34696">
              <w:rPr>
                <w:sz w:val="22"/>
                <w:szCs w:val="22"/>
                <w:lang w:val="sr-Latn-ME"/>
              </w:rPr>
              <w:t>групе</w:t>
            </w:r>
            <w:r w:rsidR="003C2F64" w:rsidRPr="00E34696">
              <w:rPr>
                <w:i/>
                <w:sz w:val="22"/>
                <w:szCs w:val="22"/>
                <w:lang w:val="sr-Latn-ME"/>
              </w:rPr>
              <w:t xml:space="preserve"> </w:t>
            </w:r>
            <w:r w:rsidRPr="00E34696">
              <w:rPr>
                <w:i/>
                <w:sz w:val="22"/>
                <w:szCs w:val="22"/>
                <w:lang w:val="sr-Latn-ME"/>
              </w:rPr>
              <w:t xml:space="preserve">A, B, C, G </w:t>
            </w:r>
          </w:p>
        </w:tc>
        <w:tc>
          <w:tcPr>
            <w:tcW w:w="1403" w:type="dxa"/>
          </w:tcPr>
          <w:p w14:paraId="59B92B67" w14:textId="77777777" w:rsidR="00C06689" w:rsidRPr="00E34696" w:rsidRDefault="00C06689" w:rsidP="00E34696">
            <w:pPr>
              <w:widowControl w:val="0"/>
              <w:autoSpaceDE w:val="0"/>
              <w:autoSpaceDN w:val="0"/>
              <w:adjustRightInd w:val="0"/>
              <w:jc w:val="both"/>
              <w:rPr>
                <w:sz w:val="22"/>
                <w:szCs w:val="22"/>
                <w:lang w:val="sr-Latn-ME"/>
              </w:rPr>
            </w:pPr>
            <w:r w:rsidRPr="00E34696">
              <w:rPr>
                <w:sz w:val="22"/>
                <w:szCs w:val="22"/>
                <w:lang w:val="sr-Latn-ME"/>
              </w:rPr>
              <w:t xml:space="preserve">≤0.001 mg/l </w:t>
            </w:r>
          </w:p>
        </w:tc>
        <w:tc>
          <w:tcPr>
            <w:tcW w:w="1502" w:type="dxa"/>
          </w:tcPr>
          <w:p w14:paraId="2FC30628" w14:textId="77777777" w:rsidR="00C06689" w:rsidRPr="00E34696" w:rsidRDefault="00C06689" w:rsidP="00E34696">
            <w:pPr>
              <w:widowControl w:val="0"/>
              <w:autoSpaceDE w:val="0"/>
              <w:autoSpaceDN w:val="0"/>
              <w:adjustRightInd w:val="0"/>
              <w:jc w:val="both"/>
              <w:rPr>
                <w:sz w:val="22"/>
                <w:szCs w:val="22"/>
                <w:lang w:val="sr-Latn-ME"/>
              </w:rPr>
            </w:pPr>
            <w:r w:rsidRPr="00E34696">
              <w:rPr>
                <w:sz w:val="22"/>
                <w:szCs w:val="22"/>
                <w:lang w:val="sr-Latn-ME"/>
              </w:rPr>
              <w:t xml:space="preserve">&gt;2 mg/l </w:t>
            </w:r>
          </w:p>
        </w:tc>
      </w:tr>
      <w:tr w:rsidR="00C06689" w:rsidRPr="00E34696" w14:paraId="2D9BB9C7" w14:textId="77777777" w:rsidTr="00CF11E2">
        <w:tc>
          <w:tcPr>
            <w:tcW w:w="6158" w:type="dxa"/>
          </w:tcPr>
          <w:p w14:paraId="2E52AD12" w14:textId="77777777" w:rsidR="00C06689" w:rsidRPr="00E34696" w:rsidRDefault="00C06689" w:rsidP="00E34696">
            <w:pPr>
              <w:widowControl w:val="0"/>
              <w:autoSpaceDE w:val="0"/>
              <w:autoSpaceDN w:val="0"/>
              <w:adjustRightInd w:val="0"/>
              <w:jc w:val="both"/>
              <w:rPr>
                <w:i/>
                <w:sz w:val="22"/>
                <w:szCs w:val="22"/>
                <w:lang w:val="sr-Latn-ME"/>
              </w:rPr>
            </w:pPr>
            <w:r w:rsidRPr="00E34696">
              <w:rPr>
                <w:i/>
                <w:iCs/>
                <w:sz w:val="22"/>
                <w:szCs w:val="22"/>
                <w:lang w:val="sr-Latn-ME"/>
              </w:rPr>
              <w:t xml:space="preserve">Haemophilus </w:t>
            </w:r>
            <w:r w:rsidRPr="00E34696">
              <w:rPr>
                <w:i/>
                <w:sz w:val="22"/>
                <w:szCs w:val="22"/>
                <w:lang w:val="sr-Latn-ME"/>
              </w:rPr>
              <w:t>influenzae</w:t>
            </w:r>
          </w:p>
        </w:tc>
        <w:tc>
          <w:tcPr>
            <w:tcW w:w="1403" w:type="dxa"/>
          </w:tcPr>
          <w:p w14:paraId="34C655CB" w14:textId="77777777" w:rsidR="00C06689" w:rsidRPr="00E34696" w:rsidRDefault="00C06689" w:rsidP="00E34696">
            <w:pPr>
              <w:widowControl w:val="0"/>
              <w:autoSpaceDE w:val="0"/>
              <w:autoSpaceDN w:val="0"/>
              <w:adjustRightInd w:val="0"/>
              <w:jc w:val="both"/>
              <w:rPr>
                <w:sz w:val="22"/>
                <w:szCs w:val="22"/>
                <w:lang w:val="sr-Latn-ME"/>
              </w:rPr>
            </w:pPr>
            <w:r w:rsidRPr="00E34696">
              <w:rPr>
                <w:sz w:val="22"/>
                <w:szCs w:val="22"/>
                <w:lang w:val="sr-Latn-ME"/>
              </w:rPr>
              <w:t xml:space="preserve">≤0.06 mg/l </w:t>
            </w:r>
          </w:p>
        </w:tc>
        <w:tc>
          <w:tcPr>
            <w:tcW w:w="1502" w:type="dxa"/>
          </w:tcPr>
          <w:p w14:paraId="37D626D0" w14:textId="77777777" w:rsidR="00C06689" w:rsidRPr="00E34696" w:rsidRDefault="00C06689" w:rsidP="00E34696">
            <w:pPr>
              <w:widowControl w:val="0"/>
              <w:autoSpaceDE w:val="0"/>
              <w:autoSpaceDN w:val="0"/>
              <w:adjustRightInd w:val="0"/>
              <w:jc w:val="both"/>
              <w:rPr>
                <w:sz w:val="22"/>
                <w:szCs w:val="22"/>
                <w:lang w:val="sr-Latn-ME"/>
              </w:rPr>
            </w:pPr>
            <w:r w:rsidRPr="00E34696">
              <w:rPr>
                <w:sz w:val="22"/>
                <w:szCs w:val="22"/>
                <w:lang w:val="sr-Latn-ME"/>
              </w:rPr>
              <w:t xml:space="preserve">&gt;0.06 mg/l </w:t>
            </w:r>
          </w:p>
        </w:tc>
      </w:tr>
      <w:tr w:rsidR="00C06689" w:rsidRPr="00E34696" w14:paraId="7C1A9E96" w14:textId="77777777" w:rsidTr="00CF11E2">
        <w:tc>
          <w:tcPr>
            <w:tcW w:w="6158" w:type="dxa"/>
          </w:tcPr>
          <w:p w14:paraId="4A32D452" w14:textId="5CC97178" w:rsidR="00C06689" w:rsidRPr="00E34696" w:rsidRDefault="00C06689" w:rsidP="00E34696">
            <w:pPr>
              <w:widowControl w:val="0"/>
              <w:tabs>
                <w:tab w:val="left" w:pos="1816"/>
              </w:tabs>
              <w:autoSpaceDE w:val="0"/>
              <w:autoSpaceDN w:val="0"/>
              <w:adjustRightInd w:val="0"/>
              <w:jc w:val="both"/>
              <w:rPr>
                <w:i/>
                <w:sz w:val="22"/>
                <w:szCs w:val="22"/>
                <w:lang w:val="sr-Latn-ME"/>
              </w:rPr>
            </w:pPr>
            <w:r w:rsidRPr="00E34696">
              <w:rPr>
                <w:i/>
                <w:sz w:val="22"/>
                <w:szCs w:val="22"/>
                <w:lang w:val="sr-Latn-ME"/>
              </w:rPr>
              <w:t>Moraxella catarrhalis</w:t>
            </w:r>
          </w:p>
        </w:tc>
        <w:tc>
          <w:tcPr>
            <w:tcW w:w="1403" w:type="dxa"/>
          </w:tcPr>
          <w:p w14:paraId="1B081D24" w14:textId="77777777" w:rsidR="00C06689" w:rsidRPr="00E34696" w:rsidRDefault="00C06689" w:rsidP="00E34696">
            <w:pPr>
              <w:widowControl w:val="0"/>
              <w:autoSpaceDE w:val="0"/>
              <w:autoSpaceDN w:val="0"/>
              <w:adjustRightInd w:val="0"/>
              <w:jc w:val="both"/>
              <w:rPr>
                <w:sz w:val="22"/>
                <w:szCs w:val="22"/>
                <w:lang w:val="sr-Latn-ME"/>
              </w:rPr>
            </w:pPr>
            <w:r w:rsidRPr="00E34696">
              <w:rPr>
                <w:sz w:val="22"/>
                <w:szCs w:val="22"/>
                <w:lang w:val="sr-Latn-ME"/>
              </w:rPr>
              <w:t>≤0.125 mg/l</w:t>
            </w:r>
          </w:p>
        </w:tc>
        <w:tc>
          <w:tcPr>
            <w:tcW w:w="1502" w:type="dxa"/>
          </w:tcPr>
          <w:p w14:paraId="2152AF45" w14:textId="77777777" w:rsidR="00C06689" w:rsidRPr="00E34696" w:rsidRDefault="00C06689" w:rsidP="00E34696">
            <w:pPr>
              <w:widowControl w:val="0"/>
              <w:autoSpaceDE w:val="0"/>
              <w:autoSpaceDN w:val="0"/>
              <w:adjustRightInd w:val="0"/>
              <w:jc w:val="both"/>
              <w:rPr>
                <w:sz w:val="22"/>
                <w:szCs w:val="22"/>
                <w:lang w:val="sr-Latn-ME"/>
              </w:rPr>
            </w:pPr>
            <w:r w:rsidRPr="00E34696">
              <w:rPr>
                <w:sz w:val="22"/>
                <w:szCs w:val="22"/>
                <w:lang w:val="sr-Latn-ME"/>
              </w:rPr>
              <w:t>&gt;0.125 mg/l</w:t>
            </w:r>
          </w:p>
        </w:tc>
      </w:tr>
      <w:tr w:rsidR="00C06689" w:rsidRPr="00E34696" w14:paraId="031DA159" w14:textId="77777777" w:rsidTr="00CF11E2">
        <w:tc>
          <w:tcPr>
            <w:tcW w:w="6158" w:type="dxa"/>
          </w:tcPr>
          <w:p w14:paraId="2442ED5C" w14:textId="77777777" w:rsidR="00C06689" w:rsidRPr="00E34696" w:rsidDel="00896986" w:rsidRDefault="00C06689" w:rsidP="00E34696">
            <w:pPr>
              <w:widowControl w:val="0"/>
              <w:tabs>
                <w:tab w:val="left" w:pos="1816"/>
              </w:tabs>
              <w:autoSpaceDE w:val="0"/>
              <w:autoSpaceDN w:val="0"/>
              <w:adjustRightInd w:val="0"/>
              <w:jc w:val="both"/>
              <w:rPr>
                <w:i/>
                <w:sz w:val="22"/>
                <w:szCs w:val="22"/>
                <w:lang w:val="sr-Latn-ME"/>
              </w:rPr>
            </w:pPr>
            <w:r w:rsidRPr="00E34696">
              <w:rPr>
                <w:i/>
                <w:sz w:val="22"/>
                <w:szCs w:val="22"/>
                <w:lang w:val="sr-Latn-ME"/>
              </w:rPr>
              <w:t>Helicobacter pylori</w:t>
            </w:r>
          </w:p>
        </w:tc>
        <w:tc>
          <w:tcPr>
            <w:tcW w:w="1403" w:type="dxa"/>
          </w:tcPr>
          <w:p w14:paraId="3698A87B" w14:textId="77777777" w:rsidR="00C06689" w:rsidRPr="00E34696" w:rsidRDefault="00C06689" w:rsidP="00E34696">
            <w:pPr>
              <w:widowControl w:val="0"/>
              <w:autoSpaceDE w:val="0"/>
              <w:autoSpaceDN w:val="0"/>
              <w:adjustRightInd w:val="0"/>
              <w:jc w:val="both"/>
              <w:rPr>
                <w:sz w:val="22"/>
                <w:szCs w:val="22"/>
                <w:lang w:val="sr-Latn-ME"/>
              </w:rPr>
            </w:pPr>
            <w:r w:rsidRPr="00E34696">
              <w:rPr>
                <w:sz w:val="22"/>
                <w:szCs w:val="22"/>
                <w:lang w:val="sr-Latn-ME"/>
              </w:rPr>
              <w:t>≤1 mg/l</w:t>
            </w:r>
          </w:p>
        </w:tc>
        <w:tc>
          <w:tcPr>
            <w:tcW w:w="1502" w:type="dxa"/>
          </w:tcPr>
          <w:p w14:paraId="19844A28" w14:textId="77777777" w:rsidR="00C06689" w:rsidRPr="00E34696" w:rsidRDefault="00C06689" w:rsidP="00E34696">
            <w:pPr>
              <w:widowControl w:val="0"/>
              <w:autoSpaceDE w:val="0"/>
              <w:autoSpaceDN w:val="0"/>
              <w:adjustRightInd w:val="0"/>
              <w:jc w:val="both"/>
              <w:rPr>
                <w:sz w:val="22"/>
                <w:szCs w:val="22"/>
                <w:lang w:val="sr-Latn-ME"/>
              </w:rPr>
            </w:pPr>
            <w:r w:rsidRPr="00E34696">
              <w:rPr>
                <w:sz w:val="22"/>
                <w:szCs w:val="22"/>
                <w:lang w:val="sr-Latn-ME"/>
              </w:rPr>
              <w:t>&gt;1 mg/l</w:t>
            </w:r>
          </w:p>
        </w:tc>
      </w:tr>
      <w:tr w:rsidR="00C06689" w:rsidRPr="00E34696" w14:paraId="628F2A4F" w14:textId="77777777" w:rsidTr="00CF11E2">
        <w:tc>
          <w:tcPr>
            <w:tcW w:w="6158" w:type="dxa"/>
          </w:tcPr>
          <w:p w14:paraId="22C38B61" w14:textId="77777777" w:rsidR="00C06689" w:rsidRPr="00E34696" w:rsidDel="00896986" w:rsidRDefault="00C06689" w:rsidP="00E34696">
            <w:pPr>
              <w:widowControl w:val="0"/>
              <w:tabs>
                <w:tab w:val="left" w:pos="1816"/>
              </w:tabs>
              <w:autoSpaceDE w:val="0"/>
              <w:autoSpaceDN w:val="0"/>
              <w:adjustRightInd w:val="0"/>
              <w:jc w:val="both"/>
              <w:rPr>
                <w:i/>
                <w:sz w:val="22"/>
                <w:szCs w:val="22"/>
                <w:lang w:val="sr-Latn-ME"/>
              </w:rPr>
            </w:pPr>
            <w:r w:rsidRPr="00E34696">
              <w:rPr>
                <w:i/>
                <w:iCs/>
                <w:sz w:val="22"/>
                <w:szCs w:val="22"/>
                <w:lang w:val="sr-Latn-ME"/>
              </w:rPr>
              <w:t xml:space="preserve">Aerococcus sanguinicola </w:t>
            </w:r>
            <w:r w:rsidRPr="00E34696">
              <w:rPr>
                <w:i/>
                <w:sz w:val="22"/>
                <w:szCs w:val="22"/>
                <w:lang w:val="sr-Latn-ME"/>
              </w:rPr>
              <w:t xml:space="preserve">and </w:t>
            </w:r>
            <w:r w:rsidRPr="00E34696">
              <w:rPr>
                <w:i/>
                <w:iCs/>
                <w:sz w:val="22"/>
                <w:szCs w:val="22"/>
                <w:lang w:val="sr-Latn-ME"/>
              </w:rPr>
              <w:t>urinae</w:t>
            </w:r>
            <w:r w:rsidRPr="00E34696">
              <w:rPr>
                <w:i/>
                <w:sz w:val="22"/>
                <w:szCs w:val="22"/>
                <w:vertAlign w:val="superscript"/>
                <w:lang w:val="sr-Latn-ME"/>
              </w:rPr>
              <w:t>2</w:t>
            </w:r>
          </w:p>
        </w:tc>
        <w:tc>
          <w:tcPr>
            <w:tcW w:w="1403" w:type="dxa"/>
          </w:tcPr>
          <w:p w14:paraId="42C6DCFC" w14:textId="77777777" w:rsidR="00C06689" w:rsidRPr="00E34696" w:rsidRDefault="00C06689" w:rsidP="00E34696">
            <w:pPr>
              <w:widowControl w:val="0"/>
              <w:autoSpaceDE w:val="0"/>
              <w:autoSpaceDN w:val="0"/>
              <w:adjustRightInd w:val="0"/>
              <w:jc w:val="both"/>
              <w:rPr>
                <w:sz w:val="22"/>
                <w:szCs w:val="22"/>
                <w:lang w:val="sr-Latn-ME"/>
              </w:rPr>
            </w:pPr>
            <w:r w:rsidRPr="00E34696">
              <w:rPr>
                <w:sz w:val="22"/>
                <w:szCs w:val="22"/>
                <w:lang w:val="sr-Latn-ME"/>
              </w:rPr>
              <w:t>≤2 mg/l</w:t>
            </w:r>
          </w:p>
        </w:tc>
        <w:tc>
          <w:tcPr>
            <w:tcW w:w="1502" w:type="dxa"/>
          </w:tcPr>
          <w:p w14:paraId="62188ABC" w14:textId="77777777" w:rsidR="00C06689" w:rsidRPr="00E34696" w:rsidRDefault="00C06689" w:rsidP="00E34696">
            <w:pPr>
              <w:widowControl w:val="0"/>
              <w:autoSpaceDE w:val="0"/>
              <w:autoSpaceDN w:val="0"/>
              <w:adjustRightInd w:val="0"/>
              <w:jc w:val="both"/>
              <w:rPr>
                <w:sz w:val="22"/>
                <w:szCs w:val="22"/>
                <w:lang w:val="sr-Latn-ME"/>
              </w:rPr>
            </w:pPr>
            <w:r w:rsidRPr="00E34696">
              <w:rPr>
                <w:sz w:val="22"/>
                <w:szCs w:val="22"/>
                <w:lang w:val="sr-Latn-ME"/>
              </w:rPr>
              <w:t>&gt;2 mg/l</w:t>
            </w:r>
          </w:p>
        </w:tc>
      </w:tr>
      <w:tr w:rsidR="00C06689" w:rsidRPr="00E34696" w14:paraId="4E728DF9" w14:textId="77777777" w:rsidTr="00CF11E2">
        <w:tc>
          <w:tcPr>
            <w:tcW w:w="6158" w:type="dxa"/>
          </w:tcPr>
          <w:p w14:paraId="2956F4A3" w14:textId="77777777" w:rsidR="00C06689" w:rsidRPr="00E34696" w:rsidDel="00896986" w:rsidRDefault="00C06689" w:rsidP="00E34696">
            <w:pPr>
              <w:widowControl w:val="0"/>
              <w:tabs>
                <w:tab w:val="left" w:pos="1816"/>
              </w:tabs>
              <w:autoSpaceDE w:val="0"/>
              <w:autoSpaceDN w:val="0"/>
              <w:adjustRightInd w:val="0"/>
              <w:jc w:val="both"/>
              <w:rPr>
                <w:i/>
                <w:sz w:val="22"/>
                <w:szCs w:val="22"/>
                <w:lang w:val="sr-Latn-ME"/>
              </w:rPr>
            </w:pPr>
            <w:r w:rsidRPr="00E34696">
              <w:rPr>
                <w:i/>
                <w:sz w:val="22"/>
                <w:szCs w:val="22"/>
                <w:lang w:val="sr-Latn-ME"/>
              </w:rPr>
              <w:t>Aeromonas spp.</w:t>
            </w:r>
          </w:p>
        </w:tc>
        <w:tc>
          <w:tcPr>
            <w:tcW w:w="1403" w:type="dxa"/>
          </w:tcPr>
          <w:p w14:paraId="07F3E630" w14:textId="77777777" w:rsidR="00C06689" w:rsidRPr="00E34696" w:rsidRDefault="00C06689" w:rsidP="00E34696">
            <w:pPr>
              <w:widowControl w:val="0"/>
              <w:autoSpaceDE w:val="0"/>
              <w:autoSpaceDN w:val="0"/>
              <w:adjustRightInd w:val="0"/>
              <w:jc w:val="both"/>
              <w:rPr>
                <w:sz w:val="22"/>
                <w:szCs w:val="22"/>
                <w:lang w:val="sr-Latn-ME"/>
              </w:rPr>
            </w:pPr>
            <w:r w:rsidRPr="00E34696">
              <w:rPr>
                <w:sz w:val="22"/>
                <w:szCs w:val="22"/>
                <w:lang w:val="sr-Latn-ME"/>
              </w:rPr>
              <w:t>≤0,5 mg/l</w:t>
            </w:r>
          </w:p>
        </w:tc>
        <w:tc>
          <w:tcPr>
            <w:tcW w:w="1502" w:type="dxa"/>
          </w:tcPr>
          <w:p w14:paraId="32D2722A" w14:textId="77777777" w:rsidR="00C06689" w:rsidRPr="00E34696" w:rsidRDefault="00C06689" w:rsidP="00E34696">
            <w:pPr>
              <w:widowControl w:val="0"/>
              <w:autoSpaceDE w:val="0"/>
              <w:autoSpaceDN w:val="0"/>
              <w:adjustRightInd w:val="0"/>
              <w:jc w:val="both"/>
              <w:rPr>
                <w:sz w:val="22"/>
                <w:szCs w:val="22"/>
                <w:lang w:val="sr-Latn-ME"/>
              </w:rPr>
            </w:pPr>
            <w:r w:rsidRPr="00E34696">
              <w:rPr>
                <w:sz w:val="22"/>
                <w:szCs w:val="22"/>
                <w:lang w:val="sr-Latn-ME"/>
              </w:rPr>
              <w:t>&gt;1 mg/l</w:t>
            </w:r>
          </w:p>
        </w:tc>
      </w:tr>
      <w:tr w:rsidR="00C06689" w:rsidRPr="00E34696" w14:paraId="27A19293" w14:textId="77777777" w:rsidTr="00CF11E2">
        <w:tc>
          <w:tcPr>
            <w:tcW w:w="6158" w:type="dxa"/>
          </w:tcPr>
          <w:p w14:paraId="1BBD65B2" w14:textId="77777777" w:rsidR="00C06689" w:rsidRPr="00E34696" w:rsidRDefault="00C06689" w:rsidP="00E34696">
            <w:pPr>
              <w:widowControl w:val="0"/>
              <w:autoSpaceDE w:val="0"/>
              <w:autoSpaceDN w:val="0"/>
              <w:adjustRightInd w:val="0"/>
              <w:jc w:val="both"/>
              <w:rPr>
                <w:sz w:val="22"/>
                <w:szCs w:val="22"/>
                <w:lang w:val="sr-Latn-ME"/>
              </w:rPr>
            </w:pPr>
            <w:r w:rsidRPr="00E34696">
              <w:rPr>
                <w:sz w:val="22"/>
                <w:szCs w:val="22"/>
                <w:lang w:val="sr-Latn-ME"/>
              </w:rPr>
              <w:t>PK-PD граничне вриједности (које нијесу везане за врсту)</w:t>
            </w:r>
          </w:p>
        </w:tc>
        <w:tc>
          <w:tcPr>
            <w:tcW w:w="1403" w:type="dxa"/>
          </w:tcPr>
          <w:p w14:paraId="4BF32824" w14:textId="77777777" w:rsidR="00C06689" w:rsidRPr="00E34696" w:rsidRDefault="00C06689" w:rsidP="00E34696">
            <w:pPr>
              <w:widowControl w:val="0"/>
              <w:autoSpaceDE w:val="0"/>
              <w:autoSpaceDN w:val="0"/>
              <w:adjustRightInd w:val="0"/>
              <w:jc w:val="both"/>
              <w:rPr>
                <w:sz w:val="22"/>
                <w:szCs w:val="22"/>
                <w:lang w:val="sr-Latn-ME"/>
              </w:rPr>
            </w:pPr>
            <w:r w:rsidRPr="00E34696">
              <w:rPr>
                <w:sz w:val="22"/>
                <w:szCs w:val="22"/>
                <w:lang w:val="sr-Latn-ME"/>
              </w:rPr>
              <w:t xml:space="preserve">≤0.5 mg/l </w:t>
            </w:r>
          </w:p>
        </w:tc>
        <w:tc>
          <w:tcPr>
            <w:tcW w:w="1502" w:type="dxa"/>
          </w:tcPr>
          <w:p w14:paraId="4A57DC0C" w14:textId="77777777" w:rsidR="00C06689" w:rsidRPr="00E34696" w:rsidRDefault="00C06689" w:rsidP="00E34696">
            <w:pPr>
              <w:widowControl w:val="0"/>
              <w:autoSpaceDE w:val="0"/>
              <w:autoSpaceDN w:val="0"/>
              <w:adjustRightInd w:val="0"/>
              <w:jc w:val="both"/>
              <w:rPr>
                <w:sz w:val="22"/>
                <w:szCs w:val="22"/>
                <w:lang w:val="sr-Latn-ME"/>
              </w:rPr>
            </w:pPr>
            <w:r w:rsidRPr="00E34696">
              <w:rPr>
                <w:sz w:val="22"/>
                <w:szCs w:val="22"/>
                <w:lang w:val="sr-Latn-ME"/>
              </w:rPr>
              <w:t xml:space="preserve">&gt;1 mg/l </w:t>
            </w:r>
          </w:p>
        </w:tc>
      </w:tr>
      <w:tr w:rsidR="00C06689" w:rsidRPr="00E34696" w14:paraId="4B137FC2" w14:textId="77777777" w:rsidTr="00CF11E2">
        <w:tc>
          <w:tcPr>
            <w:tcW w:w="9063" w:type="dxa"/>
            <w:gridSpan w:val="3"/>
          </w:tcPr>
          <w:p w14:paraId="7C80DF8D" w14:textId="77777777" w:rsidR="00C06689" w:rsidRPr="00D7190C" w:rsidRDefault="00C06689" w:rsidP="00E34696">
            <w:pPr>
              <w:widowControl w:val="0"/>
              <w:autoSpaceDE w:val="0"/>
              <w:autoSpaceDN w:val="0"/>
              <w:adjustRightInd w:val="0"/>
              <w:jc w:val="both"/>
              <w:rPr>
                <w:sz w:val="20"/>
                <w:szCs w:val="22"/>
                <w:lang w:val="sr-Latn-ME"/>
              </w:rPr>
            </w:pPr>
            <w:r w:rsidRPr="00D7190C">
              <w:rPr>
                <w:sz w:val="20"/>
                <w:szCs w:val="22"/>
                <w:lang w:val="sr-Latn-ME"/>
              </w:rPr>
              <w:t>1.Само некомпликоване инфекције уринарног система</w:t>
            </w:r>
          </w:p>
          <w:p w14:paraId="770D0F5E" w14:textId="77777777" w:rsidR="00C06689" w:rsidRPr="00E34696" w:rsidRDefault="00C06689" w:rsidP="00E34696">
            <w:pPr>
              <w:widowControl w:val="0"/>
              <w:autoSpaceDE w:val="0"/>
              <w:autoSpaceDN w:val="0"/>
              <w:adjustRightInd w:val="0"/>
              <w:jc w:val="both"/>
              <w:rPr>
                <w:sz w:val="22"/>
                <w:szCs w:val="22"/>
                <w:lang w:val="sr-Latn-ME"/>
              </w:rPr>
            </w:pPr>
            <w:r w:rsidRPr="00D7190C">
              <w:rPr>
                <w:sz w:val="20"/>
                <w:szCs w:val="22"/>
                <w:lang w:val="sr-Latn-ME"/>
              </w:rPr>
              <w:t>2. Осјетљивост се може закључити на основу осјетљивости на ципрофлоксацин</w:t>
            </w:r>
          </w:p>
        </w:tc>
      </w:tr>
    </w:tbl>
    <w:p w14:paraId="461923FF" w14:textId="77777777" w:rsidR="00C06689" w:rsidRPr="00E34696" w:rsidRDefault="00C06689" w:rsidP="00E34696">
      <w:pPr>
        <w:widowControl w:val="0"/>
        <w:tabs>
          <w:tab w:val="left" w:pos="284"/>
        </w:tabs>
        <w:jc w:val="both"/>
        <w:rPr>
          <w:sz w:val="22"/>
          <w:szCs w:val="22"/>
          <w:lang w:val="sr-Latn-ME"/>
        </w:rPr>
      </w:pPr>
    </w:p>
    <w:p w14:paraId="4D86C467"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Преваленца резистенције може за поједине сојеве варирати географски и да се мијења током времена, па је пожељно имати локалне информације о резистенцији, посебно кадa се ради о лијечењу тешких инфекција. Уколико је потребно, треба потражити савјет стручњака уколико је локална преваленца резистенције таква да је корист од примјене лијека за неке бактеријске сојеве доведена у питање.</w:t>
      </w:r>
    </w:p>
    <w:p w14:paraId="46298A4B" w14:textId="77777777" w:rsidR="00C06689" w:rsidRPr="00E34696" w:rsidRDefault="00C06689" w:rsidP="00E34696">
      <w:pPr>
        <w:widowControl w:val="0"/>
        <w:tabs>
          <w:tab w:val="left" w:pos="284"/>
        </w:tabs>
        <w:jc w:val="both"/>
        <w:rPr>
          <w:sz w:val="22"/>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63"/>
      </w:tblGrid>
      <w:tr w:rsidR="00C06689" w:rsidRPr="00E34696" w14:paraId="3FFB98AB" w14:textId="77777777" w:rsidTr="00CF11E2">
        <w:tc>
          <w:tcPr>
            <w:tcW w:w="9063" w:type="dxa"/>
            <w:vAlign w:val="center"/>
          </w:tcPr>
          <w:p w14:paraId="42AB4825" w14:textId="77777777" w:rsidR="00C06689" w:rsidRPr="00E34696" w:rsidRDefault="00C06689" w:rsidP="00E34696">
            <w:pPr>
              <w:widowControl w:val="0"/>
              <w:jc w:val="both"/>
              <w:rPr>
                <w:sz w:val="22"/>
                <w:szCs w:val="22"/>
                <w:lang w:val="sr-Latn-ME"/>
              </w:rPr>
            </w:pPr>
            <w:r w:rsidRPr="00E34696">
              <w:rPr>
                <w:b/>
                <w:bCs/>
                <w:sz w:val="22"/>
                <w:szCs w:val="22"/>
                <w:lang w:val="sr-Latn-ME"/>
              </w:rPr>
              <w:t>Врсте које су обично осјетљиве на левофлоксацин</w:t>
            </w:r>
          </w:p>
        </w:tc>
      </w:tr>
      <w:tr w:rsidR="00C06689" w:rsidRPr="00E34696" w14:paraId="226E792C" w14:textId="77777777" w:rsidTr="00CF11E2">
        <w:tc>
          <w:tcPr>
            <w:tcW w:w="9063" w:type="dxa"/>
            <w:vAlign w:val="center"/>
          </w:tcPr>
          <w:p w14:paraId="321CC12C" w14:textId="77777777" w:rsidR="00C06689" w:rsidRPr="00E34696" w:rsidRDefault="00C06689" w:rsidP="00E34696">
            <w:pPr>
              <w:widowControl w:val="0"/>
              <w:jc w:val="both"/>
              <w:rPr>
                <w:b/>
                <w:bCs/>
                <w:i/>
                <w:sz w:val="22"/>
                <w:szCs w:val="22"/>
                <w:lang w:val="sr-Latn-ME"/>
              </w:rPr>
            </w:pPr>
            <w:r w:rsidRPr="00E34696">
              <w:rPr>
                <w:b/>
                <w:bCs/>
                <w:i/>
                <w:sz w:val="22"/>
                <w:szCs w:val="22"/>
                <w:lang w:val="sr-Latn-ME"/>
              </w:rPr>
              <w:t>Aeробне Грам-позитивне бактерије</w:t>
            </w:r>
          </w:p>
          <w:p w14:paraId="142B81CA" w14:textId="77777777" w:rsidR="00C06689" w:rsidRPr="00E34696" w:rsidRDefault="00C06689" w:rsidP="00E34696">
            <w:pPr>
              <w:widowControl w:val="0"/>
              <w:jc w:val="both"/>
              <w:rPr>
                <w:i/>
                <w:sz w:val="22"/>
                <w:szCs w:val="22"/>
                <w:lang w:val="sr-Latn-ME"/>
              </w:rPr>
            </w:pPr>
            <w:r w:rsidRPr="00E34696">
              <w:rPr>
                <w:bCs/>
                <w:i/>
                <w:sz w:val="22"/>
                <w:szCs w:val="22"/>
                <w:lang w:val="sr-Latn-ME"/>
              </w:rPr>
              <w:t>Bacillus anthracis</w:t>
            </w:r>
          </w:p>
          <w:p w14:paraId="641EDCD3" w14:textId="77777777" w:rsidR="00C06689" w:rsidRPr="00E34696" w:rsidRDefault="00C06689" w:rsidP="00E34696">
            <w:pPr>
              <w:widowControl w:val="0"/>
              <w:jc w:val="both"/>
              <w:rPr>
                <w:sz w:val="22"/>
                <w:szCs w:val="22"/>
                <w:lang w:val="sr-Latn-ME"/>
              </w:rPr>
            </w:pPr>
            <w:r w:rsidRPr="00E34696">
              <w:rPr>
                <w:i/>
                <w:iCs/>
                <w:sz w:val="22"/>
                <w:szCs w:val="22"/>
                <w:lang w:val="sr-Latn-ME"/>
              </w:rPr>
              <w:t>Staphylococcus aureus</w:t>
            </w:r>
            <w:r w:rsidRPr="00E34696">
              <w:rPr>
                <w:sz w:val="22"/>
                <w:szCs w:val="22"/>
                <w:lang w:val="sr-Latn-ME"/>
              </w:rPr>
              <w:t xml:space="preserve"> oсјетљив на метицилин</w:t>
            </w:r>
          </w:p>
          <w:p w14:paraId="0F0A7E92" w14:textId="77777777" w:rsidR="00C06689" w:rsidRPr="00E34696" w:rsidRDefault="00C06689" w:rsidP="00E34696">
            <w:pPr>
              <w:widowControl w:val="0"/>
              <w:jc w:val="both"/>
              <w:rPr>
                <w:sz w:val="22"/>
                <w:szCs w:val="22"/>
                <w:lang w:val="sr-Latn-ME"/>
              </w:rPr>
            </w:pPr>
            <w:r w:rsidRPr="00E34696">
              <w:rPr>
                <w:i/>
                <w:iCs/>
                <w:sz w:val="22"/>
                <w:szCs w:val="22"/>
                <w:lang w:val="sr-Latn-ME"/>
              </w:rPr>
              <w:t>Staphylococcus saprophyticus</w:t>
            </w:r>
          </w:p>
          <w:p w14:paraId="20A65A71" w14:textId="77777777" w:rsidR="00C06689" w:rsidRPr="00E34696" w:rsidRDefault="00C06689" w:rsidP="00E34696">
            <w:pPr>
              <w:widowControl w:val="0"/>
              <w:jc w:val="both"/>
              <w:rPr>
                <w:sz w:val="22"/>
                <w:szCs w:val="22"/>
                <w:lang w:val="sr-Latn-ME"/>
              </w:rPr>
            </w:pPr>
            <w:r w:rsidRPr="00E34696">
              <w:rPr>
                <w:i/>
                <w:sz w:val="22"/>
                <w:szCs w:val="22"/>
                <w:lang w:val="sr-Latn-ME"/>
              </w:rPr>
              <w:t>Streptococci</w:t>
            </w:r>
            <w:r w:rsidRPr="00E34696">
              <w:rPr>
                <w:sz w:val="22"/>
                <w:szCs w:val="22"/>
                <w:lang w:val="sr-Latn-ME"/>
              </w:rPr>
              <w:t>, групе C и G</w:t>
            </w:r>
          </w:p>
          <w:p w14:paraId="28E86BC2" w14:textId="77777777" w:rsidR="00C06689" w:rsidRPr="00E34696" w:rsidRDefault="00C06689" w:rsidP="00E34696">
            <w:pPr>
              <w:widowControl w:val="0"/>
              <w:jc w:val="both"/>
              <w:rPr>
                <w:sz w:val="22"/>
                <w:szCs w:val="22"/>
                <w:lang w:val="sr-Latn-ME"/>
              </w:rPr>
            </w:pPr>
            <w:r w:rsidRPr="00E34696">
              <w:rPr>
                <w:i/>
                <w:iCs/>
                <w:sz w:val="22"/>
                <w:szCs w:val="22"/>
                <w:lang w:val="sr-Latn-ME"/>
              </w:rPr>
              <w:t>Streptococcus agalactiae</w:t>
            </w:r>
          </w:p>
          <w:p w14:paraId="777AA89F" w14:textId="77777777" w:rsidR="00C06689" w:rsidRPr="00E34696" w:rsidRDefault="00C06689" w:rsidP="00E34696">
            <w:pPr>
              <w:widowControl w:val="0"/>
              <w:jc w:val="both"/>
              <w:rPr>
                <w:sz w:val="22"/>
                <w:szCs w:val="22"/>
                <w:lang w:val="sr-Latn-ME"/>
              </w:rPr>
            </w:pPr>
            <w:r w:rsidRPr="00E34696">
              <w:rPr>
                <w:i/>
                <w:iCs/>
                <w:sz w:val="22"/>
                <w:szCs w:val="22"/>
                <w:lang w:val="sr-Latn-ME"/>
              </w:rPr>
              <w:t>Streptococcus pneumoniae</w:t>
            </w:r>
          </w:p>
          <w:p w14:paraId="37A3CFFA" w14:textId="77777777" w:rsidR="00C06689" w:rsidRPr="00E34696" w:rsidRDefault="00C06689" w:rsidP="00E34696">
            <w:pPr>
              <w:widowControl w:val="0"/>
              <w:jc w:val="both"/>
              <w:rPr>
                <w:b/>
                <w:bCs/>
                <w:i/>
                <w:sz w:val="22"/>
                <w:szCs w:val="22"/>
                <w:lang w:val="sr-Latn-ME"/>
              </w:rPr>
            </w:pPr>
            <w:r w:rsidRPr="00E34696">
              <w:rPr>
                <w:i/>
                <w:iCs/>
                <w:sz w:val="22"/>
                <w:szCs w:val="22"/>
                <w:lang w:val="sr-Latn-ME"/>
              </w:rPr>
              <w:t>Streptococcus pyogenes</w:t>
            </w:r>
          </w:p>
        </w:tc>
      </w:tr>
      <w:tr w:rsidR="00C06689" w:rsidRPr="00E34696" w14:paraId="18E2FE87" w14:textId="77777777" w:rsidTr="00CF11E2">
        <w:tc>
          <w:tcPr>
            <w:tcW w:w="9063" w:type="dxa"/>
            <w:vAlign w:val="center"/>
          </w:tcPr>
          <w:p w14:paraId="032B4E2D" w14:textId="77777777" w:rsidR="00C06689" w:rsidRPr="00E34696" w:rsidRDefault="00C06689" w:rsidP="00E34696">
            <w:pPr>
              <w:widowControl w:val="0"/>
              <w:jc w:val="both"/>
              <w:rPr>
                <w:b/>
                <w:bCs/>
                <w:i/>
                <w:sz w:val="22"/>
                <w:szCs w:val="22"/>
                <w:lang w:val="sr-Latn-ME"/>
              </w:rPr>
            </w:pPr>
            <w:r w:rsidRPr="00E34696">
              <w:rPr>
                <w:b/>
                <w:bCs/>
                <w:i/>
                <w:sz w:val="22"/>
                <w:szCs w:val="22"/>
                <w:lang w:val="sr-Latn-ME"/>
              </w:rPr>
              <w:t>Aeробне Грам-негативне бактерије</w:t>
            </w:r>
          </w:p>
          <w:p w14:paraId="2F62C8E0" w14:textId="77777777" w:rsidR="00C06689" w:rsidRPr="00E34696" w:rsidRDefault="00C06689" w:rsidP="00E34696">
            <w:pPr>
              <w:widowControl w:val="0"/>
              <w:jc w:val="both"/>
              <w:rPr>
                <w:sz w:val="22"/>
                <w:szCs w:val="22"/>
                <w:lang w:val="sr-Latn-ME"/>
              </w:rPr>
            </w:pPr>
            <w:r w:rsidRPr="00E34696">
              <w:rPr>
                <w:i/>
                <w:iCs/>
                <w:sz w:val="22"/>
                <w:szCs w:val="22"/>
                <w:lang w:val="sr-Latn-ME"/>
              </w:rPr>
              <w:t>Eikenella corrodens</w:t>
            </w:r>
          </w:p>
          <w:p w14:paraId="7BC0F983" w14:textId="77777777" w:rsidR="00C06689" w:rsidRPr="00E34696" w:rsidRDefault="00C06689" w:rsidP="00E34696">
            <w:pPr>
              <w:widowControl w:val="0"/>
              <w:jc w:val="both"/>
              <w:rPr>
                <w:sz w:val="22"/>
                <w:szCs w:val="22"/>
                <w:lang w:val="sr-Latn-ME"/>
              </w:rPr>
            </w:pPr>
            <w:r w:rsidRPr="00E34696">
              <w:rPr>
                <w:i/>
                <w:iCs/>
                <w:sz w:val="22"/>
                <w:szCs w:val="22"/>
                <w:lang w:val="sr-Latn-ME"/>
              </w:rPr>
              <w:t>Haemophilus influenzae</w:t>
            </w:r>
          </w:p>
          <w:p w14:paraId="35311A04" w14:textId="77777777" w:rsidR="00C06689" w:rsidRPr="00E34696" w:rsidRDefault="00C06689" w:rsidP="00E34696">
            <w:pPr>
              <w:widowControl w:val="0"/>
              <w:jc w:val="both"/>
              <w:rPr>
                <w:sz w:val="22"/>
                <w:szCs w:val="22"/>
                <w:lang w:val="sr-Latn-ME"/>
              </w:rPr>
            </w:pPr>
            <w:r w:rsidRPr="00E34696">
              <w:rPr>
                <w:i/>
                <w:iCs/>
                <w:sz w:val="22"/>
                <w:szCs w:val="22"/>
                <w:lang w:val="sr-Latn-ME"/>
              </w:rPr>
              <w:t>Haemophilus para-influenzae</w:t>
            </w:r>
          </w:p>
          <w:p w14:paraId="37BFD602" w14:textId="77777777" w:rsidR="00C06689" w:rsidRPr="00E34696" w:rsidRDefault="00C06689" w:rsidP="00E34696">
            <w:pPr>
              <w:widowControl w:val="0"/>
              <w:jc w:val="both"/>
              <w:rPr>
                <w:sz w:val="22"/>
                <w:szCs w:val="22"/>
                <w:lang w:val="sr-Latn-ME"/>
              </w:rPr>
            </w:pPr>
            <w:r w:rsidRPr="00E34696">
              <w:rPr>
                <w:i/>
                <w:iCs/>
                <w:sz w:val="22"/>
                <w:szCs w:val="22"/>
                <w:lang w:val="sr-Latn-ME"/>
              </w:rPr>
              <w:t>Klebsiella oxytoca</w:t>
            </w:r>
          </w:p>
          <w:p w14:paraId="5581DA4D" w14:textId="77777777" w:rsidR="00C06689" w:rsidRPr="00E34696" w:rsidRDefault="00C06689" w:rsidP="00E34696">
            <w:pPr>
              <w:widowControl w:val="0"/>
              <w:jc w:val="both"/>
              <w:rPr>
                <w:sz w:val="22"/>
                <w:szCs w:val="22"/>
                <w:lang w:val="sr-Latn-ME"/>
              </w:rPr>
            </w:pPr>
            <w:r w:rsidRPr="00E34696">
              <w:rPr>
                <w:i/>
                <w:iCs/>
                <w:sz w:val="22"/>
                <w:szCs w:val="22"/>
                <w:lang w:val="sr-Latn-ME"/>
              </w:rPr>
              <w:t>Moraxella catarrhalis</w:t>
            </w:r>
          </w:p>
          <w:p w14:paraId="71A09210" w14:textId="77777777" w:rsidR="00C06689" w:rsidRPr="00E34696" w:rsidRDefault="00C06689" w:rsidP="00E34696">
            <w:pPr>
              <w:widowControl w:val="0"/>
              <w:jc w:val="both"/>
              <w:rPr>
                <w:sz w:val="22"/>
                <w:szCs w:val="22"/>
                <w:lang w:val="sr-Latn-ME"/>
              </w:rPr>
            </w:pPr>
            <w:r w:rsidRPr="00E34696">
              <w:rPr>
                <w:i/>
                <w:iCs/>
                <w:sz w:val="22"/>
                <w:szCs w:val="22"/>
                <w:lang w:val="sr-Latn-ME"/>
              </w:rPr>
              <w:t>Pasteurella multocida</w:t>
            </w:r>
          </w:p>
          <w:p w14:paraId="381064B4" w14:textId="77777777" w:rsidR="00C06689" w:rsidRPr="00E34696" w:rsidRDefault="00C06689" w:rsidP="00E34696">
            <w:pPr>
              <w:widowControl w:val="0"/>
              <w:jc w:val="both"/>
              <w:rPr>
                <w:sz w:val="22"/>
                <w:szCs w:val="22"/>
                <w:lang w:val="sr-Latn-ME"/>
              </w:rPr>
            </w:pPr>
            <w:r w:rsidRPr="00E34696">
              <w:rPr>
                <w:i/>
                <w:iCs/>
                <w:sz w:val="22"/>
                <w:szCs w:val="22"/>
                <w:lang w:val="sr-Latn-ME"/>
              </w:rPr>
              <w:t>Proteus vulgaris</w:t>
            </w:r>
          </w:p>
          <w:p w14:paraId="67F40EA7" w14:textId="77777777" w:rsidR="00C06689" w:rsidRPr="00E34696" w:rsidRDefault="00C06689" w:rsidP="00E34696">
            <w:pPr>
              <w:widowControl w:val="0"/>
              <w:jc w:val="both"/>
              <w:rPr>
                <w:sz w:val="22"/>
                <w:szCs w:val="22"/>
                <w:lang w:val="sr-Latn-ME"/>
              </w:rPr>
            </w:pPr>
            <w:r w:rsidRPr="00E34696">
              <w:rPr>
                <w:i/>
                <w:iCs/>
                <w:sz w:val="22"/>
                <w:szCs w:val="22"/>
                <w:lang w:val="sr-Latn-ME"/>
              </w:rPr>
              <w:t>Providencia rettgeri</w:t>
            </w:r>
          </w:p>
        </w:tc>
      </w:tr>
      <w:tr w:rsidR="00C06689" w:rsidRPr="00E34696" w14:paraId="493D21D6" w14:textId="77777777" w:rsidTr="00CF11E2">
        <w:tc>
          <w:tcPr>
            <w:tcW w:w="9063" w:type="dxa"/>
            <w:vAlign w:val="center"/>
          </w:tcPr>
          <w:p w14:paraId="574B3D0F" w14:textId="77777777" w:rsidR="00C06689" w:rsidRPr="00E34696" w:rsidRDefault="00C06689" w:rsidP="00E34696">
            <w:pPr>
              <w:widowControl w:val="0"/>
              <w:jc w:val="both"/>
              <w:rPr>
                <w:i/>
                <w:sz w:val="22"/>
                <w:szCs w:val="22"/>
                <w:lang w:val="sr-Latn-ME"/>
              </w:rPr>
            </w:pPr>
            <w:r w:rsidRPr="00E34696">
              <w:rPr>
                <w:b/>
                <w:bCs/>
                <w:i/>
                <w:sz w:val="22"/>
                <w:szCs w:val="22"/>
                <w:lang w:val="sr-Latn-ME"/>
              </w:rPr>
              <w:t>Aнаеробне бактерије</w:t>
            </w:r>
          </w:p>
          <w:p w14:paraId="7C72553E" w14:textId="77777777" w:rsidR="00C06689" w:rsidRPr="00E34696" w:rsidRDefault="00C06689" w:rsidP="00E34696">
            <w:pPr>
              <w:widowControl w:val="0"/>
              <w:jc w:val="both"/>
              <w:rPr>
                <w:sz w:val="22"/>
                <w:szCs w:val="22"/>
                <w:lang w:val="sr-Latn-ME"/>
              </w:rPr>
            </w:pPr>
            <w:r w:rsidRPr="00E34696">
              <w:rPr>
                <w:i/>
                <w:iCs/>
                <w:sz w:val="22"/>
                <w:szCs w:val="22"/>
                <w:lang w:val="sr-Latn-ME"/>
              </w:rPr>
              <w:t>Peptostreptococcus</w:t>
            </w:r>
          </w:p>
        </w:tc>
      </w:tr>
      <w:tr w:rsidR="00C06689" w:rsidRPr="00E34696" w14:paraId="74789589" w14:textId="77777777" w:rsidTr="00CF11E2">
        <w:tc>
          <w:tcPr>
            <w:tcW w:w="9063" w:type="dxa"/>
            <w:vAlign w:val="center"/>
          </w:tcPr>
          <w:p w14:paraId="4947E163" w14:textId="77777777" w:rsidR="00C06689" w:rsidRPr="00E34696" w:rsidRDefault="00C06689" w:rsidP="00E34696">
            <w:pPr>
              <w:widowControl w:val="0"/>
              <w:jc w:val="both"/>
              <w:rPr>
                <w:i/>
                <w:sz w:val="22"/>
                <w:szCs w:val="22"/>
                <w:lang w:val="sr-Latn-ME"/>
              </w:rPr>
            </w:pPr>
            <w:r w:rsidRPr="00E34696">
              <w:rPr>
                <w:b/>
                <w:bCs/>
                <w:i/>
                <w:sz w:val="22"/>
                <w:szCs w:val="22"/>
                <w:lang w:val="sr-Latn-ME"/>
              </w:rPr>
              <w:t>Oстале</w:t>
            </w:r>
          </w:p>
          <w:p w14:paraId="659E7A37" w14:textId="77777777" w:rsidR="00C06689" w:rsidRPr="00E34696" w:rsidRDefault="00C06689" w:rsidP="00E34696">
            <w:pPr>
              <w:widowControl w:val="0"/>
              <w:jc w:val="both"/>
              <w:rPr>
                <w:i/>
                <w:iCs/>
                <w:sz w:val="22"/>
                <w:szCs w:val="22"/>
                <w:lang w:val="sr-Latn-ME"/>
              </w:rPr>
            </w:pPr>
            <w:r w:rsidRPr="00E34696">
              <w:rPr>
                <w:i/>
                <w:sz w:val="22"/>
                <w:szCs w:val="22"/>
                <w:lang w:val="sr-Latn-ME"/>
              </w:rPr>
              <w:t>Chlamydophila</w:t>
            </w:r>
            <w:r w:rsidRPr="00E34696">
              <w:rPr>
                <w:i/>
                <w:iCs/>
                <w:sz w:val="22"/>
                <w:szCs w:val="22"/>
                <w:lang w:val="sr-Latn-ME"/>
              </w:rPr>
              <w:t xml:space="preserve"> pneumoniae</w:t>
            </w:r>
          </w:p>
          <w:p w14:paraId="0BC3755D" w14:textId="77777777" w:rsidR="00C06689" w:rsidRPr="00E34696" w:rsidRDefault="00C06689" w:rsidP="00E34696">
            <w:pPr>
              <w:widowControl w:val="0"/>
              <w:jc w:val="both"/>
              <w:rPr>
                <w:sz w:val="22"/>
                <w:szCs w:val="22"/>
                <w:lang w:val="sr-Latn-ME"/>
              </w:rPr>
            </w:pPr>
            <w:r w:rsidRPr="00E34696">
              <w:rPr>
                <w:i/>
                <w:sz w:val="22"/>
                <w:szCs w:val="22"/>
                <w:lang w:val="sr-Latn-ME"/>
              </w:rPr>
              <w:t>Chlamydophila</w:t>
            </w:r>
            <w:r w:rsidRPr="00E34696">
              <w:rPr>
                <w:i/>
                <w:iCs/>
                <w:sz w:val="22"/>
                <w:szCs w:val="22"/>
                <w:lang w:val="sr-Latn-ME"/>
              </w:rPr>
              <w:t xml:space="preserve"> psittaci</w:t>
            </w:r>
          </w:p>
          <w:p w14:paraId="647A1B0B" w14:textId="77777777" w:rsidR="00C06689" w:rsidRPr="00E34696" w:rsidRDefault="00C06689" w:rsidP="00E34696">
            <w:pPr>
              <w:widowControl w:val="0"/>
              <w:jc w:val="both"/>
              <w:rPr>
                <w:sz w:val="22"/>
                <w:szCs w:val="22"/>
                <w:lang w:val="sr-Latn-ME"/>
              </w:rPr>
            </w:pPr>
            <w:r w:rsidRPr="00E34696">
              <w:rPr>
                <w:i/>
                <w:iCs/>
                <w:sz w:val="22"/>
                <w:szCs w:val="22"/>
                <w:lang w:val="sr-Latn-ME"/>
              </w:rPr>
              <w:lastRenderedPageBreak/>
              <w:t>Chlamydia trachomatis</w:t>
            </w:r>
          </w:p>
          <w:p w14:paraId="3B6C5FEB" w14:textId="77777777" w:rsidR="00C06689" w:rsidRPr="00E34696" w:rsidRDefault="00C06689" w:rsidP="00E34696">
            <w:pPr>
              <w:widowControl w:val="0"/>
              <w:jc w:val="both"/>
              <w:rPr>
                <w:sz w:val="22"/>
                <w:szCs w:val="22"/>
                <w:lang w:val="sr-Latn-ME"/>
              </w:rPr>
            </w:pPr>
            <w:r w:rsidRPr="00E34696">
              <w:rPr>
                <w:i/>
                <w:iCs/>
                <w:sz w:val="22"/>
                <w:szCs w:val="22"/>
                <w:lang w:val="sr-Latn-ME"/>
              </w:rPr>
              <w:t>Legionella pneumophila</w:t>
            </w:r>
          </w:p>
          <w:p w14:paraId="47A89BED" w14:textId="77777777" w:rsidR="00C06689" w:rsidRPr="00E34696" w:rsidRDefault="00C06689" w:rsidP="00E34696">
            <w:pPr>
              <w:widowControl w:val="0"/>
              <w:jc w:val="both"/>
              <w:rPr>
                <w:sz w:val="22"/>
                <w:szCs w:val="22"/>
                <w:lang w:val="sr-Latn-ME"/>
              </w:rPr>
            </w:pPr>
            <w:r w:rsidRPr="00E34696">
              <w:rPr>
                <w:i/>
                <w:iCs/>
                <w:sz w:val="22"/>
                <w:szCs w:val="22"/>
                <w:lang w:val="sr-Latn-ME"/>
              </w:rPr>
              <w:t>Mycoplasma pneumoniae</w:t>
            </w:r>
          </w:p>
          <w:p w14:paraId="2A72BFF8" w14:textId="77777777" w:rsidR="00C06689" w:rsidRPr="00E34696" w:rsidRDefault="00C06689" w:rsidP="00E34696">
            <w:pPr>
              <w:widowControl w:val="0"/>
              <w:jc w:val="both"/>
              <w:rPr>
                <w:sz w:val="22"/>
                <w:szCs w:val="22"/>
                <w:lang w:val="sr-Latn-ME"/>
              </w:rPr>
            </w:pPr>
            <w:r w:rsidRPr="00E34696">
              <w:rPr>
                <w:i/>
                <w:iCs/>
                <w:sz w:val="22"/>
                <w:szCs w:val="22"/>
                <w:lang w:val="sr-Latn-ME"/>
              </w:rPr>
              <w:t>Mycoplasma hominis</w:t>
            </w:r>
          </w:p>
          <w:p w14:paraId="0F3B6404" w14:textId="77777777" w:rsidR="00C06689" w:rsidRPr="00E34696" w:rsidRDefault="00C06689" w:rsidP="00E34696">
            <w:pPr>
              <w:widowControl w:val="0"/>
              <w:jc w:val="both"/>
              <w:rPr>
                <w:i/>
                <w:sz w:val="22"/>
                <w:szCs w:val="22"/>
                <w:lang w:val="sr-Latn-ME"/>
              </w:rPr>
            </w:pPr>
            <w:r w:rsidRPr="00E34696">
              <w:rPr>
                <w:i/>
                <w:sz w:val="22"/>
                <w:szCs w:val="22"/>
                <w:lang w:val="sr-Latn-ME"/>
              </w:rPr>
              <w:t>Ureaplasma urealyticum</w:t>
            </w:r>
          </w:p>
        </w:tc>
      </w:tr>
    </w:tbl>
    <w:p w14:paraId="510DAFCA" w14:textId="77777777" w:rsidR="00C06689" w:rsidRPr="00E34696" w:rsidRDefault="00C06689" w:rsidP="00E34696">
      <w:pPr>
        <w:widowControl w:val="0"/>
        <w:tabs>
          <w:tab w:val="left" w:pos="284"/>
        </w:tabs>
        <w:jc w:val="both"/>
        <w:rPr>
          <w:sz w:val="22"/>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63"/>
      </w:tblGrid>
      <w:tr w:rsidR="00C06689" w:rsidRPr="00E34696" w14:paraId="3122712C" w14:textId="77777777" w:rsidTr="00CF11E2">
        <w:tc>
          <w:tcPr>
            <w:tcW w:w="9063" w:type="dxa"/>
            <w:vAlign w:val="center"/>
          </w:tcPr>
          <w:p w14:paraId="151DBE83" w14:textId="77777777" w:rsidR="00C06689" w:rsidRPr="00E34696" w:rsidRDefault="00C06689" w:rsidP="00E34696">
            <w:pPr>
              <w:widowControl w:val="0"/>
              <w:jc w:val="both"/>
              <w:rPr>
                <w:b/>
                <w:bCs/>
                <w:sz w:val="22"/>
                <w:szCs w:val="22"/>
                <w:lang w:val="sr-Latn-ME"/>
              </w:rPr>
            </w:pPr>
            <w:r w:rsidRPr="00E34696">
              <w:rPr>
                <w:b/>
                <w:sz w:val="22"/>
                <w:szCs w:val="22"/>
                <w:lang w:val="sr-Latn-ME"/>
              </w:rPr>
              <w:t>Врсте код којих се може развити стечена резистенција</w:t>
            </w:r>
          </w:p>
        </w:tc>
      </w:tr>
      <w:tr w:rsidR="00C06689" w:rsidRPr="00E34696" w14:paraId="396FD925" w14:textId="77777777" w:rsidTr="00CF11E2">
        <w:tc>
          <w:tcPr>
            <w:tcW w:w="9063" w:type="dxa"/>
            <w:vAlign w:val="center"/>
          </w:tcPr>
          <w:p w14:paraId="115C66B3" w14:textId="77777777" w:rsidR="00C06689" w:rsidRPr="00E34696" w:rsidRDefault="00C06689" w:rsidP="00E34696">
            <w:pPr>
              <w:widowControl w:val="0"/>
              <w:jc w:val="both"/>
              <w:rPr>
                <w:b/>
                <w:bCs/>
                <w:i/>
                <w:sz w:val="22"/>
                <w:szCs w:val="22"/>
                <w:lang w:val="sr-Latn-ME"/>
              </w:rPr>
            </w:pPr>
            <w:r w:rsidRPr="00E34696">
              <w:rPr>
                <w:b/>
                <w:bCs/>
                <w:i/>
                <w:sz w:val="22"/>
                <w:szCs w:val="22"/>
                <w:lang w:val="sr-Latn-ME"/>
              </w:rPr>
              <w:t>Aeробне Грам-позитивне бактерије</w:t>
            </w:r>
          </w:p>
          <w:p w14:paraId="20DC9FF8" w14:textId="77777777" w:rsidR="00C06689" w:rsidRPr="00E34696" w:rsidRDefault="00C06689" w:rsidP="00E34696">
            <w:pPr>
              <w:widowControl w:val="0"/>
              <w:jc w:val="both"/>
              <w:rPr>
                <w:sz w:val="22"/>
                <w:szCs w:val="22"/>
                <w:lang w:val="sr-Latn-ME"/>
              </w:rPr>
            </w:pPr>
            <w:r w:rsidRPr="00E34696">
              <w:rPr>
                <w:i/>
                <w:iCs/>
                <w:sz w:val="22"/>
                <w:szCs w:val="22"/>
                <w:lang w:val="sr-Latn-ME"/>
              </w:rPr>
              <w:t>Enterococcus faecalis</w:t>
            </w:r>
          </w:p>
          <w:p w14:paraId="4AF1B6BF" w14:textId="77777777" w:rsidR="00C06689" w:rsidRPr="00E34696" w:rsidRDefault="00C06689" w:rsidP="00E34696">
            <w:pPr>
              <w:widowControl w:val="0"/>
              <w:jc w:val="both"/>
              <w:rPr>
                <w:sz w:val="22"/>
                <w:szCs w:val="22"/>
                <w:lang w:val="sr-Latn-ME"/>
              </w:rPr>
            </w:pPr>
            <w:r w:rsidRPr="00E34696">
              <w:rPr>
                <w:i/>
                <w:iCs/>
                <w:sz w:val="22"/>
                <w:szCs w:val="22"/>
                <w:lang w:val="sr-Latn-ME"/>
              </w:rPr>
              <w:t>Staphylococcus aureus</w:t>
            </w:r>
            <w:r w:rsidRPr="00E34696">
              <w:rPr>
                <w:sz w:val="22"/>
                <w:szCs w:val="22"/>
                <w:lang w:val="sr-Latn-ME"/>
              </w:rPr>
              <w:t xml:space="preserve"> (метицилин-резистентни) </w:t>
            </w:r>
            <w:r w:rsidRPr="00E34696">
              <w:rPr>
                <w:sz w:val="22"/>
                <w:szCs w:val="22"/>
                <w:vertAlign w:val="superscript"/>
                <w:lang w:val="sr-Latn-ME"/>
              </w:rPr>
              <w:t>#</w:t>
            </w:r>
          </w:p>
          <w:p w14:paraId="35FCAC6E" w14:textId="77777777" w:rsidR="00C06689" w:rsidRPr="00E34696" w:rsidRDefault="00C06689" w:rsidP="00E34696">
            <w:pPr>
              <w:widowControl w:val="0"/>
              <w:jc w:val="both"/>
              <w:rPr>
                <w:sz w:val="22"/>
                <w:szCs w:val="22"/>
                <w:lang w:val="sr-Latn-ME"/>
              </w:rPr>
            </w:pPr>
            <w:r w:rsidRPr="00E34696">
              <w:rPr>
                <w:sz w:val="22"/>
                <w:szCs w:val="22"/>
                <w:lang w:val="sr-Latn-ME"/>
              </w:rPr>
              <w:t xml:space="preserve">Коагулаза негативни </w:t>
            </w:r>
            <w:r w:rsidRPr="00E34696">
              <w:rPr>
                <w:i/>
                <w:sz w:val="22"/>
                <w:szCs w:val="22"/>
                <w:lang w:val="sr-Latn-ME"/>
              </w:rPr>
              <w:t xml:space="preserve">Staphylococcus </w:t>
            </w:r>
            <w:r w:rsidRPr="00E34696">
              <w:rPr>
                <w:i/>
                <w:iCs/>
                <w:sz w:val="22"/>
                <w:szCs w:val="22"/>
                <w:lang w:val="sr-Latn-ME"/>
              </w:rPr>
              <w:t xml:space="preserve">spp. </w:t>
            </w:r>
          </w:p>
        </w:tc>
      </w:tr>
      <w:tr w:rsidR="00C06689" w:rsidRPr="00E34696" w14:paraId="20D07A45" w14:textId="77777777" w:rsidTr="00CF11E2">
        <w:tc>
          <w:tcPr>
            <w:tcW w:w="9063" w:type="dxa"/>
            <w:vAlign w:val="center"/>
          </w:tcPr>
          <w:p w14:paraId="12EA2A79" w14:textId="77777777" w:rsidR="00C06689" w:rsidRPr="00E34696" w:rsidRDefault="00C06689" w:rsidP="00E34696">
            <w:pPr>
              <w:widowControl w:val="0"/>
              <w:jc w:val="both"/>
              <w:rPr>
                <w:i/>
                <w:sz w:val="22"/>
                <w:szCs w:val="22"/>
                <w:lang w:val="sr-Latn-ME"/>
              </w:rPr>
            </w:pPr>
            <w:r w:rsidRPr="00E34696">
              <w:rPr>
                <w:b/>
                <w:bCs/>
                <w:i/>
                <w:sz w:val="22"/>
                <w:szCs w:val="22"/>
                <w:lang w:val="sr-Latn-ME"/>
              </w:rPr>
              <w:t>Aeробне Грам-негативне бактерије</w:t>
            </w:r>
          </w:p>
          <w:p w14:paraId="3C6C291E" w14:textId="77777777" w:rsidR="00C06689" w:rsidRPr="00E34696" w:rsidRDefault="00C06689" w:rsidP="00E34696">
            <w:pPr>
              <w:widowControl w:val="0"/>
              <w:jc w:val="both"/>
              <w:rPr>
                <w:sz w:val="22"/>
                <w:szCs w:val="22"/>
                <w:lang w:val="sr-Latn-ME"/>
              </w:rPr>
            </w:pPr>
            <w:r w:rsidRPr="00E34696">
              <w:rPr>
                <w:i/>
                <w:iCs/>
                <w:sz w:val="22"/>
                <w:szCs w:val="22"/>
                <w:lang w:val="sr-Latn-ME"/>
              </w:rPr>
              <w:t>Acinetobacter baumannii</w:t>
            </w:r>
          </w:p>
          <w:p w14:paraId="1C72307A" w14:textId="77777777" w:rsidR="00C06689" w:rsidRPr="00E34696" w:rsidRDefault="00C06689" w:rsidP="00E34696">
            <w:pPr>
              <w:widowControl w:val="0"/>
              <w:jc w:val="both"/>
              <w:rPr>
                <w:sz w:val="22"/>
                <w:szCs w:val="22"/>
                <w:lang w:val="sr-Latn-ME"/>
              </w:rPr>
            </w:pPr>
            <w:r w:rsidRPr="00E34696">
              <w:rPr>
                <w:i/>
                <w:iCs/>
                <w:sz w:val="22"/>
                <w:szCs w:val="22"/>
                <w:lang w:val="sr-Latn-ME"/>
              </w:rPr>
              <w:t>Citrobacter freundii</w:t>
            </w:r>
          </w:p>
          <w:p w14:paraId="63BA8439" w14:textId="77777777" w:rsidR="00C06689" w:rsidRPr="00E34696" w:rsidRDefault="00C06689" w:rsidP="00E34696">
            <w:pPr>
              <w:widowControl w:val="0"/>
              <w:jc w:val="both"/>
              <w:rPr>
                <w:sz w:val="22"/>
                <w:szCs w:val="22"/>
                <w:lang w:val="sr-Latn-ME"/>
              </w:rPr>
            </w:pPr>
            <w:r w:rsidRPr="00E34696">
              <w:rPr>
                <w:i/>
                <w:iCs/>
                <w:sz w:val="22"/>
                <w:szCs w:val="22"/>
                <w:lang w:val="sr-Latn-ME"/>
              </w:rPr>
              <w:t>Enterobacter aerogenes</w:t>
            </w:r>
          </w:p>
          <w:p w14:paraId="056F58A0" w14:textId="77777777" w:rsidR="00C06689" w:rsidRPr="00E34696" w:rsidRDefault="00C06689" w:rsidP="00E34696">
            <w:pPr>
              <w:widowControl w:val="0"/>
              <w:jc w:val="both"/>
              <w:rPr>
                <w:sz w:val="22"/>
                <w:szCs w:val="22"/>
                <w:lang w:val="sr-Latn-ME"/>
              </w:rPr>
            </w:pPr>
            <w:r w:rsidRPr="00E34696">
              <w:rPr>
                <w:i/>
                <w:iCs/>
                <w:sz w:val="22"/>
                <w:szCs w:val="22"/>
                <w:lang w:val="sr-Latn-ME"/>
              </w:rPr>
              <w:t>Enterobacter cloacae</w:t>
            </w:r>
          </w:p>
          <w:p w14:paraId="1BA7A468" w14:textId="77777777" w:rsidR="00C06689" w:rsidRPr="00E34696" w:rsidRDefault="00C06689" w:rsidP="00E34696">
            <w:pPr>
              <w:widowControl w:val="0"/>
              <w:jc w:val="both"/>
              <w:rPr>
                <w:i/>
                <w:iCs/>
                <w:sz w:val="22"/>
                <w:szCs w:val="22"/>
                <w:lang w:val="sr-Latn-ME"/>
              </w:rPr>
            </w:pPr>
            <w:r w:rsidRPr="00E34696">
              <w:rPr>
                <w:i/>
                <w:iCs/>
                <w:sz w:val="22"/>
                <w:szCs w:val="22"/>
                <w:lang w:val="sr-Latn-ME"/>
              </w:rPr>
              <w:t>Escherichia coli</w:t>
            </w:r>
          </w:p>
          <w:p w14:paraId="095AD8B1" w14:textId="77777777" w:rsidR="00C06689" w:rsidRPr="00E34696" w:rsidRDefault="00C06689" w:rsidP="00E34696">
            <w:pPr>
              <w:widowControl w:val="0"/>
              <w:jc w:val="both"/>
              <w:rPr>
                <w:sz w:val="22"/>
                <w:szCs w:val="22"/>
                <w:lang w:val="sr-Latn-ME"/>
              </w:rPr>
            </w:pPr>
            <w:r w:rsidRPr="00E34696">
              <w:rPr>
                <w:i/>
                <w:iCs/>
                <w:sz w:val="22"/>
                <w:szCs w:val="22"/>
                <w:lang w:val="sr-Latn-ME"/>
              </w:rPr>
              <w:t>Klebsiella pneumoniae</w:t>
            </w:r>
          </w:p>
          <w:p w14:paraId="7D37A689" w14:textId="77777777" w:rsidR="00C06689" w:rsidRPr="00E34696" w:rsidRDefault="00C06689" w:rsidP="00E34696">
            <w:pPr>
              <w:widowControl w:val="0"/>
              <w:jc w:val="both"/>
              <w:rPr>
                <w:sz w:val="22"/>
                <w:szCs w:val="22"/>
                <w:lang w:val="sr-Latn-ME"/>
              </w:rPr>
            </w:pPr>
            <w:r w:rsidRPr="00E34696">
              <w:rPr>
                <w:i/>
                <w:iCs/>
                <w:sz w:val="22"/>
                <w:szCs w:val="22"/>
                <w:lang w:val="sr-Latn-ME"/>
              </w:rPr>
              <w:t>Morganella morganii</w:t>
            </w:r>
          </w:p>
          <w:p w14:paraId="5AFCC45D" w14:textId="77777777" w:rsidR="00C06689" w:rsidRPr="00E34696" w:rsidRDefault="00C06689" w:rsidP="00E34696">
            <w:pPr>
              <w:widowControl w:val="0"/>
              <w:jc w:val="both"/>
              <w:rPr>
                <w:sz w:val="22"/>
                <w:szCs w:val="22"/>
                <w:lang w:val="sr-Latn-ME"/>
              </w:rPr>
            </w:pPr>
            <w:r w:rsidRPr="00E34696">
              <w:rPr>
                <w:i/>
                <w:iCs/>
                <w:sz w:val="22"/>
                <w:szCs w:val="22"/>
                <w:lang w:val="sr-Latn-ME"/>
              </w:rPr>
              <w:t>Proteus mirabilis</w:t>
            </w:r>
          </w:p>
          <w:p w14:paraId="2E060186" w14:textId="77777777" w:rsidR="00C06689" w:rsidRPr="00E34696" w:rsidRDefault="00C06689" w:rsidP="00E34696">
            <w:pPr>
              <w:widowControl w:val="0"/>
              <w:jc w:val="both"/>
              <w:rPr>
                <w:sz w:val="22"/>
                <w:szCs w:val="22"/>
                <w:lang w:val="sr-Latn-ME"/>
              </w:rPr>
            </w:pPr>
            <w:r w:rsidRPr="00E34696">
              <w:rPr>
                <w:i/>
                <w:iCs/>
                <w:sz w:val="22"/>
                <w:szCs w:val="22"/>
                <w:lang w:val="sr-Latn-ME"/>
              </w:rPr>
              <w:t>Providencia stuartii</w:t>
            </w:r>
          </w:p>
          <w:p w14:paraId="37752E13" w14:textId="77777777" w:rsidR="00C06689" w:rsidRPr="00E34696" w:rsidRDefault="00C06689" w:rsidP="00E34696">
            <w:pPr>
              <w:widowControl w:val="0"/>
              <w:jc w:val="both"/>
              <w:rPr>
                <w:sz w:val="22"/>
                <w:szCs w:val="22"/>
                <w:lang w:val="sr-Latn-ME"/>
              </w:rPr>
            </w:pPr>
            <w:r w:rsidRPr="00E34696">
              <w:rPr>
                <w:i/>
                <w:iCs/>
                <w:sz w:val="22"/>
                <w:szCs w:val="22"/>
                <w:lang w:val="sr-Latn-ME"/>
              </w:rPr>
              <w:t>Pseudomonas aeruginosa</w:t>
            </w:r>
          </w:p>
          <w:p w14:paraId="257551D1" w14:textId="77777777" w:rsidR="00C06689" w:rsidRPr="00E34696" w:rsidRDefault="00C06689" w:rsidP="00E34696">
            <w:pPr>
              <w:widowControl w:val="0"/>
              <w:tabs>
                <w:tab w:val="left" w:pos="284"/>
              </w:tabs>
              <w:jc w:val="both"/>
              <w:rPr>
                <w:b/>
                <w:bCs/>
                <w:i/>
                <w:iCs/>
                <w:sz w:val="22"/>
                <w:szCs w:val="22"/>
                <w:lang w:val="sr-Latn-ME"/>
              </w:rPr>
            </w:pPr>
            <w:r w:rsidRPr="00E34696">
              <w:rPr>
                <w:i/>
                <w:iCs/>
                <w:sz w:val="22"/>
                <w:szCs w:val="22"/>
                <w:lang w:val="sr-Latn-ME"/>
              </w:rPr>
              <w:t>Serratia marcescens</w:t>
            </w:r>
          </w:p>
        </w:tc>
      </w:tr>
      <w:tr w:rsidR="00C06689" w:rsidRPr="00E34696" w14:paraId="4CD1D50D" w14:textId="77777777" w:rsidTr="00CF11E2">
        <w:tc>
          <w:tcPr>
            <w:tcW w:w="9063" w:type="dxa"/>
            <w:vAlign w:val="center"/>
          </w:tcPr>
          <w:p w14:paraId="78EF7D82" w14:textId="77777777" w:rsidR="00C06689" w:rsidRPr="00E34696" w:rsidRDefault="00C06689" w:rsidP="00E34696">
            <w:pPr>
              <w:widowControl w:val="0"/>
              <w:jc w:val="both"/>
              <w:rPr>
                <w:i/>
                <w:sz w:val="22"/>
                <w:szCs w:val="22"/>
                <w:lang w:val="sr-Latn-ME"/>
              </w:rPr>
            </w:pPr>
            <w:r w:rsidRPr="00E34696">
              <w:rPr>
                <w:b/>
                <w:bCs/>
                <w:i/>
                <w:sz w:val="22"/>
                <w:szCs w:val="22"/>
                <w:lang w:val="sr-Latn-ME"/>
              </w:rPr>
              <w:t>Aнаеробне бактерије</w:t>
            </w:r>
          </w:p>
          <w:p w14:paraId="16AED944" w14:textId="77777777" w:rsidR="00C06689" w:rsidRPr="00E34696" w:rsidRDefault="00C06689" w:rsidP="00E34696">
            <w:pPr>
              <w:widowControl w:val="0"/>
              <w:jc w:val="both"/>
              <w:rPr>
                <w:i/>
                <w:sz w:val="22"/>
                <w:szCs w:val="22"/>
                <w:lang w:val="sr-Latn-ME"/>
              </w:rPr>
            </w:pPr>
            <w:r w:rsidRPr="00E34696">
              <w:rPr>
                <w:i/>
                <w:sz w:val="22"/>
                <w:szCs w:val="22"/>
                <w:lang w:val="sr-Latn-ME"/>
              </w:rPr>
              <w:t>Bacteroides fragilis</w:t>
            </w:r>
          </w:p>
        </w:tc>
      </w:tr>
    </w:tbl>
    <w:p w14:paraId="28E73B46"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63"/>
      </w:tblGrid>
      <w:tr w:rsidR="00C06689" w:rsidRPr="00E34696" w14:paraId="42C054EE" w14:textId="77777777" w:rsidTr="00CF11E2">
        <w:tc>
          <w:tcPr>
            <w:tcW w:w="9063" w:type="dxa"/>
            <w:vAlign w:val="center"/>
          </w:tcPr>
          <w:p w14:paraId="49D9C751" w14:textId="77777777" w:rsidR="00C06689" w:rsidRPr="00E34696" w:rsidRDefault="00C06689" w:rsidP="00E34696">
            <w:pPr>
              <w:widowControl w:val="0"/>
              <w:tabs>
                <w:tab w:val="left" w:pos="284"/>
              </w:tabs>
              <w:jc w:val="both"/>
              <w:rPr>
                <w:b/>
                <w:iCs/>
                <w:sz w:val="22"/>
                <w:szCs w:val="22"/>
                <w:lang w:val="sr-Latn-ME"/>
              </w:rPr>
            </w:pPr>
            <w:r w:rsidRPr="00E34696">
              <w:rPr>
                <w:b/>
                <w:iCs/>
                <w:sz w:val="22"/>
                <w:szCs w:val="22"/>
                <w:lang w:val="sr-Latn-ME"/>
              </w:rPr>
              <w:t>Бактерије које су природно резистентне на левофлоксацин</w:t>
            </w:r>
          </w:p>
        </w:tc>
      </w:tr>
      <w:tr w:rsidR="00C06689" w:rsidRPr="00E34696" w14:paraId="49D0B732" w14:textId="77777777" w:rsidTr="00CF11E2">
        <w:tc>
          <w:tcPr>
            <w:tcW w:w="9063" w:type="dxa"/>
            <w:vAlign w:val="center"/>
          </w:tcPr>
          <w:p w14:paraId="6786F484" w14:textId="77777777" w:rsidR="00C06689" w:rsidRPr="00E34696" w:rsidRDefault="00C06689" w:rsidP="00E34696">
            <w:pPr>
              <w:widowControl w:val="0"/>
              <w:jc w:val="both"/>
              <w:rPr>
                <w:b/>
                <w:bCs/>
                <w:i/>
                <w:sz w:val="22"/>
                <w:szCs w:val="22"/>
                <w:lang w:val="sr-Latn-ME"/>
              </w:rPr>
            </w:pPr>
            <w:r w:rsidRPr="00E34696">
              <w:rPr>
                <w:b/>
                <w:bCs/>
                <w:i/>
                <w:sz w:val="22"/>
                <w:szCs w:val="22"/>
                <w:lang w:val="sr-Latn-ME"/>
              </w:rPr>
              <w:t>Aeробне Грам-позитивне бактерије</w:t>
            </w:r>
          </w:p>
          <w:p w14:paraId="3F5F65C9" w14:textId="77777777" w:rsidR="00C06689" w:rsidRPr="00E34696" w:rsidRDefault="00C06689" w:rsidP="00E34696">
            <w:pPr>
              <w:widowControl w:val="0"/>
              <w:tabs>
                <w:tab w:val="left" w:pos="284"/>
              </w:tabs>
              <w:jc w:val="both"/>
              <w:rPr>
                <w:b/>
                <w:iCs/>
                <w:sz w:val="22"/>
                <w:szCs w:val="22"/>
                <w:u w:val="single"/>
                <w:lang w:val="sr-Latn-ME"/>
              </w:rPr>
            </w:pPr>
            <w:r w:rsidRPr="00E34696">
              <w:rPr>
                <w:i/>
                <w:iCs/>
                <w:sz w:val="22"/>
                <w:szCs w:val="22"/>
                <w:lang w:val="sr-Latn-ME"/>
              </w:rPr>
              <w:t>Enterococcus faecium</w:t>
            </w:r>
          </w:p>
        </w:tc>
      </w:tr>
    </w:tbl>
    <w:p w14:paraId="6710D792" w14:textId="3712FE4F" w:rsidR="00C06689" w:rsidRPr="00E34696" w:rsidRDefault="002640F3" w:rsidP="00E34696">
      <w:pPr>
        <w:widowControl w:val="0"/>
        <w:tabs>
          <w:tab w:val="left" w:pos="284"/>
        </w:tabs>
        <w:jc w:val="both"/>
        <w:rPr>
          <w:sz w:val="22"/>
          <w:szCs w:val="22"/>
          <w:lang w:val="sr-Latn-ME"/>
        </w:rPr>
      </w:pPr>
      <w:r w:rsidRPr="00D7190C">
        <w:rPr>
          <w:sz w:val="20"/>
          <w:szCs w:val="22"/>
          <w:vertAlign w:val="superscript"/>
          <w:lang w:val="sr-Latn-ME"/>
        </w:rPr>
        <w:t>#</w:t>
      </w:r>
      <w:r w:rsidR="00C06689" w:rsidRPr="00D7190C">
        <w:rPr>
          <w:sz w:val="20"/>
          <w:szCs w:val="22"/>
          <w:lang w:val="sr-Latn-ME"/>
        </w:rPr>
        <w:t xml:space="preserve">Врло је вјероватно да метицилин резистентни </w:t>
      </w:r>
      <w:r w:rsidR="00C06689" w:rsidRPr="00D7190C">
        <w:rPr>
          <w:i/>
          <w:sz w:val="20"/>
          <w:szCs w:val="22"/>
          <w:lang w:val="sr-Latn-ME"/>
        </w:rPr>
        <w:t>S. аureus</w:t>
      </w:r>
      <w:r w:rsidR="00C06689" w:rsidRPr="00D7190C">
        <w:rPr>
          <w:sz w:val="20"/>
          <w:szCs w:val="22"/>
          <w:lang w:val="sr-Latn-ME"/>
        </w:rPr>
        <w:t xml:space="preserve"> посједује ко-резистенцију на флуорохинолоне, укључујући и левофлоксацин</w:t>
      </w:r>
      <w:r w:rsidR="00C06689" w:rsidRPr="00E34696">
        <w:rPr>
          <w:sz w:val="22"/>
          <w:szCs w:val="22"/>
          <w:lang w:val="sr-Latn-ME"/>
        </w:rPr>
        <w:t>.</w:t>
      </w:r>
    </w:p>
    <w:p w14:paraId="0C2AF726" w14:textId="77777777" w:rsidR="00C06689" w:rsidRPr="00E34696" w:rsidRDefault="00C06689" w:rsidP="00E34696">
      <w:pPr>
        <w:widowControl w:val="0"/>
        <w:tabs>
          <w:tab w:val="left" w:pos="540"/>
          <w:tab w:val="left" w:pos="569"/>
        </w:tabs>
        <w:jc w:val="both"/>
        <w:rPr>
          <w:b/>
          <w:bCs/>
          <w:sz w:val="22"/>
          <w:szCs w:val="22"/>
          <w:lang w:val="sr-Latn-ME"/>
        </w:rPr>
      </w:pPr>
    </w:p>
    <w:p w14:paraId="675830FD" w14:textId="77777777" w:rsidR="0072020E" w:rsidRPr="00E34696" w:rsidRDefault="00C06689" w:rsidP="00E34696">
      <w:pPr>
        <w:widowControl w:val="0"/>
        <w:tabs>
          <w:tab w:val="left" w:pos="540"/>
          <w:tab w:val="left" w:pos="569"/>
        </w:tabs>
        <w:jc w:val="both"/>
        <w:rPr>
          <w:b/>
          <w:bCs/>
          <w:sz w:val="22"/>
          <w:szCs w:val="22"/>
          <w:lang w:val="sr-Latn-ME"/>
        </w:rPr>
      </w:pPr>
      <w:r w:rsidRPr="00E34696">
        <w:rPr>
          <w:b/>
          <w:bCs/>
          <w:sz w:val="22"/>
          <w:szCs w:val="22"/>
          <w:lang w:val="sr-Latn-ME"/>
        </w:rPr>
        <w:t>5.2. Фармакокинетички подаци</w:t>
      </w:r>
    </w:p>
    <w:p w14:paraId="3D5C3EFD" w14:textId="77777777" w:rsidR="00C06689" w:rsidRPr="00E34696" w:rsidRDefault="00C06689" w:rsidP="00E34696">
      <w:pPr>
        <w:widowControl w:val="0"/>
        <w:tabs>
          <w:tab w:val="left" w:pos="540"/>
          <w:tab w:val="left" w:pos="569"/>
        </w:tabs>
        <w:jc w:val="both"/>
        <w:rPr>
          <w:bCs/>
          <w:sz w:val="22"/>
          <w:szCs w:val="22"/>
          <w:lang w:val="sr-Latn-ME"/>
        </w:rPr>
      </w:pPr>
    </w:p>
    <w:p w14:paraId="16E94B07" w14:textId="77777777" w:rsidR="00C06689" w:rsidRPr="00E34696" w:rsidRDefault="00C06689" w:rsidP="00E34696">
      <w:pPr>
        <w:widowControl w:val="0"/>
        <w:tabs>
          <w:tab w:val="left" w:pos="284"/>
        </w:tabs>
        <w:jc w:val="both"/>
        <w:rPr>
          <w:sz w:val="22"/>
          <w:szCs w:val="22"/>
          <w:u w:val="single"/>
          <w:lang w:val="sr-Latn-ME"/>
        </w:rPr>
      </w:pPr>
      <w:r w:rsidRPr="00E34696">
        <w:rPr>
          <w:sz w:val="22"/>
          <w:szCs w:val="22"/>
          <w:u w:val="single"/>
          <w:lang w:val="sr-Latn-ME"/>
        </w:rPr>
        <w:t>Ресорпција</w:t>
      </w:r>
    </w:p>
    <w:p w14:paraId="0EEFFA3A"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Орално примjењен левофлоксацин се брзо и у потпуности ресорбује и постиже максималне концентрације у плазми за приближно 1-2 сата. Апсолутна биорасположивост је 99 - 100%.</w:t>
      </w:r>
    </w:p>
    <w:p w14:paraId="275F3CC4"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Присуство хране у малој мjери утиче на ресорпцију левофлоксацина.</w:t>
      </w:r>
    </w:p>
    <w:p w14:paraId="0BAAFFCD"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Равнотежна концентрација се постиже унутар првих 48 сати након примjене дозе од 500 mg једном или два пута дневно.</w:t>
      </w:r>
    </w:p>
    <w:p w14:paraId="3A2411B9" w14:textId="77777777" w:rsidR="00C06689" w:rsidRPr="00E34696" w:rsidRDefault="00C06689" w:rsidP="00E34696">
      <w:pPr>
        <w:widowControl w:val="0"/>
        <w:tabs>
          <w:tab w:val="left" w:pos="284"/>
        </w:tabs>
        <w:jc w:val="both"/>
        <w:rPr>
          <w:sz w:val="22"/>
          <w:szCs w:val="22"/>
          <w:lang w:val="sr-Latn-ME"/>
        </w:rPr>
      </w:pPr>
    </w:p>
    <w:p w14:paraId="14C8AD2B" w14:textId="77777777" w:rsidR="00C06689" w:rsidRPr="00E34696" w:rsidRDefault="00C06689" w:rsidP="00E34696">
      <w:pPr>
        <w:widowControl w:val="0"/>
        <w:tabs>
          <w:tab w:val="left" w:pos="284"/>
        </w:tabs>
        <w:jc w:val="both"/>
        <w:rPr>
          <w:sz w:val="22"/>
          <w:szCs w:val="22"/>
          <w:u w:val="single"/>
          <w:lang w:val="sr-Latn-ME"/>
        </w:rPr>
      </w:pPr>
      <w:r w:rsidRPr="00E34696">
        <w:rPr>
          <w:sz w:val="22"/>
          <w:szCs w:val="22"/>
          <w:u w:val="single"/>
          <w:lang w:val="sr-Latn-ME"/>
        </w:rPr>
        <w:t>Дистрибуција</w:t>
      </w:r>
    </w:p>
    <w:p w14:paraId="71A7FE9E"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 xml:space="preserve">Око 30-40% левофлоксацина се везује за серумске протеине. </w:t>
      </w:r>
    </w:p>
    <w:p w14:paraId="54DFF5D9" w14:textId="392CED2A" w:rsidR="00C06689" w:rsidRPr="00E34696" w:rsidRDefault="00C06689" w:rsidP="00E34696">
      <w:pPr>
        <w:widowControl w:val="0"/>
        <w:tabs>
          <w:tab w:val="left" w:pos="284"/>
        </w:tabs>
        <w:jc w:val="both"/>
        <w:rPr>
          <w:sz w:val="22"/>
          <w:szCs w:val="22"/>
          <w:lang w:val="sr-Latn-ME"/>
        </w:rPr>
      </w:pPr>
      <w:r w:rsidRPr="00E34696">
        <w:rPr>
          <w:sz w:val="22"/>
          <w:szCs w:val="22"/>
          <w:lang w:val="sr-Latn-ME"/>
        </w:rPr>
        <w:t xml:space="preserve">Средњи волумен дистрибуције левофлоксацина је око 100 l након појединачних и поновљених доза од 500 mg </w:t>
      </w:r>
      <w:r w:rsidR="007029DA" w:rsidRPr="00E34696">
        <w:rPr>
          <w:sz w:val="22"/>
          <w:szCs w:val="22"/>
          <w:lang w:val="sr-Latn-ME"/>
        </w:rPr>
        <w:t xml:space="preserve">што указује на </w:t>
      </w:r>
      <w:r w:rsidR="00721D8E" w:rsidRPr="00E34696">
        <w:rPr>
          <w:sz w:val="22"/>
          <w:szCs w:val="22"/>
          <w:lang w:val="sr-Latn-ME"/>
        </w:rPr>
        <w:t xml:space="preserve"> </w:t>
      </w:r>
      <w:r w:rsidRPr="00E34696">
        <w:rPr>
          <w:sz w:val="22"/>
          <w:szCs w:val="22"/>
          <w:lang w:val="sr-Latn-ME"/>
        </w:rPr>
        <w:t>широку дистрибуцију у тjелесним ткивима.</w:t>
      </w:r>
    </w:p>
    <w:p w14:paraId="2EE768D0" w14:textId="77777777" w:rsidR="00C06689" w:rsidRPr="00E34696" w:rsidRDefault="00C06689" w:rsidP="00E34696">
      <w:pPr>
        <w:widowControl w:val="0"/>
        <w:tabs>
          <w:tab w:val="left" w:pos="284"/>
        </w:tabs>
        <w:jc w:val="both"/>
        <w:rPr>
          <w:sz w:val="22"/>
          <w:szCs w:val="22"/>
          <w:lang w:val="sr-Latn-ME"/>
        </w:rPr>
      </w:pPr>
    </w:p>
    <w:p w14:paraId="7EACCB60" w14:textId="77777777" w:rsidR="00C06689" w:rsidRPr="00E34696" w:rsidRDefault="00C06689" w:rsidP="00E34696">
      <w:pPr>
        <w:widowControl w:val="0"/>
        <w:tabs>
          <w:tab w:val="left" w:pos="284"/>
        </w:tabs>
        <w:jc w:val="both"/>
        <w:rPr>
          <w:sz w:val="22"/>
          <w:szCs w:val="22"/>
          <w:u w:val="single"/>
          <w:lang w:val="sr-Latn-ME"/>
        </w:rPr>
      </w:pPr>
      <w:r w:rsidRPr="00E34696">
        <w:rPr>
          <w:sz w:val="22"/>
          <w:szCs w:val="22"/>
          <w:u w:val="single"/>
          <w:lang w:val="sr-Latn-ME"/>
        </w:rPr>
        <w:t>Продирање у ткива и тjелесне течности</w:t>
      </w:r>
    </w:p>
    <w:p w14:paraId="46031D95"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Показано је да левофлоксацин продире у бронхијалну мукозу, течност површинског епитела, у алвеоларне макрофаге, плућно ткиво, кожу (течни садржај везикула и була), у ткиво простате и урин. Међутим, левофлоксацин тешко пролази у церебро-спиналну течност.</w:t>
      </w:r>
    </w:p>
    <w:p w14:paraId="0092B2C7" w14:textId="77777777" w:rsidR="00C06689" w:rsidRPr="00E34696" w:rsidRDefault="00C06689" w:rsidP="00E34696">
      <w:pPr>
        <w:widowControl w:val="0"/>
        <w:tabs>
          <w:tab w:val="left" w:pos="284"/>
        </w:tabs>
        <w:jc w:val="both"/>
        <w:rPr>
          <w:sz w:val="22"/>
          <w:szCs w:val="22"/>
          <w:lang w:val="sr-Latn-ME"/>
        </w:rPr>
      </w:pPr>
    </w:p>
    <w:p w14:paraId="16E12103" w14:textId="77777777" w:rsidR="00C06689" w:rsidRPr="00E34696" w:rsidRDefault="00C06689" w:rsidP="00E34696">
      <w:pPr>
        <w:widowControl w:val="0"/>
        <w:tabs>
          <w:tab w:val="left" w:pos="284"/>
        </w:tabs>
        <w:jc w:val="both"/>
        <w:rPr>
          <w:sz w:val="22"/>
          <w:szCs w:val="22"/>
          <w:u w:val="single"/>
          <w:lang w:val="sr-Latn-ME"/>
        </w:rPr>
      </w:pPr>
      <w:r w:rsidRPr="00E34696">
        <w:rPr>
          <w:sz w:val="22"/>
          <w:szCs w:val="22"/>
          <w:u w:val="single"/>
          <w:lang w:val="sr-Latn-ME"/>
        </w:rPr>
        <w:t>Биотрансформација</w:t>
      </w:r>
    </w:p>
    <w:p w14:paraId="55BC23B7" w14:textId="6EB2DDE2" w:rsidR="00C06689" w:rsidRPr="00E34696" w:rsidRDefault="00C06689" w:rsidP="00E34696">
      <w:pPr>
        <w:widowControl w:val="0"/>
        <w:tabs>
          <w:tab w:val="left" w:pos="284"/>
        </w:tabs>
        <w:jc w:val="both"/>
        <w:rPr>
          <w:sz w:val="22"/>
          <w:szCs w:val="22"/>
          <w:lang w:val="sr-Latn-ME"/>
        </w:rPr>
      </w:pPr>
      <w:r w:rsidRPr="00E34696">
        <w:rPr>
          <w:sz w:val="22"/>
          <w:szCs w:val="22"/>
          <w:lang w:val="sr-Latn-ME"/>
        </w:rPr>
        <w:t>Левофлоксацин се у веома малој мjери метаболише, а његови метаболити су де</w:t>
      </w:r>
      <w:r w:rsidR="002640F3" w:rsidRPr="00E34696">
        <w:rPr>
          <w:sz w:val="22"/>
          <w:szCs w:val="22"/>
          <w:lang w:val="sr-Latn-ME"/>
        </w:rPr>
        <w:t>с</w:t>
      </w:r>
      <w:r w:rsidRPr="00E34696">
        <w:rPr>
          <w:sz w:val="22"/>
          <w:szCs w:val="22"/>
          <w:lang w:val="sr-Latn-ME"/>
        </w:rPr>
        <w:t>метил-левофлоксацин и левофлоксацин N-оксид. Ти метаболити чине мање од 5% дозе и излучују се путем урина. Левофлоксацин је стереохемијски стабилан и не пролази хиралну инверзију.</w:t>
      </w:r>
    </w:p>
    <w:p w14:paraId="2DB30E98" w14:textId="77777777" w:rsidR="00C06689" w:rsidRPr="00E34696" w:rsidRDefault="00C06689" w:rsidP="00E34696">
      <w:pPr>
        <w:widowControl w:val="0"/>
        <w:tabs>
          <w:tab w:val="left" w:pos="284"/>
        </w:tabs>
        <w:jc w:val="both"/>
        <w:rPr>
          <w:sz w:val="22"/>
          <w:szCs w:val="22"/>
          <w:lang w:val="sr-Latn-ME"/>
        </w:rPr>
      </w:pPr>
    </w:p>
    <w:p w14:paraId="4943969D" w14:textId="77777777" w:rsidR="00C06689" w:rsidRPr="00E34696" w:rsidRDefault="00C06689" w:rsidP="00E34696">
      <w:pPr>
        <w:widowControl w:val="0"/>
        <w:tabs>
          <w:tab w:val="left" w:pos="284"/>
        </w:tabs>
        <w:jc w:val="both"/>
        <w:rPr>
          <w:sz w:val="22"/>
          <w:szCs w:val="22"/>
          <w:u w:val="single"/>
          <w:lang w:val="sr-Latn-ME"/>
        </w:rPr>
      </w:pPr>
      <w:r w:rsidRPr="00E34696">
        <w:rPr>
          <w:sz w:val="22"/>
          <w:szCs w:val="22"/>
          <w:u w:val="single"/>
          <w:lang w:val="sr-Latn-ME"/>
        </w:rPr>
        <w:t>Елиминација</w:t>
      </w:r>
    </w:p>
    <w:p w14:paraId="40F5E41F" w14:textId="0EDA8D34" w:rsidR="00C06689" w:rsidRPr="00E34696" w:rsidRDefault="00C06689" w:rsidP="00E34696">
      <w:pPr>
        <w:widowControl w:val="0"/>
        <w:tabs>
          <w:tab w:val="left" w:pos="284"/>
        </w:tabs>
        <w:jc w:val="both"/>
        <w:rPr>
          <w:sz w:val="22"/>
          <w:szCs w:val="22"/>
          <w:lang w:val="sr-Latn-ME"/>
        </w:rPr>
      </w:pPr>
      <w:r w:rsidRPr="00E34696">
        <w:rPr>
          <w:sz w:val="22"/>
          <w:szCs w:val="22"/>
          <w:lang w:val="sr-Latn-ME"/>
        </w:rPr>
        <w:lastRenderedPageBreak/>
        <w:t>Након оралне и интравенске примjене, левофлоксацин се релативно споро елиминише из плазме (t½: 6-8 сати). Излучивање се одвија примарно путем бубрега (&gt; 85% од прим</w:t>
      </w:r>
      <w:r w:rsidR="002640F3" w:rsidRPr="00E34696">
        <w:rPr>
          <w:sz w:val="22"/>
          <w:szCs w:val="22"/>
          <w:lang w:val="sr-Latn-ME"/>
        </w:rPr>
        <w:t>и</w:t>
      </w:r>
      <w:r w:rsidRPr="00E34696">
        <w:rPr>
          <w:sz w:val="22"/>
          <w:szCs w:val="22"/>
          <w:lang w:val="sr-Latn-ME"/>
        </w:rPr>
        <w:t xml:space="preserve">jењене дозе). </w:t>
      </w:r>
    </w:p>
    <w:p w14:paraId="343D3FFF"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Средња вриједност укупног клиренса левофлоксацина након примјене једне дозе од 500 mg, износи 175 ± 29.2 ml/min.</w:t>
      </w:r>
    </w:p>
    <w:p w14:paraId="2CCCDF19" w14:textId="10545AA7" w:rsidR="00C06689" w:rsidRPr="00E34696" w:rsidRDefault="00C06689" w:rsidP="00E34696">
      <w:pPr>
        <w:widowControl w:val="0"/>
        <w:tabs>
          <w:tab w:val="left" w:pos="284"/>
        </w:tabs>
        <w:jc w:val="both"/>
        <w:rPr>
          <w:sz w:val="22"/>
          <w:szCs w:val="22"/>
          <w:lang w:val="sr-Latn-ME"/>
        </w:rPr>
      </w:pPr>
      <w:r w:rsidRPr="00E34696">
        <w:rPr>
          <w:sz w:val="22"/>
          <w:szCs w:val="22"/>
          <w:lang w:val="sr-Latn-ME"/>
        </w:rPr>
        <w:t>Нема великих разлика у фармакокинетици левофлоксацина након интравенске и оралне примјене, што упућује да се орална и интравенска примјена могу зам</w:t>
      </w:r>
      <w:r w:rsidR="002640F3" w:rsidRPr="00E34696">
        <w:rPr>
          <w:sz w:val="22"/>
          <w:szCs w:val="22"/>
          <w:lang w:val="sr-Latn-ME"/>
        </w:rPr>
        <w:t>и</w:t>
      </w:r>
      <w:r w:rsidRPr="00E34696">
        <w:rPr>
          <w:sz w:val="22"/>
          <w:szCs w:val="22"/>
          <w:lang w:val="sr-Latn-ME"/>
        </w:rPr>
        <w:t>јенити једна другом.</w:t>
      </w:r>
    </w:p>
    <w:p w14:paraId="4A97842B" w14:textId="77777777" w:rsidR="00C06689" w:rsidRPr="00E34696" w:rsidRDefault="00C06689" w:rsidP="00E34696">
      <w:pPr>
        <w:widowControl w:val="0"/>
        <w:tabs>
          <w:tab w:val="left" w:pos="284"/>
        </w:tabs>
        <w:jc w:val="both"/>
        <w:rPr>
          <w:sz w:val="22"/>
          <w:szCs w:val="22"/>
          <w:lang w:val="sr-Latn-ME"/>
        </w:rPr>
      </w:pPr>
    </w:p>
    <w:p w14:paraId="31B64767" w14:textId="77777777" w:rsidR="00C06689" w:rsidRPr="00E34696" w:rsidRDefault="00C06689" w:rsidP="00E34696">
      <w:pPr>
        <w:widowControl w:val="0"/>
        <w:tabs>
          <w:tab w:val="left" w:pos="284"/>
        </w:tabs>
        <w:jc w:val="both"/>
        <w:rPr>
          <w:sz w:val="22"/>
          <w:szCs w:val="22"/>
          <w:u w:val="single"/>
          <w:lang w:val="sr-Latn-ME"/>
        </w:rPr>
      </w:pPr>
      <w:r w:rsidRPr="00E34696">
        <w:rPr>
          <w:sz w:val="22"/>
          <w:szCs w:val="22"/>
          <w:u w:val="single"/>
          <w:lang w:val="sr-Latn-ME"/>
        </w:rPr>
        <w:t>Линеарност</w:t>
      </w:r>
    </w:p>
    <w:p w14:paraId="38DE15D5"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Левофлоксацин подлијеже линеарној фармакокинетици у распону доза од 50 до 1000 mg.</w:t>
      </w:r>
    </w:p>
    <w:p w14:paraId="3AF856EF" w14:textId="77777777" w:rsidR="00C06689" w:rsidRPr="00E34696" w:rsidRDefault="00C06689" w:rsidP="00E34696">
      <w:pPr>
        <w:widowControl w:val="0"/>
        <w:tabs>
          <w:tab w:val="left" w:pos="284"/>
        </w:tabs>
        <w:jc w:val="both"/>
        <w:rPr>
          <w:sz w:val="22"/>
          <w:szCs w:val="22"/>
          <w:lang w:val="sr-Latn-ME"/>
        </w:rPr>
      </w:pPr>
    </w:p>
    <w:p w14:paraId="642BDE65" w14:textId="77777777" w:rsidR="00C06689" w:rsidRPr="00E34696" w:rsidRDefault="00C06689" w:rsidP="00E34696">
      <w:pPr>
        <w:widowControl w:val="0"/>
        <w:tabs>
          <w:tab w:val="left" w:pos="284"/>
        </w:tabs>
        <w:jc w:val="both"/>
        <w:rPr>
          <w:sz w:val="22"/>
          <w:szCs w:val="22"/>
          <w:u w:val="single"/>
          <w:lang w:val="sr-Latn-ME"/>
        </w:rPr>
      </w:pPr>
      <w:r w:rsidRPr="00E34696">
        <w:rPr>
          <w:sz w:val="22"/>
          <w:szCs w:val="22"/>
          <w:u w:val="single"/>
          <w:lang w:val="sr-Latn-ME"/>
        </w:rPr>
        <w:t>Посебне популације</w:t>
      </w:r>
    </w:p>
    <w:p w14:paraId="01FFC527" w14:textId="77777777" w:rsidR="00C06689" w:rsidRPr="00E34696" w:rsidRDefault="00C06689" w:rsidP="00E34696">
      <w:pPr>
        <w:widowControl w:val="0"/>
        <w:tabs>
          <w:tab w:val="left" w:pos="284"/>
        </w:tabs>
        <w:jc w:val="both"/>
        <w:rPr>
          <w:sz w:val="22"/>
          <w:szCs w:val="22"/>
          <w:lang w:val="sr-Latn-ME"/>
        </w:rPr>
      </w:pPr>
    </w:p>
    <w:p w14:paraId="4C3B1154" w14:textId="77777777" w:rsidR="00C06689" w:rsidRPr="00E34696" w:rsidRDefault="00C06689" w:rsidP="00E34696">
      <w:pPr>
        <w:widowControl w:val="0"/>
        <w:tabs>
          <w:tab w:val="left" w:pos="284"/>
        </w:tabs>
        <w:jc w:val="both"/>
        <w:rPr>
          <w:i/>
          <w:sz w:val="22"/>
          <w:szCs w:val="22"/>
          <w:lang w:val="sr-Latn-ME"/>
        </w:rPr>
      </w:pPr>
      <w:r w:rsidRPr="00E34696">
        <w:rPr>
          <w:i/>
          <w:sz w:val="22"/>
          <w:szCs w:val="22"/>
          <w:lang w:val="sr-Latn-ME"/>
        </w:rPr>
        <w:t xml:space="preserve">Пацијенти са оштећеном функцијом бубрега </w:t>
      </w:r>
    </w:p>
    <w:p w14:paraId="60F67CF0" w14:textId="43A04A38" w:rsidR="00C06689" w:rsidRPr="00E34696" w:rsidRDefault="00C06689" w:rsidP="00E34696">
      <w:pPr>
        <w:widowControl w:val="0"/>
        <w:tabs>
          <w:tab w:val="left" w:pos="284"/>
        </w:tabs>
        <w:jc w:val="both"/>
        <w:rPr>
          <w:sz w:val="22"/>
          <w:szCs w:val="22"/>
          <w:lang w:val="sr-Latn-ME"/>
        </w:rPr>
      </w:pPr>
      <w:r w:rsidRPr="00E34696">
        <w:rPr>
          <w:sz w:val="22"/>
          <w:szCs w:val="22"/>
          <w:lang w:val="sr-Latn-ME"/>
        </w:rPr>
        <w:t>Оштећење функциј</w:t>
      </w:r>
      <w:r w:rsidR="000C6F8E" w:rsidRPr="00E34696">
        <w:rPr>
          <w:sz w:val="22"/>
          <w:szCs w:val="22"/>
          <w:lang w:val="sr-Latn-ME"/>
        </w:rPr>
        <w:t>е</w:t>
      </w:r>
      <w:r w:rsidRPr="00E34696">
        <w:rPr>
          <w:sz w:val="22"/>
          <w:szCs w:val="22"/>
          <w:lang w:val="sr-Latn-ME"/>
        </w:rPr>
        <w:t xml:space="preserve"> бубрега утиче на фармакокинетику левофлоксацина. Слабљењем бубрежне функције смањују се ренална елиминација и клиренс, а полувријеме елиминације расте као што је приказано у табели испод:</w:t>
      </w:r>
    </w:p>
    <w:p w14:paraId="6B23DC80" w14:textId="77777777" w:rsidR="00C06689" w:rsidRPr="00E34696" w:rsidRDefault="00C06689" w:rsidP="00E34696">
      <w:pPr>
        <w:widowControl w:val="0"/>
        <w:tabs>
          <w:tab w:val="left" w:pos="284"/>
        </w:tabs>
        <w:jc w:val="both"/>
        <w:rPr>
          <w:sz w:val="22"/>
          <w:szCs w:val="22"/>
          <w:lang w:val="sr-Latn-ME"/>
        </w:rPr>
      </w:pPr>
    </w:p>
    <w:p w14:paraId="59CF081E"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Фармакокинетика након појединачне дозе од 500 mg код пацијената са реналном инсуфицијенцијом</w:t>
      </w:r>
    </w:p>
    <w:tbl>
      <w:tblPr>
        <w:tblW w:w="7758" w:type="dxa"/>
        <w:tblBorders>
          <w:top w:val="nil"/>
          <w:left w:val="nil"/>
          <w:bottom w:val="nil"/>
          <w:right w:val="nil"/>
        </w:tblBorders>
        <w:tblLayout w:type="fixed"/>
        <w:tblLook w:val="0000" w:firstRow="0" w:lastRow="0" w:firstColumn="0" w:lastColumn="0" w:noHBand="0" w:noVBand="0"/>
      </w:tblPr>
      <w:tblGrid>
        <w:gridCol w:w="1947"/>
        <w:gridCol w:w="2023"/>
        <w:gridCol w:w="2023"/>
        <w:gridCol w:w="1765"/>
      </w:tblGrid>
      <w:tr w:rsidR="00C06689" w:rsidRPr="00E34696" w14:paraId="3428B800" w14:textId="77777777" w:rsidTr="005C3540">
        <w:trPr>
          <w:trHeight w:val="270"/>
        </w:trPr>
        <w:tc>
          <w:tcPr>
            <w:tcW w:w="1948" w:type="dxa"/>
            <w:tcBorders>
              <w:top w:val="single" w:sz="7" w:space="0" w:color="000000"/>
              <w:left w:val="single" w:sz="7" w:space="0" w:color="000000"/>
              <w:bottom w:val="single" w:sz="8" w:space="0" w:color="000000"/>
              <w:right w:val="single" w:sz="8" w:space="0" w:color="000000"/>
            </w:tcBorders>
            <w:vAlign w:val="center"/>
          </w:tcPr>
          <w:p w14:paraId="76775D35" w14:textId="77777777" w:rsidR="00C06689" w:rsidRPr="00E34696" w:rsidRDefault="00C06689" w:rsidP="00E34696">
            <w:pPr>
              <w:widowControl w:val="0"/>
              <w:autoSpaceDE w:val="0"/>
              <w:autoSpaceDN w:val="0"/>
              <w:adjustRightInd w:val="0"/>
              <w:jc w:val="both"/>
              <w:rPr>
                <w:sz w:val="22"/>
                <w:szCs w:val="22"/>
                <w:lang w:val="sr-Latn-ME"/>
              </w:rPr>
            </w:pPr>
            <w:r w:rsidRPr="00E34696">
              <w:rPr>
                <w:sz w:val="22"/>
                <w:szCs w:val="22"/>
                <w:lang w:val="sr-Latn-ME"/>
              </w:rPr>
              <w:t>Cl</w:t>
            </w:r>
            <w:r w:rsidRPr="00E34696">
              <w:rPr>
                <w:sz w:val="22"/>
                <w:szCs w:val="22"/>
                <w:vertAlign w:val="subscript"/>
                <w:lang w:val="sr-Latn-ME"/>
              </w:rPr>
              <w:t>cr</w:t>
            </w:r>
            <w:r w:rsidRPr="00E34696">
              <w:rPr>
                <w:sz w:val="22"/>
                <w:szCs w:val="22"/>
                <w:lang w:val="sr-Latn-ME"/>
              </w:rPr>
              <w:t xml:space="preserve"> (ml/min) </w:t>
            </w:r>
          </w:p>
        </w:tc>
        <w:tc>
          <w:tcPr>
            <w:tcW w:w="2023" w:type="dxa"/>
            <w:tcBorders>
              <w:top w:val="single" w:sz="7" w:space="0" w:color="000000"/>
              <w:left w:val="single" w:sz="8" w:space="0" w:color="000000"/>
              <w:bottom w:val="single" w:sz="8" w:space="0" w:color="000000"/>
              <w:right w:val="single" w:sz="7" w:space="0" w:color="000000"/>
            </w:tcBorders>
            <w:vAlign w:val="center"/>
          </w:tcPr>
          <w:p w14:paraId="5C3FB330" w14:textId="77777777" w:rsidR="00C06689" w:rsidRPr="00E34696" w:rsidRDefault="00C06689" w:rsidP="00E34696">
            <w:pPr>
              <w:widowControl w:val="0"/>
              <w:autoSpaceDE w:val="0"/>
              <w:autoSpaceDN w:val="0"/>
              <w:adjustRightInd w:val="0"/>
              <w:jc w:val="both"/>
              <w:rPr>
                <w:sz w:val="22"/>
                <w:szCs w:val="22"/>
                <w:lang w:val="sr-Latn-ME"/>
              </w:rPr>
            </w:pPr>
            <w:r w:rsidRPr="00E34696">
              <w:rPr>
                <w:sz w:val="22"/>
                <w:szCs w:val="22"/>
                <w:lang w:val="sr-Latn-ME"/>
              </w:rPr>
              <w:t xml:space="preserve">&lt;20 </w:t>
            </w:r>
          </w:p>
        </w:tc>
        <w:tc>
          <w:tcPr>
            <w:tcW w:w="2023" w:type="dxa"/>
            <w:tcBorders>
              <w:top w:val="single" w:sz="7" w:space="0" w:color="000000"/>
              <w:left w:val="single" w:sz="7" w:space="0" w:color="000000"/>
              <w:bottom w:val="single" w:sz="8" w:space="0" w:color="000000"/>
              <w:right w:val="single" w:sz="7" w:space="0" w:color="000000"/>
            </w:tcBorders>
            <w:vAlign w:val="center"/>
          </w:tcPr>
          <w:p w14:paraId="12CA18E0" w14:textId="77777777" w:rsidR="00C06689" w:rsidRPr="00E34696" w:rsidRDefault="00C06689" w:rsidP="00E34696">
            <w:pPr>
              <w:widowControl w:val="0"/>
              <w:autoSpaceDE w:val="0"/>
              <w:autoSpaceDN w:val="0"/>
              <w:adjustRightInd w:val="0"/>
              <w:jc w:val="both"/>
              <w:rPr>
                <w:sz w:val="22"/>
                <w:szCs w:val="22"/>
                <w:lang w:val="sr-Latn-ME"/>
              </w:rPr>
            </w:pPr>
            <w:r w:rsidRPr="00E34696">
              <w:rPr>
                <w:sz w:val="22"/>
                <w:szCs w:val="22"/>
                <w:lang w:val="sr-Latn-ME"/>
              </w:rPr>
              <w:t>20-49</w:t>
            </w:r>
          </w:p>
        </w:tc>
        <w:tc>
          <w:tcPr>
            <w:tcW w:w="1765" w:type="dxa"/>
            <w:tcBorders>
              <w:top w:val="single" w:sz="7" w:space="0" w:color="000000"/>
              <w:left w:val="single" w:sz="7" w:space="0" w:color="000000"/>
              <w:bottom w:val="single" w:sz="8" w:space="0" w:color="000000"/>
              <w:right w:val="single" w:sz="7" w:space="0" w:color="000000"/>
            </w:tcBorders>
            <w:vAlign w:val="center"/>
          </w:tcPr>
          <w:p w14:paraId="6E28F415" w14:textId="77777777" w:rsidR="00C06689" w:rsidRPr="00E34696" w:rsidRDefault="00C06689" w:rsidP="00E34696">
            <w:pPr>
              <w:widowControl w:val="0"/>
              <w:autoSpaceDE w:val="0"/>
              <w:autoSpaceDN w:val="0"/>
              <w:adjustRightInd w:val="0"/>
              <w:jc w:val="both"/>
              <w:rPr>
                <w:sz w:val="22"/>
                <w:szCs w:val="22"/>
                <w:lang w:val="sr-Latn-ME"/>
              </w:rPr>
            </w:pPr>
            <w:r w:rsidRPr="00E34696">
              <w:rPr>
                <w:sz w:val="22"/>
                <w:szCs w:val="22"/>
                <w:lang w:val="sr-Latn-ME"/>
              </w:rPr>
              <w:t xml:space="preserve">50-80 </w:t>
            </w:r>
          </w:p>
        </w:tc>
      </w:tr>
      <w:tr w:rsidR="00C06689" w:rsidRPr="00E34696" w14:paraId="16ABDEFC" w14:textId="77777777" w:rsidTr="005C3540">
        <w:trPr>
          <w:trHeight w:val="250"/>
        </w:trPr>
        <w:tc>
          <w:tcPr>
            <w:tcW w:w="1948" w:type="dxa"/>
            <w:tcBorders>
              <w:top w:val="single" w:sz="8" w:space="0" w:color="000000"/>
              <w:left w:val="single" w:sz="7" w:space="0" w:color="000000"/>
              <w:bottom w:val="single" w:sz="7" w:space="0" w:color="000000"/>
              <w:right w:val="single" w:sz="8" w:space="0" w:color="000000"/>
            </w:tcBorders>
            <w:vAlign w:val="center"/>
          </w:tcPr>
          <w:p w14:paraId="1927A0E8" w14:textId="77777777" w:rsidR="00C06689" w:rsidRPr="00E34696" w:rsidRDefault="00C06689" w:rsidP="00E34696">
            <w:pPr>
              <w:widowControl w:val="0"/>
              <w:autoSpaceDE w:val="0"/>
              <w:autoSpaceDN w:val="0"/>
              <w:adjustRightInd w:val="0"/>
              <w:jc w:val="both"/>
              <w:rPr>
                <w:sz w:val="22"/>
                <w:szCs w:val="22"/>
                <w:lang w:val="sr-Latn-ME"/>
              </w:rPr>
            </w:pPr>
            <w:r w:rsidRPr="00E34696">
              <w:rPr>
                <w:sz w:val="22"/>
                <w:szCs w:val="22"/>
                <w:lang w:val="sr-Latn-ME"/>
              </w:rPr>
              <w:t>Cl</w:t>
            </w:r>
            <w:r w:rsidRPr="00E34696">
              <w:rPr>
                <w:sz w:val="22"/>
                <w:szCs w:val="22"/>
                <w:vertAlign w:val="subscript"/>
                <w:lang w:val="sr-Latn-ME"/>
              </w:rPr>
              <w:t>R</w:t>
            </w:r>
            <w:r w:rsidRPr="00E34696">
              <w:rPr>
                <w:sz w:val="22"/>
                <w:szCs w:val="22"/>
                <w:lang w:val="sr-Latn-ME"/>
              </w:rPr>
              <w:t xml:space="preserve">(ml/min) </w:t>
            </w:r>
          </w:p>
        </w:tc>
        <w:tc>
          <w:tcPr>
            <w:tcW w:w="2023" w:type="dxa"/>
            <w:tcBorders>
              <w:top w:val="single" w:sz="8" w:space="0" w:color="000000"/>
              <w:left w:val="single" w:sz="8" w:space="0" w:color="000000"/>
              <w:bottom w:val="single" w:sz="7" w:space="0" w:color="000000"/>
              <w:right w:val="single" w:sz="7" w:space="0" w:color="000000"/>
            </w:tcBorders>
            <w:vAlign w:val="center"/>
          </w:tcPr>
          <w:p w14:paraId="2054B402" w14:textId="77777777" w:rsidR="00C06689" w:rsidRPr="00E34696" w:rsidRDefault="00C06689" w:rsidP="00E34696">
            <w:pPr>
              <w:widowControl w:val="0"/>
              <w:autoSpaceDE w:val="0"/>
              <w:autoSpaceDN w:val="0"/>
              <w:adjustRightInd w:val="0"/>
              <w:jc w:val="both"/>
              <w:rPr>
                <w:sz w:val="22"/>
                <w:szCs w:val="22"/>
                <w:lang w:val="sr-Latn-ME"/>
              </w:rPr>
            </w:pPr>
            <w:r w:rsidRPr="00E34696">
              <w:rPr>
                <w:sz w:val="22"/>
                <w:szCs w:val="22"/>
                <w:lang w:val="sr-Latn-ME"/>
              </w:rPr>
              <w:t xml:space="preserve">13 </w:t>
            </w:r>
          </w:p>
        </w:tc>
        <w:tc>
          <w:tcPr>
            <w:tcW w:w="2023" w:type="dxa"/>
            <w:tcBorders>
              <w:top w:val="single" w:sz="8" w:space="0" w:color="000000"/>
              <w:left w:val="single" w:sz="7" w:space="0" w:color="000000"/>
              <w:bottom w:val="single" w:sz="7" w:space="0" w:color="000000"/>
              <w:right w:val="single" w:sz="7" w:space="0" w:color="000000"/>
            </w:tcBorders>
            <w:vAlign w:val="center"/>
          </w:tcPr>
          <w:p w14:paraId="6C8A6E64" w14:textId="77777777" w:rsidR="00C06689" w:rsidRPr="00E34696" w:rsidRDefault="00C06689" w:rsidP="00E34696">
            <w:pPr>
              <w:widowControl w:val="0"/>
              <w:autoSpaceDE w:val="0"/>
              <w:autoSpaceDN w:val="0"/>
              <w:adjustRightInd w:val="0"/>
              <w:jc w:val="both"/>
              <w:rPr>
                <w:sz w:val="22"/>
                <w:szCs w:val="22"/>
                <w:lang w:val="sr-Latn-ME"/>
              </w:rPr>
            </w:pPr>
            <w:r w:rsidRPr="00E34696">
              <w:rPr>
                <w:sz w:val="22"/>
                <w:szCs w:val="22"/>
                <w:lang w:val="sr-Latn-ME"/>
              </w:rPr>
              <w:t xml:space="preserve">26 </w:t>
            </w:r>
          </w:p>
        </w:tc>
        <w:tc>
          <w:tcPr>
            <w:tcW w:w="1765" w:type="dxa"/>
            <w:tcBorders>
              <w:top w:val="single" w:sz="8" w:space="0" w:color="000000"/>
              <w:left w:val="single" w:sz="7" w:space="0" w:color="000000"/>
              <w:bottom w:val="single" w:sz="7" w:space="0" w:color="000000"/>
              <w:right w:val="single" w:sz="7" w:space="0" w:color="000000"/>
            </w:tcBorders>
            <w:vAlign w:val="center"/>
          </w:tcPr>
          <w:p w14:paraId="15B9DEFA" w14:textId="77777777" w:rsidR="00C06689" w:rsidRPr="00E34696" w:rsidRDefault="00C06689" w:rsidP="00E34696">
            <w:pPr>
              <w:widowControl w:val="0"/>
              <w:autoSpaceDE w:val="0"/>
              <w:autoSpaceDN w:val="0"/>
              <w:adjustRightInd w:val="0"/>
              <w:jc w:val="both"/>
              <w:rPr>
                <w:sz w:val="22"/>
                <w:szCs w:val="22"/>
                <w:lang w:val="sr-Latn-ME"/>
              </w:rPr>
            </w:pPr>
            <w:r w:rsidRPr="00E34696">
              <w:rPr>
                <w:sz w:val="22"/>
                <w:szCs w:val="22"/>
                <w:lang w:val="sr-Latn-ME"/>
              </w:rPr>
              <w:t xml:space="preserve">57 </w:t>
            </w:r>
          </w:p>
        </w:tc>
      </w:tr>
      <w:tr w:rsidR="00C06689" w:rsidRPr="00E34696" w14:paraId="5556D507" w14:textId="77777777" w:rsidTr="005C3540">
        <w:trPr>
          <w:trHeight w:val="265"/>
        </w:trPr>
        <w:tc>
          <w:tcPr>
            <w:tcW w:w="1948" w:type="dxa"/>
            <w:tcBorders>
              <w:top w:val="single" w:sz="7" w:space="0" w:color="000000"/>
              <w:left w:val="single" w:sz="7" w:space="0" w:color="000000"/>
              <w:bottom w:val="single" w:sz="7" w:space="0" w:color="000000"/>
              <w:right w:val="single" w:sz="8" w:space="0" w:color="000000"/>
            </w:tcBorders>
            <w:vAlign w:val="center"/>
          </w:tcPr>
          <w:p w14:paraId="5A962BEF" w14:textId="77777777" w:rsidR="00C06689" w:rsidRPr="00E34696" w:rsidRDefault="00C06689" w:rsidP="00E34696">
            <w:pPr>
              <w:widowControl w:val="0"/>
              <w:autoSpaceDE w:val="0"/>
              <w:autoSpaceDN w:val="0"/>
              <w:adjustRightInd w:val="0"/>
              <w:jc w:val="both"/>
              <w:rPr>
                <w:sz w:val="22"/>
                <w:szCs w:val="22"/>
                <w:lang w:val="sr-Latn-ME"/>
              </w:rPr>
            </w:pPr>
            <w:r w:rsidRPr="00E34696">
              <w:rPr>
                <w:sz w:val="22"/>
                <w:szCs w:val="22"/>
                <w:lang w:val="sr-Latn-ME"/>
              </w:rPr>
              <w:t xml:space="preserve">t½ (h) </w:t>
            </w:r>
          </w:p>
        </w:tc>
        <w:tc>
          <w:tcPr>
            <w:tcW w:w="2023" w:type="dxa"/>
            <w:tcBorders>
              <w:top w:val="single" w:sz="7" w:space="0" w:color="000000"/>
              <w:left w:val="single" w:sz="8" w:space="0" w:color="000000"/>
              <w:bottom w:val="single" w:sz="7" w:space="0" w:color="000000"/>
              <w:right w:val="single" w:sz="7" w:space="0" w:color="000000"/>
            </w:tcBorders>
            <w:vAlign w:val="center"/>
          </w:tcPr>
          <w:p w14:paraId="4E20471D" w14:textId="77777777" w:rsidR="00C06689" w:rsidRPr="00E34696" w:rsidRDefault="00C06689" w:rsidP="00E34696">
            <w:pPr>
              <w:widowControl w:val="0"/>
              <w:autoSpaceDE w:val="0"/>
              <w:autoSpaceDN w:val="0"/>
              <w:adjustRightInd w:val="0"/>
              <w:jc w:val="both"/>
              <w:rPr>
                <w:sz w:val="22"/>
                <w:szCs w:val="22"/>
                <w:lang w:val="sr-Latn-ME"/>
              </w:rPr>
            </w:pPr>
            <w:r w:rsidRPr="00E34696">
              <w:rPr>
                <w:sz w:val="22"/>
                <w:szCs w:val="22"/>
                <w:lang w:val="sr-Latn-ME"/>
              </w:rPr>
              <w:t xml:space="preserve">35 </w:t>
            </w:r>
          </w:p>
        </w:tc>
        <w:tc>
          <w:tcPr>
            <w:tcW w:w="2023" w:type="dxa"/>
            <w:tcBorders>
              <w:top w:val="single" w:sz="7" w:space="0" w:color="000000"/>
              <w:left w:val="single" w:sz="7" w:space="0" w:color="000000"/>
              <w:bottom w:val="single" w:sz="7" w:space="0" w:color="000000"/>
              <w:right w:val="single" w:sz="7" w:space="0" w:color="000000"/>
            </w:tcBorders>
            <w:vAlign w:val="center"/>
          </w:tcPr>
          <w:p w14:paraId="475514D4" w14:textId="77777777" w:rsidR="00C06689" w:rsidRPr="00E34696" w:rsidRDefault="00C06689" w:rsidP="00E34696">
            <w:pPr>
              <w:widowControl w:val="0"/>
              <w:autoSpaceDE w:val="0"/>
              <w:autoSpaceDN w:val="0"/>
              <w:adjustRightInd w:val="0"/>
              <w:jc w:val="both"/>
              <w:rPr>
                <w:sz w:val="22"/>
                <w:szCs w:val="22"/>
                <w:lang w:val="sr-Latn-ME"/>
              </w:rPr>
            </w:pPr>
            <w:r w:rsidRPr="00E34696">
              <w:rPr>
                <w:sz w:val="22"/>
                <w:szCs w:val="22"/>
                <w:lang w:val="sr-Latn-ME"/>
              </w:rPr>
              <w:t xml:space="preserve">27 </w:t>
            </w:r>
          </w:p>
        </w:tc>
        <w:tc>
          <w:tcPr>
            <w:tcW w:w="1765" w:type="dxa"/>
            <w:tcBorders>
              <w:top w:val="single" w:sz="7" w:space="0" w:color="000000"/>
              <w:left w:val="single" w:sz="7" w:space="0" w:color="000000"/>
              <w:bottom w:val="single" w:sz="7" w:space="0" w:color="000000"/>
              <w:right w:val="single" w:sz="7" w:space="0" w:color="000000"/>
            </w:tcBorders>
            <w:vAlign w:val="center"/>
          </w:tcPr>
          <w:p w14:paraId="260CD512" w14:textId="77777777" w:rsidR="00C06689" w:rsidRPr="00E34696" w:rsidRDefault="00C06689" w:rsidP="00E34696">
            <w:pPr>
              <w:widowControl w:val="0"/>
              <w:autoSpaceDE w:val="0"/>
              <w:autoSpaceDN w:val="0"/>
              <w:adjustRightInd w:val="0"/>
              <w:jc w:val="both"/>
              <w:rPr>
                <w:sz w:val="22"/>
                <w:szCs w:val="22"/>
                <w:lang w:val="sr-Latn-ME"/>
              </w:rPr>
            </w:pPr>
            <w:r w:rsidRPr="00E34696">
              <w:rPr>
                <w:sz w:val="22"/>
                <w:szCs w:val="22"/>
                <w:lang w:val="sr-Latn-ME"/>
              </w:rPr>
              <w:t xml:space="preserve">9 </w:t>
            </w:r>
          </w:p>
        </w:tc>
      </w:tr>
    </w:tbl>
    <w:p w14:paraId="7F373DF0" w14:textId="77777777" w:rsidR="00C06689" w:rsidRPr="00E34696" w:rsidRDefault="00C06689" w:rsidP="00E34696">
      <w:pPr>
        <w:widowControl w:val="0"/>
        <w:tabs>
          <w:tab w:val="left" w:pos="284"/>
        </w:tabs>
        <w:jc w:val="both"/>
        <w:rPr>
          <w:sz w:val="22"/>
          <w:szCs w:val="22"/>
          <w:lang w:val="sr-Latn-ME"/>
        </w:rPr>
      </w:pPr>
    </w:p>
    <w:p w14:paraId="05501C93" w14:textId="77777777" w:rsidR="00C06689" w:rsidRPr="00E34696" w:rsidRDefault="00C06689" w:rsidP="00E34696">
      <w:pPr>
        <w:widowControl w:val="0"/>
        <w:tabs>
          <w:tab w:val="left" w:pos="284"/>
        </w:tabs>
        <w:jc w:val="both"/>
        <w:rPr>
          <w:i/>
          <w:sz w:val="22"/>
          <w:szCs w:val="22"/>
          <w:lang w:val="sr-Latn-ME"/>
        </w:rPr>
      </w:pPr>
      <w:r w:rsidRPr="00E34696">
        <w:rPr>
          <w:i/>
          <w:sz w:val="22"/>
          <w:szCs w:val="22"/>
          <w:lang w:val="sr-Latn-ME"/>
        </w:rPr>
        <w:t>Старији пацијенти</w:t>
      </w:r>
    </w:p>
    <w:p w14:paraId="6D64D498"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Нема значајних разлика у фармакокинетици левофлоксацина између старијих и млађих пацијената, осим оних повезаних са разликама у клиренсу креатинина.</w:t>
      </w:r>
    </w:p>
    <w:p w14:paraId="503CB6F7" w14:textId="77777777" w:rsidR="00C06689" w:rsidRPr="00E34696" w:rsidRDefault="00C06689" w:rsidP="00E34696">
      <w:pPr>
        <w:widowControl w:val="0"/>
        <w:tabs>
          <w:tab w:val="left" w:pos="284"/>
        </w:tabs>
        <w:jc w:val="both"/>
        <w:rPr>
          <w:sz w:val="22"/>
          <w:szCs w:val="22"/>
          <w:lang w:val="sr-Latn-ME"/>
        </w:rPr>
      </w:pPr>
    </w:p>
    <w:p w14:paraId="4444035D" w14:textId="77777777" w:rsidR="00C06689" w:rsidRPr="00E34696" w:rsidRDefault="00C06689" w:rsidP="00E34696">
      <w:pPr>
        <w:widowControl w:val="0"/>
        <w:tabs>
          <w:tab w:val="left" w:pos="284"/>
        </w:tabs>
        <w:jc w:val="both"/>
        <w:rPr>
          <w:i/>
          <w:iCs/>
          <w:sz w:val="22"/>
          <w:szCs w:val="22"/>
          <w:lang w:val="sr-Latn-ME"/>
        </w:rPr>
      </w:pPr>
      <w:r w:rsidRPr="00E34696">
        <w:rPr>
          <w:i/>
          <w:iCs/>
          <w:sz w:val="22"/>
          <w:szCs w:val="22"/>
          <w:lang w:val="sr-Latn-ME"/>
        </w:rPr>
        <w:t>Полне разлике</w:t>
      </w:r>
    </w:p>
    <w:p w14:paraId="0041D444"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Одвојене анализе код пацијената мушког и женског пола показале су мале или занемарљиве полне разлике у фармакокинетици левофлоксацина. Нема показатеља да су те полне разлике клинички важне.</w:t>
      </w:r>
    </w:p>
    <w:p w14:paraId="7878E122" w14:textId="77777777" w:rsidR="00C06689" w:rsidRPr="00E34696" w:rsidRDefault="00C06689" w:rsidP="00E34696">
      <w:pPr>
        <w:widowControl w:val="0"/>
        <w:tabs>
          <w:tab w:val="left" w:pos="540"/>
          <w:tab w:val="left" w:pos="569"/>
        </w:tabs>
        <w:jc w:val="both"/>
        <w:rPr>
          <w:bCs/>
          <w:sz w:val="22"/>
          <w:szCs w:val="22"/>
          <w:lang w:val="sr-Latn-ME"/>
        </w:rPr>
      </w:pPr>
    </w:p>
    <w:p w14:paraId="5061CA8A" w14:textId="77777777" w:rsidR="00C06689" w:rsidRPr="00E34696" w:rsidRDefault="00C06689" w:rsidP="00E34696">
      <w:pPr>
        <w:pStyle w:val="Header"/>
        <w:widowControl w:val="0"/>
        <w:tabs>
          <w:tab w:val="left" w:pos="284"/>
        </w:tabs>
        <w:jc w:val="both"/>
        <w:rPr>
          <w:b/>
          <w:bCs/>
          <w:sz w:val="22"/>
          <w:szCs w:val="22"/>
          <w:lang w:val="sr-Latn-ME"/>
        </w:rPr>
      </w:pPr>
      <w:r w:rsidRPr="00E34696">
        <w:rPr>
          <w:b/>
          <w:bCs/>
          <w:sz w:val="22"/>
          <w:szCs w:val="22"/>
          <w:lang w:val="sr-Latn-ME"/>
        </w:rPr>
        <w:t xml:space="preserve">5.3. Претклинички подаци о безбједности </w:t>
      </w:r>
    </w:p>
    <w:p w14:paraId="52A3FBA7" w14:textId="77777777" w:rsidR="00836B35" w:rsidRPr="00E34696" w:rsidRDefault="00836B35" w:rsidP="00E34696">
      <w:pPr>
        <w:widowControl w:val="0"/>
        <w:tabs>
          <w:tab w:val="left" w:pos="540"/>
          <w:tab w:val="left" w:pos="569"/>
        </w:tabs>
        <w:jc w:val="both"/>
        <w:rPr>
          <w:bCs/>
          <w:sz w:val="22"/>
          <w:szCs w:val="22"/>
          <w:lang w:val="sr-Latn-ME"/>
        </w:rPr>
      </w:pPr>
    </w:p>
    <w:p w14:paraId="77FA289B"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Претклинички подаци показују да не постоји посебан ризик за људе на основу конвенционалних студија токсичности појединачне дозе, студија токсичности поновљених доза, карциногеног потенцијала и токсичности на репродуктивни систем и развој.</w:t>
      </w:r>
    </w:p>
    <w:p w14:paraId="52F4B493" w14:textId="77777777" w:rsidR="00C06689" w:rsidRPr="00E34696" w:rsidRDefault="00C06689" w:rsidP="00E34696">
      <w:pPr>
        <w:widowControl w:val="0"/>
        <w:tabs>
          <w:tab w:val="left" w:pos="284"/>
        </w:tabs>
        <w:jc w:val="both"/>
        <w:rPr>
          <w:sz w:val="22"/>
          <w:szCs w:val="22"/>
          <w:lang w:val="sr-Latn-ME"/>
        </w:rPr>
      </w:pPr>
    </w:p>
    <w:p w14:paraId="10C04565"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Левофлоксацин не утиче на фертилитет или репродуктивну функцију код пацова, а једини ефекат на фетус био је одложено сазревање као резултат токсичности код мајке.</w:t>
      </w:r>
    </w:p>
    <w:p w14:paraId="3B32ECF0" w14:textId="77777777" w:rsidR="00C06689" w:rsidRPr="00E34696" w:rsidRDefault="00C06689" w:rsidP="00E34696">
      <w:pPr>
        <w:widowControl w:val="0"/>
        <w:tabs>
          <w:tab w:val="left" w:pos="284"/>
        </w:tabs>
        <w:jc w:val="both"/>
        <w:rPr>
          <w:sz w:val="22"/>
          <w:szCs w:val="22"/>
          <w:lang w:val="sr-Latn-ME"/>
        </w:rPr>
      </w:pPr>
    </w:p>
    <w:p w14:paraId="2BB88456"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 xml:space="preserve">Левофлоксацин не индукује мутацију гена код бактерија или у ћелијама сисара, али индукује хромозомске аберације у ћелијама плућа кинеског хрчка </w:t>
      </w:r>
      <w:r w:rsidRPr="00E34696">
        <w:rPr>
          <w:i/>
          <w:sz w:val="22"/>
          <w:szCs w:val="22"/>
          <w:lang w:val="sr-Latn-ME"/>
        </w:rPr>
        <w:t>in vitro.</w:t>
      </w:r>
      <w:r w:rsidRPr="00E34696">
        <w:rPr>
          <w:sz w:val="22"/>
          <w:szCs w:val="22"/>
          <w:lang w:val="sr-Latn-ME"/>
        </w:rPr>
        <w:t xml:space="preserve"> Ови ефекти могу бити приписани инхибицији топоизомеразе II. </w:t>
      </w:r>
      <w:r w:rsidRPr="00E34696">
        <w:rPr>
          <w:i/>
          <w:sz w:val="22"/>
          <w:szCs w:val="22"/>
          <w:lang w:val="sr-Latn-ME"/>
        </w:rPr>
        <w:t>In vivo</w:t>
      </w:r>
      <w:r w:rsidRPr="00E34696">
        <w:rPr>
          <w:sz w:val="22"/>
          <w:szCs w:val="22"/>
          <w:lang w:val="sr-Latn-ME"/>
        </w:rPr>
        <w:t xml:space="preserve"> тестови (микронуклеус, измјена сестринских хроматида, непланска синтеза ДНК, доминантни летални тестови) нијесу показали било какав генотоксични потенцијал.</w:t>
      </w:r>
    </w:p>
    <w:p w14:paraId="4D2A770D"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Студије на мишевима показале су да левофлоксацин има фототоксичну активност само при веома високим дозама. Левофлоксацин није показао било какав генотоксични потенцијал у испитивањима фотомутагености, а смањио је развој тумора у испитивањима фотокарциногености.</w:t>
      </w:r>
    </w:p>
    <w:p w14:paraId="71261D37" w14:textId="77777777" w:rsidR="00C06689" w:rsidRPr="00E34696" w:rsidRDefault="00C06689" w:rsidP="00E34696">
      <w:pPr>
        <w:widowControl w:val="0"/>
        <w:tabs>
          <w:tab w:val="left" w:pos="284"/>
        </w:tabs>
        <w:jc w:val="both"/>
        <w:rPr>
          <w:sz w:val="22"/>
          <w:szCs w:val="22"/>
          <w:lang w:val="sr-Latn-ME"/>
        </w:rPr>
      </w:pPr>
    </w:p>
    <w:p w14:paraId="5E3BAB9C" w14:textId="0B9349B7" w:rsidR="00C06689" w:rsidRPr="00E34696" w:rsidRDefault="00C06689" w:rsidP="00E34696">
      <w:pPr>
        <w:widowControl w:val="0"/>
        <w:tabs>
          <w:tab w:val="left" w:pos="284"/>
        </w:tabs>
        <w:jc w:val="both"/>
        <w:rPr>
          <w:sz w:val="22"/>
          <w:szCs w:val="22"/>
          <w:lang w:val="sr-Latn-ME"/>
        </w:rPr>
      </w:pPr>
      <w:r w:rsidRPr="00E34696">
        <w:rPr>
          <w:sz w:val="22"/>
          <w:szCs w:val="22"/>
          <w:lang w:val="sr-Latn-ME"/>
        </w:rPr>
        <w:t>Као и остали флуорохинолони, левофлоксацин испољава ефекте на хрскавиц</w:t>
      </w:r>
      <w:r w:rsidR="007029DA" w:rsidRPr="00E34696">
        <w:rPr>
          <w:sz w:val="22"/>
          <w:szCs w:val="22"/>
          <w:lang w:val="sr-Latn-ME"/>
        </w:rPr>
        <w:t>и</w:t>
      </w:r>
      <w:r w:rsidRPr="00E34696">
        <w:rPr>
          <w:sz w:val="22"/>
          <w:szCs w:val="22"/>
          <w:lang w:val="sr-Latn-ME"/>
        </w:rPr>
        <w:t xml:space="preserve"> (стварање испупчења и удубљења) код пацова и паса. Ти налази су израженији код младих животиња.</w:t>
      </w:r>
    </w:p>
    <w:p w14:paraId="3233576A" w14:textId="77777777" w:rsidR="00396DFD" w:rsidRPr="00E34696" w:rsidRDefault="00396DFD" w:rsidP="00E34696">
      <w:pPr>
        <w:widowControl w:val="0"/>
        <w:tabs>
          <w:tab w:val="left" w:pos="540"/>
          <w:tab w:val="left" w:pos="569"/>
        </w:tabs>
        <w:rPr>
          <w:b/>
          <w:bCs/>
          <w:sz w:val="22"/>
          <w:szCs w:val="22"/>
          <w:lang w:val="sr-Latn-ME"/>
        </w:rPr>
      </w:pPr>
    </w:p>
    <w:p w14:paraId="76AD4BE1" w14:textId="77777777" w:rsidR="00C06689" w:rsidRPr="00E34696" w:rsidRDefault="00C06689" w:rsidP="00E34696">
      <w:pPr>
        <w:widowControl w:val="0"/>
        <w:tabs>
          <w:tab w:val="left" w:pos="540"/>
          <w:tab w:val="left" w:pos="569"/>
        </w:tabs>
        <w:rPr>
          <w:b/>
          <w:bCs/>
          <w:sz w:val="22"/>
          <w:szCs w:val="22"/>
          <w:lang w:val="sr-Latn-ME"/>
        </w:rPr>
      </w:pPr>
    </w:p>
    <w:p w14:paraId="7144F6CA" w14:textId="77777777" w:rsidR="00C06689" w:rsidRPr="00E34696" w:rsidRDefault="00C06689" w:rsidP="00E34696">
      <w:pPr>
        <w:pStyle w:val="Header"/>
        <w:widowControl w:val="0"/>
        <w:tabs>
          <w:tab w:val="left" w:pos="284"/>
        </w:tabs>
        <w:rPr>
          <w:b/>
          <w:bCs/>
          <w:sz w:val="22"/>
          <w:szCs w:val="22"/>
          <w:lang w:val="sr-Latn-ME"/>
        </w:rPr>
      </w:pPr>
      <w:r w:rsidRPr="00E34696">
        <w:rPr>
          <w:b/>
          <w:bCs/>
          <w:sz w:val="22"/>
          <w:szCs w:val="22"/>
          <w:lang w:val="sr-Latn-ME"/>
        </w:rPr>
        <w:t>6. ФАРМАЦЕУТСКИ ПОДАЦИ</w:t>
      </w:r>
    </w:p>
    <w:p w14:paraId="7DBC8D8E" w14:textId="77777777" w:rsidR="00836B35" w:rsidRPr="00E34696" w:rsidRDefault="00836B35" w:rsidP="00E34696">
      <w:pPr>
        <w:widowControl w:val="0"/>
        <w:tabs>
          <w:tab w:val="left" w:pos="540"/>
          <w:tab w:val="left" w:pos="569"/>
        </w:tabs>
        <w:rPr>
          <w:bCs/>
          <w:sz w:val="22"/>
          <w:szCs w:val="22"/>
          <w:lang w:val="sr-Latn-ME"/>
        </w:rPr>
      </w:pPr>
    </w:p>
    <w:p w14:paraId="458F6943" w14:textId="6AFE20F5" w:rsidR="00C06689" w:rsidRDefault="00C06689" w:rsidP="00E34696">
      <w:pPr>
        <w:pStyle w:val="Header"/>
        <w:widowControl w:val="0"/>
        <w:tabs>
          <w:tab w:val="left" w:pos="284"/>
        </w:tabs>
        <w:rPr>
          <w:b/>
          <w:bCs/>
          <w:sz w:val="22"/>
          <w:szCs w:val="22"/>
          <w:lang w:val="sr-Latn-ME"/>
        </w:rPr>
      </w:pPr>
      <w:r w:rsidRPr="00E34696">
        <w:rPr>
          <w:b/>
          <w:bCs/>
          <w:sz w:val="22"/>
          <w:szCs w:val="22"/>
          <w:lang w:val="sr-Latn-ME"/>
        </w:rPr>
        <w:lastRenderedPageBreak/>
        <w:t>6.1. Листа помоћних супстанци (ексципијенаса)</w:t>
      </w:r>
    </w:p>
    <w:p w14:paraId="3243497F" w14:textId="77777777" w:rsidR="00E34696" w:rsidRPr="00E34696" w:rsidRDefault="00E34696" w:rsidP="00E34696">
      <w:pPr>
        <w:pStyle w:val="Header"/>
        <w:widowControl w:val="0"/>
        <w:tabs>
          <w:tab w:val="left" w:pos="284"/>
        </w:tabs>
        <w:rPr>
          <w:b/>
          <w:bCs/>
          <w:sz w:val="22"/>
          <w:szCs w:val="22"/>
          <w:lang w:val="sr-Latn-ME"/>
        </w:rPr>
      </w:pPr>
    </w:p>
    <w:p w14:paraId="2BF0CBAE" w14:textId="77777777" w:rsidR="00C06689" w:rsidRPr="00E34696" w:rsidRDefault="00C06689" w:rsidP="00E34696">
      <w:pPr>
        <w:widowControl w:val="0"/>
        <w:tabs>
          <w:tab w:val="left" w:pos="284"/>
        </w:tabs>
        <w:jc w:val="both"/>
        <w:rPr>
          <w:i/>
          <w:sz w:val="22"/>
          <w:szCs w:val="22"/>
          <w:lang w:val="sr-Latn-ME"/>
        </w:rPr>
      </w:pPr>
      <w:r w:rsidRPr="00E34696">
        <w:rPr>
          <w:i/>
          <w:sz w:val="22"/>
          <w:szCs w:val="22"/>
          <w:lang w:val="sr-Latn-ME"/>
        </w:rPr>
        <w:t>Језгро таблете:</w:t>
      </w:r>
    </w:p>
    <w:p w14:paraId="4FC299C4"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 xml:space="preserve">Целулоза, микрокристална, </w:t>
      </w:r>
    </w:p>
    <w:p w14:paraId="7791DFF2"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 xml:space="preserve">Хидроксипропилцелулоза, </w:t>
      </w:r>
    </w:p>
    <w:p w14:paraId="32494EC3"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 xml:space="preserve">Кросповидон, </w:t>
      </w:r>
    </w:p>
    <w:p w14:paraId="415F4E74" w14:textId="6A258B32" w:rsidR="00C06689" w:rsidRPr="00E34696" w:rsidRDefault="00C06689" w:rsidP="00E34696">
      <w:pPr>
        <w:widowControl w:val="0"/>
        <w:tabs>
          <w:tab w:val="left" w:pos="284"/>
        </w:tabs>
        <w:jc w:val="both"/>
        <w:rPr>
          <w:sz w:val="22"/>
          <w:szCs w:val="22"/>
          <w:lang w:val="sr-Latn-ME"/>
        </w:rPr>
      </w:pPr>
      <w:r w:rsidRPr="00E34696">
        <w:rPr>
          <w:sz w:val="22"/>
          <w:szCs w:val="22"/>
          <w:lang w:val="sr-Latn-ME"/>
        </w:rPr>
        <w:t>Магнезијум стеарат.</w:t>
      </w:r>
    </w:p>
    <w:p w14:paraId="55936DC2" w14:textId="2C7FA2B6" w:rsidR="00C06689" w:rsidRPr="00E34696" w:rsidRDefault="00C06689" w:rsidP="00E34696">
      <w:pPr>
        <w:widowControl w:val="0"/>
        <w:tabs>
          <w:tab w:val="left" w:pos="284"/>
        </w:tabs>
        <w:jc w:val="both"/>
        <w:rPr>
          <w:i/>
          <w:sz w:val="22"/>
          <w:szCs w:val="22"/>
          <w:lang w:val="sr-Latn-ME"/>
        </w:rPr>
      </w:pPr>
      <w:r w:rsidRPr="00E34696">
        <w:rPr>
          <w:i/>
          <w:sz w:val="22"/>
          <w:szCs w:val="22"/>
          <w:lang w:val="sr-Latn-ME"/>
        </w:rPr>
        <w:t xml:space="preserve">Филм </w:t>
      </w:r>
      <w:r w:rsidR="00F83390" w:rsidRPr="00E34696">
        <w:rPr>
          <w:i/>
          <w:sz w:val="22"/>
          <w:szCs w:val="22"/>
          <w:lang w:val="sr-Latn-ME"/>
        </w:rPr>
        <w:t>омотач</w:t>
      </w:r>
      <w:r w:rsidRPr="00E34696">
        <w:rPr>
          <w:i/>
          <w:sz w:val="22"/>
          <w:szCs w:val="22"/>
          <w:lang w:val="sr-Latn-ME"/>
        </w:rPr>
        <w:t>:</w:t>
      </w:r>
    </w:p>
    <w:p w14:paraId="13E69009"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 xml:space="preserve">Хипромелоза, </w:t>
      </w:r>
    </w:p>
    <w:p w14:paraId="0F3061FE" w14:textId="7D95B8A9" w:rsidR="00C06689" w:rsidRPr="00E34696" w:rsidRDefault="00C06689" w:rsidP="00E34696">
      <w:pPr>
        <w:widowControl w:val="0"/>
        <w:tabs>
          <w:tab w:val="left" w:pos="284"/>
        </w:tabs>
        <w:jc w:val="both"/>
        <w:rPr>
          <w:sz w:val="22"/>
          <w:szCs w:val="22"/>
          <w:lang w:val="sr-Latn-ME"/>
        </w:rPr>
      </w:pPr>
      <w:r w:rsidRPr="00E34696">
        <w:rPr>
          <w:sz w:val="22"/>
          <w:szCs w:val="22"/>
          <w:lang w:val="sr-Latn-ME"/>
        </w:rPr>
        <w:t xml:space="preserve">Боја </w:t>
      </w:r>
      <w:r w:rsidRPr="00E34696">
        <w:rPr>
          <w:i/>
          <w:sz w:val="22"/>
          <w:szCs w:val="22"/>
          <w:lang w:val="sr-Latn-ME"/>
        </w:rPr>
        <w:t>Indigo Carmine Aluminium lake</w:t>
      </w:r>
      <w:r w:rsidR="00DB6F3C" w:rsidRPr="00E34696">
        <w:rPr>
          <w:i/>
          <w:sz w:val="22"/>
          <w:szCs w:val="22"/>
          <w:lang w:val="sr-Latn-ME"/>
        </w:rPr>
        <w:t xml:space="preserve"> индиго плава </w:t>
      </w:r>
      <w:r w:rsidRPr="00E34696">
        <w:rPr>
          <w:i/>
          <w:sz w:val="22"/>
          <w:szCs w:val="22"/>
          <w:lang w:val="sr-Latn-ME"/>
        </w:rPr>
        <w:t xml:space="preserve"> </w:t>
      </w:r>
      <w:r w:rsidRPr="00E34696">
        <w:rPr>
          <w:sz w:val="22"/>
          <w:szCs w:val="22"/>
          <w:lang w:val="sr-Latn-ME"/>
        </w:rPr>
        <w:t xml:space="preserve">(Е132), </w:t>
      </w:r>
    </w:p>
    <w:p w14:paraId="4E2C1401" w14:textId="7EB44376" w:rsidR="00C06689" w:rsidRPr="00E34696" w:rsidRDefault="00C06689" w:rsidP="00E34696">
      <w:pPr>
        <w:widowControl w:val="0"/>
        <w:tabs>
          <w:tab w:val="left" w:pos="284"/>
        </w:tabs>
        <w:jc w:val="both"/>
        <w:rPr>
          <w:sz w:val="22"/>
          <w:szCs w:val="22"/>
          <w:lang w:val="sr-Latn-ME"/>
        </w:rPr>
      </w:pPr>
      <w:r w:rsidRPr="00E34696">
        <w:rPr>
          <w:sz w:val="22"/>
          <w:szCs w:val="22"/>
          <w:lang w:val="sr-Latn-ME"/>
        </w:rPr>
        <w:t xml:space="preserve">Боја </w:t>
      </w:r>
      <w:r w:rsidRPr="00E34696">
        <w:rPr>
          <w:i/>
          <w:sz w:val="22"/>
          <w:szCs w:val="22"/>
          <w:lang w:val="sr-Latn-ME"/>
        </w:rPr>
        <w:t>Sunset Yеllоw</w:t>
      </w:r>
      <w:r w:rsidR="0018013D" w:rsidRPr="00E34696">
        <w:rPr>
          <w:i/>
          <w:sz w:val="22"/>
          <w:szCs w:val="22"/>
          <w:lang w:val="sr-Latn-ME"/>
        </w:rPr>
        <w:t xml:space="preserve"> </w:t>
      </w:r>
      <w:r w:rsidRPr="00E34696">
        <w:rPr>
          <w:sz w:val="22"/>
          <w:szCs w:val="22"/>
          <w:lang w:val="sr-Latn-ME"/>
        </w:rPr>
        <w:t xml:space="preserve"> </w:t>
      </w:r>
      <w:r w:rsidRPr="00E34696">
        <w:rPr>
          <w:i/>
          <w:sz w:val="22"/>
          <w:szCs w:val="22"/>
          <w:lang w:val="sr-Latn-ME"/>
        </w:rPr>
        <w:t>FCF</w:t>
      </w:r>
      <w:r w:rsidRPr="00E34696">
        <w:rPr>
          <w:sz w:val="22"/>
          <w:szCs w:val="22"/>
          <w:lang w:val="sr-Latn-ME"/>
        </w:rPr>
        <w:t xml:space="preserve"> </w:t>
      </w:r>
      <w:r w:rsidRPr="00E34696">
        <w:rPr>
          <w:i/>
          <w:sz w:val="22"/>
          <w:szCs w:val="22"/>
          <w:lang w:val="sr-Latn-ME"/>
        </w:rPr>
        <w:t>Аluminium lake</w:t>
      </w:r>
      <w:r w:rsidRPr="00E34696">
        <w:rPr>
          <w:sz w:val="22"/>
          <w:szCs w:val="22"/>
          <w:lang w:val="sr-Latn-ME"/>
        </w:rPr>
        <w:t xml:space="preserve"> </w:t>
      </w:r>
      <w:r w:rsidR="00DB6F3C" w:rsidRPr="00E34696">
        <w:rPr>
          <w:i/>
          <w:iCs/>
          <w:sz w:val="22"/>
          <w:szCs w:val="22"/>
          <w:lang w:val="sr-Latn-ME"/>
        </w:rPr>
        <w:t>наран</w:t>
      </w:r>
      <w:r w:rsidR="00233A3C" w:rsidRPr="00E34696">
        <w:rPr>
          <w:i/>
          <w:iCs/>
          <w:sz w:val="22"/>
          <w:szCs w:val="22"/>
          <w:lang w:val="sr-Latn-ME"/>
        </w:rPr>
        <w:t>џ</w:t>
      </w:r>
      <w:r w:rsidR="00DB6F3C" w:rsidRPr="00E34696">
        <w:rPr>
          <w:i/>
          <w:iCs/>
          <w:sz w:val="22"/>
          <w:szCs w:val="22"/>
          <w:lang w:val="sr-Latn-ME"/>
        </w:rPr>
        <w:t>аста</w:t>
      </w:r>
      <w:r w:rsidR="00694E8B" w:rsidRPr="00E34696">
        <w:rPr>
          <w:i/>
          <w:iCs/>
          <w:sz w:val="22"/>
          <w:szCs w:val="22"/>
          <w:lang w:val="sr-Latn-ME"/>
        </w:rPr>
        <w:t xml:space="preserve"> </w:t>
      </w:r>
      <w:r w:rsidRPr="00E34696">
        <w:rPr>
          <w:sz w:val="22"/>
          <w:szCs w:val="22"/>
          <w:lang w:val="sr-Latn-ME"/>
        </w:rPr>
        <w:t xml:space="preserve">(Е110), </w:t>
      </w:r>
    </w:p>
    <w:p w14:paraId="0C085630" w14:textId="3791E08E" w:rsidR="00C06689" w:rsidRPr="00E34696" w:rsidRDefault="00C06689" w:rsidP="00E34696">
      <w:pPr>
        <w:widowControl w:val="0"/>
        <w:tabs>
          <w:tab w:val="left" w:pos="284"/>
        </w:tabs>
        <w:jc w:val="both"/>
        <w:rPr>
          <w:sz w:val="22"/>
          <w:szCs w:val="22"/>
          <w:lang w:val="sr-Latn-ME"/>
        </w:rPr>
      </w:pPr>
      <w:r w:rsidRPr="00E34696">
        <w:rPr>
          <w:sz w:val="22"/>
          <w:szCs w:val="22"/>
          <w:lang w:val="sr-Latn-ME"/>
        </w:rPr>
        <w:t>Гвожђе</w:t>
      </w:r>
      <w:r w:rsidR="00B06B09" w:rsidRPr="00E34696">
        <w:rPr>
          <w:sz w:val="22"/>
          <w:szCs w:val="22"/>
          <w:lang w:val="sr-Latn-ME"/>
        </w:rPr>
        <w:t xml:space="preserve"> </w:t>
      </w:r>
      <w:r w:rsidRPr="00E34696">
        <w:rPr>
          <w:sz w:val="22"/>
          <w:szCs w:val="22"/>
          <w:lang w:val="sr-Latn-ME"/>
        </w:rPr>
        <w:t xml:space="preserve">оксид, црвени (Е172), </w:t>
      </w:r>
    </w:p>
    <w:p w14:paraId="36DF3186"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 xml:space="preserve">Макрогол 4000, </w:t>
      </w:r>
    </w:p>
    <w:p w14:paraId="2B7BC376" w14:textId="77777777" w:rsidR="00C06689" w:rsidRPr="00E34696" w:rsidRDefault="00C06689" w:rsidP="00E34696">
      <w:pPr>
        <w:widowControl w:val="0"/>
        <w:tabs>
          <w:tab w:val="left" w:pos="284"/>
        </w:tabs>
        <w:jc w:val="both"/>
        <w:rPr>
          <w:sz w:val="22"/>
          <w:szCs w:val="22"/>
          <w:lang w:val="sr-Latn-ME"/>
        </w:rPr>
      </w:pPr>
      <w:r w:rsidRPr="00E34696">
        <w:rPr>
          <w:sz w:val="22"/>
          <w:szCs w:val="22"/>
          <w:lang w:val="sr-Latn-ME"/>
        </w:rPr>
        <w:t>Титан диоксид (Е171),</w:t>
      </w:r>
    </w:p>
    <w:p w14:paraId="46066148" w14:textId="72608984" w:rsidR="00C06689" w:rsidRPr="00E34696" w:rsidRDefault="00C06689" w:rsidP="00E34696">
      <w:pPr>
        <w:widowControl w:val="0"/>
        <w:tabs>
          <w:tab w:val="left" w:pos="284"/>
        </w:tabs>
        <w:jc w:val="both"/>
        <w:rPr>
          <w:sz w:val="22"/>
          <w:szCs w:val="22"/>
          <w:u w:val="single"/>
          <w:lang w:val="sr-Latn-ME"/>
        </w:rPr>
      </w:pPr>
      <w:r w:rsidRPr="00E34696">
        <w:rPr>
          <w:sz w:val="22"/>
          <w:szCs w:val="22"/>
          <w:lang w:val="sr-Latn-ME"/>
        </w:rPr>
        <w:t>Гвожђе</w:t>
      </w:r>
      <w:r w:rsidR="00B06B09" w:rsidRPr="00E34696">
        <w:rPr>
          <w:sz w:val="22"/>
          <w:szCs w:val="22"/>
          <w:lang w:val="sr-Latn-ME"/>
        </w:rPr>
        <w:t xml:space="preserve"> </w:t>
      </w:r>
      <w:r w:rsidRPr="00E34696">
        <w:rPr>
          <w:sz w:val="22"/>
          <w:szCs w:val="22"/>
          <w:lang w:val="sr-Latn-ME"/>
        </w:rPr>
        <w:t>оксид, жути (Е172) (</w:t>
      </w:r>
      <w:r w:rsidRPr="00E34696">
        <w:rPr>
          <w:i/>
          <w:sz w:val="22"/>
          <w:szCs w:val="22"/>
          <w:lang w:val="sr-Latn-ME"/>
        </w:rPr>
        <w:t>само за 500 mg</w:t>
      </w:r>
      <w:r w:rsidRPr="00E34696">
        <w:rPr>
          <w:sz w:val="22"/>
          <w:szCs w:val="22"/>
          <w:lang w:val="sr-Latn-ME"/>
        </w:rPr>
        <w:t>).</w:t>
      </w:r>
    </w:p>
    <w:p w14:paraId="7DCED1B5" w14:textId="77777777" w:rsidR="00C06689" w:rsidRPr="00E34696" w:rsidRDefault="00C06689" w:rsidP="00E34696">
      <w:pPr>
        <w:widowControl w:val="0"/>
        <w:tabs>
          <w:tab w:val="left" w:pos="284"/>
        </w:tabs>
        <w:jc w:val="both"/>
        <w:rPr>
          <w:bCs/>
          <w:sz w:val="22"/>
          <w:szCs w:val="22"/>
          <w:u w:val="single"/>
          <w:lang w:val="sr-Latn-ME"/>
        </w:rPr>
      </w:pPr>
    </w:p>
    <w:p w14:paraId="025002B2" w14:textId="77777777" w:rsidR="00C06689" w:rsidRPr="00E34696" w:rsidRDefault="00C06689" w:rsidP="00E34696">
      <w:pPr>
        <w:pStyle w:val="Header"/>
        <w:widowControl w:val="0"/>
        <w:tabs>
          <w:tab w:val="left" w:pos="284"/>
        </w:tabs>
        <w:rPr>
          <w:b/>
          <w:bCs/>
          <w:sz w:val="22"/>
          <w:szCs w:val="22"/>
          <w:lang w:val="sr-Latn-ME"/>
        </w:rPr>
      </w:pPr>
      <w:r w:rsidRPr="00E34696">
        <w:rPr>
          <w:b/>
          <w:bCs/>
          <w:sz w:val="22"/>
          <w:szCs w:val="22"/>
          <w:lang w:val="sr-Latn-ME"/>
        </w:rPr>
        <w:t>6.2. Инкомпатибилности</w:t>
      </w:r>
    </w:p>
    <w:p w14:paraId="5284168B" w14:textId="77777777" w:rsidR="00C06689" w:rsidRPr="00E34696" w:rsidRDefault="00C06689" w:rsidP="00E34696">
      <w:pPr>
        <w:pStyle w:val="Header"/>
        <w:widowControl w:val="0"/>
        <w:tabs>
          <w:tab w:val="left" w:pos="284"/>
        </w:tabs>
        <w:rPr>
          <w:sz w:val="22"/>
          <w:szCs w:val="22"/>
          <w:lang w:val="sr-Latn-ME"/>
        </w:rPr>
      </w:pPr>
    </w:p>
    <w:p w14:paraId="3061AEF6" w14:textId="77777777" w:rsidR="00C06689" w:rsidRPr="00E34696" w:rsidRDefault="00C06689" w:rsidP="00E34696">
      <w:pPr>
        <w:pStyle w:val="Header"/>
        <w:widowControl w:val="0"/>
        <w:tabs>
          <w:tab w:val="left" w:pos="284"/>
        </w:tabs>
        <w:rPr>
          <w:sz w:val="22"/>
          <w:szCs w:val="22"/>
          <w:lang w:val="sr-Latn-ME"/>
        </w:rPr>
      </w:pPr>
      <w:r w:rsidRPr="00E34696">
        <w:rPr>
          <w:sz w:val="22"/>
          <w:szCs w:val="22"/>
          <w:lang w:val="sr-Latn-ME"/>
        </w:rPr>
        <w:t>Није примјењиво.</w:t>
      </w:r>
    </w:p>
    <w:p w14:paraId="2E81E364" w14:textId="77777777" w:rsidR="00C06689" w:rsidRPr="00E34696" w:rsidRDefault="00C06689" w:rsidP="00E34696">
      <w:pPr>
        <w:pStyle w:val="Header"/>
        <w:widowControl w:val="0"/>
        <w:tabs>
          <w:tab w:val="left" w:pos="284"/>
        </w:tabs>
        <w:rPr>
          <w:sz w:val="22"/>
          <w:szCs w:val="22"/>
          <w:lang w:val="sr-Latn-ME"/>
        </w:rPr>
      </w:pPr>
    </w:p>
    <w:p w14:paraId="47FD4CDE" w14:textId="77777777" w:rsidR="00C06689" w:rsidRPr="00E34696" w:rsidRDefault="00C06689" w:rsidP="00E34696">
      <w:pPr>
        <w:pStyle w:val="Header"/>
        <w:widowControl w:val="0"/>
        <w:tabs>
          <w:tab w:val="left" w:pos="284"/>
        </w:tabs>
        <w:rPr>
          <w:b/>
          <w:bCs/>
          <w:sz w:val="22"/>
          <w:szCs w:val="22"/>
          <w:lang w:val="sr-Latn-ME"/>
        </w:rPr>
      </w:pPr>
      <w:r w:rsidRPr="00E34696">
        <w:rPr>
          <w:b/>
          <w:bCs/>
          <w:sz w:val="22"/>
          <w:szCs w:val="22"/>
          <w:lang w:val="sr-Latn-ME"/>
        </w:rPr>
        <w:t>6.3. Рок употребе</w:t>
      </w:r>
    </w:p>
    <w:p w14:paraId="5B7ABCCF" w14:textId="77777777" w:rsidR="00C06689" w:rsidRPr="00E34696" w:rsidRDefault="00C06689" w:rsidP="00E34696">
      <w:pPr>
        <w:pStyle w:val="Header"/>
        <w:widowControl w:val="0"/>
        <w:tabs>
          <w:tab w:val="left" w:pos="284"/>
        </w:tabs>
        <w:rPr>
          <w:sz w:val="22"/>
          <w:szCs w:val="22"/>
          <w:lang w:val="sr-Latn-ME"/>
        </w:rPr>
      </w:pPr>
    </w:p>
    <w:p w14:paraId="0EAA3B14" w14:textId="57584B83" w:rsidR="00C06689" w:rsidRPr="00E34696" w:rsidRDefault="00B651E5" w:rsidP="00E34696">
      <w:pPr>
        <w:pStyle w:val="Header"/>
        <w:widowControl w:val="0"/>
        <w:tabs>
          <w:tab w:val="left" w:pos="284"/>
        </w:tabs>
        <w:rPr>
          <w:sz w:val="22"/>
          <w:szCs w:val="22"/>
          <w:lang w:val="sr-Latn-ME"/>
        </w:rPr>
      </w:pPr>
      <w:r w:rsidRPr="00E34696">
        <w:rPr>
          <w:sz w:val="22"/>
          <w:szCs w:val="22"/>
          <w:lang w:val="sr-Latn-ME"/>
        </w:rPr>
        <w:t>Пет</w:t>
      </w:r>
      <w:r w:rsidR="0005749D" w:rsidRPr="00E34696">
        <w:rPr>
          <w:sz w:val="22"/>
          <w:szCs w:val="22"/>
          <w:lang w:val="sr-Latn-ME"/>
        </w:rPr>
        <w:t xml:space="preserve"> </w:t>
      </w:r>
      <w:r w:rsidR="00C06689" w:rsidRPr="00E34696">
        <w:rPr>
          <w:sz w:val="22"/>
          <w:szCs w:val="22"/>
          <w:lang w:val="sr-Latn-ME"/>
        </w:rPr>
        <w:t>(</w:t>
      </w:r>
      <w:r w:rsidRPr="00E34696">
        <w:rPr>
          <w:sz w:val="22"/>
          <w:szCs w:val="22"/>
          <w:lang w:val="sr-Latn-ME"/>
        </w:rPr>
        <w:t>5</w:t>
      </w:r>
      <w:r w:rsidR="00C06689" w:rsidRPr="00E34696">
        <w:rPr>
          <w:sz w:val="22"/>
          <w:szCs w:val="22"/>
          <w:lang w:val="sr-Latn-ME"/>
        </w:rPr>
        <w:t>) годин</w:t>
      </w:r>
      <w:r w:rsidRPr="00E34696">
        <w:rPr>
          <w:sz w:val="22"/>
          <w:szCs w:val="22"/>
          <w:lang w:val="sr-Latn-ME"/>
        </w:rPr>
        <w:t>а</w:t>
      </w:r>
      <w:r w:rsidR="00C06689" w:rsidRPr="00E34696">
        <w:rPr>
          <w:sz w:val="22"/>
          <w:szCs w:val="22"/>
          <w:lang w:val="sr-Latn-ME"/>
        </w:rPr>
        <w:t>.</w:t>
      </w:r>
    </w:p>
    <w:p w14:paraId="33A914A1" w14:textId="77777777" w:rsidR="00C06689" w:rsidRPr="00E34696" w:rsidRDefault="00C06689" w:rsidP="00E34696">
      <w:pPr>
        <w:pStyle w:val="Header"/>
        <w:widowControl w:val="0"/>
        <w:tabs>
          <w:tab w:val="left" w:pos="284"/>
        </w:tabs>
        <w:rPr>
          <w:sz w:val="22"/>
          <w:szCs w:val="22"/>
          <w:lang w:val="sr-Latn-ME"/>
        </w:rPr>
      </w:pPr>
    </w:p>
    <w:p w14:paraId="78893E53" w14:textId="77777777" w:rsidR="00C06689" w:rsidRPr="00E34696" w:rsidRDefault="00C06689" w:rsidP="00E34696">
      <w:pPr>
        <w:pStyle w:val="Header"/>
        <w:widowControl w:val="0"/>
        <w:tabs>
          <w:tab w:val="left" w:pos="284"/>
        </w:tabs>
        <w:rPr>
          <w:b/>
          <w:bCs/>
          <w:sz w:val="22"/>
          <w:szCs w:val="22"/>
          <w:lang w:val="sr-Latn-ME"/>
        </w:rPr>
      </w:pPr>
      <w:r w:rsidRPr="00E34696">
        <w:rPr>
          <w:b/>
          <w:bCs/>
          <w:sz w:val="22"/>
          <w:szCs w:val="22"/>
          <w:lang w:val="sr-Latn-ME"/>
        </w:rPr>
        <w:t>6.4. Посебне мјере упозорења при чувању лијека</w:t>
      </w:r>
    </w:p>
    <w:p w14:paraId="4428EE30" w14:textId="77777777" w:rsidR="00C06689" w:rsidRPr="00E34696" w:rsidRDefault="00C06689" w:rsidP="00E34696">
      <w:pPr>
        <w:widowControl w:val="0"/>
        <w:tabs>
          <w:tab w:val="left" w:pos="284"/>
        </w:tabs>
        <w:autoSpaceDE w:val="0"/>
        <w:autoSpaceDN w:val="0"/>
        <w:adjustRightInd w:val="0"/>
        <w:jc w:val="both"/>
        <w:rPr>
          <w:sz w:val="22"/>
          <w:szCs w:val="22"/>
          <w:lang w:val="sr-Latn-ME"/>
        </w:rPr>
      </w:pPr>
    </w:p>
    <w:p w14:paraId="714680F9" w14:textId="77777777" w:rsidR="00C06689" w:rsidRPr="00E34696" w:rsidRDefault="00C06689" w:rsidP="00E34696">
      <w:pPr>
        <w:widowControl w:val="0"/>
        <w:tabs>
          <w:tab w:val="left" w:pos="284"/>
          <w:tab w:val="left" w:pos="567"/>
        </w:tabs>
        <w:jc w:val="both"/>
        <w:rPr>
          <w:sz w:val="22"/>
          <w:lang w:val="sr-Latn-ME"/>
        </w:rPr>
      </w:pPr>
      <w:r w:rsidRPr="00E34696">
        <w:rPr>
          <w:sz w:val="22"/>
          <w:szCs w:val="22"/>
          <w:lang w:val="sr-Latn-ME"/>
        </w:rPr>
        <w:t>Лијек не захтијева посебне услове чувања.</w:t>
      </w:r>
    </w:p>
    <w:p w14:paraId="38CED2FC" w14:textId="77777777" w:rsidR="00C06689" w:rsidRPr="00E34696" w:rsidRDefault="00C06689" w:rsidP="00E34696">
      <w:pPr>
        <w:pStyle w:val="Header"/>
        <w:widowControl w:val="0"/>
        <w:tabs>
          <w:tab w:val="left" w:pos="284"/>
        </w:tabs>
        <w:rPr>
          <w:b/>
          <w:bCs/>
          <w:sz w:val="22"/>
          <w:szCs w:val="22"/>
          <w:lang w:val="sr-Latn-ME"/>
        </w:rPr>
      </w:pPr>
      <w:r w:rsidRPr="00E34696" w:rsidDel="00F55B2A">
        <w:rPr>
          <w:sz w:val="22"/>
          <w:szCs w:val="22"/>
          <w:lang w:val="sr-Latn-ME"/>
        </w:rPr>
        <w:t xml:space="preserve"> </w:t>
      </w:r>
    </w:p>
    <w:p w14:paraId="7180D134" w14:textId="77777777" w:rsidR="00C06689" w:rsidRPr="00E34696" w:rsidRDefault="00C06689" w:rsidP="00E34696">
      <w:pPr>
        <w:pStyle w:val="Header"/>
        <w:widowControl w:val="0"/>
        <w:tabs>
          <w:tab w:val="left" w:pos="284"/>
        </w:tabs>
        <w:rPr>
          <w:b/>
          <w:bCs/>
          <w:sz w:val="22"/>
          <w:szCs w:val="22"/>
          <w:lang w:val="sr-Latn-ME"/>
        </w:rPr>
      </w:pPr>
      <w:r w:rsidRPr="00E34696">
        <w:rPr>
          <w:b/>
          <w:bCs/>
          <w:sz w:val="22"/>
          <w:szCs w:val="22"/>
          <w:lang w:val="sr-Latn-ME"/>
        </w:rPr>
        <w:t>6.5. Врста и садржај пакова</w:t>
      </w:r>
      <w:r w:rsidRPr="00E34696">
        <w:rPr>
          <w:b/>
          <w:sz w:val="22"/>
          <w:szCs w:val="22"/>
          <w:lang w:val="sr-Latn-ME"/>
        </w:rPr>
        <w:t>њ</w:t>
      </w:r>
      <w:r w:rsidRPr="00E34696">
        <w:rPr>
          <w:b/>
          <w:bCs/>
          <w:sz w:val="22"/>
          <w:szCs w:val="22"/>
          <w:lang w:val="sr-Latn-ME"/>
        </w:rPr>
        <w:t>а</w:t>
      </w:r>
    </w:p>
    <w:p w14:paraId="75E6B8EA" w14:textId="77777777" w:rsidR="00C06689" w:rsidRPr="00E34696" w:rsidRDefault="00C06689" w:rsidP="00E34696">
      <w:pPr>
        <w:widowControl w:val="0"/>
        <w:tabs>
          <w:tab w:val="left" w:pos="284"/>
        </w:tabs>
        <w:jc w:val="both"/>
        <w:rPr>
          <w:sz w:val="22"/>
          <w:szCs w:val="22"/>
          <w:lang w:val="sr-Latn-ME"/>
        </w:rPr>
      </w:pPr>
    </w:p>
    <w:p w14:paraId="2F50E11F" w14:textId="7155BF39" w:rsidR="00C06689" w:rsidRPr="00E34696" w:rsidRDefault="00C06689" w:rsidP="00E34696">
      <w:pPr>
        <w:widowControl w:val="0"/>
        <w:tabs>
          <w:tab w:val="left" w:pos="284"/>
        </w:tabs>
        <w:jc w:val="both"/>
        <w:rPr>
          <w:sz w:val="22"/>
          <w:szCs w:val="22"/>
          <w:lang w:val="sr-Latn-ME"/>
        </w:rPr>
      </w:pPr>
      <w:r w:rsidRPr="00E34696">
        <w:rPr>
          <w:sz w:val="22"/>
          <w:szCs w:val="22"/>
          <w:u w:val="single"/>
          <w:lang w:val="sr-Latn-ME"/>
        </w:rPr>
        <w:t>Fovelid, 250 mg, филм таблет</w:t>
      </w:r>
      <w:r w:rsidR="00347034" w:rsidRPr="00E34696">
        <w:rPr>
          <w:sz w:val="22"/>
          <w:szCs w:val="22"/>
          <w:u w:val="single"/>
          <w:lang w:val="sr-Latn-ME"/>
        </w:rPr>
        <w:t>а</w:t>
      </w:r>
    </w:p>
    <w:p w14:paraId="4CD91C55" w14:textId="0195D75C" w:rsidR="00C06689" w:rsidRPr="00E34696" w:rsidRDefault="00C06689">
      <w:pPr>
        <w:widowControl w:val="0"/>
        <w:tabs>
          <w:tab w:val="left" w:pos="284"/>
        </w:tabs>
        <w:jc w:val="both"/>
        <w:rPr>
          <w:sz w:val="22"/>
          <w:szCs w:val="22"/>
          <w:lang w:val="sr-Latn-ME"/>
        </w:rPr>
      </w:pPr>
      <w:r w:rsidRPr="00E34696">
        <w:rPr>
          <w:sz w:val="22"/>
          <w:szCs w:val="22"/>
          <w:lang w:val="sr-Latn-ME"/>
        </w:rPr>
        <w:t xml:space="preserve">Унутрашње паковање је PVC/PЕ/PVDC/алуминијумски блистер </w:t>
      </w:r>
      <w:r w:rsidR="00347034" w:rsidRPr="00E34696">
        <w:rPr>
          <w:sz w:val="22"/>
          <w:szCs w:val="22"/>
          <w:lang w:val="sr-Latn-ME"/>
        </w:rPr>
        <w:t xml:space="preserve">који садржи </w:t>
      </w:r>
      <w:r w:rsidRPr="00E34696">
        <w:rPr>
          <w:sz w:val="22"/>
          <w:szCs w:val="22"/>
          <w:lang w:val="sr-Latn-ME"/>
        </w:rPr>
        <w:t>5 или 10 филм таблета.</w:t>
      </w:r>
    </w:p>
    <w:p w14:paraId="4020B9F4" w14:textId="77777777" w:rsidR="00C06689" w:rsidRPr="00E34696" w:rsidRDefault="00C06689">
      <w:pPr>
        <w:widowControl w:val="0"/>
        <w:tabs>
          <w:tab w:val="left" w:pos="284"/>
        </w:tabs>
        <w:jc w:val="both"/>
        <w:rPr>
          <w:sz w:val="22"/>
          <w:szCs w:val="22"/>
          <w:lang w:val="sr-Latn-ME"/>
        </w:rPr>
      </w:pPr>
      <w:r w:rsidRPr="00E34696">
        <w:rPr>
          <w:sz w:val="22"/>
          <w:szCs w:val="22"/>
          <w:lang w:val="sr-Latn-ME"/>
        </w:rPr>
        <w:t>Спољашње паковање је сложива картонска кутија у којој се налази 1 блистер и Упутство за лијек.</w:t>
      </w:r>
    </w:p>
    <w:p w14:paraId="428A8DA6" w14:textId="77777777" w:rsidR="00C06689" w:rsidRPr="00E34696" w:rsidRDefault="00C06689">
      <w:pPr>
        <w:widowControl w:val="0"/>
        <w:tabs>
          <w:tab w:val="left" w:pos="284"/>
        </w:tabs>
        <w:jc w:val="both"/>
        <w:rPr>
          <w:bCs/>
          <w:sz w:val="22"/>
          <w:szCs w:val="22"/>
          <w:u w:val="single"/>
          <w:lang w:val="sr-Latn-ME"/>
        </w:rPr>
      </w:pPr>
    </w:p>
    <w:p w14:paraId="5868E222" w14:textId="6C739C64" w:rsidR="00C06689" w:rsidRPr="00E34696" w:rsidRDefault="00C06689">
      <w:pPr>
        <w:widowControl w:val="0"/>
        <w:tabs>
          <w:tab w:val="left" w:pos="284"/>
        </w:tabs>
        <w:jc w:val="both"/>
        <w:rPr>
          <w:sz w:val="22"/>
          <w:szCs w:val="22"/>
          <w:lang w:val="sr-Latn-ME"/>
        </w:rPr>
      </w:pPr>
      <w:r w:rsidRPr="00E34696">
        <w:rPr>
          <w:sz w:val="22"/>
          <w:szCs w:val="22"/>
          <w:u w:val="single"/>
          <w:lang w:val="sr-Latn-ME"/>
        </w:rPr>
        <w:t>Fovelid, 500 mg, филм таблет</w:t>
      </w:r>
      <w:r w:rsidR="00347034" w:rsidRPr="00E34696">
        <w:rPr>
          <w:sz w:val="22"/>
          <w:szCs w:val="22"/>
          <w:u w:val="single"/>
          <w:lang w:val="sr-Latn-ME"/>
        </w:rPr>
        <w:t>а</w:t>
      </w:r>
    </w:p>
    <w:p w14:paraId="4AB82178" w14:textId="2A439C78" w:rsidR="00C06689" w:rsidRPr="00E34696" w:rsidRDefault="00C06689">
      <w:pPr>
        <w:widowControl w:val="0"/>
        <w:tabs>
          <w:tab w:val="left" w:pos="284"/>
        </w:tabs>
        <w:jc w:val="both"/>
        <w:rPr>
          <w:sz w:val="22"/>
          <w:szCs w:val="22"/>
          <w:lang w:val="sr-Latn-ME"/>
        </w:rPr>
      </w:pPr>
      <w:r w:rsidRPr="00E34696">
        <w:rPr>
          <w:sz w:val="22"/>
          <w:szCs w:val="22"/>
          <w:lang w:val="sr-Latn-ME"/>
        </w:rPr>
        <w:t xml:space="preserve">Унутрашње паковање је PVC/PЕ/PVDC/алуминијумски блистер </w:t>
      </w:r>
      <w:r w:rsidR="00347034" w:rsidRPr="00E34696">
        <w:rPr>
          <w:sz w:val="22"/>
          <w:szCs w:val="22"/>
          <w:lang w:val="sr-Latn-ME"/>
        </w:rPr>
        <w:t xml:space="preserve">који садржи </w:t>
      </w:r>
      <w:r w:rsidRPr="00E34696">
        <w:rPr>
          <w:sz w:val="22"/>
          <w:szCs w:val="22"/>
          <w:lang w:val="sr-Latn-ME"/>
        </w:rPr>
        <w:t>5 или 10 филм таблета.</w:t>
      </w:r>
    </w:p>
    <w:p w14:paraId="14E8E0BF" w14:textId="77777777" w:rsidR="00C06689" w:rsidRPr="00E34696" w:rsidRDefault="00C06689">
      <w:pPr>
        <w:widowControl w:val="0"/>
        <w:tabs>
          <w:tab w:val="left" w:pos="284"/>
        </w:tabs>
        <w:jc w:val="both"/>
        <w:rPr>
          <w:sz w:val="22"/>
          <w:szCs w:val="22"/>
          <w:lang w:val="sr-Latn-ME"/>
        </w:rPr>
      </w:pPr>
      <w:r w:rsidRPr="00E34696">
        <w:rPr>
          <w:sz w:val="22"/>
          <w:szCs w:val="22"/>
          <w:lang w:val="sr-Latn-ME"/>
        </w:rPr>
        <w:t>Спољашње паковање је сложива картонска кутија у којој се налази 1 блистер и Упутство за лијек.</w:t>
      </w:r>
    </w:p>
    <w:p w14:paraId="4502C54B" w14:textId="77777777" w:rsidR="00C06689" w:rsidRPr="00E34696" w:rsidRDefault="00C06689">
      <w:pPr>
        <w:widowControl w:val="0"/>
        <w:tabs>
          <w:tab w:val="left" w:pos="284"/>
        </w:tabs>
        <w:jc w:val="both"/>
        <w:rPr>
          <w:bCs/>
          <w:sz w:val="22"/>
          <w:szCs w:val="22"/>
          <w:u w:val="single"/>
          <w:lang w:val="sr-Latn-ME"/>
        </w:rPr>
      </w:pPr>
    </w:p>
    <w:p w14:paraId="1657BA25" w14:textId="77777777" w:rsidR="00C06689" w:rsidRPr="00E34696" w:rsidRDefault="00C06689" w:rsidP="00CF11E2">
      <w:pPr>
        <w:pStyle w:val="Header"/>
        <w:widowControl w:val="0"/>
        <w:tabs>
          <w:tab w:val="left" w:pos="284"/>
        </w:tabs>
        <w:jc w:val="both"/>
        <w:rPr>
          <w:b/>
          <w:bCs/>
          <w:sz w:val="22"/>
          <w:szCs w:val="22"/>
          <w:lang w:val="sr-Latn-ME"/>
        </w:rPr>
      </w:pPr>
      <w:r w:rsidRPr="00E34696">
        <w:rPr>
          <w:b/>
          <w:bCs/>
          <w:sz w:val="22"/>
          <w:szCs w:val="22"/>
          <w:lang w:val="sr-Latn-ME"/>
        </w:rPr>
        <w:t xml:space="preserve">6.6. Посебне мјере опреза при одлагању материјала који треба одбацити након примјене лијека (и друга упутства за руковање лијеком) </w:t>
      </w:r>
    </w:p>
    <w:p w14:paraId="3E8CE67F" w14:textId="77777777" w:rsidR="00C06689" w:rsidRPr="00E34696" w:rsidRDefault="00C06689">
      <w:pPr>
        <w:widowControl w:val="0"/>
        <w:tabs>
          <w:tab w:val="left" w:pos="284"/>
        </w:tabs>
        <w:jc w:val="both"/>
        <w:rPr>
          <w:sz w:val="22"/>
          <w:szCs w:val="22"/>
          <w:lang w:val="sr-Latn-ME"/>
        </w:rPr>
      </w:pPr>
    </w:p>
    <w:p w14:paraId="3E7373CC" w14:textId="7ED67B6F" w:rsidR="00C06689" w:rsidRPr="00E34696" w:rsidRDefault="00C06689">
      <w:pPr>
        <w:widowControl w:val="0"/>
        <w:tabs>
          <w:tab w:val="left" w:pos="284"/>
        </w:tabs>
        <w:jc w:val="both"/>
        <w:rPr>
          <w:sz w:val="22"/>
          <w:szCs w:val="22"/>
          <w:lang w:val="sr-Latn-ME"/>
        </w:rPr>
      </w:pPr>
      <w:r w:rsidRPr="00E34696">
        <w:rPr>
          <w:sz w:val="22"/>
          <w:szCs w:val="22"/>
          <w:lang w:val="sr-Latn-ME"/>
        </w:rPr>
        <w:t xml:space="preserve">Подиона </w:t>
      </w:r>
      <w:r w:rsidR="003251DC" w:rsidRPr="00E34696">
        <w:rPr>
          <w:sz w:val="22"/>
          <w:szCs w:val="22"/>
          <w:lang w:val="sr-Latn-ME"/>
        </w:rPr>
        <w:t xml:space="preserve">црта </w:t>
      </w:r>
      <w:r w:rsidRPr="00E34696">
        <w:rPr>
          <w:sz w:val="22"/>
          <w:szCs w:val="22"/>
          <w:lang w:val="sr-Latn-ME"/>
        </w:rPr>
        <w:t>служи за прилагођавање дозе код пацијената са o</w:t>
      </w:r>
      <w:r w:rsidR="00FA3CFC" w:rsidRPr="00E34696">
        <w:rPr>
          <w:sz w:val="22"/>
          <w:szCs w:val="22"/>
          <w:lang w:val="sr-Latn-ME"/>
        </w:rPr>
        <w:t>штећеном</w:t>
      </w:r>
      <w:r w:rsidRPr="00E34696">
        <w:rPr>
          <w:sz w:val="22"/>
          <w:szCs w:val="22"/>
          <w:lang w:val="sr-Latn-ME"/>
        </w:rPr>
        <w:t xml:space="preserve"> функцијом бубрега.</w:t>
      </w:r>
    </w:p>
    <w:p w14:paraId="6E2E34E5" w14:textId="77777777" w:rsidR="00C06689" w:rsidRPr="00E34696" w:rsidRDefault="00C06689">
      <w:pPr>
        <w:widowControl w:val="0"/>
        <w:tabs>
          <w:tab w:val="left" w:pos="284"/>
        </w:tabs>
        <w:jc w:val="both"/>
        <w:rPr>
          <w:sz w:val="22"/>
          <w:szCs w:val="22"/>
          <w:lang w:val="sr-Latn-ME"/>
        </w:rPr>
      </w:pPr>
    </w:p>
    <w:p w14:paraId="7DB02295" w14:textId="77777777" w:rsidR="00C06689" w:rsidRPr="00E34696" w:rsidRDefault="00C06689">
      <w:pPr>
        <w:widowControl w:val="0"/>
        <w:tabs>
          <w:tab w:val="left" w:pos="284"/>
        </w:tabs>
        <w:jc w:val="both"/>
        <w:rPr>
          <w:sz w:val="22"/>
          <w:szCs w:val="22"/>
          <w:lang w:val="sr-Latn-ME"/>
        </w:rPr>
      </w:pPr>
      <w:r w:rsidRPr="00E34696">
        <w:rPr>
          <w:sz w:val="22"/>
          <w:szCs w:val="22"/>
          <w:lang w:val="sr-Latn-ME"/>
        </w:rPr>
        <w:t>Сву неискоришћену количину лијека или отпадног материјала након његове употребе треба уклонити у складу са важећим прописима.</w:t>
      </w:r>
    </w:p>
    <w:p w14:paraId="692BB5D2" w14:textId="77777777" w:rsidR="00C06689" w:rsidRPr="00E34696" w:rsidRDefault="00C06689" w:rsidP="00CF11E2">
      <w:pPr>
        <w:pStyle w:val="Header"/>
        <w:widowControl w:val="0"/>
        <w:tabs>
          <w:tab w:val="left" w:pos="284"/>
        </w:tabs>
        <w:jc w:val="both"/>
        <w:rPr>
          <w:b/>
          <w:bCs/>
          <w:sz w:val="22"/>
          <w:szCs w:val="22"/>
          <w:lang w:val="sr-Latn-ME"/>
        </w:rPr>
      </w:pPr>
    </w:p>
    <w:p w14:paraId="4CEB37B1" w14:textId="77777777" w:rsidR="00FA3CFC" w:rsidRPr="00E34696" w:rsidRDefault="00FA3CFC" w:rsidP="00E34696">
      <w:pPr>
        <w:pStyle w:val="Header"/>
        <w:widowControl w:val="0"/>
        <w:tabs>
          <w:tab w:val="left" w:pos="284"/>
        </w:tabs>
        <w:rPr>
          <w:b/>
          <w:bCs/>
          <w:sz w:val="22"/>
          <w:szCs w:val="22"/>
          <w:lang w:val="sr-Latn-ME"/>
        </w:rPr>
      </w:pPr>
    </w:p>
    <w:p w14:paraId="76C46B8C" w14:textId="77777777" w:rsidR="00C06689" w:rsidRPr="00E34696" w:rsidRDefault="00C06689" w:rsidP="00E34696">
      <w:pPr>
        <w:pStyle w:val="Header"/>
        <w:widowControl w:val="0"/>
        <w:tabs>
          <w:tab w:val="left" w:pos="284"/>
        </w:tabs>
        <w:rPr>
          <w:b/>
          <w:bCs/>
          <w:sz w:val="22"/>
          <w:szCs w:val="22"/>
          <w:lang w:val="sr-Latn-ME"/>
        </w:rPr>
      </w:pPr>
      <w:r w:rsidRPr="00E34696">
        <w:rPr>
          <w:b/>
          <w:bCs/>
          <w:sz w:val="22"/>
          <w:szCs w:val="22"/>
          <w:lang w:val="sr-Latn-ME"/>
        </w:rPr>
        <w:t xml:space="preserve">7. НОСИЛАЦ ДОЗВОЛЕ </w:t>
      </w:r>
    </w:p>
    <w:p w14:paraId="596D8B65" w14:textId="77777777" w:rsidR="00ED13F5" w:rsidRPr="00E34696" w:rsidRDefault="00ED13F5" w:rsidP="00E34696">
      <w:pPr>
        <w:widowControl w:val="0"/>
        <w:rPr>
          <w:sz w:val="22"/>
          <w:szCs w:val="22"/>
          <w:lang w:val="sr-Latn-ME" w:eastAsia="en-GB"/>
        </w:rPr>
      </w:pPr>
    </w:p>
    <w:p w14:paraId="17624646" w14:textId="29AA75B5" w:rsidR="00C06689" w:rsidRPr="00E34696" w:rsidRDefault="00C06689" w:rsidP="00E34696">
      <w:pPr>
        <w:widowControl w:val="0"/>
        <w:rPr>
          <w:sz w:val="22"/>
          <w:szCs w:val="22"/>
          <w:lang w:val="sr-Latn-ME" w:eastAsia="en-GB"/>
        </w:rPr>
      </w:pPr>
      <w:r w:rsidRPr="00E34696">
        <w:rPr>
          <w:sz w:val="22"/>
          <w:szCs w:val="22"/>
          <w:lang w:val="sr-Latn-ME" w:eastAsia="en-GB"/>
        </w:rPr>
        <w:t>АЛКАЛОИД д.</w:t>
      </w:r>
      <w:r w:rsidR="001F0DBC" w:rsidRPr="00E34696">
        <w:rPr>
          <w:sz w:val="22"/>
          <w:szCs w:val="22"/>
          <w:lang w:val="sr-Latn-ME" w:eastAsia="en-GB"/>
        </w:rPr>
        <w:t xml:space="preserve"> </w:t>
      </w:r>
      <w:r w:rsidRPr="00E34696">
        <w:rPr>
          <w:sz w:val="22"/>
          <w:szCs w:val="22"/>
          <w:lang w:val="sr-Latn-ME" w:eastAsia="en-GB"/>
        </w:rPr>
        <w:t>о.</w:t>
      </w:r>
      <w:r w:rsidR="001F0DBC" w:rsidRPr="00E34696">
        <w:rPr>
          <w:sz w:val="22"/>
          <w:szCs w:val="22"/>
          <w:lang w:val="sr-Latn-ME" w:eastAsia="en-GB"/>
        </w:rPr>
        <w:t xml:space="preserve"> </w:t>
      </w:r>
      <w:r w:rsidRPr="00E34696">
        <w:rPr>
          <w:sz w:val="22"/>
          <w:szCs w:val="22"/>
          <w:lang w:val="sr-Latn-ME" w:eastAsia="en-GB"/>
        </w:rPr>
        <w:t>о. Подгорица</w:t>
      </w:r>
    </w:p>
    <w:p w14:paraId="302E9F95" w14:textId="77777777" w:rsidR="00C06689" w:rsidRPr="00E34696" w:rsidRDefault="00C06689" w:rsidP="00E34696">
      <w:pPr>
        <w:widowControl w:val="0"/>
        <w:rPr>
          <w:sz w:val="22"/>
          <w:szCs w:val="22"/>
          <w:lang w:val="sr-Latn-ME" w:eastAsia="en-GB"/>
        </w:rPr>
      </w:pPr>
      <w:r w:rsidRPr="00E34696">
        <w:rPr>
          <w:sz w:val="22"/>
          <w:szCs w:val="22"/>
          <w:lang w:val="sr-Latn-ME" w:eastAsia="en-GB"/>
        </w:rPr>
        <w:t>Ул. Светлане Кане Радевић бр. 3/V,</w:t>
      </w:r>
    </w:p>
    <w:p w14:paraId="07ACDACB" w14:textId="77777777" w:rsidR="00C06689" w:rsidRPr="00E34696" w:rsidRDefault="00C06689" w:rsidP="00E34696">
      <w:pPr>
        <w:widowControl w:val="0"/>
        <w:rPr>
          <w:sz w:val="22"/>
          <w:szCs w:val="22"/>
          <w:lang w:val="sr-Latn-ME" w:eastAsia="en-GB"/>
        </w:rPr>
      </w:pPr>
      <w:r w:rsidRPr="00E34696">
        <w:rPr>
          <w:sz w:val="22"/>
          <w:szCs w:val="22"/>
          <w:lang w:val="sr-Latn-ME" w:eastAsia="en-GB"/>
        </w:rPr>
        <w:t>81 000 Подгорица, Црна Гора</w:t>
      </w:r>
    </w:p>
    <w:p w14:paraId="0D52520D" w14:textId="77777777" w:rsidR="00C06689" w:rsidRPr="00E34696" w:rsidRDefault="00C06689" w:rsidP="00E34696">
      <w:pPr>
        <w:pStyle w:val="Header"/>
        <w:widowControl w:val="0"/>
        <w:tabs>
          <w:tab w:val="left" w:pos="284"/>
        </w:tabs>
        <w:rPr>
          <w:sz w:val="22"/>
          <w:szCs w:val="22"/>
          <w:lang w:val="sr-Latn-ME"/>
        </w:rPr>
      </w:pPr>
    </w:p>
    <w:p w14:paraId="2A2267F5" w14:textId="77777777" w:rsidR="00FA3CFC" w:rsidRPr="00E34696" w:rsidRDefault="00FA3CFC" w:rsidP="00E34696">
      <w:pPr>
        <w:pStyle w:val="Header"/>
        <w:widowControl w:val="0"/>
        <w:tabs>
          <w:tab w:val="left" w:pos="284"/>
        </w:tabs>
        <w:rPr>
          <w:sz w:val="22"/>
          <w:szCs w:val="22"/>
          <w:lang w:val="sr-Latn-ME"/>
        </w:rPr>
      </w:pPr>
    </w:p>
    <w:p w14:paraId="04FAF46E" w14:textId="77777777" w:rsidR="00C06689" w:rsidRPr="00E34696" w:rsidRDefault="00C06689" w:rsidP="00E34696">
      <w:pPr>
        <w:pStyle w:val="Header"/>
        <w:widowControl w:val="0"/>
        <w:tabs>
          <w:tab w:val="left" w:pos="284"/>
        </w:tabs>
        <w:rPr>
          <w:b/>
          <w:bCs/>
          <w:sz w:val="22"/>
          <w:szCs w:val="22"/>
          <w:lang w:val="sr-Latn-ME"/>
        </w:rPr>
      </w:pPr>
      <w:r w:rsidRPr="00E34696">
        <w:rPr>
          <w:b/>
          <w:bCs/>
          <w:sz w:val="22"/>
          <w:szCs w:val="22"/>
          <w:lang w:val="sr-Latn-ME"/>
        </w:rPr>
        <w:t>8. БРОЈ ДОЗВОЛЕ ЗА СТАВЉАЊЕ ЛИЈЕКА У ПРОМЕТ</w:t>
      </w:r>
    </w:p>
    <w:p w14:paraId="1B073215" w14:textId="77777777" w:rsidR="00ED13F5" w:rsidRPr="00E34696" w:rsidRDefault="00ED13F5" w:rsidP="00E34696">
      <w:pPr>
        <w:widowControl w:val="0"/>
        <w:tabs>
          <w:tab w:val="left" w:pos="284"/>
        </w:tabs>
        <w:jc w:val="both"/>
        <w:rPr>
          <w:sz w:val="22"/>
          <w:szCs w:val="22"/>
          <w:lang w:val="sr-Latn-ME"/>
        </w:rPr>
      </w:pPr>
    </w:p>
    <w:p w14:paraId="03BFCE4C" w14:textId="55319450" w:rsidR="00C06689" w:rsidRPr="00E34696" w:rsidRDefault="00C06689" w:rsidP="00E34696">
      <w:pPr>
        <w:widowControl w:val="0"/>
        <w:tabs>
          <w:tab w:val="left" w:pos="284"/>
        </w:tabs>
        <w:jc w:val="both"/>
        <w:rPr>
          <w:sz w:val="22"/>
          <w:szCs w:val="22"/>
          <w:lang w:val="sr-Latn-ME" w:eastAsia="sr-Latn-ME"/>
        </w:rPr>
      </w:pPr>
      <w:r w:rsidRPr="00E34696">
        <w:rPr>
          <w:sz w:val="22"/>
          <w:szCs w:val="22"/>
          <w:lang w:val="sr-Latn-ME"/>
        </w:rPr>
        <w:t xml:space="preserve">Fovelid, </w:t>
      </w:r>
      <w:r w:rsidR="00B06B09" w:rsidRPr="00E34696">
        <w:rPr>
          <w:sz w:val="22"/>
          <w:szCs w:val="22"/>
          <w:lang w:val="sr-Latn-ME"/>
        </w:rPr>
        <w:t xml:space="preserve">филм таблета, </w:t>
      </w:r>
      <w:r w:rsidR="00D85C4E" w:rsidRPr="00E34696">
        <w:rPr>
          <w:sz w:val="22"/>
          <w:szCs w:val="22"/>
          <w:lang w:val="sr-Latn-ME"/>
        </w:rPr>
        <w:t xml:space="preserve">250 mg, </w:t>
      </w:r>
      <w:r w:rsidR="00B06B09" w:rsidRPr="00E34696">
        <w:rPr>
          <w:sz w:val="22"/>
          <w:szCs w:val="22"/>
          <w:lang w:val="sr-Latn-ME"/>
        </w:rPr>
        <w:t>блистер</w:t>
      </w:r>
      <w:r w:rsidRPr="00E34696">
        <w:rPr>
          <w:sz w:val="22"/>
          <w:szCs w:val="22"/>
          <w:lang w:val="sr-Latn-ME"/>
        </w:rPr>
        <w:t>,  5 филм таблета:</w:t>
      </w:r>
      <w:r w:rsidR="00C8204E" w:rsidRPr="00E34696">
        <w:rPr>
          <w:sz w:val="22"/>
          <w:szCs w:val="22"/>
          <w:lang w:val="sr-Latn-ME"/>
        </w:rPr>
        <w:t xml:space="preserve"> </w:t>
      </w:r>
      <w:r w:rsidR="00C8204E" w:rsidRPr="00CF11E2">
        <w:rPr>
          <w:sz w:val="22"/>
          <w:szCs w:val="22"/>
          <w:lang w:val="sr-Latn-ME" w:eastAsia="sr-Latn-ME"/>
        </w:rPr>
        <w:t>2030/23/4297 - 1744</w:t>
      </w:r>
      <w:r w:rsidR="00AE1DC5" w:rsidRPr="00CF11E2">
        <w:rPr>
          <w:sz w:val="22"/>
          <w:szCs w:val="22"/>
          <w:lang w:val="sr-Latn-ME" w:eastAsia="sr-Latn-ME"/>
        </w:rPr>
        <w:t xml:space="preserve"> </w:t>
      </w:r>
      <w:bookmarkStart w:id="1" w:name="_Hlk169272803"/>
    </w:p>
    <w:bookmarkEnd w:id="1"/>
    <w:p w14:paraId="7059E2BE" w14:textId="3BBB681F" w:rsidR="00C06689" w:rsidRPr="00E34696" w:rsidRDefault="00C06689" w:rsidP="00E34696">
      <w:pPr>
        <w:widowControl w:val="0"/>
        <w:tabs>
          <w:tab w:val="left" w:pos="284"/>
        </w:tabs>
        <w:jc w:val="both"/>
        <w:rPr>
          <w:sz w:val="22"/>
          <w:szCs w:val="22"/>
          <w:lang w:val="sr-Latn-ME" w:eastAsia="sr-Latn-ME"/>
        </w:rPr>
      </w:pPr>
      <w:r w:rsidRPr="00E34696">
        <w:rPr>
          <w:sz w:val="22"/>
          <w:szCs w:val="22"/>
          <w:lang w:val="sr-Latn-ME" w:eastAsia="sr-Latn-ME"/>
        </w:rPr>
        <w:t xml:space="preserve">Fovelid, </w:t>
      </w:r>
      <w:r w:rsidR="00B06B09" w:rsidRPr="00E34696">
        <w:rPr>
          <w:sz w:val="22"/>
          <w:szCs w:val="22"/>
          <w:lang w:val="sr-Latn-ME" w:eastAsia="sr-Latn-ME"/>
        </w:rPr>
        <w:t xml:space="preserve">филм таблета, </w:t>
      </w:r>
      <w:r w:rsidR="00D85C4E" w:rsidRPr="00E34696">
        <w:rPr>
          <w:sz w:val="22"/>
          <w:szCs w:val="22"/>
          <w:lang w:val="sr-Latn-ME" w:eastAsia="sr-Latn-ME"/>
        </w:rPr>
        <w:t xml:space="preserve">250 mg, </w:t>
      </w:r>
      <w:r w:rsidR="00B06B09" w:rsidRPr="00E34696">
        <w:rPr>
          <w:sz w:val="22"/>
          <w:szCs w:val="22"/>
          <w:lang w:val="sr-Latn-ME" w:eastAsia="sr-Latn-ME"/>
        </w:rPr>
        <w:t>блистер</w:t>
      </w:r>
      <w:r w:rsidRPr="00E34696">
        <w:rPr>
          <w:sz w:val="22"/>
          <w:szCs w:val="22"/>
          <w:lang w:val="sr-Latn-ME" w:eastAsia="sr-Latn-ME"/>
        </w:rPr>
        <w:t xml:space="preserve">, 10 филм таблета: </w:t>
      </w:r>
      <w:r w:rsidR="00C8204E" w:rsidRPr="00CF11E2">
        <w:rPr>
          <w:sz w:val="22"/>
          <w:szCs w:val="22"/>
          <w:lang w:val="sr-Latn-ME" w:eastAsia="sr-Latn-ME"/>
        </w:rPr>
        <w:t>2030/23/4299-1745</w:t>
      </w:r>
      <w:r w:rsidR="006A534D" w:rsidRPr="00E34696">
        <w:rPr>
          <w:sz w:val="22"/>
          <w:szCs w:val="22"/>
          <w:lang w:val="sr-Latn-ME" w:eastAsia="sr-Latn-ME"/>
        </w:rPr>
        <w:t xml:space="preserve"> </w:t>
      </w:r>
    </w:p>
    <w:p w14:paraId="435C8883" w14:textId="1F96387E" w:rsidR="00C06689" w:rsidRPr="00E34696" w:rsidRDefault="00C06689" w:rsidP="00E34696">
      <w:pPr>
        <w:widowControl w:val="0"/>
        <w:tabs>
          <w:tab w:val="left" w:pos="284"/>
        </w:tabs>
        <w:jc w:val="both"/>
        <w:rPr>
          <w:sz w:val="22"/>
          <w:szCs w:val="22"/>
          <w:lang w:val="sr-Latn-ME" w:eastAsia="sr-Latn-ME"/>
        </w:rPr>
      </w:pPr>
      <w:r w:rsidRPr="00E34696">
        <w:rPr>
          <w:sz w:val="22"/>
          <w:szCs w:val="22"/>
          <w:lang w:val="sr-Latn-ME" w:eastAsia="sr-Latn-ME"/>
        </w:rPr>
        <w:t xml:space="preserve">Fovelid, </w:t>
      </w:r>
      <w:r w:rsidR="00B06B09" w:rsidRPr="00E34696">
        <w:rPr>
          <w:sz w:val="22"/>
          <w:szCs w:val="22"/>
          <w:lang w:val="sr-Latn-ME" w:eastAsia="sr-Latn-ME"/>
        </w:rPr>
        <w:t>филм таблета</w:t>
      </w:r>
      <w:r w:rsidR="003251DC" w:rsidRPr="00E34696">
        <w:rPr>
          <w:sz w:val="22"/>
          <w:szCs w:val="22"/>
          <w:lang w:val="sr-Latn-ME" w:eastAsia="sr-Latn-ME"/>
        </w:rPr>
        <w:t>,</w:t>
      </w:r>
      <w:r w:rsidR="00B06B09" w:rsidRPr="00E34696">
        <w:rPr>
          <w:sz w:val="22"/>
          <w:szCs w:val="22"/>
          <w:lang w:val="sr-Latn-ME" w:eastAsia="sr-Latn-ME"/>
        </w:rPr>
        <w:t xml:space="preserve"> </w:t>
      </w:r>
      <w:r w:rsidR="00D85C4E" w:rsidRPr="00E34696">
        <w:rPr>
          <w:sz w:val="22"/>
          <w:szCs w:val="22"/>
          <w:lang w:val="sr-Latn-ME" w:eastAsia="sr-Latn-ME"/>
        </w:rPr>
        <w:t xml:space="preserve">500 mg, </w:t>
      </w:r>
      <w:r w:rsidR="00B06B09" w:rsidRPr="00E34696">
        <w:rPr>
          <w:sz w:val="22"/>
          <w:szCs w:val="22"/>
          <w:lang w:val="sr-Latn-ME" w:eastAsia="sr-Latn-ME"/>
        </w:rPr>
        <w:t>блистер</w:t>
      </w:r>
      <w:r w:rsidRPr="00E34696">
        <w:rPr>
          <w:sz w:val="22"/>
          <w:szCs w:val="22"/>
          <w:lang w:val="sr-Latn-ME" w:eastAsia="sr-Latn-ME"/>
        </w:rPr>
        <w:t>, 5 филм таблета:</w:t>
      </w:r>
      <w:r w:rsidR="00C8204E" w:rsidRPr="00E34696">
        <w:rPr>
          <w:sz w:val="22"/>
          <w:szCs w:val="22"/>
          <w:lang w:val="sr-Latn-ME" w:eastAsia="sr-Latn-ME"/>
        </w:rPr>
        <w:t xml:space="preserve"> </w:t>
      </w:r>
      <w:r w:rsidR="00C8204E" w:rsidRPr="00CF11E2">
        <w:rPr>
          <w:sz w:val="22"/>
          <w:szCs w:val="22"/>
          <w:lang w:val="sr-Latn-ME" w:eastAsia="sr-Latn-ME"/>
        </w:rPr>
        <w:t>2030/23/4300 - 1746</w:t>
      </w:r>
      <w:r w:rsidR="006A534D" w:rsidRPr="00E34696">
        <w:rPr>
          <w:sz w:val="22"/>
          <w:szCs w:val="22"/>
          <w:lang w:val="sr-Latn-ME" w:eastAsia="sr-Latn-ME"/>
        </w:rPr>
        <w:t xml:space="preserve"> </w:t>
      </w:r>
    </w:p>
    <w:p w14:paraId="43686D67" w14:textId="6101FB56" w:rsidR="006A534D" w:rsidRPr="00E34696" w:rsidRDefault="00C06689" w:rsidP="00E34696">
      <w:pPr>
        <w:widowControl w:val="0"/>
        <w:tabs>
          <w:tab w:val="left" w:pos="284"/>
        </w:tabs>
        <w:jc w:val="both"/>
        <w:rPr>
          <w:sz w:val="22"/>
          <w:szCs w:val="22"/>
          <w:lang w:val="sr-Latn-ME" w:eastAsia="sr-Latn-ME"/>
        </w:rPr>
      </w:pPr>
      <w:r w:rsidRPr="00E34696">
        <w:rPr>
          <w:sz w:val="22"/>
          <w:szCs w:val="22"/>
          <w:lang w:val="sr-Latn-ME" w:eastAsia="sr-Latn-ME"/>
        </w:rPr>
        <w:t xml:space="preserve">Fovelid, </w:t>
      </w:r>
      <w:r w:rsidR="00B06B09" w:rsidRPr="00E34696">
        <w:rPr>
          <w:sz w:val="22"/>
          <w:szCs w:val="22"/>
          <w:lang w:val="sr-Latn-ME" w:eastAsia="sr-Latn-ME"/>
        </w:rPr>
        <w:t xml:space="preserve">филм таблета, </w:t>
      </w:r>
      <w:r w:rsidR="00D85C4E" w:rsidRPr="00E34696">
        <w:rPr>
          <w:sz w:val="22"/>
          <w:szCs w:val="22"/>
          <w:lang w:val="sr-Latn-ME" w:eastAsia="sr-Latn-ME"/>
        </w:rPr>
        <w:t xml:space="preserve">500 mg, </w:t>
      </w:r>
      <w:r w:rsidR="00B06B09" w:rsidRPr="00E34696">
        <w:rPr>
          <w:sz w:val="22"/>
          <w:szCs w:val="22"/>
          <w:lang w:val="sr-Latn-ME" w:eastAsia="sr-Latn-ME"/>
        </w:rPr>
        <w:t>блистер</w:t>
      </w:r>
      <w:r w:rsidRPr="00E34696">
        <w:rPr>
          <w:sz w:val="22"/>
          <w:szCs w:val="22"/>
          <w:lang w:val="sr-Latn-ME" w:eastAsia="sr-Latn-ME"/>
        </w:rPr>
        <w:t xml:space="preserve">, 10 филм таблета: </w:t>
      </w:r>
      <w:r w:rsidR="00C8204E" w:rsidRPr="00CF11E2">
        <w:rPr>
          <w:sz w:val="22"/>
          <w:szCs w:val="22"/>
          <w:lang w:val="sr-Latn-ME" w:eastAsia="sr-Latn-ME"/>
        </w:rPr>
        <w:t>2030/23/4298 -1747</w:t>
      </w:r>
    </w:p>
    <w:p w14:paraId="4FEDDC3C" w14:textId="1839E794" w:rsidR="00C06689" w:rsidRPr="00E34696" w:rsidRDefault="00C06689" w:rsidP="00E34696">
      <w:pPr>
        <w:widowControl w:val="0"/>
        <w:tabs>
          <w:tab w:val="left" w:pos="284"/>
        </w:tabs>
        <w:jc w:val="both"/>
        <w:rPr>
          <w:sz w:val="22"/>
          <w:szCs w:val="22"/>
          <w:lang w:val="sr-Latn-ME"/>
        </w:rPr>
      </w:pPr>
    </w:p>
    <w:p w14:paraId="332E9EBD" w14:textId="77777777" w:rsidR="00FA3CFC" w:rsidRPr="00E34696" w:rsidRDefault="00FA3CFC" w:rsidP="00E34696">
      <w:pPr>
        <w:widowControl w:val="0"/>
        <w:tabs>
          <w:tab w:val="left" w:pos="284"/>
        </w:tabs>
        <w:jc w:val="both"/>
        <w:rPr>
          <w:sz w:val="22"/>
          <w:szCs w:val="22"/>
          <w:lang w:val="sr-Latn-ME"/>
        </w:rPr>
      </w:pPr>
    </w:p>
    <w:p w14:paraId="1E8C895C" w14:textId="77777777" w:rsidR="00C06689" w:rsidRPr="00E34696" w:rsidRDefault="00C06689" w:rsidP="00E34696">
      <w:pPr>
        <w:pStyle w:val="Header"/>
        <w:widowControl w:val="0"/>
        <w:tabs>
          <w:tab w:val="left" w:pos="284"/>
        </w:tabs>
        <w:rPr>
          <w:b/>
          <w:bCs/>
          <w:sz w:val="22"/>
          <w:szCs w:val="22"/>
          <w:lang w:val="sr-Latn-ME"/>
        </w:rPr>
      </w:pPr>
      <w:r w:rsidRPr="00E34696">
        <w:rPr>
          <w:b/>
          <w:bCs/>
          <w:sz w:val="22"/>
          <w:szCs w:val="22"/>
          <w:lang w:val="sr-Latn-ME"/>
        </w:rPr>
        <w:t>9. ДАТУМ ПРВЕ ДОЗВОЛЕ/ОБНОВЕ ДОЗВОЛЕ ЗА СТАВЉАЊЕ ЛИЈЕКА У ПРОМЕТ</w:t>
      </w:r>
    </w:p>
    <w:p w14:paraId="6DF41A7A" w14:textId="69CE834C" w:rsidR="00170641" w:rsidRPr="00E34696" w:rsidRDefault="00170641" w:rsidP="00E34696">
      <w:pPr>
        <w:widowControl w:val="0"/>
        <w:tabs>
          <w:tab w:val="left" w:pos="284"/>
        </w:tabs>
        <w:jc w:val="both"/>
        <w:rPr>
          <w:sz w:val="22"/>
          <w:szCs w:val="22"/>
          <w:lang w:val="sr-Latn-ME"/>
        </w:rPr>
      </w:pPr>
    </w:p>
    <w:p w14:paraId="5334A3C6" w14:textId="7538BB99" w:rsidR="00C06689" w:rsidRPr="00CF11E2" w:rsidRDefault="00170641" w:rsidP="00E34696">
      <w:pPr>
        <w:widowControl w:val="0"/>
        <w:tabs>
          <w:tab w:val="left" w:pos="284"/>
        </w:tabs>
        <w:jc w:val="both"/>
        <w:rPr>
          <w:sz w:val="22"/>
          <w:szCs w:val="22"/>
          <w:lang w:val="sr-Latn-ME" w:eastAsia="sr-Latn-ME"/>
        </w:rPr>
      </w:pPr>
      <w:r w:rsidRPr="00CF11E2">
        <w:rPr>
          <w:sz w:val="22"/>
          <w:szCs w:val="22"/>
          <w:lang w:val="sr-Latn-ME" w:eastAsia="sr-Latn-ME"/>
        </w:rPr>
        <w:t xml:space="preserve">23.11.2023. </w:t>
      </w:r>
      <w:r w:rsidRPr="00E34696">
        <w:rPr>
          <w:sz w:val="22"/>
          <w:szCs w:val="22"/>
          <w:lang w:val="sr-Latn-ME" w:eastAsia="sr-Latn-ME"/>
        </w:rPr>
        <w:t>године</w:t>
      </w:r>
    </w:p>
    <w:p w14:paraId="257BB32E" w14:textId="2D053F21" w:rsidR="00FA3CFC" w:rsidRDefault="00FA3CFC" w:rsidP="00E34696">
      <w:pPr>
        <w:widowControl w:val="0"/>
        <w:tabs>
          <w:tab w:val="left" w:pos="284"/>
        </w:tabs>
        <w:jc w:val="both"/>
        <w:rPr>
          <w:sz w:val="22"/>
          <w:szCs w:val="22"/>
          <w:lang w:val="sr-Latn-ME"/>
        </w:rPr>
      </w:pPr>
    </w:p>
    <w:p w14:paraId="3D539354" w14:textId="77777777" w:rsidR="00E34696" w:rsidRPr="00E34696" w:rsidRDefault="00E34696" w:rsidP="00E34696">
      <w:pPr>
        <w:widowControl w:val="0"/>
        <w:tabs>
          <w:tab w:val="left" w:pos="284"/>
        </w:tabs>
        <w:jc w:val="both"/>
        <w:rPr>
          <w:sz w:val="22"/>
          <w:szCs w:val="22"/>
          <w:lang w:val="sr-Latn-ME"/>
        </w:rPr>
      </w:pPr>
    </w:p>
    <w:p w14:paraId="1595B3CB" w14:textId="77777777" w:rsidR="00C06689" w:rsidRPr="00E34696" w:rsidRDefault="00C06689" w:rsidP="00E34696">
      <w:pPr>
        <w:pStyle w:val="Header"/>
        <w:widowControl w:val="0"/>
        <w:tabs>
          <w:tab w:val="left" w:pos="284"/>
        </w:tabs>
        <w:rPr>
          <w:b/>
          <w:bCs/>
          <w:sz w:val="22"/>
          <w:szCs w:val="22"/>
          <w:lang w:val="sr-Latn-ME"/>
        </w:rPr>
      </w:pPr>
      <w:r w:rsidRPr="00E34696">
        <w:rPr>
          <w:b/>
          <w:bCs/>
          <w:sz w:val="22"/>
          <w:szCs w:val="22"/>
          <w:lang w:val="sr-Latn-ME"/>
        </w:rPr>
        <w:t>10. ДАТУМ РЕВИЗИЈЕ ТЕКСТА</w:t>
      </w:r>
    </w:p>
    <w:p w14:paraId="2B1F428C" w14:textId="77777777" w:rsidR="00C06689" w:rsidRPr="00E34696" w:rsidRDefault="00C06689" w:rsidP="00E34696">
      <w:pPr>
        <w:widowControl w:val="0"/>
        <w:tabs>
          <w:tab w:val="left" w:pos="284"/>
          <w:tab w:val="left" w:pos="6521"/>
          <w:tab w:val="left" w:pos="8789"/>
        </w:tabs>
        <w:autoSpaceDE w:val="0"/>
        <w:autoSpaceDN w:val="0"/>
        <w:adjustRightInd w:val="0"/>
        <w:jc w:val="both"/>
        <w:rPr>
          <w:bCs/>
          <w:sz w:val="22"/>
          <w:szCs w:val="22"/>
          <w:lang w:val="sr-Latn-ME"/>
        </w:rPr>
      </w:pPr>
    </w:p>
    <w:p w14:paraId="5DF812DE" w14:textId="6426CEC3" w:rsidR="006E60FF" w:rsidRPr="00E34696" w:rsidRDefault="00D7190C" w:rsidP="00E34696">
      <w:pPr>
        <w:widowControl w:val="0"/>
        <w:tabs>
          <w:tab w:val="left" w:pos="284"/>
        </w:tabs>
        <w:jc w:val="both"/>
        <w:rPr>
          <w:sz w:val="22"/>
          <w:szCs w:val="22"/>
          <w:lang w:val="sr-Latn-ME"/>
        </w:rPr>
      </w:pPr>
      <w:r>
        <w:rPr>
          <w:sz w:val="22"/>
          <w:szCs w:val="22"/>
          <w:lang w:val="sr-Cyrl-ME" w:eastAsia="sr-Latn-ME"/>
        </w:rPr>
        <w:t>Фебруар</w:t>
      </w:r>
      <w:bookmarkStart w:id="2" w:name="_GoBack"/>
      <w:bookmarkEnd w:id="2"/>
      <w:r w:rsidR="006E60FF" w:rsidRPr="00E34696">
        <w:rPr>
          <w:sz w:val="22"/>
          <w:szCs w:val="22"/>
          <w:lang w:val="sr-Latn-ME" w:eastAsia="sr-Latn-ME"/>
        </w:rPr>
        <w:t>, 202</w:t>
      </w:r>
      <w:r w:rsidR="00455FC8" w:rsidRPr="00E34696">
        <w:rPr>
          <w:sz w:val="22"/>
          <w:szCs w:val="22"/>
          <w:lang w:val="sr-Latn-ME" w:eastAsia="sr-Latn-ME"/>
        </w:rPr>
        <w:t>5</w:t>
      </w:r>
      <w:r w:rsidR="006E60FF" w:rsidRPr="00E34696">
        <w:rPr>
          <w:sz w:val="22"/>
          <w:szCs w:val="22"/>
          <w:lang w:val="sr-Latn-ME" w:eastAsia="sr-Latn-ME"/>
        </w:rPr>
        <w:t xml:space="preserve">. </w:t>
      </w:r>
      <w:r w:rsidR="006E60FF" w:rsidRPr="00E34696">
        <w:rPr>
          <w:sz w:val="22"/>
          <w:szCs w:val="22"/>
          <w:lang w:val="sr-Latn-ME"/>
        </w:rPr>
        <w:t>године</w:t>
      </w:r>
    </w:p>
    <w:p w14:paraId="6948B97E" w14:textId="412BE61F" w:rsidR="003F6A59" w:rsidRPr="00E34696" w:rsidRDefault="003F6A59" w:rsidP="00E34696">
      <w:pPr>
        <w:widowControl w:val="0"/>
        <w:rPr>
          <w:sz w:val="22"/>
          <w:szCs w:val="22"/>
          <w:lang w:val="sr-Latn-ME"/>
        </w:rPr>
      </w:pPr>
    </w:p>
    <w:sectPr w:rsidR="003F6A59" w:rsidRPr="00E34696" w:rsidSect="006B5404">
      <w:footerReference w:type="default" r:id="rId15"/>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9F647A" w14:textId="77777777" w:rsidR="005D6DA0" w:rsidRDefault="005D6DA0">
      <w:r>
        <w:separator/>
      </w:r>
    </w:p>
  </w:endnote>
  <w:endnote w:type="continuationSeparator" w:id="0">
    <w:p w14:paraId="76E49F93" w14:textId="77777777" w:rsidR="005D6DA0" w:rsidRDefault="005D6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MS Gothic"/>
    <w:panose1 w:val="00000000000000000000"/>
    <w:charset w:val="00"/>
    <w:family w:val="roman"/>
    <w:notTrueType/>
    <w:pitch w:val="default"/>
    <w:sig w:usb0="00000000" w:usb1="08070000" w:usb2="00000010" w:usb3="00000000" w:csb0="00020003" w:csb1="00000000"/>
  </w:font>
  <w:font w:name="Calibri">
    <w:panose1 w:val="020F0502020204030204"/>
    <w:charset w:val="00"/>
    <w:family w:val="swiss"/>
    <w:pitch w:val="variable"/>
    <w:sig w:usb0="E4002EFF" w:usb1="C200247B" w:usb2="00000009" w:usb3="00000000" w:csb0="000001FF" w:csb1="00000000"/>
  </w:font>
  <w:font w:name="TimesNewRoman,Italic">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FB3D0" w14:textId="7793893F" w:rsidR="00843756" w:rsidRPr="00CF11E2" w:rsidRDefault="00843756" w:rsidP="00B23F69">
    <w:pPr>
      <w:pStyle w:val="Footer"/>
      <w:jc w:val="center"/>
      <w:rPr>
        <w:sz w:val="22"/>
        <w:szCs w:val="22"/>
      </w:rPr>
    </w:pPr>
    <w:r w:rsidRPr="00CF11E2">
      <w:rPr>
        <w:sz w:val="22"/>
        <w:szCs w:val="22"/>
      </w:rPr>
      <w:fldChar w:fldCharType="begin"/>
    </w:r>
    <w:r w:rsidRPr="00CF11E2">
      <w:rPr>
        <w:sz w:val="22"/>
        <w:szCs w:val="22"/>
      </w:rPr>
      <w:instrText xml:space="preserve"> PAGE </w:instrText>
    </w:r>
    <w:r w:rsidRPr="00CF11E2">
      <w:rPr>
        <w:sz w:val="22"/>
        <w:szCs w:val="22"/>
      </w:rPr>
      <w:fldChar w:fldCharType="separate"/>
    </w:r>
    <w:r w:rsidR="00D7190C">
      <w:rPr>
        <w:noProof/>
        <w:sz w:val="22"/>
        <w:szCs w:val="22"/>
      </w:rPr>
      <w:t>18</w:t>
    </w:r>
    <w:r w:rsidRPr="00CF11E2">
      <w:rPr>
        <w:sz w:val="22"/>
        <w:szCs w:val="22"/>
      </w:rPr>
      <w:fldChar w:fldCharType="end"/>
    </w:r>
    <w:r w:rsidRPr="00CF11E2">
      <w:rPr>
        <w:sz w:val="22"/>
        <w:szCs w:val="22"/>
      </w:rPr>
      <w:t xml:space="preserve"> / </w:t>
    </w:r>
    <w:r w:rsidRPr="00CF11E2">
      <w:rPr>
        <w:sz w:val="22"/>
        <w:szCs w:val="22"/>
      </w:rPr>
      <w:fldChar w:fldCharType="begin"/>
    </w:r>
    <w:r w:rsidRPr="00CF11E2">
      <w:rPr>
        <w:sz w:val="22"/>
        <w:szCs w:val="22"/>
      </w:rPr>
      <w:instrText xml:space="preserve"> NUMPAGES </w:instrText>
    </w:r>
    <w:r w:rsidRPr="00CF11E2">
      <w:rPr>
        <w:sz w:val="22"/>
        <w:szCs w:val="22"/>
      </w:rPr>
      <w:fldChar w:fldCharType="separate"/>
    </w:r>
    <w:r w:rsidR="00D7190C">
      <w:rPr>
        <w:noProof/>
        <w:sz w:val="22"/>
        <w:szCs w:val="22"/>
      </w:rPr>
      <w:t>18</w:t>
    </w:r>
    <w:r w:rsidRPr="00CF11E2">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87F4B5" w14:textId="77777777" w:rsidR="005D6DA0" w:rsidRDefault="005D6DA0">
      <w:r>
        <w:separator/>
      </w:r>
    </w:p>
  </w:footnote>
  <w:footnote w:type="continuationSeparator" w:id="0">
    <w:p w14:paraId="5938EB93" w14:textId="77777777" w:rsidR="005D6DA0" w:rsidRDefault="005D6D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8" type="#_x0000_t75" style="width:15.75pt;height:13.5pt;visibility:visible" o:bullet="t">
        <v:imagedata r:id="rId1" o:title="BT_1000x858px"/>
      </v:shape>
    </w:pict>
  </w:numPicBullet>
  <w:abstractNum w:abstractNumId="0" w15:restartNumberingAfterBreak="0">
    <w:nsid w:val="05886ED2"/>
    <w:multiLevelType w:val="hybridMultilevel"/>
    <w:tmpl w:val="0780FD5E"/>
    <w:lvl w:ilvl="0" w:tplc="08090001">
      <w:start w:val="1"/>
      <w:numFmt w:val="bullet"/>
      <w:lvlText w:val=""/>
      <w:lvlJc w:val="left"/>
      <w:pPr>
        <w:ind w:left="720" w:hanging="360"/>
      </w:pPr>
      <w:rPr>
        <w:rFonts w:ascii="Symbol" w:hAnsi="Symbol" w:hint="default"/>
      </w:rPr>
    </w:lvl>
    <w:lvl w:ilvl="1" w:tplc="952C58AA">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0D37FDA"/>
    <w:multiLevelType w:val="hybridMultilevel"/>
    <w:tmpl w:val="2822F288"/>
    <w:lvl w:ilvl="0" w:tplc="2E7E07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32063FAD"/>
    <w:multiLevelType w:val="hybridMultilevel"/>
    <w:tmpl w:val="2FE00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5D583081"/>
    <w:multiLevelType w:val="hybridMultilevel"/>
    <w:tmpl w:val="4AB6A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1"/>
  </w:num>
  <w:num w:numId="4">
    <w:abstractNumId w:val="11"/>
  </w:num>
  <w:num w:numId="5">
    <w:abstractNumId w:val="6"/>
  </w:num>
  <w:num w:numId="6">
    <w:abstractNumId w:val="2"/>
  </w:num>
  <w:num w:numId="7">
    <w:abstractNumId w:val="10"/>
  </w:num>
  <w:num w:numId="8">
    <w:abstractNumId w:val="5"/>
  </w:num>
  <w:num w:numId="9">
    <w:abstractNumId w:val="8"/>
  </w:num>
  <w:num w:numId="10">
    <w:abstractNumId w:val="14"/>
  </w:num>
  <w:num w:numId="11">
    <w:abstractNumId w:val="7"/>
  </w:num>
  <w:num w:numId="12">
    <w:abstractNumId w:val="0"/>
  </w:num>
  <w:num w:numId="13">
    <w:abstractNumId w:val="9"/>
  </w:num>
  <w:num w:numId="14">
    <w:abstractNumId w:val="1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22FA4"/>
    <w:rsid w:val="00026D49"/>
    <w:rsid w:val="00033469"/>
    <w:rsid w:val="00033A28"/>
    <w:rsid w:val="00036FA0"/>
    <w:rsid w:val="0003793F"/>
    <w:rsid w:val="00040A9C"/>
    <w:rsid w:val="00045130"/>
    <w:rsid w:val="0005749D"/>
    <w:rsid w:val="00057E35"/>
    <w:rsid w:val="0006087D"/>
    <w:rsid w:val="0006270F"/>
    <w:rsid w:val="000675F5"/>
    <w:rsid w:val="00070C88"/>
    <w:rsid w:val="00075E28"/>
    <w:rsid w:val="00076726"/>
    <w:rsid w:val="00080303"/>
    <w:rsid w:val="00083D02"/>
    <w:rsid w:val="000A3F58"/>
    <w:rsid w:val="000A6D74"/>
    <w:rsid w:val="000C6F8E"/>
    <w:rsid w:val="000D2343"/>
    <w:rsid w:val="000D3449"/>
    <w:rsid w:val="000D425A"/>
    <w:rsid w:val="000D60CC"/>
    <w:rsid w:val="000E2084"/>
    <w:rsid w:val="000E6F55"/>
    <w:rsid w:val="000F512A"/>
    <w:rsid w:val="000F77FA"/>
    <w:rsid w:val="00100971"/>
    <w:rsid w:val="00107BF7"/>
    <w:rsid w:val="00117A39"/>
    <w:rsid w:val="00126F53"/>
    <w:rsid w:val="0014766D"/>
    <w:rsid w:val="00151E2C"/>
    <w:rsid w:val="001536CC"/>
    <w:rsid w:val="00170641"/>
    <w:rsid w:val="0018013D"/>
    <w:rsid w:val="001868EB"/>
    <w:rsid w:val="001A3FBA"/>
    <w:rsid w:val="001A5518"/>
    <w:rsid w:val="001A6C7F"/>
    <w:rsid w:val="001B1C6A"/>
    <w:rsid w:val="001C1263"/>
    <w:rsid w:val="001C1417"/>
    <w:rsid w:val="001E350C"/>
    <w:rsid w:val="001E390B"/>
    <w:rsid w:val="001F0DBC"/>
    <w:rsid w:val="001F42FB"/>
    <w:rsid w:val="001F5B8A"/>
    <w:rsid w:val="001F719A"/>
    <w:rsid w:val="002031B3"/>
    <w:rsid w:val="00204FFE"/>
    <w:rsid w:val="00215931"/>
    <w:rsid w:val="00217717"/>
    <w:rsid w:val="00224C91"/>
    <w:rsid w:val="00226A73"/>
    <w:rsid w:val="00227BDB"/>
    <w:rsid w:val="00233A3C"/>
    <w:rsid w:val="00234CB1"/>
    <w:rsid w:val="002352F8"/>
    <w:rsid w:val="002510A5"/>
    <w:rsid w:val="00254A0A"/>
    <w:rsid w:val="002640F3"/>
    <w:rsid w:val="00266046"/>
    <w:rsid w:val="002707A1"/>
    <w:rsid w:val="00273EC1"/>
    <w:rsid w:val="0027719D"/>
    <w:rsid w:val="00282BCB"/>
    <w:rsid w:val="002846DB"/>
    <w:rsid w:val="00284CCD"/>
    <w:rsid w:val="002A0692"/>
    <w:rsid w:val="002C6637"/>
    <w:rsid w:val="002D4FBE"/>
    <w:rsid w:val="002E0135"/>
    <w:rsid w:val="002E37A5"/>
    <w:rsid w:val="00310F03"/>
    <w:rsid w:val="00314C87"/>
    <w:rsid w:val="003247D2"/>
    <w:rsid w:val="003251DC"/>
    <w:rsid w:val="00335452"/>
    <w:rsid w:val="003426CC"/>
    <w:rsid w:val="003445C1"/>
    <w:rsid w:val="00346447"/>
    <w:rsid w:val="00347034"/>
    <w:rsid w:val="00355B61"/>
    <w:rsid w:val="00362686"/>
    <w:rsid w:val="00364BC0"/>
    <w:rsid w:val="00371510"/>
    <w:rsid w:val="00396DFD"/>
    <w:rsid w:val="003A4FDF"/>
    <w:rsid w:val="003A7059"/>
    <w:rsid w:val="003B7A36"/>
    <w:rsid w:val="003C17AB"/>
    <w:rsid w:val="003C2F64"/>
    <w:rsid w:val="003C7823"/>
    <w:rsid w:val="003E1DCC"/>
    <w:rsid w:val="003F0077"/>
    <w:rsid w:val="003F11A1"/>
    <w:rsid w:val="003F6A59"/>
    <w:rsid w:val="004065C8"/>
    <w:rsid w:val="004109FA"/>
    <w:rsid w:val="00411B4B"/>
    <w:rsid w:val="0041459A"/>
    <w:rsid w:val="00415698"/>
    <w:rsid w:val="00415BEE"/>
    <w:rsid w:val="004254E9"/>
    <w:rsid w:val="00427F85"/>
    <w:rsid w:val="00436F42"/>
    <w:rsid w:val="004378B4"/>
    <w:rsid w:val="00451314"/>
    <w:rsid w:val="00452E9D"/>
    <w:rsid w:val="004534C7"/>
    <w:rsid w:val="00455FC8"/>
    <w:rsid w:val="00456BFB"/>
    <w:rsid w:val="004671AA"/>
    <w:rsid w:val="00471DF8"/>
    <w:rsid w:val="00480FB1"/>
    <w:rsid w:val="00483928"/>
    <w:rsid w:val="004C331F"/>
    <w:rsid w:val="004D5DA0"/>
    <w:rsid w:val="004D6103"/>
    <w:rsid w:val="004E3BCE"/>
    <w:rsid w:val="004E70AD"/>
    <w:rsid w:val="004F0E97"/>
    <w:rsid w:val="004F17E2"/>
    <w:rsid w:val="00501DD1"/>
    <w:rsid w:val="00515C21"/>
    <w:rsid w:val="00530BD7"/>
    <w:rsid w:val="00542C60"/>
    <w:rsid w:val="00545CD2"/>
    <w:rsid w:val="005476F3"/>
    <w:rsid w:val="00572527"/>
    <w:rsid w:val="00573E40"/>
    <w:rsid w:val="00576348"/>
    <w:rsid w:val="00585B42"/>
    <w:rsid w:val="005A0B2E"/>
    <w:rsid w:val="005A23D2"/>
    <w:rsid w:val="005A2AFA"/>
    <w:rsid w:val="005A36CB"/>
    <w:rsid w:val="005A7006"/>
    <w:rsid w:val="005B043A"/>
    <w:rsid w:val="005B30E4"/>
    <w:rsid w:val="005B49B8"/>
    <w:rsid w:val="005C0741"/>
    <w:rsid w:val="005C0D7B"/>
    <w:rsid w:val="005C3540"/>
    <w:rsid w:val="005C5EF4"/>
    <w:rsid w:val="005D6DA0"/>
    <w:rsid w:val="005E0448"/>
    <w:rsid w:val="005E2E0B"/>
    <w:rsid w:val="005E67AD"/>
    <w:rsid w:val="005E7A7D"/>
    <w:rsid w:val="00602457"/>
    <w:rsid w:val="00624861"/>
    <w:rsid w:val="00644FC3"/>
    <w:rsid w:val="00646BD1"/>
    <w:rsid w:val="006561C2"/>
    <w:rsid w:val="00671CB3"/>
    <w:rsid w:val="00674BAF"/>
    <w:rsid w:val="00676852"/>
    <w:rsid w:val="00682200"/>
    <w:rsid w:val="006834EB"/>
    <w:rsid w:val="00692BF6"/>
    <w:rsid w:val="00694E8B"/>
    <w:rsid w:val="006A1351"/>
    <w:rsid w:val="006A1497"/>
    <w:rsid w:val="006A534D"/>
    <w:rsid w:val="006B0BD1"/>
    <w:rsid w:val="006B5404"/>
    <w:rsid w:val="006B753E"/>
    <w:rsid w:val="006D20A5"/>
    <w:rsid w:val="006D37BF"/>
    <w:rsid w:val="006E60FF"/>
    <w:rsid w:val="006F554D"/>
    <w:rsid w:val="007029DA"/>
    <w:rsid w:val="00702E22"/>
    <w:rsid w:val="00704320"/>
    <w:rsid w:val="0072020E"/>
    <w:rsid w:val="00721D8E"/>
    <w:rsid w:val="007265C0"/>
    <w:rsid w:val="007461E9"/>
    <w:rsid w:val="00754902"/>
    <w:rsid w:val="00786071"/>
    <w:rsid w:val="00796149"/>
    <w:rsid w:val="007A3ECB"/>
    <w:rsid w:val="007D7BB3"/>
    <w:rsid w:val="007E31E9"/>
    <w:rsid w:val="007F05E3"/>
    <w:rsid w:val="007F7C1A"/>
    <w:rsid w:val="008175E0"/>
    <w:rsid w:val="00824AB9"/>
    <w:rsid w:val="00836B35"/>
    <w:rsid w:val="00843756"/>
    <w:rsid w:val="00843BDE"/>
    <w:rsid w:val="0085792A"/>
    <w:rsid w:val="00864B30"/>
    <w:rsid w:val="00865DE0"/>
    <w:rsid w:val="00867ADD"/>
    <w:rsid w:val="0087588C"/>
    <w:rsid w:val="0089705C"/>
    <w:rsid w:val="008A6D43"/>
    <w:rsid w:val="008B491E"/>
    <w:rsid w:val="008C1A28"/>
    <w:rsid w:val="008C2437"/>
    <w:rsid w:val="008C2E98"/>
    <w:rsid w:val="008D2622"/>
    <w:rsid w:val="008E49BD"/>
    <w:rsid w:val="008E53E9"/>
    <w:rsid w:val="008E5771"/>
    <w:rsid w:val="008F4ACF"/>
    <w:rsid w:val="0091094E"/>
    <w:rsid w:val="009175EC"/>
    <w:rsid w:val="00924166"/>
    <w:rsid w:val="00926555"/>
    <w:rsid w:val="00940B9B"/>
    <w:rsid w:val="00953573"/>
    <w:rsid w:val="0095492D"/>
    <w:rsid w:val="0095676E"/>
    <w:rsid w:val="00956983"/>
    <w:rsid w:val="00963CF0"/>
    <w:rsid w:val="00964BB1"/>
    <w:rsid w:val="00967F25"/>
    <w:rsid w:val="00977133"/>
    <w:rsid w:val="009775D9"/>
    <w:rsid w:val="009945B9"/>
    <w:rsid w:val="00997175"/>
    <w:rsid w:val="009A1847"/>
    <w:rsid w:val="009B062A"/>
    <w:rsid w:val="009D3F7D"/>
    <w:rsid w:val="009E7C6F"/>
    <w:rsid w:val="009F1793"/>
    <w:rsid w:val="009F254C"/>
    <w:rsid w:val="009F2D23"/>
    <w:rsid w:val="009F7BAA"/>
    <w:rsid w:val="00A01D69"/>
    <w:rsid w:val="00A02335"/>
    <w:rsid w:val="00A46C9A"/>
    <w:rsid w:val="00A5111C"/>
    <w:rsid w:val="00A619F3"/>
    <w:rsid w:val="00A62A73"/>
    <w:rsid w:val="00A87FF6"/>
    <w:rsid w:val="00AA0A3B"/>
    <w:rsid w:val="00AA2763"/>
    <w:rsid w:val="00AA33B6"/>
    <w:rsid w:val="00AB26CC"/>
    <w:rsid w:val="00AB50CA"/>
    <w:rsid w:val="00AB6D64"/>
    <w:rsid w:val="00AC53CE"/>
    <w:rsid w:val="00AD2193"/>
    <w:rsid w:val="00AE1DC5"/>
    <w:rsid w:val="00AF19F4"/>
    <w:rsid w:val="00AF2AC7"/>
    <w:rsid w:val="00AF74CE"/>
    <w:rsid w:val="00B05DEC"/>
    <w:rsid w:val="00B06B09"/>
    <w:rsid w:val="00B1065E"/>
    <w:rsid w:val="00B208DB"/>
    <w:rsid w:val="00B23F69"/>
    <w:rsid w:val="00B26FC3"/>
    <w:rsid w:val="00B40BBA"/>
    <w:rsid w:val="00B46DE3"/>
    <w:rsid w:val="00B60619"/>
    <w:rsid w:val="00B651E5"/>
    <w:rsid w:val="00B66A70"/>
    <w:rsid w:val="00B67366"/>
    <w:rsid w:val="00B7389F"/>
    <w:rsid w:val="00B76354"/>
    <w:rsid w:val="00B80C27"/>
    <w:rsid w:val="00B80EE1"/>
    <w:rsid w:val="00B8363A"/>
    <w:rsid w:val="00B84135"/>
    <w:rsid w:val="00B85CBA"/>
    <w:rsid w:val="00BA6333"/>
    <w:rsid w:val="00BD58ED"/>
    <w:rsid w:val="00C04D34"/>
    <w:rsid w:val="00C05DF8"/>
    <w:rsid w:val="00C06689"/>
    <w:rsid w:val="00C06864"/>
    <w:rsid w:val="00C10F54"/>
    <w:rsid w:val="00C1324C"/>
    <w:rsid w:val="00C23D8D"/>
    <w:rsid w:val="00C37AA3"/>
    <w:rsid w:val="00C37FD7"/>
    <w:rsid w:val="00C43419"/>
    <w:rsid w:val="00C44CF3"/>
    <w:rsid w:val="00C47039"/>
    <w:rsid w:val="00C55B06"/>
    <w:rsid w:val="00C564CE"/>
    <w:rsid w:val="00C61BE0"/>
    <w:rsid w:val="00C634D3"/>
    <w:rsid w:val="00C6707E"/>
    <w:rsid w:val="00C70B0E"/>
    <w:rsid w:val="00C773CA"/>
    <w:rsid w:val="00C8204E"/>
    <w:rsid w:val="00C83785"/>
    <w:rsid w:val="00C87FA8"/>
    <w:rsid w:val="00C94C0D"/>
    <w:rsid w:val="00CA1FEB"/>
    <w:rsid w:val="00CB1B6E"/>
    <w:rsid w:val="00CD1A08"/>
    <w:rsid w:val="00CD4F85"/>
    <w:rsid w:val="00CD6F02"/>
    <w:rsid w:val="00CE246D"/>
    <w:rsid w:val="00CE71D3"/>
    <w:rsid w:val="00CF07A0"/>
    <w:rsid w:val="00CF11E2"/>
    <w:rsid w:val="00CF3E03"/>
    <w:rsid w:val="00D0082A"/>
    <w:rsid w:val="00D17AAF"/>
    <w:rsid w:val="00D21455"/>
    <w:rsid w:val="00D37EF6"/>
    <w:rsid w:val="00D47634"/>
    <w:rsid w:val="00D709B3"/>
    <w:rsid w:val="00D7190C"/>
    <w:rsid w:val="00D72B76"/>
    <w:rsid w:val="00D74CD2"/>
    <w:rsid w:val="00D85C4E"/>
    <w:rsid w:val="00DA2ED6"/>
    <w:rsid w:val="00DA7CDA"/>
    <w:rsid w:val="00DB1D55"/>
    <w:rsid w:val="00DB22BA"/>
    <w:rsid w:val="00DB6F3C"/>
    <w:rsid w:val="00DB76B8"/>
    <w:rsid w:val="00DC2716"/>
    <w:rsid w:val="00DC2EA1"/>
    <w:rsid w:val="00DD58E6"/>
    <w:rsid w:val="00DD671E"/>
    <w:rsid w:val="00DD6AAF"/>
    <w:rsid w:val="00DE3F5C"/>
    <w:rsid w:val="00DF0085"/>
    <w:rsid w:val="00DF1D20"/>
    <w:rsid w:val="00DF5867"/>
    <w:rsid w:val="00E008AB"/>
    <w:rsid w:val="00E21324"/>
    <w:rsid w:val="00E246B9"/>
    <w:rsid w:val="00E31FEA"/>
    <w:rsid w:val="00E34696"/>
    <w:rsid w:val="00E3637B"/>
    <w:rsid w:val="00E45169"/>
    <w:rsid w:val="00E47787"/>
    <w:rsid w:val="00E51C30"/>
    <w:rsid w:val="00E64180"/>
    <w:rsid w:val="00E7235D"/>
    <w:rsid w:val="00E74AEE"/>
    <w:rsid w:val="00E848AA"/>
    <w:rsid w:val="00E868E5"/>
    <w:rsid w:val="00E9237A"/>
    <w:rsid w:val="00E939FA"/>
    <w:rsid w:val="00EA3373"/>
    <w:rsid w:val="00EA5765"/>
    <w:rsid w:val="00EB5645"/>
    <w:rsid w:val="00EC2532"/>
    <w:rsid w:val="00ED13F5"/>
    <w:rsid w:val="00ED7812"/>
    <w:rsid w:val="00EF19BC"/>
    <w:rsid w:val="00EF3B86"/>
    <w:rsid w:val="00F11BBA"/>
    <w:rsid w:val="00F317E9"/>
    <w:rsid w:val="00F33201"/>
    <w:rsid w:val="00F33D74"/>
    <w:rsid w:val="00F34554"/>
    <w:rsid w:val="00F35B68"/>
    <w:rsid w:val="00F400F0"/>
    <w:rsid w:val="00F45F77"/>
    <w:rsid w:val="00F50746"/>
    <w:rsid w:val="00F5167F"/>
    <w:rsid w:val="00F52258"/>
    <w:rsid w:val="00F66B8E"/>
    <w:rsid w:val="00F70505"/>
    <w:rsid w:val="00F83390"/>
    <w:rsid w:val="00F8570A"/>
    <w:rsid w:val="00F91C1F"/>
    <w:rsid w:val="00F91C7B"/>
    <w:rsid w:val="00F92933"/>
    <w:rsid w:val="00F969F2"/>
    <w:rsid w:val="00FA11D5"/>
    <w:rsid w:val="00FA3CFC"/>
    <w:rsid w:val="00FE16B0"/>
    <w:rsid w:val="00FF3E04"/>
    <w:rsid w:val="00FF3EDF"/>
    <w:rsid w:val="00FF4C57"/>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B4C506"/>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 Char Char Char Char Char, Char Char1 Char Char, Char Char Char,Header Char1 Char Char Char Char,Header Char Char Char Char Char Char,Char Char1 Char Char,Char Char1"/>
    <w:basedOn w:val="Normal"/>
    <w:link w:val="HeaderChar"/>
    <w:uiPriority w:val="99"/>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rsid w:val="008A6D43"/>
    <w:rPr>
      <w:lang w:val="en-US" w:eastAsia="en-US"/>
    </w:rPr>
  </w:style>
  <w:style w:type="character" w:styleId="Hyperlink">
    <w:name w:val="Hyperlink"/>
    <w:basedOn w:val="DefaultParagraphFont"/>
    <w:rsid w:val="004E70AD"/>
    <w:rPr>
      <w:color w:val="0563C1" w:themeColor="hyperlink"/>
      <w:u w:val="single"/>
    </w:rPr>
  </w:style>
  <w:style w:type="character" w:customStyle="1" w:styleId="HeaderChar">
    <w:name w:val="Header Char"/>
    <w:aliases w:val="Header Char1 Char,Header Char Char Char,Header Char1 Char Char Char,Header Char Char Char Char Char, Char Char Char Char Char Char, Char Char1 Char Char Char, Char Char Char Char,Header Char1 Char Char Char Char Char,Char Char1 Char"/>
    <w:link w:val="Header"/>
    <w:uiPriority w:val="99"/>
    <w:rsid w:val="00C06689"/>
    <w:rPr>
      <w:sz w:val="24"/>
      <w:szCs w:val="24"/>
      <w:lang w:val="en-US" w:eastAsia="en-US"/>
    </w:rPr>
  </w:style>
  <w:style w:type="paragraph" w:styleId="Revision">
    <w:name w:val="Revision"/>
    <w:hidden/>
    <w:uiPriority w:val="99"/>
    <w:semiHidden/>
    <w:rsid w:val="008C2437"/>
    <w:rPr>
      <w:sz w:val="24"/>
      <w:szCs w:val="24"/>
      <w:lang w:val="en-US" w:eastAsia="en-US"/>
    </w:rPr>
  </w:style>
  <w:style w:type="paragraph" w:customStyle="1" w:styleId="NASLOV123">
    <w:name w:val="NASLOV 123"/>
    <w:basedOn w:val="Normal"/>
    <w:qFormat/>
    <w:rsid w:val="00867ADD"/>
    <w:pPr>
      <w:tabs>
        <w:tab w:val="left" w:pos="284"/>
      </w:tabs>
      <w:spacing w:before="200" w:after="200"/>
    </w:pPr>
    <w:rPr>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giflow-eforms.who-umc.org/me/mead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FFE6B2463DCD468DDA6340563834B3" ma:contentTypeVersion="19" ma:contentTypeDescription="Create a new document." ma:contentTypeScope="" ma:versionID="06194f4e504b7e7de8abb8845eebcceb">
  <xsd:schema xmlns:xsd="http://www.w3.org/2001/XMLSchema" xmlns:xs="http://www.w3.org/2001/XMLSchema" xmlns:p="http://schemas.microsoft.com/office/2006/metadata/properties" xmlns:ns2="c3c8f14d-de17-4729-8cd2-1c2c3f027e5c" xmlns:ns3="b621dfd6-c00f-47c5-b5af-67d3653e8304" targetNamespace="http://schemas.microsoft.com/office/2006/metadata/properties" ma:root="true" ma:fieldsID="9a1a3cd752cdf5f5d5e15f253bef7a57" ns2:_="" ns3:_="">
    <xsd:import namespace="c3c8f14d-de17-4729-8cd2-1c2c3f027e5c"/>
    <xsd:import namespace="b621dfd6-c00f-47c5-b5af-67d3653e83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2:MediaServiceSearchProperties" minOccurs="0"/>
                <xsd:element ref="ns2:PharmaDIAL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c8f14d-de17-4729-8cd2-1c2c3f027e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17e887b-1209-4573-9ff2-b0cecb1881f1"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harmaDIALT" ma:index="26" nillable="true" ma:displayName="Alvogen" ma:format="Dropdown" ma:internalName="PharmaDIAL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21dfd6-c00f-47c5-b5af-67d3653e830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6c1a041-ff7c-4483-8ed2-8551aa9b4c3b}" ma:internalName="TaxCatchAll" ma:showField="CatchAllData" ma:web="b621dfd6-c00f-47c5-b5af-67d3653e83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c8f14d-de17-4729-8cd2-1c2c3f027e5c">
      <Terms xmlns="http://schemas.microsoft.com/office/infopath/2007/PartnerControls"/>
    </lcf76f155ced4ddcb4097134ff3c332f>
    <TaxCatchAll xmlns="b621dfd6-c00f-47c5-b5af-67d3653e8304" xsi:nil="true"/>
    <PharmaDIALT xmlns="c3c8f14d-de17-4729-8cd2-1c2c3f027e5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504CB-F7B0-4FA2-B38A-64872E1D22D3}">
  <ds:schemaRefs>
    <ds:schemaRef ds:uri="http://schemas.microsoft.com/sharepoint/v3/contenttype/forms"/>
  </ds:schemaRefs>
</ds:datastoreItem>
</file>

<file path=customXml/itemProps2.xml><?xml version="1.0" encoding="utf-8"?>
<ds:datastoreItem xmlns:ds="http://schemas.openxmlformats.org/officeDocument/2006/customXml" ds:itemID="{41FF40B1-C974-463C-AC42-4D1C77CD66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c8f14d-de17-4729-8cd2-1c2c3f027e5c"/>
    <ds:schemaRef ds:uri="b621dfd6-c00f-47c5-b5af-67d3653e8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4D6D85-BC34-4D6F-8D2F-DC402157F721}">
  <ds:schemaRefs>
    <ds:schemaRef ds:uri="http://schemas.microsoft.com/office/2006/metadata/properties"/>
    <ds:schemaRef ds:uri="http://schemas.microsoft.com/office/infopath/2007/PartnerControls"/>
    <ds:schemaRef ds:uri="c3c8f14d-de17-4729-8cd2-1c2c3f027e5c"/>
    <ds:schemaRef ds:uri="b621dfd6-c00f-47c5-b5af-67d3653e8304"/>
  </ds:schemaRefs>
</ds:datastoreItem>
</file>

<file path=customXml/itemProps4.xml><?xml version="1.0" encoding="utf-8"?>
<ds:datastoreItem xmlns:ds="http://schemas.openxmlformats.org/officeDocument/2006/customXml" ds:itemID="{5E5176B4-283E-47F5-90CB-9A33BACDE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18</Pages>
  <Words>6596</Words>
  <Characters>37603</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44111</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Tamara Nikezić</cp:lastModifiedBy>
  <cp:revision>18</cp:revision>
  <cp:lastPrinted>2023-02-09T08:16:00Z</cp:lastPrinted>
  <dcterms:created xsi:type="dcterms:W3CDTF">2024-11-19T09:20:00Z</dcterms:created>
  <dcterms:modified xsi:type="dcterms:W3CDTF">2025-02-10T08:43:00Z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0x01010006FFE6B2463DCD468DDA6340563834B3</vt:lpwstr>
  </property>
</Properties>
</file>