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C6DC7" w14:textId="77777777" w:rsidR="001A5518" w:rsidRPr="00B267CC" w:rsidRDefault="001A5518" w:rsidP="001A5518">
      <w:pPr>
        <w:rPr>
          <w:b/>
          <w:bCs/>
          <w:i/>
          <w:iCs/>
          <w:sz w:val="22"/>
          <w:szCs w:val="22"/>
          <w:u w:val="single"/>
        </w:rPr>
      </w:pPr>
    </w:p>
    <w:p w14:paraId="4AEC5970" w14:textId="77777777" w:rsidR="00F91C7B" w:rsidRPr="00B267CC" w:rsidRDefault="00F91C7B" w:rsidP="001A5518">
      <w:pPr>
        <w:rPr>
          <w:b/>
          <w:bCs/>
          <w:i/>
          <w:iCs/>
          <w:sz w:val="22"/>
          <w:szCs w:val="22"/>
          <w:u w:val="single"/>
        </w:rPr>
      </w:pPr>
    </w:p>
    <w:p w14:paraId="682FF7F9" w14:textId="77777777" w:rsidR="002510A5" w:rsidRPr="00B267CC" w:rsidRDefault="002510A5" w:rsidP="002510A5">
      <w:pPr>
        <w:jc w:val="center"/>
        <w:rPr>
          <w:b/>
          <w:bCs/>
          <w:iCs/>
          <w:sz w:val="22"/>
          <w:szCs w:val="22"/>
          <w:u w:val="single"/>
        </w:rPr>
      </w:pPr>
      <w:r w:rsidRPr="00B267CC">
        <w:rPr>
          <w:b/>
          <w:bCs/>
          <w:iCs/>
          <w:sz w:val="22"/>
          <w:szCs w:val="22"/>
          <w:u w:val="single"/>
        </w:rPr>
        <w:t>SAŽETAK KARAKTERISTIKA LIJEKA</w:t>
      </w:r>
    </w:p>
    <w:p w14:paraId="134906F1" w14:textId="77777777" w:rsidR="002510A5" w:rsidRPr="00B267CC" w:rsidRDefault="002510A5" w:rsidP="002510A5">
      <w:pPr>
        <w:rPr>
          <w:b/>
          <w:bCs/>
          <w:i/>
          <w:iCs/>
          <w:sz w:val="22"/>
          <w:szCs w:val="22"/>
          <w:u w:val="single"/>
        </w:rPr>
      </w:pPr>
    </w:p>
    <w:p w14:paraId="739C0C36" w14:textId="77777777" w:rsidR="003C17AB" w:rsidRPr="00B267CC" w:rsidRDefault="003C17AB" w:rsidP="00CA1FEB">
      <w:pPr>
        <w:rPr>
          <w:sz w:val="22"/>
          <w:szCs w:val="22"/>
          <w:lang w:val="sr-Latn-CS"/>
        </w:rPr>
      </w:pPr>
    </w:p>
    <w:p w14:paraId="42B8922A" w14:textId="77777777" w:rsidR="00C37FD7" w:rsidRPr="00B267CC" w:rsidRDefault="00C37FD7" w:rsidP="00F5167F">
      <w:pPr>
        <w:tabs>
          <w:tab w:val="left" w:pos="540"/>
          <w:tab w:val="left" w:pos="569"/>
        </w:tabs>
        <w:rPr>
          <w:bCs/>
          <w:sz w:val="22"/>
          <w:szCs w:val="22"/>
          <w:lang w:val="hr-HR"/>
        </w:rPr>
      </w:pPr>
    </w:p>
    <w:p w14:paraId="3DCC3924" w14:textId="77777777" w:rsidR="00411B4B" w:rsidRPr="00B267CC" w:rsidRDefault="00411B4B" w:rsidP="00F5167F">
      <w:pPr>
        <w:tabs>
          <w:tab w:val="left" w:pos="540"/>
          <w:tab w:val="left" w:pos="569"/>
        </w:tabs>
        <w:rPr>
          <w:b/>
          <w:bCs/>
          <w:sz w:val="22"/>
          <w:szCs w:val="22"/>
        </w:rPr>
      </w:pPr>
      <w:r w:rsidRPr="00B267CC">
        <w:rPr>
          <w:b/>
          <w:bCs/>
          <w:sz w:val="22"/>
          <w:szCs w:val="22"/>
        </w:rPr>
        <w:t>1.</w:t>
      </w:r>
      <w:r w:rsidR="00F5167F" w:rsidRPr="00B267CC">
        <w:rPr>
          <w:b/>
          <w:bCs/>
          <w:sz w:val="22"/>
          <w:szCs w:val="22"/>
        </w:rPr>
        <w:tab/>
      </w:r>
      <w:r w:rsidR="002846DB" w:rsidRPr="00B267CC">
        <w:rPr>
          <w:b/>
          <w:bCs/>
          <w:sz w:val="22"/>
          <w:szCs w:val="22"/>
        </w:rPr>
        <w:t xml:space="preserve">NAZIV </w:t>
      </w:r>
      <w:r w:rsidRPr="00B267CC">
        <w:rPr>
          <w:b/>
          <w:bCs/>
          <w:sz w:val="22"/>
          <w:szCs w:val="22"/>
        </w:rPr>
        <w:t>LIJEKA</w:t>
      </w:r>
    </w:p>
    <w:p w14:paraId="5EB8E0CF" w14:textId="77777777" w:rsidR="00EC2532" w:rsidRPr="00B267CC" w:rsidRDefault="00EC2532">
      <w:pPr>
        <w:rPr>
          <w:sz w:val="22"/>
          <w:szCs w:val="22"/>
          <w:lang w:val="pl-PL"/>
        </w:rPr>
      </w:pPr>
    </w:p>
    <w:p w14:paraId="669E525C" w14:textId="0EB9C608" w:rsidR="00922329" w:rsidRPr="008F3A6B" w:rsidRDefault="00922329" w:rsidP="00922329">
      <w:pPr>
        <w:jc w:val="both"/>
        <w:rPr>
          <w:sz w:val="22"/>
          <w:szCs w:val="22"/>
          <w:lang w:val="sr-Latn-ME"/>
        </w:rPr>
      </w:pPr>
      <w:r w:rsidRPr="00B267CC">
        <w:rPr>
          <w:sz w:val="22"/>
          <w:szCs w:val="22"/>
          <w:lang w:val="sr-Latn-ME"/>
        </w:rPr>
        <w:t>Controloc</w:t>
      </w:r>
      <w:r w:rsidRPr="008F3A6B">
        <w:rPr>
          <w:sz w:val="22"/>
          <w:szCs w:val="22"/>
          <w:vertAlign w:val="superscript"/>
          <w:lang w:val="sr-Latn-ME"/>
        </w:rPr>
        <w:t xml:space="preserve"> </w:t>
      </w:r>
      <w:r w:rsidRPr="008F3A6B">
        <w:rPr>
          <w:sz w:val="22"/>
          <w:szCs w:val="22"/>
          <w:lang w:val="sr-Latn-ME"/>
        </w:rPr>
        <w:t>i.v., 40 mg, prašak za rastvor za injekciju</w:t>
      </w:r>
    </w:p>
    <w:p w14:paraId="62CA8D54" w14:textId="77777777" w:rsidR="00922329" w:rsidRPr="006C101E" w:rsidRDefault="00922329" w:rsidP="00922329">
      <w:pPr>
        <w:jc w:val="both"/>
        <w:rPr>
          <w:sz w:val="22"/>
          <w:szCs w:val="22"/>
          <w:lang w:val="sr-Latn-ME"/>
        </w:rPr>
      </w:pPr>
    </w:p>
    <w:p w14:paraId="0F9CBDAA" w14:textId="77777777" w:rsidR="00922329" w:rsidRPr="004F434B" w:rsidRDefault="00922329" w:rsidP="00922329">
      <w:pPr>
        <w:jc w:val="both"/>
        <w:rPr>
          <w:sz w:val="22"/>
          <w:szCs w:val="22"/>
          <w:lang w:val="sr-Latn-ME"/>
        </w:rPr>
      </w:pPr>
      <w:r w:rsidRPr="004F434B">
        <w:rPr>
          <w:sz w:val="22"/>
          <w:szCs w:val="22"/>
          <w:lang w:val="sr-Latn-ME"/>
        </w:rPr>
        <w:t>INN: pantoprazol</w:t>
      </w:r>
    </w:p>
    <w:p w14:paraId="40263747" w14:textId="77777777" w:rsidR="006D20A5" w:rsidRPr="004F434B" w:rsidRDefault="006D20A5">
      <w:pPr>
        <w:rPr>
          <w:bCs/>
          <w:sz w:val="22"/>
          <w:szCs w:val="22"/>
          <w:lang w:val="sv-SE"/>
        </w:rPr>
      </w:pPr>
    </w:p>
    <w:p w14:paraId="15236827" w14:textId="77777777" w:rsidR="00530BD7" w:rsidRPr="00B46DBD" w:rsidRDefault="00530BD7">
      <w:pPr>
        <w:rPr>
          <w:bCs/>
          <w:sz w:val="22"/>
          <w:szCs w:val="22"/>
          <w:lang w:val="sv-SE"/>
        </w:rPr>
      </w:pPr>
    </w:p>
    <w:p w14:paraId="0A5F4CFB" w14:textId="77777777" w:rsidR="00411B4B" w:rsidRPr="00B267CC" w:rsidRDefault="00411B4B" w:rsidP="00F5167F">
      <w:pPr>
        <w:tabs>
          <w:tab w:val="left" w:pos="540"/>
          <w:tab w:val="left" w:pos="569"/>
        </w:tabs>
        <w:rPr>
          <w:b/>
          <w:bCs/>
          <w:sz w:val="22"/>
          <w:szCs w:val="22"/>
        </w:rPr>
      </w:pPr>
      <w:r w:rsidRPr="00B46DBD">
        <w:rPr>
          <w:b/>
          <w:bCs/>
          <w:sz w:val="22"/>
          <w:szCs w:val="22"/>
        </w:rPr>
        <w:t xml:space="preserve">2. </w:t>
      </w:r>
      <w:r w:rsidR="00F5167F" w:rsidRPr="00B267CC">
        <w:rPr>
          <w:b/>
          <w:bCs/>
          <w:sz w:val="22"/>
          <w:szCs w:val="22"/>
        </w:rPr>
        <w:tab/>
      </w:r>
      <w:r w:rsidRPr="00B267CC">
        <w:rPr>
          <w:b/>
          <w:bCs/>
          <w:sz w:val="22"/>
          <w:szCs w:val="22"/>
        </w:rPr>
        <w:t>KVALITATIVNI I KVANTITATIVNI SASTAV</w:t>
      </w:r>
    </w:p>
    <w:p w14:paraId="0518DE21" w14:textId="77777777" w:rsidR="005A0B2E" w:rsidRPr="00B267CC" w:rsidRDefault="005A0B2E">
      <w:pPr>
        <w:rPr>
          <w:sz w:val="22"/>
          <w:szCs w:val="22"/>
          <w:lang w:val="sr-Latn-CS"/>
        </w:rPr>
      </w:pPr>
    </w:p>
    <w:p w14:paraId="075115AF" w14:textId="1EAA9076" w:rsidR="00922329" w:rsidRPr="00B267CC" w:rsidRDefault="00922329" w:rsidP="00922329">
      <w:pPr>
        <w:pStyle w:val="Header"/>
        <w:jc w:val="both"/>
        <w:rPr>
          <w:sz w:val="22"/>
          <w:szCs w:val="22"/>
          <w:lang w:val="sr-Latn-ME"/>
        </w:rPr>
      </w:pPr>
      <w:r w:rsidRPr="00B267CC">
        <w:rPr>
          <w:sz w:val="22"/>
          <w:szCs w:val="22"/>
          <w:lang w:val="sr-Latn-ME"/>
        </w:rPr>
        <w:t>Jedna bočica sadrži 40 mg pantoprazola (u obliku pantoprazol natrijum seskvihidrata).</w:t>
      </w:r>
    </w:p>
    <w:p w14:paraId="1074C920" w14:textId="13286E07" w:rsidR="00506F29" w:rsidRPr="00B267CC" w:rsidRDefault="00506F29" w:rsidP="00922329">
      <w:pPr>
        <w:pStyle w:val="Header"/>
        <w:jc w:val="both"/>
        <w:rPr>
          <w:sz w:val="22"/>
          <w:szCs w:val="22"/>
          <w:lang w:val="sr-Latn-ME"/>
        </w:rPr>
      </w:pPr>
    </w:p>
    <w:p w14:paraId="4F874DAA" w14:textId="77777777" w:rsidR="00506F29" w:rsidRPr="00B267CC" w:rsidRDefault="00506F29" w:rsidP="00506F29">
      <w:pPr>
        <w:pStyle w:val="Header"/>
        <w:jc w:val="both"/>
        <w:rPr>
          <w:sz w:val="22"/>
          <w:szCs w:val="22"/>
          <w:lang w:val="sr-Latn-ME"/>
        </w:rPr>
      </w:pPr>
      <w:r w:rsidRPr="00B267CC">
        <w:rPr>
          <w:sz w:val="22"/>
          <w:szCs w:val="22"/>
          <w:lang w:val="sr-Latn-ME"/>
        </w:rPr>
        <w:t>Pomoćna supstanca sa potvrđenim dejstvom: natrijum.</w:t>
      </w:r>
    </w:p>
    <w:p w14:paraId="14BB54EB" w14:textId="624DF481" w:rsidR="00506F29" w:rsidRPr="00B267CC" w:rsidRDefault="00506F29" w:rsidP="00506F29">
      <w:pPr>
        <w:pStyle w:val="Header"/>
        <w:jc w:val="both"/>
        <w:rPr>
          <w:sz w:val="22"/>
          <w:szCs w:val="22"/>
          <w:lang w:val="sr-Latn-ME"/>
        </w:rPr>
      </w:pPr>
      <w:r w:rsidRPr="00B267CC">
        <w:rPr>
          <w:sz w:val="22"/>
          <w:szCs w:val="22"/>
          <w:lang w:val="sr-Latn-ME"/>
        </w:rPr>
        <w:t>Jedna bočica sadrži dinatrijum edetat 1 mg i natrijum hidroksid 0,24 mg.</w:t>
      </w:r>
    </w:p>
    <w:p w14:paraId="1111AFCE" w14:textId="205E8230" w:rsidR="00506F29" w:rsidRPr="00B267CC" w:rsidRDefault="00506F29" w:rsidP="00506F29">
      <w:pPr>
        <w:pStyle w:val="Header"/>
        <w:jc w:val="both"/>
        <w:rPr>
          <w:sz w:val="22"/>
          <w:szCs w:val="22"/>
          <w:lang w:val="sr-Latn-ME"/>
        </w:rPr>
      </w:pPr>
      <w:r w:rsidRPr="00B267CC">
        <w:rPr>
          <w:sz w:val="22"/>
          <w:szCs w:val="22"/>
          <w:lang w:val="sr-Latn-ME"/>
        </w:rPr>
        <w:t>Jedna bočica lijeka sadrži manje od 1 mmol natrijuma (23 mg), tj. suštinski je „bez natrijuma“.</w:t>
      </w:r>
    </w:p>
    <w:p w14:paraId="4CB98A01" w14:textId="77777777" w:rsidR="00922329" w:rsidRPr="00B267CC" w:rsidRDefault="00922329" w:rsidP="00922329">
      <w:pPr>
        <w:pStyle w:val="Header"/>
        <w:jc w:val="both"/>
        <w:rPr>
          <w:sz w:val="22"/>
          <w:szCs w:val="22"/>
          <w:u w:val="single"/>
          <w:lang w:val="sr-Latn-ME"/>
        </w:rPr>
      </w:pPr>
    </w:p>
    <w:p w14:paraId="260E3A28" w14:textId="582D6103" w:rsidR="0003793F" w:rsidRPr="00B267CC" w:rsidRDefault="0003793F">
      <w:pPr>
        <w:rPr>
          <w:sz w:val="22"/>
          <w:szCs w:val="22"/>
          <w:lang w:val="sr-Latn-CS"/>
        </w:rPr>
      </w:pPr>
      <w:r w:rsidRPr="00B267CC">
        <w:rPr>
          <w:sz w:val="22"/>
          <w:szCs w:val="22"/>
          <w:lang w:val="sr-Latn-CS"/>
        </w:rPr>
        <w:t>Za spisak svih ekscipijenasa, pogledati dio 6.1.</w:t>
      </w:r>
    </w:p>
    <w:p w14:paraId="0AD9E3C8" w14:textId="77777777" w:rsidR="0003793F" w:rsidRPr="00B267CC" w:rsidRDefault="0003793F">
      <w:pPr>
        <w:rPr>
          <w:sz w:val="22"/>
          <w:szCs w:val="22"/>
          <w:lang w:val="sr-Latn-CS"/>
        </w:rPr>
      </w:pPr>
    </w:p>
    <w:p w14:paraId="64041B90" w14:textId="77777777" w:rsidR="00C37FD7" w:rsidRPr="00B267CC" w:rsidRDefault="00C37FD7">
      <w:pPr>
        <w:rPr>
          <w:sz w:val="22"/>
          <w:szCs w:val="22"/>
          <w:lang w:val="sr-Latn-CS"/>
        </w:rPr>
      </w:pPr>
    </w:p>
    <w:p w14:paraId="0CA24E17" w14:textId="77777777" w:rsidR="00411B4B" w:rsidRPr="00B267CC" w:rsidRDefault="00411B4B" w:rsidP="00F5167F">
      <w:pPr>
        <w:tabs>
          <w:tab w:val="left" w:pos="540"/>
          <w:tab w:val="left" w:pos="569"/>
        </w:tabs>
        <w:rPr>
          <w:b/>
          <w:bCs/>
          <w:sz w:val="22"/>
          <w:szCs w:val="22"/>
        </w:rPr>
      </w:pPr>
      <w:r w:rsidRPr="00B267CC">
        <w:rPr>
          <w:b/>
          <w:bCs/>
          <w:sz w:val="22"/>
          <w:szCs w:val="22"/>
        </w:rPr>
        <w:t xml:space="preserve">3. </w:t>
      </w:r>
      <w:r w:rsidR="00F5167F" w:rsidRPr="00B267CC">
        <w:rPr>
          <w:b/>
          <w:bCs/>
          <w:sz w:val="22"/>
          <w:szCs w:val="22"/>
        </w:rPr>
        <w:tab/>
      </w:r>
      <w:r w:rsidRPr="00B267CC">
        <w:rPr>
          <w:b/>
          <w:bCs/>
          <w:sz w:val="22"/>
          <w:szCs w:val="22"/>
        </w:rPr>
        <w:t>FARMACEUTSKI OBLIK</w:t>
      </w:r>
      <w:r w:rsidR="009F2D23" w:rsidRPr="00B267CC">
        <w:rPr>
          <w:b/>
          <w:bCs/>
          <w:sz w:val="22"/>
          <w:szCs w:val="22"/>
        </w:rPr>
        <w:t xml:space="preserve"> </w:t>
      </w:r>
    </w:p>
    <w:p w14:paraId="499A759D" w14:textId="77777777" w:rsidR="00411B4B" w:rsidRPr="00B267CC" w:rsidRDefault="00411B4B">
      <w:pPr>
        <w:rPr>
          <w:bCs/>
          <w:sz w:val="22"/>
          <w:szCs w:val="22"/>
          <w:lang w:val="sr-Latn-CS"/>
        </w:rPr>
      </w:pPr>
    </w:p>
    <w:p w14:paraId="7FBA960D" w14:textId="77777777" w:rsidR="00922329" w:rsidRPr="00B267CC" w:rsidRDefault="00922329" w:rsidP="00922329">
      <w:pPr>
        <w:pStyle w:val="Header"/>
        <w:jc w:val="both"/>
        <w:rPr>
          <w:sz w:val="22"/>
          <w:szCs w:val="22"/>
          <w:lang w:val="sr-Latn-ME"/>
        </w:rPr>
      </w:pPr>
      <w:r w:rsidRPr="00B267CC">
        <w:rPr>
          <w:sz w:val="22"/>
          <w:szCs w:val="22"/>
          <w:lang w:val="sr-Latn-ME"/>
        </w:rPr>
        <w:t>Prašak za rastvor za injekciju.</w:t>
      </w:r>
    </w:p>
    <w:p w14:paraId="341B5BF2" w14:textId="77777777" w:rsidR="00922329" w:rsidRPr="00B267CC" w:rsidRDefault="00922329" w:rsidP="00922329">
      <w:pPr>
        <w:pStyle w:val="Header"/>
        <w:tabs>
          <w:tab w:val="left" w:pos="284"/>
        </w:tabs>
        <w:jc w:val="both"/>
        <w:rPr>
          <w:sz w:val="22"/>
          <w:szCs w:val="22"/>
          <w:lang w:val="sr-Latn-ME"/>
        </w:rPr>
      </w:pPr>
      <w:r w:rsidRPr="00B267CC">
        <w:rPr>
          <w:sz w:val="22"/>
          <w:szCs w:val="22"/>
          <w:lang w:val="sr-Latn-ME"/>
        </w:rPr>
        <w:t>Bijeli ili skoro bijeli prašak.</w:t>
      </w:r>
    </w:p>
    <w:p w14:paraId="459ED6C9" w14:textId="4E25C864" w:rsidR="00EC2532" w:rsidRPr="00B267CC" w:rsidRDefault="00EC2532">
      <w:pPr>
        <w:rPr>
          <w:bCs/>
          <w:sz w:val="22"/>
          <w:szCs w:val="22"/>
          <w:lang w:val="sr-Latn-CS"/>
        </w:rPr>
      </w:pPr>
    </w:p>
    <w:p w14:paraId="1A85903A" w14:textId="77777777" w:rsidR="00506F29" w:rsidRPr="00B267CC" w:rsidRDefault="00506F29">
      <w:pPr>
        <w:rPr>
          <w:bCs/>
          <w:sz w:val="22"/>
          <w:szCs w:val="22"/>
          <w:lang w:val="sr-Latn-CS"/>
        </w:rPr>
      </w:pPr>
    </w:p>
    <w:p w14:paraId="79A2B32F" w14:textId="77777777" w:rsidR="00411B4B" w:rsidRPr="00B267CC" w:rsidRDefault="00411B4B" w:rsidP="00F5167F">
      <w:pPr>
        <w:tabs>
          <w:tab w:val="left" w:pos="540"/>
          <w:tab w:val="left" w:pos="569"/>
        </w:tabs>
        <w:rPr>
          <w:b/>
          <w:bCs/>
          <w:sz w:val="22"/>
          <w:szCs w:val="22"/>
        </w:rPr>
      </w:pPr>
      <w:r w:rsidRPr="00B267CC">
        <w:rPr>
          <w:b/>
          <w:bCs/>
          <w:sz w:val="22"/>
          <w:szCs w:val="22"/>
        </w:rPr>
        <w:t xml:space="preserve">4. </w:t>
      </w:r>
      <w:r w:rsidR="00480FB1" w:rsidRPr="00B267CC">
        <w:rPr>
          <w:b/>
          <w:bCs/>
          <w:sz w:val="22"/>
          <w:szCs w:val="22"/>
        </w:rPr>
        <w:tab/>
      </w:r>
      <w:r w:rsidRPr="00B267CC">
        <w:rPr>
          <w:b/>
          <w:bCs/>
          <w:sz w:val="22"/>
          <w:szCs w:val="22"/>
        </w:rPr>
        <w:t>KLINIČKI PODACI</w:t>
      </w:r>
    </w:p>
    <w:p w14:paraId="71C10DEE" w14:textId="77777777" w:rsidR="00CD6F02" w:rsidRPr="00B267CC" w:rsidRDefault="00CD6F02" w:rsidP="00480FB1">
      <w:pPr>
        <w:tabs>
          <w:tab w:val="left" w:pos="540"/>
          <w:tab w:val="left" w:pos="569"/>
        </w:tabs>
        <w:rPr>
          <w:bCs/>
          <w:sz w:val="22"/>
          <w:szCs w:val="22"/>
        </w:rPr>
      </w:pPr>
    </w:p>
    <w:p w14:paraId="1640470B" w14:textId="77777777" w:rsidR="00411B4B" w:rsidRPr="00B267CC" w:rsidRDefault="00411B4B" w:rsidP="00480FB1">
      <w:pPr>
        <w:tabs>
          <w:tab w:val="left" w:pos="540"/>
          <w:tab w:val="left" w:pos="569"/>
        </w:tabs>
        <w:rPr>
          <w:b/>
          <w:bCs/>
          <w:sz w:val="22"/>
          <w:szCs w:val="22"/>
        </w:rPr>
      </w:pPr>
      <w:r w:rsidRPr="00B267CC">
        <w:rPr>
          <w:b/>
          <w:bCs/>
          <w:sz w:val="22"/>
          <w:szCs w:val="22"/>
        </w:rPr>
        <w:t xml:space="preserve">4.1. </w:t>
      </w:r>
      <w:r w:rsidR="00480FB1" w:rsidRPr="00B267CC">
        <w:rPr>
          <w:b/>
          <w:bCs/>
          <w:sz w:val="22"/>
          <w:szCs w:val="22"/>
        </w:rPr>
        <w:tab/>
      </w:r>
      <w:r w:rsidRPr="00B267CC">
        <w:rPr>
          <w:b/>
          <w:bCs/>
          <w:sz w:val="22"/>
          <w:szCs w:val="22"/>
        </w:rPr>
        <w:t>Terapijske indikacije</w:t>
      </w:r>
    </w:p>
    <w:p w14:paraId="297A68F9" w14:textId="77777777" w:rsidR="009D3B1F" w:rsidRPr="00B267CC" w:rsidRDefault="009D3B1F" w:rsidP="00480FB1">
      <w:pPr>
        <w:tabs>
          <w:tab w:val="left" w:pos="540"/>
          <w:tab w:val="left" w:pos="569"/>
        </w:tabs>
        <w:rPr>
          <w:b/>
          <w:bCs/>
          <w:sz w:val="22"/>
          <w:szCs w:val="22"/>
        </w:rPr>
      </w:pPr>
    </w:p>
    <w:p w14:paraId="0EA2B618" w14:textId="77777777" w:rsidR="009D3B1F" w:rsidRPr="00B267CC" w:rsidRDefault="009D3B1F" w:rsidP="009D3B1F">
      <w:pPr>
        <w:pStyle w:val="Header"/>
        <w:numPr>
          <w:ilvl w:val="0"/>
          <w:numId w:val="12"/>
        </w:numPr>
        <w:tabs>
          <w:tab w:val="clear" w:pos="4320"/>
          <w:tab w:val="clear" w:pos="8640"/>
          <w:tab w:val="left" w:pos="284"/>
          <w:tab w:val="center" w:pos="4536"/>
          <w:tab w:val="right" w:pos="9072"/>
        </w:tabs>
        <w:jc w:val="both"/>
        <w:rPr>
          <w:sz w:val="22"/>
          <w:szCs w:val="22"/>
          <w:u w:val="single"/>
          <w:lang w:val="sr-Latn-ME"/>
        </w:rPr>
      </w:pPr>
      <w:r w:rsidRPr="00B267CC">
        <w:rPr>
          <w:sz w:val="22"/>
          <w:szCs w:val="22"/>
          <w:lang w:val="sr-Latn-ME"/>
        </w:rPr>
        <w:t>Refluksni ezofagitis</w:t>
      </w:r>
    </w:p>
    <w:p w14:paraId="13307DAE" w14:textId="7C36E5FF" w:rsidR="009D3B1F" w:rsidRPr="00B267CC" w:rsidRDefault="001D47F7" w:rsidP="009D3B1F">
      <w:pPr>
        <w:pStyle w:val="Header"/>
        <w:numPr>
          <w:ilvl w:val="0"/>
          <w:numId w:val="12"/>
        </w:numPr>
        <w:tabs>
          <w:tab w:val="clear" w:pos="4320"/>
          <w:tab w:val="clear" w:pos="8640"/>
          <w:tab w:val="left" w:pos="284"/>
          <w:tab w:val="center" w:pos="4536"/>
          <w:tab w:val="right" w:pos="9072"/>
        </w:tabs>
        <w:jc w:val="both"/>
        <w:rPr>
          <w:sz w:val="22"/>
          <w:szCs w:val="22"/>
          <w:lang w:val="sr-Latn-ME"/>
        </w:rPr>
      </w:pPr>
      <w:r w:rsidRPr="00B267CC">
        <w:rPr>
          <w:sz w:val="22"/>
          <w:szCs w:val="22"/>
          <w:lang w:val="sr-Latn-ME"/>
        </w:rPr>
        <w:t>U</w:t>
      </w:r>
      <w:r w:rsidR="009D3B1F" w:rsidRPr="00B267CC">
        <w:rPr>
          <w:sz w:val="22"/>
          <w:szCs w:val="22"/>
          <w:lang w:val="sr-Latn-ME"/>
        </w:rPr>
        <w:t>lkus želuca i duodenuma</w:t>
      </w:r>
    </w:p>
    <w:p w14:paraId="46523BB6" w14:textId="77777777" w:rsidR="009D3B1F" w:rsidRPr="00B267CC" w:rsidRDefault="009D3B1F" w:rsidP="009D3B1F">
      <w:pPr>
        <w:pStyle w:val="Header"/>
        <w:numPr>
          <w:ilvl w:val="0"/>
          <w:numId w:val="12"/>
        </w:numPr>
        <w:tabs>
          <w:tab w:val="clear" w:pos="4320"/>
          <w:tab w:val="clear" w:pos="8640"/>
          <w:tab w:val="left" w:pos="284"/>
          <w:tab w:val="center" w:pos="4536"/>
          <w:tab w:val="right" w:pos="9072"/>
        </w:tabs>
        <w:jc w:val="both"/>
        <w:rPr>
          <w:sz w:val="22"/>
          <w:szCs w:val="22"/>
          <w:lang w:val="sr-Latn-ME"/>
        </w:rPr>
      </w:pPr>
      <w:r w:rsidRPr="00B267CC">
        <w:rPr>
          <w:i/>
          <w:sz w:val="22"/>
          <w:szCs w:val="22"/>
          <w:lang w:val="sr-Latn-ME"/>
        </w:rPr>
        <w:t>Zollinger–Ellisonov</w:t>
      </w:r>
      <w:r w:rsidRPr="00B267CC">
        <w:rPr>
          <w:sz w:val="22"/>
          <w:szCs w:val="22"/>
          <w:lang w:val="sr-Latn-ME"/>
        </w:rPr>
        <w:t xml:space="preserve"> sindrom i druga stanja patološke hipersekrecije</w:t>
      </w:r>
    </w:p>
    <w:p w14:paraId="3AF233E8" w14:textId="77777777" w:rsidR="00411B4B" w:rsidRPr="00B267CC" w:rsidRDefault="00411B4B" w:rsidP="00480FB1">
      <w:pPr>
        <w:tabs>
          <w:tab w:val="left" w:pos="540"/>
          <w:tab w:val="left" w:pos="569"/>
        </w:tabs>
        <w:rPr>
          <w:bCs/>
          <w:sz w:val="22"/>
          <w:szCs w:val="22"/>
        </w:rPr>
      </w:pPr>
    </w:p>
    <w:p w14:paraId="78BE2CFC" w14:textId="77777777" w:rsidR="00411B4B" w:rsidRPr="00B267CC" w:rsidRDefault="00411B4B" w:rsidP="00480FB1">
      <w:pPr>
        <w:tabs>
          <w:tab w:val="left" w:pos="540"/>
          <w:tab w:val="left" w:pos="569"/>
        </w:tabs>
        <w:rPr>
          <w:b/>
          <w:bCs/>
          <w:sz w:val="22"/>
          <w:szCs w:val="22"/>
        </w:rPr>
      </w:pPr>
      <w:r w:rsidRPr="00B267CC">
        <w:rPr>
          <w:b/>
          <w:bCs/>
          <w:sz w:val="22"/>
          <w:szCs w:val="22"/>
        </w:rPr>
        <w:t xml:space="preserve">4.2. </w:t>
      </w:r>
      <w:r w:rsidR="00480FB1" w:rsidRPr="00B267CC">
        <w:rPr>
          <w:b/>
          <w:bCs/>
          <w:sz w:val="22"/>
          <w:szCs w:val="22"/>
        </w:rPr>
        <w:tab/>
      </w:r>
      <w:r w:rsidRPr="00B267CC">
        <w:rPr>
          <w:b/>
          <w:bCs/>
          <w:sz w:val="22"/>
          <w:szCs w:val="22"/>
        </w:rPr>
        <w:t>Doziranje i način primjene</w:t>
      </w:r>
    </w:p>
    <w:p w14:paraId="32D0BA5B" w14:textId="77777777" w:rsidR="0072020E" w:rsidRPr="00B267CC" w:rsidRDefault="0072020E" w:rsidP="00480FB1">
      <w:pPr>
        <w:tabs>
          <w:tab w:val="left" w:pos="540"/>
          <w:tab w:val="left" w:pos="569"/>
        </w:tabs>
        <w:rPr>
          <w:bCs/>
          <w:sz w:val="22"/>
          <w:szCs w:val="22"/>
        </w:rPr>
      </w:pPr>
    </w:p>
    <w:p w14:paraId="78EB99E7" w14:textId="5FC6BC06" w:rsidR="009D3B1F" w:rsidRPr="00B267CC" w:rsidRDefault="009D3B1F" w:rsidP="009D3B1F">
      <w:pPr>
        <w:jc w:val="both"/>
        <w:rPr>
          <w:sz w:val="22"/>
          <w:szCs w:val="22"/>
          <w:lang w:val="sr-Latn-ME"/>
        </w:rPr>
      </w:pPr>
      <w:r w:rsidRPr="00B267CC">
        <w:rPr>
          <w:sz w:val="22"/>
          <w:szCs w:val="22"/>
          <w:lang w:val="sr-Latn-ME"/>
        </w:rPr>
        <w:t xml:space="preserve">Ovaj lijek treba da primjenjuje </w:t>
      </w:r>
      <w:r w:rsidR="001D47F7" w:rsidRPr="00B267CC">
        <w:rPr>
          <w:sz w:val="22"/>
          <w:szCs w:val="22"/>
          <w:lang w:val="sr-Latn-ME"/>
        </w:rPr>
        <w:t>zdravstveni radnik</w:t>
      </w:r>
      <w:r w:rsidRPr="00B267CC">
        <w:rPr>
          <w:sz w:val="22"/>
          <w:szCs w:val="22"/>
          <w:lang w:val="sr-Latn-ME"/>
        </w:rPr>
        <w:t xml:space="preserve"> pod odgovarajuć</w:t>
      </w:r>
      <w:r w:rsidR="001D47F7" w:rsidRPr="00B267CC">
        <w:rPr>
          <w:sz w:val="22"/>
          <w:szCs w:val="22"/>
          <w:lang w:val="sr-Latn-ME"/>
        </w:rPr>
        <w:t>im medicinskim nadzorom.</w:t>
      </w:r>
    </w:p>
    <w:p w14:paraId="017C1D3F" w14:textId="77777777" w:rsidR="009D3B1F" w:rsidRPr="00B267CC" w:rsidRDefault="009D3B1F" w:rsidP="009D3B1F">
      <w:pPr>
        <w:jc w:val="both"/>
        <w:rPr>
          <w:sz w:val="22"/>
          <w:szCs w:val="22"/>
          <w:lang w:val="sr-Latn-ME"/>
        </w:rPr>
      </w:pPr>
    </w:p>
    <w:p w14:paraId="117AA3C6" w14:textId="77777777" w:rsidR="009D3B1F" w:rsidRPr="00B267CC" w:rsidRDefault="009D3B1F" w:rsidP="009D3B1F">
      <w:pPr>
        <w:jc w:val="both"/>
        <w:rPr>
          <w:sz w:val="22"/>
          <w:szCs w:val="22"/>
          <w:lang w:val="sr-Latn-ME"/>
        </w:rPr>
      </w:pPr>
      <w:r w:rsidRPr="00B267CC">
        <w:rPr>
          <w:sz w:val="22"/>
          <w:szCs w:val="22"/>
          <w:lang w:val="sr-Latn-ME"/>
        </w:rPr>
        <w:t>Intravenska primjena lijeka Controloc preporučuje se samo ukoliko oralna primjena nije moguća. Dostupni podaci o intravenskoj primjeni su za period do 7 dana. Čim je to klinički opravdano treba sa Controloc i.v. preći na Controloc za oralnu upotrebu.</w:t>
      </w:r>
    </w:p>
    <w:p w14:paraId="275C3754" w14:textId="77777777" w:rsidR="009D3B1F" w:rsidRPr="00B267CC" w:rsidRDefault="009D3B1F" w:rsidP="009D3B1F">
      <w:pPr>
        <w:tabs>
          <w:tab w:val="left" w:pos="540"/>
          <w:tab w:val="left" w:pos="569"/>
        </w:tabs>
        <w:rPr>
          <w:bCs/>
          <w:sz w:val="22"/>
          <w:szCs w:val="22"/>
          <w:u w:val="single"/>
        </w:rPr>
      </w:pPr>
    </w:p>
    <w:p w14:paraId="0D2A093D" w14:textId="49BB092F" w:rsidR="009D3B1F" w:rsidRPr="00B267CC" w:rsidRDefault="009D3B1F" w:rsidP="009D3B1F">
      <w:pPr>
        <w:tabs>
          <w:tab w:val="left" w:pos="540"/>
          <w:tab w:val="left" w:pos="569"/>
        </w:tabs>
        <w:rPr>
          <w:bCs/>
          <w:sz w:val="22"/>
          <w:szCs w:val="22"/>
          <w:u w:val="single"/>
        </w:rPr>
      </w:pPr>
      <w:r w:rsidRPr="00B267CC">
        <w:rPr>
          <w:bCs/>
          <w:sz w:val="22"/>
          <w:szCs w:val="22"/>
          <w:u w:val="single"/>
        </w:rPr>
        <w:t>Doziranje</w:t>
      </w:r>
    </w:p>
    <w:p w14:paraId="3AF54208" w14:textId="77777777" w:rsidR="009D3B1F" w:rsidRPr="00B267CC" w:rsidRDefault="009D3B1F" w:rsidP="009D3B1F">
      <w:pPr>
        <w:tabs>
          <w:tab w:val="left" w:pos="540"/>
          <w:tab w:val="left" w:pos="569"/>
        </w:tabs>
        <w:rPr>
          <w:bCs/>
          <w:sz w:val="22"/>
          <w:szCs w:val="22"/>
          <w:u w:val="single"/>
        </w:rPr>
      </w:pPr>
    </w:p>
    <w:p w14:paraId="221D2E0A" w14:textId="77777777" w:rsidR="009D3B1F" w:rsidRPr="00B267CC" w:rsidRDefault="009D3B1F" w:rsidP="009D3B1F">
      <w:pPr>
        <w:jc w:val="both"/>
        <w:rPr>
          <w:sz w:val="22"/>
          <w:szCs w:val="22"/>
          <w:u w:val="single"/>
          <w:lang w:val="sr-Latn-ME"/>
        </w:rPr>
      </w:pPr>
      <w:r w:rsidRPr="00B267CC">
        <w:rPr>
          <w:sz w:val="22"/>
          <w:szCs w:val="22"/>
          <w:u w:val="single"/>
          <w:lang w:val="sr-Latn-ME"/>
        </w:rPr>
        <w:t>Ulkus želuca i duodenuma, refluksni ezofagitis</w:t>
      </w:r>
    </w:p>
    <w:p w14:paraId="33008DF2" w14:textId="77777777" w:rsidR="009D3B1F" w:rsidRPr="00B267CC" w:rsidRDefault="009D3B1F" w:rsidP="009D3B1F">
      <w:pPr>
        <w:jc w:val="both"/>
        <w:rPr>
          <w:sz w:val="22"/>
          <w:szCs w:val="22"/>
          <w:lang w:val="sr-Latn-ME"/>
        </w:rPr>
      </w:pPr>
      <w:r w:rsidRPr="00B267CC">
        <w:rPr>
          <w:sz w:val="22"/>
          <w:szCs w:val="22"/>
          <w:lang w:val="sr-Latn-ME"/>
        </w:rPr>
        <w:t>Preporučena intravenska doza je jedna bočica (40 mg pantoprazola) lijeka Controloc dnevno.</w:t>
      </w:r>
    </w:p>
    <w:p w14:paraId="3752491E" w14:textId="77777777" w:rsidR="009D3B1F" w:rsidRPr="00B267CC" w:rsidRDefault="009D3B1F" w:rsidP="009D3B1F">
      <w:pPr>
        <w:jc w:val="both"/>
        <w:rPr>
          <w:sz w:val="22"/>
          <w:szCs w:val="22"/>
          <w:u w:val="single"/>
          <w:lang w:val="sr-Latn-ME"/>
        </w:rPr>
      </w:pPr>
    </w:p>
    <w:p w14:paraId="6ACBD352" w14:textId="77777777" w:rsidR="009D3B1F" w:rsidRPr="00B267CC" w:rsidRDefault="009D3B1F" w:rsidP="009D3B1F">
      <w:pPr>
        <w:jc w:val="both"/>
        <w:rPr>
          <w:sz w:val="22"/>
          <w:szCs w:val="22"/>
          <w:u w:val="single"/>
          <w:lang w:val="sr-Latn-ME"/>
        </w:rPr>
      </w:pPr>
      <w:r w:rsidRPr="00B267CC">
        <w:rPr>
          <w:sz w:val="22"/>
          <w:szCs w:val="22"/>
          <w:u w:val="single"/>
          <w:lang w:val="sr-Latn-ME"/>
        </w:rPr>
        <w:t>Zollinger-Ellison sindrom i druga stanja patološke hipersekrecije</w:t>
      </w:r>
    </w:p>
    <w:p w14:paraId="7361B08A" w14:textId="513EFC9B" w:rsidR="009D3B1F" w:rsidRPr="00B267CC" w:rsidRDefault="009D3B1F" w:rsidP="009D3B1F">
      <w:pPr>
        <w:jc w:val="both"/>
        <w:rPr>
          <w:sz w:val="22"/>
          <w:szCs w:val="22"/>
          <w:lang w:val="sr-Latn-ME"/>
        </w:rPr>
      </w:pPr>
      <w:r w:rsidRPr="00B267CC">
        <w:rPr>
          <w:sz w:val="22"/>
          <w:szCs w:val="22"/>
          <w:lang w:val="sr-Latn-ME"/>
        </w:rPr>
        <w:t xml:space="preserve">Za dugotrajno liječenje Zollinger-Ellison sindroma i drugih stanja patološke hipersekrecije pacijenti treba da započnu liječenje sa 80 mg lijeka Controloc i.v. dnevno. Doza potom prema potrebi može da se poveća ili smanji zavisno od količine izmjerene </w:t>
      </w:r>
      <w:r w:rsidR="00B46DBD">
        <w:rPr>
          <w:sz w:val="22"/>
          <w:szCs w:val="22"/>
          <w:lang w:val="sr-Latn-ME"/>
        </w:rPr>
        <w:t xml:space="preserve">sekrecije </w:t>
      </w:r>
      <w:r w:rsidRPr="00B46DBD">
        <w:rPr>
          <w:sz w:val="22"/>
          <w:szCs w:val="22"/>
          <w:lang w:val="sr-Latn-ME"/>
        </w:rPr>
        <w:t>želudačne kiseline. Kod doziranja preko 80 mg dnevno</w:t>
      </w:r>
      <w:r w:rsidR="001D47F7" w:rsidRPr="00B46DBD">
        <w:rPr>
          <w:sz w:val="22"/>
          <w:szCs w:val="22"/>
          <w:lang w:val="sr-Latn-ME"/>
        </w:rPr>
        <w:t>,</w:t>
      </w:r>
      <w:r w:rsidRPr="00B46DBD">
        <w:rPr>
          <w:sz w:val="22"/>
          <w:szCs w:val="22"/>
          <w:lang w:val="sr-Latn-ME"/>
        </w:rPr>
        <w:t xml:space="preserve"> dozu treba podijeliti i davati dva puta dnevno. Moguće je privremeno povećanje doze na </w:t>
      </w:r>
      <w:r w:rsidRPr="00B46DBD">
        <w:rPr>
          <w:sz w:val="22"/>
          <w:szCs w:val="22"/>
          <w:lang w:val="sr-Latn-ME"/>
        </w:rPr>
        <w:lastRenderedPageBreak/>
        <w:t>preko 160 mg pantopra</w:t>
      </w:r>
      <w:r w:rsidRPr="00B267CC">
        <w:rPr>
          <w:sz w:val="22"/>
          <w:szCs w:val="22"/>
          <w:lang w:val="sr-Latn-ME"/>
        </w:rPr>
        <w:t>zola, ali ovo ne treba praktikovati duže nego što je potrebno za adekvatnu kontrolu želudačne kiseline.</w:t>
      </w:r>
    </w:p>
    <w:p w14:paraId="7A0CDABF" w14:textId="6534D873" w:rsidR="009D3B1F" w:rsidRPr="00B267CC" w:rsidRDefault="009D3B1F" w:rsidP="009D3B1F">
      <w:pPr>
        <w:jc w:val="both"/>
        <w:rPr>
          <w:sz w:val="22"/>
          <w:szCs w:val="22"/>
          <w:lang w:val="sr-Latn-ME"/>
        </w:rPr>
      </w:pPr>
      <w:r w:rsidRPr="00B267CC">
        <w:rPr>
          <w:sz w:val="22"/>
          <w:szCs w:val="22"/>
          <w:lang w:val="sr-Latn-ME"/>
        </w:rPr>
        <w:t xml:space="preserve">Ako je potrebna brza kontrola želudačne kiseline, kod većine pacijenata dovoljna je početna doza od 2 x 80 mg lijeka Controloc i.v. za </w:t>
      </w:r>
      <w:r w:rsidR="001D47F7" w:rsidRPr="00B267CC">
        <w:rPr>
          <w:sz w:val="22"/>
          <w:szCs w:val="22"/>
          <w:lang w:val="sr-Latn-ME"/>
        </w:rPr>
        <w:t xml:space="preserve">kontrolu </w:t>
      </w:r>
      <w:r w:rsidRPr="00B267CC">
        <w:rPr>
          <w:sz w:val="22"/>
          <w:szCs w:val="22"/>
          <w:lang w:val="sr-Latn-ME"/>
        </w:rPr>
        <w:t>smanjenj</w:t>
      </w:r>
      <w:r w:rsidR="001D47F7" w:rsidRPr="00B267CC">
        <w:rPr>
          <w:sz w:val="22"/>
          <w:szCs w:val="22"/>
          <w:lang w:val="sr-Latn-ME"/>
        </w:rPr>
        <w:t>a</w:t>
      </w:r>
      <w:r w:rsidRPr="00B267CC">
        <w:rPr>
          <w:sz w:val="22"/>
          <w:szCs w:val="22"/>
          <w:lang w:val="sr-Latn-ME"/>
        </w:rPr>
        <w:t xml:space="preserve"> produkcije kiseline u željenom opsegu u toku jednog sata (&lt;10mEq/h).</w:t>
      </w:r>
    </w:p>
    <w:p w14:paraId="50F24270" w14:textId="77777777" w:rsidR="009D3B1F" w:rsidRPr="00B267CC" w:rsidRDefault="009D3B1F" w:rsidP="00480FB1">
      <w:pPr>
        <w:tabs>
          <w:tab w:val="left" w:pos="540"/>
          <w:tab w:val="left" w:pos="569"/>
        </w:tabs>
        <w:rPr>
          <w:bCs/>
          <w:sz w:val="22"/>
          <w:szCs w:val="22"/>
          <w:u w:val="single"/>
        </w:rPr>
      </w:pPr>
    </w:p>
    <w:p w14:paraId="6876448F" w14:textId="7302A67E" w:rsidR="009D3B1F" w:rsidRPr="00B267CC" w:rsidRDefault="009D3B1F" w:rsidP="009D3B1F">
      <w:pPr>
        <w:jc w:val="both"/>
        <w:rPr>
          <w:i/>
          <w:sz w:val="22"/>
          <w:szCs w:val="22"/>
          <w:u w:val="single"/>
          <w:lang w:val="sr-Latn-ME"/>
        </w:rPr>
      </w:pPr>
      <w:r w:rsidRPr="00B267CC">
        <w:rPr>
          <w:i/>
          <w:sz w:val="22"/>
          <w:szCs w:val="22"/>
          <w:u w:val="single"/>
          <w:lang w:val="sr-Latn-ME"/>
        </w:rPr>
        <w:t>Posebn</w:t>
      </w:r>
      <w:r w:rsidR="003317E7">
        <w:rPr>
          <w:i/>
          <w:sz w:val="22"/>
          <w:szCs w:val="22"/>
          <w:u w:val="single"/>
          <w:lang w:val="sr-Latn-ME"/>
        </w:rPr>
        <w:t>e</w:t>
      </w:r>
      <w:r w:rsidRPr="00B267CC">
        <w:rPr>
          <w:i/>
          <w:sz w:val="22"/>
          <w:szCs w:val="22"/>
          <w:u w:val="single"/>
          <w:lang w:val="sr-Latn-ME"/>
        </w:rPr>
        <w:t xml:space="preserve"> populacij</w:t>
      </w:r>
      <w:r w:rsidR="003317E7">
        <w:rPr>
          <w:i/>
          <w:sz w:val="22"/>
          <w:szCs w:val="22"/>
          <w:u w:val="single"/>
          <w:lang w:val="sr-Latn-ME"/>
        </w:rPr>
        <w:t>e</w:t>
      </w:r>
    </w:p>
    <w:p w14:paraId="1C31235A" w14:textId="77777777" w:rsidR="009D3B1F" w:rsidRPr="00B267CC" w:rsidRDefault="009D3B1F" w:rsidP="009D3B1F">
      <w:pPr>
        <w:jc w:val="both"/>
        <w:rPr>
          <w:sz w:val="22"/>
          <w:szCs w:val="22"/>
          <w:lang w:val="sr-Latn-ME"/>
        </w:rPr>
      </w:pPr>
    </w:p>
    <w:p w14:paraId="539C5771" w14:textId="3A666197" w:rsidR="009D3B1F" w:rsidRPr="00B267CC" w:rsidRDefault="009D3B1F" w:rsidP="009D3B1F">
      <w:pPr>
        <w:jc w:val="both"/>
        <w:rPr>
          <w:sz w:val="22"/>
          <w:szCs w:val="22"/>
          <w:lang w:val="sr-Latn-ME"/>
        </w:rPr>
      </w:pPr>
      <w:r w:rsidRPr="00B267CC">
        <w:rPr>
          <w:i/>
          <w:sz w:val="22"/>
          <w:szCs w:val="22"/>
          <w:lang w:val="sr-Latn-ME"/>
        </w:rPr>
        <w:t xml:space="preserve">Pacijenti sa oštećenjem </w:t>
      </w:r>
      <w:r w:rsidR="001D47F7" w:rsidRPr="00B267CC">
        <w:rPr>
          <w:i/>
          <w:sz w:val="22"/>
          <w:szCs w:val="22"/>
          <w:lang w:val="sr-Latn-ME"/>
        </w:rPr>
        <w:t xml:space="preserve">funkcije </w:t>
      </w:r>
      <w:r w:rsidRPr="00B267CC">
        <w:rPr>
          <w:i/>
          <w:sz w:val="22"/>
          <w:szCs w:val="22"/>
          <w:lang w:val="sr-Latn-ME"/>
        </w:rPr>
        <w:t>jetre</w:t>
      </w:r>
    </w:p>
    <w:p w14:paraId="2FD365B0" w14:textId="47BA19CC" w:rsidR="009D3B1F" w:rsidRPr="00B267CC" w:rsidRDefault="009D3B1F" w:rsidP="009D3B1F">
      <w:pPr>
        <w:jc w:val="both"/>
        <w:rPr>
          <w:sz w:val="22"/>
          <w:szCs w:val="22"/>
          <w:lang w:val="sr-Latn-ME"/>
        </w:rPr>
      </w:pPr>
      <w:r w:rsidRPr="00B267CC">
        <w:rPr>
          <w:sz w:val="22"/>
          <w:szCs w:val="22"/>
          <w:lang w:val="sr-Latn-ME"/>
        </w:rPr>
        <w:t xml:space="preserve">Kod pacijenata sa teškom insuficijencijom jetre (vidjeti </w:t>
      </w:r>
      <w:r w:rsidR="001D47F7" w:rsidRPr="00B267CC">
        <w:rPr>
          <w:sz w:val="22"/>
          <w:szCs w:val="22"/>
          <w:lang w:val="sr-Latn-ME"/>
        </w:rPr>
        <w:t>dio</w:t>
      </w:r>
      <w:r w:rsidRPr="00B267CC">
        <w:rPr>
          <w:sz w:val="22"/>
          <w:szCs w:val="22"/>
          <w:lang w:val="sr-Latn-ME"/>
        </w:rPr>
        <w:t xml:space="preserve"> 4.4) ne treba prekoračivati dnevnu dozu od 20 mg pantoprazola (polovina bočice sa 40 mg pantoprazola).</w:t>
      </w:r>
    </w:p>
    <w:p w14:paraId="5BF0F065" w14:textId="77777777" w:rsidR="009D3B1F" w:rsidRPr="00B267CC" w:rsidRDefault="009D3B1F" w:rsidP="009D3B1F">
      <w:pPr>
        <w:jc w:val="both"/>
        <w:rPr>
          <w:sz w:val="22"/>
          <w:szCs w:val="22"/>
          <w:lang w:val="sr-Latn-ME"/>
        </w:rPr>
      </w:pPr>
    </w:p>
    <w:p w14:paraId="45433C44" w14:textId="2D613B9A" w:rsidR="009D3B1F" w:rsidRPr="00B267CC" w:rsidRDefault="009D3B1F" w:rsidP="009D3B1F">
      <w:pPr>
        <w:jc w:val="both"/>
        <w:rPr>
          <w:sz w:val="22"/>
          <w:szCs w:val="22"/>
          <w:lang w:val="sr-Latn-ME"/>
        </w:rPr>
      </w:pPr>
      <w:r w:rsidRPr="00B267CC">
        <w:rPr>
          <w:bCs/>
          <w:i/>
          <w:sz w:val="22"/>
          <w:szCs w:val="22"/>
          <w:lang w:val="sr-Latn-ME"/>
        </w:rPr>
        <w:t>Pacijenti sa oštećenjem</w:t>
      </w:r>
      <w:r w:rsidR="008141DD" w:rsidRPr="00B267CC">
        <w:rPr>
          <w:bCs/>
          <w:i/>
          <w:sz w:val="22"/>
          <w:szCs w:val="22"/>
          <w:lang w:val="sr-Latn-ME"/>
        </w:rPr>
        <w:t xml:space="preserve"> funkcije</w:t>
      </w:r>
      <w:r w:rsidRPr="00B267CC">
        <w:rPr>
          <w:bCs/>
          <w:i/>
          <w:sz w:val="22"/>
          <w:szCs w:val="22"/>
          <w:lang w:val="sr-Latn-ME"/>
        </w:rPr>
        <w:t xml:space="preserve"> bubrega</w:t>
      </w:r>
    </w:p>
    <w:p w14:paraId="3F6BD3EC" w14:textId="7E22CAA7" w:rsidR="009D3B1F" w:rsidRPr="00B267CC" w:rsidRDefault="009D3B1F" w:rsidP="009D3B1F">
      <w:pPr>
        <w:jc w:val="both"/>
        <w:rPr>
          <w:sz w:val="22"/>
          <w:szCs w:val="22"/>
          <w:lang w:val="sr-Latn-ME"/>
        </w:rPr>
      </w:pPr>
      <w:r w:rsidRPr="00B267CC">
        <w:rPr>
          <w:sz w:val="22"/>
          <w:szCs w:val="22"/>
          <w:lang w:val="sr-Latn-ME"/>
        </w:rPr>
        <w:t>Kod pacijenata sa insuficijencijom bubrega nema potrebe za podešavanjem doze</w:t>
      </w:r>
      <w:r w:rsidR="008141DD" w:rsidRPr="00B267CC">
        <w:rPr>
          <w:sz w:val="22"/>
          <w:szCs w:val="22"/>
          <w:lang w:val="sr-Latn-ME"/>
        </w:rPr>
        <w:t xml:space="preserve"> ( vidjeti dio 5.2.)</w:t>
      </w:r>
      <w:r w:rsidRPr="00B267CC">
        <w:rPr>
          <w:sz w:val="22"/>
          <w:szCs w:val="22"/>
          <w:lang w:val="sr-Latn-ME"/>
        </w:rPr>
        <w:t>.</w:t>
      </w:r>
    </w:p>
    <w:p w14:paraId="26ADC8B2" w14:textId="77777777" w:rsidR="009D3B1F" w:rsidRPr="00B267CC" w:rsidRDefault="009D3B1F" w:rsidP="009D3B1F">
      <w:pPr>
        <w:jc w:val="both"/>
        <w:rPr>
          <w:sz w:val="22"/>
          <w:szCs w:val="22"/>
          <w:lang w:val="sr-Latn-ME"/>
        </w:rPr>
      </w:pPr>
    </w:p>
    <w:p w14:paraId="73F924D6" w14:textId="77777777" w:rsidR="009D3B1F" w:rsidRPr="00B267CC" w:rsidRDefault="009D3B1F" w:rsidP="009D3B1F">
      <w:pPr>
        <w:jc w:val="both"/>
        <w:rPr>
          <w:i/>
          <w:sz w:val="22"/>
          <w:szCs w:val="22"/>
          <w:lang w:val="sr-Latn-ME"/>
        </w:rPr>
      </w:pPr>
      <w:r w:rsidRPr="00B267CC">
        <w:rPr>
          <w:i/>
          <w:sz w:val="22"/>
          <w:szCs w:val="22"/>
          <w:lang w:val="sr-Latn-ME"/>
        </w:rPr>
        <w:t>Stariji pacijenti</w:t>
      </w:r>
    </w:p>
    <w:p w14:paraId="38070D38" w14:textId="6545F4E0" w:rsidR="009D3B1F" w:rsidRPr="00B267CC" w:rsidRDefault="009D3B1F" w:rsidP="009D3B1F">
      <w:pPr>
        <w:jc w:val="both"/>
        <w:rPr>
          <w:sz w:val="22"/>
          <w:szCs w:val="22"/>
          <w:lang w:val="sr-Latn-ME"/>
        </w:rPr>
      </w:pPr>
      <w:r w:rsidRPr="00B267CC">
        <w:rPr>
          <w:sz w:val="22"/>
          <w:szCs w:val="22"/>
          <w:lang w:val="sr-Latn-ME"/>
        </w:rPr>
        <w:t>Kod starijih pacijenata nema potrebe za podešavanjem doze</w:t>
      </w:r>
      <w:r w:rsidR="008141DD" w:rsidRPr="00B267CC">
        <w:rPr>
          <w:sz w:val="22"/>
          <w:szCs w:val="22"/>
          <w:lang w:val="sr-Latn-ME"/>
        </w:rPr>
        <w:t xml:space="preserve"> (vidjeti dio  5.2.)</w:t>
      </w:r>
      <w:r w:rsidRPr="00B267CC">
        <w:rPr>
          <w:sz w:val="22"/>
          <w:szCs w:val="22"/>
          <w:lang w:val="sr-Latn-ME"/>
        </w:rPr>
        <w:t>.</w:t>
      </w:r>
    </w:p>
    <w:p w14:paraId="315ED89A" w14:textId="77777777" w:rsidR="001D47F7" w:rsidRPr="00B267CC" w:rsidRDefault="001D47F7" w:rsidP="001D47F7">
      <w:pPr>
        <w:jc w:val="both"/>
        <w:rPr>
          <w:i/>
          <w:sz w:val="22"/>
          <w:szCs w:val="22"/>
          <w:lang w:val="sr-Latn-ME"/>
        </w:rPr>
      </w:pPr>
    </w:p>
    <w:p w14:paraId="7BB07B8D" w14:textId="21A42652" w:rsidR="001D47F7" w:rsidRPr="00B267CC" w:rsidRDefault="001D47F7" w:rsidP="001D47F7">
      <w:pPr>
        <w:jc w:val="both"/>
        <w:rPr>
          <w:i/>
          <w:sz w:val="22"/>
          <w:szCs w:val="22"/>
          <w:lang w:val="sr-Latn-ME"/>
        </w:rPr>
      </w:pPr>
      <w:r w:rsidRPr="00B267CC">
        <w:rPr>
          <w:i/>
          <w:sz w:val="22"/>
          <w:szCs w:val="22"/>
          <w:lang w:val="sr-Latn-ME"/>
        </w:rPr>
        <w:t>Pedijatrijska populacija</w:t>
      </w:r>
    </w:p>
    <w:p w14:paraId="3C80D36C" w14:textId="497C81D9" w:rsidR="001D47F7" w:rsidRPr="00B267CC" w:rsidRDefault="008141DD" w:rsidP="001D47F7">
      <w:pPr>
        <w:jc w:val="both"/>
        <w:rPr>
          <w:sz w:val="22"/>
          <w:szCs w:val="22"/>
          <w:lang w:val="sr-Latn-ME"/>
        </w:rPr>
      </w:pPr>
      <w:r w:rsidRPr="00B267CC">
        <w:rPr>
          <w:sz w:val="22"/>
          <w:szCs w:val="22"/>
          <w:lang w:val="sr-Latn-RS"/>
        </w:rPr>
        <w:t xml:space="preserve">Bezbjednost i efikasnost primjene lijeka Controloc i.v, prašak za rastvor za injekciju kod djece mlađe od 18 godina, nije utvrđena. </w:t>
      </w:r>
      <w:r w:rsidR="001D47F7" w:rsidRPr="00B267CC">
        <w:rPr>
          <w:sz w:val="22"/>
          <w:szCs w:val="22"/>
          <w:lang w:val="sr-Latn-ME"/>
        </w:rPr>
        <w:t>Lijek Controloc i.v. 40 mg, prašak za rastvor za injekciju ne smije da se primjenjuje kod djece mlađe od 18 godina.</w:t>
      </w:r>
    </w:p>
    <w:p w14:paraId="0A187CBE" w14:textId="77777777" w:rsidR="009D3B1F" w:rsidRPr="00B267CC" w:rsidRDefault="009D3B1F" w:rsidP="00480FB1">
      <w:pPr>
        <w:tabs>
          <w:tab w:val="left" w:pos="540"/>
          <w:tab w:val="left" w:pos="569"/>
        </w:tabs>
        <w:rPr>
          <w:bCs/>
          <w:sz w:val="22"/>
          <w:szCs w:val="22"/>
          <w:u w:val="single"/>
        </w:rPr>
      </w:pPr>
    </w:p>
    <w:p w14:paraId="761ED5A3" w14:textId="2625902B" w:rsidR="00452E9D" w:rsidRPr="00B267CC" w:rsidRDefault="00452E9D" w:rsidP="00480FB1">
      <w:pPr>
        <w:tabs>
          <w:tab w:val="left" w:pos="540"/>
          <w:tab w:val="left" w:pos="569"/>
        </w:tabs>
        <w:rPr>
          <w:bCs/>
          <w:sz w:val="22"/>
          <w:szCs w:val="22"/>
          <w:u w:val="single"/>
        </w:rPr>
      </w:pPr>
      <w:r w:rsidRPr="00B267CC">
        <w:rPr>
          <w:bCs/>
          <w:sz w:val="22"/>
          <w:szCs w:val="22"/>
          <w:u w:val="single"/>
        </w:rPr>
        <w:t>Način primjene</w:t>
      </w:r>
    </w:p>
    <w:p w14:paraId="17F6D816" w14:textId="77777777" w:rsidR="00452E9D" w:rsidRPr="00B267CC" w:rsidRDefault="00452E9D" w:rsidP="00480FB1">
      <w:pPr>
        <w:tabs>
          <w:tab w:val="left" w:pos="540"/>
          <w:tab w:val="left" w:pos="569"/>
        </w:tabs>
        <w:rPr>
          <w:bCs/>
          <w:sz w:val="22"/>
          <w:szCs w:val="22"/>
        </w:rPr>
      </w:pPr>
    </w:p>
    <w:p w14:paraId="4B69D10C" w14:textId="42DE2B0B" w:rsidR="009D3B1F" w:rsidRPr="008F3A6B" w:rsidRDefault="008141DD" w:rsidP="009D3B1F">
      <w:pPr>
        <w:jc w:val="both"/>
        <w:rPr>
          <w:sz w:val="22"/>
          <w:szCs w:val="22"/>
          <w:lang w:val="sr-Latn-ME"/>
        </w:rPr>
      </w:pPr>
      <w:r w:rsidRPr="00260EB7">
        <w:rPr>
          <w:sz w:val="22"/>
          <w:szCs w:val="22"/>
          <w:lang w:val="sr-Latn-RS"/>
        </w:rPr>
        <w:t>Za</w:t>
      </w:r>
      <w:r w:rsidRPr="00260EB7">
        <w:rPr>
          <w:spacing w:val="-3"/>
          <w:sz w:val="22"/>
          <w:szCs w:val="22"/>
          <w:lang w:val="sr-Latn-RS"/>
        </w:rPr>
        <w:t xml:space="preserve"> </w:t>
      </w:r>
      <w:r w:rsidRPr="00260EB7">
        <w:rPr>
          <w:sz w:val="22"/>
          <w:szCs w:val="22"/>
          <w:lang w:val="sr-Latn-RS"/>
        </w:rPr>
        <w:t>detaljan</w:t>
      </w:r>
      <w:r w:rsidRPr="00260EB7">
        <w:rPr>
          <w:spacing w:val="-3"/>
          <w:sz w:val="22"/>
          <w:szCs w:val="22"/>
          <w:lang w:val="sr-Latn-RS"/>
        </w:rPr>
        <w:t xml:space="preserve"> </w:t>
      </w:r>
      <w:r w:rsidRPr="00260EB7">
        <w:rPr>
          <w:sz w:val="22"/>
          <w:szCs w:val="22"/>
          <w:lang w:val="sr-Latn-RS"/>
        </w:rPr>
        <w:t>opis</w:t>
      </w:r>
      <w:r w:rsidRPr="00260EB7">
        <w:rPr>
          <w:spacing w:val="-3"/>
          <w:sz w:val="22"/>
          <w:szCs w:val="22"/>
          <w:lang w:val="sr-Latn-RS"/>
        </w:rPr>
        <w:t xml:space="preserve"> </w:t>
      </w:r>
      <w:r w:rsidRPr="00260EB7">
        <w:rPr>
          <w:sz w:val="22"/>
          <w:szCs w:val="22"/>
          <w:lang w:val="sr-Latn-RS"/>
        </w:rPr>
        <w:t>načina</w:t>
      </w:r>
      <w:r w:rsidRPr="00260EB7">
        <w:rPr>
          <w:spacing w:val="-3"/>
          <w:sz w:val="22"/>
          <w:szCs w:val="22"/>
          <w:lang w:val="sr-Latn-RS"/>
        </w:rPr>
        <w:t xml:space="preserve"> </w:t>
      </w:r>
      <w:r w:rsidRPr="00260EB7">
        <w:rPr>
          <w:sz w:val="22"/>
          <w:szCs w:val="22"/>
          <w:lang w:val="sr-Latn-RS"/>
        </w:rPr>
        <w:t>pripreme</w:t>
      </w:r>
      <w:r w:rsidRPr="00260EB7">
        <w:rPr>
          <w:spacing w:val="-7"/>
          <w:sz w:val="22"/>
          <w:szCs w:val="22"/>
          <w:lang w:val="sr-Latn-RS"/>
        </w:rPr>
        <w:t xml:space="preserve"> </w:t>
      </w:r>
      <w:r w:rsidRPr="00260EB7">
        <w:rPr>
          <w:sz w:val="22"/>
          <w:szCs w:val="22"/>
          <w:lang w:val="sr-Latn-RS"/>
        </w:rPr>
        <w:t>praška</w:t>
      </w:r>
      <w:r w:rsidRPr="00260EB7">
        <w:rPr>
          <w:spacing w:val="-3"/>
          <w:sz w:val="22"/>
          <w:szCs w:val="22"/>
          <w:lang w:val="sr-Latn-RS"/>
        </w:rPr>
        <w:t xml:space="preserve"> </w:t>
      </w:r>
      <w:r w:rsidRPr="00260EB7">
        <w:rPr>
          <w:sz w:val="22"/>
          <w:szCs w:val="22"/>
          <w:lang w:val="sr-Latn-RS"/>
        </w:rPr>
        <w:t>za</w:t>
      </w:r>
      <w:r w:rsidRPr="00260EB7">
        <w:rPr>
          <w:spacing w:val="-3"/>
          <w:sz w:val="22"/>
          <w:szCs w:val="22"/>
          <w:lang w:val="sr-Latn-RS"/>
        </w:rPr>
        <w:t xml:space="preserve"> </w:t>
      </w:r>
      <w:r w:rsidRPr="00260EB7">
        <w:rPr>
          <w:sz w:val="22"/>
          <w:szCs w:val="22"/>
          <w:lang w:val="sr-Latn-RS"/>
        </w:rPr>
        <w:t>rastvor</w:t>
      </w:r>
      <w:r w:rsidRPr="00260EB7">
        <w:rPr>
          <w:spacing w:val="-3"/>
          <w:sz w:val="22"/>
          <w:szCs w:val="22"/>
          <w:lang w:val="sr-Latn-RS"/>
        </w:rPr>
        <w:t xml:space="preserve"> </w:t>
      </w:r>
      <w:r w:rsidRPr="00260EB7">
        <w:rPr>
          <w:sz w:val="22"/>
          <w:szCs w:val="22"/>
          <w:lang w:val="sr-Latn-RS"/>
        </w:rPr>
        <w:t>za</w:t>
      </w:r>
      <w:r w:rsidRPr="00260EB7">
        <w:rPr>
          <w:spacing w:val="-3"/>
          <w:sz w:val="22"/>
          <w:szCs w:val="22"/>
          <w:lang w:val="sr-Latn-RS"/>
        </w:rPr>
        <w:t xml:space="preserve"> </w:t>
      </w:r>
      <w:r w:rsidRPr="00260EB7">
        <w:rPr>
          <w:sz w:val="22"/>
          <w:szCs w:val="22"/>
          <w:lang w:val="sr-Latn-RS"/>
        </w:rPr>
        <w:t>injekciju,</w:t>
      </w:r>
      <w:r w:rsidRPr="00260EB7">
        <w:rPr>
          <w:spacing w:val="-1"/>
          <w:sz w:val="22"/>
          <w:szCs w:val="22"/>
          <w:lang w:val="sr-Latn-RS"/>
        </w:rPr>
        <w:t xml:space="preserve"> </w:t>
      </w:r>
      <w:r w:rsidRPr="00260EB7">
        <w:rPr>
          <w:sz w:val="22"/>
          <w:szCs w:val="22"/>
          <w:lang w:val="sr-Latn-RS"/>
        </w:rPr>
        <w:t>vidjeti</w:t>
      </w:r>
      <w:r w:rsidRPr="00260EB7">
        <w:rPr>
          <w:spacing w:val="-4"/>
          <w:sz w:val="22"/>
          <w:szCs w:val="22"/>
          <w:lang w:val="sr-Latn-RS"/>
        </w:rPr>
        <w:t xml:space="preserve"> </w:t>
      </w:r>
      <w:r w:rsidRPr="00260EB7">
        <w:rPr>
          <w:sz w:val="22"/>
          <w:szCs w:val="22"/>
          <w:lang w:val="sr-Latn-RS"/>
        </w:rPr>
        <w:t>dio</w:t>
      </w:r>
      <w:r w:rsidRPr="00260EB7">
        <w:rPr>
          <w:spacing w:val="-3"/>
          <w:sz w:val="22"/>
          <w:szCs w:val="22"/>
          <w:lang w:val="sr-Latn-RS"/>
        </w:rPr>
        <w:t xml:space="preserve"> </w:t>
      </w:r>
      <w:r w:rsidRPr="00260EB7">
        <w:rPr>
          <w:sz w:val="22"/>
          <w:szCs w:val="22"/>
          <w:lang w:val="sr-Latn-RS"/>
        </w:rPr>
        <w:t xml:space="preserve">6.6. </w:t>
      </w:r>
    </w:p>
    <w:p w14:paraId="1CCF55C6" w14:textId="77777777" w:rsidR="008141DD" w:rsidRPr="006C101E" w:rsidRDefault="008141DD" w:rsidP="009D3B1F">
      <w:pPr>
        <w:jc w:val="both"/>
        <w:rPr>
          <w:sz w:val="22"/>
          <w:szCs w:val="22"/>
          <w:lang w:val="sr-Latn-ME"/>
        </w:rPr>
      </w:pPr>
    </w:p>
    <w:p w14:paraId="3585A662" w14:textId="78923A31" w:rsidR="009D3B1F" w:rsidRPr="004F434B" w:rsidRDefault="009D3B1F" w:rsidP="009D3B1F">
      <w:pPr>
        <w:jc w:val="both"/>
        <w:rPr>
          <w:sz w:val="22"/>
          <w:szCs w:val="22"/>
          <w:lang w:val="sr-Latn-ME"/>
        </w:rPr>
      </w:pPr>
      <w:r w:rsidRPr="004F434B">
        <w:rPr>
          <w:sz w:val="22"/>
          <w:szCs w:val="22"/>
          <w:lang w:val="sr-Latn-ME"/>
        </w:rPr>
        <w:t>Pripremijeni rastvor mora se upotrijebiti tokom 12 sati.</w:t>
      </w:r>
    </w:p>
    <w:p w14:paraId="634CBC17" w14:textId="77777777" w:rsidR="009D3B1F" w:rsidRPr="004F434B" w:rsidRDefault="009D3B1F" w:rsidP="009D3B1F">
      <w:pPr>
        <w:jc w:val="both"/>
        <w:rPr>
          <w:sz w:val="22"/>
          <w:szCs w:val="22"/>
          <w:lang w:val="sr-Latn-ME"/>
        </w:rPr>
      </w:pPr>
    </w:p>
    <w:p w14:paraId="11D8AAEE" w14:textId="77777777" w:rsidR="009D3B1F" w:rsidRPr="00B46DBD" w:rsidRDefault="009D3B1F" w:rsidP="009D3B1F">
      <w:pPr>
        <w:jc w:val="both"/>
        <w:rPr>
          <w:bCs/>
          <w:sz w:val="22"/>
          <w:szCs w:val="22"/>
          <w:lang w:val="sr-Latn-ME"/>
        </w:rPr>
      </w:pPr>
      <w:r w:rsidRPr="00B46DBD">
        <w:rPr>
          <w:sz w:val="22"/>
          <w:szCs w:val="22"/>
          <w:lang w:val="sr-Latn-ME"/>
        </w:rPr>
        <w:t>Lijek treba davati intravenski tokom 2 - 15 minuta.</w:t>
      </w:r>
    </w:p>
    <w:p w14:paraId="5E4E5828" w14:textId="77777777" w:rsidR="009D3B1F" w:rsidRPr="00B46DBD" w:rsidRDefault="009D3B1F" w:rsidP="00480FB1">
      <w:pPr>
        <w:tabs>
          <w:tab w:val="left" w:pos="540"/>
          <w:tab w:val="left" w:pos="569"/>
        </w:tabs>
        <w:rPr>
          <w:bCs/>
          <w:sz w:val="22"/>
          <w:szCs w:val="22"/>
        </w:rPr>
      </w:pPr>
    </w:p>
    <w:p w14:paraId="73CC7FDB" w14:textId="77777777" w:rsidR="00411B4B" w:rsidRPr="00B267CC" w:rsidRDefault="00411B4B" w:rsidP="00480FB1">
      <w:pPr>
        <w:tabs>
          <w:tab w:val="left" w:pos="540"/>
          <w:tab w:val="left" w:pos="569"/>
        </w:tabs>
        <w:rPr>
          <w:b/>
          <w:bCs/>
          <w:sz w:val="22"/>
          <w:szCs w:val="22"/>
        </w:rPr>
      </w:pPr>
      <w:r w:rsidRPr="00B267CC">
        <w:rPr>
          <w:b/>
          <w:bCs/>
          <w:sz w:val="22"/>
          <w:szCs w:val="22"/>
        </w:rPr>
        <w:t xml:space="preserve">4.3. </w:t>
      </w:r>
      <w:r w:rsidR="00480FB1" w:rsidRPr="00B267CC">
        <w:rPr>
          <w:b/>
          <w:bCs/>
          <w:sz w:val="22"/>
          <w:szCs w:val="22"/>
        </w:rPr>
        <w:tab/>
      </w:r>
      <w:r w:rsidRPr="00B267CC">
        <w:rPr>
          <w:b/>
          <w:bCs/>
          <w:sz w:val="22"/>
          <w:szCs w:val="22"/>
        </w:rPr>
        <w:t>Kontraindikacije</w:t>
      </w:r>
    </w:p>
    <w:p w14:paraId="3825FDD3" w14:textId="77777777" w:rsidR="009D3B1F" w:rsidRPr="00B267CC" w:rsidRDefault="009D3B1F" w:rsidP="009D3B1F">
      <w:pPr>
        <w:tabs>
          <w:tab w:val="left" w:pos="540"/>
          <w:tab w:val="left" w:pos="569"/>
        </w:tabs>
        <w:jc w:val="both"/>
        <w:rPr>
          <w:bCs/>
          <w:sz w:val="22"/>
          <w:szCs w:val="22"/>
          <w:lang w:val="sr-Latn-ME"/>
        </w:rPr>
      </w:pPr>
    </w:p>
    <w:p w14:paraId="24874E89" w14:textId="6762E8BC" w:rsidR="009D3B1F" w:rsidRPr="00B46DBD" w:rsidRDefault="009D3B1F" w:rsidP="009D3B1F">
      <w:pPr>
        <w:tabs>
          <w:tab w:val="left" w:pos="540"/>
          <w:tab w:val="left" w:pos="569"/>
        </w:tabs>
        <w:jc w:val="both"/>
        <w:rPr>
          <w:bCs/>
          <w:sz w:val="22"/>
          <w:szCs w:val="22"/>
          <w:lang w:val="sr-Latn-ME"/>
        </w:rPr>
      </w:pPr>
      <w:r w:rsidRPr="00B267CC">
        <w:rPr>
          <w:sz w:val="22"/>
          <w:szCs w:val="22"/>
          <w:lang w:val="sr-Latn-ME"/>
        </w:rPr>
        <w:t>Preosjetljivost na aktivnu supstancu, supstituisane benzimidazole ili bilo koju pomoćnu supstancu</w:t>
      </w:r>
      <w:r w:rsidR="00B46DBD">
        <w:rPr>
          <w:sz w:val="22"/>
          <w:szCs w:val="22"/>
          <w:lang w:val="sr-Latn-ME"/>
        </w:rPr>
        <w:t xml:space="preserve"> </w:t>
      </w:r>
      <w:r w:rsidR="00B46DBD" w:rsidRPr="00B46DBD">
        <w:rPr>
          <w:sz w:val="22"/>
          <w:szCs w:val="22"/>
          <w:lang w:val="sr-Latn-ME"/>
        </w:rPr>
        <w:t>lijeka navedenih u dijelu 6.1</w:t>
      </w:r>
      <w:r w:rsidRPr="00B46DBD">
        <w:rPr>
          <w:sz w:val="22"/>
          <w:szCs w:val="22"/>
          <w:lang w:val="sr-Latn-ME"/>
        </w:rPr>
        <w:t>.</w:t>
      </w:r>
    </w:p>
    <w:p w14:paraId="0751F9C9" w14:textId="77777777" w:rsidR="0072020E" w:rsidRPr="00B46DBD" w:rsidRDefault="0072020E" w:rsidP="00480FB1">
      <w:pPr>
        <w:tabs>
          <w:tab w:val="left" w:pos="540"/>
          <w:tab w:val="left" w:pos="569"/>
        </w:tabs>
        <w:rPr>
          <w:bCs/>
          <w:sz w:val="22"/>
          <w:szCs w:val="22"/>
        </w:rPr>
      </w:pPr>
    </w:p>
    <w:p w14:paraId="6EE845FF" w14:textId="77777777" w:rsidR="00411B4B" w:rsidRPr="00B267CC" w:rsidRDefault="00411B4B" w:rsidP="00480FB1">
      <w:pPr>
        <w:tabs>
          <w:tab w:val="left" w:pos="540"/>
          <w:tab w:val="left" w:pos="569"/>
        </w:tabs>
        <w:rPr>
          <w:b/>
          <w:bCs/>
          <w:sz w:val="22"/>
          <w:szCs w:val="22"/>
        </w:rPr>
      </w:pPr>
      <w:r w:rsidRPr="00B267CC">
        <w:rPr>
          <w:b/>
          <w:bCs/>
          <w:sz w:val="22"/>
          <w:szCs w:val="22"/>
        </w:rPr>
        <w:t xml:space="preserve">4.4. </w:t>
      </w:r>
      <w:r w:rsidR="00480FB1" w:rsidRPr="00B267CC">
        <w:rPr>
          <w:b/>
          <w:bCs/>
          <w:sz w:val="22"/>
          <w:szCs w:val="22"/>
        </w:rPr>
        <w:tab/>
      </w:r>
      <w:r w:rsidRPr="00B267CC">
        <w:rPr>
          <w:b/>
          <w:bCs/>
          <w:sz w:val="22"/>
          <w:szCs w:val="22"/>
        </w:rPr>
        <w:t>Posebna upozorenja i mjere opreza pri upotrebi lijeka</w:t>
      </w:r>
    </w:p>
    <w:p w14:paraId="5FD22765" w14:textId="77777777" w:rsidR="0072020E" w:rsidRPr="00B267CC" w:rsidRDefault="0072020E" w:rsidP="00480FB1">
      <w:pPr>
        <w:tabs>
          <w:tab w:val="left" w:pos="540"/>
          <w:tab w:val="left" w:pos="569"/>
        </w:tabs>
        <w:rPr>
          <w:bCs/>
          <w:sz w:val="22"/>
          <w:szCs w:val="22"/>
        </w:rPr>
      </w:pPr>
    </w:p>
    <w:p w14:paraId="077080C3" w14:textId="77777777" w:rsidR="008141DD" w:rsidRPr="00B267CC" w:rsidRDefault="008141DD" w:rsidP="008141DD">
      <w:pPr>
        <w:tabs>
          <w:tab w:val="left" w:pos="540"/>
          <w:tab w:val="left" w:pos="569"/>
        </w:tabs>
        <w:rPr>
          <w:i/>
          <w:sz w:val="22"/>
          <w:szCs w:val="22"/>
          <w:lang w:val="sr-Latn-ME"/>
        </w:rPr>
      </w:pPr>
      <w:bookmarkStart w:id="0" w:name="_Hlk161222457"/>
      <w:r w:rsidRPr="00B267CC">
        <w:rPr>
          <w:i/>
          <w:sz w:val="22"/>
          <w:szCs w:val="22"/>
          <w:lang w:val="sr-Latn-ME"/>
        </w:rPr>
        <w:t>Malignitet želuca</w:t>
      </w:r>
    </w:p>
    <w:p w14:paraId="5C77784A" w14:textId="26BD79E6" w:rsidR="008141DD" w:rsidRPr="00B46DBD" w:rsidRDefault="008141DD" w:rsidP="008141DD">
      <w:pPr>
        <w:jc w:val="both"/>
        <w:rPr>
          <w:iCs/>
          <w:sz w:val="22"/>
          <w:szCs w:val="22"/>
          <w:lang w:val="sr-Latn-ME"/>
        </w:rPr>
      </w:pPr>
      <w:r w:rsidRPr="00B267CC">
        <w:rPr>
          <w:iCs/>
          <w:sz w:val="22"/>
          <w:szCs w:val="22"/>
          <w:lang w:val="sr-Latn-ME"/>
        </w:rPr>
        <w:t>Simptomatski odgovor na primenu pantoprazola može maskirati simptome pojave maligniteta želuca i može odložiti postavljanje dijagnoze. Kod pojave bilo kog upozoravajućeg simptoma (npr. značajan, nenam</w:t>
      </w:r>
      <w:r w:rsidR="00B46DBD">
        <w:rPr>
          <w:iCs/>
          <w:sz w:val="22"/>
          <w:szCs w:val="22"/>
          <w:lang w:val="sr-Latn-ME"/>
        </w:rPr>
        <w:t>j</w:t>
      </w:r>
      <w:r w:rsidRPr="00B46DBD">
        <w:rPr>
          <w:iCs/>
          <w:sz w:val="22"/>
          <w:szCs w:val="22"/>
          <w:lang w:val="sr-Latn-ME"/>
        </w:rPr>
        <w:t>eran gubitak t</w:t>
      </w:r>
      <w:r w:rsidR="00B46DBD">
        <w:rPr>
          <w:iCs/>
          <w:sz w:val="22"/>
          <w:szCs w:val="22"/>
          <w:lang w:val="sr-Latn-ME"/>
        </w:rPr>
        <w:t>j</w:t>
      </w:r>
      <w:r w:rsidRPr="00B46DBD">
        <w:rPr>
          <w:iCs/>
          <w:sz w:val="22"/>
          <w:szCs w:val="22"/>
          <w:lang w:val="sr-Latn-ME"/>
        </w:rPr>
        <w:t>elesne mase, ponavljano povraćanje, disfagija, hematemeza, anemija ili melena) i kada je gastrični ulkus suspektan ili prisutan, potrebno je isključiti malignitet.</w:t>
      </w:r>
    </w:p>
    <w:p w14:paraId="40195AE3" w14:textId="77777777" w:rsidR="009D3B1F" w:rsidRPr="00B267CC" w:rsidRDefault="009D3B1F" w:rsidP="009D3B1F">
      <w:pPr>
        <w:jc w:val="both"/>
        <w:rPr>
          <w:sz w:val="22"/>
          <w:szCs w:val="22"/>
          <w:lang w:val="sr-Latn-ME"/>
        </w:rPr>
      </w:pPr>
    </w:p>
    <w:p w14:paraId="27C08105" w14:textId="77777777" w:rsidR="009D3B1F" w:rsidRPr="00B267CC" w:rsidRDefault="009D3B1F" w:rsidP="009D3B1F">
      <w:pPr>
        <w:jc w:val="both"/>
        <w:rPr>
          <w:sz w:val="22"/>
          <w:szCs w:val="22"/>
          <w:lang w:val="sr-Latn-ME"/>
        </w:rPr>
      </w:pPr>
      <w:r w:rsidRPr="00B267CC">
        <w:rPr>
          <w:sz w:val="22"/>
          <w:szCs w:val="22"/>
          <w:lang w:val="sr-Latn-ME"/>
        </w:rPr>
        <w:t>Ako se i pored adekvatne terapije simptomi ne povlače, potrebno je izvršiti dodatna ispitivanja</w:t>
      </w:r>
    </w:p>
    <w:p w14:paraId="1F226C65" w14:textId="77777777" w:rsidR="009D3B1F" w:rsidRPr="00B267CC" w:rsidRDefault="009D3B1F" w:rsidP="009D3B1F">
      <w:pPr>
        <w:jc w:val="both"/>
        <w:rPr>
          <w:sz w:val="22"/>
          <w:szCs w:val="22"/>
          <w:lang w:val="sr-Latn-ME"/>
        </w:rPr>
      </w:pPr>
    </w:p>
    <w:p w14:paraId="06A50E6D" w14:textId="4D2DB938" w:rsidR="009D3B1F" w:rsidRPr="00B267CC" w:rsidRDefault="009D3B1F" w:rsidP="009D3B1F">
      <w:pPr>
        <w:jc w:val="both"/>
        <w:rPr>
          <w:i/>
          <w:sz w:val="22"/>
          <w:szCs w:val="22"/>
          <w:lang w:val="sr-Latn-ME"/>
        </w:rPr>
      </w:pPr>
      <w:bookmarkStart w:id="1" w:name="_Hlk161222773"/>
      <w:bookmarkEnd w:id="0"/>
      <w:r w:rsidRPr="00B267CC">
        <w:rPr>
          <w:i/>
          <w:sz w:val="22"/>
          <w:szCs w:val="22"/>
          <w:lang w:val="sr-Latn-ME"/>
        </w:rPr>
        <w:t>Pacijenti sa oštećenjem</w:t>
      </w:r>
      <w:r w:rsidR="00831252" w:rsidRPr="00B267CC">
        <w:rPr>
          <w:i/>
          <w:sz w:val="22"/>
          <w:szCs w:val="22"/>
          <w:lang w:val="sr-Latn-ME"/>
        </w:rPr>
        <w:t xml:space="preserve"> funkcije</w:t>
      </w:r>
      <w:r w:rsidRPr="00B267CC">
        <w:rPr>
          <w:i/>
          <w:sz w:val="22"/>
          <w:szCs w:val="22"/>
          <w:lang w:val="sr-Latn-ME"/>
        </w:rPr>
        <w:t xml:space="preserve"> jetre</w:t>
      </w:r>
    </w:p>
    <w:bookmarkEnd w:id="1"/>
    <w:p w14:paraId="052713C3" w14:textId="39751B2E" w:rsidR="009D3B1F" w:rsidRPr="00B267CC" w:rsidRDefault="009D3B1F" w:rsidP="009D3B1F">
      <w:pPr>
        <w:jc w:val="both"/>
        <w:rPr>
          <w:sz w:val="22"/>
          <w:szCs w:val="22"/>
          <w:lang w:val="sr-Latn-ME"/>
        </w:rPr>
      </w:pPr>
      <w:r w:rsidRPr="00B267CC">
        <w:rPr>
          <w:sz w:val="22"/>
          <w:szCs w:val="22"/>
          <w:lang w:val="sr-Latn-ME"/>
        </w:rPr>
        <w:t xml:space="preserve">Kod pacijenata sa teškom insuficijencijom jetre potrebno je tokom terapije pratiti vrijednosti enzima jetre tokom terapije pantoprazolom. U slučaju porasta nivoa enzima jetre terapija se mora prekinuti (vidjeti </w:t>
      </w:r>
      <w:r w:rsidR="001D47F7" w:rsidRPr="00B267CC">
        <w:rPr>
          <w:sz w:val="22"/>
          <w:szCs w:val="22"/>
          <w:lang w:val="sr-Latn-ME"/>
        </w:rPr>
        <w:t xml:space="preserve">dio </w:t>
      </w:r>
      <w:r w:rsidRPr="00B267CC">
        <w:rPr>
          <w:sz w:val="22"/>
          <w:szCs w:val="22"/>
          <w:lang w:val="sr-Latn-ME"/>
        </w:rPr>
        <w:t>4.2).</w:t>
      </w:r>
    </w:p>
    <w:p w14:paraId="472DE11A" w14:textId="77777777" w:rsidR="009D3B1F" w:rsidRPr="00B267CC" w:rsidRDefault="009D3B1F" w:rsidP="009D3B1F">
      <w:pPr>
        <w:jc w:val="both"/>
        <w:rPr>
          <w:bCs/>
          <w:sz w:val="22"/>
          <w:szCs w:val="22"/>
          <w:lang w:val="sr-Latn-ME"/>
        </w:rPr>
      </w:pPr>
    </w:p>
    <w:p w14:paraId="27290BB4" w14:textId="77777777" w:rsidR="00831252" w:rsidRPr="00B267CC" w:rsidRDefault="00831252" w:rsidP="00831252">
      <w:pPr>
        <w:jc w:val="both"/>
        <w:rPr>
          <w:i/>
          <w:sz w:val="22"/>
          <w:szCs w:val="22"/>
          <w:lang w:val="sr-Latn-ME"/>
        </w:rPr>
      </w:pPr>
      <w:bookmarkStart w:id="2" w:name="_Hlk161222809"/>
      <w:r w:rsidRPr="00B267CC">
        <w:rPr>
          <w:i/>
          <w:sz w:val="22"/>
          <w:szCs w:val="22"/>
          <w:lang w:val="sr-Latn-ME"/>
        </w:rPr>
        <w:t>Istovremena primena inhibitora HIV proteaze</w:t>
      </w:r>
    </w:p>
    <w:p w14:paraId="510586C5" w14:textId="1146ECDA" w:rsidR="00831252" w:rsidRPr="00B46DBD" w:rsidRDefault="00831252" w:rsidP="00831252">
      <w:pPr>
        <w:jc w:val="both"/>
        <w:rPr>
          <w:i/>
          <w:sz w:val="22"/>
          <w:szCs w:val="22"/>
          <w:lang w:val="sr-Latn-ME"/>
        </w:rPr>
      </w:pPr>
      <w:r w:rsidRPr="00B267CC">
        <w:rPr>
          <w:iCs/>
          <w:sz w:val="22"/>
          <w:szCs w:val="22"/>
          <w:lang w:val="sr-Latn-ME"/>
        </w:rPr>
        <w:t xml:space="preserve">Ne preporučuje se istovremena primjena pantoprazola i inhibitora HIV proteaze čija je resorpcija zavisna od pH želudačnog sadržaja, kao što je atazanavir, a </w:t>
      </w:r>
      <w:r w:rsidR="00B46DBD">
        <w:rPr>
          <w:iCs/>
          <w:sz w:val="22"/>
          <w:szCs w:val="22"/>
          <w:lang w:val="sr-Latn-ME"/>
        </w:rPr>
        <w:t>zbog</w:t>
      </w:r>
      <w:r w:rsidR="00B46DBD" w:rsidRPr="00B46DBD">
        <w:rPr>
          <w:iCs/>
          <w:sz w:val="22"/>
          <w:szCs w:val="22"/>
          <w:lang w:val="sr-Latn-ME"/>
        </w:rPr>
        <w:t xml:space="preserve"> </w:t>
      </w:r>
      <w:r w:rsidRPr="00B46DBD">
        <w:rPr>
          <w:iCs/>
          <w:sz w:val="22"/>
          <w:szCs w:val="22"/>
          <w:lang w:val="sr-Latn-ME"/>
        </w:rPr>
        <w:t>značajnog smanjenja bioraspoloživosti (videti dio 4.5).</w:t>
      </w:r>
    </w:p>
    <w:bookmarkEnd w:id="2"/>
    <w:p w14:paraId="5DC6497D" w14:textId="77777777" w:rsidR="009D3B1F" w:rsidRPr="00B267CC" w:rsidRDefault="009D3B1F" w:rsidP="009D3B1F">
      <w:pPr>
        <w:jc w:val="both"/>
        <w:rPr>
          <w:bCs/>
          <w:i/>
          <w:sz w:val="22"/>
          <w:szCs w:val="22"/>
          <w:lang w:val="sr-Latn-ME"/>
        </w:rPr>
      </w:pPr>
    </w:p>
    <w:p w14:paraId="02CF982A" w14:textId="6B3992D9" w:rsidR="00831252" w:rsidRPr="00B267CC" w:rsidRDefault="00831252" w:rsidP="009D3B1F">
      <w:pPr>
        <w:jc w:val="both"/>
        <w:rPr>
          <w:i/>
          <w:sz w:val="22"/>
          <w:szCs w:val="22"/>
          <w:lang w:val="sr-Latn-ME"/>
        </w:rPr>
      </w:pPr>
      <w:r w:rsidRPr="00B267CC">
        <w:rPr>
          <w:i/>
          <w:sz w:val="22"/>
          <w:szCs w:val="22"/>
          <w:lang w:val="sr-Latn-ME"/>
        </w:rPr>
        <w:t>Gatrointestinalne bakterijske infekcije</w:t>
      </w:r>
    </w:p>
    <w:p w14:paraId="764855FE" w14:textId="2C0D6FD7" w:rsidR="00831252" w:rsidRPr="00B46DBD" w:rsidRDefault="00831252" w:rsidP="009D3B1F">
      <w:pPr>
        <w:jc w:val="both"/>
        <w:rPr>
          <w:sz w:val="22"/>
          <w:szCs w:val="22"/>
          <w:lang w:val="sr-Latn-ME"/>
        </w:rPr>
      </w:pPr>
      <w:r w:rsidRPr="00B267CC">
        <w:rPr>
          <w:sz w:val="22"/>
          <w:szCs w:val="22"/>
          <w:lang w:val="sr-Latn-ME"/>
        </w:rPr>
        <w:lastRenderedPageBreak/>
        <w:t>Terapija l</w:t>
      </w:r>
      <w:r w:rsidR="00B46DBD">
        <w:rPr>
          <w:sz w:val="22"/>
          <w:szCs w:val="22"/>
          <w:lang w:val="sr-Latn-ME"/>
        </w:rPr>
        <w:t>ij</w:t>
      </w:r>
      <w:r w:rsidRPr="00B46DBD">
        <w:rPr>
          <w:sz w:val="22"/>
          <w:szCs w:val="22"/>
          <w:lang w:val="sr-Latn-ME"/>
        </w:rPr>
        <w:t xml:space="preserve">ekom Controloc i.v. može da dovede do blagog povećanja rizika od nastanka gastrointestinalnih infekcija prouzrokovanih bakterijama kao što su </w:t>
      </w:r>
      <w:r w:rsidRPr="00260EB7">
        <w:rPr>
          <w:i/>
          <w:sz w:val="22"/>
          <w:szCs w:val="22"/>
          <w:lang w:val="sr-Latn-ME"/>
        </w:rPr>
        <w:t>Salmonella</w:t>
      </w:r>
      <w:r w:rsidRPr="00B46DBD">
        <w:rPr>
          <w:sz w:val="22"/>
          <w:szCs w:val="22"/>
          <w:lang w:val="sr-Latn-ME"/>
        </w:rPr>
        <w:t xml:space="preserve"> i </w:t>
      </w:r>
      <w:r w:rsidRPr="00260EB7">
        <w:rPr>
          <w:i/>
          <w:sz w:val="22"/>
          <w:szCs w:val="22"/>
          <w:lang w:val="sr-Latn-ME"/>
        </w:rPr>
        <w:t>Campylobacter</w:t>
      </w:r>
      <w:r w:rsidRPr="00B46DBD">
        <w:rPr>
          <w:sz w:val="22"/>
          <w:szCs w:val="22"/>
          <w:lang w:val="sr-Latn-ME"/>
        </w:rPr>
        <w:t xml:space="preserve"> ili </w:t>
      </w:r>
      <w:r w:rsidRPr="00260EB7">
        <w:rPr>
          <w:i/>
          <w:sz w:val="22"/>
          <w:szCs w:val="22"/>
          <w:lang w:val="sr-Latn-ME"/>
        </w:rPr>
        <w:t>C.</w:t>
      </w:r>
      <w:r w:rsidRPr="00B46DBD">
        <w:rPr>
          <w:sz w:val="22"/>
          <w:szCs w:val="22"/>
          <w:lang w:val="sr-Latn-ME"/>
        </w:rPr>
        <w:t xml:space="preserve"> </w:t>
      </w:r>
      <w:r w:rsidRPr="00260EB7">
        <w:rPr>
          <w:i/>
          <w:sz w:val="22"/>
          <w:szCs w:val="22"/>
          <w:lang w:val="sr-Latn-ME"/>
        </w:rPr>
        <w:t>difficile</w:t>
      </w:r>
      <w:r w:rsidRPr="00B46DBD">
        <w:rPr>
          <w:sz w:val="22"/>
          <w:szCs w:val="22"/>
          <w:lang w:val="sr-Latn-ME"/>
        </w:rPr>
        <w:t>.</w:t>
      </w:r>
    </w:p>
    <w:p w14:paraId="78DE69AA" w14:textId="77777777" w:rsidR="009D3B1F" w:rsidRPr="00B46DBD" w:rsidRDefault="009D3B1F" w:rsidP="009D3B1F">
      <w:pPr>
        <w:jc w:val="both"/>
        <w:rPr>
          <w:bCs/>
          <w:sz w:val="22"/>
          <w:szCs w:val="22"/>
          <w:lang w:val="sr-Latn-ME"/>
        </w:rPr>
      </w:pPr>
    </w:p>
    <w:p w14:paraId="07889D17" w14:textId="77777777" w:rsidR="009D3B1F" w:rsidRPr="00B267CC" w:rsidRDefault="009D3B1F" w:rsidP="009D3B1F">
      <w:pPr>
        <w:jc w:val="both"/>
        <w:rPr>
          <w:i/>
          <w:sz w:val="22"/>
          <w:szCs w:val="22"/>
          <w:lang w:val="sr-Latn-ME"/>
        </w:rPr>
      </w:pPr>
      <w:r w:rsidRPr="00B267CC">
        <w:rPr>
          <w:i/>
          <w:sz w:val="22"/>
          <w:szCs w:val="22"/>
          <w:lang w:val="sr-Latn-ME"/>
        </w:rPr>
        <w:t>Hipomagnezijemija</w:t>
      </w:r>
    </w:p>
    <w:p w14:paraId="1EFF386D" w14:textId="06782909" w:rsidR="009D3B1F" w:rsidRPr="00B46DBD" w:rsidRDefault="009D3B1F" w:rsidP="009D3B1F">
      <w:pPr>
        <w:jc w:val="both"/>
        <w:rPr>
          <w:sz w:val="22"/>
          <w:szCs w:val="22"/>
          <w:lang w:val="sr-Latn-ME"/>
        </w:rPr>
      </w:pPr>
      <w:r w:rsidRPr="00B267CC">
        <w:rPr>
          <w:sz w:val="22"/>
          <w:szCs w:val="22"/>
          <w:lang w:val="sr-Latn-ME"/>
        </w:rPr>
        <w:t xml:space="preserve">Prijavljena je teška hipomagnezijemija kod pacijenata koji su inhibitorima protonske pumpe kao što je pantoprazol bili liječeni tokom najmanje tri mjeseca, a u većini slučajeva tokom godinu dana. Mogu se pojaviti ozbiljne manifestacije hipomagnezijemije kao što su umor, grčenje mišića, delirijum, konvulzije, vrtoglavica i ventrikularna aritmija, čiji </w:t>
      </w:r>
      <w:r w:rsidR="00B46DBD">
        <w:rPr>
          <w:sz w:val="22"/>
          <w:szCs w:val="22"/>
          <w:lang w:val="sr-Latn-ME"/>
        </w:rPr>
        <w:t>početak</w:t>
      </w:r>
      <w:r w:rsidR="00B46DBD" w:rsidRPr="00B46DBD">
        <w:rPr>
          <w:sz w:val="22"/>
          <w:szCs w:val="22"/>
          <w:lang w:val="sr-Latn-ME"/>
        </w:rPr>
        <w:t xml:space="preserve"> </w:t>
      </w:r>
      <w:r w:rsidRPr="00B46DBD">
        <w:rPr>
          <w:sz w:val="22"/>
          <w:szCs w:val="22"/>
          <w:lang w:val="sr-Latn-ME"/>
        </w:rPr>
        <w:t>može biti podmukao i može se</w:t>
      </w:r>
      <w:r w:rsidR="00831252" w:rsidRPr="00B46DBD">
        <w:rPr>
          <w:sz w:val="22"/>
          <w:szCs w:val="22"/>
          <w:lang w:val="sr-Latn-ME"/>
        </w:rPr>
        <w:t xml:space="preserve"> lako</w:t>
      </w:r>
      <w:r w:rsidRPr="00B46DBD">
        <w:rPr>
          <w:sz w:val="22"/>
          <w:szCs w:val="22"/>
          <w:lang w:val="sr-Latn-ME"/>
        </w:rPr>
        <w:t xml:space="preserve"> previdjeti. </w:t>
      </w:r>
      <w:r w:rsidR="00B46DBD" w:rsidRPr="00B46DBD">
        <w:rPr>
          <w:sz w:val="22"/>
          <w:szCs w:val="22"/>
          <w:lang w:val="sr-Latn-ME"/>
        </w:rPr>
        <w:t>Hipomagnezijemija može dovesti do hipokalcemije i/ili hipokalemije (vidjeti dio 4.8.).</w:t>
      </w:r>
      <w:r w:rsidR="00B46DBD">
        <w:rPr>
          <w:sz w:val="22"/>
          <w:szCs w:val="22"/>
          <w:lang w:val="sr-Latn-ME"/>
        </w:rPr>
        <w:t xml:space="preserve"> </w:t>
      </w:r>
      <w:r w:rsidRPr="00B46DBD">
        <w:rPr>
          <w:sz w:val="22"/>
          <w:szCs w:val="22"/>
          <w:lang w:val="sr-Latn-ME"/>
        </w:rPr>
        <w:t>Kod većine pogođenih pacijenata, hipomagnezijemija se poboljšala nakon nadoknade magnezijuma i prekida terapije inhibitorom protonske pumpe.</w:t>
      </w:r>
    </w:p>
    <w:p w14:paraId="4024627F" w14:textId="77777777" w:rsidR="009D3B1F" w:rsidRPr="00B46DBD" w:rsidRDefault="009D3B1F" w:rsidP="009D3B1F">
      <w:pPr>
        <w:jc w:val="both"/>
        <w:rPr>
          <w:sz w:val="22"/>
          <w:szCs w:val="22"/>
          <w:lang w:val="sr-Latn-ME"/>
        </w:rPr>
      </w:pPr>
    </w:p>
    <w:p w14:paraId="4EE3851E" w14:textId="77777777" w:rsidR="009D3B1F" w:rsidRPr="00B267CC" w:rsidRDefault="009D3B1F" w:rsidP="009D3B1F">
      <w:pPr>
        <w:jc w:val="both"/>
        <w:rPr>
          <w:sz w:val="22"/>
          <w:szCs w:val="22"/>
          <w:lang w:val="sr-Latn-ME"/>
        </w:rPr>
      </w:pPr>
      <w:r w:rsidRPr="00B46DBD">
        <w:rPr>
          <w:sz w:val="22"/>
          <w:szCs w:val="22"/>
          <w:lang w:val="sr-Latn-ME"/>
        </w:rPr>
        <w:t xml:space="preserve">Kod pacijenata kod kojih se očekuje da će biti na dugotrajnoj terapiji inhibitorima protonske pumpe ili kod pacijenata koji istovremeno uzimaju digoksin ili druge ljekove koji mogu prouzrokovati hipomagnezijemiju (npr. diuretici), ljekari moraju razmotriti praćenje koncentraije magnezijuma prije </w:t>
      </w:r>
      <w:r w:rsidRPr="00B267CC">
        <w:rPr>
          <w:sz w:val="22"/>
          <w:szCs w:val="22"/>
          <w:lang w:val="sr-Latn-ME"/>
        </w:rPr>
        <w:t>uvođenja inhibitora protonske pumpe u terapiju i periodično tokom liječenja.</w:t>
      </w:r>
    </w:p>
    <w:p w14:paraId="0976A7B8" w14:textId="77777777" w:rsidR="009D3B1F" w:rsidRPr="00B267CC" w:rsidRDefault="009D3B1F" w:rsidP="009D3B1F">
      <w:pPr>
        <w:jc w:val="both"/>
        <w:rPr>
          <w:sz w:val="22"/>
          <w:szCs w:val="22"/>
          <w:lang w:val="sr-Latn-ME"/>
        </w:rPr>
      </w:pPr>
    </w:p>
    <w:p w14:paraId="280CECD3" w14:textId="51750903" w:rsidR="009D3B1F" w:rsidRPr="00B267CC" w:rsidRDefault="00831252" w:rsidP="009D3B1F">
      <w:pPr>
        <w:jc w:val="both"/>
        <w:rPr>
          <w:i/>
          <w:sz w:val="22"/>
          <w:szCs w:val="22"/>
          <w:lang w:val="sr-Latn-ME"/>
        </w:rPr>
      </w:pPr>
      <w:r w:rsidRPr="00B267CC">
        <w:rPr>
          <w:i/>
          <w:sz w:val="22"/>
          <w:szCs w:val="22"/>
          <w:lang w:val="sr-Latn-ME"/>
        </w:rPr>
        <w:t>Frakture kostiju</w:t>
      </w:r>
    </w:p>
    <w:p w14:paraId="23D4BED2" w14:textId="69551F47" w:rsidR="009D3B1F" w:rsidRPr="00B46DBD" w:rsidRDefault="009D3B1F" w:rsidP="009D3B1F">
      <w:pPr>
        <w:jc w:val="both"/>
        <w:rPr>
          <w:sz w:val="22"/>
          <w:szCs w:val="22"/>
          <w:lang w:val="sr-Latn-ME"/>
        </w:rPr>
      </w:pPr>
      <w:r w:rsidRPr="00B267CC">
        <w:rPr>
          <w:sz w:val="22"/>
          <w:szCs w:val="22"/>
          <w:lang w:val="sr-Latn-ME"/>
        </w:rPr>
        <w:t xml:space="preserve">Inhibitori protonske pumpe, posebno ako se primjenjuju u visokim dozama i tokom dužeg vremenskog perioda (&gt;1 godine), mogu umjereno povećati rizik od frakture kuka, ručnog zgloba i kičme, uglavnom kod starijih pacijenata ili ako su prisutni drugi poznati faktori rizika. Opservaciona ispitivanja ukazuju da inhibitori protonske pumpe mogu povećati ukupni rizik od frakture za 10-40%. Neka od ovih povećanja mogu biti zbog uticaja drugih </w:t>
      </w:r>
      <w:r w:rsidR="00B46DBD">
        <w:rPr>
          <w:sz w:val="22"/>
          <w:szCs w:val="22"/>
          <w:lang w:val="sr-Latn-ME"/>
        </w:rPr>
        <w:t>faktora</w:t>
      </w:r>
      <w:r w:rsidR="00B46DBD" w:rsidRPr="00B46DBD">
        <w:rPr>
          <w:sz w:val="22"/>
          <w:szCs w:val="22"/>
          <w:lang w:val="sr-Latn-ME"/>
        </w:rPr>
        <w:t xml:space="preserve"> </w:t>
      </w:r>
      <w:r w:rsidRPr="00B46DBD">
        <w:rPr>
          <w:sz w:val="22"/>
          <w:szCs w:val="22"/>
          <w:lang w:val="sr-Latn-ME"/>
        </w:rPr>
        <w:t>rizika. Pacijenti koji su pod rizikom odnastanka osteoporoze moraju imati odgovarajuću njegu u skladu sa važećim kliničkim smjernicama i</w:t>
      </w:r>
    </w:p>
    <w:p w14:paraId="68AFE34E" w14:textId="019DD0D2" w:rsidR="009D3B1F" w:rsidRPr="00B46DBD" w:rsidRDefault="009D3B1F" w:rsidP="009D3B1F">
      <w:pPr>
        <w:tabs>
          <w:tab w:val="left" w:pos="540"/>
          <w:tab w:val="left" w:pos="569"/>
        </w:tabs>
        <w:rPr>
          <w:sz w:val="22"/>
          <w:szCs w:val="22"/>
          <w:lang w:val="sr-Latn-ME"/>
        </w:rPr>
      </w:pPr>
      <w:r w:rsidRPr="00B46DBD">
        <w:rPr>
          <w:sz w:val="22"/>
          <w:szCs w:val="22"/>
          <w:lang w:val="sr-Latn-ME"/>
        </w:rPr>
        <w:t xml:space="preserve">imati </w:t>
      </w:r>
      <w:r w:rsidR="00B46DBD">
        <w:rPr>
          <w:sz w:val="22"/>
          <w:szCs w:val="22"/>
          <w:lang w:val="sr-Latn-ME"/>
        </w:rPr>
        <w:t>dovoljan</w:t>
      </w:r>
      <w:r w:rsidR="00B46DBD" w:rsidRPr="00B46DBD">
        <w:rPr>
          <w:sz w:val="22"/>
          <w:szCs w:val="22"/>
          <w:lang w:val="sr-Latn-ME"/>
        </w:rPr>
        <w:t xml:space="preserve"> </w:t>
      </w:r>
      <w:r w:rsidRPr="00B46DBD">
        <w:rPr>
          <w:sz w:val="22"/>
          <w:szCs w:val="22"/>
          <w:lang w:val="sr-Latn-ME"/>
        </w:rPr>
        <w:t>unos vitamina D i kalcijuma</w:t>
      </w:r>
    </w:p>
    <w:p w14:paraId="11FBD041" w14:textId="77777777" w:rsidR="00831252" w:rsidRPr="00260EB7" w:rsidRDefault="00831252" w:rsidP="009D3B1F">
      <w:pPr>
        <w:tabs>
          <w:tab w:val="left" w:pos="540"/>
          <w:tab w:val="left" w:pos="569"/>
        </w:tabs>
        <w:rPr>
          <w:sz w:val="22"/>
          <w:szCs w:val="22"/>
          <w:u w:val="single"/>
          <w:lang w:val="sr-Latn-ME"/>
        </w:rPr>
      </w:pPr>
    </w:p>
    <w:p w14:paraId="54AD8F2D" w14:textId="69E2E7E7" w:rsidR="00831252" w:rsidRPr="00260EB7" w:rsidRDefault="00831252" w:rsidP="00831252">
      <w:pPr>
        <w:tabs>
          <w:tab w:val="left" w:pos="540"/>
          <w:tab w:val="left" w:pos="569"/>
        </w:tabs>
        <w:rPr>
          <w:i/>
          <w:iCs/>
          <w:sz w:val="22"/>
          <w:szCs w:val="22"/>
        </w:rPr>
      </w:pPr>
      <w:r w:rsidRPr="00260EB7">
        <w:rPr>
          <w:i/>
          <w:iCs/>
          <w:sz w:val="22"/>
          <w:szCs w:val="22"/>
        </w:rPr>
        <w:t>Teške kožne neželjene reakcije (engl.</w:t>
      </w:r>
      <w:r w:rsidR="004F434B">
        <w:rPr>
          <w:i/>
          <w:iCs/>
          <w:sz w:val="22"/>
          <w:szCs w:val="22"/>
        </w:rPr>
        <w:t xml:space="preserve"> </w:t>
      </w:r>
      <w:r w:rsidR="004F434B" w:rsidRPr="004F434B">
        <w:rPr>
          <w:i/>
          <w:iCs/>
          <w:sz w:val="22"/>
          <w:szCs w:val="22"/>
        </w:rPr>
        <w:t>severe cutaneous adverse reactions,</w:t>
      </w:r>
      <w:r w:rsidRPr="00260EB7">
        <w:rPr>
          <w:i/>
          <w:iCs/>
          <w:sz w:val="22"/>
          <w:szCs w:val="22"/>
        </w:rPr>
        <w:t xml:space="preserve"> SCARs)</w:t>
      </w:r>
    </w:p>
    <w:p w14:paraId="215A86EB" w14:textId="548505DF" w:rsidR="00831252" w:rsidRPr="00260EB7" w:rsidRDefault="00831252" w:rsidP="00646791">
      <w:pPr>
        <w:tabs>
          <w:tab w:val="left" w:pos="540"/>
          <w:tab w:val="left" w:pos="569"/>
        </w:tabs>
        <w:jc w:val="both"/>
        <w:rPr>
          <w:sz w:val="22"/>
          <w:szCs w:val="22"/>
        </w:rPr>
      </w:pPr>
      <w:r w:rsidRPr="00260EB7">
        <w:rPr>
          <w:sz w:val="22"/>
          <w:szCs w:val="22"/>
        </w:rPr>
        <w:t xml:space="preserve">Prijavljene su teške kožne neželjene reakcije (engl. SCARs) nepoznate učestalosti, uključujući multiformni eritem, Stevens-Johnsonov sindrom (SJS), toksičnu epidermalnu nekrolizu (TEN) i reakciju na lek sa eozinofilijom i sistemskim simptomima (engl. </w:t>
      </w:r>
      <w:r w:rsidRPr="00260EB7">
        <w:rPr>
          <w:iCs/>
          <w:sz w:val="22"/>
          <w:szCs w:val="22"/>
        </w:rPr>
        <w:t>drug reaction with eosinophilia and systemic symptoms</w:t>
      </w:r>
      <w:r w:rsidRPr="00260EB7">
        <w:rPr>
          <w:sz w:val="22"/>
          <w:szCs w:val="22"/>
        </w:rPr>
        <w:t>, DRESS) povezane sa terapijom pantoprazolom, a koje mogu biti opasane po život ili smrtonosne (videti dio 4.8.).</w:t>
      </w:r>
    </w:p>
    <w:p w14:paraId="28F6A97C" w14:textId="5AE5AE8C" w:rsidR="00831252" w:rsidRPr="00260EB7" w:rsidRDefault="00831252" w:rsidP="004F434B">
      <w:pPr>
        <w:tabs>
          <w:tab w:val="left" w:pos="540"/>
          <w:tab w:val="left" w:pos="569"/>
        </w:tabs>
        <w:jc w:val="both"/>
        <w:rPr>
          <w:sz w:val="22"/>
          <w:szCs w:val="22"/>
        </w:rPr>
      </w:pPr>
      <w:r w:rsidRPr="00260EB7">
        <w:rPr>
          <w:sz w:val="22"/>
          <w:szCs w:val="22"/>
        </w:rPr>
        <w:t>Pacijente je potrebno sav</w:t>
      </w:r>
      <w:r w:rsidR="004F434B">
        <w:rPr>
          <w:sz w:val="22"/>
          <w:szCs w:val="22"/>
        </w:rPr>
        <w:t>j</w:t>
      </w:r>
      <w:r w:rsidRPr="00260EB7">
        <w:rPr>
          <w:sz w:val="22"/>
          <w:szCs w:val="22"/>
        </w:rPr>
        <w:t>etovati o znakovima i simptomima ovih reakcija i pomno ih pratiti na moguću pojavu istih.</w:t>
      </w:r>
      <w:r w:rsidR="004F434B">
        <w:rPr>
          <w:sz w:val="22"/>
          <w:szCs w:val="22"/>
        </w:rPr>
        <w:t xml:space="preserve"> </w:t>
      </w:r>
      <w:r w:rsidR="004F434B" w:rsidRPr="004F434B">
        <w:rPr>
          <w:sz w:val="22"/>
          <w:szCs w:val="22"/>
        </w:rPr>
        <w:t>U slučaju pojavljivanja znakova i simptoma koji upućuju na navedene reakcije, potrebno je odmah prekinuti primjenu pantoprazola i razmotriti alternativne terapijske opcije</w:t>
      </w:r>
    </w:p>
    <w:p w14:paraId="19D0B1CC" w14:textId="77777777" w:rsidR="00831252" w:rsidRPr="004F434B" w:rsidRDefault="00831252" w:rsidP="00646791">
      <w:pPr>
        <w:tabs>
          <w:tab w:val="left" w:pos="540"/>
          <w:tab w:val="left" w:pos="569"/>
        </w:tabs>
        <w:jc w:val="both"/>
        <w:rPr>
          <w:sz w:val="22"/>
          <w:szCs w:val="22"/>
          <w:u w:val="single"/>
        </w:rPr>
      </w:pPr>
    </w:p>
    <w:p w14:paraId="764197FA" w14:textId="1E60BC97" w:rsidR="00831252" w:rsidRPr="00260EB7" w:rsidRDefault="00831252" w:rsidP="00646791">
      <w:pPr>
        <w:tabs>
          <w:tab w:val="left" w:pos="540"/>
          <w:tab w:val="left" w:pos="569"/>
        </w:tabs>
        <w:jc w:val="both"/>
        <w:rPr>
          <w:i/>
          <w:iCs/>
          <w:sz w:val="22"/>
          <w:szCs w:val="22"/>
        </w:rPr>
      </w:pPr>
      <w:r w:rsidRPr="00260EB7">
        <w:rPr>
          <w:i/>
          <w:iCs/>
          <w:sz w:val="22"/>
          <w:szCs w:val="22"/>
        </w:rPr>
        <w:t xml:space="preserve">Subakutni kožni lupus eritematodes (engl. </w:t>
      </w:r>
      <w:r w:rsidR="004F434B" w:rsidRPr="00260EB7">
        <w:rPr>
          <w:i/>
          <w:iCs/>
          <w:sz w:val="22"/>
          <w:szCs w:val="22"/>
        </w:rPr>
        <w:t>s</w:t>
      </w:r>
      <w:r w:rsidRPr="00260EB7">
        <w:rPr>
          <w:i/>
          <w:iCs/>
          <w:sz w:val="22"/>
          <w:szCs w:val="22"/>
        </w:rPr>
        <w:t>ubacute Cutaneous Lupus Erythematosus, SCLE)</w:t>
      </w:r>
    </w:p>
    <w:p w14:paraId="4D704CDA" w14:textId="367557E2" w:rsidR="00831252" w:rsidRPr="00260EB7" w:rsidRDefault="00831252" w:rsidP="00646791">
      <w:pPr>
        <w:tabs>
          <w:tab w:val="left" w:pos="540"/>
          <w:tab w:val="left" w:pos="569"/>
        </w:tabs>
        <w:jc w:val="both"/>
        <w:rPr>
          <w:sz w:val="22"/>
          <w:szCs w:val="22"/>
        </w:rPr>
      </w:pPr>
      <w:r w:rsidRPr="00260EB7">
        <w:rPr>
          <w:sz w:val="22"/>
          <w:szCs w:val="22"/>
        </w:rPr>
        <w:t xml:space="preserve">Primjena inhibitora protonske pumpe je povezana sa veoma rijetkim slučajevima SCLE. Ukoliko se pojave lezije, posebno na djelovima kože izloženim sunčevom zračenju, i ako su praćene artralgijom, potrebno je da pacijent odmah potraži medicinsku pomoć, a ljekar </w:t>
      </w:r>
      <w:r w:rsidR="004F434B">
        <w:rPr>
          <w:sz w:val="22"/>
          <w:szCs w:val="22"/>
        </w:rPr>
        <w:t xml:space="preserve">da </w:t>
      </w:r>
      <w:r w:rsidRPr="00260EB7">
        <w:rPr>
          <w:sz w:val="22"/>
          <w:szCs w:val="22"/>
        </w:rPr>
        <w:t>razmotri prekid terapije lijekom Controloc i.v. Pojava SCLE nakon terapije jednim inhibitorom protonske pumpe može povećati rizik od pojave SCLE pri terapiji drugim lijekom iz ove grupe.</w:t>
      </w:r>
    </w:p>
    <w:p w14:paraId="68412AEC" w14:textId="77777777" w:rsidR="00831252" w:rsidRPr="00260EB7" w:rsidRDefault="00831252" w:rsidP="00646791">
      <w:pPr>
        <w:tabs>
          <w:tab w:val="left" w:pos="540"/>
          <w:tab w:val="left" w:pos="569"/>
        </w:tabs>
        <w:jc w:val="both"/>
        <w:rPr>
          <w:i/>
          <w:sz w:val="22"/>
          <w:szCs w:val="22"/>
        </w:rPr>
      </w:pPr>
    </w:p>
    <w:p w14:paraId="271896DF" w14:textId="77777777" w:rsidR="00831252" w:rsidRPr="00260EB7" w:rsidRDefault="00831252" w:rsidP="00646791">
      <w:pPr>
        <w:tabs>
          <w:tab w:val="left" w:pos="540"/>
          <w:tab w:val="left" w:pos="569"/>
        </w:tabs>
        <w:jc w:val="both"/>
        <w:rPr>
          <w:i/>
          <w:iCs/>
          <w:sz w:val="22"/>
          <w:szCs w:val="22"/>
        </w:rPr>
      </w:pPr>
      <w:r w:rsidRPr="00260EB7">
        <w:rPr>
          <w:i/>
          <w:iCs/>
          <w:sz w:val="22"/>
          <w:szCs w:val="22"/>
        </w:rPr>
        <w:t>Interferencija sa laboratorijskim testovima</w:t>
      </w:r>
    </w:p>
    <w:p w14:paraId="35587AF2" w14:textId="198F1FB6" w:rsidR="00831252" w:rsidRPr="00260EB7" w:rsidRDefault="00831252" w:rsidP="00646791">
      <w:pPr>
        <w:tabs>
          <w:tab w:val="left" w:pos="540"/>
          <w:tab w:val="left" w:pos="569"/>
        </w:tabs>
        <w:jc w:val="both"/>
        <w:rPr>
          <w:sz w:val="22"/>
          <w:szCs w:val="22"/>
        </w:rPr>
      </w:pPr>
      <w:r w:rsidRPr="00260EB7">
        <w:rPr>
          <w:sz w:val="22"/>
          <w:szCs w:val="22"/>
        </w:rPr>
        <w:t>Povećane koncentracije Chromogranin A (CgA) mogu da utiču na ispitivanje prisustva neuroendokrinih tumora. Kako bi se izb</w:t>
      </w:r>
      <w:r w:rsidR="004F434B">
        <w:rPr>
          <w:sz w:val="22"/>
          <w:szCs w:val="22"/>
        </w:rPr>
        <w:t>j</w:t>
      </w:r>
      <w:r w:rsidRPr="00260EB7">
        <w:rPr>
          <w:sz w:val="22"/>
          <w:szCs w:val="22"/>
        </w:rPr>
        <w:t>egla ova interferencija, potrebno je prekinuti terapiju lekom Controloc i.v. najmanje 5 dana pr</w:t>
      </w:r>
      <w:r w:rsidR="004F434B">
        <w:rPr>
          <w:sz w:val="22"/>
          <w:szCs w:val="22"/>
        </w:rPr>
        <w:t>ij</w:t>
      </w:r>
      <w:r w:rsidRPr="00260EB7">
        <w:rPr>
          <w:sz w:val="22"/>
          <w:szCs w:val="22"/>
        </w:rPr>
        <w:t>e određivanja vr</w:t>
      </w:r>
      <w:r w:rsidR="004F434B">
        <w:rPr>
          <w:sz w:val="22"/>
          <w:szCs w:val="22"/>
        </w:rPr>
        <w:t>ij</w:t>
      </w:r>
      <w:r w:rsidRPr="00260EB7">
        <w:rPr>
          <w:sz w:val="22"/>
          <w:szCs w:val="22"/>
        </w:rPr>
        <w:t>ednosti CgA (videti dio 5.1). Ukoliko se nakon početnog određivanja koncentracije CgA i gastrina ne vrate na referentne vr</w:t>
      </w:r>
      <w:r w:rsidR="004F434B">
        <w:rPr>
          <w:sz w:val="22"/>
          <w:szCs w:val="22"/>
        </w:rPr>
        <w:t>ij</w:t>
      </w:r>
      <w:r w:rsidRPr="00260EB7">
        <w:rPr>
          <w:sz w:val="22"/>
          <w:szCs w:val="22"/>
        </w:rPr>
        <w:t>ednosti, potrebno je ponoviti analizu 14 dana nakon prestanka prim</w:t>
      </w:r>
      <w:r w:rsidR="004F434B">
        <w:rPr>
          <w:sz w:val="22"/>
          <w:szCs w:val="22"/>
        </w:rPr>
        <w:t>j</w:t>
      </w:r>
      <w:r w:rsidRPr="00260EB7">
        <w:rPr>
          <w:sz w:val="22"/>
          <w:szCs w:val="22"/>
        </w:rPr>
        <w:t>ene inhibitora protonske pumpe.</w:t>
      </w:r>
    </w:p>
    <w:p w14:paraId="3FF61074" w14:textId="77777777" w:rsidR="00831252" w:rsidRPr="004F434B" w:rsidRDefault="00831252" w:rsidP="00831252">
      <w:pPr>
        <w:tabs>
          <w:tab w:val="left" w:pos="540"/>
          <w:tab w:val="left" w:pos="569"/>
        </w:tabs>
        <w:rPr>
          <w:sz w:val="22"/>
          <w:szCs w:val="22"/>
          <w:u w:val="single"/>
        </w:rPr>
      </w:pPr>
    </w:p>
    <w:p w14:paraId="76143CE0" w14:textId="77777777" w:rsidR="00831252" w:rsidRPr="004F434B" w:rsidRDefault="00831252" w:rsidP="00831252">
      <w:pPr>
        <w:jc w:val="both"/>
        <w:rPr>
          <w:bCs/>
          <w:i/>
          <w:sz w:val="22"/>
          <w:szCs w:val="22"/>
          <w:lang w:val="sr-Latn-ME"/>
        </w:rPr>
      </w:pPr>
      <w:r w:rsidRPr="004F434B">
        <w:rPr>
          <w:bCs/>
          <w:i/>
          <w:sz w:val="22"/>
          <w:szCs w:val="22"/>
          <w:lang w:val="sr-Latn-ME"/>
        </w:rPr>
        <w:t>Natrijum</w:t>
      </w:r>
    </w:p>
    <w:p w14:paraId="01705710" w14:textId="4049717B" w:rsidR="00831252" w:rsidRPr="00B46DBD" w:rsidRDefault="00831252" w:rsidP="00831252">
      <w:pPr>
        <w:jc w:val="both"/>
        <w:rPr>
          <w:bCs/>
          <w:sz w:val="22"/>
          <w:szCs w:val="22"/>
          <w:lang w:val="sr-Latn-ME"/>
        </w:rPr>
      </w:pPr>
      <w:r w:rsidRPr="00B46DBD">
        <w:rPr>
          <w:bCs/>
          <w:sz w:val="22"/>
          <w:szCs w:val="22"/>
          <w:lang w:val="sr-Latn-ME"/>
        </w:rPr>
        <w:t>Ovaj lijek po bočici sadrži i manje od 1 mmol natrijuma (23 mg), što znači da u osnovi ne sadrži natrijum.</w:t>
      </w:r>
    </w:p>
    <w:p w14:paraId="044D1E9B" w14:textId="77777777" w:rsidR="00831252" w:rsidRPr="00B46DBD" w:rsidRDefault="00831252" w:rsidP="00480FB1">
      <w:pPr>
        <w:tabs>
          <w:tab w:val="left" w:pos="540"/>
          <w:tab w:val="left" w:pos="569"/>
        </w:tabs>
        <w:rPr>
          <w:bCs/>
          <w:sz w:val="22"/>
          <w:szCs w:val="22"/>
        </w:rPr>
      </w:pPr>
    </w:p>
    <w:p w14:paraId="1016C6C9" w14:textId="77777777" w:rsidR="00411B4B" w:rsidRPr="00B267CC" w:rsidRDefault="00411B4B" w:rsidP="00480FB1">
      <w:pPr>
        <w:tabs>
          <w:tab w:val="left" w:pos="540"/>
          <w:tab w:val="left" w:pos="569"/>
        </w:tabs>
        <w:rPr>
          <w:b/>
          <w:bCs/>
          <w:sz w:val="22"/>
          <w:szCs w:val="22"/>
        </w:rPr>
      </w:pPr>
      <w:r w:rsidRPr="00B267CC">
        <w:rPr>
          <w:b/>
          <w:bCs/>
          <w:sz w:val="22"/>
          <w:szCs w:val="22"/>
        </w:rPr>
        <w:t>4.5.</w:t>
      </w:r>
      <w:r w:rsidR="000D60CC" w:rsidRPr="00B267CC">
        <w:rPr>
          <w:b/>
          <w:bCs/>
          <w:sz w:val="22"/>
          <w:szCs w:val="22"/>
        </w:rPr>
        <w:tab/>
      </w:r>
      <w:r w:rsidRPr="00B267CC">
        <w:rPr>
          <w:b/>
          <w:bCs/>
          <w:sz w:val="22"/>
          <w:szCs w:val="22"/>
        </w:rPr>
        <w:t>Interakcije sa drugim ljekovima i druge vrste interakcija</w:t>
      </w:r>
    </w:p>
    <w:p w14:paraId="54D4CFDB" w14:textId="77777777" w:rsidR="0072020E" w:rsidRPr="00B267CC" w:rsidRDefault="0072020E" w:rsidP="00480FB1">
      <w:pPr>
        <w:tabs>
          <w:tab w:val="left" w:pos="540"/>
          <w:tab w:val="left" w:pos="569"/>
        </w:tabs>
        <w:rPr>
          <w:bCs/>
          <w:sz w:val="22"/>
          <w:szCs w:val="22"/>
        </w:rPr>
      </w:pPr>
    </w:p>
    <w:p w14:paraId="7781FB02" w14:textId="002FBE75" w:rsidR="007D287A" w:rsidRPr="00F90EB6" w:rsidRDefault="007D287A" w:rsidP="009D3B1F">
      <w:pPr>
        <w:jc w:val="both"/>
        <w:rPr>
          <w:i/>
          <w:sz w:val="22"/>
          <w:szCs w:val="22"/>
          <w:u w:val="single"/>
          <w:lang w:val="sr-Latn-ME"/>
        </w:rPr>
      </w:pPr>
      <w:r w:rsidRPr="00B267CC">
        <w:rPr>
          <w:i/>
          <w:sz w:val="22"/>
          <w:szCs w:val="22"/>
          <w:u w:val="single"/>
          <w:lang w:val="sr-Latn-ME"/>
        </w:rPr>
        <w:t xml:space="preserve">Ljekovi čija je </w:t>
      </w:r>
      <w:r w:rsidR="00F90EB6">
        <w:rPr>
          <w:i/>
          <w:sz w:val="22"/>
          <w:szCs w:val="22"/>
          <w:u w:val="single"/>
          <w:lang w:val="sr-Latn-ME"/>
        </w:rPr>
        <w:t>bioraspoloživost</w:t>
      </w:r>
      <w:r w:rsidR="00F90EB6" w:rsidRPr="00F90EB6">
        <w:rPr>
          <w:i/>
          <w:sz w:val="22"/>
          <w:szCs w:val="22"/>
          <w:u w:val="single"/>
          <w:lang w:val="sr-Latn-ME"/>
        </w:rPr>
        <w:t xml:space="preserve"> </w:t>
      </w:r>
      <w:r w:rsidRPr="00F90EB6">
        <w:rPr>
          <w:i/>
          <w:sz w:val="22"/>
          <w:szCs w:val="22"/>
          <w:u w:val="single"/>
          <w:lang w:val="sr-Latn-ME"/>
        </w:rPr>
        <w:t>zavisna od pH vrednosti želudačnog sadržaja</w:t>
      </w:r>
    </w:p>
    <w:p w14:paraId="2EA8B22B" w14:textId="04532DEB" w:rsidR="009D3B1F" w:rsidRPr="00F90EB6" w:rsidRDefault="009D3B1F" w:rsidP="009D3B1F">
      <w:pPr>
        <w:jc w:val="both"/>
        <w:rPr>
          <w:sz w:val="22"/>
          <w:szCs w:val="22"/>
          <w:lang w:val="sr-Latn-ME"/>
        </w:rPr>
      </w:pPr>
      <w:r w:rsidRPr="00F90EB6">
        <w:rPr>
          <w:sz w:val="22"/>
          <w:szCs w:val="22"/>
          <w:lang w:val="sr-Latn-ME"/>
        </w:rPr>
        <w:lastRenderedPageBreak/>
        <w:t xml:space="preserve">Zbog snažne i dugotrajne inhibicije </w:t>
      </w:r>
      <w:r w:rsidR="00F90EB6">
        <w:rPr>
          <w:sz w:val="22"/>
          <w:szCs w:val="22"/>
          <w:lang w:val="sr-Latn-ME"/>
        </w:rPr>
        <w:t xml:space="preserve">sekrecije </w:t>
      </w:r>
      <w:r w:rsidRPr="00F90EB6">
        <w:rPr>
          <w:sz w:val="22"/>
          <w:szCs w:val="22"/>
          <w:lang w:val="sr-Latn-ME"/>
        </w:rPr>
        <w:t>želudačne sekrecije, pantoprazol može da dovede do smanjenja resorpcije ljekova čija je biološka raspoloživost zavisna od pH želudačnog sadržaja, na primjer neki azolni antimikotici kao što su ketokonazol, itrakonazol, posakonazol i ostali ljekovi kao što je erlotinib.</w:t>
      </w:r>
    </w:p>
    <w:p w14:paraId="18C7E009" w14:textId="77777777" w:rsidR="009D3B1F" w:rsidRPr="004F434B" w:rsidRDefault="009D3B1F" w:rsidP="009D3B1F">
      <w:pPr>
        <w:jc w:val="both"/>
        <w:rPr>
          <w:i/>
          <w:sz w:val="22"/>
          <w:szCs w:val="22"/>
          <w:lang w:val="sr-Latn-ME"/>
        </w:rPr>
      </w:pPr>
    </w:p>
    <w:p w14:paraId="1F5B5ED0" w14:textId="42AA4610" w:rsidR="004F434B" w:rsidRPr="004F434B" w:rsidRDefault="004F434B" w:rsidP="004F434B">
      <w:pPr>
        <w:jc w:val="both"/>
        <w:rPr>
          <w:i/>
          <w:sz w:val="22"/>
          <w:szCs w:val="22"/>
          <w:lang w:val="sr-Latn-ME"/>
        </w:rPr>
      </w:pPr>
      <w:r w:rsidRPr="004F434B">
        <w:t xml:space="preserve"> </w:t>
      </w:r>
      <w:r w:rsidRPr="004F434B">
        <w:rPr>
          <w:i/>
          <w:sz w:val="22"/>
          <w:szCs w:val="22"/>
          <w:lang w:val="sr-Latn-ME"/>
        </w:rPr>
        <w:t>Ljekovi u terapiji HIV infekcije (atazanavir)</w:t>
      </w:r>
    </w:p>
    <w:p w14:paraId="0F51021F" w14:textId="77777777" w:rsidR="004F434B" w:rsidRPr="004F434B" w:rsidRDefault="004F434B" w:rsidP="004F434B">
      <w:pPr>
        <w:jc w:val="both"/>
        <w:rPr>
          <w:i/>
          <w:sz w:val="22"/>
          <w:szCs w:val="22"/>
          <w:lang w:val="sr-Latn-ME"/>
        </w:rPr>
      </w:pPr>
      <w:r w:rsidRPr="004F434B">
        <w:rPr>
          <w:i/>
          <w:sz w:val="22"/>
          <w:szCs w:val="22"/>
          <w:lang w:val="sr-Latn-ME"/>
        </w:rPr>
        <w:t>Ne preporučuje se istovremena primjena pantoprazola i inhibitora HIV proteaze čija je resorpcija zavisna od pH želudačnog sadržaja, kao što je atazanavir, a usljed značajnog smanjenja njihove bioraspoloživosti (vidjeti dio 4.4).</w:t>
      </w:r>
    </w:p>
    <w:p w14:paraId="31CB0759" w14:textId="77777777" w:rsidR="004F434B" w:rsidRPr="004F434B" w:rsidRDefault="004F434B" w:rsidP="004F434B">
      <w:pPr>
        <w:jc w:val="both"/>
        <w:rPr>
          <w:i/>
          <w:sz w:val="22"/>
          <w:szCs w:val="22"/>
          <w:lang w:val="sr-Latn-ME"/>
        </w:rPr>
      </w:pPr>
    </w:p>
    <w:p w14:paraId="32D99CEA" w14:textId="4797C7D6" w:rsidR="009D3B1F" w:rsidRPr="00B267CC" w:rsidRDefault="004F434B" w:rsidP="009D3B1F">
      <w:pPr>
        <w:jc w:val="both"/>
        <w:rPr>
          <w:i/>
          <w:sz w:val="22"/>
          <w:szCs w:val="22"/>
          <w:lang w:val="sr-Latn-ME"/>
        </w:rPr>
      </w:pPr>
      <w:r w:rsidRPr="004F434B">
        <w:rPr>
          <w:i/>
          <w:sz w:val="22"/>
          <w:szCs w:val="22"/>
          <w:lang w:val="sr-Latn-ME"/>
        </w:rPr>
        <w:t>Ako se procijeni da je istovremena upotreba ova dva ljeka neizbježna, preporučuje se pažljivo kliničko praćenje (npr. viremija - virusno opterećenje). Dozu pantoprazola od 20 mg dnevno ne treba prekoračivati. Doziranje inhibitora HIV proteaze bi možda trebalo prilagoditi.</w:t>
      </w:r>
    </w:p>
    <w:p w14:paraId="61659280" w14:textId="77777777" w:rsidR="009D3B1F" w:rsidRPr="00B267CC" w:rsidRDefault="009D3B1F" w:rsidP="009D3B1F">
      <w:pPr>
        <w:jc w:val="both"/>
        <w:rPr>
          <w:i/>
          <w:sz w:val="22"/>
          <w:szCs w:val="22"/>
          <w:lang w:val="sr-Latn-ME"/>
        </w:rPr>
      </w:pPr>
      <w:r w:rsidRPr="00B267CC">
        <w:rPr>
          <w:i/>
          <w:sz w:val="22"/>
          <w:szCs w:val="22"/>
          <w:lang w:val="sr-Latn-ME"/>
        </w:rPr>
        <w:t>Kumarinski antikoagulansi (fenprokumon ili varfarin)</w:t>
      </w:r>
    </w:p>
    <w:p w14:paraId="77D4F7C1" w14:textId="4BA43B17" w:rsidR="0074227A" w:rsidRPr="00B46DBD" w:rsidRDefault="0074227A" w:rsidP="0074227A">
      <w:pPr>
        <w:jc w:val="both"/>
        <w:rPr>
          <w:sz w:val="22"/>
          <w:szCs w:val="22"/>
          <w:lang w:val="sr-Latn-ME"/>
        </w:rPr>
      </w:pPr>
      <w:r w:rsidRPr="00B267CC">
        <w:rPr>
          <w:sz w:val="22"/>
          <w:szCs w:val="22"/>
          <w:lang w:val="sr-Latn-ME"/>
        </w:rPr>
        <w:t>Istovremena prim</w:t>
      </w:r>
      <w:r w:rsidR="00F90EB6">
        <w:rPr>
          <w:sz w:val="22"/>
          <w:szCs w:val="22"/>
          <w:lang w:val="sr-Latn-ME"/>
        </w:rPr>
        <w:t>j</w:t>
      </w:r>
      <w:r w:rsidRPr="00F90EB6">
        <w:rPr>
          <w:sz w:val="22"/>
          <w:szCs w:val="22"/>
          <w:lang w:val="sr-Latn-ME"/>
        </w:rPr>
        <w:t xml:space="preserve">ena pantoprazola i varfarina ili fenprokumona nije uticala na farmakokinetiku varfarina, fenprokumona ili vrednost INR (engl. </w:t>
      </w:r>
      <w:r w:rsidRPr="004F434B">
        <w:rPr>
          <w:i/>
          <w:iCs/>
          <w:sz w:val="22"/>
          <w:szCs w:val="22"/>
          <w:lang w:val="sr-Latn-ME"/>
        </w:rPr>
        <w:t>International Normalised Ratio</w:t>
      </w:r>
      <w:r w:rsidRPr="004F434B">
        <w:rPr>
          <w:sz w:val="22"/>
          <w:szCs w:val="22"/>
          <w:lang w:val="sr-Latn-ME"/>
        </w:rPr>
        <w:t xml:space="preserve">, INR). Međutim, prijavljeno je nekoliko slučajeva povećanja vrijednosti INR i protrombinskog vremena kod pacijenata koji su na istovremenoj terapiji sa inhibitorima protonske pumpe i varfarinom ili fenprokumonom. Povećanje vrednosti INR ili protrombinskog vremena može dovesti do neuobičajenog krvarenja, čak i smrtnog ishoda. Za pacijente na terapiji pantoprazolom i varfarinom ili fenprokumonom će možda biti potreban medicinski nadzor u cilju praćenja eventualnog povećanja vrijednosti INR i PT (engl. </w:t>
      </w:r>
      <w:r w:rsidRPr="00B46DBD">
        <w:rPr>
          <w:i/>
          <w:iCs/>
          <w:sz w:val="22"/>
          <w:szCs w:val="22"/>
          <w:lang w:val="sr-Latn-ME"/>
        </w:rPr>
        <w:t>prothrombin time</w:t>
      </w:r>
      <w:r w:rsidRPr="00B46DBD">
        <w:rPr>
          <w:sz w:val="22"/>
          <w:szCs w:val="22"/>
          <w:lang w:val="sr-Latn-ME"/>
        </w:rPr>
        <w:t>, PT).</w:t>
      </w:r>
    </w:p>
    <w:p w14:paraId="4031A598" w14:textId="77777777" w:rsidR="0074227A" w:rsidRPr="00B267CC" w:rsidRDefault="0074227A" w:rsidP="0074227A">
      <w:pPr>
        <w:jc w:val="both"/>
        <w:rPr>
          <w:sz w:val="22"/>
          <w:szCs w:val="22"/>
          <w:lang w:val="sr-Latn-ME"/>
        </w:rPr>
      </w:pPr>
    </w:p>
    <w:p w14:paraId="4BAA8312" w14:textId="77777777" w:rsidR="0074227A" w:rsidRPr="00B267CC" w:rsidRDefault="0074227A" w:rsidP="0074227A">
      <w:pPr>
        <w:jc w:val="both"/>
        <w:rPr>
          <w:i/>
          <w:iCs/>
          <w:sz w:val="22"/>
          <w:szCs w:val="22"/>
          <w:lang w:val="sr-Latn-ME"/>
        </w:rPr>
      </w:pPr>
      <w:r w:rsidRPr="00B267CC">
        <w:rPr>
          <w:i/>
          <w:iCs/>
          <w:sz w:val="22"/>
          <w:szCs w:val="22"/>
          <w:lang w:val="sr-Latn-ME"/>
        </w:rPr>
        <w:t>Metotreksat</w:t>
      </w:r>
    </w:p>
    <w:p w14:paraId="7E615F9D" w14:textId="792DC4A8" w:rsidR="0074227A" w:rsidRDefault="0074227A" w:rsidP="0074227A">
      <w:pPr>
        <w:jc w:val="both"/>
        <w:rPr>
          <w:sz w:val="22"/>
          <w:szCs w:val="22"/>
          <w:lang w:val="sr-Latn-ME"/>
        </w:rPr>
      </w:pPr>
      <w:r w:rsidRPr="00B267CC">
        <w:rPr>
          <w:sz w:val="22"/>
          <w:szCs w:val="22"/>
          <w:lang w:val="sr-Latn-ME"/>
        </w:rPr>
        <w:t>Pri istovremenoj primeni velikih doza metotreksata (npr. 300 mg) i inhibitora protonske pumpe, kod nekih pacijenata može se povećati vrijednost metotreksata. Prema tome, kod pacijenata kod kojih se primjenjuje velike doze metotreksata, na primer kod terapije kancera i psorijaze, trebalo bi uzeti u obzir privremenu obustavu terapije pantoprazolom.</w:t>
      </w:r>
    </w:p>
    <w:p w14:paraId="6BDE5FF5" w14:textId="77777777" w:rsidR="00F90EB6" w:rsidRPr="00F90EB6" w:rsidRDefault="00F90EB6" w:rsidP="0074227A">
      <w:pPr>
        <w:jc w:val="both"/>
        <w:rPr>
          <w:sz w:val="22"/>
          <w:szCs w:val="22"/>
          <w:lang w:val="sr-Latn-ME"/>
        </w:rPr>
      </w:pPr>
    </w:p>
    <w:p w14:paraId="5C938A14" w14:textId="24DA3742" w:rsidR="009D3B1F" w:rsidRPr="00F90EB6" w:rsidRDefault="009D3B1F" w:rsidP="009D3B1F">
      <w:pPr>
        <w:jc w:val="both"/>
        <w:rPr>
          <w:i/>
          <w:sz w:val="22"/>
          <w:szCs w:val="22"/>
          <w:lang w:val="sr-Latn-ME"/>
        </w:rPr>
      </w:pPr>
      <w:r w:rsidRPr="00F90EB6">
        <w:rPr>
          <w:i/>
          <w:sz w:val="22"/>
          <w:szCs w:val="22"/>
          <w:lang w:val="sr-Latn-ME"/>
        </w:rPr>
        <w:t>Ostale studije interakcij</w:t>
      </w:r>
      <w:r w:rsidR="00F90EB6">
        <w:rPr>
          <w:i/>
          <w:sz w:val="22"/>
          <w:szCs w:val="22"/>
          <w:lang w:val="sr-Latn-ME"/>
        </w:rPr>
        <w:t>a</w:t>
      </w:r>
    </w:p>
    <w:p w14:paraId="2324F975" w14:textId="77777777" w:rsidR="009D3B1F" w:rsidRPr="004F434B" w:rsidRDefault="009D3B1F" w:rsidP="009D3B1F">
      <w:pPr>
        <w:jc w:val="both"/>
        <w:rPr>
          <w:sz w:val="22"/>
          <w:szCs w:val="22"/>
          <w:lang w:val="sr-Latn-ME"/>
        </w:rPr>
      </w:pPr>
      <w:r w:rsidRPr="004F434B">
        <w:rPr>
          <w:sz w:val="22"/>
          <w:szCs w:val="22"/>
          <w:lang w:val="sr-Latn-ME"/>
        </w:rPr>
        <w:t xml:space="preserve">Pantoprazol se intenzivno metaboliše u jetri putem sistema enzima citohrom P450. Glavni metabolički put je demetilacija pomoću izoenzima CYP2C19, a ostali metabolički putevi uključuju oksidaciju pomoću CYP3A4. </w:t>
      </w:r>
    </w:p>
    <w:p w14:paraId="5C82CF53" w14:textId="6286A2A3" w:rsidR="009D3B1F" w:rsidRPr="00F90EB6" w:rsidRDefault="0074227A" w:rsidP="009D3B1F">
      <w:pPr>
        <w:jc w:val="both"/>
        <w:rPr>
          <w:sz w:val="22"/>
          <w:szCs w:val="22"/>
          <w:lang w:val="sr-Latn-ME"/>
        </w:rPr>
      </w:pPr>
      <w:r w:rsidRPr="00B46DBD">
        <w:rPr>
          <w:sz w:val="22"/>
          <w:szCs w:val="22"/>
          <w:lang w:val="sr-Latn-ME"/>
        </w:rPr>
        <w:t xml:space="preserve">Studije </w:t>
      </w:r>
      <w:r w:rsidR="009D3B1F" w:rsidRPr="00B46DBD">
        <w:rPr>
          <w:sz w:val="22"/>
          <w:szCs w:val="22"/>
          <w:lang w:val="sr-Latn-ME"/>
        </w:rPr>
        <w:t>interakcij</w:t>
      </w:r>
      <w:r w:rsidRPr="00B46DBD">
        <w:rPr>
          <w:sz w:val="22"/>
          <w:szCs w:val="22"/>
          <w:lang w:val="sr-Latn-ME"/>
        </w:rPr>
        <w:t>e</w:t>
      </w:r>
      <w:r w:rsidR="009D3B1F" w:rsidRPr="00B46DBD">
        <w:rPr>
          <w:sz w:val="22"/>
          <w:szCs w:val="22"/>
          <w:lang w:val="sr-Latn-ME"/>
        </w:rPr>
        <w:t xml:space="preserve"> sa ljekovima koji se takođe metabolišu ovim putevima, kao što su karbamazepin, diazepam, glibenklamid, nifedipin i oralni kontraceptivi k</w:t>
      </w:r>
      <w:r w:rsidR="009D3B1F" w:rsidRPr="00B267CC">
        <w:rPr>
          <w:sz w:val="22"/>
          <w:szCs w:val="22"/>
          <w:lang w:val="sr-Latn-ME"/>
        </w:rPr>
        <w:t>oji sadrž</w:t>
      </w:r>
      <w:r w:rsidR="00F90EB6">
        <w:rPr>
          <w:sz w:val="22"/>
          <w:szCs w:val="22"/>
          <w:lang w:val="sr-Latn-ME"/>
        </w:rPr>
        <w:t>e</w:t>
      </w:r>
      <w:r w:rsidR="009D3B1F" w:rsidRPr="00F90EB6">
        <w:rPr>
          <w:sz w:val="22"/>
          <w:szCs w:val="22"/>
          <w:lang w:val="sr-Latn-ME"/>
        </w:rPr>
        <w:t xml:space="preserve"> levonorgestrel i etinil estradiol, nijesu pokazala klinički značajne interakcije.</w:t>
      </w:r>
    </w:p>
    <w:p w14:paraId="21588A7B" w14:textId="4CC30CDC" w:rsidR="009D3B1F" w:rsidRDefault="0074227A" w:rsidP="009D3B1F">
      <w:pPr>
        <w:jc w:val="both"/>
        <w:rPr>
          <w:sz w:val="22"/>
          <w:szCs w:val="22"/>
          <w:lang w:val="sr-Latn-ME"/>
        </w:rPr>
      </w:pPr>
      <w:r w:rsidRPr="004F434B">
        <w:rPr>
          <w:sz w:val="22"/>
          <w:szCs w:val="22"/>
          <w:lang w:val="sr-Latn-ME"/>
        </w:rPr>
        <w:t xml:space="preserve">Ne mogu se isključiti interakcije pantoprazola sa drugim lekovima ili jedinjenjima, koji se metabolišu putem istog enzimskog sistema. </w:t>
      </w:r>
    </w:p>
    <w:p w14:paraId="71D1346D" w14:textId="77777777" w:rsidR="00F90EB6" w:rsidRPr="00F90EB6" w:rsidRDefault="00F90EB6" w:rsidP="009D3B1F">
      <w:pPr>
        <w:jc w:val="both"/>
        <w:rPr>
          <w:sz w:val="22"/>
          <w:szCs w:val="22"/>
          <w:lang w:val="sr-Latn-ME"/>
        </w:rPr>
      </w:pPr>
    </w:p>
    <w:p w14:paraId="5CC556AA" w14:textId="27DDA8BC" w:rsidR="009D3B1F" w:rsidRPr="004F434B" w:rsidRDefault="009D3B1F" w:rsidP="009D3B1F">
      <w:pPr>
        <w:jc w:val="both"/>
        <w:rPr>
          <w:sz w:val="22"/>
          <w:szCs w:val="22"/>
          <w:lang w:val="sr-Latn-ME"/>
        </w:rPr>
      </w:pPr>
      <w:r w:rsidRPr="004F434B">
        <w:rPr>
          <w:sz w:val="22"/>
          <w:szCs w:val="22"/>
          <w:lang w:val="sr-Latn-ME"/>
        </w:rPr>
        <w:t xml:space="preserve">Rezultati </w:t>
      </w:r>
      <w:r w:rsidR="0074227A" w:rsidRPr="004F434B">
        <w:rPr>
          <w:sz w:val="22"/>
          <w:szCs w:val="22"/>
          <w:lang w:val="sr-Latn-ME"/>
        </w:rPr>
        <w:t>opsežnih studija</w:t>
      </w:r>
      <w:r w:rsidRPr="004F434B">
        <w:rPr>
          <w:sz w:val="22"/>
          <w:szCs w:val="22"/>
          <w:lang w:val="sr-Latn-ME"/>
        </w:rPr>
        <w:t xml:space="preserve"> interakcija pokazala su da pantoprazol ne utiče na metabolizam aktivnih supstanci koje se metabolišu putem CYP1A2 (kao što su kofein, teofilin), CYP2C9 (kao što su piroksikam, diklofenak, naproksen), CYP2D6 (kao što je metoprolol), CYP2E1 (kao što je etanol) i ne remeti resorpciju digoksina povezanu sa p-glikoproteinom.</w:t>
      </w:r>
    </w:p>
    <w:p w14:paraId="199AAAA0" w14:textId="77777777" w:rsidR="009D3B1F" w:rsidRPr="00B46DBD" w:rsidRDefault="009D3B1F" w:rsidP="0074227A">
      <w:pPr>
        <w:jc w:val="both"/>
        <w:rPr>
          <w:sz w:val="22"/>
          <w:szCs w:val="22"/>
          <w:lang w:val="sr-Latn-ME"/>
        </w:rPr>
      </w:pPr>
    </w:p>
    <w:p w14:paraId="5D90810F" w14:textId="77777777" w:rsidR="009D3B1F" w:rsidRPr="00B46DBD" w:rsidRDefault="009D3B1F" w:rsidP="0074227A">
      <w:pPr>
        <w:jc w:val="both"/>
        <w:rPr>
          <w:sz w:val="22"/>
          <w:szCs w:val="22"/>
          <w:lang w:val="sr-Latn-ME"/>
        </w:rPr>
      </w:pPr>
      <w:r w:rsidRPr="00B46DBD">
        <w:rPr>
          <w:sz w:val="22"/>
          <w:szCs w:val="22"/>
          <w:lang w:val="sr-Latn-ME"/>
        </w:rPr>
        <w:t>Nema interakcije kod istovremene primjene sa antacidima.</w:t>
      </w:r>
    </w:p>
    <w:p w14:paraId="0BB3FA7D" w14:textId="77777777" w:rsidR="009D3B1F" w:rsidRPr="00B267CC" w:rsidRDefault="009D3B1F" w:rsidP="0074227A">
      <w:pPr>
        <w:jc w:val="both"/>
        <w:rPr>
          <w:sz w:val="22"/>
          <w:szCs w:val="22"/>
          <w:lang w:val="sr-Latn-ME"/>
        </w:rPr>
      </w:pPr>
    </w:p>
    <w:p w14:paraId="129D3F51" w14:textId="77777777" w:rsidR="009D3B1F" w:rsidRPr="00B267CC" w:rsidRDefault="009D3B1F" w:rsidP="0074227A">
      <w:pPr>
        <w:jc w:val="both"/>
        <w:rPr>
          <w:sz w:val="22"/>
          <w:szCs w:val="22"/>
          <w:lang w:val="sr-Latn-ME"/>
        </w:rPr>
      </w:pPr>
      <w:r w:rsidRPr="00B267CC">
        <w:rPr>
          <w:sz w:val="22"/>
          <w:szCs w:val="22"/>
          <w:lang w:val="sr-Latn-ME"/>
        </w:rPr>
        <w:t>Takođe su sprovedene studije u kojima je istovremeno primjenjivan pantoprazol sa odgovarajućim antibioticima (klaritromicin, metronidazol, amoksicilin). Nijesu utvrđene klinički značajne interakcije.</w:t>
      </w:r>
    </w:p>
    <w:p w14:paraId="0B074036" w14:textId="77777777" w:rsidR="0074227A" w:rsidRPr="00B267CC" w:rsidRDefault="0074227A" w:rsidP="0074227A">
      <w:pPr>
        <w:jc w:val="both"/>
        <w:rPr>
          <w:sz w:val="22"/>
          <w:szCs w:val="22"/>
          <w:lang w:val="sr-Latn-ME"/>
        </w:rPr>
      </w:pPr>
    </w:p>
    <w:p w14:paraId="6B69C644" w14:textId="4A853761" w:rsidR="0074227A" w:rsidRPr="00B267CC" w:rsidRDefault="0074227A" w:rsidP="00594434">
      <w:pPr>
        <w:tabs>
          <w:tab w:val="left" w:pos="540"/>
          <w:tab w:val="left" w:pos="569"/>
        </w:tabs>
        <w:jc w:val="both"/>
        <w:rPr>
          <w:bCs/>
          <w:i/>
          <w:iCs/>
          <w:sz w:val="22"/>
          <w:szCs w:val="22"/>
          <w:lang w:val="sr-Latn-ME"/>
        </w:rPr>
      </w:pPr>
      <w:r w:rsidRPr="00B267CC">
        <w:rPr>
          <w:bCs/>
          <w:i/>
          <w:iCs/>
          <w:sz w:val="22"/>
          <w:szCs w:val="22"/>
          <w:lang w:val="sr-Latn-ME"/>
        </w:rPr>
        <w:t>Ljekovi koji inhibiraju ili indukuju CYP2C19</w:t>
      </w:r>
    </w:p>
    <w:p w14:paraId="53E81A55" w14:textId="621A21E0" w:rsidR="0074227A" w:rsidRPr="00877480" w:rsidRDefault="0074227A" w:rsidP="00594434">
      <w:pPr>
        <w:tabs>
          <w:tab w:val="left" w:pos="540"/>
          <w:tab w:val="left" w:pos="569"/>
        </w:tabs>
        <w:jc w:val="both"/>
        <w:rPr>
          <w:bCs/>
          <w:sz w:val="22"/>
          <w:szCs w:val="22"/>
          <w:lang w:val="sr-Latn-ME"/>
        </w:rPr>
      </w:pPr>
      <w:r w:rsidRPr="00B267CC">
        <w:rPr>
          <w:bCs/>
          <w:sz w:val="22"/>
          <w:szCs w:val="22"/>
          <w:lang w:val="sr-Latn-ME"/>
        </w:rPr>
        <w:t>Inhibitori CYP2C19 kao što su fluvoksamin mogu povećati sistemsku izloženost pantoprazola. Treba razmotriti smanjenje doze kod pacijenata koji su na dugotrajnoj terapiji velikim dozama pantoprazol</w:t>
      </w:r>
      <w:r w:rsidR="00877480">
        <w:rPr>
          <w:bCs/>
          <w:sz w:val="22"/>
          <w:szCs w:val="22"/>
          <w:lang w:val="sr-Latn-ME"/>
        </w:rPr>
        <w:t>a</w:t>
      </w:r>
      <w:r w:rsidRPr="00877480">
        <w:rPr>
          <w:bCs/>
          <w:sz w:val="22"/>
          <w:szCs w:val="22"/>
          <w:lang w:val="sr-Latn-ME"/>
        </w:rPr>
        <w:t xml:space="preserve"> ili kod pacijenata sa oštećenjem jetre.</w:t>
      </w:r>
    </w:p>
    <w:p w14:paraId="0A4723FF" w14:textId="77777777" w:rsidR="0074227A" w:rsidRPr="00F90EB6" w:rsidRDefault="0074227A" w:rsidP="00594434">
      <w:pPr>
        <w:tabs>
          <w:tab w:val="left" w:pos="540"/>
          <w:tab w:val="left" w:pos="569"/>
        </w:tabs>
        <w:jc w:val="both"/>
        <w:rPr>
          <w:bCs/>
          <w:sz w:val="22"/>
          <w:szCs w:val="22"/>
          <w:lang w:val="sr-Latn-ME"/>
        </w:rPr>
      </w:pPr>
    </w:p>
    <w:p w14:paraId="663C9D70" w14:textId="77777777" w:rsidR="0074227A" w:rsidRPr="004F434B" w:rsidRDefault="0074227A" w:rsidP="00594434">
      <w:pPr>
        <w:tabs>
          <w:tab w:val="left" w:pos="540"/>
          <w:tab w:val="left" w:pos="569"/>
        </w:tabs>
        <w:jc w:val="both"/>
        <w:rPr>
          <w:bCs/>
          <w:sz w:val="22"/>
          <w:szCs w:val="22"/>
          <w:lang w:val="sr-Latn-ME"/>
        </w:rPr>
      </w:pPr>
      <w:r w:rsidRPr="00F90EB6">
        <w:rPr>
          <w:bCs/>
          <w:sz w:val="22"/>
          <w:szCs w:val="22"/>
          <w:lang w:val="sr-Latn-ME"/>
        </w:rPr>
        <w:t>Induktori CYP2C19 i CYP3A4 enzima kao što su rifampicin i kantarion (</w:t>
      </w:r>
      <w:r w:rsidRPr="00260EB7">
        <w:rPr>
          <w:bCs/>
          <w:i/>
          <w:sz w:val="22"/>
          <w:szCs w:val="22"/>
          <w:lang w:val="sr-Latn-ME"/>
        </w:rPr>
        <w:t>Hypericum perforatum</w:t>
      </w:r>
      <w:r w:rsidRPr="00877480">
        <w:rPr>
          <w:bCs/>
          <w:sz w:val="22"/>
          <w:szCs w:val="22"/>
          <w:lang w:val="sr-Latn-ME"/>
        </w:rPr>
        <w:t xml:space="preserve">) mogu smanjiti plazma koncentraciju inhibitora protonske pumpe koji </w:t>
      </w:r>
      <w:r w:rsidRPr="004F434B">
        <w:rPr>
          <w:bCs/>
          <w:sz w:val="22"/>
          <w:szCs w:val="22"/>
          <w:lang w:val="sr-Latn-ME"/>
        </w:rPr>
        <w:t>se metabolišu ovim enzimskim sistemom.</w:t>
      </w:r>
    </w:p>
    <w:p w14:paraId="3E70CD8B" w14:textId="77777777" w:rsidR="0074227A" w:rsidRPr="004F434B" w:rsidRDefault="0074227A" w:rsidP="00646791">
      <w:pPr>
        <w:tabs>
          <w:tab w:val="left" w:pos="540"/>
          <w:tab w:val="left" w:pos="569"/>
        </w:tabs>
        <w:jc w:val="both"/>
        <w:rPr>
          <w:bCs/>
          <w:sz w:val="22"/>
          <w:szCs w:val="22"/>
          <w:lang w:val="sr-Latn-ME"/>
        </w:rPr>
      </w:pPr>
    </w:p>
    <w:p w14:paraId="088A3101" w14:textId="2FBDBC65" w:rsidR="0074227A" w:rsidRPr="00B46DBD" w:rsidRDefault="0074227A" w:rsidP="00646791">
      <w:pPr>
        <w:tabs>
          <w:tab w:val="left" w:pos="540"/>
          <w:tab w:val="left" w:pos="569"/>
        </w:tabs>
        <w:jc w:val="both"/>
        <w:rPr>
          <w:bCs/>
          <w:i/>
          <w:iCs/>
          <w:sz w:val="22"/>
          <w:szCs w:val="22"/>
          <w:lang w:val="sr-Latn-ME"/>
        </w:rPr>
      </w:pPr>
      <w:r w:rsidRPr="00B46DBD">
        <w:rPr>
          <w:bCs/>
          <w:i/>
          <w:iCs/>
          <w:sz w:val="22"/>
          <w:szCs w:val="22"/>
          <w:lang w:val="sr-Latn-ME"/>
        </w:rPr>
        <w:t>Interakcije lijeka sa laboratorijskim analizama</w:t>
      </w:r>
    </w:p>
    <w:p w14:paraId="3592B8DA" w14:textId="1F928656" w:rsidR="009D3B1F" w:rsidRPr="004F434B" w:rsidRDefault="0074227A" w:rsidP="00646791">
      <w:pPr>
        <w:tabs>
          <w:tab w:val="left" w:pos="540"/>
          <w:tab w:val="left" w:pos="569"/>
        </w:tabs>
        <w:jc w:val="both"/>
        <w:rPr>
          <w:bCs/>
          <w:sz w:val="22"/>
          <w:szCs w:val="22"/>
          <w:lang w:val="sr-Latn-ME"/>
        </w:rPr>
      </w:pPr>
      <w:r w:rsidRPr="00B46DBD">
        <w:rPr>
          <w:bCs/>
          <w:sz w:val="22"/>
          <w:szCs w:val="22"/>
          <w:lang w:val="sr-Latn-ME"/>
        </w:rPr>
        <w:t>Kod pacijenata koji su primali pantoprazol zab</w:t>
      </w:r>
      <w:r w:rsidR="00877480">
        <w:rPr>
          <w:bCs/>
          <w:sz w:val="22"/>
          <w:szCs w:val="22"/>
          <w:lang w:val="sr-Latn-ME"/>
        </w:rPr>
        <w:t>i</w:t>
      </w:r>
      <w:r w:rsidRPr="00877480">
        <w:rPr>
          <w:bCs/>
          <w:sz w:val="22"/>
          <w:szCs w:val="22"/>
          <w:lang w:val="sr-Latn-ME"/>
        </w:rPr>
        <w:t>l</w:t>
      </w:r>
      <w:r w:rsidR="00877480">
        <w:rPr>
          <w:bCs/>
          <w:sz w:val="22"/>
          <w:szCs w:val="22"/>
          <w:lang w:val="sr-Latn-ME"/>
        </w:rPr>
        <w:t>j</w:t>
      </w:r>
      <w:r w:rsidRPr="00877480">
        <w:rPr>
          <w:bCs/>
          <w:sz w:val="22"/>
          <w:szCs w:val="22"/>
          <w:lang w:val="sr-Latn-ME"/>
        </w:rPr>
        <w:t>eženi su lažno pozitivni rezultati u nekim pretragama urina na tetrahidrokanabinol (THC). Potrebno je razmotriti korišće</w:t>
      </w:r>
      <w:r w:rsidRPr="004F434B">
        <w:rPr>
          <w:bCs/>
          <w:sz w:val="22"/>
          <w:szCs w:val="22"/>
          <w:lang w:val="sr-Latn-ME"/>
        </w:rPr>
        <w:t>nje zamenske potvrdne metode za proveru pozitivnih rezultata.</w:t>
      </w:r>
    </w:p>
    <w:p w14:paraId="2A5360F2" w14:textId="77777777" w:rsidR="009D3B1F" w:rsidRPr="004F434B" w:rsidRDefault="009D3B1F" w:rsidP="00480FB1">
      <w:pPr>
        <w:tabs>
          <w:tab w:val="left" w:pos="540"/>
          <w:tab w:val="left" w:pos="569"/>
        </w:tabs>
        <w:rPr>
          <w:bCs/>
          <w:sz w:val="22"/>
          <w:szCs w:val="22"/>
        </w:rPr>
      </w:pPr>
    </w:p>
    <w:p w14:paraId="0336DF4D" w14:textId="77777777" w:rsidR="0072020E" w:rsidRPr="00B267CC" w:rsidRDefault="0072020E" w:rsidP="00480FB1">
      <w:pPr>
        <w:tabs>
          <w:tab w:val="left" w:pos="540"/>
          <w:tab w:val="left" w:pos="569"/>
        </w:tabs>
        <w:rPr>
          <w:b/>
          <w:sz w:val="22"/>
          <w:szCs w:val="22"/>
          <w:lang w:val="sr-Latn-CS"/>
        </w:rPr>
      </w:pPr>
      <w:r w:rsidRPr="00B46DBD">
        <w:rPr>
          <w:b/>
          <w:bCs/>
          <w:sz w:val="22"/>
          <w:szCs w:val="22"/>
        </w:rPr>
        <w:t xml:space="preserve">4.6. </w:t>
      </w:r>
      <w:r w:rsidR="00480FB1" w:rsidRPr="00B267CC">
        <w:rPr>
          <w:b/>
          <w:bCs/>
          <w:sz w:val="22"/>
          <w:szCs w:val="22"/>
        </w:rPr>
        <w:tab/>
      </w:r>
      <w:r w:rsidR="006D20A5" w:rsidRPr="00B267CC">
        <w:rPr>
          <w:b/>
          <w:sz w:val="22"/>
          <w:szCs w:val="22"/>
          <w:lang w:val="sr-Latn-CS"/>
        </w:rPr>
        <w:t>Plodnost, trudnoća i dojenje</w:t>
      </w:r>
    </w:p>
    <w:p w14:paraId="6B213F2C" w14:textId="77777777" w:rsidR="002031B3" w:rsidRPr="00B267CC" w:rsidRDefault="002031B3" w:rsidP="00480FB1">
      <w:pPr>
        <w:tabs>
          <w:tab w:val="left" w:pos="540"/>
          <w:tab w:val="left" w:pos="569"/>
        </w:tabs>
        <w:rPr>
          <w:sz w:val="22"/>
          <w:szCs w:val="22"/>
          <w:u w:val="single"/>
        </w:rPr>
      </w:pPr>
    </w:p>
    <w:p w14:paraId="75816FA6" w14:textId="77777777" w:rsidR="002031B3" w:rsidRPr="00B267CC" w:rsidRDefault="002031B3" w:rsidP="002031B3">
      <w:pPr>
        <w:tabs>
          <w:tab w:val="left" w:pos="540"/>
          <w:tab w:val="left" w:pos="569"/>
        </w:tabs>
        <w:rPr>
          <w:sz w:val="22"/>
          <w:szCs w:val="22"/>
          <w:u w:val="single"/>
        </w:rPr>
      </w:pPr>
      <w:r w:rsidRPr="00B267CC">
        <w:rPr>
          <w:sz w:val="22"/>
          <w:szCs w:val="22"/>
          <w:u w:val="single"/>
        </w:rPr>
        <w:t>Plodnost</w:t>
      </w:r>
    </w:p>
    <w:p w14:paraId="72E33E79" w14:textId="144E55CD" w:rsidR="0074227A" w:rsidRPr="00B267CC" w:rsidRDefault="0074227A" w:rsidP="00594434">
      <w:pPr>
        <w:tabs>
          <w:tab w:val="left" w:pos="540"/>
          <w:tab w:val="left" w:pos="569"/>
        </w:tabs>
        <w:jc w:val="both"/>
        <w:rPr>
          <w:sz w:val="22"/>
          <w:szCs w:val="22"/>
        </w:rPr>
      </w:pPr>
      <w:r w:rsidRPr="00B267CC">
        <w:rPr>
          <w:sz w:val="22"/>
          <w:szCs w:val="22"/>
        </w:rPr>
        <w:t>U ispitivanjima na životinjama nije bilo dokaza o smanjenoj plodnost nakon primjene pantoprazola (videti dio 5.3).</w:t>
      </w:r>
    </w:p>
    <w:p w14:paraId="01A51D08" w14:textId="77777777" w:rsidR="002031B3" w:rsidRPr="00B267CC" w:rsidRDefault="002031B3" w:rsidP="002031B3">
      <w:pPr>
        <w:tabs>
          <w:tab w:val="left" w:pos="540"/>
          <w:tab w:val="left" w:pos="569"/>
        </w:tabs>
        <w:rPr>
          <w:sz w:val="22"/>
          <w:szCs w:val="22"/>
          <w:u w:val="single"/>
        </w:rPr>
      </w:pPr>
    </w:p>
    <w:p w14:paraId="4EF95810" w14:textId="5B49A9C9" w:rsidR="009D3B1F" w:rsidRPr="00B267CC" w:rsidRDefault="009D3B1F" w:rsidP="002031B3">
      <w:pPr>
        <w:tabs>
          <w:tab w:val="left" w:pos="540"/>
          <w:tab w:val="left" w:pos="569"/>
        </w:tabs>
        <w:rPr>
          <w:sz w:val="22"/>
          <w:szCs w:val="22"/>
          <w:u w:val="single"/>
        </w:rPr>
      </w:pPr>
      <w:r w:rsidRPr="00B267CC">
        <w:rPr>
          <w:sz w:val="22"/>
          <w:szCs w:val="22"/>
          <w:u w:val="single"/>
        </w:rPr>
        <w:t>Trudnoća</w:t>
      </w:r>
    </w:p>
    <w:p w14:paraId="5A2DD3EE" w14:textId="1DC76613" w:rsidR="0074227A" w:rsidRPr="00B267CC" w:rsidRDefault="0074227A" w:rsidP="00594434">
      <w:pPr>
        <w:tabs>
          <w:tab w:val="left" w:pos="540"/>
          <w:tab w:val="left" w:pos="569"/>
        </w:tabs>
        <w:jc w:val="both"/>
        <w:rPr>
          <w:sz w:val="22"/>
          <w:szCs w:val="22"/>
          <w:lang w:val="sr-Latn-ME"/>
        </w:rPr>
      </w:pPr>
      <w:r w:rsidRPr="00B267CC">
        <w:rPr>
          <w:sz w:val="22"/>
          <w:szCs w:val="22"/>
          <w:lang w:val="sr-Latn-ME"/>
        </w:rPr>
        <w:t>Ograničeni podaci kod trudnica (između 300-1000 ishoda trudnoće) ukazuju da lijek Controloc i.v. nema malformativnu ili feto/neonatalnu toksičnost.</w:t>
      </w:r>
    </w:p>
    <w:p w14:paraId="2B2843CE" w14:textId="27063780" w:rsidR="0074227A" w:rsidRPr="00B267CC" w:rsidRDefault="0074227A" w:rsidP="00594434">
      <w:pPr>
        <w:tabs>
          <w:tab w:val="left" w:pos="540"/>
          <w:tab w:val="left" w:pos="569"/>
        </w:tabs>
        <w:jc w:val="both"/>
        <w:rPr>
          <w:sz w:val="22"/>
          <w:szCs w:val="22"/>
          <w:lang w:val="sr-Latn-ME"/>
        </w:rPr>
      </w:pPr>
      <w:r w:rsidRPr="00B267CC">
        <w:rPr>
          <w:sz w:val="22"/>
          <w:szCs w:val="22"/>
          <w:lang w:val="sr-Latn-ME"/>
        </w:rPr>
        <w:t>Studije na životinjama su pokazale reproduktivnu toksičnost (vid</w:t>
      </w:r>
      <w:r w:rsidR="00594434" w:rsidRPr="00B267CC">
        <w:rPr>
          <w:sz w:val="22"/>
          <w:szCs w:val="22"/>
          <w:lang w:val="sr-Latn-ME"/>
        </w:rPr>
        <w:t>j</w:t>
      </w:r>
      <w:r w:rsidRPr="00B267CC">
        <w:rPr>
          <w:sz w:val="22"/>
          <w:szCs w:val="22"/>
          <w:lang w:val="sr-Latn-ME"/>
        </w:rPr>
        <w:t>eti dio 5.3).</w:t>
      </w:r>
    </w:p>
    <w:p w14:paraId="089BA0CB" w14:textId="24006FC8" w:rsidR="0074227A" w:rsidRPr="00B267CC" w:rsidRDefault="0074227A" w:rsidP="0074227A">
      <w:pPr>
        <w:jc w:val="both"/>
        <w:rPr>
          <w:sz w:val="22"/>
          <w:szCs w:val="22"/>
          <w:lang w:val="sr-Latn-ME"/>
        </w:rPr>
      </w:pPr>
      <w:r w:rsidRPr="00B267CC">
        <w:rPr>
          <w:sz w:val="22"/>
          <w:szCs w:val="22"/>
          <w:lang w:val="sr-Latn-ME"/>
        </w:rPr>
        <w:t>Kao m</w:t>
      </w:r>
      <w:r w:rsidR="00594434" w:rsidRPr="00B267CC">
        <w:rPr>
          <w:sz w:val="22"/>
          <w:szCs w:val="22"/>
          <w:lang w:val="sr-Latn-ME"/>
        </w:rPr>
        <w:t>j</w:t>
      </w:r>
      <w:r w:rsidRPr="00B267CC">
        <w:rPr>
          <w:sz w:val="22"/>
          <w:szCs w:val="22"/>
          <w:lang w:val="sr-Latn-ME"/>
        </w:rPr>
        <w:t>era opreza, preporučuje se izbegavanje prim</w:t>
      </w:r>
      <w:r w:rsidR="00594434" w:rsidRPr="00B267CC">
        <w:rPr>
          <w:sz w:val="22"/>
          <w:szCs w:val="22"/>
          <w:lang w:val="sr-Latn-ME"/>
        </w:rPr>
        <w:t>j</w:t>
      </w:r>
      <w:r w:rsidRPr="00B267CC">
        <w:rPr>
          <w:sz w:val="22"/>
          <w:szCs w:val="22"/>
          <w:lang w:val="sr-Latn-ME"/>
        </w:rPr>
        <w:t>ene l</w:t>
      </w:r>
      <w:r w:rsidR="00594434" w:rsidRPr="00B267CC">
        <w:rPr>
          <w:sz w:val="22"/>
          <w:szCs w:val="22"/>
          <w:lang w:val="sr-Latn-ME"/>
        </w:rPr>
        <w:t>ij</w:t>
      </w:r>
      <w:r w:rsidRPr="00B267CC">
        <w:rPr>
          <w:sz w:val="22"/>
          <w:szCs w:val="22"/>
          <w:lang w:val="sr-Latn-ME"/>
        </w:rPr>
        <w:t>eka Controloc i.v. 40 mg tokom trudnoće.</w:t>
      </w:r>
    </w:p>
    <w:p w14:paraId="5AE1A939" w14:textId="77777777" w:rsidR="0074227A" w:rsidRPr="00B267CC" w:rsidRDefault="0074227A" w:rsidP="0074227A">
      <w:pPr>
        <w:jc w:val="both"/>
        <w:rPr>
          <w:sz w:val="22"/>
          <w:szCs w:val="22"/>
          <w:lang w:val="sr-Latn-ME"/>
        </w:rPr>
      </w:pPr>
    </w:p>
    <w:p w14:paraId="17979046" w14:textId="77777777" w:rsidR="009D3B1F" w:rsidRPr="00B267CC" w:rsidRDefault="009D3B1F" w:rsidP="009D3B1F">
      <w:pPr>
        <w:jc w:val="both"/>
        <w:rPr>
          <w:iCs/>
          <w:sz w:val="22"/>
          <w:szCs w:val="22"/>
          <w:lang w:val="sr-Latn-ME"/>
        </w:rPr>
      </w:pPr>
      <w:r w:rsidRPr="00B267CC">
        <w:rPr>
          <w:iCs/>
          <w:sz w:val="22"/>
          <w:szCs w:val="22"/>
          <w:lang w:val="sr-Latn-ME"/>
        </w:rPr>
        <w:t>Dojenje</w:t>
      </w:r>
    </w:p>
    <w:p w14:paraId="6F1E0B8D" w14:textId="3554431B" w:rsidR="0074227A" w:rsidRPr="006C101E" w:rsidRDefault="009D3B1F" w:rsidP="009D3B1F">
      <w:pPr>
        <w:jc w:val="both"/>
        <w:rPr>
          <w:sz w:val="22"/>
          <w:szCs w:val="22"/>
          <w:lang w:val="sr-Latn-ME"/>
        </w:rPr>
      </w:pPr>
      <w:r w:rsidRPr="00B267CC">
        <w:rPr>
          <w:sz w:val="22"/>
          <w:szCs w:val="22"/>
          <w:lang w:val="sr-Latn-ME"/>
        </w:rPr>
        <w:t xml:space="preserve">Studije na životinjama su pokazale ekskreciju pantoprazola u mlijeko. </w:t>
      </w:r>
      <w:r w:rsidR="0074227A" w:rsidRPr="00B267CC">
        <w:rPr>
          <w:sz w:val="22"/>
          <w:szCs w:val="22"/>
          <w:lang w:val="sr-Latn-ME"/>
        </w:rPr>
        <w:t>Nema dovoljno informacija</w:t>
      </w:r>
      <w:r w:rsidR="006C101E">
        <w:rPr>
          <w:sz w:val="22"/>
          <w:szCs w:val="22"/>
          <w:lang w:val="sr-Latn-ME"/>
        </w:rPr>
        <w:t xml:space="preserve">, </w:t>
      </w:r>
      <w:r w:rsidR="006C101E" w:rsidRPr="006C101E">
        <w:rPr>
          <w:sz w:val="22"/>
          <w:szCs w:val="22"/>
          <w:lang w:val="sr-Latn-ME"/>
        </w:rPr>
        <w:t>ali postoje izvještaji o ekskreciji</w:t>
      </w:r>
      <w:r w:rsidR="0074227A" w:rsidRPr="006C101E">
        <w:rPr>
          <w:sz w:val="22"/>
          <w:szCs w:val="22"/>
          <w:lang w:val="sr-Latn-ME"/>
        </w:rPr>
        <w:t xml:space="preserve"> pantoprazola u humano ml</w:t>
      </w:r>
      <w:r w:rsidR="006C101E">
        <w:rPr>
          <w:sz w:val="22"/>
          <w:szCs w:val="22"/>
          <w:lang w:val="sr-Latn-ME"/>
        </w:rPr>
        <w:t>ij</w:t>
      </w:r>
      <w:r w:rsidR="0074227A" w:rsidRPr="006C101E">
        <w:rPr>
          <w:sz w:val="22"/>
          <w:szCs w:val="22"/>
          <w:lang w:val="sr-Latn-ME"/>
        </w:rPr>
        <w:t>eko Upravo zbog ovoga se ne može isključiti rizik za novorođenče/odojče. Zbog toga, odluku o tome da li treba nastaviti/prekinuti dojenje ili nastaviti/prekinuti terapiju lekom Controloc i.v. treba don</w:t>
      </w:r>
      <w:r w:rsidR="006C101E">
        <w:rPr>
          <w:sz w:val="22"/>
          <w:szCs w:val="22"/>
          <w:lang w:val="sr-Latn-ME"/>
        </w:rPr>
        <w:t>ij</w:t>
      </w:r>
      <w:r w:rsidR="0074227A" w:rsidRPr="006C101E">
        <w:rPr>
          <w:sz w:val="22"/>
          <w:szCs w:val="22"/>
          <w:lang w:val="sr-Latn-ME"/>
        </w:rPr>
        <w:t>eti uzimajući u obzir korist dojenja za d</w:t>
      </w:r>
      <w:r w:rsidR="006C101E">
        <w:rPr>
          <w:sz w:val="22"/>
          <w:szCs w:val="22"/>
          <w:lang w:val="sr-Latn-ME"/>
        </w:rPr>
        <w:t>ij</w:t>
      </w:r>
      <w:r w:rsidR="0074227A" w:rsidRPr="006C101E">
        <w:rPr>
          <w:sz w:val="22"/>
          <w:szCs w:val="22"/>
          <w:lang w:val="sr-Latn-ME"/>
        </w:rPr>
        <w:t>ete i korist terapije l</w:t>
      </w:r>
      <w:r w:rsidR="006C101E">
        <w:rPr>
          <w:sz w:val="22"/>
          <w:szCs w:val="22"/>
          <w:lang w:val="sr-Latn-ME"/>
        </w:rPr>
        <w:t>ij</w:t>
      </w:r>
      <w:r w:rsidR="0074227A" w:rsidRPr="006C101E">
        <w:rPr>
          <w:sz w:val="22"/>
          <w:szCs w:val="22"/>
          <w:lang w:val="sr-Latn-ME"/>
        </w:rPr>
        <w:t>ekom Controloc i.v. za majku.</w:t>
      </w:r>
    </w:p>
    <w:p w14:paraId="11B4638D" w14:textId="77777777" w:rsidR="00227BDB" w:rsidRPr="006C101E" w:rsidRDefault="00227BDB" w:rsidP="0074227A">
      <w:pPr>
        <w:jc w:val="both"/>
        <w:rPr>
          <w:b/>
          <w:bCs/>
          <w:sz w:val="22"/>
          <w:szCs w:val="22"/>
        </w:rPr>
      </w:pPr>
    </w:p>
    <w:p w14:paraId="505BD510" w14:textId="77777777" w:rsidR="0072020E" w:rsidRPr="00B267CC" w:rsidRDefault="0072020E" w:rsidP="00396DFD">
      <w:pPr>
        <w:tabs>
          <w:tab w:val="left" w:pos="540"/>
          <w:tab w:val="left" w:pos="569"/>
        </w:tabs>
        <w:ind w:left="540" w:hanging="540"/>
        <w:rPr>
          <w:b/>
          <w:bCs/>
          <w:sz w:val="22"/>
          <w:szCs w:val="22"/>
        </w:rPr>
      </w:pPr>
      <w:r w:rsidRPr="004F434B">
        <w:rPr>
          <w:b/>
          <w:bCs/>
          <w:sz w:val="22"/>
          <w:szCs w:val="22"/>
        </w:rPr>
        <w:t xml:space="preserve">4.7. </w:t>
      </w:r>
      <w:r w:rsidR="00480FB1" w:rsidRPr="00B267CC">
        <w:rPr>
          <w:b/>
          <w:bCs/>
          <w:sz w:val="22"/>
          <w:szCs w:val="22"/>
        </w:rPr>
        <w:tab/>
      </w:r>
      <w:r w:rsidRPr="00B267CC">
        <w:rPr>
          <w:b/>
          <w:bCs/>
          <w:sz w:val="22"/>
          <w:szCs w:val="22"/>
        </w:rPr>
        <w:t xml:space="preserve">Uticaj na </w:t>
      </w:r>
      <w:r w:rsidR="002031B3" w:rsidRPr="00B267CC">
        <w:rPr>
          <w:b/>
          <w:bCs/>
          <w:sz w:val="22"/>
          <w:szCs w:val="22"/>
        </w:rPr>
        <w:t xml:space="preserve">sposobnost </w:t>
      </w:r>
      <w:r w:rsidR="00F34554" w:rsidRPr="00B267CC">
        <w:rPr>
          <w:b/>
          <w:bCs/>
          <w:sz w:val="22"/>
          <w:szCs w:val="22"/>
        </w:rPr>
        <w:t>upravljanja vozili</w:t>
      </w:r>
      <w:r w:rsidRPr="00B267CC">
        <w:rPr>
          <w:b/>
          <w:bCs/>
          <w:sz w:val="22"/>
          <w:szCs w:val="22"/>
        </w:rPr>
        <w:t>m</w:t>
      </w:r>
      <w:r w:rsidR="00F34554" w:rsidRPr="00B267CC">
        <w:rPr>
          <w:b/>
          <w:bCs/>
          <w:sz w:val="22"/>
          <w:szCs w:val="22"/>
        </w:rPr>
        <w:t>a</w:t>
      </w:r>
      <w:r w:rsidRPr="00B267CC">
        <w:rPr>
          <w:b/>
          <w:bCs/>
          <w:sz w:val="22"/>
          <w:szCs w:val="22"/>
        </w:rPr>
        <w:t xml:space="preserve"> i </w:t>
      </w:r>
      <w:r w:rsidR="000D3449" w:rsidRPr="00B267CC">
        <w:rPr>
          <w:b/>
          <w:bCs/>
          <w:sz w:val="22"/>
          <w:szCs w:val="22"/>
        </w:rPr>
        <w:t xml:space="preserve">rukovanje </w:t>
      </w:r>
      <w:r w:rsidRPr="00B267CC">
        <w:rPr>
          <w:b/>
          <w:bCs/>
          <w:sz w:val="22"/>
          <w:szCs w:val="22"/>
        </w:rPr>
        <w:t>mašinama</w:t>
      </w:r>
    </w:p>
    <w:p w14:paraId="16101343" w14:textId="77777777" w:rsidR="009D3B1F" w:rsidRPr="00B267CC" w:rsidRDefault="009D3B1F" w:rsidP="00396DFD">
      <w:pPr>
        <w:tabs>
          <w:tab w:val="left" w:pos="540"/>
          <w:tab w:val="left" w:pos="569"/>
        </w:tabs>
        <w:ind w:left="540" w:hanging="540"/>
        <w:rPr>
          <w:b/>
          <w:bCs/>
          <w:sz w:val="22"/>
          <w:szCs w:val="22"/>
        </w:rPr>
      </w:pPr>
    </w:p>
    <w:p w14:paraId="6939D9BC" w14:textId="0AED6538" w:rsidR="0074227A" w:rsidRPr="00B267CC" w:rsidRDefault="0074227A" w:rsidP="009D3B1F">
      <w:pPr>
        <w:jc w:val="both"/>
        <w:rPr>
          <w:sz w:val="22"/>
          <w:szCs w:val="22"/>
          <w:lang w:val="sr-Latn-ME"/>
        </w:rPr>
      </w:pPr>
      <w:r w:rsidRPr="00B267CC">
        <w:rPr>
          <w:sz w:val="22"/>
          <w:szCs w:val="22"/>
          <w:lang w:val="sr-Latn-ME"/>
        </w:rPr>
        <w:t>Primjena pantoprazola nema ili ima zanemarljiv uticaj na sposobnost upravljanja vozilima i rukovanja mašinama.</w:t>
      </w:r>
    </w:p>
    <w:p w14:paraId="0A6C29A1" w14:textId="77777777" w:rsidR="0074227A" w:rsidRPr="00B267CC" w:rsidRDefault="0074227A" w:rsidP="009D3B1F">
      <w:pPr>
        <w:jc w:val="both"/>
        <w:rPr>
          <w:sz w:val="22"/>
          <w:szCs w:val="22"/>
          <w:lang w:val="sr-Latn-ME"/>
        </w:rPr>
      </w:pPr>
    </w:p>
    <w:p w14:paraId="75DECB41" w14:textId="3C891EAE" w:rsidR="009D3B1F" w:rsidRPr="006C101E" w:rsidRDefault="009D3B1F" w:rsidP="009D3B1F">
      <w:pPr>
        <w:jc w:val="both"/>
        <w:rPr>
          <w:sz w:val="22"/>
          <w:szCs w:val="22"/>
          <w:lang w:val="sr-Latn-ME"/>
        </w:rPr>
      </w:pPr>
      <w:r w:rsidRPr="00B267CC">
        <w:rPr>
          <w:sz w:val="22"/>
          <w:szCs w:val="22"/>
          <w:lang w:val="sr-Latn-ME"/>
        </w:rPr>
        <w:t xml:space="preserve">Mogu se javiti neželjena dejstva kao </w:t>
      </w:r>
      <w:r w:rsidR="006C101E">
        <w:rPr>
          <w:sz w:val="22"/>
          <w:szCs w:val="22"/>
          <w:lang w:val="sr-Latn-ME"/>
        </w:rPr>
        <w:t xml:space="preserve">što su </w:t>
      </w:r>
      <w:r w:rsidRPr="006C101E">
        <w:rPr>
          <w:sz w:val="22"/>
          <w:szCs w:val="22"/>
          <w:lang w:val="sr-Latn-ME"/>
        </w:rPr>
        <w:t xml:space="preserve">vrtoglavica i poremećaji vida (vidjeti </w:t>
      </w:r>
      <w:r w:rsidR="001D47F7" w:rsidRPr="006C101E">
        <w:rPr>
          <w:sz w:val="22"/>
          <w:szCs w:val="22"/>
          <w:lang w:val="sr-Latn-ME"/>
        </w:rPr>
        <w:t xml:space="preserve">dio </w:t>
      </w:r>
      <w:r w:rsidRPr="006C101E">
        <w:rPr>
          <w:sz w:val="22"/>
          <w:szCs w:val="22"/>
          <w:lang w:val="sr-Latn-ME"/>
        </w:rPr>
        <w:t>4.8). U takvim slučajevima pacijenti ne smiju upravljati motornim vozilom ili rukovati mašinama.</w:t>
      </w:r>
    </w:p>
    <w:p w14:paraId="6E09B388" w14:textId="77777777" w:rsidR="0072020E" w:rsidRPr="006C101E" w:rsidRDefault="0072020E" w:rsidP="00480FB1">
      <w:pPr>
        <w:tabs>
          <w:tab w:val="left" w:pos="540"/>
          <w:tab w:val="left" w:pos="569"/>
        </w:tabs>
        <w:rPr>
          <w:b/>
          <w:bCs/>
          <w:sz w:val="22"/>
          <w:szCs w:val="22"/>
        </w:rPr>
      </w:pPr>
    </w:p>
    <w:p w14:paraId="053957C1" w14:textId="77777777" w:rsidR="0072020E" w:rsidRPr="00B267CC" w:rsidRDefault="0072020E" w:rsidP="00480FB1">
      <w:pPr>
        <w:tabs>
          <w:tab w:val="left" w:pos="540"/>
          <w:tab w:val="left" w:pos="569"/>
        </w:tabs>
        <w:rPr>
          <w:b/>
          <w:bCs/>
          <w:sz w:val="22"/>
          <w:szCs w:val="22"/>
        </w:rPr>
      </w:pPr>
      <w:r w:rsidRPr="004F434B">
        <w:rPr>
          <w:b/>
          <w:bCs/>
          <w:sz w:val="22"/>
          <w:szCs w:val="22"/>
        </w:rPr>
        <w:t xml:space="preserve">4.8. </w:t>
      </w:r>
      <w:r w:rsidR="00480FB1" w:rsidRPr="00B267CC">
        <w:rPr>
          <w:b/>
          <w:bCs/>
          <w:sz w:val="22"/>
          <w:szCs w:val="22"/>
        </w:rPr>
        <w:tab/>
      </w:r>
      <w:r w:rsidRPr="00B267CC">
        <w:rPr>
          <w:b/>
          <w:bCs/>
          <w:sz w:val="22"/>
          <w:szCs w:val="22"/>
        </w:rPr>
        <w:t>Neželjena dejstva</w:t>
      </w:r>
    </w:p>
    <w:p w14:paraId="03E83799" w14:textId="77777777" w:rsidR="004E70AD" w:rsidRPr="00B267CC" w:rsidRDefault="004E70AD" w:rsidP="00480FB1">
      <w:pPr>
        <w:tabs>
          <w:tab w:val="left" w:pos="540"/>
          <w:tab w:val="left" w:pos="569"/>
        </w:tabs>
        <w:rPr>
          <w:b/>
          <w:bCs/>
          <w:sz w:val="22"/>
          <w:szCs w:val="22"/>
        </w:rPr>
      </w:pPr>
    </w:p>
    <w:p w14:paraId="7B637B92" w14:textId="7C9F2E2F" w:rsidR="009D3B1F" w:rsidRPr="00B267CC" w:rsidRDefault="009D3B1F" w:rsidP="009D3B1F">
      <w:pPr>
        <w:jc w:val="both"/>
        <w:rPr>
          <w:sz w:val="22"/>
          <w:szCs w:val="22"/>
          <w:lang w:val="sr-Latn-ME"/>
        </w:rPr>
      </w:pPr>
      <w:r w:rsidRPr="00B267CC">
        <w:rPr>
          <w:noProof/>
          <w:sz w:val="22"/>
          <w:szCs w:val="22"/>
          <w:lang w:val="sr-Latn-ME"/>
        </w:rPr>
        <w:t>Kod približno 5% pacijenata mogu se ispoljiti neželjena dejstva</w:t>
      </w:r>
      <w:r w:rsidRPr="00B267CC">
        <w:rPr>
          <w:sz w:val="22"/>
          <w:szCs w:val="22"/>
          <w:lang w:val="sr-Latn-ME"/>
        </w:rPr>
        <w:t xml:space="preserve">. </w:t>
      </w:r>
    </w:p>
    <w:p w14:paraId="328891F7" w14:textId="77777777" w:rsidR="009D3B1F" w:rsidRPr="00B267CC" w:rsidRDefault="009D3B1F" w:rsidP="009D3B1F">
      <w:pPr>
        <w:jc w:val="both"/>
        <w:rPr>
          <w:sz w:val="22"/>
          <w:szCs w:val="22"/>
          <w:lang w:val="sr-Latn-ME"/>
        </w:rPr>
      </w:pPr>
    </w:p>
    <w:p w14:paraId="3C54895F" w14:textId="45980EE9" w:rsidR="009D3B1F" w:rsidRPr="006C101E" w:rsidRDefault="009D3B1F" w:rsidP="009D3B1F">
      <w:pPr>
        <w:jc w:val="both"/>
        <w:rPr>
          <w:sz w:val="22"/>
          <w:szCs w:val="22"/>
          <w:lang w:val="sr-Latn-ME"/>
        </w:rPr>
      </w:pPr>
      <w:r w:rsidRPr="00B267CC">
        <w:rPr>
          <w:noProof/>
          <w:sz w:val="22"/>
          <w:szCs w:val="22"/>
          <w:lang w:val="sr-Latn-ME"/>
        </w:rPr>
        <w:t xml:space="preserve">U sljedećoj </w:t>
      </w:r>
      <w:r w:rsidRPr="00B267CC">
        <w:rPr>
          <w:sz w:val="22"/>
          <w:szCs w:val="22"/>
          <w:lang w:val="sr-Latn-ME"/>
        </w:rPr>
        <w:t xml:space="preserve">tabeli su prikazana neželjena dejstva </w:t>
      </w:r>
      <w:r w:rsidR="006C101E">
        <w:rPr>
          <w:sz w:val="22"/>
          <w:szCs w:val="22"/>
          <w:lang w:val="sr-Latn-ME"/>
        </w:rPr>
        <w:t xml:space="preserve">pantoprazola </w:t>
      </w:r>
      <w:r w:rsidRPr="006C101E">
        <w:rPr>
          <w:sz w:val="22"/>
          <w:szCs w:val="22"/>
          <w:lang w:val="sr-Latn-ME"/>
        </w:rPr>
        <w:t>svrstana prema sljedećoj učestalosti:</w:t>
      </w:r>
    </w:p>
    <w:p w14:paraId="1226D6C9" w14:textId="77777777" w:rsidR="009D3B1F" w:rsidRPr="006C101E" w:rsidRDefault="009D3B1F" w:rsidP="009D3B1F">
      <w:pPr>
        <w:jc w:val="both"/>
        <w:rPr>
          <w:sz w:val="22"/>
          <w:szCs w:val="22"/>
          <w:lang w:val="sr-Latn-ME"/>
        </w:rPr>
      </w:pPr>
    </w:p>
    <w:p w14:paraId="770A8541" w14:textId="77777777" w:rsidR="009D3B1F" w:rsidRPr="004F434B" w:rsidRDefault="009D3B1F" w:rsidP="009D3B1F">
      <w:pPr>
        <w:jc w:val="both"/>
        <w:rPr>
          <w:sz w:val="22"/>
          <w:szCs w:val="22"/>
          <w:lang w:val="sr-Latn-ME"/>
        </w:rPr>
      </w:pPr>
      <w:r w:rsidRPr="004F434B">
        <w:rPr>
          <w:sz w:val="22"/>
          <w:szCs w:val="22"/>
          <w:lang w:val="sr-Latn-ME"/>
        </w:rPr>
        <w:t>Veoma česta (≥1/10); česta (≥1/100 do &lt;1/10); povremena (≥1/1.000 do &lt;1/100); rijetka (≥1/10.000 do &lt;1/1.000); veoma rijetka (&lt;1/10.000); nepoznata (prema dostupnim podacima nemoguće je odrediti učestalost).</w:t>
      </w:r>
    </w:p>
    <w:p w14:paraId="69A6FD35" w14:textId="77777777" w:rsidR="009D3B1F" w:rsidRPr="00B46DBD" w:rsidRDefault="009D3B1F" w:rsidP="009D3B1F">
      <w:pPr>
        <w:jc w:val="both"/>
        <w:rPr>
          <w:sz w:val="22"/>
          <w:szCs w:val="22"/>
          <w:lang w:val="sr-Latn-ME"/>
        </w:rPr>
      </w:pPr>
      <w:r w:rsidRPr="00B46DBD">
        <w:rPr>
          <w:sz w:val="22"/>
          <w:szCs w:val="22"/>
          <w:lang w:val="sr-Latn-ME"/>
        </w:rPr>
        <w:t xml:space="preserve">Za sva neželjena dejstva prijavljena u postmarketinškom iskustvu nije moguće primijeniti definisanu učestalost, te je njihova učestalost označena kao </w:t>
      </w:r>
      <w:r w:rsidRPr="00B46DBD">
        <w:rPr>
          <w:i/>
          <w:sz w:val="22"/>
          <w:szCs w:val="22"/>
          <w:lang w:val="sr-Latn-ME"/>
        </w:rPr>
        <w:t>nepoznata</w:t>
      </w:r>
      <w:r w:rsidRPr="00B46DBD">
        <w:rPr>
          <w:sz w:val="22"/>
          <w:szCs w:val="22"/>
          <w:lang w:val="sr-Latn-ME"/>
        </w:rPr>
        <w:t>.</w:t>
      </w:r>
    </w:p>
    <w:p w14:paraId="464CB7FD" w14:textId="77777777" w:rsidR="009D3B1F" w:rsidRPr="00B267CC" w:rsidRDefault="009D3B1F" w:rsidP="009D3B1F">
      <w:pPr>
        <w:jc w:val="both"/>
        <w:rPr>
          <w:sz w:val="22"/>
          <w:szCs w:val="22"/>
          <w:lang w:val="sr-Latn-ME"/>
        </w:rPr>
      </w:pPr>
    </w:p>
    <w:p w14:paraId="083B47AB" w14:textId="77777777" w:rsidR="009D3B1F" w:rsidRPr="00B267CC" w:rsidRDefault="009D3B1F" w:rsidP="009D3B1F">
      <w:pPr>
        <w:jc w:val="both"/>
        <w:rPr>
          <w:sz w:val="22"/>
          <w:szCs w:val="22"/>
          <w:lang w:val="sr-Latn-ME"/>
        </w:rPr>
      </w:pPr>
      <w:r w:rsidRPr="00B267CC">
        <w:rPr>
          <w:sz w:val="22"/>
          <w:szCs w:val="22"/>
          <w:lang w:val="sr-Latn-ME"/>
        </w:rPr>
        <w:t>Unutar svake grupe učestalosti neželjena dejstva su prikazana prema opadajućoj ozbiljnosti.</w:t>
      </w:r>
    </w:p>
    <w:p w14:paraId="65392E08" w14:textId="77777777" w:rsidR="009D3B1F" w:rsidRPr="00B267CC" w:rsidRDefault="009D3B1F" w:rsidP="009D3B1F">
      <w:pPr>
        <w:jc w:val="both"/>
        <w:rPr>
          <w:sz w:val="22"/>
          <w:szCs w:val="22"/>
          <w:lang w:val="sr-Latn-ME"/>
        </w:rPr>
      </w:pPr>
    </w:p>
    <w:p w14:paraId="5DA7CA9C" w14:textId="77777777" w:rsidR="009D3B1F" w:rsidRPr="00B267CC" w:rsidRDefault="009D3B1F" w:rsidP="009D3B1F">
      <w:pPr>
        <w:rPr>
          <w:sz w:val="22"/>
          <w:szCs w:val="22"/>
          <w:lang w:val="sr-Latn-ME"/>
        </w:rPr>
      </w:pPr>
      <w:r w:rsidRPr="00B267CC">
        <w:rPr>
          <w:sz w:val="22"/>
          <w:szCs w:val="22"/>
          <w:lang w:val="sr-Latn-ME"/>
        </w:rPr>
        <w:t>Tabela 1: Neželjena dejstva na pantoprazol u kliničkim ispitivanjima i postmarketinškom iskustvu</w:t>
      </w:r>
    </w:p>
    <w:p w14:paraId="0914BD7C" w14:textId="77777777" w:rsidR="009D3B1F" w:rsidRPr="00B267CC" w:rsidRDefault="009D3B1F" w:rsidP="009D3B1F">
      <w:pPr>
        <w:rPr>
          <w:sz w:val="22"/>
          <w:szCs w:val="22"/>
          <w:lang w:val="sr-Latn-ME"/>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34"/>
        <w:gridCol w:w="1584"/>
        <w:gridCol w:w="1701"/>
        <w:gridCol w:w="1843"/>
        <w:gridCol w:w="1876"/>
      </w:tblGrid>
      <w:tr w:rsidR="009D3B1F" w:rsidRPr="00B267CC" w14:paraId="528A3358" w14:textId="77777777" w:rsidTr="00027E29">
        <w:tc>
          <w:tcPr>
            <w:tcW w:w="1668" w:type="dxa"/>
            <w:tcBorders>
              <w:tl2br w:val="single" w:sz="4" w:space="0" w:color="auto"/>
            </w:tcBorders>
            <w:vAlign w:val="center"/>
          </w:tcPr>
          <w:p w14:paraId="7BB5E65B" w14:textId="77777777" w:rsidR="009D3B1F" w:rsidRPr="00B267CC" w:rsidRDefault="009D3B1F" w:rsidP="00027E29">
            <w:pPr>
              <w:jc w:val="center"/>
              <w:rPr>
                <w:b/>
                <w:bCs/>
                <w:sz w:val="22"/>
                <w:szCs w:val="22"/>
                <w:lang w:val="sr-Latn-ME"/>
              </w:rPr>
            </w:pPr>
            <w:r w:rsidRPr="00B267CC">
              <w:rPr>
                <w:b/>
                <w:bCs/>
                <w:sz w:val="22"/>
                <w:szCs w:val="22"/>
                <w:lang w:val="sr-Latn-ME"/>
              </w:rPr>
              <w:t>Učestalost</w:t>
            </w:r>
          </w:p>
          <w:p w14:paraId="0C5326A0" w14:textId="77777777" w:rsidR="009D3B1F" w:rsidRPr="00B267CC" w:rsidRDefault="009D3B1F" w:rsidP="00027E29">
            <w:pPr>
              <w:jc w:val="center"/>
              <w:rPr>
                <w:b/>
                <w:bCs/>
                <w:sz w:val="22"/>
                <w:szCs w:val="22"/>
                <w:lang w:val="sr-Latn-ME"/>
              </w:rPr>
            </w:pPr>
          </w:p>
          <w:p w14:paraId="6CFD7B73" w14:textId="77777777" w:rsidR="009D3B1F" w:rsidRPr="00B267CC" w:rsidRDefault="009D3B1F" w:rsidP="00027E29">
            <w:pPr>
              <w:jc w:val="center"/>
              <w:rPr>
                <w:b/>
                <w:bCs/>
                <w:sz w:val="22"/>
                <w:szCs w:val="22"/>
                <w:lang w:val="sr-Latn-ME"/>
              </w:rPr>
            </w:pPr>
          </w:p>
          <w:p w14:paraId="5375D4E0" w14:textId="77777777" w:rsidR="009D3B1F" w:rsidRPr="00B267CC" w:rsidRDefault="009D3B1F" w:rsidP="00027E29">
            <w:pPr>
              <w:ind w:right="-108"/>
              <w:rPr>
                <w:sz w:val="22"/>
                <w:szCs w:val="22"/>
                <w:lang w:val="sr-Latn-ME"/>
              </w:rPr>
            </w:pPr>
            <w:r w:rsidRPr="00B267CC">
              <w:rPr>
                <w:b/>
                <w:bCs/>
                <w:sz w:val="22"/>
                <w:szCs w:val="22"/>
                <w:lang w:val="sr-Latn-ME"/>
              </w:rPr>
              <w:t xml:space="preserve">Klase sistema organa </w:t>
            </w:r>
          </w:p>
        </w:tc>
        <w:tc>
          <w:tcPr>
            <w:tcW w:w="1534" w:type="dxa"/>
            <w:vAlign w:val="center"/>
          </w:tcPr>
          <w:p w14:paraId="6A747701" w14:textId="77777777" w:rsidR="009D3B1F" w:rsidRPr="00B267CC" w:rsidRDefault="009D3B1F" w:rsidP="00027E29">
            <w:pPr>
              <w:jc w:val="center"/>
              <w:rPr>
                <w:b/>
                <w:bCs/>
                <w:sz w:val="22"/>
                <w:szCs w:val="22"/>
                <w:lang w:val="sr-Latn-ME"/>
              </w:rPr>
            </w:pPr>
            <w:r w:rsidRPr="00B267CC">
              <w:rPr>
                <w:b/>
                <w:bCs/>
                <w:sz w:val="22"/>
                <w:szCs w:val="22"/>
                <w:lang w:val="sr-Latn-ME"/>
              </w:rPr>
              <w:t>Česta</w:t>
            </w:r>
          </w:p>
          <w:p w14:paraId="11065535" w14:textId="01BBB6F1" w:rsidR="009D3B1F" w:rsidRPr="00B267CC" w:rsidRDefault="009D3B1F" w:rsidP="00027E29">
            <w:pPr>
              <w:jc w:val="center"/>
              <w:rPr>
                <w:b/>
                <w:bCs/>
                <w:sz w:val="22"/>
                <w:szCs w:val="22"/>
                <w:lang w:val="sr-Latn-ME"/>
              </w:rPr>
            </w:pPr>
          </w:p>
        </w:tc>
        <w:tc>
          <w:tcPr>
            <w:tcW w:w="1584" w:type="dxa"/>
            <w:vAlign w:val="center"/>
          </w:tcPr>
          <w:p w14:paraId="3AFF7EB0" w14:textId="77777777" w:rsidR="009D3B1F" w:rsidRPr="00B267CC" w:rsidRDefault="009D3B1F" w:rsidP="00027E29">
            <w:pPr>
              <w:jc w:val="center"/>
              <w:rPr>
                <w:b/>
                <w:bCs/>
                <w:sz w:val="22"/>
                <w:szCs w:val="22"/>
                <w:lang w:val="sr-Latn-ME"/>
              </w:rPr>
            </w:pPr>
            <w:r w:rsidRPr="00B267CC">
              <w:rPr>
                <w:b/>
                <w:bCs/>
                <w:sz w:val="22"/>
                <w:szCs w:val="22"/>
                <w:lang w:val="sr-Latn-ME"/>
              </w:rPr>
              <w:t>Povremena</w:t>
            </w:r>
          </w:p>
          <w:p w14:paraId="76ABF4C2" w14:textId="1965E464" w:rsidR="009D3B1F" w:rsidRPr="00B267CC" w:rsidRDefault="009D3B1F" w:rsidP="00027E29">
            <w:pPr>
              <w:ind w:left="-41" w:right="-175"/>
              <w:jc w:val="center"/>
              <w:rPr>
                <w:b/>
                <w:bCs/>
                <w:sz w:val="22"/>
                <w:szCs w:val="22"/>
                <w:lang w:val="sr-Latn-ME"/>
              </w:rPr>
            </w:pPr>
          </w:p>
        </w:tc>
        <w:tc>
          <w:tcPr>
            <w:tcW w:w="1701" w:type="dxa"/>
            <w:vAlign w:val="center"/>
          </w:tcPr>
          <w:p w14:paraId="3DD9B9FA" w14:textId="77777777" w:rsidR="009D3B1F" w:rsidRPr="00B267CC" w:rsidRDefault="009D3B1F" w:rsidP="00027E29">
            <w:pPr>
              <w:jc w:val="center"/>
              <w:rPr>
                <w:b/>
                <w:bCs/>
                <w:sz w:val="22"/>
                <w:szCs w:val="22"/>
                <w:lang w:val="sr-Latn-ME"/>
              </w:rPr>
            </w:pPr>
            <w:r w:rsidRPr="00B267CC">
              <w:rPr>
                <w:b/>
                <w:bCs/>
                <w:sz w:val="22"/>
                <w:szCs w:val="22"/>
                <w:lang w:val="sr-Latn-ME"/>
              </w:rPr>
              <w:t>Rijetka</w:t>
            </w:r>
          </w:p>
          <w:p w14:paraId="64C07D44" w14:textId="74F78394" w:rsidR="009D3B1F" w:rsidRPr="00B267CC" w:rsidRDefault="009D3B1F" w:rsidP="00027E29">
            <w:pPr>
              <w:ind w:right="-126" w:hanging="84"/>
              <w:jc w:val="center"/>
              <w:rPr>
                <w:b/>
                <w:bCs/>
                <w:sz w:val="22"/>
                <w:szCs w:val="22"/>
                <w:lang w:val="sr-Latn-ME"/>
              </w:rPr>
            </w:pPr>
          </w:p>
        </w:tc>
        <w:tc>
          <w:tcPr>
            <w:tcW w:w="1843" w:type="dxa"/>
            <w:vAlign w:val="center"/>
          </w:tcPr>
          <w:p w14:paraId="4792848D" w14:textId="77777777" w:rsidR="009D3B1F" w:rsidRPr="00B267CC" w:rsidRDefault="009D3B1F" w:rsidP="00027E29">
            <w:pPr>
              <w:jc w:val="center"/>
              <w:rPr>
                <w:b/>
                <w:bCs/>
                <w:sz w:val="22"/>
                <w:szCs w:val="22"/>
                <w:lang w:val="sr-Latn-ME"/>
              </w:rPr>
            </w:pPr>
            <w:r w:rsidRPr="00B267CC">
              <w:rPr>
                <w:b/>
                <w:bCs/>
                <w:sz w:val="22"/>
                <w:szCs w:val="22"/>
                <w:lang w:val="sr-Latn-ME"/>
              </w:rPr>
              <w:t>Veoma rijetka</w:t>
            </w:r>
          </w:p>
          <w:p w14:paraId="5AF3EFCF" w14:textId="567FBEE6" w:rsidR="009D3B1F" w:rsidRPr="00B267CC" w:rsidRDefault="009D3B1F" w:rsidP="00027E29">
            <w:pPr>
              <w:jc w:val="center"/>
              <w:rPr>
                <w:b/>
                <w:bCs/>
                <w:sz w:val="22"/>
                <w:szCs w:val="22"/>
                <w:lang w:val="sr-Latn-ME"/>
              </w:rPr>
            </w:pPr>
          </w:p>
        </w:tc>
        <w:tc>
          <w:tcPr>
            <w:tcW w:w="1876" w:type="dxa"/>
            <w:vAlign w:val="center"/>
          </w:tcPr>
          <w:p w14:paraId="5B43C931" w14:textId="77777777" w:rsidR="009D3B1F" w:rsidRPr="00B267CC" w:rsidRDefault="009D3B1F" w:rsidP="00027E29">
            <w:pPr>
              <w:jc w:val="center"/>
              <w:rPr>
                <w:b/>
                <w:bCs/>
                <w:sz w:val="22"/>
                <w:szCs w:val="22"/>
                <w:lang w:val="sr-Latn-ME"/>
              </w:rPr>
            </w:pPr>
            <w:r w:rsidRPr="00B267CC">
              <w:rPr>
                <w:b/>
                <w:bCs/>
                <w:sz w:val="22"/>
                <w:szCs w:val="22"/>
                <w:lang w:val="sr-Latn-ME"/>
              </w:rPr>
              <w:t>Nepoznata</w:t>
            </w:r>
          </w:p>
        </w:tc>
      </w:tr>
      <w:tr w:rsidR="009D3B1F" w:rsidRPr="00B267CC" w14:paraId="78C51A36" w14:textId="77777777" w:rsidTr="00027E29">
        <w:tc>
          <w:tcPr>
            <w:tcW w:w="1668" w:type="dxa"/>
            <w:vAlign w:val="center"/>
          </w:tcPr>
          <w:p w14:paraId="1AE088F1" w14:textId="77777777" w:rsidR="009D3B1F" w:rsidRPr="008F3A6B" w:rsidRDefault="009D3B1F" w:rsidP="00027E29">
            <w:pPr>
              <w:rPr>
                <w:sz w:val="22"/>
                <w:szCs w:val="22"/>
                <w:lang w:val="sr-Latn-ME"/>
              </w:rPr>
            </w:pPr>
            <w:r w:rsidRPr="008F3A6B">
              <w:rPr>
                <w:sz w:val="22"/>
                <w:szCs w:val="22"/>
                <w:lang w:val="sr-Latn-ME"/>
              </w:rPr>
              <w:t>Poremećaji na nivou krvi i limfnog sistema</w:t>
            </w:r>
          </w:p>
        </w:tc>
        <w:tc>
          <w:tcPr>
            <w:tcW w:w="1534" w:type="dxa"/>
            <w:vAlign w:val="center"/>
          </w:tcPr>
          <w:p w14:paraId="32F25474" w14:textId="77777777" w:rsidR="009D3B1F" w:rsidRPr="006C101E" w:rsidRDefault="009D3B1F" w:rsidP="00027E29">
            <w:pPr>
              <w:rPr>
                <w:sz w:val="22"/>
                <w:szCs w:val="22"/>
                <w:lang w:val="sr-Latn-ME"/>
              </w:rPr>
            </w:pPr>
          </w:p>
        </w:tc>
        <w:tc>
          <w:tcPr>
            <w:tcW w:w="1584" w:type="dxa"/>
            <w:vAlign w:val="center"/>
          </w:tcPr>
          <w:p w14:paraId="159EA3E2" w14:textId="77777777" w:rsidR="009D3B1F" w:rsidRPr="004F434B" w:rsidRDefault="009D3B1F" w:rsidP="00027E29">
            <w:pPr>
              <w:rPr>
                <w:sz w:val="22"/>
                <w:szCs w:val="22"/>
                <w:lang w:val="sr-Latn-ME"/>
              </w:rPr>
            </w:pPr>
          </w:p>
        </w:tc>
        <w:tc>
          <w:tcPr>
            <w:tcW w:w="1701" w:type="dxa"/>
            <w:vAlign w:val="center"/>
          </w:tcPr>
          <w:p w14:paraId="0201E25B" w14:textId="77777777" w:rsidR="009D3B1F" w:rsidRPr="004F434B" w:rsidRDefault="009D3B1F" w:rsidP="00027E29">
            <w:pPr>
              <w:rPr>
                <w:sz w:val="22"/>
                <w:szCs w:val="22"/>
                <w:lang w:val="sr-Latn-ME"/>
              </w:rPr>
            </w:pPr>
            <w:r w:rsidRPr="004F434B">
              <w:rPr>
                <w:sz w:val="22"/>
                <w:szCs w:val="22"/>
                <w:lang w:val="sr-Latn-ME"/>
              </w:rPr>
              <w:t>Agranulocitoza</w:t>
            </w:r>
          </w:p>
        </w:tc>
        <w:tc>
          <w:tcPr>
            <w:tcW w:w="1843" w:type="dxa"/>
            <w:vAlign w:val="center"/>
          </w:tcPr>
          <w:p w14:paraId="1D557AF4" w14:textId="77777777" w:rsidR="009D3B1F" w:rsidRPr="008F3A6B" w:rsidRDefault="009D3B1F" w:rsidP="00027E29">
            <w:pPr>
              <w:rPr>
                <w:sz w:val="22"/>
                <w:szCs w:val="22"/>
                <w:lang w:val="sr-Latn-ME"/>
              </w:rPr>
            </w:pPr>
            <w:r w:rsidRPr="00260EB7">
              <w:rPr>
                <w:sz w:val="22"/>
                <w:szCs w:val="22"/>
                <w:lang w:val="sr-Latn-ME"/>
              </w:rPr>
              <w:t>Trombocitopenija</w:t>
            </w:r>
            <w:r w:rsidRPr="008F3A6B">
              <w:rPr>
                <w:sz w:val="22"/>
                <w:szCs w:val="22"/>
                <w:lang w:val="sr-Latn-ME"/>
              </w:rPr>
              <w:t>; leukopenija;</w:t>
            </w:r>
          </w:p>
          <w:p w14:paraId="735A9777" w14:textId="77777777" w:rsidR="009D3B1F" w:rsidRPr="006C101E" w:rsidRDefault="009D3B1F" w:rsidP="00027E29">
            <w:pPr>
              <w:rPr>
                <w:sz w:val="22"/>
                <w:szCs w:val="22"/>
                <w:lang w:val="sr-Latn-ME"/>
              </w:rPr>
            </w:pPr>
            <w:r w:rsidRPr="006C101E">
              <w:rPr>
                <w:sz w:val="22"/>
                <w:szCs w:val="22"/>
                <w:lang w:val="sr-Latn-ME"/>
              </w:rPr>
              <w:t>pancitopenija</w:t>
            </w:r>
          </w:p>
          <w:p w14:paraId="7571A33E" w14:textId="77777777" w:rsidR="009D3B1F" w:rsidRPr="004F434B" w:rsidRDefault="009D3B1F" w:rsidP="00027E29">
            <w:pPr>
              <w:rPr>
                <w:sz w:val="22"/>
                <w:szCs w:val="22"/>
                <w:lang w:val="sr-Latn-ME"/>
              </w:rPr>
            </w:pPr>
          </w:p>
        </w:tc>
        <w:tc>
          <w:tcPr>
            <w:tcW w:w="1876" w:type="dxa"/>
            <w:vAlign w:val="center"/>
          </w:tcPr>
          <w:p w14:paraId="23907AD6" w14:textId="77777777" w:rsidR="009D3B1F" w:rsidRPr="004F434B" w:rsidRDefault="009D3B1F" w:rsidP="00027E29">
            <w:pPr>
              <w:rPr>
                <w:sz w:val="22"/>
                <w:szCs w:val="22"/>
                <w:lang w:val="sr-Latn-ME"/>
              </w:rPr>
            </w:pPr>
          </w:p>
        </w:tc>
      </w:tr>
      <w:tr w:rsidR="009D3B1F" w:rsidRPr="00B267CC" w14:paraId="50075711" w14:textId="77777777" w:rsidTr="00027E29">
        <w:tc>
          <w:tcPr>
            <w:tcW w:w="1668" w:type="dxa"/>
            <w:vAlign w:val="center"/>
          </w:tcPr>
          <w:p w14:paraId="3C8B8BD8" w14:textId="77777777" w:rsidR="009D3B1F" w:rsidRPr="008F3A6B" w:rsidRDefault="009D3B1F" w:rsidP="00027E29">
            <w:pPr>
              <w:rPr>
                <w:sz w:val="22"/>
                <w:szCs w:val="22"/>
                <w:lang w:val="sr-Latn-ME"/>
              </w:rPr>
            </w:pPr>
            <w:r w:rsidRPr="008F3A6B">
              <w:rPr>
                <w:sz w:val="22"/>
                <w:szCs w:val="22"/>
                <w:lang w:val="sr-Latn-ME"/>
              </w:rPr>
              <w:lastRenderedPageBreak/>
              <w:t xml:space="preserve">Poremećaji imunog sistema </w:t>
            </w:r>
          </w:p>
        </w:tc>
        <w:tc>
          <w:tcPr>
            <w:tcW w:w="1534" w:type="dxa"/>
            <w:vAlign w:val="center"/>
          </w:tcPr>
          <w:p w14:paraId="5080AB9E" w14:textId="77777777" w:rsidR="009D3B1F" w:rsidRPr="006C101E" w:rsidRDefault="009D3B1F" w:rsidP="00027E29">
            <w:pPr>
              <w:rPr>
                <w:sz w:val="22"/>
                <w:szCs w:val="22"/>
                <w:lang w:val="sr-Latn-ME"/>
              </w:rPr>
            </w:pPr>
          </w:p>
        </w:tc>
        <w:tc>
          <w:tcPr>
            <w:tcW w:w="1584" w:type="dxa"/>
            <w:vAlign w:val="center"/>
          </w:tcPr>
          <w:p w14:paraId="7344B78B" w14:textId="77777777" w:rsidR="009D3B1F" w:rsidRPr="004F434B" w:rsidRDefault="009D3B1F" w:rsidP="00027E29">
            <w:pPr>
              <w:rPr>
                <w:sz w:val="22"/>
                <w:szCs w:val="22"/>
                <w:lang w:val="sr-Latn-ME"/>
              </w:rPr>
            </w:pPr>
          </w:p>
        </w:tc>
        <w:tc>
          <w:tcPr>
            <w:tcW w:w="1701" w:type="dxa"/>
            <w:vAlign w:val="center"/>
          </w:tcPr>
          <w:p w14:paraId="2E4245F6" w14:textId="77777777" w:rsidR="009D3B1F" w:rsidRPr="004F434B" w:rsidRDefault="009D3B1F" w:rsidP="00027E29">
            <w:pPr>
              <w:rPr>
                <w:sz w:val="22"/>
                <w:szCs w:val="22"/>
                <w:lang w:val="sr-Latn-ME"/>
              </w:rPr>
            </w:pPr>
            <w:r w:rsidRPr="004F434B">
              <w:rPr>
                <w:sz w:val="22"/>
                <w:szCs w:val="22"/>
                <w:lang w:val="sr-Latn-ME"/>
              </w:rPr>
              <w:t>Preosjetljivost (uključujući anafilaktičke reakcije i anafilaktički šok)</w:t>
            </w:r>
          </w:p>
          <w:p w14:paraId="3F82A896" w14:textId="77777777" w:rsidR="009D3B1F" w:rsidRPr="00B46DBD" w:rsidRDefault="009D3B1F" w:rsidP="00027E29">
            <w:pPr>
              <w:rPr>
                <w:sz w:val="22"/>
                <w:szCs w:val="22"/>
                <w:lang w:val="sr-Latn-ME"/>
              </w:rPr>
            </w:pPr>
          </w:p>
        </w:tc>
        <w:tc>
          <w:tcPr>
            <w:tcW w:w="1843" w:type="dxa"/>
            <w:vAlign w:val="center"/>
          </w:tcPr>
          <w:p w14:paraId="128A6181" w14:textId="77777777" w:rsidR="009D3B1F" w:rsidRPr="00B46DBD" w:rsidRDefault="009D3B1F" w:rsidP="00027E29">
            <w:pPr>
              <w:rPr>
                <w:strike/>
                <w:sz w:val="22"/>
                <w:szCs w:val="22"/>
                <w:lang w:val="sr-Latn-ME"/>
              </w:rPr>
            </w:pPr>
          </w:p>
        </w:tc>
        <w:tc>
          <w:tcPr>
            <w:tcW w:w="1876" w:type="dxa"/>
            <w:vAlign w:val="center"/>
          </w:tcPr>
          <w:p w14:paraId="61CB51A0" w14:textId="77777777" w:rsidR="009D3B1F" w:rsidRPr="00B267CC" w:rsidRDefault="009D3B1F" w:rsidP="00027E29">
            <w:pPr>
              <w:rPr>
                <w:strike/>
                <w:sz w:val="22"/>
                <w:szCs w:val="22"/>
                <w:lang w:val="sr-Latn-ME"/>
              </w:rPr>
            </w:pPr>
          </w:p>
        </w:tc>
      </w:tr>
      <w:tr w:rsidR="009D3B1F" w:rsidRPr="00B267CC" w14:paraId="0DB1D2C5" w14:textId="77777777" w:rsidTr="00027E29">
        <w:tc>
          <w:tcPr>
            <w:tcW w:w="1668" w:type="dxa"/>
            <w:vAlign w:val="center"/>
          </w:tcPr>
          <w:p w14:paraId="44A40F40" w14:textId="77777777" w:rsidR="009D3B1F" w:rsidRPr="008F3A6B" w:rsidRDefault="009D3B1F" w:rsidP="00027E29">
            <w:pPr>
              <w:rPr>
                <w:sz w:val="22"/>
                <w:szCs w:val="22"/>
                <w:lang w:val="sr-Latn-ME"/>
              </w:rPr>
            </w:pPr>
            <w:r w:rsidRPr="008F3A6B">
              <w:rPr>
                <w:sz w:val="22"/>
                <w:szCs w:val="22"/>
                <w:lang w:val="sr-Latn-ME"/>
              </w:rPr>
              <w:t>Poremećaji metabolizma i ishrane</w:t>
            </w:r>
          </w:p>
        </w:tc>
        <w:tc>
          <w:tcPr>
            <w:tcW w:w="1534" w:type="dxa"/>
            <w:vAlign w:val="center"/>
          </w:tcPr>
          <w:p w14:paraId="64E9EF8D" w14:textId="77777777" w:rsidR="009D3B1F" w:rsidRPr="006C101E" w:rsidRDefault="009D3B1F" w:rsidP="00027E29">
            <w:pPr>
              <w:rPr>
                <w:sz w:val="22"/>
                <w:szCs w:val="22"/>
                <w:lang w:val="sr-Latn-ME"/>
              </w:rPr>
            </w:pPr>
          </w:p>
        </w:tc>
        <w:tc>
          <w:tcPr>
            <w:tcW w:w="1584" w:type="dxa"/>
            <w:vAlign w:val="center"/>
          </w:tcPr>
          <w:p w14:paraId="7D97E43D" w14:textId="77777777" w:rsidR="009D3B1F" w:rsidRPr="004F434B" w:rsidRDefault="009D3B1F" w:rsidP="00027E29">
            <w:pPr>
              <w:rPr>
                <w:sz w:val="22"/>
                <w:szCs w:val="22"/>
                <w:lang w:val="sr-Latn-ME"/>
              </w:rPr>
            </w:pPr>
          </w:p>
        </w:tc>
        <w:tc>
          <w:tcPr>
            <w:tcW w:w="1701" w:type="dxa"/>
            <w:vAlign w:val="center"/>
          </w:tcPr>
          <w:p w14:paraId="471BE734" w14:textId="7DCB5A63" w:rsidR="009D3B1F" w:rsidRPr="006C101E" w:rsidRDefault="009D3B1F" w:rsidP="006C101E">
            <w:pPr>
              <w:rPr>
                <w:sz w:val="22"/>
                <w:szCs w:val="22"/>
                <w:lang w:val="sr-Latn-ME"/>
              </w:rPr>
            </w:pPr>
            <w:r w:rsidRPr="004F434B">
              <w:rPr>
                <w:sz w:val="22"/>
                <w:szCs w:val="22"/>
                <w:lang w:val="sr-Latn-ME"/>
              </w:rPr>
              <w:t xml:space="preserve">Hiperlipidemije i povećanje lipida (trigliceridi, holesterol); promjene u tjelesnoj </w:t>
            </w:r>
            <w:r w:rsidR="006C101E">
              <w:rPr>
                <w:sz w:val="22"/>
                <w:szCs w:val="22"/>
                <w:lang w:val="sr-Latn-ME"/>
              </w:rPr>
              <w:t>masi</w:t>
            </w:r>
          </w:p>
        </w:tc>
        <w:tc>
          <w:tcPr>
            <w:tcW w:w="1843" w:type="dxa"/>
            <w:vAlign w:val="center"/>
          </w:tcPr>
          <w:p w14:paraId="1481973A" w14:textId="77777777" w:rsidR="009D3B1F" w:rsidRPr="006C101E" w:rsidRDefault="009D3B1F" w:rsidP="00027E29">
            <w:pPr>
              <w:rPr>
                <w:sz w:val="22"/>
                <w:szCs w:val="22"/>
                <w:lang w:val="sr-Latn-ME"/>
              </w:rPr>
            </w:pPr>
          </w:p>
        </w:tc>
        <w:tc>
          <w:tcPr>
            <w:tcW w:w="1876" w:type="dxa"/>
            <w:vAlign w:val="center"/>
          </w:tcPr>
          <w:p w14:paraId="1B403A08" w14:textId="590830BB" w:rsidR="009D3B1F" w:rsidRPr="008F3A6B" w:rsidRDefault="009D3B1F" w:rsidP="00027E29">
            <w:pPr>
              <w:rPr>
                <w:sz w:val="22"/>
                <w:szCs w:val="22"/>
                <w:lang w:val="sr-Latn-ME"/>
              </w:rPr>
            </w:pPr>
            <w:r w:rsidRPr="006C101E">
              <w:rPr>
                <w:sz w:val="22"/>
                <w:szCs w:val="22"/>
                <w:lang w:val="sr-Latn-ME"/>
              </w:rPr>
              <w:t xml:space="preserve">Hiponatrijemija; </w:t>
            </w:r>
            <w:r w:rsidRPr="00260EB7">
              <w:rPr>
                <w:sz w:val="22"/>
                <w:szCs w:val="22"/>
                <w:lang w:val="sr-Latn-ME"/>
              </w:rPr>
              <w:t xml:space="preserve">hipomagnezijemija </w:t>
            </w:r>
            <w:r w:rsidRPr="008F3A6B">
              <w:rPr>
                <w:sz w:val="22"/>
                <w:szCs w:val="22"/>
                <w:lang w:val="sr-Latn-ME"/>
              </w:rPr>
              <w:t xml:space="preserve">(vidjeti </w:t>
            </w:r>
            <w:r w:rsidR="001D47F7" w:rsidRPr="008F3A6B">
              <w:rPr>
                <w:sz w:val="22"/>
                <w:szCs w:val="22"/>
                <w:lang w:val="sr-Latn-ME"/>
              </w:rPr>
              <w:t>dio</w:t>
            </w:r>
            <w:r w:rsidRPr="008F3A6B">
              <w:rPr>
                <w:sz w:val="22"/>
                <w:szCs w:val="22"/>
                <w:lang w:val="sr-Latn-ME"/>
              </w:rPr>
              <w:t xml:space="preserve"> 4.4)</w:t>
            </w:r>
          </w:p>
          <w:p w14:paraId="4A933DAC" w14:textId="29D66198" w:rsidR="00D231EE" w:rsidRPr="006C101E" w:rsidRDefault="00D231EE" w:rsidP="00027E29">
            <w:pPr>
              <w:rPr>
                <w:sz w:val="22"/>
                <w:szCs w:val="22"/>
                <w:lang w:val="sr-Latn-ME"/>
              </w:rPr>
            </w:pPr>
            <w:r w:rsidRPr="006C101E">
              <w:rPr>
                <w:sz w:val="22"/>
                <w:szCs w:val="22"/>
                <w:lang w:val="sr-Latn-ME"/>
              </w:rPr>
              <w:t>Hipokalcemija</w:t>
            </w:r>
            <w:r w:rsidRPr="00260EB7">
              <w:rPr>
                <w:sz w:val="22"/>
                <w:szCs w:val="22"/>
                <w:vertAlign w:val="superscript"/>
                <w:lang w:val="sr-Latn-ME"/>
              </w:rPr>
              <w:t>(1);</w:t>
            </w:r>
            <w:r w:rsidRPr="006C101E">
              <w:rPr>
                <w:sz w:val="22"/>
                <w:szCs w:val="22"/>
                <w:lang w:val="sr-Latn-ME"/>
              </w:rPr>
              <w:t xml:space="preserve"> Hipokalemija </w:t>
            </w:r>
            <w:r w:rsidRPr="00260EB7">
              <w:rPr>
                <w:sz w:val="22"/>
                <w:szCs w:val="22"/>
                <w:vertAlign w:val="superscript"/>
                <w:lang w:val="sr-Latn-ME"/>
              </w:rPr>
              <w:t>(1)</w:t>
            </w:r>
          </w:p>
        </w:tc>
      </w:tr>
      <w:tr w:rsidR="009D3B1F" w:rsidRPr="00B267CC" w14:paraId="3510FBFD" w14:textId="77777777" w:rsidTr="00027E29">
        <w:tc>
          <w:tcPr>
            <w:tcW w:w="1668" w:type="dxa"/>
            <w:vAlign w:val="center"/>
          </w:tcPr>
          <w:p w14:paraId="79EF7687" w14:textId="77777777" w:rsidR="009D3B1F" w:rsidRPr="008F3A6B" w:rsidRDefault="009D3B1F" w:rsidP="00027E29">
            <w:pPr>
              <w:rPr>
                <w:sz w:val="22"/>
                <w:szCs w:val="22"/>
                <w:lang w:val="sr-Latn-ME"/>
              </w:rPr>
            </w:pPr>
            <w:r w:rsidRPr="008F3A6B">
              <w:rPr>
                <w:sz w:val="22"/>
                <w:szCs w:val="22"/>
                <w:lang w:val="sr-Latn-ME"/>
              </w:rPr>
              <w:t>Psihijatrijski poremećaji</w:t>
            </w:r>
          </w:p>
        </w:tc>
        <w:tc>
          <w:tcPr>
            <w:tcW w:w="1534" w:type="dxa"/>
            <w:vAlign w:val="center"/>
          </w:tcPr>
          <w:p w14:paraId="72A30443" w14:textId="77777777" w:rsidR="009D3B1F" w:rsidRPr="006C101E" w:rsidRDefault="009D3B1F" w:rsidP="00027E29">
            <w:pPr>
              <w:rPr>
                <w:sz w:val="22"/>
                <w:szCs w:val="22"/>
                <w:lang w:val="sr-Latn-ME"/>
              </w:rPr>
            </w:pPr>
          </w:p>
        </w:tc>
        <w:tc>
          <w:tcPr>
            <w:tcW w:w="1584" w:type="dxa"/>
            <w:vAlign w:val="center"/>
          </w:tcPr>
          <w:p w14:paraId="72E77BD8" w14:textId="77777777" w:rsidR="009D3B1F" w:rsidRPr="004F434B" w:rsidRDefault="009D3B1F" w:rsidP="00027E29">
            <w:pPr>
              <w:ind w:left="59"/>
              <w:rPr>
                <w:sz w:val="22"/>
                <w:szCs w:val="22"/>
                <w:lang w:val="sr-Latn-ME"/>
              </w:rPr>
            </w:pPr>
            <w:r w:rsidRPr="004F434B">
              <w:rPr>
                <w:sz w:val="22"/>
                <w:szCs w:val="22"/>
                <w:lang w:val="sr-Latn-ME"/>
              </w:rPr>
              <w:t>Poremećaji sna</w:t>
            </w:r>
          </w:p>
        </w:tc>
        <w:tc>
          <w:tcPr>
            <w:tcW w:w="1701" w:type="dxa"/>
            <w:vAlign w:val="center"/>
          </w:tcPr>
          <w:p w14:paraId="3586F0E6" w14:textId="77777777" w:rsidR="009D3B1F" w:rsidRPr="004F434B" w:rsidRDefault="009D3B1F" w:rsidP="00027E29">
            <w:pPr>
              <w:ind w:left="36"/>
              <w:rPr>
                <w:sz w:val="22"/>
                <w:szCs w:val="22"/>
                <w:lang w:val="sr-Latn-ME"/>
              </w:rPr>
            </w:pPr>
            <w:r w:rsidRPr="004F434B">
              <w:rPr>
                <w:sz w:val="22"/>
                <w:szCs w:val="22"/>
                <w:lang w:val="sr-Latn-ME"/>
              </w:rPr>
              <w:t>Depresija (i sva pogoršanja)</w:t>
            </w:r>
          </w:p>
        </w:tc>
        <w:tc>
          <w:tcPr>
            <w:tcW w:w="1843" w:type="dxa"/>
            <w:vAlign w:val="center"/>
          </w:tcPr>
          <w:p w14:paraId="14D482E5" w14:textId="77777777" w:rsidR="009D3B1F" w:rsidRPr="00B46DBD" w:rsidRDefault="009D3B1F" w:rsidP="00027E29">
            <w:pPr>
              <w:ind w:left="61"/>
              <w:rPr>
                <w:sz w:val="22"/>
                <w:szCs w:val="22"/>
                <w:lang w:val="sr-Latn-ME"/>
              </w:rPr>
            </w:pPr>
            <w:r w:rsidRPr="00B46DBD">
              <w:rPr>
                <w:sz w:val="22"/>
                <w:szCs w:val="22"/>
                <w:lang w:val="sr-Latn-ME"/>
              </w:rPr>
              <w:t>Dezorijentacija (i sva pogoršanja)</w:t>
            </w:r>
          </w:p>
        </w:tc>
        <w:tc>
          <w:tcPr>
            <w:tcW w:w="1876" w:type="dxa"/>
            <w:vAlign w:val="center"/>
          </w:tcPr>
          <w:p w14:paraId="37AE4EC7" w14:textId="2A426641" w:rsidR="009D3B1F" w:rsidRPr="00B267CC" w:rsidRDefault="009D3B1F" w:rsidP="00027E29">
            <w:pPr>
              <w:ind w:left="33"/>
              <w:rPr>
                <w:sz w:val="22"/>
                <w:szCs w:val="22"/>
                <w:lang w:val="sr-Latn-ME"/>
              </w:rPr>
            </w:pPr>
            <w:r w:rsidRPr="00B46DBD">
              <w:rPr>
                <w:sz w:val="22"/>
                <w:szCs w:val="22"/>
                <w:lang w:val="sr-Latn-ME"/>
              </w:rPr>
              <w:t>Halucinacije; konfuzija (posebno kod predisponiranih pacijenata</w:t>
            </w:r>
            <w:r w:rsidR="00D231EE" w:rsidRPr="00B46DBD">
              <w:rPr>
                <w:sz w:val="22"/>
                <w:szCs w:val="22"/>
                <w:lang w:val="sr-Latn-ME"/>
              </w:rPr>
              <w:t>, kao</w:t>
            </w:r>
            <w:r w:rsidRPr="00B46DBD">
              <w:rPr>
                <w:sz w:val="22"/>
                <w:szCs w:val="22"/>
                <w:lang w:val="sr-Latn-ME"/>
              </w:rPr>
              <w:t xml:space="preserve"> i pogoršanje </w:t>
            </w:r>
            <w:r w:rsidR="00D231EE" w:rsidRPr="00B267CC">
              <w:rPr>
                <w:sz w:val="22"/>
                <w:szCs w:val="22"/>
                <w:lang w:val="sr-Latn-ME"/>
              </w:rPr>
              <w:t xml:space="preserve">kod pacijenata sa </w:t>
            </w:r>
            <w:r w:rsidRPr="00B267CC">
              <w:rPr>
                <w:sz w:val="22"/>
                <w:szCs w:val="22"/>
                <w:lang w:val="sr-Latn-ME"/>
              </w:rPr>
              <w:t xml:space="preserve">već </w:t>
            </w:r>
            <w:r w:rsidR="00D231EE" w:rsidRPr="00B267CC">
              <w:rPr>
                <w:sz w:val="22"/>
                <w:szCs w:val="22"/>
                <w:lang w:val="sr-Latn-ME"/>
              </w:rPr>
              <w:t xml:space="preserve">prisutnim navedenim </w:t>
            </w:r>
            <w:r w:rsidRPr="00B267CC">
              <w:rPr>
                <w:sz w:val="22"/>
                <w:szCs w:val="22"/>
                <w:lang w:val="sr-Latn-ME"/>
              </w:rPr>
              <w:t>simptoma)</w:t>
            </w:r>
          </w:p>
        </w:tc>
      </w:tr>
      <w:tr w:rsidR="009D3B1F" w:rsidRPr="00B267CC" w14:paraId="60D77ECC" w14:textId="77777777" w:rsidTr="00027E29">
        <w:tc>
          <w:tcPr>
            <w:tcW w:w="1668" w:type="dxa"/>
            <w:vAlign w:val="center"/>
          </w:tcPr>
          <w:p w14:paraId="679FEEA0" w14:textId="77777777" w:rsidR="009D3B1F" w:rsidRPr="008F3A6B" w:rsidRDefault="009D3B1F" w:rsidP="00027E29">
            <w:pPr>
              <w:rPr>
                <w:sz w:val="22"/>
                <w:szCs w:val="22"/>
                <w:lang w:val="sr-Latn-ME"/>
              </w:rPr>
            </w:pPr>
            <w:r w:rsidRPr="008F3A6B">
              <w:rPr>
                <w:sz w:val="22"/>
                <w:szCs w:val="22"/>
                <w:lang w:val="sr-Latn-ME"/>
              </w:rPr>
              <w:t>Poremećaji nervnog sistema</w:t>
            </w:r>
          </w:p>
        </w:tc>
        <w:tc>
          <w:tcPr>
            <w:tcW w:w="1534" w:type="dxa"/>
            <w:vAlign w:val="center"/>
          </w:tcPr>
          <w:p w14:paraId="7D926888" w14:textId="77777777" w:rsidR="009D3B1F" w:rsidRPr="006C101E" w:rsidRDefault="009D3B1F" w:rsidP="00027E29">
            <w:pPr>
              <w:rPr>
                <w:strike/>
                <w:sz w:val="22"/>
                <w:szCs w:val="22"/>
                <w:lang w:val="sr-Latn-ME"/>
              </w:rPr>
            </w:pPr>
          </w:p>
        </w:tc>
        <w:tc>
          <w:tcPr>
            <w:tcW w:w="1584" w:type="dxa"/>
            <w:vAlign w:val="center"/>
          </w:tcPr>
          <w:p w14:paraId="74C125A2" w14:textId="7D578A30" w:rsidR="009D3B1F" w:rsidRPr="004F434B" w:rsidRDefault="009D3B1F" w:rsidP="00027E29">
            <w:pPr>
              <w:rPr>
                <w:sz w:val="22"/>
                <w:szCs w:val="22"/>
                <w:lang w:val="sr-Latn-ME"/>
              </w:rPr>
            </w:pPr>
            <w:r w:rsidRPr="004F434B">
              <w:rPr>
                <w:sz w:val="22"/>
                <w:szCs w:val="22"/>
                <w:lang w:val="sr-Latn-ME"/>
              </w:rPr>
              <w:t>Glavobolja; vrtoglavica</w:t>
            </w:r>
          </w:p>
        </w:tc>
        <w:tc>
          <w:tcPr>
            <w:tcW w:w="1701" w:type="dxa"/>
            <w:vAlign w:val="center"/>
          </w:tcPr>
          <w:p w14:paraId="30CDBE59" w14:textId="77777777" w:rsidR="009D3B1F" w:rsidRPr="004F434B" w:rsidRDefault="009D3B1F" w:rsidP="00027E29">
            <w:pPr>
              <w:rPr>
                <w:sz w:val="22"/>
                <w:szCs w:val="22"/>
                <w:lang w:val="sr-Latn-ME"/>
              </w:rPr>
            </w:pPr>
            <w:r w:rsidRPr="004F434B">
              <w:rPr>
                <w:sz w:val="22"/>
                <w:szCs w:val="22"/>
                <w:lang w:val="sr-Latn-ME"/>
              </w:rPr>
              <w:t>Poremećaji čula ukusa</w:t>
            </w:r>
          </w:p>
        </w:tc>
        <w:tc>
          <w:tcPr>
            <w:tcW w:w="1843" w:type="dxa"/>
            <w:vAlign w:val="center"/>
          </w:tcPr>
          <w:p w14:paraId="600C37F8" w14:textId="77777777" w:rsidR="009D3B1F" w:rsidRPr="00B46DBD" w:rsidRDefault="009D3B1F" w:rsidP="00027E29">
            <w:pPr>
              <w:rPr>
                <w:sz w:val="22"/>
                <w:szCs w:val="22"/>
                <w:lang w:val="sr-Latn-ME"/>
              </w:rPr>
            </w:pPr>
          </w:p>
        </w:tc>
        <w:tc>
          <w:tcPr>
            <w:tcW w:w="1876" w:type="dxa"/>
            <w:vAlign w:val="center"/>
          </w:tcPr>
          <w:p w14:paraId="4FCC048D" w14:textId="597F62CD" w:rsidR="009D3B1F" w:rsidRPr="00B46DBD" w:rsidRDefault="00D231EE" w:rsidP="00027E29">
            <w:pPr>
              <w:rPr>
                <w:sz w:val="22"/>
                <w:szCs w:val="22"/>
                <w:lang w:val="sr-Latn-ME"/>
              </w:rPr>
            </w:pPr>
            <w:r w:rsidRPr="00B46DBD">
              <w:rPr>
                <w:sz w:val="22"/>
                <w:szCs w:val="22"/>
                <w:lang w:val="sr-Latn-ME"/>
              </w:rPr>
              <w:t>Parestezija</w:t>
            </w:r>
          </w:p>
        </w:tc>
      </w:tr>
      <w:tr w:rsidR="009D3B1F" w:rsidRPr="00B267CC" w14:paraId="71BE1391" w14:textId="77777777" w:rsidTr="00027E29">
        <w:tc>
          <w:tcPr>
            <w:tcW w:w="1668" w:type="dxa"/>
            <w:vAlign w:val="center"/>
          </w:tcPr>
          <w:p w14:paraId="46282F53" w14:textId="505989CE" w:rsidR="009D3B1F" w:rsidRPr="008F3A6B" w:rsidRDefault="009D3B1F" w:rsidP="00027E29">
            <w:pPr>
              <w:rPr>
                <w:sz w:val="22"/>
                <w:szCs w:val="22"/>
                <w:lang w:val="sr-Latn-ME"/>
              </w:rPr>
            </w:pPr>
            <w:r w:rsidRPr="008F3A6B">
              <w:rPr>
                <w:sz w:val="22"/>
                <w:szCs w:val="22"/>
                <w:lang w:val="sr-Latn-ME"/>
              </w:rPr>
              <w:t>Poremećaji oka</w:t>
            </w:r>
          </w:p>
        </w:tc>
        <w:tc>
          <w:tcPr>
            <w:tcW w:w="1534" w:type="dxa"/>
            <w:vAlign w:val="center"/>
          </w:tcPr>
          <w:p w14:paraId="0EAC6D7B" w14:textId="77777777" w:rsidR="009D3B1F" w:rsidRPr="006C101E" w:rsidRDefault="009D3B1F" w:rsidP="00027E29">
            <w:pPr>
              <w:rPr>
                <w:strike/>
                <w:sz w:val="22"/>
                <w:szCs w:val="22"/>
                <w:lang w:val="sr-Latn-ME"/>
              </w:rPr>
            </w:pPr>
          </w:p>
        </w:tc>
        <w:tc>
          <w:tcPr>
            <w:tcW w:w="1584" w:type="dxa"/>
            <w:vAlign w:val="center"/>
          </w:tcPr>
          <w:p w14:paraId="07F0B17F" w14:textId="77777777" w:rsidR="009D3B1F" w:rsidRPr="004F434B" w:rsidRDefault="009D3B1F" w:rsidP="00027E29">
            <w:pPr>
              <w:rPr>
                <w:sz w:val="22"/>
                <w:szCs w:val="22"/>
                <w:lang w:val="sr-Latn-ME"/>
              </w:rPr>
            </w:pPr>
          </w:p>
        </w:tc>
        <w:tc>
          <w:tcPr>
            <w:tcW w:w="1701" w:type="dxa"/>
            <w:vAlign w:val="center"/>
          </w:tcPr>
          <w:p w14:paraId="37D61640" w14:textId="77777777" w:rsidR="009D3B1F" w:rsidRPr="004F434B" w:rsidRDefault="009D3B1F" w:rsidP="00027E29">
            <w:pPr>
              <w:rPr>
                <w:sz w:val="22"/>
                <w:szCs w:val="22"/>
                <w:lang w:val="sr-Latn-ME"/>
              </w:rPr>
            </w:pPr>
            <w:r w:rsidRPr="004F434B">
              <w:rPr>
                <w:sz w:val="22"/>
                <w:szCs w:val="22"/>
                <w:lang w:val="sr-Latn-ME"/>
              </w:rPr>
              <w:t>Poremećaji vida (zamućen vid)</w:t>
            </w:r>
          </w:p>
        </w:tc>
        <w:tc>
          <w:tcPr>
            <w:tcW w:w="1843" w:type="dxa"/>
            <w:vAlign w:val="center"/>
          </w:tcPr>
          <w:p w14:paraId="2B20692C" w14:textId="77777777" w:rsidR="009D3B1F" w:rsidRPr="00B46DBD" w:rsidRDefault="009D3B1F" w:rsidP="00027E29">
            <w:pPr>
              <w:rPr>
                <w:sz w:val="22"/>
                <w:szCs w:val="22"/>
                <w:lang w:val="sr-Latn-ME"/>
              </w:rPr>
            </w:pPr>
          </w:p>
        </w:tc>
        <w:tc>
          <w:tcPr>
            <w:tcW w:w="1876" w:type="dxa"/>
            <w:vAlign w:val="center"/>
          </w:tcPr>
          <w:p w14:paraId="156F813F" w14:textId="77777777" w:rsidR="009D3B1F" w:rsidRPr="00B46DBD" w:rsidRDefault="009D3B1F" w:rsidP="00027E29">
            <w:pPr>
              <w:rPr>
                <w:sz w:val="22"/>
                <w:szCs w:val="22"/>
                <w:lang w:val="sr-Latn-ME"/>
              </w:rPr>
            </w:pPr>
          </w:p>
        </w:tc>
      </w:tr>
      <w:tr w:rsidR="009D3B1F" w:rsidRPr="00B267CC" w14:paraId="6CB96454" w14:textId="77777777" w:rsidTr="00027E29">
        <w:tc>
          <w:tcPr>
            <w:tcW w:w="1668" w:type="dxa"/>
            <w:vAlign w:val="center"/>
          </w:tcPr>
          <w:p w14:paraId="24019F08" w14:textId="77777777" w:rsidR="009D3B1F" w:rsidRPr="008F3A6B" w:rsidRDefault="009D3B1F" w:rsidP="00027E29">
            <w:pPr>
              <w:rPr>
                <w:sz w:val="22"/>
                <w:szCs w:val="22"/>
                <w:lang w:val="sr-Latn-ME"/>
              </w:rPr>
            </w:pPr>
            <w:r w:rsidRPr="008F3A6B">
              <w:rPr>
                <w:sz w:val="22"/>
                <w:szCs w:val="22"/>
                <w:lang w:val="sr-Latn-ME"/>
              </w:rPr>
              <w:t>Gastrointestinalni poremećaji</w:t>
            </w:r>
          </w:p>
        </w:tc>
        <w:tc>
          <w:tcPr>
            <w:tcW w:w="1534" w:type="dxa"/>
            <w:vAlign w:val="center"/>
          </w:tcPr>
          <w:p w14:paraId="6D3ECB66" w14:textId="3428F4A1" w:rsidR="009D3B1F" w:rsidRPr="006C101E" w:rsidRDefault="006C101E" w:rsidP="00027E29">
            <w:pPr>
              <w:rPr>
                <w:sz w:val="22"/>
                <w:szCs w:val="22"/>
                <w:lang w:val="sr-Latn-ME"/>
              </w:rPr>
            </w:pPr>
            <w:r w:rsidRPr="006C101E">
              <w:rPr>
                <w:sz w:val="22"/>
                <w:szCs w:val="22"/>
                <w:lang w:val="sr-Latn-ME"/>
              </w:rPr>
              <w:t>Polipi fundusnih žlijezda (benigni)</w:t>
            </w:r>
          </w:p>
        </w:tc>
        <w:tc>
          <w:tcPr>
            <w:tcW w:w="1584" w:type="dxa"/>
            <w:vAlign w:val="center"/>
          </w:tcPr>
          <w:p w14:paraId="1D0DEB90" w14:textId="7ECC7C0B" w:rsidR="009D3B1F" w:rsidRPr="00B46DBD" w:rsidRDefault="009D3B1F" w:rsidP="00027E29">
            <w:pPr>
              <w:rPr>
                <w:sz w:val="22"/>
                <w:szCs w:val="22"/>
                <w:lang w:val="sr-Latn-ME"/>
              </w:rPr>
            </w:pPr>
            <w:r w:rsidRPr="006C101E">
              <w:rPr>
                <w:sz w:val="22"/>
                <w:szCs w:val="22"/>
                <w:lang w:val="sr-Latn-ME"/>
              </w:rPr>
              <w:t xml:space="preserve">Proliv; mučnina/ povraćanje; nadimanje i pojava gasova; </w:t>
            </w:r>
            <w:r w:rsidR="00D231EE" w:rsidRPr="004F434B">
              <w:rPr>
                <w:sz w:val="22"/>
                <w:szCs w:val="22"/>
                <w:lang w:val="sr-Latn-ME"/>
              </w:rPr>
              <w:t>konstipacija</w:t>
            </w:r>
            <w:r w:rsidRPr="004F434B">
              <w:rPr>
                <w:sz w:val="22"/>
                <w:szCs w:val="22"/>
                <w:lang w:val="sr-Latn-ME"/>
              </w:rPr>
              <w:t xml:space="preserve">; suva usta; bol </w:t>
            </w:r>
            <w:r w:rsidR="00D231EE" w:rsidRPr="004F434B">
              <w:rPr>
                <w:sz w:val="22"/>
                <w:szCs w:val="22"/>
                <w:lang w:val="sr-Latn-ME"/>
              </w:rPr>
              <w:t xml:space="preserve">i nelagodnost </w:t>
            </w:r>
            <w:r w:rsidRPr="00B46DBD">
              <w:rPr>
                <w:sz w:val="22"/>
                <w:szCs w:val="22"/>
                <w:lang w:val="sr-Latn-ME"/>
              </w:rPr>
              <w:t xml:space="preserve">u </w:t>
            </w:r>
            <w:r w:rsidR="00D231EE" w:rsidRPr="00B46DBD">
              <w:rPr>
                <w:sz w:val="22"/>
                <w:szCs w:val="22"/>
                <w:lang w:val="sr-Latn-ME"/>
              </w:rPr>
              <w:t>abdomenu</w:t>
            </w:r>
            <w:r w:rsidRPr="00B46DBD">
              <w:rPr>
                <w:sz w:val="22"/>
                <w:szCs w:val="22"/>
                <w:lang w:val="sr-Latn-ME"/>
              </w:rPr>
              <w:t xml:space="preserve"> </w:t>
            </w:r>
          </w:p>
        </w:tc>
        <w:tc>
          <w:tcPr>
            <w:tcW w:w="1701" w:type="dxa"/>
            <w:vAlign w:val="center"/>
          </w:tcPr>
          <w:p w14:paraId="3A12AF2E" w14:textId="77777777" w:rsidR="009D3B1F" w:rsidRPr="00B267CC" w:rsidRDefault="009D3B1F" w:rsidP="00027E29">
            <w:pPr>
              <w:rPr>
                <w:strike/>
                <w:sz w:val="22"/>
                <w:szCs w:val="22"/>
                <w:lang w:val="sr-Latn-ME"/>
              </w:rPr>
            </w:pPr>
          </w:p>
        </w:tc>
        <w:tc>
          <w:tcPr>
            <w:tcW w:w="1843" w:type="dxa"/>
            <w:vAlign w:val="center"/>
          </w:tcPr>
          <w:p w14:paraId="79D75691" w14:textId="77777777" w:rsidR="009D3B1F" w:rsidRPr="00B267CC" w:rsidRDefault="009D3B1F" w:rsidP="00027E29">
            <w:pPr>
              <w:rPr>
                <w:sz w:val="22"/>
                <w:szCs w:val="22"/>
                <w:lang w:val="sr-Latn-ME"/>
              </w:rPr>
            </w:pPr>
          </w:p>
        </w:tc>
        <w:tc>
          <w:tcPr>
            <w:tcW w:w="1876" w:type="dxa"/>
            <w:vAlign w:val="center"/>
          </w:tcPr>
          <w:p w14:paraId="5520F73B" w14:textId="6125E41D" w:rsidR="009D3B1F" w:rsidRPr="00B267CC" w:rsidRDefault="00D231EE" w:rsidP="00027E29">
            <w:pPr>
              <w:ind w:right="-232"/>
              <w:rPr>
                <w:sz w:val="22"/>
                <w:szCs w:val="22"/>
                <w:lang w:val="sr-Latn-ME"/>
              </w:rPr>
            </w:pPr>
            <w:r w:rsidRPr="00B267CC">
              <w:rPr>
                <w:sz w:val="22"/>
                <w:szCs w:val="22"/>
                <w:lang w:val="sr-Latn-ME"/>
              </w:rPr>
              <w:t>Mikroskopski kolitis</w:t>
            </w:r>
          </w:p>
        </w:tc>
      </w:tr>
      <w:tr w:rsidR="009D3B1F" w:rsidRPr="00B267CC" w14:paraId="305B5910" w14:textId="77777777" w:rsidTr="00027E29">
        <w:tc>
          <w:tcPr>
            <w:tcW w:w="1668" w:type="dxa"/>
            <w:vAlign w:val="center"/>
          </w:tcPr>
          <w:p w14:paraId="1F4AD8D0" w14:textId="77777777" w:rsidR="009D3B1F" w:rsidRPr="008F3A6B" w:rsidRDefault="009D3B1F" w:rsidP="00027E29">
            <w:pPr>
              <w:rPr>
                <w:sz w:val="22"/>
                <w:szCs w:val="22"/>
                <w:lang w:val="sr-Latn-ME"/>
              </w:rPr>
            </w:pPr>
            <w:r w:rsidRPr="008F3A6B">
              <w:rPr>
                <w:sz w:val="22"/>
                <w:szCs w:val="22"/>
                <w:lang w:val="sr-Latn-ME"/>
              </w:rPr>
              <w:t>Hepatobilijarni poremećaji</w:t>
            </w:r>
          </w:p>
        </w:tc>
        <w:tc>
          <w:tcPr>
            <w:tcW w:w="1534" w:type="dxa"/>
            <w:vAlign w:val="center"/>
          </w:tcPr>
          <w:p w14:paraId="156C656D" w14:textId="77777777" w:rsidR="009D3B1F" w:rsidRPr="006C101E" w:rsidRDefault="009D3B1F" w:rsidP="00027E29">
            <w:pPr>
              <w:rPr>
                <w:sz w:val="22"/>
                <w:szCs w:val="22"/>
                <w:lang w:val="sr-Latn-ME"/>
              </w:rPr>
            </w:pPr>
          </w:p>
        </w:tc>
        <w:tc>
          <w:tcPr>
            <w:tcW w:w="1584" w:type="dxa"/>
            <w:vAlign w:val="center"/>
          </w:tcPr>
          <w:p w14:paraId="7A7BD379" w14:textId="617A60EF" w:rsidR="009D3B1F" w:rsidRPr="00B46DBD" w:rsidRDefault="009D3B1F" w:rsidP="00027E29">
            <w:pPr>
              <w:rPr>
                <w:sz w:val="22"/>
                <w:szCs w:val="22"/>
                <w:lang w:val="sr-Latn-ME"/>
              </w:rPr>
            </w:pPr>
            <w:r w:rsidRPr="004F434B">
              <w:rPr>
                <w:sz w:val="22"/>
                <w:szCs w:val="22"/>
                <w:lang w:val="sr-Latn-ME"/>
              </w:rPr>
              <w:t xml:space="preserve">Povećanje </w:t>
            </w:r>
            <w:r w:rsidR="00D231EE" w:rsidRPr="004F434B">
              <w:rPr>
                <w:sz w:val="22"/>
                <w:szCs w:val="22"/>
                <w:lang w:val="sr-Latn-ME"/>
              </w:rPr>
              <w:t xml:space="preserve">vrijednosti </w:t>
            </w:r>
            <w:r w:rsidRPr="00B46DBD">
              <w:rPr>
                <w:sz w:val="22"/>
                <w:szCs w:val="22"/>
                <w:lang w:val="sr-Latn-ME"/>
              </w:rPr>
              <w:t>enzima jetre (transaminaze, γ-GT)</w:t>
            </w:r>
          </w:p>
        </w:tc>
        <w:tc>
          <w:tcPr>
            <w:tcW w:w="1701" w:type="dxa"/>
            <w:vAlign w:val="center"/>
          </w:tcPr>
          <w:p w14:paraId="7B6CB0BB" w14:textId="1F162381" w:rsidR="009D3B1F" w:rsidRPr="00B267CC" w:rsidRDefault="009D3B1F" w:rsidP="00027E29">
            <w:pPr>
              <w:rPr>
                <w:sz w:val="22"/>
                <w:szCs w:val="22"/>
                <w:lang w:val="sr-Latn-ME"/>
              </w:rPr>
            </w:pPr>
            <w:r w:rsidRPr="00B46DBD">
              <w:rPr>
                <w:sz w:val="22"/>
                <w:szCs w:val="22"/>
                <w:lang w:val="sr-Latn-ME"/>
              </w:rPr>
              <w:t>Povećanje</w:t>
            </w:r>
            <w:r w:rsidR="00D231EE" w:rsidRPr="00B46DBD">
              <w:rPr>
                <w:sz w:val="22"/>
                <w:szCs w:val="22"/>
                <w:lang w:val="sr-Latn-ME"/>
              </w:rPr>
              <w:t xml:space="preserve"> vrijednosti</w:t>
            </w:r>
            <w:r w:rsidRPr="00B267CC">
              <w:rPr>
                <w:sz w:val="22"/>
                <w:szCs w:val="22"/>
                <w:lang w:val="sr-Latn-ME"/>
              </w:rPr>
              <w:t xml:space="preserve"> bilirubina</w:t>
            </w:r>
          </w:p>
        </w:tc>
        <w:tc>
          <w:tcPr>
            <w:tcW w:w="1843" w:type="dxa"/>
            <w:vAlign w:val="center"/>
          </w:tcPr>
          <w:p w14:paraId="13C4E5CE" w14:textId="77777777" w:rsidR="009D3B1F" w:rsidRPr="00B267CC" w:rsidRDefault="009D3B1F" w:rsidP="00027E29">
            <w:pPr>
              <w:rPr>
                <w:strike/>
                <w:sz w:val="22"/>
                <w:szCs w:val="22"/>
                <w:lang w:val="sr-Latn-ME"/>
              </w:rPr>
            </w:pPr>
          </w:p>
        </w:tc>
        <w:tc>
          <w:tcPr>
            <w:tcW w:w="1876" w:type="dxa"/>
            <w:vAlign w:val="center"/>
          </w:tcPr>
          <w:p w14:paraId="03B0CAA9" w14:textId="77777777" w:rsidR="009D3B1F" w:rsidRPr="00B267CC" w:rsidRDefault="009D3B1F" w:rsidP="00027E29">
            <w:pPr>
              <w:rPr>
                <w:sz w:val="22"/>
                <w:szCs w:val="22"/>
                <w:lang w:val="sr-Latn-ME"/>
              </w:rPr>
            </w:pPr>
            <w:r w:rsidRPr="00B267CC">
              <w:rPr>
                <w:sz w:val="22"/>
                <w:szCs w:val="22"/>
                <w:lang w:val="sr-Latn-ME"/>
              </w:rPr>
              <w:t>Hepatocelularno oštećenje; žutica; hepatocelularna insuficijencija</w:t>
            </w:r>
          </w:p>
        </w:tc>
      </w:tr>
      <w:tr w:rsidR="00D231EE" w:rsidRPr="00B267CC" w14:paraId="52AD6233" w14:textId="77777777" w:rsidTr="00646791">
        <w:tc>
          <w:tcPr>
            <w:tcW w:w="1668" w:type="dxa"/>
            <w:vAlign w:val="center"/>
          </w:tcPr>
          <w:p w14:paraId="3B747FF9" w14:textId="77777777" w:rsidR="00D231EE" w:rsidRPr="008F3A6B" w:rsidRDefault="00D231EE" w:rsidP="00D231EE">
            <w:pPr>
              <w:rPr>
                <w:sz w:val="22"/>
                <w:szCs w:val="22"/>
                <w:lang w:val="sr-Latn-ME"/>
              </w:rPr>
            </w:pPr>
            <w:r w:rsidRPr="008F3A6B">
              <w:rPr>
                <w:sz w:val="22"/>
                <w:szCs w:val="22"/>
                <w:lang w:val="sr-Latn-ME"/>
              </w:rPr>
              <w:t>Poremećaji na nivou kože i potkožnog tkiva</w:t>
            </w:r>
          </w:p>
        </w:tc>
        <w:tc>
          <w:tcPr>
            <w:tcW w:w="1534" w:type="dxa"/>
            <w:vAlign w:val="center"/>
          </w:tcPr>
          <w:p w14:paraId="7F5E4008" w14:textId="77777777" w:rsidR="00D231EE" w:rsidRPr="006C101E" w:rsidRDefault="00D231EE" w:rsidP="00D231EE">
            <w:pPr>
              <w:ind w:right="-288"/>
              <w:rPr>
                <w:sz w:val="22"/>
                <w:szCs w:val="22"/>
                <w:lang w:val="sr-Latn-ME"/>
              </w:rPr>
            </w:pPr>
          </w:p>
        </w:tc>
        <w:tc>
          <w:tcPr>
            <w:tcW w:w="1584" w:type="dxa"/>
            <w:vAlign w:val="center"/>
          </w:tcPr>
          <w:p w14:paraId="185BC94F" w14:textId="234CE112" w:rsidR="00D231EE" w:rsidRPr="004F434B" w:rsidRDefault="00D231EE" w:rsidP="00D231EE">
            <w:pPr>
              <w:rPr>
                <w:sz w:val="22"/>
                <w:szCs w:val="22"/>
                <w:lang w:val="sr-Latn-ME"/>
              </w:rPr>
            </w:pPr>
            <w:r w:rsidRPr="004F434B">
              <w:rPr>
                <w:sz w:val="22"/>
                <w:szCs w:val="22"/>
                <w:lang w:val="sr-Latn-ME"/>
              </w:rPr>
              <w:t>Osip/egzantem/erupcije;</w:t>
            </w:r>
          </w:p>
          <w:p w14:paraId="5DCB652C" w14:textId="57633752" w:rsidR="00D231EE" w:rsidRPr="004F434B" w:rsidRDefault="00D231EE" w:rsidP="00D231EE">
            <w:pPr>
              <w:rPr>
                <w:sz w:val="22"/>
                <w:szCs w:val="22"/>
                <w:lang w:val="sr-Latn-ME"/>
              </w:rPr>
            </w:pPr>
            <w:r w:rsidRPr="004F434B">
              <w:rPr>
                <w:sz w:val="22"/>
                <w:szCs w:val="22"/>
                <w:lang w:val="sr-Latn-ME"/>
              </w:rPr>
              <w:t xml:space="preserve">pruritis </w:t>
            </w:r>
          </w:p>
        </w:tc>
        <w:tc>
          <w:tcPr>
            <w:tcW w:w="1701" w:type="dxa"/>
            <w:vAlign w:val="center"/>
          </w:tcPr>
          <w:p w14:paraId="5EF522F9" w14:textId="77777777" w:rsidR="00D231EE" w:rsidRPr="00B46DBD" w:rsidRDefault="00D231EE" w:rsidP="00D231EE">
            <w:pPr>
              <w:rPr>
                <w:sz w:val="22"/>
                <w:szCs w:val="22"/>
                <w:lang w:val="sr-Latn-ME"/>
              </w:rPr>
            </w:pPr>
            <w:r w:rsidRPr="00B46DBD">
              <w:rPr>
                <w:sz w:val="22"/>
                <w:szCs w:val="22"/>
                <w:lang w:val="sr-Latn-ME"/>
              </w:rPr>
              <w:t>Urtikarija; angioedem</w:t>
            </w:r>
          </w:p>
        </w:tc>
        <w:tc>
          <w:tcPr>
            <w:tcW w:w="1843" w:type="dxa"/>
            <w:vAlign w:val="center"/>
          </w:tcPr>
          <w:p w14:paraId="7D4B8A10" w14:textId="77777777" w:rsidR="00D231EE" w:rsidRPr="00B46DBD" w:rsidRDefault="00D231EE" w:rsidP="00D231EE">
            <w:pPr>
              <w:rPr>
                <w:sz w:val="22"/>
                <w:szCs w:val="22"/>
                <w:lang w:val="sr-Latn-ME"/>
              </w:rPr>
            </w:pPr>
          </w:p>
        </w:tc>
        <w:tc>
          <w:tcPr>
            <w:tcW w:w="1876" w:type="dxa"/>
          </w:tcPr>
          <w:p w14:paraId="0B1FC01A" w14:textId="63662962" w:rsidR="00D231EE" w:rsidRPr="00260EB7" w:rsidRDefault="00D231EE" w:rsidP="00260EB7">
            <w:pPr>
              <w:rPr>
                <w:lang w:val="sr-Latn-RS"/>
              </w:rPr>
            </w:pPr>
            <w:r w:rsidRPr="00B46DBD">
              <w:rPr>
                <w:i/>
                <w:spacing w:val="-2"/>
                <w:lang w:val="sr-Latn-RS"/>
              </w:rPr>
              <w:t xml:space="preserve">Stevens-Johnson </w:t>
            </w:r>
            <w:r w:rsidRPr="003317E7">
              <w:rPr>
                <w:lang w:val="sr-Latn-RS"/>
              </w:rPr>
              <w:t xml:space="preserve">sindrom; </w:t>
            </w:r>
            <w:r w:rsidRPr="003317E7">
              <w:rPr>
                <w:i/>
                <w:lang w:val="sr-Latn-RS"/>
              </w:rPr>
              <w:t xml:space="preserve">Lyell </w:t>
            </w:r>
            <w:r w:rsidRPr="00260EB7">
              <w:rPr>
                <w:lang w:val="sr-Latn-RS"/>
              </w:rPr>
              <w:t xml:space="preserve">sindrom (TEN); Reakcija na lijek sa eozinofilijom i </w:t>
            </w:r>
            <w:r w:rsidRPr="00260EB7">
              <w:rPr>
                <w:spacing w:val="-2"/>
                <w:lang w:val="sr-Latn-RS"/>
              </w:rPr>
              <w:t>sistemskim</w:t>
            </w:r>
          </w:p>
          <w:p w14:paraId="55FC7F52" w14:textId="225D47F4" w:rsidR="00D231EE" w:rsidRPr="006C101E" w:rsidRDefault="00D231EE" w:rsidP="006C101E">
            <w:pPr>
              <w:rPr>
                <w:sz w:val="22"/>
                <w:szCs w:val="22"/>
                <w:lang w:val="sr-Latn-ME"/>
              </w:rPr>
            </w:pPr>
            <w:r w:rsidRPr="00B267CC">
              <w:rPr>
                <w:spacing w:val="-2"/>
                <w:sz w:val="22"/>
                <w:szCs w:val="22"/>
                <w:lang w:val="sr-Latn-RS"/>
              </w:rPr>
              <w:t>simptomima DRESS;</w:t>
            </w:r>
            <w:r w:rsidR="006C101E">
              <w:rPr>
                <w:spacing w:val="-2"/>
                <w:sz w:val="22"/>
                <w:szCs w:val="22"/>
                <w:lang w:val="sr-Latn-RS"/>
              </w:rPr>
              <w:t xml:space="preserve"> multiformni eritem</w:t>
            </w:r>
            <w:r w:rsidRPr="006C101E">
              <w:rPr>
                <w:spacing w:val="-2"/>
                <w:sz w:val="22"/>
                <w:szCs w:val="22"/>
                <w:lang w:val="sr-Latn-RS"/>
              </w:rPr>
              <w:t xml:space="preserve">; Fotosenzitivnost; Subakutni kožni </w:t>
            </w:r>
            <w:r w:rsidRPr="006C101E">
              <w:rPr>
                <w:spacing w:val="-2"/>
                <w:sz w:val="22"/>
                <w:szCs w:val="22"/>
                <w:lang w:val="sr-Latn-RS"/>
              </w:rPr>
              <w:lastRenderedPageBreak/>
              <w:t>lupus eritematodes (videti dio 4.4)</w:t>
            </w:r>
          </w:p>
        </w:tc>
      </w:tr>
      <w:tr w:rsidR="00D231EE" w:rsidRPr="00B267CC" w14:paraId="1AFB3B51" w14:textId="77777777" w:rsidTr="00027E29">
        <w:trPr>
          <w:trHeight w:val="2111"/>
        </w:trPr>
        <w:tc>
          <w:tcPr>
            <w:tcW w:w="1668" w:type="dxa"/>
            <w:vAlign w:val="center"/>
          </w:tcPr>
          <w:p w14:paraId="609D3091" w14:textId="77777777" w:rsidR="00D231EE" w:rsidRPr="008F3A6B" w:rsidRDefault="00D231EE" w:rsidP="00D231EE">
            <w:pPr>
              <w:rPr>
                <w:sz w:val="22"/>
                <w:szCs w:val="22"/>
                <w:lang w:val="sr-Latn-ME"/>
              </w:rPr>
            </w:pPr>
            <w:r w:rsidRPr="008F3A6B">
              <w:rPr>
                <w:sz w:val="22"/>
                <w:szCs w:val="22"/>
                <w:lang w:val="sr-Latn-ME"/>
              </w:rPr>
              <w:lastRenderedPageBreak/>
              <w:t>Poremećaji mišićno-skeletnog i vezivnog tkiva</w:t>
            </w:r>
          </w:p>
        </w:tc>
        <w:tc>
          <w:tcPr>
            <w:tcW w:w="1534" w:type="dxa"/>
            <w:vAlign w:val="center"/>
          </w:tcPr>
          <w:p w14:paraId="095D160D" w14:textId="77777777" w:rsidR="00D231EE" w:rsidRPr="006C101E" w:rsidRDefault="00D231EE" w:rsidP="00D231EE">
            <w:pPr>
              <w:rPr>
                <w:sz w:val="22"/>
                <w:szCs w:val="22"/>
                <w:lang w:val="sr-Latn-ME"/>
              </w:rPr>
            </w:pPr>
          </w:p>
        </w:tc>
        <w:tc>
          <w:tcPr>
            <w:tcW w:w="1584" w:type="dxa"/>
            <w:vAlign w:val="center"/>
          </w:tcPr>
          <w:p w14:paraId="5323AF5D" w14:textId="6D001D7E" w:rsidR="00D231EE" w:rsidRPr="004F434B" w:rsidRDefault="00D231EE" w:rsidP="00D231EE">
            <w:pPr>
              <w:rPr>
                <w:sz w:val="22"/>
                <w:szCs w:val="22"/>
                <w:lang w:val="sr-Latn-ME"/>
              </w:rPr>
            </w:pPr>
            <w:r w:rsidRPr="004F434B">
              <w:rPr>
                <w:sz w:val="22"/>
                <w:szCs w:val="22"/>
                <w:lang w:val="sr-Latn-ME"/>
              </w:rPr>
              <w:t>Fraktura kuka, zgloba ruke ili kičmenog stuba (vidjeti dio 4.4)</w:t>
            </w:r>
          </w:p>
        </w:tc>
        <w:tc>
          <w:tcPr>
            <w:tcW w:w="1701" w:type="dxa"/>
            <w:vAlign w:val="center"/>
          </w:tcPr>
          <w:p w14:paraId="1B0B56EF" w14:textId="77777777" w:rsidR="00D231EE" w:rsidRPr="004F434B" w:rsidRDefault="00D231EE" w:rsidP="00D231EE">
            <w:pPr>
              <w:rPr>
                <w:sz w:val="22"/>
                <w:szCs w:val="22"/>
                <w:lang w:val="sr-Latn-ME"/>
              </w:rPr>
            </w:pPr>
            <w:r w:rsidRPr="004F434B">
              <w:rPr>
                <w:sz w:val="22"/>
                <w:szCs w:val="22"/>
                <w:lang w:val="sr-Latn-ME"/>
              </w:rPr>
              <w:t>Artralgija; mialgija</w:t>
            </w:r>
          </w:p>
        </w:tc>
        <w:tc>
          <w:tcPr>
            <w:tcW w:w="1843" w:type="dxa"/>
            <w:vAlign w:val="center"/>
          </w:tcPr>
          <w:p w14:paraId="1D12C1A1" w14:textId="77777777" w:rsidR="00D231EE" w:rsidRPr="00B46DBD" w:rsidRDefault="00D231EE" w:rsidP="00D231EE">
            <w:pPr>
              <w:rPr>
                <w:strike/>
                <w:sz w:val="22"/>
                <w:szCs w:val="22"/>
                <w:lang w:val="sr-Latn-ME"/>
              </w:rPr>
            </w:pPr>
          </w:p>
        </w:tc>
        <w:tc>
          <w:tcPr>
            <w:tcW w:w="1876" w:type="dxa"/>
            <w:vAlign w:val="center"/>
          </w:tcPr>
          <w:p w14:paraId="739AF6CE" w14:textId="63DF5255" w:rsidR="00D231EE" w:rsidRPr="00B267CC" w:rsidRDefault="00D231EE" w:rsidP="00D231EE">
            <w:pPr>
              <w:rPr>
                <w:sz w:val="22"/>
                <w:szCs w:val="22"/>
                <w:lang w:val="sr-Latn-ME"/>
              </w:rPr>
            </w:pPr>
            <w:r w:rsidRPr="00B46DBD">
              <w:rPr>
                <w:sz w:val="22"/>
                <w:szCs w:val="22"/>
                <w:lang w:val="sr-Latn-RS"/>
              </w:rPr>
              <w:t>Mišićni</w:t>
            </w:r>
            <w:r w:rsidRPr="00B46DBD">
              <w:rPr>
                <w:spacing w:val="-8"/>
                <w:sz w:val="22"/>
                <w:szCs w:val="22"/>
                <w:lang w:val="sr-Latn-RS"/>
              </w:rPr>
              <w:t xml:space="preserve"> </w:t>
            </w:r>
            <w:r w:rsidRPr="00B46DBD">
              <w:rPr>
                <w:sz w:val="22"/>
                <w:szCs w:val="22"/>
                <w:lang w:val="sr-Latn-RS"/>
              </w:rPr>
              <w:t>spazam</w:t>
            </w:r>
            <w:r w:rsidRPr="00B267CC">
              <w:rPr>
                <w:spacing w:val="-3"/>
                <w:sz w:val="22"/>
                <w:szCs w:val="22"/>
                <w:lang w:val="sr-Latn-RS"/>
              </w:rPr>
              <w:t xml:space="preserve"> </w:t>
            </w:r>
            <w:r w:rsidRPr="00B267CC">
              <w:rPr>
                <w:spacing w:val="-5"/>
                <w:sz w:val="22"/>
                <w:szCs w:val="22"/>
                <w:vertAlign w:val="superscript"/>
                <w:lang w:val="sr-Latn-RS"/>
              </w:rPr>
              <w:t xml:space="preserve">(2) </w:t>
            </w:r>
          </w:p>
        </w:tc>
      </w:tr>
      <w:tr w:rsidR="00D231EE" w:rsidRPr="00B267CC" w14:paraId="6C8DB5A5" w14:textId="77777777" w:rsidTr="00027E29">
        <w:tc>
          <w:tcPr>
            <w:tcW w:w="1668" w:type="dxa"/>
            <w:vAlign w:val="center"/>
          </w:tcPr>
          <w:p w14:paraId="331F5D48" w14:textId="77777777" w:rsidR="00D231EE" w:rsidRPr="008F3A6B" w:rsidRDefault="00D231EE" w:rsidP="00D231EE">
            <w:pPr>
              <w:rPr>
                <w:sz w:val="22"/>
                <w:szCs w:val="22"/>
                <w:lang w:val="sr-Latn-ME"/>
              </w:rPr>
            </w:pPr>
          </w:p>
          <w:p w14:paraId="554A583D" w14:textId="77777777" w:rsidR="00D231EE" w:rsidRPr="006C101E" w:rsidRDefault="00D231EE" w:rsidP="00D231EE">
            <w:pPr>
              <w:rPr>
                <w:sz w:val="22"/>
                <w:szCs w:val="22"/>
                <w:lang w:val="sr-Latn-ME"/>
              </w:rPr>
            </w:pPr>
          </w:p>
          <w:p w14:paraId="20280822" w14:textId="77777777" w:rsidR="00D231EE" w:rsidRPr="004F434B" w:rsidRDefault="00D231EE" w:rsidP="00D231EE">
            <w:pPr>
              <w:rPr>
                <w:sz w:val="22"/>
                <w:szCs w:val="22"/>
                <w:lang w:val="sr-Latn-ME"/>
              </w:rPr>
            </w:pPr>
            <w:r w:rsidRPr="004F434B">
              <w:rPr>
                <w:sz w:val="22"/>
                <w:szCs w:val="22"/>
                <w:lang w:val="sr-Latn-ME"/>
              </w:rPr>
              <w:t>Poremećaji na nivou bubrega i urinarnog sistema</w:t>
            </w:r>
          </w:p>
        </w:tc>
        <w:tc>
          <w:tcPr>
            <w:tcW w:w="1534" w:type="dxa"/>
            <w:vAlign w:val="center"/>
          </w:tcPr>
          <w:p w14:paraId="3ACCD060" w14:textId="77777777" w:rsidR="00D231EE" w:rsidRPr="004F434B" w:rsidRDefault="00D231EE" w:rsidP="00D231EE">
            <w:pPr>
              <w:rPr>
                <w:sz w:val="22"/>
                <w:szCs w:val="22"/>
                <w:lang w:val="sr-Latn-ME"/>
              </w:rPr>
            </w:pPr>
          </w:p>
        </w:tc>
        <w:tc>
          <w:tcPr>
            <w:tcW w:w="1584" w:type="dxa"/>
            <w:vAlign w:val="center"/>
          </w:tcPr>
          <w:p w14:paraId="5E62CC6A" w14:textId="77777777" w:rsidR="00D231EE" w:rsidRPr="00B46DBD" w:rsidRDefault="00D231EE" w:rsidP="00D231EE">
            <w:pPr>
              <w:rPr>
                <w:sz w:val="22"/>
                <w:szCs w:val="22"/>
                <w:lang w:val="sr-Latn-ME"/>
              </w:rPr>
            </w:pPr>
          </w:p>
        </w:tc>
        <w:tc>
          <w:tcPr>
            <w:tcW w:w="1701" w:type="dxa"/>
            <w:vAlign w:val="center"/>
          </w:tcPr>
          <w:p w14:paraId="0F48DAAC" w14:textId="77777777" w:rsidR="00D231EE" w:rsidRPr="00B46DBD" w:rsidRDefault="00D231EE" w:rsidP="00D231EE">
            <w:pPr>
              <w:rPr>
                <w:sz w:val="22"/>
                <w:szCs w:val="22"/>
                <w:lang w:val="sr-Latn-ME"/>
              </w:rPr>
            </w:pPr>
          </w:p>
        </w:tc>
        <w:tc>
          <w:tcPr>
            <w:tcW w:w="1843" w:type="dxa"/>
            <w:vAlign w:val="center"/>
          </w:tcPr>
          <w:p w14:paraId="78F9BBFE" w14:textId="77777777" w:rsidR="00D231EE" w:rsidRPr="00B267CC" w:rsidRDefault="00D231EE" w:rsidP="00D231EE">
            <w:pPr>
              <w:rPr>
                <w:strike/>
                <w:sz w:val="22"/>
                <w:szCs w:val="22"/>
                <w:lang w:val="sr-Latn-ME"/>
              </w:rPr>
            </w:pPr>
          </w:p>
        </w:tc>
        <w:tc>
          <w:tcPr>
            <w:tcW w:w="1876" w:type="dxa"/>
            <w:vAlign w:val="center"/>
          </w:tcPr>
          <w:p w14:paraId="1FADF25E" w14:textId="77777777" w:rsidR="00D231EE" w:rsidRPr="00B267CC" w:rsidRDefault="00D231EE" w:rsidP="00D231EE">
            <w:pPr>
              <w:rPr>
                <w:sz w:val="22"/>
                <w:szCs w:val="22"/>
                <w:lang w:val="sr-Latn-ME"/>
              </w:rPr>
            </w:pPr>
          </w:p>
          <w:p w14:paraId="6F37B39F" w14:textId="77777777" w:rsidR="00D231EE" w:rsidRPr="00B267CC" w:rsidRDefault="00D231EE" w:rsidP="00D231EE">
            <w:pPr>
              <w:rPr>
                <w:sz w:val="22"/>
                <w:szCs w:val="22"/>
                <w:lang w:val="sr-Latn-ME"/>
              </w:rPr>
            </w:pPr>
          </w:p>
          <w:p w14:paraId="46F2D2CC" w14:textId="387856E5" w:rsidR="00D231EE" w:rsidRPr="00B267CC" w:rsidRDefault="00D231EE" w:rsidP="00D231EE">
            <w:pPr>
              <w:rPr>
                <w:sz w:val="22"/>
                <w:szCs w:val="22"/>
                <w:lang w:val="sr-Latn-ME"/>
              </w:rPr>
            </w:pPr>
            <w:r w:rsidRPr="00B267CC">
              <w:rPr>
                <w:sz w:val="22"/>
                <w:szCs w:val="22"/>
                <w:lang w:val="sr-Latn-ME"/>
              </w:rPr>
              <w:t>Tubulointersticijalni nefritis (TIN) (sa mogućom progresijom do insuficijencije bubrega)</w:t>
            </w:r>
          </w:p>
        </w:tc>
      </w:tr>
      <w:tr w:rsidR="00D231EE" w:rsidRPr="00B267CC" w14:paraId="3AA2F3C2" w14:textId="77777777" w:rsidTr="00027E29">
        <w:tc>
          <w:tcPr>
            <w:tcW w:w="1668" w:type="dxa"/>
            <w:vAlign w:val="center"/>
          </w:tcPr>
          <w:p w14:paraId="137E7D78" w14:textId="77777777" w:rsidR="00D231EE" w:rsidRPr="008F3A6B" w:rsidRDefault="00D231EE" w:rsidP="00D231EE">
            <w:pPr>
              <w:rPr>
                <w:sz w:val="22"/>
                <w:szCs w:val="22"/>
                <w:lang w:val="sr-Latn-ME"/>
              </w:rPr>
            </w:pPr>
            <w:r w:rsidRPr="008F3A6B">
              <w:rPr>
                <w:sz w:val="22"/>
                <w:szCs w:val="22"/>
                <w:lang w:val="sr-Latn-ME"/>
              </w:rPr>
              <w:t>Poremećaji reproduktivnog sistema i na nivou dojki</w:t>
            </w:r>
          </w:p>
        </w:tc>
        <w:tc>
          <w:tcPr>
            <w:tcW w:w="1534" w:type="dxa"/>
            <w:vAlign w:val="center"/>
          </w:tcPr>
          <w:p w14:paraId="76A02840" w14:textId="77777777" w:rsidR="00D231EE" w:rsidRPr="006C101E" w:rsidRDefault="00D231EE" w:rsidP="00D231EE">
            <w:pPr>
              <w:rPr>
                <w:sz w:val="22"/>
                <w:szCs w:val="22"/>
                <w:lang w:val="sr-Latn-ME"/>
              </w:rPr>
            </w:pPr>
          </w:p>
        </w:tc>
        <w:tc>
          <w:tcPr>
            <w:tcW w:w="1584" w:type="dxa"/>
            <w:vAlign w:val="center"/>
          </w:tcPr>
          <w:p w14:paraId="79352046" w14:textId="77777777" w:rsidR="00D231EE" w:rsidRPr="004F434B" w:rsidRDefault="00D231EE" w:rsidP="00D231EE">
            <w:pPr>
              <w:rPr>
                <w:sz w:val="22"/>
                <w:szCs w:val="22"/>
                <w:lang w:val="sr-Latn-ME"/>
              </w:rPr>
            </w:pPr>
          </w:p>
        </w:tc>
        <w:tc>
          <w:tcPr>
            <w:tcW w:w="1701" w:type="dxa"/>
            <w:vAlign w:val="center"/>
          </w:tcPr>
          <w:p w14:paraId="0624158B" w14:textId="77777777" w:rsidR="00D231EE" w:rsidRPr="004F434B" w:rsidRDefault="00D231EE" w:rsidP="00D231EE">
            <w:pPr>
              <w:rPr>
                <w:sz w:val="22"/>
                <w:szCs w:val="22"/>
                <w:lang w:val="sr-Latn-ME"/>
              </w:rPr>
            </w:pPr>
            <w:r w:rsidRPr="004F434B">
              <w:rPr>
                <w:sz w:val="22"/>
                <w:szCs w:val="22"/>
                <w:lang w:val="sr-Latn-ME"/>
              </w:rPr>
              <w:t>Ginekomastija</w:t>
            </w:r>
          </w:p>
        </w:tc>
        <w:tc>
          <w:tcPr>
            <w:tcW w:w="1843" w:type="dxa"/>
            <w:vAlign w:val="center"/>
          </w:tcPr>
          <w:p w14:paraId="315B2F91" w14:textId="77777777" w:rsidR="00D231EE" w:rsidRPr="00B46DBD" w:rsidRDefault="00D231EE" w:rsidP="00D231EE">
            <w:pPr>
              <w:rPr>
                <w:sz w:val="22"/>
                <w:szCs w:val="22"/>
                <w:lang w:val="sr-Latn-ME"/>
              </w:rPr>
            </w:pPr>
          </w:p>
        </w:tc>
        <w:tc>
          <w:tcPr>
            <w:tcW w:w="1876" w:type="dxa"/>
            <w:vAlign w:val="center"/>
          </w:tcPr>
          <w:p w14:paraId="123C9EC0" w14:textId="77777777" w:rsidR="00D231EE" w:rsidRPr="00B46DBD" w:rsidRDefault="00D231EE" w:rsidP="00D231EE">
            <w:pPr>
              <w:ind w:right="-232"/>
              <w:rPr>
                <w:sz w:val="22"/>
                <w:szCs w:val="22"/>
                <w:lang w:val="sr-Latn-ME"/>
              </w:rPr>
            </w:pPr>
          </w:p>
        </w:tc>
      </w:tr>
      <w:tr w:rsidR="00D231EE" w:rsidRPr="00B267CC" w14:paraId="183CE1FD" w14:textId="77777777" w:rsidTr="00027E29">
        <w:tc>
          <w:tcPr>
            <w:tcW w:w="1668" w:type="dxa"/>
            <w:vAlign w:val="center"/>
          </w:tcPr>
          <w:p w14:paraId="186E224F" w14:textId="77777777" w:rsidR="00D231EE" w:rsidRPr="008F3A6B" w:rsidRDefault="00D231EE" w:rsidP="00D231EE">
            <w:pPr>
              <w:rPr>
                <w:sz w:val="22"/>
                <w:szCs w:val="22"/>
                <w:lang w:val="sr-Latn-ME"/>
              </w:rPr>
            </w:pPr>
            <w:r w:rsidRPr="008F3A6B">
              <w:rPr>
                <w:sz w:val="22"/>
                <w:szCs w:val="22"/>
                <w:lang w:val="sr-Latn-ME"/>
              </w:rPr>
              <w:t>Opšti poremećaji i reakcije na mjestu primjene</w:t>
            </w:r>
          </w:p>
        </w:tc>
        <w:tc>
          <w:tcPr>
            <w:tcW w:w="1534" w:type="dxa"/>
            <w:vAlign w:val="center"/>
          </w:tcPr>
          <w:p w14:paraId="5426F974" w14:textId="77777777" w:rsidR="00D231EE" w:rsidRPr="006C101E" w:rsidRDefault="00D231EE" w:rsidP="00D231EE">
            <w:pPr>
              <w:rPr>
                <w:sz w:val="22"/>
                <w:szCs w:val="22"/>
                <w:lang w:val="sr-Latn-ME"/>
              </w:rPr>
            </w:pPr>
            <w:r w:rsidRPr="006C101E">
              <w:rPr>
                <w:sz w:val="22"/>
                <w:szCs w:val="22"/>
                <w:lang w:val="sr-Latn-ME"/>
              </w:rPr>
              <w:t>Tromboflebitis na mjestu ubrizgavanja</w:t>
            </w:r>
          </w:p>
        </w:tc>
        <w:tc>
          <w:tcPr>
            <w:tcW w:w="1584" w:type="dxa"/>
            <w:vAlign w:val="center"/>
          </w:tcPr>
          <w:p w14:paraId="763CBF4A" w14:textId="7BAA6D39" w:rsidR="00D231EE" w:rsidRPr="004F434B" w:rsidRDefault="00D231EE" w:rsidP="00D231EE">
            <w:pPr>
              <w:rPr>
                <w:sz w:val="22"/>
                <w:szCs w:val="22"/>
                <w:lang w:val="sr-Latn-ME"/>
              </w:rPr>
            </w:pPr>
            <w:r w:rsidRPr="004F434B">
              <w:rPr>
                <w:sz w:val="22"/>
                <w:szCs w:val="22"/>
                <w:lang w:val="sr-Latn-ME"/>
              </w:rPr>
              <w:t>Astenija, malaksalost i osjećaj slabosti</w:t>
            </w:r>
          </w:p>
        </w:tc>
        <w:tc>
          <w:tcPr>
            <w:tcW w:w="1701" w:type="dxa"/>
            <w:vAlign w:val="center"/>
          </w:tcPr>
          <w:p w14:paraId="13836628" w14:textId="6F9E207F" w:rsidR="00D231EE" w:rsidRPr="006C101E" w:rsidRDefault="006C101E" w:rsidP="006C101E">
            <w:pPr>
              <w:rPr>
                <w:sz w:val="22"/>
                <w:szCs w:val="22"/>
                <w:lang w:val="sr-Latn-ME"/>
              </w:rPr>
            </w:pPr>
            <w:r w:rsidRPr="00B46DBD">
              <w:rPr>
                <w:sz w:val="22"/>
                <w:szCs w:val="22"/>
                <w:lang w:val="sr-Latn-ME"/>
              </w:rPr>
              <w:t>Pov</w:t>
            </w:r>
            <w:r>
              <w:rPr>
                <w:sz w:val="22"/>
                <w:szCs w:val="22"/>
                <w:lang w:val="sr-Latn-ME"/>
              </w:rPr>
              <w:t xml:space="preserve">ećanje </w:t>
            </w:r>
            <w:r w:rsidR="00D231EE" w:rsidRPr="006C101E">
              <w:rPr>
                <w:sz w:val="22"/>
                <w:szCs w:val="22"/>
                <w:lang w:val="sr-Latn-ME"/>
              </w:rPr>
              <w:t>tjelesne temperature; periferni edem</w:t>
            </w:r>
          </w:p>
        </w:tc>
        <w:tc>
          <w:tcPr>
            <w:tcW w:w="1843" w:type="dxa"/>
            <w:vAlign w:val="center"/>
          </w:tcPr>
          <w:p w14:paraId="32F2D224" w14:textId="77777777" w:rsidR="00D231EE" w:rsidRPr="004F434B" w:rsidRDefault="00D231EE" w:rsidP="00D231EE">
            <w:pPr>
              <w:rPr>
                <w:sz w:val="22"/>
                <w:szCs w:val="22"/>
                <w:lang w:val="sr-Latn-ME"/>
              </w:rPr>
            </w:pPr>
          </w:p>
        </w:tc>
        <w:tc>
          <w:tcPr>
            <w:tcW w:w="1876" w:type="dxa"/>
            <w:vAlign w:val="center"/>
          </w:tcPr>
          <w:p w14:paraId="28747F1A" w14:textId="77777777" w:rsidR="00D231EE" w:rsidRPr="004F434B" w:rsidRDefault="00D231EE" w:rsidP="00D231EE">
            <w:pPr>
              <w:ind w:right="-232"/>
              <w:rPr>
                <w:sz w:val="22"/>
                <w:szCs w:val="22"/>
                <w:lang w:val="sr-Latn-ME"/>
              </w:rPr>
            </w:pPr>
          </w:p>
        </w:tc>
      </w:tr>
    </w:tbl>
    <w:p w14:paraId="38D91E44" w14:textId="71CE2404" w:rsidR="00D231EE" w:rsidRPr="00260EB7" w:rsidRDefault="00D231EE" w:rsidP="00D231EE">
      <w:pPr>
        <w:pStyle w:val="BodyText"/>
        <w:spacing w:before="6"/>
        <w:jc w:val="both"/>
        <w:rPr>
          <w:lang w:val="sr-Latn-RS"/>
        </w:rPr>
      </w:pPr>
      <w:r w:rsidRPr="00260EB7">
        <w:rPr>
          <w:vertAlign w:val="superscript"/>
          <w:lang w:val="sr-Latn-RS"/>
        </w:rPr>
        <w:t>1</w:t>
      </w:r>
      <w:r w:rsidRPr="00260EB7">
        <w:rPr>
          <w:spacing w:val="-7"/>
          <w:lang w:val="sr-Latn-RS"/>
        </w:rPr>
        <w:t xml:space="preserve"> </w:t>
      </w:r>
      <w:r w:rsidRPr="00260EB7">
        <w:rPr>
          <w:lang w:val="sr-Latn-RS"/>
        </w:rPr>
        <w:t>Hipokalcijemija</w:t>
      </w:r>
      <w:r w:rsidRPr="00260EB7">
        <w:rPr>
          <w:spacing w:val="-3"/>
          <w:lang w:val="sr-Latn-RS"/>
        </w:rPr>
        <w:t xml:space="preserve"> </w:t>
      </w:r>
      <w:r w:rsidRPr="00260EB7">
        <w:rPr>
          <w:lang w:val="sr-Latn-RS"/>
        </w:rPr>
        <w:t>i/ili</w:t>
      </w:r>
      <w:r w:rsidRPr="00260EB7">
        <w:rPr>
          <w:spacing w:val="-7"/>
          <w:lang w:val="sr-Latn-RS"/>
        </w:rPr>
        <w:t xml:space="preserve"> </w:t>
      </w:r>
      <w:r w:rsidRPr="00260EB7">
        <w:rPr>
          <w:lang w:val="sr-Latn-RS"/>
        </w:rPr>
        <w:t>hipokalemija</w:t>
      </w:r>
      <w:r w:rsidRPr="00260EB7">
        <w:rPr>
          <w:spacing w:val="-4"/>
          <w:lang w:val="sr-Latn-RS"/>
        </w:rPr>
        <w:t xml:space="preserve"> </w:t>
      </w:r>
      <w:r w:rsidRPr="00260EB7">
        <w:rPr>
          <w:lang w:val="sr-Latn-RS"/>
        </w:rPr>
        <w:t>je</w:t>
      </w:r>
      <w:r w:rsidRPr="00260EB7">
        <w:rPr>
          <w:spacing w:val="-7"/>
          <w:lang w:val="sr-Latn-RS"/>
        </w:rPr>
        <w:t xml:space="preserve"> </w:t>
      </w:r>
      <w:r w:rsidRPr="00260EB7">
        <w:rPr>
          <w:lang w:val="sr-Latn-RS"/>
        </w:rPr>
        <w:t>povezana</w:t>
      </w:r>
      <w:r w:rsidRPr="00260EB7">
        <w:rPr>
          <w:spacing w:val="-8"/>
          <w:lang w:val="sr-Latn-RS"/>
        </w:rPr>
        <w:t xml:space="preserve"> </w:t>
      </w:r>
      <w:r w:rsidRPr="00260EB7">
        <w:rPr>
          <w:lang w:val="sr-Latn-RS"/>
        </w:rPr>
        <w:t>sa</w:t>
      </w:r>
      <w:r w:rsidRPr="00260EB7">
        <w:rPr>
          <w:spacing w:val="-8"/>
          <w:lang w:val="sr-Latn-RS"/>
        </w:rPr>
        <w:t xml:space="preserve"> </w:t>
      </w:r>
      <w:r w:rsidRPr="00260EB7">
        <w:rPr>
          <w:lang w:val="sr-Latn-RS"/>
        </w:rPr>
        <w:t>hipomagnezemijom</w:t>
      </w:r>
      <w:r w:rsidRPr="00260EB7">
        <w:rPr>
          <w:spacing w:val="-8"/>
          <w:lang w:val="sr-Latn-RS"/>
        </w:rPr>
        <w:t xml:space="preserve"> </w:t>
      </w:r>
      <w:r w:rsidRPr="00260EB7">
        <w:rPr>
          <w:lang w:val="sr-Latn-RS"/>
        </w:rPr>
        <w:t>(videti</w:t>
      </w:r>
      <w:r w:rsidRPr="00260EB7">
        <w:rPr>
          <w:spacing w:val="-7"/>
          <w:lang w:val="sr-Latn-RS"/>
        </w:rPr>
        <w:t xml:space="preserve"> </w:t>
      </w:r>
      <w:r w:rsidRPr="00260EB7">
        <w:rPr>
          <w:lang w:val="sr-Latn-RS"/>
        </w:rPr>
        <w:t>dio</w:t>
      </w:r>
      <w:r w:rsidRPr="00260EB7">
        <w:rPr>
          <w:spacing w:val="-7"/>
          <w:lang w:val="sr-Latn-RS"/>
        </w:rPr>
        <w:t xml:space="preserve"> </w:t>
      </w:r>
      <w:r w:rsidRPr="00260EB7">
        <w:rPr>
          <w:spacing w:val="-4"/>
          <w:lang w:val="sr-Latn-RS"/>
        </w:rPr>
        <w:t>4.4)</w:t>
      </w:r>
    </w:p>
    <w:p w14:paraId="7C6ADB69" w14:textId="77777777" w:rsidR="00D231EE" w:rsidRPr="00260EB7" w:rsidRDefault="00D231EE" w:rsidP="00D231EE">
      <w:pPr>
        <w:pStyle w:val="BodyText"/>
        <w:spacing w:before="1"/>
        <w:jc w:val="both"/>
        <w:rPr>
          <w:lang w:val="sr-Latn-RS"/>
        </w:rPr>
      </w:pPr>
      <w:r w:rsidRPr="00260EB7">
        <w:rPr>
          <w:vertAlign w:val="superscript"/>
          <w:lang w:val="sr-Latn-RS"/>
        </w:rPr>
        <w:t>2</w:t>
      </w:r>
      <w:r w:rsidRPr="00260EB7">
        <w:rPr>
          <w:spacing w:val="-6"/>
          <w:lang w:val="sr-Latn-RS"/>
        </w:rPr>
        <w:t xml:space="preserve"> </w:t>
      </w:r>
      <w:r w:rsidRPr="00260EB7">
        <w:rPr>
          <w:lang w:val="sr-Latn-RS"/>
        </w:rPr>
        <w:t>Mišićni</w:t>
      </w:r>
      <w:r w:rsidRPr="00260EB7">
        <w:rPr>
          <w:spacing w:val="-7"/>
          <w:lang w:val="sr-Latn-RS"/>
        </w:rPr>
        <w:t xml:space="preserve"> </w:t>
      </w:r>
      <w:r w:rsidRPr="00260EB7">
        <w:rPr>
          <w:lang w:val="sr-Latn-RS"/>
        </w:rPr>
        <w:t>spazam</w:t>
      </w:r>
      <w:r w:rsidRPr="00260EB7">
        <w:rPr>
          <w:spacing w:val="-6"/>
          <w:lang w:val="sr-Latn-RS"/>
        </w:rPr>
        <w:t xml:space="preserve"> </w:t>
      </w:r>
      <w:r w:rsidRPr="00260EB7">
        <w:rPr>
          <w:lang w:val="sr-Latn-RS"/>
        </w:rPr>
        <w:t>je</w:t>
      </w:r>
      <w:r w:rsidRPr="00260EB7">
        <w:rPr>
          <w:spacing w:val="-7"/>
          <w:lang w:val="sr-Latn-RS"/>
        </w:rPr>
        <w:t xml:space="preserve"> </w:t>
      </w:r>
      <w:r w:rsidRPr="00260EB7">
        <w:rPr>
          <w:lang w:val="sr-Latn-RS"/>
        </w:rPr>
        <w:t>posledica</w:t>
      </w:r>
      <w:r w:rsidRPr="00260EB7">
        <w:rPr>
          <w:spacing w:val="-6"/>
          <w:lang w:val="sr-Latn-RS"/>
        </w:rPr>
        <w:t xml:space="preserve"> </w:t>
      </w:r>
      <w:r w:rsidRPr="00260EB7">
        <w:rPr>
          <w:lang w:val="sr-Latn-RS"/>
        </w:rPr>
        <w:t>elektrolitnog</w:t>
      </w:r>
      <w:r w:rsidRPr="00260EB7">
        <w:rPr>
          <w:spacing w:val="-7"/>
          <w:lang w:val="sr-Latn-RS"/>
        </w:rPr>
        <w:t xml:space="preserve"> </w:t>
      </w:r>
      <w:r w:rsidRPr="00260EB7">
        <w:rPr>
          <w:spacing w:val="-2"/>
          <w:lang w:val="sr-Latn-RS"/>
        </w:rPr>
        <w:t>disbalansa</w:t>
      </w:r>
    </w:p>
    <w:p w14:paraId="11CFE3D2" w14:textId="77777777" w:rsidR="009D3B1F" w:rsidRPr="008F3A6B" w:rsidRDefault="009D3B1F" w:rsidP="009D3B1F">
      <w:pPr>
        <w:tabs>
          <w:tab w:val="left" w:pos="540"/>
          <w:tab w:val="left" w:pos="569"/>
        </w:tabs>
        <w:jc w:val="both"/>
        <w:rPr>
          <w:b/>
          <w:bCs/>
          <w:sz w:val="22"/>
          <w:szCs w:val="22"/>
          <w:lang w:val="sr-Latn-ME"/>
        </w:rPr>
      </w:pPr>
    </w:p>
    <w:p w14:paraId="255DB0C8" w14:textId="77777777" w:rsidR="009D3B1F" w:rsidRPr="006C101E" w:rsidRDefault="009D3B1F" w:rsidP="009D3B1F">
      <w:pPr>
        <w:spacing w:after="200" w:line="276" w:lineRule="auto"/>
        <w:rPr>
          <w:rFonts w:eastAsia="Calibri"/>
          <w:sz w:val="22"/>
          <w:szCs w:val="22"/>
          <w:u w:val="single"/>
          <w:lang w:val="sr-Latn-RS"/>
        </w:rPr>
      </w:pPr>
      <w:r w:rsidRPr="006C101E">
        <w:rPr>
          <w:rFonts w:eastAsia="Calibri"/>
          <w:sz w:val="22"/>
          <w:szCs w:val="22"/>
          <w:u w:val="single"/>
          <w:lang w:val="sr-Latn-RS"/>
        </w:rPr>
        <w:t>Prijavljivanje sumnji na neželjena dejstva</w:t>
      </w:r>
    </w:p>
    <w:p w14:paraId="1653AB1F" w14:textId="77777777" w:rsidR="009D3B1F" w:rsidRPr="004F434B" w:rsidRDefault="009D3B1F" w:rsidP="009D3B1F">
      <w:pPr>
        <w:spacing w:after="200"/>
        <w:jc w:val="both"/>
        <w:rPr>
          <w:rFonts w:eastAsia="Calibri"/>
          <w:sz w:val="22"/>
          <w:szCs w:val="22"/>
          <w:lang w:val="sr-Latn-RS"/>
        </w:rPr>
      </w:pPr>
      <w:r w:rsidRPr="004F434B">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2D87C29" w14:textId="77777777" w:rsidR="009D3B1F" w:rsidRPr="00B46DBD" w:rsidRDefault="009D3B1F" w:rsidP="009D3B1F">
      <w:pPr>
        <w:pStyle w:val="NoSpacing"/>
        <w:jc w:val="both"/>
        <w:rPr>
          <w:rFonts w:eastAsia="Calibri"/>
          <w:sz w:val="22"/>
          <w:szCs w:val="22"/>
          <w:lang w:val="sr-Latn-RS"/>
        </w:rPr>
      </w:pPr>
      <w:r w:rsidRPr="00B46DBD">
        <w:rPr>
          <w:rFonts w:eastAsia="Calibri"/>
          <w:sz w:val="22"/>
          <w:szCs w:val="22"/>
          <w:lang w:val="sr-Latn-RS"/>
        </w:rPr>
        <w:t xml:space="preserve">Institut za ljekove i medicinska sredstva </w:t>
      </w:r>
    </w:p>
    <w:p w14:paraId="661FF7B3" w14:textId="77777777" w:rsidR="009D3B1F" w:rsidRPr="00B46DBD" w:rsidRDefault="009D3B1F" w:rsidP="009D3B1F">
      <w:pPr>
        <w:pStyle w:val="NoSpacing"/>
        <w:jc w:val="both"/>
        <w:rPr>
          <w:rFonts w:eastAsia="Calibri"/>
          <w:sz w:val="22"/>
          <w:szCs w:val="22"/>
          <w:lang w:val="sr-Latn-RS"/>
        </w:rPr>
      </w:pPr>
      <w:r w:rsidRPr="00B46DBD">
        <w:rPr>
          <w:rFonts w:eastAsia="Calibri"/>
          <w:sz w:val="22"/>
          <w:szCs w:val="22"/>
          <w:lang w:val="sr-Latn-RS"/>
        </w:rPr>
        <w:t>Odjeljenje za farmakovigilancu</w:t>
      </w:r>
    </w:p>
    <w:p w14:paraId="736E80D1" w14:textId="77777777" w:rsidR="009D3B1F" w:rsidRPr="00B267CC" w:rsidRDefault="009D3B1F" w:rsidP="009D3B1F">
      <w:pPr>
        <w:pStyle w:val="NoSpacing"/>
        <w:jc w:val="both"/>
        <w:rPr>
          <w:rFonts w:eastAsia="Calibri"/>
          <w:sz w:val="22"/>
          <w:szCs w:val="22"/>
          <w:lang w:val="sr-Latn-RS"/>
        </w:rPr>
      </w:pPr>
      <w:r w:rsidRPr="00B267CC">
        <w:rPr>
          <w:rFonts w:eastAsia="Calibri"/>
          <w:sz w:val="22"/>
          <w:szCs w:val="22"/>
          <w:lang w:val="sr-Latn-RS"/>
        </w:rPr>
        <w:t>Bulevar Ivana Crnojevića 64a, 81000 Podgorica</w:t>
      </w:r>
    </w:p>
    <w:p w14:paraId="7150B641" w14:textId="77777777" w:rsidR="009D3B1F" w:rsidRPr="00B267CC" w:rsidRDefault="009D3B1F" w:rsidP="009D3B1F">
      <w:pPr>
        <w:pStyle w:val="NoSpacing"/>
        <w:rPr>
          <w:rFonts w:eastAsia="Calibri"/>
          <w:sz w:val="22"/>
          <w:szCs w:val="22"/>
          <w:lang w:val="sr-Latn-RS"/>
        </w:rPr>
      </w:pPr>
    </w:p>
    <w:p w14:paraId="406CBDD8" w14:textId="77777777" w:rsidR="009D3B1F" w:rsidRPr="00B267CC" w:rsidRDefault="009D3B1F" w:rsidP="009D3B1F">
      <w:pPr>
        <w:pStyle w:val="NoSpacing"/>
        <w:jc w:val="both"/>
        <w:rPr>
          <w:rFonts w:eastAsia="Calibri"/>
          <w:sz w:val="22"/>
          <w:szCs w:val="22"/>
          <w:lang w:val="sr-Latn-RS"/>
        </w:rPr>
      </w:pPr>
      <w:r w:rsidRPr="00B267CC">
        <w:rPr>
          <w:rFonts w:eastAsia="Calibri"/>
          <w:sz w:val="22"/>
          <w:szCs w:val="22"/>
          <w:lang w:val="sr-Latn-RS"/>
        </w:rPr>
        <w:t>tel: +382 (0) 20 310 280</w:t>
      </w:r>
    </w:p>
    <w:p w14:paraId="26BBE668" w14:textId="77777777" w:rsidR="009D3B1F" w:rsidRPr="00B267CC" w:rsidRDefault="009D3B1F" w:rsidP="009D3B1F">
      <w:pPr>
        <w:pStyle w:val="NoSpacing"/>
        <w:tabs>
          <w:tab w:val="left" w:pos="6720"/>
        </w:tabs>
        <w:jc w:val="both"/>
        <w:rPr>
          <w:rFonts w:eastAsia="Calibri"/>
          <w:sz w:val="22"/>
          <w:szCs w:val="22"/>
          <w:lang w:val="sr-Latn-RS"/>
        </w:rPr>
      </w:pPr>
      <w:r w:rsidRPr="00B267CC">
        <w:rPr>
          <w:rFonts w:eastAsia="Calibri"/>
          <w:sz w:val="22"/>
          <w:szCs w:val="22"/>
          <w:lang w:val="sr-Latn-RS"/>
        </w:rPr>
        <w:t>fax: +382 (0) 20 310 581</w:t>
      </w:r>
      <w:r w:rsidRPr="00B267CC">
        <w:rPr>
          <w:rFonts w:eastAsia="Calibri"/>
          <w:sz w:val="22"/>
          <w:szCs w:val="22"/>
          <w:lang w:val="sr-Latn-RS"/>
        </w:rPr>
        <w:tab/>
      </w:r>
    </w:p>
    <w:p w14:paraId="1182DC94" w14:textId="77777777" w:rsidR="009D3B1F" w:rsidRPr="008F3A6B" w:rsidRDefault="00B00B19" w:rsidP="009D3B1F">
      <w:pPr>
        <w:pStyle w:val="NoSpacing"/>
        <w:jc w:val="both"/>
        <w:rPr>
          <w:rFonts w:eastAsia="Calibri"/>
          <w:sz w:val="22"/>
          <w:szCs w:val="22"/>
          <w:lang w:val="sr-Latn-RS"/>
        </w:rPr>
      </w:pPr>
      <w:hyperlink r:id="rId8" w:history="1">
        <w:r w:rsidR="009D3B1F" w:rsidRPr="00B267CC">
          <w:rPr>
            <w:rStyle w:val="Hyperlink"/>
            <w:rFonts w:eastAsia="Calibri"/>
            <w:sz w:val="22"/>
            <w:szCs w:val="22"/>
            <w:lang w:val="sr-Latn-RS"/>
          </w:rPr>
          <w:t>www.cinmed.me</w:t>
        </w:r>
      </w:hyperlink>
    </w:p>
    <w:p w14:paraId="6454E777" w14:textId="77777777" w:rsidR="009D3B1F" w:rsidRPr="008F3A6B" w:rsidRDefault="00B00B19" w:rsidP="009D3B1F">
      <w:pPr>
        <w:pStyle w:val="NoSpacing"/>
        <w:jc w:val="both"/>
        <w:rPr>
          <w:rFonts w:eastAsia="Calibri"/>
          <w:color w:val="0000FF"/>
          <w:sz w:val="22"/>
          <w:szCs w:val="22"/>
          <w:u w:val="single"/>
          <w:lang w:val="sr-Latn-RS"/>
        </w:rPr>
      </w:pPr>
      <w:hyperlink r:id="rId9" w:history="1">
        <w:r w:rsidR="009D3B1F" w:rsidRPr="00B267CC">
          <w:rPr>
            <w:rStyle w:val="Hyperlink"/>
            <w:rFonts w:eastAsia="Calibri"/>
            <w:sz w:val="22"/>
            <w:szCs w:val="22"/>
            <w:lang w:val="sr-Latn-RS"/>
          </w:rPr>
          <w:t>nezeljenadejstva@cinmed.me</w:t>
        </w:r>
      </w:hyperlink>
    </w:p>
    <w:p w14:paraId="2840A7EF" w14:textId="77777777" w:rsidR="009D3B1F" w:rsidRPr="006C101E" w:rsidRDefault="009D3B1F" w:rsidP="009D3B1F">
      <w:pPr>
        <w:pStyle w:val="NoSpacing"/>
        <w:jc w:val="both"/>
        <w:rPr>
          <w:rFonts w:eastAsia="Calibri"/>
          <w:sz w:val="22"/>
          <w:szCs w:val="22"/>
          <w:lang w:val="sr-Latn-RS"/>
        </w:rPr>
      </w:pPr>
      <w:r w:rsidRPr="006C101E">
        <w:rPr>
          <w:rFonts w:eastAsia="Calibri"/>
          <w:sz w:val="22"/>
          <w:szCs w:val="22"/>
          <w:lang w:val="sr-Latn-RS"/>
        </w:rPr>
        <w:t>putem IS zdravstvene zaštite</w:t>
      </w:r>
    </w:p>
    <w:p w14:paraId="53773E49" w14:textId="77777777" w:rsidR="009D3B1F" w:rsidRPr="00F90EB6" w:rsidRDefault="009D3B1F" w:rsidP="009D3B1F">
      <w:pPr>
        <w:pStyle w:val="NoSpacing"/>
        <w:jc w:val="both"/>
        <w:rPr>
          <w:rFonts w:eastAsia="Calibri"/>
          <w:sz w:val="22"/>
          <w:szCs w:val="22"/>
          <w:lang w:val="sr-Latn-RS"/>
        </w:rPr>
      </w:pPr>
      <w:r w:rsidRPr="00F90EB6">
        <w:rPr>
          <w:rFonts w:eastAsia="Calibri"/>
          <w:sz w:val="22"/>
          <w:szCs w:val="22"/>
          <w:lang w:val="sr-Latn-RS"/>
        </w:rPr>
        <w:t>QR kod za online prijavu sumnje na neželjeno dejstvo lijeka:</w:t>
      </w:r>
    </w:p>
    <w:p w14:paraId="209D54C8" w14:textId="77777777" w:rsidR="009D3B1F" w:rsidRPr="004F434B" w:rsidRDefault="009D3B1F" w:rsidP="009D3B1F">
      <w:pPr>
        <w:pStyle w:val="NoSpacing"/>
        <w:jc w:val="both"/>
        <w:rPr>
          <w:rFonts w:eastAsia="Calibri"/>
          <w:sz w:val="22"/>
          <w:szCs w:val="22"/>
          <w:lang w:val="sr-Latn-RS"/>
        </w:rPr>
      </w:pPr>
    </w:p>
    <w:p w14:paraId="4ECA4377" w14:textId="2051A592" w:rsidR="009D3B1F" w:rsidRPr="008F3A6B" w:rsidRDefault="003317E7" w:rsidP="009D3B1F">
      <w:pPr>
        <w:pStyle w:val="NoSpacing"/>
        <w:rPr>
          <w:rFonts w:eastAsia="Calibri"/>
          <w:sz w:val="22"/>
          <w:szCs w:val="22"/>
          <w:lang w:val="sr-Latn-RS"/>
        </w:rPr>
      </w:pPr>
      <w:r w:rsidRPr="007F661E">
        <w:rPr>
          <w:b/>
          <w:bCs/>
          <w:noProof/>
          <w:sz w:val="22"/>
          <w:szCs w:val="22"/>
        </w:rPr>
        <w:drawing>
          <wp:inline distT="0" distB="0" distL="0" distR="0" wp14:anchorId="645C168C" wp14:editId="2C5FABB4">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0D9C018" w14:textId="77777777" w:rsidR="00836B35" w:rsidRPr="006C101E" w:rsidRDefault="00836B35" w:rsidP="00480FB1">
      <w:pPr>
        <w:tabs>
          <w:tab w:val="left" w:pos="540"/>
          <w:tab w:val="left" w:pos="569"/>
        </w:tabs>
        <w:rPr>
          <w:b/>
          <w:bCs/>
          <w:sz w:val="22"/>
          <w:szCs w:val="22"/>
        </w:rPr>
      </w:pPr>
    </w:p>
    <w:p w14:paraId="2CAB2E97" w14:textId="77777777" w:rsidR="00CD6F02" w:rsidRPr="00B267CC" w:rsidRDefault="0072020E" w:rsidP="00480FB1">
      <w:pPr>
        <w:tabs>
          <w:tab w:val="left" w:pos="540"/>
          <w:tab w:val="left" w:pos="569"/>
        </w:tabs>
        <w:rPr>
          <w:b/>
          <w:bCs/>
          <w:sz w:val="22"/>
          <w:szCs w:val="22"/>
        </w:rPr>
      </w:pPr>
      <w:r w:rsidRPr="004F434B">
        <w:rPr>
          <w:b/>
          <w:bCs/>
          <w:sz w:val="22"/>
          <w:szCs w:val="22"/>
        </w:rPr>
        <w:t xml:space="preserve">4.9. </w:t>
      </w:r>
      <w:r w:rsidR="00480FB1" w:rsidRPr="00B267CC">
        <w:rPr>
          <w:b/>
          <w:bCs/>
          <w:sz w:val="22"/>
          <w:szCs w:val="22"/>
        </w:rPr>
        <w:tab/>
      </w:r>
      <w:r w:rsidRPr="00B267CC">
        <w:rPr>
          <w:b/>
          <w:bCs/>
          <w:sz w:val="22"/>
          <w:szCs w:val="22"/>
        </w:rPr>
        <w:t>Predoziranje</w:t>
      </w:r>
      <w:r w:rsidR="002846DB" w:rsidRPr="00B267CC">
        <w:rPr>
          <w:b/>
          <w:bCs/>
          <w:sz w:val="22"/>
          <w:szCs w:val="22"/>
        </w:rPr>
        <w:t xml:space="preserve"> </w:t>
      </w:r>
    </w:p>
    <w:p w14:paraId="3E27107A" w14:textId="77777777" w:rsidR="00CD6F02" w:rsidRPr="00B267CC" w:rsidRDefault="00CD6F02" w:rsidP="00480FB1">
      <w:pPr>
        <w:tabs>
          <w:tab w:val="left" w:pos="540"/>
          <w:tab w:val="left" w:pos="569"/>
        </w:tabs>
        <w:rPr>
          <w:b/>
          <w:bCs/>
          <w:sz w:val="22"/>
          <w:szCs w:val="22"/>
        </w:rPr>
      </w:pPr>
    </w:p>
    <w:p w14:paraId="21723C4E" w14:textId="77777777" w:rsidR="009D3B1F" w:rsidRPr="00B267CC" w:rsidRDefault="009D3B1F" w:rsidP="009D3B1F">
      <w:pPr>
        <w:jc w:val="both"/>
        <w:rPr>
          <w:sz w:val="22"/>
          <w:szCs w:val="22"/>
          <w:lang w:val="sr-Latn-ME"/>
        </w:rPr>
      </w:pPr>
      <w:r w:rsidRPr="00B267CC">
        <w:rPr>
          <w:sz w:val="22"/>
          <w:szCs w:val="22"/>
          <w:lang w:val="sr-Latn-ME"/>
        </w:rPr>
        <w:t>Nijesu poznati simptomi predoziranja kod ljudi.</w:t>
      </w:r>
    </w:p>
    <w:p w14:paraId="36802EEA" w14:textId="77777777" w:rsidR="009D3B1F" w:rsidRPr="00B267CC" w:rsidRDefault="009D3B1F" w:rsidP="009D3B1F">
      <w:pPr>
        <w:jc w:val="both"/>
        <w:rPr>
          <w:sz w:val="22"/>
          <w:szCs w:val="22"/>
          <w:lang w:val="sr-Latn-ME"/>
        </w:rPr>
      </w:pPr>
    </w:p>
    <w:p w14:paraId="6E9491C9" w14:textId="77777777" w:rsidR="009D3B1F" w:rsidRPr="00B267CC" w:rsidRDefault="009D3B1F" w:rsidP="009D3B1F">
      <w:pPr>
        <w:jc w:val="both"/>
        <w:rPr>
          <w:sz w:val="22"/>
          <w:szCs w:val="22"/>
          <w:lang w:val="sr-Latn-ME"/>
        </w:rPr>
      </w:pPr>
      <w:r w:rsidRPr="00B267CC">
        <w:rPr>
          <w:sz w:val="22"/>
          <w:szCs w:val="22"/>
          <w:lang w:val="sr-Latn-ME"/>
        </w:rPr>
        <w:lastRenderedPageBreak/>
        <w:t>Sistemska izloženost dozi do 240 mg primijenjene intravenskim putem tokom 2 minuta dobro je tolerisana.</w:t>
      </w:r>
    </w:p>
    <w:p w14:paraId="54A9B07F" w14:textId="77777777" w:rsidR="009D3B1F" w:rsidRPr="00B267CC" w:rsidRDefault="009D3B1F" w:rsidP="009D3B1F">
      <w:pPr>
        <w:tabs>
          <w:tab w:val="left" w:pos="540"/>
          <w:tab w:val="left" w:pos="569"/>
        </w:tabs>
        <w:jc w:val="both"/>
        <w:rPr>
          <w:b/>
          <w:bCs/>
          <w:sz w:val="22"/>
          <w:szCs w:val="22"/>
          <w:lang w:val="sr-Latn-ME"/>
        </w:rPr>
      </w:pPr>
    </w:p>
    <w:p w14:paraId="0CE4E84F" w14:textId="77777777" w:rsidR="009D3B1F" w:rsidRPr="00B267CC" w:rsidRDefault="009D3B1F" w:rsidP="009D3B1F">
      <w:pPr>
        <w:jc w:val="both"/>
        <w:rPr>
          <w:sz w:val="22"/>
          <w:szCs w:val="22"/>
          <w:lang w:val="sr-Latn-ME"/>
        </w:rPr>
      </w:pPr>
      <w:r w:rsidRPr="00B267CC">
        <w:rPr>
          <w:sz w:val="22"/>
          <w:szCs w:val="22"/>
          <w:lang w:val="sr-Latn-ME"/>
        </w:rPr>
        <w:t>S obzirom da se pantoprazol u velikom procentu vezuje za proteine plazme, ne dijalizira se lako.</w:t>
      </w:r>
    </w:p>
    <w:p w14:paraId="44B0CEF4" w14:textId="77777777" w:rsidR="009D3B1F" w:rsidRPr="00B267CC" w:rsidRDefault="009D3B1F" w:rsidP="009D3B1F">
      <w:pPr>
        <w:jc w:val="both"/>
        <w:rPr>
          <w:sz w:val="22"/>
          <w:szCs w:val="22"/>
          <w:lang w:val="sr-Latn-ME"/>
        </w:rPr>
      </w:pPr>
    </w:p>
    <w:p w14:paraId="4E003F94" w14:textId="77777777" w:rsidR="009D3B1F" w:rsidRPr="00B267CC" w:rsidRDefault="009D3B1F" w:rsidP="009D3B1F">
      <w:pPr>
        <w:jc w:val="both"/>
        <w:rPr>
          <w:sz w:val="22"/>
          <w:szCs w:val="22"/>
          <w:lang w:val="sr-Latn-ME"/>
        </w:rPr>
      </w:pPr>
      <w:r w:rsidRPr="00B267CC">
        <w:rPr>
          <w:sz w:val="22"/>
          <w:szCs w:val="22"/>
          <w:lang w:val="sr-Latn-ME"/>
        </w:rPr>
        <w:t xml:space="preserve">U slučaju predoziranja sa kliničkim znacima intoksikacije, osim simptomatske i potporne terapije, nema specifičnih preporuka za liječenje. </w:t>
      </w:r>
    </w:p>
    <w:p w14:paraId="7BAFE5F1" w14:textId="77777777" w:rsidR="00227BDB" w:rsidRPr="00B267CC" w:rsidRDefault="00227BDB" w:rsidP="00480FB1">
      <w:pPr>
        <w:tabs>
          <w:tab w:val="left" w:pos="540"/>
          <w:tab w:val="left" w:pos="569"/>
        </w:tabs>
        <w:rPr>
          <w:b/>
          <w:bCs/>
          <w:sz w:val="22"/>
          <w:szCs w:val="22"/>
        </w:rPr>
      </w:pPr>
    </w:p>
    <w:p w14:paraId="261555A6" w14:textId="77777777" w:rsidR="0072020E" w:rsidRPr="00B267CC" w:rsidRDefault="0072020E" w:rsidP="00480FB1">
      <w:pPr>
        <w:tabs>
          <w:tab w:val="left" w:pos="540"/>
          <w:tab w:val="left" w:pos="569"/>
        </w:tabs>
        <w:rPr>
          <w:b/>
          <w:bCs/>
          <w:sz w:val="22"/>
          <w:szCs w:val="22"/>
        </w:rPr>
      </w:pPr>
      <w:r w:rsidRPr="00B267CC">
        <w:rPr>
          <w:b/>
          <w:bCs/>
          <w:sz w:val="22"/>
          <w:szCs w:val="22"/>
        </w:rPr>
        <w:t xml:space="preserve">5. </w:t>
      </w:r>
      <w:r w:rsidR="00480FB1" w:rsidRPr="00B267CC">
        <w:rPr>
          <w:b/>
          <w:bCs/>
          <w:sz w:val="22"/>
          <w:szCs w:val="22"/>
        </w:rPr>
        <w:tab/>
      </w:r>
      <w:r w:rsidRPr="00B267CC">
        <w:rPr>
          <w:b/>
          <w:bCs/>
          <w:sz w:val="22"/>
          <w:szCs w:val="22"/>
        </w:rPr>
        <w:t>FARMAKOLOŠK</w:t>
      </w:r>
      <w:r w:rsidR="000D425A" w:rsidRPr="00B267CC">
        <w:rPr>
          <w:b/>
          <w:bCs/>
          <w:sz w:val="22"/>
          <w:szCs w:val="22"/>
        </w:rPr>
        <w:t>I</w:t>
      </w:r>
      <w:r w:rsidRPr="00B267CC">
        <w:rPr>
          <w:b/>
          <w:bCs/>
          <w:sz w:val="22"/>
          <w:szCs w:val="22"/>
        </w:rPr>
        <w:t xml:space="preserve"> PODACI</w:t>
      </w:r>
    </w:p>
    <w:p w14:paraId="1B8387F7" w14:textId="77777777" w:rsidR="0072020E" w:rsidRPr="00B267CC" w:rsidRDefault="0072020E" w:rsidP="00480FB1">
      <w:pPr>
        <w:tabs>
          <w:tab w:val="left" w:pos="540"/>
          <w:tab w:val="left" w:pos="569"/>
        </w:tabs>
        <w:rPr>
          <w:b/>
          <w:bCs/>
          <w:sz w:val="22"/>
          <w:szCs w:val="22"/>
        </w:rPr>
      </w:pPr>
    </w:p>
    <w:p w14:paraId="2003CD39" w14:textId="77777777" w:rsidR="0072020E" w:rsidRPr="00B267CC" w:rsidRDefault="0072020E" w:rsidP="00480FB1">
      <w:pPr>
        <w:tabs>
          <w:tab w:val="left" w:pos="540"/>
          <w:tab w:val="left" w:pos="569"/>
        </w:tabs>
        <w:rPr>
          <w:b/>
          <w:bCs/>
          <w:sz w:val="22"/>
          <w:szCs w:val="22"/>
        </w:rPr>
      </w:pPr>
      <w:r w:rsidRPr="00B267CC">
        <w:rPr>
          <w:b/>
          <w:bCs/>
          <w:sz w:val="22"/>
          <w:szCs w:val="22"/>
        </w:rPr>
        <w:t xml:space="preserve">5.1. </w:t>
      </w:r>
      <w:r w:rsidR="00480FB1" w:rsidRPr="00B267CC">
        <w:rPr>
          <w:b/>
          <w:bCs/>
          <w:sz w:val="22"/>
          <w:szCs w:val="22"/>
        </w:rPr>
        <w:tab/>
      </w:r>
      <w:r w:rsidRPr="00B267CC">
        <w:rPr>
          <w:b/>
          <w:bCs/>
          <w:sz w:val="22"/>
          <w:szCs w:val="22"/>
        </w:rPr>
        <w:t>Farmakodinamski podaci</w:t>
      </w:r>
      <w:r w:rsidR="003A7059" w:rsidRPr="00B267CC">
        <w:rPr>
          <w:b/>
          <w:bCs/>
          <w:sz w:val="22"/>
          <w:szCs w:val="22"/>
        </w:rPr>
        <w:t xml:space="preserve"> </w:t>
      </w:r>
    </w:p>
    <w:p w14:paraId="4CE4C9EA" w14:textId="77777777" w:rsidR="00F45F77" w:rsidRPr="00B267CC" w:rsidRDefault="00F45F77" w:rsidP="00480FB1">
      <w:pPr>
        <w:tabs>
          <w:tab w:val="left" w:pos="540"/>
          <w:tab w:val="left" w:pos="569"/>
        </w:tabs>
        <w:rPr>
          <w:b/>
          <w:bCs/>
          <w:sz w:val="22"/>
          <w:szCs w:val="22"/>
        </w:rPr>
      </w:pPr>
    </w:p>
    <w:p w14:paraId="2BD2A35A" w14:textId="77777777" w:rsidR="009D3B1F" w:rsidRPr="00B267CC" w:rsidRDefault="009D3B1F" w:rsidP="009D3B1F">
      <w:pPr>
        <w:tabs>
          <w:tab w:val="left" w:pos="540"/>
          <w:tab w:val="left" w:pos="569"/>
        </w:tabs>
        <w:jc w:val="both"/>
        <w:rPr>
          <w:sz w:val="22"/>
          <w:szCs w:val="22"/>
          <w:lang w:val="sr-Latn-ME"/>
        </w:rPr>
      </w:pPr>
      <w:r w:rsidRPr="00B267CC">
        <w:rPr>
          <w:bCs/>
          <w:sz w:val="22"/>
          <w:szCs w:val="22"/>
          <w:lang w:val="sr-Latn-ME"/>
        </w:rPr>
        <w:t xml:space="preserve">Farmakoterapijska grupa: </w:t>
      </w:r>
      <w:r w:rsidRPr="00B267CC">
        <w:rPr>
          <w:sz w:val="22"/>
          <w:szCs w:val="22"/>
          <w:lang w:val="sr-Latn-ME"/>
        </w:rPr>
        <w:t>Inhibitori protonske pumpe</w:t>
      </w:r>
    </w:p>
    <w:p w14:paraId="4AD17901" w14:textId="77777777" w:rsidR="009D3B1F" w:rsidRPr="00B267CC" w:rsidRDefault="009D3B1F" w:rsidP="009D3B1F">
      <w:pPr>
        <w:tabs>
          <w:tab w:val="left" w:pos="540"/>
          <w:tab w:val="left" w:pos="569"/>
        </w:tabs>
        <w:jc w:val="both"/>
        <w:rPr>
          <w:bCs/>
          <w:sz w:val="22"/>
          <w:szCs w:val="22"/>
          <w:lang w:val="sr-Latn-ME"/>
        </w:rPr>
      </w:pPr>
    </w:p>
    <w:p w14:paraId="611BF5E0" w14:textId="77777777" w:rsidR="009D3B1F" w:rsidRPr="00B267CC" w:rsidRDefault="009D3B1F" w:rsidP="009D3B1F">
      <w:pPr>
        <w:jc w:val="both"/>
        <w:rPr>
          <w:sz w:val="22"/>
          <w:szCs w:val="22"/>
          <w:lang w:val="sr-Latn-ME"/>
        </w:rPr>
      </w:pPr>
      <w:r w:rsidRPr="00B267CC">
        <w:rPr>
          <w:sz w:val="22"/>
          <w:szCs w:val="22"/>
          <w:lang w:val="sr-Latn-ME"/>
        </w:rPr>
        <w:t>ATC kod: A02BC02</w:t>
      </w:r>
    </w:p>
    <w:p w14:paraId="08B47C67" w14:textId="77777777" w:rsidR="009D3B1F" w:rsidRPr="00B267CC" w:rsidRDefault="009D3B1F" w:rsidP="009D3B1F">
      <w:pPr>
        <w:jc w:val="both"/>
        <w:rPr>
          <w:sz w:val="22"/>
          <w:szCs w:val="22"/>
          <w:lang w:val="sr-Latn-ME"/>
        </w:rPr>
      </w:pPr>
    </w:p>
    <w:p w14:paraId="1EBC23E2" w14:textId="77777777" w:rsidR="009D3B1F" w:rsidRPr="00B267CC" w:rsidRDefault="009D3B1F" w:rsidP="009D3B1F">
      <w:pPr>
        <w:jc w:val="both"/>
        <w:rPr>
          <w:iCs/>
          <w:sz w:val="22"/>
          <w:szCs w:val="22"/>
          <w:u w:val="single"/>
          <w:lang w:val="sr-Latn-ME"/>
        </w:rPr>
      </w:pPr>
      <w:r w:rsidRPr="00B267CC">
        <w:rPr>
          <w:iCs/>
          <w:sz w:val="22"/>
          <w:szCs w:val="22"/>
          <w:u w:val="single"/>
          <w:lang w:val="sr-Latn-ME"/>
        </w:rPr>
        <w:t>Mehanizam dejstva</w:t>
      </w:r>
    </w:p>
    <w:p w14:paraId="32B952EB" w14:textId="77777777" w:rsidR="009D3B1F" w:rsidRPr="00B267CC" w:rsidRDefault="009D3B1F" w:rsidP="009D3B1F">
      <w:pPr>
        <w:jc w:val="both"/>
        <w:rPr>
          <w:sz w:val="22"/>
          <w:szCs w:val="22"/>
          <w:lang w:val="sr-Latn-ME"/>
        </w:rPr>
      </w:pPr>
      <w:r w:rsidRPr="00B267CC">
        <w:rPr>
          <w:sz w:val="22"/>
          <w:szCs w:val="22"/>
          <w:lang w:val="sr-Latn-ME"/>
        </w:rPr>
        <w:t>Pantoprazol je supstituisani benzimidazol koji specifičnim dejstvom na protonske pumpe parijetalnih ćelija inhibira sekreciju hlorovodonične kiseline u želucu.</w:t>
      </w:r>
    </w:p>
    <w:p w14:paraId="0AAED598" w14:textId="77777777" w:rsidR="009D3B1F" w:rsidRPr="00B267CC" w:rsidRDefault="009D3B1F" w:rsidP="009D3B1F">
      <w:pPr>
        <w:jc w:val="both"/>
        <w:rPr>
          <w:sz w:val="22"/>
          <w:szCs w:val="22"/>
          <w:lang w:val="sr-Latn-ME"/>
        </w:rPr>
      </w:pPr>
    </w:p>
    <w:p w14:paraId="7044E1FC" w14:textId="77777777" w:rsidR="009D3B1F" w:rsidRPr="00B267CC" w:rsidRDefault="009D3B1F" w:rsidP="009D3B1F">
      <w:pPr>
        <w:jc w:val="both"/>
        <w:rPr>
          <w:sz w:val="22"/>
          <w:szCs w:val="22"/>
          <w:lang w:val="sr-Latn-ME"/>
        </w:rPr>
      </w:pPr>
      <w:r w:rsidRPr="00B267CC">
        <w:rPr>
          <w:sz w:val="22"/>
          <w:szCs w:val="22"/>
          <w:lang w:val="sr-Latn-ME"/>
        </w:rPr>
        <w:t>Pantoprazol prelazi u svoj aktivni oblik u kiseloj sredini u parijetalnim ćelijama gdje inhibira enzim H</w:t>
      </w:r>
      <w:r w:rsidRPr="00B267CC">
        <w:rPr>
          <w:sz w:val="22"/>
          <w:szCs w:val="22"/>
          <w:vertAlign w:val="superscript"/>
          <w:lang w:val="sr-Latn-ME"/>
        </w:rPr>
        <w:t>+</w:t>
      </w:r>
      <w:r w:rsidRPr="00B267CC">
        <w:rPr>
          <w:sz w:val="22"/>
          <w:szCs w:val="22"/>
          <w:lang w:val="sr-Latn-ME"/>
        </w:rPr>
        <w:t>/K</w:t>
      </w:r>
      <w:r w:rsidRPr="00B267CC">
        <w:rPr>
          <w:sz w:val="22"/>
          <w:szCs w:val="22"/>
          <w:vertAlign w:val="superscript"/>
          <w:lang w:val="sr-Latn-ME"/>
        </w:rPr>
        <w:t>+</w:t>
      </w:r>
      <w:r w:rsidRPr="00B267CC">
        <w:rPr>
          <w:sz w:val="22"/>
          <w:szCs w:val="22"/>
          <w:lang w:val="sr-Latn-ME"/>
        </w:rPr>
        <w:t>-ATP-azu, odnosno završnu fazu produkcije hlorovodonične kiseline u želucu. Stepen inhibicije zavisi od doze i utiče kako na osnovnu, tako i na stimulisanu sekreciju kiseline. Kod većine pacijenata nestanak simptoma se postiže nakon 2 nedjelje. Kao i kod drugih inhibitora protonske pumpe i inhibitora H</w:t>
      </w:r>
      <w:r w:rsidRPr="00B267CC">
        <w:rPr>
          <w:sz w:val="22"/>
          <w:szCs w:val="22"/>
          <w:vertAlign w:val="subscript"/>
          <w:lang w:val="sr-Latn-ME"/>
        </w:rPr>
        <w:t>2</w:t>
      </w:r>
      <w:r w:rsidRPr="00B267CC">
        <w:rPr>
          <w:sz w:val="22"/>
          <w:szCs w:val="22"/>
          <w:lang w:val="sr-Latn-ME"/>
        </w:rPr>
        <w:t xml:space="preserve"> receptora, liječenje pantoprazolom uzrokuje smanjenu kiselost u želucu, a tako i povećanje gastrina srazmjerno smanjenoj kiselosti. Povećanje gastrina je reverzibilno. Pošto se pantoprazol vezuje za enzim distalno u odnosu na nivo ćelijskog receptora, ova supstanca može inhibisati sekreciju hlorovodonične kiseline nezavisno od stimulacije drugim materijama (acetilholinom, histaminom, gastrinom). Efekat je isti bilo da se preparat daje peroralno ili intravenski.</w:t>
      </w:r>
    </w:p>
    <w:p w14:paraId="26ABB1A7" w14:textId="77777777" w:rsidR="00F60085" w:rsidRPr="00B267CC" w:rsidRDefault="00F60085" w:rsidP="009D3B1F">
      <w:pPr>
        <w:jc w:val="both"/>
        <w:rPr>
          <w:sz w:val="22"/>
          <w:szCs w:val="22"/>
          <w:lang w:val="sr-Latn-ME"/>
        </w:rPr>
      </w:pPr>
    </w:p>
    <w:p w14:paraId="1D9E827A" w14:textId="54C9DA37" w:rsidR="009D3B1F" w:rsidRPr="006C101E" w:rsidRDefault="00F60085" w:rsidP="009D3B1F">
      <w:pPr>
        <w:jc w:val="both"/>
        <w:rPr>
          <w:sz w:val="22"/>
          <w:szCs w:val="22"/>
          <w:u w:val="single"/>
          <w:lang w:val="sr-Latn-ME"/>
        </w:rPr>
      </w:pPr>
      <w:r w:rsidRPr="00B267CC">
        <w:rPr>
          <w:sz w:val="22"/>
          <w:szCs w:val="22"/>
          <w:u w:val="single"/>
          <w:lang w:val="sr-Latn-ME"/>
        </w:rPr>
        <w:t>Farmakodinamsk</w:t>
      </w:r>
      <w:r w:rsidR="006C101E">
        <w:rPr>
          <w:sz w:val="22"/>
          <w:szCs w:val="22"/>
          <w:u w:val="single"/>
          <w:lang w:val="sr-Latn-ME"/>
        </w:rPr>
        <w:t>i efekti</w:t>
      </w:r>
    </w:p>
    <w:p w14:paraId="21617459" w14:textId="77777777" w:rsidR="00F60085" w:rsidRPr="006C101E" w:rsidRDefault="00F60085" w:rsidP="009D3B1F">
      <w:pPr>
        <w:jc w:val="both"/>
        <w:rPr>
          <w:sz w:val="22"/>
          <w:szCs w:val="22"/>
          <w:u w:val="single"/>
          <w:lang w:val="sr-Latn-ME"/>
        </w:rPr>
      </w:pPr>
    </w:p>
    <w:p w14:paraId="65003498" w14:textId="293A7858" w:rsidR="009D3B1F" w:rsidRPr="006C101E" w:rsidRDefault="009D3B1F" w:rsidP="009D3B1F">
      <w:pPr>
        <w:jc w:val="both"/>
        <w:rPr>
          <w:sz w:val="22"/>
          <w:szCs w:val="22"/>
          <w:lang w:val="sr-Latn-ME"/>
        </w:rPr>
      </w:pPr>
      <w:r w:rsidRPr="004F434B">
        <w:rPr>
          <w:sz w:val="22"/>
          <w:szCs w:val="22"/>
          <w:lang w:val="sr-Latn-ME"/>
        </w:rPr>
        <w:t>Pod uticajem pantoprazola dolazi do porasta vrijednosti gastrina na tašte. Kod kratkotrajne primjene u većini slučajeva te vrijednosti ne prelaze normalnu gornju granicu. Kod dugotrajne primjene, u većini slučajeva vrijednosti gastrina se dupliraju. Enormno povećanje se pak dešava samo u pojedinim slučajevima. Kao posljedica toga je u malom broju slučajeva tokom dugotrajne terapije uočena pojava blagog do umjerenog povećanja specifičnih endokrinih ćelija u želucu (ECL) (</w:t>
      </w:r>
      <w:r w:rsidR="006C101E">
        <w:rPr>
          <w:sz w:val="22"/>
          <w:szCs w:val="22"/>
          <w:lang w:val="sr-Latn-ME"/>
        </w:rPr>
        <w:t xml:space="preserve">jednostavna do </w:t>
      </w:r>
      <w:r w:rsidRPr="006C101E">
        <w:rPr>
          <w:sz w:val="22"/>
          <w:szCs w:val="22"/>
          <w:lang w:val="sr-Latn-ME"/>
        </w:rPr>
        <w:t xml:space="preserve">adenomatoidna hiperplazija). Međutim, prema dosadašnjim ispitivanjima stvaranje karcinoidnih prekursora (atipična hiperplazija) ili gastričnih karcinoida koji su  nađeni u eksperimentima na životinjama (vidjeti </w:t>
      </w:r>
      <w:r w:rsidR="001D47F7" w:rsidRPr="006C101E">
        <w:rPr>
          <w:sz w:val="22"/>
          <w:szCs w:val="22"/>
          <w:lang w:val="sr-Latn-ME"/>
        </w:rPr>
        <w:t>dio</w:t>
      </w:r>
      <w:r w:rsidRPr="006C101E">
        <w:rPr>
          <w:sz w:val="22"/>
          <w:szCs w:val="22"/>
          <w:lang w:val="sr-Latn-ME"/>
        </w:rPr>
        <w:t xml:space="preserve"> 5.3), nije uočeno kod ljudi.</w:t>
      </w:r>
    </w:p>
    <w:p w14:paraId="53EEA6D9" w14:textId="77777777" w:rsidR="009D3B1F" w:rsidRPr="006C101E" w:rsidRDefault="009D3B1F" w:rsidP="009D3B1F">
      <w:pPr>
        <w:jc w:val="both"/>
        <w:rPr>
          <w:sz w:val="22"/>
          <w:szCs w:val="22"/>
          <w:lang w:val="sr-Latn-ME"/>
        </w:rPr>
      </w:pPr>
    </w:p>
    <w:p w14:paraId="0583C7CD" w14:textId="77777777" w:rsidR="009D3B1F" w:rsidRPr="004F434B" w:rsidRDefault="009D3B1F" w:rsidP="009D3B1F">
      <w:pPr>
        <w:tabs>
          <w:tab w:val="left" w:pos="540"/>
          <w:tab w:val="left" w:pos="569"/>
        </w:tabs>
        <w:jc w:val="both"/>
        <w:rPr>
          <w:sz w:val="22"/>
          <w:szCs w:val="22"/>
          <w:lang w:val="sr-Latn-ME"/>
        </w:rPr>
      </w:pPr>
      <w:r w:rsidRPr="004F434B">
        <w:rPr>
          <w:sz w:val="22"/>
          <w:szCs w:val="22"/>
          <w:lang w:val="sr-Latn-ME"/>
        </w:rPr>
        <w:t>Prema rezultatima istraživanja na životinjama, kod dugotrajne primjene pantoprazola u trajanju dužem od jedne godine, ne može se potpuno isključiti uticaj na endokrine parametre tireoidne žlijezde.</w:t>
      </w:r>
    </w:p>
    <w:p w14:paraId="091FD3E5" w14:textId="77777777" w:rsidR="00F60085" w:rsidRPr="004F434B" w:rsidRDefault="00F60085" w:rsidP="009D3B1F">
      <w:pPr>
        <w:tabs>
          <w:tab w:val="left" w:pos="540"/>
          <w:tab w:val="left" w:pos="569"/>
        </w:tabs>
        <w:jc w:val="both"/>
        <w:rPr>
          <w:sz w:val="22"/>
          <w:szCs w:val="22"/>
          <w:lang w:val="sr-Latn-ME"/>
        </w:rPr>
      </w:pPr>
    </w:p>
    <w:p w14:paraId="06B6E95F" w14:textId="66FA5B30" w:rsidR="00F60085" w:rsidRPr="004F434B" w:rsidRDefault="00F60085" w:rsidP="00F60085">
      <w:pPr>
        <w:tabs>
          <w:tab w:val="left" w:pos="540"/>
          <w:tab w:val="left" w:pos="569"/>
        </w:tabs>
        <w:jc w:val="both"/>
        <w:rPr>
          <w:sz w:val="22"/>
          <w:szCs w:val="22"/>
          <w:lang w:val="sr-Latn-ME"/>
        </w:rPr>
      </w:pPr>
      <w:r w:rsidRPr="004F434B">
        <w:rPr>
          <w:sz w:val="22"/>
          <w:szCs w:val="22"/>
          <w:lang w:val="sr-Latn-ME"/>
        </w:rPr>
        <w:t>Tokom terapije antisekretornim lekovima, kao odgovor na smanjeno lučenje hlorovodonične kiseline, dolazi do povećanja vrijednosti gastrina u serumu. Takođe, dolazi do povećanja CgA usled smanjenja kiselosti želudačnog sadržaja. Povećane vrednsoti CgA mogu uticati na laboratorijska ispitivanja u cilju postavljanja dijagnoze neuroendokrinih tumora.</w:t>
      </w:r>
    </w:p>
    <w:p w14:paraId="32239A3C" w14:textId="77777777" w:rsidR="00F60085" w:rsidRPr="00B46DBD" w:rsidRDefault="00F60085" w:rsidP="00F60085">
      <w:pPr>
        <w:tabs>
          <w:tab w:val="left" w:pos="540"/>
          <w:tab w:val="left" w:pos="569"/>
        </w:tabs>
        <w:jc w:val="both"/>
        <w:rPr>
          <w:sz w:val="22"/>
          <w:szCs w:val="22"/>
          <w:lang w:val="sr-Latn-ME"/>
        </w:rPr>
      </w:pPr>
    </w:p>
    <w:p w14:paraId="2B94A558" w14:textId="1AE0B688" w:rsidR="009D3B1F" w:rsidRPr="00B267CC" w:rsidRDefault="00F60085" w:rsidP="00F60085">
      <w:pPr>
        <w:tabs>
          <w:tab w:val="left" w:pos="540"/>
          <w:tab w:val="left" w:pos="569"/>
        </w:tabs>
        <w:jc w:val="both"/>
        <w:rPr>
          <w:sz w:val="22"/>
          <w:szCs w:val="22"/>
          <w:lang w:val="sr-Latn-ME"/>
        </w:rPr>
      </w:pPr>
      <w:r w:rsidRPr="00B46DBD">
        <w:rPr>
          <w:sz w:val="22"/>
          <w:szCs w:val="22"/>
          <w:lang w:val="sr-Latn-ME"/>
        </w:rPr>
        <w:t>Dostupni, publikovani podaci sugerišu da terapiju inhibitorima protonske pumpe treba prekinuti između 5 dana i 2 nedelje pre planiranog merenja vrednosti CgA, a kako bi se eventualno lažno povećane vrednosti CgA, uzrokovane primenom inhibitora protonske pumpe, vratile u ok</w:t>
      </w:r>
      <w:r w:rsidRPr="00B267CC">
        <w:rPr>
          <w:sz w:val="22"/>
          <w:szCs w:val="22"/>
          <w:lang w:val="sr-Latn-ME"/>
        </w:rPr>
        <w:t>vir referentnih vrednosti.</w:t>
      </w:r>
    </w:p>
    <w:p w14:paraId="4B3425B4" w14:textId="77777777" w:rsidR="002E37A5" w:rsidRPr="00B267CC" w:rsidRDefault="002E37A5" w:rsidP="00480FB1">
      <w:pPr>
        <w:tabs>
          <w:tab w:val="left" w:pos="540"/>
          <w:tab w:val="left" w:pos="569"/>
        </w:tabs>
        <w:rPr>
          <w:b/>
          <w:bCs/>
          <w:sz w:val="22"/>
          <w:szCs w:val="22"/>
        </w:rPr>
      </w:pPr>
    </w:p>
    <w:p w14:paraId="2A974D5F" w14:textId="77777777" w:rsidR="0072020E" w:rsidRPr="00B267CC" w:rsidRDefault="0072020E" w:rsidP="00480FB1">
      <w:pPr>
        <w:tabs>
          <w:tab w:val="left" w:pos="540"/>
          <w:tab w:val="left" w:pos="569"/>
        </w:tabs>
        <w:rPr>
          <w:b/>
          <w:bCs/>
          <w:sz w:val="22"/>
          <w:szCs w:val="22"/>
        </w:rPr>
      </w:pPr>
      <w:r w:rsidRPr="00B267CC">
        <w:rPr>
          <w:b/>
          <w:bCs/>
          <w:sz w:val="22"/>
          <w:szCs w:val="22"/>
        </w:rPr>
        <w:t xml:space="preserve">5.2. </w:t>
      </w:r>
      <w:r w:rsidR="00480FB1" w:rsidRPr="00B267CC">
        <w:rPr>
          <w:b/>
          <w:bCs/>
          <w:sz w:val="22"/>
          <w:szCs w:val="22"/>
        </w:rPr>
        <w:tab/>
      </w:r>
      <w:r w:rsidRPr="00B267CC">
        <w:rPr>
          <w:b/>
          <w:bCs/>
          <w:sz w:val="22"/>
          <w:szCs w:val="22"/>
        </w:rPr>
        <w:t>Farmakokinetički podaci</w:t>
      </w:r>
      <w:r w:rsidR="003A7059" w:rsidRPr="00B267CC">
        <w:rPr>
          <w:b/>
          <w:bCs/>
          <w:sz w:val="22"/>
          <w:szCs w:val="22"/>
        </w:rPr>
        <w:t xml:space="preserve"> </w:t>
      </w:r>
    </w:p>
    <w:p w14:paraId="10515345" w14:textId="77777777" w:rsidR="00F60085" w:rsidRPr="00B267CC" w:rsidRDefault="00F60085" w:rsidP="00480FB1">
      <w:pPr>
        <w:tabs>
          <w:tab w:val="left" w:pos="540"/>
          <w:tab w:val="left" w:pos="569"/>
        </w:tabs>
        <w:rPr>
          <w:b/>
          <w:bCs/>
          <w:sz w:val="22"/>
          <w:szCs w:val="22"/>
        </w:rPr>
      </w:pPr>
    </w:p>
    <w:p w14:paraId="7FAE2F56" w14:textId="77777777" w:rsidR="009D3B1F" w:rsidRPr="00B267CC" w:rsidRDefault="009D3B1F" w:rsidP="009D3B1F">
      <w:pPr>
        <w:jc w:val="both"/>
        <w:rPr>
          <w:i/>
          <w:sz w:val="22"/>
          <w:szCs w:val="22"/>
          <w:u w:val="single"/>
          <w:lang w:val="sr-Latn-ME"/>
        </w:rPr>
      </w:pPr>
      <w:r w:rsidRPr="00B267CC">
        <w:rPr>
          <w:i/>
          <w:sz w:val="22"/>
          <w:szCs w:val="22"/>
          <w:u w:val="single"/>
          <w:lang w:val="sr-Latn-ME"/>
        </w:rPr>
        <w:t>Opšta farmakokinetika</w:t>
      </w:r>
    </w:p>
    <w:p w14:paraId="585AFA57" w14:textId="7CDF69D9" w:rsidR="009D3B1F" w:rsidRPr="006C101E" w:rsidRDefault="009D3B1F" w:rsidP="009D3B1F">
      <w:pPr>
        <w:jc w:val="both"/>
        <w:rPr>
          <w:sz w:val="22"/>
          <w:szCs w:val="22"/>
          <w:lang w:val="sr-Latn-ME"/>
        </w:rPr>
      </w:pPr>
      <w:r w:rsidRPr="00B267CC">
        <w:rPr>
          <w:sz w:val="22"/>
          <w:szCs w:val="22"/>
          <w:lang w:val="sr-Latn-ME"/>
        </w:rPr>
        <w:lastRenderedPageBreak/>
        <w:t>Farmakokinetika pantoprazola se ne razlikuje nakon primjene jedn</w:t>
      </w:r>
      <w:r w:rsidR="006C101E">
        <w:rPr>
          <w:sz w:val="22"/>
          <w:szCs w:val="22"/>
          <w:lang w:val="sr-Latn-ME"/>
        </w:rPr>
        <w:t>e doze</w:t>
      </w:r>
      <w:r w:rsidRPr="006C101E">
        <w:rPr>
          <w:sz w:val="22"/>
          <w:szCs w:val="22"/>
          <w:lang w:val="sr-Latn-ME"/>
        </w:rPr>
        <w:t xml:space="preserve"> ili </w:t>
      </w:r>
      <w:r w:rsidR="00F60085" w:rsidRPr="006C101E">
        <w:rPr>
          <w:sz w:val="22"/>
          <w:szCs w:val="22"/>
          <w:lang w:val="sr-Latn-ME"/>
        </w:rPr>
        <w:t>ponovljen</w:t>
      </w:r>
      <w:r w:rsidR="006C101E">
        <w:rPr>
          <w:sz w:val="22"/>
          <w:szCs w:val="22"/>
          <w:lang w:val="sr-Latn-ME"/>
        </w:rPr>
        <w:t>ih</w:t>
      </w:r>
      <w:r w:rsidR="00F60085" w:rsidRPr="006C101E">
        <w:rPr>
          <w:sz w:val="22"/>
          <w:szCs w:val="22"/>
          <w:lang w:val="sr-Latn-ME"/>
        </w:rPr>
        <w:t xml:space="preserve"> doz</w:t>
      </w:r>
      <w:r w:rsidR="006C101E">
        <w:rPr>
          <w:sz w:val="22"/>
          <w:szCs w:val="22"/>
          <w:lang w:val="sr-Latn-ME"/>
        </w:rPr>
        <w:t>a</w:t>
      </w:r>
      <w:r w:rsidRPr="006C101E">
        <w:rPr>
          <w:sz w:val="22"/>
          <w:szCs w:val="22"/>
          <w:lang w:val="sr-Latn-ME"/>
        </w:rPr>
        <w:t xml:space="preserve"> lijeka. U rasponu doze od 10 do 80 mg, kinetik</w:t>
      </w:r>
      <w:r w:rsidR="006C101E">
        <w:rPr>
          <w:sz w:val="22"/>
          <w:szCs w:val="22"/>
          <w:lang w:val="sr-Latn-ME"/>
        </w:rPr>
        <w:t>a</w:t>
      </w:r>
      <w:r w:rsidRPr="006C101E">
        <w:rPr>
          <w:sz w:val="22"/>
          <w:szCs w:val="22"/>
          <w:lang w:val="sr-Latn-ME"/>
        </w:rPr>
        <w:t xml:space="preserve"> pantoprazola u plazmi </w:t>
      </w:r>
      <w:r w:rsidR="006C101E">
        <w:rPr>
          <w:sz w:val="22"/>
          <w:szCs w:val="22"/>
          <w:lang w:val="sr-Latn-ME"/>
        </w:rPr>
        <w:t>je</w:t>
      </w:r>
      <w:r w:rsidRPr="006C101E">
        <w:rPr>
          <w:sz w:val="22"/>
          <w:szCs w:val="22"/>
          <w:lang w:val="sr-Latn-ME"/>
        </w:rPr>
        <w:t xml:space="preserve"> linearn</w:t>
      </w:r>
      <w:r w:rsidR="006C101E">
        <w:rPr>
          <w:sz w:val="22"/>
          <w:szCs w:val="22"/>
          <w:lang w:val="sr-Latn-ME"/>
        </w:rPr>
        <w:t>a</w:t>
      </w:r>
      <w:r w:rsidRPr="006C101E">
        <w:rPr>
          <w:sz w:val="22"/>
          <w:szCs w:val="22"/>
          <w:lang w:val="sr-Latn-ME"/>
        </w:rPr>
        <w:t xml:space="preserve"> i nakon  peroralne i nakon intravenske primjene.</w:t>
      </w:r>
    </w:p>
    <w:p w14:paraId="3542BE70" w14:textId="77777777" w:rsidR="009D3B1F" w:rsidRPr="006C101E" w:rsidRDefault="009D3B1F" w:rsidP="009D3B1F">
      <w:pPr>
        <w:pStyle w:val="Header"/>
        <w:tabs>
          <w:tab w:val="left" w:pos="284"/>
        </w:tabs>
        <w:jc w:val="both"/>
        <w:rPr>
          <w:sz w:val="22"/>
          <w:szCs w:val="22"/>
          <w:lang w:val="sr-Latn-ME"/>
        </w:rPr>
      </w:pPr>
    </w:p>
    <w:p w14:paraId="5C909891" w14:textId="77777777" w:rsidR="009D3B1F" w:rsidRPr="004F434B" w:rsidRDefault="009D3B1F" w:rsidP="009D3B1F">
      <w:pPr>
        <w:pStyle w:val="Header"/>
        <w:jc w:val="both"/>
        <w:rPr>
          <w:i/>
          <w:sz w:val="22"/>
          <w:szCs w:val="22"/>
          <w:u w:val="single"/>
          <w:lang w:val="sr-Latn-ME"/>
        </w:rPr>
      </w:pPr>
      <w:r w:rsidRPr="004F434B">
        <w:rPr>
          <w:i/>
          <w:sz w:val="22"/>
          <w:szCs w:val="22"/>
          <w:u w:val="single"/>
          <w:lang w:val="sr-Latn-ME"/>
        </w:rPr>
        <w:t>Distribucija</w:t>
      </w:r>
    </w:p>
    <w:p w14:paraId="3239D043" w14:textId="77777777" w:rsidR="009D3B1F" w:rsidRPr="004F434B" w:rsidRDefault="009D3B1F" w:rsidP="009D3B1F">
      <w:pPr>
        <w:jc w:val="both"/>
        <w:rPr>
          <w:sz w:val="22"/>
          <w:szCs w:val="22"/>
          <w:lang w:val="sr-Latn-ME"/>
        </w:rPr>
      </w:pPr>
      <w:r w:rsidRPr="004F434B">
        <w:rPr>
          <w:sz w:val="22"/>
          <w:szCs w:val="22"/>
          <w:lang w:val="sr-Latn-ME"/>
        </w:rPr>
        <w:t>Vezivanje pantoprazola za proteine plazme je oko 98%. Volumen distribucije je oko 0,15 l/kg.</w:t>
      </w:r>
    </w:p>
    <w:p w14:paraId="3CD09C1F" w14:textId="77777777" w:rsidR="00F60085" w:rsidRPr="00B46DBD" w:rsidRDefault="00F60085" w:rsidP="009D3B1F">
      <w:pPr>
        <w:pStyle w:val="Header"/>
        <w:tabs>
          <w:tab w:val="left" w:pos="284"/>
        </w:tabs>
        <w:jc w:val="both"/>
        <w:rPr>
          <w:sz w:val="22"/>
          <w:szCs w:val="22"/>
          <w:lang w:val="sr-Latn-ME"/>
        </w:rPr>
      </w:pPr>
    </w:p>
    <w:p w14:paraId="6EF76F28" w14:textId="126160F0" w:rsidR="009D3B1F" w:rsidRPr="00B46DBD" w:rsidRDefault="00F60085" w:rsidP="009D3B1F">
      <w:pPr>
        <w:pStyle w:val="Header"/>
        <w:tabs>
          <w:tab w:val="left" w:pos="284"/>
        </w:tabs>
        <w:jc w:val="both"/>
        <w:rPr>
          <w:i/>
          <w:iCs/>
          <w:sz w:val="22"/>
          <w:szCs w:val="22"/>
          <w:u w:val="single"/>
          <w:lang w:val="sr-Latn-ME"/>
        </w:rPr>
      </w:pPr>
      <w:r w:rsidRPr="00B46DBD">
        <w:rPr>
          <w:i/>
          <w:iCs/>
          <w:sz w:val="22"/>
          <w:szCs w:val="22"/>
          <w:u w:val="single"/>
          <w:lang w:val="sr-Latn-ME"/>
        </w:rPr>
        <w:t>Biotransformacija</w:t>
      </w:r>
    </w:p>
    <w:p w14:paraId="0545E0DA" w14:textId="21ECB43A" w:rsidR="00F60085" w:rsidRPr="006C101E" w:rsidRDefault="006C101E" w:rsidP="009D3B1F">
      <w:pPr>
        <w:jc w:val="both"/>
        <w:rPr>
          <w:sz w:val="22"/>
          <w:szCs w:val="22"/>
          <w:lang w:val="sr-Latn-ME"/>
        </w:rPr>
      </w:pPr>
      <w:r>
        <w:rPr>
          <w:sz w:val="22"/>
          <w:szCs w:val="22"/>
          <w:lang w:val="sr-Latn-ME"/>
        </w:rPr>
        <w:t>Pantoprazol</w:t>
      </w:r>
      <w:r w:rsidRPr="006C101E">
        <w:rPr>
          <w:sz w:val="22"/>
          <w:szCs w:val="22"/>
          <w:lang w:val="sr-Latn-ME"/>
        </w:rPr>
        <w:t xml:space="preserve"> </w:t>
      </w:r>
      <w:r w:rsidR="009D3B1F" w:rsidRPr="006C101E">
        <w:rPr>
          <w:sz w:val="22"/>
          <w:szCs w:val="22"/>
          <w:lang w:val="sr-Latn-ME"/>
        </w:rPr>
        <w:t xml:space="preserve">se gotovo u potpunosti metaboliše u jetri. Glavni metabolički put je demetilacija izoenzimom CYP2C19 s posljedičnom konjugacijom sulfatima. Drugi metabolički put uključuje oksidaciju izoenzimom CYP3A4. </w:t>
      </w:r>
    </w:p>
    <w:p w14:paraId="191C01E3" w14:textId="77777777" w:rsidR="00F60085" w:rsidRPr="004F434B" w:rsidRDefault="00F60085" w:rsidP="009D3B1F">
      <w:pPr>
        <w:jc w:val="both"/>
        <w:rPr>
          <w:sz w:val="22"/>
          <w:szCs w:val="22"/>
          <w:lang w:val="sr-Latn-ME"/>
        </w:rPr>
      </w:pPr>
    </w:p>
    <w:p w14:paraId="417C0FED" w14:textId="77777777" w:rsidR="00F60085" w:rsidRPr="004F434B" w:rsidRDefault="00F60085" w:rsidP="00F60085">
      <w:pPr>
        <w:jc w:val="both"/>
        <w:rPr>
          <w:i/>
          <w:sz w:val="22"/>
          <w:szCs w:val="22"/>
          <w:u w:val="single"/>
          <w:lang w:val="sr-Latn-ME"/>
        </w:rPr>
      </w:pPr>
      <w:r w:rsidRPr="004F434B">
        <w:rPr>
          <w:i/>
          <w:sz w:val="22"/>
          <w:szCs w:val="22"/>
          <w:u w:val="single"/>
          <w:lang w:val="sr-Latn-ME"/>
        </w:rPr>
        <w:t>Eliminacija</w:t>
      </w:r>
    </w:p>
    <w:p w14:paraId="5EC90464" w14:textId="10CADB6E" w:rsidR="009D3B1F" w:rsidRPr="008F3A6B" w:rsidRDefault="009D3B1F" w:rsidP="009D3B1F">
      <w:pPr>
        <w:jc w:val="both"/>
        <w:rPr>
          <w:sz w:val="22"/>
          <w:szCs w:val="22"/>
          <w:lang w:val="sr-Latn-ME"/>
        </w:rPr>
      </w:pPr>
      <w:r w:rsidRPr="00B46DBD">
        <w:rPr>
          <w:sz w:val="22"/>
          <w:szCs w:val="22"/>
          <w:lang w:val="sr-Latn-ME"/>
        </w:rPr>
        <w:t xml:space="preserve">Terminalno poluvrijeme eliminacije je oko 1 sat a klirens je oko 0,1 l/h/kg. Bilo je nekoliko slučajeva </w:t>
      </w:r>
      <w:r w:rsidR="00F60085" w:rsidRPr="00B46DBD">
        <w:rPr>
          <w:sz w:val="22"/>
          <w:szCs w:val="22"/>
          <w:lang w:val="sr-Latn-ME"/>
        </w:rPr>
        <w:t xml:space="preserve">ispitanika sa odloženom </w:t>
      </w:r>
      <w:r w:rsidRPr="00B46DBD">
        <w:rPr>
          <w:sz w:val="22"/>
          <w:szCs w:val="22"/>
          <w:lang w:val="sr-Latn-ME"/>
        </w:rPr>
        <w:t>eliminacij</w:t>
      </w:r>
      <w:r w:rsidR="008F3A6B">
        <w:rPr>
          <w:sz w:val="22"/>
          <w:szCs w:val="22"/>
          <w:lang w:val="sr-Latn-ME"/>
        </w:rPr>
        <w:t>om</w:t>
      </w:r>
      <w:r w:rsidRPr="008F3A6B">
        <w:rPr>
          <w:sz w:val="22"/>
          <w:szCs w:val="22"/>
          <w:lang w:val="sr-Latn-ME"/>
        </w:rPr>
        <w:t>. Zbog specifičnog vezivanja pantoprazola za protonsku pumpu parijetalnih ćelija, poluvrijeme eliminacije nije u korelaciji sa mnogo dužim trajanjem aktivnosti (inhibicija sekrecije kiseline).</w:t>
      </w:r>
    </w:p>
    <w:p w14:paraId="60BA52C8" w14:textId="77777777" w:rsidR="009D3B1F" w:rsidRPr="006C101E" w:rsidRDefault="009D3B1F" w:rsidP="009D3B1F">
      <w:pPr>
        <w:jc w:val="both"/>
        <w:rPr>
          <w:sz w:val="22"/>
          <w:szCs w:val="22"/>
          <w:lang w:val="sr-Latn-ME"/>
        </w:rPr>
      </w:pPr>
    </w:p>
    <w:p w14:paraId="6706B66B" w14:textId="77777777" w:rsidR="009D3B1F" w:rsidRPr="004F434B" w:rsidRDefault="009D3B1F" w:rsidP="009D3B1F">
      <w:pPr>
        <w:jc w:val="both"/>
        <w:rPr>
          <w:sz w:val="22"/>
          <w:szCs w:val="22"/>
          <w:lang w:val="sr-Latn-ME"/>
        </w:rPr>
      </w:pPr>
      <w:r w:rsidRPr="004F434B">
        <w:rPr>
          <w:sz w:val="22"/>
          <w:szCs w:val="22"/>
          <w:lang w:val="sr-Latn-ME"/>
        </w:rPr>
        <w:t>Za metabolite pantoprazola eliminacija preko bubrega predstavlja glavni put ekskrecije (oko 80%), ostalo se izlučuje fecesom. Glavni metabolit i u serumu i u mokraći je desmetilpantoprazol koji je konjugovan sa sulfatom. Poluvrijeme eliminacije za glavni metabolit (oko 1,5 sat) nije mnogo duže nego za pantoprazol.</w:t>
      </w:r>
    </w:p>
    <w:p w14:paraId="07911911" w14:textId="77777777" w:rsidR="009D3B1F" w:rsidRPr="00B46DBD" w:rsidRDefault="009D3B1F" w:rsidP="009D3B1F">
      <w:pPr>
        <w:jc w:val="both"/>
        <w:rPr>
          <w:b/>
          <w:i/>
          <w:sz w:val="22"/>
          <w:szCs w:val="22"/>
          <w:lang w:val="sr-Latn-ME"/>
        </w:rPr>
      </w:pPr>
    </w:p>
    <w:p w14:paraId="647B4DC2" w14:textId="77777777" w:rsidR="009D3B1F" w:rsidRPr="00B46DBD" w:rsidRDefault="009D3B1F" w:rsidP="009D3B1F">
      <w:pPr>
        <w:jc w:val="both"/>
        <w:rPr>
          <w:i/>
          <w:sz w:val="22"/>
          <w:szCs w:val="22"/>
          <w:u w:val="single"/>
          <w:lang w:val="sr-Latn-ME"/>
        </w:rPr>
      </w:pPr>
      <w:r w:rsidRPr="00B46DBD">
        <w:rPr>
          <w:i/>
          <w:sz w:val="22"/>
          <w:szCs w:val="22"/>
          <w:u w:val="single"/>
          <w:lang w:val="sr-Latn-ME"/>
        </w:rPr>
        <w:t>Farmakokinetika u posebnim grupama pacijenata</w:t>
      </w:r>
    </w:p>
    <w:p w14:paraId="5C0AAF6D" w14:textId="77777777" w:rsidR="00F60085" w:rsidRPr="00B267CC" w:rsidRDefault="00F60085" w:rsidP="009D3B1F">
      <w:pPr>
        <w:jc w:val="both"/>
        <w:rPr>
          <w:i/>
          <w:sz w:val="22"/>
          <w:szCs w:val="22"/>
          <w:u w:val="single"/>
          <w:lang w:val="sr-Latn-ME"/>
        </w:rPr>
      </w:pPr>
    </w:p>
    <w:p w14:paraId="3462591D" w14:textId="568D1E7C" w:rsidR="00F60085" w:rsidRPr="00B267CC" w:rsidRDefault="00F60085" w:rsidP="009D3B1F">
      <w:pPr>
        <w:jc w:val="both"/>
        <w:rPr>
          <w:i/>
          <w:sz w:val="22"/>
          <w:szCs w:val="22"/>
          <w:lang w:val="sr-Latn-ME"/>
        </w:rPr>
      </w:pPr>
      <w:r w:rsidRPr="00B267CC">
        <w:rPr>
          <w:i/>
          <w:sz w:val="22"/>
          <w:szCs w:val="22"/>
          <w:lang w:val="sr-Latn-ME"/>
        </w:rPr>
        <w:t>Spori metabolizeri</w:t>
      </w:r>
    </w:p>
    <w:p w14:paraId="6962E83C" w14:textId="24DF9B3F" w:rsidR="009D3B1F" w:rsidRPr="008F3A6B" w:rsidRDefault="009D3B1F" w:rsidP="009D3B1F">
      <w:pPr>
        <w:pStyle w:val="Header"/>
        <w:jc w:val="both"/>
        <w:rPr>
          <w:sz w:val="22"/>
          <w:szCs w:val="22"/>
          <w:lang w:val="sr-Latn-ME"/>
        </w:rPr>
      </w:pPr>
      <w:r w:rsidRPr="00B267CC">
        <w:rPr>
          <w:sz w:val="22"/>
          <w:szCs w:val="22"/>
          <w:lang w:val="sr-Latn-ME"/>
        </w:rPr>
        <w:t xml:space="preserve">Oko 3% evropljana ima nedostatak </w:t>
      </w:r>
      <w:r w:rsidR="008F3A6B">
        <w:rPr>
          <w:sz w:val="22"/>
          <w:szCs w:val="22"/>
          <w:lang w:val="sr-Latn-ME"/>
        </w:rPr>
        <w:t xml:space="preserve">funkcionalnog </w:t>
      </w:r>
      <w:r w:rsidRPr="008F3A6B">
        <w:rPr>
          <w:sz w:val="22"/>
          <w:szCs w:val="22"/>
          <w:lang w:val="sr-Latn-ME"/>
        </w:rPr>
        <w:t>enzima CYP2C19 i nazivamo ih „</w:t>
      </w:r>
      <w:r w:rsidR="00C81E9D" w:rsidRPr="008F3A6B">
        <w:rPr>
          <w:sz w:val="22"/>
          <w:szCs w:val="22"/>
          <w:lang w:val="sr-Latn-ME"/>
        </w:rPr>
        <w:t xml:space="preserve">sporim </w:t>
      </w:r>
      <w:r w:rsidRPr="008F3A6B">
        <w:rPr>
          <w:sz w:val="22"/>
          <w:szCs w:val="22"/>
          <w:lang w:val="sr-Latn-ME"/>
        </w:rPr>
        <w:t>metabolizerima“. Kod tih osoba se metabolizam pantoprazola vjerovatno odvija preko izoenzima CYP3A4. Nakon pojedinačne doze od 40 mg pantoprazola srednja vrijednosti površine ispod krive koncentracije u plazmi je bila oko 6 puta veća kod „spori</w:t>
      </w:r>
      <w:r w:rsidR="008F3A6B">
        <w:rPr>
          <w:sz w:val="22"/>
          <w:szCs w:val="22"/>
          <w:lang w:val="sr-Latn-ME"/>
        </w:rPr>
        <w:t>h</w:t>
      </w:r>
      <w:r w:rsidRPr="008F3A6B">
        <w:rPr>
          <w:sz w:val="22"/>
          <w:szCs w:val="22"/>
          <w:lang w:val="sr-Latn-ME"/>
        </w:rPr>
        <w:t xml:space="preserve"> metabolizer</w:t>
      </w:r>
      <w:r w:rsidR="008F3A6B">
        <w:rPr>
          <w:sz w:val="22"/>
          <w:szCs w:val="22"/>
          <w:lang w:val="sr-Latn-ME"/>
        </w:rPr>
        <w:t>a</w:t>
      </w:r>
      <w:r w:rsidRPr="008F3A6B">
        <w:rPr>
          <w:sz w:val="22"/>
          <w:szCs w:val="22"/>
          <w:lang w:val="sr-Latn-ME"/>
        </w:rPr>
        <w:t>“ nego kod osoba koje imaju funkcionalan izoenzim CYP2C19 („brzi metabolizeri“). Srednje vrijednosti maksimalnih koncentracija u plazmi  se povećavaju za oko 60%. Ovi nalazi nemaju uticaj na doziranje pantoprazola.</w:t>
      </w:r>
    </w:p>
    <w:p w14:paraId="1274410F" w14:textId="77777777" w:rsidR="009D3B1F" w:rsidRPr="006C101E" w:rsidRDefault="009D3B1F" w:rsidP="009D3B1F">
      <w:pPr>
        <w:pStyle w:val="Header"/>
        <w:jc w:val="both"/>
        <w:rPr>
          <w:sz w:val="22"/>
          <w:szCs w:val="22"/>
          <w:lang w:val="sr-Latn-ME"/>
        </w:rPr>
      </w:pPr>
    </w:p>
    <w:p w14:paraId="755A5907" w14:textId="722E1340" w:rsidR="00C81E9D" w:rsidRPr="004F434B" w:rsidRDefault="00C81E9D" w:rsidP="009D3B1F">
      <w:pPr>
        <w:pStyle w:val="Header"/>
        <w:jc w:val="both"/>
        <w:rPr>
          <w:i/>
          <w:iCs/>
          <w:sz w:val="22"/>
          <w:szCs w:val="22"/>
          <w:lang w:val="sr-Latn-ME"/>
        </w:rPr>
      </w:pPr>
      <w:r w:rsidRPr="004F434B">
        <w:rPr>
          <w:i/>
          <w:iCs/>
          <w:sz w:val="22"/>
          <w:szCs w:val="22"/>
          <w:lang w:val="sr-Latn-ME"/>
        </w:rPr>
        <w:t>Oštećenje funkcije bubrega</w:t>
      </w:r>
    </w:p>
    <w:p w14:paraId="10F08836" w14:textId="6E740E6D" w:rsidR="009D3B1F" w:rsidRPr="00B46DBD" w:rsidRDefault="009D3B1F" w:rsidP="009D3B1F">
      <w:pPr>
        <w:pStyle w:val="Header"/>
        <w:jc w:val="both"/>
        <w:rPr>
          <w:sz w:val="22"/>
          <w:szCs w:val="22"/>
          <w:lang w:val="sr-Latn-ME"/>
        </w:rPr>
      </w:pPr>
      <w:r w:rsidRPr="004F434B">
        <w:rPr>
          <w:sz w:val="22"/>
          <w:szCs w:val="22"/>
          <w:lang w:val="sr-Latn-ME"/>
        </w:rPr>
        <w:t>Kod primjene pantoprazola kod pacijentima sa ograničenom funkcijom bubrega (uključujući pacijente na dijaliz</w:t>
      </w:r>
      <w:r w:rsidRPr="00B46DBD">
        <w:rPr>
          <w:sz w:val="22"/>
          <w:szCs w:val="22"/>
          <w:lang w:val="sr-Latn-ME"/>
        </w:rPr>
        <w:t>i) nije potrebno smanjenje doze pantoprazola. Kao i kod zdravih ispitanika, poluvrijeme eliminacije pantoprazola je kratko. Dijaliziraju se samo male količine pantoprazola. Iako je poluvrijeme eliminacije glavnog metabolita umjereno produženo (2–3 sata), izlučivanje se ipak dešava dovoljno brzo da ne dolazi do akumulacije.</w:t>
      </w:r>
    </w:p>
    <w:p w14:paraId="76A63616" w14:textId="77777777" w:rsidR="009D3B1F" w:rsidRPr="00B46DBD" w:rsidRDefault="009D3B1F" w:rsidP="009D3B1F">
      <w:pPr>
        <w:pStyle w:val="Header"/>
        <w:jc w:val="both"/>
        <w:rPr>
          <w:sz w:val="22"/>
          <w:szCs w:val="22"/>
          <w:lang w:val="sr-Latn-ME"/>
        </w:rPr>
      </w:pPr>
    </w:p>
    <w:p w14:paraId="57BDD8CC" w14:textId="7F109E41" w:rsidR="00C81E9D" w:rsidRPr="00B267CC" w:rsidRDefault="00C81E9D" w:rsidP="009D3B1F">
      <w:pPr>
        <w:pStyle w:val="Header"/>
        <w:jc w:val="both"/>
        <w:rPr>
          <w:i/>
          <w:iCs/>
          <w:sz w:val="22"/>
          <w:szCs w:val="22"/>
          <w:lang w:val="sr-Latn-ME"/>
        </w:rPr>
      </w:pPr>
      <w:r w:rsidRPr="00B267CC">
        <w:rPr>
          <w:i/>
          <w:iCs/>
          <w:sz w:val="22"/>
          <w:szCs w:val="22"/>
          <w:lang w:val="sr-Latn-ME"/>
        </w:rPr>
        <w:t>Oštećenje funkcije jetre</w:t>
      </w:r>
    </w:p>
    <w:p w14:paraId="6175EC37" w14:textId="5D5EFAB4" w:rsidR="009D3B1F" w:rsidRPr="00B267CC" w:rsidRDefault="009D3B1F" w:rsidP="009D3B1F">
      <w:pPr>
        <w:pStyle w:val="Header"/>
        <w:jc w:val="both"/>
        <w:rPr>
          <w:sz w:val="22"/>
          <w:szCs w:val="22"/>
          <w:lang w:val="sr-Latn-ME"/>
        </w:rPr>
      </w:pPr>
      <w:r w:rsidRPr="00B267CC">
        <w:rPr>
          <w:sz w:val="22"/>
          <w:szCs w:val="22"/>
          <w:lang w:val="sr-Latn-ME"/>
        </w:rPr>
        <w:t xml:space="preserve">Iako su kod pacijenata sa cirozom jetre (klase A i B prema </w:t>
      </w:r>
      <w:r w:rsidRPr="00B267CC">
        <w:rPr>
          <w:i/>
          <w:sz w:val="22"/>
          <w:szCs w:val="22"/>
          <w:lang w:val="sr-Latn-ME"/>
        </w:rPr>
        <w:t>Childu</w:t>
      </w:r>
      <w:r w:rsidRPr="00B267CC">
        <w:rPr>
          <w:sz w:val="22"/>
          <w:szCs w:val="22"/>
          <w:lang w:val="sr-Latn-ME"/>
        </w:rPr>
        <w:t>) vrijednosti poluvremena eliminacije povećane na 7 do 9 sati, a vrijednosti površine ispod krive (PIK) povećane za faktor 5-7, maksimalna koncentracija u serumu je samo neznatno povećana za faktor 1</w:t>
      </w:r>
      <w:r w:rsidR="00C81E9D" w:rsidRPr="00B267CC">
        <w:rPr>
          <w:sz w:val="22"/>
          <w:szCs w:val="22"/>
          <w:lang w:val="sr-Latn-ME"/>
        </w:rPr>
        <w:t>,</w:t>
      </w:r>
      <w:r w:rsidRPr="00B267CC">
        <w:rPr>
          <w:sz w:val="22"/>
          <w:szCs w:val="22"/>
          <w:lang w:val="sr-Latn-ME"/>
        </w:rPr>
        <w:t>5 u odnosu na zdrave ispitanike.</w:t>
      </w:r>
    </w:p>
    <w:p w14:paraId="5302860F" w14:textId="77777777" w:rsidR="00C81E9D" w:rsidRPr="00B267CC" w:rsidRDefault="00C81E9D" w:rsidP="009D3B1F">
      <w:pPr>
        <w:pStyle w:val="Header"/>
        <w:jc w:val="both"/>
        <w:rPr>
          <w:sz w:val="22"/>
          <w:szCs w:val="22"/>
          <w:lang w:val="sr-Latn-ME"/>
        </w:rPr>
      </w:pPr>
    </w:p>
    <w:p w14:paraId="03F3EE7F" w14:textId="6EF89F41" w:rsidR="009D3B1F" w:rsidRPr="00B267CC" w:rsidRDefault="00C81E9D" w:rsidP="009D3B1F">
      <w:pPr>
        <w:pStyle w:val="Header"/>
        <w:jc w:val="both"/>
        <w:rPr>
          <w:i/>
          <w:iCs/>
          <w:sz w:val="22"/>
          <w:szCs w:val="22"/>
          <w:lang w:val="sr-Latn-ME"/>
        </w:rPr>
      </w:pPr>
      <w:r w:rsidRPr="00B267CC">
        <w:rPr>
          <w:i/>
          <w:iCs/>
          <w:sz w:val="22"/>
          <w:szCs w:val="22"/>
          <w:lang w:val="sr-Latn-ME"/>
        </w:rPr>
        <w:t>Stariji pacijenti</w:t>
      </w:r>
    </w:p>
    <w:p w14:paraId="401142EC" w14:textId="77777777" w:rsidR="009D3B1F" w:rsidRPr="00B267CC" w:rsidRDefault="009D3B1F" w:rsidP="009D3B1F">
      <w:pPr>
        <w:pStyle w:val="Header"/>
        <w:jc w:val="both"/>
        <w:rPr>
          <w:sz w:val="22"/>
          <w:szCs w:val="22"/>
          <w:lang w:val="sr-Latn-ME"/>
        </w:rPr>
      </w:pPr>
      <w:r w:rsidRPr="00B267CC">
        <w:rPr>
          <w:sz w:val="22"/>
          <w:szCs w:val="22"/>
          <w:lang w:val="sr-Latn-ME"/>
        </w:rPr>
        <w:t>Neznatno povećanje površine ispod krive (PIK) i C</w:t>
      </w:r>
      <w:r w:rsidRPr="00B267CC">
        <w:rPr>
          <w:sz w:val="22"/>
          <w:szCs w:val="22"/>
          <w:vertAlign w:val="subscript"/>
          <w:lang w:val="sr-Latn-ME"/>
        </w:rPr>
        <w:t>max</w:t>
      </w:r>
      <w:r w:rsidRPr="00B267CC">
        <w:rPr>
          <w:sz w:val="22"/>
          <w:szCs w:val="22"/>
          <w:lang w:val="sr-Latn-ME"/>
        </w:rPr>
        <w:t xml:space="preserve"> do koga dolazi kod starijih dobrovoljaca u poređenju na mlađe osobe takođe nije klinički relevantno.</w:t>
      </w:r>
    </w:p>
    <w:p w14:paraId="714127D4" w14:textId="77777777" w:rsidR="009D3B1F" w:rsidRPr="00B267CC" w:rsidRDefault="009D3B1F" w:rsidP="009D3B1F">
      <w:pPr>
        <w:pStyle w:val="Header"/>
        <w:jc w:val="both"/>
        <w:rPr>
          <w:sz w:val="22"/>
          <w:szCs w:val="22"/>
          <w:lang w:val="sr-Latn-ME"/>
        </w:rPr>
      </w:pPr>
    </w:p>
    <w:p w14:paraId="6BA1F6E2" w14:textId="1FC4A0F6" w:rsidR="009D3B1F" w:rsidRPr="00B267CC" w:rsidRDefault="00C81E9D" w:rsidP="009D3B1F">
      <w:pPr>
        <w:pStyle w:val="Header"/>
        <w:jc w:val="both"/>
        <w:rPr>
          <w:i/>
          <w:sz w:val="22"/>
          <w:szCs w:val="22"/>
          <w:lang w:val="sr-Latn-ME"/>
        </w:rPr>
      </w:pPr>
      <w:r w:rsidRPr="00B267CC">
        <w:rPr>
          <w:i/>
          <w:sz w:val="22"/>
          <w:szCs w:val="22"/>
          <w:lang w:val="sr-Latn-ME"/>
        </w:rPr>
        <w:t>Pedijatrijska populacija</w:t>
      </w:r>
    </w:p>
    <w:p w14:paraId="3F893A82" w14:textId="74304B09" w:rsidR="009D3B1F" w:rsidRPr="008F3A6B" w:rsidRDefault="008F3A6B" w:rsidP="009D3B1F">
      <w:pPr>
        <w:pStyle w:val="Header"/>
        <w:jc w:val="both"/>
        <w:rPr>
          <w:sz w:val="22"/>
          <w:szCs w:val="22"/>
          <w:lang w:val="sr-Latn-ME"/>
        </w:rPr>
      </w:pPr>
      <w:r>
        <w:rPr>
          <w:sz w:val="22"/>
          <w:szCs w:val="22"/>
          <w:lang w:val="sr-Latn-ME"/>
        </w:rPr>
        <w:t>Nakon</w:t>
      </w:r>
      <w:r w:rsidRPr="008F3A6B">
        <w:rPr>
          <w:sz w:val="22"/>
          <w:szCs w:val="22"/>
          <w:lang w:val="sr-Latn-ME"/>
        </w:rPr>
        <w:t xml:space="preserve"> </w:t>
      </w:r>
      <w:r w:rsidR="009D3B1F" w:rsidRPr="008F3A6B">
        <w:rPr>
          <w:sz w:val="22"/>
          <w:szCs w:val="22"/>
          <w:lang w:val="sr-Latn-ME"/>
        </w:rPr>
        <w:t>primjene pojedinačne i.v. doze od 0.8 ili 1.6 mg/kg</w:t>
      </w:r>
      <w:r>
        <w:rPr>
          <w:sz w:val="22"/>
          <w:szCs w:val="22"/>
          <w:lang w:val="sr-Latn-ME"/>
        </w:rPr>
        <w:t xml:space="preserve"> </w:t>
      </w:r>
      <w:r w:rsidR="009D3B1F" w:rsidRPr="008F3A6B">
        <w:rPr>
          <w:sz w:val="22"/>
          <w:szCs w:val="22"/>
          <w:lang w:val="sr-Latn-ME"/>
        </w:rPr>
        <w:t xml:space="preserve">pantoprazola kod djece uzrasta 2 do 16 godina nije bilo značajne veze između klirensa pantoprazola i uzrasta ili tjelesne </w:t>
      </w:r>
      <w:r>
        <w:rPr>
          <w:sz w:val="22"/>
          <w:szCs w:val="22"/>
          <w:lang w:val="sr-Latn-ME"/>
        </w:rPr>
        <w:t>mase</w:t>
      </w:r>
      <w:r w:rsidR="009D3B1F" w:rsidRPr="008F3A6B">
        <w:rPr>
          <w:sz w:val="22"/>
          <w:szCs w:val="22"/>
          <w:lang w:val="sr-Latn-ME"/>
        </w:rPr>
        <w:t>.</w:t>
      </w:r>
      <w:r w:rsidR="00C81E9D" w:rsidRPr="008F3A6B">
        <w:rPr>
          <w:sz w:val="22"/>
          <w:szCs w:val="22"/>
          <w:lang w:val="sr-Latn-ME"/>
        </w:rPr>
        <w:t xml:space="preserve"> Vrijednosti</w:t>
      </w:r>
      <w:r w:rsidR="009D3B1F" w:rsidRPr="008F3A6B">
        <w:rPr>
          <w:sz w:val="22"/>
          <w:szCs w:val="22"/>
          <w:lang w:val="sr-Latn-ME"/>
        </w:rPr>
        <w:t xml:space="preserve"> PIK i </w:t>
      </w:r>
      <w:r>
        <w:rPr>
          <w:sz w:val="22"/>
          <w:szCs w:val="22"/>
          <w:lang w:val="sr-Latn-ME"/>
        </w:rPr>
        <w:t>volumen</w:t>
      </w:r>
      <w:r w:rsidRPr="008F3A6B">
        <w:rPr>
          <w:sz w:val="22"/>
          <w:szCs w:val="22"/>
          <w:lang w:val="sr-Latn-ME"/>
        </w:rPr>
        <w:t xml:space="preserve"> </w:t>
      </w:r>
      <w:r w:rsidR="009D3B1F" w:rsidRPr="008F3A6B">
        <w:rPr>
          <w:sz w:val="22"/>
          <w:szCs w:val="22"/>
          <w:lang w:val="sr-Latn-ME"/>
        </w:rPr>
        <w:t xml:space="preserve">distribucije su bili usklađeni sa podacima </w:t>
      </w:r>
      <w:r w:rsidR="00C81E9D" w:rsidRPr="008F3A6B">
        <w:rPr>
          <w:sz w:val="22"/>
          <w:szCs w:val="22"/>
          <w:lang w:val="sr-Latn-ME"/>
        </w:rPr>
        <w:t>dobijenim kod odraslih pacijenata</w:t>
      </w:r>
      <w:r w:rsidR="009D3B1F" w:rsidRPr="008F3A6B">
        <w:rPr>
          <w:sz w:val="22"/>
          <w:szCs w:val="22"/>
          <w:lang w:val="sr-Latn-ME"/>
        </w:rPr>
        <w:t>.</w:t>
      </w:r>
    </w:p>
    <w:p w14:paraId="09800D55" w14:textId="77777777" w:rsidR="0072020E" w:rsidRPr="006C101E" w:rsidRDefault="0072020E" w:rsidP="00480FB1">
      <w:pPr>
        <w:tabs>
          <w:tab w:val="left" w:pos="540"/>
          <w:tab w:val="left" w:pos="569"/>
        </w:tabs>
        <w:rPr>
          <w:bCs/>
          <w:sz w:val="22"/>
          <w:szCs w:val="22"/>
        </w:rPr>
      </w:pPr>
    </w:p>
    <w:p w14:paraId="108C24DD" w14:textId="77777777" w:rsidR="0072020E" w:rsidRPr="00B267CC" w:rsidRDefault="0072020E" w:rsidP="00480FB1">
      <w:pPr>
        <w:tabs>
          <w:tab w:val="left" w:pos="540"/>
          <w:tab w:val="left" w:pos="569"/>
        </w:tabs>
        <w:rPr>
          <w:b/>
          <w:bCs/>
          <w:sz w:val="22"/>
          <w:szCs w:val="22"/>
        </w:rPr>
      </w:pPr>
      <w:r w:rsidRPr="004F434B">
        <w:rPr>
          <w:b/>
          <w:bCs/>
          <w:sz w:val="22"/>
          <w:szCs w:val="22"/>
        </w:rPr>
        <w:t xml:space="preserve">5.3. </w:t>
      </w:r>
      <w:r w:rsidR="00480FB1" w:rsidRPr="00B267CC">
        <w:rPr>
          <w:b/>
          <w:bCs/>
          <w:sz w:val="22"/>
          <w:szCs w:val="22"/>
        </w:rPr>
        <w:tab/>
      </w:r>
      <w:r w:rsidRPr="00B267CC">
        <w:rPr>
          <w:b/>
          <w:bCs/>
          <w:sz w:val="22"/>
          <w:szCs w:val="22"/>
        </w:rPr>
        <w:t xml:space="preserve">Pretklinički podaci o bezbjednosti </w:t>
      </w:r>
    </w:p>
    <w:p w14:paraId="6B6EE17D" w14:textId="77777777" w:rsidR="00836B35" w:rsidRPr="00B267CC" w:rsidRDefault="00836B35" w:rsidP="00480FB1">
      <w:pPr>
        <w:tabs>
          <w:tab w:val="left" w:pos="540"/>
          <w:tab w:val="left" w:pos="569"/>
        </w:tabs>
        <w:rPr>
          <w:bCs/>
          <w:sz w:val="22"/>
          <w:szCs w:val="22"/>
        </w:rPr>
      </w:pPr>
    </w:p>
    <w:p w14:paraId="6DC2DBAE" w14:textId="7BBB84D6" w:rsidR="009D3B1F" w:rsidRPr="008F3A6B" w:rsidRDefault="009D3B1F" w:rsidP="009D3B1F">
      <w:pPr>
        <w:jc w:val="both"/>
        <w:rPr>
          <w:sz w:val="22"/>
          <w:szCs w:val="22"/>
          <w:lang w:val="sr-Latn-ME"/>
        </w:rPr>
      </w:pPr>
      <w:r w:rsidRPr="00B267CC">
        <w:rPr>
          <w:sz w:val="22"/>
          <w:szCs w:val="22"/>
          <w:lang w:val="sr-Latn-ME"/>
        </w:rPr>
        <w:lastRenderedPageBreak/>
        <w:t>Pretklinički podaci zasnovani na konvencionalnim farmakološkim ispitivanjima bezbjednosti lijeka, toksičnosti</w:t>
      </w:r>
      <w:r w:rsidR="00C81E9D" w:rsidRPr="00B267CC">
        <w:rPr>
          <w:sz w:val="22"/>
          <w:szCs w:val="22"/>
          <w:lang w:val="sr-Latn-ME"/>
        </w:rPr>
        <w:t xml:space="preserve"> ponovljenih doza</w:t>
      </w:r>
      <w:r w:rsidRPr="00B267CC">
        <w:rPr>
          <w:sz w:val="22"/>
          <w:szCs w:val="22"/>
          <w:lang w:val="sr-Latn-ME"/>
        </w:rPr>
        <w:t xml:space="preserve"> i </w:t>
      </w:r>
      <w:r w:rsidR="00C81E9D" w:rsidRPr="00B267CC">
        <w:rPr>
          <w:sz w:val="22"/>
          <w:szCs w:val="22"/>
          <w:lang w:val="sr-Latn-ME"/>
        </w:rPr>
        <w:t xml:space="preserve">genotoksičnosti </w:t>
      </w:r>
      <w:r w:rsidRPr="00B267CC">
        <w:rPr>
          <w:sz w:val="22"/>
          <w:szCs w:val="22"/>
          <w:lang w:val="sr-Latn-ME"/>
        </w:rPr>
        <w:t xml:space="preserve">ne pokazuju neku posebnu opasnost za </w:t>
      </w:r>
      <w:r w:rsidR="00A05E6D">
        <w:rPr>
          <w:sz w:val="22"/>
          <w:szCs w:val="22"/>
          <w:lang w:val="sr-Latn-ME"/>
        </w:rPr>
        <w:t>primjenu kod ljudi</w:t>
      </w:r>
      <w:r w:rsidRPr="008F3A6B">
        <w:rPr>
          <w:sz w:val="22"/>
          <w:szCs w:val="22"/>
          <w:lang w:val="sr-Latn-ME"/>
        </w:rPr>
        <w:t>.</w:t>
      </w:r>
    </w:p>
    <w:p w14:paraId="67728FD4" w14:textId="77777777" w:rsidR="009D3B1F" w:rsidRPr="006C101E" w:rsidRDefault="009D3B1F" w:rsidP="009D3B1F">
      <w:pPr>
        <w:jc w:val="both"/>
        <w:rPr>
          <w:sz w:val="22"/>
          <w:szCs w:val="22"/>
          <w:lang w:val="sr-Latn-ME"/>
        </w:rPr>
      </w:pPr>
    </w:p>
    <w:p w14:paraId="3104AE54" w14:textId="77777777" w:rsidR="009D3B1F" w:rsidRPr="004F434B" w:rsidRDefault="009D3B1F" w:rsidP="009D3B1F">
      <w:pPr>
        <w:jc w:val="both"/>
        <w:rPr>
          <w:sz w:val="22"/>
          <w:szCs w:val="22"/>
          <w:lang w:val="sr-Latn-ME"/>
        </w:rPr>
      </w:pPr>
      <w:r w:rsidRPr="004F434B">
        <w:rPr>
          <w:sz w:val="22"/>
          <w:szCs w:val="22"/>
          <w:lang w:val="sr-Latn-ME"/>
        </w:rPr>
        <w:t>Tokom dvogodišnjeg ispitivanja kancerogenosti na pacovima (što kod pacova porazumijeva doživotnu primjenu) pronađene su neuroendokrine neoplazme. Uz to, u predželudačnom dijelu kod pacova pronađeni su papilomi skvamoznih ćelija. Pažljivo je ispitan mehanizam kojim supstituisani benzimidazoli dovode do formiranja gastričnih karcinoida. Zaključeno je da se radi o sekundarnoj reakciji na znatno povišen nivo gastrina u serumu pacova tokom hroničnog tretmana visokim dozama.</w:t>
      </w:r>
    </w:p>
    <w:p w14:paraId="1BA09F17" w14:textId="77777777" w:rsidR="009D3B1F" w:rsidRPr="00B46DBD" w:rsidRDefault="009D3B1F" w:rsidP="009D3B1F">
      <w:pPr>
        <w:jc w:val="both"/>
        <w:rPr>
          <w:sz w:val="22"/>
          <w:szCs w:val="22"/>
          <w:lang w:val="sr-Latn-ME"/>
        </w:rPr>
      </w:pPr>
    </w:p>
    <w:p w14:paraId="7C03EF46" w14:textId="77777777" w:rsidR="009D3B1F" w:rsidRPr="00B46DBD" w:rsidRDefault="009D3B1F" w:rsidP="009D3B1F">
      <w:pPr>
        <w:jc w:val="both"/>
        <w:rPr>
          <w:sz w:val="22"/>
          <w:szCs w:val="22"/>
          <w:lang w:val="sr-Latn-ME"/>
        </w:rPr>
      </w:pPr>
      <w:r w:rsidRPr="00B46DBD">
        <w:rPr>
          <w:sz w:val="22"/>
          <w:szCs w:val="22"/>
          <w:lang w:val="sr-Latn-ME"/>
        </w:rPr>
        <w:t>Tokom dvogodišnjeg ispitivanja na glodarima zapažen je povećan broj tumora jetre kod pacova i ženki miševa, što se pripisuje intenzivnom metabolizmu pantoprazola u jetri.</w:t>
      </w:r>
    </w:p>
    <w:p w14:paraId="3DFF39EE" w14:textId="77777777" w:rsidR="009D3B1F" w:rsidRPr="00B267CC" w:rsidRDefault="009D3B1F" w:rsidP="009D3B1F">
      <w:pPr>
        <w:jc w:val="both"/>
        <w:rPr>
          <w:sz w:val="22"/>
          <w:szCs w:val="22"/>
          <w:lang w:val="sr-Latn-ME"/>
        </w:rPr>
      </w:pPr>
    </w:p>
    <w:p w14:paraId="035E2FB7" w14:textId="0169FCD6" w:rsidR="009D3B1F" w:rsidRPr="00B267CC" w:rsidRDefault="009D3B1F" w:rsidP="009D3B1F">
      <w:pPr>
        <w:jc w:val="both"/>
        <w:rPr>
          <w:sz w:val="22"/>
          <w:szCs w:val="22"/>
          <w:lang w:val="sr-Latn-ME"/>
        </w:rPr>
      </w:pPr>
      <w:r w:rsidRPr="00B267CC">
        <w:rPr>
          <w:sz w:val="22"/>
          <w:szCs w:val="22"/>
          <w:lang w:val="sr-Latn-ME"/>
        </w:rPr>
        <w:t>Blag porast neoplastičnih promjena tireoidne žlijezde uočen je u dvogodišnjoj studiji kod grupe pacova koji su primali najveće doze (200 mg/kg). Pojava ovih neoplazmi se povezuje sa promjenama u razgradnji tiroksina u jetri, pod dejstvom pantoprazola. Kako su kod ljudi terapijske doze niske, na tireoidnim žlijezdama se ne očekuju neželjena dejstva.</w:t>
      </w:r>
    </w:p>
    <w:p w14:paraId="4F592133" w14:textId="77777777" w:rsidR="009D3B1F" w:rsidRPr="00B267CC" w:rsidRDefault="009D3B1F" w:rsidP="009D3B1F">
      <w:pPr>
        <w:jc w:val="both"/>
        <w:rPr>
          <w:sz w:val="22"/>
          <w:szCs w:val="22"/>
          <w:lang w:val="sr-Latn-ME"/>
        </w:rPr>
      </w:pPr>
    </w:p>
    <w:p w14:paraId="19567AE5" w14:textId="7356CF5A" w:rsidR="007A754D" w:rsidRPr="008F3A6B" w:rsidRDefault="007A754D" w:rsidP="007A754D">
      <w:pPr>
        <w:jc w:val="both"/>
        <w:rPr>
          <w:sz w:val="22"/>
          <w:szCs w:val="22"/>
          <w:lang w:val="sr-Latn-ME"/>
        </w:rPr>
      </w:pPr>
      <w:r w:rsidRPr="00B267CC">
        <w:rPr>
          <w:sz w:val="22"/>
          <w:szCs w:val="22"/>
          <w:lang w:val="sr-Latn-ME"/>
        </w:rPr>
        <w:t xml:space="preserve">U peri-postnatalnom reporoduktivnom istraživanju na pacovima </w:t>
      </w:r>
      <w:r w:rsidR="008F3A6B">
        <w:rPr>
          <w:sz w:val="22"/>
          <w:szCs w:val="22"/>
          <w:lang w:val="sr-Latn-ME"/>
        </w:rPr>
        <w:t xml:space="preserve">dizajniranom da </w:t>
      </w:r>
      <w:r w:rsidRPr="008F3A6B">
        <w:rPr>
          <w:sz w:val="22"/>
          <w:szCs w:val="22"/>
          <w:lang w:val="sr-Latn-ME"/>
        </w:rPr>
        <w:t>proc</w:t>
      </w:r>
      <w:r w:rsidR="008F3A6B">
        <w:rPr>
          <w:sz w:val="22"/>
          <w:szCs w:val="22"/>
          <w:lang w:val="sr-Latn-ME"/>
        </w:rPr>
        <w:t>i</w:t>
      </w:r>
      <w:r w:rsidRPr="008F3A6B">
        <w:rPr>
          <w:sz w:val="22"/>
          <w:szCs w:val="22"/>
          <w:lang w:val="sr-Latn-ME"/>
        </w:rPr>
        <w:t>jeni razvoj kostiju, znaci toksičnosti na potomstvo (mortalitet, smanjenja srednja vr</w:t>
      </w:r>
      <w:r w:rsidR="008F3A6B">
        <w:rPr>
          <w:sz w:val="22"/>
          <w:szCs w:val="22"/>
          <w:lang w:val="sr-Latn-ME"/>
        </w:rPr>
        <w:t>ij</w:t>
      </w:r>
      <w:r w:rsidRPr="008F3A6B">
        <w:rPr>
          <w:sz w:val="22"/>
          <w:szCs w:val="22"/>
          <w:lang w:val="sr-Latn-ME"/>
        </w:rPr>
        <w:t>ednost t</w:t>
      </w:r>
      <w:r w:rsidR="008F3A6B">
        <w:rPr>
          <w:sz w:val="22"/>
          <w:szCs w:val="22"/>
          <w:lang w:val="sr-Latn-ME"/>
        </w:rPr>
        <w:t>j</w:t>
      </w:r>
      <w:r w:rsidRPr="008F3A6B">
        <w:rPr>
          <w:sz w:val="22"/>
          <w:szCs w:val="22"/>
          <w:lang w:val="sr-Latn-ME"/>
        </w:rPr>
        <w:t>elesne mase, smanjena srednja vrijednost dobijanja na t</w:t>
      </w:r>
      <w:r w:rsidR="008F3A6B">
        <w:rPr>
          <w:sz w:val="22"/>
          <w:szCs w:val="22"/>
          <w:lang w:val="sr-Latn-ME"/>
        </w:rPr>
        <w:t>j</w:t>
      </w:r>
      <w:r w:rsidRPr="008F3A6B">
        <w:rPr>
          <w:sz w:val="22"/>
          <w:szCs w:val="22"/>
          <w:lang w:val="sr-Latn-ME"/>
        </w:rPr>
        <w:t>elesnoj masi i smanjen rast kosti) su prim</w:t>
      </w:r>
      <w:r w:rsidR="008F3A6B">
        <w:rPr>
          <w:sz w:val="22"/>
          <w:szCs w:val="22"/>
          <w:lang w:val="sr-Latn-ME"/>
        </w:rPr>
        <w:t>ij</w:t>
      </w:r>
      <w:r w:rsidRPr="008F3A6B">
        <w:rPr>
          <w:sz w:val="22"/>
          <w:szCs w:val="22"/>
          <w:lang w:val="sr-Latn-ME"/>
        </w:rPr>
        <w:t xml:space="preserve">ećeni pri izloženosti (Cmax) približno 2x </w:t>
      </w:r>
      <w:r w:rsidR="008F3A6B">
        <w:rPr>
          <w:sz w:val="22"/>
          <w:szCs w:val="22"/>
          <w:lang w:val="sr-Latn-ME"/>
        </w:rPr>
        <w:t xml:space="preserve">većoj od </w:t>
      </w:r>
      <w:r w:rsidRPr="008F3A6B">
        <w:rPr>
          <w:sz w:val="22"/>
          <w:szCs w:val="22"/>
          <w:lang w:val="sr-Latn-ME"/>
        </w:rPr>
        <w:t>izloženosti kod ljudi tokom kliničke prim</w:t>
      </w:r>
      <w:r w:rsidR="008F3A6B">
        <w:rPr>
          <w:sz w:val="22"/>
          <w:szCs w:val="22"/>
          <w:lang w:val="sr-Latn-ME"/>
        </w:rPr>
        <w:t>j</w:t>
      </w:r>
      <w:r w:rsidRPr="008F3A6B">
        <w:rPr>
          <w:sz w:val="22"/>
          <w:szCs w:val="22"/>
          <w:lang w:val="sr-Latn-ME"/>
        </w:rPr>
        <w:t>ene. Na kraju faze oporavka, parametri na kostima su bili slični po grupama, a t</w:t>
      </w:r>
      <w:r w:rsidR="008F3A6B">
        <w:rPr>
          <w:sz w:val="22"/>
          <w:szCs w:val="22"/>
          <w:lang w:val="sr-Latn-ME"/>
        </w:rPr>
        <w:t>j</w:t>
      </w:r>
      <w:r w:rsidRPr="008F3A6B">
        <w:rPr>
          <w:sz w:val="22"/>
          <w:szCs w:val="22"/>
          <w:lang w:val="sr-Latn-ME"/>
        </w:rPr>
        <w:t>elesna masa je takođe težila reverzibilnosti nakon perioda oporavka bez lijeka. Povećanje mortaliteta prijavljeno je samo kod mladunaca pacova pr</w:t>
      </w:r>
      <w:r w:rsidR="008F3A6B">
        <w:rPr>
          <w:sz w:val="22"/>
          <w:szCs w:val="22"/>
          <w:lang w:val="sr-Latn-ME"/>
        </w:rPr>
        <w:t>ij</w:t>
      </w:r>
      <w:r w:rsidRPr="008F3A6B">
        <w:rPr>
          <w:sz w:val="22"/>
          <w:szCs w:val="22"/>
          <w:lang w:val="sr-Latn-ME"/>
        </w:rPr>
        <w:t>e</w:t>
      </w:r>
      <w:r w:rsidR="008F3A6B">
        <w:rPr>
          <w:sz w:val="22"/>
          <w:szCs w:val="22"/>
          <w:lang w:val="sr-Latn-ME"/>
        </w:rPr>
        <w:t xml:space="preserve"> prestanka sisanja</w:t>
      </w:r>
      <w:r w:rsidRPr="008F3A6B">
        <w:rPr>
          <w:sz w:val="22"/>
          <w:szCs w:val="22"/>
          <w:lang w:val="sr-Latn-ME"/>
        </w:rPr>
        <w:t xml:space="preserve"> (do 21 dan starosti) </w:t>
      </w:r>
      <w:r w:rsidR="008F3A6B">
        <w:rPr>
          <w:sz w:val="22"/>
          <w:szCs w:val="22"/>
          <w:lang w:val="sr-Latn-ME"/>
        </w:rPr>
        <w:t>što odgovara uzrastu odojčadi</w:t>
      </w:r>
      <w:r w:rsidRPr="008F3A6B">
        <w:rPr>
          <w:sz w:val="22"/>
          <w:szCs w:val="22"/>
          <w:lang w:val="sr-Latn-ME"/>
        </w:rPr>
        <w:t xml:space="preserve"> </w:t>
      </w:r>
      <w:r w:rsidR="008F3A6B">
        <w:rPr>
          <w:sz w:val="22"/>
          <w:szCs w:val="22"/>
          <w:lang w:val="sr-Latn-ME"/>
        </w:rPr>
        <w:t>do</w:t>
      </w:r>
      <w:r w:rsidRPr="008F3A6B">
        <w:rPr>
          <w:sz w:val="22"/>
          <w:szCs w:val="22"/>
          <w:lang w:val="sr-Latn-ME"/>
        </w:rPr>
        <w:t xml:space="preserve"> 2 godine. Značaj ovog nalaza za pedijatrijsku populaciju nije jasan.</w:t>
      </w:r>
    </w:p>
    <w:p w14:paraId="7F886482" w14:textId="353CDEEE" w:rsidR="007A754D" w:rsidRPr="006C101E" w:rsidRDefault="007A754D" w:rsidP="007A754D">
      <w:pPr>
        <w:jc w:val="both"/>
        <w:rPr>
          <w:sz w:val="22"/>
          <w:szCs w:val="22"/>
          <w:lang w:val="sr-Latn-ME"/>
        </w:rPr>
      </w:pPr>
      <w:r w:rsidRPr="006C101E">
        <w:rPr>
          <w:sz w:val="22"/>
          <w:szCs w:val="22"/>
          <w:lang w:val="sr-Latn-ME"/>
        </w:rPr>
        <w:t>Prethodno peri-postnatalno istraživanje na pacovima sa nešto manjim dozama nije pokazalo štetne uticaje pri 3 mg/kg u poređenju sa niskom dozom od 5 mg/kg u ovoj studiji.</w:t>
      </w:r>
    </w:p>
    <w:p w14:paraId="34176827" w14:textId="77777777" w:rsidR="009D3B1F" w:rsidRPr="004F434B" w:rsidRDefault="009D3B1F" w:rsidP="009D3B1F">
      <w:pPr>
        <w:jc w:val="both"/>
        <w:rPr>
          <w:sz w:val="22"/>
          <w:szCs w:val="22"/>
          <w:lang w:val="sr-Latn-ME"/>
        </w:rPr>
      </w:pPr>
    </w:p>
    <w:p w14:paraId="01036255" w14:textId="77777777" w:rsidR="009D3B1F" w:rsidRPr="004F434B" w:rsidRDefault="009D3B1F" w:rsidP="009D3B1F">
      <w:pPr>
        <w:jc w:val="both"/>
        <w:rPr>
          <w:sz w:val="22"/>
          <w:szCs w:val="22"/>
          <w:lang w:val="sr-Latn-ME"/>
        </w:rPr>
      </w:pPr>
      <w:r w:rsidRPr="004F434B">
        <w:rPr>
          <w:sz w:val="22"/>
          <w:szCs w:val="22"/>
          <w:lang w:val="sr-Latn-ME"/>
        </w:rPr>
        <w:t>Istraživanja su pokazala da nema dokaza o uticaju pantoprazola na fertilnost, kao ni dokaza o njegovom  teratogenom dejstvu .</w:t>
      </w:r>
    </w:p>
    <w:p w14:paraId="79E01943" w14:textId="77777777" w:rsidR="009D3B1F" w:rsidRPr="00B46DBD" w:rsidRDefault="009D3B1F" w:rsidP="009D3B1F">
      <w:pPr>
        <w:jc w:val="both"/>
        <w:rPr>
          <w:sz w:val="22"/>
          <w:szCs w:val="22"/>
          <w:lang w:val="sr-Latn-ME"/>
        </w:rPr>
      </w:pPr>
    </w:p>
    <w:p w14:paraId="25361CFF" w14:textId="798AF85D" w:rsidR="009D3B1F" w:rsidRPr="008F3A6B" w:rsidRDefault="009D3B1F" w:rsidP="009D3B1F">
      <w:pPr>
        <w:jc w:val="both"/>
        <w:rPr>
          <w:sz w:val="22"/>
          <w:szCs w:val="22"/>
          <w:lang w:val="sr-Latn-ME"/>
        </w:rPr>
      </w:pPr>
      <w:r w:rsidRPr="00B46DBD">
        <w:rPr>
          <w:sz w:val="22"/>
          <w:szCs w:val="22"/>
          <w:lang w:val="sr-Latn-ME"/>
        </w:rPr>
        <w:t xml:space="preserve">Istraživanja nijesu otkrila </w:t>
      </w:r>
      <w:r w:rsidR="00B267CC">
        <w:rPr>
          <w:sz w:val="22"/>
          <w:szCs w:val="22"/>
          <w:lang w:val="sr-Latn-ME"/>
        </w:rPr>
        <w:t>smanjenje fertiliteta</w:t>
      </w:r>
      <w:r w:rsidR="00C81E9D" w:rsidRPr="008F3A6B">
        <w:rPr>
          <w:sz w:val="22"/>
          <w:szCs w:val="22"/>
          <w:lang w:val="sr-Latn-ME"/>
        </w:rPr>
        <w:t xml:space="preserve"> niti</w:t>
      </w:r>
      <w:r w:rsidRPr="008F3A6B">
        <w:rPr>
          <w:sz w:val="22"/>
          <w:szCs w:val="22"/>
          <w:lang w:val="sr-Latn-ME"/>
        </w:rPr>
        <w:t xml:space="preserve"> teratogene </w:t>
      </w:r>
      <w:r w:rsidR="00B267CC">
        <w:rPr>
          <w:sz w:val="22"/>
          <w:szCs w:val="22"/>
          <w:lang w:val="sr-Latn-ME"/>
        </w:rPr>
        <w:t>efekte</w:t>
      </w:r>
      <w:r w:rsidRPr="008F3A6B">
        <w:rPr>
          <w:sz w:val="22"/>
          <w:szCs w:val="22"/>
          <w:lang w:val="sr-Latn-ME"/>
        </w:rPr>
        <w:t>.</w:t>
      </w:r>
    </w:p>
    <w:p w14:paraId="2803392E" w14:textId="77777777" w:rsidR="009D3B1F" w:rsidRPr="006C101E" w:rsidRDefault="009D3B1F" w:rsidP="009D3B1F">
      <w:pPr>
        <w:jc w:val="both"/>
        <w:rPr>
          <w:sz w:val="22"/>
          <w:szCs w:val="22"/>
          <w:lang w:val="sr-Latn-ME"/>
        </w:rPr>
      </w:pPr>
    </w:p>
    <w:p w14:paraId="1EB56BAF" w14:textId="636708CF" w:rsidR="009D3B1F" w:rsidRPr="008F3A6B" w:rsidRDefault="009D3B1F" w:rsidP="009D3B1F">
      <w:pPr>
        <w:jc w:val="both"/>
        <w:rPr>
          <w:sz w:val="22"/>
          <w:szCs w:val="22"/>
          <w:lang w:val="sr-Latn-ME"/>
        </w:rPr>
      </w:pPr>
      <w:r w:rsidRPr="004F434B">
        <w:rPr>
          <w:sz w:val="22"/>
          <w:szCs w:val="22"/>
          <w:lang w:val="sr-Latn-ME"/>
        </w:rPr>
        <w:t xml:space="preserve">Prolazak kroz placentu je istraživan kod pacova, </w:t>
      </w:r>
      <w:r w:rsidR="00B267CC">
        <w:rPr>
          <w:sz w:val="22"/>
          <w:szCs w:val="22"/>
          <w:lang w:val="sr-Latn-ME"/>
        </w:rPr>
        <w:t>i otkriveno je da se povećava sa napredovanjem gestacije</w:t>
      </w:r>
      <w:r w:rsidRPr="008F3A6B">
        <w:rPr>
          <w:sz w:val="22"/>
          <w:szCs w:val="22"/>
          <w:lang w:val="sr-Latn-ME"/>
        </w:rPr>
        <w:t>. Posljedica toga je povećanje koncentracije pantoprazola kod fetusa neposredno prije rođenja.</w:t>
      </w:r>
    </w:p>
    <w:p w14:paraId="17CD62E3" w14:textId="77777777" w:rsidR="00396DFD" w:rsidRPr="006C101E" w:rsidRDefault="00396DFD" w:rsidP="00480FB1">
      <w:pPr>
        <w:tabs>
          <w:tab w:val="left" w:pos="540"/>
          <w:tab w:val="left" w:pos="569"/>
        </w:tabs>
        <w:rPr>
          <w:b/>
          <w:bCs/>
          <w:sz w:val="22"/>
          <w:szCs w:val="22"/>
        </w:rPr>
      </w:pPr>
    </w:p>
    <w:p w14:paraId="6EAD87F5" w14:textId="77777777" w:rsidR="009D3B1F" w:rsidRPr="004F434B" w:rsidRDefault="009D3B1F" w:rsidP="00480FB1">
      <w:pPr>
        <w:tabs>
          <w:tab w:val="left" w:pos="540"/>
          <w:tab w:val="left" w:pos="569"/>
        </w:tabs>
        <w:rPr>
          <w:b/>
          <w:bCs/>
          <w:sz w:val="22"/>
          <w:szCs w:val="22"/>
        </w:rPr>
      </w:pPr>
    </w:p>
    <w:p w14:paraId="3D575649" w14:textId="77777777" w:rsidR="0072020E" w:rsidRPr="00B267CC" w:rsidRDefault="0072020E" w:rsidP="00480FB1">
      <w:pPr>
        <w:tabs>
          <w:tab w:val="left" w:pos="540"/>
          <w:tab w:val="left" w:pos="569"/>
        </w:tabs>
        <w:rPr>
          <w:b/>
          <w:bCs/>
          <w:sz w:val="22"/>
          <w:szCs w:val="22"/>
        </w:rPr>
      </w:pPr>
      <w:r w:rsidRPr="004F434B">
        <w:rPr>
          <w:b/>
          <w:bCs/>
          <w:sz w:val="22"/>
          <w:szCs w:val="22"/>
        </w:rPr>
        <w:t xml:space="preserve">6. </w:t>
      </w:r>
      <w:r w:rsidR="00480FB1" w:rsidRPr="00B267CC">
        <w:rPr>
          <w:b/>
          <w:bCs/>
          <w:sz w:val="22"/>
          <w:szCs w:val="22"/>
        </w:rPr>
        <w:tab/>
      </w:r>
      <w:r w:rsidRPr="00B267CC">
        <w:rPr>
          <w:b/>
          <w:bCs/>
          <w:sz w:val="22"/>
          <w:szCs w:val="22"/>
        </w:rPr>
        <w:t>FARMACEUTSKI PODACI</w:t>
      </w:r>
    </w:p>
    <w:p w14:paraId="5A9614B8" w14:textId="77777777" w:rsidR="00836B35" w:rsidRPr="00B267CC" w:rsidRDefault="00836B35" w:rsidP="00480FB1">
      <w:pPr>
        <w:tabs>
          <w:tab w:val="left" w:pos="540"/>
          <w:tab w:val="left" w:pos="569"/>
        </w:tabs>
        <w:rPr>
          <w:bCs/>
          <w:sz w:val="22"/>
          <w:szCs w:val="22"/>
        </w:rPr>
      </w:pPr>
    </w:p>
    <w:p w14:paraId="4AA5CDC1" w14:textId="77777777" w:rsidR="0072020E" w:rsidRPr="00B267CC" w:rsidRDefault="0072020E" w:rsidP="00480FB1">
      <w:pPr>
        <w:tabs>
          <w:tab w:val="left" w:pos="540"/>
          <w:tab w:val="left" w:pos="569"/>
        </w:tabs>
        <w:rPr>
          <w:b/>
          <w:bCs/>
          <w:sz w:val="22"/>
          <w:szCs w:val="22"/>
        </w:rPr>
      </w:pPr>
      <w:r w:rsidRPr="00B267CC">
        <w:rPr>
          <w:b/>
          <w:bCs/>
          <w:sz w:val="22"/>
          <w:szCs w:val="22"/>
        </w:rPr>
        <w:t xml:space="preserve">6.1. </w:t>
      </w:r>
      <w:r w:rsidR="00480FB1" w:rsidRPr="00B267CC">
        <w:rPr>
          <w:b/>
          <w:bCs/>
          <w:sz w:val="22"/>
          <w:szCs w:val="22"/>
        </w:rPr>
        <w:tab/>
      </w:r>
      <w:r w:rsidRPr="00B267CC">
        <w:rPr>
          <w:b/>
          <w:bCs/>
          <w:sz w:val="22"/>
          <w:szCs w:val="22"/>
        </w:rPr>
        <w:t>Lista pomoćnih supstanci</w:t>
      </w:r>
      <w:r w:rsidR="002E0135" w:rsidRPr="00B267CC">
        <w:rPr>
          <w:b/>
          <w:bCs/>
          <w:sz w:val="22"/>
          <w:szCs w:val="22"/>
        </w:rPr>
        <w:t xml:space="preserve"> (ekscipijenasa)</w:t>
      </w:r>
    </w:p>
    <w:p w14:paraId="550485BE" w14:textId="77777777" w:rsidR="00506F29" w:rsidRPr="00B267CC" w:rsidRDefault="00506F29" w:rsidP="009D3B1F">
      <w:pPr>
        <w:tabs>
          <w:tab w:val="left" w:pos="540"/>
          <w:tab w:val="left" w:pos="569"/>
        </w:tabs>
        <w:jc w:val="both"/>
        <w:rPr>
          <w:spacing w:val="-2"/>
          <w:sz w:val="22"/>
          <w:szCs w:val="22"/>
          <w:lang w:val="sr-Latn-RS"/>
        </w:rPr>
      </w:pPr>
    </w:p>
    <w:p w14:paraId="46F8F2BE" w14:textId="02C9E550" w:rsidR="007A754D" w:rsidRPr="00B267CC" w:rsidRDefault="007A754D" w:rsidP="009D3B1F">
      <w:pPr>
        <w:tabs>
          <w:tab w:val="left" w:pos="540"/>
          <w:tab w:val="left" w:pos="569"/>
        </w:tabs>
        <w:jc w:val="both"/>
        <w:rPr>
          <w:spacing w:val="-2"/>
          <w:sz w:val="22"/>
          <w:szCs w:val="22"/>
          <w:lang w:val="sr-Latn-RS"/>
        </w:rPr>
      </w:pPr>
      <w:r w:rsidRPr="00B267CC">
        <w:rPr>
          <w:spacing w:val="-2"/>
          <w:sz w:val="22"/>
          <w:szCs w:val="22"/>
          <w:lang w:val="sr-Latn-RS"/>
        </w:rPr>
        <w:t>Dinatrijum</w:t>
      </w:r>
      <w:r w:rsidR="00506F29" w:rsidRPr="00B267CC">
        <w:rPr>
          <w:spacing w:val="-2"/>
          <w:sz w:val="22"/>
          <w:szCs w:val="22"/>
          <w:lang w:val="sr-Latn-RS"/>
        </w:rPr>
        <w:t xml:space="preserve"> </w:t>
      </w:r>
      <w:r w:rsidRPr="00B267CC">
        <w:rPr>
          <w:spacing w:val="-2"/>
          <w:sz w:val="22"/>
          <w:szCs w:val="22"/>
          <w:lang w:val="sr-Latn-RS"/>
        </w:rPr>
        <w:t xml:space="preserve">edetat; </w:t>
      </w:r>
    </w:p>
    <w:p w14:paraId="109B4E3C" w14:textId="166EE80F" w:rsidR="009D3B1F" w:rsidRPr="00B267CC" w:rsidRDefault="007A754D" w:rsidP="009D3B1F">
      <w:pPr>
        <w:tabs>
          <w:tab w:val="left" w:pos="540"/>
          <w:tab w:val="left" w:pos="569"/>
        </w:tabs>
        <w:jc w:val="both"/>
        <w:rPr>
          <w:bCs/>
          <w:sz w:val="22"/>
          <w:szCs w:val="22"/>
          <w:lang w:val="sr-Latn-ME"/>
        </w:rPr>
      </w:pPr>
      <w:r w:rsidRPr="00B267CC">
        <w:rPr>
          <w:spacing w:val="-2"/>
          <w:sz w:val="22"/>
          <w:szCs w:val="22"/>
          <w:lang w:val="sr-Latn-RS"/>
        </w:rPr>
        <w:t>Natrijum</w:t>
      </w:r>
      <w:r w:rsidR="00506F29" w:rsidRPr="00B267CC">
        <w:rPr>
          <w:spacing w:val="-2"/>
          <w:sz w:val="22"/>
          <w:szCs w:val="22"/>
          <w:lang w:val="sr-Latn-RS"/>
        </w:rPr>
        <w:t xml:space="preserve"> </w:t>
      </w:r>
      <w:r w:rsidRPr="00B267CC">
        <w:rPr>
          <w:spacing w:val="-2"/>
          <w:sz w:val="22"/>
          <w:szCs w:val="22"/>
          <w:lang w:val="sr-Latn-RS"/>
        </w:rPr>
        <w:t>hidroksid</w:t>
      </w:r>
      <w:r w:rsidRPr="00B267CC" w:rsidDel="007A754D">
        <w:rPr>
          <w:noProof/>
          <w:sz w:val="22"/>
          <w:szCs w:val="22"/>
          <w:lang w:val="sr-Latn-ME"/>
        </w:rPr>
        <w:t xml:space="preserve"> </w:t>
      </w:r>
    </w:p>
    <w:p w14:paraId="55D34911" w14:textId="77777777" w:rsidR="0072020E" w:rsidRPr="00B267CC" w:rsidRDefault="0072020E" w:rsidP="00480FB1">
      <w:pPr>
        <w:tabs>
          <w:tab w:val="left" w:pos="540"/>
          <w:tab w:val="left" w:pos="569"/>
        </w:tabs>
        <w:rPr>
          <w:bCs/>
          <w:sz w:val="22"/>
          <w:szCs w:val="22"/>
        </w:rPr>
      </w:pPr>
    </w:p>
    <w:p w14:paraId="25A6F6DB" w14:textId="77777777" w:rsidR="0072020E" w:rsidRPr="00B267CC" w:rsidRDefault="0072020E" w:rsidP="00480FB1">
      <w:pPr>
        <w:tabs>
          <w:tab w:val="left" w:pos="540"/>
          <w:tab w:val="left" w:pos="569"/>
        </w:tabs>
        <w:rPr>
          <w:b/>
          <w:bCs/>
          <w:sz w:val="22"/>
          <w:szCs w:val="22"/>
        </w:rPr>
      </w:pPr>
      <w:r w:rsidRPr="00B267CC">
        <w:rPr>
          <w:b/>
          <w:bCs/>
          <w:sz w:val="22"/>
          <w:szCs w:val="22"/>
        </w:rPr>
        <w:t xml:space="preserve">6.2. </w:t>
      </w:r>
      <w:r w:rsidR="00480FB1" w:rsidRPr="00B267CC">
        <w:rPr>
          <w:b/>
          <w:bCs/>
          <w:sz w:val="22"/>
          <w:szCs w:val="22"/>
        </w:rPr>
        <w:tab/>
      </w:r>
      <w:r w:rsidRPr="00B267CC">
        <w:rPr>
          <w:b/>
          <w:bCs/>
          <w:sz w:val="22"/>
          <w:szCs w:val="22"/>
        </w:rPr>
        <w:t>Inkompatibilnost</w:t>
      </w:r>
      <w:r w:rsidR="002846DB" w:rsidRPr="00B267CC">
        <w:rPr>
          <w:b/>
          <w:bCs/>
          <w:sz w:val="22"/>
          <w:szCs w:val="22"/>
        </w:rPr>
        <w:t>i</w:t>
      </w:r>
    </w:p>
    <w:p w14:paraId="47C1BE92" w14:textId="77777777" w:rsidR="00506F29" w:rsidRPr="00B267CC" w:rsidRDefault="00506F29" w:rsidP="009D3B1F">
      <w:pPr>
        <w:pStyle w:val="Header"/>
        <w:tabs>
          <w:tab w:val="left" w:pos="284"/>
        </w:tabs>
        <w:jc w:val="both"/>
        <w:rPr>
          <w:sz w:val="22"/>
          <w:szCs w:val="22"/>
          <w:lang w:val="sr-Latn-ME"/>
        </w:rPr>
      </w:pPr>
    </w:p>
    <w:p w14:paraId="48D2644A" w14:textId="414A97B7" w:rsidR="009D3B1F" w:rsidRPr="006C101E" w:rsidRDefault="009D3B1F" w:rsidP="009D3B1F">
      <w:pPr>
        <w:pStyle w:val="Header"/>
        <w:tabs>
          <w:tab w:val="left" w:pos="284"/>
        </w:tabs>
        <w:jc w:val="both"/>
        <w:rPr>
          <w:sz w:val="22"/>
          <w:szCs w:val="22"/>
          <w:lang w:val="sr-Latn-ME"/>
        </w:rPr>
      </w:pPr>
      <w:r w:rsidRPr="00B267CC">
        <w:rPr>
          <w:sz w:val="22"/>
          <w:szCs w:val="22"/>
          <w:lang w:val="sr-Latn-ME"/>
        </w:rPr>
        <w:t>Lijek Controloc</w:t>
      </w:r>
      <w:r w:rsidRPr="008F3A6B">
        <w:rPr>
          <w:sz w:val="22"/>
          <w:szCs w:val="22"/>
          <w:lang w:val="sr-Latn-ME"/>
        </w:rPr>
        <w:t xml:space="preserve"> i.v. </w:t>
      </w:r>
      <w:r w:rsidR="00506F29" w:rsidRPr="008F3A6B">
        <w:rPr>
          <w:sz w:val="22"/>
          <w:szCs w:val="22"/>
          <w:lang w:val="sr-Latn-ME"/>
        </w:rPr>
        <w:t xml:space="preserve">se </w:t>
      </w:r>
      <w:r w:rsidRPr="008F3A6B">
        <w:rPr>
          <w:sz w:val="22"/>
          <w:szCs w:val="22"/>
          <w:lang w:val="sr-Latn-ME"/>
        </w:rPr>
        <w:t xml:space="preserve">ne smije miješati ni sa jednim drugim rastvaračem osim navedenih u </w:t>
      </w:r>
      <w:r w:rsidR="007A754D" w:rsidRPr="008F3A6B">
        <w:rPr>
          <w:sz w:val="22"/>
          <w:szCs w:val="22"/>
          <w:lang w:val="sr-Latn-ME"/>
        </w:rPr>
        <w:t xml:space="preserve">dijelu </w:t>
      </w:r>
      <w:r w:rsidRPr="006C101E">
        <w:rPr>
          <w:sz w:val="22"/>
          <w:szCs w:val="22"/>
          <w:lang w:val="sr-Latn-ME"/>
        </w:rPr>
        <w:t>6.6.</w:t>
      </w:r>
    </w:p>
    <w:p w14:paraId="1158F5B2" w14:textId="77777777" w:rsidR="0072020E" w:rsidRPr="004F434B" w:rsidRDefault="0072020E" w:rsidP="00480FB1">
      <w:pPr>
        <w:tabs>
          <w:tab w:val="left" w:pos="540"/>
          <w:tab w:val="left" w:pos="569"/>
        </w:tabs>
        <w:rPr>
          <w:bCs/>
          <w:sz w:val="22"/>
          <w:szCs w:val="22"/>
        </w:rPr>
      </w:pPr>
    </w:p>
    <w:p w14:paraId="1CD661BE" w14:textId="77777777" w:rsidR="0072020E" w:rsidRPr="00B267CC" w:rsidRDefault="0072020E" w:rsidP="00480FB1">
      <w:pPr>
        <w:tabs>
          <w:tab w:val="left" w:pos="540"/>
          <w:tab w:val="left" w:pos="569"/>
        </w:tabs>
        <w:rPr>
          <w:b/>
          <w:bCs/>
          <w:sz w:val="22"/>
          <w:szCs w:val="22"/>
        </w:rPr>
      </w:pPr>
      <w:r w:rsidRPr="004F434B">
        <w:rPr>
          <w:b/>
          <w:bCs/>
          <w:sz w:val="22"/>
          <w:szCs w:val="22"/>
        </w:rPr>
        <w:t>6.3.</w:t>
      </w:r>
      <w:r w:rsidR="00C05DF8" w:rsidRPr="004F434B">
        <w:rPr>
          <w:b/>
          <w:bCs/>
          <w:sz w:val="22"/>
          <w:szCs w:val="22"/>
        </w:rPr>
        <w:t xml:space="preserve"> </w:t>
      </w:r>
      <w:r w:rsidR="00480FB1" w:rsidRPr="00B267CC">
        <w:rPr>
          <w:b/>
          <w:bCs/>
          <w:sz w:val="22"/>
          <w:szCs w:val="22"/>
        </w:rPr>
        <w:tab/>
      </w:r>
      <w:r w:rsidRPr="00B267CC">
        <w:rPr>
          <w:b/>
          <w:bCs/>
          <w:sz w:val="22"/>
          <w:szCs w:val="22"/>
        </w:rPr>
        <w:t>Rok upotrebe</w:t>
      </w:r>
    </w:p>
    <w:p w14:paraId="39A9A9C8" w14:textId="77777777" w:rsidR="00506F29" w:rsidRPr="00B267CC" w:rsidRDefault="00506F29" w:rsidP="009D3B1F">
      <w:pPr>
        <w:jc w:val="both"/>
        <w:rPr>
          <w:sz w:val="22"/>
          <w:szCs w:val="22"/>
          <w:lang w:val="sr-Latn-ME"/>
        </w:rPr>
      </w:pPr>
    </w:p>
    <w:p w14:paraId="399F96B4" w14:textId="0D0FFEAB" w:rsidR="009D3B1F" w:rsidRPr="00B267CC" w:rsidRDefault="007A754D" w:rsidP="009D3B1F">
      <w:pPr>
        <w:jc w:val="both"/>
        <w:rPr>
          <w:sz w:val="22"/>
          <w:szCs w:val="22"/>
          <w:lang w:val="sr-Latn-ME"/>
        </w:rPr>
      </w:pPr>
      <w:r w:rsidRPr="00B267CC">
        <w:rPr>
          <w:sz w:val="22"/>
          <w:szCs w:val="22"/>
          <w:lang w:val="sr-Latn-ME"/>
        </w:rPr>
        <w:t>Rok upotrebe n</w:t>
      </w:r>
      <w:r w:rsidR="009D3B1F" w:rsidRPr="00B267CC">
        <w:rPr>
          <w:sz w:val="22"/>
          <w:szCs w:val="22"/>
          <w:lang w:val="sr-Latn-ME"/>
        </w:rPr>
        <w:t>eotvoren</w:t>
      </w:r>
      <w:r w:rsidRPr="00B267CC">
        <w:rPr>
          <w:sz w:val="22"/>
          <w:szCs w:val="22"/>
          <w:lang w:val="sr-Latn-ME"/>
        </w:rPr>
        <w:t>e</w:t>
      </w:r>
      <w:r w:rsidR="009D3B1F" w:rsidRPr="00B267CC">
        <w:rPr>
          <w:sz w:val="22"/>
          <w:szCs w:val="22"/>
          <w:lang w:val="sr-Latn-ME"/>
        </w:rPr>
        <w:t xml:space="preserve"> bočic</w:t>
      </w:r>
      <w:r w:rsidRPr="00B267CC">
        <w:rPr>
          <w:sz w:val="22"/>
          <w:szCs w:val="22"/>
          <w:lang w:val="sr-Latn-ME"/>
        </w:rPr>
        <w:t>e</w:t>
      </w:r>
      <w:r w:rsidR="009D3B1F" w:rsidRPr="00B267CC">
        <w:rPr>
          <w:sz w:val="22"/>
          <w:szCs w:val="22"/>
          <w:lang w:val="sr-Latn-ME"/>
        </w:rPr>
        <w:t>: 2 godine.</w:t>
      </w:r>
    </w:p>
    <w:p w14:paraId="7225621D" w14:textId="77777777" w:rsidR="00506F29" w:rsidRPr="00B267CC" w:rsidRDefault="00506F29" w:rsidP="009D3B1F">
      <w:pPr>
        <w:jc w:val="both"/>
        <w:rPr>
          <w:sz w:val="22"/>
          <w:szCs w:val="22"/>
          <w:lang w:val="sr-Latn-ME"/>
        </w:rPr>
      </w:pPr>
    </w:p>
    <w:p w14:paraId="5AE761BE" w14:textId="659A791E" w:rsidR="009D3B1F" w:rsidRPr="00B267CC" w:rsidRDefault="009D3B1F" w:rsidP="009D3B1F">
      <w:pPr>
        <w:jc w:val="both"/>
        <w:rPr>
          <w:sz w:val="22"/>
          <w:szCs w:val="22"/>
          <w:lang w:val="sr-Latn-ME"/>
        </w:rPr>
      </w:pPr>
      <w:r w:rsidRPr="00B267CC">
        <w:rPr>
          <w:sz w:val="22"/>
          <w:szCs w:val="22"/>
          <w:lang w:val="sr-Latn-ME"/>
        </w:rPr>
        <w:t xml:space="preserve">Rok upotrebe nakon </w:t>
      </w:r>
      <w:r w:rsidR="007A754D" w:rsidRPr="00B267CC">
        <w:rPr>
          <w:sz w:val="22"/>
          <w:szCs w:val="22"/>
          <w:lang w:val="sr-Latn-ME"/>
        </w:rPr>
        <w:t>rekonstitucije/razblaženja</w:t>
      </w:r>
      <w:r w:rsidRPr="00B267CC">
        <w:rPr>
          <w:sz w:val="22"/>
          <w:szCs w:val="22"/>
          <w:lang w:val="sr-Latn-ME"/>
        </w:rPr>
        <w:t>:</w:t>
      </w:r>
    </w:p>
    <w:p w14:paraId="799DA909" w14:textId="65AB2D3B" w:rsidR="009D3B1F" w:rsidRPr="00B267CC" w:rsidRDefault="007A754D" w:rsidP="009D3B1F">
      <w:pPr>
        <w:jc w:val="both"/>
        <w:rPr>
          <w:sz w:val="22"/>
          <w:szCs w:val="22"/>
          <w:lang w:val="sr-Latn-ME"/>
        </w:rPr>
      </w:pPr>
      <w:r w:rsidRPr="00B267CC">
        <w:rPr>
          <w:sz w:val="22"/>
          <w:szCs w:val="22"/>
          <w:lang w:val="sr-Latn-ME"/>
        </w:rPr>
        <w:t>Dokazano je da je rekonstituisan ili rekonstituisan i razblažen lijek fizički i hemijski stabilan u toku 12 sati ako se čuva na temperaturi do 25°C poslije pripreme, i u tom periodu se mora upotrijebiti.</w:t>
      </w:r>
    </w:p>
    <w:p w14:paraId="306AB781" w14:textId="77777777" w:rsidR="009D3B1F" w:rsidRPr="00B267CC" w:rsidRDefault="009D3B1F" w:rsidP="009D3B1F">
      <w:pPr>
        <w:jc w:val="both"/>
        <w:rPr>
          <w:sz w:val="22"/>
          <w:szCs w:val="22"/>
          <w:lang w:val="sr-Latn-ME"/>
        </w:rPr>
      </w:pPr>
    </w:p>
    <w:p w14:paraId="090EA5CF" w14:textId="77777777" w:rsidR="009D3B1F" w:rsidRPr="00B267CC" w:rsidRDefault="009D3B1F" w:rsidP="009D3B1F">
      <w:pPr>
        <w:jc w:val="both"/>
        <w:rPr>
          <w:sz w:val="22"/>
          <w:szCs w:val="22"/>
          <w:lang w:val="sr-Latn-ME"/>
        </w:rPr>
      </w:pPr>
      <w:r w:rsidRPr="00B267CC">
        <w:rPr>
          <w:sz w:val="22"/>
          <w:szCs w:val="22"/>
          <w:lang w:val="sr-Latn-ME"/>
        </w:rPr>
        <w:lastRenderedPageBreak/>
        <w:t xml:space="preserve">Sa mikrobiološke tačke gledišta, pripremljeni rastvor treba odmah upotrijebiti. </w:t>
      </w:r>
    </w:p>
    <w:p w14:paraId="00A02CE4" w14:textId="77777777" w:rsidR="009D3B1F" w:rsidRPr="00B267CC" w:rsidRDefault="009D3B1F" w:rsidP="009D3B1F">
      <w:pPr>
        <w:jc w:val="both"/>
        <w:rPr>
          <w:sz w:val="22"/>
          <w:szCs w:val="22"/>
          <w:lang w:val="sr-Latn-ME"/>
        </w:rPr>
      </w:pPr>
      <w:r w:rsidRPr="00B267CC">
        <w:rPr>
          <w:sz w:val="22"/>
          <w:szCs w:val="22"/>
          <w:lang w:val="sr-Latn-ME"/>
        </w:rPr>
        <w:t>Ukoliko se pripremljeni rastvor ne upotrijebi odmah, za vrijeme i uslove čuvanja odgovoran je korisnik.</w:t>
      </w:r>
    </w:p>
    <w:p w14:paraId="677072B7" w14:textId="77777777" w:rsidR="0072020E" w:rsidRPr="00B267CC" w:rsidRDefault="0072020E" w:rsidP="00480FB1">
      <w:pPr>
        <w:tabs>
          <w:tab w:val="left" w:pos="540"/>
          <w:tab w:val="left" w:pos="569"/>
        </w:tabs>
        <w:rPr>
          <w:bCs/>
          <w:sz w:val="22"/>
          <w:szCs w:val="22"/>
        </w:rPr>
      </w:pPr>
    </w:p>
    <w:p w14:paraId="5FEDB543" w14:textId="77777777" w:rsidR="0072020E" w:rsidRPr="00B267CC" w:rsidRDefault="0072020E" w:rsidP="00480FB1">
      <w:pPr>
        <w:tabs>
          <w:tab w:val="left" w:pos="540"/>
          <w:tab w:val="left" w:pos="569"/>
        </w:tabs>
        <w:rPr>
          <w:b/>
          <w:bCs/>
          <w:sz w:val="22"/>
          <w:szCs w:val="22"/>
        </w:rPr>
      </w:pPr>
      <w:r w:rsidRPr="00B267CC">
        <w:rPr>
          <w:b/>
          <w:bCs/>
          <w:sz w:val="22"/>
          <w:szCs w:val="22"/>
        </w:rPr>
        <w:t xml:space="preserve">6.4. </w:t>
      </w:r>
      <w:r w:rsidR="00480FB1" w:rsidRPr="00B267CC">
        <w:rPr>
          <w:b/>
          <w:bCs/>
          <w:sz w:val="22"/>
          <w:szCs w:val="22"/>
        </w:rPr>
        <w:tab/>
      </w:r>
      <w:r w:rsidRPr="00B267CC">
        <w:rPr>
          <w:b/>
          <w:bCs/>
          <w:sz w:val="22"/>
          <w:szCs w:val="22"/>
        </w:rPr>
        <w:t>Posebne mjere upozorenja pri čuvanju</w:t>
      </w:r>
      <w:r w:rsidR="00F8570A" w:rsidRPr="00B267CC">
        <w:rPr>
          <w:b/>
          <w:bCs/>
          <w:sz w:val="22"/>
          <w:szCs w:val="22"/>
        </w:rPr>
        <w:t xml:space="preserve"> lijeka</w:t>
      </w:r>
    </w:p>
    <w:p w14:paraId="764510DE" w14:textId="77777777" w:rsidR="00506F29" w:rsidRPr="00B267CC" w:rsidRDefault="00506F29" w:rsidP="009D3B1F">
      <w:pPr>
        <w:jc w:val="both"/>
        <w:rPr>
          <w:sz w:val="22"/>
          <w:szCs w:val="22"/>
          <w:lang w:val="sr-Latn-ME"/>
        </w:rPr>
      </w:pPr>
    </w:p>
    <w:p w14:paraId="0E5B661B" w14:textId="34492CB6" w:rsidR="007A754D" w:rsidRPr="00B267CC" w:rsidRDefault="007A754D" w:rsidP="009D3B1F">
      <w:pPr>
        <w:jc w:val="both"/>
        <w:rPr>
          <w:sz w:val="22"/>
          <w:szCs w:val="22"/>
          <w:lang w:val="sr-Latn-ME"/>
        </w:rPr>
      </w:pPr>
      <w:r w:rsidRPr="00B267CC">
        <w:rPr>
          <w:sz w:val="22"/>
          <w:szCs w:val="22"/>
          <w:lang w:val="sr-Latn-ME"/>
        </w:rPr>
        <w:t>Uslovi čuvanja neotvorenog lijeka:</w:t>
      </w:r>
    </w:p>
    <w:p w14:paraId="0F6A7F09" w14:textId="6832BC47" w:rsidR="009D3B1F" w:rsidRPr="00B267CC" w:rsidRDefault="009D3B1F" w:rsidP="009D3B1F">
      <w:pPr>
        <w:jc w:val="both"/>
        <w:rPr>
          <w:sz w:val="22"/>
          <w:szCs w:val="22"/>
          <w:lang w:val="sr-Latn-ME"/>
        </w:rPr>
      </w:pPr>
      <w:r w:rsidRPr="00B267CC">
        <w:rPr>
          <w:sz w:val="22"/>
          <w:szCs w:val="22"/>
          <w:lang w:val="sr-Latn-ME"/>
        </w:rPr>
        <w:t xml:space="preserve">Čuvati na temparaturi do 25ºC u originalnom pakovanju radi zaštite od svjetlosti. </w:t>
      </w:r>
    </w:p>
    <w:p w14:paraId="039826D5" w14:textId="54007F34" w:rsidR="009D3B1F" w:rsidRPr="00B267CC" w:rsidRDefault="009D3B1F" w:rsidP="009D3B1F">
      <w:pPr>
        <w:jc w:val="both"/>
        <w:rPr>
          <w:bCs/>
          <w:sz w:val="22"/>
          <w:szCs w:val="22"/>
          <w:lang w:val="sr-Latn-ME"/>
        </w:rPr>
      </w:pPr>
      <w:r w:rsidRPr="00B267CC">
        <w:rPr>
          <w:sz w:val="22"/>
          <w:szCs w:val="22"/>
          <w:lang w:val="sr-Latn-ME"/>
        </w:rPr>
        <w:t xml:space="preserve">Za uslove čuvanja </w:t>
      </w:r>
      <w:r w:rsidR="007A754D" w:rsidRPr="00B267CC">
        <w:rPr>
          <w:sz w:val="22"/>
          <w:szCs w:val="22"/>
          <w:lang w:val="sr-Latn-ME"/>
        </w:rPr>
        <w:t>nakon rekonstitucije/razblaženja lijeka</w:t>
      </w:r>
      <w:r w:rsidR="007A754D" w:rsidRPr="00B267CC" w:rsidDel="007A754D">
        <w:rPr>
          <w:sz w:val="22"/>
          <w:szCs w:val="22"/>
          <w:lang w:val="sr-Latn-ME"/>
        </w:rPr>
        <w:t xml:space="preserve"> </w:t>
      </w:r>
      <w:r w:rsidRPr="00B267CC">
        <w:rPr>
          <w:sz w:val="22"/>
          <w:szCs w:val="22"/>
          <w:lang w:val="sr-Latn-ME"/>
        </w:rPr>
        <w:t>vidjeti dio 6.3.</w:t>
      </w:r>
    </w:p>
    <w:p w14:paraId="3D4FC2ED" w14:textId="77777777" w:rsidR="00EC2532" w:rsidRPr="00B267CC" w:rsidRDefault="00EC2532" w:rsidP="00480FB1">
      <w:pPr>
        <w:tabs>
          <w:tab w:val="left" w:pos="540"/>
          <w:tab w:val="left" w:pos="569"/>
        </w:tabs>
        <w:rPr>
          <w:bCs/>
          <w:sz w:val="22"/>
          <w:szCs w:val="22"/>
        </w:rPr>
      </w:pPr>
    </w:p>
    <w:p w14:paraId="37F5D40B" w14:textId="77777777" w:rsidR="0072020E" w:rsidRPr="00B267CC" w:rsidRDefault="0072020E" w:rsidP="00480FB1">
      <w:pPr>
        <w:tabs>
          <w:tab w:val="left" w:pos="540"/>
          <w:tab w:val="left" w:pos="569"/>
        </w:tabs>
        <w:rPr>
          <w:b/>
          <w:bCs/>
          <w:sz w:val="22"/>
          <w:szCs w:val="22"/>
        </w:rPr>
      </w:pPr>
      <w:r w:rsidRPr="00B267CC">
        <w:rPr>
          <w:b/>
          <w:bCs/>
          <w:sz w:val="22"/>
          <w:szCs w:val="22"/>
        </w:rPr>
        <w:t xml:space="preserve">6.5. </w:t>
      </w:r>
      <w:r w:rsidR="00480FB1" w:rsidRPr="00B267CC">
        <w:rPr>
          <w:b/>
          <w:bCs/>
          <w:sz w:val="22"/>
          <w:szCs w:val="22"/>
        </w:rPr>
        <w:tab/>
      </w:r>
      <w:r w:rsidR="002846DB" w:rsidRPr="00B267CC">
        <w:rPr>
          <w:b/>
          <w:bCs/>
          <w:sz w:val="22"/>
          <w:szCs w:val="22"/>
        </w:rPr>
        <w:t xml:space="preserve">Vrsta i sadržaj </w:t>
      </w:r>
      <w:r w:rsidR="00F8570A" w:rsidRPr="00B267CC">
        <w:rPr>
          <w:b/>
          <w:bCs/>
          <w:sz w:val="22"/>
          <w:szCs w:val="22"/>
        </w:rPr>
        <w:t>pakovanja</w:t>
      </w:r>
      <w:r w:rsidR="00C06864" w:rsidRPr="00B267CC">
        <w:rPr>
          <w:b/>
          <w:bCs/>
          <w:sz w:val="22"/>
          <w:szCs w:val="22"/>
        </w:rPr>
        <w:t xml:space="preserve"> </w:t>
      </w:r>
    </w:p>
    <w:p w14:paraId="52497CAC" w14:textId="77777777" w:rsidR="00506F29" w:rsidRPr="00B267CC" w:rsidRDefault="00506F29" w:rsidP="007A754D">
      <w:pPr>
        <w:pStyle w:val="Header"/>
        <w:jc w:val="both"/>
        <w:rPr>
          <w:sz w:val="22"/>
          <w:szCs w:val="22"/>
          <w:lang w:val="sr-Latn-ME"/>
        </w:rPr>
      </w:pPr>
    </w:p>
    <w:p w14:paraId="2F972D5A" w14:textId="036EF213" w:rsidR="007A754D" w:rsidRPr="00B267CC" w:rsidRDefault="007A754D" w:rsidP="007A754D">
      <w:pPr>
        <w:pStyle w:val="Header"/>
        <w:jc w:val="both"/>
        <w:rPr>
          <w:sz w:val="22"/>
          <w:szCs w:val="22"/>
          <w:lang w:val="sr-Latn-ME"/>
        </w:rPr>
      </w:pPr>
      <w:r w:rsidRPr="00B267CC">
        <w:rPr>
          <w:sz w:val="22"/>
          <w:szCs w:val="22"/>
          <w:lang w:val="sr-Latn-ME"/>
        </w:rPr>
        <w:t xml:space="preserve">Unutrašnje pakovanje lijeka je </w:t>
      </w:r>
      <w:r w:rsidR="009D3B1F" w:rsidRPr="00B267CC">
        <w:rPr>
          <w:sz w:val="22"/>
          <w:szCs w:val="22"/>
          <w:lang w:val="sr-Latn-ME"/>
        </w:rPr>
        <w:t xml:space="preserve">staklena bočica (tip I) </w:t>
      </w:r>
      <w:r w:rsidRPr="00B267CC">
        <w:rPr>
          <w:sz w:val="22"/>
          <w:szCs w:val="22"/>
          <w:lang w:val="sr-Latn-ME"/>
        </w:rPr>
        <w:t xml:space="preserve">sa sivim gumenim čepom, aluminijumskim zatvaračem i </w:t>
      </w:r>
      <w:r w:rsidRPr="00B267CC">
        <w:rPr>
          <w:i/>
          <w:iCs/>
          <w:sz w:val="22"/>
          <w:szCs w:val="22"/>
          <w:lang w:val="sr-Latn-ME"/>
        </w:rPr>
        <w:t>flip-off</w:t>
      </w:r>
      <w:r w:rsidRPr="00B267CC">
        <w:rPr>
          <w:sz w:val="22"/>
          <w:szCs w:val="22"/>
          <w:lang w:val="sr-Latn-ME"/>
        </w:rPr>
        <w:t xml:space="preserve"> poklopcem.</w:t>
      </w:r>
    </w:p>
    <w:p w14:paraId="0DEC32D9" w14:textId="6DEE7F6C" w:rsidR="009D3B1F" w:rsidRPr="00B267CC" w:rsidRDefault="007A754D" w:rsidP="009D3B1F">
      <w:pPr>
        <w:pStyle w:val="Header"/>
        <w:jc w:val="both"/>
        <w:rPr>
          <w:sz w:val="22"/>
          <w:szCs w:val="22"/>
          <w:lang w:val="sr-Latn-ME"/>
        </w:rPr>
      </w:pPr>
      <w:r w:rsidRPr="00B267CC">
        <w:rPr>
          <w:sz w:val="22"/>
          <w:szCs w:val="22"/>
          <w:lang w:val="sr-Latn-ME"/>
        </w:rPr>
        <w:t>Spoljašnje pakovanje lijeka je složiva kartonska kutija u kojoj se nalazi 1 staklena bočica i Uputstvo za lijek.</w:t>
      </w:r>
    </w:p>
    <w:p w14:paraId="6CD46A95" w14:textId="77777777" w:rsidR="0072020E" w:rsidRPr="00B267CC" w:rsidRDefault="0072020E" w:rsidP="00480FB1">
      <w:pPr>
        <w:tabs>
          <w:tab w:val="left" w:pos="540"/>
          <w:tab w:val="left" w:pos="569"/>
        </w:tabs>
        <w:rPr>
          <w:bCs/>
          <w:sz w:val="22"/>
          <w:szCs w:val="22"/>
        </w:rPr>
      </w:pPr>
    </w:p>
    <w:p w14:paraId="2C09C600" w14:textId="77777777" w:rsidR="002846DB" w:rsidRPr="00B267CC" w:rsidRDefault="0072020E" w:rsidP="00480FB1">
      <w:pPr>
        <w:tabs>
          <w:tab w:val="left" w:pos="540"/>
          <w:tab w:val="left" w:pos="569"/>
        </w:tabs>
        <w:rPr>
          <w:b/>
          <w:bCs/>
          <w:sz w:val="22"/>
          <w:szCs w:val="22"/>
        </w:rPr>
      </w:pPr>
      <w:r w:rsidRPr="00B267CC">
        <w:rPr>
          <w:b/>
          <w:bCs/>
          <w:sz w:val="22"/>
          <w:szCs w:val="22"/>
        </w:rPr>
        <w:t xml:space="preserve">6.6. </w:t>
      </w:r>
      <w:r w:rsidR="00480FB1" w:rsidRPr="00B267CC">
        <w:rPr>
          <w:b/>
          <w:bCs/>
          <w:sz w:val="22"/>
          <w:szCs w:val="22"/>
        </w:rPr>
        <w:tab/>
      </w:r>
      <w:r w:rsidRPr="00B267CC">
        <w:rPr>
          <w:b/>
          <w:bCs/>
          <w:color w:val="000000"/>
          <w:sz w:val="22"/>
          <w:szCs w:val="22"/>
        </w:rPr>
        <w:t>Posebne mjere opreza pri odlaganju materijala koji treba odbaciti nakon primjene lijeka</w:t>
      </w:r>
      <w:r w:rsidRPr="00B267CC">
        <w:rPr>
          <w:b/>
          <w:bCs/>
          <w:sz w:val="22"/>
          <w:szCs w:val="22"/>
        </w:rPr>
        <w:t xml:space="preserve"> </w:t>
      </w:r>
      <w:r w:rsidR="00310F03" w:rsidRPr="00B267CC">
        <w:rPr>
          <w:b/>
          <w:bCs/>
          <w:sz w:val="22"/>
          <w:szCs w:val="22"/>
        </w:rPr>
        <w:t>(i druga uputs</w:t>
      </w:r>
      <w:r w:rsidR="004109FA" w:rsidRPr="00B267CC">
        <w:rPr>
          <w:b/>
          <w:bCs/>
          <w:sz w:val="22"/>
          <w:szCs w:val="22"/>
        </w:rPr>
        <w:t>t</w:t>
      </w:r>
      <w:r w:rsidR="00310F03" w:rsidRPr="00B267CC">
        <w:rPr>
          <w:b/>
          <w:bCs/>
          <w:sz w:val="22"/>
          <w:szCs w:val="22"/>
        </w:rPr>
        <w:t xml:space="preserve">va za rukovanje lijekom) </w:t>
      </w:r>
    </w:p>
    <w:p w14:paraId="0DFDA8D2" w14:textId="77777777" w:rsidR="00B66A70" w:rsidRPr="00B267CC" w:rsidRDefault="00B66A70" w:rsidP="00646791">
      <w:pPr>
        <w:tabs>
          <w:tab w:val="left" w:pos="540"/>
          <w:tab w:val="left" w:pos="569"/>
        </w:tabs>
        <w:jc w:val="both"/>
        <w:rPr>
          <w:b/>
          <w:bCs/>
          <w:sz w:val="22"/>
          <w:szCs w:val="22"/>
        </w:rPr>
      </w:pPr>
    </w:p>
    <w:p w14:paraId="4CC92D11" w14:textId="72F323E5" w:rsidR="009D3B1F" w:rsidRPr="00B267CC" w:rsidRDefault="009D3B1F" w:rsidP="007A754D">
      <w:pPr>
        <w:pStyle w:val="Header"/>
        <w:jc w:val="both"/>
        <w:rPr>
          <w:bCs/>
          <w:sz w:val="22"/>
          <w:szCs w:val="22"/>
          <w:lang w:val="sr-Latn-ME"/>
        </w:rPr>
      </w:pPr>
      <w:r w:rsidRPr="00B267CC">
        <w:rPr>
          <w:sz w:val="22"/>
          <w:szCs w:val="22"/>
          <w:lang w:val="sr-Latn-ME"/>
        </w:rPr>
        <w:t xml:space="preserve">Rastvor spreman za upotrebu priprema se ubrizgavanjem 10 ml fiziološkog rastvora </w:t>
      </w:r>
      <w:r w:rsidRPr="00B267CC">
        <w:rPr>
          <w:bCs/>
          <w:sz w:val="22"/>
          <w:szCs w:val="22"/>
          <w:lang w:val="sr-Latn-ME"/>
        </w:rPr>
        <w:t>(</w:t>
      </w:r>
      <w:r w:rsidR="007A754D" w:rsidRPr="00B267CC">
        <w:rPr>
          <w:bCs/>
          <w:sz w:val="22"/>
          <w:szCs w:val="22"/>
          <w:lang w:val="sr-Latn-ME"/>
        </w:rPr>
        <w:t>0,9%</w:t>
      </w:r>
      <w:r w:rsidR="00042113" w:rsidRPr="00B267CC">
        <w:rPr>
          <w:bCs/>
          <w:sz w:val="22"/>
          <w:szCs w:val="22"/>
          <w:lang w:val="sr-Latn-ME"/>
        </w:rPr>
        <w:t xml:space="preserve"> (</w:t>
      </w:r>
      <w:r w:rsidRPr="00B267CC">
        <w:rPr>
          <w:bCs/>
          <w:sz w:val="22"/>
          <w:szCs w:val="22"/>
          <w:lang w:val="sr-Latn-ME"/>
        </w:rPr>
        <w:t>9 mg/ml</w:t>
      </w:r>
      <w:r w:rsidR="00042113" w:rsidRPr="00B267CC">
        <w:rPr>
          <w:bCs/>
          <w:sz w:val="22"/>
          <w:szCs w:val="22"/>
          <w:lang w:val="sr-Latn-ME"/>
        </w:rPr>
        <w:t>)</w:t>
      </w:r>
      <w:r w:rsidRPr="00B267CC">
        <w:rPr>
          <w:bCs/>
          <w:sz w:val="22"/>
          <w:szCs w:val="22"/>
          <w:lang w:val="sr-Latn-ME"/>
        </w:rPr>
        <w:t xml:space="preserve"> natrijum hlorid</w:t>
      </w:r>
      <w:r w:rsidRPr="00B267CC">
        <w:rPr>
          <w:sz w:val="22"/>
          <w:szCs w:val="22"/>
          <w:lang w:val="sr-Latn-ME"/>
        </w:rPr>
        <w:t>a, rastvor za infuziju) u bočicu koja sadrži prašak. Nakon</w:t>
      </w:r>
      <w:r w:rsidRPr="00B267CC">
        <w:rPr>
          <w:bCs/>
          <w:sz w:val="22"/>
          <w:szCs w:val="22"/>
          <w:lang w:val="sr-Latn-ME"/>
        </w:rPr>
        <w:t xml:space="preserve"> rekonstitucije rastvor je bistar, žućkaste boje. </w:t>
      </w:r>
      <w:r w:rsidRPr="00B267CC">
        <w:rPr>
          <w:sz w:val="22"/>
          <w:szCs w:val="22"/>
          <w:lang w:val="sr-Latn-ME"/>
        </w:rPr>
        <w:t xml:space="preserve">Rastvor može da se daje direktno ili poslije miješanja sa 100 ml </w:t>
      </w:r>
      <w:r w:rsidRPr="00B267CC">
        <w:rPr>
          <w:bCs/>
          <w:sz w:val="22"/>
          <w:szCs w:val="22"/>
          <w:lang w:val="sr-Latn-ME"/>
        </w:rPr>
        <w:t xml:space="preserve">0,9% </w:t>
      </w:r>
      <w:r w:rsidRPr="00B267CC">
        <w:rPr>
          <w:sz w:val="22"/>
          <w:szCs w:val="22"/>
          <w:lang w:val="sr-Latn-ME"/>
        </w:rPr>
        <w:t>fiziološkog rastvora</w:t>
      </w:r>
      <w:r w:rsidRPr="00B267CC">
        <w:rPr>
          <w:bCs/>
          <w:sz w:val="22"/>
          <w:szCs w:val="22"/>
          <w:lang w:val="sr-Latn-ME"/>
        </w:rPr>
        <w:t xml:space="preserve"> (9 mg/ml natrijum hlorid</w:t>
      </w:r>
      <w:r w:rsidRPr="00B267CC">
        <w:rPr>
          <w:sz w:val="22"/>
          <w:szCs w:val="22"/>
          <w:lang w:val="sr-Latn-ME"/>
        </w:rPr>
        <w:t>, rastvor za infuziju</w:t>
      </w:r>
      <w:r w:rsidRPr="00B267CC">
        <w:rPr>
          <w:bCs/>
          <w:sz w:val="22"/>
          <w:szCs w:val="22"/>
          <w:lang w:val="sr-Latn-ME"/>
        </w:rPr>
        <w:t>) ili 5% rastvorom glukoze (55 mg/ml), rastvor za infuziju. Za razblaživanje koristiti stakleni ili plastični kontejner.</w:t>
      </w:r>
    </w:p>
    <w:p w14:paraId="5CD2CB00" w14:textId="77777777" w:rsidR="009D3B1F" w:rsidRPr="00B267CC" w:rsidRDefault="009D3B1F" w:rsidP="007A754D">
      <w:pPr>
        <w:pStyle w:val="Header"/>
        <w:jc w:val="both"/>
        <w:rPr>
          <w:bCs/>
          <w:sz w:val="22"/>
          <w:szCs w:val="22"/>
          <w:lang w:val="sr-Latn-ME"/>
        </w:rPr>
      </w:pPr>
    </w:p>
    <w:p w14:paraId="1DC2B96F" w14:textId="74B504DF" w:rsidR="009D3B1F" w:rsidRPr="00B267CC" w:rsidRDefault="009D3B1F" w:rsidP="007A754D">
      <w:pPr>
        <w:pStyle w:val="Header"/>
        <w:jc w:val="both"/>
        <w:rPr>
          <w:sz w:val="22"/>
          <w:szCs w:val="22"/>
          <w:lang w:val="sr-Latn-ME"/>
        </w:rPr>
      </w:pPr>
      <w:r w:rsidRPr="00B267CC">
        <w:rPr>
          <w:bCs/>
          <w:sz w:val="22"/>
          <w:szCs w:val="22"/>
          <w:lang w:val="sr-Latn-ME"/>
        </w:rPr>
        <w:t xml:space="preserve">Pokazano je da po rastvaranju ili </w:t>
      </w:r>
      <w:r w:rsidRPr="00B267CC">
        <w:rPr>
          <w:sz w:val="22"/>
          <w:szCs w:val="22"/>
          <w:lang w:val="sr-Latn-ME"/>
        </w:rPr>
        <w:t>rastvaranju i razblaživanju preparat ostaje 12 sati hemijski i fizički stabilan do upotrebe ako je čuvan na temperaturi do 25°C.</w:t>
      </w:r>
    </w:p>
    <w:p w14:paraId="5250A985" w14:textId="77777777" w:rsidR="009D3B1F" w:rsidRPr="00B267CC" w:rsidRDefault="009D3B1F" w:rsidP="007A754D">
      <w:pPr>
        <w:pStyle w:val="Header"/>
        <w:jc w:val="both"/>
        <w:rPr>
          <w:sz w:val="22"/>
          <w:szCs w:val="22"/>
          <w:lang w:val="sr-Latn-ME"/>
        </w:rPr>
      </w:pPr>
    </w:p>
    <w:p w14:paraId="7B84371E" w14:textId="5F88C271" w:rsidR="009D3B1F" w:rsidRPr="00B267CC" w:rsidRDefault="009D3B1F" w:rsidP="007A754D">
      <w:pPr>
        <w:pStyle w:val="Header"/>
        <w:jc w:val="both"/>
        <w:rPr>
          <w:sz w:val="22"/>
          <w:szCs w:val="22"/>
          <w:lang w:val="sr-Latn-ME"/>
        </w:rPr>
      </w:pPr>
      <w:r w:rsidRPr="00B267CC">
        <w:rPr>
          <w:sz w:val="22"/>
          <w:szCs w:val="22"/>
          <w:lang w:val="sr-Latn-ME"/>
        </w:rPr>
        <w:t xml:space="preserve">Sa mikrobiološke tačke gledišta, pripremljeni rastvor treba odmah upotrijebiti. </w:t>
      </w:r>
    </w:p>
    <w:p w14:paraId="1A437801" w14:textId="77777777" w:rsidR="009D3B1F" w:rsidRPr="00B267CC" w:rsidRDefault="009D3B1F" w:rsidP="007A754D">
      <w:pPr>
        <w:pStyle w:val="Header"/>
        <w:jc w:val="both"/>
        <w:rPr>
          <w:sz w:val="22"/>
          <w:szCs w:val="22"/>
          <w:lang w:val="sr-Latn-ME"/>
        </w:rPr>
      </w:pPr>
    </w:p>
    <w:p w14:paraId="295F8CD1" w14:textId="77777777" w:rsidR="009D3B1F" w:rsidRPr="00B267CC" w:rsidRDefault="009D3B1F" w:rsidP="007A754D">
      <w:pPr>
        <w:pStyle w:val="Header"/>
        <w:jc w:val="both"/>
        <w:rPr>
          <w:sz w:val="22"/>
          <w:szCs w:val="22"/>
          <w:lang w:val="sr-Latn-ME"/>
        </w:rPr>
      </w:pPr>
      <w:r w:rsidRPr="00B267CC">
        <w:rPr>
          <w:sz w:val="22"/>
          <w:szCs w:val="22"/>
          <w:lang w:val="sr-Latn-ME"/>
        </w:rPr>
        <w:t>Lijek Controloc i.v. ne smije da se priprema ili miješa sa drugim rastvaračima osim gore navedenih.</w:t>
      </w:r>
    </w:p>
    <w:p w14:paraId="51A9E838" w14:textId="77777777" w:rsidR="009D3B1F" w:rsidRPr="00B267CC" w:rsidRDefault="009D3B1F" w:rsidP="00646791">
      <w:pPr>
        <w:pStyle w:val="Header"/>
        <w:jc w:val="both"/>
        <w:rPr>
          <w:sz w:val="22"/>
          <w:szCs w:val="22"/>
          <w:lang w:val="sr-Latn-ME"/>
        </w:rPr>
      </w:pPr>
    </w:p>
    <w:p w14:paraId="7E3E9251" w14:textId="77777777" w:rsidR="009D3B1F" w:rsidRPr="00B267CC" w:rsidRDefault="009D3B1F" w:rsidP="00646791">
      <w:pPr>
        <w:pStyle w:val="Header"/>
        <w:jc w:val="both"/>
        <w:rPr>
          <w:sz w:val="22"/>
          <w:szCs w:val="22"/>
          <w:lang w:val="sr-Latn-ME"/>
        </w:rPr>
      </w:pPr>
      <w:r w:rsidRPr="00B267CC">
        <w:rPr>
          <w:sz w:val="22"/>
          <w:szCs w:val="22"/>
          <w:lang w:val="sr-Latn-ME"/>
        </w:rPr>
        <w:t>Lijek treba primjeniti intravenski tokom 2 - 15 minuta.</w:t>
      </w:r>
    </w:p>
    <w:p w14:paraId="418035CC" w14:textId="77777777" w:rsidR="009D3B1F" w:rsidRPr="00B267CC" w:rsidRDefault="009D3B1F" w:rsidP="00646791">
      <w:pPr>
        <w:pStyle w:val="Header"/>
        <w:jc w:val="both"/>
        <w:rPr>
          <w:sz w:val="22"/>
          <w:szCs w:val="22"/>
          <w:lang w:val="sr-Latn-ME"/>
        </w:rPr>
      </w:pPr>
    </w:p>
    <w:p w14:paraId="6E9C9D10" w14:textId="77777777" w:rsidR="009D3B1F" w:rsidRPr="00B267CC" w:rsidRDefault="009D3B1F" w:rsidP="007A754D">
      <w:pPr>
        <w:pStyle w:val="Header"/>
        <w:jc w:val="both"/>
        <w:rPr>
          <w:bCs/>
          <w:sz w:val="22"/>
          <w:szCs w:val="22"/>
          <w:lang w:val="sr-Latn-ME"/>
        </w:rPr>
      </w:pPr>
      <w:r w:rsidRPr="00B267CC">
        <w:rPr>
          <w:sz w:val="22"/>
          <w:szCs w:val="22"/>
          <w:lang w:val="sr-Latn-ME"/>
        </w:rPr>
        <w:t xml:space="preserve">Sadržaj bočice je isključivo za jednu upotrebu. Zaostali sadržaj iz bočice kao i lijek promijenjenog izgleda (na primjer ako se uoči zamućenost ili taloženje) treba odbaciti. </w:t>
      </w:r>
      <w:r w:rsidRPr="00B267CC">
        <w:rPr>
          <w:bCs/>
          <w:sz w:val="22"/>
          <w:szCs w:val="22"/>
          <w:lang w:val="sr-Latn-ME"/>
        </w:rPr>
        <w:t>Neupotrijebljeni lijek se uništava u skladu sa važećim propisima.</w:t>
      </w:r>
    </w:p>
    <w:p w14:paraId="22FEC70A" w14:textId="77777777" w:rsidR="007A754D" w:rsidRPr="00B267CC" w:rsidRDefault="007A754D" w:rsidP="00646791">
      <w:pPr>
        <w:pStyle w:val="Header"/>
        <w:jc w:val="both"/>
        <w:rPr>
          <w:sz w:val="22"/>
          <w:szCs w:val="22"/>
          <w:lang w:val="sr-Latn-ME"/>
        </w:rPr>
      </w:pPr>
    </w:p>
    <w:p w14:paraId="57424A51" w14:textId="77777777" w:rsidR="0072020E" w:rsidRPr="00B267CC" w:rsidRDefault="0072020E" w:rsidP="00480FB1">
      <w:pPr>
        <w:tabs>
          <w:tab w:val="left" w:pos="540"/>
          <w:tab w:val="left" w:pos="569"/>
        </w:tabs>
        <w:rPr>
          <w:bCs/>
          <w:sz w:val="22"/>
          <w:szCs w:val="22"/>
        </w:rPr>
      </w:pPr>
    </w:p>
    <w:p w14:paraId="2529F0F3" w14:textId="77777777" w:rsidR="00F8570A" w:rsidRPr="00B267CC" w:rsidRDefault="0072020E" w:rsidP="00480FB1">
      <w:pPr>
        <w:tabs>
          <w:tab w:val="left" w:pos="540"/>
          <w:tab w:val="left" w:pos="569"/>
        </w:tabs>
        <w:rPr>
          <w:b/>
          <w:bCs/>
          <w:sz w:val="22"/>
          <w:szCs w:val="22"/>
        </w:rPr>
      </w:pPr>
      <w:r w:rsidRPr="00B267CC">
        <w:rPr>
          <w:b/>
          <w:bCs/>
          <w:sz w:val="22"/>
          <w:szCs w:val="22"/>
        </w:rPr>
        <w:t xml:space="preserve">7. </w:t>
      </w:r>
      <w:r w:rsidR="00480FB1" w:rsidRPr="00B267CC">
        <w:rPr>
          <w:b/>
          <w:bCs/>
          <w:sz w:val="22"/>
          <w:szCs w:val="22"/>
        </w:rPr>
        <w:tab/>
      </w:r>
      <w:r w:rsidRPr="00B267CC">
        <w:rPr>
          <w:b/>
          <w:bCs/>
          <w:sz w:val="22"/>
          <w:szCs w:val="22"/>
        </w:rPr>
        <w:t>NOSILAC DOZVOLE</w:t>
      </w:r>
      <w:r w:rsidR="00483928" w:rsidRPr="00B267CC">
        <w:rPr>
          <w:b/>
          <w:bCs/>
          <w:sz w:val="22"/>
          <w:szCs w:val="22"/>
        </w:rPr>
        <w:t xml:space="preserve"> </w:t>
      </w:r>
    </w:p>
    <w:p w14:paraId="2D5D8A2C" w14:textId="77777777" w:rsidR="00786D7C" w:rsidRPr="00B267CC" w:rsidRDefault="00786D7C" w:rsidP="00480FB1">
      <w:pPr>
        <w:tabs>
          <w:tab w:val="left" w:pos="540"/>
          <w:tab w:val="left" w:pos="569"/>
        </w:tabs>
        <w:rPr>
          <w:b/>
          <w:bCs/>
          <w:sz w:val="22"/>
          <w:szCs w:val="22"/>
        </w:rPr>
      </w:pPr>
    </w:p>
    <w:p w14:paraId="78C1CBE3" w14:textId="77777777" w:rsidR="009D3B1F" w:rsidRPr="00B267CC" w:rsidRDefault="009D3B1F" w:rsidP="009D3B1F">
      <w:pPr>
        <w:tabs>
          <w:tab w:val="left" w:pos="540"/>
          <w:tab w:val="left" w:pos="569"/>
        </w:tabs>
        <w:rPr>
          <w:bCs/>
          <w:sz w:val="22"/>
          <w:szCs w:val="22"/>
          <w:lang w:val="sr-Latn-ME"/>
        </w:rPr>
      </w:pPr>
      <w:r w:rsidRPr="00B267CC">
        <w:rPr>
          <w:bCs/>
          <w:sz w:val="22"/>
          <w:szCs w:val="22"/>
          <w:lang w:val="sr-Latn-ME"/>
        </w:rPr>
        <w:t>Glosarij d.o.o., Vojislavljevića 76, Podgorica, Crna Gora</w:t>
      </w:r>
    </w:p>
    <w:p w14:paraId="550D66DA" w14:textId="77777777" w:rsidR="00C61BE0" w:rsidRPr="00B267CC" w:rsidRDefault="00C61BE0" w:rsidP="00480FB1">
      <w:pPr>
        <w:tabs>
          <w:tab w:val="left" w:pos="540"/>
          <w:tab w:val="left" w:pos="569"/>
        </w:tabs>
        <w:rPr>
          <w:bCs/>
          <w:sz w:val="22"/>
          <w:szCs w:val="22"/>
        </w:rPr>
      </w:pPr>
    </w:p>
    <w:p w14:paraId="7E2FAB75" w14:textId="77777777" w:rsidR="00C37FD7" w:rsidRPr="00B267CC" w:rsidRDefault="00C37FD7" w:rsidP="00480FB1">
      <w:pPr>
        <w:tabs>
          <w:tab w:val="left" w:pos="540"/>
          <w:tab w:val="left" w:pos="569"/>
        </w:tabs>
        <w:rPr>
          <w:bCs/>
          <w:sz w:val="22"/>
          <w:szCs w:val="22"/>
        </w:rPr>
      </w:pPr>
    </w:p>
    <w:p w14:paraId="05D1A7C9" w14:textId="77777777" w:rsidR="0072020E" w:rsidRPr="00B267CC" w:rsidRDefault="0072020E" w:rsidP="00480FB1">
      <w:pPr>
        <w:tabs>
          <w:tab w:val="left" w:pos="540"/>
          <w:tab w:val="left" w:pos="569"/>
        </w:tabs>
        <w:rPr>
          <w:b/>
          <w:bCs/>
          <w:sz w:val="22"/>
          <w:szCs w:val="22"/>
        </w:rPr>
      </w:pPr>
      <w:r w:rsidRPr="00B267CC">
        <w:rPr>
          <w:b/>
          <w:bCs/>
          <w:sz w:val="22"/>
          <w:szCs w:val="22"/>
        </w:rPr>
        <w:t xml:space="preserve">8. </w:t>
      </w:r>
      <w:r w:rsidR="00480FB1" w:rsidRPr="00B267CC">
        <w:rPr>
          <w:b/>
          <w:bCs/>
          <w:sz w:val="22"/>
          <w:szCs w:val="22"/>
        </w:rPr>
        <w:tab/>
      </w:r>
      <w:r w:rsidRPr="00B267CC">
        <w:rPr>
          <w:b/>
          <w:bCs/>
          <w:sz w:val="22"/>
          <w:szCs w:val="22"/>
        </w:rPr>
        <w:t>BROJ DOZVOLE</w:t>
      </w:r>
      <w:r w:rsidR="008A6D43" w:rsidRPr="00B267CC">
        <w:rPr>
          <w:b/>
          <w:bCs/>
          <w:sz w:val="22"/>
          <w:szCs w:val="22"/>
        </w:rPr>
        <w:t xml:space="preserve"> ZA STAVLJANJE LIJEKA U PROMET</w:t>
      </w:r>
    </w:p>
    <w:p w14:paraId="74E23F46" w14:textId="77777777" w:rsidR="00786D7C" w:rsidRPr="00B267CC" w:rsidRDefault="00786D7C" w:rsidP="00786D7C">
      <w:pPr>
        <w:tabs>
          <w:tab w:val="left" w:pos="540"/>
          <w:tab w:val="left" w:pos="569"/>
        </w:tabs>
        <w:rPr>
          <w:bCs/>
          <w:sz w:val="22"/>
          <w:szCs w:val="22"/>
          <w:lang w:val="sr-Latn-ME"/>
        </w:rPr>
      </w:pPr>
    </w:p>
    <w:p w14:paraId="26A249B5" w14:textId="1C984464" w:rsidR="00786D7C" w:rsidRPr="00B267CC" w:rsidRDefault="00786D7C" w:rsidP="00786D7C">
      <w:pPr>
        <w:tabs>
          <w:tab w:val="left" w:pos="540"/>
          <w:tab w:val="left" w:pos="569"/>
        </w:tabs>
        <w:rPr>
          <w:bCs/>
          <w:sz w:val="22"/>
          <w:szCs w:val="22"/>
          <w:lang w:val="sr-Latn-ME"/>
        </w:rPr>
      </w:pPr>
      <w:r w:rsidRPr="00B267CC">
        <w:rPr>
          <w:bCs/>
          <w:sz w:val="22"/>
          <w:szCs w:val="22"/>
          <w:lang w:val="sr-Latn-ME"/>
        </w:rPr>
        <w:t>2030/14/118 - 2359</w:t>
      </w:r>
    </w:p>
    <w:p w14:paraId="571E7C4C" w14:textId="77777777" w:rsidR="0072020E" w:rsidRPr="00B267CC" w:rsidRDefault="0072020E" w:rsidP="00480FB1">
      <w:pPr>
        <w:tabs>
          <w:tab w:val="left" w:pos="540"/>
          <w:tab w:val="left" w:pos="569"/>
        </w:tabs>
        <w:rPr>
          <w:bCs/>
          <w:sz w:val="22"/>
          <w:szCs w:val="22"/>
        </w:rPr>
      </w:pPr>
    </w:p>
    <w:p w14:paraId="479344E1" w14:textId="77777777" w:rsidR="00F45F77" w:rsidRPr="00B267CC" w:rsidRDefault="00F45F77" w:rsidP="00480FB1">
      <w:pPr>
        <w:tabs>
          <w:tab w:val="left" w:pos="540"/>
          <w:tab w:val="left" w:pos="569"/>
        </w:tabs>
        <w:rPr>
          <w:bCs/>
          <w:sz w:val="22"/>
          <w:szCs w:val="22"/>
        </w:rPr>
      </w:pPr>
    </w:p>
    <w:p w14:paraId="77C63A56" w14:textId="77777777" w:rsidR="0072020E" w:rsidRPr="00B267CC" w:rsidRDefault="0072020E" w:rsidP="00480FB1">
      <w:pPr>
        <w:tabs>
          <w:tab w:val="left" w:pos="540"/>
          <w:tab w:val="left" w:pos="569"/>
        </w:tabs>
        <w:rPr>
          <w:b/>
          <w:bCs/>
          <w:sz w:val="22"/>
          <w:szCs w:val="22"/>
        </w:rPr>
      </w:pPr>
      <w:r w:rsidRPr="00B267CC">
        <w:rPr>
          <w:b/>
          <w:bCs/>
          <w:sz w:val="22"/>
          <w:szCs w:val="22"/>
        </w:rPr>
        <w:t xml:space="preserve">9. </w:t>
      </w:r>
      <w:r w:rsidR="00480FB1" w:rsidRPr="00B267CC">
        <w:rPr>
          <w:b/>
          <w:bCs/>
          <w:sz w:val="22"/>
          <w:szCs w:val="22"/>
        </w:rPr>
        <w:tab/>
      </w:r>
      <w:r w:rsidRPr="00B267CC">
        <w:rPr>
          <w:b/>
          <w:bCs/>
          <w:sz w:val="22"/>
          <w:szCs w:val="22"/>
        </w:rPr>
        <w:t xml:space="preserve">DATUM </w:t>
      </w:r>
      <w:r w:rsidR="00C05DF8" w:rsidRPr="00B267CC">
        <w:rPr>
          <w:b/>
          <w:bCs/>
          <w:sz w:val="22"/>
          <w:szCs w:val="22"/>
        </w:rPr>
        <w:t xml:space="preserve">PRVE </w:t>
      </w:r>
      <w:r w:rsidR="008A6D43" w:rsidRPr="00B267CC">
        <w:rPr>
          <w:b/>
          <w:bCs/>
          <w:sz w:val="22"/>
          <w:szCs w:val="22"/>
        </w:rPr>
        <w:t>DOZVOLE</w:t>
      </w:r>
      <w:r w:rsidR="00C05DF8" w:rsidRPr="00B267CC">
        <w:rPr>
          <w:b/>
          <w:bCs/>
          <w:sz w:val="22"/>
          <w:szCs w:val="22"/>
        </w:rPr>
        <w:t>/OBNOVE DOZVOLE</w:t>
      </w:r>
      <w:r w:rsidR="008A6D43" w:rsidRPr="00B267CC">
        <w:rPr>
          <w:b/>
          <w:bCs/>
          <w:sz w:val="22"/>
          <w:szCs w:val="22"/>
        </w:rPr>
        <w:t xml:space="preserve"> ZA STAVLJANJE LIJEKA U PROMET</w:t>
      </w:r>
    </w:p>
    <w:p w14:paraId="0AB8E3D7" w14:textId="77777777" w:rsidR="0072020E" w:rsidRPr="00B267CC" w:rsidRDefault="0072020E" w:rsidP="00480FB1">
      <w:pPr>
        <w:tabs>
          <w:tab w:val="left" w:pos="540"/>
          <w:tab w:val="left" w:pos="569"/>
        </w:tabs>
        <w:rPr>
          <w:bCs/>
          <w:sz w:val="22"/>
          <w:szCs w:val="22"/>
        </w:rPr>
      </w:pPr>
    </w:p>
    <w:p w14:paraId="7209667A" w14:textId="188473EB" w:rsidR="00836B35" w:rsidRPr="00B267CC" w:rsidRDefault="00786D7C" w:rsidP="00480FB1">
      <w:pPr>
        <w:tabs>
          <w:tab w:val="left" w:pos="540"/>
          <w:tab w:val="left" w:pos="569"/>
        </w:tabs>
        <w:rPr>
          <w:bCs/>
          <w:sz w:val="22"/>
          <w:szCs w:val="22"/>
          <w:lang w:val="sr-Latn-ME"/>
        </w:rPr>
      </w:pPr>
      <w:r w:rsidRPr="00B267CC">
        <w:rPr>
          <w:bCs/>
          <w:sz w:val="22"/>
          <w:szCs w:val="22"/>
          <w:lang w:val="sr-Latn-ME"/>
        </w:rPr>
        <w:t>10.03.2014. godine</w:t>
      </w:r>
    </w:p>
    <w:p w14:paraId="67257775" w14:textId="77777777" w:rsidR="0045168B" w:rsidRPr="00B267CC" w:rsidRDefault="0045168B" w:rsidP="00480FB1">
      <w:pPr>
        <w:tabs>
          <w:tab w:val="left" w:pos="540"/>
          <w:tab w:val="left" w:pos="569"/>
        </w:tabs>
        <w:rPr>
          <w:bCs/>
          <w:sz w:val="22"/>
          <w:szCs w:val="22"/>
          <w:lang w:val="sr-Latn-ME"/>
        </w:rPr>
      </w:pPr>
    </w:p>
    <w:p w14:paraId="04817CB8" w14:textId="77777777" w:rsidR="00786D7C" w:rsidRPr="00B267CC" w:rsidRDefault="00786D7C" w:rsidP="00480FB1">
      <w:pPr>
        <w:tabs>
          <w:tab w:val="left" w:pos="540"/>
          <w:tab w:val="left" w:pos="569"/>
        </w:tabs>
        <w:rPr>
          <w:bCs/>
          <w:sz w:val="22"/>
          <w:szCs w:val="22"/>
        </w:rPr>
      </w:pPr>
    </w:p>
    <w:p w14:paraId="6DAD3913" w14:textId="77777777" w:rsidR="003F6A59" w:rsidRPr="00B267CC" w:rsidRDefault="0072020E" w:rsidP="00C05DF8">
      <w:pPr>
        <w:tabs>
          <w:tab w:val="left" w:pos="540"/>
          <w:tab w:val="left" w:pos="569"/>
        </w:tabs>
        <w:ind w:left="540" w:hanging="540"/>
        <w:rPr>
          <w:bCs/>
          <w:sz w:val="22"/>
          <w:szCs w:val="22"/>
        </w:rPr>
      </w:pPr>
      <w:r w:rsidRPr="00B267CC">
        <w:rPr>
          <w:b/>
          <w:bCs/>
          <w:sz w:val="22"/>
          <w:szCs w:val="22"/>
        </w:rPr>
        <w:t xml:space="preserve">10. </w:t>
      </w:r>
      <w:r w:rsidR="00480FB1" w:rsidRPr="00B267CC">
        <w:rPr>
          <w:b/>
          <w:bCs/>
          <w:sz w:val="22"/>
          <w:szCs w:val="22"/>
        </w:rPr>
        <w:tab/>
      </w:r>
      <w:r w:rsidR="002846DB" w:rsidRPr="00B267CC">
        <w:rPr>
          <w:b/>
          <w:bCs/>
          <w:sz w:val="22"/>
          <w:szCs w:val="22"/>
        </w:rPr>
        <w:t>D</w:t>
      </w:r>
      <w:r w:rsidR="00EC2532" w:rsidRPr="00B267CC">
        <w:rPr>
          <w:b/>
          <w:bCs/>
          <w:sz w:val="22"/>
          <w:szCs w:val="22"/>
        </w:rPr>
        <w:t xml:space="preserve">ATUM REVIZIJE TEKSTA </w:t>
      </w:r>
    </w:p>
    <w:p w14:paraId="29737754" w14:textId="77777777" w:rsidR="003F6A59" w:rsidRPr="00B267CC" w:rsidRDefault="003F6A59" w:rsidP="00480FB1">
      <w:pPr>
        <w:tabs>
          <w:tab w:val="left" w:pos="540"/>
          <w:tab w:val="left" w:pos="569"/>
        </w:tabs>
        <w:rPr>
          <w:bCs/>
          <w:sz w:val="22"/>
          <w:szCs w:val="22"/>
        </w:rPr>
      </w:pPr>
    </w:p>
    <w:p w14:paraId="4DB59ADF" w14:textId="76AF5482" w:rsidR="008A6D43" w:rsidRPr="00B267CC" w:rsidRDefault="00835C72" w:rsidP="00480FB1">
      <w:pPr>
        <w:tabs>
          <w:tab w:val="left" w:pos="540"/>
          <w:tab w:val="left" w:pos="569"/>
        </w:tabs>
        <w:rPr>
          <w:bCs/>
          <w:sz w:val="22"/>
          <w:szCs w:val="22"/>
        </w:rPr>
      </w:pPr>
      <w:r>
        <w:rPr>
          <w:bCs/>
          <w:sz w:val="22"/>
          <w:szCs w:val="22"/>
        </w:rPr>
        <w:lastRenderedPageBreak/>
        <w:t>Februar</w:t>
      </w:r>
      <w:r w:rsidR="0045168B" w:rsidRPr="00B267CC">
        <w:rPr>
          <w:bCs/>
          <w:sz w:val="22"/>
          <w:szCs w:val="22"/>
        </w:rPr>
        <w:t>, 202</w:t>
      </w:r>
      <w:r>
        <w:rPr>
          <w:bCs/>
          <w:sz w:val="22"/>
          <w:szCs w:val="22"/>
        </w:rPr>
        <w:t>5</w:t>
      </w:r>
      <w:bookmarkStart w:id="3" w:name="_GoBack"/>
      <w:bookmarkEnd w:id="3"/>
      <w:r w:rsidR="0045168B" w:rsidRPr="00B267CC">
        <w:rPr>
          <w:bCs/>
          <w:sz w:val="22"/>
          <w:szCs w:val="22"/>
        </w:rPr>
        <w:t>. godine</w:t>
      </w:r>
    </w:p>
    <w:p w14:paraId="77061FAD" w14:textId="027C50ED" w:rsidR="003F6A59" w:rsidRPr="00B267CC" w:rsidRDefault="003F6A59" w:rsidP="00DE3F5C">
      <w:pPr>
        <w:rPr>
          <w:sz w:val="22"/>
          <w:szCs w:val="22"/>
          <w:lang w:val="pl-PL"/>
        </w:rPr>
      </w:pPr>
    </w:p>
    <w:sectPr w:rsidR="003F6A59" w:rsidRPr="00B267CC" w:rsidSect="007B25BC">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2C277" w14:textId="77777777" w:rsidR="00B00B19" w:rsidRDefault="00B00B19">
      <w:r>
        <w:separator/>
      </w:r>
    </w:p>
  </w:endnote>
  <w:endnote w:type="continuationSeparator" w:id="0">
    <w:p w14:paraId="230A4D39" w14:textId="77777777" w:rsidR="00B00B19" w:rsidRDefault="00B0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7F410" w14:textId="25EFFEE2" w:rsidR="007C1FB2" w:rsidRPr="00B23F69" w:rsidRDefault="007C1FB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35C72">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35C72">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53B00" w14:textId="77777777" w:rsidR="00B00B19" w:rsidRDefault="00B00B19">
      <w:r>
        <w:separator/>
      </w:r>
    </w:p>
  </w:footnote>
  <w:footnote w:type="continuationSeparator" w:id="0">
    <w:p w14:paraId="199D0DA5" w14:textId="77777777" w:rsidR="00B00B19" w:rsidRDefault="00B00B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BF74494"/>
    <w:multiLevelType w:val="hybridMultilevel"/>
    <w:tmpl w:val="778255D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E29"/>
    <w:rsid w:val="00033469"/>
    <w:rsid w:val="00036FA0"/>
    <w:rsid w:val="0003793F"/>
    <w:rsid w:val="00042113"/>
    <w:rsid w:val="00044481"/>
    <w:rsid w:val="00045130"/>
    <w:rsid w:val="00050938"/>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37960"/>
    <w:rsid w:val="001459E1"/>
    <w:rsid w:val="0014766D"/>
    <w:rsid w:val="001536CC"/>
    <w:rsid w:val="001779A1"/>
    <w:rsid w:val="00180CB0"/>
    <w:rsid w:val="001A3FBA"/>
    <w:rsid w:val="001A5518"/>
    <w:rsid w:val="001B0BBA"/>
    <w:rsid w:val="001B1C6A"/>
    <w:rsid w:val="001C1263"/>
    <w:rsid w:val="001C1417"/>
    <w:rsid w:val="001D47F7"/>
    <w:rsid w:val="001E390B"/>
    <w:rsid w:val="001F42FB"/>
    <w:rsid w:val="001F719A"/>
    <w:rsid w:val="002031B3"/>
    <w:rsid w:val="00215931"/>
    <w:rsid w:val="00224C91"/>
    <w:rsid w:val="00227BDB"/>
    <w:rsid w:val="00234CB1"/>
    <w:rsid w:val="002352F8"/>
    <w:rsid w:val="002510A5"/>
    <w:rsid w:val="002519A6"/>
    <w:rsid w:val="00254A0A"/>
    <w:rsid w:val="00260EB7"/>
    <w:rsid w:val="00266046"/>
    <w:rsid w:val="002846DB"/>
    <w:rsid w:val="00284CCD"/>
    <w:rsid w:val="002C6637"/>
    <w:rsid w:val="002E0135"/>
    <w:rsid w:val="002E37A5"/>
    <w:rsid w:val="00310F03"/>
    <w:rsid w:val="003247D2"/>
    <w:rsid w:val="003317E7"/>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168B"/>
    <w:rsid w:val="00452E9D"/>
    <w:rsid w:val="004534C7"/>
    <w:rsid w:val="004671AA"/>
    <w:rsid w:val="00471DF8"/>
    <w:rsid w:val="00480FB1"/>
    <w:rsid w:val="00483928"/>
    <w:rsid w:val="004B5D2F"/>
    <w:rsid w:val="004C331F"/>
    <w:rsid w:val="004D2507"/>
    <w:rsid w:val="004D6103"/>
    <w:rsid w:val="004E3BCE"/>
    <w:rsid w:val="004E70AD"/>
    <w:rsid w:val="004F0E97"/>
    <w:rsid w:val="004F17E2"/>
    <w:rsid w:val="004F434B"/>
    <w:rsid w:val="00501DD1"/>
    <w:rsid w:val="00506F29"/>
    <w:rsid w:val="00515C21"/>
    <w:rsid w:val="00530BD7"/>
    <w:rsid w:val="00545CD2"/>
    <w:rsid w:val="005476F3"/>
    <w:rsid w:val="00572527"/>
    <w:rsid w:val="00573E40"/>
    <w:rsid w:val="00576348"/>
    <w:rsid w:val="0058773A"/>
    <w:rsid w:val="00594434"/>
    <w:rsid w:val="005A0B2E"/>
    <w:rsid w:val="005A23D2"/>
    <w:rsid w:val="005A36CB"/>
    <w:rsid w:val="005B49B8"/>
    <w:rsid w:val="005C0741"/>
    <w:rsid w:val="005C5EF4"/>
    <w:rsid w:val="005E2E0B"/>
    <w:rsid w:val="005E67AD"/>
    <w:rsid w:val="005E7A7D"/>
    <w:rsid w:val="00602457"/>
    <w:rsid w:val="00644FC3"/>
    <w:rsid w:val="00646791"/>
    <w:rsid w:val="00646BD1"/>
    <w:rsid w:val="006561C2"/>
    <w:rsid w:val="00671CB3"/>
    <w:rsid w:val="00674BAF"/>
    <w:rsid w:val="00682200"/>
    <w:rsid w:val="00692BF6"/>
    <w:rsid w:val="006A1351"/>
    <w:rsid w:val="006A1497"/>
    <w:rsid w:val="006B0BD1"/>
    <w:rsid w:val="006B5404"/>
    <w:rsid w:val="006C101E"/>
    <w:rsid w:val="006D20A5"/>
    <w:rsid w:val="006D37BF"/>
    <w:rsid w:val="00702E22"/>
    <w:rsid w:val="00707279"/>
    <w:rsid w:val="0072020E"/>
    <w:rsid w:val="0074227A"/>
    <w:rsid w:val="00754902"/>
    <w:rsid w:val="00766AE2"/>
    <w:rsid w:val="00786071"/>
    <w:rsid w:val="00786D7C"/>
    <w:rsid w:val="007A3ECB"/>
    <w:rsid w:val="007A754D"/>
    <w:rsid w:val="007B25BC"/>
    <w:rsid w:val="007C1FB2"/>
    <w:rsid w:val="007C3ABC"/>
    <w:rsid w:val="007D1BCA"/>
    <w:rsid w:val="007D287A"/>
    <w:rsid w:val="007D7BB3"/>
    <w:rsid w:val="007E31E9"/>
    <w:rsid w:val="007E62EB"/>
    <w:rsid w:val="007F05E3"/>
    <w:rsid w:val="008141DD"/>
    <w:rsid w:val="00824AB9"/>
    <w:rsid w:val="00831252"/>
    <w:rsid w:val="00835C72"/>
    <w:rsid w:val="00836B35"/>
    <w:rsid w:val="00843BDE"/>
    <w:rsid w:val="0087588C"/>
    <w:rsid w:val="00877480"/>
    <w:rsid w:val="0089705C"/>
    <w:rsid w:val="008A6D43"/>
    <w:rsid w:val="008B491E"/>
    <w:rsid w:val="008C1A28"/>
    <w:rsid w:val="008C2E98"/>
    <w:rsid w:val="008E49BD"/>
    <w:rsid w:val="008E53E9"/>
    <w:rsid w:val="008E5771"/>
    <w:rsid w:val="008F3A6B"/>
    <w:rsid w:val="008F4ACF"/>
    <w:rsid w:val="00922329"/>
    <w:rsid w:val="00924166"/>
    <w:rsid w:val="00940B9B"/>
    <w:rsid w:val="00953573"/>
    <w:rsid w:val="0095676E"/>
    <w:rsid w:val="00956983"/>
    <w:rsid w:val="00963CF0"/>
    <w:rsid w:val="00964BB1"/>
    <w:rsid w:val="009775D9"/>
    <w:rsid w:val="00997175"/>
    <w:rsid w:val="00997F2F"/>
    <w:rsid w:val="009A1847"/>
    <w:rsid w:val="009B062A"/>
    <w:rsid w:val="009D3B1F"/>
    <w:rsid w:val="009E7C6F"/>
    <w:rsid w:val="009F1793"/>
    <w:rsid w:val="009F2D23"/>
    <w:rsid w:val="00A01D69"/>
    <w:rsid w:val="00A02335"/>
    <w:rsid w:val="00A05E6D"/>
    <w:rsid w:val="00A40F0D"/>
    <w:rsid w:val="00A46C9A"/>
    <w:rsid w:val="00A54C25"/>
    <w:rsid w:val="00A619F3"/>
    <w:rsid w:val="00A62A73"/>
    <w:rsid w:val="00A87FF6"/>
    <w:rsid w:val="00AA0A3B"/>
    <w:rsid w:val="00AA2763"/>
    <w:rsid w:val="00AA33B6"/>
    <w:rsid w:val="00AB50CA"/>
    <w:rsid w:val="00AB6D64"/>
    <w:rsid w:val="00AC53CE"/>
    <w:rsid w:val="00AD2193"/>
    <w:rsid w:val="00AF19F4"/>
    <w:rsid w:val="00AF2AC7"/>
    <w:rsid w:val="00AF74CE"/>
    <w:rsid w:val="00B00B19"/>
    <w:rsid w:val="00B208DB"/>
    <w:rsid w:val="00B23F69"/>
    <w:rsid w:val="00B267CC"/>
    <w:rsid w:val="00B46DBD"/>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1E9D"/>
    <w:rsid w:val="00C83785"/>
    <w:rsid w:val="00C87FA8"/>
    <w:rsid w:val="00C94C0D"/>
    <w:rsid w:val="00CA1FEB"/>
    <w:rsid w:val="00CD4F85"/>
    <w:rsid w:val="00CD6F02"/>
    <w:rsid w:val="00CE246D"/>
    <w:rsid w:val="00CF07A0"/>
    <w:rsid w:val="00CF3E03"/>
    <w:rsid w:val="00D0082A"/>
    <w:rsid w:val="00D00E19"/>
    <w:rsid w:val="00D21455"/>
    <w:rsid w:val="00D231EE"/>
    <w:rsid w:val="00D47634"/>
    <w:rsid w:val="00D709B3"/>
    <w:rsid w:val="00D74CD2"/>
    <w:rsid w:val="00D90011"/>
    <w:rsid w:val="00DA2ED6"/>
    <w:rsid w:val="00DB1D55"/>
    <w:rsid w:val="00DB76B8"/>
    <w:rsid w:val="00DC2EA1"/>
    <w:rsid w:val="00DD6AAF"/>
    <w:rsid w:val="00DE3F5C"/>
    <w:rsid w:val="00DF1D20"/>
    <w:rsid w:val="00E21324"/>
    <w:rsid w:val="00E246B9"/>
    <w:rsid w:val="00E27124"/>
    <w:rsid w:val="00E31FEA"/>
    <w:rsid w:val="00E45169"/>
    <w:rsid w:val="00E47787"/>
    <w:rsid w:val="00E51C30"/>
    <w:rsid w:val="00E64180"/>
    <w:rsid w:val="00E7235D"/>
    <w:rsid w:val="00E74AEE"/>
    <w:rsid w:val="00E868E5"/>
    <w:rsid w:val="00E9237A"/>
    <w:rsid w:val="00E939FA"/>
    <w:rsid w:val="00EA5765"/>
    <w:rsid w:val="00EC2532"/>
    <w:rsid w:val="00ED7812"/>
    <w:rsid w:val="00EF3B86"/>
    <w:rsid w:val="00F05142"/>
    <w:rsid w:val="00F1517E"/>
    <w:rsid w:val="00F317E9"/>
    <w:rsid w:val="00F34554"/>
    <w:rsid w:val="00F35B68"/>
    <w:rsid w:val="00F432D0"/>
    <w:rsid w:val="00F45F77"/>
    <w:rsid w:val="00F5167F"/>
    <w:rsid w:val="00F52258"/>
    <w:rsid w:val="00F60085"/>
    <w:rsid w:val="00F8570A"/>
    <w:rsid w:val="00F90EB6"/>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38B4F"/>
  <w15:chartTrackingRefBased/>
  <w15:docId w15:val="{D0BD2FF8-0339-4B87-B112-2333D6E1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922329"/>
    <w:rPr>
      <w:sz w:val="24"/>
      <w:szCs w:val="24"/>
      <w:lang w:val="en-US" w:eastAsia="en-US"/>
    </w:rPr>
  </w:style>
  <w:style w:type="paragraph" w:styleId="Revision">
    <w:name w:val="Revision"/>
    <w:hidden/>
    <w:uiPriority w:val="99"/>
    <w:semiHidden/>
    <w:rsid w:val="009D3B1F"/>
    <w:rPr>
      <w:sz w:val="24"/>
      <w:szCs w:val="24"/>
      <w:lang w:val="en-US" w:eastAsia="en-US"/>
    </w:rPr>
  </w:style>
  <w:style w:type="paragraph" w:customStyle="1" w:styleId="TableParagraph">
    <w:name w:val="Table Paragraph"/>
    <w:basedOn w:val="Normal"/>
    <w:uiPriority w:val="1"/>
    <w:qFormat/>
    <w:rsid w:val="00D231EE"/>
    <w:pPr>
      <w:widowControl w:val="0"/>
      <w:autoSpaceDE w:val="0"/>
      <w:autoSpaceDN w:val="0"/>
    </w:pPr>
    <w:rPr>
      <w:sz w:val="22"/>
      <w:szCs w:val="22"/>
      <w:lang w:val="hr-HR"/>
    </w:rPr>
  </w:style>
  <w:style w:type="paragraph" w:styleId="BodyText">
    <w:name w:val="Body Text"/>
    <w:basedOn w:val="Normal"/>
    <w:link w:val="BodyTextChar"/>
    <w:uiPriority w:val="1"/>
    <w:qFormat/>
    <w:rsid w:val="00D231EE"/>
    <w:pPr>
      <w:widowControl w:val="0"/>
      <w:autoSpaceDE w:val="0"/>
      <w:autoSpaceDN w:val="0"/>
      <w:ind w:left="232"/>
    </w:pPr>
    <w:rPr>
      <w:sz w:val="22"/>
      <w:szCs w:val="22"/>
      <w:lang w:val="hr-HR"/>
    </w:rPr>
  </w:style>
  <w:style w:type="character" w:customStyle="1" w:styleId="BodyTextChar">
    <w:name w:val="Body Text Char"/>
    <w:basedOn w:val="DefaultParagraphFont"/>
    <w:link w:val="BodyText"/>
    <w:uiPriority w:val="1"/>
    <w:rsid w:val="00D231EE"/>
    <w:rPr>
      <w:sz w:val="22"/>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6711-34C4-466B-BDD5-D6A6E06F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29095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
  <cp:lastModifiedBy>Aleksandra Ljumović</cp:lastModifiedBy>
  <cp:revision>2</cp:revision>
  <cp:lastPrinted>2023-02-09T08:16:00Z</cp:lastPrinted>
  <dcterms:created xsi:type="dcterms:W3CDTF">2025-02-10T09:20:00Z</dcterms:created>
  <dcterms:modified xsi:type="dcterms:W3CDTF">2025-02-10T09:20:00Z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