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CAB57" w14:textId="77777777" w:rsidR="004C033F" w:rsidRPr="009A2813" w:rsidRDefault="004C033F">
      <w:pPr>
        <w:jc w:val="center"/>
        <w:outlineLvl w:val="0"/>
        <w:rPr>
          <w:lang w:val="hr-HR"/>
        </w:rPr>
      </w:pPr>
    </w:p>
    <w:p w14:paraId="7E662EF3" w14:textId="77777777" w:rsidR="004C033F" w:rsidRPr="009A2813" w:rsidRDefault="004C033F" w:rsidP="000B7C9B">
      <w:pPr>
        <w:pStyle w:val="TitleA"/>
        <w:rPr>
          <w:lang w:val="hr-HR"/>
        </w:rPr>
      </w:pPr>
      <w:r w:rsidRPr="009A2813">
        <w:rPr>
          <w:lang w:val="hr-HR"/>
        </w:rPr>
        <w:t>SAŽETAK KARAKTERISTIKA LIJEKA</w:t>
      </w:r>
    </w:p>
    <w:p w14:paraId="502D3561" w14:textId="77777777" w:rsidR="004C033F" w:rsidRPr="009A2813" w:rsidRDefault="004C033F">
      <w:pPr>
        <w:rPr>
          <w:color w:val="008000"/>
          <w:lang w:val="hr-HR"/>
        </w:rPr>
      </w:pPr>
    </w:p>
    <w:p w14:paraId="40CE5278" w14:textId="77777777" w:rsidR="00597AF5" w:rsidRPr="009A2813" w:rsidRDefault="00597AF5">
      <w:pPr>
        <w:rPr>
          <w:szCs w:val="22"/>
          <w:lang w:val="hr-HR"/>
        </w:rPr>
      </w:pPr>
    </w:p>
    <w:p w14:paraId="7165BA07" w14:textId="70309930" w:rsidR="004C033F" w:rsidRPr="009A2813" w:rsidRDefault="004C033F">
      <w:pPr>
        <w:suppressAutoHyphens/>
        <w:ind w:left="567" w:hanging="567"/>
        <w:rPr>
          <w:szCs w:val="22"/>
          <w:lang w:val="hr-HR"/>
        </w:rPr>
      </w:pPr>
      <w:r w:rsidRPr="009A2813">
        <w:rPr>
          <w:b/>
          <w:lang w:val="hr-HR"/>
        </w:rPr>
        <w:t>1.</w:t>
      </w:r>
      <w:r w:rsidRPr="009A2813">
        <w:rPr>
          <w:b/>
          <w:lang w:val="hr-HR"/>
        </w:rPr>
        <w:tab/>
        <w:t>NAZIV LIJEKA</w:t>
      </w:r>
    </w:p>
    <w:p w14:paraId="669E9F0B" w14:textId="77777777" w:rsidR="004C033F" w:rsidRPr="009A2813" w:rsidRDefault="004C033F">
      <w:pPr>
        <w:pStyle w:val="A-TableText"/>
        <w:tabs>
          <w:tab w:val="left" w:pos="567"/>
        </w:tabs>
        <w:spacing w:before="0" w:after="0" w:line="260" w:lineRule="exact"/>
        <w:rPr>
          <w:iCs/>
          <w:szCs w:val="22"/>
          <w:lang w:val="hr-HR"/>
        </w:rPr>
      </w:pPr>
    </w:p>
    <w:p w14:paraId="1DBD030E" w14:textId="7A2AB731" w:rsidR="00AF002A" w:rsidRPr="009A2813" w:rsidRDefault="00AF002A" w:rsidP="00AF002A">
      <w:pPr>
        <w:widowControl w:val="0"/>
        <w:ind w:right="425"/>
        <w:rPr>
          <w:iCs/>
          <w:szCs w:val="22"/>
          <w:lang w:val="hr-HR"/>
        </w:rPr>
      </w:pPr>
      <w:r w:rsidRPr="009A2813">
        <w:rPr>
          <w:iCs/>
          <w:color w:val="000000"/>
          <w:lang w:val="hr-HR"/>
        </w:rPr>
        <w:t>Zavicefta</w:t>
      </w:r>
      <w:r w:rsidRPr="009A2813">
        <w:rPr>
          <w:iCs/>
          <w:lang w:val="hr-HR"/>
        </w:rPr>
        <w:t xml:space="preserve"> 2 g</w:t>
      </w:r>
      <w:r w:rsidR="00F5620A" w:rsidRPr="009A2813">
        <w:rPr>
          <w:iCs/>
          <w:lang w:val="hr-HR"/>
        </w:rPr>
        <w:t xml:space="preserve"> + </w:t>
      </w:r>
      <w:r w:rsidRPr="009A2813">
        <w:rPr>
          <w:iCs/>
          <w:lang w:val="hr-HR"/>
        </w:rPr>
        <w:t>0,5 g prašak za koncentrat za rastvor za infuziju</w:t>
      </w:r>
    </w:p>
    <w:p w14:paraId="772AFCE2" w14:textId="77777777" w:rsidR="00AF002A" w:rsidRPr="009A2813" w:rsidRDefault="00AF002A" w:rsidP="00AF002A">
      <w:pPr>
        <w:rPr>
          <w:iCs/>
          <w:szCs w:val="22"/>
          <w:lang w:val="hr-HR"/>
        </w:rPr>
      </w:pPr>
    </w:p>
    <w:p w14:paraId="47347146" w14:textId="0A8EA71E" w:rsidR="00AF002A" w:rsidRPr="009A2813" w:rsidRDefault="00AF002A" w:rsidP="00AF002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hr-HR"/>
        </w:rPr>
      </w:pPr>
      <w:r w:rsidRPr="009A2813">
        <w:rPr>
          <w:lang w:val="hr-HR"/>
        </w:rPr>
        <w:t>INN: ceftazidim</w:t>
      </w:r>
      <w:r w:rsidR="00F5620A" w:rsidRPr="009A2813">
        <w:rPr>
          <w:lang w:val="hr-HR"/>
        </w:rPr>
        <w:t xml:space="preserve">, </w:t>
      </w:r>
      <w:r w:rsidRPr="009A2813">
        <w:rPr>
          <w:lang w:val="hr-HR"/>
        </w:rPr>
        <w:t>avibaktam</w:t>
      </w:r>
    </w:p>
    <w:p w14:paraId="682FBB45" w14:textId="77777777" w:rsidR="004C033F" w:rsidRPr="009A2813" w:rsidRDefault="004C033F">
      <w:pPr>
        <w:rPr>
          <w:iCs/>
          <w:szCs w:val="22"/>
          <w:lang w:val="hr-HR"/>
        </w:rPr>
      </w:pPr>
    </w:p>
    <w:p w14:paraId="0A303830" w14:textId="77777777" w:rsidR="004C033F" w:rsidRPr="009A2813" w:rsidRDefault="004C033F">
      <w:pPr>
        <w:rPr>
          <w:iCs/>
          <w:szCs w:val="22"/>
          <w:lang w:val="hr-HR"/>
        </w:rPr>
      </w:pPr>
    </w:p>
    <w:p w14:paraId="76E82F0C" w14:textId="77777777" w:rsidR="004C033F" w:rsidRPr="009A2813" w:rsidRDefault="004C033F">
      <w:pPr>
        <w:suppressAutoHyphens/>
        <w:ind w:left="567" w:hanging="567"/>
        <w:rPr>
          <w:szCs w:val="22"/>
          <w:lang w:val="hr-HR"/>
        </w:rPr>
      </w:pPr>
      <w:r w:rsidRPr="009A2813">
        <w:rPr>
          <w:b/>
          <w:lang w:val="hr-HR"/>
        </w:rPr>
        <w:t>2.</w:t>
      </w:r>
      <w:r w:rsidRPr="009A2813">
        <w:rPr>
          <w:b/>
          <w:lang w:val="hr-HR"/>
        </w:rPr>
        <w:tab/>
        <w:t>KVALITATIVNI I KVANTITATIVNI SASTAV</w:t>
      </w:r>
    </w:p>
    <w:p w14:paraId="4461E69B" w14:textId="77777777" w:rsidR="004C033F" w:rsidRPr="009A2813" w:rsidRDefault="004C033F">
      <w:pPr>
        <w:rPr>
          <w:iCs/>
          <w:szCs w:val="22"/>
          <w:lang w:val="hr-HR"/>
        </w:rPr>
      </w:pPr>
    </w:p>
    <w:p w14:paraId="7AD89CE6" w14:textId="4400B56D" w:rsidR="004C033F" w:rsidRPr="009A2813" w:rsidRDefault="00637C32">
      <w:pPr>
        <w:rPr>
          <w:iCs/>
          <w:szCs w:val="22"/>
          <w:lang w:val="hr-HR"/>
        </w:rPr>
      </w:pPr>
      <w:r w:rsidRPr="009A2813">
        <w:rPr>
          <w:lang w:val="hr-HR"/>
        </w:rPr>
        <w:t>Jedna</w:t>
      </w:r>
      <w:r w:rsidR="004C033F" w:rsidRPr="009A2813">
        <w:rPr>
          <w:lang w:val="hr-HR"/>
        </w:rPr>
        <w:t xml:space="preserve"> bočica sadrži </w:t>
      </w:r>
      <w:r w:rsidRPr="009A2813">
        <w:rPr>
          <w:lang w:val="hr-HR"/>
        </w:rPr>
        <w:t xml:space="preserve">2 g ceftazidima (u obliku </w:t>
      </w:r>
      <w:r w:rsidR="004C033F" w:rsidRPr="009A2813">
        <w:rPr>
          <w:lang w:val="hr-HR"/>
        </w:rPr>
        <w:t>ceftazidim pentahidrat</w:t>
      </w:r>
      <w:r w:rsidRPr="009A2813">
        <w:rPr>
          <w:lang w:val="hr-HR"/>
        </w:rPr>
        <w:t>a)</w:t>
      </w:r>
      <w:r w:rsidR="004C033F" w:rsidRPr="009A2813">
        <w:rPr>
          <w:lang w:val="hr-HR"/>
        </w:rPr>
        <w:t xml:space="preserve"> i </w:t>
      </w:r>
      <w:r w:rsidRPr="009A2813">
        <w:rPr>
          <w:lang w:val="hr-HR"/>
        </w:rPr>
        <w:t xml:space="preserve">0,5 g avibaktama (u obliku </w:t>
      </w:r>
      <w:r w:rsidR="004C033F" w:rsidRPr="009A2813">
        <w:rPr>
          <w:lang w:val="hr-HR"/>
        </w:rPr>
        <w:t>avibaktam natrijum</w:t>
      </w:r>
      <w:r w:rsidRPr="009A2813">
        <w:rPr>
          <w:lang w:val="hr-HR"/>
        </w:rPr>
        <w:t>a)</w:t>
      </w:r>
      <w:r w:rsidR="004C033F" w:rsidRPr="009A2813">
        <w:rPr>
          <w:lang w:val="hr-HR"/>
        </w:rPr>
        <w:t>.</w:t>
      </w:r>
    </w:p>
    <w:p w14:paraId="63082687" w14:textId="77777777" w:rsidR="004C033F" w:rsidRPr="009A2813" w:rsidRDefault="004C033F">
      <w:pPr>
        <w:rPr>
          <w:szCs w:val="22"/>
          <w:lang w:val="hr-HR"/>
        </w:rPr>
      </w:pPr>
    </w:p>
    <w:p w14:paraId="4ABAF65D" w14:textId="326EB4B3" w:rsidR="004C033F" w:rsidRPr="009A2813" w:rsidRDefault="004C033F">
      <w:pPr>
        <w:rPr>
          <w:szCs w:val="22"/>
          <w:lang w:val="hr-HR"/>
        </w:rPr>
      </w:pPr>
      <w:r w:rsidRPr="009A2813">
        <w:rPr>
          <w:lang w:val="hr-HR"/>
        </w:rPr>
        <w:t>Nakon rekonstitucije, 1 ml rastvora sadrži 167,3 mg ceftazidima i 41,8 mg avibaktama (pogledajte dio 6.6).</w:t>
      </w:r>
    </w:p>
    <w:p w14:paraId="018A2827" w14:textId="77777777" w:rsidR="00962222" w:rsidRPr="009A2813" w:rsidRDefault="00962222">
      <w:pPr>
        <w:rPr>
          <w:szCs w:val="22"/>
          <w:lang w:val="hr-HR"/>
        </w:rPr>
      </w:pPr>
    </w:p>
    <w:p w14:paraId="2C3315E5" w14:textId="77777777" w:rsidR="002B7E9F" w:rsidRPr="009A2813" w:rsidRDefault="002F69E7">
      <w:pPr>
        <w:rPr>
          <w:color w:val="000000"/>
          <w:szCs w:val="22"/>
          <w:lang w:val="hr-HR"/>
        </w:rPr>
      </w:pPr>
      <w:r w:rsidRPr="009A2813">
        <w:rPr>
          <w:color w:val="000000"/>
          <w:u w:val="single"/>
          <w:lang w:val="hr-HR"/>
        </w:rPr>
        <w:t>Pomoćna supstanca sa poznatim dejstvom:</w:t>
      </w:r>
    </w:p>
    <w:p w14:paraId="0CCB3EA6" w14:textId="3F9E81D3" w:rsidR="00962222" w:rsidRPr="009A2813" w:rsidRDefault="00637C32">
      <w:pPr>
        <w:rPr>
          <w:iCs/>
          <w:szCs w:val="22"/>
          <w:lang w:val="hr-HR"/>
        </w:rPr>
      </w:pPr>
      <w:r w:rsidRPr="009A2813">
        <w:rPr>
          <w:color w:val="000000"/>
          <w:lang w:val="hr-HR"/>
        </w:rPr>
        <w:t>Jedna bočica</w:t>
      </w:r>
      <w:r w:rsidR="0058708D" w:rsidRPr="009A2813">
        <w:rPr>
          <w:color w:val="000000"/>
          <w:lang w:val="hr-HR"/>
        </w:rPr>
        <w:t xml:space="preserve"> sadrži približno 146 mg natrijuma</w:t>
      </w:r>
      <w:r w:rsidRPr="009A2813">
        <w:rPr>
          <w:color w:val="000000"/>
          <w:lang w:val="hr-HR"/>
        </w:rPr>
        <w:t>.</w:t>
      </w:r>
      <w:r w:rsidR="0058708D" w:rsidRPr="009A2813">
        <w:rPr>
          <w:color w:val="000000"/>
          <w:lang w:val="hr-HR"/>
        </w:rPr>
        <w:t xml:space="preserve"> </w:t>
      </w:r>
    </w:p>
    <w:p w14:paraId="6C2F2817" w14:textId="77777777" w:rsidR="004C033F" w:rsidRPr="009A2813" w:rsidRDefault="004C033F">
      <w:pPr>
        <w:rPr>
          <w:iCs/>
          <w:szCs w:val="22"/>
          <w:lang w:val="hr-HR"/>
        </w:rPr>
      </w:pPr>
    </w:p>
    <w:p w14:paraId="6821E6A0" w14:textId="1A66BEC3" w:rsidR="004C033F" w:rsidRPr="009A2813" w:rsidRDefault="004C033F">
      <w:pPr>
        <w:rPr>
          <w:iCs/>
          <w:szCs w:val="22"/>
          <w:lang w:val="hr-HR"/>
        </w:rPr>
      </w:pPr>
      <w:r w:rsidRPr="009A2813">
        <w:rPr>
          <w:lang w:val="hr-HR"/>
        </w:rPr>
        <w:t>Za spisak svih ekscipijenasa, pogleda</w:t>
      </w:r>
      <w:r w:rsidR="00BB4A2C" w:rsidRPr="009A2813">
        <w:rPr>
          <w:lang w:val="hr-HR"/>
        </w:rPr>
        <w:t>ti</w:t>
      </w:r>
      <w:r w:rsidRPr="009A2813">
        <w:rPr>
          <w:lang w:val="hr-HR"/>
        </w:rPr>
        <w:t xml:space="preserve"> dio 6.1.</w:t>
      </w:r>
    </w:p>
    <w:p w14:paraId="77997418" w14:textId="77777777" w:rsidR="004C033F" w:rsidRPr="009A2813" w:rsidRDefault="004C033F">
      <w:pPr>
        <w:rPr>
          <w:iCs/>
          <w:szCs w:val="22"/>
          <w:lang w:val="hr-HR"/>
        </w:rPr>
      </w:pPr>
    </w:p>
    <w:p w14:paraId="5507B31B" w14:textId="77777777" w:rsidR="004C033F" w:rsidRPr="009A2813" w:rsidRDefault="004C033F">
      <w:pPr>
        <w:rPr>
          <w:iCs/>
          <w:szCs w:val="22"/>
          <w:lang w:val="hr-HR"/>
        </w:rPr>
      </w:pPr>
    </w:p>
    <w:p w14:paraId="236EEC5A" w14:textId="77777777" w:rsidR="004C033F" w:rsidRPr="009A2813" w:rsidRDefault="004C033F">
      <w:pPr>
        <w:suppressAutoHyphens/>
        <w:ind w:left="567" w:hanging="567"/>
        <w:rPr>
          <w:caps/>
          <w:szCs w:val="22"/>
          <w:lang w:val="hr-HR"/>
        </w:rPr>
      </w:pPr>
      <w:r w:rsidRPr="009A2813">
        <w:rPr>
          <w:b/>
          <w:lang w:val="hr-HR"/>
        </w:rPr>
        <w:t>3.</w:t>
      </w:r>
      <w:r w:rsidRPr="009A2813">
        <w:rPr>
          <w:b/>
          <w:lang w:val="hr-HR"/>
        </w:rPr>
        <w:tab/>
        <w:t xml:space="preserve">FARMACEUTSKI </w:t>
      </w:r>
      <w:r w:rsidRPr="009A2813">
        <w:rPr>
          <w:rFonts w:ascii="Times New Roman Bold" w:hAnsi="Times New Roman Bold"/>
          <w:b/>
          <w:lang w:val="hr-HR"/>
        </w:rPr>
        <w:t>OBLIK</w:t>
      </w:r>
    </w:p>
    <w:p w14:paraId="716DEE7E" w14:textId="77777777" w:rsidR="004C033F" w:rsidRPr="009A2813" w:rsidRDefault="004C033F">
      <w:pPr>
        <w:rPr>
          <w:szCs w:val="22"/>
          <w:lang w:val="hr-HR"/>
        </w:rPr>
      </w:pPr>
    </w:p>
    <w:p w14:paraId="216341A6" w14:textId="77777777" w:rsidR="004C033F" w:rsidRPr="009A2813" w:rsidRDefault="004C033F">
      <w:pPr>
        <w:rPr>
          <w:szCs w:val="22"/>
          <w:lang w:val="hr-HR"/>
        </w:rPr>
      </w:pPr>
      <w:r w:rsidRPr="009A2813">
        <w:rPr>
          <w:lang w:val="hr-HR"/>
        </w:rPr>
        <w:t>Prašak za koncentrat za rastvor za infuziju (prašak za koncentrat).</w:t>
      </w:r>
    </w:p>
    <w:p w14:paraId="77DA4A1A" w14:textId="77777777" w:rsidR="004C033F" w:rsidRPr="009A2813" w:rsidRDefault="004C033F">
      <w:pPr>
        <w:rPr>
          <w:lang w:val="hr-HR"/>
        </w:rPr>
      </w:pPr>
    </w:p>
    <w:p w14:paraId="0C59CE9F" w14:textId="497AC427" w:rsidR="004C033F" w:rsidRPr="009A2813" w:rsidRDefault="004C033F">
      <w:pPr>
        <w:tabs>
          <w:tab w:val="left" w:pos="7036"/>
        </w:tabs>
        <w:rPr>
          <w:lang w:val="hr-HR"/>
        </w:rPr>
      </w:pPr>
      <w:r w:rsidRPr="009A2813">
        <w:rPr>
          <w:lang w:val="hr-HR"/>
        </w:rPr>
        <w:t xml:space="preserve">Bijeli do </w:t>
      </w:r>
      <w:r w:rsidR="008A1D71" w:rsidRPr="009A2813">
        <w:rPr>
          <w:lang w:val="hr-HR"/>
        </w:rPr>
        <w:t>blijed</w:t>
      </w:r>
      <w:r w:rsidR="00637C32" w:rsidRPr="009A2813">
        <w:rPr>
          <w:lang w:val="hr-HR"/>
        </w:rPr>
        <w:t>o</w:t>
      </w:r>
      <w:r w:rsidRPr="009A2813">
        <w:rPr>
          <w:lang w:val="hr-HR"/>
        </w:rPr>
        <w:t>žuti prašak.</w:t>
      </w:r>
    </w:p>
    <w:p w14:paraId="6C5850F2" w14:textId="77777777" w:rsidR="004C033F" w:rsidRPr="009A2813" w:rsidRDefault="004C033F">
      <w:pPr>
        <w:rPr>
          <w:lang w:val="hr-HR"/>
        </w:rPr>
      </w:pPr>
    </w:p>
    <w:p w14:paraId="1326540B" w14:textId="77777777" w:rsidR="004C033F" w:rsidRPr="009A2813" w:rsidRDefault="004C033F">
      <w:pPr>
        <w:rPr>
          <w:lang w:val="hr-HR"/>
        </w:rPr>
      </w:pPr>
    </w:p>
    <w:p w14:paraId="4072F4DA" w14:textId="77777777" w:rsidR="004C033F" w:rsidRPr="009A2813" w:rsidRDefault="004C033F" w:rsidP="00CC4A65">
      <w:pPr>
        <w:suppressAutoHyphens/>
        <w:ind w:left="567" w:hanging="567"/>
        <w:jc w:val="both"/>
        <w:rPr>
          <w:caps/>
          <w:szCs w:val="22"/>
          <w:lang w:val="hr-HR"/>
        </w:rPr>
      </w:pPr>
      <w:r w:rsidRPr="009A2813">
        <w:rPr>
          <w:b/>
          <w:caps/>
          <w:szCs w:val="22"/>
          <w:lang w:val="hr-HR"/>
        </w:rPr>
        <w:t>4.</w:t>
      </w:r>
      <w:r w:rsidRPr="009A2813">
        <w:rPr>
          <w:b/>
          <w:caps/>
          <w:szCs w:val="22"/>
          <w:lang w:val="hr-HR"/>
        </w:rPr>
        <w:tab/>
      </w:r>
      <w:r w:rsidRPr="009A2813">
        <w:rPr>
          <w:b/>
          <w:szCs w:val="22"/>
          <w:lang w:val="hr-HR"/>
        </w:rPr>
        <w:t>KLINIČKI PODACI</w:t>
      </w:r>
    </w:p>
    <w:p w14:paraId="15281448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3D9ED3C4" w14:textId="77777777" w:rsidR="004C033F" w:rsidRPr="009A2813" w:rsidRDefault="004C033F" w:rsidP="00CC4A65">
      <w:pPr>
        <w:ind w:left="567" w:hanging="567"/>
        <w:jc w:val="both"/>
        <w:outlineLvl w:val="0"/>
        <w:rPr>
          <w:szCs w:val="22"/>
          <w:lang w:val="hr-HR"/>
        </w:rPr>
      </w:pPr>
      <w:r w:rsidRPr="009A2813">
        <w:rPr>
          <w:b/>
          <w:szCs w:val="22"/>
          <w:lang w:val="hr-HR"/>
        </w:rPr>
        <w:t>4.1</w:t>
      </w:r>
      <w:r w:rsidRPr="009A2813">
        <w:rPr>
          <w:b/>
          <w:szCs w:val="22"/>
          <w:lang w:val="hr-HR"/>
        </w:rPr>
        <w:tab/>
        <w:t>Terapijske indikacije</w:t>
      </w:r>
    </w:p>
    <w:p w14:paraId="112ED63B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4CDD489C" w14:textId="32F4B920" w:rsidR="004C033F" w:rsidRPr="009A2813" w:rsidRDefault="004C033F" w:rsidP="00B97F09">
      <w:pPr>
        <w:pStyle w:val="xGuidingText"/>
        <w:spacing w:before="0"/>
        <w:jc w:val="both"/>
        <w:rPr>
          <w:rFonts w:ascii="Times New Roman" w:hAnsi="Times New Roman" w:cs="Times New Roman"/>
          <w:b w:val="0"/>
          <w:bCs/>
          <w:noProof w:val="0"/>
          <w:sz w:val="22"/>
          <w:szCs w:val="22"/>
          <w:lang w:val="hr-HR"/>
        </w:rPr>
      </w:pPr>
      <w:r w:rsidRPr="009A2813">
        <w:rPr>
          <w:rFonts w:ascii="Times New Roman" w:hAnsi="Times New Roman" w:cs="Times New Roman"/>
          <w:b w:val="0"/>
          <w:noProof w:val="0"/>
          <w:sz w:val="22"/>
          <w:szCs w:val="22"/>
          <w:lang w:val="hr-HR"/>
        </w:rPr>
        <w:t xml:space="preserve">Lijek </w:t>
      </w:r>
      <w:r w:rsidRPr="009A2813">
        <w:rPr>
          <w:rFonts w:ascii="Times New Roman" w:hAnsi="Times New Roman" w:cs="Times New Roman"/>
          <w:b w:val="0"/>
          <w:noProof w:val="0"/>
          <w:color w:val="000000"/>
          <w:sz w:val="22"/>
          <w:szCs w:val="22"/>
          <w:lang w:val="hr-HR"/>
        </w:rPr>
        <w:t>Zavicefta</w:t>
      </w:r>
      <w:r w:rsidRPr="009A2813">
        <w:rPr>
          <w:rFonts w:ascii="Times New Roman" w:hAnsi="Times New Roman" w:cs="Times New Roman"/>
          <w:b w:val="0"/>
          <w:noProof w:val="0"/>
          <w:sz w:val="22"/>
          <w:szCs w:val="22"/>
          <w:lang w:val="hr-HR"/>
        </w:rPr>
        <w:t xml:space="preserve"> je indikovan kod odraslih i pedijatrijskih pacijenata </w:t>
      </w:r>
      <w:r w:rsidR="00DD2613" w:rsidRPr="009A2813">
        <w:rPr>
          <w:rFonts w:ascii="Times New Roman" w:hAnsi="Times New Roman" w:cs="Times New Roman"/>
          <w:b w:val="0"/>
          <w:noProof w:val="0"/>
          <w:sz w:val="22"/>
          <w:szCs w:val="22"/>
          <w:lang w:val="hr-HR"/>
        </w:rPr>
        <w:t>od rođenja</w:t>
      </w:r>
      <w:r w:rsidRPr="009A2813">
        <w:rPr>
          <w:rFonts w:ascii="Times New Roman" w:hAnsi="Times New Roman" w:cs="Times New Roman"/>
          <w:b w:val="0"/>
          <w:noProof w:val="0"/>
          <w:sz w:val="22"/>
          <w:szCs w:val="22"/>
          <w:lang w:val="hr-HR"/>
        </w:rPr>
        <w:t xml:space="preserve"> za liječenje sljedećih infekcija (pogledajte djelove 4.4 i 5.1):</w:t>
      </w:r>
    </w:p>
    <w:p w14:paraId="603764D5" w14:textId="77777777" w:rsidR="004C033F" w:rsidRPr="009A2813" w:rsidRDefault="004C033F" w:rsidP="00B97F09">
      <w:pPr>
        <w:pStyle w:val="xGuidingText"/>
        <w:spacing w:before="0"/>
        <w:jc w:val="both"/>
        <w:rPr>
          <w:rFonts w:ascii="Times New Roman" w:hAnsi="Times New Roman" w:cs="Times New Roman"/>
          <w:b w:val="0"/>
          <w:bCs/>
          <w:noProof w:val="0"/>
          <w:sz w:val="22"/>
          <w:szCs w:val="22"/>
          <w:lang w:val="hr-HR"/>
        </w:rPr>
      </w:pPr>
    </w:p>
    <w:p w14:paraId="48242941" w14:textId="312536A1" w:rsidR="004C033F" w:rsidRPr="009A2813" w:rsidRDefault="004C033F" w:rsidP="00CC4A65">
      <w:pPr>
        <w:numPr>
          <w:ilvl w:val="0"/>
          <w:numId w:val="2"/>
        </w:numPr>
        <w:ind w:hanging="144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Komplikovana intraabdominalna infekcija (cIAI)</w:t>
      </w:r>
    </w:p>
    <w:p w14:paraId="2E4F6F57" w14:textId="77777777" w:rsidR="004C033F" w:rsidRPr="009A2813" w:rsidRDefault="004C033F" w:rsidP="00CC4A65">
      <w:pPr>
        <w:numPr>
          <w:ilvl w:val="0"/>
          <w:numId w:val="2"/>
        </w:numPr>
        <w:ind w:hanging="144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Komplikovana infekcija urinarnog trakta (cUTI), uključujući pijelonefritis</w:t>
      </w:r>
    </w:p>
    <w:p w14:paraId="386F3672" w14:textId="7BAD82BF" w:rsidR="004C033F" w:rsidRPr="009A2813" w:rsidRDefault="00975783" w:rsidP="00CC4A65">
      <w:pPr>
        <w:numPr>
          <w:ilvl w:val="0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Bolnička pneumonija (HAP), uključujući pneumoniju povezanu sa </w:t>
      </w:r>
      <w:r w:rsidR="007E5557" w:rsidRPr="009A2813">
        <w:rPr>
          <w:szCs w:val="22"/>
          <w:lang w:val="hr-HR"/>
        </w:rPr>
        <w:t xml:space="preserve">mehaničkom ventilacijom </w:t>
      </w:r>
      <w:r w:rsidRPr="009A2813">
        <w:rPr>
          <w:szCs w:val="22"/>
          <w:lang w:val="hr-HR"/>
        </w:rPr>
        <w:t>(VAP)</w:t>
      </w:r>
    </w:p>
    <w:p w14:paraId="1D888517" w14:textId="77777777" w:rsidR="00360F68" w:rsidRPr="009A2813" w:rsidRDefault="00360F68" w:rsidP="00CC4A65">
      <w:pPr>
        <w:ind w:left="540"/>
        <w:jc w:val="both"/>
        <w:rPr>
          <w:szCs w:val="22"/>
          <w:lang w:val="hr-HR"/>
        </w:rPr>
      </w:pPr>
    </w:p>
    <w:p w14:paraId="19667662" w14:textId="77777777" w:rsidR="006E6E97" w:rsidRPr="009A2813" w:rsidRDefault="006E6E97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Liječenje odraslih pacijenata sa bakterijemijom koja se javlja u vezi sa, ili se sumnja da je povezana sa bilo kojom od gore navedenih infekcija.</w:t>
      </w:r>
    </w:p>
    <w:p w14:paraId="0AD85BD5" w14:textId="77777777" w:rsidR="00E44DF3" w:rsidRPr="009A2813" w:rsidRDefault="00E44DF3" w:rsidP="00CC4A65">
      <w:pPr>
        <w:jc w:val="both"/>
        <w:rPr>
          <w:szCs w:val="22"/>
          <w:lang w:val="hr-HR"/>
        </w:rPr>
      </w:pPr>
    </w:p>
    <w:p w14:paraId="29479FC5" w14:textId="0F090567" w:rsidR="004C033F" w:rsidRPr="009A2813" w:rsidRDefault="007E5557" w:rsidP="00CC4A65">
      <w:pPr>
        <w:jc w:val="both"/>
        <w:rPr>
          <w:i/>
          <w:color w:val="000000"/>
          <w:szCs w:val="22"/>
          <w:lang w:val="hr-HR"/>
        </w:rPr>
      </w:pPr>
      <w:r w:rsidRPr="009A2813">
        <w:rPr>
          <w:szCs w:val="22"/>
          <w:lang w:val="hr-HR"/>
        </w:rPr>
        <w:t xml:space="preserve">Lijek </w:t>
      </w:r>
      <w:r w:rsidR="00975783" w:rsidRPr="009A2813">
        <w:rPr>
          <w:szCs w:val="22"/>
          <w:lang w:val="hr-HR"/>
        </w:rPr>
        <w:t xml:space="preserve">Zavicefta je takođe indikovan za liječenje infekcija izazvanih aerobnim gram-negativnim organizmima kod odraslih i pedijatrijskih pacijenata </w:t>
      </w:r>
      <w:r w:rsidR="00DD2613" w:rsidRPr="009A2813">
        <w:rPr>
          <w:szCs w:val="22"/>
          <w:lang w:val="hr-HR"/>
        </w:rPr>
        <w:t>od rođenja</w:t>
      </w:r>
      <w:r w:rsidR="00975783" w:rsidRPr="009A2813">
        <w:rPr>
          <w:szCs w:val="22"/>
          <w:lang w:val="hr-HR"/>
        </w:rPr>
        <w:t xml:space="preserve"> sa ograničenim mogućnostima liječenja (pogledajte djelove 4.2, 4.4 i 5.1).</w:t>
      </w:r>
    </w:p>
    <w:p w14:paraId="3BC9148B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2C25F961" w14:textId="4A7DC56F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Potrebno je uzeti u obzir zvanične preporuke o odgovarajućoj primjeni antibakterijskih </w:t>
      </w:r>
      <w:r w:rsidR="000F4733" w:rsidRPr="009A2813">
        <w:rPr>
          <w:szCs w:val="22"/>
          <w:lang w:val="hr-HR"/>
        </w:rPr>
        <w:t>ljekova</w:t>
      </w:r>
      <w:r w:rsidRPr="009A2813">
        <w:rPr>
          <w:szCs w:val="22"/>
          <w:lang w:val="hr-HR"/>
        </w:rPr>
        <w:t>.</w:t>
      </w:r>
    </w:p>
    <w:p w14:paraId="47DCD2C2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7D8E321E" w14:textId="77777777" w:rsidR="004C033F" w:rsidRPr="009A2813" w:rsidRDefault="004C033F" w:rsidP="00CC4A65">
      <w:pPr>
        <w:keepNext/>
        <w:keepLines/>
        <w:spacing w:line="240" w:lineRule="auto"/>
        <w:jc w:val="both"/>
        <w:outlineLvl w:val="0"/>
        <w:rPr>
          <w:b/>
          <w:szCs w:val="22"/>
          <w:lang w:val="hr-HR"/>
        </w:rPr>
      </w:pPr>
      <w:r w:rsidRPr="009A2813">
        <w:rPr>
          <w:b/>
          <w:szCs w:val="22"/>
          <w:lang w:val="hr-HR"/>
        </w:rPr>
        <w:lastRenderedPageBreak/>
        <w:t>4.2</w:t>
      </w:r>
      <w:r w:rsidRPr="009A2813">
        <w:rPr>
          <w:b/>
          <w:szCs w:val="22"/>
          <w:lang w:val="hr-HR"/>
        </w:rPr>
        <w:tab/>
        <w:t>Doziranje i način primjene</w:t>
      </w:r>
    </w:p>
    <w:p w14:paraId="53259A57" w14:textId="77777777" w:rsidR="00975783" w:rsidRPr="009A2813" w:rsidRDefault="00975783" w:rsidP="00CC4A65">
      <w:pPr>
        <w:keepNext/>
        <w:keepLines/>
        <w:jc w:val="both"/>
        <w:rPr>
          <w:szCs w:val="22"/>
          <w:lang w:val="hr-HR"/>
        </w:rPr>
      </w:pPr>
    </w:p>
    <w:p w14:paraId="649ED5BE" w14:textId="4530DA60" w:rsidR="002C0951" w:rsidRPr="009A2813" w:rsidRDefault="002C0951" w:rsidP="00CC4A65">
      <w:pPr>
        <w:keepNext/>
        <w:keepLines/>
        <w:jc w:val="both"/>
        <w:rPr>
          <w:iCs/>
          <w:szCs w:val="22"/>
          <w:lang w:val="hr-HR"/>
        </w:rPr>
      </w:pPr>
      <w:r w:rsidRPr="009A2813">
        <w:rPr>
          <w:szCs w:val="22"/>
          <w:lang w:val="hr-HR"/>
        </w:rPr>
        <w:t xml:space="preserve">Preporučuje se da se lijek Zavicefta koristi za liječenje infekcija izazvanih aerobnim gram-negativnim organizmima kod odraslih i pedijatrijskih pacijenata </w:t>
      </w:r>
      <w:r w:rsidR="00750308" w:rsidRPr="009A2813">
        <w:rPr>
          <w:szCs w:val="22"/>
          <w:lang w:val="hr-HR"/>
        </w:rPr>
        <w:t>od rođenja</w:t>
      </w:r>
      <w:r w:rsidRPr="009A2813">
        <w:rPr>
          <w:szCs w:val="22"/>
          <w:lang w:val="hr-HR"/>
        </w:rPr>
        <w:t xml:space="preserve"> sa ograničenim mogućnostima liječenja samo nakon konsultacije sa ljekarom sa odgovarajućim iskustvom u liječenju infektivnih bolesti (pogledajte dio 4.4).</w:t>
      </w:r>
    </w:p>
    <w:p w14:paraId="3C7AC792" w14:textId="77777777" w:rsidR="00B37A11" w:rsidRPr="009A2813" w:rsidRDefault="00B37A11" w:rsidP="00CC4A65">
      <w:pPr>
        <w:keepNext/>
        <w:keepLines/>
        <w:jc w:val="both"/>
        <w:rPr>
          <w:szCs w:val="22"/>
          <w:u w:val="single"/>
          <w:lang w:val="hr-HR"/>
        </w:rPr>
      </w:pPr>
    </w:p>
    <w:p w14:paraId="4D46F4F2" w14:textId="77777777" w:rsidR="004C033F" w:rsidRPr="009A2813" w:rsidRDefault="004C033F" w:rsidP="00CC4A65">
      <w:pPr>
        <w:keepNext/>
        <w:keepLines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Doziranje</w:t>
      </w:r>
    </w:p>
    <w:p w14:paraId="362FB7A4" w14:textId="77777777" w:rsidR="00646431" w:rsidRPr="009A2813" w:rsidRDefault="00646431" w:rsidP="00CC4A65">
      <w:pPr>
        <w:keepNext/>
        <w:keepLines/>
        <w:jc w:val="both"/>
        <w:rPr>
          <w:szCs w:val="22"/>
          <w:u w:val="single"/>
          <w:lang w:val="hr-HR"/>
        </w:rPr>
      </w:pPr>
    </w:p>
    <w:p w14:paraId="5FA4CC3E" w14:textId="77777777" w:rsidR="003F4C3C" w:rsidRPr="009A2813" w:rsidRDefault="00646431" w:rsidP="00CC4A65">
      <w:pPr>
        <w:keepNext/>
        <w:keepLines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SimSun"/>
          <w:bCs/>
          <w:i/>
          <w:szCs w:val="22"/>
          <w:lang w:val="hr-HR"/>
        </w:rPr>
      </w:pPr>
      <w:r w:rsidRPr="009A2813">
        <w:rPr>
          <w:i/>
          <w:szCs w:val="22"/>
          <w:lang w:val="hr-HR"/>
        </w:rPr>
        <w:t>Doziranje kod odraslih sa klirensom kreatinina (CrCL) &gt; 50 ml/min</w:t>
      </w:r>
    </w:p>
    <w:p w14:paraId="503C532B" w14:textId="77777777" w:rsidR="00646431" w:rsidRPr="009A2813" w:rsidRDefault="00646431" w:rsidP="00CC4A65">
      <w:pPr>
        <w:keepNext/>
        <w:keepLines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/>
          <w:szCs w:val="22"/>
          <w:lang w:val="hr-HR"/>
        </w:rPr>
      </w:pPr>
    </w:p>
    <w:p w14:paraId="354F80FF" w14:textId="66E64B64" w:rsidR="004C033F" w:rsidRPr="009A2813" w:rsidRDefault="00CC50D5" w:rsidP="00CC4A65">
      <w:pPr>
        <w:pStyle w:val="A-StudyTitle"/>
        <w:keepNext/>
        <w:spacing w:after="0"/>
        <w:jc w:val="both"/>
        <w:rPr>
          <w:b w:val="0"/>
          <w:b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lang w:val="hr-HR"/>
        </w:rPr>
        <w:t>Tabela 1 prikazuje preporučenu intravensku dozu za odrasle sa procijenjenim klirensom kreatinina (CrCL) &gt; 50 ml/min (pogledajte djelove 4.4 i 5.1).</w:t>
      </w:r>
    </w:p>
    <w:p w14:paraId="46149173" w14:textId="77777777" w:rsidR="00B37A11" w:rsidRPr="009A2813" w:rsidRDefault="00B37A11" w:rsidP="00CC4A65">
      <w:pPr>
        <w:pStyle w:val="A-StudyTitle"/>
        <w:spacing w:after="0"/>
        <w:jc w:val="both"/>
        <w:rPr>
          <w:b w:val="0"/>
          <w:bCs/>
          <w:sz w:val="22"/>
          <w:szCs w:val="22"/>
          <w:lang w:val="hr-HR"/>
        </w:rPr>
      </w:pPr>
    </w:p>
    <w:p w14:paraId="1E1CC850" w14:textId="77777777" w:rsidR="002F69E7" w:rsidRPr="009A2813" w:rsidRDefault="004C033F" w:rsidP="00CC4A65">
      <w:pPr>
        <w:keepNext/>
        <w:keepLines/>
        <w:jc w:val="both"/>
        <w:rPr>
          <w:bCs/>
          <w:szCs w:val="22"/>
          <w:lang w:val="hr-HR"/>
        </w:rPr>
      </w:pPr>
      <w:r w:rsidRPr="009A2813">
        <w:rPr>
          <w:szCs w:val="22"/>
          <w:lang w:val="hr-HR"/>
        </w:rPr>
        <w:t>Tabela 1: Preporučena doza za odrasle sa procijenjenim CrCL &gt; 50 ml/min</w:t>
      </w:r>
      <w:r w:rsidRPr="009A2813">
        <w:rPr>
          <w:szCs w:val="22"/>
          <w:vertAlign w:val="superscript"/>
          <w:lang w:val="hr-HR"/>
        </w:rPr>
        <w:t>1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2318"/>
        <w:gridCol w:w="1366"/>
        <w:gridCol w:w="1048"/>
        <w:gridCol w:w="2281"/>
      </w:tblGrid>
      <w:tr w:rsidR="00C65C0A" w:rsidRPr="009A2813" w14:paraId="18023C86" w14:textId="77777777" w:rsidTr="0061024D">
        <w:tc>
          <w:tcPr>
            <w:tcW w:w="2337" w:type="dxa"/>
          </w:tcPr>
          <w:p w14:paraId="513D6F3E" w14:textId="77777777" w:rsidR="005E04F6" w:rsidRPr="009A2813" w:rsidRDefault="005E04F6" w:rsidP="00CC4A65">
            <w:pPr>
              <w:keepNext/>
              <w:keepLines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Vrsta infekcije</w:t>
            </w:r>
          </w:p>
        </w:tc>
        <w:tc>
          <w:tcPr>
            <w:tcW w:w="2208" w:type="dxa"/>
          </w:tcPr>
          <w:p w14:paraId="3CE1709F" w14:textId="77777777" w:rsidR="005E04F6" w:rsidRPr="009A2813" w:rsidRDefault="005E04F6" w:rsidP="00CC4A65">
            <w:pPr>
              <w:keepNext/>
              <w:keepLines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Doza</w:t>
            </w:r>
          </w:p>
          <w:p w14:paraId="2FAA4819" w14:textId="422EF017" w:rsidR="00F969B7" w:rsidRPr="009A2813" w:rsidRDefault="00F206A5" w:rsidP="00CC4A65">
            <w:pPr>
              <w:keepNext/>
              <w:keepLines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c</w:t>
            </w:r>
            <w:r w:rsidR="00F969B7" w:rsidRPr="009A2813">
              <w:rPr>
                <w:color w:val="000000"/>
                <w:szCs w:val="22"/>
                <w:lang w:val="hr-HR"/>
              </w:rPr>
              <w:t>eftazidima</w:t>
            </w:r>
            <w:r w:rsidR="003F0957" w:rsidRPr="009A2813">
              <w:rPr>
                <w:color w:val="000000"/>
                <w:szCs w:val="22"/>
                <w:lang w:val="hr-HR"/>
              </w:rPr>
              <w:t>/</w:t>
            </w:r>
            <w:r w:rsidR="00F969B7" w:rsidRPr="009A2813">
              <w:rPr>
                <w:color w:val="000000"/>
                <w:szCs w:val="22"/>
                <w:lang w:val="hr-HR"/>
              </w:rPr>
              <w:t>avibaktama</w:t>
            </w:r>
          </w:p>
        </w:tc>
        <w:tc>
          <w:tcPr>
            <w:tcW w:w="1381" w:type="dxa"/>
          </w:tcPr>
          <w:p w14:paraId="329CB3BC" w14:textId="77777777" w:rsidR="005E04F6" w:rsidRPr="009A2813" w:rsidRDefault="005E04F6" w:rsidP="00CC4A65">
            <w:pPr>
              <w:keepNext/>
              <w:keepLines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Učestalost</w:t>
            </w:r>
          </w:p>
        </w:tc>
        <w:tc>
          <w:tcPr>
            <w:tcW w:w="1055" w:type="dxa"/>
          </w:tcPr>
          <w:p w14:paraId="40A8062B" w14:textId="77777777" w:rsidR="005E04F6" w:rsidRPr="009A2813" w:rsidRDefault="005E04F6" w:rsidP="00CC4A65">
            <w:pPr>
              <w:keepNext/>
              <w:keepLines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Vrijeme infuzije</w:t>
            </w:r>
          </w:p>
        </w:tc>
        <w:tc>
          <w:tcPr>
            <w:tcW w:w="2320" w:type="dxa"/>
          </w:tcPr>
          <w:p w14:paraId="0901756B" w14:textId="77777777" w:rsidR="005E04F6" w:rsidRPr="009A2813" w:rsidRDefault="005E04F6" w:rsidP="00CC4A65">
            <w:pPr>
              <w:keepNext/>
              <w:keepLines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Trajanje liječenja</w:t>
            </w:r>
          </w:p>
        </w:tc>
      </w:tr>
      <w:tr w:rsidR="00C65C0A" w:rsidRPr="009A2813" w14:paraId="36E13EB4" w14:textId="77777777" w:rsidTr="0061024D">
        <w:tc>
          <w:tcPr>
            <w:tcW w:w="2337" w:type="dxa"/>
          </w:tcPr>
          <w:p w14:paraId="28D8B26E" w14:textId="77777777" w:rsidR="005E04F6" w:rsidRPr="009A2813" w:rsidRDefault="008620FD" w:rsidP="00CC4A65">
            <w:pPr>
              <w:keepNext/>
              <w:keepLines/>
              <w:jc w:val="both"/>
              <w:rPr>
                <w:color w:val="000000"/>
                <w:szCs w:val="22"/>
                <w:vertAlign w:val="superscript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cIAI</w:t>
            </w:r>
            <w:r w:rsidRPr="009A2813">
              <w:rPr>
                <w:color w:val="000000"/>
                <w:szCs w:val="22"/>
                <w:vertAlign w:val="superscript"/>
                <w:lang w:val="hr-HR"/>
              </w:rPr>
              <w:t>2,3</w:t>
            </w:r>
          </w:p>
          <w:p w14:paraId="1C41DFF5" w14:textId="77777777" w:rsidR="00C65C0A" w:rsidRPr="009A2813" w:rsidRDefault="00C65C0A" w:rsidP="00CC4A65">
            <w:pPr>
              <w:keepNext/>
              <w:keepLines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2208" w:type="dxa"/>
          </w:tcPr>
          <w:p w14:paraId="2639841C" w14:textId="34C4BFAA" w:rsidR="005E04F6" w:rsidRPr="009A2813" w:rsidRDefault="00C65C0A" w:rsidP="00CC4A65">
            <w:pPr>
              <w:keepNext/>
              <w:keepLines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 g</w:t>
            </w:r>
            <w:r w:rsidR="00E8529B" w:rsidRPr="009A2813">
              <w:rPr>
                <w:color w:val="000000"/>
                <w:szCs w:val="22"/>
                <w:lang w:val="hr-HR"/>
              </w:rPr>
              <w:t xml:space="preserve"> + </w:t>
            </w:r>
            <w:r w:rsidRPr="009A2813">
              <w:rPr>
                <w:color w:val="000000"/>
                <w:szCs w:val="22"/>
                <w:lang w:val="hr-HR"/>
              </w:rPr>
              <w:t>0,5 g</w:t>
            </w:r>
          </w:p>
        </w:tc>
        <w:tc>
          <w:tcPr>
            <w:tcW w:w="1381" w:type="dxa"/>
          </w:tcPr>
          <w:p w14:paraId="078DF24E" w14:textId="77777777" w:rsidR="005E04F6" w:rsidRPr="009A2813" w:rsidRDefault="00C65C0A" w:rsidP="00CC4A65">
            <w:pPr>
              <w:keepNext/>
              <w:keepLines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Svakih 8 sati</w:t>
            </w:r>
          </w:p>
        </w:tc>
        <w:tc>
          <w:tcPr>
            <w:tcW w:w="1055" w:type="dxa"/>
          </w:tcPr>
          <w:p w14:paraId="6B953C6D" w14:textId="77777777" w:rsidR="005E04F6" w:rsidRPr="009A2813" w:rsidRDefault="00C65C0A" w:rsidP="00CC4A65">
            <w:pPr>
              <w:keepNext/>
              <w:keepLines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 sata</w:t>
            </w:r>
          </w:p>
        </w:tc>
        <w:tc>
          <w:tcPr>
            <w:tcW w:w="2320" w:type="dxa"/>
          </w:tcPr>
          <w:p w14:paraId="573C143D" w14:textId="77777777" w:rsidR="005E04F6" w:rsidRPr="009A2813" w:rsidRDefault="00C65C0A" w:rsidP="00CC4A65">
            <w:pPr>
              <w:keepNext/>
              <w:keepLines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5-14 dana</w:t>
            </w:r>
          </w:p>
        </w:tc>
      </w:tr>
      <w:tr w:rsidR="00C65C0A" w:rsidRPr="009A2813" w14:paraId="0BD9C9F9" w14:textId="77777777" w:rsidTr="0061024D">
        <w:tc>
          <w:tcPr>
            <w:tcW w:w="2337" w:type="dxa"/>
          </w:tcPr>
          <w:p w14:paraId="7A2F515C" w14:textId="77777777" w:rsidR="00C65C0A" w:rsidRPr="009A2813" w:rsidRDefault="008620FD" w:rsidP="00CC4A65">
            <w:pPr>
              <w:jc w:val="both"/>
              <w:rPr>
                <w:color w:val="000000"/>
                <w:szCs w:val="22"/>
                <w:vertAlign w:val="superscript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cUTI, uključujući pijelonefritis</w:t>
            </w:r>
            <w:r w:rsidRPr="009A2813">
              <w:rPr>
                <w:color w:val="000000"/>
                <w:szCs w:val="22"/>
                <w:vertAlign w:val="superscript"/>
                <w:lang w:val="hr-HR"/>
              </w:rPr>
              <w:t>3</w:t>
            </w:r>
          </w:p>
          <w:p w14:paraId="04512BB0" w14:textId="77777777" w:rsidR="00AB75DC" w:rsidRPr="009A2813" w:rsidRDefault="00AB75DC" w:rsidP="00CC4A65">
            <w:pPr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2208" w:type="dxa"/>
          </w:tcPr>
          <w:p w14:paraId="3905BCC1" w14:textId="0BD08C89" w:rsidR="005E04F6" w:rsidRPr="009A2813" w:rsidRDefault="00C65C0A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 g</w:t>
            </w:r>
            <w:r w:rsidR="00E8529B" w:rsidRPr="009A2813">
              <w:rPr>
                <w:color w:val="000000"/>
                <w:szCs w:val="22"/>
                <w:lang w:val="hr-HR"/>
              </w:rPr>
              <w:t xml:space="preserve"> + </w:t>
            </w:r>
            <w:r w:rsidRPr="009A2813">
              <w:rPr>
                <w:color w:val="000000"/>
                <w:szCs w:val="22"/>
                <w:lang w:val="hr-HR"/>
              </w:rPr>
              <w:t>0,5 g</w:t>
            </w:r>
          </w:p>
        </w:tc>
        <w:tc>
          <w:tcPr>
            <w:tcW w:w="1381" w:type="dxa"/>
          </w:tcPr>
          <w:p w14:paraId="2C270C56" w14:textId="77777777" w:rsidR="005E04F6" w:rsidRPr="009A2813" w:rsidRDefault="00C65C0A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Svakih 8 sati</w:t>
            </w:r>
          </w:p>
        </w:tc>
        <w:tc>
          <w:tcPr>
            <w:tcW w:w="1055" w:type="dxa"/>
          </w:tcPr>
          <w:p w14:paraId="7110F902" w14:textId="77777777" w:rsidR="005E04F6" w:rsidRPr="009A2813" w:rsidRDefault="00C65C0A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 sata</w:t>
            </w:r>
          </w:p>
        </w:tc>
        <w:tc>
          <w:tcPr>
            <w:tcW w:w="2320" w:type="dxa"/>
          </w:tcPr>
          <w:p w14:paraId="332DC3A7" w14:textId="77777777" w:rsidR="005E04F6" w:rsidRPr="009A2813" w:rsidRDefault="00C65C0A" w:rsidP="00CC4A65">
            <w:pPr>
              <w:jc w:val="both"/>
              <w:rPr>
                <w:color w:val="000000"/>
                <w:szCs w:val="22"/>
                <w:vertAlign w:val="superscript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5-10 dana</w:t>
            </w:r>
            <w:r w:rsidRPr="009A2813">
              <w:rPr>
                <w:color w:val="000000"/>
                <w:szCs w:val="22"/>
                <w:vertAlign w:val="superscript"/>
                <w:lang w:val="hr-HR"/>
              </w:rPr>
              <w:t>4</w:t>
            </w:r>
          </w:p>
          <w:p w14:paraId="7DB7B64E" w14:textId="77777777" w:rsidR="00BF78A8" w:rsidRPr="009A2813" w:rsidRDefault="00BF78A8" w:rsidP="00CC4A65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color w:val="000000"/>
                <w:szCs w:val="22"/>
                <w:lang w:val="hr-HR"/>
              </w:rPr>
            </w:pPr>
          </w:p>
        </w:tc>
      </w:tr>
      <w:tr w:rsidR="00C65C0A" w:rsidRPr="009A2813" w14:paraId="39529C33" w14:textId="77777777" w:rsidTr="0061024D">
        <w:tc>
          <w:tcPr>
            <w:tcW w:w="2337" w:type="dxa"/>
          </w:tcPr>
          <w:p w14:paraId="3D25FDD8" w14:textId="77777777" w:rsidR="005E04F6" w:rsidRPr="009A2813" w:rsidRDefault="005979FD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HAP/VAP</w:t>
            </w:r>
            <w:r w:rsidRPr="009A2813">
              <w:rPr>
                <w:szCs w:val="22"/>
                <w:vertAlign w:val="superscript"/>
                <w:lang w:val="hr-HR"/>
              </w:rPr>
              <w:t>3</w:t>
            </w:r>
          </w:p>
          <w:p w14:paraId="75881DA2" w14:textId="77777777" w:rsidR="00C65C0A" w:rsidRPr="009A2813" w:rsidRDefault="00C65C0A" w:rsidP="00CC4A65">
            <w:pPr>
              <w:jc w:val="both"/>
              <w:rPr>
                <w:color w:val="000000"/>
                <w:szCs w:val="22"/>
                <w:lang w:val="hr-HR"/>
              </w:rPr>
            </w:pPr>
          </w:p>
          <w:p w14:paraId="01E5CBB6" w14:textId="77777777" w:rsidR="00BC655A" w:rsidRPr="009A2813" w:rsidRDefault="00BC655A" w:rsidP="00CC4A65">
            <w:pPr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2208" w:type="dxa"/>
          </w:tcPr>
          <w:p w14:paraId="67C4C255" w14:textId="2B14E714" w:rsidR="005E04F6" w:rsidRPr="009A2813" w:rsidRDefault="00C65C0A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 g</w:t>
            </w:r>
            <w:r w:rsidR="00E8529B" w:rsidRPr="009A2813">
              <w:rPr>
                <w:color w:val="000000"/>
                <w:szCs w:val="22"/>
                <w:lang w:val="hr-HR"/>
              </w:rPr>
              <w:t xml:space="preserve"> + </w:t>
            </w:r>
            <w:r w:rsidRPr="009A2813">
              <w:rPr>
                <w:color w:val="000000"/>
                <w:szCs w:val="22"/>
                <w:lang w:val="hr-HR"/>
              </w:rPr>
              <w:t>0,5 g</w:t>
            </w:r>
          </w:p>
        </w:tc>
        <w:tc>
          <w:tcPr>
            <w:tcW w:w="1381" w:type="dxa"/>
          </w:tcPr>
          <w:p w14:paraId="02602016" w14:textId="77777777" w:rsidR="005E04F6" w:rsidRPr="009A2813" w:rsidRDefault="00C65C0A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Svakih 8 sati</w:t>
            </w:r>
          </w:p>
        </w:tc>
        <w:tc>
          <w:tcPr>
            <w:tcW w:w="1055" w:type="dxa"/>
          </w:tcPr>
          <w:p w14:paraId="3CBB9102" w14:textId="77777777" w:rsidR="005E04F6" w:rsidRPr="009A2813" w:rsidRDefault="00C65C0A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 sata</w:t>
            </w:r>
          </w:p>
        </w:tc>
        <w:tc>
          <w:tcPr>
            <w:tcW w:w="2320" w:type="dxa"/>
          </w:tcPr>
          <w:p w14:paraId="02B6C93B" w14:textId="77777777" w:rsidR="005E04F6" w:rsidRPr="009A2813" w:rsidRDefault="000C43B4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7-14 dana</w:t>
            </w:r>
          </w:p>
        </w:tc>
      </w:tr>
      <w:tr w:rsidR="00BC655A" w:rsidRPr="009A2813" w14:paraId="364EC60F" w14:textId="77777777" w:rsidTr="0061024D">
        <w:tc>
          <w:tcPr>
            <w:tcW w:w="2337" w:type="dxa"/>
            <w:tcMar>
              <w:left w:w="216" w:type="dxa"/>
              <w:right w:w="115" w:type="dxa"/>
            </w:tcMar>
          </w:tcPr>
          <w:p w14:paraId="313F1A1C" w14:textId="77777777" w:rsidR="00BC655A" w:rsidRPr="009A2813" w:rsidRDefault="00BC655A" w:rsidP="00CC4A65">
            <w:pPr>
              <w:ind w:left="-104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Bakterijemija povezana sa bilo kojom od gore navedenih infekcija ili se sumnja da je povezana sa njom</w:t>
            </w:r>
          </w:p>
        </w:tc>
        <w:tc>
          <w:tcPr>
            <w:tcW w:w="2208" w:type="dxa"/>
          </w:tcPr>
          <w:p w14:paraId="5CD97CE3" w14:textId="549C685A" w:rsidR="00BC655A" w:rsidRPr="009A2813" w:rsidRDefault="00E8529B" w:rsidP="00CC4A65">
            <w:pPr>
              <w:tabs>
                <w:tab w:val="clear" w:pos="567"/>
                <w:tab w:val="left" w:pos="527"/>
              </w:tabs>
              <w:ind w:left="-283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 xml:space="preserve">   </w:t>
            </w:r>
            <w:r w:rsidR="00BC655A" w:rsidRPr="009A2813">
              <w:rPr>
                <w:color w:val="000000"/>
                <w:szCs w:val="22"/>
                <w:lang w:val="hr-HR"/>
              </w:rPr>
              <w:t>2 g</w:t>
            </w:r>
            <w:r w:rsidRPr="009A2813">
              <w:rPr>
                <w:color w:val="000000"/>
                <w:szCs w:val="22"/>
                <w:lang w:val="hr-HR"/>
              </w:rPr>
              <w:t xml:space="preserve"> + </w:t>
            </w:r>
            <w:r w:rsidR="00BC655A" w:rsidRPr="009A2813">
              <w:rPr>
                <w:color w:val="000000"/>
                <w:szCs w:val="22"/>
                <w:lang w:val="hr-HR"/>
              </w:rPr>
              <w:t>0,5 g</w:t>
            </w:r>
          </w:p>
        </w:tc>
        <w:tc>
          <w:tcPr>
            <w:tcW w:w="1381" w:type="dxa"/>
          </w:tcPr>
          <w:p w14:paraId="1E98ECB4" w14:textId="77777777" w:rsidR="00BC655A" w:rsidRPr="009A2813" w:rsidRDefault="00BC655A" w:rsidP="00CC4A65">
            <w:pPr>
              <w:ind w:left="-64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Svakih 8 sati</w:t>
            </w:r>
          </w:p>
        </w:tc>
        <w:tc>
          <w:tcPr>
            <w:tcW w:w="1055" w:type="dxa"/>
          </w:tcPr>
          <w:p w14:paraId="6BBD7FDE" w14:textId="77777777" w:rsidR="00BC655A" w:rsidRPr="009A2813" w:rsidRDefault="00BC655A" w:rsidP="00CC4A65">
            <w:pPr>
              <w:ind w:left="-186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 sata</w:t>
            </w:r>
          </w:p>
        </w:tc>
        <w:tc>
          <w:tcPr>
            <w:tcW w:w="2320" w:type="dxa"/>
            <w:tcMar>
              <w:left w:w="173" w:type="dxa"/>
              <w:right w:w="115" w:type="dxa"/>
            </w:tcMar>
          </w:tcPr>
          <w:p w14:paraId="5FDF569E" w14:textId="77777777" w:rsidR="00BC655A" w:rsidRPr="009A2813" w:rsidRDefault="00BC655A" w:rsidP="00CC4A65">
            <w:pPr>
              <w:ind w:left="-65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Trajanje liječenja treba da bude prilagođeno mjestu infekcije.</w:t>
            </w:r>
          </w:p>
          <w:p w14:paraId="160AC5B1" w14:textId="77777777" w:rsidR="00BC655A" w:rsidRPr="009A2813" w:rsidRDefault="00BC655A" w:rsidP="00CC4A65">
            <w:pPr>
              <w:jc w:val="both"/>
              <w:rPr>
                <w:color w:val="000000"/>
                <w:szCs w:val="22"/>
                <w:lang w:val="hr-HR"/>
              </w:rPr>
            </w:pPr>
          </w:p>
        </w:tc>
      </w:tr>
      <w:tr w:rsidR="00BC655A" w:rsidRPr="009A2813" w14:paraId="218E3C07" w14:textId="77777777" w:rsidTr="0061024D">
        <w:tc>
          <w:tcPr>
            <w:tcW w:w="2337" w:type="dxa"/>
          </w:tcPr>
          <w:p w14:paraId="0710EE1E" w14:textId="77777777" w:rsidR="00BC655A" w:rsidRPr="009A2813" w:rsidRDefault="00BC655A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Infekcije izazvane aerobnim gram-negativnim organizmima kod pacijenata sa ograničenim mogućnostima liječenja</w:t>
            </w:r>
            <w:r w:rsidRPr="009A2813">
              <w:rPr>
                <w:szCs w:val="22"/>
                <w:vertAlign w:val="superscript"/>
                <w:lang w:val="hr-HR"/>
              </w:rPr>
              <w:t>2,3</w:t>
            </w:r>
          </w:p>
        </w:tc>
        <w:tc>
          <w:tcPr>
            <w:tcW w:w="2208" w:type="dxa"/>
          </w:tcPr>
          <w:p w14:paraId="2F8B9F02" w14:textId="4832E664" w:rsidR="00BC655A" w:rsidRPr="009A2813" w:rsidRDefault="00BC655A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 g</w:t>
            </w:r>
            <w:r w:rsidR="00E8529B" w:rsidRPr="009A2813">
              <w:rPr>
                <w:color w:val="000000"/>
                <w:szCs w:val="22"/>
                <w:lang w:val="hr-HR"/>
              </w:rPr>
              <w:t xml:space="preserve"> + </w:t>
            </w:r>
            <w:r w:rsidRPr="009A2813">
              <w:rPr>
                <w:color w:val="000000"/>
                <w:szCs w:val="22"/>
                <w:lang w:val="hr-HR"/>
              </w:rPr>
              <w:t>0,5 g</w:t>
            </w:r>
          </w:p>
        </w:tc>
        <w:tc>
          <w:tcPr>
            <w:tcW w:w="1381" w:type="dxa"/>
          </w:tcPr>
          <w:p w14:paraId="1A5FECB7" w14:textId="77777777" w:rsidR="00BC655A" w:rsidRPr="009A2813" w:rsidRDefault="00BC655A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Svakih 8 sati</w:t>
            </w:r>
          </w:p>
        </w:tc>
        <w:tc>
          <w:tcPr>
            <w:tcW w:w="1055" w:type="dxa"/>
          </w:tcPr>
          <w:p w14:paraId="6D08EBEA" w14:textId="77777777" w:rsidR="00BC655A" w:rsidRPr="009A2813" w:rsidRDefault="00BC655A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 sata</w:t>
            </w:r>
          </w:p>
        </w:tc>
        <w:tc>
          <w:tcPr>
            <w:tcW w:w="2320" w:type="dxa"/>
          </w:tcPr>
          <w:p w14:paraId="0A4F5C22" w14:textId="77777777" w:rsidR="00BC655A" w:rsidRPr="009A2813" w:rsidRDefault="00BC655A" w:rsidP="00CC4A65">
            <w:pPr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Vođeni ozbiljnošću infekcije, patogenom(ima) i kliničkim i bakteriološkim napretkom pacijenta</w:t>
            </w:r>
            <w:r w:rsidRPr="009A2813">
              <w:rPr>
                <w:szCs w:val="22"/>
                <w:vertAlign w:val="superscript"/>
                <w:lang w:val="hr-HR"/>
              </w:rPr>
              <w:t>5</w:t>
            </w:r>
          </w:p>
        </w:tc>
      </w:tr>
    </w:tbl>
    <w:p w14:paraId="68A18A71" w14:textId="77777777" w:rsidR="005279C1" w:rsidRPr="009A2813" w:rsidRDefault="00C65C0A" w:rsidP="00CC4A65">
      <w:pPr>
        <w:jc w:val="both"/>
        <w:rPr>
          <w:color w:val="000000"/>
          <w:szCs w:val="22"/>
          <w:lang w:val="hr-HR"/>
        </w:rPr>
      </w:pPr>
      <w:r w:rsidRPr="009A2813">
        <w:rPr>
          <w:color w:val="000000"/>
          <w:szCs w:val="22"/>
          <w:vertAlign w:val="superscript"/>
          <w:lang w:val="hr-HR"/>
        </w:rPr>
        <w:t>1</w:t>
      </w:r>
      <w:r w:rsidRPr="009A2813">
        <w:rPr>
          <w:color w:val="000000"/>
          <w:szCs w:val="22"/>
          <w:lang w:val="hr-HR"/>
        </w:rPr>
        <w:t xml:space="preserve"> CrCL procijenjen korišćenjem Cockcroft-Gaultove formule.</w:t>
      </w:r>
    </w:p>
    <w:p w14:paraId="18491035" w14:textId="77777777" w:rsidR="005E04F6" w:rsidRPr="009A2813" w:rsidRDefault="00923E0D" w:rsidP="00CC4A65">
      <w:pPr>
        <w:ind w:left="144" w:hanging="144"/>
        <w:jc w:val="both"/>
        <w:rPr>
          <w:color w:val="000000"/>
          <w:szCs w:val="22"/>
          <w:lang w:val="hr-HR"/>
        </w:rPr>
      </w:pPr>
      <w:r w:rsidRPr="009A2813">
        <w:rPr>
          <w:color w:val="000000"/>
          <w:szCs w:val="22"/>
          <w:vertAlign w:val="superscript"/>
          <w:lang w:val="hr-HR"/>
        </w:rPr>
        <w:t>2</w:t>
      </w:r>
      <w:r w:rsidRPr="009A2813">
        <w:rPr>
          <w:color w:val="000000"/>
          <w:szCs w:val="22"/>
          <w:lang w:val="hr-HR"/>
        </w:rPr>
        <w:t xml:space="preserve"> Koristi se u kombinaciji sa metronidazolom kada se zna ili sumnja da anaerobni patogeni doprinose infektivnom procesu.</w:t>
      </w:r>
    </w:p>
    <w:p w14:paraId="45FF7E18" w14:textId="560C0A77" w:rsidR="00C65C0A" w:rsidRPr="009A2813" w:rsidRDefault="005279C1" w:rsidP="00CC4A65">
      <w:pPr>
        <w:pStyle w:val="A-TableText"/>
        <w:spacing w:before="0" w:after="0"/>
        <w:ind w:left="144" w:hanging="144"/>
        <w:jc w:val="both"/>
        <w:rPr>
          <w:szCs w:val="22"/>
          <w:lang w:val="hr-HR"/>
        </w:rPr>
      </w:pPr>
      <w:r w:rsidRPr="009A2813">
        <w:rPr>
          <w:color w:val="000000"/>
          <w:szCs w:val="22"/>
          <w:vertAlign w:val="superscript"/>
          <w:lang w:val="hr-HR"/>
        </w:rPr>
        <w:t>3</w:t>
      </w:r>
      <w:r w:rsidRPr="009A2813">
        <w:rPr>
          <w:szCs w:val="22"/>
          <w:lang w:val="hr-HR"/>
        </w:rPr>
        <w:t xml:space="preserve"> Koristi se u kombinaciji sa antibakterijskim </w:t>
      </w:r>
      <w:r w:rsidR="000F4733" w:rsidRPr="009A2813">
        <w:rPr>
          <w:szCs w:val="22"/>
          <w:lang w:val="hr-HR"/>
        </w:rPr>
        <w:t xml:space="preserve">lijekom </w:t>
      </w:r>
      <w:r w:rsidRPr="009A2813">
        <w:rPr>
          <w:szCs w:val="22"/>
          <w:lang w:val="hr-HR"/>
        </w:rPr>
        <w:t>aktivnim protiv gram-pozitivnih patogena kada se zna ili sumnja da oni doprinose infektivnom procesu.</w:t>
      </w:r>
    </w:p>
    <w:p w14:paraId="75954B70" w14:textId="77777777" w:rsidR="009C4B90" w:rsidRPr="009A2813" w:rsidRDefault="005279C1" w:rsidP="00CC4A65">
      <w:pPr>
        <w:pStyle w:val="A-TableText"/>
        <w:spacing w:before="0" w:after="0"/>
        <w:jc w:val="both"/>
        <w:rPr>
          <w:szCs w:val="22"/>
          <w:lang w:val="hr-HR"/>
        </w:rPr>
      </w:pPr>
      <w:r w:rsidRPr="009A2813">
        <w:rPr>
          <w:color w:val="000000"/>
          <w:szCs w:val="22"/>
          <w:vertAlign w:val="superscript"/>
          <w:lang w:val="hr-HR"/>
        </w:rPr>
        <w:t>4</w:t>
      </w:r>
      <w:r w:rsidRPr="009A2813">
        <w:rPr>
          <w:szCs w:val="22"/>
          <w:lang w:val="hr-HR"/>
        </w:rPr>
        <w:t xml:space="preserve"> Ukupno prikazano trajanje može uključivati intravensku primjenu lijeka Zavicefta nakon čega slijedi odgovarajuća oralna terapija.</w:t>
      </w:r>
    </w:p>
    <w:p w14:paraId="7B7BF707" w14:textId="43CD9E0F" w:rsidR="0068038C" w:rsidRPr="009A2813" w:rsidRDefault="005279C1" w:rsidP="00CC4A65">
      <w:pPr>
        <w:pStyle w:val="A-TableText"/>
        <w:spacing w:before="0" w:after="0"/>
        <w:jc w:val="both"/>
        <w:rPr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 xml:space="preserve">5 </w:t>
      </w:r>
      <w:r w:rsidRPr="009A2813">
        <w:rPr>
          <w:szCs w:val="22"/>
          <w:lang w:val="hr-HR"/>
        </w:rPr>
        <w:t>Postoji veoma ograničeno iskustvo sa upotrebom lijeka Zavicefta duže od 14 dana.</w:t>
      </w:r>
    </w:p>
    <w:p w14:paraId="5DC0C4BF" w14:textId="77777777" w:rsidR="00A53999" w:rsidRPr="009A2813" w:rsidRDefault="00A53999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Cs/>
          <w:szCs w:val="22"/>
          <w:lang w:val="hr-HR"/>
        </w:rPr>
      </w:pPr>
    </w:p>
    <w:p w14:paraId="4748C14E" w14:textId="77777777" w:rsidR="009257E5" w:rsidRPr="009A2813" w:rsidRDefault="00A53999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SimSun"/>
          <w:bCs/>
          <w:i/>
          <w:szCs w:val="22"/>
          <w:vertAlign w:val="superscript"/>
          <w:lang w:val="hr-HR"/>
        </w:rPr>
      </w:pPr>
      <w:r w:rsidRPr="009A2813">
        <w:rPr>
          <w:i/>
          <w:szCs w:val="22"/>
          <w:lang w:val="hr-HR"/>
        </w:rPr>
        <w:t>Doziranje kod pedijatrijskih pacijenata sa klirensom kreatinina (CrCL) &gt; 50 ml/min/1,73 m</w:t>
      </w:r>
      <w:r w:rsidRPr="009A2813">
        <w:rPr>
          <w:i/>
          <w:szCs w:val="22"/>
          <w:vertAlign w:val="superscript"/>
          <w:lang w:val="hr-HR"/>
        </w:rPr>
        <w:t>2</w:t>
      </w:r>
    </w:p>
    <w:p w14:paraId="4D2CB915" w14:textId="77777777" w:rsidR="00A53999" w:rsidRPr="009A2813" w:rsidRDefault="00A53999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/>
          <w:szCs w:val="22"/>
          <w:lang w:val="hr-HR"/>
        </w:rPr>
      </w:pPr>
    </w:p>
    <w:p w14:paraId="47C53C1C" w14:textId="5F42D4D4" w:rsidR="00531E3F" w:rsidRPr="009A2813" w:rsidRDefault="00531E3F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SimSun"/>
          <w:bCs/>
          <w:szCs w:val="22"/>
          <w:lang w:val="hr-HR"/>
        </w:rPr>
      </w:pPr>
      <w:r w:rsidRPr="009A2813">
        <w:rPr>
          <w:szCs w:val="22"/>
          <w:lang w:val="hr-HR"/>
        </w:rPr>
        <w:t>Tabela 2 prikazuje preporučene intravenske doze za pedijatrijske pacijente sa procijenjenim klirensom kreatinina (CrCL) &gt; 50 ml/min/1,73 m</w:t>
      </w:r>
      <w:r w:rsidRPr="009A2813">
        <w:rPr>
          <w:szCs w:val="22"/>
          <w:vertAlign w:val="superscript"/>
          <w:lang w:val="hr-HR"/>
        </w:rPr>
        <w:t>2</w:t>
      </w:r>
      <w:r w:rsidRPr="009A2813">
        <w:rPr>
          <w:szCs w:val="22"/>
          <w:lang w:val="hr-HR"/>
        </w:rPr>
        <w:t xml:space="preserve"> (pogledajte djelove 4.4 i 5.1).</w:t>
      </w:r>
    </w:p>
    <w:p w14:paraId="749FE412" w14:textId="77777777" w:rsidR="00531E3F" w:rsidRPr="009A2813" w:rsidRDefault="00531E3F" w:rsidP="00CC4A65">
      <w:pPr>
        <w:pStyle w:val="A-TableText"/>
        <w:spacing w:before="0" w:after="0"/>
        <w:jc w:val="both"/>
        <w:rPr>
          <w:szCs w:val="22"/>
          <w:lang w:val="hr-HR"/>
        </w:rPr>
      </w:pPr>
    </w:p>
    <w:p w14:paraId="34FD87F1" w14:textId="7E366160" w:rsidR="00531E3F" w:rsidRPr="009A2813" w:rsidRDefault="00C92824" w:rsidP="00CC4A65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SimSun"/>
          <w:bCs/>
          <w:szCs w:val="22"/>
          <w:vertAlign w:val="superscript"/>
          <w:lang w:val="hr-HR"/>
        </w:rPr>
      </w:pPr>
      <w:r w:rsidRPr="009A2813">
        <w:rPr>
          <w:szCs w:val="22"/>
          <w:lang w:val="hr-HR"/>
        </w:rPr>
        <w:lastRenderedPageBreak/>
        <w:t xml:space="preserve">Tabela 2: Preporučena doza za pedijatrijske pacijente </w:t>
      </w:r>
      <w:r w:rsidR="0059661F" w:rsidRPr="009A2813">
        <w:rPr>
          <w:szCs w:val="22"/>
          <w:lang w:val="hr-HR"/>
        </w:rPr>
        <w:t xml:space="preserve">uzrasta od 3 mjeseca i starije </w:t>
      </w:r>
      <w:r w:rsidRPr="009A2813">
        <w:rPr>
          <w:szCs w:val="22"/>
          <w:lang w:val="hr-HR"/>
        </w:rPr>
        <w:t>sa procijenjenim CrCL</w:t>
      </w:r>
      <w:r w:rsidRPr="009A2813">
        <w:rPr>
          <w:szCs w:val="22"/>
          <w:vertAlign w:val="superscript"/>
          <w:lang w:val="hr-HR"/>
        </w:rPr>
        <w:t>1</w:t>
      </w:r>
      <w:r w:rsidR="00355B67" w:rsidRPr="009A2813">
        <w:rPr>
          <w:szCs w:val="22"/>
          <w:lang w:val="hr-HR"/>
        </w:rPr>
        <w:t> </w:t>
      </w:r>
      <w:r w:rsidRPr="009A2813">
        <w:rPr>
          <w:szCs w:val="22"/>
          <w:lang w:val="hr-HR"/>
        </w:rPr>
        <w:t>&gt; 50 ml/min/1,73 m</w:t>
      </w:r>
      <w:r w:rsidRPr="009A2813">
        <w:rPr>
          <w:szCs w:val="22"/>
          <w:vertAlign w:val="superscript"/>
          <w:lang w:val="hr-HR"/>
        </w:rPr>
        <w:t xml:space="preserve">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304"/>
        <w:gridCol w:w="2400"/>
        <w:gridCol w:w="1113"/>
        <w:gridCol w:w="921"/>
        <w:gridCol w:w="1638"/>
      </w:tblGrid>
      <w:tr w:rsidR="0003236C" w:rsidRPr="009A2813" w14:paraId="75A21AA7" w14:textId="77777777" w:rsidTr="00990563">
        <w:trPr>
          <w:tblHeader/>
        </w:trPr>
        <w:tc>
          <w:tcPr>
            <w:tcW w:w="968" w:type="pct"/>
            <w:shd w:val="clear" w:color="auto" w:fill="auto"/>
            <w:hideMark/>
          </w:tcPr>
          <w:p w14:paraId="7D54F6B3" w14:textId="77777777" w:rsidR="0003236C" w:rsidRPr="009A2813" w:rsidRDefault="00F34988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vertAlign w:val="superscript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Vrsta infekcije</w:t>
            </w:r>
          </w:p>
        </w:tc>
        <w:tc>
          <w:tcPr>
            <w:tcW w:w="820" w:type="pct"/>
            <w:shd w:val="clear" w:color="auto" w:fill="auto"/>
          </w:tcPr>
          <w:p w14:paraId="3F891C2D" w14:textId="249DAEB5" w:rsidR="0003236C" w:rsidRPr="009A2813" w:rsidRDefault="0003236C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Cs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Starosna grupa</w:t>
            </w:r>
            <w:r w:rsidR="00355B67" w:rsidRPr="009A2813">
              <w:rPr>
                <w:bCs/>
                <w:szCs w:val="22"/>
                <w:vertAlign w:val="superscript"/>
                <w:lang w:val="hr-HR" w:eastAsia="en-GB"/>
              </w:rPr>
              <w:t>8</w:t>
            </w:r>
          </w:p>
        </w:tc>
        <w:tc>
          <w:tcPr>
            <w:tcW w:w="932" w:type="pct"/>
            <w:shd w:val="clear" w:color="auto" w:fill="auto"/>
            <w:hideMark/>
          </w:tcPr>
          <w:p w14:paraId="0A0ABA99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Doza </w:t>
            </w:r>
            <w:r w:rsidRPr="009A2813">
              <w:rPr>
                <w:b/>
                <w:szCs w:val="22"/>
                <w:lang w:val="hr-HR"/>
              </w:rPr>
              <w:t>ceftazidima</w:t>
            </w:r>
            <w:r w:rsidRPr="009A2813">
              <w:rPr>
                <w:szCs w:val="22"/>
                <w:lang w:val="hr-HR"/>
              </w:rPr>
              <w:t>/avibaktama</w:t>
            </w:r>
            <w:r w:rsidRPr="009A2813">
              <w:rPr>
                <w:szCs w:val="22"/>
                <w:vertAlign w:val="superscript"/>
                <w:lang w:val="hr-HR"/>
              </w:rPr>
              <w:t>7</w:t>
            </w:r>
          </w:p>
        </w:tc>
        <w:tc>
          <w:tcPr>
            <w:tcW w:w="698" w:type="pct"/>
          </w:tcPr>
          <w:p w14:paraId="58A547A9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Cs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Učestalost</w:t>
            </w:r>
          </w:p>
        </w:tc>
        <w:tc>
          <w:tcPr>
            <w:tcW w:w="865" w:type="pct"/>
            <w:shd w:val="clear" w:color="auto" w:fill="auto"/>
          </w:tcPr>
          <w:p w14:paraId="57BB148E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Cs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Vrijeme infuzije</w:t>
            </w:r>
            <w:r w:rsidRPr="009A2813">
              <w:rPr>
                <w:szCs w:val="22"/>
                <w:vertAlign w:val="superscript"/>
                <w:lang w:val="hr-HR"/>
              </w:rPr>
              <w:t xml:space="preserve"> </w:t>
            </w:r>
          </w:p>
        </w:tc>
        <w:tc>
          <w:tcPr>
            <w:tcW w:w="718" w:type="pct"/>
          </w:tcPr>
          <w:p w14:paraId="3F107695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Cs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Trajanje liječenja </w:t>
            </w:r>
          </w:p>
        </w:tc>
      </w:tr>
      <w:tr w:rsidR="0003236C" w:rsidRPr="009A2813" w14:paraId="56ED89F3" w14:textId="77777777" w:rsidTr="00990563">
        <w:trPr>
          <w:trHeight w:val="1505"/>
        </w:trPr>
        <w:tc>
          <w:tcPr>
            <w:tcW w:w="968" w:type="pct"/>
            <w:vMerge w:val="restart"/>
            <w:shd w:val="clear" w:color="auto" w:fill="auto"/>
            <w:vAlign w:val="center"/>
          </w:tcPr>
          <w:p w14:paraId="66E5616A" w14:textId="77777777" w:rsidR="0003236C" w:rsidRPr="009A2813" w:rsidRDefault="0003236C" w:rsidP="00CC4A65">
            <w:pPr>
              <w:keepNext/>
              <w:pBdr>
                <w:left w:val="single" w:sz="4" w:space="4" w:color="auto"/>
              </w:pBdr>
              <w:tabs>
                <w:tab w:val="clear" w:pos="567"/>
              </w:tabs>
              <w:spacing w:before="60" w:after="60" w:line="240" w:lineRule="auto"/>
              <w:jc w:val="both"/>
              <w:rPr>
                <w:szCs w:val="22"/>
                <w:vertAlign w:val="superscript"/>
                <w:lang w:val="hr-HR"/>
              </w:rPr>
            </w:pPr>
            <w:r w:rsidRPr="009A2813">
              <w:rPr>
                <w:szCs w:val="22"/>
                <w:lang w:val="hr-HR"/>
              </w:rPr>
              <w:t>cIAI</w:t>
            </w:r>
            <w:r w:rsidRPr="009A2813">
              <w:rPr>
                <w:szCs w:val="22"/>
                <w:vertAlign w:val="superscript"/>
                <w:lang w:val="hr-HR"/>
              </w:rPr>
              <w:t>2,3</w:t>
            </w:r>
          </w:p>
          <w:p w14:paraId="08D71D51" w14:textId="77777777" w:rsidR="0003236C" w:rsidRPr="009A2813" w:rsidRDefault="0003236C" w:rsidP="00CC4A65">
            <w:pPr>
              <w:keepNext/>
              <w:pBdr>
                <w:left w:val="single" w:sz="4" w:space="4" w:color="auto"/>
              </w:pBdr>
              <w:tabs>
                <w:tab w:val="clear" w:pos="567"/>
              </w:tabs>
              <w:spacing w:before="60" w:after="60" w:line="240" w:lineRule="auto"/>
              <w:jc w:val="both"/>
              <w:rPr>
                <w:bCs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ILI</w:t>
            </w:r>
          </w:p>
          <w:p w14:paraId="3F8C5EEE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vertAlign w:val="superscript"/>
                <w:lang w:val="hr-HR"/>
              </w:rPr>
            </w:pPr>
            <w:r w:rsidRPr="009A2813">
              <w:rPr>
                <w:szCs w:val="22"/>
                <w:lang w:val="hr-HR"/>
              </w:rPr>
              <w:t>cUTI, uključujući pijelonefritis</w:t>
            </w:r>
            <w:r w:rsidRPr="009A2813">
              <w:rPr>
                <w:szCs w:val="22"/>
                <w:vertAlign w:val="superscript"/>
                <w:lang w:val="hr-HR"/>
              </w:rPr>
              <w:t>3</w:t>
            </w:r>
          </w:p>
          <w:p w14:paraId="07229446" w14:textId="77777777" w:rsidR="00E3687A" w:rsidRPr="009A2813" w:rsidRDefault="00E3687A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hr-HR" w:eastAsia="en-GB"/>
              </w:rPr>
            </w:pPr>
          </w:p>
          <w:p w14:paraId="549F03AA" w14:textId="6E9BC2C5" w:rsidR="00E3687A" w:rsidRPr="009A2813" w:rsidRDefault="00E3687A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ILI </w:t>
            </w:r>
          </w:p>
          <w:p w14:paraId="688BF74D" w14:textId="77777777" w:rsidR="007118A8" w:rsidRPr="009A2813" w:rsidRDefault="007118A8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hr-HR"/>
              </w:rPr>
            </w:pPr>
          </w:p>
          <w:p w14:paraId="735C8079" w14:textId="77777777" w:rsidR="008E3E20" w:rsidRPr="009A2813" w:rsidRDefault="008E3E20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hr-HR" w:eastAsia="en-GB"/>
              </w:rPr>
            </w:pPr>
          </w:p>
          <w:p w14:paraId="3EB99B7E" w14:textId="77777777" w:rsidR="00E3687A" w:rsidRPr="009A2813" w:rsidRDefault="008E3E20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vertAlign w:val="superscript"/>
                <w:lang w:val="hr-HR"/>
              </w:rPr>
            </w:pPr>
            <w:r w:rsidRPr="009A2813">
              <w:rPr>
                <w:szCs w:val="22"/>
                <w:lang w:val="hr-HR"/>
              </w:rPr>
              <w:t>HAP/VAP</w:t>
            </w:r>
            <w:r w:rsidRPr="009A2813">
              <w:rPr>
                <w:szCs w:val="22"/>
                <w:vertAlign w:val="superscript"/>
                <w:lang w:val="hr-HR"/>
              </w:rPr>
              <w:t>3</w:t>
            </w:r>
          </w:p>
          <w:p w14:paraId="718EFC39" w14:textId="77777777" w:rsidR="008E3E20" w:rsidRPr="009A2813" w:rsidRDefault="008E3E20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hr-HR" w:eastAsia="en-GB"/>
              </w:rPr>
            </w:pPr>
          </w:p>
          <w:p w14:paraId="156F138A" w14:textId="77777777" w:rsidR="008E3E20" w:rsidRPr="009A2813" w:rsidRDefault="008E3E20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ILI </w:t>
            </w:r>
          </w:p>
          <w:p w14:paraId="614D6049" w14:textId="77777777" w:rsidR="008E3E20" w:rsidRPr="009A2813" w:rsidRDefault="008E3E20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hr-HR" w:eastAsia="en-GB"/>
              </w:rPr>
            </w:pPr>
          </w:p>
          <w:p w14:paraId="7073B179" w14:textId="77777777" w:rsidR="008E3E20" w:rsidRPr="009A2813" w:rsidRDefault="008E3E20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vertAlign w:val="superscript"/>
                <w:lang w:val="hr-HR"/>
              </w:rPr>
            </w:pPr>
            <w:r w:rsidRPr="009A2813">
              <w:rPr>
                <w:szCs w:val="22"/>
                <w:lang w:val="hr-HR"/>
              </w:rPr>
              <w:t>Infekcije izazvane aerobnim gram</w:t>
            </w:r>
            <w:r w:rsidRPr="009A2813">
              <w:rPr>
                <w:szCs w:val="22"/>
                <w:lang w:val="hr-HR"/>
              </w:rPr>
              <w:noBreakHyphen/>
              <w:t>negativnim organizmima kod pacijenata sa ograničenim mogućnostima liječenja (LTO)</w:t>
            </w:r>
            <w:r w:rsidRPr="009A2813">
              <w:rPr>
                <w:szCs w:val="22"/>
                <w:vertAlign w:val="superscript"/>
                <w:lang w:val="hr-HR"/>
              </w:rPr>
              <w:t>2,3</w:t>
            </w:r>
          </w:p>
        </w:tc>
        <w:tc>
          <w:tcPr>
            <w:tcW w:w="820" w:type="pct"/>
            <w:vMerge w:val="restart"/>
            <w:shd w:val="clear" w:color="auto" w:fill="auto"/>
            <w:vAlign w:val="center"/>
          </w:tcPr>
          <w:p w14:paraId="216C70CF" w14:textId="18229978" w:rsidR="0003236C" w:rsidRPr="009A2813" w:rsidRDefault="0003236C" w:rsidP="00CC4A65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6 mjeseci do &lt; 18 godin</w:t>
            </w:r>
            <w:r w:rsidR="00B97F09" w:rsidRPr="009A2813">
              <w:rPr>
                <w:szCs w:val="22"/>
                <w:lang w:val="hr-HR"/>
              </w:rPr>
              <w:t>a</w:t>
            </w:r>
            <w:r w:rsidRPr="009A2813">
              <w:rPr>
                <w:szCs w:val="22"/>
                <w:lang w:val="hr-HR"/>
              </w:rPr>
              <w:t xml:space="preserve"> </w:t>
            </w:r>
          </w:p>
          <w:p w14:paraId="583086CC" w14:textId="77777777" w:rsidR="0003236C" w:rsidRPr="009A2813" w:rsidRDefault="0003236C" w:rsidP="00CC4A65">
            <w:pPr>
              <w:keepNext/>
              <w:spacing w:before="120" w:after="120" w:line="240" w:lineRule="auto"/>
              <w:jc w:val="both"/>
              <w:rPr>
                <w:szCs w:val="22"/>
                <w:lang w:val="hr-HR" w:eastAsia="en-GB"/>
              </w:rPr>
            </w:pPr>
          </w:p>
        </w:tc>
        <w:tc>
          <w:tcPr>
            <w:tcW w:w="932" w:type="pct"/>
            <w:vMerge w:val="restart"/>
            <w:shd w:val="clear" w:color="auto" w:fill="auto"/>
            <w:vAlign w:val="center"/>
          </w:tcPr>
          <w:p w14:paraId="58B01288" w14:textId="154F945B" w:rsidR="0003236C" w:rsidRPr="009A2813" w:rsidRDefault="0003236C" w:rsidP="00CC4A65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MS Mincho"/>
                <w:bCs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50 mg/kg</w:t>
            </w:r>
            <w:r w:rsidR="00714FDA" w:rsidRPr="009A2813">
              <w:rPr>
                <w:b/>
                <w:szCs w:val="22"/>
                <w:lang w:val="hr-HR"/>
              </w:rPr>
              <w:t xml:space="preserve"> + </w:t>
            </w:r>
            <w:r w:rsidRPr="009A2813">
              <w:rPr>
                <w:szCs w:val="22"/>
                <w:lang w:val="hr-HR"/>
              </w:rPr>
              <w:t xml:space="preserve">12,5 mg/kg </w:t>
            </w:r>
          </w:p>
          <w:p w14:paraId="75C3BDC0" w14:textId="77777777" w:rsidR="0003236C" w:rsidRPr="009A2813" w:rsidRDefault="0003236C" w:rsidP="00CC4A65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MS Mincho"/>
                <w:b/>
                <w:bCs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do maksimalne vrijednosti od</w:t>
            </w:r>
          </w:p>
          <w:p w14:paraId="7153607D" w14:textId="7E668182" w:rsidR="0003236C" w:rsidRPr="009A2813" w:rsidRDefault="0003236C" w:rsidP="00CC4A65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MS Mincho"/>
                <w:bCs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2 g</w:t>
            </w:r>
            <w:r w:rsidR="00E8529B" w:rsidRPr="009A2813">
              <w:rPr>
                <w:b/>
                <w:szCs w:val="22"/>
                <w:lang w:val="hr-HR"/>
              </w:rPr>
              <w:t xml:space="preserve"> + </w:t>
            </w:r>
            <w:r w:rsidRPr="009A2813">
              <w:rPr>
                <w:szCs w:val="22"/>
                <w:lang w:val="hr-HR"/>
              </w:rPr>
              <w:t>0,5 g</w:t>
            </w:r>
          </w:p>
          <w:p w14:paraId="26A9916D" w14:textId="77777777" w:rsidR="0003236C" w:rsidRPr="009A2813" w:rsidRDefault="0003236C" w:rsidP="00CC4A65">
            <w:pPr>
              <w:keepNext/>
              <w:spacing w:before="120" w:after="120" w:line="240" w:lineRule="auto"/>
              <w:jc w:val="both"/>
              <w:rPr>
                <w:szCs w:val="22"/>
                <w:lang w:val="hr-HR" w:eastAsia="en-GB"/>
              </w:rPr>
            </w:pPr>
          </w:p>
        </w:tc>
        <w:tc>
          <w:tcPr>
            <w:tcW w:w="698" w:type="pct"/>
            <w:vAlign w:val="center"/>
          </w:tcPr>
          <w:p w14:paraId="523CB95F" w14:textId="77777777" w:rsidR="0003236C" w:rsidRPr="009A2813" w:rsidRDefault="0003236C" w:rsidP="00CC4A65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Svakih 8 sati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EA042E1" w14:textId="77777777" w:rsidR="0003236C" w:rsidRPr="009A2813" w:rsidRDefault="0003236C" w:rsidP="00CC4A65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2 sata </w:t>
            </w:r>
          </w:p>
        </w:tc>
        <w:tc>
          <w:tcPr>
            <w:tcW w:w="718" w:type="pct"/>
            <w:vMerge w:val="restart"/>
          </w:tcPr>
          <w:p w14:paraId="6532BBFB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 w:eastAsia="en-GB"/>
              </w:rPr>
            </w:pPr>
          </w:p>
          <w:p w14:paraId="66626AF7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cIAI: 5–14 dana</w:t>
            </w:r>
          </w:p>
          <w:p w14:paraId="68AE7D50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cUTI</w:t>
            </w:r>
            <w:r w:rsidRPr="009A2813">
              <w:rPr>
                <w:szCs w:val="22"/>
                <w:vertAlign w:val="superscript"/>
                <w:lang w:val="hr-HR"/>
              </w:rPr>
              <w:t>4</w:t>
            </w:r>
            <w:r w:rsidRPr="009A2813">
              <w:rPr>
                <w:szCs w:val="22"/>
                <w:lang w:val="hr-HR"/>
              </w:rPr>
              <w:t>: 5–14 dana</w:t>
            </w:r>
          </w:p>
          <w:p w14:paraId="6DC4D7CC" w14:textId="2DE2FA4C" w:rsidR="007118A8" w:rsidRPr="009A2813" w:rsidRDefault="007118A8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</w:p>
          <w:p w14:paraId="77A8EE54" w14:textId="77777777" w:rsidR="007118A8" w:rsidRPr="009A2813" w:rsidRDefault="007118A8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</w:p>
          <w:p w14:paraId="090A625F" w14:textId="24A51FE2" w:rsidR="008E3E20" w:rsidRPr="009A2813" w:rsidRDefault="008E3E20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HAP/VAP: 7–14 dana</w:t>
            </w:r>
          </w:p>
          <w:p w14:paraId="6E6C9719" w14:textId="77777777" w:rsidR="008E3E20" w:rsidRPr="009A2813" w:rsidRDefault="008E3E20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LTO: Vođeni ozbiljnošću infekcije, patogenom(ima) i kliničkim i bakteriološkim napretkom pacijenta</w:t>
            </w:r>
            <w:r w:rsidRPr="009A2813">
              <w:rPr>
                <w:szCs w:val="22"/>
                <w:vertAlign w:val="superscript"/>
                <w:lang w:val="hr-HR"/>
              </w:rPr>
              <w:t>5</w:t>
            </w:r>
          </w:p>
        </w:tc>
      </w:tr>
      <w:tr w:rsidR="0003236C" w:rsidRPr="009A2813" w14:paraId="3345DB50" w14:textId="77777777" w:rsidTr="007B60D6">
        <w:trPr>
          <w:cantSplit/>
        </w:trPr>
        <w:tc>
          <w:tcPr>
            <w:tcW w:w="968" w:type="pct"/>
            <w:vMerge/>
            <w:shd w:val="clear" w:color="auto" w:fill="auto"/>
            <w:vAlign w:val="center"/>
          </w:tcPr>
          <w:p w14:paraId="71D21075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hr-HR" w:eastAsia="en-GB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14:paraId="22CE48E6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 w:eastAsia="en-GB"/>
              </w:rPr>
            </w:pPr>
          </w:p>
        </w:tc>
        <w:tc>
          <w:tcPr>
            <w:tcW w:w="932" w:type="pct"/>
            <w:vMerge/>
            <w:shd w:val="clear" w:color="auto" w:fill="auto"/>
            <w:vAlign w:val="center"/>
          </w:tcPr>
          <w:p w14:paraId="5ECF64B6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 w:eastAsia="en-GB"/>
              </w:rPr>
            </w:pPr>
          </w:p>
        </w:tc>
        <w:tc>
          <w:tcPr>
            <w:tcW w:w="698" w:type="pct"/>
            <w:vAlign w:val="center"/>
          </w:tcPr>
          <w:p w14:paraId="55578D0E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Svakih 8 sati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ACB445B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 sata</w:t>
            </w:r>
          </w:p>
        </w:tc>
        <w:tc>
          <w:tcPr>
            <w:tcW w:w="718" w:type="pct"/>
            <w:vMerge/>
          </w:tcPr>
          <w:p w14:paraId="030A0A9D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 w:eastAsia="en-GB"/>
              </w:rPr>
            </w:pPr>
          </w:p>
        </w:tc>
      </w:tr>
      <w:tr w:rsidR="0003236C" w:rsidRPr="009A2813" w14:paraId="7BDF1EA8" w14:textId="77777777" w:rsidTr="00990563">
        <w:tc>
          <w:tcPr>
            <w:tcW w:w="968" w:type="pct"/>
            <w:vMerge/>
            <w:shd w:val="clear" w:color="auto" w:fill="auto"/>
            <w:vAlign w:val="center"/>
          </w:tcPr>
          <w:p w14:paraId="19FB6156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hr-HR" w:eastAsia="en-GB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5BD1DF7B" w14:textId="535EE344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3 mjeseca do &lt;</w:t>
            </w:r>
            <w:r w:rsidR="00355B67" w:rsidRPr="009A2813">
              <w:rPr>
                <w:szCs w:val="22"/>
                <w:lang w:val="hr-HR"/>
              </w:rPr>
              <w:t> </w:t>
            </w:r>
            <w:r w:rsidRPr="009A2813">
              <w:rPr>
                <w:szCs w:val="22"/>
                <w:lang w:val="hr-HR"/>
              </w:rPr>
              <w:t>6 mjeseci</w:t>
            </w:r>
            <w:r w:rsidRPr="009A2813">
              <w:rPr>
                <w:szCs w:val="22"/>
                <w:vertAlign w:val="superscript"/>
                <w:lang w:val="hr-HR"/>
              </w:rPr>
              <w:t>6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1D775737" w14:textId="4E14230A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40 mg/kg</w:t>
            </w:r>
            <w:r w:rsidR="00714FDA" w:rsidRPr="009A2813">
              <w:rPr>
                <w:b/>
                <w:szCs w:val="22"/>
                <w:lang w:val="hr-HR"/>
              </w:rPr>
              <w:t xml:space="preserve"> + </w:t>
            </w:r>
            <w:r w:rsidRPr="009A2813">
              <w:rPr>
                <w:szCs w:val="22"/>
                <w:lang w:val="hr-HR"/>
              </w:rPr>
              <w:t>10 mg/kg</w:t>
            </w:r>
          </w:p>
        </w:tc>
        <w:tc>
          <w:tcPr>
            <w:tcW w:w="698" w:type="pct"/>
            <w:vAlign w:val="center"/>
          </w:tcPr>
          <w:p w14:paraId="0659912E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Svakih 8 sati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5234E07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 sata</w:t>
            </w:r>
          </w:p>
        </w:tc>
        <w:tc>
          <w:tcPr>
            <w:tcW w:w="718" w:type="pct"/>
            <w:vMerge/>
          </w:tcPr>
          <w:p w14:paraId="267544DA" w14:textId="77777777" w:rsidR="0003236C" w:rsidRPr="009A2813" w:rsidRDefault="0003236C" w:rsidP="00CC4A65">
            <w:pPr>
              <w:keepNext/>
              <w:tabs>
                <w:tab w:val="clear" w:pos="567"/>
              </w:tabs>
              <w:spacing w:before="120" w:after="120" w:line="240" w:lineRule="auto"/>
              <w:jc w:val="both"/>
              <w:rPr>
                <w:szCs w:val="22"/>
                <w:lang w:val="hr-HR" w:eastAsia="en-GB"/>
              </w:rPr>
            </w:pPr>
          </w:p>
        </w:tc>
      </w:tr>
    </w:tbl>
    <w:p w14:paraId="39A80D77" w14:textId="26FA5A96" w:rsidR="000818CB" w:rsidRPr="009A2813" w:rsidRDefault="005C6F94" w:rsidP="00CC4A65">
      <w:pPr>
        <w:jc w:val="both"/>
        <w:rPr>
          <w:color w:val="000000"/>
          <w:szCs w:val="22"/>
          <w:lang w:val="hr-HR"/>
        </w:rPr>
      </w:pPr>
      <w:r w:rsidRPr="009A2813">
        <w:rPr>
          <w:color w:val="000000"/>
          <w:szCs w:val="22"/>
          <w:vertAlign w:val="superscript"/>
          <w:lang w:val="hr-HR"/>
        </w:rPr>
        <w:t>1</w:t>
      </w:r>
      <w:r w:rsidRPr="009A2813">
        <w:rPr>
          <w:color w:val="000000"/>
          <w:szCs w:val="22"/>
          <w:lang w:val="hr-HR"/>
        </w:rPr>
        <w:t xml:space="preserve"> CrCL procijenjen korišćenjem </w:t>
      </w:r>
      <w:r w:rsidR="00196FDD" w:rsidRPr="009A2813">
        <w:rPr>
          <w:color w:val="000000"/>
          <w:szCs w:val="22"/>
          <w:lang w:val="hr-HR"/>
        </w:rPr>
        <w:t xml:space="preserve">Švarcove </w:t>
      </w:r>
      <w:r w:rsidRPr="009A2813">
        <w:rPr>
          <w:color w:val="000000"/>
          <w:szCs w:val="22"/>
          <w:lang w:val="hr-HR"/>
        </w:rPr>
        <w:t>formule tokom boravka u postelji.</w:t>
      </w:r>
    </w:p>
    <w:p w14:paraId="7F196093" w14:textId="77777777" w:rsidR="00A823AD" w:rsidRPr="009A2813" w:rsidRDefault="000818CB" w:rsidP="00CC4A65">
      <w:pPr>
        <w:tabs>
          <w:tab w:val="clear" w:pos="567"/>
          <w:tab w:val="left" w:pos="90"/>
        </w:tabs>
        <w:ind w:left="180" w:hanging="180"/>
        <w:jc w:val="both"/>
        <w:rPr>
          <w:color w:val="000000"/>
          <w:szCs w:val="22"/>
          <w:lang w:val="hr-HR"/>
        </w:rPr>
      </w:pPr>
      <w:r w:rsidRPr="009A2813">
        <w:rPr>
          <w:color w:val="000000"/>
          <w:szCs w:val="22"/>
          <w:vertAlign w:val="superscript"/>
          <w:lang w:val="hr-HR"/>
        </w:rPr>
        <w:t xml:space="preserve">2 </w:t>
      </w:r>
      <w:r w:rsidRPr="009A2813">
        <w:rPr>
          <w:color w:val="000000"/>
          <w:szCs w:val="22"/>
          <w:lang w:val="hr-HR"/>
        </w:rPr>
        <w:t>Koristi se u kombinaciji sa metronidazolom kada se zna ili sumnja da anaerobni patogeni doprinose infektivnom procesu.</w:t>
      </w:r>
    </w:p>
    <w:p w14:paraId="0B9AD926" w14:textId="6D7200C9" w:rsidR="00A823AD" w:rsidRPr="009A2813" w:rsidRDefault="000818CB" w:rsidP="00CC4A65">
      <w:pPr>
        <w:tabs>
          <w:tab w:val="clear" w:pos="567"/>
          <w:tab w:val="left" w:pos="90"/>
        </w:tabs>
        <w:ind w:left="180" w:hanging="180"/>
        <w:jc w:val="both"/>
        <w:rPr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>3</w:t>
      </w:r>
      <w:r w:rsidRPr="009A2813">
        <w:rPr>
          <w:szCs w:val="22"/>
          <w:lang w:val="hr-HR"/>
        </w:rPr>
        <w:t xml:space="preserve"> Koristi se u kombinaciji sa antibakterijskim </w:t>
      </w:r>
      <w:r w:rsidR="000F4733" w:rsidRPr="009A2813">
        <w:rPr>
          <w:szCs w:val="22"/>
          <w:lang w:val="hr-HR"/>
        </w:rPr>
        <w:t xml:space="preserve">lijekom </w:t>
      </w:r>
      <w:r w:rsidRPr="009A2813">
        <w:rPr>
          <w:szCs w:val="22"/>
          <w:lang w:val="hr-HR"/>
        </w:rPr>
        <w:t>aktivnim protiv gram-pozitivnih patogena kada se zna ili sumnja da oni doprinose infektivnom procesu.</w:t>
      </w:r>
    </w:p>
    <w:p w14:paraId="4E893017" w14:textId="77777777" w:rsidR="00C92824" w:rsidRPr="009A2813" w:rsidRDefault="000818CB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textAlignment w:val="baseline"/>
        <w:rPr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>4</w:t>
      </w:r>
      <w:r w:rsidRPr="009A2813">
        <w:rPr>
          <w:szCs w:val="22"/>
          <w:lang w:val="hr-HR"/>
        </w:rPr>
        <w:t xml:space="preserve"> Ukupno prikazano trajanje liječenja može uključivati intravensku primjenu lijeka Zavicefta nakon čega slijedi odgovarajuća oralna terapija.</w:t>
      </w:r>
    </w:p>
    <w:p w14:paraId="0006BF6C" w14:textId="77777777" w:rsidR="008E3E20" w:rsidRPr="009A2813" w:rsidRDefault="000818CB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textAlignment w:val="baseline"/>
        <w:rPr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 xml:space="preserve">5 </w:t>
      </w:r>
      <w:r w:rsidRPr="009A2813">
        <w:rPr>
          <w:szCs w:val="22"/>
          <w:lang w:val="hr-HR"/>
        </w:rPr>
        <w:t>Postoji veoma ograničeno iskustvo sa upotrebom lijeka Zavicefta duže od 14 dana.</w:t>
      </w:r>
    </w:p>
    <w:p w14:paraId="1DEA3647" w14:textId="47981319" w:rsidR="004A7A90" w:rsidRPr="009A2813" w:rsidRDefault="000931AC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textAlignment w:val="baseline"/>
        <w:rPr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 xml:space="preserve">6 </w:t>
      </w:r>
      <w:r w:rsidRPr="009A2813">
        <w:rPr>
          <w:szCs w:val="22"/>
          <w:lang w:val="hr-HR"/>
        </w:rPr>
        <w:t xml:space="preserve">Postoji ograničeno iskustvo sa upotrebom lijeka Zavicefta kod pedijatrijskih pacijenata </w:t>
      </w:r>
      <w:r w:rsidR="007118A8" w:rsidRPr="009A2813">
        <w:rPr>
          <w:szCs w:val="22"/>
          <w:lang w:val="hr-HR"/>
        </w:rPr>
        <w:t xml:space="preserve">uzrasta </w:t>
      </w:r>
      <w:r w:rsidRPr="009A2813">
        <w:rPr>
          <w:szCs w:val="22"/>
          <w:lang w:val="hr-HR"/>
        </w:rPr>
        <w:t>od 3 mjeseca do &lt; 6 mjeseci (pogledajte dio 5.2).</w:t>
      </w:r>
    </w:p>
    <w:p w14:paraId="3D31036F" w14:textId="6B1237DA" w:rsidR="004A7A90" w:rsidRPr="009A2813" w:rsidRDefault="004A7A90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textAlignment w:val="baseline"/>
        <w:rPr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>7</w:t>
      </w:r>
      <w:r w:rsidRPr="009A2813">
        <w:rPr>
          <w:szCs w:val="22"/>
          <w:lang w:val="hr-HR"/>
        </w:rPr>
        <w:t xml:space="preserve"> Ceftazidim/avibaktam je kombinovani proizvod u fiksnom odnosu 4:1 i preporuke za doziranje se zasnivaju samo na komponenti ceftazidima (pogledajte dio 6.6).</w:t>
      </w:r>
    </w:p>
    <w:p w14:paraId="69181502" w14:textId="716ED225" w:rsidR="0046585C" w:rsidRPr="009A2813" w:rsidRDefault="008D6B33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textAlignment w:val="baseline"/>
        <w:rPr>
          <w:szCs w:val="22"/>
          <w:lang w:val="hr-HR"/>
        </w:rPr>
      </w:pPr>
      <w:r>
        <w:rPr>
          <w:szCs w:val="22"/>
          <w:vertAlign w:val="superscript"/>
          <w:lang w:val="hr-HR"/>
        </w:rPr>
        <w:t>8</w:t>
      </w:r>
      <w:r w:rsidR="0046585C" w:rsidRPr="009A2813">
        <w:rPr>
          <w:szCs w:val="22"/>
          <w:lang w:val="hr-HR"/>
        </w:rPr>
        <w:t xml:space="preserve"> Pedijatrijski pacijenti </w:t>
      </w:r>
      <w:r w:rsidR="005E4771">
        <w:rPr>
          <w:szCs w:val="22"/>
          <w:lang w:val="hr-HR"/>
        </w:rPr>
        <w:t xml:space="preserve">ispitivani u </w:t>
      </w:r>
      <w:r w:rsidR="0046585C" w:rsidRPr="009A2813">
        <w:rPr>
          <w:szCs w:val="22"/>
          <w:lang w:val="hr-HR"/>
        </w:rPr>
        <w:t>uzrast</w:t>
      </w:r>
      <w:r w:rsidR="005E4771">
        <w:rPr>
          <w:szCs w:val="22"/>
          <w:lang w:val="hr-HR"/>
        </w:rPr>
        <w:t>u</w:t>
      </w:r>
      <w:r w:rsidR="0046585C" w:rsidRPr="009A2813">
        <w:rPr>
          <w:szCs w:val="22"/>
          <w:lang w:val="hr-HR"/>
        </w:rPr>
        <w:t xml:space="preserve"> od 3 do 12 mjeseci bili su </w:t>
      </w:r>
      <w:r w:rsidR="005E4771">
        <w:rPr>
          <w:szCs w:val="22"/>
          <w:lang w:val="hr-HR"/>
        </w:rPr>
        <w:t>terminska novorođenčad</w:t>
      </w:r>
      <w:r w:rsidR="0046585C" w:rsidRPr="009A2813">
        <w:rPr>
          <w:szCs w:val="22"/>
          <w:lang w:val="hr-HR"/>
        </w:rPr>
        <w:t xml:space="preserve"> (gestacija ≥ 37 nedjelja).</w:t>
      </w:r>
    </w:p>
    <w:p w14:paraId="141893F1" w14:textId="77777777" w:rsidR="00836DB9" w:rsidRPr="009A2813" w:rsidRDefault="00836DB9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textAlignment w:val="baseline"/>
        <w:rPr>
          <w:szCs w:val="22"/>
          <w:lang w:val="hr-HR"/>
        </w:rPr>
      </w:pPr>
    </w:p>
    <w:p w14:paraId="0A538729" w14:textId="4FDA936B" w:rsidR="00836DB9" w:rsidRPr="009A2813" w:rsidRDefault="00836DB9" w:rsidP="00836DB9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textAlignment w:val="baseline"/>
        <w:rPr>
          <w:bCs/>
          <w:szCs w:val="22"/>
          <w:vertAlign w:val="superscript"/>
          <w:lang w:val="hr-HR"/>
        </w:rPr>
      </w:pPr>
      <w:r w:rsidRPr="009A2813">
        <w:rPr>
          <w:szCs w:val="22"/>
          <w:lang w:val="hr-HR"/>
        </w:rPr>
        <w:t>Tabela 3 Preporučena doza za pedi</w:t>
      </w:r>
      <w:r w:rsidR="00A5481B">
        <w:rPr>
          <w:szCs w:val="22"/>
          <w:lang w:val="hr-HR"/>
        </w:rPr>
        <w:t>j</w:t>
      </w:r>
      <w:r w:rsidRPr="009A2813">
        <w:rPr>
          <w:szCs w:val="22"/>
          <w:lang w:val="hr-HR"/>
        </w:rPr>
        <w:t>atrijske pacijente uzrasta mlađeg od 3 mjeseca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174"/>
        <w:gridCol w:w="1102"/>
        <w:gridCol w:w="1534"/>
        <w:gridCol w:w="1229"/>
        <w:gridCol w:w="1053"/>
        <w:gridCol w:w="1770"/>
      </w:tblGrid>
      <w:tr w:rsidR="00670E18" w:rsidRPr="009A2813" w14:paraId="610CB764" w14:textId="77777777" w:rsidTr="00C12B32">
        <w:trPr>
          <w:trHeight w:val="715"/>
          <w:tblHeader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E731" w14:textId="4380C742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Vrsta</w:t>
            </w:r>
            <w:r w:rsidR="008D6B33">
              <w:rPr>
                <w:szCs w:val="22"/>
                <w:lang w:val="hr-HR"/>
              </w:rPr>
              <w:t xml:space="preserve"> </w:t>
            </w:r>
            <w:r w:rsidRPr="009A2813">
              <w:rPr>
                <w:szCs w:val="22"/>
                <w:lang w:val="hr-HR"/>
              </w:rPr>
              <w:t>infekcije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E97" w14:textId="793B63C7" w:rsidR="00836DB9" w:rsidRPr="009A2813" w:rsidRDefault="008D681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bCs/>
                <w:szCs w:val="22"/>
                <w:lang w:val="hr-HR"/>
              </w:rPr>
            </w:pPr>
            <w:r w:rsidRPr="009A2813">
              <w:rPr>
                <w:bCs/>
                <w:szCs w:val="22"/>
                <w:lang w:val="hr-HR"/>
              </w:rPr>
              <w:t>Uzrast</w:t>
            </w:r>
          </w:p>
          <w:p w14:paraId="7D604DE2" w14:textId="7777777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DECB" w14:textId="0F565314" w:rsidR="00836DB9" w:rsidRPr="009A2813" w:rsidRDefault="008D681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bCs/>
                <w:szCs w:val="22"/>
                <w:lang w:val="hr-HR"/>
              </w:rPr>
            </w:pPr>
            <w:r w:rsidRPr="009A2813">
              <w:rPr>
                <w:bCs/>
                <w:szCs w:val="22"/>
                <w:lang w:val="hr-HR"/>
              </w:rPr>
              <w:t>Doza</w:t>
            </w:r>
            <w:r w:rsidR="00836DB9" w:rsidRPr="009A2813">
              <w:rPr>
                <w:bCs/>
                <w:szCs w:val="22"/>
                <w:lang w:val="hr-HR"/>
              </w:rPr>
              <w:t xml:space="preserve"> </w:t>
            </w:r>
            <w:r w:rsidR="00836DB9" w:rsidRPr="009A2813">
              <w:rPr>
                <w:b/>
                <w:szCs w:val="22"/>
                <w:lang w:val="hr-HR"/>
              </w:rPr>
              <w:t>ceftazidim</w:t>
            </w:r>
            <w:r w:rsidR="00670E18">
              <w:rPr>
                <w:b/>
                <w:szCs w:val="22"/>
                <w:lang w:val="hr-HR"/>
              </w:rPr>
              <w:t>a</w:t>
            </w:r>
            <w:r w:rsidR="00836DB9" w:rsidRPr="009A2813">
              <w:rPr>
                <w:bCs/>
                <w:szCs w:val="22"/>
                <w:lang w:val="hr-HR"/>
              </w:rPr>
              <w:t>/aviba</w:t>
            </w:r>
            <w:r w:rsidR="00295979">
              <w:rPr>
                <w:bCs/>
                <w:szCs w:val="22"/>
                <w:lang w:val="hr-HR"/>
              </w:rPr>
              <w:t>k</w:t>
            </w:r>
            <w:r w:rsidR="00836DB9" w:rsidRPr="009A2813">
              <w:rPr>
                <w:bCs/>
                <w:szCs w:val="22"/>
                <w:lang w:val="hr-HR"/>
              </w:rPr>
              <w:t>tam</w:t>
            </w:r>
            <w:r w:rsidR="00670E18">
              <w:rPr>
                <w:bCs/>
                <w:szCs w:val="22"/>
                <w:lang w:val="hr-HR"/>
              </w:rPr>
              <w:t>a</w:t>
            </w:r>
            <w:r w:rsidR="00836DB9" w:rsidRPr="009A2813">
              <w:rPr>
                <w:bCs/>
                <w:szCs w:val="22"/>
                <w:vertAlign w:val="superscript"/>
                <w:lang w:val="hr-HR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1026" w14:textId="59F3920F" w:rsidR="00836DB9" w:rsidRPr="009A2813" w:rsidRDefault="008D681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bCs/>
                <w:szCs w:val="22"/>
                <w:lang w:val="hr-HR"/>
              </w:rPr>
            </w:pPr>
            <w:r w:rsidRPr="009A2813">
              <w:rPr>
                <w:bCs/>
                <w:szCs w:val="22"/>
                <w:lang w:val="hr-HR"/>
              </w:rPr>
              <w:t>Uče</w:t>
            </w:r>
            <w:r w:rsidR="00EE6B15" w:rsidRPr="009A2813">
              <w:rPr>
                <w:bCs/>
                <w:szCs w:val="22"/>
                <w:lang w:val="hr-HR"/>
              </w:rPr>
              <w:t>s</w:t>
            </w:r>
            <w:r w:rsidRPr="009A2813">
              <w:rPr>
                <w:bCs/>
                <w:szCs w:val="22"/>
                <w:lang w:val="hr-HR"/>
              </w:rPr>
              <w:t>talost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6C20" w14:textId="528D2EED" w:rsidR="00836DB9" w:rsidRPr="009A2813" w:rsidRDefault="008D681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bCs/>
                <w:szCs w:val="22"/>
                <w:lang w:val="hr-HR"/>
              </w:rPr>
            </w:pPr>
            <w:r w:rsidRPr="009A2813">
              <w:rPr>
                <w:bCs/>
                <w:szCs w:val="22"/>
                <w:lang w:val="hr-HR"/>
              </w:rPr>
              <w:t>Vrijeme infuzije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FE3C" w14:textId="0D4E12E4" w:rsidR="00836DB9" w:rsidRPr="009A2813" w:rsidRDefault="008D681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Trajanje liječenja</w:t>
            </w:r>
          </w:p>
        </w:tc>
      </w:tr>
      <w:tr w:rsidR="00670E18" w:rsidRPr="009A2813" w14:paraId="1E242941" w14:textId="77777777" w:rsidTr="00C12B32">
        <w:trPr>
          <w:trHeight w:val="139"/>
        </w:trPr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453" w14:textId="1137ABC0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textAlignment w:val="baseline"/>
              <w:rPr>
                <w:szCs w:val="22"/>
                <w:vertAlign w:val="superscript"/>
                <w:lang w:val="hr-HR"/>
              </w:rPr>
            </w:pPr>
            <w:r w:rsidRPr="009A2813">
              <w:rPr>
                <w:szCs w:val="22"/>
                <w:lang w:val="hr-HR"/>
              </w:rPr>
              <w:t>cIAI</w:t>
            </w:r>
            <w:r w:rsidRPr="009A2813">
              <w:rPr>
                <w:szCs w:val="22"/>
                <w:vertAlign w:val="superscript"/>
                <w:lang w:val="hr-HR"/>
              </w:rPr>
              <w:t>1,2</w:t>
            </w:r>
          </w:p>
          <w:p w14:paraId="75A3E8C9" w14:textId="2C72FF2D" w:rsidR="00836DB9" w:rsidRPr="009A2813" w:rsidRDefault="00376AEC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textAlignment w:val="baseline"/>
              <w:rPr>
                <w:bCs/>
                <w:szCs w:val="22"/>
                <w:lang w:val="hr-HR"/>
              </w:rPr>
            </w:pPr>
            <w:r w:rsidRPr="009A2813">
              <w:rPr>
                <w:bCs/>
                <w:szCs w:val="22"/>
                <w:lang w:val="hr-HR"/>
              </w:rPr>
              <w:t>ILI</w:t>
            </w:r>
          </w:p>
          <w:p w14:paraId="2C264F8C" w14:textId="1BF22D1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textAlignment w:val="baseline"/>
              <w:rPr>
                <w:szCs w:val="22"/>
                <w:vertAlign w:val="superscript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cUTI </w:t>
            </w:r>
            <w:r w:rsidR="00A52936" w:rsidRPr="009A2813">
              <w:rPr>
                <w:szCs w:val="22"/>
                <w:lang w:val="hr-HR"/>
              </w:rPr>
              <w:t>uključujući pijelonefritis</w:t>
            </w:r>
            <w:r w:rsidRPr="009A2813">
              <w:rPr>
                <w:szCs w:val="22"/>
                <w:vertAlign w:val="superscript"/>
                <w:lang w:val="hr-HR"/>
              </w:rPr>
              <w:t>2</w:t>
            </w:r>
          </w:p>
          <w:p w14:paraId="54C67052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  <w:p w14:paraId="5BCFD80C" w14:textId="5FD17F2B" w:rsidR="00836DB9" w:rsidRPr="009A2813" w:rsidRDefault="007C14BC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lastRenderedPageBreak/>
              <w:t>ILI</w:t>
            </w:r>
            <w:r w:rsidR="00836DB9" w:rsidRPr="009A2813">
              <w:rPr>
                <w:szCs w:val="22"/>
                <w:lang w:val="hr-HR"/>
              </w:rPr>
              <w:t xml:space="preserve"> </w:t>
            </w:r>
          </w:p>
          <w:p w14:paraId="4FA03187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  <w:p w14:paraId="4F98FAD5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vertAlign w:val="superscript"/>
                <w:lang w:val="hr-HR"/>
              </w:rPr>
            </w:pPr>
            <w:r w:rsidRPr="009A2813">
              <w:rPr>
                <w:szCs w:val="22"/>
                <w:lang w:val="hr-HR"/>
              </w:rPr>
              <w:t>HAP/VAP</w:t>
            </w:r>
            <w:r w:rsidRPr="009A2813">
              <w:rPr>
                <w:szCs w:val="22"/>
                <w:vertAlign w:val="superscript"/>
                <w:lang w:val="hr-HR"/>
              </w:rPr>
              <w:t>2</w:t>
            </w:r>
          </w:p>
          <w:p w14:paraId="3ADBA1B5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  <w:p w14:paraId="16D77EEA" w14:textId="4B14891F" w:rsidR="00836DB9" w:rsidRPr="009A2813" w:rsidRDefault="003D663E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ILI</w:t>
            </w:r>
            <w:r w:rsidR="00836DB9" w:rsidRPr="009A2813">
              <w:rPr>
                <w:szCs w:val="22"/>
                <w:lang w:val="hr-HR"/>
              </w:rPr>
              <w:t xml:space="preserve"> </w:t>
            </w:r>
          </w:p>
          <w:p w14:paraId="642C8889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  <w:p w14:paraId="1B7ECC15" w14:textId="7E08D6EC" w:rsidR="00836DB9" w:rsidRPr="009A2813" w:rsidRDefault="00AF471C" w:rsidP="00F06E60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Infekcije izazvane aerobnim gram-negativnim organizmima kod pacijenata sa ograničenim </w:t>
            </w:r>
            <w:r w:rsidR="005F51CF">
              <w:rPr>
                <w:szCs w:val="22"/>
                <w:lang w:val="hr-HR"/>
              </w:rPr>
              <w:t>mogućnostima</w:t>
            </w:r>
            <w:r w:rsidRPr="009A2813">
              <w:rPr>
                <w:szCs w:val="22"/>
                <w:lang w:val="hr-HR"/>
              </w:rPr>
              <w:t xml:space="preserve"> liječenja (LTO)¹,²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1313" w14:textId="7A2B7F1A" w:rsidR="00836DB9" w:rsidRPr="009A2813" w:rsidRDefault="00670E18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lastRenderedPageBreak/>
              <w:t>Terminska n</w:t>
            </w:r>
            <w:r w:rsidR="00A10DF8" w:rsidRPr="009A2813">
              <w:rPr>
                <w:szCs w:val="22"/>
                <w:lang w:val="hr-HR"/>
              </w:rPr>
              <w:t xml:space="preserve">ovorođenčad i odojčad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AAC0" w14:textId="0C5290D1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&gt; 28 </w:t>
            </w:r>
            <w:r w:rsidR="007C14BC" w:rsidRPr="009A2813">
              <w:rPr>
                <w:szCs w:val="22"/>
                <w:lang w:val="hr-HR"/>
              </w:rPr>
              <w:t>dana do</w:t>
            </w:r>
            <w:r w:rsidRPr="009A2813">
              <w:rPr>
                <w:szCs w:val="22"/>
                <w:lang w:val="hr-HR"/>
              </w:rPr>
              <w:t xml:space="preserve"> &lt; 3 m</w:t>
            </w:r>
            <w:r w:rsidR="007C14BC" w:rsidRPr="009A2813">
              <w:rPr>
                <w:szCs w:val="22"/>
                <w:lang w:val="hr-HR"/>
              </w:rPr>
              <w:t>jesec</w:t>
            </w:r>
            <w:r w:rsidR="00295979">
              <w:rPr>
                <w:szCs w:val="22"/>
                <w:lang w:val="hr-HR"/>
              </w:rPr>
              <w:t>a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6256" w14:textId="633BBABC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b/>
                <w:bCs/>
                <w:szCs w:val="22"/>
                <w:lang w:val="hr-HR"/>
              </w:rPr>
              <w:t>30 mg/kg</w:t>
            </w:r>
            <w:r w:rsidRPr="009A2813">
              <w:rPr>
                <w:szCs w:val="22"/>
                <w:lang w:val="hr-HR"/>
              </w:rPr>
              <w:t>/7</w:t>
            </w:r>
            <w:r w:rsidR="007E1134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 mg/kg</w:t>
            </w:r>
          </w:p>
          <w:p w14:paraId="12306E3D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bCs/>
                <w:szCs w:val="22"/>
                <w:lang w:val="hr-HR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CA56" w14:textId="6DB595CE" w:rsidR="00836DB9" w:rsidRPr="009A2813" w:rsidRDefault="007C14BC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Svakih </w:t>
            </w:r>
            <w:r w:rsidR="00836DB9" w:rsidRPr="009A2813">
              <w:rPr>
                <w:szCs w:val="22"/>
                <w:lang w:val="hr-HR"/>
              </w:rPr>
              <w:t>8 </w:t>
            </w:r>
            <w:r w:rsidRPr="009A2813">
              <w:rPr>
                <w:szCs w:val="22"/>
                <w:lang w:val="hr-HR"/>
              </w:rPr>
              <w:t>sati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3D94" w14:textId="7777777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329325AB" w14:textId="7777777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5218CEDC" w14:textId="7777777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1CC4C18A" w14:textId="07263DC0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2 </w:t>
            </w:r>
            <w:r w:rsidR="007C14BC" w:rsidRPr="009A2813">
              <w:rPr>
                <w:szCs w:val="22"/>
                <w:lang w:val="hr-HR"/>
              </w:rPr>
              <w:t>sata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8906" w14:textId="6049F152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cIAI: 5 – 14 da</w:t>
            </w:r>
            <w:r w:rsidR="00EE6B15" w:rsidRPr="009A2813">
              <w:rPr>
                <w:szCs w:val="22"/>
                <w:lang w:val="hr-HR"/>
              </w:rPr>
              <w:t>na</w:t>
            </w:r>
          </w:p>
          <w:p w14:paraId="4432865E" w14:textId="711DD739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cUTI</w:t>
            </w:r>
            <w:r w:rsidRPr="009A2813">
              <w:rPr>
                <w:szCs w:val="22"/>
                <w:vertAlign w:val="superscript"/>
                <w:lang w:val="hr-HR"/>
              </w:rPr>
              <w:t>3</w:t>
            </w:r>
            <w:r w:rsidRPr="009A2813">
              <w:rPr>
                <w:szCs w:val="22"/>
                <w:lang w:val="hr-HR"/>
              </w:rPr>
              <w:t>: 5 – 14 da</w:t>
            </w:r>
            <w:r w:rsidR="007C14BC" w:rsidRPr="009A2813">
              <w:rPr>
                <w:szCs w:val="22"/>
                <w:lang w:val="hr-HR"/>
              </w:rPr>
              <w:t>na</w:t>
            </w:r>
          </w:p>
          <w:p w14:paraId="6159A029" w14:textId="640AEF1B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HAP/VAP: 7 – 14 da</w:t>
            </w:r>
            <w:r w:rsidR="00EE6B15" w:rsidRPr="009A2813">
              <w:rPr>
                <w:szCs w:val="22"/>
                <w:lang w:val="hr-HR"/>
              </w:rPr>
              <w:t>na</w:t>
            </w:r>
          </w:p>
          <w:p w14:paraId="466220D5" w14:textId="71B805A6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LTO: </w:t>
            </w:r>
            <w:r w:rsidR="00A52936" w:rsidRPr="009A2813">
              <w:rPr>
                <w:iCs/>
                <w:szCs w:val="22"/>
                <w:lang w:val="hr-HR"/>
              </w:rPr>
              <w:t>Vođen</w:t>
            </w:r>
            <w:r w:rsidR="003901A2">
              <w:rPr>
                <w:iCs/>
                <w:szCs w:val="22"/>
                <w:lang w:val="hr-HR"/>
              </w:rPr>
              <w:t>i</w:t>
            </w:r>
            <w:r w:rsidR="00A52936" w:rsidRPr="009A2813">
              <w:rPr>
                <w:iCs/>
                <w:szCs w:val="22"/>
                <w:lang w:val="hr-HR"/>
              </w:rPr>
              <w:t xml:space="preserve"> ozbiljnošću</w:t>
            </w:r>
            <w:r w:rsidRPr="009A2813">
              <w:rPr>
                <w:iCs/>
                <w:szCs w:val="22"/>
                <w:lang w:val="hr-HR"/>
              </w:rPr>
              <w:t xml:space="preserve"> </w:t>
            </w:r>
            <w:r w:rsidR="003D663E" w:rsidRPr="009A2813">
              <w:rPr>
                <w:iCs/>
                <w:szCs w:val="22"/>
                <w:lang w:val="hr-HR"/>
              </w:rPr>
              <w:t>infekcije</w:t>
            </w:r>
            <w:r w:rsidR="003E7D66">
              <w:rPr>
                <w:iCs/>
                <w:szCs w:val="22"/>
                <w:lang w:val="hr-HR"/>
              </w:rPr>
              <w:t>,</w:t>
            </w:r>
            <w:r w:rsidR="003D663E" w:rsidRPr="009A2813">
              <w:rPr>
                <w:iCs/>
                <w:szCs w:val="22"/>
                <w:lang w:val="hr-HR"/>
              </w:rPr>
              <w:t xml:space="preserve"> </w:t>
            </w:r>
            <w:r w:rsidR="003D663E" w:rsidRPr="009A2813">
              <w:rPr>
                <w:iCs/>
                <w:szCs w:val="22"/>
                <w:lang w:val="hr-HR"/>
              </w:rPr>
              <w:lastRenderedPageBreak/>
              <w:t>patogen(</w:t>
            </w:r>
            <w:r w:rsidR="003901A2">
              <w:rPr>
                <w:iCs/>
                <w:szCs w:val="22"/>
                <w:lang w:val="hr-HR"/>
              </w:rPr>
              <w:t>im</w:t>
            </w:r>
            <w:r w:rsidR="003D663E" w:rsidRPr="009A2813">
              <w:rPr>
                <w:iCs/>
                <w:szCs w:val="22"/>
                <w:lang w:val="hr-HR"/>
              </w:rPr>
              <w:t>a) i klinički</w:t>
            </w:r>
            <w:r w:rsidR="003901A2">
              <w:rPr>
                <w:iCs/>
                <w:szCs w:val="22"/>
                <w:lang w:val="hr-HR"/>
              </w:rPr>
              <w:t>m</w:t>
            </w:r>
            <w:r w:rsidR="003D663E" w:rsidRPr="009A2813">
              <w:rPr>
                <w:iCs/>
                <w:szCs w:val="22"/>
                <w:lang w:val="hr-HR"/>
              </w:rPr>
              <w:t xml:space="preserve"> i bakteriološki</w:t>
            </w:r>
            <w:r w:rsidR="003901A2">
              <w:rPr>
                <w:iCs/>
                <w:szCs w:val="22"/>
                <w:lang w:val="hr-HR"/>
              </w:rPr>
              <w:t>m</w:t>
            </w:r>
            <w:r w:rsidR="003D663E" w:rsidRPr="009A2813">
              <w:rPr>
                <w:iCs/>
                <w:szCs w:val="22"/>
                <w:lang w:val="hr-HR"/>
              </w:rPr>
              <w:t>napre</w:t>
            </w:r>
            <w:r w:rsidR="003901A2">
              <w:rPr>
                <w:iCs/>
                <w:szCs w:val="22"/>
                <w:lang w:val="hr-HR"/>
              </w:rPr>
              <w:t>tkom</w:t>
            </w:r>
            <w:r w:rsidR="003D663E" w:rsidRPr="009A2813">
              <w:rPr>
                <w:iCs/>
                <w:szCs w:val="22"/>
                <w:lang w:val="hr-HR"/>
              </w:rPr>
              <w:t xml:space="preserve"> pacijenta</w:t>
            </w:r>
            <w:r w:rsidR="007E1134" w:rsidRPr="00B41558">
              <w:rPr>
                <w:iCs/>
                <w:vertAlign w:val="superscript"/>
              </w:rPr>
              <w:t>4</w:t>
            </w:r>
          </w:p>
        </w:tc>
      </w:tr>
      <w:tr w:rsidR="00670E18" w:rsidRPr="009A2813" w14:paraId="681A635C" w14:textId="77777777" w:rsidTr="00C12B32">
        <w:trPr>
          <w:trHeight w:val="1075"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0F6C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7AF3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9884" w14:textId="09D50019" w:rsidR="00836DB9" w:rsidRPr="009A2813" w:rsidRDefault="007C14BC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bCs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Od rođenja do</w:t>
            </w:r>
            <w:r w:rsidR="00836DB9" w:rsidRPr="009A2813">
              <w:rPr>
                <w:szCs w:val="22"/>
                <w:lang w:val="hr-HR"/>
              </w:rPr>
              <w:t xml:space="preserve"> ≤ 28 da</w:t>
            </w:r>
            <w:r w:rsidRPr="009A2813">
              <w:rPr>
                <w:szCs w:val="22"/>
                <w:lang w:val="hr-HR"/>
              </w:rPr>
              <w:t>na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CA6F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b/>
                <w:bCs/>
                <w:szCs w:val="22"/>
                <w:lang w:val="hr-HR"/>
              </w:rPr>
              <w:t>20 mg/kg</w:t>
            </w:r>
            <w:r w:rsidRPr="009A2813">
              <w:rPr>
                <w:szCs w:val="22"/>
                <w:lang w:val="hr-HR"/>
              </w:rPr>
              <w:t>/5 mg/kg</w:t>
            </w:r>
          </w:p>
          <w:p w14:paraId="0251CCEF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bCs/>
                <w:szCs w:val="22"/>
                <w:lang w:val="hr-HR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A0AD" w14:textId="7777777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DB01" w14:textId="7777777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6AC9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</w:tc>
      </w:tr>
      <w:tr w:rsidR="00670E18" w:rsidRPr="009A2813" w14:paraId="5C87E486" w14:textId="77777777" w:rsidTr="00C12B32">
        <w:trPr>
          <w:trHeight w:val="643"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59D6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6513" w14:textId="698C918C" w:rsidR="00836DB9" w:rsidRPr="009A2813" w:rsidRDefault="001A5B7F" w:rsidP="00F06E60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Prijevremeno  rođena novorođenčad</w:t>
            </w:r>
            <w:r w:rsidR="00836DB9" w:rsidRPr="009A2813">
              <w:rPr>
                <w:szCs w:val="22"/>
                <w:lang w:val="hr-HR"/>
              </w:rPr>
              <w:t xml:space="preserve"> </w:t>
            </w:r>
            <w:r w:rsidR="003D663E" w:rsidRPr="009A2813">
              <w:rPr>
                <w:szCs w:val="22"/>
                <w:lang w:val="hr-HR"/>
              </w:rPr>
              <w:t>i odojčad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6F9" w14:textId="0B9A4E0F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&gt; 44 </w:t>
            </w:r>
            <w:r w:rsidR="007C14BC" w:rsidRPr="009A2813">
              <w:rPr>
                <w:szCs w:val="22"/>
                <w:lang w:val="hr-HR"/>
              </w:rPr>
              <w:t>nedjelj</w:t>
            </w:r>
            <w:r w:rsidR="007E1134">
              <w:rPr>
                <w:szCs w:val="22"/>
                <w:lang w:val="hr-HR"/>
              </w:rPr>
              <w:t>e</w:t>
            </w:r>
            <w:r w:rsidR="007C14BC" w:rsidRPr="009A2813">
              <w:rPr>
                <w:szCs w:val="22"/>
                <w:lang w:val="hr-HR"/>
              </w:rPr>
              <w:t xml:space="preserve"> do</w:t>
            </w:r>
            <w:r w:rsidRPr="009A2813">
              <w:rPr>
                <w:szCs w:val="22"/>
                <w:lang w:val="hr-HR"/>
              </w:rPr>
              <w:t xml:space="preserve"> &lt; 53 </w:t>
            </w:r>
            <w:r w:rsidR="007E1134">
              <w:rPr>
                <w:szCs w:val="22"/>
                <w:lang w:val="hr-HR"/>
              </w:rPr>
              <w:t>nedjelje</w:t>
            </w:r>
            <w:r w:rsidRPr="009A2813">
              <w:rPr>
                <w:szCs w:val="22"/>
                <w:lang w:val="hr-HR"/>
              </w:rPr>
              <w:t xml:space="preserve"> PMA</w:t>
            </w:r>
            <w:r w:rsidRPr="009A2813">
              <w:rPr>
                <w:szCs w:val="22"/>
                <w:vertAlign w:val="superscript"/>
                <w:lang w:val="hr-HR"/>
              </w:rPr>
              <w:t>7</w:t>
            </w:r>
          </w:p>
          <w:p w14:paraId="38C6735B" w14:textId="7777777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bCs/>
                <w:szCs w:val="22"/>
                <w:lang w:val="hr-HR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4D0A" w14:textId="3BBD9F3A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b/>
                <w:bCs/>
                <w:szCs w:val="22"/>
                <w:lang w:val="hr-HR"/>
              </w:rPr>
              <w:t>30 mg/kg</w:t>
            </w:r>
            <w:r w:rsidRPr="009A2813">
              <w:rPr>
                <w:szCs w:val="22"/>
                <w:lang w:val="hr-HR"/>
              </w:rPr>
              <w:t>/7</w:t>
            </w:r>
            <w:r w:rsidR="007E1134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 xml:space="preserve">5 mg/kg </w:t>
            </w:r>
          </w:p>
          <w:p w14:paraId="474C5073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bCs/>
                <w:szCs w:val="22"/>
                <w:lang w:val="hr-HR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211F" w14:textId="499921A0" w:rsidR="00836DB9" w:rsidRPr="009A2813" w:rsidRDefault="007C14BC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Svakih </w:t>
            </w:r>
            <w:r w:rsidR="00836DB9" w:rsidRPr="009A2813">
              <w:rPr>
                <w:szCs w:val="22"/>
                <w:lang w:val="hr-HR"/>
              </w:rPr>
              <w:t>8 </w:t>
            </w:r>
            <w:r w:rsidRPr="009A2813">
              <w:rPr>
                <w:szCs w:val="22"/>
                <w:lang w:val="hr-HR"/>
              </w:rPr>
              <w:t>sati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77D4" w14:textId="7777777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27C7EA7E" w14:textId="7777777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6CA4A8BF" w14:textId="77777777" w:rsidR="00CD6791" w:rsidRDefault="00CD6791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386539EC" w14:textId="77777777" w:rsidR="00CD6791" w:rsidRDefault="00CD6791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6ACE229B" w14:textId="77777777" w:rsidR="00CD6791" w:rsidRDefault="00CD6791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3B7B9B98" w14:textId="5F6CC4FE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2 </w:t>
            </w:r>
            <w:r w:rsidR="003D663E" w:rsidRPr="009A2813">
              <w:rPr>
                <w:szCs w:val="22"/>
                <w:lang w:val="hr-HR"/>
              </w:rPr>
              <w:t>sata</w:t>
            </w: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FC6D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</w:tc>
      </w:tr>
      <w:tr w:rsidR="00670E18" w:rsidRPr="009A2813" w14:paraId="65497DE1" w14:textId="77777777" w:rsidTr="00C12B32">
        <w:trPr>
          <w:trHeight w:val="139"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5B9C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559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23E8" w14:textId="7492398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31 </w:t>
            </w:r>
            <w:r w:rsidR="00670E18">
              <w:rPr>
                <w:szCs w:val="22"/>
                <w:lang w:val="hr-HR"/>
              </w:rPr>
              <w:t>d</w:t>
            </w:r>
            <w:r w:rsidRPr="009A2813">
              <w:rPr>
                <w:szCs w:val="22"/>
                <w:lang w:val="hr-HR"/>
              </w:rPr>
              <w:t>o ≤ 44 </w:t>
            </w:r>
            <w:r w:rsidR="007E1134">
              <w:rPr>
                <w:szCs w:val="22"/>
                <w:lang w:val="hr-HR"/>
              </w:rPr>
              <w:t>nedjelje</w:t>
            </w:r>
            <w:r w:rsidRPr="009A2813">
              <w:rPr>
                <w:szCs w:val="22"/>
                <w:lang w:val="hr-HR"/>
              </w:rPr>
              <w:t xml:space="preserve"> PMA</w:t>
            </w:r>
            <w:r w:rsidRPr="009A2813">
              <w:rPr>
                <w:szCs w:val="22"/>
                <w:vertAlign w:val="superscript"/>
                <w:lang w:val="hr-HR"/>
              </w:rPr>
              <w:t>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3666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b/>
                <w:bCs/>
                <w:szCs w:val="22"/>
                <w:lang w:val="hr-HR"/>
              </w:rPr>
              <w:t>20 mg/kg</w:t>
            </w:r>
            <w:r w:rsidRPr="009A2813">
              <w:rPr>
                <w:szCs w:val="22"/>
                <w:lang w:val="hr-HR"/>
              </w:rPr>
              <w:t xml:space="preserve">/5 mg/kg </w:t>
            </w:r>
          </w:p>
          <w:p w14:paraId="2E96CCF5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bCs/>
                <w:szCs w:val="22"/>
                <w:lang w:val="hr-HR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AE0A" w14:textId="7777777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AA12" w14:textId="77777777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58B8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</w:tc>
      </w:tr>
      <w:tr w:rsidR="00670E18" w:rsidRPr="009A2813" w14:paraId="6DE56678" w14:textId="77777777" w:rsidTr="00C12B32">
        <w:trPr>
          <w:trHeight w:val="139"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A8D0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315F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D305" w14:textId="28B5D87F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26 </w:t>
            </w:r>
            <w:r w:rsidR="00670E18">
              <w:rPr>
                <w:szCs w:val="22"/>
                <w:lang w:val="hr-HR"/>
              </w:rPr>
              <w:t>d</w:t>
            </w:r>
            <w:r w:rsidRPr="009A2813">
              <w:rPr>
                <w:szCs w:val="22"/>
                <w:lang w:val="hr-HR"/>
              </w:rPr>
              <w:t>o &lt; 31 </w:t>
            </w:r>
            <w:r w:rsidR="007E1134">
              <w:rPr>
                <w:szCs w:val="22"/>
                <w:lang w:val="hr-HR"/>
              </w:rPr>
              <w:t>nedjelje</w:t>
            </w:r>
            <w:r w:rsidRPr="009A2813">
              <w:rPr>
                <w:szCs w:val="22"/>
                <w:lang w:val="hr-HR"/>
              </w:rPr>
              <w:t xml:space="preserve"> PMA</w:t>
            </w:r>
            <w:r w:rsidRPr="009A2813">
              <w:rPr>
                <w:szCs w:val="22"/>
                <w:vertAlign w:val="superscript"/>
                <w:lang w:val="hr-HR"/>
              </w:rPr>
              <w:t>7,8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2190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  <w:r w:rsidRPr="009A2813">
              <w:rPr>
                <w:b/>
                <w:bCs/>
                <w:szCs w:val="22"/>
                <w:lang w:val="hr-HR"/>
              </w:rPr>
              <w:t>20 mg/kg</w:t>
            </w:r>
            <w:r w:rsidRPr="009A2813">
              <w:rPr>
                <w:szCs w:val="22"/>
                <w:lang w:val="hr-HR"/>
              </w:rPr>
              <w:t xml:space="preserve">/5 mg/kg </w:t>
            </w:r>
          </w:p>
          <w:p w14:paraId="76EC545F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B027" w14:textId="05E75B62" w:rsidR="00836DB9" w:rsidRPr="009A2813" w:rsidRDefault="003D663E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Svakih 12 sati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60E0" w14:textId="77777777" w:rsidR="00CD6791" w:rsidRDefault="00CD6791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16B7010F" w14:textId="77777777" w:rsidR="00CD6791" w:rsidRDefault="00CD6791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75BB421E" w14:textId="77777777" w:rsidR="00CD6791" w:rsidRDefault="00CD6791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3FDF7186" w14:textId="77777777" w:rsidR="00CD6791" w:rsidRDefault="00CD6791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3E49F349" w14:textId="77777777" w:rsidR="00CD6791" w:rsidRDefault="00CD6791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</w:p>
          <w:p w14:paraId="020BBAE3" w14:textId="5DFC976C" w:rsidR="00836DB9" w:rsidRPr="009A2813" w:rsidRDefault="00836DB9" w:rsidP="00C12B32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textAlignment w:val="baseline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2 </w:t>
            </w:r>
            <w:r w:rsidR="003D663E" w:rsidRPr="009A2813">
              <w:rPr>
                <w:szCs w:val="22"/>
                <w:lang w:val="hr-HR"/>
              </w:rPr>
              <w:t>sata</w:t>
            </w: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4D77" w14:textId="77777777" w:rsidR="00836DB9" w:rsidRPr="009A2813" w:rsidRDefault="00836DB9" w:rsidP="00836DB9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42" w:hanging="142"/>
              <w:jc w:val="both"/>
              <w:textAlignment w:val="baseline"/>
              <w:rPr>
                <w:szCs w:val="22"/>
                <w:lang w:val="hr-HR"/>
              </w:rPr>
            </w:pPr>
          </w:p>
        </w:tc>
      </w:tr>
    </w:tbl>
    <w:p w14:paraId="64A83D28" w14:textId="0BE251BE" w:rsidR="005F51CF" w:rsidRDefault="00E77B16" w:rsidP="00B41558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textAlignment w:val="baseline"/>
        <w:rPr>
          <w:szCs w:val="22"/>
          <w:lang w:val="hr-HR"/>
        </w:rPr>
      </w:pPr>
      <w:r>
        <w:rPr>
          <w:color w:val="000000"/>
          <w:szCs w:val="22"/>
          <w:vertAlign w:val="superscript"/>
        </w:rPr>
        <w:t xml:space="preserve">1 </w:t>
      </w:r>
      <w:r w:rsidR="00670E18">
        <w:rPr>
          <w:szCs w:val="22"/>
          <w:lang w:val="hr-HR"/>
        </w:rPr>
        <w:t>Primjenjivati</w:t>
      </w:r>
      <w:r w:rsidR="0068049F" w:rsidRPr="009A2813">
        <w:rPr>
          <w:szCs w:val="22"/>
          <w:lang w:val="hr-HR"/>
        </w:rPr>
        <w:t xml:space="preserve"> u kombinaciji sa metronidazolom kada </w:t>
      </w:r>
      <w:r w:rsidR="00670E18">
        <w:rPr>
          <w:szCs w:val="22"/>
          <w:lang w:val="hr-HR"/>
        </w:rPr>
        <w:t>je potvrđeno</w:t>
      </w:r>
      <w:r w:rsidR="0068049F" w:rsidRPr="009A2813">
        <w:rPr>
          <w:szCs w:val="22"/>
          <w:lang w:val="hr-HR"/>
        </w:rPr>
        <w:t xml:space="preserve"> ili </w:t>
      </w:r>
      <w:r w:rsidR="00670E18">
        <w:rPr>
          <w:szCs w:val="22"/>
          <w:lang w:val="hr-HR"/>
        </w:rPr>
        <w:t xml:space="preserve">se </w:t>
      </w:r>
      <w:r w:rsidR="0068049F" w:rsidRPr="009A2813">
        <w:rPr>
          <w:szCs w:val="22"/>
          <w:lang w:val="hr-HR"/>
        </w:rPr>
        <w:t>sumnja da anaerobni patogeni doprinose infektivnom procesu.</w:t>
      </w:r>
    </w:p>
    <w:p w14:paraId="33A5B60B" w14:textId="41D54CE0" w:rsidR="005F51CF" w:rsidRDefault="005F51CF" w:rsidP="005F51CF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textAlignment w:val="baseline"/>
        <w:rPr>
          <w:szCs w:val="22"/>
          <w:lang w:val="hr-HR"/>
        </w:rPr>
      </w:pPr>
      <w:r>
        <w:rPr>
          <w:color w:val="000000"/>
          <w:szCs w:val="22"/>
          <w:vertAlign w:val="superscript"/>
        </w:rPr>
        <w:t xml:space="preserve">2 </w:t>
      </w:r>
      <w:r w:rsidR="00670E18">
        <w:rPr>
          <w:szCs w:val="22"/>
          <w:lang w:val="hr-HR"/>
        </w:rPr>
        <w:t>Primjenjivati</w:t>
      </w:r>
      <w:r>
        <w:rPr>
          <w:szCs w:val="22"/>
          <w:lang w:val="hr-HR"/>
        </w:rPr>
        <w:t xml:space="preserve"> </w:t>
      </w:r>
      <w:r w:rsidR="0068049F" w:rsidRPr="009A2813">
        <w:rPr>
          <w:szCs w:val="22"/>
          <w:lang w:val="hr-HR"/>
        </w:rPr>
        <w:t xml:space="preserve">u kombinaciji sa antibakterijskim </w:t>
      </w:r>
      <w:r>
        <w:rPr>
          <w:szCs w:val="22"/>
          <w:lang w:val="hr-HR"/>
        </w:rPr>
        <w:t>ljeko</w:t>
      </w:r>
      <w:r w:rsidR="00670E18">
        <w:rPr>
          <w:szCs w:val="22"/>
          <w:lang w:val="hr-HR"/>
        </w:rPr>
        <w:t>vi</w:t>
      </w:r>
      <w:r>
        <w:rPr>
          <w:szCs w:val="22"/>
          <w:lang w:val="hr-HR"/>
        </w:rPr>
        <w:t>m</w:t>
      </w:r>
      <w:r w:rsidR="00670E18">
        <w:rPr>
          <w:szCs w:val="22"/>
          <w:lang w:val="hr-HR"/>
        </w:rPr>
        <w:t>a</w:t>
      </w:r>
      <w:r w:rsidR="0068049F" w:rsidRPr="009A2813">
        <w:rPr>
          <w:szCs w:val="22"/>
          <w:lang w:val="hr-HR"/>
        </w:rPr>
        <w:t xml:space="preserve"> </w:t>
      </w:r>
      <w:r w:rsidR="00670E18">
        <w:rPr>
          <w:szCs w:val="22"/>
          <w:lang w:val="hr-HR"/>
        </w:rPr>
        <w:t>koji djeluju na</w:t>
      </w:r>
      <w:r w:rsidR="0068049F" w:rsidRPr="009A2813">
        <w:rPr>
          <w:szCs w:val="22"/>
          <w:lang w:val="hr-HR"/>
        </w:rPr>
        <w:t xml:space="preserve"> </w:t>
      </w:r>
      <w:r w:rsidR="00D84F20">
        <w:rPr>
          <w:szCs w:val="22"/>
          <w:lang w:val="hr-HR"/>
        </w:rPr>
        <w:t>g</w:t>
      </w:r>
      <w:r w:rsidR="0068049F" w:rsidRPr="009A2813">
        <w:rPr>
          <w:szCs w:val="22"/>
          <w:lang w:val="hr-HR"/>
        </w:rPr>
        <w:t>ram-pozitivn</w:t>
      </w:r>
      <w:r w:rsidR="00670E18">
        <w:rPr>
          <w:szCs w:val="22"/>
          <w:lang w:val="hr-HR"/>
        </w:rPr>
        <w:t>e</w:t>
      </w:r>
      <w:r w:rsidR="0068049F" w:rsidRPr="009A2813">
        <w:rPr>
          <w:szCs w:val="22"/>
          <w:lang w:val="hr-HR"/>
        </w:rPr>
        <w:t xml:space="preserve"> patogen</w:t>
      </w:r>
      <w:r w:rsidR="00670E18">
        <w:rPr>
          <w:szCs w:val="22"/>
          <w:lang w:val="hr-HR"/>
        </w:rPr>
        <w:t>e</w:t>
      </w:r>
      <w:r w:rsidR="0068049F" w:rsidRPr="009A2813">
        <w:rPr>
          <w:szCs w:val="22"/>
          <w:lang w:val="hr-HR"/>
        </w:rPr>
        <w:t xml:space="preserve"> kada </w:t>
      </w:r>
      <w:r w:rsidR="00670E18">
        <w:rPr>
          <w:szCs w:val="22"/>
          <w:lang w:val="hr-HR"/>
        </w:rPr>
        <w:t>j</w:t>
      </w:r>
      <w:r w:rsidR="0068049F" w:rsidRPr="009A2813">
        <w:rPr>
          <w:szCs w:val="22"/>
          <w:lang w:val="hr-HR"/>
        </w:rPr>
        <w:t xml:space="preserve">e </w:t>
      </w:r>
      <w:r w:rsidR="00670E18">
        <w:rPr>
          <w:szCs w:val="22"/>
          <w:lang w:val="hr-HR"/>
        </w:rPr>
        <w:t>potvrđeno</w:t>
      </w:r>
      <w:r w:rsidR="0068049F" w:rsidRPr="009A2813">
        <w:rPr>
          <w:szCs w:val="22"/>
          <w:lang w:val="hr-HR"/>
        </w:rPr>
        <w:t xml:space="preserve"> ili </w:t>
      </w:r>
      <w:r w:rsidR="00670E18">
        <w:rPr>
          <w:szCs w:val="22"/>
          <w:lang w:val="hr-HR"/>
        </w:rPr>
        <w:t xml:space="preserve">se </w:t>
      </w:r>
      <w:r w:rsidR="0068049F" w:rsidRPr="009A2813">
        <w:rPr>
          <w:szCs w:val="22"/>
          <w:lang w:val="hr-HR"/>
        </w:rPr>
        <w:t>sumnja da o</w:t>
      </w:r>
      <w:r>
        <w:rPr>
          <w:szCs w:val="22"/>
          <w:lang w:val="hr-HR"/>
        </w:rPr>
        <w:t>n</w:t>
      </w:r>
      <w:r w:rsidR="0068049F" w:rsidRPr="009A2813">
        <w:rPr>
          <w:szCs w:val="22"/>
          <w:lang w:val="hr-HR"/>
        </w:rPr>
        <w:t>i doprinose infektivnom procesu.</w:t>
      </w:r>
    </w:p>
    <w:p w14:paraId="19D42F04" w14:textId="00231DAD" w:rsidR="005F51CF" w:rsidRDefault="005F51CF" w:rsidP="005F51CF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textAlignment w:val="baseline"/>
        <w:rPr>
          <w:szCs w:val="22"/>
          <w:lang w:val="hr-HR"/>
        </w:rPr>
      </w:pPr>
      <w:r>
        <w:rPr>
          <w:color w:val="000000"/>
          <w:szCs w:val="22"/>
          <w:vertAlign w:val="superscript"/>
        </w:rPr>
        <w:t xml:space="preserve">3 </w:t>
      </w:r>
      <w:r w:rsidR="004650A4">
        <w:rPr>
          <w:szCs w:val="22"/>
          <w:lang w:val="hr-HR"/>
        </w:rPr>
        <w:t>P</w:t>
      </w:r>
      <w:r w:rsidR="00FA531A" w:rsidRPr="009A2813">
        <w:rPr>
          <w:szCs w:val="22"/>
          <w:lang w:val="hr-HR"/>
        </w:rPr>
        <w:t>rikazano</w:t>
      </w:r>
      <w:r w:rsidR="0068049F" w:rsidRPr="009A2813">
        <w:rPr>
          <w:szCs w:val="22"/>
          <w:lang w:val="hr-HR"/>
        </w:rPr>
        <w:t xml:space="preserve"> </w:t>
      </w:r>
      <w:r w:rsidR="004650A4">
        <w:rPr>
          <w:szCs w:val="22"/>
          <w:lang w:val="hr-HR"/>
        </w:rPr>
        <w:t>u</w:t>
      </w:r>
      <w:r w:rsidR="004650A4" w:rsidRPr="009A2813">
        <w:rPr>
          <w:szCs w:val="22"/>
          <w:lang w:val="hr-HR"/>
        </w:rPr>
        <w:t xml:space="preserve">kupno </w:t>
      </w:r>
      <w:r w:rsidR="0068049F" w:rsidRPr="009A2813">
        <w:rPr>
          <w:szCs w:val="22"/>
          <w:lang w:val="hr-HR"/>
        </w:rPr>
        <w:t>trajanje l</w:t>
      </w:r>
      <w:r w:rsidR="00FA531A" w:rsidRPr="009A2813">
        <w:rPr>
          <w:szCs w:val="22"/>
          <w:lang w:val="hr-HR"/>
        </w:rPr>
        <w:t>ije</w:t>
      </w:r>
      <w:r w:rsidR="0068049F" w:rsidRPr="009A2813">
        <w:rPr>
          <w:szCs w:val="22"/>
          <w:lang w:val="hr-HR"/>
        </w:rPr>
        <w:t>čenja može uključivati intravensk</w:t>
      </w:r>
      <w:r>
        <w:rPr>
          <w:szCs w:val="22"/>
          <w:lang w:val="hr-HR"/>
        </w:rPr>
        <w:t>u primjenu lijeka</w:t>
      </w:r>
      <w:r w:rsidR="0068049F" w:rsidRPr="009A2813">
        <w:rPr>
          <w:szCs w:val="22"/>
          <w:lang w:val="hr-HR"/>
        </w:rPr>
        <w:t xml:space="preserve"> Zavicefta nakon čega sl</w:t>
      </w:r>
      <w:r w:rsidR="00FA531A" w:rsidRPr="009A2813">
        <w:rPr>
          <w:szCs w:val="22"/>
          <w:lang w:val="hr-HR"/>
        </w:rPr>
        <w:t>ij</w:t>
      </w:r>
      <w:r w:rsidR="0068049F" w:rsidRPr="009A2813">
        <w:rPr>
          <w:szCs w:val="22"/>
          <w:lang w:val="hr-HR"/>
        </w:rPr>
        <w:t>edi odgovarajuća oralna terapija.</w:t>
      </w:r>
    </w:p>
    <w:p w14:paraId="52210A96" w14:textId="2F666E03" w:rsidR="005F51CF" w:rsidRDefault="005F51CF" w:rsidP="005F51CF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textAlignment w:val="baseline"/>
        <w:rPr>
          <w:szCs w:val="22"/>
          <w:lang w:val="hr-HR"/>
        </w:rPr>
      </w:pPr>
      <w:r>
        <w:rPr>
          <w:color w:val="000000"/>
          <w:szCs w:val="22"/>
          <w:vertAlign w:val="superscript"/>
        </w:rPr>
        <w:t xml:space="preserve">4 </w:t>
      </w:r>
      <w:r w:rsidR="0068049F" w:rsidRPr="009A2813">
        <w:rPr>
          <w:szCs w:val="22"/>
          <w:lang w:val="hr-HR"/>
        </w:rPr>
        <w:t xml:space="preserve">Postoji veoma ograničeno iskustvo sa </w:t>
      </w:r>
      <w:r>
        <w:rPr>
          <w:szCs w:val="22"/>
          <w:lang w:val="hr-HR"/>
        </w:rPr>
        <w:t>upotrebom lijeka</w:t>
      </w:r>
      <w:r w:rsidR="0068049F" w:rsidRPr="009A2813">
        <w:rPr>
          <w:szCs w:val="22"/>
          <w:lang w:val="hr-HR"/>
        </w:rPr>
        <w:t xml:space="preserve"> Zavicefta duže od 14 dana.</w:t>
      </w:r>
    </w:p>
    <w:p w14:paraId="24BB63A7" w14:textId="52379C06" w:rsidR="005F51CF" w:rsidRDefault="005F51CF" w:rsidP="005F51CF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textAlignment w:val="baseline"/>
        <w:rPr>
          <w:szCs w:val="22"/>
          <w:lang w:val="hr-HR"/>
        </w:rPr>
      </w:pPr>
      <w:r>
        <w:rPr>
          <w:color w:val="000000"/>
          <w:szCs w:val="22"/>
          <w:vertAlign w:val="superscript"/>
        </w:rPr>
        <w:t xml:space="preserve">5 </w:t>
      </w:r>
      <w:r w:rsidR="0068049F" w:rsidRPr="009A2813">
        <w:rPr>
          <w:szCs w:val="22"/>
          <w:lang w:val="hr-HR"/>
        </w:rPr>
        <w:t>Ceftazidim/avibaktam je kombinovani proizvod u fiksnom odnosu 4:1</w:t>
      </w:r>
      <w:r w:rsidR="00E827A9">
        <w:rPr>
          <w:szCs w:val="22"/>
          <w:lang w:val="hr-HR"/>
        </w:rPr>
        <w:t xml:space="preserve"> i</w:t>
      </w:r>
      <w:r w:rsidR="0068049F" w:rsidRPr="009A2813">
        <w:rPr>
          <w:szCs w:val="22"/>
          <w:lang w:val="hr-HR"/>
        </w:rPr>
        <w:t xml:space="preserve"> preporuke za doziranje </w:t>
      </w:r>
      <w:r w:rsidR="00E827A9">
        <w:rPr>
          <w:szCs w:val="22"/>
          <w:lang w:val="hr-HR"/>
        </w:rPr>
        <w:t>se zasnivaju</w:t>
      </w:r>
      <w:r w:rsidR="0068049F" w:rsidRPr="009A2813">
        <w:rPr>
          <w:szCs w:val="22"/>
          <w:lang w:val="hr-HR"/>
        </w:rPr>
        <w:t xml:space="preserve"> </w:t>
      </w:r>
      <w:r w:rsidR="00E827A9">
        <w:rPr>
          <w:szCs w:val="22"/>
          <w:lang w:val="hr-HR"/>
        </w:rPr>
        <w:t>samo</w:t>
      </w:r>
      <w:r w:rsidR="0068049F" w:rsidRPr="009A2813">
        <w:rPr>
          <w:szCs w:val="22"/>
          <w:lang w:val="hr-HR"/>
        </w:rPr>
        <w:t xml:space="preserve"> na komponenti ceftazidima (</w:t>
      </w:r>
      <w:r w:rsidR="00E827A9">
        <w:rPr>
          <w:szCs w:val="22"/>
          <w:lang w:val="hr-HR"/>
        </w:rPr>
        <w:t>pogledajte dio</w:t>
      </w:r>
      <w:r w:rsidR="0068049F" w:rsidRPr="009A2813">
        <w:rPr>
          <w:szCs w:val="22"/>
          <w:lang w:val="hr-HR"/>
        </w:rPr>
        <w:t xml:space="preserve"> 6.6).</w:t>
      </w:r>
    </w:p>
    <w:p w14:paraId="70296F28" w14:textId="42D86FE1" w:rsidR="005F51CF" w:rsidRDefault="005F51CF" w:rsidP="005F51CF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textAlignment w:val="baseline"/>
        <w:rPr>
          <w:szCs w:val="22"/>
          <w:lang w:val="hr-HR"/>
        </w:rPr>
      </w:pPr>
      <w:r>
        <w:rPr>
          <w:color w:val="000000"/>
          <w:szCs w:val="22"/>
          <w:vertAlign w:val="superscript"/>
        </w:rPr>
        <w:t xml:space="preserve">6 </w:t>
      </w:r>
      <w:r w:rsidR="0068049F" w:rsidRPr="009A2813">
        <w:rPr>
          <w:szCs w:val="22"/>
          <w:lang w:val="hr-HR"/>
        </w:rPr>
        <w:t>Pr</w:t>
      </w:r>
      <w:r w:rsidR="00DA606D" w:rsidRPr="009A2813">
        <w:rPr>
          <w:szCs w:val="22"/>
          <w:lang w:val="hr-HR"/>
        </w:rPr>
        <w:t>ij</w:t>
      </w:r>
      <w:r w:rsidR="0068049F" w:rsidRPr="009A2813">
        <w:rPr>
          <w:szCs w:val="22"/>
          <w:lang w:val="hr-HR"/>
        </w:rPr>
        <w:t>evremeno rođeni definisani su kao &lt; 37 ned</w:t>
      </w:r>
      <w:r w:rsidR="00DA606D" w:rsidRPr="009A2813">
        <w:rPr>
          <w:szCs w:val="22"/>
          <w:lang w:val="hr-HR"/>
        </w:rPr>
        <w:t>j</w:t>
      </w:r>
      <w:r w:rsidR="0068049F" w:rsidRPr="009A2813">
        <w:rPr>
          <w:szCs w:val="22"/>
          <w:lang w:val="hr-HR"/>
        </w:rPr>
        <w:t>elja gestacije.</w:t>
      </w:r>
    </w:p>
    <w:p w14:paraId="1B0FCE18" w14:textId="5868D2E4" w:rsidR="00E827A9" w:rsidRDefault="005F51CF" w:rsidP="00E827A9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textAlignment w:val="baseline"/>
        <w:rPr>
          <w:szCs w:val="22"/>
        </w:rPr>
      </w:pPr>
      <w:r>
        <w:rPr>
          <w:color w:val="000000"/>
          <w:szCs w:val="22"/>
          <w:vertAlign w:val="superscript"/>
        </w:rPr>
        <w:t xml:space="preserve">7 </w:t>
      </w:r>
      <w:r w:rsidR="0068049F" w:rsidRPr="009A2813">
        <w:rPr>
          <w:szCs w:val="22"/>
          <w:lang w:val="hr-HR"/>
        </w:rPr>
        <w:t>Postmenstrualna starost</w:t>
      </w:r>
      <w:r w:rsidR="00E827A9">
        <w:rPr>
          <w:szCs w:val="22"/>
          <w:lang w:val="hr-HR"/>
        </w:rPr>
        <w:t xml:space="preserve"> </w:t>
      </w:r>
      <w:r w:rsidR="00E827A9">
        <w:rPr>
          <w:szCs w:val="22"/>
        </w:rPr>
        <w:t xml:space="preserve">(engl. </w:t>
      </w:r>
      <w:r w:rsidR="00E827A9" w:rsidRPr="002B14C5">
        <w:rPr>
          <w:i/>
          <w:szCs w:val="22"/>
        </w:rPr>
        <w:t>postmenstrual age</w:t>
      </w:r>
      <w:r w:rsidR="00E827A9">
        <w:rPr>
          <w:szCs w:val="22"/>
        </w:rPr>
        <w:t>, PMA).</w:t>
      </w:r>
    </w:p>
    <w:p w14:paraId="14E607E0" w14:textId="00E21F5A" w:rsidR="005F51CF" w:rsidRDefault="005F51CF" w:rsidP="005F51CF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textAlignment w:val="baseline"/>
        <w:rPr>
          <w:szCs w:val="22"/>
          <w:lang w:val="hr-HR"/>
        </w:rPr>
      </w:pPr>
      <w:r>
        <w:rPr>
          <w:color w:val="000000"/>
          <w:szCs w:val="22"/>
          <w:vertAlign w:val="superscript"/>
        </w:rPr>
        <w:t xml:space="preserve">8 </w:t>
      </w:r>
      <w:r w:rsidR="0068049F" w:rsidRPr="009A2813">
        <w:rPr>
          <w:szCs w:val="22"/>
          <w:lang w:val="hr-HR"/>
        </w:rPr>
        <w:t xml:space="preserve">Preporuke za doziranje za pacijente </w:t>
      </w:r>
      <w:r w:rsidR="00E827A9">
        <w:rPr>
          <w:szCs w:val="22"/>
          <w:lang w:val="hr-HR"/>
        </w:rPr>
        <w:t xml:space="preserve">PMA </w:t>
      </w:r>
      <w:r w:rsidR="0068049F" w:rsidRPr="009A2813">
        <w:rPr>
          <w:szCs w:val="22"/>
          <w:lang w:val="hr-HR"/>
        </w:rPr>
        <w:t>od 26 do &lt; 31 ned</w:t>
      </w:r>
      <w:r w:rsidR="0017325C" w:rsidRPr="009A2813">
        <w:rPr>
          <w:szCs w:val="22"/>
          <w:lang w:val="hr-HR"/>
        </w:rPr>
        <w:t>j</w:t>
      </w:r>
      <w:r w:rsidR="0068049F" w:rsidRPr="009A2813">
        <w:rPr>
          <w:szCs w:val="22"/>
          <w:lang w:val="hr-HR"/>
        </w:rPr>
        <w:t>elje PMA bazirane su samo na farmakokinetičkom modeliranju (</w:t>
      </w:r>
      <w:r w:rsidR="00E827A9">
        <w:rPr>
          <w:szCs w:val="22"/>
          <w:lang w:val="hr-HR"/>
        </w:rPr>
        <w:t>pogledajte</w:t>
      </w:r>
      <w:r w:rsidR="0068049F" w:rsidRPr="009A2813">
        <w:rPr>
          <w:szCs w:val="22"/>
          <w:lang w:val="hr-HR"/>
        </w:rPr>
        <w:t xml:space="preserve"> </w:t>
      </w:r>
      <w:r w:rsidR="00E827A9">
        <w:rPr>
          <w:szCs w:val="22"/>
          <w:lang w:val="hr-HR"/>
        </w:rPr>
        <w:t>dio</w:t>
      </w:r>
      <w:r w:rsidR="0068049F" w:rsidRPr="009A2813">
        <w:rPr>
          <w:szCs w:val="22"/>
          <w:lang w:val="hr-HR"/>
        </w:rPr>
        <w:t xml:space="preserve"> 5.2).</w:t>
      </w:r>
    </w:p>
    <w:p w14:paraId="5617B9E4" w14:textId="5E361AF0" w:rsidR="00836DB9" w:rsidRPr="009A2813" w:rsidRDefault="005F51CF" w:rsidP="005F51CF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textAlignment w:val="baseline"/>
        <w:rPr>
          <w:szCs w:val="22"/>
          <w:lang w:val="hr-HR"/>
        </w:rPr>
      </w:pPr>
      <w:r>
        <w:rPr>
          <w:color w:val="000000"/>
          <w:szCs w:val="22"/>
          <w:vertAlign w:val="superscript"/>
        </w:rPr>
        <w:t xml:space="preserve">9 </w:t>
      </w:r>
      <w:r w:rsidR="0068049F" w:rsidRPr="009A2813">
        <w:rPr>
          <w:szCs w:val="22"/>
          <w:lang w:val="hr-HR"/>
        </w:rPr>
        <w:t xml:space="preserve">Pacijenti sa </w:t>
      </w:r>
      <w:r w:rsidR="009A1D9A">
        <w:rPr>
          <w:szCs w:val="22"/>
          <w:lang w:val="hr-HR"/>
        </w:rPr>
        <w:t xml:space="preserve">serumskim </w:t>
      </w:r>
      <w:r w:rsidR="00E827A9">
        <w:rPr>
          <w:bCs/>
          <w:szCs w:val="22"/>
        </w:rPr>
        <w:t xml:space="preserve">kreatininom  </w:t>
      </w:r>
      <w:r w:rsidR="0068049F" w:rsidRPr="009A2813">
        <w:rPr>
          <w:szCs w:val="22"/>
          <w:lang w:val="hr-HR"/>
        </w:rPr>
        <w:t>na gornj</w:t>
      </w:r>
      <w:r w:rsidR="00E827A9">
        <w:rPr>
          <w:szCs w:val="22"/>
          <w:lang w:val="hr-HR"/>
        </w:rPr>
        <w:t>oj</w:t>
      </w:r>
      <w:r w:rsidR="0068049F" w:rsidRPr="009A2813">
        <w:rPr>
          <w:szCs w:val="22"/>
          <w:lang w:val="hr-HR"/>
        </w:rPr>
        <w:t xml:space="preserve"> granic</w:t>
      </w:r>
      <w:r w:rsidR="00E827A9">
        <w:rPr>
          <w:szCs w:val="22"/>
          <w:lang w:val="hr-HR"/>
        </w:rPr>
        <w:t>i</w:t>
      </w:r>
      <w:r w:rsidR="0068049F" w:rsidRPr="009A2813">
        <w:rPr>
          <w:szCs w:val="22"/>
          <w:lang w:val="hr-HR"/>
        </w:rPr>
        <w:t xml:space="preserve"> </w:t>
      </w:r>
      <w:r w:rsidR="00E827A9">
        <w:rPr>
          <w:szCs w:val="22"/>
          <w:lang w:val="hr-HR"/>
        </w:rPr>
        <w:t>referentnih vrijednosti ili ispod nje shodno starosti</w:t>
      </w:r>
      <w:r w:rsidR="0068049F" w:rsidRPr="009A2813">
        <w:rPr>
          <w:szCs w:val="22"/>
          <w:lang w:val="hr-HR"/>
        </w:rPr>
        <w:t>.</w:t>
      </w:r>
    </w:p>
    <w:p w14:paraId="1C5D7EEF" w14:textId="77777777" w:rsidR="000931AC" w:rsidRPr="009A2813" w:rsidRDefault="000931AC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textAlignment w:val="baseline"/>
        <w:rPr>
          <w:szCs w:val="22"/>
          <w:lang w:val="hr-HR"/>
        </w:rPr>
      </w:pPr>
    </w:p>
    <w:p w14:paraId="49DB66D9" w14:textId="77777777" w:rsidR="004C033F" w:rsidRPr="009A2813" w:rsidRDefault="004C033F" w:rsidP="00CC4A65">
      <w:pPr>
        <w:pStyle w:val="BodyText3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Posebne populacije</w:t>
      </w:r>
    </w:p>
    <w:p w14:paraId="01056C60" w14:textId="77777777" w:rsidR="002F69E7" w:rsidRPr="009A2813" w:rsidRDefault="002F69E7" w:rsidP="00CC4A65">
      <w:pPr>
        <w:pStyle w:val="BodyText3"/>
        <w:jc w:val="both"/>
        <w:rPr>
          <w:szCs w:val="22"/>
          <w:lang w:val="hr-HR"/>
        </w:rPr>
      </w:pPr>
    </w:p>
    <w:p w14:paraId="481B54AC" w14:textId="77777777" w:rsidR="004C033F" w:rsidRPr="009A2813" w:rsidRDefault="00D94854" w:rsidP="00CC4A65">
      <w:pPr>
        <w:pStyle w:val="A-StudyTitle"/>
        <w:spacing w:after="0"/>
        <w:jc w:val="both"/>
        <w:rPr>
          <w:b w:val="0"/>
          <w:i/>
          <w:sz w:val="22"/>
          <w:szCs w:val="22"/>
          <w:lang w:val="hr-HR"/>
        </w:rPr>
      </w:pPr>
      <w:r w:rsidRPr="009A2813">
        <w:rPr>
          <w:b w:val="0"/>
          <w:i/>
          <w:sz w:val="22"/>
          <w:szCs w:val="22"/>
          <w:lang w:val="hr-HR"/>
        </w:rPr>
        <w:t>Starije osobe</w:t>
      </w:r>
    </w:p>
    <w:p w14:paraId="5B8C345C" w14:textId="34F5A43A" w:rsidR="004C033F" w:rsidRPr="009A2813" w:rsidRDefault="004C033F" w:rsidP="00CC4A65">
      <w:pPr>
        <w:pStyle w:val="A-StudyTitle"/>
        <w:spacing w:after="0"/>
        <w:jc w:val="both"/>
        <w:rPr>
          <w:b w:val="0"/>
          <w:bCs/>
          <w:i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lang w:val="hr-HR"/>
        </w:rPr>
        <w:t>Prilagođavanje doze za starije pacijente nije potrebno (pogledajte dio 5.2).</w:t>
      </w:r>
    </w:p>
    <w:p w14:paraId="2CC1859D" w14:textId="77777777" w:rsidR="004C033F" w:rsidRPr="009A2813" w:rsidRDefault="004C033F" w:rsidP="00CC4A65">
      <w:pPr>
        <w:pStyle w:val="A-StudyTitle"/>
        <w:spacing w:after="0"/>
        <w:jc w:val="both"/>
        <w:rPr>
          <w:b w:val="0"/>
          <w:bCs/>
          <w:iCs/>
          <w:sz w:val="22"/>
          <w:szCs w:val="22"/>
          <w:lang w:val="hr-HR"/>
        </w:rPr>
      </w:pPr>
    </w:p>
    <w:p w14:paraId="172FA9DC" w14:textId="77777777" w:rsidR="004C033F" w:rsidRPr="009A2813" w:rsidRDefault="004C033F" w:rsidP="00CC4A65">
      <w:pPr>
        <w:pStyle w:val="A-StudyTitle"/>
        <w:spacing w:after="0"/>
        <w:jc w:val="both"/>
        <w:rPr>
          <w:b w:val="0"/>
          <w:i/>
          <w:sz w:val="22"/>
          <w:szCs w:val="22"/>
          <w:lang w:val="hr-HR"/>
        </w:rPr>
      </w:pPr>
      <w:r w:rsidRPr="009A2813">
        <w:rPr>
          <w:b w:val="0"/>
          <w:i/>
          <w:sz w:val="22"/>
          <w:szCs w:val="22"/>
          <w:lang w:val="hr-HR"/>
        </w:rPr>
        <w:t>Oštećenje funkcije bubrega</w:t>
      </w:r>
    </w:p>
    <w:p w14:paraId="3F4B5373" w14:textId="77777777" w:rsidR="00A823AD" w:rsidRPr="009A2813" w:rsidRDefault="00A823AD" w:rsidP="00CC4A65">
      <w:pPr>
        <w:pStyle w:val="A-StudyTitle"/>
        <w:spacing w:after="0"/>
        <w:jc w:val="both"/>
        <w:rPr>
          <w:b w:val="0"/>
          <w:bCs/>
          <w:sz w:val="22"/>
          <w:szCs w:val="22"/>
          <w:lang w:val="hr-HR"/>
        </w:rPr>
      </w:pPr>
    </w:p>
    <w:p w14:paraId="47CD2F47" w14:textId="31CD23D1" w:rsidR="004C033F" w:rsidRPr="009A2813" w:rsidRDefault="0019707C" w:rsidP="00CC4A65">
      <w:pPr>
        <w:pStyle w:val="A-StudyTitle"/>
        <w:spacing w:after="0"/>
        <w:jc w:val="both"/>
        <w:rPr>
          <w:b w:val="0"/>
          <w:b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lang w:val="hr-HR"/>
        </w:rPr>
        <w:t xml:space="preserve">Tabela </w:t>
      </w:r>
      <w:r w:rsidR="00EC4BF0" w:rsidRPr="009A2813">
        <w:rPr>
          <w:b w:val="0"/>
          <w:sz w:val="22"/>
          <w:szCs w:val="22"/>
          <w:lang w:val="hr-HR"/>
        </w:rPr>
        <w:t>4</w:t>
      </w:r>
      <w:r w:rsidRPr="009A2813">
        <w:rPr>
          <w:b w:val="0"/>
          <w:sz w:val="22"/>
          <w:szCs w:val="22"/>
          <w:lang w:val="hr-HR"/>
        </w:rPr>
        <w:t xml:space="preserve"> prikazuje preporučena prilagođavanja doze za odrasle sa procijenjenim CrCL ≤ 50 ml/min (pogledajte djelove 4.4 i 5.2).</w:t>
      </w:r>
    </w:p>
    <w:p w14:paraId="259BA218" w14:textId="77777777" w:rsidR="004C033F" w:rsidRPr="009A2813" w:rsidRDefault="004C033F" w:rsidP="00CC4A65">
      <w:pPr>
        <w:pStyle w:val="A-StudyTitle"/>
        <w:tabs>
          <w:tab w:val="left" w:pos="993"/>
        </w:tabs>
        <w:spacing w:after="0"/>
        <w:jc w:val="both"/>
        <w:rPr>
          <w:b w:val="0"/>
          <w:bCs/>
          <w:sz w:val="22"/>
          <w:szCs w:val="22"/>
          <w:lang w:val="hr-HR"/>
        </w:rPr>
      </w:pPr>
    </w:p>
    <w:p w14:paraId="5EA62A64" w14:textId="77777777" w:rsidR="00006045" w:rsidRPr="009A2813" w:rsidRDefault="00006045" w:rsidP="00CC4A65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/>
          <w:szCs w:val="22"/>
          <w:lang w:val="hr-HR"/>
        </w:rPr>
      </w:pPr>
      <w:r w:rsidRPr="009A2813">
        <w:rPr>
          <w:i/>
          <w:szCs w:val="22"/>
          <w:lang w:val="hr-HR"/>
        </w:rPr>
        <w:lastRenderedPageBreak/>
        <w:t>Doziranje kod odraslih sa CrCL ≤ 50 ml/min</w:t>
      </w:r>
    </w:p>
    <w:p w14:paraId="27B51698" w14:textId="77777777" w:rsidR="00006045" w:rsidRPr="009A2813" w:rsidRDefault="00006045" w:rsidP="00CC4A65">
      <w:pPr>
        <w:pStyle w:val="A-StudyTitle"/>
        <w:keepNext/>
        <w:tabs>
          <w:tab w:val="left" w:pos="993"/>
        </w:tabs>
        <w:spacing w:after="0"/>
        <w:jc w:val="both"/>
        <w:rPr>
          <w:b w:val="0"/>
          <w:bCs/>
          <w:sz w:val="22"/>
          <w:szCs w:val="22"/>
          <w:lang w:val="hr-HR"/>
        </w:rPr>
      </w:pPr>
    </w:p>
    <w:p w14:paraId="69309E02" w14:textId="25E3CA6A" w:rsidR="007125EA" w:rsidRPr="009A2813" w:rsidRDefault="007125EA" w:rsidP="00CC4A65">
      <w:pPr>
        <w:pStyle w:val="A-StudyTitle"/>
        <w:keepNext/>
        <w:keepLines/>
        <w:tabs>
          <w:tab w:val="left" w:pos="993"/>
        </w:tabs>
        <w:spacing w:after="0"/>
        <w:ind w:left="993" w:hanging="993"/>
        <w:jc w:val="both"/>
        <w:rPr>
          <w:b w:val="0"/>
          <w:bCs/>
          <w:sz w:val="22"/>
          <w:szCs w:val="22"/>
          <w:vertAlign w:val="superscript"/>
          <w:lang w:val="hr-HR"/>
        </w:rPr>
      </w:pPr>
      <w:r w:rsidRPr="009A2813">
        <w:rPr>
          <w:b w:val="0"/>
          <w:sz w:val="22"/>
          <w:szCs w:val="22"/>
          <w:lang w:val="hr-HR"/>
        </w:rPr>
        <w:t xml:space="preserve">Tabela </w:t>
      </w:r>
      <w:r w:rsidR="00C2407F" w:rsidRPr="009A2813">
        <w:rPr>
          <w:b w:val="0"/>
          <w:sz w:val="22"/>
          <w:szCs w:val="22"/>
          <w:lang w:val="hr-HR"/>
        </w:rPr>
        <w:t>4</w:t>
      </w:r>
      <w:r w:rsidRPr="009A2813">
        <w:rPr>
          <w:b w:val="0"/>
          <w:sz w:val="22"/>
          <w:szCs w:val="22"/>
          <w:lang w:val="hr-HR"/>
        </w:rPr>
        <w:t>: Preporučena doza za odrasle sa procijenjenim CrCL</w:t>
      </w:r>
      <w:r w:rsidRPr="009A2813">
        <w:rPr>
          <w:b w:val="0"/>
          <w:sz w:val="22"/>
          <w:szCs w:val="22"/>
          <w:vertAlign w:val="superscript"/>
          <w:lang w:val="hr-HR"/>
        </w:rPr>
        <w:t>1</w:t>
      </w:r>
      <w:r w:rsidRPr="009A2813">
        <w:rPr>
          <w:b w:val="0"/>
          <w:sz w:val="22"/>
          <w:szCs w:val="22"/>
          <w:lang w:val="hr-HR"/>
        </w:rPr>
        <w:t xml:space="preserve"> </w:t>
      </w:r>
      <w:bookmarkStart w:id="0" w:name="_Hlk17730181"/>
      <w:r w:rsidRPr="009A2813">
        <w:rPr>
          <w:b w:val="0"/>
          <w:sz w:val="22"/>
          <w:szCs w:val="22"/>
          <w:lang w:val="hr-HR"/>
        </w:rPr>
        <w:t>≤</w:t>
      </w:r>
      <w:bookmarkEnd w:id="0"/>
      <w:r w:rsidRPr="009A2813">
        <w:rPr>
          <w:b w:val="0"/>
          <w:sz w:val="22"/>
          <w:szCs w:val="22"/>
          <w:lang w:val="hr-HR"/>
        </w:rPr>
        <w:t> 50 ml/min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2684"/>
        <w:gridCol w:w="2554"/>
        <w:gridCol w:w="1330"/>
        <w:gridCol w:w="1065"/>
      </w:tblGrid>
      <w:tr w:rsidR="00F35A0E" w:rsidRPr="009A2813" w14:paraId="3DEDCF9B" w14:textId="77777777" w:rsidTr="003F4544">
        <w:trPr>
          <w:tblHeader/>
        </w:trPr>
        <w:tc>
          <w:tcPr>
            <w:tcW w:w="1380" w:type="dxa"/>
          </w:tcPr>
          <w:p w14:paraId="092A95EF" w14:textId="77777777" w:rsidR="00F35A0E" w:rsidRPr="009A2813" w:rsidRDefault="00F35A0E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bookmarkStart w:id="1" w:name="_Hlk45800619"/>
            <w:r w:rsidRPr="009A2813">
              <w:rPr>
                <w:b w:val="0"/>
                <w:sz w:val="22"/>
                <w:szCs w:val="22"/>
                <w:lang w:val="hr-HR"/>
              </w:rPr>
              <w:t>Starosna grupa</w:t>
            </w:r>
          </w:p>
        </w:tc>
        <w:tc>
          <w:tcPr>
            <w:tcW w:w="2866" w:type="dxa"/>
          </w:tcPr>
          <w:p w14:paraId="41C6B82F" w14:textId="77777777" w:rsidR="00F35A0E" w:rsidRPr="009A2813" w:rsidRDefault="00F35A0E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Procijenjeni CrCL</w:t>
            </w:r>
          </w:p>
          <w:p w14:paraId="7F94AC0D" w14:textId="7518AAB3" w:rsidR="00F35A0E" w:rsidRPr="009A2813" w:rsidRDefault="00F35A0E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(m</w:t>
            </w:r>
            <w:r w:rsidR="00F34C81" w:rsidRPr="009A2813">
              <w:rPr>
                <w:b w:val="0"/>
                <w:sz w:val="22"/>
                <w:szCs w:val="22"/>
                <w:lang w:val="hr-HR"/>
              </w:rPr>
              <w:t>l</w:t>
            </w:r>
            <w:r w:rsidRPr="009A2813">
              <w:rPr>
                <w:b w:val="0"/>
                <w:sz w:val="22"/>
                <w:szCs w:val="22"/>
                <w:lang w:val="hr-HR"/>
              </w:rPr>
              <w:t>/min)</w:t>
            </w:r>
          </w:p>
        </w:tc>
        <w:tc>
          <w:tcPr>
            <w:tcW w:w="2504" w:type="dxa"/>
          </w:tcPr>
          <w:p w14:paraId="05996BC8" w14:textId="77777777" w:rsidR="00F35A0E" w:rsidRPr="009A2813" w:rsidRDefault="00F35A0E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 xml:space="preserve">Doza </w:t>
            </w:r>
            <w:r w:rsidRPr="009A2813">
              <w:rPr>
                <w:sz w:val="22"/>
                <w:szCs w:val="22"/>
                <w:lang w:val="hr-HR"/>
              </w:rPr>
              <w:t>ceftazidima</w:t>
            </w:r>
            <w:r w:rsidRPr="009A2813">
              <w:rPr>
                <w:b w:val="0"/>
                <w:sz w:val="22"/>
                <w:szCs w:val="22"/>
                <w:lang w:val="hr-HR"/>
              </w:rPr>
              <w:t>/avibaktama</w:t>
            </w:r>
            <w:r w:rsidRPr="009A2813">
              <w:rPr>
                <w:b w:val="0"/>
                <w:sz w:val="22"/>
                <w:szCs w:val="22"/>
                <w:vertAlign w:val="superscript"/>
                <w:lang w:val="hr-HR"/>
              </w:rPr>
              <w:t>2,4</w:t>
            </w:r>
          </w:p>
        </w:tc>
        <w:tc>
          <w:tcPr>
            <w:tcW w:w="1359" w:type="dxa"/>
          </w:tcPr>
          <w:p w14:paraId="69C89146" w14:textId="77777777" w:rsidR="00F35A0E" w:rsidRPr="009A2813" w:rsidRDefault="00F35A0E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Učestalost</w:t>
            </w:r>
          </w:p>
        </w:tc>
        <w:tc>
          <w:tcPr>
            <w:tcW w:w="1084" w:type="dxa"/>
          </w:tcPr>
          <w:p w14:paraId="4E7A1E6B" w14:textId="77777777" w:rsidR="00F35A0E" w:rsidRPr="009A2813" w:rsidRDefault="00F35A0E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Vrijeme infuzije</w:t>
            </w:r>
          </w:p>
        </w:tc>
      </w:tr>
      <w:tr w:rsidR="0051055B" w:rsidRPr="009A2813" w14:paraId="75257019" w14:textId="77777777" w:rsidTr="00990563">
        <w:trPr>
          <w:trHeight w:val="346"/>
        </w:trPr>
        <w:tc>
          <w:tcPr>
            <w:tcW w:w="1380" w:type="dxa"/>
            <w:vMerge w:val="restart"/>
          </w:tcPr>
          <w:p w14:paraId="674233E4" w14:textId="77777777" w:rsidR="0051055B" w:rsidRPr="009A2813" w:rsidRDefault="0051055B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Primjena kod odraslih osoba</w:t>
            </w:r>
          </w:p>
        </w:tc>
        <w:tc>
          <w:tcPr>
            <w:tcW w:w="2866" w:type="dxa"/>
            <w:vAlign w:val="center"/>
          </w:tcPr>
          <w:p w14:paraId="71CD8FB6" w14:textId="77777777" w:rsidR="0051055B" w:rsidRPr="009A2813" w:rsidRDefault="0051055B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31–50</w:t>
            </w:r>
          </w:p>
        </w:tc>
        <w:tc>
          <w:tcPr>
            <w:tcW w:w="2504" w:type="dxa"/>
            <w:vAlign w:val="center"/>
          </w:tcPr>
          <w:p w14:paraId="760F29CE" w14:textId="4FF7E8D9" w:rsidR="0051055B" w:rsidRPr="009A2813" w:rsidRDefault="0051055B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sz w:val="22"/>
                <w:szCs w:val="22"/>
                <w:lang w:val="hr-HR"/>
              </w:rPr>
              <w:t>1 g</w:t>
            </w:r>
            <w:r w:rsidR="00E8529B" w:rsidRPr="009A2813">
              <w:rPr>
                <w:sz w:val="22"/>
                <w:szCs w:val="22"/>
                <w:lang w:val="hr-HR"/>
              </w:rPr>
              <w:t xml:space="preserve"> + </w:t>
            </w:r>
            <w:r w:rsidRPr="009A2813">
              <w:rPr>
                <w:b w:val="0"/>
                <w:sz w:val="22"/>
                <w:szCs w:val="22"/>
                <w:lang w:val="hr-HR"/>
              </w:rPr>
              <w:t>0,25 g</w:t>
            </w:r>
          </w:p>
        </w:tc>
        <w:tc>
          <w:tcPr>
            <w:tcW w:w="1359" w:type="dxa"/>
            <w:vAlign w:val="center"/>
          </w:tcPr>
          <w:p w14:paraId="3EC3CB3B" w14:textId="77777777" w:rsidR="0051055B" w:rsidRPr="009A2813" w:rsidRDefault="0051055B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Svakih 8 sati</w:t>
            </w:r>
          </w:p>
        </w:tc>
        <w:tc>
          <w:tcPr>
            <w:tcW w:w="1084" w:type="dxa"/>
            <w:vMerge w:val="restart"/>
            <w:vAlign w:val="center"/>
          </w:tcPr>
          <w:p w14:paraId="785878F6" w14:textId="77777777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2 sata</w:t>
            </w:r>
          </w:p>
        </w:tc>
      </w:tr>
      <w:tr w:rsidR="0051055B" w:rsidRPr="009A2813" w14:paraId="07625437" w14:textId="77777777" w:rsidTr="00990563">
        <w:tc>
          <w:tcPr>
            <w:tcW w:w="1380" w:type="dxa"/>
            <w:vMerge/>
          </w:tcPr>
          <w:p w14:paraId="384A5D4D" w14:textId="77777777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2866" w:type="dxa"/>
            <w:vAlign w:val="center"/>
          </w:tcPr>
          <w:p w14:paraId="17EA344F" w14:textId="77777777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16–30</w:t>
            </w:r>
          </w:p>
        </w:tc>
        <w:tc>
          <w:tcPr>
            <w:tcW w:w="2504" w:type="dxa"/>
            <w:vMerge w:val="restart"/>
            <w:vAlign w:val="center"/>
          </w:tcPr>
          <w:p w14:paraId="0EE56C4E" w14:textId="40BD2215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sz w:val="22"/>
                <w:szCs w:val="22"/>
                <w:lang w:val="hr-HR"/>
              </w:rPr>
              <w:t>0,75 g</w:t>
            </w:r>
            <w:r w:rsidR="00E8529B" w:rsidRPr="009A2813">
              <w:rPr>
                <w:sz w:val="22"/>
                <w:szCs w:val="22"/>
                <w:lang w:val="hr-HR"/>
              </w:rPr>
              <w:t xml:space="preserve"> + </w:t>
            </w:r>
            <w:r w:rsidRPr="009A2813">
              <w:rPr>
                <w:b w:val="0"/>
                <w:sz w:val="22"/>
                <w:szCs w:val="22"/>
                <w:lang w:val="hr-HR"/>
              </w:rPr>
              <w:t>0,1875 g</w:t>
            </w:r>
          </w:p>
          <w:p w14:paraId="1278A941" w14:textId="77777777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359" w:type="dxa"/>
            <w:vAlign w:val="center"/>
          </w:tcPr>
          <w:p w14:paraId="3A01EFF1" w14:textId="77777777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Svakih 12 sati</w:t>
            </w:r>
          </w:p>
        </w:tc>
        <w:tc>
          <w:tcPr>
            <w:tcW w:w="1084" w:type="dxa"/>
            <w:vMerge/>
            <w:vAlign w:val="center"/>
          </w:tcPr>
          <w:p w14:paraId="775EB568" w14:textId="77777777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</w:tr>
      <w:tr w:rsidR="0051055B" w:rsidRPr="009A2813" w14:paraId="12D306F5" w14:textId="77777777" w:rsidTr="00990563">
        <w:tc>
          <w:tcPr>
            <w:tcW w:w="1380" w:type="dxa"/>
            <w:vMerge/>
          </w:tcPr>
          <w:p w14:paraId="62457827" w14:textId="77777777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2866" w:type="dxa"/>
            <w:vAlign w:val="center"/>
          </w:tcPr>
          <w:p w14:paraId="1E1F5686" w14:textId="77777777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6–15</w:t>
            </w:r>
          </w:p>
        </w:tc>
        <w:tc>
          <w:tcPr>
            <w:tcW w:w="2504" w:type="dxa"/>
            <w:vMerge/>
            <w:vAlign w:val="center"/>
          </w:tcPr>
          <w:p w14:paraId="33470ACD" w14:textId="77777777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359" w:type="dxa"/>
            <w:vAlign w:val="center"/>
          </w:tcPr>
          <w:p w14:paraId="4776362F" w14:textId="77777777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Svaka 24 sata</w:t>
            </w:r>
          </w:p>
        </w:tc>
        <w:tc>
          <w:tcPr>
            <w:tcW w:w="1084" w:type="dxa"/>
            <w:vMerge/>
            <w:vAlign w:val="center"/>
          </w:tcPr>
          <w:p w14:paraId="1D098F81" w14:textId="77777777" w:rsidR="0051055B" w:rsidRPr="009A2813" w:rsidRDefault="0051055B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</w:tr>
      <w:tr w:rsidR="00AF4573" w:rsidRPr="009A2813" w14:paraId="734A60CD" w14:textId="77777777" w:rsidTr="0061024D">
        <w:trPr>
          <w:trHeight w:val="877"/>
        </w:trPr>
        <w:tc>
          <w:tcPr>
            <w:tcW w:w="1380" w:type="dxa"/>
            <w:vMerge/>
          </w:tcPr>
          <w:p w14:paraId="44BE963B" w14:textId="77777777" w:rsidR="00AF4573" w:rsidRPr="009A2813" w:rsidRDefault="00AF4573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2866" w:type="dxa"/>
            <w:vAlign w:val="center"/>
          </w:tcPr>
          <w:p w14:paraId="5E963C3C" w14:textId="77777777" w:rsidR="00AF4573" w:rsidRPr="009A2813" w:rsidRDefault="00AF4573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Krajnji stadijum oboljenja bubrega, uključujući hemodijalizu</w:t>
            </w:r>
            <w:r w:rsidRPr="009A2813">
              <w:rPr>
                <w:b w:val="0"/>
                <w:sz w:val="22"/>
                <w:szCs w:val="22"/>
                <w:vertAlign w:val="superscript"/>
                <w:lang w:val="hr-HR"/>
              </w:rPr>
              <w:t>3</w:t>
            </w:r>
          </w:p>
          <w:p w14:paraId="4491ABBA" w14:textId="77777777" w:rsidR="00AF4573" w:rsidRPr="009A2813" w:rsidRDefault="00AF4573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  <w:p w14:paraId="2375E7EC" w14:textId="77777777" w:rsidR="00AF4573" w:rsidRPr="009A2813" w:rsidRDefault="00AF4573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2504" w:type="dxa"/>
            <w:vMerge/>
            <w:vAlign w:val="center"/>
          </w:tcPr>
          <w:p w14:paraId="7D4F0B0B" w14:textId="77777777" w:rsidR="00AF4573" w:rsidRPr="009A2813" w:rsidRDefault="00AF4573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359" w:type="dxa"/>
            <w:vAlign w:val="center"/>
          </w:tcPr>
          <w:p w14:paraId="5C679BAE" w14:textId="77777777" w:rsidR="00AF4573" w:rsidRPr="009A2813" w:rsidRDefault="00AF4573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Svakih 48 sati</w:t>
            </w:r>
          </w:p>
        </w:tc>
        <w:tc>
          <w:tcPr>
            <w:tcW w:w="1084" w:type="dxa"/>
            <w:vMerge/>
            <w:vAlign w:val="center"/>
          </w:tcPr>
          <w:p w14:paraId="0DCC57A1" w14:textId="77777777" w:rsidR="00AF4573" w:rsidRPr="009A2813" w:rsidRDefault="00AF4573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</w:tr>
    </w:tbl>
    <w:bookmarkEnd w:id="1"/>
    <w:p w14:paraId="077083D9" w14:textId="77777777" w:rsidR="00E86A2F" w:rsidRPr="009A2813" w:rsidRDefault="00425E2D" w:rsidP="00CC4A65">
      <w:pPr>
        <w:pStyle w:val="A-StudyTitle"/>
        <w:tabs>
          <w:tab w:val="left" w:pos="142"/>
        </w:tabs>
        <w:spacing w:after="0"/>
        <w:ind w:left="142" w:hanging="142"/>
        <w:jc w:val="both"/>
        <w:rPr>
          <w:b w:val="0"/>
          <w:b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vertAlign w:val="superscript"/>
          <w:lang w:val="hr-HR"/>
        </w:rPr>
        <w:t>1</w:t>
      </w:r>
      <w:r w:rsidRPr="009A2813">
        <w:rPr>
          <w:b w:val="0"/>
          <w:sz w:val="22"/>
          <w:szCs w:val="22"/>
          <w:lang w:val="hr-HR"/>
        </w:rPr>
        <w:t xml:space="preserve"> CrCL procijenjen korišćenjem Cockcroft-Gaultove formule.</w:t>
      </w:r>
    </w:p>
    <w:p w14:paraId="027EDA8D" w14:textId="08F46CC1" w:rsidR="00425E2D" w:rsidRPr="009A2813" w:rsidRDefault="00425E2D" w:rsidP="00CC4A65">
      <w:pPr>
        <w:pStyle w:val="A-StudyTitle"/>
        <w:tabs>
          <w:tab w:val="left" w:pos="993"/>
        </w:tabs>
        <w:spacing w:after="0"/>
        <w:ind w:left="993" w:hanging="993"/>
        <w:jc w:val="both"/>
        <w:rPr>
          <w:b w:val="0"/>
          <w:b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vertAlign w:val="superscript"/>
          <w:lang w:val="hr-HR"/>
        </w:rPr>
        <w:t>2</w:t>
      </w:r>
      <w:r w:rsidRPr="009A2813">
        <w:rPr>
          <w:b w:val="0"/>
          <w:sz w:val="22"/>
          <w:szCs w:val="22"/>
          <w:lang w:val="hr-HR"/>
        </w:rPr>
        <w:t xml:space="preserve"> Preporuke za dozu su zasnovane na farmakokinetičkom modeliranju (pogledajte dio 5.2).</w:t>
      </w:r>
    </w:p>
    <w:p w14:paraId="579307F9" w14:textId="37BA536E" w:rsidR="004A7A90" w:rsidRPr="009A2813" w:rsidRDefault="0019707C" w:rsidP="00CC4A65">
      <w:pPr>
        <w:autoSpaceDE w:val="0"/>
        <w:autoSpaceDN w:val="0"/>
        <w:adjustRightInd w:val="0"/>
        <w:ind w:left="144" w:hanging="144"/>
        <w:jc w:val="both"/>
        <w:rPr>
          <w:rFonts w:eastAsia="TimesNewRoman"/>
          <w:iCs/>
          <w:color w:val="000000"/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>3</w:t>
      </w:r>
      <w:r w:rsidRPr="009A2813">
        <w:rPr>
          <w:szCs w:val="22"/>
          <w:lang w:val="hr-HR"/>
        </w:rPr>
        <w:t xml:space="preserve"> Ceftazidim i avibaktam se uklanjaju hemodijalizom (pogledajte djelove 4.9 i 5.2).</w:t>
      </w:r>
      <w:r w:rsidRPr="009A2813">
        <w:rPr>
          <w:color w:val="000000"/>
          <w:szCs w:val="22"/>
          <w:lang w:val="hr-HR"/>
        </w:rPr>
        <w:t xml:space="preserve"> Doziranje lijeka Zavicefta onim danima kada se vrši hemodijaliza treba obaviti nakon završetka hemodijalize. </w:t>
      </w:r>
    </w:p>
    <w:p w14:paraId="3EA5B081" w14:textId="021F8785" w:rsidR="00FD59D8" w:rsidRPr="009A2813" w:rsidRDefault="004A7A90" w:rsidP="00CC4A65">
      <w:pPr>
        <w:autoSpaceDE w:val="0"/>
        <w:autoSpaceDN w:val="0"/>
        <w:adjustRightInd w:val="0"/>
        <w:ind w:left="144" w:hanging="144"/>
        <w:jc w:val="both"/>
        <w:rPr>
          <w:rFonts w:eastAsia="TimesNewRoman"/>
          <w:iCs/>
          <w:color w:val="000000"/>
          <w:szCs w:val="22"/>
          <w:lang w:val="hr-HR"/>
        </w:rPr>
      </w:pPr>
      <w:r w:rsidRPr="009A2813">
        <w:rPr>
          <w:color w:val="000000"/>
          <w:szCs w:val="22"/>
          <w:vertAlign w:val="superscript"/>
          <w:lang w:val="hr-HR"/>
        </w:rPr>
        <w:t xml:space="preserve">4 </w:t>
      </w:r>
      <w:r w:rsidRPr="009A2813">
        <w:rPr>
          <w:szCs w:val="22"/>
          <w:lang w:val="hr-HR"/>
        </w:rPr>
        <w:t>Ceftazidim/avibaktam je kombinovani proizvod u fiksnom odnosu 4:1 i preporuke za doziranje se zasnivaju samo na komponenti ceftazidima (pogledajte dio 6.6).</w:t>
      </w:r>
    </w:p>
    <w:p w14:paraId="7571158F" w14:textId="77777777" w:rsidR="004C033F" w:rsidRPr="009A2813" w:rsidRDefault="004C033F" w:rsidP="00CC4A65">
      <w:pPr>
        <w:pStyle w:val="A-StudyTitle"/>
        <w:spacing w:after="0" w:line="280" w:lineRule="atLeast"/>
        <w:jc w:val="both"/>
        <w:rPr>
          <w:b w:val="0"/>
          <w:iCs/>
          <w:sz w:val="22"/>
          <w:szCs w:val="22"/>
          <w:lang w:val="hr-HR"/>
        </w:rPr>
      </w:pPr>
    </w:p>
    <w:p w14:paraId="0E5500D8" w14:textId="5903DE4C" w:rsidR="007B18BC" w:rsidRPr="009A2813" w:rsidRDefault="007B18BC" w:rsidP="00CC4A65">
      <w:pPr>
        <w:pStyle w:val="A-StudyTitle"/>
        <w:spacing w:after="0"/>
        <w:jc w:val="both"/>
        <w:rPr>
          <w:b w:val="0"/>
          <w:bCs/>
          <w:sz w:val="22"/>
          <w:szCs w:val="22"/>
          <w:lang w:val="hr-HR"/>
        </w:rPr>
      </w:pPr>
      <w:bookmarkStart w:id="2" w:name="_Hlk26451401"/>
      <w:r w:rsidRPr="009A2813">
        <w:rPr>
          <w:b w:val="0"/>
          <w:sz w:val="22"/>
          <w:szCs w:val="22"/>
          <w:lang w:val="hr-HR"/>
        </w:rPr>
        <w:t xml:space="preserve">Tabela </w:t>
      </w:r>
      <w:r w:rsidR="00776A75" w:rsidRPr="009A2813">
        <w:rPr>
          <w:b w:val="0"/>
          <w:sz w:val="22"/>
          <w:szCs w:val="22"/>
          <w:lang w:val="hr-HR"/>
        </w:rPr>
        <w:t>5</w:t>
      </w:r>
      <w:r w:rsidRPr="009A2813">
        <w:rPr>
          <w:b w:val="0"/>
          <w:sz w:val="22"/>
          <w:szCs w:val="22"/>
          <w:lang w:val="hr-HR"/>
        </w:rPr>
        <w:t xml:space="preserve">. i Tabela </w:t>
      </w:r>
      <w:r w:rsidR="00776A75" w:rsidRPr="009A2813">
        <w:rPr>
          <w:b w:val="0"/>
          <w:sz w:val="22"/>
          <w:szCs w:val="22"/>
          <w:lang w:val="hr-HR"/>
        </w:rPr>
        <w:t>6</w:t>
      </w:r>
      <w:r w:rsidRPr="009A2813">
        <w:rPr>
          <w:b w:val="0"/>
          <w:sz w:val="22"/>
          <w:szCs w:val="22"/>
          <w:lang w:val="hr-HR"/>
        </w:rPr>
        <w:t xml:space="preserve"> prikazuju preporučena prilagođavanja doze za pedijatrijske pacijente sa procijenjenim CrCL ≤ 50 ml/min/1,73 m</w:t>
      </w:r>
      <w:r w:rsidRPr="009A2813">
        <w:rPr>
          <w:b w:val="0"/>
          <w:sz w:val="22"/>
          <w:szCs w:val="22"/>
          <w:vertAlign w:val="superscript"/>
          <w:lang w:val="hr-HR"/>
        </w:rPr>
        <w:t>2</w:t>
      </w:r>
      <w:r w:rsidRPr="009A2813">
        <w:rPr>
          <w:b w:val="0"/>
          <w:sz w:val="22"/>
          <w:szCs w:val="22"/>
          <w:lang w:val="hr-HR"/>
        </w:rPr>
        <w:t xml:space="preserve"> prema različitim starosnim grupama (pogledajte djelove 4.4. i 5.2).</w:t>
      </w:r>
    </w:p>
    <w:p w14:paraId="6E0E158A" w14:textId="77777777" w:rsidR="007B18BC" w:rsidRPr="009A2813" w:rsidRDefault="007B18BC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/>
          <w:szCs w:val="22"/>
          <w:lang w:val="hr-HR"/>
        </w:rPr>
      </w:pPr>
    </w:p>
    <w:p w14:paraId="2D5D3C61" w14:textId="77777777" w:rsidR="00BE158F" w:rsidRPr="009A2813" w:rsidRDefault="00BE158F" w:rsidP="00CC4A65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SimSun"/>
          <w:bCs/>
          <w:i/>
          <w:szCs w:val="22"/>
          <w:vertAlign w:val="superscript"/>
          <w:lang w:val="hr-HR"/>
        </w:rPr>
      </w:pPr>
      <w:r w:rsidRPr="009A2813">
        <w:rPr>
          <w:i/>
          <w:szCs w:val="22"/>
          <w:lang w:val="hr-HR"/>
        </w:rPr>
        <w:t>Doziranje kod pedijatrijskih pacijenata ≥ 2 godine sa CrCl ≤ 50 ml/min/1,73 m</w:t>
      </w:r>
      <w:r w:rsidRPr="009A2813">
        <w:rPr>
          <w:i/>
          <w:szCs w:val="22"/>
          <w:vertAlign w:val="superscript"/>
          <w:lang w:val="hr-HR"/>
        </w:rPr>
        <w:t>2</w:t>
      </w:r>
    </w:p>
    <w:p w14:paraId="6CE228C8" w14:textId="77777777" w:rsidR="00BE158F" w:rsidRPr="009A2813" w:rsidRDefault="00BE158F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SimSun"/>
          <w:bCs/>
          <w:i/>
          <w:szCs w:val="22"/>
          <w:vertAlign w:val="superscript"/>
          <w:lang w:val="hr-HR" w:eastAsia="en-GB"/>
        </w:rPr>
      </w:pPr>
    </w:p>
    <w:p w14:paraId="3B436ECD" w14:textId="6FEBE1CA" w:rsidR="00BE158F" w:rsidRPr="009A2813" w:rsidRDefault="00BE158F" w:rsidP="00CC4A65">
      <w:pPr>
        <w:pStyle w:val="A-StudyTitle"/>
        <w:keepNext/>
        <w:keepLines/>
        <w:tabs>
          <w:tab w:val="left" w:pos="993"/>
        </w:tabs>
        <w:spacing w:after="0"/>
        <w:ind w:left="993" w:hanging="993"/>
        <w:jc w:val="both"/>
        <w:rPr>
          <w:b w:val="0"/>
          <w:bCs/>
          <w:sz w:val="22"/>
          <w:szCs w:val="22"/>
          <w:vertAlign w:val="superscript"/>
          <w:lang w:val="hr-HR"/>
        </w:rPr>
      </w:pPr>
      <w:r w:rsidRPr="009A2813">
        <w:rPr>
          <w:b w:val="0"/>
          <w:sz w:val="22"/>
          <w:szCs w:val="22"/>
          <w:lang w:val="hr-HR"/>
        </w:rPr>
        <w:t xml:space="preserve">Tabela </w:t>
      </w:r>
      <w:r w:rsidR="00776A75" w:rsidRPr="009A2813">
        <w:rPr>
          <w:b w:val="0"/>
          <w:sz w:val="22"/>
          <w:szCs w:val="22"/>
          <w:lang w:val="hr-HR"/>
        </w:rPr>
        <w:t>5</w:t>
      </w:r>
      <w:r w:rsidRPr="009A2813">
        <w:rPr>
          <w:b w:val="0"/>
          <w:sz w:val="22"/>
          <w:szCs w:val="22"/>
          <w:lang w:val="hr-HR"/>
        </w:rPr>
        <w:t>: Preporučena doza za pedijatrijske pacijente</w:t>
      </w:r>
      <w:r w:rsidR="00776A75" w:rsidRPr="009A2813">
        <w:rPr>
          <w:b w:val="0"/>
          <w:sz w:val="22"/>
          <w:szCs w:val="22"/>
          <w:lang w:val="hr-HR"/>
        </w:rPr>
        <w:t xml:space="preserve"> uzrasta od 2 godine do &lt;</w:t>
      </w:r>
      <w:r w:rsidR="00A42B7C" w:rsidRPr="009A2813">
        <w:rPr>
          <w:b w:val="0"/>
          <w:sz w:val="22"/>
          <w:szCs w:val="22"/>
          <w:lang w:val="hr-HR"/>
        </w:rPr>
        <w:t> </w:t>
      </w:r>
      <w:r w:rsidR="00776A75" w:rsidRPr="009A2813">
        <w:rPr>
          <w:b w:val="0"/>
          <w:sz w:val="22"/>
          <w:szCs w:val="22"/>
          <w:lang w:val="hr-HR"/>
        </w:rPr>
        <w:t>18 godina</w:t>
      </w:r>
      <w:r w:rsidRPr="009A2813">
        <w:rPr>
          <w:b w:val="0"/>
          <w:sz w:val="22"/>
          <w:szCs w:val="22"/>
          <w:lang w:val="hr-HR"/>
        </w:rPr>
        <w:t xml:space="preserve"> sa procijenjenim CrCL</w:t>
      </w:r>
      <w:r w:rsidRPr="009A2813">
        <w:rPr>
          <w:b w:val="0"/>
          <w:sz w:val="22"/>
          <w:szCs w:val="22"/>
          <w:vertAlign w:val="superscript"/>
          <w:lang w:val="hr-HR"/>
        </w:rPr>
        <w:t>1</w:t>
      </w:r>
      <w:r w:rsidRPr="009A2813">
        <w:rPr>
          <w:b w:val="0"/>
          <w:sz w:val="22"/>
          <w:szCs w:val="22"/>
          <w:lang w:val="hr-HR"/>
        </w:rPr>
        <w:t xml:space="preserve"> ≤ 50 ml/min/1,73 m</w:t>
      </w:r>
      <w:r w:rsidRPr="009A2813">
        <w:rPr>
          <w:b w:val="0"/>
          <w:sz w:val="22"/>
          <w:szCs w:val="22"/>
          <w:vertAlign w:val="superscript"/>
          <w:lang w:val="hr-HR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2664"/>
        <w:gridCol w:w="2554"/>
        <w:gridCol w:w="1319"/>
        <w:gridCol w:w="1068"/>
      </w:tblGrid>
      <w:tr w:rsidR="00BE158F" w:rsidRPr="009A2813" w14:paraId="0517D198" w14:textId="77777777" w:rsidTr="00E16134">
        <w:trPr>
          <w:tblHeader/>
        </w:trPr>
        <w:tc>
          <w:tcPr>
            <w:tcW w:w="1378" w:type="dxa"/>
          </w:tcPr>
          <w:p w14:paraId="24FE88EA" w14:textId="77777777" w:rsidR="00BE158F" w:rsidRPr="009A2813" w:rsidRDefault="00BE158F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Starosna grupa</w:t>
            </w:r>
          </w:p>
        </w:tc>
        <w:tc>
          <w:tcPr>
            <w:tcW w:w="2858" w:type="dxa"/>
          </w:tcPr>
          <w:p w14:paraId="53D735B3" w14:textId="77777777" w:rsidR="00BE158F" w:rsidRPr="009A2813" w:rsidRDefault="00BE158F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Procijenjeni CrCL</w:t>
            </w:r>
          </w:p>
          <w:p w14:paraId="0233F2D1" w14:textId="77777777" w:rsidR="00BE158F" w:rsidRPr="009A2813" w:rsidRDefault="00BE158F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(ml/min/1,73 m</w:t>
            </w:r>
            <w:r w:rsidRPr="009A2813">
              <w:rPr>
                <w:b w:val="0"/>
                <w:sz w:val="22"/>
                <w:szCs w:val="22"/>
                <w:vertAlign w:val="superscript"/>
                <w:lang w:val="hr-HR"/>
              </w:rPr>
              <w:t>2</w:t>
            </w:r>
            <w:r w:rsidRPr="009A2813">
              <w:rPr>
                <w:b w:val="0"/>
                <w:sz w:val="22"/>
                <w:szCs w:val="22"/>
                <w:lang w:val="hr-HR"/>
              </w:rPr>
              <w:t>)</w:t>
            </w:r>
          </w:p>
        </w:tc>
        <w:tc>
          <w:tcPr>
            <w:tcW w:w="2503" w:type="dxa"/>
          </w:tcPr>
          <w:p w14:paraId="1DF6E6CA" w14:textId="77777777" w:rsidR="00BE158F" w:rsidRPr="009A2813" w:rsidRDefault="00BE158F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 xml:space="preserve">Doza </w:t>
            </w:r>
            <w:r w:rsidRPr="009A2813">
              <w:rPr>
                <w:sz w:val="22"/>
                <w:szCs w:val="22"/>
                <w:lang w:val="hr-HR"/>
              </w:rPr>
              <w:t>ceftazidima</w:t>
            </w:r>
            <w:r w:rsidRPr="009A2813">
              <w:rPr>
                <w:b w:val="0"/>
                <w:sz w:val="22"/>
                <w:szCs w:val="22"/>
                <w:lang w:val="hr-HR"/>
              </w:rPr>
              <w:t>/avibaktama</w:t>
            </w:r>
            <w:r w:rsidRPr="009A2813">
              <w:rPr>
                <w:b w:val="0"/>
                <w:sz w:val="22"/>
                <w:szCs w:val="22"/>
                <w:vertAlign w:val="superscript"/>
                <w:lang w:val="hr-HR"/>
              </w:rPr>
              <w:t>2,4</w:t>
            </w:r>
          </w:p>
        </w:tc>
        <w:tc>
          <w:tcPr>
            <w:tcW w:w="1358" w:type="dxa"/>
          </w:tcPr>
          <w:p w14:paraId="240082F7" w14:textId="77777777" w:rsidR="00BE158F" w:rsidRPr="009A2813" w:rsidRDefault="00BE158F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Učestalost</w:t>
            </w:r>
          </w:p>
        </w:tc>
        <w:tc>
          <w:tcPr>
            <w:tcW w:w="1096" w:type="dxa"/>
          </w:tcPr>
          <w:p w14:paraId="42AD1552" w14:textId="77777777" w:rsidR="00BE158F" w:rsidRPr="009A2813" w:rsidRDefault="00BE158F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Vrijeme infuzije</w:t>
            </w:r>
          </w:p>
        </w:tc>
      </w:tr>
      <w:tr w:rsidR="00E16134" w:rsidRPr="009A2813" w14:paraId="215E6DC7" w14:textId="77777777" w:rsidTr="00E16134">
        <w:trPr>
          <w:trHeight w:val="1340"/>
        </w:trPr>
        <w:tc>
          <w:tcPr>
            <w:tcW w:w="1378" w:type="dxa"/>
            <w:vMerge w:val="restart"/>
            <w:vAlign w:val="center"/>
          </w:tcPr>
          <w:p w14:paraId="7DD06FC9" w14:textId="77777777" w:rsidR="00E16134" w:rsidRPr="009A2813" w:rsidRDefault="00E16134" w:rsidP="00CC4A65">
            <w:pPr>
              <w:pStyle w:val="A-StudyTitle"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Pedijatrijski pacijenti uzrasta od 2 godine do &lt;18 godina</w:t>
            </w:r>
          </w:p>
          <w:p w14:paraId="405D5B5E" w14:textId="77777777" w:rsidR="00E16134" w:rsidRPr="009A2813" w:rsidRDefault="00E16134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2858" w:type="dxa"/>
            <w:vAlign w:val="center"/>
          </w:tcPr>
          <w:p w14:paraId="58870DF9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31–50</w:t>
            </w:r>
          </w:p>
        </w:tc>
        <w:tc>
          <w:tcPr>
            <w:tcW w:w="2503" w:type="dxa"/>
            <w:vAlign w:val="center"/>
          </w:tcPr>
          <w:p w14:paraId="502FE7B7" w14:textId="1D548B3D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 w:line="360" w:lineRule="auto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sz w:val="22"/>
                <w:szCs w:val="22"/>
                <w:lang w:val="hr-HR"/>
              </w:rPr>
              <w:t>25 mg/kg</w:t>
            </w:r>
            <w:r w:rsidR="00714FDA" w:rsidRPr="009A2813">
              <w:rPr>
                <w:sz w:val="22"/>
                <w:szCs w:val="22"/>
                <w:lang w:val="hr-HR"/>
              </w:rPr>
              <w:t xml:space="preserve"> + </w:t>
            </w:r>
            <w:r w:rsidRPr="009A2813">
              <w:rPr>
                <w:b w:val="0"/>
                <w:sz w:val="22"/>
                <w:szCs w:val="22"/>
                <w:lang w:val="hr-HR"/>
              </w:rPr>
              <w:t>6,25 mg/kg</w:t>
            </w:r>
          </w:p>
          <w:p w14:paraId="58D944A6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 w:line="360" w:lineRule="auto"/>
              <w:jc w:val="both"/>
              <w:rPr>
                <w:bCs/>
                <w:sz w:val="22"/>
                <w:szCs w:val="22"/>
                <w:lang w:val="hr-HR"/>
              </w:rPr>
            </w:pPr>
            <w:r w:rsidRPr="009A2813">
              <w:rPr>
                <w:sz w:val="22"/>
                <w:szCs w:val="22"/>
                <w:lang w:val="hr-HR"/>
              </w:rPr>
              <w:t>do maksimalne vrijednosti od</w:t>
            </w:r>
          </w:p>
          <w:p w14:paraId="222B8719" w14:textId="53B0637F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 w:line="360" w:lineRule="auto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sz w:val="22"/>
                <w:szCs w:val="22"/>
                <w:lang w:val="hr-HR"/>
              </w:rPr>
              <w:t>1 g</w:t>
            </w:r>
            <w:r w:rsidR="00E8529B" w:rsidRPr="009A2813">
              <w:rPr>
                <w:sz w:val="22"/>
                <w:szCs w:val="22"/>
                <w:lang w:val="hr-HR"/>
              </w:rPr>
              <w:t xml:space="preserve"> + </w:t>
            </w:r>
            <w:r w:rsidRPr="009A2813">
              <w:rPr>
                <w:b w:val="0"/>
                <w:sz w:val="22"/>
                <w:szCs w:val="22"/>
                <w:lang w:val="hr-HR"/>
              </w:rPr>
              <w:t>0,25 g</w:t>
            </w:r>
          </w:p>
        </w:tc>
        <w:tc>
          <w:tcPr>
            <w:tcW w:w="1358" w:type="dxa"/>
            <w:vAlign w:val="center"/>
          </w:tcPr>
          <w:p w14:paraId="7AEA880B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Svakih 8 sati</w:t>
            </w:r>
          </w:p>
        </w:tc>
        <w:tc>
          <w:tcPr>
            <w:tcW w:w="1096" w:type="dxa"/>
            <w:vMerge w:val="restart"/>
            <w:vAlign w:val="center"/>
          </w:tcPr>
          <w:p w14:paraId="12721685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2 sata</w:t>
            </w:r>
          </w:p>
          <w:p w14:paraId="3DD69DFF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  <w:p w14:paraId="6D780385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  <w:p w14:paraId="302BF4E3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</w:tr>
      <w:tr w:rsidR="00E16134" w:rsidRPr="009A2813" w14:paraId="6D718325" w14:textId="77777777" w:rsidTr="00E16134">
        <w:trPr>
          <w:trHeight w:val="1525"/>
        </w:trPr>
        <w:tc>
          <w:tcPr>
            <w:tcW w:w="1378" w:type="dxa"/>
            <w:vMerge/>
          </w:tcPr>
          <w:p w14:paraId="3EA61F72" w14:textId="77777777" w:rsidR="00E16134" w:rsidRPr="009A2813" w:rsidRDefault="00E16134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2858" w:type="dxa"/>
            <w:vAlign w:val="center"/>
          </w:tcPr>
          <w:p w14:paraId="06111C14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16–30</w:t>
            </w:r>
          </w:p>
        </w:tc>
        <w:tc>
          <w:tcPr>
            <w:tcW w:w="2503" w:type="dxa"/>
            <w:vMerge w:val="restart"/>
            <w:vAlign w:val="center"/>
          </w:tcPr>
          <w:p w14:paraId="596EDF90" w14:textId="5962B7D8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 w:line="360" w:lineRule="auto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sz w:val="22"/>
                <w:szCs w:val="22"/>
                <w:lang w:val="hr-HR"/>
              </w:rPr>
              <w:t>18,75 mg/kg</w:t>
            </w:r>
            <w:r w:rsidR="00714FDA" w:rsidRPr="009A2813">
              <w:rPr>
                <w:sz w:val="22"/>
                <w:szCs w:val="22"/>
                <w:lang w:val="hr-HR"/>
              </w:rPr>
              <w:t xml:space="preserve"> + </w:t>
            </w:r>
            <w:r w:rsidRPr="009A2813">
              <w:rPr>
                <w:b w:val="0"/>
                <w:sz w:val="22"/>
                <w:szCs w:val="22"/>
                <w:lang w:val="hr-HR"/>
              </w:rPr>
              <w:t>4,7 mg/kg</w:t>
            </w:r>
          </w:p>
          <w:p w14:paraId="0D838F47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 w:line="360" w:lineRule="auto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sz w:val="22"/>
                <w:szCs w:val="22"/>
                <w:lang w:val="hr-HR"/>
              </w:rPr>
              <w:t>do maksimalne vrijednosti od</w:t>
            </w:r>
          </w:p>
          <w:p w14:paraId="0B1C42DB" w14:textId="37F7A4F2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 w:line="360" w:lineRule="auto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sz w:val="22"/>
                <w:szCs w:val="22"/>
                <w:lang w:val="hr-HR"/>
              </w:rPr>
              <w:t>0,75 g</w:t>
            </w:r>
            <w:r w:rsidR="00E8529B" w:rsidRPr="009A2813">
              <w:rPr>
                <w:sz w:val="22"/>
                <w:szCs w:val="22"/>
                <w:lang w:val="hr-HR"/>
              </w:rPr>
              <w:t xml:space="preserve"> + </w:t>
            </w:r>
            <w:r w:rsidRPr="009A2813">
              <w:rPr>
                <w:b w:val="0"/>
                <w:sz w:val="22"/>
                <w:szCs w:val="22"/>
                <w:lang w:val="hr-HR"/>
              </w:rPr>
              <w:t>0,1875 g</w:t>
            </w:r>
          </w:p>
          <w:p w14:paraId="563D778A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 w:line="360" w:lineRule="auto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  <w:p w14:paraId="0F1FDAE1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 w:line="360" w:lineRule="auto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358" w:type="dxa"/>
            <w:vAlign w:val="center"/>
          </w:tcPr>
          <w:p w14:paraId="541C92DF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Svakih 12 sati</w:t>
            </w:r>
          </w:p>
        </w:tc>
        <w:tc>
          <w:tcPr>
            <w:tcW w:w="1096" w:type="dxa"/>
            <w:vMerge/>
            <w:vAlign w:val="center"/>
          </w:tcPr>
          <w:p w14:paraId="673B6A7F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</w:tr>
      <w:tr w:rsidR="00E16134" w:rsidRPr="009A2813" w14:paraId="34FCDAA7" w14:textId="77777777" w:rsidTr="00E16134">
        <w:trPr>
          <w:trHeight w:val="1345"/>
        </w:trPr>
        <w:tc>
          <w:tcPr>
            <w:tcW w:w="1378" w:type="dxa"/>
            <w:vMerge/>
          </w:tcPr>
          <w:p w14:paraId="36C109B2" w14:textId="77777777" w:rsidR="00E16134" w:rsidRPr="009A2813" w:rsidRDefault="00E16134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2858" w:type="dxa"/>
            <w:vAlign w:val="center"/>
          </w:tcPr>
          <w:p w14:paraId="269DB0D5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6–15</w:t>
            </w:r>
          </w:p>
        </w:tc>
        <w:tc>
          <w:tcPr>
            <w:tcW w:w="2503" w:type="dxa"/>
            <w:vMerge/>
            <w:vAlign w:val="center"/>
          </w:tcPr>
          <w:p w14:paraId="0A959394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 w:line="360" w:lineRule="auto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358" w:type="dxa"/>
            <w:vAlign w:val="center"/>
          </w:tcPr>
          <w:p w14:paraId="274B5116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Svaka 24 sata</w:t>
            </w:r>
          </w:p>
        </w:tc>
        <w:tc>
          <w:tcPr>
            <w:tcW w:w="1096" w:type="dxa"/>
            <w:vMerge/>
            <w:vAlign w:val="center"/>
          </w:tcPr>
          <w:p w14:paraId="0F7274F0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</w:tr>
      <w:tr w:rsidR="00E16134" w:rsidRPr="009A2813" w14:paraId="03B76F90" w14:textId="77777777" w:rsidTr="00E16134">
        <w:trPr>
          <w:trHeight w:val="1327"/>
        </w:trPr>
        <w:tc>
          <w:tcPr>
            <w:tcW w:w="1378" w:type="dxa"/>
            <w:vMerge/>
          </w:tcPr>
          <w:p w14:paraId="635D0CBC" w14:textId="77777777" w:rsidR="00E16134" w:rsidRPr="009A2813" w:rsidRDefault="00E16134" w:rsidP="00CC4A65">
            <w:pPr>
              <w:pStyle w:val="A-StudyTitle"/>
              <w:keepNext/>
              <w:keepLines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2858" w:type="dxa"/>
            <w:vAlign w:val="center"/>
          </w:tcPr>
          <w:p w14:paraId="03BE80DC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Krajnji stadijum oboljenja bubrega, uključujući hemodijalizu</w:t>
            </w:r>
            <w:r w:rsidRPr="009A2813">
              <w:rPr>
                <w:b w:val="0"/>
                <w:sz w:val="22"/>
                <w:szCs w:val="22"/>
                <w:vertAlign w:val="superscript"/>
                <w:lang w:val="hr-HR"/>
              </w:rPr>
              <w:t>3</w:t>
            </w:r>
          </w:p>
        </w:tc>
        <w:tc>
          <w:tcPr>
            <w:tcW w:w="2503" w:type="dxa"/>
            <w:vMerge/>
            <w:vAlign w:val="center"/>
          </w:tcPr>
          <w:p w14:paraId="3E62355D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 w:line="360" w:lineRule="auto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358" w:type="dxa"/>
            <w:vAlign w:val="center"/>
          </w:tcPr>
          <w:p w14:paraId="58A60886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Svakih 48</w:t>
            </w:r>
            <w:r w:rsidRPr="009A2813">
              <w:rPr>
                <w:sz w:val="22"/>
                <w:szCs w:val="22"/>
                <w:lang w:val="hr-HR"/>
              </w:rPr>
              <w:t> </w:t>
            </w:r>
            <w:r w:rsidRPr="009A2813">
              <w:rPr>
                <w:b w:val="0"/>
                <w:sz w:val="22"/>
                <w:szCs w:val="22"/>
                <w:lang w:val="hr-HR"/>
              </w:rPr>
              <w:t>sati</w:t>
            </w:r>
          </w:p>
        </w:tc>
        <w:tc>
          <w:tcPr>
            <w:tcW w:w="1096" w:type="dxa"/>
            <w:vMerge/>
            <w:vAlign w:val="center"/>
          </w:tcPr>
          <w:p w14:paraId="74A1F16A" w14:textId="77777777" w:rsidR="00E16134" w:rsidRPr="009A2813" w:rsidRDefault="00E16134" w:rsidP="00CC4A65">
            <w:pPr>
              <w:pStyle w:val="A-StudyTitle"/>
              <w:tabs>
                <w:tab w:val="left" w:pos="993"/>
              </w:tabs>
              <w:spacing w:after="0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</w:p>
        </w:tc>
      </w:tr>
    </w:tbl>
    <w:p w14:paraId="2F3FAB20" w14:textId="4FD0FEE6" w:rsidR="00E16134" w:rsidRPr="009A2813" w:rsidRDefault="00E16134" w:rsidP="00CC4A65">
      <w:pPr>
        <w:pStyle w:val="A-StudyTitle"/>
        <w:tabs>
          <w:tab w:val="left" w:pos="142"/>
        </w:tabs>
        <w:spacing w:after="0"/>
        <w:ind w:left="142" w:hanging="142"/>
        <w:jc w:val="both"/>
        <w:rPr>
          <w:b w:val="0"/>
          <w:b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vertAlign w:val="superscript"/>
          <w:lang w:val="hr-HR"/>
        </w:rPr>
        <w:t>1</w:t>
      </w:r>
      <w:r w:rsidRPr="009A2813">
        <w:rPr>
          <w:b w:val="0"/>
          <w:sz w:val="22"/>
          <w:szCs w:val="22"/>
          <w:lang w:val="hr-HR"/>
        </w:rPr>
        <w:t xml:space="preserve"> CrCL procijenjen korišćenjem </w:t>
      </w:r>
      <w:r w:rsidR="00196FDD" w:rsidRPr="009A2813">
        <w:rPr>
          <w:b w:val="0"/>
          <w:sz w:val="22"/>
          <w:szCs w:val="22"/>
          <w:lang w:val="hr-HR"/>
        </w:rPr>
        <w:t xml:space="preserve">Švarcove </w:t>
      </w:r>
      <w:r w:rsidRPr="009A2813">
        <w:rPr>
          <w:b w:val="0"/>
          <w:sz w:val="22"/>
          <w:szCs w:val="22"/>
          <w:lang w:val="hr-HR"/>
        </w:rPr>
        <w:t>formule tokom boravka u postelji.</w:t>
      </w:r>
    </w:p>
    <w:p w14:paraId="3894ACDD" w14:textId="76F90932" w:rsidR="00E16134" w:rsidRPr="009A2813" w:rsidRDefault="00E16134" w:rsidP="00CC4A65">
      <w:pPr>
        <w:pStyle w:val="A-StudyTitle"/>
        <w:tabs>
          <w:tab w:val="left" w:pos="993"/>
        </w:tabs>
        <w:spacing w:after="0"/>
        <w:ind w:left="993" w:hanging="993"/>
        <w:jc w:val="both"/>
        <w:rPr>
          <w:b w:val="0"/>
          <w:b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vertAlign w:val="superscript"/>
          <w:lang w:val="hr-HR"/>
        </w:rPr>
        <w:lastRenderedPageBreak/>
        <w:t>2</w:t>
      </w:r>
      <w:r w:rsidRPr="009A2813">
        <w:rPr>
          <w:b w:val="0"/>
          <w:sz w:val="22"/>
          <w:szCs w:val="22"/>
          <w:lang w:val="hr-HR"/>
        </w:rPr>
        <w:t xml:space="preserve"> Preporuke za dozu su zasnovane na farmakokinetičkom modeliranju (pogledajte dio 5.2).</w:t>
      </w:r>
    </w:p>
    <w:p w14:paraId="3AB863A4" w14:textId="4AE2B79A" w:rsidR="004A7A90" w:rsidRPr="009A2813" w:rsidRDefault="00E16134" w:rsidP="00CC4A65">
      <w:pPr>
        <w:autoSpaceDE w:val="0"/>
        <w:autoSpaceDN w:val="0"/>
        <w:adjustRightInd w:val="0"/>
        <w:ind w:left="144" w:hanging="144"/>
        <w:jc w:val="both"/>
        <w:rPr>
          <w:rFonts w:eastAsia="TimesNewRoman"/>
          <w:iCs/>
          <w:color w:val="000000"/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>3</w:t>
      </w:r>
      <w:r w:rsidRPr="009A2813">
        <w:rPr>
          <w:szCs w:val="22"/>
          <w:lang w:val="hr-HR"/>
        </w:rPr>
        <w:t xml:space="preserve"> Ceftazidim i avibaktam se uklanjaju hemodijalizom (pogledajte djelove 4.9. i 5.2).</w:t>
      </w:r>
      <w:r w:rsidRPr="009A2813">
        <w:rPr>
          <w:color w:val="000000"/>
          <w:szCs w:val="22"/>
          <w:lang w:val="hr-HR"/>
        </w:rPr>
        <w:t xml:space="preserve"> Doziranje lijeka Zavicefta onim danima kada se vrši hemodijaliza treba obaviti nakon završetka hemodijalize. </w:t>
      </w:r>
    </w:p>
    <w:p w14:paraId="4ED35DBF" w14:textId="76AA7345" w:rsidR="00E16134" w:rsidRPr="009A2813" w:rsidRDefault="004A7A90" w:rsidP="00CC4A65">
      <w:pPr>
        <w:autoSpaceDE w:val="0"/>
        <w:autoSpaceDN w:val="0"/>
        <w:adjustRightInd w:val="0"/>
        <w:ind w:left="144" w:hanging="144"/>
        <w:jc w:val="both"/>
        <w:rPr>
          <w:rFonts w:eastAsia="TimesNewRoman"/>
          <w:iCs/>
          <w:color w:val="000000"/>
          <w:szCs w:val="22"/>
          <w:lang w:val="hr-HR"/>
        </w:rPr>
      </w:pPr>
      <w:bookmarkStart w:id="3" w:name="_Hlk87253871"/>
      <w:bookmarkStart w:id="4" w:name="_Hlk87253902"/>
      <w:r w:rsidRPr="009A2813">
        <w:rPr>
          <w:color w:val="000000"/>
          <w:szCs w:val="22"/>
          <w:vertAlign w:val="superscript"/>
          <w:lang w:val="hr-HR"/>
        </w:rPr>
        <w:t>4</w:t>
      </w:r>
      <w:r w:rsidRPr="009A2813">
        <w:rPr>
          <w:color w:val="000000"/>
          <w:szCs w:val="22"/>
          <w:lang w:val="hr-HR"/>
        </w:rPr>
        <w:t xml:space="preserve"> </w:t>
      </w:r>
      <w:r w:rsidRPr="009A2813">
        <w:rPr>
          <w:szCs w:val="22"/>
          <w:lang w:val="hr-HR"/>
        </w:rPr>
        <w:t>Ceftazidim/avibaktam je kombinovani proizvod u fiksnom odnosu 4:1 i preporuke za doziranje se zasnivaju samo na komponenti ceftazidima (pogledajte dio 6.6).</w:t>
      </w:r>
    </w:p>
    <w:bookmarkEnd w:id="3"/>
    <w:p w14:paraId="1DC05A0E" w14:textId="77777777" w:rsidR="00E16134" w:rsidRPr="009A2813" w:rsidRDefault="00E16134" w:rsidP="00CC4A6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/>
          <w:szCs w:val="22"/>
          <w:lang w:val="hr-HR"/>
        </w:rPr>
      </w:pPr>
    </w:p>
    <w:bookmarkEnd w:id="4"/>
    <w:p w14:paraId="774B939D" w14:textId="6C1E5C11" w:rsidR="00006045" w:rsidRPr="009A2813" w:rsidRDefault="00006045" w:rsidP="00CC4A65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/>
          <w:szCs w:val="22"/>
          <w:lang w:val="hr-HR"/>
        </w:rPr>
      </w:pPr>
      <w:r w:rsidRPr="009A2813">
        <w:rPr>
          <w:i/>
          <w:szCs w:val="22"/>
          <w:lang w:val="hr-HR"/>
        </w:rPr>
        <w:t>Doziranje kod pedijatrijskih pacijenata</w:t>
      </w:r>
      <w:r w:rsidR="00D13806">
        <w:rPr>
          <w:i/>
          <w:szCs w:val="22"/>
          <w:lang w:val="hr-HR"/>
        </w:rPr>
        <w:t xml:space="preserve"> uzrasta</w:t>
      </w:r>
      <w:r w:rsidR="007E2BAC" w:rsidRPr="009A2813">
        <w:rPr>
          <w:i/>
          <w:szCs w:val="22"/>
          <w:lang w:val="hr-HR"/>
        </w:rPr>
        <w:t xml:space="preserve"> od 3 mjeseca do</w:t>
      </w:r>
      <w:r w:rsidRPr="009A2813">
        <w:rPr>
          <w:i/>
          <w:szCs w:val="22"/>
          <w:lang w:val="hr-HR"/>
        </w:rPr>
        <w:t xml:space="preserve"> &lt; 2 godine sa CrCl ≤ 50 ml/min/1,73 m</w:t>
      </w:r>
      <w:r w:rsidRPr="009A2813">
        <w:rPr>
          <w:i/>
          <w:szCs w:val="22"/>
          <w:vertAlign w:val="superscript"/>
          <w:lang w:val="hr-HR"/>
        </w:rPr>
        <w:t>2</w:t>
      </w:r>
    </w:p>
    <w:bookmarkEnd w:id="2"/>
    <w:p w14:paraId="296AE7A5" w14:textId="77777777" w:rsidR="00006045" w:rsidRPr="009A2813" w:rsidRDefault="00006045" w:rsidP="00CC4A65">
      <w:pPr>
        <w:pStyle w:val="A-StudyTitle"/>
        <w:keepNext/>
        <w:spacing w:after="0" w:line="280" w:lineRule="atLeast"/>
        <w:jc w:val="both"/>
        <w:rPr>
          <w:b w:val="0"/>
          <w:iCs/>
          <w:sz w:val="22"/>
          <w:szCs w:val="22"/>
          <w:lang w:val="hr-HR"/>
        </w:rPr>
      </w:pPr>
    </w:p>
    <w:p w14:paraId="0545774B" w14:textId="1C2C6F4A" w:rsidR="00A02BA6" w:rsidRPr="009A2813" w:rsidRDefault="00A02BA6" w:rsidP="00CC4A65">
      <w:pPr>
        <w:pStyle w:val="A-StudyTitle"/>
        <w:keepNext/>
        <w:spacing w:after="0" w:line="280" w:lineRule="atLeast"/>
        <w:jc w:val="both"/>
        <w:rPr>
          <w:b w:val="0"/>
          <w:i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lang w:val="hr-HR"/>
        </w:rPr>
        <w:t xml:space="preserve">Tabela </w:t>
      </w:r>
      <w:r w:rsidR="007E2BAC" w:rsidRPr="009A2813">
        <w:rPr>
          <w:b w:val="0"/>
          <w:sz w:val="22"/>
          <w:szCs w:val="22"/>
          <w:lang w:val="hr-HR"/>
        </w:rPr>
        <w:t>6</w:t>
      </w:r>
      <w:r w:rsidRPr="009A2813">
        <w:rPr>
          <w:b w:val="0"/>
          <w:sz w:val="22"/>
          <w:szCs w:val="22"/>
          <w:lang w:val="hr-HR"/>
        </w:rPr>
        <w:t>: Preporučena doza za pedijatrijske pacijente</w:t>
      </w:r>
      <w:r w:rsidR="007E2BAC" w:rsidRPr="009A2813">
        <w:rPr>
          <w:b w:val="0"/>
          <w:sz w:val="22"/>
          <w:szCs w:val="22"/>
          <w:lang w:val="hr-HR"/>
        </w:rPr>
        <w:t xml:space="preserve"> uzrasta od 3 mjeseca do &lt;</w:t>
      </w:r>
      <w:r w:rsidR="00A42B7C" w:rsidRPr="009A2813">
        <w:rPr>
          <w:b w:val="0"/>
          <w:sz w:val="22"/>
          <w:szCs w:val="22"/>
          <w:lang w:val="hr-HR"/>
        </w:rPr>
        <w:t> </w:t>
      </w:r>
      <w:r w:rsidR="007E2BAC" w:rsidRPr="009A2813">
        <w:rPr>
          <w:b w:val="0"/>
          <w:sz w:val="22"/>
          <w:szCs w:val="22"/>
          <w:lang w:val="hr-HR"/>
        </w:rPr>
        <w:t xml:space="preserve">2 godine </w:t>
      </w:r>
      <w:r w:rsidRPr="009A2813">
        <w:rPr>
          <w:b w:val="0"/>
          <w:sz w:val="22"/>
          <w:szCs w:val="22"/>
          <w:lang w:val="hr-HR"/>
        </w:rPr>
        <w:t xml:space="preserve"> sa procijenjenim CrCL</w:t>
      </w:r>
      <w:r w:rsidRPr="009A2813">
        <w:rPr>
          <w:b w:val="0"/>
          <w:sz w:val="22"/>
          <w:szCs w:val="22"/>
          <w:vertAlign w:val="superscript"/>
          <w:lang w:val="hr-HR"/>
        </w:rPr>
        <w:t>1</w:t>
      </w:r>
      <w:r w:rsidRPr="009A2813">
        <w:rPr>
          <w:b w:val="0"/>
          <w:sz w:val="22"/>
          <w:szCs w:val="22"/>
          <w:lang w:val="hr-HR"/>
        </w:rPr>
        <w:t xml:space="preserve"> ≤ 50 ml/min/1,73 m</w:t>
      </w:r>
      <w:r w:rsidRPr="009A2813">
        <w:rPr>
          <w:b w:val="0"/>
          <w:sz w:val="22"/>
          <w:szCs w:val="22"/>
          <w:vertAlign w:val="superscript"/>
          <w:lang w:val="hr-HR"/>
        </w:rPr>
        <w:t xml:space="preserve">2 </w:t>
      </w:r>
    </w:p>
    <w:tbl>
      <w:tblPr>
        <w:tblpPr w:leftFromText="180" w:rightFromText="180" w:vertAnchor="text" w:tblpXSpec="center" w:tblpY="1"/>
        <w:tblOverlap w:val="never"/>
        <w:tblW w:w="9151" w:type="dxa"/>
        <w:jc w:val="center"/>
        <w:tblLayout w:type="fixed"/>
        <w:tblLook w:val="0000" w:firstRow="0" w:lastRow="0" w:firstColumn="0" w:lastColumn="0" w:noHBand="0" w:noVBand="0"/>
      </w:tblPr>
      <w:tblGrid>
        <w:gridCol w:w="961"/>
        <w:gridCol w:w="2680"/>
        <w:gridCol w:w="2990"/>
        <w:gridCol w:w="1261"/>
        <w:gridCol w:w="1259"/>
      </w:tblGrid>
      <w:tr w:rsidR="00A02BA6" w:rsidRPr="009A2813" w14:paraId="506BDA55" w14:textId="77777777" w:rsidTr="004B7138">
        <w:trPr>
          <w:cantSplit/>
          <w:trHeight w:val="231"/>
          <w:tblHeader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1D42" w14:textId="77777777" w:rsidR="00A02BA6" w:rsidRPr="009A2813" w:rsidRDefault="00A02BA6" w:rsidP="00CC4A65">
            <w:pPr>
              <w:pStyle w:val="TableTextColHead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Starosna grupa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62D7" w14:textId="77777777" w:rsidR="00A02BA6" w:rsidRPr="009A2813" w:rsidRDefault="00A02BA6" w:rsidP="00CC4A65">
            <w:pPr>
              <w:pStyle w:val="TableTextColHead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Procijenjeni CrCL</w:t>
            </w:r>
            <w:r w:rsidRPr="009A2813">
              <w:rPr>
                <w:rStyle w:val="FootnoteReference"/>
                <w:sz w:val="22"/>
                <w:szCs w:val="22"/>
                <w:lang w:val="hr-HR"/>
              </w:rPr>
              <w:t xml:space="preserve"> </w:t>
            </w:r>
            <w:r w:rsidRPr="009A2813">
              <w:rPr>
                <w:b w:val="0"/>
                <w:sz w:val="22"/>
                <w:szCs w:val="22"/>
                <w:lang w:val="hr-HR"/>
              </w:rPr>
              <w:t>(ml/min/1,73 m</w:t>
            </w:r>
            <w:r w:rsidRPr="009A2813">
              <w:rPr>
                <w:b w:val="0"/>
                <w:sz w:val="22"/>
                <w:szCs w:val="22"/>
                <w:vertAlign w:val="superscript"/>
                <w:lang w:val="hr-HR"/>
              </w:rPr>
              <w:t>2</w:t>
            </w:r>
            <w:r w:rsidRPr="009A2813">
              <w:rPr>
                <w:b w:val="0"/>
                <w:sz w:val="22"/>
                <w:szCs w:val="22"/>
                <w:lang w:val="hr-HR"/>
              </w:rPr>
              <w:t>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A13B" w14:textId="77777777" w:rsidR="00A02BA6" w:rsidRPr="009A2813" w:rsidRDefault="00A02BA6" w:rsidP="00CC4A65">
            <w:pPr>
              <w:pStyle w:val="TableTextColHead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 xml:space="preserve">Doza </w:t>
            </w:r>
            <w:r w:rsidRPr="009A2813">
              <w:rPr>
                <w:sz w:val="22"/>
                <w:szCs w:val="22"/>
                <w:lang w:val="hr-HR"/>
              </w:rPr>
              <w:t>ceftazidima</w:t>
            </w:r>
            <w:r w:rsidRPr="009A2813">
              <w:rPr>
                <w:b w:val="0"/>
                <w:sz w:val="22"/>
                <w:szCs w:val="22"/>
                <w:lang w:val="hr-HR"/>
              </w:rPr>
              <w:t>/avibaktama</w:t>
            </w:r>
            <w:r w:rsidRPr="009A2813">
              <w:rPr>
                <w:b w:val="0"/>
                <w:sz w:val="22"/>
                <w:szCs w:val="22"/>
                <w:vertAlign w:val="superscript"/>
                <w:lang w:val="hr-HR"/>
              </w:rPr>
              <w:t>2,3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2714" w14:textId="77777777" w:rsidR="00A02BA6" w:rsidRPr="009A2813" w:rsidRDefault="00A02BA6" w:rsidP="00CC4A65">
            <w:pPr>
              <w:pStyle w:val="TableTextColHead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Učestalost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184" w14:textId="77777777" w:rsidR="00A02BA6" w:rsidRPr="009A2813" w:rsidRDefault="00A02BA6" w:rsidP="00CC4A65">
            <w:pPr>
              <w:pStyle w:val="TableTextColHead"/>
              <w:jc w:val="both"/>
              <w:rPr>
                <w:b w:val="0"/>
                <w:bCs/>
                <w:sz w:val="22"/>
                <w:szCs w:val="22"/>
                <w:lang w:val="hr-HR"/>
              </w:rPr>
            </w:pPr>
            <w:r w:rsidRPr="009A2813">
              <w:rPr>
                <w:b w:val="0"/>
                <w:sz w:val="22"/>
                <w:szCs w:val="22"/>
                <w:lang w:val="hr-HR"/>
              </w:rPr>
              <w:t>Vrijeme infuzije</w:t>
            </w:r>
          </w:p>
        </w:tc>
      </w:tr>
      <w:tr w:rsidR="0028471E" w:rsidRPr="009A2813" w14:paraId="44591B53" w14:textId="77777777" w:rsidTr="004B7138">
        <w:trPr>
          <w:cantSplit/>
          <w:trHeight w:val="695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3BF93" w14:textId="3A2C319A" w:rsidR="0028471E" w:rsidRPr="009A2813" w:rsidRDefault="00D13806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>
              <w:rPr>
                <w:rFonts w:cs="Times New Roman"/>
                <w:sz w:val="22"/>
                <w:szCs w:val="22"/>
                <w:lang w:val="hr-HR"/>
              </w:rPr>
              <w:t xml:space="preserve">od </w:t>
            </w:r>
            <w:r w:rsidR="008F49E5" w:rsidRPr="009A2813">
              <w:rPr>
                <w:rFonts w:cs="Times New Roman"/>
                <w:sz w:val="22"/>
                <w:szCs w:val="22"/>
                <w:lang w:val="hr-HR"/>
              </w:rPr>
              <w:t>6 mjeseci do</w:t>
            </w:r>
            <w:r w:rsidR="0028471E" w:rsidRPr="009A2813">
              <w:rPr>
                <w:rFonts w:cs="Times New Roman"/>
                <w:sz w:val="22"/>
                <w:szCs w:val="22"/>
                <w:lang w:val="hr-HR"/>
              </w:rPr>
              <w:t> &lt; </w:t>
            </w:r>
            <w:r w:rsidR="008F49E5" w:rsidRPr="009A2813">
              <w:rPr>
                <w:rFonts w:cs="Times New Roman"/>
                <w:sz w:val="22"/>
                <w:szCs w:val="22"/>
                <w:lang w:val="hr-HR"/>
              </w:rPr>
              <w:t>2 godine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5C4C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 w:rsidRPr="009A2813">
              <w:rPr>
                <w:rFonts w:cs="Times New Roman"/>
                <w:sz w:val="22"/>
                <w:szCs w:val="22"/>
                <w:lang w:val="hr-HR"/>
              </w:rPr>
              <w:t>31 do 50</w:t>
            </w:r>
          </w:p>
          <w:p w14:paraId="015686B0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AE74" w14:textId="357102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 w:rsidRPr="009A2813">
              <w:rPr>
                <w:rFonts w:cs="Times New Roman"/>
                <w:b/>
                <w:sz w:val="22"/>
                <w:szCs w:val="22"/>
                <w:lang w:val="hr-HR"/>
              </w:rPr>
              <w:t>2</w:t>
            </w:r>
            <w:r w:rsidR="008F49E5" w:rsidRPr="009A2813">
              <w:rPr>
                <w:rFonts w:cs="Times New Roman"/>
                <w:b/>
                <w:sz w:val="22"/>
                <w:szCs w:val="22"/>
                <w:lang w:val="hr-HR"/>
              </w:rPr>
              <w:t>5</w:t>
            </w:r>
            <w:r w:rsidRPr="009A2813">
              <w:rPr>
                <w:rFonts w:cs="Times New Roman"/>
                <w:b/>
                <w:sz w:val="22"/>
                <w:szCs w:val="22"/>
                <w:lang w:val="hr-HR"/>
              </w:rPr>
              <w:t> mg/kg</w:t>
            </w:r>
            <w:r w:rsidR="00E8529B" w:rsidRPr="009A2813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="0025434F" w:rsidRPr="009A2813">
              <w:rPr>
                <w:rFonts w:cs="Times New Roman"/>
                <w:sz w:val="22"/>
                <w:szCs w:val="22"/>
                <w:lang w:val="hr-HR"/>
              </w:rPr>
              <w:t>/6,25</w:t>
            </w:r>
            <w:r w:rsidRPr="009A2813">
              <w:rPr>
                <w:rFonts w:cs="Times New Roman"/>
                <w:sz w:val="22"/>
                <w:szCs w:val="22"/>
                <w:lang w:val="hr-HR"/>
              </w:rPr>
              <w:t> mg/kg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91E7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 w:rsidRPr="009A2813">
              <w:rPr>
                <w:rFonts w:cs="Times New Roman"/>
                <w:sz w:val="22"/>
                <w:szCs w:val="22"/>
                <w:lang w:val="hr-HR"/>
              </w:rPr>
              <w:t>Svakih 8 sati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81061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 w:rsidRPr="009A2813">
              <w:rPr>
                <w:rFonts w:cs="Times New Roman"/>
                <w:sz w:val="22"/>
                <w:szCs w:val="22"/>
                <w:lang w:val="hr-HR"/>
              </w:rPr>
              <w:t>2 sata</w:t>
            </w:r>
          </w:p>
        </w:tc>
      </w:tr>
      <w:tr w:rsidR="0028471E" w:rsidRPr="009A2813" w14:paraId="62BB543C" w14:textId="77777777" w:rsidTr="004B7138">
        <w:trPr>
          <w:cantSplit/>
          <w:trHeight w:val="929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20EF" w14:textId="5717D4DD" w:rsidR="0028471E" w:rsidRPr="009A2813" w:rsidRDefault="00D13806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>
              <w:rPr>
                <w:rFonts w:cs="Times New Roman"/>
                <w:sz w:val="22"/>
                <w:szCs w:val="22"/>
                <w:lang w:val="hr-HR"/>
              </w:rPr>
              <w:t xml:space="preserve">od </w:t>
            </w:r>
            <w:r w:rsidR="008F49E5" w:rsidRPr="009A2813">
              <w:rPr>
                <w:rFonts w:cs="Times New Roman"/>
                <w:sz w:val="22"/>
                <w:szCs w:val="22"/>
                <w:lang w:val="hr-HR"/>
              </w:rPr>
              <w:t xml:space="preserve">3 </w:t>
            </w:r>
            <w:r w:rsidR="0028471E" w:rsidRPr="009A2813">
              <w:rPr>
                <w:rFonts w:cs="Times New Roman"/>
                <w:sz w:val="22"/>
                <w:szCs w:val="22"/>
                <w:lang w:val="hr-HR"/>
              </w:rPr>
              <w:t> do &lt; </w:t>
            </w:r>
            <w:r w:rsidR="008F49E5" w:rsidRPr="009A2813">
              <w:rPr>
                <w:rFonts w:cs="Times New Roman"/>
                <w:sz w:val="22"/>
                <w:szCs w:val="22"/>
                <w:lang w:val="hr-HR"/>
              </w:rPr>
              <w:t>6</w:t>
            </w:r>
            <w:r w:rsidR="00A42B7C" w:rsidRPr="009A2813">
              <w:rPr>
                <w:rFonts w:cs="Times New Roman"/>
                <w:sz w:val="22"/>
                <w:szCs w:val="22"/>
                <w:lang w:val="hr-HR"/>
              </w:rPr>
              <w:t> </w:t>
            </w:r>
            <w:r w:rsidR="008F49E5" w:rsidRPr="009A2813">
              <w:rPr>
                <w:rFonts w:cs="Times New Roman"/>
                <w:sz w:val="22"/>
                <w:szCs w:val="22"/>
                <w:lang w:val="hr-HR"/>
              </w:rPr>
              <w:t>mjeseci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4C3C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8AB7" w14:textId="3CDF473F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 w:rsidRPr="009A2813">
              <w:rPr>
                <w:rFonts w:cs="Times New Roman"/>
                <w:b/>
                <w:sz w:val="22"/>
                <w:szCs w:val="22"/>
                <w:lang w:val="hr-HR"/>
              </w:rPr>
              <w:t>2</w:t>
            </w:r>
            <w:r w:rsidR="008B47CF" w:rsidRPr="009A2813">
              <w:rPr>
                <w:rFonts w:cs="Times New Roman"/>
                <w:b/>
                <w:sz w:val="22"/>
                <w:szCs w:val="22"/>
                <w:lang w:val="hr-HR"/>
              </w:rPr>
              <w:t>0</w:t>
            </w:r>
            <w:r w:rsidRPr="009A2813">
              <w:rPr>
                <w:rFonts w:cs="Times New Roman"/>
                <w:b/>
                <w:sz w:val="22"/>
                <w:szCs w:val="22"/>
                <w:lang w:val="hr-HR"/>
              </w:rPr>
              <w:t>mg/kg</w:t>
            </w:r>
            <w:r w:rsidR="008B47CF" w:rsidRPr="009A2813">
              <w:rPr>
                <w:rFonts w:cs="Times New Roman"/>
                <w:sz w:val="22"/>
                <w:szCs w:val="22"/>
                <w:lang w:val="hr-HR"/>
              </w:rPr>
              <w:t>/5</w:t>
            </w:r>
            <w:r w:rsidR="00A42B7C" w:rsidRPr="009A2813">
              <w:rPr>
                <w:rFonts w:cs="Times New Roman"/>
                <w:sz w:val="22"/>
                <w:szCs w:val="22"/>
                <w:lang w:val="hr-HR"/>
              </w:rPr>
              <w:t> </w:t>
            </w:r>
            <w:r w:rsidRPr="009A2813">
              <w:rPr>
                <w:rFonts w:cs="Times New Roman"/>
                <w:sz w:val="22"/>
                <w:szCs w:val="22"/>
                <w:lang w:val="hr-HR"/>
              </w:rPr>
              <w:t>mg/kg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5E0D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 w:rsidRPr="009A2813">
              <w:rPr>
                <w:rFonts w:cs="Times New Roman"/>
                <w:sz w:val="22"/>
                <w:szCs w:val="22"/>
                <w:lang w:val="hr-HR"/>
              </w:rPr>
              <w:t>Svakih 8 sati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A152E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</w:p>
        </w:tc>
      </w:tr>
      <w:tr w:rsidR="0028471E" w:rsidRPr="009A2813" w14:paraId="74C595B0" w14:textId="77777777" w:rsidTr="004B7138">
        <w:trPr>
          <w:cantSplit/>
          <w:trHeight w:val="785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696C" w14:textId="5E4A82FB" w:rsidR="0028471E" w:rsidRPr="009A2813" w:rsidRDefault="00D13806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>
              <w:rPr>
                <w:rFonts w:cs="Times New Roman"/>
                <w:sz w:val="22"/>
                <w:szCs w:val="22"/>
                <w:lang w:val="hr-HR"/>
              </w:rPr>
              <w:t xml:space="preserve">od </w:t>
            </w:r>
            <w:r w:rsidR="0025434F" w:rsidRPr="009A2813">
              <w:rPr>
                <w:rFonts w:cs="Times New Roman"/>
                <w:sz w:val="22"/>
                <w:szCs w:val="22"/>
                <w:lang w:val="hr-HR"/>
              </w:rPr>
              <w:t>6 mjeseci do</w:t>
            </w:r>
            <w:r w:rsidR="0028471E" w:rsidRPr="009A2813">
              <w:rPr>
                <w:rFonts w:cs="Times New Roman"/>
                <w:sz w:val="22"/>
                <w:szCs w:val="22"/>
                <w:lang w:val="hr-HR"/>
              </w:rPr>
              <w:t> &lt; </w:t>
            </w:r>
            <w:r w:rsidR="0025434F" w:rsidRPr="009A2813">
              <w:rPr>
                <w:rFonts w:cs="Times New Roman"/>
                <w:sz w:val="22"/>
                <w:szCs w:val="22"/>
                <w:lang w:val="hr-HR"/>
              </w:rPr>
              <w:t>2 godine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3618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 w:rsidRPr="009A2813">
              <w:rPr>
                <w:rFonts w:cs="Times New Roman"/>
                <w:sz w:val="22"/>
                <w:szCs w:val="22"/>
                <w:lang w:val="hr-HR"/>
              </w:rPr>
              <w:t>16 do 30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F2BD" w14:textId="7CD4273D" w:rsidR="0028471E" w:rsidRPr="009A2813" w:rsidRDefault="008B47CF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 w:rsidRPr="009A2813">
              <w:rPr>
                <w:rFonts w:cs="Times New Roman"/>
                <w:b/>
                <w:sz w:val="22"/>
                <w:szCs w:val="22"/>
                <w:lang w:val="hr-HR"/>
              </w:rPr>
              <w:t>18,75</w:t>
            </w:r>
            <w:r w:rsidR="0028471E" w:rsidRPr="009A2813">
              <w:rPr>
                <w:rFonts w:cs="Times New Roman"/>
                <w:b/>
                <w:sz w:val="22"/>
                <w:szCs w:val="22"/>
                <w:lang w:val="hr-HR"/>
              </w:rPr>
              <w:t>mg/kg</w:t>
            </w:r>
            <w:r w:rsidR="00E8529B" w:rsidRPr="009A2813">
              <w:rPr>
                <w:rFonts w:cs="Times New Roman"/>
                <w:sz w:val="22"/>
                <w:szCs w:val="22"/>
                <w:lang w:val="hr-HR"/>
              </w:rPr>
              <w:t xml:space="preserve"> </w:t>
            </w:r>
            <w:r w:rsidR="00951FA4" w:rsidRPr="009A2813">
              <w:rPr>
                <w:rFonts w:cs="Times New Roman"/>
                <w:sz w:val="22"/>
                <w:szCs w:val="22"/>
                <w:lang w:val="hr-HR"/>
              </w:rPr>
              <w:t>/4,7</w:t>
            </w:r>
            <w:r w:rsidR="00A42B7C" w:rsidRPr="009A2813">
              <w:rPr>
                <w:rFonts w:cs="Times New Roman"/>
                <w:sz w:val="22"/>
                <w:szCs w:val="22"/>
                <w:lang w:val="hr-HR"/>
              </w:rPr>
              <w:t xml:space="preserve"> mg/kg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0318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 w:rsidRPr="009A2813">
              <w:rPr>
                <w:rFonts w:cs="Times New Roman"/>
                <w:sz w:val="22"/>
                <w:szCs w:val="22"/>
                <w:lang w:val="hr-HR"/>
              </w:rPr>
              <w:t>Svakih 12 sati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37FAA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</w:p>
        </w:tc>
      </w:tr>
      <w:tr w:rsidR="0028471E" w:rsidRPr="009A2813" w14:paraId="1A3944A9" w14:textId="77777777" w:rsidTr="004B7138">
        <w:trPr>
          <w:cantSplit/>
          <w:trHeight w:val="911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8795" w14:textId="15FF70D1" w:rsidR="0028471E" w:rsidRPr="009A2813" w:rsidRDefault="00D13806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>
              <w:rPr>
                <w:rFonts w:cs="Times New Roman"/>
                <w:sz w:val="22"/>
                <w:szCs w:val="22"/>
                <w:lang w:val="hr-HR"/>
              </w:rPr>
              <w:t xml:space="preserve"> od </w:t>
            </w:r>
            <w:r w:rsidR="0025434F" w:rsidRPr="009A2813">
              <w:rPr>
                <w:rFonts w:cs="Times New Roman"/>
                <w:sz w:val="22"/>
                <w:szCs w:val="22"/>
                <w:lang w:val="hr-HR"/>
              </w:rPr>
              <w:t xml:space="preserve">3 </w:t>
            </w:r>
            <w:r w:rsidR="0028471E" w:rsidRPr="009A2813">
              <w:rPr>
                <w:rFonts w:cs="Times New Roman"/>
                <w:sz w:val="22"/>
                <w:szCs w:val="22"/>
                <w:lang w:val="hr-HR"/>
              </w:rPr>
              <w:t> do &lt; </w:t>
            </w:r>
            <w:r w:rsidR="0025434F" w:rsidRPr="009A2813">
              <w:rPr>
                <w:rFonts w:cs="Times New Roman"/>
                <w:sz w:val="22"/>
                <w:szCs w:val="22"/>
                <w:lang w:val="hr-HR"/>
              </w:rPr>
              <w:t>6</w:t>
            </w:r>
            <w:r w:rsidR="00A42B7C" w:rsidRPr="009A2813">
              <w:rPr>
                <w:rFonts w:cs="Times New Roman"/>
                <w:sz w:val="22"/>
                <w:szCs w:val="22"/>
                <w:lang w:val="hr-HR"/>
              </w:rPr>
              <w:t> </w:t>
            </w:r>
            <w:r w:rsidR="0025434F" w:rsidRPr="009A2813">
              <w:rPr>
                <w:rFonts w:cs="Times New Roman"/>
                <w:sz w:val="22"/>
                <w:szCs w:val="22"/>
                <w:lang w:val="hr-HR"/>
              </w:rPr>
              <w:t>mjeseci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48B5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F89C" w14:textId="4E91ADBB" w:rsidR="0028471E" w:rsidRPr="009A2813" w:rsidRDefault="00951FA4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 w:rsidRPr="009A2813">
              <w:rPr>
                <w:rFonts w:cs="Times New Roman"/>
                <w:b/>
                <w:sz w:val="22"/>
                <w:szCs w:val="22"/>
                <w:lang w:val="hr-HR"/>
              </w:rPr>
              <w:t xml:space="preserve">15 </w:t>
            </w:r>
            <w:r w:rsidR="0028471E" w:rsidRPr="009A2813">
              <w:rPr>
                <w:rFonts w:cs="Times New Roman"/>
                <w:b/>
                <w:sz w:val="22"/>
                <w:szCs w:val="22"/>
                <w:lang w:val="hr-HR"/>
              </w:rPr>
              <w:t> mg/kg</w:t>
            </w:r>
            <w:r w:rsidRPr="009A2813">
              <w:rPr>
                <w:rFonts w:cs="Times New Roman"/>
                <w:sz w:val="22"/>
                <w:szCs w:val="22"/>
                <w:lang w:val="hr-HR"/>
              </w:rPr>
              <w:t>/3,75</w:t>
            </w:r>
            <w:r w:rsidR="00A42B7C" w:rsidRPr="009A2813">
              <w:rPr>
                <w:rFonts w:cs="Times New Roman"/>
                <w:sz w:val="22"/>
                <w:szCs w:val="22"/>
                <w:lang w:val="hr-HR"/>
              </w:rPr>
              <w:t xml:space="preserve"> mg/kg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3CA3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  <w:r w:rsidRPr="009A2813">
              <w:rPr>
                <w:rFonts w:cs="Times New Roman"/>
                <w:sz w:val="22"/>
                <w:szCs w:val="22"/>
                <w:lang w:val="hr-HR"/>
              </w:rPr>
              <w:t>Svakih 12 sati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E306" w14:textId="77777777" w:rsidR="0028471E" w:rsidRPr="009A2813" w:rsidRDefault="0028471E" w:rsidP="00CC4A65">
            <w:pPr>
              <w:pStyle w:val="TableText"/>
              <w:jc w:val="both"/>
              <w:rPr>
                <w:rFonts w:cs="Times New Roman"/>
                <w:sz w:val="22"/>
                <w:szCs w:val="22"/>
                <w:lang w:val="hr-HR"/>
              </w:rPr>
            </w:pPr>
          </w:p>
        </w:tc>
      </w:tr>
    </w:tbl>
    <w:p w14:paraId="220BB4F4" w14:textId="78384ECF" w:rsidR="006A4B83" w:rsidRPr="009A2813" w:rsidRDefault="006A4B83" w:rsidP="00CC4A65">
      <w:pPr>
        <w:pStyle w:val="A-StudyTitle"/>
        <w:spacing w:after="0"/>
        <w:ind w:left="144" w:hanging="144"/>
        <w:jc w:val="both"/>
        <w:rPr>
          <w:b w:val="0"/>
          <w:i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vertAlign w:val="superscript"/>
          <w:lang w:val="hr-HR"/>
        </w:rPr>
        <w:t>1</w:t>
      </w:r>
      <w:r w:rsidRPr="009A2813">
        <w:rPr>
          <w:b w:val="0"/>
          <w:sz w:val="22"/>
          <w:szCs w:val="22"/>
          <w:lang w:val="hr-HR"/>
        </w:rPr>
        <w:t xml:space="preserve"> Izračunat korišćenjem </w:t>
      </w:r>
      <w:r w:rsidR="00196FDD" w:rsidRPr="009A2813">
        <w:rPr>
          <w:b w:val="0"/>
          <w:sz w:val="22"/>
          <w:szCs w:val="22"/>
          <w:lang w:val="hr-HR"/>
        </w:rPr>
        <w:t xml:space="preserve">Švarcove </w:t>
      </w:r>
      <w:r w:rsidRPr="009A2813">
        <w:rPr>
          <w:b w:val="0"/>
          <w:sz w:val="22"/>
          <w:szCs w:val="22"/>
          <w:lang w:val="hr-HR"/>
        </w:rPr>
        <w:t>formule tokom boravka u postelji</w:t>
      </w:r>
    </w:p>
    <w:p w14:paraId="3629B8E7" w14:textId="63BF553C" w:rsidR="006A4B83" w:rsidRPr="009A2813" w:rsidRDefault="006A4B83" w:rsidP="00CC4A65">
      <w:pPr>
        <w:pStyle w:val="A-StudyTitle"/>
        <w:spacing w:after="0"/>
        <w:ind w:left="144" w:hanging="144"/>
        <w:jc w:val="both"/>
        <w:rPr>
          <w:b w:val="0"/>
          <w:i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vertAlign w:val="superscript"/>
          <w:lang w:val="hr-HR"/>
        </w:rPr>
        <w:t>2</w:t>
      </w:r>
      <w:r w:rsidRPr="009A2813">
        <w:rPr>
          <w:b w:val="0"/>
          <w:sz w:val="22"/>
          <w:szCs w:val="22"/>
          <w:lang w:val="hr-HR"/>
        </w:rPr>
        <w:t xml:space="preserve"> Preporuke za dozu su zasnovane na farmakokinetičkom modeliranju (pogledajte dio 5.2). </w:t>
      </w:r>
    </w:p>
    <w:p w14:paraId="79A73B99" w14:textId="3E35CA65" w:rsidR="006A4B83" w:rsidRPr="009A2813" w:rsidRDefault="006A4B83" w:rsidP="00CC4A65">
      <w:pPr>
        <w:pStyle w:val="A-StudyTitle"/>
        <w:spacing w:after="0"/>
        <w:ind w:left="144" w:hanging="144"/>
        <w:jc w:val="both"/>
        <w:rPr>
          <w:b w:val="0"/>
          <w:sz w:val="22"/>
          <w:szCs w:val="22"/>
          <w:lang w:val="hr-HR"/>
        </w:rPr>
      </w:pPr>
      <w:r w:rsidRPr="009A2813">
        <w:rPr>
          <w:b w:val="0"/>
          <w:sz w:val="22"/>
          <w:szCs w:val="22"/>
          <w:vertAlign w:val="superscript"/>
          <w:lang w:val="hr-HR"/>
        </w:rPr>
        <w:t>3</w:t>
      </w:r>
      <w:r w:rsidRPr="009A2813">
        <w:rPr>
          <w:b w:val="0"/>
          <w:sz w:val="22"/>
          <w:szCs w:val="22"/>
          <w:lang w:val="hr-HR"/>
        </w:rPr>
        <w:t xml:space="preserve"> Ceftazidim/avibaktam je kombinovani proizvod u fiksnom odnosu 4:1 i preporuke za doziranje se zasnivaju samo na komponenti ceftazidima (pogledajte dio 6.6).</w:t>
      </w:r>
    </w:p>
    <w:p w14:paraId="1C798FBC" w14:textId="157F5AE1" w:rsidR="00C22A24" w:rsidRPr="009A2813" w:rsidRDefault="00D549E4" w:rsidP="00CC4A65">
      <w:pPr>
        <w:pStyle w:val="A-StudyTitle"/>
        <w:spacing w:after="0"/>
        <w:ind w:left="144" w:hanging="144"/>
        <w:jc w:val="both"/>
        <w:rPr>
          <w:b w:val="0"/>
          <w:iCs/>
          <w:sz w:val="22"/>
          <w:szCs w:val="22"/>
          <w:lang w:val="hr-HR"/>
        </w:rPr>
      </w:pPr>
      <w:r>
        <w:rPr>
          <w:b w:val="0"/>
          <w:sz w:val="22"/>
          <w:szCs w:val="22"/>
          <w:vertAlign w:val="superscript"/>
          <w:lang w:val="hr-HR"/>
        </w:rPr>
        <w:t>4</w:t>
      </w:r>
      <w:r w:rsidR="00C22A24" w:rsidRPr="009A2813">
        <w:rPr>
          <w:b w:val="0"/>
          <w:sz w:val="22"/>
          <w:szCs w:val="22"/>
          <w:lang w:val="hr-HR"/>
        </w:rPr>
        <w:t xml:space="preserve">Pedijatrijski pacijenti </w:t>
      </w:r>
      <w:r w:rsidR="00043133">
        <w:rPr>
          <w:b w:val="0"/>
          <w:sz w:val="22"/>
          <w:szCs w:val="22"/>
          <w:lang w:val="hr-HR"/>
        </w:rPr>
        <w:t>ispiti</w:t>
      </w:r>
      <w:r w:rsidR="00C22A24" w:rsidRPr="009A2813">
        <w:rPr>
          <w:b w:val="0"/>
          <w:sz w:val="22"/>
          <w:szCs w:val="22"/>
          <w:lang w:val="hr-HR"/>
        </w:rPr>
        <w:t>vani u uzrastu od 3 do 12 m</w:t>
      </w:r>
      <w:r w:rsidR="00052573" w:rsidRPr="009A2813">
        <w:rPr>
          <w:b w:val="0"/>
          <w:sz w:val="22"/>
          <w:szCs w:val="22"/>
          <w:lang w:val="hr-HR"/>
        </w:rPr>
        <w:t>j</w:t>
      </w:r>
      <w:r w:rsidR="00C22A24" w:rsidRPr="009A2813">
        <w:rPr>
          <w:b w:val="0"/>
          <w:sz w:val="22"/>
          <w:szCs w:val="22"/>
          <w:lang w:val="hr-HR"/>
        </w:rPr>
        <w:t>eseci bili su termin</w:t>
      </w:r>
      <w:r w:rsidR="00043133">
        <w:rPr>
          <w:b w:val="0"/>
          <w:sz w:val="22"/>
          <w:szCs w:val="22"/>
          <w:lang w:val="hr-HR"/>
        </w:rPr>
        <w:t xml:space="preserve">ska novorođenčad </w:t>
      </w:r>
      <w:r w:rsidR="00C22A24" w:rsidRPr="009A2813">
        <w:rPr>
          <w:b w:val="0"/>
          <w:sz w:val="22"/>
          <w:szCs w:val="22"/>
          <w:lang w:val="hr-HR"/>
        </w:rPr>
        <w:t xml:space="preserve"> (≥ 37 ned</w:t>
      </w:r>
      <w:r w:rsidR="00052573" w:rsidRPr="009A2813">
        <w:rPr>
          <w:b w:val="0"/>
          <w:sz w:val="22"/>
          <w:szCs w:val="22"/>
          <w:lang w:val="hr-HR"/>
        </w:rPr>
        <w:t>j</w:t>
      </w:r>
      <w:r w:rsidR="00C22A24" w:rsidRPr="009A2813">
        <w:rPr>
          <w:b w:val="0"/>
          <w:sz w:val="22"/>
          <w:szCs w:val="22"/>
          <w:lang w:val="hr-HR"/>
        </w:rPr>
        <w:t>elja gestacije).</w:t>
      </w:r>
    </w:p>
    <w:p w14:paraId="1FA659F0" w14:textId="77777777" w:rsidR="00A02BA6" w:rsidRPr="009A2813" w:rsidRDefault="00A02BA6" w:rsidP="00CC4A65">
      <w:pPr>
        <w:pStyle w:val="A-StudyTitle"/>
        <w:spacing w:after="0" w:line="280" w:lineRule="atLeast"/>
        <w:jc w:val="both"/>
        <w:rPr>
          <w:b w:val="0"/>
          <w:iCs/>
          <w:sz w:val="22"/>
          <w:szCs w:val="22"/>
          <w:lang w:val="hr-HR"/>
        </w:rPr>
      </w:pPr>
    </w:p>
    <w:p w14:paraId="4BD521AE" w14:textId="4AC09E09" w:rsidR="005A6376" w:rsidRDefault="005A6376" w:rsidP="00CC4A65">
      <w:pPr>
        <w:pStyle w:val="A-StudyTitle"/>
        <w:spacing w:after="0" w:line="280" w:lineRule="atLeast"/>
        <w:jc w:val="both"/>
        <w:rPr>
          <w:b w:val="0"/>
          <w:sz w:val="22"/>
          <w:szCs w:val="22"/>
          <w:lang w:val="hr-HR"/>
        </w:rPr>
      </w:pPr>
      <w:r w:rsidRPr="009A2813">
        <w:rPr>
          <w:b w:val="0"/>
          <w:sz w:val="22"/>
          <w:szCs w:val="22"/>
          <w:lang w:val="hr-HR"/>
        </w:rPr>
        <w:t xml:space="preserve">Nema dovoljno informacija da bi se preporučio režim doziranja za pedijatrijske pacijente </w:t>
      </w:r>
      <w:r w:rsidR="009A6DE8" w:rsidRPr="009A2813">
        <w:rPr>
          <w:b w:val="0"/>
          <w:sz w:val="22"/>
          <w:szCs w:val="22"/>
          <w:lang w:val="hr-HR"/>
        </w:rPr>
        <w:t>uzrasta</w:t>
      </w:r>
      <w:r w:rsidRPr="009A2813">
        <w:rPr>
          <w:b w:val="0"/>
          <w:sz w:val="22"/>
          <w:szCs w:val="22"/>
          <w:lang w:val="hr-HR"/>
        </w:rPr>
        <w:t xml:space="preserve"> od </w:t>
      </w:r>
      <w:bookmarkStart w:id="5" w:name="_Hlk26452805"/>
      <w:r w:rsidR="0097689C" w:rsidRPr="009A2813">
        <w:rPr>
          <w:b w:val="0"/>
          <w:sz w:val="22"/>
          <w:szCs w:val="22"/>
          <w:lang w:val="hr-HR"/>
        </w:rPr>
        <w:t xml:space="preserve">3 mjeseca do </w:t>
      </w:r>
      <w:r w:rsidRPr="009A2813">
        <w:rPr>
          <w:b w:val="0"/>
          <w:sz w:val="22"/>
          <w:szCs w:val="22"/>
          <w:lang w:val="hr-HR"/>
        </w:rPr>
        <w:t>&lt; 2 godine</w:t>
      </w:r>
      <w:bookmarkEnd w:id="5"/>
      <w:r w:rsidRPr="009A2813">
        <w:rPr>
          <w:b w:val="0"/>
          <w:sz w:val="22"/>
          <w:szCs w:val="22"/>
          <w:lang w:val="hr-HR"/>
        </w:rPr>
        <w:t xml:space="preserve"> koji imaju CrCL </w:t>
      </w:r>
      <w:bookmarkStart w:id="6" w:name="_Hlk26452838"/>
      <w:r w:rsidRPr="009A2813">
        <w:rPr>
          <w:b w:val="0"/>
          <w:i/>
          <w:sz w:val="22"/>
          <w:szCs w:val="22"/>
          <w:lang w:val="hr-HR"/>
        </w:rPr>
        <w:t>&lt; </w:t>
      </w:r>
      <w:r w:rsidRPr="009A2813">
        <w:rPr>
          <w:b w:val="0"/>
          <w:sz w:val="22"/>
          <w:szCs w:val="22"/>
          <w:lang w:val="hr-HR"/>
        </w:rPr>
        <w:t>16 </w:t>
      </w:r>
      <w:bookmarkEnd w:id="6"/>
      <w:r w:rsidRPr="009A2813">
        <w:rPr>
          <w:b w:val="0"/>
          <w:sz w:val="22"/>
          <w:szCs w:val="22"/>
          <w:lang w:val="hr-HR"/>
        </w:rPr>
        <w:t>ml/min/1,73 m</w:t>
      </w:r>
      <w:r w:rsidRPr="009A2813">
        <w:rPr>
          <w:b w:val="0"/>
          <w:sz w:val="22"/>
          <w:szCs w:val="22"/>
          <w:vertAlign w:val="superscript"/>
          <w:lang w:val="hr-HR"/>
        </w:rPr>
        <w:t>2</w:t>
      </w:r>
      <w:r w:rsidRPr="009A2813">
        <w:rPr>
          <w:b w:val="0"/>
          <w:sz w:val="22"/>
          <w:szCs w:val="22"/>
          <w:lang w:val="hr-HR"/>
        </w:rPr>
        <w:t>.</w:t>
      </w:r>
    </w:p>
    <w:p w14:paraId="1CFD3DD9" w14:textId="77777777" w:rsidR="00D549E4" w:rsidRPr="009A2813" w:rsidRDefault="00D549E4" w:rsidP="00CC4A65">
      <w:pPr>
        <w:pStyle w:val="A-StudyTitle"/>
        <w:spacing w:after="0" w:line="280" w:lineRule="atLeast"/>
        <w:jc w:val="both"/>
        <w:rPr>
          <w:b w:val="0"/>
          <w:sz w:val="22"/>
          <w:szCs w:val="22"/>
          <w:lang w:val="hr-HR"/>
        </w:rPr>
      </w:pPr>
    </w:p>
    <w:p w14:paraId="0F19CD25" w14:textId="248A40F4" w:rsidR="0045693F" w:rsidRPr="009A2813" w:rsidRDefault="00875D27" w:rsidP="0045693F">
      <w:pPr>
        <w:pStyle w:val="A-StudyTitle"/>
        <w:spacing w:after="0" w:line="280" w:lineRule="atLeast"/>
        <w:jc w:val="both"/>
        <w:rPr>
          <w:b w:val="0"/>
          <w:i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lang w:val="hr-HR"/>
        </w:rPr>
        <w:t xml:space="preserve">Nema dovoljno informacija za preporuku režima doziranja za pedijatrijske pacijente od rođenja do 3 mjeseca starosti sa znacima oštećenja </w:t>
      </w:r>
      <w:r w:rsidR="00D549E4">
        <w:rPr>
          <w:b w:val="0"/>
          <w:sz w:val="22"/>
          <w:szCs w:val="22"/>
          <w:lang w:val="hr-HR"/>
        </w:rPr>
        <w:t xml:space="preserve">funkcije </w:t>
      </w:r>
      <w:r w:rsidRPr="009A2813">
        <w:rPr>
          <w:b w:val="0"/>
          <w:sz w:val="22"/>
          <w:szCs w:val="22"/>
          <w:lang w:val="hr-HR"/>
        </w:rPr>
        <w:t>bubrega.</w:t>
      </w:r>
    </w:p>
    <w:p w14:paraId="4A79F3B7" w14:textId="77777777" w:rsidR="009257E5" w:rsidRPr="009A2813" w:rsidRDefault="009257E5" w:rsidP="00CC4A65">
      <w:pPr>
        <w:pStyle w:val="A-StudyTitle"/>
        <w:spacing w:after="0" w:line="280" w:lineRule="atLeast"/>
        <w:jc w:val="both"/>
        <w:rPr>
          <w:b w:val="0"/>
          <w:iCs/>
          <w:sz w:val="22"/>
          <w:szCs w:val="22"/>
          <w:lang w:val="hr-HR"/>
        </w:rPr>
      </w:pPr>
    </w:p>
    <w:p w14:paraId="438795B6" w14:textId="77777777" w:rsidR="004C033F" w:rsidRPr="009A2813" w:rsidRDefault="004C033F" w:rsidP="00CC4A65">
      <w:pPr>
        <w:pStyle w:val="A-StudyTitle"/>
        <w:keepNext/>
        <w:spacing w:after="0"/>
        <w:jc w:val="both"/>
        <w:rPr>
          <w:b w:val="0"/>
          <w:i/>
          <w:sz w:val="22"/>
          <w:szCs w:val="22"/>
          <w:lang w:val="hr-HR"/>
        </w:rPr>
      </w:pPr>
      <w:r w:rsidRPr="009A2813">
        <w:rPr>
          <w:b w:val="0"/>
          <w:i/>
          <w:sz w:val="22"/>
          <w:szCs w:val="22"/>
          <w:lang w:val="hr-HR"/>
        </w:rPr>
        <w:t>Oštećenje funkcije jetre</w:t>
      </w:r>
    </w:p>
    <w:p w14:paraId="438745FA" w14:textId="77777777" w:rsidR="004C033F" w:rsidRPr="009A2813" w:rsidRDefault="004C033F" w:rsidP="00CC4A65">
      <w:pPr>
        <w:pStyle w:val="A-StudyTitle"/>
        <w:spacing w:after="0"/>
        <w:jc w:val="both"/>
        <w:rPr>
          <w:b w:val="0"/>
          <w:bCs/>
          <w:iCs/>
          <w:sz w:val="22"/>
          <w:szCs w:val="22"/>
          <w:lang w:val="hr-HR"/>
        </w:rPr>
      </w:pPr>
      <w:r w:rsidRPr="009A2813">
        <w:rPr>
          <w:b w:val="0"/>
          <w:sz w:val="22"/>
          <w:szCs w:val="22"/>
          <w:lang w:val="hr-HR"/>
        </w:rPr>
        <w:t>Prilagođavanje doze nije potrebno kod pacijenata s oštećenjem funkcije jetre (pogledajte dio 5.2).</w:t>
      </w:r>
    </w:p>
    <w:p w14:paraId="7A1B4770" w14:textId="77777777" w:rsidR="005A4B54" w:rsidRPr="009A2813" w:rsidRDefault="005A4B54" w:rsidP="00CC4A6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szCs w:val="22"/>
          <w:lang w:val="hr-HR" w:eastAsia="nl-BE"/>
        </w:rPr>
      </w:pPr>
    </w:p>
    <w:p w14:paraId="0390868E" w14:textId="77777777" w:rsidR="004C033F" w:rsidRPr="009A2813" w:rsidRDefault="00B917ED" w:rsidP="00CC4A65">
      <w:pPr>
        <w:keepNext/>
        <w:keepLines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Način primjene</w:t>
      </w:r>
    </w:p>
    <w:p w14:paraId="5A86BA98" w14:textId="77777777" w:rsidR="002F69E7" w:rsidRPr="009A2813" w:rsidRDefault="002F69E7" w:rsidP="00CC4A65">
      <w:pPr>
        <w:keepNext/>
        <w:keepLines/>
        <w:jc w:val="both"/>
        <w:rPr>
          <w:szCs w:val="22"/>
          <w:u w:val="single"/>
          <w:lang w:val="hr-HR"/>
        </w:rPr>
      </w:pPr>
    </w:p>
    <w:p w14:paraId="7DB13E38" w14:textId="77777777" w:rsidR="00A744CA" w:rsidRPr="009A2813" w:rsidRDefault="00A744CA" w:rsidP="00CC4A65">
      <w:pPr>
        <w:keepNext/>
        <w:keepLines/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Intravenska upotreba.</w:t>
      </w:r>
    </w:p>
    <w:p w14:paraId="13ACE4DB" w14:textId="77777777" w:rsidR="00A744CA" w:rsidRPr="009A2813" w:rsidRDefault="00A744CA" w:rsidP="00CC4A65">
      <w:pPr>
        <w:keepNext/>
        <w:keepLines/>
        <w:spacing w:line="240" w:lineRule="auto"/>
        <w:jc w:val="both"/>
        <w:rPr>
          <w:szCs w:val="22"/>
          <w:u w:val="single"/>
          <w:lang w:val="hr-HR"/>
        </w:rPr>
      </w:pPr>
    </w:p>
    <w:p w14:paraId="6AD4586F" w14:textId="3D76909F" w:rsidR="00902A87" w:rsidRPr="009A2813" w:rsidRDefault="004C033F" w:rsidP="00CC4A65">
      <w:pPr>
        <w:keepNext/>
        <w:keepLines/>
        <w:autoSpaceDE w:val="0"/>
        <w:autoSpaceDN w:val="0"/>
        <w:adjustRightInd w:val="0"/>
        <w:jc w:val="both"/>
        <w:rPr>
          <w:bCs/>
          <w:szCs w:val="22"/>
          <w:lang w:val="hr-HR"/>
        </w:rPr>
      </w:pPr>
      <w:r w:rsidRPr="009A2813">
        <w:rPr>
          <w:szCs w:val="22"/>
          <w:lang w:val="hr-HR"/>
        </w:rPr>
        <w:t xml:space="preserve">Lijek </w:t>
      </w:r>
      <w:r w:rsidRPr="009A2813">
        <w:rPr>
          <w:color w:val="000000"/>
          <w:szCs w:val="22"/>
          <w:lang w:val="hr-HR"/>
        </w:rPr>
        <w:t>Zavicefta</w:t>
      </w:r>
      <w:r w:rsidRPr="009A2813">
        <w:rPr>
          <w:szCs w:val="22"/>
          <w:lang w:val="hr-HR"/>
        </w:rPr>
        <w:t xml:space="preserve"> se primjenjuje intravenskom infuzijom </w:t>
      </w:r>
      <w:r w:rsidR="009A6DE8" w:rsidRPr="009A2813">
        <w:rPr>
          <w:szCs w:val="22"/>
          <w:lang w:val="hr-HR"/>
        </w:rPr>
        <w:t xml:space="preserve">tokom </w:t>
      </w:r>
      <w:r w:rsidRPr="009A2813">
        <w:rPr>
          <w:szCs w:val="22"/>
          <w:lang w:val="hr-HR"/>
        </w:rPr>
        <w:t>120 minuta u odgovarajućoj zapremini infuzije (pogledajte dio 6.6).</w:t>
      </w:r>
    </w:p>
    <w:p w14:paraId="6F5180F9" w14:textId="77777777" w:rsidR="00902A87" w:rsidRPr="009A2813" w:rsidRDefault="00902A87" w:rsidP="00CC4A65">
      <w:pPr>
        <w:keepNext/>
        <w:keepLines/>
        <w:autoSpaceDE w:val="0"/>
        <w:autoSpaceDN w:val="0"/>
        <w:adjustRightInd w:val="0"/>
        <w:jc w:val="both"/>
        <w:rPr>
          <w:bCs/>
          <w:szCs w:val="22"/>
          <w:lang w:val="hr-HR"/>
        </w:rPr>
      </w:pPr>
    </w:p>
    <w:p w14:paraId="24CDCAF7" w14:textId="77777777" w:rsidR="00741F55" w:rsidRPr="009A2813" w:rsidRDefault="004C033F" w:rsidP="00CC4A65">
      <w:pPr>
        <w:jc w:val="both"/>
        <w:rPr>
          <w:bCs/>
          <w:szCs w:val="22"/>
          <w:lang w:val="hr-HR"/>
        </w:rPr>
      </w:pPr>
      <w:r w:rsidRPr="009A2813">
        <w:rPr>
          <w:szCs w:val="22"/>
          <w:lang w:val="hr-HR"/>
        </w:rPr>
        <w:t>Uputstva o rekonstituciji i razblaživanju lijeka prije primjene pogledajte u dijelu 6.6.</w:t>
      </w:r>
    </w:p>
    <w:p w14:paraId="64E02774" w14:textId="4158D0D2" w:rsidR="004C033F" w:rsidRPr="009A2813" w:rsidRDefault="004B7138" w:rsidP="004B7138">
      <w:pPr>
        <w:tabs>
          <w:tab w:val="clear" w:pos="567"/>
        </w:tabs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br w:type="page"/>
      </w:r>
    </w:p>
    <w:p w14:paraId="6CAC96BE" w14:textId="77777777" w:rsidR="004C033F" w:rsidRPr="009A2813" w:rsidRDefault="004C033F" w:rsidP="00CC4A65">
      <w:pPr>
        <w:ind w:left="567" w:hanging="567"/>
        <w:jc w:val="both"/>
        <w:rPr>
          <w:szCs w:val="22"/>
          <w:lang w:val="hr-HR"/>
        </w:rPr>
      </w:pPr>
      <w:r w:rsidRPr="009A2813">
        <w:rPr>
          <w:b/>
          <w:szCs w:val="22"/>
          <w:lang w:val="hr-HR"/>
        </w:rPr>
        <w:lastRenderedPageBreak/>
        <w:t>4.3</w:t>
      </w:r>
      <w:r w:rsidRPr="009A2813">
        <w:rPr>
          <w:b/>
          <w:szCs w:val="22"/>
          <w:lang w:val="hr-HR"/>
        </w:rPr>
        <w:tab/>
        <w:t>Kontraindikacije</w:t>
      </w:r>
    </w:p>
    <w:p w14:paraId="341FF162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487C07E8" w14:textId="233458B5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Preosjetljivost na aktivne supstance ili neku od pomoćnih supstanci navedenih u </w:t>
      </w:r>
      <w:r w:rsidR="00F862DD" w:rsidRPr="009A2813">
        <w:rPr>
          <w:szCs w:val="22"/>
          <w:lang w:val="hr-HR"/>
        </w:rPr>
        <w:t xml:space="preserve">dijelu </w:t>
      </w:r>
      <w:r w:rsidRPr="009A2813">
        <w:rPr>
          <w:szCs w:val="22"/>
          <w:lang w:val="hr-HR"/>
        </w:rPr>
        <w:t>6.1.</w:t>
      </w:r>
    </w:p>
    <w:p w14:paraId="594817D0" w14:textId="77777777" w:rsidR="002F69E7" w:rsidRPr="009A2813" w:rsidRDefault="002F69E7" w:rsidP="00CC4A65">
      <w:pPr>
        <w:jc w:val="both"/>
        <w:rPr>
          <w:szCs w:val="22"/>
          <w:lang w:val="hr-HR"/>
        </w:rPr>
      </w:pPr>
    </w:p>
    <w:p w14:paraId="3DC659CF" w14:textId="4BE765B5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Preosjetljivost na bilo koj</w:t>
      </w:r>
      <w:r w:rsidR="000F4733" w:rsidRPr="009A2813">
        <w:rPr>
          <w:szCs w:val="22"/>
          <w:lang w:val="hr-HR"/>
        </w:rPr>
        <w:t>i</w:t>
      </w:r>
      <w:r w:rsidRPr="009A2813">
        <w:rPr>
          <w:szCs w:val="22"/>
          <w:lang w:val="hr-HR"/>
        </w:rPr>
        <w:t xml:space="preserve"> cefalosporinsk</w:t>
      </w:r>
      <w:r w:rsidR="000F4733" w:rsidRPr="009A2813">
        <w:rPr>
          <w:szCs w:val="22"/>
          <w:lang w:val="hr-HR"/>
        </w:rPr>
        <w:t>i</w:t>
      </w:r>
      <w:r w:rsidRPr="009A2813">
        <w:rPr>
          <w:szCs w:val="22"/>
          <w:lang w:val="hr-HR"/>
        </w:rPr>
        <w:t xml:space="preserve"> antibakterijsk</w:t>
      </w:r>
      <w:r w:rsidR="000F4733" w:rsidRPr="009A2813">
        <w:rPr>
          <w:szCs w:val="22"/>
          <w:lang w:val="hr-HR"/>
        </w:rPr>
        <w:t>i</w:t>
      </w:r>
      <w:r w:rsidRPr="009A2813">
        <w:rPr>
          <w:szCs w:val="22"/>
          <w:lang w:val="hr-HR"/>
        </w:rPr>
        <w:t xml:space="preserve"> </w:t>
      </w:r>
      <w:r w:rsidR="000F4733" w:rsidRPr="009A2813">
        <w:rPr>
          <w:szCs w:val="22"/>
          <w:lang w:val="hr-HR"/>
        </w:rPr>
        <w:t>lijek</w:t>
      </w:r>
      <w:r w:rsidRPr="009A2813">
        <w:rPr>
          <w:szCs w:val="22"/>
          <w:lang w:val="hr-HR"/>
        </w:rPr>
        <w:t>.</w:t>
      </w:r>
    </w:p>
    <w:p w14:paraId="7D702C78" w14:textId="77777777" w:rsidR="002F69E7" w:rsidRPr="009A2813" w:rsidRDefault="002F69E7" w:rsidP="00CC4A65">
      <w:pPr>
        <w:jc w:val="both"/>
        <w:rPr>
          <w:szCs w:val="22"/>
          <w:lang w:val="hr-HR"/>
        </w:rPr>
      </w:pPr>
    </w:p>
    <w:p w14:paraId="5366E25E" w14:textId="0735A61A" w:rsidR="004C033F" w:rsidRPr="009A2813" w:rsidRDefault="00E9694A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Ozbiljna preosjetljivost (npr. anafilaktička reakcija, ozbiljna reakcija na koži) na bilo koju drugu vrstu β-laktamskog antibakterijskog </w:t>
      </w:r>
      <w:r w:rsidR="00526D57" w:rsidRPr="009A2813">
        <w:rPr>
          <w:szCs w:val="22"/>
          <w:lang w:val="hr-HR"/>
        </w:rPr>
        <w:t xml:space="preserve">lijeka </w:t>
      </w:r>
      <w:r w:rsidRPr="009A2813">
        <w:rPr>
          <w:szCs w:val="22"/>
          <w:lang w:val="hr-HR"/>
        </w:rPr>
        <w:t>(npr. penicilini, monobaktami ili karbapenemi).</w:t>
      </w:r>
    </w:p>
    <w:p w14:paraId="2D0703D8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012B4B31" w14:textId="77777777" w:rsidR="004C033F" w:rsidRPr="009A2813" w:rsidRDefault="004C033F" w:rsidP="00CC4A65">
      <w:pPr>
        <w:keepNext/>
        <w:numPr>
          <w:ilvl w:val="1"/>
          <w:numId w:val="3"/>
        </w:numPr>
        <w:jc w:val="both"/>
        <w:rPr>
          <w:b/>
          <w:szCs w:val="22"/>
          <w:lang w:val="hr-HR"/>
        </w:rPr>
      </w:pPr>
      <w:r w:rsidRPr="009A2813">
        <w:rPr>
          <w:b/>
          <w:szCs w:val="22"/>
          <w:lang w:val="hr-HR"/>
        </w:rPr>
        <w:t>Posebna upozorenja i mjere opreza pri upotrebi lijeka</w:t>
      </w:r>
    </w:p>
    <w:p w14:paraId="74F0427B" w14:textId="77777777" w:rsidR="004C033F" w:rsidRPr="009A2813" w:rsidRDefault="004C033F" w:rsidP="00CC4A65">
      <w:pPr>
        <w:keepNext/>
        <w:tabs>
          <w:tab w:val="clear" w:pos="567"/>
        </w:tabs>
        <w:jc w:val="both"/>
        <w:rPr>
          <w:szCs w:val="22"/>
          <w:lang w:val="hr-HR"/>
        </w:rPr>
      </w:pPr>
    </w:p>
    <w:p w14:paraId="403364EB" w14:textId="77777777" w:rsidR="004C033F" w:rsidRPr="009A2813" w:rsidRDefault="004C033F" w:rsidP="00CC4A65">
      <w:pPr>
        <w:keepNext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Reakcije preosjetljivosti</w:t>
      </w:r>
    </w:p>
    <w:p w14:paraId="0EB35089" w14:textId="77777777" w:rsidR="002F69E7" w:rsidRPr="009A2813" w:rsidRDefault="002F69E7" w:rsidP="00CC4A65">
      <w:pPr>
        <w:keepNext/>
        <w:jc w:val="both"/>
        <w:rPr>
          <w:szCs w:val="22"/>
          <w:lang w:val="hr-HR"/>
        </w:rPr>
      </w:pPr>
    </w:p>
    <w:p w14:paraId="10253DFC" w14:textId="65786ED6" w:rsidR="004C033F" w:rsidRPr="009A2813" w:rsidRDefault="00927DB7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Moguće su ozbiljne, a nekad i smrtonosne reakcije preosjetljivosti (pogledajte djelove 4.3 i 4.8). U slučaju reakcija preosjetljivosti, liječenje lijekom </w:t>
      </w:r>
      <w:r w:rsidRPr="009A2813">
        <w:rPr>
          <w:color w:val="000000"/>
          <w:szCs w:val="22"/>
          <w:lang w:val="hr-HR"/>
        </w:rPr>
        <w:t>Zaviceftom</w:t>
      </w:r>
      <w:r w:rsidRPr="009A2813">
        <w:rPr>
          <w:szCs w:val="22"/>
          <w:lang w:val="hr-HR"/>
        </w:rPr>
        <w:t xml:space="preserve"> se mora odmah prekinuti i preduzeti adekvatne hitne mjere.</w:t>
      </w:r>
    </w:p>
    <w:p w14:paraId="7FC7B872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2826B00E" w14:textId="58410339" w:rsidR="00F013C3" w:rsidRPr="009A2813" w:rsidRDefault="006B3BC3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Bilo je prijava o reakcijama preosjetljivosti koje su napredovale do Kounisovog sindroma (akutni alergijski koronarni arteriospazam koji može dovesti do infarkta miokarda, pogledajte dio 4.8).</w:t>
      </w:r>
    </w:p>
    <w:p w14:paraId="024F433D" w14:textId="77777777" w:rsidR="006B3BC3" w:rsidRPr="009A2813" w:rsidRDefault="006B3BC3" w:rsidP="00CC4A65">
      <w:pPr>
        <w:jc w:val="both"/>
        <w:rPr>
          <w:szCs w:val="22"/>
          <w:lang w:val="hr-HR"/>
        </w:rPr>
      </w:pPr>
    </w:p>
    <w:p w14:paraId="2BFBEDB1" w14:textId="3031E2A7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Prije početka liječenja treba utvrditi da li pacijent ima u anamnezi reakcije preosjetljivosti na ceftazidim, na druge cefalosporine ili na bilo koju drugu vrstu β-laktamskog antibakterijskog </w:t>
      </w:r>
      <w:r w:rsidR="00526D57" w:rsidRPr="009A2813">
        <w:rPr>
          <w:szCs w:val="22"/>
          <w:lang w:val="hr-HR"/>
        </w:rPr>
        <w:t>lijeka</w:t>
      </w:r>
      <w:r w:rsidRPr="009A2813">
        <w:rPr>
          <w:szCs w:val="22"/>
          <w:lang w:val="hr-HR"/>
        </w:rPr>
        <w:t>. Treba biti oprezan ako se ceftazidim/avibaktam daje pacijentima sa istorijom neozbiljne preosjetljivosti na peniciline, monobaktame ili karbapeneme.</w:t>
      </w:r>
    </w:p>
    <w:p w14:paraId="7ADA77F0" w14:textId="77777777" w:rsidR="004C033F" w:rsidRPr="009A2813" w:rsidRDefault="004C033F" w:rsidP="00CC4A65">
      <w:pPr>
        <w:jc w:val="both"/>
        <w:rPr>
          <w:szCs w:val="22"/>
          <w:u w:val="single"/>
          <w:lang w:val="hr-HR"/>
        </w:rPr>
      </w:pPr>
    </w:p>
    <w:p w14:paraId="2A382DD2" w14:textId="77777777" w:rsidR="00651D15" w:rsidRPr="009A2813" w:rsidRDefault="00780DC8" w:rsidP="00CC4A65">
      <w:pPr>
        <w:keepNext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 xml:space="preserve">Dijareja povezana sa </w:t>
      </w:r>
      <w:bookmarkStart w:id="7" w:name="_Hlk26453025"/>
      <w:r w:rsidRPr="009A2813">
        <w:rPr>
          <w:i/>
          <w:szCs w:val="22"/>
          <w:u w:val="single"/>
          <w:lang w:val="hr-HR"/>
        </w:rPr>
        <w:t>Clostridioides difficile</w:t>
      </w:r>
      <w:bookmarkEnd w:id="7"/>
    </w:p>
    <w:p w14:paraId="4842A00A" w14:textId="77777777" w:rsidR="002F69E7" w:rsidRPr="009A2813" w:rsidRDefault="002F69E7" w:rsidP="00CC4A65">
      <w:pPr>
        <w:keepNext/>
        <w:jc w:val="both"/>
        <w:rPr>
          <w:szCs w:val="22"/>
          <w:u w:val="single"/>
          <w:lang w:val="hr-HR"/>
        </w:rPr>
      </w:pPr>
    </w:p>
    <w:p w14:paraId="3F0275CD" w14:textId="420BB580" w:rsidR="00651D15" w:rsidRPr="009A2813" w:rsidRDefault="00780DC8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Dijareja koju izaziva </w:t>
      </w:r>
      <w:r w:rsidRPr="009A2813">
        <w:rPr>
          <w:i/>
          <w:szCs w:val="22"/>
          <w:lang w:val="hr-HR"/>
        </w:rPr>
        <w:t xml:space="preserve">Clostridioides difficile </w:t>
      </w:r>
      <w:r w:rsidRPr="009A2813">
        <w:rPr>
          <w:szCs w:val="22"/>
          <w:lang w:val="hr-HR"/>
        </w:rPr>
        <w:t xml:space="preserve">prijavljena je sa ceftazidimom/avibaktamom i može biti u rasponu težine od blage do opasne po život. Ovu dijagnozu treba uzeti u obzir kod pacijenata koji imaju dijareju tokom ili nakon primjene lijeka </w:t>
      </w:r>
      <w:r w:rsidRPr="009A2813">
        <w:rPr>
          <w:color w:val="000000"/>
          <w:szCs w:val="22"/>
          <w:lang w:val="hr-HR"/>
        </w:rPr>
        <w:t>Zavicefta</w:t>
      </w:r>
      <w:r w:rsidRPr="009A2813">
        <w:rPr>
          <w:szCs w:val="22"/>
          <w:lang w:val="hr-HR"/>
        </w:rPr>
        <w:t xml:space="preserve"> (pogledajte dio 4.8). Treba razmotriti prekid terapije lijekom </w:t>
      </w:r>
      <w:r w:rsidRPr="009A2813">
        <w:rPr>
          <w:color w:val="000000"/>
          <w:szCs w:val="22"/>
          <w:lang w:val="hr-HR"/>
        </w:rPr>
        <w:t>Zavicefta</w:t>
      </w:r>
      <w:r w:rsidRPr="009A2813">
        <w:rPr>
          <w:szCs w:val="22"/>
          <w:lang w:val="hr-HR"/>
        </w:rPr>
        <w:t xml:space="preserve"> i primjenu specifičnog liječenja za </w:t>
      </w:r>
      <w:r w:rsidRPr="009A2813">
        <w:rPr>
          <w:i/>
          <w:szCs w:val="22"/>
          <w:lang w:val="hr-HR"/>
        </w:rPr>
        <w:t>Clostridioides difficile</w:t>
      </w:r>
      <w:r w:rsidRPr="009A2813">
        <w:rPr>
          <w:szCs w:val="22"/>
          <w:lang w:val="hr-HR"/>
        </w:rPr>
        <w:t xml:space="preserve">. Ne </w:t>
      </w:r>
      <w:r w:rsidR="009A6DE8" w:rsidRPr="009A2813">
        <w:rPr>
          <w:szCs w:val="22"/>
          <w:lang w:val="hr-HR"/>
        </w:rPr>
        <w:t>smiju se</w:t>
      </w:r>
      <w:r w:rsidRPr="009A2813">
        <w:rPr>
          <w:szCs w:val="22"/>
          <w:lang w:val="hr-HR"/>
        </w:rPr>
        <w:t xml:space="preserve"> davati ljekov</w:t>
      </w:r>
      <w:r w:rsidR="009A6DE8" w:rsidRPr="009A2813">
        <w:rPr>
          <w:szCs w:val="22"/>
          <w:lang w:val="hr-HR"/>
        </w:rPr>
        <w:t>i</w:t>
      </w:r>
      <w:r w:rsidRPr="009A2813">
        <w:rPr>
          <w:szCs w:val="22"/>
          <w:lang w:val="hr-HR"/>
        </w:rPr>
        <w:t xml:space="preserve"> koji inhibiraju peristaltiku.</w:t>
      </w:r>
    </w:p>
    <w:p w14:paraId="5C6E0EF7" w14:textId="77777777" w:rsidR="00651D15" w:rsidRPr="009A2813" w:rsidRDefault="00651D15" w:rsidP="00CC4A65">
      <w:pPr>
        <w:jc w:val="both"/>
        <w:rPr>
          <w:szCs w:val="22"/>
          <w:lang w:val="hr-HR"/>
        </w:rPr>
      </w:pPr>
    </w:p>
    <w:p w14:paraId="0540FD3D" w14:textId="77777777" w:rsidR="00651D15" w:rsidRPr="009A2813" w:rsidRDefault="00651D15" w:rsidP="00CC4A65">
      <w:pPr>
        <w:keepLines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Oštećenje funkcije bubrega</w:t>
      </w:r>
    </w:p>
    <w:p w14:paraId="293FC908" w14:textId="77777777" w:rsidR="002F69E7" w:rsidRPr="009A2813" w:rsidRDefault="002F69E7" w:rsidP="00CC4A65">
      <w:pPr>
        <w:keepLines/>
        <w:jc w:val="both"/>
        <w:rPr>
          <w:szCs w:val="22"/>
          <w:u w:val="single"/>
          <w:lang w:val="hr-HR"/>
        </w:rPr>
      </w:pPr>
    </w:p>
    <w:p w14:paraId="0F0FF068" w14:textId="27FB64C6" w:rsidR="00651D15" w:rsidRPr="009A2813" w:rsidRDefault="00651D15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Ceftazidim i avibaktam se eliminišu preko bubrega, stoga dozu treba smanjiti u skladu sa stepenom oštećenja bubrega (pogledati dio 4.2). Neurološke posljedice, uključujući tremor, mioklonus, nekonvulzivni epileptički status, konvulzije, encefalopatiju i komu, povremeno su prijavljivane kod ceftazidima kada doza nije smanjena kod pacijenata sa oštećenjem bubrega.</w:t>
      </w:r>
    </w:p>
    <w:p w14:paraId="7186779B" w14:textId="77777777" w:rsidR="00651D15" w:rsidRPr="009A2813" w:rsidRDefault="00651D15" w:rsidP="00CC4A65">
      <w:pPr>
        <w:jc w:val="both"/>
        <w:rPr>
          <w:szCs w:val="22"/>
          <w:lang w:val="hr-HR"/>
        </w:rPr>
      </w:pPr>
    </w:p>
    <w:p w14:paraId="4EA76D7E" w14:textId="77777777" w:rsidR="00651D15" w:rsidRPr="009A2813" w:rsidRDefault="00651D15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Kod pacijenata sa oštećenjem bubrega, savjetuje se pažljivo praćenje procijenjenog klirensa kreatinina. Kod nekih pacijenata, klirens kreatinina procijenjen na osnovu serumskog kreatinina može se brzo promijeniti, posebno u ranoj fazi liječenja infekcije.</w:t>
      </w:r>
    </w:p>
    <w:p w14:paraId="0820621A" w14:textId="77777777" w:rsidR="00651D15" w:rsidRPr="009A2813" w:rsidRDefault="00651D15" w:rsidP="00CC4A65">
      <w:pPr>
        <w:jc w:val="both"/>
        <w:rPr>
          <w:szCs w:val="22"/>
          <w:lang w:val="hr-HR"/>
        </w:rPr>
      </w:pPr>
    </w:p>
    <w:p w14:paraId="5D60456D" w14:textId="77777777" w:rsidR="00651D15" w:rsidRPr="009A2813" w:rsidRDefault="00651D15" w:rsidP="00CC4A65">
      <w:pPr>
        <w:keepNext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Nefrotoksičnost</w:t>
      </w:r>
    </w:p>
    <w:p w14:paraId="51545976" w14:textId="77777777" w:rsidR="002F69E7" w:rsidRPr="009A2813" w:rsidRDefault="002F69E7" w:rsidP="00CC4A65">
      <w:pPr>
        <w:keepNext/>
        <w:jc w:val="both"/>
        <w:rPr>
          <w:szCs w:val="22"/>
          <w:u w:val="single"/>
          <w:lang w:val="hr-HR"/>
        </w:rPr>
      </w:pPr>
    </w:p>
    <w:p w14:paraId="2BF8EF2B" w14:textId="77777777" w:rsidR="00651D15" w:rsidRPr="009A2813" w:rsidRDefault="00651D15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Istovremena terapija velikim dozama cefalosporina i nefrotoksičnih ljekova kao što su aminoglikozidi ili snažni diuretici (npr. furosemid) može negativno uticati na funkciju bubrega.</w:t>
      </w:r>
    </w:p>
    <w:p w14:paraId="07FBFC4C" w14:textId="77777777" w:rsidR="00A534ED" w:rsidRPr="009A2813" w:rsidRDefault="00A534ED" w:rsidP="00CC4A65">
      <w:pPr>
        <w:jc w:val="both"/>
        <w:rPr>
          <w:szCs w:val="22"/>
          <w:lang w:val="hr-HR"/>
        </w:rPr>
      </w:pPr>
    </w:p>
    <w:p w14:paraId="690AA182" w14:textId="77777777" w:rsidR="00C4791B" w:rsidRPr="009A2813" w:rsidRDefault="00C4791B" w:rsidP="00CC4A65">
      <w:pPr>
        <w:keepNext/>
        <w:keepLines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Serokonverzija dokazana direktnim antiglobulinskim testom (DAGT ili Coombsovim testom) i potencijalni rizik od hemolitičke anemije</w:t>
      </w:r>
    </w:p>
    <w:p w14:paraId="57E2F761" w14:textId="77777777" w:rsidR="00C4791B" w:rsidRPr="009A2813" w:rsidRDefault="00C4791B" w:rsidP="00CC4A65">
      <w:pPr>
        <w:keepNext/>
        <w:keepLines/>
        <w:jc w:val="both"/>
        <w:rPr>
          <w:bCs/>
          <w:iCs/>
          <w:szCs w:val="22"/>
          <w:lang w:val="hr-HR"/>
        </w:rPr>
      </w:pPr>
    </w:p>
    <w:p w14:paraId="39392772" w14:textId="7255B68D" w:rsidR="00C4791B" w:rsidRPr="009A2813" w:rsidRDefault="00C4791B" w:rsidP="00CC4A65">
      <w:pPr>
        <w:autoSpaceDE w:val="0"/>
        <w:autoSpaceDN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Upotreba ceftazidima/avibaktama može izazvati razvoj pozitivnog direktnog antiglobulinskog testa (DAGT</w:t>
      </w:r>
      <w:r w:rsidRPr="009A2813">
        <w:rPr>
          <w:b/>
          <w:i/>
          <w:szCs w:val="22"/>
          <w:lang w:val="hr-HR"/>
        </w:rPr>
        <w:t>,</w:t>
      </w:r>
      <w:r w:rsidRPr="009A2813">
        <w:rPr>
          <w:szCs w:val="22"/>
          <w:lang w:val="hr-HR"/>
        </w:rPr>
        <w:t xml:space="preserve"> ili Coombsov test),</w:t>
      </w:r>
      <w:r w:rsidRPr="009A2813">
        <w:rPr>
          <w:b/>
          <w:i/>
          <w:szCs w:val="22"/>
          <w:lang w:val="hr-HR"/>
        </w:rPr>
        <w:t xml:space="preserve"> </w:t>
      </w:r>
      <w:r w:rsidRPr="009A2813">
        <w:rPr>
          <w:szCs w:val="22"/>
          <w:lang w:val="hr-HR"/>
        </w:rPr>
        <w:t>koji može ometati unakrsnu reakciju krvi (</w:t>
      </w:r>
      <w:r w:rsidRPr="009A2813">
        <w:rPr>
          <w:i/>
          <w:szCs w:val="22"/>
          <w:lang w:val="hr-HR"/>
        </w:rPr>
        <w:t>cross-matching</w:t>
      </w:r>
      <w:r w:rsidRPr="009A2813">
        <w:rPr>
          <w:szCs w:val="22"/>
          <w:lang w:val="hr-HR"/>
        </w:rPr>
        <w:t xml:space="preserve">) i/ili može izazvati imunohemolitičku anemiju izazvanu ljekovima (pogledajte dio 4.8). Dok je DAGT serokonverzija kod pacijenata koji su primali lijek </w:t>
      </w:r>
      <w:r w:rsidRPr="009A2813">
        <w:rPr>
          <w:color w:val="000000"/>
          <w:szCs w:val="22"/>
          <w:lang w:val="hr-HR"/>
        </w:rPr>
        <w:t>Zavicefta</w:t>
      </w:r>
      <w:r w:rsidRPr="009A2813">
        <w:rPr>
          <w:szCs w:val="22"/>
          <w:lang w:val="hr-HR"/>
        </w:rPr>
        <w:t xml:space="preserve"> bila veoma česta u kliničkim studijama </w:t>
      </w:r>
      <w:r w:rsidRPr="009A2813">
        <w:rPr>
          <w:szCs w:val="22"/>
          <w:lang w:val="hr-HR"/>
        </w:rPr>
        <w:lastRenderedPageBreak/>
        <w:t>(procijenjeni opseg serokonverzije u studijama faze 3 bio je 3,2% do 20,8% kod pacijenata sa negativnim Coombsovim testom na početku i najmanje jednim kontrolnim</w:t>
      </w:r>
      <w:r w:rsidR="007E5F5D" w:rsidRPr="009A2813">
        <w:rPr>
          <w:szCs w:val="22"/>
          <w:lang w:val="hr-HR"/>
        </w:rPr>
        <w:t xml:space="preserve"> </w:t>
      </w:r>
      <w:r w:rsidRPr="009A2813">
        <w:rPr>
          <w:szCs w:val="22"/>
          <w:lang w:val="hr-HR"/>
        </w:rPr>
        <w:t xml:space="preserve">testom), nije bilo dokaza </w:t>
      </w:r>
      <w:r w:rsidRPr="009A2813">
        <w:rPr>
          <w:szCs w:val="22"/>
          <w:shd w:val="clear" w:color="auto" w:fill="FFFFFF"/>
          <w:lang w:val="hr-HR"/>
        </w:rPr>
        <w:t>hemolize kod</w:t>
      </w:r>
      <w:r w:rsidRPr="009A2813">
        <w:rPr>
          <w:szCs w:val="22"/>
          <w:lang w:val="hr-HR"/>
        </w:rPr>
        <w:t xml:space="preserve"> pacijenata koji su razvili pozitivan DAGT tokom liječenja. Međutim, mogućnost pojave hemolitičke anemije koja bi mogla biti povezana sa terapijom lijekom </w:t>
      </w:r>
      <w:r w:rsidRPr="009A2813">
        <w:rPr>
          <w:color w:val="000000"/>
          <w:szCs w:val="22"/>
          <w:lang w:val="hr-HR"/>
        </w:rPr>
        <w:t>Zavicefta</w:t>
      </w:r>
      <w:r w:rsidRPr="009A2813">
        <w:rPr>
          <w:szCs w:val="22"/>
          <w:lang w:val="hr-HR"/>
        </w:rPr>
        <w:t xml:space="preserve"> ne može se isključiti. Kod pacijenata kod kojih se javi anemija tokom ili nakon terapije lijekom </w:t>
      </w:r>
      <w:r w:rsidRPr="009A2813">
        <w:rPr>
          <w:color w:val="000000"/>
          <w:szCs w:val="22"/>
          <w:lang w:val="hr-HR"/>
        </w:rPr>
        <w:t>Zavicefta</w:t>
      </w:r>
      <w:r w:rsidRPr="009A2813">
        <w:rPr>
          <w:szCs w:val="22"/>
          <w:lang w:val="hr-HR"/>
        </w:rPr>
        <w:t xml:space="preserve"> treba ispitati ovu mogućnost.</w:t>
      </w:r>
    </w:p>
    <w:p w14:paraId="60AB06C5" w14:textId="77777777" w:rsidR="003B14FD" w:rsidRPr="009A2813" w:rsidRDefault="003B14FD" w:rsidP="00CC4A65">
      <w:pPr>
        <w:jc w:val="both"/>
        <w:rPr>
          <w:szCs w:val="22"/>
          <w:lang w:val="hr-HR"/>
        </w:rPr>
      </w:pPr>
    </w:p>
    <w:p w14:paraId="1C2FA2EA" w14:textId="77777777" w:rsidR="004C033F" w:rsidRPr="009A2813" w:rsidRDefault="004C033F" w:rsidP="00CC4A65">
      <w:pPr>
        <w:keepNext/>
        <w:keepLines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Ograničenja kliničkih podataka</w:t>
      </w:r>
    </w:p>
    <w:p w14:paraId="6A899B56" w14:textId="77777777" w:rsidR="00E810CF" w:rsidRPr="009A2813" w:rsidRDefault="00E810CF" w:rsidP="00CC4A65">
      <w:pPr>
        <w:keepNext/>
        <w:keepLines/>
        <w:jc w:val="both"/>
        <w:rPr>
          <w:szCs w:val="22"/>
          <w:lang w:val="hr-HR"/>
        </w:rPr>
      </w:pPr>
      <w:bookmarkStart w:id="8" w:name="_Hlk27484509"/>
    </w:p>
    <w:p w14:paraId="3C191227" w14:textId="77777777" w:rsidR="002F7BF6" w:rsidRPr="009A2813" w:rsidRDefault="00EE2DDE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Studije kliničke efikasnosti i bezbjednosti lijeka Zavicefta su sprovedene kod pacijenata sa cIAI, cUTI i HAP (uključujući VAP).</w:t>
      </w:r>
    </w:p>
    <w:p w14:paraId="28DA28D4" w14:textId="77777777" w:rsidR="00172165" w:rsidRPr="009A2813" w:rsidRDefault="00172165" w:rsidP="00CC4A65">
      <w:pPr>
        <w:jc w:val="both"/>
        <w:rPr>
          <w:szCs w:val="22"/>
          <w:lang w:val="hr-HR"/>
        </w:rPr>
      </w:pPr>
    </w:p>
    <w:p w14:paraId="545D0B81" w14:textId="7862EB32" w:rsidR="003F1B2E" w:rsidRPr="009A2813" w:rsidRDefault="00CD3436" w:rsidP="00CC4A65">
      <w:pPr>
        <w:keepNext/>
        <w:jc w:val="both"/>
        <w:rPr>
          <w:i/>
          <w:szCs w:val="22"/>
          <w:lang w:val="hr-HR"/>
        </w:rPr>
      </w:pPr>
      <w:r w:rsidRPr="009A2813">
        <w:rPr>
          <w:i/>
          <w:szCs w:val="22"/>
          <w:lang w:val="hr-HR"/>
        </w:rPr>
        <w:t>Komplikovane intraabdominalne infekcije kod odraslih</w:t>
      </w:r>
    </w:p>
    <w:p w14:paraId="108F4070" w14:textId="77777777" w:rsidR="003F1B2E" w:rsidRPr="009A2813" w:rsidRDefault="003F1B2E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U dvije studije kod pacijenata sa cIAI, najčešća dijagnoza (otprilike 42%) bila je perforacija slijepog crijeva ili periapendikalni apsces. Približno 87% pacijenata imalo je APACHE II rezultate ≤ 10, a 4% je imalo bakterijemiju na početku. Smrt je nastupila kod 2,1% (18/857) pacijenata koji su primali lijek Zavicefta i metronidazol i kod 1,4% (12/863) pacijenata koji su primali meropenem.</w:t>
      </w:r>
    </w:p>
    <w:p w14:paraId="62A7C3BB" w14:textId="77777777" w:rsidR="00885EF5" w:rsidRPr="009A2813" w:rsidRDefault="00885EF5" w:rsidP="00CC4A65">
      <w:pPr>
        <w:jc w:val="both"/>
        <w:rPr>
          <w:szCs w:val="22"/>
          <w:lang w:val="hr-HR"/>
        </w:rPr>
      </w:pPr>
    </w:p>
    <w:p w14:paraId="590CBBDE" w14:textId="77777777" w:rsidR="003B0541" w:rsidRPr="009A2813" w:rsidRDefault="003B0541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U podgrupi sa osnovnim CrCL od 30 do 50 ml/min smrt je nastupila kod 16,7% (9/54) pacijenata koji su primali lijek Zavicefta i metronidazol i 6,8% (4/59) pacijenata koji su primali meropenem. Pacijenti sa CrCL od 30 do 50 ml/min primili su manju dozu lijeka Zavicefta nego što je trenutno preporučena za pacijente u ovoj podgrupi.</w:t>
      </w:r>
    </w:p>
    <w:p w14:paraId="589012CE" w14:textId="77777777" w:rsidR="00885EF5" w:rsidRPr="009A2813" w:rsidRDefault="00885EF5" w:rsidP="00B97F09">
      <w:pPr>
        <w:jc w:val="both"/>
        <w:rPr>
          <w:szCs w:val="22"/>
          <w:lang w:val="hr-HR"/>
        </w:rPr>
      </w:pPr>
    </w:p>
    <w:p w14:paraId="2A2E5CE7" w14:textId="77777777" w:rsidR="003F1B2E" w:rsidRPr="009A2813" w:rsidRDefault="00CD3436" w:rsidP="00CC4A65">
      <w:pPr>
        <w:jc w:val="both"/>
        <w:rPr>
          <w:i/>
          <w:szCs w:val="22"/>
          <w:lang w:val="hr-HR"/>
        </w:rPr>
      </w:pPr>
      <w:r w:rsidRPr="009A2813">
        <w:rPr>
          <w:i/>
          <w:szCs w:val="22"/>
          <w:lang w:val="hr-HR"/>
        </w:rPr>
        <w:t>Komplikovane infekcije urinarnog trakta kod odraslih</w:t>
      </w:r>
    </w:p>
    <w:p w14:paraId="4FAECB41" w14:textId="77777777" w:rsidR="003F1B2E" w:rsidRPr="009A2813" w:rsidRDefault="003F1B2E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U dvije studije kod pacijenata sa cUTI, 381/1091 (34,9%) pacijenata je bilo uključeno sa cUTI bez pijelonefritisa, dok je 710 (65,1%) bilo uključeno sa akutnim pijelonefritisom (mMITT populacija). Ukupno 81 pacijent sa cUTI (7,4%) imao je bakterijemiju na početku.</w:t>
      </w:r>
    </w:p>
    <w:p w14:paraId="7FB8656F" w14:textId="77777777" w:rsidR="003F1B2E" w:rsidRPr="009A2813" w:rsidRDefault="003F1B2E" w:rsidP="00CC4A65">
      <w:pPr>
        <w:jc w:val="both"/>
        <w:rPr>
          <w:i/>
          <w:szCs w:val="22"/>
          <w:lang w:val="hr-HR"/>
        </w:rPr>
      </w:pPr>
    </w:p>
    <w:p w14:paraId="601857F2" w14:textId="5CE58467" w:rsidR="002F7BF6" w:rsidRPr="009A2813" w:rsidRDefault="00CD3436" w:rsidP="00CC4A65">
      <w:pPr>
        <w:keepNext/>
        <w:keepLines/>
        <w:jc w:val="both"/>
        <w:rPr>
          <w:i/>
          <w:szCs w:val="22"/>
          <w:lang w:val="hr-HR"/>
        </w:rPr>
      </w:pPr>
      <w:bookmarkStart w:id="9" w:name="_Hlk26878233"/>
      <w:r w:rsidRPr="009A2813">
        <w:rPr>
          <w:i/>
          <w:szCs w:val="22"/>
          <w:lang w:val="hr-HR"/>
        </w:rPr>
        <w:t xml:space="preserve">Bolnička pneumonija (uključujući pneumoniju povezanu sa </w:t>
      </w:r>
      <w:r w:rsidR="007E5557" w:rsidRPr="009A2813">
        <w:rPr>
          <w:i/>
          <w:szCs w:val="22"/>
          <w:lang w:val="hr-HR"/>
        </w:rPr>
        <w:t>mehaničkom ventilacijom</w:t>
      </w:r>
      <w:r w:rsidRPr="009A2813">
        <w:rPr>
          <w:i/>
          <w:szCs w:val="22"/>
          <w:lang w:val="hr-HR"/>
        </w:rPr>
        <w:t>) kod odraslih</w:t>
      </w:r>
    </w:p>
    <w:p w14:paraId="20F2CC3D" w14:textId="77777777" w:rsidR="002F7BF6" w:rsidRPr="009A2813" w:rsidRDefault="007A59A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U jednoj studiji kod pacijenata sa bolničkom pneumonijom 280/808 (34,7%) je imalo VAP, a 40/808 (5%) je bilo bakterijemično na početku.</w:t>
      </w:r>
    </w:p>
    <w:p w14:paraId="1D91F42A" w14:textId="77777777" w:rsidR="00023741" w:rsidRPr="009A2813" w:rsidRDefault="00023741" w:rsidP="00CC4A65">
      <w:pPr>
        <w:jc w:val="both"/>
        <w:rPr>
          <w:szCs w:val="22"/>
          <w:lang w:val="hr-HR"/>
        </w:rPr>
      </w:pPr>
    </w:p>
    <w:p w14:paraId="0350A4FC" w14:textId="77777777" w:rsidR="002F7BF6" w:rsidRPr="009A2813" w:rsidRDefault="00CD3436" w:rsidP="00CC4A65">
      <w:pPr>
        <w:keepNext/>
        <w:jc w:val="both"/>
        <w:rPr>
          <w:i/>
          <w:szCs w:val="22"/>
          <w:lang w:val="hr-HR"/>
        </w:rPr>
      </w:pPr>
      <w:bookmarkStart w:id="10" w:name="_Hlk26878257"/>
      <w:bookmarkEnd w:id="9"/>
      <w:r w:rsidRPr="009A2813">
        <w:rPr>
          <w:i/>
          <w:szCs w:val="22"/>
          <w:lang w:val="hr-HR"/>
        </w:rPr>
        <w:t>Pacijenti sa ograničenim mogućnostima liječenja</w:t>
      </w:r>
    </w:p>
    <w:p w14:paraId="47D61417" w14:textId="77777777" w:rsidR="00AB0AD2" w:rsidRPr="009A2813" w:rsidRDefault="00F95711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Upotreba ceftazidima/avibaktama za liječenje pacijenata sa infekcijama izazvanim gram-negativnim aerobnim patogenima koji imaju ograničene mogućnosti liječenja zasniva se na iskustvu isključivo sa ceftazidimom i na analizama farmakokinetičko-farmakodinamskog odnosa za ceftazidim/avibaktam (pogledajte dio 5.1).</w:t>
      </w:r>
    </w:p>
    <w:bookmarkEnd w:id="10"/>
    <w:p w14:paraId="7ACD8734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39C8C65C" w14:textId="77777777" w:rsidR="00774620" w:rsidRPr="009A2813" w:rsidRDefault="00774620" w:rsidP="00CC4A65">
      <w:pPr>
        <w:keepNext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Spektar aktivnosti ceftazidima/avibaktama</w:t>
      </w:r>
    </w:p>
    <w:p w14:paraId="666E839F" w14:textId="77777777" w:rsidR="002F69E7" w:rsidRPr="009A2813" w:rsidRDefault="002F69E7" w:rsidP="00CC4A65">
      <w:pPr>
        <w:keepNext/>
        <w:jc w:val="both"/>
        <w:rPr>
          <w:szCs w:val="22"/>
          <w:u w:val="single"/>
          <w:lang w:val="hr-HR"/>
        </w:rPr>
      </w:pPr>
    </w:p>
    <w:p w14:paraId="38BC608D" w14:textId="5D492905" w:rsidR="00EC4DC8" w:rsidRPr="009A2813" w:rsidRDefault="00651D15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Ceftazidim slabo djeluje ili uopšte ne djeluje na većinu gram-pozitivnih i anaerobnih organizama (pogledajte djelove 4.2. i 5.1). Dodatn</w:t>
      </w:r>
      <w:r w:rsidR="00526D57" w:rsidRPr="009A2813">
        <w:rPr>
          <w:szCs w:val="22"/>
          <w:lang w:val="hr-HR"/>
        </w:rPr>
        <w:t>e</w:t>
      </w:r>
      <w:r w:rsidRPr="009A2813">
        <w:rPr>
          <w:szCs w:val="22"/>
          <w:lang w:val="hr-HR"/>
        </w:rPr>
        <w:t xml:space="preserve"> antibakterijsk</w:t>
      </w:r>
      <w:r w:rsidR="00526D57" w:rsidRPr="009A2813">
        <w:rPr>
          <w:szCs w:val="22"/>
          <w:lang w:val="hr-HR"/>
        </w:rPr>
        <w:t xml:space="preserve">e ljekove </w:t>
      </w:r>
      <w:r w:rsidRPr="009A2813">
        <w:rPr>
          <w:szCs w:val="22"/>
          <w:lang w:val="hr-HR"/>
        </w:rPr>
        <w:t xml:space="preserve">treba koristiti kada se zna ili sumnja da ovi patogeni doprinose infektivnom procesu. </w:t>
      </w:r>
    </w:p>
    <w:p w14:paraId="2DD0C961" w14:textId="77777777" w:rsidR="00EC4DC8" w:rsidRPr="009A2813" w:rsidRDefault="00EC4DC8" w:rsidP="00CC4A65">
      <w:pPr>
        <w:jc w:val="both"/>
        <w:rPr>
          <w:szCs w:val="22"/>
          <w:lang w:val="hr-HR"/>
        </w:rPr>
      </w:pPr>
    </w:p>
    <w:p w14:paraId="3DCA6501" w14:textId="5AB790F0" w:rsidR="00774620" w:rsidRPr="009A2813" w:rsidRDefault="00774620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Inhibicijski spektar avibaktama uključuje mnoge enzime koji inaktiviraju ceftazidim, uključujući Ambler β-laktamaze klase A i β-laktamaze klase C. Avibaktam ne inhibira enzime klase B (metalo-β-laktamaze) i nije u stanju da inhibira mnoge enzime klase D (pogledajte dio 5.1).</w:t>
      </w:r>
    </w:p>
    <w:bookmarkEnd w:id="8"/>
    <w:p w14:paraId="1891BE3E" w14:textId="77777777" w:rsidR="00774620" w:rsidRPr="009A2813" w:rsidRDefault="00774620" w:rsidP="00CC4A65">
      <w:pPr>
        <w:jc w:val="both"/>
        <w:rPr>
          <w:szCs w:val="22"/>
          <w:u w:val="single"/>
          <w:lang w:val="hr-HR"/>
        </w:rPr>
      </w:pPr>
    </w:p>
    <w:p w14:paraId="2A3C1310" w14:textId="77777777" w:rsidR="004C033F" w:rsidRPr="009A2813" w:rsidRDefault="004C033F" w:rsidP="00CC4A65">
      <w:pPr>
        <w:keepNext/>
        <w:keepLines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Neosjetljivi organizmi</w:t>
      </w:r>
    </w:p>
    <w:p w14:paraId="5DB40BAD" w14:textId="77777777" w:rsidR="002F69E7" w:rsidRPr="009A2813" w:rsidRDefault="002F69E7" w:rsidP="00CC4A65">
      <w:pPr>
        <w:keepNext/>
        <w:keepLines/>
        <w:jc w:val="both"/>
        <w:rPr>
          <w:szCs w:val="22"/>
          <w:u w:val="single"/>
          <w:lang w:val="hr-HR"/>
        </w:rPr>
      </w:pPr>
    </w:p>
    <w:p w14:paraId="5F30D4E5" w14:textId="77777777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Produžena upotreba može dovesti do prekomjernog rasta neosjetljivih organizama (npr. enterokoka, gljivica), što može zahtijevati prekid liječenja ili druge odgovarajuće mjere.</w:t>
      </w:r>
    </w:p>
    <w:p w14:paraId="6F64485B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7538ABDD" w14:textId="77777777" w:rsidR="004C033F" w:rsidRPr="009A2813" w:rsidRDefault="009A6989" w:rsidP="00CC4A65">
      <w:pPr>
        <w:keepNext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lastRenderedPageBreak/>
        <w:t>Interferencija sa laboratorijskim testovima</w:t>
      </w:r>
    </w:p>
    <w:p w14:paraId="1A263134" w14:textId="77777777" w:rsidR="002F69E7" w:rsidRPr="009A2813" w:rsidRDefault="002F69E7" w:rsidP="00CC4A65">
      <w:pPr>
        <w:keepNext/>
        <w:jc w:val="both"/>
        <w:rPr>
          <w:szCs w:val="22"/>
          <w:u w:val="single"/>
          <w:lang w:val="hr-HR"/>
        </w:rPr>
      </w:pPr>
    </w:p>
    <w:p w14:paraId="463A4B5E" w14:textId="77777777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Ceftazidim može ometati metode redukcije bakra (Benedikt, Fehling, Klinitest) za otkrivanje glikozurije što dovodi do lažno pozitivnih rezultata. Ceftazidim ne utiče na testove glikozurije zasnovane na enzimima.</w:t>
      </w:r>
    </w:p>
    <w:p w14:paraId="456A26D2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14601FAE" w14:textId="77777777" w:rsidR="004C033F" w:rsidRPr="009A2813" w:rsidRDefault="004C033F" w:rsidP="00CC4A65">
      <w:pPr>
        <w:keepNext/>
        <w:keepLines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Dijeta sa kontrolisanim natrijumom</w:t>
      </w:r>
    </w:p>
    <w:p w14:paraId="46AC2470" w14:textId="77777777" w:rsidR="002F69E7" w:rsidRPr="009A2813" w:rsidRDefault="002F69E7" w:rsidP="00CC4A65">
      <w:pPr>
        <w:keepNext/>
        <w:keepLines/>
        <w:jc w:val="both"/>
        <w:rPr>
          <w:bCs/>
          <w:iCs/>
          <w:szCs w:val="22"/>
          <w:lang w:val="hr-HR"/>
        </w:rPr>
      </w:pPr>
    </w:p>
    <w:p w14:paraId="54FEA870" w14:textId="77777777" w:rsidR="0058708D" w:rsidRPr="009A2813" w:rsidRDefault="0058708D" w:rsidP="00CC4A65">
      <w:pPr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Ovaj lijek sadrži približno 146 mg natrijuma po bočici, što je ekvivalentno 7,3% maksimalnog dnevnog unosa (RDI) od 2 g natrijuma za odraslu osobu, prema preporuci SZO.</w:t>
      </w:r>
    </w:p>
    <w:p w14:paraId="7496C46C" w14:textId="77777777" w:rsidR="0058708D" w:rsidRPr="009A2813" w:rsidRDefault="00F240C6" w:rsidP="00CC4A65">
      <w:pPr>
        <w:spacing w:line="240" w:lineRule="auto"/>
        <w:jc w:val="both"/>
        <w:rPr>
          <w:rFonts w:eastAsia="SimSun"/>
          <w:color w:val="000000"/>
          <w:szCs w:val="22"/>
          <w:lang w:val="hr-HR"/>
        </w:rPr>
      </w:pPr>
      <w:r w:rsidRPr="009A2813">
        <w:rPr>
          <w:szCs w:val="22"/>
          <w:lang w:val="hr-HR"/>
        </w:rPr>
        <w:t xml:space="preserve">Maksimalna dnevna doza ovog proizvoda je ekvivalentna 22% maksimalnog dnevnog unosa natrijuma koji preporučuje SZO. Smatra se da lijek Zavicefta ima visok sadržaj natrijuma. Ovo treba uzeti u obzir kada se lijek </w:t>
      </w:r>
      <w:bookmarkStart w:id="11" w:name="_Hlk38958050"/>
      <w:r w:rsidRPr="009A2813">
        <w:rPr>
          <w:szCs w:val="22"/>
          <w:lang w:val="hr-HR"/>
        </w:rPr>
        <w:t xml:space="preserve">Zavicefta </w:t>
      </w:r>
      <w:bookmarkEnd w:id="11"/>
      <w:r w:rsidRPr="009A2813">
        <w:rPr>
          <w:szCs w:val="22"/>
          <w:lang w:val="hr-HR"/>
        </w:rPr>
        <w:t>primjenjuje kod pacijenata koji su na režimu ishrane sa kontrolisanim unosom natrijuma.</w:t>
      </w:r>
    </w:p>
    <w:p w14:paraId="56FA5E1E" w14:textId="77777777" w:rsidR="0058708D" w:rsidRPr="009A2813" w:rsidRDefault="0058708D" w:rsidP="00CC4A65">
      <w:pPr>
        <w:spacing w:line="240" w:lineRule="auto"/>
        <w:jc w:val="both"/>
        <w:rPr>
          <w:rFonts w:eastAsia="SimSun"/>
          <w:color w:val="000000"/>
          <w:szCs w:val="22"/>
          <w:lang w:val="hr-HR" w:eastAsia="en-GB"/>
        </w:rPr>
      </w:pPr>
    </w:p>
    <w:p w14:paraId="5DF97A8A" w14:textId="5FEA665B" w:rsidR="0058708D" w:rsidRPr="009A2813" w:rsidRDefault="0058708D" w:rsidP="00CC4A65">
      <w:pPr>
        <w:spacing w:line="240" w:lineRule="auto"/>
        <w:jc w:val="both"/>
        <w:rPr>
          <w:rFonts w:eastAsia="SimSun"/>
          <w:color w:val="000000"/>
          <w:szCs w:val="22"/>
          <w:lang w:val="hr-HR"/>
        </w:rPr>
      </w:pPr>
      <w:r w:rsidRPr="009A2813">
        <w:rPr>
          <w:szCs w:val="22"/>
          <w:lang w:val="hr-HR"/>
        </w:rPr>
        <w:t>Zavicefta se može razblažiti rastvorima koji sadrže natrijum (pogledajte dio 6.6) i to treba uzeti u obzir u odnosu na ukupan natrijum iz svih izvora koji će biti dat pacijentu.</w:t>
      </w:r>
    </w:p>
    <w:p w14:paraId="46DEF193" w14:textId="77777777" w:rsidR="00AC2528" w:rsidRPr="009A2813" w:rsidRDefault="00AC2528" w:rsidP="00CC4A65">
      <w:pPr>
        <w:spacing w:line="240" w:lineRule="auto"/>
        <w:jc w:val="both"/>
        <w:rPr>
          <w:rFonts w:eastAsia="SimSun"/>
          <w:color w:val="000000"/>
          <w:szCs w:val="22"/>
          <w:lang w:val="hr-HR" w:eastAsia="en-GB"/>
        </w:rPr>
      </w:pPr>
    </w:p>
    <w:p w14:paraId="71E66E63" w14:textId="77777777" w:rsidR="00AC2528" w:rsidRPr="009A2813" w:rsidRDefault="00AC2528" w:rsidP="00CC4A65">
      <w:pPr>
        <w:keepNext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Pedijatrijska populacija</w:t>
      </w:r>
    </w:p>
    <w:p w14:paraId="3025D1F0" w14:textId="77777777" w:rsidR="00AC2528" w:rsidRPr="009A2813" w:rsidRDefault="00AC2528" w:rsidP="00CC4A65">
      <w:pPr>
        <w:keepNext/>
        <w:jc w:val="both"/>
        <w:rPr>
          <w:szCs w:val="22"/>
          <w:u w:val="single"/>
          <w:lang w:val="hr-HR" w:eastAsia="nb-NO"/>
        </w:rPr>
      </w:pPr>
    </w:p>
    <w:p w14:paraId="35F3B556" w14:textId="3415FADB" w:rsidR="00AC2528" w:rsidRPr="009A2813" w:rsidRDefault="00AC2528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Postoji potencijalni rizik od predoziranja, posebno za pedijatrijske pacijente uzrasta od </w:t>
      </w:r>
      <w:r w:rsidR="00E62378" w:rsidRPr="009A2813">
        <w:rPr>
          <w:szCs w:val="22"/>
          <w:lang w:val="hr-HR"/>
        </w:rPr>
        <w:t>rođenja do</w:t>
      </w:r>
      <w:r w:rsidRPr="009A2813">
        <w:rPr>
          <w:szCs w:val="22"/>
          <w:lang w:val="hr-HR"/>
        </w:rPr>
        <w:t xml:space="preserve"> manje od 12 mjeseci. Treba biti oprezan pri izračunavanju zapremine doze koja se daje (pogledajte djelove 4.9. i 6.6).</w:t>
      </w:r>
    </w:p>
    <w:p w14:paraId="61807337" w14:textId="77777777" w:rsidR="00464571" w:rsidRPr="009A2813" w:rsidRDefault="00464571" w:rsidP="00CC4A65">
      <w:pPr>
        <w:pStyle w:val="A-TableText"/>
        <w:tabs>
          <w:tab w:val="left" w:pos="567"/>
        </w:tabs>
        <w:spacing w:before="0" w:after="0" w:line="260" w:lineRule="exact"/>
        <w:jc w:val="both"/>
        <w:rPr>
          <w:iCs/>
          <w:szCs w:val="22"/>
          <w:lang w:val="hr-HR"/>
        </w:rPr>
      </w:pPr>
    </w:p>
    <w:p w14:paraId="17D0F00E" w14:textId="77777777" w:rsidR="004C033F" w:rsidRPr="009A2813" w:rsidRDefault="004C033F" w:rsidP="00CC4A65">
      <w:pPr>
        <w:keepNext/>
        <w:ind w:left="567" w:hanging="567"/>
        <w:jc w:val="both"/>
        <w:outlineLvl w:val="0"/>
        <w:rPr>
          <w:szCs w:val="22"/>
          <w:lang w:val="hr-HR"/>
        </w:rPr>
      </w:pPr>
      <w:r w:rsidRPr="009A2813">
        <w:rPr>
          <w:b/>
          <w:szCs w:val="22"/>
          <w:lang w:val="hr-HR"/>
        </w:rPr>
        <w:t>4.5</w:t>
      </w:r>
      <w:r w:rsidRPr="009A2813">
        <w:rPr>
          <w:b/>
          <w:szCs w:val="22"/>
          <w:lang w:val="hr-HR"/>
        </w:rPr>
        <w:tab/>
        <w:t>Interakcije sa drugim ljekovima i druge vrste interakcija</w:t>
      </w:r>
    </w:p>
    <w:p w14:paraId="45961237" w14:textId="77777777" w:rsidR="004C033F" w:rsidRPr="009A2813" w:rsidRDefault="004C033F" w:rsidP="00CC4A65">
      <w:pPr>
        <w:keepNext/>
        <w:jc w:val="both"/>
        <w:rPr>
          <w:szCs w:val="22"/>
          <w:lang w:val="hr-HR"/>
        </w:rPr>
      </w:pPr>
    </w:p>
    <w:p w14:paraId="2945AC9C" w14:textId="77777777" w:rsidR="00B07B5A" w:rsidRPr="009A2813" w:rsidRDefault="00B07B5A" w:rsidP="00CC4A65">
      <w:pPr>
        <w:jc w:val="both"/>
        <w:rPr>
          <w:szCs w:val="22"/>
          <w:lang w:val="hr-HR"/>
        </w:rPr>
      </w:pPr>
      <w:r w:rsidRPr="009A2813">
        <w:rPr>
          <w:i/>
          <w:szCs w:val="22"/>
          <w:lang w:val="hr-HR"/>
        </w:rPr>
        <w:t>In vitro</w:t>
      </w:r>
      <w:r w:rsidRPr="009A2813">
        <w:rPr>
          <w:szCs w:val="22"/>
          <w:lang w:val="hr-HR"/>
        </w:rPr>
        <w:t xml:space="preserve">, avibaktam je supstrat transportera OAT1 i OAT3 koji može doprinijeti aktivnom preuzimanju avibaktama iz krvi i samim tim uticati na njegovo izlučivanje. Probenecid (moćni inhibitor OAT) inhibira ovu apsorpciju za 56% do 70% </w:t>
      </w:r>
      <w:r w:rsidRPr="009A2813">
        <w:rPr>
          <w:i/>
          <w:szCs w:val="22"/>
          <w:lang w:val="hr-HR"/>
        </w:rPr>
        <w:t>in vitro</w:t>
      </w:r>
      <w:r w:rsidRPr="009A2813">
        <w:rPr>
          <w:szCs w:val="22"/>
          <w:lang w:val="hr-HR"/>
        </w:rPr>
        <w:t xml:space="preserve"> i stoga ima potencijal da promijeni izlučivanje avibaktama. Pošto klinička studija interakcije avibaktama i probenecida nije sprovedena, ne preporučuje se istovremena primjena avibaktama sa probenecidom.</w:t>
      </w:r>
    </w:p>
    <w:p w14:paraId="70FBB456" w14:textId="77777777" w:rsidR="00B07B5A" w:rsidRPr="009A2813" w:rsidRDefault="00B07B5A" w:rsidP="00CC4A65">
      <w:pPr>
        <w:spacing w:line="240" w:lineRule="auto"/>
        <w:jc w:val="both"/>
        <w:rPr>
          <w:szCs w:val="22"/>
          <w:lang w:val="hr-HR"/>
        </w:rPr>
      </w:pPr>
    </w:p>
    <w:p w14:paraId="03423504" w14:textId="77777777" w:rsidR="00B07B5A" w:rsidRPr="009A2813" w:rsidRDefault="00B07B5A" w:rsidP="00CC4A65">
      <w:pPr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Avibaktam nije pokazao značajnu inhibiciju enzima citohroma P450 </w:t>
      </w:r>
      <w:r w:rsidRPr="009A2813">
        <w:rPr>
          <w:i/>
          <w:szCs w:val="22"/>
          <w:lang w:val="hr-HR"/>
        </w:rPr>
        <w:t>in vitro</w:t>
      </w:r>
      <w:r w:rsidRPr="009A2813">
        <w:rPr>
          <w:szCs w:val="22"/>
          <w:lang w:val="hr-HR"/>
        </w:rPr>
        <w:t xml:space="preserve">. Avibaktam i ceftazidim nijesu pokazali </w:t>
      </w:r>
      <w:r w:rsidRPr="009A2813">
        <w:rPr>
          <w:i/>
          <w:szCs w:val="22"/>
          <w:lang w:val="hr-HR"/>
        </w:rPr>
        <w:t>in vitro</w:t>
      </w:r>
      <w:r w:rsidRPr="009A2813">
        <w:rPr>
          <w:szCs w:val="22"/>
          <w:lang w:val="hr-HR"/>
        </w:rPr>
        <w:t xml:space="preserve"> indukciju citohroma P450 u klinički relevantnim koncentracijama. Avibaktam i ceftazidim ne inhibiraju glavne bubrežne ili hepatične transportere u klinički relevantnom opsegu izloženosti, stoga se smatra da je potencijal interakcije preko ovih mehanizama mali.</w:t>
      </w:r>
    </w:p>
    <w:p w14:paraId="1DF891FA" w14:textId="77777777" w:rsidR="00A4763A" w:rsidRPr="009A2813" w:rsidRDefault="00A4763A" w:rsidP="00CC4A65">
      <w:pPr>
        <w:spacing w:line="240" w:lineRule="auto"/>
        <w:jc w:val="both"/>
        <w:rPr>
          <w:szCs w:val="22"/>
          <w:lang w:val="hr-HR"/>
        </w:rPr>
      </w:pPr>
    </w:p>
    <w:p w14:paraId="6404EE26" w14:textId="77777777" w:rsidR="003166A4" w:rsidRPr="009A2813" w:rsidRDefault="003166A4" w:rsidP="00CC4A65">
      <w:pPr>
        <w:spacing w:line="240" w:lineRule="auto"/>
        <w:jc w:val="both"/>
        <w:rPr>
          <w:i/>
          <w:iCs/>
          <w:szCs w:val="22"/>
          <w:lang w:val="hr-HR"/>
        </w:rPr>
      </w:pPr>
      <w:r w:rsidRPr="009A2813">
        <w:rPr>
          <w:szCs w:val="22"/>
          <w:lang w:val="hr-HR"/>
        </w:rPr>
        <w:t>Klinički podaci su pokazali da ne postoji interakcija između ceftazidima i avibaktama, kao ni između ceftazidima/avibaktama i metronidazola.</w:t>
      </w:r>
    </w:p>
    <w:p w14:paraId="2C311FD7" w14:textId="77777777" w:rsidR="00B07B5A" w:rsidRPr="009A2813" w:rsidRDefault="00B07B5A" w:rsidP="00CC4A65">
      <w:pPr>
        <w:spacing w:line="240" w:lineRule="auto"/>
        <w:jc w:val="both"/>
        <w:rPr>
          <w:szCs w:val="22"/>
          <w:lang w:val="hr-HR"/>
        </w:rPr>
      </w:pPr>
    </w:p>
    <w:p w14:paraId="739F547E" w14:textId="77777777" w:rsidR="00B07B5A" w:rsidRPr="009A2813" w:rsidRDefault="00B07B5A" w:rsidP="00CC4A65">
      <w:pPr>
        <w:keepNext/>
        <w:spacing w:line="240" w:lineRule="auto"/>
        <w:jc w:val="both"/>
        <w:rPr>
          <w:i/>
          <w:szCs w:val="22"/>
          <w:lang w:val="hr-HR"/>
        </w:rPr>
      </w:pPr>
      <w:r w:rsidRPr="009A2813">
        <w:rPr>
          <w:i/>
          <w:szCs w:val="22"/>
          <w:lang w:val="hr-HR"/>
        </w:rPr>
        <w:t>Druge vrste interakcije</w:t>
      </w:r>
    </w:p>
    <w:p w14:paraId="42795A5D" w14:textId="59E75BB5" w:rsidR="004C033F" w:rsidRPr="009A2813" w:rsidRDefault="004C033F" w:rsidP="00CC4A65">
      <w:pPr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Istovremena terapija velikim dozama cefalosporina i nefrotoksičnih ljekova kao što su aminoglikozidi ili snažni diuretici (npr. furosemid) može negativno uticati na funkciju bubrega (pogledajte dio 4.4).</w:t>
      </w:r>
    </w:p>
    <w:p w14:paraId="448C6D8A" w14:textId="77777777" w:rsidR="004F474B" w:rsidRPr="009A2813" w:rsidRDefault="004F474B" w:rsidP="00CC4A65">
      <w:pPr>
        <w:autoSpaceDE w:val="0"/>
        <w:autoSpaceDN w:val="0"/>
        <w:adjustRightInd w:val="0"/>
        <w:jc w:val="both"/>
        <w:rPr>
          <w:bCs/>
          <w:iCs/>
          <w:szCs w:val="22"/>
          <w:lang w:val="hr-HR"/>
        </w:rPr>
      </w:pPr>
    </w:p>
    <w:p w14:paraId="5A53131C" w14:textId="77777777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Hloramfenikol je antagonistički </w:t>
      </w:r>
      <w:r w:rsidRPr="009A2813">
        <w:rPr>
          <w:i/>
          <w:szCs w:val="22"/>
          <w:lang w:val="hr-HR"/>
        </w:rPr>
        <w:t>in vitro</w:t>
      </w:r>
      <w:r w:rsidRPr="009A2813">
        <w:rPr>
          <w:szCs w:val="22"/>
          <w:lang w:val="hr-HR"/>
        </w:rPr>
        <w:t xml:space="preserve"> sa ceftazidimom i ostalim cefalosporinima. Klinički značaj ovog nalaza je nepoznat, ali zbog mogućnosti antagonizma </w:t>
      </w:r>
      <w:r w:rsidRPr="009A2813">
        <w:rPr>
          <w:i/>
          <w:szCs w:val="22"/>
          <w:lang w:val="hr-HR"/>
        </w:rPr>
        <w:t>in vivo</w:t>
      </w:r>
      <w:r w:rsidRPr="009A2813">
        <w:rPr>
          <w:szCs w:val="22"/>
          <w:lang w:val="hr-HR"/>
        </w:rPr>
        <w:t xml:space="preserve"> ovu kombinaciju ljekova treba izbjegavati.</w:t>
      </w:r>
    </w:p>
    <w:p w14:paraId="4010FA0E" w14:textId="77777777" w:rsidR="004F474B" w:rsidRPr="009A2813" w:rsidRDefault="004F474B" w:rsidP="00CC4A65">
      <w:pPr>
        <w:jc w:val="both"/>
        <w:rPr>
          <w:szCs w:val="22"/>
          <w:lang w:val="hr-HR"/>
        </w:rPr>
      </w:pPr>
    </w:p>
    <w:p w14:paraId="6655BF9A" w14:textId="77777777" w:rsidR="004C033F" w:rsidRPr="009A2813" w:rsidRDefault="004C033F" w:rsidP="00CC4A65">
      <w:pPr>
        <w:keepNext/>
        <w:ind w:left="567" w:hanging="567"/>
        <w:jc w:val="both"/>
        <w:outlineLvl w:val="0"/>
        <w:rPr>
          <w:szCs w:val="22"/>
          <w:lang w:val="hr-HR"/>
        </w:rPr>
      </w:pPr>
      <w:r w:rsidRPr="009A2813">
        <w:rPr>
          <w:b/>
          <w:szCs w:val="22"/>
          <w:lang w:val="hr-HR"/>
        </w:rPr>
        <w:t>4.6</w:t>
      </w:r>
      <w:r w:rsidRPr="009A2813">
        <w:rPr>
          <w:b/>
          <w:szCs w:val="22"/>
          <w:lang w:val="hr-HR"/>
        </w:rPr>
        <w:tab/>
        <w:t>Plodnost, trudnoća i dojenje</w:t>
      </w:r>
    </w:p>
    <w:p w14:paraId="02A472F5" w14:textId="77777777" w:rsidR="004C033F" w:rsidRPr="009A2813" w:rsidRDefault="004C033F" w:rsidP="00CC4A65">
      <w:pPr>
        <w:keepNext/>
        <w:jc w:val="both"/>
        <w:rPr>
          <w:szCs w:val="22"/>
          <w:lang w:val="hr-HR"/>
        </w:rPr>
      </w:pPr>
    </w:p>
    <w:p w14:paraId="79DAC5B7" w14:textId="77777777" w:rsidR="004C033F" w:rsidRPr="009A2813" w:rsidRDefault="004C033F" w:rsidP="00CC4A65">
      <w:pPr>
        <w:pStyle w:val="Heading5"/>
        <w:tabs>
          <w:tab w:val="left" w:pos="0"/>
        </w:tabs>
        <w:spacing w:after="0" w:line="280" w:lineRule="atLeast"/>
        <w:jc w:val="both"/>
        <w:rPr>
          <w:b w:val="0"/>
          <w:bCs/>
          <w:sz w:val="22"/>
          <w:szCs w:val="22"/>
          <w:u w:val="single"/>
          <w:lang w:val="hr-HR"/>
        </w:rPr>
      </w:pPr>
      <w:r w:rsidRPr="009A2813">
        <w:rPr>
          <w:b w:val="0"/>
          <w:sz w:val="22"/>
          <w:szCs w:val="22"/>
          <w:u w:val="single"/>
          <w:lang w:val="hr-HR"/>
        </w:rPr>
        <w:t>Trudnoća</w:t>
      </w:r>
    </w:p>
    <w:p w14:paraId="58DFFDD5" w14:textId="77777777" w:rsidR="002F69E7" w:rsidRPr="009A2813" w:rsidRDefault="002F69E7" w:rsidP="00CC4A65">
      <w:pPr>
        <w:keepNext/>
        <w:jc w:val="both"/>
        <w:rPr>
          <w:szCs w:val="22"/>
          <w:lang w:val="hr-HR"/>
        </w:rPr>
      </w:pPr>
    </w:p>
    <w:p w14:paraId="2419CAFE" w14:textId="1BB60C58" w:rsidR="004C033F" w:rsidRPr="009A2813" w:rsidRDefault="00C93DF1" w:rsidP="00CC4A65">
      <w:pPr>
        <w:pStyle w:val="NormalWeb"/>
        <w:tabs>
          <w:tab w:val="left" w:pos="0"/>
        </w:tabs>
        <w:spacing w:before="0" w:beforeAutospacing="0" w:after="0"/>
        <w:jc w:val="both"/>
        <w:rPr>
          <w:color w:val="auto"/>
          <w:sz w:val="22"/>
          <w:szCs w:val="22"/>
          <w:lang w:val="hr-HR"/>
        </w:rPr>
      </w:pPr>
      <w:r w:rsidRPr="009A2813">
        <w:rPr>
          <w:color w:val="auto"/>
          <w:sz w:val="22"/>
          <w:szCs w:val="22"/>
          <w:lang w:val="hr-HR"/>
        </w:rPr>
        <w:t>Studije na životinjama sa ceftazidimom ne ukazuju na direktne ili indirektne štetne efekte na trudnoću, embrionalni/fetalni razvoj, porođaj ili postnatalni razvoj. Studije sa avibaktamom na životinjama pokazale su reproduktivnu toksičnost bez dokaza o teratogenim efektima (pogledajte dio 5.3).</w:t>
      </w:r>
    </w:p>
    <w:p w14:paraId="0C8D3A5C" w14:textId="77777777" w:rsidR="004C033F" w:rsidRPr="009A2813" w:rsidRDefault="004C033F" w:rsidP="00CC4A65">
      <w:pPr>
        <w:pStyle w:val="NormalWeb"/>
        <w:tabs>
          <w:tab w:val="left" w:pos="0"/>
        </w:tabs>
        <w:spacing w:before="0" w:beforeAutospacing="0" w:after="0"/>
        <w:jc w:val="both"/>
        <w:rPr>
          <w:sz w:val="22"/>
          <w:szCs w:val="22"/>
          <w:lang w:val="hr-HR"/>
        </w:rPr>
      </w:pPr>
    </w:p>
    <w:p w14:paraId="210484DC" w14:textId="77777777" w:rsidR="004C033F" w:rsidRPr="009A2813" w:rsidRDefault="004C033F" w:rsidP="00CC4A65">
      <w:pPr>
        <w:pStyle w:val="NormalWeb"/>
        <w:tabs>
          <w:tab w:val="left" w:pos="0"/>
        </w:tabs>
        <w:spacing w:before="0" w:beforeAutospacing="0" w:after="0"/>
        <w:jc w:val="both"/>
        <w:rPr>
          <w:sz w:val="22"/>
          <w:szCs w:val="22"/>
          <w:lang w:val="hr-HR"/>
        </w:rPr>
      </w:pPr>
      <w:r w:rsidRPr="009A2813">
        <w:rPr>
          <w:sz w:val="22"/>
          <w:szCs w:val="22"/>
          <w:lang w:val="hr-HR"/>
        </w:rPr>
        <w:lastRenderedPageBreak/>
        <w:t>Ceftazidim/avibaktam treba koristiti tokom trudnoće samo ako je potencijalna korist veća od mogućeg rizika.</w:t>
      </w:r>
    </w:p>
    <w:p w14:paraId="4569B08E" w14:textId="77777777" w:rsidR="004C033F" w:rsidRPr="009A2813" w:rsidRDefault="004C033F" w:rsidP="00CC4A65">
      <w:pPr>
        <w:pStyle w:val="NormalWeb"/>
        <w:tabs>
          <w:tab w:val="left" w:pos="0"/>
        </w:tabs>
        <w:spacing w:before="0" w:beforeAutospacing="0" w:after="0"/>
        <w:jc w:val="both"/>
        <w:rPr>
          <w:sz w:val="22"/>
          <w:szCs w:val="22"/>
          <w:lang w:val="hr-HR"/>
        </w:rPr>
      </w:pPr>
    </w:p>
    <w:p w14:paraId="02A7201D" w14:textId="20A8166D" w:rsidR="004C033F" w:rsidRPr="009A2813" w:rsidRDefault="00AB0B36" w:rsidP="00CC4A65">
      <w:pPr>
        <w:pStyle w:val="NormalWeb"/>
        <w:keepNext/>
        <w:tabs>
          <w:tab w:val="left" w:pos="0"/>
        </w:tabs>
        <w:spacing w:before="0" w:beforeAutospacing="0" w:after="0"/>
        <w:jc w:val="both"/>
        <w:rPr>
          <w:sz w:val="22"/>
          <w:szCs w:val="22"/>
          <w:u w:val="single"/>
          <w:lang w:val="hr-HR"/>
        </w:rPr>
      </w:pPr>
      <w:r w:rsidRPr="009A2813">
        <w:rPr>
          <w:sz w:val="22"/>
          <w:szCs w:val="22"/>
          <w:u w:val="single"/>
          <w:lang w:val="hr-HR"/>
        </w:rPr>
        <w:t>Dojenje</w:t>
      </w:r>
    </w:p>
    <w:p w14:paraId="6087BAEC" w14:textId="77777777" w:rsidR="002F69E7" w:rsidRPr="009A2813" w:rsidRDefault="002F69E7" w:rsidP="00CC4A65">
      <w:pPr>
        <w:pStyle w:val="NormalWeb"/>
        <w:keepNext/>
        <w:tabs>
          <w:tab w:val="left" w:pos="0"/>
        </w:tabs>
        <w:spacing w:before="0" w:beforeAutospacing="0" w:after="0"/>
        <w:jc w:val="both"/>
        <w:rPr>
          <w:sz w:val="22"/>
          <w:szCs w:val="22"/>
          <w:lang w:val="hr-HR"/>
        </w:rPr>
      </w:pPr>
    </w:p>
    <w:p w14:paraId="521AC707" w14:textId="77777777" w:rsidR="00783FE6" w:rsidRPr="009A2813" w:rsidRDefault="004C033F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Ceftazidim se izlučuje u majčino mlijeko u malim količinama. Nije poznato da li se avibaktam izlučuje u majčino mlijeko. Ne može se isključiti rizik za novorođenče/odojče. Odluku o tome da li treba prekinuti dojenje ili prekinuti/uzdržati se od terapije lijekom ceftazidim/avibaktam treba donijeti uzimajući u obzir korist od dojenja za dijete i korist od terapije za ženu.</w:t>
      </w:r>
    </w:p>
    <w:p w14:paraId="68523979" w14:textId="77777777" w:rsidR="004C033F" w:rsidRPr="009A2813" w:rsidRDefault="004C033F" w:rsidP="00CC4A65">
      <w:pPr>
        <w:pStyle w:val="NormalWeb"/>
        <w:tabs>
          <w:tab w:val="left" w:pos="0"/>
        </w:tabs>
        <w:spacing w:before="0" w:beforeAutospacing="0" w:after="0"/>
        <w:jc w:val="both"/>
        <w:rPr>
          <w:sz w:val="22"/>
          <w:szCs w:val="22"/>
          <w:lang w:val="hr-HR"/>
        </w:rPr>
      </w:pPr>
    </w:p>
    <w:p w14:paraId="3573C04F" w14:textId="77777777" w:rsidR="004C033F" w:rsidRPr="009A2813" w:rsidRDefault="004C033F" w:rsidP="00CC4A65">
      <w:pPr>
        <w:pStyle w:val="NormalWeb"/>
        <w:keepNext/>
        <w:keepLines/>
        <w:tabs>
          <w:tab w:val="left" w:pos="0"/>
        </w:tabs>
        <w:spacing w:before="0" w:beforeAutospacing="0" w:after="0"/>
        <w:jc w:val="both"/>
        <w:rPr>
          <w:sz w:val="22"/>
          <w:szCs w:val="22"/>
          <w:u w:val="single"/>
          <w:lang w:val="hr-HR"/>
        </w:rPr>
      </w:pPr>
      <w:r w:rsidRPr="009A2813">
        <w:rPr>
          <w:sz w:val="22"/>
          <w:szCs w:val="22"/>
          <w:u w:val="single"/>
          <w:lang w:val="hr-HR"/>
        </w:rPr>
        <w:t>Plodnost</w:t>
      </w:r>
    </w:p>
    <w:p w14:paraId="34A55903" w14:textId="77777777" w:rsidR="002F69E7" w:rsidRPr="009A2813" w:rsidRDefault="002F69E7" w:rsidP="00CC4A65">
      <w:pPr>
        <w:pStyle w:val="NormalWeb"/>
        <w:keepNext/>
        <w:keepLines/>
        <w:tabs>
          <w:tab w:val="left" w:pos="0"/>
        </w:tabs>
        <w:spacing w:before="0" w:beforeAutospacing="0" w:after="0"/>
        <w:jc w:val="both"/>
        <w:rPr>
          <w:sz w:val="22"/>
          <w:szCs w:val="22"/>
          <w:lang w:val="hr-HR"/>
        </w:rPr>
      </w:pPr>
    </w:p>
    <w:p w14:paraId="4654986A" w14:textId="32043A6D" w:rsidR="004C033F" w:rsidRPr="009A2813" w:rsidRDefault="004C033F" w:rsidP="00CC4A65">
      <w:pPr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Uticaj lijeka ceftazidim/avibaktam na plodnost kod ljudi nije ispitivan. Nema dostupnih podataka o studijama sa ceftazidimom na životinjama. Studije na životinjama sprovedene s lijekom avibaktam ne ukazuju na štetna dejstva vezana za plodnost (pogledajte dio 5.3).</w:t>
      </w:r>
    </w:p>
    <w:p w14:paraId="3667E98F" w14:textId="77777777" w:rsidR="004C033F" w:rsidRPr="009A2813" w:rsidRDefault="004C033F" w:rsidP="00CC4A65">
      <w:pPr>
        <w:pStyle w:val="A-TableText"/>
        <w:tabs>
          <w:tab w:val="left" w:pos="567"/>
        </w:tabs>
        <w:spacing w:before="0" w:after="0" w:line="260" w:lineRule="exact"/>
        <w:jc w:val="both"/>
        <w:rPr>
          <w:iCs/>
          <w:szCs w:val="22"/>
          <w:lang w:val="hr-HR"/>
        </w:rPr>
      </w:pPr>
    </w:p>
    <w:p w14:paraId="4B77DEA0" w14:textId="77777777" w:rsidR="004C033F" w:rsidRPr="009A2813" w:rsidRDefault="004C033F" w:rsidP="00CC4A65">
      <w:pPr>
        <w:ind w:left="567" w:hanging="567"/>
        <w:jc w:val="both"/>
        <w:outlineLvl w:val="0"/>
        <w:rPr>
          <w:szCs w:val="22"/>
          <w:lang w:val="hr-HR"/>
        </w:rPr>
      </w:pPr>
      <w:r w:rsidRPr="009A2813">
        <w:rPr>
          <w:b/>
          <w:szCs w:val="22"/>
          <w:lang w:val="hr-HR"/>
        </w:rPr>
        <w:t>4.7</w:t>
      </w:r>
      <w:r w:rsidRPr="009A2813">
        <w:rPr>
          <w:b/>
          <w:szCs w:val="22"/>
          <w:lang w:val="hr-HR"/>
        </w:rPr>
        <w:tab/>
        <w:t>Uticaj na sposobnost upravljanja vozilima i rukovanje mašinama</w:t>
      </w:r>
    </w:p>
    <w:p w14:paraId="50A48B7F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53886C24" w14:textId="674232C0" w:rsidR="004C033F" w:rsidRPr="009A2813" w:rsidRDefault="00C4348C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Mogu se javiti neželjena dejstva (npr. vrtoglavica), koja mogu uticati na sposobnost upravljanja vozilima i rukovanja mašinama nakon primjene lijeka Zavicefta (pogledajte dio 4.8).</w:t>
      </w:r>
    </w:p>
    <w:p w14:paraId="33A97539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0702E4E0" w14:textId="77777777" w:rsidR="004C033F" w:rsidRPr="009A2813" w:rsidRDefault="004C033F" w:rsidP="00CC4A65">
      <w:pPr>
        <w:keepNext/>
        <w:keepLines/>
        <w:spacing w:line="240" w:lineRule="auto"/>
        <w:jc w:val="both"/>
        <w:outlineLvl w:val="0"/>
        <w:rPr>
          <w:b/>
          <w:szCs w:val="22"/>
          <w:lang w:val="hr-HR"/>
        </w:rPr>
      </w:pPr>
      <w:r w:rsidRPr="009A2813">
        <w:rPr>
          <w:b/>
          <w:szCs w:val="22"/>
          <w:lang w:val="hr-HR"/>
        </w:rPr>
        <w:t>4.8</w:t>
      </w:r>
      <w:r w:rsidRPr="009A2813">
        <w:rPr>
          <w:b/>
          <w:szCs w:val="22"/>
          <w:lang w:val="hr-HR"/>
        </w:rPr>
        <w:tab/>
        <w:t>Neželjena dejstva</w:t>
      </w:r>
    </w:p>
    <w:p w14:paraId="15131EB3" w14:textId="77777777" w:rsidR="004C033F" w:rsidRPr="009A2813" w:rsidRDefault="004C033F" w:rsidP="00CC4A65">
      <w:pPr>
        <w:keepNext/>
        <w:keepLines/>
        <w:spacing w:line="240" w:lineRule="auto"/>
        <w:jc w:val="both"/>
        <w:outlineLvl w:val="0"/>
        <w:rPr>
          <w:b/>
          <w:szCs w:val="22"/>
          <w:lang w:val="hr-HR"/>
        </w:rPr>
      </w:pPr>
    </w:p>
    <w:p w14:paraId="198D6AC8" w14:textId="77777777" w:rsidR="00A25E3B" w:rsidRPr="009A2813" w:rsidRDefault="00A25E3B" w:rsidP="00CC4A65">
      <w:pPr>
        <w:keepNext/>
        <w:keepLines/>
        <w:tabs>
          <w:tab w:val="clear" w:pos="567"/>
        </w:tabs>
        <w:jc w:val="both"/>
        <w:rPr>
          <w:rFonts w:eastAsia="SimSun"/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Sažetak bezbjednosnog profila</w:t>
      </w:r>
    </w:p>
    <w:p w14:paraId="61464582" w14:textId="77777777" w:rsidR="002F69E7" w:rsidRPr="009A2813" w:rsidRDefault="002F69E7" w:rsidP="00CC4A65">
      <w:pPr>
        <w:keepNext/>
        <w:keepLines/>
        <w:tabs>
          <w:tab w:val="clear" w:pos="567"/>
        </w:tabs>
        <w:jc w:val="both"/>
        <w:rPr>
          <w:rFonts w:eastAsia="SimSun"/>
          <w:szCs w:val="22"/>
          <w:u w:val="single"/>
          <w:lang w:val="hr-HR"/>
        </w:rPr>
      </w:pPr>
    </w:p>
    <w:p w14:paraId="5FE577AC" w14:textId="77777777" w:rsidR="00E60FC3" w:rsidRPr="009A2813" w:rsidRDefault="00E60FC3" w:rsidP="00CC4A65">
      <w:pPr>
        <w:pStyle w:val="CommentText"/>
        <w:jc w:val="both"/>
        <w:rPr>
          <w:sz w:val="22"/>
          <w:szCs w:val="22"/>
          <w:lang w:val="hr-HR"/>
        </w:rPr>
      </w:pPr>
      <w:r w:rsidRPr="009A2813">
        <w:rPr>
          <w:sz w:val="22"/>
          <w:szCs w:val="22"/>
          <w:lang w:val="hr-HR"/>
        </w:rPr>
        <w:t>U sedam kliničkih ispitivanja faze 2 i faze 3,</w:t>
      </w:r>
      <w:r w:rsidRPr="009A2813">
        <w:rPr>
          <w:i/>
          <w:sz w:val="22"/>
          <w:szCs w:val="22"/>
          <w:lang w:val="hr-HR"/>
        </w:rPr>
        <w:t xml:space="preserve"> </w:t>
      </w:r>
      <w:r w:rsidRPr="009A2813">
        <w:rPr>
          <w:sz w:val="22"/>
          <w:szCs w:val="22"/>
          <w:lang w:val="hr-HR"/>
        </w:rPr>
        <w:t>2024 odrasle osobe su liječene lijekom Zavicefta. Najčešće neželjene reakcije koje su se javljale kod ≥5% pacijenata liječenih lijekom Zavicefta bili su pozitivni rezultati na direktnom testu Coombs, mučnina i dijareja. Mučnina i dijareja su obično bili blagi ili umjereni po intenzitetu.</w:t>
      </w:r>
    </w:p>
    <w:p w14:paraId="012CED76" w14:textId="77777777" w:rsidR="004C033F" w:rsidRPr="009A2813" w:rsidRDefault="004C033F" w:rsidP="00CC4A65">
      <w:pPr>
        <w:autoSpaceDE w:val="0"/>
        <w:autoSpaceDN w:val="0"/>
        <w:adjustRightInd w:val="0"/>
        <w:jc w:val="both"/>
        <w:rPr>
          <w:color w:val="000000"/>
          <w:szCs w:val="22"/>
          <w:lang w:val="hr-HR"/>
        </w:rPr>
      </w:pPr>
    </w:p>
    <w:p w14:paraId="339E7187" w14:textId="77777777" w:rsidR="002D3374" w:rsidRPr="009A2813" w:rsidRDefault="002D3374" w:rsidP="00CC4A65">
      <w:pPr>
        <w:keepNext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hr-HR"/>
        </w:rPr>
      </w:pPr>
      <w:r w:rsidRPr="009A2813">
        <w:rPr>
          <w:color w:val="000000"/>
          <w:szCs w:val="22"/>
          <w:u w:val="single"/>
          <w:lang w:val="hr-HR"/>
        </w:rPr>
        <w:t>Tabelarni prikaz neželjenih reakcija</w:t>
      </w:r>
    </w:p>
    <w:p w14:paraId="60762195" w14:textId="77777777" w:rsidR="002F69E7" w:rsidRPr="009A2813" w:rsidRDefault="002F69E7" w:rsidP="00CC4A65">
      <w:pPr>
        <w:keepNext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hr-HR"/>
        </w:rPr>
      </w:pPr>
    </w:p>
    <w:p w14:paraId="2EF338CB" w14:textId="77777777" w:rsidR="004C033F" w:rsidRPr="009A2813" w:rsidRDefault="004C033F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color w:val="000000"/>
          <w:szCs w:val="22"/>
          <w:lang w:val="hr-HR"/>
        </w:rPr>
        <w:t>Sljedeće neželjene reakcije</w:t>
      </w:r>
      <w:r w:rsidRPr="009A2813">
        <w:rPr>
          <w:szCs w:val="22"/>
          <w:lang w:val="hr-HR"/>
        </w:rPr>
        <w:t xml:space="preserve"> su prijavljene sa samim ceftazidimom i/ili identifikovane tokom ispitivanja faze 2 i faze 3 sa lijekom </w:t>
      </w:r>
      <w:r w:rsidRPr="009A2813">
        <w:rPr>
          <w:color w:val="000000"/>
          <w:szCs w:val="22"/>
          <w:lang w:val="hr-HR"/>
        </w:rPr>
        <w:t>Zavicefta</w:t>
      </w:r>
      <w:r w:rsidRPr="009A2813">
        <w:rPr>
          <w:szCs w:val="22"/>
          <w:lang w:val="hr-HR"/>
        </w:rPr>
        <w:t>. Neželjene reakcije su klasifikovane prema učestalosti i organskom sistemu. Kategorije učestalosti su izvedene iz neželjenih reakcija i/ili potencijalno klinički značajnih laboratorijskih abnormalnosti i definisane su prema sljedećim konvencijama:</w:t>
      </w:r>
    </w:p>
    <w:p w14:paraId="43D695DE" w14:textId="77777777" w:rsidR="004C033F" w:rsidRPr="009A2813" w:rsidRDefault="004C033F" w:rsidP="00B97F09">
      <w:pPr>
        <w:autoSpaceDE w:val="0"/>
        <w:autoSpaceDN w:val="0"/>
        <w:adjustRightInd w:val="0"/>
        <w:jc w:val="both"/>
        <w:rPr>
          <w:szCs w:val="22"/>
          <w:lang w:val="hr-HR"/>
        </w:rPr>
      </w:pPr>
    </w:p>
    <w:p w14:paraId="1A40427D" w14:textId="77777777" w:rsidR="004C033F" w:rsidRPr="009A2813" w:rsidRDefault="004C033F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Veoma česte (≥1/10)</w:t>
      </w:r>
    </w:p>
    <w:p w14:paraId="2E436AE9" w14:textId="77777777" w:rsidR="004C033F" w:rsidRPr="009A2813" w:rsidRDefault="004C033F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Česte (≥1/100 i &lt;1/10)</w:t>
      </w:r>
    </w:p>
    <w:p w14:paraId="6B693AA4" w14:textId="77777777" w:rsidR="004C033F" w:rsidRPr="009A2813" w:rsidRDefault="004C033F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Povremene (≥1/1.000 i &lt;1/100)</w:t>
      </w:r>
    </w:p>
    <w:p w14:paraId="3EFBA927" w14:textId="77777777" w:rsidR="004C033F" w:rsidRPr="009A2813" w:rsidRDefault="004C033F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Rijetke (≥1/10.000 i &lt;1/1000)</w:t>
      </w:r>
    </w:p>
    <w:p w14:paraId="57951582" w14:textId="77777777" w:rsidR="004C033F" w:rsidRPr="009A2813" w:rsidRDefault="004C033F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Veoma rijetke (&lt;1/10.000)</w:t>
      </w:r>
    </w:p>
    <w:p w14:paraId="0D66FBFD" w14:textId="77777777" w:rsidR="004C033F" w:rsidRPr="009A2813" w:rsidRDefault="004C033F" w:rsidP="00B97F09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Nepoznato (nije moguće procijeniti na osnovu raspoloživih podataka)</w:t>
      </w:r>
    </w:p>
    <w:p w14:paraId="42DDD1A2" w14:textId="77777777" w:rsidR="004C033F" w:rsidRPr="009A2813" w:rsidRDefault="004C033F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</w:p>
    <w:p w14:paraId="52BFFA95" w14:textId="4A456F76" w:rsidR="004C033F" w:rsidRPr="009A2813" w:rsidRDefault="004C033F" w:rsidP="00B97F09">
      <w:pPr>
        <w:keepNext/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lastRenderedPageBreak/>
        <w:t xml:space="preserve">Tabela </w:t>
      </w:r>
      <w:r w:rsidR="00BB3258" w:rsidRPr="009A2813">
        <w:rPr>
          <w:szCs w:val="22"/>
          <w:lang w:val="hr-HR"/>
        </w:rPr>
        <w:t>7</w:t>
      </w:r>
      <w:r w:rsidRPr="009A2813">
        <w:rPr>
          <w:szCs w:val="22"/>
          <w:lang w:val="hr-HR"/>
        </w:rPr>
        <w:t>: Učestalost neželjenih reakcija prema organskom sistemu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048"/>
        <w:gridCol w:w="1819"/>
        <w:gridCol w:w="1829"/>
        <w:gridCol w:w="1653"/>
        <w:gridCol w:w="1589"/>
      </w:tblGrid>
      <w:tr w:rsidR="004C033F" w:rsidRPr="009A2813" w14:paraId="581A083D" w14:textId="77777777" w:rsidTr="00232933">
        <w:trPr>
          <w:tblHeader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8C2" w14:textId="3AA50959" w:rsidR="004C033F" w:rsidRPr="009A2813" w:rsidRDefault="004C033F" w:rsidP="00CC4A65">
            <w:pPr>
              <w:keepNext/>
              <w:jc w:val="both"/>
              <w:rPr>
                <w:b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Klasifikacija sistema</w:t>
            </w:r>
          </w:p>
          <w:p w14:paraId="29FD11F4" w14:textId="5CE1F089" w:rsidR="00906A75" w:rsidRPr="009A2813" w:rsidRDefault="00906A75" w:rsidP="00CC4A65">
            <w:pPr>
              <w:keepNext/>
              <w:jc w:val="both"/>
              <w:rPr>
                <w:b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organa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FBA" w14:textId="77777777" w:rsidR="004C033F" w:rsidRPr="009A2813" w:rsidRDefault="004C033F" w:rsidP="00CC4A65">
            <w:pPr>
              <w:keepNext/>
              <w:jc w:val="both"/>
              <w:rPr>
                <w:b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Veoma često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45A" w14:textId="77777777" w:rsidR="004C033F" w:rsidRPr="009A2813" w:rsidRDefault="004C033F" w:rsidP="00CC4A65">
            <w:pPr>
              <w:keepNext/>
              <w:jc w:val="both"/>
              <w:rPr>
                <w:b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Često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C30" w14:textId="77777777" w:rsidR="004C033F" w:rsidRPr="009A2813" w:rsidRDefault="004C033F" w:rsidP="00CC4A65">
            <w:pPr>
              <w:keepNext/>
              <w:jc w:val="both"/>
              <w:rPr>
                <w:b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Povremeno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899" w14:textId="77777777" w:rsidR="004C033F" w:rsidRPr="009A2813" w:rsidRDefault="004C033F" w:rsidP="00CC4A65">
            <w:pPr>
              <w:keepNext/>
              <w:jc w:val="both"/>
              <w:rPr>
                <w:b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Veoma rijetko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09" w14:textId="79DE3D36" w:rsidR="004C033F" w:rsidRPr="009A2813" w:rsidRDefault="00144FF3" w:rsidP="00CC4A65">
            <w:pPr>
              <w:keepNext/>
              <w:jc w:val="both"/>
              <w:rPr>
                <w:b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Nepoznato</w:t>
            </w:r>
          </w:p>
        </w:tc>
      </w:tr>
      <w:tr w:rsidR="004C033F" w:rsidRPr="009A2813" w14:paraId="56A37956" w14:textId="77777777" w:rsidTr="00232933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E5C5" w14:textId="77777777" w:rsidR="004C033F" w:rsidRPr="009A2813" w:rsidRDefault="004C033F" w:rsidP="00CC4A65">
            <w:pPr>
              <w:keepNext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Infekcije i infestacije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C010" w14:textId="77777777" w:rsidR="004C033F" w:rsidRPr="009A2813" w:rsidRDefault="004C033F" w:rsidP="00CC4A65">
            <w:pPr>
              <w:keepNext/>
              <w:jc w:val="both"/>
              <w:rPr>
                <w:szCs w:val="22"/>
                <w:lang w:val="hr-HR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547" w14:textId="77777777" w:rsidR="004C033F" w:rsidRPr="009A2813" w:rsidRDefault="004C033F" w:rsidP="00CC4A65">
            <w:pPr>
              <w:keepNext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Kandidijaza (uključujući vulvovaginalnu kandidijazu i oralnu kandidijazu)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A8DD" w14:textId="77777777" w:rsidR="004C033F" w:rsidRPr="009A2813" w:rsidRDefault="00780DC8" w:rsidP="00CC4A65">
            <w:pPr>
              <w:keepNext/>
              <w:jc w:val="both"/>
              <w:rPr>
                <w:i/>
                <w:szCs w:val="22"/>
                <w:lang w:val="hr-HR"/>
              </w:rPr>
            </w:pPr>
            <w:r w:rsidRPr="009A2813">
              <w:rPr>
                <w:i/>
                <w:szCs w:val="22"/>
                <w:lang w:val="hr-HR"/>
              </w:rPr>
              <w:t>Clostridioides difficile colitis</w:t>
            </w:r>
          </w:p>
          <w:p w14:paraId="4ED7F87B" w14:textId="77777777" w:rsidR="004C033F" w:rsidRPr="009A2813" w:rsidRDefault="004C033F" w:rsidP="00CC4A65">
            <w:pPr>
              <w:keepNext/>
              <w:jc w:val="both"/>
              <w:rPr>
                <w:szCs w:val="22"/>
                <w:lang w:val="hr-HR"/>
              </w:rPr>
            </w:pPr>
          </w:p>
          <w:p w14:paraId="4E646A7D" w14:textId="77777777" w:rsidR="004C033F" w:rsidRPr="009A2813" w:rsidRDefault="004C033F" w:rsidP="00CC4A65">
            <w:pPr>
              <w:keepNext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Pseudomembranozni kolitis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1526" w14:textId="77777777" w:rsidR="004C033F" w:rsidRPr="009A2813" w:rsidRDefault="004C033F" w:rsidP="00CC4A65">
            <w:pPr>
              <w:keepNext/>
              <w:jc w:val="both"/>
              <w:rPr>
                <w:szCs w:val="22"/>
                <w:lang w:val="hr-HR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78A" w14:textId="77777777" w:rsidR="004C033F" w:rsidRPr="009A2813" w:rsidRDefault="004C033F" w:rsidP="00CC4A65">
            <w:pPr>
              <w:keepNext/>
              <w:jc w:val="both"/>
              <w:rPr>
                <w:szCs w:val="22"/>
                <w:lang w:val="hr-HR"/>
              </w:rPr>
            </w:pPr>
          </w:p>
        </w:tc>
      </w:tr>
      <w:tr w:rsidR="004C033F" w:rsidRPr="009A2813" w14:paraId="03AFE1DA" w14:textId="77777777" w:rsidTr="00232933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9EA" w14:textId="77777777" w:rsidR="004C033F" w:rsidRPr="009A2813" w:rsidRDefault="004C033F" w:rsidP="00CC4A65">
            <w:pPr>
              <w:jc w:val="both"/>
              <w:rPr>
                <w:szCs w:val="22"/>
                <w:u w:val="single"/>
                <w:lang w:val="hr-HR"/>
              </w:rPr>
            </w:pPr>
            <w:r w:rsidRPr="009A2813">
              <w:rPr>
                <w:szCs w:val="22"/>
                <w:lang w:val="hr-HR"/>
              </w:rPr>
              <w:t>Poremećaji krvi i limfnog sistema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4F66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Coombsov direktni test pozitivan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CA48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Eozinofilija</w:t>
            </w:r>
          </w:p>
          <w:p w14:paraId="075BF7EA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6E42719F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Trombocitoza</w:t>
            </w:r>
          </w:p>
          <w:p w14:paraId="060DC1A6" w14:textId="77777777" w:rsidR="007A59AF" w:rsidRPr="009A2813" w:rsidRDefault="007A59AF" w:rsidP="00CC4A65">
            <w:pPr>
              <w:jc w:val="both"/>
              <w:rPr>
                <w:szCs w:val="22"/>
                <w:lang w:val="hr-HR"/>
              </w:rPr>
            </w:pPr>
          </w:p>
          <w:p w14:paraId="58CAAB89" w14:textId="77777777" w:rsidR="007A59AF" w:rsidRPr="009A2813" w:rsidRDefault="007A59A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Trombocitopenija</w:t>
            </w:r>
          </w:p>
          <w:p w14:paraId="72238361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D8F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Neutropenija</w:t>
            </w:r>
          </w:p>
          <w:p w14:paraId="1A390164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17F71606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Leukopenija</w:t>
            </w:r>
          </w:p>
          <w:p w14:paraId="7D149C99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1AC8912C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Limfocitoza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491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1F44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Agranulocitoza</w:t>
            </w:r>
          </w:p>
          <w:p w14:paraId="45A03D35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2F58FB5D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Hemolitička anemija</w:t>
            </w:r>
          </w:p>
        </w:tc>
      </w:tr>
      <w:tr w:rsidR="004C033F" w:rsidRPr="009A2813" w14:paraId="428159A6" w14:textId="77777777" w:rsidTr="00232933">
        <w:trPr>
          <w:trHeight w:val="53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B1E" w14:textId="77777777" w:rsidR="004C033F" w:rsidRPr="009A2813" w:rsidRDefault="004C033F" w:rsidP="00CC4A65">
            <w:pPr>
              <w:spacing w:line="240" w:lineRule="auto"/>
              <w:jc w:val="both"/>
              <w:rPr>
                <w:szCs w:val="22"/>
                <w:u w:val="single"/>
                <w:lang w:val="hr-HR"/>
              </w:rPr>
            </w:pPr>
            <w:r w:rsidRPr="009A2813">
              <w:rPr>
                <w:szCs w:val="22"/>
                <w:lang w:val="hr-HR"/>
              </w:rPr>
              <w:t>Poremećaji imunog sistema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3BD" w14:textId="77777777" w:rsidR="004C033F" w:rsidRPr="009A2813" w:rsidRDefault="004C033F" w:rsidP="00CC4A65">
            <w:pPr>
              <w:spacing w:line="240" w:lineRule="auto"/>
              <w:jc w:val="both"/>
              <w:rPr>
                <w:szCs w:val="22"/>
                <w:lang w:val="hr-HR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D915" w14:textId="77777777" w:rsidR="004C033F" w:rsidRPr="009A2813" w:rsidRDefault="004C033F" w:rsidP="00CC4A65">
            <w:pPr>
              <w:spacing w:line="240" w:lineRule="auto"/>
              <w:jc w:val="both"/>
              <w:rPr>
                <w:szCs w:val="22"/>
                <w:lang w:val="hr-H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925" w14:textId="77777777" w:rsidR="004C033F" w:rsidRPr="009A2813" w:rsidRDefault="004C033F" w:rsidP="00CC4A65">
            <w:pPr>
              <w:spacing w:line="240" w:lineRule="auto"/>
              <w:jc w:val="both"/>
              <w:rPr>
                <w:szCs w:val="22"/>
                <w:lang w:val="hr-H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D93" w14:textId="77777777" w:rsidR="004C033F" w:rsidRPr="009A2813" w:rsidRDefault="004C033F" w:rsidP="00CC4A65">
            <w:pPr>
              <w:spacing w:line="240" w:lineRule="auto"/>
              <w:jc w:val="both"/>
              <w:rPr>
                <w:szCs w:val="22"/>
                <w:lang w:val="hr-HR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112" w14:textId="4861FEA7" w:rsidR="004C033F" w:rsidRPr="009A2813" w:rsidRDefault="004C033F" w:rsidP="00CC4A65">
            <w:pPr>
              <w:spacing w:line="240" w:lineRule="auto"/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Anafilaktička reakcija</w:t>
            </w:r>
          </w:p>
        </w:tc>
      </w:tr>
      <w:tr w:rsidR="004C033F" w:rsidRPr="009A2813" w14:paraId="6F9B2CE1" w14:textId="77777777" w:rsidTr="00232933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124A" w14:textId="77777777" w:rsidR="004C033F" w:rsidRPr="009A2813" w:rsidRDefault="004C033F" w:rsidP="00CC4A65">
            <w:pPr>
              <w:jc w:val="both"/>
              <w:rPr>
                <w:szCs w:val="22"/>
                <w:u w:val="single"/>
                <w:lang w:val="hr-HR"/>
              </w:rPr>
            </w:pPr>
            <w:r w:rsidRPr="009A2813">
              <w:rPr>
                <w:szCs w:val="22"/>
                <w:lang w:val="hr-HR"/>
              </w:rPr>
              <w:t>Poremećaji nervnog sistema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AAF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155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Glavobolja</w:t>
            </w:r>
          </w:p>
          <w:p w14:paraId="00C397D8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6AA4E466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Vrtoglavica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054" w14:textId="77777777" w:rsidR="004C033F" w:rsidRPr="009A2813" w:rsidRDefault="00274A37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Parestezija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4D0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16C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48047F79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</w:tr>
      <w:tr w:rsidR="00824507" w:rsidRPr="009A2813" w14:paraId="2296F9EE" w14:textId="77777777" w:rsidTr="00232933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0BC" w14:textId="67A95F6B" w:rsidR="00824507" w:rsidRPr="009A2813" w:rsidRDefault="00824507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Srčani poremećaji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8D6" w14:textId="77777777" w:rsidR="00824507" w:rsidRPr="009A2813" w:rsidRDefault="00824507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89BA" w14:textId="77777777" w:rsidR="00824507" w:rsidRPr="009A2813" w:rsidRDefault="00824507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96B" w14:textId="77777777" w:rsidR="00824507" w:rsidRPr="009A2813" w:rsidRDefault="00824507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9A8" w14:textId="77777777" w:rsidR="00824507" w:rsidRPr="009A2813" w:rsidRDefault="00824507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F6E" w14:textId="0F67A4F7" w:rsidR="00824507" w:rsidRPr="009A2813" w:rsidRDefault="00441F69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Kounis sindrom</w:t>
            </w:r>
            <w:r w:rsidRPr="009A2813">
              <w:rPr>
                <w:szCs w:val="22"/>
                <w:vertAlign w:val="superscript"/>
                <w:lang w:val="hr-HR"/>
              </w:rPr>
              <w:t>a,*</w:t>
            </w:r>
          </w:p>
        </w:tc>
      </w:tr>
      <w:tr w:rsidR="004C033F" w:rsidRPr="009A2813" w14:paraId="7AE7AA58" w14:textId="77777777" w:rsidTr="00232933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178" w14:textId="77777777" w:rsidR="004C033F" w:rsidRPr="009A2813" w:rsidRDefault="004C033F" w:rsidP="00CC4A65">
            <w:pPr>
              <w:jc w:val="both"/>
              <w:rPr>
                <w:szCs w:val="22"/>
                <w:u w:val="single"/>
                <w:lang w:val="hr-HR"/>
              </w:rPr>
            </w:pPr>
            <w:r w:rsidRPr="009A2813">
              <w:rPr>
                <w:szCs w:val="22"/>
                <w:lang w:val="hr-HR"/>
              </w:rPr>
              <w:t>Gastrointestinalni poremećaji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AA3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DB73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Dijareja </w:t>
            </w:r>
          </w:p>
          <w:p w14:paraId="4187848C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06F4CA6D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Bol u stomaku</w:t>
            </w:r>
          </w:p>
          <w:p w14:paraId="780669B9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2912CBE7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Mučnina</w:t>
            </w:r>
          </w:p>
          <w:p w14:paraId="512533C2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1B3F8753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Povraćanje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991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Disgeuzija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5548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A52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</w:tr>
      <w:tr w:rsidR="004C033F" w:rsidRPr="009A2813" w14:paraId="34CB09FE" w14:textId="77777777" w:rsidTr="00232933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FB04" w14:textId="77777777" w:rsidR="004C033F" w:rsidRPr="009A2813" w:rsidRDefault="004C033F" w:rsidP="00CC4A65">
            <w:pPr>
              <w:jc w:val="both"/>
              <w:rPr>
                <w:szCs w:val="22"/>
                <w:u w:val="single"/>
                <w:lang w:val="hr-HR"/>
              </w:rPr>
            </w:pPr>
            <w:r w:rsidRPr="009A2813">
              <w:rPr>
                <w:szCs w:val="22"/>
                <w:lang w:val="hr-HR"/>
              </w:rPr>
              <w:t>Poremećaji jetre i žuči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479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C64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Povećana alanin aminotransferaza</w:t>
            </w:r>
          </w:p>
          <w:p w14:paraId="5791B847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0C574E5E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Povećana aspartat aminotransferaza</w:t>
            </w:r>
          </w:p>
          <w:p w14:paraId="0C662612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45CF43AD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Povećana alkalna fosfataza u krvi</w:t>
            </w:r>
          </w:p>
          <w:p w14:paraId="3B641419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0963CB2B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Povećana gama-glutamiltransferaza</w:t>
            </w:r>
          </w:p>
          <w:p w14:paraId="5475DA0E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483B3615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Laktat dehidrogenaza u krvi</w:t>
            </w:r>
          </w:p>
          <w:p w14:paraId="2296AC28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povišena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CEC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AA9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6B0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Žutica</w:t>
            </w:r>
          </w:p>
        </w:tc>
      </w:tr>
      <w:tr w:rsidR="004C033F" w:rsidRPr="009A2813" w14:paraId="4FDC97C2" w14:textId="77777777" w:rsidTr="00232933">
        <w:trPr>
          <w:trHeight w:val="134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6C2" w14:textId="77777777" w:rsidR="004C033F" w:rsidRPr="009A2813" w:rsidRDefault="004C033F" w:rsidP="00CC4A65">
            <w:pPr>
              <w:jc w:val="both"/>
              <w:rPr>
                <w:szCs w:val="22"/>
                <w:u w:val="single"/>
                <w:lang w:val="hr-HR"/>
              </w:rPr>
            </w:pPr>
            <w:r w:rsidRPr="009A2813">
              <w:rPr>
                <w:szCs w:val="22"/>
                <w:lang w:val="hr-HR"/>
              </w:rPr>
              <w:t>Poremećaji kože i potkožnog tkiva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73E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541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Osip makulo-papularan</w:t>
            </w:r>
          </w:p>
          <w:p w14:paraId="317BDD24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77DF6F56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Urtikarija</w:t>
            </w:r>
          </w:p>
          <w:p w14:paraId="51BF3E76" w14:textId="77777777" w:rsidR="007A59AF" w:rsidRPr="009A2813" w:rsidRDefault="007A59AF" w:rsidP="00CC4A65">
            <w:pPr>
              <w:jc w:val="both"/>
              <w:rPr>
                <w:szCs w:val="22"/>
                <w:lang w:val="hr-HR"/>
              </w:rPr>
            </w:pPr>
          </w:p>
          <w:p w14:paraId="30CC1766" w14:textId="77777777" w:rsidR="007A59AF" w:rsidRPr="009A2813" w:rsidRDefault="007A59A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Svrab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86D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B54E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4A8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Toksična epidermalna nekroliza</w:t>
            </w:r>
          </w:p>
          <w:p w14:paraId="3AD8BA46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276ECFB8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Stevens-Johnsonov sindrom</w:t>
            </w:r>
          </w:p>
          <w:p w14:paraId="612399D6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2DD19856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Multiformni eritem</w:t>
            </w:r>
          </w:p>
          <w:p w14:paraId="5CCDDCCE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609CA233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Angioedem</w:t>
            </w:r>
          </w:p>
          <w:p w14:paraId="740776C9" w14:textId="77777777" w:rsidR="000F73F7" w:rsidRPr="009A2813" w:rsidRDefault="000F73F7" w:rsidP="00CC4A65">
            <w:pPr>
              <w:jc w:val="both"/>
              <w:rPr>
                <w:szCs w:val="22"/>
                <w:lang w:val="hr-HR"/>
              </w:rPr>
            </w:pPr>
          </w:p>
          <w:p w14:paraId="5D64EB50" w14:textId="77777777" w:rsidR="000F73F7" w:rsidRPr="009A2813" w:rsidRDefault="000F73F7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Reakcija na lijek sa eozinofilijom i sistemskim simptomima (DRESS)</w:t>
            </w:r>
          </w:p>
          <w:p w14:paraId="03A4444B" w14:textId="77777777" w:rsidR="000F73F7" w:rsidRPr="009A2813" w:rsidRDefault="000F73F7" w:rsidP="00CC4A65">
            <w:pPr>
              <w:jc w:val="both"/>
              <w:rPr>
                <w:szCs w:val="22"/>
                <w:lang w:val="hr-HR"/>
              </w:rPr>
            </w:pPr>
          </w:p>
        </w:tc>
      </w:tr>
      <w:tr w:rsidR="004C033F" w:rsidRPr="009A2813" w14:paraId="66A4567B" w14:textId="77777777" w:rsidTr="00232933">
        <w:trPr>
          <w:trHeight w:val="238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540" w14:textId="77777777" w:rsidR="004C033F" w:rsidRPr="009A2813" w:rsidRDefault="004C033F" w:rsidP="00CC4A65">
            <w:pPr>
              <w:jc w:val="both"/>
              <w:rPr>
                <w:szCs w:val="22"/>
                <w:u w:val="single"/>
                <w:lang w:val="hr-HR"/>
              </w:rPr>
            </w:pPr>
            <w:r w:rsidRPr="009A2813">
              <w:rPr>
                <w:szCs w:val="22"/>
                <w:lang w:val="hr-HR"/>
              </w:rPr>
              <w:lastRenderedPageBreak/>
              <w:t>Poremećaji bubrega i urinarnog sistema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E80A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822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DF8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Povećan kreatinin u krvi </w:t>
            </w:r>
          </w:p>
          <w:p w14:paraId="573DF968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7F95DD59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Povećana urea u krvi</w:t>
            </w:r>
          </w:p>
          <w:p w14:paraId="3359A5FB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11415166" w14:textId="77777777" w:rsidR="004C033F" w:rsidRPr="009A2813" w:rsidRDefault="00D937A1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Akutna povreda bubrega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66E9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Tubulointersticijski nefritis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C9B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</w:tr>
      <w:tr w:rsidR="004C033F" w:rsidRPr="009A2813" w14:paraId="3BAED1C3" w14:textId="77777777" w:rsidTr="00232933">
        <w:trPr>
          <w:trHeight w:val="256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9429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Opšti poremećaji i reakcije na mjestu primjene</w:t>
            </w:r>
          </w:p>
          <w:p w14:paraId="30BEBCD1" w14:textId="77777777" w:rsidR="004C033F" w:rsidRPr="009A2813" w:rsidRDefault="004C033F" w:rsidP="00CC4A65">
            <w:pPr>
              <w:jc w:val="both"/>
              <w:rPr>
                <w:szCs w:val="22"/>
                <w:u w:val="single"/>
                <w:lang w:val="hr-H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6230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911F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Tromboza na mjestu infuzije</w:t>
            </w:r>
          </w:p>
          <w:p w14:paraId="1E712941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76487807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Flebitis na mjestu infuzije</w:t>
            </w:r>
          </w:p>
          <w:p w14:paraId="5531A771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  <w:p w14:paraId="6CF1807A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Povišena temperatura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DC7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CAB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0DB" w14:textId="77777777" w:rsidR="004C033F" w:rsidRPr="009A2813" w:rsidRDefault="004C033F" w:rsidP="00CC4A65">
            <w:pPr>
              <w:jc w:val="both"/>
              <w:rPr>
                <w:szCs w:val="22"/>
                <w:lang w:val="hr-HR"/>
              </w:rPr>
            </w:pPr>
          </w:p>
        </w:tc>
      </w:tr>
    </w:tbl>
    <w:p w14:paraId="76922D8A" w14:textId="34696275" w:rsidR="00232933" w:rsidRPr="009A2813" w:rsidRDefault="00232933" w:rsidP="00CC4A65">
      <w:pPr>
        <w:pStyle w:val="A-Single"/>
        <w:ind w:firstLine="142"/>
        <w:jc w:val="both"/>
        <w:rPr>
          <w:sz w:val="22"/>
          <w:szCs w:val="22"/>
          <w:lang w:val="hr-HR"/>
        </w:rPr>
      </w:pPr>
      <w:r w:rsidRPr="009A2813">
        <w:rPr>
          <w:sz w:val="22"/>
          <w:szCs w:val="22"/>
          <w:vertAlign w:val="superscript"/>
          <w:lang w:val="hr-HR"/>
        </w:rPr>
        <w:t xml:space="preserve">* </w:t>
      </w:r>
      <w:r w:rsidR="00E23D92" w:rsidRPr="009A2813">
        <w:rPr>
          <w:rStyle w:val="ui-provider"/>
          <w:sz w:val="22"/>
          <w:szCs w:val="22"/>
          <w:lang w:val="hr-HR"/>
        </w:rPr>
        <w:t>Neželjena reakcija na lijek (</w:t>
      </w:r>
      <w:r w:rsidRPr="009A2813">
        <w:rPr>
          <w:rStyle w:val="ui-provider"/>
          <w:sz w:val="22"/>
          <w:szCs w:val="22"/>
          <w:lang w:val="hr-HR"/>
        </w:rPr>
        <w:t>ADR</w:t>
      </w:r>
      <w:r w:rsidR="00E23D92" w:rsidRPr="009A2813">
        <w:rPr>
          <w:rStyle w:val="ui-provider"/>
          <w:sz w:val="22"/>
          <w:szCs w:val="22"/>
          <w:lang w:val="hr-HR"/>
        </w:rPr>
        <w:t>)</w:t>
      </w:r>
      <w:r w:rsidRPr="009A2813">
        <w:rPr>
          <w:rStyle w:val="ui-provider"/>
          <w:sz w:val="22"/>
          <w:szCs w:val="22"/>
          <w:lang w:val="hr-HR"/>
        </w:rPr>
        <w:t xml:space="preserve"> identifikovan</w:t>
      </w:r>
      <w:r w:rsidR="00E23D92" w:rsidRPr="009A2813">
        <w:rPr>
          <w:rStyle w:val="ui-provider"/>
          <w:sz w:val="22"/>
          <w:szCs w:val="22"/>
          <w:lang w:val="hr-HR"/>
        </w:rPr>
        <w:t>a</w:t>
      </w:r>
      <w:r w:rsidRPr="009A2813">
        <w:rPr>
          <w:rStyle w:val="ui-provider"/>
          <w:sz w:val="22"/>
          <w:szCs w:val="22"/>
          <w:lang w:val="hr-HR"/>
        </w:rPr>
        <w:t xml:space="preserve"> nakon stavljanja </w:t>
      </w:r>
      <w:r w:rsidR="00E23D92" w:rsidRPr="009A2813">
        <w:rPr>
          <w:rStyle w:val="ui-provider"/>
          <w:sz w:val="22"/>
          <w:szCs w:val="22"/>
          <w:lang w:val="hr-HR"/>
        </w:rPr>
        <w:t xml:space="preserve">lijeka </w:t>
      </w:r>
      <w:r w:rsidRPr="009A2813">
        <w:rPr>
          <w:rStyle w:val="ui-provider"/>
          <w:sz w:val="22"/>
          <w:szCs w:val="22"/>
          <w:lang w:val="hr-HR"/>
        </w:rPr>
        <w:t>u promet.</w:t>
      </w:r>
    </w:p>
    <w:p w14:paraId="30D481D1" w14:textId="41BB9355" w:rsidR="00020776" w:rsidRPr="009A2813" w:rsidRDefault="00020776" w:rsidP="00CC4A65">
      <w:pPr>
        <w:pStyle w:val="A-Single"/>
        <w:ind w:firstLine="142"/>
        <w:jc w:val="both"/>
        <w:rPr>
          <w:sz w:val="22"/>
          <w:szCs w:val="22"/>
          <w:lang w:val="hr-HR"/>
        </w:rPr>
      </w:pPr>
      <w:r w:rsidRPr="009A2813">
        <w:rPr>
          <w:sz w:val="22"/>
          <w:szCs w:val="22"/>
          <w:vertAlign w:val="superscript"/>
          <w:lang w:val="hr-HR"/>
        </w:rPr>
        <w:t xml:space="preserve">a </w:t>
      </w:r>
      <w:r w:rsidRPr="009A2813">
        <w:rPr>
          <w:sz w:val="22"/>
          <w:szCs w:val="22"/>
          <w:lang w:val="hr-HR"/>
        </w:rPr>
        <w:t>Akutni koronarni sindrom povezan sa alergijskom reakcijom.</w:t>
      </w:r>
    </w:p>
    <w:p w14:paraId="3CB1F796" w14:textId="77777777" w:rsidR="004C033F" w:rsidRPr="009A2813" w:rsidRDefault="004C033F" w:rsidP="00B97F09">
      <w:pPr>
        <w:autoSpaceDE w:val="0"/>
        <w:autoSpaceDN w:val="0"/>
        <w:adjustRightInd w:val="0"/>
        <w:jc w:val="both"/>
        <w:rPr>
          <w:b/>
          <w:i/>
          <w:szCs w:val="22"/>
          <w:lang w:val="hr-HR"/>
        </w:rPr>
      </w:pPr>
    </w:p>
    <w:p w14:paraId="127415DA" w14:textId="77777777" w:rsidR="008578CB" w:rsidRPr="009A2813" w:rsidRDefault="008578CB" w:rsidP="00CC4A65">
      <w:pPr>
        <w:keepNext/>
        <w:keepLines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Pedijatrijska populacija</w:t>
      </w:r>
    </w:p>
    <w:p w14:paraId="5DDF114F" w14:textId="77777777" w:rsidR="00F24D21" w:rsidRPr="009A2813" w:rsidRDefault="00F24D21" w:rsidP="003617AF">
      <w:pPr>
        <w:keepNext/>
        <w:keepLines/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val="hr-HR"/>
        </w:rPr>
      </w:pPr>
    </w:p>
    <w:p w14:paraId="58879635" w14:textId="4D2A095F" w:rsidR="003617AF" w:rsidRPr="00B41558" w:rsidRDefault="00171576" w:rsidP="003617AF">
      <w:pPr>
        <w:keepNext/>
        <w:keepLines/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Pacijenti od</w:t>
      </w:r>
      <w:r w:rsidR="003617AF" w:rsidRPr="00B41558">
        <w:rPr>
          <w:i/>
          <w:iCs/>
          <w:szCs w:val="22"/>
          <w:lang w:val="hr-HR"/>
        </w:rPr>
        <w:t xml:space="preserve"> rođenja do manje od 3 mjeseca starosti</w:t>
      </w:r>
    </w:p>
    <w:p w14:paraId="3BFEDC95" w14:textId="008399BE" w:rsidR="003617AF" w:rsidRPr="00B41558" w:rsidRDefault="003617AF" w:rsidP="003617AF">
      <w:pPr>
        <w:keepNext/>
        <w:keepLines/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B41558">
        <w:rPr>
          <w:szCs w:val="22"/>
          <w:lang w:val="hr-HR"/>
        </w:rPr>
        <w:t>Procjena bezbjednosti kod novorođenčadi i odojčadi mlađih od 3 mjeseca zasniva se na podacima o bezbjednosti iz jedne kliničke studije u kojoj je 46 pacijenata (od rođenja do manje od 3 mjeseca starosti) primilo</w:t>
      </w:r>
      <w:r w:rsidR="00171576">
        <w:rPr>
          <w:szCs w:val="22"/>
          <w:lang w:val="hr-HR"/>
        </w:rPr>
        <w:t xml:space="preserve"> lijek</w:t>
      </w:r>
      <w:r w:rsidRPr="00B41558">
        <w:rPr>
          <w:szCs w:val="22"/>
          <w:lang w:val="hr-HR"/>
        </w:rPr>
        <w:t xml:space="preserve"> Zavicefta. Uopšteno, prijavljene neželjene reakcije kod ovih 46 pedijatrijskih pacijenata bile su u skladu sa poznatim bezb</w:t>
      </w:r>
      <w:r w:rsidR="008E2B5D" w:rsidRPr="00B41558">
        <w:rPr>
          <w:szCs w:val="22"/>
          <w:lang w:val="hr-HR"/>
        </w:rPr>
        <w:t>j</w:t>
      </w:r>
      <w:r w:rsidRPr="00B41558">
        <w:rPr>
          <w:szCs w:val="22"/>
          <w:lang w:val="hr-HR"/>
        </w:rPr>
        <w:t xml:space="preserve">ednosnim profilom </w:t>
      </w:r>
      <w:r w:rsidR="00171576">
        <w:rPr>
          <w:szCs w:val="22"/>
          <w:lang w:val="hr-HR"/>
        </w:rPr>
        <w:t xml:space="preserve">lijeka </w:t>
      </w:r>
      <w:r w:rsidRPr="00B41558">
        <w:rPr>
          <w:szCs w:val="22"/>
          <w:lang w:val="hr-HR"/>
        </w:rPr>
        <w:t>Zavicefta kod starijih populacija (tj. pedijatrijskih pacijenata od 3 m</w:t>
      </w:r>
      <w:r w:rsidR="008E2B5D" w:rsidRPr="00B41558">
        <w:rPr>
          <w:szCs w:val="22"/>
          <w:lang w:val="hr-HR"/>
        </w:rPr>
        <w:t>je</w:t>
      </w:r>
      <w:r w:rsidRPr="00B41558">
        <w:rPr>
          <w:szCs w:val="22"/>
          <w:lang w:val="hr-HR"/>
        </w:rPr>
        <w:t>seca starosti i odraslih).</w:t>
      </w:r>
    </w:p>
    <w:p w14:paraId="06AC02E1" w14:textId="77777777" w:rsidR="008E2B5D" w:rsidRPr="00B41558" w:rsidRDefault="008E2B5D" w:rsidP="003617AF">
      <w:pPr>
        <w:keepNext/>
        <w:keepLines/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</w:p>
    <w:p w14:paraId="3B611ED7" w14:textId="2C016AF6" w:rsidR="003617AF" w:rsidRPr="00B41558" w:rsidRDefault="00171576" w:rsidP="003617AF">
      <w:pPr>
        <w:keepNext/>
        <w:keepLines/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Pacijenti s</w:t>
      </w:r>
      <w:r w:rsidR="003617AF" w:rsidRPr="00B41558">
        <w:rPr>
          <w:i/>
          <w:iCs/>
          <w:szCs w:val="22"/>
          <w:lang w:val="hr-HR"/>
        </w:rPr>
        <w:t>tarost</w:t>
      </w:r>
      <w:r>
        <w:rPr>
          <w:i/>
          <w:iCs/>
          <w:szCs w:val="22"/>
          <w:lang w:val="hr-HR"/>
        </w:rPr>
        <w:t xml:space="preserve">i </w:t>
      </w:r>
      <w:r w:rsidR="003617AF" w:rsidRPr="00B41558">
        <w:rPr>
          <w:i/>
          <w:iCs/>
          <w:szCs w:val="22"/>
          <w:lang w:val="hr-HR"/>
        </w:rPr>
        <w:t xml:space="preserve">3 </w:t>
      </w:r>
      <w:r w:rsidR="008E2B5D" w:rsidRPr="00B41558">
        <w:rPr>
          <w:i/>
          <w:iCs/>
          <w:szCs w:val="22"/>
          <w:lang w:val="hr-HR"/>
        </w:rPr>
        <w:t>mj</w:t>
      </w:r>
      <w:r w:rsidR="003617AF" w:rsidRPr="00B41558">
        <w:rPr>
          <w:i/>
          <w:iCs/>
          <w:szCs w:val="22"/>
          <w:lang w:val="hr-HR"/>
        </w:rPr>
        <w:t xml:space="preserve">eseca i </w:t>
      </w:r>
      <w:r>
        <w:rPr>
          <w:i/>
          <w:iCs/>
          <w:szCs w:val="22"/>
          <w:lang w:val="hr-HR"/>
        </w:rPr>
        <w:t>stariji</w:t>
      </w:r>
    </w:p>
    <w:p w14:paraId="159F541A" w14:textId="26A03BCB" w:rsidR="009C615C" w:rsidRPr="009A2813" w:rsidRDefault="009C615C" w:rsidP="00CC4A65">
      <w:pPr>
        <w:pStyle w:val="NormalWeb"/>
        <w:spacing w:before="0" w:beforeAutospacing="0" w:after="0"/>
        <w:jc w:val="both"/>
        <w:rPr>
          <w:color w:val="auto"/>
          <w:sz w:val="22"/>
          <w:szCs w:val="22"/>
          <w:lang w:val="hr-HR"/>
        </w:rPr>
      </w:pPr>
      <w:r w:rsidRPr="009A2813">
        <w:rPr>
          <w:color w:val="auto"/>
          <w:sz w:val="22"/>
          <w:szCs w:val="22"/>
          <w:lang w:val="hr-HR"/>
        </w:rPr>
        <w:t>Procjena bezbjednosti kod pedijatrijskih pacijenata</w:t>
      </w:r>
      <w:r w:rsidR="00A30C3F" w:rsidRPr="009A2813">
        <w:rPr>
          <w:color w:val="auto"/>
          <w:sz w:val="22"/>
          <w:szCs w:val="22"/>
          <w:lang w:val="hr-HR"/>
        </w:rPr>
        <w:t xml:space="preserve"> starosti 3 mjeseca i više</w:t>
      </w:r>
      <w:r w:rsidRPr="009A2813">
        <w:rPr>
          <w:color w:val="auto"/>
          <w:sz w:val="22"/>
          <w:szCs w:val="22"/>
          <w:lang w:val="hr-HR"/>
        </w:rPr>
        <w:t xml:space="preserve"> zasnovana je na podacima o bezbjednosti iz dva ispitivanja u kojima su 61 pacijent (</w:t>
      </w:r>
      <w:r w:rsidR="00906A75" w:rsidRPr="009A2813">
        <w:rPr>
          <w:color w:val="auto"/>
          <w:sz w:val="22"/>
          <w:szCs w:val="22"/>
          <w:lang w:val="hr-HR"/>
        </w:rPr>
        <w:t>uzrasta</w:t>
      </w:r>
      <w:r w:rsidRPr="009A2813">
        <w:rPr>
          <w:color w:val="auto"/>
          <w:sz w:val="22"/>
          <w:szCs w:val="22"/>
          <w:lang w:val="hr-HR"/>
        </w:rPr>
        <w:t xml:space="preserve"> od 3 godine do manje od 18 godina) sa cIAI</w:t>
      </w:r>
      <w:r w:rsidRPr="009A2813">
        <w:rPr>
          <w:sz w:val="22"/>
          <w:szCs w:val="22"/>
          <w:lang w:val="hr-HR"/>
        </w:rPr>
        <w:t xml:space="preserve"> </w:t>
      </w:r>
      <w:r w:rsidRPr="009A2813">
        <w:rPr>
          <w:color w:val="auto"/>
          <w:sz w:val="22"/>
          <w:szCs w:val="22"/>
          <w:lang w:val="hr-HR"/>
        </w:rPr>
        <w:t xml:space="preserve">i 67 pacijenata sa cUTI (starosti od 3 mjeseca do manje od 18 godina) primali lijek Zavicefta. Uopšteno, bezbjednosni profil kod ovih 128 </w:t>
      </w:r>
      <w:bookmarkStart w:id="12" w:name="_Hlk26453805"/>
      <w:r w:rsidRPr="009A2813">
        <w:rPr>
          <w:color w:val="auto"/>
          <w:sz w:val="22"/>
          <w:szCs w:val="22"/>
          <w:lang w:val="hr-HR"/>
        </w:rPr>
        <w:t xml:space="preserve">pedijatrijskih </w:t>
      </w:r>
      <w:bookmarkEnd w:id="12"/>
      <w:r w:rsidRPr="009A2813">
        <w:rPr>
          <w:color w:val="auto"/>
          <w:sz w:val="22"/>
          <w:szCs w:val="22"/>
          <w:lang w:val="hr-HR"/>
        </w:rPr>
        <w:t>pacijenata bio je sličan onom uočenom u populaciji odraslih sa cIAI i cUTI.</w:t>
      </w:r>
    </w:p>
    <w:p w14:paraId="1C6A31E7" w14:textId="77777777" w:rsidR="008578CB" w:rsidRPr="009A2813" w:rsidRDefault="008578CB" w:rsidP="00CC4A65">
      <w:pPr>
        <w:autoSpaceDE w:val="0"/>
        <w:autoSpaceDN w:val="0"/>
        <w:adjustRightInd w:val="0"/>
        <w:jc w:val="both"/>
        <w:rPr>
          <w:szCs w:val="22"/>
          <w:u w:val="single"/>
          <w:lang w:val="hr-HR"/>
        </w:rPr>
      </w:pPr>
    </w:p>
    <w:p w14:paraId="31093732" w14:textId="77777777" w:rsidR="004C033F" w:rsidRPr="009A2813" w:rsidRDefault="004C033F" w:rsidP="00CC4A65">
      <w:pPr>
        <w:keepNext/>
        <w:keepLines/>
        <w:autoSpaceDE w:val="0"/>
        <w:autoSpaceDN w:val="0"/>
        <w:adjustRightInd w:val="0"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lastRenderedPageBreak/>
        <w:t>Prijavljivanje sumnji na neželjena dejstva</w:t>
      </w:r>
    </w:p>
    <w:p w14:paraId="49974F8E" w14:textId="77777777" w:rsidR="002F69E7" w:rsidRPr="009A2813" w:rsidRDefault="002F69E7" w:rsidP="00CC4A65">
      <w:pPr>
        <w:keepNext/>
        <w:keepLines/>
        <w:autoSpaceDE w:val="0"/>
        <w:autoSpaceDN w:val="0"/>
        <w:adjustRightInd w:val="0"/>
        <w:jc w:val="both"/>
        <w:rPr>
          <w:szCs w:val="22"/>
          <w:u w:val="single"/>
          <w:lang w:val="hr-HR"/>
        </w:rPr>
      </w:pPr>
    </w:p>
    <w:p w14:paraId="40700B51" w14:textId="77777777" w:rsidR="00B971C2" w:rsidRPr="009A2813" w:rsidRDefault="00B971C2" w:rsidP="00B97F09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Prijavljivanje neželjenih dejstava nakon dobijanja dozvole je važno jer obezbjeđuje kontinuirano praćenje odnosa korist/rizik primjene lijeka. Zdravstveni radnici treba da prijave svaku sumnju na neželjeno dejstvo ovog lijeka Institutu za ljekove i medicinska sredstva (CInMED):</w:t>
      </w:r>
    </w:p>
    <w:p w14:paraId="256EFD77" w14:textId="77777777" w:rsidR="00B971C2" w:rsidRPr="009A2813" w:rsidRDefault="00B971C2" w:rsidP="00B97F09">
      <w:pPr>
        <w:tabs>
          <w:tab w:val="clear" w:pos="567"/>
          <w:tab w:val="center" w:pos="4536"/>
          <w:tab w:val="right" w:pos="9072"/>
        </w:tabs>
        <w:spacing w:before="120" w:line="240" w:lineRule="auto"/>
        <w:jc w:val="both"/>
        <w:rPr>
          <w:bCs/>
          <w:szCs w:val="22"/>
          <w:lang w:val="hr-HR"/>
        </w:rPr>
      </w:pPr>
      <w:r w:rsidRPr="009A2813">
        <w:rPr>
          <w:szCs w:val="22"/>
          <w:lang w:val="hr-HR"/>
        </w:rPr>
        <w:t xml:space="preserve">Institut za ljekove i medicinska sredstva </w:t>
      </w:r>
    </w:p>
    <w:p w14:paraId="2DFE8C4F" w14:textId="77777777" w:rsidR="00B971C2" w:rsidRPr="009A2813" w:rsidRDefault="00B971C2" w:rsidP="00B97F09">
      <w:pPr>
        <w:tabs>
          <w:tab w:val="clear" w:pos="567"/>
          <w:tab w:val="center" w:pos="4536"/>
          <w:tab w:val="right" w:pos="9072"/>
        </w:tabs>
        <w:spacing w:line="240" w:lineRule="auto"/>
        <w:jc w:val="both"/>
        <w:rPr>
          <w:bCs/>
          <w:szCs w:val="22"/>
          <w:lang w:val="hr-HR"/>
        </w:rPr>
      </w:pPr>
      <w:r w:rsidRPr="009A2813">
        <w:rPr>
          <w:szCs w:val="22"/>
          <w:lang w:val="hr-HR"/>
        </w:rPr>
        <w:t>Odjeljenje za farmakovigilancu</w:t>
      </w:r>
    </w:p>
    <w:p w14:paraId="19597085" w14:textId="77777777" w:rsidR="00B971C2" w:rsidRPr="009A2813" w:rsidRDefault="00B971C2" w:rsidP="007118A8">
      <w:pPr>
        <w:tabs>
          <w:tab w:val="clear" w:pos="567"/>
          <w:tab w:val="center" w:pos="4536"/>
          <w:tab w:val="right" w:pos="9072"/>
        </w:tabs>
        <w:spacing w:after="120" w:line="240" w:lineRule="auto"/>
        <w:jc w:val="both"/>
        <w:rPr>
          <w:bCs/>
          <w:szCs w:val="22"/>
          <w:lang w:val="hr-HR"/>
        </w:rPr>
      </w:pPr>
      <w:r w:rsidRPr="009A2813">
        <w:rPr>
          <w:szCs w:val="22"/>
          <w:lang w:val="hr-HR"/>
        </w:rPr>
        <w:t>Bulevar Ivana Crnojevića 64a, 81000 Podgorica</w:t>
      </w:r>
    </w:p>
    <w:p w14:paraId="173E4C2D" w14:textId="77777777" w:rsidR="00B971C2" w:rsidRPr="009A2813" w:rsidRDefault="00B971C2" w:rsidP="008B5D88">
      <w:pPr>
        <w:tabs>
          <w:tab w:val="clear" w:pos="567"/>
          <w:tab w:val="center" w:pos="4536"/>
          <w:tab w:val="right" w:pos="9072"/>
        </w:tabs>
        <w:spacing w:line="240" w:lineRule="auto"/>
        <w:jc w:val="both"/>
        <w:rPr>
          <w:bCs/>
          <w:szCs w:val="22"/>
          <w:lang w:val="hr-HR"/>
        </w:rPr>
      </w:pPr>
      <w:r w:rsidRPr="009A2813">
        <w:rPr>
          <w:szCs w:val="22"/>
          <w:lang w:val="hr-HR"/>
        </w:rPr>
        <w:t>Tel.: +382 (0) 20 310 280</w:t>
      </w:r>
    </w:p>
    <w:p w14:paraId="4BFD141E" w14:textId="77777777" w:rsidR="00B971C2" w:rsidRPr="009A2813" w:rsidRDefault="00B971C2">
      <w:pPr>
        <w:tabs>
          <w:tab w:val="clear" w:pos="567"/>
          <w:tab w:val="center" w:pos="4536"/>
          <w:tab w:val="right" w:pos="9072"/>
        </w:tabs>
        <w:spacing w:line="240" w:lineRule="auto"/>
        <w:jc w:val="both"/>
        <w:rPr>
          <w:bCs/>
          <w:szCs w:val="22"/>
          <w:lang w:val="hr-HR"/>
        </w:rPr>
      </w:pPr>
      <w:r w:rsidRPr="009A2813">
        <w:rPr>
          <w:szCs w:val="22"/>
          <w:lang w:val="hr-HR"/>
        </w:rPr>
        <w:t>Faks: +382 (0) 20 310 581</w:t>
      </w:r>
    </w:p>
    <w:p w14:paraId="46F99E76" w14:textId="0794BBE5" w:rsidR="00B971C2" w:rsidRPr="009A2813" w:rsidRDefault="003D04ED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hr-HR"/>
        </w:rPr>
      </w:pPr>
      <w:hyperlink r:id="rId8" w:history="1">
        <w:r w:rsidR="00AB0B36" w:rsidRPr="009A2813">
          <w:rPr>
            <w:szCs w:val="22"/>
            <w:lang w:val="hr-HR"/>
          </w:rPr>
          <w:t>www.cinmed.me</w:t>
        </w:r>
      </w:hyperlink>
    </w:p>
    <w:p w14:paraId="7140ED5B" w14:textId="3C697BA3" w:rsidR="00B971C2" w:rsidRPr="009A2813" w:rsidRDefault="003D04ED">
      <w:pPr>
        <w:tabs>
          <w:tab w:val="clear" w:pos="567"/>
        </w:tabs>
        <w:spacing w:line="240" w:lineRule="auto"/>
        <w:jc w:val="both"/>
        <w:rPr>
          <w:rFonts w:eastAsia="Calibri"/>
          <w:color w:val="0000FF"/>
          <w:szCs w:val="22"/>
          <w:u w:val="single"/>
          <w:lang w:val="hr-HR"/>
        </w:rPr>
      </w:pPr>
      <w:hyperlink r:id="rId9" w:history="1">
        <w:r w:rsidR="00AB0B36" w:rsidRPr="009A2813">
          <w:rPr>
            <w:szCs w:val="22"/>
            <w:lang w:val="hr-HR"/>
          </w:rPr>
          <w:t>nezeljenadejstva@cinmed.me</w:t>
        </w:r>
      </w:hyperlink>
    </w:p>
    <w:p w14:paraId="62DEA9C0" w14:textId="77777777" w:rsidR="00B971C2" w:rsidRPr="009A2813" w:rsidRDefault="00B971C2">
      <w:pPr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putem IS zdravstvene zaštite</w:t>
      </w:r>
    </w:p>
    <w:p w14:paraId="132327F5" w14:textId="77777777" w:rsidR="00B971C2" w:rsidRPr="009A2813" w:rsidRDefault="00B971C2" w:rsidP="00CC4A65">
      <w:pPr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QR kod za online prijavu sumnje na neželjeno dejstvo lijeka:</w:t>
      </w:r>
    </w:p>
    <w:p w14:paraId="46C0A97C" w14:textId="77777777" w:rsidR="00B971C2" w:rsidRPr="009A2813" w:rsidRDefault="00B971C2" w:rsidP="00CC4A65">
      <w:pPr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</w:p>
    <w:p w14:paraId="6832DED3" w14:textId="2ECF57D6" w:rsidR="00B971C2" w:rsidRPr="009A2813" w:rsidRDefault="00F24D21" w:rsidP="00CC4A65">
      <w:pPr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  <w:r w:rsidRPr="009A2813">
        <w:rPr>
          <w:noProof/>
          <w:lang w:val="en-US"/>
        </w:rPr>
        <w:drawing>
          <wp:inline distT="0" distB="0" distL="0" distR="0" wp14:anchorId="2E1AFEED" wp14:editId="5CB2939A">
            <wp:extent cx="980440" cy="97155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46EAF" w14:textId="77777777" w:rsidR="005451CF" w:rsidRPr="009A2813" w:rsidRDefault="005451CF" w:rsidP="00CC4A65">
      <w:pPr>
        <w:autoSpaceDE w:val="0"/>
        <w:autoSpaceDN w:val="0"/>
        <w:adjustRightInd w:val="0"/>
        <w:jc w:val="both"/>
        <w:rPr>
          <w:b/>
          <w:szCs w:val="22"/>
          <w:lang w:val="hr-HR"/>
        </w:rPr>
      </w:pPr>
    </w:p>
    <w:p w14:paraId="5D17394A" w14:textId="77777777" w:rsidR="004C033F" w:rsidRPr="009A2813" w:rsidRDefault="004C033F" w:rsidP="00CC4A65">
      <w:pPr>
        <w:keepNext/>
        <w:keepLines/>
        <w:autoSpaceDE w:val="0"/>
        <w:autoSpaceDN w:val="0"/>
        <w:adjustRightInd w:val="0"/>
        <w:jc w:val="both"/>
        <w:rPr>
          <w:b/>
          <w:szCs w:val="22"/>
          <w:lang w:val="hr-HR"/>
        </w:rPr>
      </w:pPr>
      <w:r w:rsidRPr="009A2813">
        <w:rPr>
          <w:b/>
          <w:szCs w:val="22"/>
          <w:lang w:val="hr-HR"/>
        </w:rPr>
        <w:t>4.9</w:t>
      </w:r>
      <w:r w:rsidRPr="009A2813">
        <w:rPr>
          <w:b/>
          <w:szCs w:val="22"/>
          <w:lang w:val="hr-HR"/>
        </w:rPr>
        <w:tab/>
        <w:t>Predoziranje</w:t>
      </w:r>
    </w:p>
    <w:p w14:paraId="5EFDC6B0" w14:textId="77777777" w:rsidR="004C033F" w:rsidRPr="009A2813" w:rsidRDefault="004C033F" w:rsidP="00CC4A65">
      <w:pPr>
        <w:keepNext/>
        <w:keepLines/>
        <w:ind w:left="567" w:hanging="567"/>
        <w:jc w:val="both"/>
        <w:outlineLvl w:val="0"/>
        <w:rPr>
          <w:szCs w:val="22"/>
          <w:lang w:val="hr-HR"/>
        </w:rPr>
      </w:pPr>
    </w:p>
    <w:p w14:paraId="48BC42FA" w14:textId="77777777" w:rsidR="004C033F" w:rsidRPr="009A2813" w:rsidRDefault="004C033F" w:rsidP="00CC4A65">
      <w:pPr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Predoziranje ceftazidimom/avibaktamom može dovesti do neuroloških posljedica uključujući encefalopatiju, konvulzije i komu, zbog komponente ceftazidima.</w:t>
      </w:r>
    </w:p>
    <w:p w14:paraId="79624004" w14:textId="77777777" w:rsidR="004C033F" w:rsidRPr="009A2813" w:rsidRDefault="004C033F" w:rsidP="00CC4A65">
      <w:pPr>
        <w:spacing w:line="276" w:lineRule="auto"/>
        <w:jc w:val="both"/>
        <w:rPr>
          <w:szCs w:val="22"/>
          <w:lang w:val="hr-HR"/>
        </w:rPr>
      </w:pPr>
    </w:p>
    <w:p w14:paraId="493ED96E" w14:textId="77777777" w:rsidR="004C033F" w:rsidRPr="009A2813" w:rsidRDefault="00206AB9" w:rsidP="00CC4A65">
      <w:pPr>
        <w:jc w:val="both"/>
        <w:rPr>
          <w:szCs w:val="22"/>
          <w:lang w:val="hr-HR"/>
        </w:rPr>
      </w:pPr>
      <w:r w:rsidRPr="009A2813">
        <w:rPr>
          <w:color w:val="000000"/>
          <w:szCs w:val="22"/>
          <w:lang w:val="hr-HR"/>
        </w:rPr>
        <w:t xml:space="preserve">Nivo ceftazidima u serumu može se smanjiti hemodijalizom ili peritonealnom dijalizom. </w:t>
      </w:r>
      <w:r w:rsidRPr="009A2813">
        <w:rPr>
          <w:szCs w:val="22"/>
          <w:lang w:val="hr-HR"/>
        </w:rPr>
        <w:t>Tokom 4-časovnog perioda hemodijalize, 55% doze avibaktama je uklonjeno.</w:t>
      </w:r>
    </w:p>
    <w:p w14:paraId="0B283418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20633C1C" w14:textId="77777777" w:rsidR="005035D5" w:rsidRPr="009A2813" w:rsidRDefault="005035D5" w:rsidP="00CC4A65">
      <w:pPr>
        <w:jc w:val="both"/>
        <w:rPr>
          <w:szCs w:val="22"/>
          <w:lang w:val="hr-HR"/>
        </w:rPr>
      </w:pPr>
    </w:p>
    <w:p w14:paraId="1A05CB47" w14:textId="77777777" w:rsidR="004C033F" w:rsidRPr="009A2813" w:rsidRDefault="004C033F" w:rsidP="00CC4A65">
      <w:pPr>
        <w:keepNext/>
        <w:suppressAutoHyphens/>
        <w:ind w:left="567" w:hanging="567"/>
        <w:jc w:val="both"/>
        <w:rPr>
          <w:szCs w:val="22"/>
          <w:lang w:val="hr-HR"/>
        </w:rPr>
      </w:pPr>
      <w:r w:rsidRPr="009A2813">
        <w:rPr>
          <w:b/>
          <w:szCs w:val="22"/>
          <w:lang w:val="hr-HR"/>
        </w:rPr>
        <w:t>5.</w:t>
      </w:r>
      <w:r w:rsidRPr="009A2813">
        <w:rPr>
          <w:b/>
          <w:szCs w:val="22"/>
          <w:lang w:val="hr-HR"/>
        </w:rPr>
        <w:tab/>
        <w:t>FARMAKOLOŠKI PODACI</w:t>
      </w:r>
    </w:p>
    <w:p w14:paraId="6B5412BF" w14:textId="77777777" w:rsidR="004C033F" w:rsidRPr="009A2813" w:rsidRDefault="004C033F" w:rsidP="00CC4A65">
      <w:pPr>
        <w:keepNext/>
        <w:jc w:val="both"/>
        <w:rPr>
          <w:szCs w:val="22"/>
          <w:lang w:val="hr-HR"/>
        </w:rPr>
      </w:pPr>
    </w:p>
    <w:p w14:paraId="13600CD2" w14:textId="77777777" w:rsidR="004C033F" w:rsidRPr="009A2813" w:rsidRDefault="004C033F" w:rsidP="00CC4A65">
      <w:pPr>
        <w:keepNext/>
        <w:ind w:left="567" w:hanging="567"/>
        <w:jc w:val="both"/>
        <w:outlineLvl w:val="0"/>
        <w:rPr>
          <w:szCs w:val="22"/>
          <w:lang w:val="hr-HR"/>
        </w:rPr>
      </w:pPr>
      <w:r w:rsidRPr="009A2813">
        <w:rPr>
          <w:b/>
          <w:szCs w:val="22"/>
          <w:lang w:val="hr-HR"/>
        </w:rPr>
        <w:t>5.1</w:t>
      </w:r>
      <w:r w:rsidRPr="009A2813">
        <w:rPr>
          <w:b/>
          <w:szCs w:val="22"/>
          <w:lang w:val="hr-HR"/>
        </w:rPr>
        <w:tab/>
        <w:t>Farmakodinamski podaci</w:t>
      </w:r>
    </w:p>
    <w:p w14:paraId="66D88943" w14:textId="77777777" w:rsidR="004C033F" w:rsidRPr="009A2813" w:rsidRDefault="004C033F" w:rsidP="00CC4A65">
      <w:pPr>
        <w:keepNext/>
        <w:jc w:val="both"/>
        <w:rPr>
          <w:szCs w:val="22"/>
          <w:lang w:val="hr-HR"/>
        </w:rPr>
      </w:pPr>
    </w:p>
    <w:p w14:paraId="4BABC15D" w14:textId="1C5A45EF" w:rsidR="00730E2F" w:rsidRPr="009A2813" w:rsidRDefault="004C033F" w:rsidP="00CC4A65">
      <w:pPr>
        <w:jc w:val="both"/>
        <w:outlineLvl w:val="0"/>
        <w:rPr>
          <w:szCs w:val="22"/>
          <w:lang w:val="hr-HR"/>
        </w:rPr>
      </w:pPr>
      <w:r w:rsidRPr="009A2813">
        <w:rPr>
          <w:szCs w:val="22"/>
          <w:lang w:val="hr-HR"/>
        </w:rPr>
        <w:t>Farmakoterapijska grupa: Antibakterijski ljekovi za sistemsku upotrebu, drugi beta-laktamski antibakterijski ljekovi, cefalosporini treće</w:t>
      </w:r>
      <w:r w:rsidR="000F4733" w:rsidRPr="009A2813">
        <w:rPr>
          <w:szCs w:val="22"/>
          <w:lang w:val="hr-HR"/>
        </w:rPr>
        <w:t xml:space="preserve"> </w:t>
      </w:r>
      <w:r w:rsidRPr="009A2813">
        <w:rPr>
          <w:szCs w:val="22"/>
          <w:lang w:val="hr-HR"/>
        </w:rPr>
        <w:t xml:space="preserve">generacije, </w:t>
      </w:r>
    </w:p>
    <w:p w14:paraId="27603385" w14:textId="77777777" w:rsidR="00730E2F" w:rsidRPr="009A2813" w:rsidRDefault="00730E2F" w:rsidP="00CC4A65">
      <w:pPr>
        <w:jc w:val="both"/>
        <w:outlineLvl w:val="0"/>
        <w:rPr>
          <w:szCs w:val="22"/>
          <w:lang w:val="hr-HR"/>
        </w:rPr>
      </w:pPr>
    </w:p>
    <w:p w14:paraId="1C16B94A" w14:textId="1725FCCE" w:rsidR="004C033F" w:rsidRPr="009A2813" w:rsidRDefault="004C033F" w:rsidP="00CC4A65">
      <w:pPr>
        <w:jc w:val="both"/>
        <w:outlineLvl w:val="0"/>
        <w:rPr>
          <w:szCs w:val="22"/>
          <w:lang w:val="hr-HR"/>
        </w:rPr>
      </w:pPr>
      <w:r w:rsidRPr="009A2813">
        <w:rPr>
          <w:szCs w:val="22"/>
          <w:lang w:val="hr-HR"/>
        </w:rPr>
        <w:t>ATC kod: J01DD52</w:t>
      </w:r>
    </w:p>
    <w:p w14:paraId="2ECF1F94" w14:textId="77777777" w:rsidR="004C033F" w:rsidRPr="009A2813" w:rsidRDefault="004C033F" w:rsidP="00CC4A65">
      <w:pPr>
        <w:pStyle w:val="A-TableHeader"/>
        <w:keepNext w:val="0"/>
        <w:tabs>
          <w:tab w:val="left" w:pos="567"/>
        </w:tabs>
        <w:autoSpaceDE w:val="0"/>
        <w:autoSpaceDN w:val="0"/>
        <w:adjustRightInd w:val="0"/>
        <w:spacing w:before="0" w:after="0" w:line="260" w:lineRule="exact"/>
        <w:jc w:val="both"/>
        <w:rPr>
          <w:iCs/>
          <w:szCs w:val="22"/>
          <w:lang w:val="hr-HR"/>
        </w:rPr>
      </w:pPr>
    </w:p>
    <w:p w14:paraId="5AFB467B" w14:textId="77777777" w:rsidR="002F69E7" w:rsidRPr="009A2813" w:rsidRDefault="004C033F" w:rsidP="00CC4A65">
      <w:pPr>
        <w:keepNext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Mehanizam djelovanja</w:t>
      </w:r>
    </w:p>
    <w:p w14:paraId="74CBD517" w14:textId="77777777" w:rsidR="004C033F" w:rsidRPr="009A2813" w:rsidRDefault="004C033F" w:rsidP="00CC4A65">
      <w:pPr>
        <w:keepNext/>
        <w:jc w:val="both"/>
        <w:rPr>
          <w:b/>
          <w:bCs/>
          <w:szCs w:val="22"/>
          <w:lang w:val="hr-HR"/>
        </w:rPr>
      </w:pPr>
    </w:p>
    <w:p w14:paraId="4ABACF96" w14:textId="2D89EB45" w:rsidR="004F474B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Ceftazidim inhibira sintezu ćelijskog zida bakterije peptidoglikana nakon vezivanja za proteine koji vezuju penicilin (PBP), što dovodi do lize i smrti bakterijske ćelije. Avibaktam je ne β-laktamski inhibitor β</w:t>
      </w:r>
      <w:r w:rsidRPr="009A2813">
        <w:rPr>
          <w:szCs w:val="22"/>
          <w:lang w:val="hr-HR"/>
        </w:rPr>
        <w:noBreakHyphen/>
        <w:t>laktamaze koji djeluje formiranjem kovalentnog adukta sa enzimom koji je stabilan na hidrolizu. On inhibira β-laktamaze Ambler klase A i klase C i neke enzime klase D, uključujući β-laktamaze proširenog spektra (</w:t>
      </w:r>
      <w:r w:rsidR="00906A75" w:rsidRPr="009A2813">
        <w:rPr>
          <w:szCs w:val="22"/>
          <w:lang w:val="hr-HR"/>
        </w:rPr>
        <w:t xml:space="preserve">engl. </w:t>
      </w:r>
      <w:r w:rsidR="00906A75" w:rsidRPr="009A2813">
        <w:rPr>
          <w:i/>
          <w:szCs w:val="22"/>
          <w:lang w:val="hr-HR"/>
        </w:rPr>
        <w:t>extended-spectrum β-lactamases</w:t>
      </w:r>
      <w:r w:rsidR="00906A75" w:rsidRPr="009A2813">
        <w:rPr>
          <w:szCs w:val="22"/>
          <w:lang w:val="hr-HR"/>
        </w:rPr>
        <w:t xml:space="preserve">, </w:t>
      </w:r>
      <w:r w:rsidRPr="009A2813">
        <w:rPr>
          <w:szCs w:val="22"/>
          <w:lang w:val="hr-HR"/>
        </w:rPr>
        <w:t>ESBL), KPC i OXA-48 karbapenemaze i AmpC enzime. Avibaktam ne inhibira enzime klase B (metalo-β-laktamaze) i nije u stanju da inhibira mnoge enzime klase D.</w:t>
      </w:r>
    </w:p>
    <w:p w14:paraId="7BBA8D9F" w14:textId="77777777" w:rsidR="004C033F" w:rsidRPr="009A2813" w:rsidRDefault="004C033F" w:rsidP="00CC4A65">
      <w:pPr>
        <w:jc w:val="both"/>
        <w:rPr>
          <w:b/>
          <w:i/>
          <w:szCs w:val="22"/>
          <w:lang w:val="hr-HR"/>
        </w:rPr>
      </w:pPr>
    </w:p>
    <w:p w14:paraId="3ED80EB0" w14:textId="77777777" w:rsidR="004C033F" w:rsidRPr="009A2813" w:rsidRDefault="004C033F" w:rsidP="00CC4A65">
      <w:pPr>
        <w:keepNext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Rezistencija</w:t>
      </w:r>
    </w:p>
    <w:p w14:paraId="01B84E95" w14:textId="77777777" w:rsidR="002F69E7" w:rsidRPr="009A2813" w:rsidRDefault="002F69E7" w:rsidP="00CC4A65">
      <w:pPr>
        <w:keepNext/>
        <w:jc w:val="both"/>
        <w:rPr>
          <w:szCs w:val="22"/>
          <w:lang w:val="hr-HR"/>
        </w:rPr>
      </w:pPr>
    </w:p>
    <w:p w14:paraId="16AB5909" w14:textId="6CC37C10" w:rsidR="004C033F" w:rsidRPr="009A2813" w:rsidRDefault="004C033F" w:rsidP="00CC4A65">
      <w:pPr>
        <w:autoSpaceDE w:val="0"/>
        <w:autoSpaceDN w:val="0"/>
        <w:adjustRightInd w:val="0"/>
        <w:jc w:val="both"/>
        <w:rPr>
          <w:bCs/>
          <w:i/>
          <w:szCs w:val="22"/>
          <w:lang w:val="hr-HR"/>
        </w:rPr>
      </w:pPr>
      <w:r w:rsidRPr="009A2813">
        <w:rPr>
          <w:szCs w:val="22"/>
          <w:lang w:val="hr-HR"/>
        </w:rPr>
        <w:t>Mehanizmi bakterijske rezistencije koji potencijalno mogu da utiču na ceftazidim/avibaktam uključuju mutantne ili stečene PBP proteine, smanjenu permeabilnost spoljne membrane za bilo koj</w:t>
      </w:r>
      <w:r w:rsidR="00906A75" w:rsidRPr="009A2813">
        <w:rPr>
          <w:szCs w:val="22"/>
          <w:lang w:val="hr-HR"/>
        </w:rPr>
        <w:t xml:space="preserve">u od dvije </w:t>
      </w:r>
      <w:r w:rsidR="00906A75" w:rsidRPr="009A2813">
        <w:rPr>
          <w:szCs w:val="22"/>
          <w:lang w:val="hr-HR"/>
        </w:rPr>
        <w:lastRenderedPageBreak/>
        <w:t>aktivne supstance</w:t>
      </w:r>
      <w:r w:rsidRPr="009A2813">
        <w:rPr>
          <w:szCs w:val="22"/>
          <w:lang w:val="hr-HR"/>
        </w:rPr>
        <w:t>, aktivni efluks bilo ko</w:t>
      </w:r>
      <w:r w:rsidR="00906A75" w:rsidRPr="009A2813">
        <w:rPr>
          <w:szCs w:val="22"/>
          <w:lang w:val="hr-HR"/>
        </w:rPr>
        <w:t xml:space="preserve">je aktivne supstance </w:t>
      </w:r>
      <w:r w:rsidRPr="009A2813">
        <w:rPr>
          <w:szCs w:val="22"/>
          <w:lang w:val="hr-HR"/>
        </w:rPr>
        <w:t>i enzime β-laktamaze otporne na inhibiciju avibaktama i sposobne da hidrolizuju ceftazidim.</w:t>
      </w:r>
    </w:p>
    <w:p w14:paraId="46837CDF" w14:textId="77777777" w:rsidR="004C033F" w:rsidRPr="009A2813" w:rsidRDefault="004C033F" w:rsidP="00CC4A65">
      <w:pPr>
        <w:autoSpaceDE w:val="0"/>
        <w:autoSpaceDN w:val="0"/>
        <w:adjustRightInd w:val="0"/>
        <w:jc w:val="both"/>
        <w:rPr>
          <w:bCs/>
          <w:iCs/>
          <w:szCs w:val="22"/>
          <w:u w:val="single"/>
          <w:lang w:val="hr-HR"/>
        </w:rPr>
      </w:pPr>
    </w:p>
    <w:p w14:paraId="3D5A563F" w14:textId="4E3994C6" w:rsidR="00A4614F" w:rsidRPr="009A2813" w:rsidRDefault="00A4614F" w:rsidP="00CC4A65">
      <w:pPr>
        <w:keepNext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hr-HR"/>
        </w:rPr>
      </w:pPr>
      <w:r w:rsidRPr="009A2813">
        <w:rPr>
          <w:color w:val="000000"/>
          <w:szCs w:val="22"/>
          <w:u w:val="single"/>
          <w:lang w:val="hr-HR"/>
        </w:rPr>
        <w:t xml:space="preserve">Antibakterijska aktivnost u kombinaciji sa ostalim antibakterijskim </w:t>
      </w:r>
      <w:r w:rsidR="000F4733" w:rsidRPr="009A2813">
        <w:rPr>
          <w:color w:val="000000"/>
          <w:szCs w:val="22"/>
          <w:u w:val="single"/>
          <w:lang w:val="hr-HR"/>
        </w:rPr>
        <w:t>ljekovima</w:t>
      </w:r>
    </w:p>
    <w:p w14:paraId="4DAB838E" w14:textId="77777777" w:rsidR="00B917ED" w:rsidRPr="009A2813" w:rsidRDefault="00B917ED" w:rsidP="00CC4A65">
      <w:pPr>
        <w:keepNext/>
        <w:autoSpaceDE w:val="0"/>
        <w:autoSpaceDN w:val="0"/>
        <w:adjustRightInd w:val="0"/>
        <w:jc w:val="both"/>
        <w:rPr>
          <w:bCs/>
          <w:iCs/>
          <w:szCs w:val="22"/>
          <w:u w:val="single"/>
          <w:lang w:val="hr-HR"/>
        </w:rPr>
      </w:pPr>
    </w:p>
    <w:p w14:paraId="47E2C22A" w14:textId="0A3FE815" w:rsidR="00000BDD" w:rsidRPr="009A2813" w:rsidRDefault="00A83790" w:rsidP="00CC4A65">
      <w:pPr>
        <w:shd w:val="clear" w:color="auto" w:fill="FFFFFF"/>
        <w:jc w:val="both"/>
        <w:rPr>
          <w:color w:val="000000"/>
          <w:szCs w:val="22"/>
          <w:lang w:val="hr-HR"/>
        </w:rPr>
      </w:pPr>
      <w:r w:rsidRPr="009A2813">
        <w:rPr>
          <w:color w:val="000000"/>
          <w:szCs w:val="22"/>
          <w:lang w:val="hr-HR"/>
        </w:rPr>
        <w:t xml:space="preserve">U studijama kombinacije ljekova </w:t>
      </w:r>
      <w:r w:rsidRPr="009A2813">
        <w:rPr>
          <w:i/>
          <w:color w:val="000000"/>
          <w:szCs w:val="22"/>
          <w:lang w:val="hr-HR"/>
        </w:rPr>
        <w:t>in vitro</w:t>
      </w:r>
      <w:r w:rsidRPr="009A2813">
        <w:rPr>
          <w:color w:val="000000"/>
          <w:szCs w:val="22"/>
          <w:lang w:val="hr-HR"/>
        </w:rPr>
        <w:t xml:space="preserve"> sa ceftazidimom/avibaktamom i </w:t>
      </w:r>
      <w:r w:rsidRPr="009A2813">
        <w:rPr>
          <w:szCs w:val="22"/>
          <w:lang w:val="hr-HR"/>
        </w:rPr>
        <w:t>metronidazolom, tobramicinom, levofloksacinom, vankomicinom, linezolidom, kolistinom i tigeciklinom nije pokazana sinergija ili antagonizam</w:t>
      </w:r>
      <w:r w:rsidRPr="009A2813">
        <w:rPr>
          <w:color w:val="000000"/>
          <w:szCs w:val="22"/>
          <w:lang w:val="hr-HR"/>
        </w:rPr>
        <w:t>.</w:t>
      </w:r>
    </w:p>
    <w:p w14:paraId="613FAE75" w14:textId="77777777" w:rsidR="008455F2" w:rsidRPr="009A2813" w:rsidRDefault="008455F2" w:rsidP="00CC4A65">
      <w:pPr>
        <w:autoSpaceDE w:val="0"/>
        <w:autoSpaceDN w:val="0"/>
        <w:adjustRightInd w:val="0"/>
        <w:jc w:val="both"/>
        <w:rPr>
          <w:bCs/>
          <w:iCs/>
          <w:szCs w:val="22"/>
          <w:u w:val="single"/>
          <w:lang w:val="hr-HR"/>
        </w:rPr>
      </w:pPr>
    </w:p>
    <w:p w14:paraId="6314993E" w14:textId="77777777" w:rsidR="004C033F" w:rsidRPr="009A2813" w:rsidRDefault="004C033F" w:rsidP="00CC4A65">
      <w:pPr>
        <w:keepNext/>
        <w:keepLines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Granične vrijednosti u testovima osjetljivosti</w:t>
      </w:r>
    </w:p>
    <w:p w14:paraId="2847B817" w14:textId="77777777" w:rsidR="002F69E7" w:rsidRPr="009A2813" w:rsidRDefault="002F69E7" w:rsidP="00CC4A65">
      <w:pPr>
        <w:keepNext/>
        <w:keepLines/>
        <w:jc w:val="both"/>
        <w:rPr>
          <w:szCs w:val="22"/>
          <w:lang w:val="hr-HR"/>
        </w:rPr>
      </w:pPr>
    </w:p>
    <w:p w14:paraId="626E18A7" w14:textId="73059641" w:rsidR="004C033F" w:rsidRPr="009A2813" w:rsidRDefault="00B60AD5" w:rsidP="00CC4A65">
      <w:pPr>
        <w:keepNext/>
        <w:keepLines/>
        <w:spacing w:line="240" w:lineRule="auto"/>
        <w:jc w:val="both"/>
        <w:outlineLvl w:val="0"/>
        <w:rPr>
          <w:szCs w:val="22"/>
          <w:lang w:val="hr-HR"/>
        </w:rPr>
      </w:pPr>
      <w:r w:rsidRPr="009A2813">
        <w:rPr>
          <w:szCs w:val="22"/>
          <w:lang w:val="hr-HR"/>
        </w:rPr>
        <w:t>Prelomne tačke minimalne inhibitorne koncentracije (MIC) koje je ustanovio Evropski komitet za ispitivanje osjetljivosti na antimikrobne ljekove (</w:t>
      </w:r>
      <w:r w:rsidR="00906A75" w:rsidRPr="009A2813">
        <w:rPr>
          <w:szCs w:val="22"/>
          <w:lang w:val="hr-HR"/>
        </w:rPr>
        <w:t xml:space="preserve">engl. </w:t>
      </w:r>
      <w:r w:rsidR="00906A75" w:rsidRPr="009A2813">
        <w:rPr>
          <w:i/>
          <w:szCs w:val="22"/>
          <w:lang w:val="hr-HR"/>
        </w:rPr>
        <w:t>European Committee on Antimicrobial Susceptibility Testing</w:t>
      </w:r>
      <w:r w:rsidR="00906A75" w:rsidRPr="009A2813">
        <w:rPr>
          <w:szCs w:val="22"/>
          <w:lang w:val="hr-HR"/>
        </w:rPr>
        <w:t xml:space="preserve">, </w:t>
      </w:r>
      <w:r w:rsidRPr="009A2813">
        <w:rPr>
          <w:szCs w:val="22"/>
          <w:lang w:val="hr-HR"/>
        </w:rPr>
        <w:t>EUCAST) za ceftazidim/avibaktam mogu se vidjeti na sljedećoj internet stranici:</w:t>
      </w:r>
    </w:p>
    <w:p w14:paraId="4093D06F" w14:textId="77777777" w:rsidR="00992AE3" w:rsidRPr="009A2813" w:rsidRDefault="00992AE3" w:rsidP="00CC4A65">
      <w:pPr>
        <w:keepNext/>
        <w:keepLines/>
        <w:spacing w:line="240" w:lineRule="auto"/>
        <w:jc w:val="both"/>
        <w:outlineLvl w:val="0"/>
        <w:rPr>
          <w:szCs w:val="22"/>
          <w:lang w:val="hr-HR"/>
        </w:rPr>
      </w:pPr>
    </w:p>
    <w:p w14:paraId="6435106C" w14:textId="15C9B17B" w:rsidR="000D4D11" w:rsidRPr="009A2813" w:rsidRDefault="003D04ED" w:rsidP="00CC4A65">
      <w:pPr>
        <w:keepNext/>
        <w:keepLines/>
        <w:spacing w:line="240" w:lineRule="auto"/>
        <w:jc w:val="both"/>
        <w:outlineLvl w:val="0"/>
        <w:rPr>
          <w:szCs w:val="22"/>
          <w:lang w:val="hr-HR"/>
        </w:rPr>
      </w:pPr>
      <w:hyperlink r:id="rId12" w:history="1">
        <w:r w:rsidR="00AB0B36" w:rsidRPr="009A2813">
          <w:rPr>
            <w:rStyle w:val="Hyperlink"/>
            <w:szCs w:val="22"/>
            <w:lang w:val="hr-HR"/>
          </w:rPr>
          <w:t>https://www.ema.europa.eu/documents/other/minimum-inhibitory-concentration-mic-breakpoints_en.xlsx</w:t>
        </w:r>
      </w:hyperlink>
    </w:p>
    <w:p w14:paraId="3BB5BC45" w14:textId="77777777" w:rsidR="004C033F" w:rsidRPr="009A2813" w:rsidRDefault="004C033F" w:rsidP="00CC4A65">
      <w:pPr>
        <w:spacing w:line="240" w:lineRule="auto"/>
        <w:jc w:val="both"/>
        <w:rPr>
          <w:szCs w:val="22"/>
          <w:u w:val="single"/>
          <w:lang w:val="hr-HR"/>
        </w:rPr>
      </w:pPr>
    </w:p>
    <w:p w14:paraId="46047EC7" w14:textId="77777777" w:rsidR="004C033F" w:rsidRPr="009A2813" w:rsidRDefault="004C033F" w:rsidP="00CC4A65">
      <w:pPr>
        <w:keepNext/>
        <w:spacing w:line="240" w:lineRule="auto"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Farmakokinetički/farmakodinamski odnos (PK-PD)</w:t>
      </w:r>
    </w:p>
    <w:p w14:paraId="35807EB9" w14:textId="77777777" w:rsidR="002F69E7" w:rsidRPr="009A2813" w:rsidRDefault="002F69E7" w:rsidP="00CC4A65">
      <w:pPr>
        <w:keepNext/>
        <w:spacing w:line="240" w:lineRule="auto"/>
        <w:jc w:val="both"/>
        <w:rPr>
          <w:szCs w:val="22"/>
          <w:u w:val="single"/>
          <w:lang w:val="hr-HR"/>
        </w:rPr>
      </w:pPr>
    </w:p>
    <w:p w14:paraId="1D8A3E4D" w14:textId="77777777" w:rsidR="004C033F" w:rsidRPr="009A2813" w:rsidRDefault="004C033F" w:rsidP="00CC4A65">
      <w:pPr>
        <w:jc w:val="both"/>
        <w:rPr>
          <w:bCs/>
          <w:szCs w:val="22"/>
          <w:lang w:val="hr-HR"/>
        </w:rPr>
      </w:pPr>
      <w:r w:rsidRPr="009A2813">
        <w:rPr>
          <w:szCs w:val="22"/>
          <w:lang w:val="hr-HR"/>
        </w:rPr>
        <w:t>Pokazalo se da antimikrobna aktivnost ceftazidima protiv specifičnih patogena najbolje korelira sa procentualnim vremenom koncentracije slobodnog lijeka iznad minimalne inhibitorne koncentracije ceftazidima/avibaktama tokom intervala doze (% </w:t>
      </w:r>
      <w:r w:rsidRPr="009A2813">
        <w:rPr>
          <w:i/>
          <w:szCs w:val="22"/>
          <w:lang w:val="hr-HR"/>
        </w:rPr>
        <w:t>f</w:t>
      </w:r>
      <w:r w:rsidRPr="009A2813">
        <w:rPr>
          <w:szCs w:val="22"/>
          <w:lang w:val="hr-HR"/>
        </w:rPr>
        <w:t>T &gt;MIC ceftazidima/avibaktama). Za avibaktam, PK-PD indeks je procenat vremena koncentracije slobodnog lijeka iznad granične koncentracije tokom intervala doze (% </w:t>
      </w:r>
      <w:r w:rsidRPr="009A2813">
        <w:rPr>
          <w:i/>
          <w:szCs w:val="22"/>
          <w:lang w:val="hr-HR"/>
        </w:rPr>
        <w:t>f</w:t>
      </w:r>
      <w:r w:rsidRPr="009A2813">
        <w:rPr>
          <w:szCs w:val="22"/>
          <w:lang w:val="hr-HR"/>
        </w:rPr>
        <w:t>T &gt;C</w:t>
      </w:r>
      <w:r w:rsidRPr="009A2813">
        <w:rPr>
          <w:szCs w:val="22"/>
          <w:vertAlign w:val="subscript"/>
          <w:lang w:val="hr-HR"/>
        </w:rPr>
        <w:t>T</w:t>
      </w:r>
      <w:r w:rsidRPr="009A2813">
        <w:rPr>
          <w:szCs w:val="22"/>
          <w:lang w:val="hr-HR"/>
        </w:rPr>
        <w:t>).</w:t>
      </w:r>
    </w:p>
    <w:p w14:paraId="5B84C133" w14:textId="77777777" w:rsidR="004C033F" w:rsidRPr="009A2813" w:rsidRDefault="004C033F" w:rsidP="00CC4A65">
      <w:pPr>
        <w:numPr>
          <w:ilvl w:val="12"/>
          <w:numId w:val="0"/>
        </w:numPr>
        <w:ind w:right="-2"/>
        <w:jc w:val="both"/>
        <w:rPr>
          <w:iCs/>
          <w:szCs w:val="22"/>
          <w:lang w:val="hr-HR"/>
        </w:rPr>
      </w:pPr>
    </w:p>
    <w:p w14:paraId="0EF4A855" w14:textId="77777777" w:rsidR="004C033F" w:rsidRPr="009A2813" w:rsidRDefault="004C033F" w:rsidP="00CC4A65">
      <w:pPr>
        <w:keepNext/>
        <w:keepLines/>
        <w:spacing w:line="240" w:lineRule="auto"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Klinička efikasnost protiv specifičnih patogena</w:t>
      </w:r>
    </w:p>
    <w:p w14:paraId="5AEA8072" w14:textId="77777777" w:rsidR="002F69E7" w:rsidRPr="009A2813" w:rsidRDefault="002F69E7" w:rsidP="00CC4A65">
      <w:pPr>
        <w:keepNext/>
        <w:keepLines/>
        <w:spacing w:line="240" w:lineRule="auto"/>
        <w:jc w:val="both"/>
        <w:rPr>
          <w:szCs w:val="22"/>
          <w:u w:val="single"/>
          <w:lang w:val="hr-HR"/>
        </w:rPr>
      </w:pPr>
    </w:p>
    <w:p w14:paraId="714E7EC3" w14:textId="77777777" w:rsidR="004C033F" w:rsidRPr="009A2813" w:rsidRDefault="004C033F" w:rsidP="00CC4A65">
      <w:pPr>
        <w:keepNext/>
        <w:keepLines/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U kliničkim studijama je dokazana efikasnost protiv sljedećih patogena koji su bili osjetljivi na ceftazidim/avibaktam </w:t>
      </w:r>
      <w:r w:rsidRPr="009A2813">
        <w:rPr>
          <w:i/>
          <w:szCs w:val="22"/>
          <w:lang w:val="hr-HR"/>
        </w:rPr>
        <w:t>in vitro</w:t>
      </w:r>
      <w:r w:rsidRPr="009A2813">
        <w:rPr>
          <w:szCs w:val="22"/>
          <w:lang w:val="hr-HR"/>
        </w:rPr>
        <w:t>.</w:t>
      </w:r>
    </w:p>
    <w:p w14:paraId="6B61E783" w14:textId="77777777" w:rsidR="004C033F" w:rsidRPr="009A2813" w:rsidRDefault="004C033F" w:rsidP="00CC4A65">
      <w:pPr>
        <w:numPr>
          <w:ilvl w:val="12"/>
          <w:numId w:val="0"/>
        </w:numPr>
        <w:ind w:right="-2"/>
        <w:jc w:val="both"/>
        <w:rPr>
          <w:iCs/>
          <w:szCs w:val="22"/>
          <w:lang w:val="hr-HR"/>
        </w:rPr>
      </w:pPr>
    </w:p>
    <w:p w14:paraId="25FB835A" w14:textId="77777777" w:rsidR="004C033F" w:rsidRPr="009A2813" w:rsidRDefault="004C033F" w:rsidP="00CC4A65">
      <w:pPr>
        <w:keepNext/>
        <w:jc w:val="both"/>
        <w:rPr>
          <w:b/>
          <w:i/>
          <w:szCs w:val="22"/>
          <w:lang w:val="hr-HR"/>
        </w:rPr>
      </w:pPr>
      <w:r w:rsidRPr="009A2813">
        <w:rPr>
          <w:b/>
          <w:szCs w:val="22"/>
          <w:lang w:val="hr-HR"/>
        </w:rPr>
        <w:t>Komplikovane intraabdominalne infekcije</w:t>
      </w:r>
    </w:p>
    <w:p w14:paraId="3CEAE9CA" w14:textId="77777777" w:rsidR="004C033F" w:rsidRPr="009A2813" w:rsidRDefault="004C033F" w:rsidP="00CC4A65">
      <w:pPr>
        <w:keepNext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Gram-negativni mikroorganizmi</w:t>
      </w:r>
    </w:p>
    <w:p w14:paraId="1B17B8E9" w14:textId="77777777" w:rsidR="004C033F" w:rsidRPr="009A2813" w:rsidRDefault="004C033F" w:rsidP="00CC4A65">
      <w:pPr>
        <w:pStyle w:val="Default"/>
        <w:keepNext/>
        <w:numPr>
          <w:ilvl w:val="0"/>
          <w:numId w:val="6"/>
        </w:numPr>
        <w:jc w:val="both"/>
        <w:rPr>
          <w:i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Citrobacter freundii</w:t>
      </w:r>
    </w:p>
    <w:p w14:paraId="781D83E7" w14:textId="77777777" w:rsidR="004C033F" w:rsidRPr="009A2813" w:rsidRDefault="004C033F" w:rsidP="00CC4A65">
      <w:pPr>
        <w:pStyle w:val="Default"/>
        <w:keepNext/>
        <w:numPr>
          <w:ilvl w:val="0"/>
          <w:numId w:val="6"/>
        </w:numPr>
        <w:jc w:val="both"/>
        <w:rPr>
          <w:i/>
          <w:iCs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Enterobacter cloacae</w:t>
      </w:r>
    </w:p>
    <w:p w14:paraId="1F5A3D24" w14:textId="77777777" w:rsidR="004C033F" w:rsidRPr="009A2813" w:rsidRDefault="004C033F" w:rsidP="00CC4A65">
      <w:pPr>
        <w:pStyle w:val="Default"/>
        <w:keepNext/>
        <w:numPr>
          <w:ilvl w:val="0"/>
          <w:numId w:val="6"/>
        </w:numPr>
        <w:jc w:val="both"/>
        <w:rPr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Escherichia coli</w:t>
      </w:r>
      <w:r w:rsidRPr="009A2813">
        <w:rPr>
          <w:color w:val="auto"/>
          <w:sz w:val="22"/>
          <w:szCs w:val="22"/>
          <w:lang w:val="hr-HR"/>
        </w:rPr>
        <w:t xml:space="preserve"> </w:t>
      </w:r>
    </w:p>
    <w:p w14:paraId="63E84A3E" w14:textId="77777777" w:rsidR="004C033F" w:rsidRPr="009A2813" w:rsidRDefault="004C033F" w:rsidP="00CC4A65">
      <w:pPr>
        <w:pStyle w:val="Default"/>
        <w:numPr>
          <w:ilvl w:val="0"/>
          <w:numId w:val="6"/>
        </w:numPr>
        <w:jc w:val="both"/>
        <w:rPr>
          <w:i/>
          <w:iCs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Klebsiella oxytoca</w:t>
      </w:r>
      <w:r w:rsidRPr="009A2813">
        <w:rPr>
          <w:color w:val="auto"/>
          <w:sz w:val="22"/>
          <w:szCs w:val="22"/>
          <w:lang w:val="hr-HR"/>
        </w:rPr>
        <w:t xml:space="preserve"> </w:t>
      </w:r>
    </w:p>
    <w:p w14:paraId="61752741" w14:textId="77777777" w:rsidR="004C033F" w:rsidRPr="009A2813" w:rsidRDefault="004C033F" w:rsidP="00CC4A65">
      <w:pPr>
        <w:pStyle w:val="Default"/>
        <w:numPr>
          <w:ilvl w:val="0"/>
          <w:numId w:val="6"/>
        </w:numPr>
        <w:jc w:val="both"/>
        <w:rPr>
          <w:iCs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Klebsiella pneumoniae</w:t>
      </w:r>
      <w:r w:rsidRPr="009A2813">
        <w:rPr>
          <w:color w:val="auto"/>
          <w:sz w:val="22"/>
          <w:szCs w:val="22"/>
          <w:lang w:val="hr-HR"/>
        </w:rPr>
        <w:t xml:space="preserve"> </w:t>
      </w:r>
    </w:p>
    <w:p w14:paraId="666FD6AE" w14:textId="77777777" w:rsidR="004C033F" w:rsidRPr="009A2813" w:rsidRDefault="004C033F" w:rsidP="00CC4A65">
      <w:pPr>
        <w:numPr>
          <w:ilvl w:val="0"/>
          <w:numId w:val="6"/>
        </w:numPr>
        <w:tabs>
          <w:tab w:val="clear" w:pos="567"/>
        </w:tabs>
        <w:jc w:val="both"/>
        <w:rPr>
          <w:i/>
          <w:szCs w:val="22"/>
          <w:lang w:val="hr-HR"/>
        </w:rPr>
      </w:pPr>
      <w:r w:rsidRPr="009A2813">
        <w:rPr>
          <w:i/>
          <w:szCs w:val="22"/>
          <w:lang w:val="hr-HR"/>
        </w:rPr>
        <w:t>Pseudomonas aeruginosa</w:t>
      </w:r>
    </w:p>
    <w:p w14:paraId="6B8BCAE4" w14:textId="77777777" w:rsidR="004C033F" w:rsidRPr="009A2813" w:rsidRDefault="004C033F" w:rsidP="00CC4A65">
      <w:pPr>
        <w:pStyle w:val="A-TableText"/>
        <w:tabs>
          <w:tab w:val="left" w:pos="567"/>
        </w:tabs>
        <w:spacing w:before="0" w:after="0" w:line="260" w:lineRule="exact"/>
        <w:jc w:val="both"/>
        <w:rPr>
          <w:iCs/>
          <w:szCs w:val="22"/>
          <w:lang w:val="hr-HR"/>
        </w:rPr>
      </w:pPr>
    </w:p>
    <w:p w14:paraId="6CF38C6E" w14:textId="77777777" w:rsidR="004C033F" w:rsidRPr="009A2813" w:rsidRDefault="004C033F" w:rsidP="00CC4A65">
      <w:pPr>
        <w:keepNext/>
        <w:jc w:val="both"/>
        <w:rPr>
          <w:b/>
          <w:szCs w:val="22"/>
          <w:lang w:val="hr-HR"/>
        </w:rPr>
      </w:pPr>
      <w:r w:rsidRPr="009A2813">
        <w:rPr>
          <w:b/>
          <w:szCs w:val="22"/>
          <w:lang w:val="hr-HR"/>
        </w:rPr>
        <w:t>Komplikovane infekcije urinarnog trakta</w:t>
      </w:r>
    </w:p>
    <w:p w14:paraId="565F3EB0" w14:textId="77777777" w:rsidR="004C033F" w:rsidRPr="009A2813" w:rsidRDefault="004C033F" w:rsidP="00CC4A65">
      <w:pPr>
        <w:keepNext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Gram-negativni mikroorganizmi</w:t>
      </w:r>
    </w:p>
    <w:p w14:paraId="1EF4C0FA" w14:textId="77777777" w:rsidR="004C033F" w:rsidRPr="009A2813" w:rsidRDefault="004C033F" w:rsidP="00CC4A65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 xml:space="preserve">Escherichia coli </w:t>
      </w:r>
    </w:p>
    <w:p w14:paraId="2E9C04E6" w14:textId="77777777" w:rsidR="004C033F" w:rsidRPr="009A2813" w:rsidRDefault="004C033F" w:rsidP="00CC4A65">
      <w:pPr>
        <w:pStyle w:val="Default"/>
        <w:numPr>
          <w:ilvl w:val="0"/>
          <w:numId w:val="7"/>
        </w:numPr>
        <w:jc w:val="both"/>
        <w:rPr>
          <w:i/>
          <w:iCs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 xml:space="preserve">Klebsiella pneumoniae </w:t>
      </w:r>
    </w:p>
    <w:p w14:paraId="3274A95F" w14:textId="77777777" w:rsidR="008D6AF4" w:rsidRPr="009A2813" w:rsidRDefault="008D6AF4" w:rsidP="00CC4A65">
      <w:pPr>
        <w:pStyle w:val="Default"/>
        <w:numPr>
          <w:ilvl w:val="0"/>
          <w:numId w:val="7"/>
        </w:numPr>
        <w:jc w:val="both"/>
        <w:rPr>
          <w:iCs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Proteus mirabilis</w:t>
      </w:r>
      <w:r w:rsidRPr="009A2813">
        <w:rPr>
          <w:color w:val="auto"/>
          <w:sz w:val="22"/>
          <w:szCs w:val="22"/>
          <w:lang w:val="hr-HR"/>
        </w:rPr>
        <w:t xml:space="preserve"> </w:t>
      </w:r>
    </w:p>
    <w:p w14:paraId="409275BB" w14:textId="77777777" w:rsidR="003A583D" w:rsidRPr="009A2813" w:rsidRDefault="003A583D" w:rsidP="00CC4A65">
      <w:pPr>
        <w:pStyle w:val="Default"/>
        <w:numPr>
          <w:ilvl w:val="0"/>
          <w:numId w:val="7"/>
        </w:numPr>
        <w:jc w:val="both"/>
        <w:rPr>
          <w:i/>
          <w:iCs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Enterobacter cloacae</w:t>
      </w:r>
    </w:p>
    <w:p w14:paraId="4DBB6711" w14:textId="77777777" w:rsidR="004C033F" w:rsidRPr="009A2813" w:rsidRDefault="004C033F" w:rsidP="00CC4A65">
      <w:pPr>
        <w:numPr>
          <w:ilvl w:val="0"/>
          <w:numId w:val="7"/>
        </w:numPr>
        <w:tabs>
          <w:tab w:val="clear" w:pos="567"/>
        </w:tabs>
        <w:jc w:val="both"/>
        <w:rPr>
          <w:i/>
          <w:szCs w:val="22"/>
          <w:lang w:val="hr-HR"/>
        </w:rPr>
      </w:pPr>
      <w:r w:rsidRPr="009A2813">
        <w:rPr>
          <w:i/>
          <w:szCs w:val="22"/>
          <w:lang w:val="hr-HR"/>
        </w:rPr>
        <w:t>Pseudomonas aeruginosa</w:t>
      </w:r>
    </w:p>
    <w:p w14:paraId="296DD2BD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753A7526" w14:textId="120D5D8E" w:rsidR="00B9412E" w:rsidRPr="009A2813" w:rsidRDefault="00C65C04" w:rsidP="00CC4A65">
      <w:pPr>
        <w:keepNext/>
        <w:keepLines/>
        <w:widowControl w:val="0"/>
        <w:jc w:val="both"/>
        <w:rPr>
          <w:b/>
          <w:szCs w:val="22"/>
          <w:lang w:val="hr-HR"/>
        </w:rPr>
      </w:pPr>
      <w:r w:rsidRPr="009A2813">
        <w:rPr>
          <w:b/>
          <w:szCs w:val="22"/>
          <w:lang w:val="hr-HR"/>
        </w:rPr>
        <w:t xml:space="preserve">Bolnička pneumonija uključujući pneumoniju povezanu sa </w:t>
      </w:r>
      <w:r w:rsidR="007E5557" w:rsidRPr="009A2813">
        <w:rPr>
          <w:b/>
          <w:szCs w:val="22"/>
          <w:lang w:val="hr-HR"/>
        </w:rPr>
        <w:t>mehaničkom ventilacijom</w:t>
      </w:r>
    </w:p>
    <w:p w14:paraId="5EAD2080" w14:textId="77777777" w:rsidR="00B9412E" w:rsidRPr="009A2813" w:rsidRDefault="00B9412E" w:rsidP="00CC4A65">
      <w:pPr>
        <w:keepNext/>
        <w:keepLines/>
        <w:widowControl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Gram-negativni mikroorganizmi</w:t>
      </w:r>
    </w:p>
    <w:p w14:paraId="32C4A558" w14:textId="77777777" w:rsidR="00B9412E" w:rsidRPr="009A2813" w:rsidRDefault="00B9412E" w:rsidP="00CC4A65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Enterobacter cloacae</w:t>
      </w:r>
    </w:p>
    <w:p w14:paraId="3D07E873" w14:textId="77777777" w:rsidR="00B9412E" w:rsidRPr="009A2813" w:rsidRDefault="00B9412E" w:rsidP="00CC4A65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Escherichia coli</w:t>
      </w:r>
      <w:r w:rsidRPr="009A2813">
        <w:rPr>
          <w:color w:val="auto"/>
          <w:sz w:val="22"/>
          <w:szCs w:val="22"/>
          <w:lang w:val="hr-HR"/>
        </w:rPr>
        <w:t xml:space="preserve"> </w:t>
      </w:r>
    </w:p>
    <w:p w14:paraId="736D688E" w14:textId="77777777" w:rsidR="00B9412E" w:rsidRPr="009A2813" w:rsidRDefault="00B9412E" w:rsidP="00CC4A65">
      <w:pPr>
        <w:pStyle w:val="Default"/>
        <w:numPr>
          <w:ilvl w:val="0"/>
          <w:numId w:val="6"/>
        </w:numPr>
        <w:jc w:val="both"/>
        <w:rPr>
          <w:i/>
          <w:iCs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 xml:space="preserve">Klebsiella pneumoniae </w:t>
      </w:r>
    </w:p>
    <w:p w14:paraId="4750F530" w14:textId="77777777" w:rsidR="00B9412E" w:rsidRPr="009A2813" w:rsidRDefault="00B9412E" w:rsidP="00CC4A65">
      <w:pPr>
        <w:pStyle w:val="Default"/>
        <w:numPr>
          <w:ilvl w:val="0"/>
          <w:numId w:val="6"/>
        </w:numPr>
        <w:jc w:val="both"/>
        <w:rPr>
          <w:i/>
          <w:iCs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Proteus mirabilis</w:t>
      </w:r>
    </w:p>
    <w:p w14:paraId="07DB17F8" w14:textId="77777777" w:rsidR="00B9412E" w:rsidRPr="009A2813" w:rsidRDefault="00B9412E" w:rsidP="00CC4A65">
      <w:pPr>
        <w:numPr>
          <w:ilvl w:val="0"/>
          <w:numId w:val="6"/>
        </w:numPr>
        <w:tabs>
          <w:tab w:val="clear" w:pos="567"/>
        </w:tabs>
        <w:jc w:val="both"/>
        <w:rPr>
          <w:i/>
          <w:szCs w:val="22"/>
          <w:lang w:val="hr-HR"/>
        </w:rPr>
      </w:pPr>
      <w:r w:rsidRPr="009A2813">
        <w:rPr>
          <w:i/>
          <w:szCs w:val="22"/>
          <w:lang w:val="hr-HR"/>
        </w:rPr>
        <w:t>Serratia marcescens</w:t>
      </w:r>
    </w:p>
    <w:p w14:paraId="7B333D49" w14:textId="77777777" w:rsidR="00B9412E" w:rsidRPr="009A2813" w:rsidRDefault="00B9412E" w:rsidP="00CC4A65">
      <w:pPr>
        <w:numPr>
          <w:ilvl w:val="0"/>
          <w:numId w:val="6"/>
        </w:numPr>
        <w:tabs>
          <w:tab w:val="clear" w:pos="567"/>
        </w:tabs>
        <w:jc w:val="both"/>
        <w:rPr>
          <w:i/>
          <w:szCs w:val="22"/>
          <w:lang w:val="hr-HR"/>
        </w:rPr>
      </w:pPr>
      <w:r w:rsidRPr="009A2813">
        <w:rPr>
          <w:i/>
          <w:szCs w:val="22"/>
          <w:lang w:val="hr-HR"/>
        </w:rPr>
        <w:lastRenderedPageBreak/>
        <w:t>Pseudomonas aeruginosa</w:t>
      </w:r>
    </w:p>
    <w:p w14:paraId="77C3228F" w14:textId="77777777" w:rsidR="00B9412E" w:rsidRPr="009A2813" w:rsidRDefault="00B9412E" w:rsidP="00CC4A65">
      <w:pPr>
        <w:jc w:val="both"/>
        <w:rPr>
          <w:szCs w:val="22"/>
          <w:lang w:val="hr-HR"/>
        </w:rPr>
      </w:pPr>
    </w:p>
    <w:p w14:paraId="1411D0B2" w14:textId="77777777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Klinička efikasnost nije ustanovljena protiv sljedećih patogena koji su relevantni za odobrene indikacije mada </w:t>
      </w:r>
      <w:r w:rsidRPr="009A2813">
        <w:rPr>
          <w:i/>
          <w:szCs w:val="22"/>
          <w:lang w:val="hr-HR"/>
        </w:rPr>
        <w:t>in vitro</w:t>
      </w:r>
      <w:r w:rsidRPr="009A2813">
        <w:rPr>
          <w:szCs w:val="22"/>
          <w:lang w:val="hr-HR"/>
        </w:rPr>
        <w:t xml:space="preserve"> studije ukazuju da bi oni bili osjetljivi na ceftazidim/avibaktam ukoliko nema stečenih mehanizama rezistencije.</w:t>
      </w:r>
    </w:p>
    <w:p w14:paraId="0A80032D" w14:textId="77777777" w:rsidR="004C033F" w:rsidRPr="009A2813" w:rsidRDefault="004C033F" w:rsidP="00CC4A65">
      <w:pPr>
        <w:pStyle w:val="A-TableText"/>
        <w:tabs>
          <w:tab w:val="left" w:pos="567"/>
        </w:tabs>
        <w:spacing w:before="0" w:after="0" w:line="260" w:lineRule="exact"/>
        <w:jc w:val="both"/>
        <w:rPr>
          <w:szCs w:val="22"/>
          <w:lang w:val="hr-HR"/>
        </w:rPr>
      </w:pPr>
    </w:p>
    <w:p w14:paraId="6C0685E6" w14:textId="77777777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Gram-negativni mikroorganizmi</w:t>
      </w:r>
    </w:p>
    <w:p w14:paraId="514BBD5E" w14:textId="77777777" w:rsidR="004C033F" w:rsidRPr="009A2813" w:rsidRDefault="004C033F" w:rsidP="00CC4A65">
      <w:pPr>
        <w:pStyle w:val="Default"/>
        <w:numPr>
          <w:ilvl w:val="0"/>
          <w:numId w:val="8"/>
        </w:numPr>
        <w:jc w:val="both"/>
        <w:rPr>
          <w:iCs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Citrobacter koseri</w:t>
      </w:r>
      <w:r w:rsidRPr="009A2813">
        <w:rPr>
          <w:color w:val="auto"/>
          <w:sz w:val="22"/>
          <w:szCs w:val="22"/>
          <w:lang w:val="hr-HR"/>
        </w:rPr>
        <w:t xml:space="preserve"> </w:t>
      </w:r>
    </w:p>
    <w:p w14:paraId="61AC9FE1" w14:textId="77777777" w:rsidR="004C033F" w:rsidRPr="009A2813" w:rsidRDefault="004C033F" w:rsidP="00CC4A65">
      <w:pPr>
        <w:pStyle w:val="Default"/>
        <w:numPr>
          <w:ilvl w:val="0"/>
          <w:numId w:val="8"/>
        </w:numPr>
        <w:jc w:val="both"/>
        <w:rPr>
          <w:i/>
          <w:iCs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Enterobacter aerogenes</w:t>
      </w:r>
    </w:p>
    <w:p w14:paraId="367E67AF" w14:textId="77777777" w:rsidR="004C033F" w:rsidRPr="009A2813" w:rsidRDefault="004C033F" w:rsidP="00CC4A65">
      <w:pPr>
        <w:pStyle w:val="Default"/>
        <w:numPr>
          <w:ilvl w:val="0"/>
          <w:numId w:val="8"/>
        </w:numPr>
        <w:jc w:val="both"/>
        <w:rPr>
          <w:i/>
          <w:iCs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Morganella morganii</w:t>
      </w:r>
    </w:p>
    <w:p w14:paraId="2A5C8276" w14:textId="77777777" w:rsidR="004C033F" w:rsidRPr="009A2813" w:rsidRDefault="004C033F" w:rsidP="00CC4A65">
      <w:pPr>
        <w:pStyle w:val="Default"/>
        <w:numPr>
          <w:ilvl w:val="0"/>
          <w:numId w:val="8"/>
        </w:numPr>
        <w:jc w:val="both"/>
        <w:rPr>
          <w:i/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Proteus vulgaris</w:t>
      </w:r>
      <w:r w:rsidRPr="009A2813">
        <w:rPr>
          <w:color w:val="auto"/>
          <w:sz w:val="22"/>
          <w:szCs w:val="22"/>
          <w:lang w:val="hr-HR"/>
        </w:rPr>
        <w:t xml:space="preserve"> </w:t>
      </w:r>
    </w:p>
    <w:p w14:paraId="3A05B332" w14:textId="77777777" w:rsidR="004C033F" w:rsidRPr="009A2813" w:rsidRDefault="004C033F" w:rsidP="00CC4A65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  <w:lang w:val="hr-HR"/>
        </w:rPr>
      </w:pPr>
      <w:r w:rsidRPr="009A2813">
        <w:rPr>
          <w:i/>
          <w:color w:val="auto"/>
          <w:sz w:val="22"/>
          <w:szCs w:val="22"/>
          <w:lang w:val="hr-HR"/>
        </w:rPr>
        <w:t>Providencia rettgeri</w:t>
      </w:r>
    </w:p>
    <w:p w14:paraId="07B86633" w14:textId="77777777" w:rsidR="004C033F" w:rsidRPr="009A2813" w:rsidRDefault="004C033F" w:rsidP="00CC4A65">
      <w:pPr>
        <w:jc w:val="both"/>
        <w:rPr>
          <w:i/>
          <w:szCs w:val="22"/>
          <w:lang w:val="hr-HR"/>
        </w:rPr>
      </w:pPr>
    </w:p>
    <w:p w14:paraId="48356E9F" w14:textId="77777777" w:rsidR="00B13A82" w:rsidRPr="009A2813" w:rsidRDefault="00B13A82" w:rsidP="00B97F09">
      <w:pPr>
        <w:autoSpaceDE w:val="0"/>
        <w:autoSpaceDN w:val="0"/>
        <w:adjustRightInd w:val="0"/>
        <w:jc w:val="both"/>
        <w:rPr>
          <w:rFonts w:eastAsia="TimesNewRoman"/>
          <w:szCs w:val="22"/>
          <w:lang w:val="hr-HR"/>
        </w:rPr>
      </w:pPr>
      <w:r w:rsidRPr="009A2813">
        <w:rPr>
          <w:i/>
          <w:szCs w:val="22"/>
          <w:lang w:val="hr-HR"/>
        </w:rPr>
        <w:t>In vitro</w:t>
      </w:r>
      <w:r w:rsidRPr="009A2813">
        <w:rPr>
          <w:szCs w:val="22"/>
          <w:lang w:val="hr-HR"/>
        </w:rPr>
        <w:t xml:space="preserve"> podaci ukazuju da sljedeće vrste nijesu osjetljive na ceftazidim/avibaktam.</w:t>
      </w:r>
    </w:p>
    <w:p w14:paraId="44E1972A" w14:textId="77777777" w:rsidR="00210544" w:rsidRPr="009A2813" w:rsidRDefault="00210544" w:rsidP="00CC4A65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hAnsi="Times New Roman"/>
          <w:lang w:val="hr-HR"/>
        </w:rPr>
      </w:pPr>
      <w:r w:rsidRPr="009A2813">
        <w:rPr>
          <w:rFonts w:ascii="Times New Roman" w:hAnsi="Times New Roman"/>
          <w:i/>
          <w:lang w:val="hr-HR"/>
        </w:rPr>
        <w:t>Staphylococcus aureus</w:t>
      </w:r>
      <w:r w:rsidRPr="009A2813">
        <w:rPr>
          <w:rFonts w:ascii="Times New Roman" w:hAnsi="Times New Roman"/>
          <w:lang w:val="hr-HR"/>
        </w:rPr>
        <w:t xml:space="preserve"> (osjetljiv na meticilin i otporan na meticilin)</w:t>
      </w:r>
    </w:p>
    <w:p w14:paraId="1D70F216" w14:textId="77777777" w:rsidR="00B13A82" w:rsidRPr="009A2813" w:rsidRDefault="00B13A82" w:rsidP="00CC4A65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hAnsi="Times New Roman"/>
          <w:lang w:val="hr-HR"/>
        </w:rPr>
      </w:pPr>
      <w:r w:rsidRPr="009A2813">
        <w:rPr>
          <w:rFonts w:ascii="Times New Roman" w:hAnsi="Times New Roman"/>
          <w:lang w:val="hr-HR"/>
        </w:rPr>
        <w:t>Anaerobi</w:t>
      </w:r>
    </w:p>
    <w:p w14:paraId="110408F1" w14:textId="77777777" w:rsidR="00B13A82" w:rsidRPr="009A2813" w:rsidRDefault="00B13A82" w:rsidP="00CC4A65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hAnsi="Times New Roman"/>
          <w:i/>
          <w:lang w:val="hr-HR"/>
        </w:rPr>
      </w:pPr>
      <w:r w:rsidRPr="009A2813">
        <w:rPr>
          <w:rFonts w:ascii="Times New Roman" w:hAnsi="Times New Roman"/>
          <w:i/>
          <w:lang w:val="hr-HR"/>
        </w:rPr>
        <w:t xml:space="preserve">Enterococcus </w:t>
      </w:r>
      <w:r w:rsidRPr="009A2813">
        <w:rPr>
          <w:rFonts w:ascii="Times New Roman" w:hAnsi="Times New Roman"/>
          <w:lang w:val="hr-HR"/>
        </w:rPr>
        <w:t>vrsta</w:t>
      </w:r>
    </w:p>
    <w:p w14:paraId="62D7BBF2" w14:textId="77777777" w:rsidR="00B13A82" w:rsidRPr="009A2813" w:rsidRDefault="00B13A82" w:rsidP="00CC4A65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hAnsi="Times New Roman"/>
          <w:i/>
          <w:lang w:val="hr-HR"/>
        </w:rPr>
      </w:pPr>
      <w:r w:rsidRPr="009A2813">
        <w:rPr>
          <w:rFonts w:ascii="Times New Roman" w:hAnsi="Times New Roman"/>
          <w:i/>
          <w:lang w:val="hr-HR"/>
        </w:rPr>
        <w:t>Stenotrophomonas maltophilia</w:t>
      </w:r>
    </w:p>
    <w:p w14:paraId="09522E2D" w14:textId="77777777" w:rsidR="00B13A82" w:rsidRPr="009A2813" w:rsidRDefault="00B13A82" w:rsidP="00CC4A65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hAnsi="Times New Roman"/>
          <w:lang w:val="hr-HR"/>
        </w:rPr>
      </w:pPr>
      <w:r w:rsidRPr="009A2813">
        <w:rPr>
          <w:rFonts w:ascii="Times New Roman" w:hAnsi="Times New Roman"/>
          <w:i/>
          <w:lang w:val="hr-HR"/>
        </w:rPr>
        <w:t xml:space="preserve">Acinetobacter </w:t>
      </w:r>
      <w:r w:rsidRPr="009A2813">
        <w:rPr>
          <w:rFonts w:ascii="Times New Roman" w:hAnsi="Times New Roman"/>
          <w:lang w:val="hr-HR"/>
        </w:rPr>
        <w:t>vrsta</w:t>
      </w:r>
    </w:p>
    <w:p w14:paraId="30C2201B" w14:textId="77777777" w:rsidR="002F69E7" w:rsidRPr="009A2813" w:rsidRDefault="004C033F" w:rsidP="00CC4A65">
      <w:pPr>
        <w:keepNext/>
        <w:keepLines/>
        <w:numPr>
          <w:ilvl w:val="12"/>
          <w:numId w:val="0"/>
        </w:numPr>
        <w:ind w:right="-2"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Pedijatrijska populacija</w:t>
      </w:r>
    </w:p>
    <w:p w14:paraId="63E0C30E" w14:textId="77777777" w:rsidR="00F24D21" w:rsidRPr="009A2813" w:rsidRDefault="00F24D21" w:rsidP="00CC4A65">
      <w:pPr>
        <w:keepNext/>
        <w:keepLines/>
        <w:numPr>
          <w:ilvl w:val="12"/>
          <w:numId w:val="0"/>
        </w:numPr>
        <w:ind w:right="-2"/>
        <w:jc w:val="both"/>
        <w:rPr>
          <w:szCs w:val="22"/>
          <w:u w:val="single"/>
          <w:lang w:val="hr-HR"/>
        </w:rPr>
      </w:pPr>
    </w:p>
    <w:p w14:paraId="6F442DC7" w14:textId="15F10D6A" w:rsidR="00114FE0" w:rsidRPr="00B41558" w:rsidRDefault="00171576" w:rsidP="00CC4A65">
      <w:pPr>
        <w:keepNext/>
        <w:keepLines/>
        <w:numPr>
          <w:ilvl w:val="12"/>
          <w:numId w:val="0"/>
        </w:numPr>
        <w:ind w:right="-2"/>
        <w:jc w:val="both"/>
        <w:rPr>
          <w:bCs/>
          <w:i/>
          <w:szCs w:val="22"/>
          <w:lang w:val="hr-HR"/>
        </w:rPr>
      </w:pPr>
      <w:r w:rsidRPr="00B41558">
        <w:rPr>
          <w:bCs/>
          <w:i/>
          <w:szCs w:val="22"/>
          <w:lang w:val="hr-HR"/>
        </w:rPr>
        <w:t>Pacijenti o</w:t>
      </w:r>
      <w:r w:rsidR="00114FE0" w:rsidRPr="00B41558">
        <w:rPr>
          <w:bCs/>
          <w:i/>
          <w:szCs w:val="22"/>
          <w:lang w:val="hr-HR"/>
        </w:rPr>
        <w:t>d rođenja do manje od 3 mjeseca starosti</w:t>
      </w:r>
    </w:p>
    <w:p w14:paraId="2C63BD4F" w14:textId="16A392C9" w:rsidR="00114FE0" w:rsidRPr="00B41558" w:rsidRDefault="00B940FB" w:rsidP="00CC4A65">
      <w:pPr>
        <w:keepNext/>
        <w:keepLines/>
        <w:numPr>
          <w:ilvl w:val="12"/>
          <w:numId w:val="0"/>
        </w:numPr>
        <w:ind w:right="-2"/>
        <w:jc w:val="both"/>
        <w:rPr>
          <w:iCs/>
          <w:szCs w:val="22"/>
          <w:lang w:val="hr-HR"/>
        </w:rPr>
      </w:pPr>
      <w:r>
        <w:rPr>
          <w:iCs/>
          <w:szCs w:val="22"/>
          <w:lang w:val="hr-HR"/>
        </w:rPr>
        <w:t xml:space="preserve">Lijek </w:t>
      </w:r>
      <w:r w:rsidR="00114FE0" w:rsidRPr="00B41558">
        <w:rPr>
          <w:iCs/>
          <w:szCs w:val="22"/>
          <w:lang w:val="hr-HR"/>
        </w:rPr>
        <w:t>Zavicefta je ocijenjen kod pedijatrijskih pacijenata od rođenja do manje od 3 mjeseca starosti u fazi 2a, dvodjelnoj (</w:t>
      </w:r>
      <w:r w:rsidR="00F06E60">
        <w:rPr>
          <w:iCs/>
          <w:szCs w:val="22"/>
          <w:lang w:val="hr-HR"/>
        </w:rPr>
        <w:t>d</w:t>
      </w:r>
      <w:r w:rsidR="00114FE0" w:rsidRPr="00B41558">
        <w:rPr>
          <w:iCs/>
          <w:szCs w:val="22"/>
          <w:lang w:val="hr-HR"/>
        </w:rPr>
        <w:t xml:space="preserve">io A i B), otvorenoj, </w:t>
      </w:r>
      <w:r>
        <w:rPr>
          <w:iCs/>
          <w:szCs w:val="22"/>
          <w:lang w:val="hr-HR"/>
        </w:rPr>
        <w:t>nerandomizovanoj</w:t>
      </w:r>
      <w:r w:rsidR="00114FE0" w:rsidRPr="00B41558">
        <w:rPr>
          <w:iCs/>
          <w:szCs w:val="22"/>
          <w:lang w:val="hr-HR"/>
        </w:rPr>
        <w:t xml:space="preserve"> kliničkoj studiji kod pacijenata sa sumnjom na ili potvrđenim infekcijama izazvanim </w:t>
      </w:r>
      <w:r w:rsidR="00601389">
        <w:rPr>
          <w:iCs/>
          <w:szCs w:val="22"/>
          <w:lang w:val="hr-HR"/>
        </w:rPr>
        <w:t>g</w:t>
      </w:r>
      <w:r w:rsidR="00114FE0" w:rsidRPr="00B41558">
        <w:rPr>
          <w:iCs/>
          <w:szCs w:val="22"/>
          <w:lang w:val="hr-HR"/>
        </w:rPr>
        <w:t>ram-negativnim patogenima. D</w:t>
      </w:r>
      <w:r w:rsidR="00BE7FE5" w:rsidRPr="00B41558">
        <w:rPr>
          <w:iCs/>
          <w:szCs w:val="22"/>
          <w:lang w:val="hr-HR"/>
        </w:rPr>
        <w:t>i</w:t>
      </w:r>
      <w:r w:rsidR="00114FE0" w:rsidRPr="00B41558">
        <w:rPr>
          <w:iCs/>
          <w:szCs w:val="22"/>
          <w:lang w:val="hr-HR"/>
        </w:rPr>
        <w:t>o A koristio je jednu dozu kako bi se oc</w:t>
      </w:r>
      <w:r w:rsidR="00BE7FE5" w:rsidRPr="00B41558">
        <w:rPr>
          <w:iCs/>
          <w:szCs w:val="22"/>
          <w:lang w:val="hr-HR"/>
        </w:rPr>
        <w:t>ij</w:t>
      </w:r>
      <w:r w:rsidR="00114FE0" w:rsidRPr="00B41558">
        <w:rPr>
          <w:iCs/>
          <w:szCs w:val="22"/>
          <w:lang w:val="hr-HR"/>
        </w:rPr>
        <w:t>enio farmakokinetički (PK) profil (primarni cilj) i proc</w:t>
      </w:r>
      <w:r w:rsidR="00BE7FE5" w:rsidRPr="00B41558">
        <w:rPr>
          <w:iCs/>
          <w:szCs w:val="22"/>
          <w:lang w:val="hr-HR"/>
        </w:rPr>
        <w:t>ij</w:t>
      </w:r>
      <w:r w:rsidR="00114FE0" w:rsidRPr="00B41558">
        <w:rPr>
          <w:iCs/>
          <w:szCs w:val="22"/>
          <w:lang w:val="hr-HR"/>
        </w:rPr>
        <w:t>enila bezb</w:t>
      </w:r>
      <w:r w:rsidR="00BE7FE5" w:rsidRPr="00B41558">
        <w:rPr>
          <w:iCs/>
          <w:szCs w:val="22"/>
          <w:lang w:val="hr-HR"/>
        </w:rPr>
        <w:t>j</w:t>
      </w:r>
      <w:r w:rsidR="00114FE0" w:rsidRPr="00B41558">
        <w:rPr>
          <w:iCs/>
          <w:szCs w:val="22"/>
          <w:lang w:val="hr-HR"/>
        </w:rPr>
        <w:t>ednost i podnošljivost (sekundarni cilj) ceftazidima/avibaktama. D</w:t>
      </w:r>
      <w:r w:rsidR="00BE7FE5" w:rsidRPr="00B41558">
        <w:rPr>
          <w:iCs/>
          <w:szCs w:val="22"/>
          <w:lang w:val="hr-HR"/>
        </w:rPr>
        <w:t>i</w:t>
      </w:r>
      <w:r w:rsidR="00114FE0" w:rsidRPr="00B41558">
        <w:rPr>
          <w:iCs/>
          <w:szCs w:val="22"/>
          <w:lang w:val="hr-HR"/>
        </w:rPr>
        <w:t>o B koristio je više doza kako bi se proc</w:t>
      </w:r>
      <w:r w:rsidR="00BE7FE5" w:rsidRPr="00B41558">
        <w:rPr>
          <w:iCs/>
          <w:szCs w:val="22"/>
          <w:lang w:val="hr-HR"/>
        </w:rPr>
        <w:t>ij</w:t>
      </w:r>
      <w:r w:rsidR="00114FE0" w:rsidRPr="00B41558">
        <w:rPr>
          <w:iCs/>
          <w:szCs w:val="22"/>
          <w:lang w:val="hr-HR"/>
        </w:rPr>
        <w:t>enila bezb</w:t>
      </w:r>
      <w:r w:rsidR="00BE7FE5" w:rsidRPr="00B41558">
        <w:rPr>
          <w:iCs/>
          <w:szCs w:val="22"/>
          <w:lang w:val="hr-HR"/>
        </w:rPr>
        <w:t>j</w:t>
      </w:r>
      <w:r w:rsidR="00114FE0" w:rsidRPr="00B41558">
        <w:rPr>
          <w:iCs/>
          <w:szCs w:val="22"/>
          <w:lang w:val="hr-HR"/>
        </w:rPr>
        <w:t>ednost i podnošljivost (primarni cilj), dok su PK profil i efikasnost bili sekundarni ciljevi. Efikasnost je bila samo deskriptivni cilj. Stopa kliničkog izl</w:t>
      </w:r>
      <w:r w:rsidR="00BE7FE5" w:rsidRPr="00B41558">
        <w:rPr>
          <w:iCs/>
          <w:szCs w:val="22"/>
          <w:lang w:val="hr-HR"/>
        </w:rPr>
        <w:t>j</w:t>
      </w:r>
      <w:r w:rsidR="00114FE0" w:rsidRPr="00B41558">
        <w:rPr>
          <w:iCs/>
          <w:szCs w:val="22"/>
          <w:lang w:val="hr-HR"/>
        </w:rPr>
        <w:t xml:space="preserve">ečenja ili kliničkog poboljšanja u </w:t>
      </w:r>
      <w:r w:rsidR="00F06E60">
        <w:rPr>
          <w:iCs/>
          <w:szCs w:val="22"/>
          <w:lang w:val="hr-HR"/>
        </w:rPr>
        <w:t>d</w:t>
      </w:r>
      <w:r w:rsidR="00BE7FE5" w:rsidRPr="00B41558">
        <w:rPr>
          <w:iCs/>
          <w:szCs w:val="22"/>
          <w:lang w:val="hr-HR"/>
        </w:rPr>
        <w:t>ijelu</w:t>
      </w:r>
      <w:r w:rsidR="00114FE0" w:rsidRPr="00B41558">
        <w:rPr>
          <w:iCs/>
          <w:szCs w:val="22"/>
          <w:lang w:val="hr-HR"/>
        </w:rPr>
        <w:t xml:space="preserve"> B bila je 81,0% (17/21) na </w:t>
      </w:r>
      <w:r w:rsidR="00601389">
        <w:rPr>
          <w:iCs/>
          <w:szCs w:val="22"/>
          <w:lang w:val="hr-HR"/>
        </w:rPr>
        <w:t>testu izlječenja (</w:t>
      </w:r>
      <w:r w:rsidR="00601389">
        <w:t xml:space="preserve">engl. </w:t>
      </w:r>
      <w:r w:rsidR="00601389" w:rsidRPr="002B14C5">
        <w:rPr>
          <w:i/>
        </w:rPr>
        <w:t>test of cure</w:t>
      </w:r>
      <w:r w:rsidR="00601389">
        <w:t>,</w:t>
      </w:r>
      <w:r w:rsidR="00601389" w:rsidRPr="00130F5C">
        <w:rPr>
          <w:iCs/>
          <w:szCs w:val="22"/>
          <w:lang w:val="hr-HR"/>
        </w:rPr>
        <w:t xml:space="preserve"> </w:t>
      </w:r>
      <w:r w:rsidR="00114FE0" w:rsidRPr="00B41558">
        <w:rPr>
          <w:iCs/>
          <w:szCs w:val="22"/>
          <w:lang w:val="hr-HR"/>
        </w:rPr>
        <w:t>TOC</w:t>
      </w:r>
      <w:r w:rsidR="00601389">
        <w:rPr>
          <w:iCs/>
          <w:szCs w:val="22"/>
          <w:lang w:val="hr-HR"/>
        </w:rPr>
        <w:t>)</w:t>
      </w:r>
      <w:r w:rsidR="00114FE0" w:rsidRPr="00B41558">
        <w:rPr>
          <w:iCs/>
          <w:szCs w:val="22"/>
          <w:lang w:val="hr-HR"/>
        </w:rPr>
        <w:t xml:space="preserve"> (</w:t>
      </w:r>
      <w:r w:rsidR="00601389">
        <w:rPr>
          <w:iCs/>
          <w:szCs w:val="22"/>
          <w:lang w:val="hr-HR"/>
        </w:rPr>
        <w:t xml:space="preserve">namjera liječenja </w:t>
      </w:r>
      <w:r w:rsidR="00601389">
        <w:t xml:space="preserve">[engl. </w:t>
      </w:r>
      <w:r w:rsidR="00601389" w:rsidRPr="002B14C5">
        <w:rPr>
          <w:i/>
        </w:rPr>
        <w:t>intent to treat</w:t>
      </w:r>
      <w:r w:rsidR="00601389" w:rsidRPr="00130F5C">
        <w:t>,</w:t>
      </w:r>
      <w:r w:rsidR="00601389">
        <w:t xml:space="preserve"> </w:t>
      </w:r>
      <w:r w:rsidR="00601389" w:rsidRPr="006009A5">
        <w:t>ITT</w:t>
      </w:r>
      <w:r w:rsidR="00601389">
        <w:t>])</w:t>
      </w:r>
      <w:r w:rsidR="00601389">
        <w:rPr>
          <w:iCs/>
          <w:szCs w:val="22"/>
          <w:lang w:val="hr-HR"/>
        </w:rPr>
        <w:t xml:space="preserve"> </w:t>
      </w:r>
      <w:r w:rsidR="00114FE0" w:rsidRPr="00B41558">
        <w:rPr>
          <w:iCs/>
          <w:szCs w:val="22"/>
          <w:lang w:val="hr-HR"/>
        </w:rPr>
        <w:t>i 75,0% (12/16) na TOC (modifikovani ITT). Stopa mikrobiološke eradi</w:t>
      </w:r>
      <w:r w:rsidR="00601389">
        <w:rPr>
          <w:iCs/>
          <w:szCs w:val="22"/>
          <w:lang w:val="hr-HR"/>
        </w:rPr>
        <w:t>ka</w:t>
      </w:r>
      <w:r w:rsidR="00114FE0" w:rsidRPr="00B41558">
        <w:rPr>
          <w:iCs/>
          <w:szCs w:val="22"/>
          <w:lang w:val="hr-HR"/>
        </w:rPr>
        <w:t>cije ili pretpostavljene eradi</w:t>
      </w:r>
      <w:r w:rsidR="00601389">
        <w:rPr>
          <w:iCs/>
          <w:szCs w:val="22"/>
          <w:lang w:val="hr-HR"/>
        </w:rPr>
        <w:t>ka</w:t>
      </w:r>
      <w:r w:rsidR="00114FE0" w:rsidRPr="00B41558">
        <w:rPr>
          <w:iCs/>
          <w:szCs w:val="22"/>
          <w:lang w:val="hr-HR"/>
        </w:rPr>
        <w:t>cije na TOC (micro-ITT) bila je 80% (8/10).</w:t>
      </w:r>
    </w:p>
    <w:p w14:paraId="49A40D26" w14:textId="77777777" w:rsidR="00BE7FE5" w:rsidRPr="009A2813" w:rsidRDefault="00BE7FE5" w:rsidP="00CC4A65">
      <w:pPr>
        <w:keepNext/>
        <w:keepLines/>
        <w:numPr>
          <w:ilvl w:val="12"/>
          <w:numId w:val="0"/>
        </w:numPr>
        <w:ind w:right="-2"/>
        <w:jc w:val="both"/>
        <w:rPr>
          <w:iCs/>
          <w:szCs w:val="22"/>
          <w:u w:val="single"/>
          <w:lang w:val="hr-HR"/>
        </w:rPr>
      </w:pPr>
    </w:p>
    <w:p w14:paraId="225688A6" w14:textId="32831903" w:rsidR="004C033F" w:rsidRPr="009A2813" w:rsidRDefault="00171576" w:rsidP="00F24D21">
      <w:pPr>
        <w:keepNext/>
        <w:keepLines/>
        <w:numPr>
          <w:ilvl w:val="12"/>
          <w:numId w:val="0"/>
        </w:numPr>
        <w:ind w:right="-2"/>
        <w:jc w:val="both"/>
        <w:rPr>
          <w:szCs w:val="22"/>
          <w:lang w:val="hr-HR"/>
        </w:rPr>
      </w:pPr>
      <w:r>
        <w:rPr>
          <w:i/>
          <w:szCs w:val="22"/>
          <w:lang w:val="hr-HR"/>
        </w:rPr>
        <w:t>Pacijenti starosti</w:t>
      </w:r>
      <w:r w:rsidR="00BE7FE5" w:rsidRPr="00B41558">
        <w:rPr>
          <w:i/>
          <w:szCs w:val="22"/>
          <w:lang w:val="hr-HR"/>
        </w:rPr>
        <w:t xml:space="preserve"> 3 mjeseca i starij</w:t>
      </w:r>
      <w:r>
        <w:rPr>
          <w:i/>
          <w:szCs w:val="22"/>
          <w:lang w:val="hr-HR"/>
        </w:rPr>
        <w:t>i</w:t>
      </w:r>
    </w:p>
    <w:p w14:paraId="6CC4FDCD" w14:textId="6E5BEC27" w:rsidR="004C033F" w:rsidRPr="009A2813" w:rsidRDefault="00CC3D0C" w:rsidP="00CC4A65">
      <w:pPr>
        <w:jc w:val="both"/>
        <w:rPr>
          <w:rFonts w:eastAsia="SimSun"/>
          <w:i/>
          <w:iCs/>
          <w:szCs w:val="22"/>
          <w:lang w:val="hr-HR"/>
        </w:rPr>
      </w:pPr>
      <w:r w:rsidRPr="009A2813">
        <w:rPr>
          <w:szCs w:val="22"/>
          <w:lang w:val="hr-HR"/>
        </w:rPr>
        <w:t>Zavicefta je procijenjena kod pedijatrijskih pacijenata uzrasta od 3 mjeseca do &lt; 18 godina u dv</w:t>
      </w:r>
      <w:r w:rsidR="00906A75" w:rsidRPr="009A2813">
        <w:rPr>
          <w:szCs w:val="22"/>
          <w:lang w:val="hr-HR"/>
        </w:rPr>
        <w:t>ije</w:t>
      </w:r>
      <w:r w:rsidRPr="009A2813">
        <w:rPr>
          <w:szCs w:val="22"/>
          <w:lang w:val="hr-HR"/>
        </w:rPr>
        <w:t xml:space="preserve"> jednostruko</w:t>
      </w:r>
      <w:r w:rsidR="00526D57" w:rsidRPr="009A2813">
        <w:rPr>
          <w:szCs w:val="22"/>
          <w:lang w:val="hr-HR"/>
        </w:rPr>
        <w:t xml:space="preserve"> </w:t>
      </w:r>
      <w:r w:rsidRPr="009A2813">
        <w:rPr>
          <w:szCs w:val="22"/>
          <w:lang w:val="hr-HR"/>
        </w:rPr>
        <w:t>slijepe, randomizovane, uporedne kliničke studije</w:t>
      </w:r>
      <w:r w:rsidR="00906A75" w:rsidRPr="009A2813">
        <w:rPr>
          <w:szCs w:val="22"/>
          <w:lang w:val="hr-HR"/>
        </w:rPr>
        <w:t xml:space="preserve"> faze 2</w:t>
      </w:r>
      <w:r w:rsidRPr="009A2813">
        <w:rPr>
          <w:szCs w:val="22"/>
          <w:lang w:val="hr-HR"/>
        </w:rPr>
        <w:t>, jedna kod pacijenata sa cIAI i jedna kod pacijenata sa cUTI. Primarni cilj svake studije bio je da se procijeni bezbjednost i podnošljivost ceftazidima</w:t>
      </w:r>
      <w:r w:rsidRPr="009A2813">
        <w:rPr>
          <w:szCs w:val="22"/>
          <w:lang w:val="hr-HR"/>
        </w:rPr>
        <w:noBreakHyphen/>
        <w:t>avibaktama (+/- metronidazola). Sekundarni ciljevi uključivali su procjenu farmakokinetike i efikasnosti; efikasnost je bila deskriptivn</w:t>
      </w:r>
      <w:r w:rsidR="00A64072" w:rsidRPr="009A2813">
        <w:rPr>
          <w:szCs w:val="22"/>
          <w:lang w:val="hr-HR"/>
        </w:rPr>
        <w:t>i parametar praćenja</w:t>
      </w:r>
      <w:r w:rsidRPr="009A2813">
        <w:rPr>
          <w:szCs w:val="22"/>
          <w:lang w:val="hr-HR"/>
        </w:rPr>
        <w:t xml:space="preserve"> u obje studije. Stopa kliničkog izlječenja</w:t>
      </w:r>
      <w:r w:rsidR="00A64072" w:rsidRPr="009A2813">
        <w:rPr>
          <w:szCs w:val="22"/>
          <w:lang w:val="hr-HR"/>
        </w:rPr>
        <w:t xml:space="preserve"> (engl. </w:t>
      </w:r>
      <w:r w:rsidR="00A64072" w:rsidRPr="009A2813">
        <w:rPr>
          <w:i/>
          <w:szCs w:val="22"/>
          <w:lang w:val="hr-HR"/>
        </w:rPr>
        <w:t>test of-cure</w:t>
      </w:r>
      <w:r w:rsidR="00A64072" w:rsidRPr="009A2813">
        <w:rPr>
          <w:szCs w:val="22"/>
          <w:lang w:val="hr-HR"/>
        </w:rPr>
        <w:t>, TOC)</w:t>
      </w:r>
      <w:r w:rsidRPr="009A2813">
        <w:rPr>
          <w:szCs w:val="22"/>
          <w:lang w:val="hr-HR"/>
        </w:rPr>
        <w:t xml:space="preserve"> (</w:t>
      </w:r>
      <w:r w:rsidR="00A64072" w:rsidRPr="009A2813">
        <w:rPr>
          <w:szCs w:val="22"/>
          <w:lang w:val="hr-HR"/>
        </w:rPr>
        <w:t xml:space="preserve">u </w:t>
      </w:r>
      <w:r w:rsidRPr="009A2813">
        <w:rPr>
          <w:szCs w:val="22"/>
          <w:lang w:val="hr-HR"/>
        </w:rPr>
        <w:t>ITT</w:t>
      </w:r>
      <w:r w:rsidR="00A64072" w:rsidRPr="009A2813">
        <w:rPr>
          <w:szCs w:val="22"/>
          <w:lang w:val="hr-HR"/>
        </w:rPr>
        <w:t xml:space="preserve"> populaciji</w:t>
      </w:r>
      <w:r w:rsidRPr="009A2813">
        <w:rPr>
          <w:szCs w:val="22"/>
          <w:lang w:val="hr-HR"/>
        </w:rPr>
        <w:t>) bila je 91,8% (56/61) za lijek Zaviceft u poređenju sa 95,5% (21/22) za meropenem kod pedijatrijskih pacijenata sa cIAI. Stopa mikrobiološke eradikacije na TOC (mikro</w:t>
      </w:r>
      <w:r w:rsidRPr="009A2813">
        <w:rPr>
          <w:szCs w:val="22"/>
          <w:lang w:val="hr-HR"/>
        </w:rPr>
        <w:noBreakHyphen/>
        <w:t>ITT) bila je 79,6% (43/54) za lijek Zavicefta u poređenju sa 60,9% (14/23) za cefepim kod pedijatrijskih pacijenata sa cUTI.</w:t>
      </w:r>
    </w:p>
    <w:p w14:paraId="19A1BBDB" w14:textId="77777777" w:rsidR="00777671" w:rsidRPr="009A2813" w:rsidRDefault="00777671" w:rsidP="00CC4A65">
      <w:pPr>
        <w:numPr>
          <w:ilvl w:val="12"/>
          <w:numId w:val="0"/>
        </w:numPr>
        <w:ind w:right="-2"/>
        <w:jc w:val="both"/>
        <w:rPr>
          <w:iCs/>
          <w:szCs w:val="22"/>
          <w:lang w:val="hr-HR"/>
        </w:rPr>
      </w:pPr>
    </w:p>
    <w:p w14:paraId="6CB075D5" w14:textId="77777777" w:rsidR="004C033F" w:rsidRPr="009A2813" w:rsidRDefault="004C033F" w:rsidP="00CC4A65">
      <w:pPr>
        <w:keepNext/>
        <w:keepLines/>
        <w:ind w:left="567" w:hanging="567"/>
        <w:jc w:val="both"/>
        <w:outlineLvl w:val="0"/>
        <w:rPr>
          <w:b/>
          <w:szCs w:val="22"/>
          <w:lang w:val="hr-HR"/>
        </w:rPr>
      </w:pPr>
      <w:r w:rsidRPr="009A2813">
        <w:rPr>
          <w:b/>
          <w:szCs w:val="22"/>
          <w:lang w:val="hr-HR"/>
        </w:rPr>
        <w:t>5.2</w:t>
      </w:r>
      <w:r w:rsidRPr="009A2813">
        <w:rPr>
          <w:b/>
          <w:szCs w:val="22"/>
          <w:lang w:val="hr-HR"/>
        </w:rPr>
        <w:tab/>
        <w:t>Farmakokinetički podaci</w:t>
      </w:r>
    </w:p>
    <w:p w14:paraId="48A54BD6" w14:textId="77777777" w:rsidR="004C033F" w:rsidRPr="009A2813" w:rsidRDefault="004C033F" w:rsidP="00CC4A65">
      <w:pPr>
        <w:keepNext/>
        <w:keepLines/>
        <w:numPr>
          <w:ilvl w:val="12"/>
          <w:numId w:val="0"/>
        </w:numPr>
        <w:ind w:right="-2"/>
        <w:jc w:val="both"/>
        <w:rPr>
          <w:szCs w:val="22"/>
          <w:u w:val="single"/>
          <w:lang w:val="hr-HR"/>
        </w:rPr>
      </w:pPr>
    </w:p>
    <w:p w14:paraId="085B3A78" w14:textId="77777777" w:rsidR="004C033F" w:rsidRPr="009A2813" w:rsidRDefault="004C033F" w:rsidP="00CC4A65">
      <w:pPr>
        <w:keepNext/>
        <w:keepLines/>
        <w:numPr>
          <w:ilvl w:val="12"/>
          <w:numId w:val="0"/>
        </w:numPr>
        <w:ind w:right="-2"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Distribucija</w:t>
      </w:r>
    </w:p>
    <w:p w14:paraId="2EDECC63" w14:textId="77777777" w:rsidR="002F69E7" w:rsidRPr="009A2813" w:rsidRDefault="002F69E7" w:rsidP="00CC4A65">
      <w:pPr>
        <w:keepNext/>
        <w:keepLines/>
        <w:numPr>
          <w:ilvl w:val="12"/>
          <w:numId w:val="0"/>
        </w:numPr>
        <w:ind w:right="-2"/>
        <w:jc w:val="both"/>
        <w:rPr>
          <w:szCs w:val="22"/>
          <w:u w:val="single"/>
          <w:lang w:val="hr-HR"/>
        </w:rPr>
      </w:pPr>
    </w:p>
    <w:p w14:paraId="3453ADAF" w14:textId="5EDCB49C" w:rsidR="004C033F" w:rsidRPr="009A2813" w:rsidRDefault="004C033F" w:rsidP="00CC4A65">
      <w:pPr>
        <w:numPr>
          <w:ilvl w:val="12"/>
          <w:numId w:val="0"/>
        </w:num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Vezivanje ceftazidima i avibaktama za humane proteine je približno 10%, odnosno 8%. </w:t>
      </w:r>
      <w:r w:rsidR="000B1750" w:rsidRPr="009A2813">
        <w:rPr>
          <w:szCs w:val="22"/>
          <w:lang w:val="hr-HR"/>
        </w:rPr>
        <w:t>V</w:t>
      </w:r>
      <w:r w:rsidRPr="009A2813">
        <w:rPr>
          <w:szCs w:val="22"/>
          <w:lang w:val="hr-HR"/>
        </w:rPr>
        <w:t xml:space="preserve">olumen distribucije </w:t>
      </w:r>
      <w:r w:rsidR="000B1750" w:rsidRPr="009A2813">
        <w:rPr>
          <w:szCs w:val="22"/>
          <w:lang w:val="hr-HR"/>
        </w:rPr>
        <w:t xml:space="preserve">u stanju dinamičke ravnoteže za </w:t>
      </w:r>
      <w:r w:rsidRPr="009A2813">
        <w:rPr>
          <w:szCs w:val="22"/>
          <w:lang w:val="hr-HR"/>
        </w:rPr>
        <w:t>ceftazidim i avibaktam bio je oko 17 </w:t>
      </w:r>
      <w:r w:rsidR="00B4648D" w:rsidRPr="009A2813">
        <w:rPr>
          <w:szCs w:val="22"/>
          <w:lang w:val="hr-HR"/>
        </w:rPr>
        <w:t>l</w:t>
      </w:r>
      <w:r w:rsidRPr="009A2813">
        <w:rPr>
          <w:szCs w:val="22"/>
          <w:lang w:val="hr-HR"/>
        </w:rPr>
        <w:t xml:space="preserve"> odnosno 22 </w:t>
      </w:r>
      <w:r w:rsidR="00B4648D" w:rsidRPr="009A2813">
        <w:rPr>
          <w:szCs w:val="22"/>
          <w:lang w:val="hr-HR"/>
        </w:rPr>
        <w:t>l</w:t>
      </w:r>
      <w:r w:rsidRPr="009A2813">
        <w:rPr>
          <w:szCs w:val="22"/>
          <w:lang w:val="hr-HR"/>
        </w:rPr>
        <w:t xml:space="preserve">, kod zdravih odraslih </w:t>
      </w:r>
      <w:r w:rsidR="000B1750" w:rsidRPr="009A2813">
        <w:rPr>
          <w:szCs w:val="22"/>
          <w:lang w:val="hr-HR"/>
        </w:rPr>
        <w:t xml:space="preserve">osoba </w:t>
      </w:r>
      <w:r w:rsidRPr="009A2813">
        <w:rPr>
          <w:szCs w:val="22"/>
          <w:lang w:val="hr-HR"/>
        </w:rPr>
        <w:t>nakon višestrukih doza od 2 g</w:t>
      </w:r>
      <w:r w:rsidR="00E8529B" w:rsidRPr="009A2813">
        <w:rPr>
          <w:szCs w:val="22"/>
          <w:lang w:val="hr-HR"/>
        </w:rPr>
        <w:t xml:space="preserve"> + </w:t>
      </w:r>
      <w:r w:rsidRPr="009A2813">
        <w:rPr>
          <w:szCs w:val="22"/>
          <w:lang w:val="hr-HR"/>
        </w:rPr>
        <w:t xml:space="preserve">0,5 g ceftazidima/avibaktama infuzije tokom 2 sata svakih 8 sati. I ceftazidim i avibaktam prodiru u </w:t>
      </w:r>
      <w:r w:rsidR="007F2D4D" w:rsidRPr="009A2813">
        <w:rPr>
          <w:szCs w:val="22"/>
          <w:lang w:val="hr-HR"/>
        </w:rPr>
        <w:t xml:space="preserve">bronhijalnu </w:t>
      </w:r>
      <w:r w:rsidRPr="009A2813">
        <w:rPr>
          <w:szCs w:val="22"/>
          <w:lang w:val="hr-HR"/>
        </w:rPr>
        <w:t xml:space="preserve">tečnost </w:t>
      </w:r>
      <w:r w:rsidR="007F2D4D" w:rsidRPr="009A2813">
        <w:rPr>
          <w:szCs w:val="22"/>
          <w:lang w:val="hr-HR"/>
        </w:rPr>
        <w:t xml:space="preserve">epitelne </w:t>
      </w:r>
      <w:r w:rsidRPr="009A2813">
        <w:rPr>
          <w:szCs w:val="22"/>
          <w:lang w:val="hr-HR"/>
        </w:rPr>
        <w:t xml:space="preserve">sluznice (ELF) </w:t>
      </w:r>
      <w:r w:rsidR="007F2D4D" w:rsidRPr="009A2813">
        <w:rPr>
          <w:szCs w:val="22"/>
          <w:lang w:val="hr-HR"/>
        </w:rPr>
        <w:t xml:space="preserve">kod ljudi </w:t>
      </w:r>
      <w:r w:rsidRPr="009A2813">
        <w:rPr>
          <w:szCs w:val="22"/>
          <w:lang w:val="hr-HR"/>
        </w:rPr>
        <w:t>u istoj mjeri sa koncentracijama oko 30% onih u plazmi. Vremenski profili koncentracije su slični za ELF i plazmu.</w:t>
      </w:r>
    </w:p>
    <w:p w14:paraId="093AE380" w14:textId="6AFE8803" w:rsidR="004C033F" w:rsidRPr="009A2813" w:rsidRDefault="004C033F" w:rsidP="00CC4A65">
      <w:pPr>
        <w:numPr>
          <w:ilvl w:val="12"/>
          <w:numId w:val="0"/>
        </w:numPr>
        <w:ind w:right="-2"/>
        <w:jc w:val="both"/>
        <w:rPr>
          <w:szCs w:val="22"/>
          <w:lang w:val="hr-HR"/>
        </w:rPr>
      </w:pPr>
    </w:p>
    <w:p w14:paraId="33365F92" w14:textId="577F7520" w:rsidR="004C033F" w:rsidRPr="009A2813" w:rsidRDefault="004C033F" w:rsidP="00CC4A65">
      <w:pPr>
        <w:numPr>
          <w:ilvl w:val="12"/>
          <w:numId w:val="0"/>
        </w:numPr>
        <w:ind w:right="-2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Penetracija ceftazidima u netaknutu krvno-moždanu barijeru je slaba. Koncentracije ceftazidima od 4 do 20 mg/</w:t>
      </w:r>
      <w:r w:rsidR="00B4648D" w:rsidRPr="009A2813">
        <w:rPr>
          <w:szCs w:val="22"/>
          <w:lang w:val="hr-HR"/>
        </w:rPr>
        <w:t>l</w:t>
      </w:r>
      <w:r w:rsidRPr="009A2813">
        <w:rPr>
          <w:szCs w:val="22"/>
          <w:lang w:val="hr-HR"/>
        </w:rPr>
        <w:t xml:space="preserve"> ili više se postižu u CSF kada su moždane ovojnice upaljene. Prodor avibaktama kroz krvno-moždanu barijeru nije klinički proučavan; međutim, kod </w:t>
      </w:r>
      <w:r w:rsidR="00A64072" w:rsidRPr="009A2813">
        <w:rPr>
          <w:szCs w:val="22"/>
          <w:lang w:val="hr-HR"/>
        </w:rPr>
        <w:t>kunića</w:t>
      </w:r>
      <w:r w:rsidRPr="009A2813">
        <w:rPr>
          <w:szCs w:val="22"/>
          <w:lang w:val="hr-HR"/>
        </w:rPr>
        <w:t xml:space="preserve"> sa upaljenim moždanim ovojnicama, izloženost ceftazidimu i avibaktamu u CSF-u iznosila je 43% </w:t>
      </w:r>
      <w:r w:rsidR="00B4648D" w:rsidRPr="009A2813">
        <w:rPr>
          <w:szCs w:val="22"/>
          <w:lang w:val="hr-HR"/>
        </w:rPr>
        <w:t>odnosno</w:t>
      </w:r>
      <w:r w:rsidRPr="009A2813">
        <w:rPr>
          <w:szCs w:val="22"/>
          <w:lang w:val="hr-HR"/>
        </w:rPr>
        <w:t xml:space="preserve"> 38% AUC u plazmi. Ceftazidim lako prolazi kroz placentu i izlučuje se u majčino mlijeko.</w:t>
      </w:r>
    </w:p>
    <w:p w14:paraId="47FD351C" w14:textId="77777777" w:rsidR="004C033F" w:rsidRPr="009A2813" w:rsidRDefault="004C033F" w:rsidP="00CC4A65">
      <w:pPr>
        <w:numPr>
          <w:ilvl w:val="12"/>
          <w:numId w:val="0"/>
        </w:numPr>
        <w:ind w:right="-2"/>
        <w:jc w:val="both"/>
        <w:rPr>
          <w:szCs w:val="22"/>
          <w:u w:val="single"/>
          <w:lang w:val="hr-HR"/>
        </w:rPr>
      </w:pPr>
    </w:p>
    <w:p w14:paraId="57EB618A" w14:textId="77777777" w:rsidR="004C033F" w:rsidRPr="009A2813" w:rsidRDefault="004C033F" w:rsidP="00CC4A65">
      <w:pPr>
        <w:keepNext/>
        <w:numPr>
          <w:ilvl w:val="12"/>
          <w:numId w:val="0"/>
        </w:numPr>
        <w:ind w:right="-2"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Biotransformacija</w:t>
      </w:r>
    </w:p>
    <w:p w14:paraId="7C09DA53" w14:textId="77777777" w:rsidR="002F69E7" w:rsidRPr="009A2813" w:rsidRDefault="002F69E7" w:rsidP="00CC4A65">
      <w:pPr>
        <w:keepNext/>
        <w:numPr>
          <w:ilvl w:val="12"/>
          <w:numId w:val="0"/>
        </w:numPr>
        <w:ind w:right="-2"/>
        <w:jc w:val="both"/>
        <w:rPr>
          <w:szCs w:val="22"/>
          <w:u w:val="single"/>
          <w:lang w:val="hr-HR"/>
        </w:rPr>
      </w:pPr>
    </w:p>
    <w:p w14:paraId="21099146" w14:textId="77777777" w:rsidR="004C033F" w:rsidRPr="009A2813" w:rsidRDefault="004C033F" w:rsidP="00CC4A65">
      <w:pPr>
        <w:jc w:val="both"/>
        <w:rPr>
          <w:bCs/>
          <w:szCs w:val="22"/>
          <w:lang w:val="hr-HR"/>
        </w:rPr>
      </w:pPr>
      <w:r w:rsidRPr="009A2813">
        <w:rPr>
          <w:szCs w:val="22"/>
          <w:lang w:val="hr-HR"/>
        </w:rPr>
        <w:t>Ceftazidim se ne metaboliše. Nije primijećen metabolizam avibaktama u preparatima ljudske jetre (mikrozomi i hepatociti). Nepromijenjeni avibaktam je bio glavna komponenta vezana za lijek u ljudskoj plazmi i urinu nakon doziranja [</w:t>
      </w:r>
      <w:r w:rsidRPr="009A2813">
        <w:rPr>
          <w:szCs w:val="22"/>
          <w:vertAlign w:val="superscript"/>
          <w:lang w:val="hr-HR"/>
        </w:rPr>
        <w:t>14</w:t>
      </w:r>
      <w:r w:rsidRPr="009A2813">
        <w:rPr>
          <w:szCs w:val="22"/>
          <w:lang w:val="hr-HR"/>
        </w:rPr>
        <w:t>C]-avibaktama.</w:t>
      </w:r>
    </w:p>
    <w:p w14:paraId="0716EC4C" w14:textId="77777777" w:rsidR="004C033F" w:rsidRPr="009A2813" w:rsidRDefault="004C033F" w:rsidP="00CC4A65">
      <w:pPr>
        <w:numPr>
          <w:ilvl w:val="12"/>
          <w:numId w:val="0"/>
        </w:numPr>
        <w:ind w:right="-2"/>
        <w:jc w:val="both"/>
        <w:rPr>
          <w:szCs w:val="22"/>
          <w:u w:val="single"/>
          <w:lang w:val="hr-HR"/>
        </w:rPr>
      </w:pPr>
    </w:p>
    <w:p w14:paraId="1573C620" w14:textId="77777777" w:rsidR="004C033F" w:rsidRPr="009A2813" w:rsidRDefault="004C033F" w:rsidP="00CC4A65">
      <w:pPr>
        <w:keepNext/>
        <w:numPr>
          <w:ilvl w:val="12"/>
          <w:numId w:val="0"/>
        </w:numPr>
        <w:ind w:right="-2"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Eliminacija</w:t>
      </w:r>
    </w:p>
    <w:p w14:paraId="15847B0A" w14:textId="77777777" w:rsidR="002F69E7" w:rsidRPr="009A2813" w:rsidRDefault="002F69E7" w:rsidP="00CC4A65">
      <w:pPr>
        <w:keepNext/>
        <w:numPr>
          <w:ilvl w:val="12"/>
          <w:numId w:val="0"/>
        </w:numPr>
        <w:ind w:right="-2"/>
        <w:jc w:val="both"/>
        <w:rPr>
          <w:szCs w:val="22"/>
          <w:u w:val="single"/>
          <w:lang w:val="hr-HR"/>
        </w:rPr>
      </w:pPr>
    </w:p>
    <w:p w14:paraId="1670F811" w14:textId="77777777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Terminalno poluvrijeme (t</w:t>
      </w:r>
      <w:r w:rsidRPr="009A2813">
        <w:rPr>
          <w:szCs w:val="22"/>
          <w:vertAlign w:val="subscript"/>
          <w:lang w:val="hr-HR"/>
        </w:rPr>
        <w:t>½</w:t>
      </w:r>
      <w:r w:rsidRPr="009A2813">
        <w:rPr>
          <w:szCs w:val="22"/>
          <w:lang w:val="hr-HR"/>
        </w:rPr>
        <w:t>) i ceftazidima i avibaktama je oko 2 h nakon intravenske primjene. Ceftazidim se izlučuje nepromijenjen u urinu glomerularnom filtracijom; približno 80-90% doze se nalazi u urinu u roku od 24 h. Avibaktam se izlučuje nepromijenjen u urinu sa bubrežnim klirensom od približno 158 ml/min, što ukazuje na aktivnu tubularnu sekreciju pored glomerularne filtracije. Približno 97% doze avibaktama se nalazi u urinu, 95% u roku od 12 h. Manje od 1% ceftazidima se izlučuje putem žuči, a manje od 0,25% avibaktama se izlučuje fecesom.</w:t>
      </w:r>
    </w:p>
    <w:p w14:paraId="06E957F4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40DFF2D3" w14:textId="77777777" w:rsidR="004C033F" w:rsidRPr="009A2813" w:rsidRDefault="004C033F" w:rsidP="00CC4A65">
      <w:pPr>
        <w:numPr>
          <w:ilvl w:val="12"/>
          <w:numId w:val="0"/>
        </w:numPr>
        <w:ind w:right="-2"/>
        <w:jc w:val="both"/>
        <w:rPr>
          <w:iCs/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Linearnost/nelinearnost</w:t>
      </w:r>
    </w:p>
    <w:p w14:paraId="6A73518E" w14:textId="77777777" w:rsidR="002F69E7" w:rsidRPr="009A2813" w:rsidRDefault="002F69E7" w:rsidP="00CC4A65">
      <w:pPr>
        <w:numPr>
          <w:ilvl w:val="12"/>
          <w:numId w:val="0"/>
        </w:numPr>
        <w:ind w:right="-2"/>
        <w:jc w:val="both"/>
        <w:rPr>
          <w:iCs/>
          <w:szCs w:val="22"/>
          <w:u w:val="single"/>
          <w:lang w:val="hr-HR"/>
        </w:rPr>
      </w:pPr>
    </w:p>
    <w:p w14:paraId="650CAAAC" w14:textId="317A9BF1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Farmakokinetika i ceftazidima i avibaktama je približno linearna u ispitivanom opsegu doza (0,05 g do 2 g) za jednu intravensku primjenu. Nije primijećeno značajno nakupljanje ceftazidima ili avibaktama nakon višestrukih intravenskih infuzija od 2 g</w:t>
      </w:r>
      <w:r w:rsidR="00E8529B" w:rsidRPr="009A2813">
        <w:rPr>
          <w:szCs w:val="22"/>
          <w:lang w:val="hr-HR"/>
        </w:rPr>
        <w:t xml:space="preserve"> + </w:t>
      </w:r>
      <w:r w:rsidRPr="009A2813">
        <w:rPr>
          <w:szCs w:val="22"/>
          <w:lang w:val="hr-HR"/>
        </w:rPr>
        <w:t>0,5 g</w:t>
      </w:r>
      <w:r w:rsidR="000B1750" w:rsidRPr="009A2813">
        <w:rPr>
          <w:szCs w:val="22"/>
          <w:lang w:val="hr-HR"/>
        </w:rPr>
        <w:t xml:space="preserve"> </w:t>
      </w:r>
      <w:r w:rsidRPr="009A2813">
        <w:rPr>
          <w:szCs w:val="22"/>
          <w:lang w:val="hr-HR"/>
        </w:rPr>
        <w:t>ceftazidima/avibaktama primijenjenih svakih 8 sati do 11 dana kod zdravih odraslih osoba sa normalnom funkcijom bubrega.</w:t>
      </w:r>
    </w:p>
    <w:p w14:paraId="31FC6C84" w14:textId="77777777" w:rsidR="007B7557" w:rsidRPr="009A2813" w:rsidRDefault="007B7557" w:rsidP="00CC4A65">
      <w:pPr>
        <w:numPr>
          <w:ilvl w:val="12"/>
          <w:numId w:val="0"/>
        </w:numPr>
        <w:ind w:right="-2"/>
        <w:jc w:val="both"/>
        <w:rPr>
          <w:iCs/>
          <w:szCs w:val="22"/>
          <w:u w:val="single"/>
          <w:lang w:val="hr-HR"/>
        </w:rPr>
      </w:pPr>
    </w:p>
    <w:p w14:paraId="3BDBCA3D" w14:textId="77777777" w:rsidR="004C033F" w:rsidRPr="009A2813" w:rsidRDefault="004C033F" w:rsidP="00CC4A65">
      <w:pPr>
        <w:keepNext/>
        <w:keepLines/>
        <w:numPr>
          <w:ilvl w:val="12"/>
          <w:numId w:val="0"/>
        </w:numPr>
        <w:ind w:right="-2"/>
        <w:jc w:val="both"/>
        <w:rPr>
          <w:iCs/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Posebne populacije</w:t>
      </w:r>
    </w:p>
    <w:p w14:paraId="79EA482B" w14:textId="77777777" w:rsidR="002F69E7" w:rsidRPr="009A2813" w:rsidRDefault="002F69E7" w:rsidP="00CC4A65">
      <w:pPr>
        <w:keepNext/>
        <w:keepLines/>
        <w:numPr>
          <w:ilvl w:val="12"/>
          <w:numId w:val="0"/>
        </w:numPr>
        <w:ind w:right="-2"/>
        <w:jc w:val="both"/>
        <w:rPr>
          <w:szCs w:val="22"/>
          <w:lang w:val="hr-HR"/>
        </w:rPr>
      </w:pPr>
    </w:p>
    <w:p w14:paraId="2BDF9ACD" w14:textId="77777777" w:rsidR="004C033F" w:rsidRPr="009A2813" w:rsidRDefault="004C033F" w:rsidP="00CC4A65">
      <w:pPr>
        <w:pStyle w:val="Heading5"/>
        <w:keepLines/>
        <w:spacing w:after="0"/>
        <w:jc w:val="both"/>
        <w:rPr>
          <w:b w:val="0"/>
          <w:i/>
          <w:iCs/>
          <w:sz w:val="22"/>
          <w:szCs w:val="22"/>
          <w:lang w:val="hr-HR"/>
        </w:rPr>
      </w:pPr>
      <w:r w:rsidRPr="009A2813">
        <w:rPr>
          <w:b w:val="0"/>
          <w:i/>
          <w:sz w:val="22"/>
          <w:szCs w:val="22"/>
          <w:lang w:val="hr-HR"/>
        </w:rPr>
        <w:t>Oštećenje funkcije bubrega</w:t>
      </w:r>
    </w:p>
    <w:p w14:paraId="3C4263A5" w14:textId="77777777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Eliminacija ceftazidima i avibaktama je smanjena kod pacijenata sa umjerenim ili teškim oštećenjem bubrega. Prosječno povećanje AUC avibaktama je 3,8 puta i 7 puta kod osoba sa umjerenim i teškim oštećenjem bubrega, pogledajte dio 4.2.</w:t>
      </w:r>
    </w:p>
    <w:p w14:paraId="59F57B1F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3981275C" w14:textId="77777777" w:rsidR="004C033F" w:rsidRPr="009A2813" w:rsidRDefault="004C033F" w:rsidP="00CC4A65">
      <w:pPr>
        <w:pStyle w:val="Heading5"/>
        <w:spacing w:after="0"/>
        <w:jc w:val="both"/>
        <w:rPr>
          <w:b w:val="0"/>
          <w:i/>
          <w:iCs/>
          <w:sz w:val="22"/>
          <w:szCs w:val="22"/>
          <w:lang w:val="hr-HR"/>
        </w:rPr>
      </w:pPr>
      <w:r w:rsidRPr="009A2813">
        <w:rPr>
          <w:b w:val="0"/>
          <w:i/>
          <w:sz w:val="22"/>
          <w:szCs w:val="22"/>
          <w:lang w:val="hr-HR"/>
        </w:rPr>
        <w:t>Oštećenje funkcije jetre</w:t>
      </w:r>
    </w:p>
    <w:p w14:paraId="2ACFB8C2" w14:textId="77777777" w:rsidR="004C033F" w:rsidRPr="009A2813" w:rsidRDefault="004C033F" w:rsidP="00CC4A65">
      <w:pPr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Blago do umjereno oštećenje jetre nije imalo uticaja na farmakokinetiku ceftazidima kod osoba koje su primale 2 g intravenozno svakih 8 sati tokom 5 dana, pod uslovom da nije oštećena funkcija bubrega. Farmakokinetika ceftazidima kod pacijenata s ozbiljnim oštećenjem funkcije jetre nije ustanovljena. Farmakokinetika avibaktama kod pacijenata s oštećenjem funkcije jetre bilo kog stepena nije proučavana.</w:t>
      </w:r>
    </w:p>
    <w:p w14:paraId="7DEFB720" w14:textId="77777777" w:rsidR="004C033F" w:rsidRPr="009A2813" w:rsidRDefault="004C033F" w:rsidP="00CC4A65">
      <w:pPr>
        <w:spacing w:line="240" w:lineRule="auto"/>
        <w:jc w:val="both"/>
        <w:rPr>
          <w:szCs w:val="22"/>
          <w:lang w:val="hr-HR"/>
        </w:rPr>
      </w:pPr>
    </w:p>
    <w:p w14:paraId="70513FDB" w14:textId="77777777" w:rsidR="004C033F" w:rsidRPr="009A2813" w:rsidRDefault="004C033F" w:rsidP="00CC4A65">
      <w:pPr>
        <w:jc w:val="both"/>
        <w:rPr>
          <w:b/>
          <w:bCs/>
          <w:szCs w:val="22"/>
          <w:lang w:val="hr-HR"/>
        </w:rPr>
      </w:pPr>
      <w:r w:rsidRPr="009A2813">
        <w:rPr>
          <w:szCs w:val="22"/>
          <w:lang w:val="hr-HR"/>
        </w:rPr>
        <w:t>S obzirom da izgleda da ceftazidim i avibaktam ne podliježu značajnom hepatičkom metabolizmu, ne očekuje se da se sistemski klirens bilo koje od ovih aktivnih supstanci značajnije promijeni usljed oštećenja funkcija jetre.</w:t>
      </w:r>
    </w:p>
    <w:p w14:paraId="780BB0DD" w14:textId="77777777" w:rsidR="004C033F" w:rsidRPr="009A2813" w:rsidRDefault="004C033F" w:rsidP="00CC4A65">
      <w:pPr>
        <w:pStyle w:val="A-TableText"/>
        <w:tabs>
          <w:tab w:val="left" w:pos="567"/>
        </w:tabs>
        <w:spacing w:before="0" w:after="0" w:line="260" w:lineRule="exact"/>
        <w:jc w:val="both"/>
        <w:rPr>
          <w:szCs w:val="22"/>
          <w:lang w:val="hr-HR"/>
        </w:rPr>
      </w:pPr>
    </w:p>
    <w:p w14:paraId="738CF54F" w14:textId="77777777" w:rsidR="004C033F" w:rsidRPr="009A2813" w:rsidRDefault="004C033F" w:rsidP="00CC4A65">
      <w:pPr>
        <w:pStyle w:val="Heading5"/>
        <w:spacing w:after="0"/>
        <w:jc w:val="both"/>
        <w:rPr>
          <w:b w:val="0"/>
          <w:i/>
          <w:iCs/>
          <w:sz w:val="22"/>
          <w:szCs w:val="22"/>
          <w:lang w:val="hr-HR"/>
        </w:rPr>
      </w:pPr>
      <w:r w:rsidRPr="009A2813">
        <w:rPr>
          <w:b w:val="0"/>
          <w:i/>
          <w:sz w:val="22"/>
          <w:szCs w:val="22"/>
          <w:lang w:val="hr-HR"/>
        </w:rPr>
        <w:t>Stariji pacijenti (≥ 65 godina)</w:t>
      </w:r>
    </w:p>
    <w:p w14:paraId="01ABCE9D" w14:textId="77777777" w:rsidR="004C033F" w:rsidRPr="009A2813" w:rsidRDefault="0045215D" w:rsidP="00CC4A65">
      <w:p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Smanjeni klirens ceftazidima primijećen je kod starijih pacijenata, što je prvenstveno posljedica smanjenja bubrežnog klirensa ceftazidima zbog starenja. Prosječno poluvrijeme eliminacije ceftazidima kretalo se od 3,5 do 4 sata nakon intravenske bolusne doze sa 2 g svakih 12 sati kod starijih pacijenata starijih od 80 godina.</w:t>
      </w:r>
    </w:p>
    <w:p w14:paraId="37221AB4" w14:textId="77777777" w:rsidR="004C033F" w:rsidRPr="009A2813" w:rsidRDefault="004C033F" w:rsidP="00CC4A65">
      <w:pPr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</w:p>
    <w:p w14:paraId="3BE992DD" w14:textId="39428E2F" w:rsidR="00AD0F00" w:rsidRPr="009A2813" w:rsidRDefault="004C033F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Posle jedne intravenske primjene 500 mg avibaktama kao 30-minutne </w:t>
      </w:r>
      <w:r w:rsidR="000B1750" w:rsidRPr="009A2813">
        <w:rPr>
          <w:szCs w:val="22"/>
          <w:lang w:val="hr-HR"/>
        </w:rPr>
        <w:t xml:space="preserve">i.v. </w:t>
      </w:r>
      <w:r w:rsidRPr="009A2813">
        <w:rPr>
          <w:szCs w:val="22"/>
          <w:lang w:val="hr-HR"/>
        </w:rPr>
        <w:t>infuzije, starije osobe su imale sporije terminalno poluvrijeme avibaktama, što se može pripisati smanjenju bubrežnog klirensa usljed starosti.</w:t>
      </w:r>
    </w:p>
    <w:p w14:paraId="0AB3FA09" w14:textId="77777777" w:rsidR="00AD0F00" w:rsidRPr="009A2813" w:rsidRDefault="00AD0F00" w:rsidP="00CC4A65">
      <w:pPr>
        <w:keepNext/>
        <w:autoSpaceDE w:val="0"/>
        <w:autoSpaceDN w:val="0"/>
        <w:adjustRightInd w:val="0"/>
        <w:jc w:val="both"/>
        <w:rPr>
          <w:i/>
          <w:szCs w:val="22"/>
          <w:lang w:val="hr-HR"/>
        </w:rPr>
      </w:pPr>
      <w:r w:rsidRPr="009A2813">
        <w:rPr>
          <w:i/>
          <w:szCs w:val="22"/>
          <w:lang w:val="hr-HR"/>
        </w:rPr>
        <w:lastRenderedPageBreak/>
        <w:t>Pedijatrijska populacija</w:t>
      </w:r>
    </w:p>
    <w:p w14:paraId="358BE544" w14:textId="65A62852" w:rsidR="00AD0F00" w:rsidRPr="009A2813" w:rsidRDefault="00AD0F00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Farmakokinetika </w:t>
      </w:r>
      <w:bookmarkStart w:id="13" w:name="_Hlk38961395"/>
      <w:r w:rsidRPr="009A2813">
        <w:rPr>
          <w:szCs w:val="22"/>
          <w:lang w:val="hr-HR"/>
        </w:rPr>
        <w:t xml:space="preserve">ceftazidima i avibaktama </w:t>
      </w:r>
      <w:bookmarkEnd w:id="13"/>
      <w:r w:rsidRPr="009A2813">
        <w:rPr>
          <w:szCs w:val="22"/>
          <w:lang w:val="hr-HR"/>
        </w:rPr>
        <w:t>je procijenjena kod pedijatrijskih pacijenata</w:t>
      </w:r>
      <w:r w:rsidR="00A64072" w:rsidRPr="009A2813">
        <w:rPr>
          <w:szCs w:val="22"/>
          <w:lang w:val="hr-HR"/>
        </w:rPr>
        <w:t xml:space="preserve"> uzrasta</w:t>
      </w:r>
      <w:r w:rsidRPr="009A2813">
        <w:rPr>
          <w:szCs w:val="22"/>
          <w:lang w:val="hr-HR"/>
        </w:rPr>
        <w:t xml:space="preserve"> od 3 mjeseca do &lt; 18 godina sa sumnjivim ili potvrđenim infekcijama nakon pojedinačne doze ceftazidima 50 mg/kg i avibaktama 12,5 mg/kg za pacijente težine &lt; 40 kg ili Zavicefta 2 g</w:t>
      </w:r>
      <w:r w:rsidR="00E8529B" w:rsidRPr="009A2813">
        <w:rPr>
          <w:szCs w:val="22"/>
          <w:lang w:val="hr-HR"/>
        </w:rPr>
        <w:t xml:space="preserve"> + </w:t>
      </w:r>
      <w:r w:rsidRPr="009A2813">
        <w:rPr>
          <w:szCs w:val="22"/>
          <w:lang w:val="hr-HR"/>
        </w:rPr>
        <w:t xml:space="preserve">0,5 g (ceftazidim 2 grama i avibaktam 0,5 grama) za pacijente težine ≥ 40 kg. Koncentracije ceftazidima i avibaktama u plazmi bile su slične u sve četiri starosne grupe u studiji </w:t>
      </w:r>
      <w:bookmarkStart w:id="14" w:name="_Hlk27397601"/>
      <w:r w:rsidRPr="009A2813">
        <w:rPr>
          <w:szCs w:val="22"/>
          <w:lang w:val="hr-HR"/>
        </w:rPr>
        <w:t>(3 mjeseca do &lt; 2 godine, 2 do &lt; 6 godina, 6 do &lt; 12 godina i 12 do &lt; 18 godina)</w:t>
      </w:r>
      <w:bookmarkEnd w:id="14"/>
      <w:r w:rsidRPr="009A2813">
        <w:rPr>
          <w:szCs w:val="22"/>
          <w:lang w:val="hr-HR"/>
        </w:rPr>
        <w:t>. Vrijednosti AUC</w:t>
      </w:r>
      <w:r w:rsidRPr="009A2813">
        <w:rPr>
          <w:szCs w:val="22"/>
          <w:vertAlign w:val="subscript"/>
          <w:lang w:val="hr-HR"/>
        </w:rPr>
        <w:t>0-t</w:t>
      </w:r>
      <w:r w:rsidRPr="009A2813">
        <w:rPr>
          <w:szCs w:val="22"/>
          <w:lang w:val="hr-HR"/>
        </w:rPr>
        <w:t xml:space="preserve"> i C</w:t>
      </w:r>
      <w:r w:rsidRPr="009A2813">
        <w:rPr>
          <w:szCs w:val="22"/>
          <w:vertAlign w:val="subscript"/>
          <w:lang w:val="hr-HR"/>
        </w:rPr>
        <w:t>max</w:t>
      </w:r>
      <w:r w:rsidRPr="009A2813">
        <w:rPr>
          <w:szCs w:val="22"/>
          <w:lang w:val="hr-HR"/>
        </w:rPr>
        <w:t xml:space="preserve"> ceftazidima i avibaktama u dvije starije kohorte (pedijatrijski pacijenti od 6 do &lt; 18 godina), koje su imale obimnije farmakokinetičko uzorkovanje, bile su slične onima koje su primijećene kod zdravih odraslih osoba sa normalnom funkcijom bubrega koji su primali Zavicefta 2 g</w:t>
      </w:r>
      <w:r w:rsidR="00E8529B" w:rsidRPr="009A2813">
        <w:rPr>
          <w:szCs w:val="22"/>
          <w:lang w:val="hr-HR"/>
        </w:rPr>
        <w:t xml:space="preserve"> + </w:t>
      </w:r>
      <w:r w:rsidRPr="009A2813">
        <w:rPr>
          <w:szCs w:val="22"/>
          <w:lang w:val="hr-HR"/>
        </w:rPr>
        <w:t xml:space="preserve">0,5 g. Podaci iz ove studije i dvije pedijatrijske studije faze 2 kod pacijenata sa cIAI i cUTI </w:t>
      </w:r>
      <w:bookmarkStart w:id="15" w:name="_Hlk29280060"/>
      <w:r w:rsidRPr="009A2813">
        <w:rPr>
          <w:szCs w:val="22"/>
          <w:lang w:val="hr-HR"/>
        </w:rPr>
        <w:t>su objedinjeni sa PK podacima odraslih (faza 1 do faza 3) da bi se ažurirao model PK populacije, koji je korišćen za sprovođenje simulacija za procjenu ciljanog postignuća PK/PD. Rezultati ovih simulacija su pokazali da preporučeni režimi doze za pedijatrijske pacijente sa cIAI, cUTI i HAP/VAP</w:t>
      </w:r>
      <w:bookmarkEnd w:id="15"/>
      <w:r w:rsidRPr="009A2813">
        <w:rPr>
          <w:szCs w:val="22"/>
          <w:lang w:val="hr-HR"/>
        </w:rPr>
        <w:t xml:space="preserve">, uključujući prilagođavanja doze za pacijente sa oštećenjem bubrega, rezultiraju sistemskom izloženošću i vrijednostima PK/PD cilja koje su slične onima kod odraslih za odobrenu dozu Zavicefta od </w:t>
      </w:r>
      <w:bookmarkStart w:id="16" w:name="_Hlk27397689"/>
      <w:r w:rsidRPr="009A2813">
        <w:rPr>
          <w:szCs w:val="22"/>
          <w:lang w:val="hr-HR"/>
        </w:rPr>
        <w:t>2 g</w:t>
      </w:r>
      <w:r w:rsidR="00E8529B" w:rsidRPr="009A2813">
        <w:rPr>
          <w:szCs w:val="22"/>
          <w:lang w:val="hr-HR"/>
        </w:rPr>
        <w:t xml:space="preserve"> + </w:t>
      </w:r>
      <w:r w:rsidRPr="009A2813">
        <w:rPr>
          <w:szCs w:val="22"/>
          <w:lang w:val="hr-HR"/>
        </w:rPr>
        <w:t>0</w:t>
      </w:r>
      <w:r w:rsidR="00FD2C8C" w:rsidRPr="009A2813">
        <w:rPr>
          <w:szCs w:val="22"/>
          <w:lang w:val="hr-HR"/>
        </w:rPr>
        <w:t>,</w:t>
      </w:r>
      <w:r w:rsidRPr="009A2813">
        <w:rPr>
          <w:szCs w:val="22"/>
          <w:lang w:val="hr-HR"/>
        </w:rPr>
        <w:t>5 g</w:t>
      </w:r>
      <w:bookmarkEnd w:id="16"/>
      <w:r w:rsidRPr="009A2813">
        <w:rPr>
          <w:szCs w:val="22"/>
          <w:lang w:val="hr-HR"/>
        </w:rPr>
        <w:t xml:space="preserve"> </w:t>
      </w:r>
      <w:bookmarkStart w:id="17" w:name="_Hlk29390569"/>
      <w:r w:rsidRPr="009A2813">
        <w:rPr>
          <w:szCs w:val="22"/>
          <w:lang w:val="hr-HR"/>
        </w:rPr>
        <w:t>koja se primjenjuje tokom 2 sata, svakih 8 sati</w:t>
      </w:r>
      <w:bookmarkEnd w:id="17"/>
      <w:r w:rsidRPr="009A2813">
        <w:rPr>
          <w:szCs w:val="22"/>
          <w:lang w:val="hr-HR"/>
        </w:rPr>
        <w:t>.</w:t>
      </w:r>
    </w:p>
    <w:p w14:paraId="52E72BCE" w14:textId="1906704D" w:rsidR="00A02BA6" w:rsidRPr="009A2813" w:rsidRDefault="00A02BA6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</w:p>
    <w:p w14:paraId="09887054" w14:textId="77777777" w:rsidR="00A02BA6" w:rsidRPr="009A2813" w:rsidRDefault="00A02BA6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Postoji ograničeno iskustvo sa upotrebom ceftazidima i avibaktama u pedijatrijskim grupama od 3 mjeseca do &lt; 6 mjeseci. Preporučeni režimi doziranja su zasnovani na simulacijama sprovedenim korišćenjem konačnih PK modela populacije. Simulacije su pokazale da preporučeni režimi doze rezultiraju uporedivim izlaganjem drugim starosnim grupama sa ciljnim postignućem PK/PD od &gt; 90%. Na osnovu podataka iz završenih pedijatrijskih kliničkih ispitivanja, pri preporučenim režimima doziranja, nije bilo dokaza o prekomjernoj ili manjoj izloženosti kod subjekata uzrasta od 3 mjeseca do &lt; 6 mjeseci.</w:t>
      </w:r>
    </w:p>
    <w:p w14:paraId="524A0EF8" w14:textId="77777777" w:rsidR="00C76036" w:rsidRPr="009A2813" w:rsidRDefault="00C76036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</w:p>
    <w:p w14:paraId="7E2D32BB" w14:textId="77777777" w:rsidR="00A02BA6" w:rsidRPr="009A2813" w:rsidRDefault="00A02BA6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Pored toga, postoje veoma ograničeni podaci o pedijatrijskim pacijentima starosti od 3 mjeseca do &lt; 2 godine sa oštećenom funkcijom bubrega (CrCL ≤ 50 ml/min/1,73 m</w:t>
      </w:r>
      <w:r w:rsidRPr="009A2813">
        <w:rPr>
          <w:szCs w:val="22"/>
          <w:vertAlign w:val="superscript"/>
          <w:lang w:val="hr-HR"/>
        </w:rPr>
        <w:t>2</w:t>
      </w:r>
      <w:r w:rsidRPr="009A2813">
        <w:rPr>
          <w:szCs w:val="22"/>
          <w:lang w:val="hr-HR"/>
        </w:rPr>
        <w:t>), bez podataka o teškom oštećenju bubrega iz završenih pedijatrijskih kliničkih ispitivanja. Populacioni PK modeli za ceftazidim i avibaktam su korišćeni za sprovođenje simulacija za pacijente sa oštećenom funkcijom bubrega.</w:t>
      </w:r>
    </w:p>
    <w:p w14:paraId="379531C4" w14:textId="77777777" w:rsidR="002127F1" w:rsidRPr="009A2813" w:rsidRDefault="002127F1" w:rsidP="00CC4A65">
      <w:pPr>
        <w:autoSpaceDE w:val="0"/>
        <w:autoSpaceDN w:val="0"/>
        <w:adjustRightInd w:val="0"/>
        <w:jc w:val="both"/>
        <w:rPr>
          <w:szCs w:val="22"/>
          <w:lang w:val="hr-HR"/>
        </w:rPr>
      </w:pPr>
    </w:p>
    <w:p w14:paraId="789B09EA" w14:textId="10FF985A" w:rsidR="002127F1" w:rsidRPr="009A2813" w:rsidRDefault="002127F1" w:rsidP="002127F1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Farmakokinetika ceftazidima i avibaktama ocijenjena je kod 45 pedijatrijskih pacijenata od rođenja do manje od 3 mjeseca starosti sa sumnjom na </w:t>
      </w:r>
      <w:r w:rsidR="00601389">
        <w:rPr>
          <w:szCs w:val="22"/>
          <w:lang w:val="hr-HR"/>
        </w:rPr>
        <w:t xml:space="preserve">infekcije </w:t>
      </w:r>
      <w:r w:rsidRPr="009A2813">
        <w:rPr>
          <w:szCs w:val="22"/>
          <w:lang w:val="hr-HR"/>
        </w:rPr>
        <w:t xml:space="preserve">ili potvrđenim infekcijama, nakon jedne i više doza ceftazidima 20 mg/kg i avibaktama 5 mg/kg za pacijente od rođenja do 28 dana (uključujući prijevremeno rođenu novorođenčad) ili ceftazidima 30 mg/kg i avibaktama 7,5 mg/kg za pacijente od jednog mjeseca do manje od 3 mjeseca. Koncentracije ceftazidima i avibaktama u plazmi bile su slične u svim </w:t>
      </w:r>
      <w:r w:rsidR="00F162C6">
        <w:rPr>
          <w:szCs w:val="22"/>
          <w:lang w:val="hr-HR"/>
        </w:rPr>
        <w:t>starosnim kohortama</w:t>
      </w:r>
      <w:r w:rsidRPr="009A2813">
        <w:rPr>
          <w:szCs w:val="22"/>
          <w:lang w:val="hr-HR"/>
        </w:rPr>
        <w:t>. Podaci iz ove studije korišćeni su za ažuriranje prethodnog populacionog PK modela i izvođenje simulacija kako bi se proc</w:t>
      </w:r>
      <w:r w:rsidR="009F1149" w:rsidRPr="009A2813">
        <w:rPr>
          <w:szCs w:val="22"/>
          <w:lang w:val="hr-HR"/>
        </w:rPr>
        <w:t>ij</w:t>
      </w:r>
      <w:r w:rsidRPr="009A2813">
        <w:rPr>
          <w:szCs w:val="22"/>
          <w:lang w:val="hr-HR"/>
        </w:rPr>
        <w:t>enilo postizanje PK/PD ciljeva. Ove simulacije su pokazale da preporučeni režimi doziranja za novorođenčad u punom terminu (gestacijska starost [GA] ≥ 37 ned</w:t>
      </w:r>
      <w:r w:rsidR="009F1149" w:rsidRPr="009A2813">
        <w:rPr>
          <w:szCs w:val="22"/>
          <w:lang w:val="hr-HR"/>
        </w:rPr>
        <w:t>j</w:t>
      </w:r>
      <w:r w:rsidRPr="009A2813">
        <w:rPr>
          <w:szCs w:val="22"/>
          <w:lang w:val="hr-HR"/>
        </w:rPr>
        <w:t>elja), pr</w:t>
      </w:r>
      <w:r w:rsidR="009F1149" w:rsidRPr="009A2813">
        <w:rPr>
          <w:szCs w:val="22"/>
          <w:lang w:val="hr-HR"/>
        </w:rPr>
        <w:t>ij</w:t>
      </w:r>
      <w:r w:rsidRPr="009A2813">
        <w:rPr>
          <w:szCs w:val="22"/>
          <w:lang w:val="hr-HR"/>
        </w:rPr>
        <w:t>evremeno rođenu novorođenčad (GA 26 ned</w:t>
      </w:r>
      <w:r w:rsidR="009F1149" w:rsidRPr="009A2813">
        <w:rPr>
          <w:szCs w:val="22"/>
          <w:lang w:val="hr-HR"/>
        </w:rPr>
        <w:t>j</w:t>
      </w:r>
      <w:r w:rsidRPr="009A2813">
        <w:rPr>
          <w:szCs w:val="22"/>
          <w:lang w:val="hr-HR"/>
        </w:rPr>
        <w:t>elja do &lt; 31 ned</w:t>
      </w:r>
      <w:r w:rsidR="009F1149" w:rsidRPr="009A2813">
        <w:rPr>
          <w:szCs w:val="22"/>
          <w:lang w:val="hr-HR"/>
        </w:rPr>
        <w:t>j</w:t>
      </w:r>
      <w:r w:rsidRPr="009A2813">
        <w:rPr>
          <w:szCs w:val="22"/>
          <w:lang w:val="hr-HR"/>
        </w:rPr>
        <w:t>elja i GA 31 do &lt; 37 ned</w:t>
      </w:r>
      <w:r w:rsidR="009F1149" w:rsidRPr="009A2813">
        <w:rPr>
          <w:szCs w:val="22"/>
          <w:lang w:val="hr-HR"/>
        </w:rPr>
        <w:t>j</w:t>
      </w:r>
      <w:r w:rsidRPr="009A2813">
        <w:rPr>
          <w:szCs w:val="22"/>
          <w:lang w:val="hr-HR"/>
        </w:rPr>
        <w:t>elja) i odojčad od 28 dana do &lt; 3 m</w:t>
      </w:r>
      <w:r w:rsidR="009F1149" w:rsidRPr="009A2813">
        <w:rPr>
          <w:szCs w:val="22"/>
          <w:lang w:val="hr-HR"/>
        </w:rPr>
        <w:t>j</w:t>
      </w:r>
      <w:r w:rsidRPr="009A2813">
        <w:rPr>
          <w:szCs w:val="22"/>
          <w:lang w:val="hr-HR"/>
        </w:rPr>
        <w:t>eseca, dovode do sistemske izloženosti i vr</w:t>
      </w:r>
      <w:r w:rsidR="009F1149" w:rsidRPr="009A2813">
        <w:rPr>
          <w:szCs w:val="22"/>
          <w:lang w:val="hr-HR"/>
        </w:rPr>
        <w:t>ij</w:t>
      </w:r>
      <w:r w:rsidRPr="009A2813">
        <w:rPr>
          <w:szCs w:val="22"/>
          <w:lang w:val="hr-HR"/>
        </w:rPr>
        <w:t xml:space="preserve">ednosti postizanja PK/PD ciljeva koje su slične onima kod odraslih pri odobrenoj dozi </w:t>
      </w:r>
      <w:r w:rsidR="00F162C6">
        <w:rPr>
          <w:szCs w:val="22"/>
          <w:lang w:val="hr-HR"/>
        </w:rPr>
        <w:t xml:space="preserve">lijeka </w:t>
      </w:r>
      <w:r w:rsidRPr="009A2813">
        <w:rPr>
          <w:szCs w:val="22"/>
          <w:lang w:val="hr-HR"/>
        </w:rPr>
        <w:t>Zavicefta od 2 g/0,5 g prim</w:t>
      </w:r>
      <w:r w:rsidR="009F1149" w:rsidRPr="009A2813">
        <w:rPr>
          <w:szCs w:val="22"/>
          <w:lang w:val="hr-HR"/>
        </w:rPr>
        <w:t>ije</w:t>
      </w:r>
      <w:r w:rsidRPr="009A2813">
        <w:rPr>
          <w:szCs w:val="22"/>
          <w:lang w:val="hr-HR"/>
        </w:rPr>
        <w:t>njenoj u trajanju od 2 sata, svakih 8 sati. Nema podataka o pr</w:t>
      </w:r>
      <w:r w:rsidR="009F1149" w:rsidRPr="009A2813">
        <w:rPr>
          <w:szCs w:val="22"/>
          <w:lang w:val="hr-HR"/>
        </w:rPr>
        <w:t>ij</w:t>
      </w:r>
      <w:r w:rsidRPr="009A2813">
        <w:rPr>
          <w:szCs w:val="22"/>
          <w:lang w:val="hr-HR"/>
        </w:rPr>
        <w:t>evremeno rođenoj odojčadi ispod 31 ned</w:t>
      </w:r>
      <w:r w:rsidR="00067CCF" w:rsidRPr="009A2813">
        <w:rPr>
          <w:szCs w:val="22"/>
          <w:lang w:val="hr-HR"/>
        </w:rPr>
        <w:t>j</w:t>
      </w:r>
      <w:r w:rsidRPr="009A2813">
        <w:rPr>
          <w:szCs w:val="22"/>
          <w:lang w:val="hr-HR"/>
        </w:rPr>
        <w:t>elje GA iz završenih pedijatrijskih kliničkih ispitivanja, a preporuke za doziranje u ovoj starosnoj grupi isključivo su zasnovane na farmakokinetičkom modeliranju.</w:t>
      </w:r>
    </w:p>
    <w:p w14:paraId="27002CB1" w14:textId="77777777" w:rsidR="001352BD" w:rsidRPr="009A2813" w:rsidRDefault="001352BD" w:rsidP="00CC4A65">
      <w:pPr>
        <w:pStyle w:val="Heading5"/>
        <w:keepNext w:val="0"/>
        <w:spacing w:after="0"/>
        <w:jc w:val="both"/>
        <w:rPr>
          <w:b w:val="0"/>
          <w:i/>
          <w:iCs/>
          <w:sz w:val="22"/>
          <w:szCs w:val="22"/>
          <w:lang w:val="hr-HR"/>
        </w:rPr>
      </w:pPr>
    </w:p>
    <w:p w14:paraId="4CBF4669" w14:textId="77777777" w:rsidR="004C033F" w:rsidRPr="009A2813" w:rsidRDefault="004C033F" w:rsidP="00CC4A65">
      <w:pPr>
        <w:pStyle w:val="Heading5"/>
        <w:spacing w:after="0"/>
        <w:jc w:val="both"/>
        <w:rPr>
          <w:b w:val="0"/>
          <w:i/>
          <w:iCs/>
          <w:sz w:val="22"/>
          <w:szCs w:val="22"/>
          <w:lang w:val="hr-HR"/>
        </w:rPr>
      </w:pPr>
      <w:r w:rsidRPr="009A2813">
        <w:rPr>
          <w:b w:val="0"/>
          <w:i/>
          <w:sz w:val="22"/>
          <w:szCs w:val="22"/>
          <w:lang w:val="hr-HR"/>
        </w:rPr>
        <w:t>Pol i rasa</w:t>
      </w:r>
    </w:p>
    <w:p w14:paraId="60FD0841" w14:textId="6546CCCC" w:rsidR="004C033F" w:rsidRPr="009A2813" w:rsidRDefault="004C033F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Pol ili rasa ne utiču značajno na farmakokinetiku ceftazidima</w:t>
      </w:r>
      <w:r w:rsidR="003F0957" w:rsidRPr="009A2813">
        <w:rPr>
          <w:szCs w:val="22"/>
          <w:lang w:val="hr-HR"/>
        </w:rPr>
        <w:t xml:space="preserve"> i </w:t>
      </w:r>
      <w:r w:rsidRPr="009A2813">
        <w:rPr>
          <w:szCs w:val="22"/>
          <w:lang w:val="hr-HR"/>
        </w:rPr>
        <w:t>avibaktama.</w:t>
      </w:r>
    </w:p>
    <w:p w14:paraId="663284D8" w14:textId="77777777" w:rsidR="005C2545" w:rsidRPr="009A2813" w:rsidRDefault="005C2545" w:rsidP="00CC4A65">
      <w:pPr>
        <w:jc w:val="both"/>
        <w:rPr>
          <w:szCs w:val="22"/>
          <w:lang w:val="hr-HR"/>
        </w:rPr>
      </w:pPr>
    </w:p>
    <w:p w14:paraId="3B1F4D80" w14:textId="77777777" w:rsidR="004C033F" w:rsidRPr="009A2813" w:rsidRDefault="004C033F" w:rsidP="00CC4A65">
      <w:pPr>
        <w:keepNext/>
        <w:ind w:left="567" w:hanging="567"/>
        <w:jc w:val="both"/>
        <w:outlineLvl w:val="0"/>
        <w:rPr>
          <w:szCs w:val="22"/>
          <w:lang w:val="hr-HR"/>
        </w:rPr>
      </w:pPr>
      <w:r w:rsidRPr="009A2813">
        <w:rPr>
          <w:b/>
          <w:szCs w:val="22"/>
          <w:lang w:val="hr-HR"/>
        </w:rPr>
        <w:t>5.3</w:t>
      </w:r>
      <w:r w:rsidRPr="009A2813">
        <w:rPr>
          <w:b/>
          <w:szCs w:val="22"/>
          <w:lang w:val="hr-HR"/>
        </w:rPr>
        <w:tab/>
        <w:t>Pretklinički podaci o bezbjednosti</w:t>
      </w:r>
    </w:p>
    <w:p w14:paraId="3AED0B15" w14:textId="77777777" w:rsidR="004C033F" w:rsidRPr="009A2813" w:rsidRDefault="004C033F" w:rsidP="00CC4A65">
      <w:pPr>
        <w:keepNext/>
        <w:jc w:val="both"/>
        <w:rPr>
          <w:szCs w:val="22"/>
          <w:lang w:val="hr-HR"/>
        </w:rPr>
      </w:pPr>
    </w:p>
    <w:p w14:paraId="32CEE777" w14:textId="77777777" w:rsidR="006C48E7" w:rsidRPr="009A2813" w:rsidRDefault="004422E7" w:rsidP="00CC4A65">
      <w:pPr>
        <w:keepNext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Ceftazidim</w:t>
      </w:r>
    </w:p>
    <w:p w14:paraId="46929AF8" w14:textId="77777777" w:rsidR="002F69E7" w:rsidRPr="009A2813" w:rsidRDefault="002F69E7" w:rsidP="00CC4A65">
      <w:pPr>
        <w:keepNext/>
        <w:jc w:val="both"/>
        <w:rPr>
          <w:szCs w:val="22"/>
          <w:u w:val="single"/>
          <w:lang w:val="hr-HR"/>
        </w:rPr>
      </w:pPr>
    </w:p>
    <w:p w14:paraId="014FF4AA" w14:textId="77777777" w:rsidR="006C48E7" w:rsidRPr="009A2813" w:rsidRDefault="006C48E7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Ispitivanja na životinjama ne ukazuju na poseban rizik za ljude, na osnovu konvencionalnih ispitivanja farmakološke bezbjednosti, toksičnosti ponovljenih doza, reproduktivne toksičnosti ili genotoksičnosti. Studije karcinogenosti nijesu sprovedene sa ceftazidimom.</w:t>
      </w:r>
    </w:p>
    <w:p w14:paraId="7369C5B1" w14:textId="77777777" w:rsidR="006C48E7" w:rsidRPr="009A2813" w:rsidRDefault="006C48E7" w:rsidP="00CC4A65">
      <w:pPr>
        <w:jc w:val="both"/>
        <w:rPr>
          <w:szCs w:val="22"/>
          <w:lang w:val="hr-HR"/>
        </w:rPr>
      </w:pPr>
    </w:p>
    <w:p w14:paraId="3BD21063" w14:textId="77777777" w:rsidR="006C48E7" w:rsidRPr="009A2813" w:rsidRDefault="004422E7" w:rsidP="00CC4A65">
      <w:pPr>
        <w:keepNext/>
        <w:keepLines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lastRenderedPageBreak/>
        <w:t>Avibaktam</w:t>
      </w:r>
    </w:p>
    <w:p w14:paraId="04CB795D" w14:textId="77777777" w:rsidR="002F69E7" w:rsidRPr="009A2813" w:rsidRDefault="002F69E7" w:rsidP="00CC4A65">
      <w:pPr>
        <w:keepNext/>
        <w:keepLines/>
        <w:jc w:val="both"/>
        <w:rPr>
          <w:szCs w:val="22"/>
          <w:u w:val="single"/>
          <w:lang w:val="hr-HR"/>
        </w:rPr>
      </w:pPr>
    </w:p>
    <w:p w14:paraId="0CFB9EA2" w14:textId="77777777" w:rsidR="006C48E7" w:rsidRPr="009A2813" w:rsidRDefault="006C48E7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Ispitivanja na životinjama ne ukazuju na poseban rizik za ljude, na osnovu konvencionalnih ispitivanja farmakološke bezbjednosti, toksičnosti ponovljenih doza ili genotoksičnosti. Studije karcinogenosti nijesu sprovedene sa avibaktamom.</w:t>
      </w:r>
    </w:p>
    <w:p w14:paraId="2C016905" w14:textId="77777777" w:rsidR="004C033F" w:rsidRPr="009A2813" w:rsidRDefault="004C033F" w:rsidP="00CC4A65">
      <w:pPr>
        <w:tabs>
          <w:tab w:val="clear" w:pos="567"/>
          <w:tab w:val="left" w:pos="1996"/>
        </w:tabs>
        <w:jc w:val="both"/>
        <w:rPr>
          <w:color w:val="000000"/>
          <w:szCs w:val="22"/>
          <w:lang w:val="hr-HR"/>
        </w:rPr>
      </w:pPr>
    </w:p>
    <w:p w14:paraId="4D26B92F" w14:textId="77777777" w:rsidR="004C033F" w:rsidRPr="009A2813" w:rsidRDefault="004C033F" w:rsidP="00CC4A65">
      <w:pPr>
        <w:keepNext/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Reproduktivna toksičnost</w:t>
      </w:r>
    </w:p>
    <w:p w14:paraId="619B2E24" w14:textId="77777777" w:rsidR="002F69E7" w:rsidRPr="009A2813" w:rsidRDefault="002F69E7" w:rsidP="00CC4A65">
      <w:pPr>
        <w:keepNext/>
        <w:jc w:val="both"/>
        <w:rPr>
          <w:szCs w:val="22"/>
          <w:u w:val="single"/>
          <w:lang w:val="hr-HR"/>
        </w:rPr>
      </w:pPr>
    </w:p>
    <w:p w14:paraId="194614C4" w14:textId="732088AE" w:rsidR="006C4CD0" w:rsidRPr="009A2813" w:rsidRDefault="006C4CD0" w:rsidP="00B97F09">
      <w:pPr>
        <w:autoSpaceDE w:val="0"/>
        <w:autoSpaceDN w:val="0"/>
        <w:adjustRightInd w:val="0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Kod bremenitih ženki </w:t>
      </w:r>
      <w:r w:rsidR="00A64072" w:rsidRPr="009A2813">
        <w:rPr>
          <w:szCs w:val="22"/>
          <w:lang w:val="hr-HR"/>
        </w:rPr>
        <w:t>kunića</w:t>
      </w:r>
      <w:r w:rsidRPr="009A2813">
        <w:rPr>
          <w:szCs w:val="22"/>
          <w:lang w:val="hr-HR"/>
        </w:rPr>
        <w:t xml:space="preserve"> kojima je davan avibaktam u dozama od 300 i 1000 mg/kg/dan, postojala je niža srednja težina fetusa u zavisnosti od doze i odložena osifikacija, potencijalno povezana sa toksičnošću za majku. Nivoi izloženosti plazmi</w:t>
      </w:r>
      <w:r w:rsidR="00A64072" w:rsidRPr="009A2813">
        <w:rPr>
          <w:szCs w:val="22"/>
          <w:lang w:val="hr-HR"/>
        </w:rPr>
        <w:t xml:space="preserve"> pri kojima nijesu zabilježeni neželjeni efekti (engl. </w:t>
      </w:r>
      <w:r w:rsidRPr="009A2813">
        <w:rPr>
          <w:szCs w:val="22"/>
          <w:lang w:val="hr-HR"/>
        </w:rPr>
        <w:t xml:space="preserve"> </w:t>
      </w:r>
      <w:r w:rsidR="00A64072" w:rsidRPr="009A2813">
        <w:rPr>
          <w:i/>
          <w:szCs w:val="22"/>
          <w:lang w:val="hr-HR"/>
        </w:rPr>
        <w:t>no observed adverse effect levels</w:t>
      </w:r>
      <w:r w:rsidR="00A64072" w:rsidRPr="009A2813">
        <w:rPr>
          <w:szCs w:val="22"/>
          <w:lang w:val="hr-HR"/>
        </w:rPr>
        <w:t xml:space="preserve">, </w:t>
      </w:r>
      <w:r w:rsidRPr="009A2813">
        <w:rPr>
          <w:szCs w:val="22"/>
          <w:lang w:val="hr-HR"/>
        </w:rPr>
        <w:t>NOAEL majke i fetusa (100 mg/kg/dan) ukazuju na umjerene do niske granice bezbjednosti.</w:t>
      </w:r>
    </w:p>
    <w:p w14:paraId="30975615" w14:textId="77777777" w:rsidR="00D021EF" w:rsidRPr="009A2813" w:rsidRDefault="00D021EF" w:rsidP="00B97F09">
      <w:pPr>
        <w:autoSpaceDE w:val="0"/>
        <w:autoSpaceDN w:val="0"/>
        <w:adjustRightInd w:val="0"/>
        <w:jc w:val="both"/>
        <w:rPr>
          <w:szCs w:val="22"/>
          <w:lang w:val="hr-HR"/>
        </w:rPr>
      </w:pPr>
    </w:p>
    <w:p w14:paraId="38CE23EB" w14:textId="31335ECB" w:rsidR="004C033F" w:rsidRPr="009A2813" w:rsidRDefault="004C033F" w:rsidP="00CC4A65">
      <w:pPr>
        <w:jc w:val="both"/>
        <w:rPr>
          <w:bCs/>
          <w:szCs w:val="22"/>
          <w:lang w:val="hr-HR"/>
        </w:rPr>
      </w:pPr>
      <w:r w:rsidRPr="009A2813">
        <w:rPr>
          <w:szCs w:val="22"/>
          <w:lang w:val="hr-HR"/>
        </w:rPr>
        <w:t xml:space="preserve">Kod pacova nijesu primijećeni neželjeni efekti na embriofetalni razvoj ili plodnost. Nakon primjene avibaktama tokom bremenitosti i dojenja kod pacova, nije bilo efekata na preživljavanje, rast ili razvoj mladunaca, međutim zabilježen je porast učestalosti dilatacije bubrega i uretera kod manje od 10% mladunaca pacova </w:t>
      </w:r>
      <w:r w:rsidR="008B5D88" w:rsidRPr="009A2813">
        <w:rPr>
          <w:szCs w:val="22"/>
          <w:lang w:val="hr-HR"/>
        </w:rPr>
        <w:t>pri</w:t>
      </w:r>
      <w:r w:rsidRPr="009A2813">
        <w:rPr>
          <w:szCs w:val="22"/>
          <w:lang w:val="hr-HR"/>
        </w:rPr>
        <w:t xml:space="preserve"> izloženosti</w:t>
      </w:r>
      <w:r w:rsidR="008B5D88" w:rsidRPr="009A2813">
        <w:rPr>
          <w:szCs w:val="22"/>
          <w:lang w:val="hr-HR"/>
        </w:rPr>
        <w:t xml:space="preserve"> majke </w:t>
      </w:r>
      <w:r w:rsidRPr="009A2813">
        <w:rPr>
          <w:szCs w:val="22"/>
          <w:lang w:val="hr-HR"/>
        </w:rPr>
        <w:t>već</w:t>
      </w:r>
      <w:r w:rsidR="008B5D88" w:rsidRPr="009A2813">
        <w:rPr>
          <w:szCs w:val="22"/>
          <w:lang w:val="hr-HR"/>
        </w:rPr>
        <w:t>om</w:t>
      </w:r>
      <w:r w:rsidRPr="009A2813">
        <w:rPr>
          <w:szCs w:val="22"/>
          <w:lang w:val="hr-HR"/>
        </w:rPr>
        <w:t xml:space="preserve"> od ili jednak</w:t>
      </w:r>
      <w:r w:rsidR="008B5D88" w:rsidRPr="009A2813">
        <w:rPr>
          <w:szCs w:val="22"/>
          <w:lang w:val="hr-HR"/>
        </w:rPr>
        <w:t>om</w:t>
      </w:r>
      <w:r w:rsidRPr="009A2813">
        <w:rPr>
          <w:szCs w:val="22"/>
          <w:lang w:val="hr-HR"/>
        </w:rPr>
        <w:t xml:space="preserve"> približno 1,5 puta terapijskim izloženostima</w:t>
      </w:r>
      <w:r w:rsidR="008B5D88" w:rsidRPr="009A2813">
        <w:rPr>
          <w:szCs w:val="22"/>
          <w:lang w:val="hr-HR"/>
        </w:rPr>
        <w:t xml:space="preserve"> kod ljudi</w:t>
      </w:r>
      <w:r w:rsidRPr="009A2813">
        <w:rPr>
          <w:szCs w:val="22"/>
          <w:lang w:val="hr-HR"/>
        </w:rPr>
        <w:t>.</w:t>
      </w:r>
    </w:p>
    <w:p w14:paraId="5744C25D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03E15B61" w14:textId="77777777" w:rsidR="004C033F" w:rsidRPr="009A2813" w:rsidRDefault="004C033F">
      <w:pPr>
        <w:rPr>
          <w:szCs w:val="22"/>
          <w:lang w:val="hr-HR"/>
        </w:rPr>
      </w:pPr>
    </w:p>
    <w:p w14:paraId="777B59CC" w14:textId="77777777" w:rsidR="004C033F" w:rsidRPr="009A2813" w:rsidRDefault="004C033F" w:rsidP="00B020D1">
      <w:pPr>
        <w:keepNext/>
        <w:keepLines/>
        <w:suppressAutoHyphens/>
        <w:ind w:left="567" w:hanging="567"/>
        <w:rPr>
          <w:b/>
          <w:szCs w:val="22"/>
          <w:lang w:val="hr-HR"/>
        </w:rPr>
      </w:pPr>
      <w:r w:rsidRPr="009A2813">
        <w:rPr>
          <w:b/>
          <w:lang w:val="hr-HR"/>
        </w:rPr>
        <w:t>6.</w:t>
      </w:r>
      <w:r w:rsidRPr="009A2813">
        <w:rPr>
          <w:b/>
          <w:lang w:val="hr-HR"/>
        </w:rPr>
        <w:tab/>
        <w:t>FARMACEUTSKI PODACI</w:t>
      </w:r>
    </w:p>
    <w:p w14:paraId="5230E4D7" w14:textId="77777777" w:rsidR="004C033F" w:rsidRPr="009A2813" w:rsidRDefault="004C033F" w:rsidP="00B020D1">
      <w:pPr>
        <w:keepNext/>
        <w:keepLines/>
        <w:rPr>
          <w:szCs w:val="22"/>
          <w:lang w:val="hr-HR"/>
        </w:rPr>
      </w:pPr>
    </w:p>
    <w:p w14:paraId="38C7DE27" w14:textId="77777777" w:rsidR="004C033F" w:rsidRPr="009A2813" w:rsidRDefault="004C033F" w:rsidP="00B020D1">
      <w:pPr>
        <w:keepNext/>
        <w:keepLines/>
        <w:ind w:left="567" w:hanging="567"/>
        <w:outlineLvl w:val="0"/>
        <w:rPr>
          <w:szCs w:val="22"/>
          <w:lang w:val="hr-HR"/>
        </w:rPr>
      </w:pPr>
      <w:r w:rsidRPr="009A2813">
        <w:rPr>
          <w:b/>
          <w:lang w:val="hr-HR"/>
        </w:rPr>
        <w:t>6.1</w:t>
      </w:r>
      <w:r w:rsidRPr="009A2813">
        <w:rPr>
          <w:b/>
          <w:lang w:val="hr-HR"/>
        </w:rPr>
        <w:tab/>
        <w:t>Lista pomoćnih supstanci (ekscipijenasa)</w:t>
      </w:r>
    </w:p>
    <w:p w14:paraId="66A25409" w14:textId="77777777" w:rsidR="004C033F" w:rsidRPr="009A2813" w:rsidRDefault="004C033F" w:rsidP="00B020D1">
      <w:pPr>
        <w:pStyle w:val="A-TableText"/>
        <w:keepNext/>
        <w:keepLines/>
        <w:tabs>
          <w:tab w:val="left" w:pos="567"/>
        </w:tabs>
        <w:spacing w:before="0" w:after="0" w:line="260" w:lineRule="exact"/>
        <w:rPr>
          <w:iCs/>
          <w:szCs w:val="22"/>
          <w:lang w:val="hr-HR"/>
        </w:rPr>
      </w:pPr>
    </w:p>
    <w:p w14:paraId="7C7EBD40" w14:textId="77777777" w:rsidR="004C033F" w:rsidRPr="009A2813" w:rsidRDefault="004C033F" w:rsidP="00A7303B">
      <w:pPr>
        <w:rPr>
          <w:szCs w:val="22"/>
          <w:lang w:val="hr-HR"/>
        </w:rPr>
      </w:pPr>
      <w:r w:rsidRPr="009A2813">
        <w:rPr>
          <w:lang w:val="hr-HR"/>
        </w:rPr>
        <w:t>Natrijum karbonat (bezvodni)</w:t>
      </w:r>
    </w:p>
    <w:p w14:paraId="252F343E" w14:textId="77777777" w:rsidR="004C033F" w:rsidRPr="009A2813" w:rsidRDefault="004C033F">
      <w:pPr>
        <w:rPr>
          <w:szCs w:val="22"/>
          <w:lang w:val="hr-HR"/>
        </w:rPr>
      </w:pPr>
    </w:p>
    <w:p w14:paraId="1EF3E8E5" w14:textId="77777777" w:rsidR="004C033F" w:rsidRPr="009A2813" w:rsidRDefault="004C033F" w:rsidP="007C56DE">
      <w:pPr>
        <w:keepNext/>
        <w:keepLines/>
        <w:ind w:left="567" w:hanging="567"/>
        <w:outlineLvl w:val="0"/>
        <w:rPr>
          <w:szCs w:val="22"/>
          <w:lang w:val="hr-HR"/>
        </w:rPr>
      </w:pPr>
      <w:r w:rsidRPr="009A2813">
        <w:rPr>
          <w:b/>
          <w:lang w:val="hr-HR"/>
        </w:rPr>
        <w:t>6.2</w:t>
      </w:r>
      <w:r w:rsidRPr="009A2813">
        <w:rPr>
          <w:b/>
          <w:lang w:val="hr-HR"/>
        </w:rPr>
        <w:tab/>
        <w:t>Inkompatibilnosti</w:t>
      </w:r>
    </w:p>
    <w:p w14:paraId="0E3A5FC7" w14:textId="77777777" w:rsidR="004C033F" w:rsidRPr="009A2813" w:rsidRDefault="004C033F" w:rsidP="007C56DE">
      <w:pPr>
        <w:keepNext/>
        <w:keepLines/>
        <w:rPr>
          <w:szCs w:val="22"/>
          <w:lang w:val="hr-HR"/>
        </w:rPr>
      </w:pPr>
    </w:p>
    <w:p w14:paraId="70790CD0" w14:textId="726494AC" w:rsidR="00AB564D" w:rsidRPr="009A2813" w:rsidRDefault="00AB564D" w:rsidP="00A7303B">
      <w:pPr>
        <w:rPr>
          <w:lang w:val="hr-HR"/>
        </w:rPr>
      </w:pPr>
      <w:r w:rsidRPr="009A2813">
        <w:rPr>
          <w:lang w:val="hr-HR"/>
        </w:rPr>
        <w:t>Nije utvrđena kompatibilnost lijeka Zavicefta s</w:t>
      </w:r>
      <w:r w:rsidR="00EB0C82" w:rsidRPr="009A2813">
        <w:rPr>
          <w:lang w:val="hr-HR"/>
        </w:rPr>
        <w:t>a</w:t>
      </w:r>
      <w:r w:rsidRPr="009A2813">
        <w:rPr>
          <w:lang w:val="hr-HR"/>
        </w:rPr>
        <w:t xml:space="preserve"> drugim ljekovima. Lijek Zavicefta se ne smije miješati ili fizički dodavati u rastvore koji sadrže druge ljekove.</w:t>
      </w:r>
    </w:p>
    <w:p w14:paraId="6EED7841" w14:textId="77777777" w:rsidR="00AB564D" w:rsidRPr="009A2813" w:rsidRDefault="00AB564D" w:rsidP="00A7303B">
      <w:pPr>
        <w:rPr>
          <w:lang w:val="hr-HR"/>
        </w:rPr>
      </w:pPr>
    </w:p>
    <w:p w14:paraId="272B36A6" w14:textId="77777777" w:rsidR="004C033F" w:rsidRPr="009A2813" w:rsidRDefault="004C033F" w:rsidP="00A7303B">
      <w:pPr>
        <w:rPr>
          <w:lang w:val="hr-HR"/>
        </w:rPr>
      </w:pPr>
      <w:r w:rsidRPr="009A2813">
        <w:rPr>
          <w:lang w:val="hr-HR"/>
        </w:rPr>
        <w:t>Ovaj lijek se ne smije miješati s drugim ljekovima, osim sa onima koji su navedeni u dijelu 6.6.</w:t>
      </w:r>
    </w:p>
    <w:p w14:paraId="3FDC3A79" w14:textId="77777777" w:rsidR="004C033F" w:rsidRPr="009A2813" w:rsidRDefault="004C033F">
      <w:pPr>
        <w:rPr>
          <w:szCs w:val="22"/>
          <w:lang w:val="hr-HR"/>
        </w:rPr>
      </w:pPr>
    </w:p>
    <w:p w14:paraId="7EBC0853" w14:textId="25C8EBE8" w:rsidR="004C033F" w:rsidRPr="009A2813" w:rsidRDefault="004C033F" w:rsidP="00A7303B">
      <w:pPr>
        <w:keepNext/>
        <w:ind w:left="567" w:hanging="567"/>
        <w:outlineLvl w:val="0"/>
        <w:rPr>
          <w:szCs w:val="22"/>
          <w:lang w:val="hr-HR"/>
        </w:rPr>
      </w:pPr>
      <w:r w:rsidRPr="009A2813">
        <w:rPr>
          <w:b/>
          <w:lang w:val="hr-HR"/>
        </w:rPr>
        <w:t>6.3</w:t>
      </w:r>
      <w:r w:rsidRPr="009A2813">
        <w:rPr>
          <w:b/>
          <w:lang w:val="hr-HR"/>
        </w:rPr>
        <w:tab/>
        <w:t>Rok upotrebe</w:t>
      </w:r>
    </w:p>
    <w:p w14:paraId="0E98463A" w14:textId="77777777" w:rsidR="004C033F" w:rsidRPr="009A2813" w:rsidRDefault="004C033F" w:rsidP="00A7303B">
      <w:pPr>
        <w:keepNext/>
        <w:rPr>
          <w:szCs w:val="22"/>
          <w:lang w:val="hr-HR"/>
        </w:rPr>
      </w:pPr>
    </w:p>
    <w:p w14:paraId="02CACC1B" w14:textId="1AC8672B" w:rsidR="002F69E7" w:rsidRPr="009A2813" w:rsidRDefault="00EB0C82" w:rsidP="00A7303B">
      <w:pPr>
        <w:keepNext/>
        <w:rPr>
          <w:u w:val="single"/>
          <w:lang w:val="hr-HR"/>
        </w:rPr>
      </w:pPr>
      <w:r w:rsidRPr="009A2813">
        <w:rPr>
          <w:u w:val="single"/>
          <w:lang w:val="hr-HR"/>
        </w:rPr>
        <w:t>Rok upotrebe neotvorenog lijeka:</w:t>
      </w:r>
    </w:p>
    <w:p w14:paraId="0B51A634" w14:textId="77777777" w:rsidR="004C033F" w:rsidRPr="009A2813" w:rsidRDefault="004C033F">
      <w:pPr>
        <w:rPr>
          <w:lang w:val="hr-HR"/>
        </w:rPr>
      </w:pPr>
      <w:r w:rsidRPr="009A2813">
        <w:rPr>
          <w:lang w:val="hr-HR"/>
        </w:rPr>
        <w:t>3 godine.</w:t>
      </w:r>
    </w:p>
    <w:p w14:paraId="5661DDE6" w14:textId="77777777" w:rsidR="004C033F" w:rsidRPr="009A2813" w:rsidRDefault="004C033F">
      <w:pPr>
        <w:rPr>
          <w:lang w:val="hr-HR"/>
        </w:rPr>
      </w:pPr>
    </w:p>
    <w:p w14:paraId="038AA590" w14:textId="152A92CC" w:rsidR="002F69E7" w:rsidRPr="009A2813" w:rsidRDefault="00EB0C82" w:rsidP="00A7303B">
      <w:pPr>
        <w:keepNext/>
        <w:rPr>
          <w:rFonts w:eastAsia="SimSun"/>
          <w:szCs w:val="22"/>
          <w:lang w:val="hr-HR"/>
        </w:rPr>
      </w:pPr>
      <w:r w:rsidRPr="009A2813">
        <w:rPr>
          <w:u w:val="single"/>
          <w:lang w:val="hr-HR"/>
        </w:rPr>
        <w:t>Rok upotrebe n</w:t>
      </w:r>
      <w:r w:rsidR="004C033F" w:rsidRPr="009A2813">
        <w:rPr>
          <w:u w:val="single"/>
          <w:lang w:val="hr-HR"/>
        </w:rPr>
        <w:t>akon rekonstitucije</w:t>
      </w:r>
      <w:r w:rsidRPr="009A2813">
        <w:rPr>
          <w:u w:val="single"/>
          <w:lang w:val="hr-HR"/>
        </w:rPr>
        <w:t>:</w:t>
      </w:r>
    </w:p>
    <w:p w14:paraId="4AFAF8E2" w14:textId="62300991" w:rsidR="004C033F" w:rsidRPr="009A2813" w:rsidRDefault="00EB0C82">
      <w:pPr>
        <w:rPr>
          <w:szCs w:val="22"/>
          <w:lang w:val="hr-HR"/>
        </w:rPr>
      </w:pPr>
      <w:r w:rsidRPr="009A2813">
        <w:rPr>
          <w:lang w:val="hr-HR"/>
        </w:rPr>
        <w:t>Upotrijebiti odmah</w:t>
      </w:r>
      <w:r w:rsidR="004C033F" w:rsidRPr="009A2813">
        <w:rPr>
          <w:lang w:val="hr-HR"/>
        </w:rPr>
        <w:t>.</w:t>
      </w:r>
    </w:p>
    <w:p w14:paraId="192AD5F0" w14:textId="77777777" w:rsidR="004C033F" w:rsidRPr="009A2813" w:rsidRDefault="004C033F">
      <w:pPr>
        <w:rPr>
          <w:szCs w:val="22"/>
          <w:lang w:val="hr-HR"/>
        </w:rPr>
      </w:pPr>
    </w:p>
    <w:p w14:paraId="1B5E17E1" w14:textId="67EBDB63" w:rsidR="002F69E7" w:rsidRPr="009A2813" w:rsidRDefault="00EB0C82" w:rsidP="00A7303B">
      <w:pPr>
        <w:keepNext/>
        <w:tabs>
          <w:tab w:val="clear" w:pos="567"/>
        </w:tabs>
        <w:spacing w:line="240" w:lineRule="auto"/>
        <w:rPr>
          <w:rFonts w:eastAsia="SimSun"/>
          <w:szCs w:val="22"/>
          <w:u w:val="single"/>
          <w:lang w:val="hr-HR"/>
        </w:rPr>
      </w:pPr>
      <w:r w:rsidRPr="009A2813">
        <w:rPr>
          <w:u w:val="single"/>
          <w:lang w:val="hr-HR"/>
        </w:rPr>
        <w:t>Rok upotrebe n</w:t>
      </w:r>
      <w:r w:rsidR="004C033F" w:rsidRPr="009A2813">
        <w:rPr>
          <w:u w:val="single"/>
          <w:lang w:val="hr-HR"/>
        </w:rPr>
        <w:t>akon razblaživanja</w:t>
      </w:r>
      <w:r w:rsidRPr="009A2813">
        <w:rPr>
          <w:u w:val="single"/>
          <w:lang w:val="hr-HR"/>
        </w:rPr>
        <w:t>:</w:t>
      </w:r>
    </w:p>
    <w:p w14:paraId="03C6D55B" w14:textId="77777777" w:rsidR="000A6B20" w:rsidRPr="009A2813" w:rsidRDefault="000A6B20" w:rsidP="00A7303B">
      <w:pPr>
        <w:keepNext/>
        <w:tabs>
          <w:tab w:val="clear" w:pos="567"/>
        </w:tabs>
        <w:spacing w:line="240" w:lineRule="auto"/>
        <w:rPr>
          <w:rFonts w:eastAsia="SimSun"/>
          <w:szCs w:val="22"/>
          <w:lang w:val="hr-HR"/>
        </w:rPr>
      </w:pPr>
    </w:p>
    <w:p w14:paraId="7DF3A386" w14:textId="77777777" w:rsidR="00EA143A" w:rsidRPr="009A2813" w:rsidRDefault="00EA143A" w:rsidP="00A7303B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SimSun"/>
          <w:i/>
          <w:szCs w:val="22"/>
          <w:lang w:val="hr-HR"/>
        </w:rPr>
      </w:pPr>
      <w:r w:rsidRPr="009A2813">
        <w:rPr>
          <w:i/>
          <w:lang w:val="hr-HR"/>
        </w:rPr>
        <w:t>Infuzione kese</w:t>
      </w:r>
    </w:p>
    <w:p w14:paraId="06D556FA" w14:textId="5E4C4B64" w:rsidR="004C033F" w:rsidRPr="009A2813" w:rsidRDefault="004A7A90">
      <w:pPr>
        <w:tabs>
          <w:tab w:val="clear" w:pos="567"/>
        </w:tabs>
        <w:spacing w:line="240" w:lineRule="auto"/>
        <w:rPr>
          <w:rFonts w:eastAsia="SimSun"/>
          <w:szCs w:val="22"/>
          <w:lang w:val="hr-HR"/>
        </w:rPr>
      </w:pPr>
      <w:r w:rsidRPr="009A2813">
        <w:rPr>
          <w:lang w:val="hr-HR"/>
        </w:rPr>
        <w:t>Ako se intravenski rastvor priprema sa razblaživačima navedenim u dijelu 6.6 (koncentracija ceftazidima 8 mg/ml), dokazana je hemijska i fizička stabilnost za upotrebu (od početne punkcije bočice) do 12 sati na 2</w:t>
      </w:r>
      <w:r w:rsidRPr="009A2813">
        <w:rPr>
          <w:lang w:val="hr-HR"/>
        </w:rPr>
        <w:noBreakHyphen/>
        <w:t>8</w:t>
      </w:r>
      <w:r w:rsidR="00550AC4" w:rsidRPr="009A2813">
        <w:rPr>
          <w:lang w:val="hr-HR"/>
        </w:rPr>
        <w:t xml:space="preserve"> </w:t>
      </w:r>
      <w:r w:rsidRPr="009A2813">
        <w:rPr>
          <w:lang w:val="hr-HR"/>
        </w:rPr>
        <w:t>°C, a zatim do 4 sata na temperaturi ne višoj od 25</w:t>
      </w:r>
      <w:r w:rsidR="00550AC4" w:rsidRPr="009A2813">
        <w:rPr>
          <w:lang w:val="hr-HR"/>
        </w:rPr>
        <w:t xml:space="preserve"> </w:t>
      </w:r>
      <w:r w:rsidRPr="009A2813">
        <w:rPr>
          <w:lang w:val="hr-HR"/>
        </w:rPr>
        <w:t>°C.</w:t>
      </w:r>
    </w:p>
    <w:p w14:paraId="41765BB5" w14:textId="77777777" w:rsidR="004C033F" w:rsidRPr="009A2813" w:rsidRDefault="004C033F">
      <w:pPr>
        <w:rPr>
          <w:rFonts w:eastAsia="SimSun"/>
          <w:szCs w:val="22"/>
          <w:lang w:val="hr-HR"/>
        </w:rPr>
      </w:pPr>
    </w:p>
    <w:p w14:paraId="74A91301" w14:textId="268EAFF0" w:rsidR="004A7A90" w:rsidRPr="009A2813" w:rsidRDefault="004A7A90" w:rsidP="004A7A90">
      <w:pPr>
        <w:rPr>
          <w:rFonts w:eastAsia="SimSun"/>
          <w:szCs w:val="22"/>
          <w:lang w:val="hr-HR"/>
        </w:rPr>
      </w:pPr>
      <w:r w:rsidRPr="009A2813">
        <w:rPr>
          <w:lang w:val="hr-HR"/>
        </w:rPr>
        <w:t>Ako se intravenski rastvor priprema sa razblaživačima navedenim u dijelu 6.6. (koncentracija ceftazidima &gt; 8 mg/ml do 40 mg/ml), dokazana je hemijska i fizička stabilnost za upotrebu (od početne punkcije bočice) do 4 sata na temperaturi ne višoj od 25</w:t>
      </w:r>
      <w:r w:rsidR="00550AC4" w:rsidRPr="009A2813">
        <w:rPr>
          <w:lang w:val="hr-HR"/>
        </w:rPr>
        <w:t xml:space="preserve"> </w:t>
      </w:r>
      <w:r w:rsidRPr="009A2813">
        <w:rPr>
          <w:lang w:val="hr-HR"/>
        </w:rPr>
        <w:t>°C.</w:t>
      </w:r>
    </w:p>
    <w:p w14:paraId="154B0EEB" w14:textId="77777777" w:rsidR="004A7A90" w:rsidRPr="009A2813" w:rsidRDefault="004A7A90" w:rsidP="004A7A90">
      <w:pPr>
        <w:rPr>
          <w:rFonts w:eastAsia="SimSun"/>
          <w:szCs w:val="22"/>
          <w:lang w:val="hr-HR"/>
        </w:rPr>
      </w:pPr>
    </w:p>
    <w:p w14:paraId="7B880317" w14:textId="4B43B0AD" w:rsidR="004C033F" w:rsidRPr="009A2813" w:rsidRDefault="004C033F">
      <w:pPr>
        <w:rPr>
          <w:rFonts w:eastAsia="SimSun"/>
          <w:szCs w:val="22"/>
          <w:lang w:val="hr-HR"/>
        </w:rPr>
      </w:pPr>
      <w:r w:rsidRPr="009A2813">
        <w:rPr>
          <w:lang w:val="hr-HR"/>
        </w:rPr>
        <w:t>S</w:t>
      </w:r>
      <w:r w:rsidR="00EB0C82" w:rsidRPr="009A2813">
        <w:rPr>
          <w:lang w:val="hr-HR"/>
        </w:rPr>
        <w:t>a</w:t>
      </w:r>
      <w:r w:rsidRPr="009A2813">
        <w:rPr>
          <w:lang w:val="hr-HR"/>
        </w:rPr>
        <w:t xml:space="preserve"> mikrobiološkog stanovišta, lijek se mora odmah upotrijebiti, osim ako se rekonstitucija i razblaživanje izvode u kontrolisanim i validiranim aseptičnim uslovima. Ako se ne upotrijebi odmah, </w:t>
      </w:r>
      <w:r w:rsidRPr="009A2813">
        <w:rPr>
          <w:lang w:val="hr-HR"/>
        </w:rPr>
        <w:lastRenderedPageBreak/>
        <w:t xml:space="preserve">vrijeme čuvanja u uslovima pogodnim za upotrebu i uslovi prije upotrebe su odgovornost korisnika i ne smiju premašiti </w:t>
      </w:r>
      <w:r w:rsidR="00EB0C82" w:rsidRPr="009A2813">
        <w:rPr>
          <w:lang w:val="hr-HR"/>
        </w:rPr>
        <w:t xml:space="preserve">gore </w:t>
      </w:r>
      <w:r w:rsidRPr="009A2813">
        <w:rPr>
          <w:lang w:val="hr-HR"/>
        </w:rPr>
        <w:t>navedene</w:t>
      </w:r>
      <w:r w:rsidR="00EB0C82" w:rsidRPr="009A2813">
        <w:rPr>
          <w:lang w:val="hr-HR"/>
        </w:rPr>
        <w:t xml:space="preserve"> uslove</w:t>
      </w:r>
      <w:r w:rsidRPr="009A2813">
        <w:rPr>
          <w:lang w:val="hr-HR"/>
        </w:rPr>
        <w:t>.</w:t>
      </w:r>
    </w:p>
    <w:p w14:paraId="2BEB92A0" w14:textId="77777777" w:rsidR="00345681" w:rsidRPr="009A2813" w:rsidRDefault="00345681">
      <w:pPr>
        <w:rPr>
          <w:rFonts w:eastAsia="SimSun"/>
          <w:szCs w:val="22"/>
          <w:lang w:val="hr-HR"/>
        </w:rPr>
      </w:pPr>
    </w:p>
    <w:p w14:paraId="0764D4FA" w14:textId="77777777" w:rsidR="00345681" w:rsidRPr="009A2813" w:rsidRDefault="00345681" w:rsidP="000A6B20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hr-HR"/>
        </w:rPr>
      </w:pPr>
      <w:r w:rsidRPr="009A2813">
        <w:rPr>
          <w:i/>
          <w:lang w:val="hr-HR"/>
        </w:rPr>
        <w:t>Infuzioni špricevi</w:t>
      </w:r>
    </w:p>
    <w:p w14:paraId="424B2DEC" w14:textId="2F93E124" w:rsidR="00E96AC4" w:rsidRPr="009A2813" w:rsidRDefault="00184992" w:rsidP="00E96AC4">
      <w:pPr>
        <w:tabs>
          <w:tab w:val="clear" w:pos="567"/>
          <w:tab w:val="left" w:pos="720"/>
        </w:tabs>
        <w:spacing w:line="240" w:lineRule="auto"/>
        <w:rPr>
          <w:rFonts w:eastAsia="SimSun"/>
          <w:szCs w:val="22"/>
          <w:lang w:val="hr-HR"/>
        </w:rPr>
      </w:pPr>
      <w:r w:rsidRPr="009A2813">
        <w:rPr>
          <w:lang w:val="hr-HR"/>
        </w:rPr>
        <w:t>Ako se intraven</w:t>
      </w:r>
      <w:r w:rsidR="00CB0544">
        <w:rPr>
          <w:lang w:val="hr-HR"/>
        </w:rPr>
        <w:t>ski</w:t>
      </w:r>
      <w:r w:rsidR="00BD65C3" w:rsidRPr="009A2813">
        <w:rPr>
          <w:lang w:val="hr-HR"/>
        </w:rPr>
        <w:t xml:space="preserve"> rastvor</w:t>
      </w:r>
      <w:r w:rsidRPr="009A2813">
        <w:rPr>
          <w:lang w:val="hr-HR"/>
        </w:rPr>
        <w:t xml:space="preserve"> pripremi sa </w:t>
      </w:r>
      <w:r w:rsidR="00A96BDE">
        <w:rPr>
          <w:lang w:val="hr-HR"/>
        </w:rPr>
        <w:t>razblaživačima</w:t>
      </w:r>
      <w:r w:rsidRPr="009A2813">
        <w:rPr>
          <w:lang w:val="hr-HR"/>
        </w:rPr>
        <w:t xml:space="preserve"> navedenim u </w:t>
      </w:r>
      <w:r w:rsidR="00F162C6">
        <w:rPr>
          <w:lang w:val="hr-HR"/>
        </w:rPr>
        <w:t>dijelu</w:t>
      </w:r>
      <w:r w:rsidRPr="009A2813">
        <w:rPr>
          <w:lang w:val="hr-HR"/>
        </w:rPr>
        <w:t xml:space="preserve"> 6.6 (koncentracija ceftazidima ≥</w:t>
      </w:r>
      <w:r w:rsidR="00A67E6E" w:rsidRPr="009A2813">
        <w:rPr>
          <w:lang w:val="hr-HR"/>
        </w:rPr>
        <w:t> </w:t>
      </w:r>
      <w:r w:rsidRPr="009A2813">
        <w:rPr>
          <w:lang w:val="hr-HR"/>
        </w:rPr>
        <w:t>8</w:t>
      </w:r>
      <w:r w:rsidR="00A67E6E" w:rsidRPr="009A2813">
        <w:rPr>
          <w:lang w:val="hr-HR"/>
        </w:rPr>
        <w:t> </w:t>
      </w:r>
      <w:r w:rsidRPr="009A2813">
        <w:rPr>
          <w:lang w:val="hr-HR"/>
        </w:rPr>
        <w:t>mg/m</w:t>
      </w:r>
      <w:r w:rsidR="00F162C6">
        <w:rPr>
          <w:lang w:val="hr-HR"/>
        </w:rPr>
        <w:t>l</w:t>
      </w:r>
      <w:r w:rsidRPr="009A2813">
        <w:rPr>
          <w:lang w:val="hr-HR"/>
        </w:rPr>
        <w:t xml:space="preserve"> do 40</w:t>
      </w:r>
      <w:r w:rsidR="00A67E6E" w:rsidRPr="009A2813">
        <w:rPr>
          <w:lang w:val="hr-HR"/>
        </w:rPr>
        <w:t> </w:t>
      </w:r>
      <w:r w:rsidRPr="009A2813">
        <w:rPr>
          <w:lang w:val="hr-HR"/>
        </w:rPr>
        <w:t>mg/m</w:t>
      </w:r>
      <w:r w:rsidR="00F162C6">
        <w:rPr>
          <w:lang w:val="hr-HR"/>
        </w:rPr>
        <w:t>l</w:t>
      </w:r>
      <w:r w:rsidRPr="009A2813">
        <w:rPr>
          <w:lang w:val="hr-HR"/>
        </w:rPr>
        <w:t>), d</w:t>
      </w:r>
      <w:r w:rsidR="00E96AC4" w:rsidRPr="009A2813">
        <w:rPr>
          <w:lang w:val="hr-HR"/>
        </w:rPr>
        <w:t>okazana je hemijska i fizička stabilnost za upotrebu (od početne punkcije bočice) do 6 sati na temperaturi ne višoj od 25</w:t>
      </w:r>
      <w:r w:rsidR="00550AC4" w:rsidRPr="009A2813">
        <w:rPr>
          <w:lang w:val="hr-HR"/>
        </w:rPr>
        <w:t xml:space="preserve"> </w:t>
      </w:r>
      <w:r w:rsidR="00E96AC4" w:rsidRPr="009A2813">
        <w:rPr>
          <w:lang w:val="hr-HR"/>
        </w:rPr>
        <w:t>°C.</w:t>
      </w:r>
    </w:p>
    <w:p w14:paraId="592D8BED" w14:textId="77777777" w:rsidR="00345681" w:rsidRPr="009A2813" w:rsidRDefault="00345681" w:rsidP="0034568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hr-HR"/>
        </w:rPr>
      </w:pPr>
    </w:p>
    <w:p w14:paraId="435DF118" w14:textId="21DCD14C" w:rsidR="00E96AC4" w:rsidRPr="009A2813" w:rsidRDefault="00E96AC4" w:rsidP="00E96AC4">
      <w:pPr>
        <w:tabs>
          <w:tab w:val="clear" w:pos="567"/>
          <w:tab w:val="left" w:pos="72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hr-HR"/>
        </w:rPr>
      </w:pPr>
      <w:r w:rsidRPr="009A2813">
        <w:rPr>
          <w:lang w:val="hr-HR"/>
        </w:rPr>
        <w:t>S</w:t>
      </w:r>
      <w:r w:rsidR="00EB0C82" w:rsidRPr="009A2813">
        <w:rPr>
          <w:lang w:val="hr-HR"/>
        </w:rPr>
        <w:t>a</w:t>
      </w:r>
      <w:r w:rsidRPr="009A2813">
        <w:rPr>
          <w:lang w:val="hr-HR"/>
        </w:rPr>
        <w:t xml:space="preserve"> mikrobiološkog stanovišta, lijek se mora odmah upotrijebiti, osim ako se rekonstitucija i razblaživanje izvode u kontrolisanim i validiranim aseptičnim uslovima. Ako se ne upotrijebi odmah, vrijeme čuvanja u uslovima pogodnim za upotrebu i uslovi prije upotrebe su odgovornost korisnika i ne smije premašiti 6 sati na temperaturi ne višoj od 25</w:t>
      </w:r>
      <w:r w:rsidR="00550AC4" w:rsidRPr="009A2813">
        <w:rPr>
          <w:lang w:val="hr-HR"/>
        </w:rPr>
        <w:t xml:space="preserve"> </w:t>
      </w:r>
      <w:r w:rsidRPr="009A2813">
        <w:rPr>
          <w:lang w:val="hr-HR"/>
        </w:rPr>
        <w:t>°C.</w:t>
      </w:r>
    </w:p>
    <w:p w14:paraId="05F6F213" w14:textId="77777777" w:rsidR="004C033F" w:rsidRPr="009A2813" w:rsidRDefault="004C033F">
      <w:pPr>
        <w:rPr>
          <w:szCs w:val="22"/>
          <w:lang w:val="hr-HR"/>
        </w:rPr>
      </w:pPr>
    </w:p>
    <w:p w14:paraId="6DB179E6" w14:textId="77777777" w:rsidR="004C033F" w:rsidRPr="009A2813" w:rsidRDefault="004C033F" w:rsidP="00A7303B">
      <w:pPr>
        <w:keepNext/>
        <w:numPr>
          <w:ilvl w:val="1"/>
          <w:numId w:val="5"/>
        </w:numPr>
        <w:outlineLvl w:val="0"/>
        <w:rPr>
          <w:b/>
          <w:szCs w:val="22"/>
          <w:lang w:val="hr-HR"/>
        </w:rPr>
      </w:pPr>
      <w:r w:rsidRPr="009A2813">
        <w:rPr>
          <w:b/>
          <w:lang w:val="hr-HR"/>
        </w:rPr>
        <w:t>Posebne mjere opreza pri čuvanju lijeka</w:t>
      </w:r>
    </w:p>
    <w:p w14:paraId="4C9E52D5" w14:textId="77777777" w:rsidR="004C033F" w:rsidRPr="009A2813" w:rsidRDefault="004C033F" w:rsidP="00A7303B">
      <w:pPr>
        <w:pStyle w:val="A-TableText"/>
        <w:keepNext/>
        <w:tabs>
          <w:tab w:val="left" w:pos="567"/>
        </w:tabs>
        <w:spacing w:before="0" w:after="0" w:line="260" w:lineRule="exact"/>
        <w:outlineLvl w:val="0"/>
        <w:rPr>
          <w:bCs/>
          <w:szCs w:val="22"/>
          <w:lang w:val="hr-HR"/>
        </w:rPr>
      </w:pPr>
    </w:p>
    <w:p w14:paraId="70DC8CF8" w14:textId="77777777" w:rsidR="00A63380" w:rsidRPr="009A2813" w:rsidRDefault="00A63380">
      <w:pPr>
        <w:rPr>
          <w:lang w:val="hr-HR"/>
        </w:rPr>
      </w:pPr>
      <w:r w:rsidRPr="009A2813">
        <w:rPr>
          <w:lang w:val="hr-HR"/>
        </w:rPr>
        <w:t>Ovaj lijek ne zahtijeva posebne uslove čuvanja.</w:t>
      </w:r>
    </w:p>
    <w:p w14:paraId="5818ECE5" w14:textId="77777777" w:rsidR="004C033F" w:rsidRPr="009A2813" w:rsidRDefault="004C033F">
      <w:pPr>
        <w:rPr>
          <w:rFonts w:eastAsia="SimSun"/>
          <w:szCs w:val="22"/>
          <w:lang w:val="hr-HR"/>
        </w:rPr>
      </w:pPr>
    </w:p>
    <w:p w14:paraId="4F44EF1F" w14:textId="77777777" w:rsidR="004C033F" w:rsidRPr="009A2813" w:rsidRDefault="004C033F">
      <w:pPr>
        <w:rPr>
          <w:rFonts w:eastAsia="SimSun"/>
          <w:szCs w:val="22"/>
          <w:lang w:val="hr-HR"/>
        </w:rPr>
      </w:pPr>
      <w:r w:rsidRPr="009A2813">
        <w:rPr>
          <w:lang w:val="hr-HR"/>
        </w:rPr>
        <w:t>Čuvati u originalnom pakovanju radi zaštite od svjetlosti.</w:t>
      </w:r>
    </w:p>
    <w:p w14:paraId="2296619D" w14:textId="77777777" w:rsidR="004C033F" w:rsidRPr="009A2813" w:rsidRDefault="004C033F">
      <w:pPr>
        <w:rPr>
          <w:rFonts w:eastAsia="SimSun"/>
          <w:szCs w:val="22"/>
          <w:lang w:val="hr-HR"/>
        </w:rPr>
      </w:pPr>
    </w:p>
    <w:p w14:paraId="7E2B8658" w14:textId="77777777" w:rsidR="004C033F" w:rsidRPr="009A2813" w:rsidRDefault="004C033F">
      <w:pPr>
        <w:rPr>
          <w:rFonts w:eastAsia="SimSun"/>
          <w:szCs w:val="22"/>
          <w:lang w:val="hr-HR"/>
        </w:rPr>
      </w:pPr>
      <w:r w:rsidRPr="009A2813">
        <w:rPr>
          <w:lang w:val="hr-HR"/>
        </w:rPr>
        <w:t>Uslove čuvanja rekonstituisanog i razblaženog lijeka pogledajte u dijelu 6.3.</w:t>
      </w:r>
    </w:p>
    <w:p w14:paraId="66CDD4A7" w14:textId="77777777" w:rsidR="004C033F" w:rsidRPr="009A2813" w:rsidRDefault="004C033F">
      <w:pPr>
        <w:ind w:left="567" w:hanging="567"/>
        <w:outlineLvl w:val="0"/>
        <w:rPr>
          <w:szCs w:val="22"/>
          <w:lang w:val="hr-HR"/>
        </w:rPr>
      </w:pPr>
    </w:p>
    <w:p w14:paraId="01640016" w14:textId="77777777" w:rsidR="004C033F" w:rsidRPr="009A2813" w:rsidRDefault="004C033F" w:rsidP="00F005E1">
      <w:pPr>
        <w:keepNext/>
        <w:numPr>
          <w:ilvl w:val="1"/>
          <w:numId w:val="5"/>
        </w:numPr>
        <w:spacing w:line="240" w:lineRule="auto"/>
        <w:ind w:left="576" w:hanging="576"/>
        <w:outlineLvl w:val="0"/>
        <w:rPr>
          <w:b/>
          <w:szCs w:val="22"/>
          <w:lang w:val="hr-HR"/>
        </w:rPr>
      </w:pPr>
      <w:r w:rsidRPr="009A2813">
        <w:rPr>
          <w:b/>
          <w:lang w:val="hr-HR"/>
        </w:rPr>
        <w:t>Vrsta i sadržaj pakovanja</w:t>
      </w:r>
    </w:p>
    <w:p w14:paraId="7463F14E" w14:textId="77777777" w:rsidR="004C033F" w:rsidRPr="009A2813" w:rsidRDefault="004C033F" w:rsidP="00A7303B">
      <w:pPr>
        <w:keepNext/>
        <w:spacing w:line="240" w:lineRule="auto"/>
        <w:outlineLvl w:val="0"/>
        <w:rPr>
          <w:bCs/>
          <w:szCs w:val="22"/>
          <w:lang w:val="hr-HR"/>
        </w:rPr>
      </w:pPr>
    </w:p>
    <w:p w14:paraId="392D28B6" w14:textId="44DC6163" w:rsidR="004C033F" w:rsidRPr="009A2813" w:rsidRDefault="000757FA">
      <w:pPr>
        <w:tabs>
          <w:tab w:val="clear" w:pos="567"/>
        </w:tabs>
        <w:spacing w:line="240" w:lineRule="auto"/>
        <w:rPr>
          <w:rFonts w:eastAsia="SimSun"/>
          <w:szCs w:val="22"/>
          <w:lang w:val="hr-HR"/>
        </w:rPr>
      </w:pPr>
      <w:r w:rsidRPr="009A2813">
        <w:rPr>
          <w:lang w:val="hr-HR"/>
        </w:rPr>
        <w:t>Unutrašnje pakovanje je s</w:t>
      </w:r>
      <w:r w:rsidR="004C033F" w:rsidRPr="009A2813">
        <w:rPr>
          <w:lang w:val="hr-HR"/>
        </w:rPr>
        <w:t xml:space="preserve">taklena bočica </w:t>
      </w:r>
      <w:r w:rsidRPr="009A2813">
        <w:rPr>
          <w:lang w:val="hr-HR"/>
        </w:rPr>
        <w:t>zapremine</w:t>
      </w:r>
      <w:r w:rsidR="004C033F" w:rsidRPr="009A2813">
        <w:rPr>
          <w:lang w:val="hr-HR"/>
        </w:rPr>
        <w:t xml:space="preserve"> 20 ml (tipa </w:t>
      </w:r>
      <w:r w:rsidRPr="009A2813">
        <w:rPr>
          <w:lang w:val="hr-HR"/>
        </w:rPr>
        <w:t>I</w:t>
      </w:r>
      <w:r w:rsidR="004C033F" w:rsidRPr="009A2813">
        <w:rPr>
          <w:lang w:val="hr-HR"/>
        </w:rPr>
        <w:t xml:space="preserve">) zatvorena gumenim </w:t>
      </w:r>
      <w:r w:rsidRPr="009A2813">
        <w:rPr>
          <w:lang w:val="hr-HR"/>
        </w:rPr>
        <w:t>čepom</w:t>
      </w:r>
      <w:r w:rsidR="004C033F" w:rsidRPr="009A2813">
        <w:rPr>
          <w:lang w:val="hr-HR"/>
        </w:rPr>
        <w:t xml:space="preserve"> (od halobutil</w:t>
      </w:r>
      <w:r w:rsidRPr="009A2813">
        <w:rPr>
          <w:lang w:val="hr-HR"/>
        </w:rPr>
        <w:t xml:space="preserve"> gume</w:t>
      </w:r>
      <w:r w:rsidR="004C033F" w:rsidRPr="009A2813">
        <w:rPr>
          <w:lang w:val="hr-HR"/>
        </w:rPr>
        <w:t xml:space="preserve">) i aluminijumskim </w:t>
      </w:r>
      <w:r w:rsidRPr="009A2813">
        <w:rPr>
          <w:lang w:val="hr-HR"/>
        </w:rPr>
        <w:t>prstenom</w:t>
      </w:r>
      <w:r w:rsidR="004C033F" w:rsidRPr="009A2813">
        <w:rPr>
          <w:lang w:val="hr-HR"/>
        </w:rPr>
        <w:t xml:space="preserve"> sa „flip-off“ </w:t>
      </w:r>
      <w:r w:rsidRPr="009A2813">
        <w:rPr>
          <w:lang w:val="hr-HR"/>
        </w:rPr>
        <w:t>zatvaračem</w:t>
      </w:r>
      <w:r w:rsidR="004C033F" w:rsidRPr="009A2813">
        <w:rPr>
          <w:lang w:val="hr-HR"/>
        </w:rPr>
        <w:t>.</w:t>
      </w:r>
    </w:p>
    <w:p w14:paraId="147F9860" w14:textId="77777777" w:rsidR="004C033F" w:rsidRPr="009A2813" w:rsidRDefault="004C033F">
      <w:pPr>
        <w:tabs>
          <w:tab w:val="clear" w:pos="567"/>
        </w:tabs>
        <w:spacing w:line="240" w:lineRule="auto"/>
        <w:rPr>
          <w:rFonts w:eastAsia="SimSun"/>
          <w:szCs w:val="22"/>
          <w:lang w:val="hr-HR"/>
        </w:rPr>
      </w:pPr>
    </w:p>
    <w:p w14:paraId="7E054E92" w14:textId="5590E203" w:rsidR="004C033F" w:rsidRPr="009A2813" w:rsidRDefault="000757FA">
      <w:pPr>
        <w:rPr>
          <w:rFonts w:eastAsia="SimSun"/>
          <w:szCs w:val="22"/>
          <w:lang w:val="hr-HR"/>
        </w:rPr>
      </w:pPr>
      <w:r w:rsidRPr="009A2813">
        <w:rPr>
          <w:lang w:val="hr-HR"/>
        </w:rPr>
        <w:t>Spoljašnje pakovanje je složiva kartonska kutija u kojoj se nalazi 1</w:t>
      </w:r>
      <w:r w:rsidR="004C033F" w:rsidRPr="009A2813">
        <w:rPr>
          <w:lang w:val="hr-HR"/>
        </w:rPr>
        <w:t>0 bočica</w:t>
      </w:r>
      <w:r w:rsidRPr="009A2813">
        <w:rPr>
          <w:lang w:val="hr-HR"/>
        </w:rPr>
        <w:t xml:space="preserve"> i Uputstvo za lijek</w:t>
      </w:r>
      <w:r w:rsidR="004C033F" w:rsidRPr="009A2813">
        <w:rPr>
          <w:lang w:val="hr-HR"/>
        </w:rPr>
        <w:t>.</w:t>
      </w:r>
    </w:p>
    <w:p w14:paraId="2CA443FB" w14:textId="77777777" w:rsidR="007B7557" w:rsidRPr="009A2813" w:rsidRDefault="007B7557">
      <w:pPr>
        <w:outlineLvl w:val="0"/>
        <w:rPr>
          <w:bCs/>
          <w:szCs w:val="22"/>
          <w:lang w:val="hr-HR"/>
        </w:rPr>
      </w:pPr>
      <w:bookmarkStart w:id="18" w:name="OLE_LINK1"/>
    </w:p>
    <w:p w14:paraId="34D0C149" w14:textId="77777777" w:rsidR="004C033F" w:rsidRPr="009A2813" w:rsidRDefault="004C033F" w:rsidP="007D16EA">
      <w:pPr>
        <w:keepNext/>
        <w:keepLines/>
        <w:outlineLvl w:val="0"/>
        <w:rPr>
          <w:szCs w:val="22"/>
          <w:lang w:val="hr-HR"/>
        </w:rPr>
      </w:pPr>
      <w:r w:rsidRPr="009A2813">
        <w:rPr>
          <w:b/>
          <w:lang w:val="hr-HR"/>
        </w:rPr>
        <w:t>6.6</w:t>
      </w:r>
      <w:r w:rsidRPr="009A2813">
        <w:rPr>
          <w:b/>
          <w:lang w:val="hr-HR"/>
        </w:rPr>
        <w:tab/>
        <w:t>Posebne mjere opreza pri odlaganju materijala koji treba odbaciti nakon primjene lijeka (i druga uputstva za rukovanje lijekom)</w:t>
      </w:r>
    </w:p>
    <w:bookmarkEnd w:id="18"/>
    <w:p w14:paraId="4793E3D6" w14:textId="77777777" w:rsidR="00CA1EF8" w:rsidRPr="009A2813" w:rsidRDefault="00CA1EF8" w:rsidP="007D16EA">
      <w:pPr>
        <w:keepNext/>
        <w:keepLines/>
        <w:tabs>
          <w:tab w:val="clear" w:pos="567"/>
        </w:tabs>
        <w:spacing w:line="240" w:lineRule="auto"/>
        <w:rPr>
          <w:rFonts w:eastAsia="SimSun"/>
          <w:szCs w:val="22"/>
          <w:lang w:val="hr-HR"/>
        </w:rPr>
      </w:pPr>
    </w:p>
    <w:p w14:paraId="0F986C2D" w14:textId="323B7F22" w:rsidR="004C033F" w:rsidRPr="009A2813" w:rsidRDefault="004C033F" w:rsidP="00CC4A65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  <w:r w:rsidRPr="009A2813">
        <w:rPr>
          <w:lang w:val="hr-HR"/>
        </w:rPr>
        <w:t>Ovaj prašak se mora rekonstituisati vodom za injekcije, a dobijeni koncentrat se potom mora odmah razblažiti neposredno prije upotrebe. Rekonstituisani rastvor je blijedožute boje i ne sadrži čestice.</w:t>
      </w:r>
    </w:p>
    <w:p w14:paraId="657AAF3F" w14:textId="77777777" w:rsidR="00AD2A4B" w:rsidRPr="009A2813" w:rsidRDefault="00AD2A4B" w:rsidP="00CC4A65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</w:p>
    <w:p w14:paraId="2EA1E6DE" w14:textId="0AECD531" w:rsidR="00AD2A4B" w:rsidRPr="009A2813" w:rsidRDefault="00AD2A4B" w:rsidP="00CC4A65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jc w:val="both"/>
        <w:rPr>
          <w:szCs w:val="22"/>
          <w:lang w:val="hr-HR"/>
        </w:rPr>
      </w:pPr>
      <w:r w:rsidRPr="009A2813">
        <w:rPr>
          <w:lang w:val="hr-HR"/>
        </w:rPr>
        <w:t>Lijek Zavicefta (ceftazidim</w:t>
      </w:r>
      <w:r w:rsidR="006A34AA" w:rsidRPr="009A2813">
        <w:rPr>
          <w:lang w:val="hr-HR"/>
        </w:rPr>
        <w:t xml:space="preserve">, </w:t>
      </w:r>
      <w:r w:rsidRPr="009A2813">
        <w:rPr>
          <w:lang w:val="hr-HR"/>
        </w:rPr>
        <w:t>avibaktam) je kombinovan</w:t>
      </w:r>
      <w:r w:rsidR="00B10D49" w:rsidRPr="009A2813">
        <w:rPr>
          <w:lang w:val="hr-HR"/>
        </w:rPr>
        <w:t xml:space="preserve"> </w:t>
      </w:r>
      <w:r w:rsidR="0019723D" w:rsidRPr="009A2813">
        <w:rPr>
          <w:lang w:val="hr-HR"/>
        </w:rPr>
        <w:t>proizvod</w:t>
      </w:r>
      <w:r w:rsidRPr="009A2813">
        <w:rPr>
          <w:lang w:val="hr-HR"/>
        </w:rPr>
        <w:t>; svaka bočica sadrži 2 g ceftazidima i 0,5 g avibaktama u fiksnom odnosu 4:1. Preporuke za doziranje se zasnivaju samo na komponenti ceftazidima.</w:t>
      </w:r>
    </w:p>
    <w:p w14:paraId="1422AA78" w14:textId="77777777" w:rsidR="004C033F" w:rsidRPr="009A2813" w:rsidRDefault="004C033F" w:rsidP="00CC4A65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</w:p>
    <w:p w14:paraId="10F26C94" w14:textId="77777777" w:rsidR="00434BE1" w:rsidRPr="009A2813" w:rsidRDefault="004C033F" w:rsidP="00CC4A65">
      <w:pPr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  <w:r w:rsidRPr="009A2813">
        <w:rPr>
          <w:lang w:val="hr-HR"/>
        </w:rPr>
        <w:t>Pri pripremi i primjeni ovog rastvora treba koristiti standardne aseptične tehnike. Doze se mogu pripremiti u infuzionoj kesi odgovarajuće veličine ili infuzionom špricu.</w:t>
      </w:r>
    </w:p>
    <w:p w14:paraId="3F3C18F9" w14:textId="77777777" w:rsidR="001C5298" w:rsidRPr="009A2813" w:rsidRDefault="001C5298" w:rsidP="00CC4A65">
      <w:pPr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</w:p>
    <w:p w14:paraId="7F96CC90" w14:textId="3ABB721F" w:rsidR="00434BE1" w:rsidRPr="009A2813" w:rsidRDefault="00434BE1" w:rsidP="00CC4A65">
      <w:pPr>
        <w:pStyle w:val="BlockText"/>
        <w:ind w:left="0"/>
        <w:jc w:val="both"/>
        <w:rPr>
          <w:noProof w:val="0"/>
          <w:lang w:val="hr-HR"/>
        </w:rPr>
      </w:pPr>
      <w:r w:rsidRPr="009A2813">
        <w:rPr>
          <w:noProof w:val="0"/>
          <w:lang w:val="hr-HR"/>
        </w:rPr>
        <w:t>Parenteralne ljekove trebalo bi vizuelno pregledati prije primjene</w:t>
      </w:r>
      <w:r w:rsidR="0019723D" w:rsidRPr="009A2813">
        <w:rPr>
          <w:noProof w:val="0"/>
          <w:lang w:val="hr-HR"/>
        </w:rPr>
        <w:t>, na prisustvo čestica</w:t>
      </w:r>
      <w:r w:rsidRPr="009A2813">
        <w:rPr>
          <w:noProof w:val="0"/>
          <w:lang w:val="hr-HR"/>
        </w:rPr>
        <w:t>.</w:t>
      </w:r>
    </w:p>
    <w:p w14:paraId="5732B4C9" w14:textId="77777777" w:rsidR="00DA1FC8" w:rsidRPr="009A2813" w:rsidRDefault="00DA1FC8" w:rsidP="00CC4A65">
      <w:pPr>
        <w:tabs>
          <w:tab w:val="clear" w:pos="567"/>
          <w:tab w:val="left" w:pos="720"/>
        </w:tabs>
        <w:spacing w:line="240" w:lineRule="auto"/>
        <w:jc w:val="both"/>
        <w:rPr>
          <w:szCs w:val="22"/>
          <w:lang w:val="hr-HR"/>
        </w:rPr>
      </w:pPr>
    </w:p>
    <w:p w14:paraId="4F4E6241" w14:textId="28C34B5A" w:rsidR="001647E4" w:rsidRPr="009A2813" w:rsidRDefault="001647E4" w:rsidP="00CC4A65">
      <w:pPr>
        <w:tabs>
          <w:tab w:val="clear" w:pos="567"/>
          <w:tab w:val="left" w:pos="720"/>
        </w:tabs>
        <w:spacing w:line="240" w:lineRule="auto"/>
        <w:jc w:val="both"/>
        <w:rPr>
          <w:rFonts w:eastAsia="SimSun"/>
          <w:szCs w:val="22"/>
          <w:lang w:val="hr-HR"/>
        </w:rPr>
      </w:pPr>
      <w:r w:rsidRPr="009A2813">
        <w:rPr>
          <w:lang w:val="hr-HR"/>
        </w:rPr>
        <w:t>Svaka bočica je</w:t>
      </w:r>
      <w:r w:rsidR="0019723D" w:rsidRPr="009A2813">
        <w:rPr>
          <w:lang w:val="hr-HR"/>
        </w:rPr>
        <w:t xml:space="preserve"> namijenjena</w:t>
      </w:r>
      <w:r w:rsidRPr="009A2813">
        <w:rPr>
          <w:lang w:val="hr-HR"/>
        </w:rPr>
        <w:t xml:space="preserve"> samo za jednokratnu upotrebu.</w:t>
      </w:r>
    </w:p>
    <w:p w14:paraId="0D1C2C49" w14:textId="77777777" w:rsidR="001647E4" w:rsidRPr="009A2813" w:rsidRDefault="001647E4" w:rsidP="00CC4A65">
      <w:pPr>
        <w:tabs>
          <w:tab w:val="clear" w:pos="567"/>
          <w:tab w:val="left" w:pos="720"/>
        </w:tabs>
        <w:spacing w:line="240" w:lineRule="auto"/>
        <w:jc w:val="both"/>
        <w:rPr>
          <w:rFonts w:eastAsia="SimSun"/>
          <w:szCs w:val="22"/>
          <w:lang w:val="hr-HR"/>
        </w:rPr>
      </w:pPr>
    </w:p>
    <w:p w14:paraId="0CDBA9BD" w14:textId="77777777" w:rsidR="001647E4" w:rsidRPr="009A2813" w:rsidRDefault="001647E4" w:rsidP="00CC4A65">
      <w:pPr>
        <w:jc w:val="both"/>
        <w:rPr>
          <w:rFonts w:eastAsia="SimSun"/>
          <w:szCs w:val="22"/>
          <w:lang w:val="hr-HR"/>
        </w:rPr>
      </w:pPr>
      <w:r w:rsidRPr="009A2813">
        <w:rPr>
          <w:lang w:val="hr-HR"/>
        </w:rPr>
        <w:t>Svu neiskorišćenu količinu lijeka ili otpadnog materijala nakon njegove upotrebe treba ukloniti, u skladu sa važećim propisima.</w:t>
      </w:r>
    </w:p>
    <w:p w14:paraId="620B7A7F" w14:textId="77777777" w:rsidR="00D56EF6" w:rsidRPr="009A2813" w:rsidRDefault="00D56EF6" w:rsidP="00CC4A65">
      <w:pPr>
        <w:jc w:val="both"/>
        <w:rPr>
          <w:rFonts w:eastAsia="SimSun"/>
          <w:szCs w:val="22"/>
          <w:lang w:val="hr-HR"/>
        </w:rPr>
      </w:pPr>
    </w:p>
    <w:p w14:paraId="6D6734DF" w14:textId="77777777" w:rsidR="00D56EF6" w:rsidRPr="009A2813" w:rsidRDefault="00D56EF6" w:rsidP="00CC4A65">
      <w:pPr>
        <w:tabs>
          <w:tab w:val="clear" w:pos="567"/>
          <w:tab w:val="left" w:pos="720"/>
        </w:tabs>
        <w:spacing w:line="240" w:lineRule="auto"/>
        <w:jc w:val="both"/>
        <w:rPr>
          <w:rFonts w:eastAsia="SimSun"/>
          <w:szCs w:val="22"/>
          <w:lang w:val="hr-HR"/>
        </w:rPr>
      </w:pPr>
      <w:r w:rsidRPr="009A2813">
        <w:rPr>
          <w:lang w:val="hr-HR"/>
        </w:rPr>
        <w:t>Ukupan vremenski interval između početka rekonstitucije do završetka pripreme intravenske infuzije ne treba da bude duži od 30 minuta.</w:t>
      </w:r>
    </w:p>
    <w:p w14:paraId="2B644DF1" w14:textId="77777777" w:rsidR="001647E4" w:rsidRPr="009A2813" w:rsidRDefault="001647E4" w:rsidP="00CC4A65">
      <w:pPr>
        <w:tabs>
          <w:tab w:val="clear" w:pos="567"/>
          <w:tab w:val="left" w:pos="720"/>
        </w:tabs>
        <w:spacing w:line="240" w:lineRule="auto"/>
        <w:jc w:val="both"/>
        <w:rPr>
          <w:szCs w:val="22"/>
          <w:u w:val="single"/>
          <w:lang w:val="hr-HR"/>
        </w:rPr>
      </w:pPr>
    </w:p>
    <w:p w14:paraId="420EE500" w14:textId="77777777" w:rsidR="006F36B1" w:rsidRPr="009A2813" w:rsidRDefault="006F36B1" w:rsidP="00CC4A65">
      <w:pPr>
        <w:keepNext/>
        <w:tabs>
          <w:tab w:val="clear" w:pos="567"/>
        </w:tabs>
        <w:spacing w:line="240" w:lineRule="auto"/>
        <w:jc w:val="both"/>
        <w:rPr>
          <w:rFonts w:eastAsia="SimSun"/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 xml:space="preserve">Uputstva za pripremu doza za odrasle i pedijatrijske pacijente u INFUZIONOJ KESI ili u INFUZIONOM ŠPRICU: </w:t>
      </w:r>
    </w:p>
    <w:p w14:paraId="507411A8" w14:textId="77777777" w:rsidR="004C033F" w:rsidRPr="009A2813" w:rsidRDefault="004C033F" w:rsidP="00CC4A65">
      <w:pPr>
        <w:keepNext/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</w:p>
    <w:p w14:paraId="1B02B914" w14:textId="77777777" w:rsidR="00042986" w:rsidRPr="0081557E" w:rsidRDefault="00D56EF6" w:rsidP="00CC4A65">
      <w:pPr>
        <w:tabs>
          <w:tab w:val="clear" w:pos="567"/>
          <w:tab w:val="left" w:pos="720"/>
        </w:tabs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 xml:space="preserve">NAPOMENA: Sljedeći postupak opisuje korake za pripremu infuzionog rastvora sa konačnom </w:t>
      </w:r>
      <w:r w:rsidRPr="0081557E">
        <w:rPr>
          <w:szCs w:val="22"/>
          <w:lang w:val="hr-HR"/>
        </w:rPr>
        <w:t xml:space="preserve">koncentracijom od 8-40 mg/ml ceftazidima. Sve proračune treba završiti prije započinjanja ovih koraka. </w:t>
      </w:r>
    </w:p>
    <w:p w14:paraId="0FD64003" w14:textId="6D5042C7" w:rsidR="00D56EF6" w:rsidRPr="002B14C5" w:rsidRDefault="00D56EF6" w:rsidP="00042986">
      <w:pPr>
        <w:pStyle w:val="ListParagraph"/>
        <w:numPr>
          <w:ilvl w:val="0"/>
          <w:numId w:val="51"/>
        </w:numPr>
        <w:tabs>
          <w:tab w:val="left" w:pos="720"/>
        </w:tabs>
        <w:jc w:val="both"/>
        <w:rPr>
          <w:rFonts w:ascii="Times New Roman" w:hAnsi="Times New Roman"/>
          <w:lang w:val="hr-HR"/>
        </w:rPr>
      </w:pPr>
      <w:r w:rsidRPr="002B14C5">
        <w:rPr>
          <w:rFonts w:ascii="Times New Roman" w:hAnsi="Times New Roman"/>
          <w:b/>
          <w:lang w:val="hr-HR"/>
        </w:rPr>
        <w:lastRenderedPageBreak/>
        <w:t>Za pedijatrijske pacijente uzrasta od 3 do 12 mjeseci</w:t>
      </w:r>
      <w:r w:rsidRPr="002B14C5">
        <w:rPr>
          <w:rFonts w:ascii="Times New Roman" w:hAnsi="Times New Roman"/>
          <w:lang w:val="hr-HR"/>
        </w:rPr>
        <w:t xml:space="preserve">, </w:t>
      </w:r>
      <w:r w:rsidR="009A0CE7" w:rsidRPr="002B14C5">
        <w:rPr>
          <w:rFonts w:ascii="Times New Roman" w:hAnsi="Times New Roman"/>
          <w:lang w:val="hr-HR"/>
        </w:rPr>
        <w:t>u nastavku su</w:t>
      </w:r>
      <w:r w:rsidRPr="002B14C5">
        <w:rPr>
          <w:rFonts w:ascii="Times New Roman" w:hAnsi="Times New Roman"/>
          <w:lang w:val="hr-HR"/>
        </w:rPr>
        <w:t xml:space="preserve"> dati detaljni koraci za pripremu koncentracije od 20 mg/ml (dovoljno za većinu slučajeva).</w:t>
      </w:r>
    </w:p>
    <w:p w14:paraId="31AF1471" w14:textId="1C42E6C3" w:rsidR="00171252" w:rsidRPr="002B14C5" w:rsidRDefault="00171252" w:rsidP="00B41558">
      <w:pPr>
        <w:pStyle w:val="ListParagraph"/>
        <w:numPr>
          <w:ilvl w:val="0"/>
          <w:numId w:val="51"/>
        </w:numPr>
        <w:tabs>
          <w:tab w:val="left" w:pos="720"/>
        </w:tabs>
        <w:jc w:val="both"/>
        <w:rPr>
          <w:rFonts w:ascii="Times New Roman" w:hAnsi="Times New Roman"/>
          <w:lang w:val="hr-HR"/>
        </w:rPr>
      </w:pPr>
      <w:r w:rsidRPr="002B14C5">
        <w:rPr>
          <w:rFonts w:ascii="Times New Roman" w:hAnsi="Times New Roman"/>
          <w:b/>
          <w:lang w:val="hr-HR"/>
        </w:rPr>
        <w:t>Za pedijatrijske pacijente od rođenja (uključujući prijevremeno rođen</w:t>
      </w:r>
      <w:r w:rsidR="00D077C1">
        <w:rPr>
          <w:rFonts w:ascii="Times New Roman" w:hAnsi="Times New Roman"/>
          <w:b/>
          <w:lang w:val="hr-HR"/>
        </w:rPr>
        <w:t>e</w:t>
      </w:r>
      <w:r w:rsidRPr="002B14C5">
        <w:rPr>
          <w:rFonts w:ascii="Times New Roman" w:hAnsi="Times New Roman"/>
          <w:b/>
          <w:lang w:val="hr-HR"/>
        </w:rPr>
        <w:t>) do &lt; 3 m</w:t>
      </w:r>
      <w:r w:rsidR="00E92CDE" w:rsidRPr="002B14C5">
        <w:rPr>
          <w:rFonts w:ascii="Times New Roman" w:hAnsi="Times New Roman"/>
          <w:b/>
          <w:lang w:val="hr-HR"/>
        </w:rPr>
        <w:t>j</w:t>
      </w:r>
      <w:r w:rsidRPr="002B14C5">
        <w:rPr>
          <w:rFonts w:ascii="Times New Roman" w:hAnsi="Times New Roman"/>
          <w:b/>
          <w:lang w:val="hr-HR"/>
        </w:rPr>
        <w:t>eseca starosti</w:t>
      </w:r>
      <w:r w:rsidRPr="002B14C5">
        <w:rPr>
          <w:rFonts w:ascii="Times New Roman" w:hAnsi="Times New Roman"/>
          <w:lang w:val="hr-HR"/>
        </w:rPr>
        <w:t xml:space="preserve">, detaljni koraci za pripremu </w:t>
      </w:r>
      <w:r w:rsidRPr="002B14C5">
        <w:rPr>
          <w:rFonts w:ascii="Times New Roman" w:hAnsi="Times New Roman"/>
          <w:b/>
          <w:lang w:val="hr-HR"/>
        </w:rPr>
        <w:t>koncentracije od 10</w:t>
      </w:r>
      <w:r w:rsidR="00A67E6E" w:rsidRPr="002B14C5">
        <w:rPr>
          <w:rFonts w:ascii="Times New Roman" w:hAnsi="Times New Roman"/>
          <w:b/>
          <w:lang w:val="hr-HR"/>
        </w:rPr>
        <w:t> </w:t>
      </w:r>
      <w:r w:rsidRPr="002B14C5">
        <w:rPr>
          <w:rFonts w:ascii="Times New Roman" w:hAnsi="Times New Roman"/>
          <w:b/>
          <w:lang w:val="hr-HR"/>
        </w:rPr>
        <w:t>mg/m</w:t>
      </w:r>
      <w:r w:rsidR="000C4422" w:rsidRPr="002B14C5">
        <w:rPr>
          <w:rFonts w:ascii="Times New Roman" w:hAnsi="Times New Roman"/>
          <w:b/>
          <w:lang w:val="hr-HR"/>
        </w:rPr>
        <w:t>l</w:t>
      </w:r>
      <w:r w:rsidRPr="002B14C5">
        <w:rPr>
          <w:rFonts w:ascii="Times New Roman" w:hAnsi="Times New Roman"/>
          <w:lang w:val="hr-HR"/>
        </w:rPr>
        <w:t xml:space="preserve"> (dovoljno za većinu </w:t>
      </w:r>
      <w:r w:rsidR="00746F55">
        <w:rPr>
          <w:rFonts w:ascii="Times New Roman" w:hAnsi="Times New Roman"/>
          <w:lang w:val="hr-HR"/>
        </w:rPr>
        <w:t>slučajeva</w:t>
      </w:r>
      <w:r w:rsidRPr="002B14C5">
        <w:rPr>
          <w:rFonts w:ascii="Times New Roman" w:hAnsi="Times New Roman"/>
          <w:lang w:val="hr-HR"/>
        </w:rPr>
        <w:t>) su prikazani u nastavku.</w:t>
      </w:r>
    </w:p>
    <w:p w14:paraId="29626EBC" w14:textId="77777777" w:rsidR="00D56EF6" w:rsidRPr="0081557E" w:rsidRDefault="00D56EF6" w:rsidP="00CC4A65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</w:p>
    <w:p w14:paraId="403EEC40" w14:textId="77777777" w:rsidR="00DD59D6" w:rsidRPr="009A2813" w:rsidRDefault="00DD59D6" w:rsidP="00CC4A65">
      <w:pPr>
        <w:numPr>
          <w:ilvl w:val="0"/>
          <w:numId w:val="15"/>
        </w:numPr>
        <w:shd w:val="clear" w:color="auto" w:fill="FFFFFF"/>
        <w:tabs>
          <w:tab w:val="clear" w:pos="567"/>
          <w:tab w:val="clear" w:pos="720"/>
        </w:tabs>
        <w:spacing w:line="240" w:lineRule="auto"/>
        <w:ind w:left="270" w:hanging="270"/>
        <w:jc w:val="both"/>
        <w:rPr>
          <w:color w:val="000000"/>
          <w:szCs w:val="22"/>
          <w:lang w:val="hr-HR"/>
        </w:rPr>
      </w:pPr>
      <w:r w:rsidRPr="009A2813">
        <w:rPr>
          <w:color w:val="000000"/>
          <w:szCs w:val="22"/>
          <w:lang w:val="hr-HR"/>
        </w:rPr>
        <w:t xml:space="preserve">Pripremite </w:t>
      </w:r>
      <w:r w:rsidRPr="009A2813">
        <w:rPr>
          <w:b/>
          <w:color w:val="000000"/>
          <w:szCs w:val="22"/>
          <w:lang w:val="hr-HR"/>
        </w:rPr>
        <w:t>rekonstituisani rastvor</w:t>
      </w:r>
      <w:r w:rsidRPr="009A2813">
        <w:rPr>
          <w:color w:val="000000"/>
          <w:szCs w:val="22"/>
          <w:lang w:val="hr-HR"/>
        </w:rPr>
        <w:t xml:space="preserve"> (</w:t>
      </w:r>
      <w:r w:rsidRPr="009A2813">
        <w:rPr>
          <w:b/>
          <w:color w:val="000000"/>
          <w:szCs w:val="22"/>
          <w:lang w:val="hr-HR"/>
        </w:rPr>
        <w:t>167,3 mg/ml</w:t>
      </w:r>
      <w:r w:rsidRPr="009A2813">
        <w:rPr>
          <w:color w:val="000000"/>
          <w:szCs w:val="22"/>
          <w:lang w:val="hr-HR"/>
        </w:rPr>
        <w:t xml:space="preserve"> ceftazidima):</w:t>
      </w:r>
    </w:p>
    <w:p w14:paraId="48FA37CE" w14:textId="4415E761" w:rsidR="00C47407" w:rsidRPr="009A2813" w:rsidRDefault="004C033F" w:rsidP="00CC4A65">
      <w:pPr>
        <w:numPr>
          <w:ilvl w:val="0"/>
          <w:numId w:val="36"/>
        </w:numPr>
        <w:shd w:val="clear" w:color="auto" w:fill="FFFFFF"/>
        <w:tabs>
          <w:tab w:val="clear" w:pos="567"/>
        </w:tabs>
        <w:spacing w:line="240" w:lineRule="auto"/>
        <w:jc w:val="both"/>
        <w:rPr>
          <w:color w:val="000000"/>
          <w:szCs w:val="22"/>
          <w:lang w:val="hr-HR"/>
        </w:rPr>
      </w:pPr>
      <w:r w:rsidRPr="009A2813">
        <w:rPr>
          <w:color w:val="000000"/>
          <w:szCs w:val="22"/>
          <w:lang w:val="hr-HR"/>
        </w:rPr>
        <w:t xml:space="preserve">Umetnite iglu šprica kroz </w:t>
      </w:r>
      <w:r w:rsidR="004D23F4" w:rsidRPr="009A2813">
        <w:rPr>
          <w:color w:val="000000"/>
          <w:szCs w:val="22"/>
          <w:lang w:val="hr-HR"/>
        </w:rPr>
        <w:t xml:space="preserve">čep </w:t>
      </w:r>
      <w:r w:rsidRPr="009A2813">
        <w:rPr>
          <w:color w:val="000000"/>
          <w:szCs w:val="22"/>
          <w:lang w:val="hr-HR"/>
        </w:rPr>
        <w:t>bočice i ubrizgajte 10 ml sterilne vode za injekcije.</w:t>
      </w:r>
    </w:p>
    <w:p w14:paraId="423BAA89" w14:textId="77777777" w:rsidR="00B1460C" w:rsidRPr="009A2813" w:rsidRDefault="004C033F" w:rsidP="00CC4A65">
      <w:pPr>
        <w:numPr>
          <w:ilvl w:val="0"/>
          <w:numId w:val="36"/>
        </w:numPr>
        <w:shd w:val="clear" w:color="auto" w:fill="FFFFFF"/>
        <w:tabs>
          <w:tab w:val="clear" w:pos="567"/>
        </w:tabs>
        <w:spacing w:line="240" w:lineRule="auto"/>
        <w:jc w:val="both"/>
        <w:rPr>
          <w:color w:val="000000"/>
          <w:szCs w:val="22"/>
          <w:lang w:val="hr-HR"/>
        </w:rPr>
      </w:pPr>
      <w:r w:rsidRPr="009A2813">
        <w:rPr>
          <w:color w:val="000000"/>
          <w:szCs w:val="22"/>
          <w:lang w:val="hr-HR"/>
        </w:rPr>
        <w:t>Izvucite iglu i protresite bočicu dok ne dobijete bistar rastvor.</w:t>
      </w:r>
    </w:p>
    <w:p w14:paraId="060A154D" w14:textId="7C3340CD" w:rsidR="00EA143A" w:rsidRPr="009A2813" w:rsidRDefault="00C47407" w:rsidP="00CC4A65">
      <w:pPr>
        <w:numPr>
          <w:ilvl w:val="0"/>
          <w:numId w:val="36"/>
        </w:num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  <w:r w:rsidRPr="009A2813">
        <w:rPr>
          <w:color w:val="000000"/>
          <w:szCs w:val="22"/>
          <w:lang w:val="hr-HR"/>
        </w:rPr>
        <w:t>Umetnite iglu za oslobađanje gasa kroz č</w:t>
      </w:r>
      <w:r w:rsidR="004D23F4" w:rsidRPr="009A2813">
        <w:rPr>
          <w:color w:val="000000"/>
          <w:szCs w:val="22"/>
          <w:lang w:val="hr-HR"/>
        </w:rPr>
        <w:t>ep</w:t>
      </w:r>
      <w:r w:rsidRPr="009A2813">
        <w:rPr>
          <w:color w:val="000000"/>
          <w:szCs w:val="22"/>
          <w:lang w:val="hr-HR"/>
        </w:rPr>
        <w:t xml:space="preserve"> bočice</w:t>
      </w:r>
      <w:r w:rsidRPr="009A2813">
        <w:rPr>
          <w:b/>
          <w:color w:val="000000"/>
          <w:szCs w:val="22"/>
          <w:lang w:val="hr-HR"/>
        </w:rPr>
        <w:t xml:space="preserve"> nakon</w:t>
      </w:r>
      <w:r w:rsidRPr="009A2813">
        <w:rPr>
          <w:color w:val="000000"/>
          <w:szCs w:val="22"/>
          <w:lang w:val="hr-HR"/>
        </w:rPr>
        <w:t xml:space="preserve"> što se proizvod rastvori </w:t>
      </w:r>
      <w:r w:rsidR="004D23F4" w:rsidRPr="009A2813">
        <w:rPr>
          <w:color w:val="000000"/>
          <w:szCs w:val="22"/>
          <w:lang w:val="hr-HR"/>
        </w:rPr>
        <w:t xml:space="preserve">kako </w:t>
      </w:r>
      <w:r w:rsidRPr="009A2813">
        <w:rPr>
          <w:color w:val="000000"/>
          <w:szCs w:val="22"/>
          <w:lang w:val="hr-HR"/>
        </w:rPr>
        <w:t>biste smanjili unutrašnji pritisak (ovo je važno za očuvanje sterilnosti proizvoda).</w:t>
      </w:r>
    </w:p>
    <w:p w14:paraId="00390AC0" w14:textId="77777777" w:rsidR="00305ED6" w:rsidRPr="009A2813" w:rsidRDefault="00305ED6" w:rsidP="00CC4A65">
      <w:pPr>
        <w:shd w:val="clear" w:color="auto" w:fill="FFFFFF"/>
        <w:tabs>
          <w:tab w:val="clear" w:pos="567"/>
        </w:tabs>
        <w:spacing w:line="240" w:lineRule="auto"/>
        <w:ind w:left="720"/>
        <w:jc w:val="both"/>
        <w:rPr>
          <w:szCs w:val="22"/>
          <w:lang w:val="hr-HR"/>
        </w:rPr>
      </w:pPr>
    </w:p>
    <w:p w14:paraId="4BDFE20B" w14:textId="6CFFBE63" w:rsidR="00B1460C" w:rsidRPr="009A2813" w:rsidRDefault="00B1460C" w:rsidP="00305ED6">
      <w:pPr>
        <w:numPr>
          <w:ilvl w:val="0"/>
          <w:numId w:val="15"/>
        </w:numPr>
        <w:tabs>
          <w:tab w:val="clear" w:pos="567"/>
          <w:tab w:val="num" w:pos="284"/>
          <w:tab w:val="num" w:pos="330"/>
        </w:tabs>
        <w:spacing w:line="240" w:lineRule="auto"/>
        <w:ind w:left="284" w:hanging="284"/>
        <w:rPr>
          <w:rFonts w:eastAsia="SimSun"/>
          <w:szCs w:val="22"/>
          <w:lang w:val="hr-HR"/>
        </w:rPr>
      </w:pPr>
      <w:r w:rsidRPr="009A2813">
        <w:rPr>
          <w:szCs w:val="22"/>
          <w:lang w:val="hr-HR"/>
        </w:rPr>
        <w:t xml:space="preserve">Pripremite </w:t>
      </w:r>
      <w:r w:rsidRPr="009A2813">
        <w:rPr>
          <w:b/>
          <w:szCs w:val="22"/>
          <w:lang w:val="hr-HR"/>
        </w:rPr>
        <w:t>konačni rastvor</w:t>
      </w:r>
      <w:r w:rsidRPr="009A2813">
        <w:rPr>
          <w:szCs w:val="22"/>
          <w:lang w:val="hr-HR"/>
        </w:rPr>
        <w:t xml:space="preserve"> za infuziju (konačna koncentracija mora biti </w:t>
      </w:r>
      <w:r w:rsidRPr="009A2813">
        <w:rPr>
          <w:b/>
          <w:szCs w:val="22"/>
          <w:lang w:val="hr-HR"/>
        </w:rPr>
        <w:t>8-40 mg/ml</w:t>
      </w:r>
      <w:r w:rsidRPr="009A2813">
        <w:rPr>
          <w:szCs w:val="22"/>
          <w:lang w:val="hr-HR"/>
        </w:rPr>
        <w:t xml:space="preserve"> ceftazidima):</w:t>
      </w:r>
    </w:p>
    <w:p w14:paraId="66EFAD3D" w14:textId="0552B71A" w:rsidR="0023342E" w:rsidRPr="009A2813" w:rsidRDefault="0023342E" w:rsidP="00CC4A65">
      <w:pPr>
        <w:numPr>
          <w:ilvl w:val="0"/>
          <w:numId w:val="38"/>
        </w:numPr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  <w:r w:rsidRPr="009A2813">
        <w:rPr>
          <w:szCs w:val="22"/>
          <w:lang w:val="hr-HR"/>
        </w:rPr>
        <w:t xml:space="preserve">Infuziona kesa: Dodatno razblažite rekonstituisani rastvor prenošenjem odgovarajuće izračunate zapremine rekonstituisanog rastvora u infuzionu kesu koja sadrži </w:t>
      </w:r>
      <w:r w:rsidR="00305ED6" w:rsidRPr="009A2813">
        <w:rPr>
          <w:szCs w:val="22"/>
          <w:lang w:val="hr-HR"/>
        </w:rPr>
        <w:t>neki</w:t>
      </w:r>
      <w:r w:rsidRPr="009A2813">
        <w:rPr>
          <w:szCs w:val="22"/>
          <w:lang w:val="hr-HR"/>
        </w:rPr>
        <w:t xml:space="preserve"> od sljedeć</w:t>
      </w:r>
      <w:r w:rsidR="00305ED6" w:rsidRPr="009A2813">
        <w:rPr>
          <w:szCs w:val="22"/>
          <w:lang w:val="hr-HR"/>
        </w:rPr>
        <w:t>ih rastvora</w:t>
      </w:r>
      <w:r w:rsidRPr="009A2813">
        <w:rPr>
          <w:szCs w:val="22"/>
          <w:lang w:val="hr-HR"/>
        </w:rPr>
        <w:t>: rastvor natrijum hlorida 9 mg/ml (0,9 %) za injekciju, rastvor dekstroze 50 mg/ml (5 %) za injekciju ili laktatni Ringerov rastvor.</w:t>
      </w:r>
    </w:p>
    <w:p w14:paraId="13D5F6EC" w14:textId="5147121F" w:rsidR="0023342E" w:rsidRPr="009A2813" w:rsidRDefault="0023342E" w:rsidP="00CC4A65">
      <w:pPr>
        <w:numPr>
          <w:ilvl w:val="0"/>
          <w:numId w:val="38"/>
        </w:numPr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  <w:r w:rsidRPr="009A2813">
        <w:rPr>
          <w:szCs w:val="22"/>
          <w:lang w:val="hr-HR"/>
        </w:rPr>
        <w:t>Infuzioni špric: Dodatno razblažite rekonstituisani rastvor prenošenjem odgovarajuće izračunate zapremine rekonstituisanog rastvora u kombinaciji sa dovoljnom zapreminom ra</w:t>
      </w:r>
      <w:r w:rsidR="00B10D49" w:rsidRPr="009A2813">
        <w:rPr>
          <w:szCs w:val="22"/>
          <w:lang w:val="hr-HR"/>
        </w:rPr>
        <w:t>stvora za razblaživanje</w:t>
      </w:r>
      <w:r w:rsidRPr="009A2813">
        <w:rPr>
          <w:szCs w:val="22"/>
          <w:lang w:val="hr-HR"/>
        </w:rPr>
        <w:t xml:space="preserve"> (rastvor natrijum hlorida 9 mg/ml (0,9 %) za injekciju ili rastvor dekstroze 50 mg/ml (5%) za injekciju) u infuzioni špric.</w:t>
      </w:r>
    </w:p>
    <w:p w14:paraId="126E7595" w14:textId="77777777" w:rsidR="0023342E" w:rsidRPr="009A2813" w:rsidRDefault="0023342E" w:rsidP="00CC4A65">
      <w:pPr>
        <w:tabs>
          <w:tab w:val="clear" w:pos="567"/>
        </w:tabs>
        <w:spacing w:line="240" w:lineRule="auto"/>
        <w:ind w:left="720"/>
        <w:jc w:val="both"/>
        <w:rPr>
          <w:rFonts w:eastAsia="SimSun"/>
          <w:szCs w:val="22"/>
          <w:lang w:val="hr-HR"/>
        </w:rPr>
      </w:pPr>
    </w:p>
    <w:p w14:paraId="32A1914C" w14:textId="0C18053D" w:rsidR="004C033F" w:rsidRPr="009A2813" w:rsidRDefault="00B1460C" w:rsidP="00CC4A65">
      <w:pPr>
        <w:keepNext/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  <w:r w:rsidRPr="009A2813">
        <w:rPr>
          <w:szCs w:val="22"/>
          <w:lang w:val="hr-HR"/>
        </w:rPr>
        <w:t xml:space="preserve">Pogledajte Tabelu </w:t>
      </w:r>
      <w:r w:rsidR="005D2D7C" w:rsidRPr="009A2813">
        <w:rPr>
          <w:szCs w:val="22"/>
          <w:lang w:val="hr-HR"/>
        </w:rPr>
        <w:t>8</w:t>
      </w:r>
      <w:r w:rsidRPr="009A2813">
        <w:rPr>
          <w:szCs w:val="22"/>
          <w:lang w:val="hr-HR"/>
        </w:rPr>
        <w:t>. u nastavku.</w:t>
      </w:r>
    </w:p>
    <w:p w14:paraId="7B4FE4FA" w14:textId="77777777" w:rsidR="00436E7E" w:rsidRPr="009A2813" w:rsidRDefault="00436E7E" w:rsidP="00CC4A65">
      <w:pPr>
        <w:keepNext/>
        <w:shd w:val="clear" w:color="auto" w:fill="FFFFFF"/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  <w:bookmarkStart w:id="19" w:name="_Hlk23249202"/>
    </w:p>
    <w:bookmarkEnd w:id="19"/>
    <w:p w14:paraId="431038E4" w14:textId="108DA68B" w:rsidR="00436E7E" w:rsidRPr="009A2813" w:rsidRDefault="00436E7E" w:rsidP="00CC4A65">
      <w:pPr>
        <w:shd w:val="clear" w:color="auto" w:fill="FFFFFF"/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  <w:r w:rsidRPr="009A2813">
        <w:rPr>
          <w:szCs w:val="22"/>
          <w:lang w:val="hr-HR"/>
        </w:rPr>
        <w:t xml:space="preserve">Tabela </w:t>
      </w:r>
      <w:r w:rsidR="005D2D7C" w:rsidRPr="009A2813">
        <w:rPr>
          <w:szCs w:val="22"/>
          <w:lang w:val="hr-HR"/>
        </w:rPr>
        <w:t>8</w:t>
      </w:r>
      <w:r w:rsidRPr="009A2813">
        <w:rPr>
          <w:szCs w:val="22"/>
          <w:lang w:val="hr-HR"/>
        </w:rPr>
        <w:t>: Priprema doze lijeka Zavicefta za odrasle i pedijatrijske pacijente u INFUZIONOJ KESI ili u INFUZIONOM ŠPRICU.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775"/>
        <w:gridCol w:w="2409"/>
        <w:gridCol w:w="2155"/>
      </w:tblGrid>
      <w:tr w:rsidR="00436E7E" w:rsidRPr="009A2813" w14:paraId="2645D95C" w14:textId="77777777" w:rsidTr="004B7138">
        <w:trPr>
          <w:cantSplit/>
          <w:tblHeader/>
        </w:trPr>
        <w:tc>
          <w:tcPr>
            <w:tcW w:w="1728" w:type="dxa"/>
            <w:shd w:val="clear" w:color="auto" w:fill="auto"/>
          </w:tcPr>
          <w:p w14:paraId="5DEFA8EA" w14:textId="6CCE33D0" w:rsidR="00436E7E" w:rsidRPr="009A2813" w:rsidRDefault="00F34C81" w:rsidP="00CC4A65">
            <w:pPr>
              <w:keepNext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 xml:space="preserve">Doza lijeka </w:t>
            </w:r>
            <w:r w:rsidR="00436E7E" w:rsidRPr="009A2813">
              <w:rPr>
                <w:b/>
                <w:szCs w:val="22"/>
                <w:lang w:val="hr-HR"/>
              </w:rPr>
              <w:t>Zavicefta (ceftazidim)</w:t>
            </w:r>
            <w:r w:rsidR="00436E7E" w:rsidRPr="009A2813">
              <w:rPr>
                <w:b/>
                <w:szCs w:val="22"/>
                <w:vertAlign w:val="superscript"/>
                <w:lang w:val="hr-HR"/>
              </w:rPr>
              <w:t>1</w:t>
            </w:r>
          </w:p>
        </w:tc>
        <w:tc>
          <w:tcPr>
            <w:tcW w:w="2775" w:type="dxa"/>
            <w:shd w:val="clear" w:color="auto" w:fill="auto"/>
          </w:tcPr>
          <w:p w14:paraId="4E2FFB8A" w14:textId="3DA6A534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 xml:space="preserve">Zapremina za </w:t>
            </w:r>
            <w:r w:rsidR="00550AC4" w:rsidRPr="009A2813">
              <w:rPr>
                <w:b/>
                <w:szCs w:val="22"/>
                <w:lang w:val="hr-HR"/>
              </w:rPr>
              <w:t>iz</w:t>
            </w:r>
            <w:r w:rsidRPr="009A2813">
              <w:rPr>
                <w:b/>
                <w:szCs w:val="22"/>
                <w:lang w:val="hr-HR"/>
              </w:rPr>
              <w:t>vlačenje iz rekonstituisane bočice</w:t>
            </w:r>
          </w:p>
        </w:tc>
        <w:tc>
          <w:tcPr>
            <w:tcW w:w="2409" w:type="dxa"/>
            <w:shd w:val="clear" w:color="auto" w:fill="auto"/>
          </w:tcPr>
          <w:p w14:paraId="21D1B181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Konačna zapremina nakon razblaživanja u infuzionoj kesi</w:t>
            </w:r>
            <w:r w:rsidRPr="009A2813">
              <w:rPr>
                <w:b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14:paraId="04936993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Konačna zapremina u infuzionom špricu</w:t>
            </w:r>
          </w:p>
        </w:tc>
      </w:tr>
      <w:tr w:rsidR="00436E7E" w:rsidRPr="009A2813" w14:paraId="4DA59751" w14:textId="77777777" w:rsidTr="004B7138">
        <w:trPr>
          <w:cantSplit/>
        </w:trPr>
        <w:tc>
          <w:tcPr>
            <w:tcW w:w="1728" w:type="dxa"/>
            <w:shd w:val="clear" w:color="auto" w:fill="auto"/>
          </w:tcPr>
          <w:p w14:paraId="60B077A9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 g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CEB750B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Cio sadržaj (približno 12 ml)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F6215B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50 ml do 250 ml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06A6B5D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50 ml</w:t>
            </w:r>
          </w:p>
        </w:tc>
      </w:tr>
      <w:tr w:rsidR="00436E7E" w:rsidRPr="009A2813" w14:paraId="500831BE" w14:textId="77777777" w:rsidTr="004B7138">
        <w:trPr>
          <w:cantSplit/>
        </w:trPr>
        <w:tc>
          <w:tcPr>
            <w:tcW w:w="1728" w:type="dxa"/>
            <w:shd w:val="clear" w:color="auto" w:fill="auto"/>
          </w:tcPr>
          <w:p w14:paraId="64AAD1AB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 g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83A85C2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6 ml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2A27E3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25 ml do 125 ml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4490316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25 ml do 50 ml</w:t>
            </w:r>
          </w:p>
        </w:tc>
      </w:tr>
      <w:tr w:rsidR="00436E7E" w:rsidRPr="009A2813" w14:paraId="1450040C" w14:textId="77777777" w:rsidTr="004B7138">
        <w:trPr>
          <w:cantSplit/>
        </w:trPr>
        <w:tc>
          <w:tcPr>
            <w:tcW w:w="1728" w:type="dxa"/>
            <w:shd w:val="clear" w:color="auto" w:fill="auto"/>
          </w:tcPr>
          <w:p w14:paraId="65691C30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0,75 g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C6B594C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4,5 ml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4D75C1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19 ml do 93 ml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FAB28FA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19 ml do 50 ml</w:t>
            </w:r>
          </w:p>
        </w:tc>
      </w:tr>
      <w:tr w:rsidR="00436E7E" w:rsidRPr="009A2813" w14:paraId="603D7AA8" w14:textId="77777777" w:rsidTr="004B7138">
        <w:trPr>
          <w:cantSplit/>
        </w:trPr>
        <w:tc>
          <w:tcPr>
            <w:tcW w:w="1728" w:type="dxa"/>
            <w:shd w:val="clear" w:color="auto" w:fill="auto"/>
          </w:tcPr>
          <w:p w14:paraId="5CB7F256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Sve ostale doze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7D8AD01" w14:textId="77777777" w:rsidR="00436E7E" w:rsidRPr="009A2813" w:rsidRDefault="00436E7E" w:rsidP="00CC4A65">
            <w:pPr>
              <w:jc w:val="both"/>
              <w:rPr>
                <w:rFonts w:eastAsia="SimSun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Zapremina (ml) izračunata na osnovu potrebne doze:</w:t>
            </w:r>
          </w:p>
          <w:p w14:paraId="6E71B815" w14:textId="77777777" w:rsidR="00436E7E" w:rsidRPr="009A2813" w:rsidRDefault="00436E7E" w:rsidP="00CC4A65">
            <w:pPr>
              <w:jc w:val="both"/>
              <w:rPr>
                <w:rFonts w:eastAsia="SimSun"/>
                <w:szCs w:val="22"/>
                <w:lang w:val="hr-HR"/>
              </w:rPr>
            </w:pPr>
          </w:p>
          <w:p w14:paraId="1BAFEABA" w14:textId="77777777" w:rsidR="00436E7E" w:rsidRPr="009A2813" w:rsidRDefault="00436E7E" w:rsidP="00CC4A65">
            <w:pPr>
              <w:jc w:val="both"/>
              <w:rPr>
                <w:rFonts w:eastAsia="SimSun"/>
                <w:szCs w:val="22"/>
                <w:lang w:val="hr-HR"/>
              </w:rPr>
            </w:pPr>
            <w:r w:rsidRPr="009A2813">
              <w:rPr>
                <w:b/>
                <w:szCs w:val="22"/>
                <w:lang w:val="hr-HR"/>
              </w:rPr>
              <w:t>Doza (ceftazidima u mg) ÷ 167,3 mg/ml ceftazidima</w:t>
            </w:r>
          </w:p>
          <w:p w14:paraId="46CCA707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4309FFE" w14:textId="77777777" w:rsidR="00436E7E" w:rsidRPr="009A2813" w:rsidRDefault="00436E7E" w:rsidP="00CC4A65">
            <w:pPr>
              <w:jc w:val="both"/>
              <w:rPr>
                <w:rFonts w:eastAsia="SimSun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Zapremina (ml) će varirati u zavisnosti od dostupnosti veličine infuzione kese i željene konačne koncentracije</w:t>
            </w:r>
          </w:p>
          <w:p w14:paraId="4876B50E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(mora biti 8-40 mg/ml ceftazidima)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D0CB580" w14:textId="77777777" w:rsidR="00436E7E" w:rsidRPr="009A2813" w:rsidRDefault="00436E7E" w:rsidP="00CC4A65">
            <w:pPr>
              <w:jc w:val="both"/>
              <w:rPr>
                <w:rFonts w:eastAsia="SimSun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Zapremina (ml) će varirati u zavisnosti od dostupnosti veličine infuzionog šprica i željene konačne koncentracije</w:t>
            </w:r>
          </w:p>
          <w:p w14:paraId="3B9BBA0E" w14:textId="77777777" w:rsidR="00436E7E" w:rsidRPr="009A2813" w:rsidRDefault="00436E7E" w:rsidP="00CC4A65">
            <w:pPr>
              <w:tabs>
                <w:tab w:val="clear" w:pos="567"/>
                <w:tab w:val="left" w:pos="720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(mora biti 8-40 mg/ml ceftazidima)</w:t>
            </w:r>
          </w:p>
        </w:tc>
      </w:tr>
    </w:tbl>
    <w:p w14:paraId="31977B7D" w14:textId="77777777" w:rsidR="009A53BB" w:rsidRPr="009A2813" w:rsidRDefault="00436E7E" w:rsidP="00CC4A65">
      <w:pPr>
        <w:jc w:val="both"/>
        <w:rPr>
          <w:szCs w:val="22"/>
          <w:vertAlign w:val="superscript"/>
          <w:lang w:val="hr-HR"/>
        </w:rPr>
      </w:pPr>
      <w:r w:rsidRPr="009A2813">
        <w:rPr>
          <w:szCs w:val="22"/>
          <w:vertAlign w:val="superscript"/>
          <w:lang w:val="hr-HR"/>
        </w:rPr>
        <w:t xml:space="preserve">1 </w:t>
      </w:r>
      <w:r w:rsidRPr="009A2813">
        <w:rPr>
          <w:szCs w:val="22"/>
          <w:lang w:val="hr-HR"/>
        </w:rPr>
        <w:t>Samo na bazi komponente ceftazidima.</w:t>
      </w:r>
      <w:bookmarkStart w:id="20" w:name="_Hlk83744384"/>
      <w:r w:rsidRPr="009A2813">
        <w:rPr>
          <w:szCs w:val="22"/>
          <w:vertAlign w:val="superscript"/>
          <w:lang w:val="hr-HR"/>
        </w:rPr>
        <w:t xml:space="preserve"> </w:t>
      </w:r>
    </w:p>
    <w:p w14:paraId="1B6938F0" w14:textId="3D1C926F" w:rsidR="009A53BB" w:rsidRDefault="009A53BB" w:rsidP="00CC4A65">
      <w:pPr>
        <w:ind w:left="144" w:hanging="144"/>
        <w:jc w:val="both"/>
        <w:rPr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>2</w:t>
      </w:r>
      <w:r w:rsidRPr="009A2813">
        <w:rPr>
          <w:szCs w:val="22"/>
          <w:lang w:val="hr-HR"/>
        </w:rPr>
        <w:t xml:space="preserve"> Razblažite do konačne koncentracije ceftazidima od 8 mg/ml za stabilnost tokom upotrebe do 12 sati na 2-8</w:t>
      </w:r>
      <w:r w:rsidR="00550AC4" w:rsidRPr="009A2813">
        <w:rPr>
          <w:szCs w:val="22"/>
          <w:lang w:val="hr-HR"/>
        </w:rPr>
        <w:t xml:space="preserve"> </w:t>
      </w:r>
      <w:r w:rsidRPr="009A2813">
        <w:rPr>
          <w:szCs w:val="22"/>
          <w:lang w:val="hr-HR"/>
        </w:rPr>
        <w:t>°C, nakon čega slijedi do 4 sata na temperaturi ne višoj od 25</w:t>
      </w:r>
      <w:r w:rsidR="00F34C81" w:rsidRPr="009A2813">
        <w:rPr>
          <w:szCs w:val="22"/>
          <w:lang w:val="hr-HR"/>
        </w:rPr>
        <w:t xml:space="preserve"> </w:t>
      </w:r>
      <w:r w:rsidRPr="009A2813">
        <w:rPr>
          <w:szCs w:val="22"/>
          <w:lang w:val="hr-HR"/>
        </w:rPr>
        <w:t>°C (tj. razblažite dozu od 2 g ceftazidima u 250 ml, dozu od 1 g ceftazidima u 125 ml, dozu od 0,75 g ceftazidima u 93 ml, itd.). Sve ostale koncentracije ceftazidima (&gt; 8 mg/ml do 40 mg/m</w:t>
      </w:r>
      <w:r w:rsidR="00F34C81" w:rsidRPr="009A2813">
        <w:rPr>
          <w:szCs w:val="22"/>
          <w:lang w:val="hr-HR"/>
        </w:rPr>
        <w:t>l</w:t>
      </w:r>
      <w:r w:rsidRPr="009A2813">
        <w:rPr>
          <w:szCs w:val="22"/>
          <w:lang w:val="hr-HR"/>
        </w:rPr>
        <w:t>) imaju stabilnost pogodnu za upotrebu do 4 sata na temperaturi ne višoj od 25</w:t>
      </w:r>
      <w:r w:rsidR="00F34C81" w:rsidRPr="009A2813">
        <w:rPr>
          <w:szCs w:val="22"/>
          <w:lang w:val="hr-HR"/>
        </w:rPr>
        <w:t xml:space="preserve"> </w:t>
      </w:r>
      <w:r w:rsidRPr="009A2813">
        <w:rPr>
          <w:szCs w:val="22"/>
          <w:lang w:val="hr-HR"/>
        </w:rPr>
        <w:t>°C.</w:t>
      </w:r>
    </w:p>
    <w:p w14:paraId="216473EE" w14:textId="253ACA83" w:rsidR="009A0CE7" w:rsidRPr="009A2813" w:rsidRDefault="009A0CE7" w:rsidP="00CC4A65">
      <w:pPr>
        <w:ind w:left="144" w:hanging="144"/>
        <w:jc w:val="both"/>
        <w:rPr>
          <w:szCs w:val="22"/>
          <w:lang w:val="hr-HR"/>
        </w:rPr>
      </w:pPr>
      <w:r>
        <w:rPr>
          <w:szCs w:val="22"/>
          <w:vertAlign w:val="superscript"/>
          <w:lang w:val="hr-HR"/>
        </w:rPr>
        <w:t xml:space="preserve">3 </w:t>
      </w:r>
      <w:r w:rsidRPr="006009A5">
        <w:t xml:space="preserve">Razblažiti do </w:t>
      </w:r>
      <w:r w:rsidR="004A0497">
        <w:t>konačne</w:t>
      </w:r>
      <w:r w:rsidRPr="006009A5">
        <w:t xml:space="preserve"> koncentracije ceftazidima od </w:t>
      </w:r>
      <w:r>
        <w:rPr>
          <w:szCs w:val="22"/>
        </w:rPr>
        <w:t>≥ </w:t>
      </w:r>
      <w:r w:rsidRPr="006009A5">
        <w:t>8 mg/ml</w:t>
      </w:r>
      <w:r>
        <w:t xml:space="preserve"> do 40 mg/ml</w:t>
      </w:r>
      <w:r w:rsidRPr="006009A5">
        <w:t xml:space="preserve"> za stabilnost </w:t>
      </w:r>
      <w:r w:rsidR="004A0497">
        <w:t>pri upotrebi</w:t>
      </w:r>
      <w:r w:rsidRPr="006009A5">
        <w:t xml:space="preserve"> do </w:t>
      </w:r>
      <w:r>
        <w:t>6</w:t>
      </w:r>
      <w:r w:rsidRPr="006009A5">
        <w:t xml:space="preserve"> sati </w:t>
      </w:r>
      <w:r w:rsidR="004A0497">
        <w:t>na</w:t>
      </w:r>
      <w:r w:rsidRPr="006009A5">
        <w:t xml:space="preserve"> temperaturi </w:t>
      </w:r>
      <w:r w:rsidR="0081557E">
        <w:t xml:space="preserve">koja </w:t>
      </w:r>
      <w:r w:rsidRPr="006009A5">
        <w:t xml:space="preserve">ne </w:t>
      </w:r>
      <w:r w:rsidR="0081557E">
        <w:t xml:space="preserve">smije biti </w:t>
      </w:r>
      <w:r w:rsidR="004A0497">
        <w:t>viš</w:t>
      </w:r>
      <w:r w:rsidR="0081557E">
        <w:t>a</w:t>
      </w:r>
      <w:r w:rsidRPr="006009A5">
        <w:t xml:space="preserve"> od 25 °C</w:t>
      </w:r>
      <w:r>
        <w:rPr>
          <w:szCs w:val="22"/>
        </w:rPr>
        <w:t>.</w:t>
      </w:r>
    </w:p>
    <w:bookmarkEnd w:id="20"/>
    <w:p w14:paraId="2EBA1074" w14:textId="77777777" w:rsidR="00436E7E" w:rsidRPr="009A2813" w:rsidRDefault="00436E7E" w:rsidP="00CC4A65">
      <w:pPr>
        <w:jc w:val="both"/>
        <w:rPr>
          <w:szCs w:val="22"/>
          <w:lang w:val="hr-HR"/>
        </w:rPr>
      </w:pPr>
    </w:p>
    <w:p w14:paraId="3315EDA3" w14:textId="10ED389A" w:rsidR="00EC1787" w:rsidRPr="009A2813" w:rsidRDefault="007A62A5" w:rsidP="00CC4A65">
      <w:pPr>
        <w:jc w:val="both"/>
        <w:rPr>
          <w:szCs w:val="22"/>
          <w:u w:val="single"/>
          <w:lang w:val="hr-HR"/>
        </w:rPr>
      </w:pPr>
      <w:r w:rsidRPr="009A2813">
        <w:rPr>
          <w:szCs w:val="22"/>
          <w:u w:val="single"/>
          <w:lang w:val="hr-HR"/>
        </w:rPr>
        <w:t>K</w:t>
      </w:r>
      <w:r w:rsidR="00EC1787" w:rsidRPr="009A2813">
        <w:rPr>
          <w:szCs w:val="22"/>
          <w:u w:val="single"/>
          <w:lang w:val="hr-HR"/>
        </w:rPr>
        <w:t>od pedijatrijskih pacijenata uzrasta od 3 do 12 mjeseci</w:t>
      </w:r>
    </w:p>
    <w:p w14:paraId="6B4A423B" w14:textId="77777777" w:rsidR="00EC1787" w:rsidRPr="009A2813" w:rsidRDefault="00EC1787" w:rsidP="00CC4A65">
      <w:pPr>
        <w:tabs>
          <w:tab w:val="clear" w:pos="567"/>
          <w:tab w:val="left" w:pos="720"/>
        </w:tabs>
        <w:spacing w:line="240" w:lineRule="auto"/>
        <w:jc w:val="both"/>
        <w:rPr>
          <w:rFonts w:eastAsia="SimSun"/>
          <w:i/>
          <w:szCs w:val="22"/>
          <w:lang w:val="hr-HR"/>
        </w:rPr>
      </w:pPr>
    </w:p>
    <w:p w14:paraId="1ADBBE3B" w14:textId="77777777" w:rsidR="00EC1787" w:rsidRPr="009A2813" w:rsidRDefault="00EC1787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NAPOMENA: Sljedeći postupak opisuje korake za pripremu infuzionog rastvora sa konačnom koncentracijom od 20 mg/ml ceftazidima (dovoljno za većinu slučajeva). Mogu se pripremiti alternativne koncentracije, ali moraju imati konačan opseg koncentracije od 8-40 mg/ml ceftazidima.</w:t>
      </w:r>
    </w:p>
    <w:p w14:paraId="7B1DAD61" w14:textId="77777777" w:rsidR="0034537C" w:rsidRPr="009A2813" w:rsidRDefault="0034537C" w:rsidP="00CC4A65">
      <w:pPr>
        <w:tabs>
          <w:tab w:val="clear" w:pos="567"/>
          <w:tab w:val="left" w:pos="720"/>
        </w:tabs>
        <w:spacing w:line="240" w:lineRule="auto"/>
        <w:jc w:val="both"/>
        <w:rPr>
          <w:rFonts w:eastAsia="SimSun"/>
          <w:szCs w:val="22"/>
          <w:lang w:val="hr-HR"/>
        </w:rPr>
      </w:pPr>
    </w:p>
    <w:p w14:paraId="3C915B2C" w14:textId="77777777" w:rsidR="00EC1787" w:rsidRPr="009A2813" w:rsidRDefault="00EC1787" w:rsidP="00CC4A65">
      <w:pPr>
        <w:keepNext/>
        <w:numPr>
          <w:ilvl w:val="0"/>
          <w:numId w:val="28"/>
        </w:numPr>
        <w:shd w:val="clear" w:color="auto" w:fill="FFFFFF"/>
        <w:tabs>
          <w:tab w:val="clear" w:pos="567"/>
        </w:tabs>
        <w:spacing w:line="240" w:lineRule="auto"/>
        <w:jc w:val="both"/>
        <w:rPr>
          <w:color w:val="000000"/>
          <w:szCs w:val="22"/>
          <w:lang w:val="hr-HR"/>
        </w:rPr>
      </w:pPr>
      <w:r w:rsidRPr="009A2813">
        <w:rPr>
          <w:color w:val="000000"/>
          <w:szCs w:val="22"/>
          <w:lang w:val="hr-HR"/>
        </w:rPr>
        <w:lastRenderedPageBreak/>
        <w:t xml:space="preserve">Pripremite </w:t>
      </w:r>
      <w:r w:rsidRPr="009A2813">
        <w:rPr>
          <w:b/>
          <w:color w:val="000000"/>
          <w:szCs w:val="22"/>
          <w:lang w:val="hr-HR"/>
        </w:rPr>
        <w:t>rekonstituisani rastvor</w:t>
      </w:r>
      <w:r w:rsidRPr="009A2813">
        <w:rPr>
          <w:color w:val="000000"/>
          <w:szCs w:val="22"/>
          <w:lang w:val="hr-HR"/>
        </w:rPr>
        <w:t xml:space="preserve"> (</w:t>
      </w:r>
      <w:r w:rsidRPr="009A2813">
        <w:rPr>
          <w:b/>
          <w:color w:val="000000"/>
          <w:szCs w:val="22"/>
          <w:lang w:val="hr-HR"/>
        </w:rPr>
        <w:t>167,3 mg/ml</w:t>
      </w:r>
      <w:r w:rsidRPr="009A2813">
        <w:rPr>
          <w:color w:val="000000"/>
          <w:szCs w:val="22"/>
          <w:lang w:val="hr-HR"/>
        </w:rPr>
        <w:t xml:space="preserve"> ceftazidima):</w:t>
      </w:r>
    </w:p>
    <w:p w14:paraId="2F63876B" w14:textId="7B9C70BB" w:rsidR="00EC1787" w:rsidRPr="009A2813" w:rsidRDefault="0034537C" w:rsidP="00CC4A65">
      <w:pPr>
        <w:numPr>
          <w:ilvl w:val="0"/>
          <w:numId w:val="43"/>
        </w:numPr>
        <w:shd w:val="clear" w:color="auto" w:fill="FFFFFF"/>
        <w:tabs>
          <w:tab w:val="clear" w:pos="567"/>
        </w:tabs>
        <w:spacing w:line="240" w:lineRule="auto"/>
        <w:jc w:val="both"/>
        <w:rPr>
          <w:color w:val="000000"/>
          <w:szCs w:val="22"/>
          <w:lang w:val="hr-HR"/>
        </w:rPr>
      </w:pPr>
      <w:r w:rsidRPr="009A2813">
        <w:rPr>
          <w:color w:val="000000"/>
          <w:szCs w:val="22"/>
          <w:lang w:val="hr-HR"/>
        </w:rPr>
        <w:t>Umetnite iglu šprica kroz č</w:t>
      </w:r>
      <w:r w:rsidR="004D23F4" w:rsidRPr="009A2813">
        <w:rPr>
          <w:color w:val="000000"/>
          <w:szCs w:val="22"/>
          <w:lang w:val="hr-HR"/>
        </w:rPr>
        <w:t>ep</w:t>
      </w:r>
      <w:r w:rsidRPr="009A2813">
        <w:rPr>
          <w:color w:val="000000"/>
          <w:szCs w:val="22"/>
          <w:lang w:val="hr-HR"/>
        </w:rPr>
        <w:t xml:space="preserve"> bočice i ubrizgajte 10 ml sterilne vode za injekcije.</w:t>
      </w:r>
    </w:p>
    <w:p w14:paraId="184EE4F2" w14:textId="77777777" w:rsidR="0034537C" w:rsidRPr="009A2813" w:rsidRDefault="0034537C" w:rsidP="00CC4A65">
      <w:pPr>
        <w:numPr>
          <w:ilvl w:val="0"/>
          <w:numId w:val="43"/>
        </w:numPr>
        <w:shd w:val="clear" w:color="auto" w:fill="FFFFFF"/>
        <w:tabs>
          <w:tab w:val="clear" w:pos="567"/>
        </w:tabs>
        <w:spacing w:line="240" w:lineRule="auto"/>
        <w:jc w:val="both"/>
        <w:rPr>
          <w:color w:val="000000"/>
          <w:szCs w:val="22"/>
          <w:lang w:val="hr-HR"/>
        </w:rPr>
      </w:pPr>
      <w:r w:rsidRPr="009A2813">
        <w:rPr>
          <w:color w:val="000000"/>
          <w:szCs w:val="22"/>
          <w:lang w:val="hr-HR"/>
        </w:rPr>
        <w:t>Izvucite iglu i protresite bočicu dok ne dobijete bistar rastvor.</w:t>
      </w:r>
    </w:p>
    <w:p w14:paraId="25B1DFEC" w14:textId="2C726DB0" w:rsidR="001352BD" w:rsidRPr="009A2813" w:rsidRDefault="0099569F" w:rsidP="00CC4A65">
      <w:pPr>
        <w:numPr>
          <w:ilvl w:val="0"/>
          <w:numId w:val="43"/>
        </w:numPr>
        <w:shd w:val="clear" w:color="auto" w:fill="FFFFFF"/>
        <w:spacing w:line="240" w:lineRule="auto"/>
        <w:jc w:val="both"/>
        <w:rPr>
          <w:szCs w:val="22"/>
          <w:lang w:val="hr-HR"/>
        </w:rPr>
      </w:pPr>
      <w:r w:rsidRPr="009A2813">
        <w:rPr>
          <w:color w:val="000000"/>
          <w:szCs w:val="22"/>
          <w:lang w:val="hr-HR"/>
        </w:rPr>
        <w:tab/>
        <w:t xml:space="preserve">Umetnite iglu za oslobađanje gasa kroz </w:t>
      </w:r>
      <w:r w:rsidR="004D23F4" w:rsidRPr="009A2813">
        <w:rPr>
          <w:color w:val="000000"/>
          <w:szCs w:val="22"/>
          <w:lang w:val="hr-HR"/>
        </w:rPr>
        <w:t xml:space="preserve">čep </w:t>
      </w:r>
      <w:r w:rsidRPr="009A2813">
        <w:rPr>
          <w:color w:val="000000"/>
          <w:szCs w:val="22"/>
          <w:lang w:val="hr-HR"/>
        </w:rPr>
        <w:t>bočice</w:t>
      </w:r>
      <w:r w:rsidRPr="009A2813">
        <w:rPr>
          <w:b/>
          <w:color w:val="000000"/>
          <w:szCs w:val="22"/>
          <w:lang w:val="hr-HR"/>
        </w:rPr>
        <w:t xml:space="preserve"> nakon</w:t>
      </w:r>
      <w:r w:rsidRPr="009A2813">
        <w:rPr>
          <w:color w:val="000000"/>
          <w:szCs w:val="22"/>
          <w:lang w:val="hr-HR"/>
        </w:rPr>
        <w:t xml:space="preserve"> što se proizvod rastvori </w:t>
      </w:r>
      <w:r w:rsidR="004D23F4" w:rsidRPr="009A2813">
        <w:rPr>
          <w:color w:val="000000"/>
          <w:szCs w:val="22"/>
          <w:lang w:val="hr-HR"/>
        </w:rPr>
        <w:t>kako</w:t>
      </w:r>
      <w:r w:rsidRPr="009A2813">
        <w:rPr>
          <w:color w:val="000000"/>
          <w:szCs w:val="22"/>
          <w:lang w:val="hr-HR"/>
        </w:rPr>
        <w:t xml:space="preserve"> biste smanjili unutrašnji pritisak (ovo je važno za očuvanje sterilnosti proizvoda).</w:t>
      </w:r>
    </w:p>
    <w:p w14:paraId="35CF3035" w14:textId="77777777" w:rsidR="00305ED6" w:rsidRPr="009A2813" w:rsidRDefault="00305ED6" w:rsidP="00CC4A65">
      <w:pPr>
        <w:shd w:val="clear" w:color="auto" w:fill="FFFFFF"/>
        <w:spacing w:line="240" w:lineRule="auto"/>
        <w:ind w:left="720"/>
        <w:jc w:val="both"/>
        <w:rPr>
          <w:szCs w:val="22"/>
          <w:lang w:val="hr-HR"/>
        </w:rPr>
      </w:pPr>
    </w:p>
    <w:p w14:paraId="33E82991" w14:textId="2EE9A092" w:rsidR="00D4742E" w:rsidRPr="009A2813" w:rsidRDefault="00D4742E" w:rsidP="00CC4A65">
      <w:pPr>
        <w:numPr>
          <w:ilvl w:val="0"/>
          <w:numId w:val="28"/>
        </w:numPr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  <w:r w:rsidRPr="009A2813">
        <w:rPr>
          <w:szCs w:val="22"/>
          <w:lang w:val="hr-HR"/>
        </w:rPr>
        <w:t xml:space="preserve">Pripremite </w:t>
      </w:r>
      <w:r w:rsidRPr="009A2813">
        <w:rPr>
          <w:b/>
          <w:szCs w:val="22"/>
          <w:lang w:val="hr-HR"/>
        </w:rPr>
        <w:t>konačni rastvor</w:t>
      </w:r>
      <w:r w:rsidRPr="009A2813">
        <w:rPr>
          <w:szCs w:val="22"/>
          <w:lang w:val="hr-HR"/>
        </w:rPr>
        <w:t xml:space="preserve"> za infuziju do konačne koncentracije od </w:t>
      </w:r>
      <w:r w:rsidRPr="009A2813">
        <w:rPr>
          <w:b/>
          <w:szCs w:val="22"/>
          <w:lang w:val="hr-HR"/>
        </w:rPr>
        <w:t>20 mg/ml</w:t>
      </w:r>
      <w:r w:rsidRPr="009A2813">
        <w:rPr>
          <w:szCs w:val="22"/>
          <w:lang w:val="hr-HR"/>
        </w:rPr>
        <w:t xml:space="preserve"> ceftazidima:</w:t>
      </w:r>
    </w:p>
    <w:p w14:paraId="6C8F686E" w14:textId="3CE6C092" w:rsidR="00D4742E" w:rsidRPr="009A2813" w:rsidRDefault="00D4742E" w:rsidP="00CC4A65">
      <w:pPr>
        <w:numPr>
          <w:ilvl w:val="0"/>
          <w:numId w:val="44"/>
        </w:numPr>
        <w:tabs>
          <w:tab w:val="clear" w:pos="567"/>
          <w:tab w:val="clear" w:pos="644"/>
        </w:tabs>
        <w:spacing w:line="240" w:lineRule="auto"/>
        <w:ind w:left="720"/>
        <w:jc w:val="both"/>
        <w:rPr>
          <w:rFonts w:eastAsia="SimSun"/>
          <w:szCs w:val="22"/>
          <w:lang w:val="hr-HR"/>
        </w:rPr>
      </w:pPr>
      <w:r w:rsidRPr="009A2813">
        <w:rPr>
          <w:szCs w:val="22"/>
          <w:lang w:val="hr-HR"/>
        </w:rPr>
        <w:t xml:space="preserve">Dodatno razblažite rekonstituisani rastvor prenošenjem odgovarajuće izračunate zapremine rekonstituisanog rastvora u kombinaciji sa dovoljnom zapreminom </w:t>
      </w:r>
      <w:r w:rsidR="00B10D49" w:rsidRPr="009A2813">
        <w:rPr>
          <w:szCs w:val="22"/>
          <w:lang w:val="hr-HR"/>
        </w:rPr>
        <w:t>rastvora za razblaživanje</w:t>
      </w:r>
      <w:r w:rsidRPr="009A2813">
        <w:rPr>
          <w:szCs w:val="22"/>
          <w:lang w:val="hr-HR"/>
        </w:rPr>
        <w:t xml:space="preserve"> (rastvor natrijum hlorida 9 mg/ml (0,9 %) za injekciju ili rastvor dekstroze 50 mg/ml (5%) za injekciju) u infuzioni špric.</w:t>
      </w:r>
    </w:p>
    <w:p w14:paraId="6DA1DB08" w14:textId="77777777" w:rsidR="00CB6CA4" w:rsidRPr="00CB6CA4" w:rsidRDefault="00D4742E" w:rsidP="00CB6CA4">
      <w:pPr>
        <w:numPr>
          <w:ilvl w:val="0"/>
          <w:numId w:val="44"/>
        </w:numPr>
        <w:tabs>
          <w:tab w:val="clear" w:pos="567"/>
          <w:tab w:val="clear" w:pos="644"/>
        </w:tabs>
        <w:spacing w:line="240" w:lineRule="auto"/>
        <w:ind w:left="720"/>
        <w:jc w:val="both"/>
        <w:rPr>
          <w:rFonts w:eastAsia="SimSun"/>
          <w:szCs w:val="22"/>
          <w:lang w:val="hr-HR"/>
        </w:rPr>
      </w:pPr>
      <w:r w:rsidRPr="009A2813">
        <w:rPr>
          <w:szCs w:val="22"/>
          <w:lang w:val="hr-HR"/>
        </w:rPr>
        <w:t xml:space="preserve">Pogledajte Tabele </w:t>
      </w:r>
      <w:r w:rsidR="00A67E6E" w:rsidRPr="009A2813">
        <w:rPr>
          <w:szCs w:val="22"/>
          <w:lang w:val="hr-HR"/>
        </w:rPr>
        <w:t>9</w:t>
      </w:r>
      <w:r w:rsidRPr="009A2813">
        <w:rPr>
          <w:szCs w:val="22"/>
          <w:lang w:val="hr-HR"/>
        </w:rPr>
        <w:t xml:space="preserve">, </w:t>
      </w:r>
      <w:r w:rsidR="00A67E6E" w:rsidRPr="009A2813">
        <w:rPr>
          <w:szCs w:val="22"/>
          <w:lang w:val="hr-HR"/>
        </w:rPr>
        <w:t>10</w:t>
      </w:r>
      <w:r w:rsidRPr="009A2813">
        <w:rPr>
          <w:szCs w:val="22"/>
          <w:lang w:val="hr-HR"/>
        </w:rPr>
        <w:t xml:space="preserve"> ili 1</w:t>
      </w:r>
      <w:r w:rsidR="00A67E6E" w:rsidRPr="009A2813">
        <w:rPr>
          <w:szCs w:val="22"/>
          <w:lang w:val="hr-HR"/>
        </w:rPr>
        <w:t>1</w:t>
      </w:r>
      <w:r w:rsidRPr="009A2813">
        <w:rPr>
          <w:szCs w:val="22"/>
          <w:lang w:val="hr-HR"/>
        </w:rPr>
        <w:t xml:space="preserve"> u nastavku da biste potvrdili proračune. Prikazane vrijednosti su približne jer može biti potrebno zaokruživanje na najbližu oznaku pod</w:t>
      </w:r>
      <w:r w:rsidR="00880BF4" w:rsidRPr="009A2813">
        <w:rPr>
          <w:szCs w:val="22"/>
          <w:lang w:val="hr-HR"/>
        </w:rPr>
        <w:t>i</w:t>
      </w:r>
      <w:r w:rsidRPr="009A2813">
        <w:rPr>
          <w:szCs w:val="22"/>
          <w:lang w:val="hr-HR"/>
        </w:rPr>
        <w:t>oka odgovarajuće veličine šprica. Imajte na umu da tabele NE sadrže sve moguće izračunate doze, ali se mogu koristiti za procjenu približne zapremine da bi se potvrdio proračun.</w:t>
      </w:r>
    </w:p>
    <w:p w14:paraId="7156E062" w14:textId="77777777" w:rsidR="00CB6CA4" w:rsidRPr="00CB6CA4" w:rsidRDefault="00CB6CA4" w:rsidP="00CB6CA4">
      <w:pPr>
        <w:tabs>
          <w:tab w:val="clear" w:pos="567"/>
        </w:tabs>
        <w:spacing w:line="240" w:lineRule="auto"/>
        <w:ind w:left="720"/>
        <w:jc w:val="both"/>
        <w:rPr>
          <w:rFonts w:eastAsia="SimSun"/>
          <w:szCs w:val="22"/>
          <w:lang w:val="hr-HR"/>
        </w:rPr>
      </w:pPr>
    </w:p>
    <w:p w14:paraId="73C40CB0" w14:textId="6E325A2F" w:rsidR="00D4742E" w:rsidRDefault="00D4742E" w:rsidP="00C12B32">
      <w:pPr>
        <w:tabs>
          <w:tab w:val="clear" w:pos="567"/>
        </w:tabs>
        <w:spacing w:line="240" w:lineRule="auto"/>
        <w:jc w:val="both"/>
        <w:rPr>
          <w:szCs w:val="22"/>
          <w:vertAlign w:val="superscript"/>
          <w:lang w:val="hr-HR"/>
        </w:rPr>
      </w:pPr>
      <w:r w:rsidRPr="00CB6CA4">
        <w:rPr>
          <w:szCs w:val="22"/>
          <w:lang w:val="hr-HR"/>
        </w:rPr>
        <w:t xml:space="preserve">Tabela </w:t>
      </w:r>
      <w:r w:rsidR="00F34234" w:rsidRPr="00CB6CA4">
        <w:rPr>
          <w:szCs w:val="22"/>
          <w:lang w:val="hr-HR"/>
        </w:rPr>
        <w:t>9</w:t>
      </w:r>
      <w:r w:rsidRPr="00CB6CA4">
        <w:rPr>
          <w:szCs w:val="22"/>
          <w:lang w:val="hr-HR"/>
        </w:rPr>
        <w:t>: Priprema lijeka Zavicefta (konačna koncentracija od 20 mg/ml ceftazidima) kod pedijatrijskih pacijenata starosti od 3 do 12 mjeseci sa klirensom kreatinina (CrCL) &gt; 50 ml/min/1,73 m</w:t>
      </w:r>
      <w:r w:rsidRPr="00CB6CA4">
        <w:rPr>
          <w:szCs w:val="22"/>
          <w:vertAlign w:val="superscript"/>
          <w:lang w:val="hr-HR"/>
        </w:rPr>
        <w:t>2</w:t>
      </w:r>
    </w:p>
    <w:p w14:paraId="1CBAA5AD" w14:textId="5135D94D" w:rsidR="00CB6CA4" w:rsidRDefault="00CB6CA4" w:rsidP="00CB6CA4">
      <w:pPr>
        <w:tabs>
          <w:tab w:val="clear" w:pos="567"/>
        </w:tabs>
        <w:spacing w:line="240" w:lineRule="auto"/>
        <w:ind w:left="720"/>
        <w:jc w:val="both"/>
        <w:rPr>
          <w:szCs w:val="22"/>
          <w:vertAlign w:val="superscript"/>
          <w:lang w:val="hr-HR"/>
        </w:rPr>
      </w:pP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440"/>
        <w:gridCol w:w="1800"/>
        <w:gridCol w:w="2250"/>
        <w:gridCol w:w="1719"/>
      </w:tblGrid>
      <w:tr w:rsidR="00CB6CA4" w:rsidRPr="009A2813" w14:paraId="54256AD3" w14:textId="77777777" w:rsidTr="00EE617B">
        <w:trPr>
          <w:cantSplit/>
          <w:trHeight w:val="863"/>
          <w:tblHeader/>
          <w:jc w:val="center"/>
        </w:trPr>
        <w:tc>
          <w:tcPr>
            <w:tcW w:w="2085" w:type="dxa"/>
            <w:shd w:val="clear" w:color="auto" w:fill="auto"/>
            <w:vAlign w:val="center"/>
            <w:hideMark/>
          </w:tcPr>
          <w:p w14:paraId="34ABBF69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Uzrast i doza lijeka Zavicefta (mg/kg)</w:t>
            </w:r>
            <w:r w:rsidRPr="009A2813">
              <w:rPr>
                <w:b/>
                <w:color w:val="000000"/>
                <w:szCs w:val="22"/>
                <w:vertAlign w:val="superscript"/>
                <w:lang w:val="hr-HR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BDAF23E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Težina (kg)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98BF8DB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Doza </w:t>
            </w:r>
          </w:p>
          <w:p w14:paraId="69D6DC92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(ceftazidim u mg)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72D8C645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Količina rekonstituisanog rastvora za izvlačenje iz bočice </w:t>
            </w:r>
          </w:p>
          <w:p w14:paraId="013B413A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(ml)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594200CC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Zapremina razblaživača za dodavanje pri miješanju (ml)</w:t>
            </w:r>
          </w:p>
        </w:tc>
      </w:tr>
      <w:tr w:rsidR="00CB6CA4" w:rsidRPr="009A2813" w14:paraId="55173826" w14:textId="77777777" w:rsidTr="00EE617B">
        <w:trPr>
          <w:cantSplit/>
          <w:trHeight w:val="274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  <w:hideMark/>
          </w:tcPr>
          <w:p w14:paraId="3A80085B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6 mjeseci do </w:t>
            </w:r>
          </w:p>
          <w:p w14:paraId="5CCD4D85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12 mjeseci </w:t>
            </w:r>
          </w:p>
          <w:p w14:paraId="4B23C593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</w:p>
          <w:p w14:paraId="365F8593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50 mg/kg </w:t>
            </w:r>
          </w:p>
          <w:p w14:paraId="099424D5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ceftazidima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355BD59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B4DBB20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250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50109284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26D1AE44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11</w:t>
            </w:r>
          </w:p>
        </w:tc>
      </w:tr>
      <w:tr w:rsidR="00CB6CA4" w:rsidRPr="009A2813" w14:paraId="4441CE8F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76D1F4A6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A38541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6F3BFFAD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300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BCC93CB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1,8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224ECE01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13</w:t>
            </w:r>
          </w:p>
        </w:tc>
      </w:tr>
      <w:tr w:rsidR="00CB6CA4" w:rsidRPr="009A2813" w14:paraId="5F977780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2B9E27C1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D67EEDA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74315EF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350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73AD4BA9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2,1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5A3C8A6E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15</w:t>
            </w:r>
          </w:p>
        </w:tc>
      </w:tr>
      <w:tr w:rsidR="00CB6CA4" w:rsidRPr="009A2813" w14:paraId="40224AA6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vAlign w:val="center"/>
            <w:hideMark/>
          </w:tcPr>
          <w:p w14:paraId="50D045A9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0D4E44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68079CB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400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19CD3A96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2,4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714D5E29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18</w:t>
            </w:r>
          </w:p>
        </w:tc>
      </w:tr>
      <w:tr w:rsidR="00CB6CA4" w:rsidRPr="009A2813" w14:paraId="105DD9B6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7E96909A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1365D07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D9BC3C3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450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BB1F12B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2,7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247DFCF4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20</w:t>
            </w:r>
          </w:p>
        </w:tc>
      </w:tr>
      <w:tr w:rsidR="00CB6CA4" w:rsidRPr="009A2813" w14:paraId="019D890B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7B75D003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BA0C6E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97BD638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500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ED5D85D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3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1CDA6691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22</w:t>
            </w:r>
          </w:p>
        </w:tc>
      </w:tr>
      <w:tr w:rsidR="00CB6CA4" w:rsidRPr="009A2813" w14:paraId="1266D4CE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139F1F99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A8BF7B0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6AA0EBD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550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05044B1F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3,3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10C28B4D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24</w:t>
            </w:r>
          </w:p>
        </w:tc>
      </w:tr>
      <w:tr w:rsidR="00CB6CA4" w:rsidRPr="009A2813" w14:paraId="2C563B91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0DFE8F6C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D0D8A1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C1393BE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600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7617D895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3,6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0BDCAFF0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27</w:t>
            </w:r>
          </w:p>
        </w:tc>
      </w:tr>
      <w:tr w:rsidR="00CB6CA4" w:rsidRPr="009A2813" w14:paraId="4EA4CCF6" w14:textId="77777777" w:rsidTr="00EE617B">
        <w:trPr>
          <w:cantSplit/>
          <w:trHeight w:val="274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  <w:hideMark/>
          </w:tcPr>
          <w:p w14:paraId="0337F80E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3 mjeseca do </w:t>
            </w:r>
          </w:p>
          <w:p w14:paraId="1533E46A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&lt; 6 mjeseci </w:t>
            </w:r>
          </w:p>
          <w:p w14:paraId="02CE7A40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</w:p>
          <w:p w14:paraId="46349528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40 mg/kg </w:t>
            </w:r>
          </w:p>
          <w:p w14:paraId="6A4B0A4E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ceftazidima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BD73CF5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6B4A6F0C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160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21931CB7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23C16DFA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7,4</w:t>
            </w:r>
          </w:p>
        </w:tc>
      </w:tr>
      <w:tr w:rsidR="00CB6CA4" w:rsidRPr="009A2813" w14:paraId="32CF187C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2357DB9A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905B70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910D63E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200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25F7DA6C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1,2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3083292B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8,8</w:t>
            </w:r>
          </w:p>
        </w:tc>
      </w:tr>
      <w:tr w:rsidR="00CB6CA4" w:rsidRPr="009A2813" w14:paraId="54CC7257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4DEB19EC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F4E5A82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BF31D06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240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08AD22F5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7522D82F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10</w:t>
            </w:r>
          </w:p>
        </w:tc>
      </w:tr>
      <w:tr w:rsidR="00CB6CA4" w:rsidRPr="009A2813" w14:paraId="066D2A2F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424B69C4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256F33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127E00D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280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01CB3B7A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1,7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6CB5683F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13</w:t>
            </w:r>
          </w:p>
        </w:tc>
      </w:tr>
      <w:tr w:rsidR="00CB6CA4" w:rsidRPr="009A2813" w14:paraId="75BA6C03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24F809D8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A9E62DB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9435F07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320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78A13F7E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1,9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5D0DCE91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14</w:t>
            </w:r>
          </w:p>
        </w:tc>
      </w:tr>
      <w:tr w:rsidR="00CB6CA4" w:rsidRPr="009A2813" w14:paraId="530777F7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0BCE990B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D1E87B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2D073FB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360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11FE07A1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2,2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59775BBE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16</w:t>
            </w:r>
          </w:p>
        </w:tc>
      </w:tr>
      <w:tr w:rsidR="00CB6CA4" w:rsidRPr="009A2813" w14:paraId="0FC99465" w14:textId="77777777" w:rsidTr="00EE617B">
        <w:trPr>
          <w:cantSplit/>
          <w:trHeight w:val="272"/>
          <w:jc w:val="center"/>
        </w:trPr>
        <w:tc>
          <w:tcPr>
            <w:tcW w:w="2085" w:type="dxa"/>
            <w:vMerge/>
            <w:shd w:val="clear" w:color="auto" w:fill="auto"/>
            <w:noWrap/>
            <w:vAlign w:val="center"/>
            <w:hideMark/>
          </w:tcPr>
          <w:p w14:paraId="609226CE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1E79223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BDE38BC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400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7334CFA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2,4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14:paraId="361CF401" w14:textId="77777777" w:rsidR="00CB6CA4" w:rsidRPr="009A2813" w:rsidRDefault="00CB6CA4" w:rsidP="00EE617B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18</w:t>
            </w:r>
          </w:p>
        </w:tc>
      </w:tr>
    </w:tbl>
    <w:p w14:paraId="434EABDA" w14:textId="77777777" w:rsidR="00CB6CA4" w:rsidRPr="009A2813" w:rsidRDefault="00CB6CA4" w:rsidP="00CB6CA4">
      <w:pPr>
        <w:keepNext/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 xml:space="preserve">1 </w:t>
      </w:r>
      <w:r w:rsidRPr="009A2813">
        <w:rPr>
          <w:szCs w:val="22"/>
          <w:lang w:val="hr-HR"/>
        </w:rPr>
        <w:t>Samo na bazi komponente ceftazidima.</w:t>
      </w:r>
    </w:p>
    <w:p w14:paraId="19DE396A" w14:textId="77777777" w:rsidR="00CB6CA4" w:rsidRPr="00CB6CA4" w:rsidRDefault="00CB6CA4" w:rsidP="00CB6CA4">
      <w:pPr>
        <w:tabs>
          <w:tab w:val="clear" w:pos="567"/>
        </w:tabs>
        <w:spacing w:line="240" w:lineRule="auto"/>
        <w:ind w:left="720"/>
        <w:jc w:val="both"/>
        <w:rPr>
          <w:rFonts w:eastAsia="SimSun"/>
          <w:szCs w:val="22"/>
          <w:lang w:val="hr-HR"/>
        </w:rPr>
      </w:pPr>
    </w:p>
    <w:p w14:paraId="2FB2CFDC" w14:textId="77777777" w:rsidR="003F4C3C" w:rsidRPr="009A2813" w:rsidRDefault="003F4C3C" w:rsidP="00CC4A65">
      <w:pPr>
        <w:keepNext/>
        <w:jc w:val="both"/>
        <w:rPr>
          <w:rFonts w:eastAsia="SimSun"/>
          <w:szCs w:val="22"/>
          <w:lang w:val="hr-HR"/>
        </w:rPr>
      </w:pPr>
    </w:p>
    <w:p w14:paraId="79DD08E1" w14:textId="634DA2EF" w:rsidR="00D4742E" w:rsidRPr="009A2813" w:rsidRDefault="00D4742E" w:rsidP="00CC4A65">
      <w:pPr>
        <w:keepNext/>
        <w:tabs>
          <w:tab w:val="clear" w:pos="567"/>
        </w:tabs>
        <w:spacing w:line="240" w:lineRule="auto"/>
        <w:jc w:val="both"/>
        <w:rPr>
          <w:rFonts w:eastAsia="SimSun"/>
          <w:szCs w:val="22"/>
          <w:lang w:val="hr-HR"/>
        </w:rPr>
      </w:pPr>
      <w:r w:rsidRPr="009A2813">
        <w:rPr>
          <w:szCs w:val="22"/>
          <w:lang w:val="hr-HR"/>
        </w:rPr>
        <w:t xml:space="preserve">Tabela </w:t>
      </w:r>
      <w:r w:rsidR="008720B5" w:rsidRPr="009A2813">
        <w:rPr>
          <w:szCs w:val="22"/>
          <w:lang w:val="hr-HR"/>
        </w:rPr>
        <w:t>10</w:t>
      </w:r>
      <w:r w:rsidRPr="009A2813">
        <w:rPr>
          <w:szCs w:val="22"/>
          <w:lang w:val="hr-HR"/>
        </w:rPr>
        <w:t xml:space="preserve">: Priprema lijeka Zavicefta (konačna koncentracija od 20 mg/ml ceftazidima) kod pedijatrijskih pacijenata </w:t>
      </w:r>
      <w:r w:rsidR="00880BF4" w:rsidRPr="009A2813">
        <w:rPr>
          <w:szCs w:val="22"/>
          <w:lang w:val="hr-HR"/>
        </w:rPr>
        <w:t>uzrasta</w:t>
      </w:r>
      <w:r w:rsidRPr="009A2813">
        <w:rPr>
          <w:szCs w:val="22"/>
          <w:lang w:val="hr-HR"/>
        </w:rPr>
        <w:t xml:space="preserve"> od 3 do 12 mjeseci sa CrCL 31 do 50 ml/min/1,73 m</w:t>
      </w:r>
      <w:r w:rsidRPr="009A2813">
        <w:rPr>
          <w:szCs w:val="22"/>
          <w:vertAlign w:val="superscript"/>
          <w:lang w:val="hr-HR"/>
        </w:rPr>
        <w:t>2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440"/>
        <w:gridCol w:w="1800"/>
        <w:gridCol w:w="2340"/>
        <w:gridCol w:w="1617"/>
      </w:tblGrid>
      <w:tr w:rsidR="00D4742E" w:rsidRPr="009A2813" w14:paraId="09E46A1A" w14:textId="77777777" w:rsidTr="004A7A90">
        <w:trPr>
          <w:trHeight w:val="855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2FAA9766" w14:textId="514DC53D" w:rsidR="00D4742E" w:rsidRPr="009A2813" w:rsidRDefault="00880BF4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Uzrast</w:t>
            </w:r>
            <w:r w:rsidR="00D4742E" w:rsidRPr="009A2813">
              <w:rPr>
                <w:b/>
                <w:color w:val="000000"/>
                <w:szCs w:val="22"/>
                <w:lang w:val="hr-HR"/>
              </w:rPr>
              <w:t xml:space="preserve"> i doza lijeka Zavicefta (mg/kg)</w:t>
            </w:r>
            <w:r w:rsidR="00D4742E" w:rsidRPr="009A2813">
              <w:rPr>
                <w:b/>
                <w:color w:val="000000"/>
                <w:szCs w:val="22"/>
                <w:vertAlign w:val="superscript"/>
                <w:lang w:val="hr-HR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7F010B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Težina (kg)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957C66F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Doza</w:t>
            </w:r>
          </w:p>
          <w:p w14:paraId="27645616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(ceftazidim u mg)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F474197" w14:textId="7E23C520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Količina rekonstituisanog rastvora za </w:t>
            </w:r>
            <w:r w:rsidR="00550AC4" w:rsidRPr="009A2813">
              <w:rPr>
                <w:b/>
                <w:color w:val="000000"/>
                <w:szCs w:val="22"/>
                <w:lang w:val="hr-HR"/>
              </w:rPr>
              <w:t>iz</w:t>
            </w:r>
            <w:r w:rsidRPr="009A2813">
              <w:rPr>
                <w:b/>
                <w:color w:val="000000"/>
                <w:szCs w:val="22"/>
                <w:lang w:val="hr-HR"/>
              </w:rPr>
              <w:t>vlačenje iz bočice</w:t>
            </w:r>
          </w:p>
          <w:p w14:paraId="7BAC0F26" w14:textId="06486419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(ml)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2CE2815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Zapremina razblaživača za dodavanje pri miješanju (ml)</w:t>
            </w:r>
          </w:p>
        </w:tc>
      </w:tr>
      <w:tr w:rsidR="00D4742E" w:rsidRPr="009A2813" w14:paraId="15D72763" w14:textId="77777777" w:rsidTr="004A7A90">
        <w:trPr>
          <w:trHeight w:val="274"/>
          <w:jc w:val="center"/>
        </w:trPr>
        <w:tc>
          <w:tcPr>
            <w:tcW w:w="2073" w:type="dxa"/>
            <w:vMerge w:val="restart"/>
            <w:shd w:val="clear" w:color="auto" w:fill="auto"/>
            <w:vAlign w:val="center"/>
            <w:hideMark/>
          </w:tcPr>
          <w:p w14:paraId="1AC70AF7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6 mjeseci do </w:t>
            </w:r>
          </w:p>
          <w:p w14:paraId="60FC5CF3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12 mjeseci </w:t>
            </w:r>
          </w:p>
          <w:p w14:paraId="4C86D176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</w:p>
          <w:p w14:paraId="6B1E6705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25 mg/kg </w:t>
            </w:r>
          </w:p>
          <w:p w14:paraId="08630BC7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ceftazidima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AC78691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3824823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125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281629ED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0,75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75534050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5,5</w:t>
            </w:r>
          </w:p>
        </w:tc>
      </w:tr>
      <w:tr w:rsidR="00D4742E" w:rsidRPr="009A2813" w14:paraId="1F46FA19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7A0ED136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7CF310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5857CC3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150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2D10176A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5D5EF76D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6,6</w:t>
            </w:r>
          </w:p>
        </w:tc>
      </w:tr>
      <w:tr w:rsidR="00D4742E" w:rsidRPr="009A2813" w14:paraId="487116BC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00F56156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0A3C1F5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554CA2C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175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20DCA3B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4B81AA5A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7,4</w:t>
            </w:r>
          </w:p>
        </w:tc>
      </w:tr>
      <w:tr w:rsidR="00D4742E" w:rsidRPr="009A2813" w14:paraId="040B99CB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vAlign w:val="center"/>
            <w:hideMark/>
          </w:tcPr>
          <w:p w14:paraId="3582148C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5B0810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1513968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200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541444B0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289C022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8,8</w:t>
            </w:r>
          </w:p>
        </w:tc>
      </w:tr>
      <w:tr w:rsidR="00D4742E" w:rsidRPr="009A2813" w14:paraId="5042D2D0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4C17AB61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3168FA4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3915387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225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093E50CA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36AE1AB1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9,6</w:t>
            </w:r>
          </w:p>
        </w:tc>
      </w:tr>
      <w:tr w:rsidR="00D4742E" w:rsidRPr="009A2813" w14:paraId="7D858F39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2E9E5F96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C5D82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D024821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250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7B95EC68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419B4A7E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11</w:t>
            </w:r>
          </w:p>
        </w:tc>
      </w:tr>
      <w:tr w:rsidR="00D4742E" w:rsidRPr="009A2813" w14:paraId="16C14164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07D47A8B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D6DCB48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81C907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275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7ADF73F4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69705D8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12</w:t>
            </w:r>
          </w:p>
        </w:tc>
      </w:tr>
      <w:tr w:rsidR="00D4742E" w:rsidRPr="009A2813" w14:paraId="72FF206F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0EF64D08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F5EC1F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A702E4B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300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0CAC9C3C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54F26AFC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13</w:t>
            </w:r>
          </w:p>
        </w:tc>
      </w:tr>
      <w:tr w:rsidR="00D4742E" w:rsidRPr="009A2813" w14:paraId="3EA90187" w14:textId="77777777" w:rsidTr="004A7A90">
        <w:trPr>
          <w:trHeight w:val="274"/>
          <w:jc w:val="center"/>
        </w:trPr>
        <w:tc>
          <w:tcPr>
            <w:tcW w:w="2073" w:type="dxa"/>
            <w:vMerge w:val="restart"/>
            <w:shd w:val="clear" w:color="auto" w:fill="auto"/>
            <w:vAlign w:val="center"/>
            <w:hideMark/>
          </w:tcPr>
          <w:p w14:paraId="408C28D4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3 mjeseca do </w:t>
            </w:r>
          </w:p>
          <w:p w14:paraId="5C071312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&lt; 6 mjeseci </w:t>
            </w:r>
          </w:p>
          <w:p w14:paraId="16739360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</w:p>
          <w:p w14:paraId="6AE98AB0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20 mg/kg </w:t>
            </w:r>
          </w:p>
          <w:p w14:paraId="1C7A605A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ceftazidima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DCF0B14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AE8C274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3E789ADB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0,48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33D99EAC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3,5</w:t>
            </w:r>
          </w:p>
        </w:tc>
      </w:tr>
      <w:tr w:rsidR="00D4742E" w:rsidRPr="009A2813" w14:paraId="4AB35CAB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74AC7819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788520B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63C02651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100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5D8AE5B7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349B73B9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4,4</w:t>
            </w:r>
          </w:p>
        </w:tc>
      </w:tr>
      <w:tr w:rsidR="00D4742E" w:rsidRPr="009A2813" w14:paraId="5C92D8D2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5DF6EB81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4B59678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55A54EF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120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1579186A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0,72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61AA47D6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5,3</w:t>
            </w:r>
          </w:p>
        </w:tc>
      </w:tr>
      <w:tr w:rsidR="00D4742E" w:rsidRPr="009A2813" w14:paraId="39F3F362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0894E8B4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AFF0E5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FB9612D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140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25D1C8FA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0,84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7C17D930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6,2</w:t>
            </w:r>
          </w:p>
        </w:tc>
      </w:tr>
      <w:tr w:rsidR="00D4742E" w:rsidRPr="009A2813" w14:paraId="2C7EF645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5ECCD4A3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306497A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33DCC79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160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04DA213E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3F39EE7D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7,4</w:t>
            </w:r>
          </w:p>
        </w:tc>
      </w:tr>
      <w:tr w:rsidR="00D4742E" w:rsidRPr="009A2813" w14:paraId="76ECF63F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1DBA8C23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9ED0BE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FBABB14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180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59A7AEA1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10E33174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8,1</w:t>
            </w:r>
          </w:p>
        </w:tc>
      </w:tr>
      <w:tr w:rsidR="00D4742E" w:rsidRPr="009A2813" w14:paraId="5FB48258" w14:textId="77777777" w:rsidTr="004A7A90">
        <w:trPr>
          <w:trHeight w:val="285"/>
          <w:jc w:val="center"/>
        </w:trPr>
        <w:tc>
          <w:tcPr>
            <w:tcW w:w="2073" w:type="dxa"/>
            <w:vMerge/>
            <w:shd w:val="clear" w:color="auto" w:fill="auto"/>
            <w:noWrap/>
            <w:vAlign w:val="center"/>
            <w:hideMark/>
          </w:tcPr>
          <w:p w14:paraId="7BAFB72F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F138049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A2D2DE3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200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42462E3D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1968ACA9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8,8</w:t>
            </w:r>
          </w:p>
        </w:tc>
      </w:tr>
    </w:tbl>
    <w:p w14:paraId="2AF95797" w14:textId="77777777" w:rsidR="00D4742E" w:rsidRPr="009A2813" w:rsidRDefault="00D4742E" w:rsidP="00CC4A65">
      <w:pPr>
        <w:jc w:val="both"/>
        <w:rPr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 xml:space="preserve">1 </w:t>
      </w:r>
      <w:r w:rsidRPr="009A2813">
        <w:rPr>
          <w:szCs w:val="22"/>
          <w:lang w:val="hr-HR"/>
        </w:rPr>
        <w:t>Samo na bazi komponente ceftazidima.</w:t>
      </w:r>
    </w:p>
    <w:p w14:paraId="3AA20BBB" w14:textId="77777777" w:rsidR="00D4742E" w:rsidRPr="009A2813" w:rsidRDefault="00D4742E" w:rsidP="00CC4A65">
      <w:pPr>
        <w:jc w:val="both"/>
        <w:rPr>
          <w:szCs w:val="22"/>
          <w:lang w:val="hr-HR"/>
        </w:rPr>
      </w:pPr>
    </w:p>
    <w:p w14:paraId="75A8D089" w14:textId="34708DA8" w:rsidR="00D4742E" w:rsidRPr="009A2813" w:rsidRDefault="00D4742E" w:rsidP="00CC4A65">
      <w:pPr>
        <w:keepNext/>
        <w:jc w:val="both"/>
        <w:rPr>
          <w:rFonts w:eastAsia="SimSun"/>
          <w:szCs w:val="22"/>
          <w:lang w:val="hr-HR"/>
        </w:rPr>
      </w:pPr>
      <w:r w:rsidRPr="009A2813">
        <w:rPr>
          <w:szCs w:val="22"/>
          <w:lang w:val="hr-HR"/>
        </w:rPr>
        <w:t>Tabela 1</w:t>
      </w:r>
      <w:r w:rsidR="00D16619" w:rsidRPr="009A2813">
        <w:rPr>
          <w:szCs w:val="22"/>
          <w:lang w:val="hr-HR"/>
        </w:rPr>
        <w:t>1</w:t>
      </w:r>
      <w:r w:rsidRPr="009A2813">
        <w:rPr>
          <w:szCs w:val="22"/>
          <w:lang w:val="hr-HR"/>
        </w:rPr>
        <w:t xml:space="preserve">: Priprema lijeka Zavicefta (konačna koncentracija od 20 mg/ml ceftazidima) kod pedijatrijskih pacijenata </w:t>
      </w:r>
      <w:r w:rsidR="00880BF4" w:rsidRPr="009A2813">
        <w:rPr>
          <w:szCs w:val="22"/>
          <w:lang w:val="hr-HR"/>
        </w:rPr>
        <w:t>uzrasta</w:t>
      </w:r>
      <w:r w:rsidRPr="009A2813">
        <w:rPr>
          <w:szCs w:val="22"/>
          <w:lang w:val="hr-HR"/>
        </w:rPr>
        <w:t xml:space="preserve"> od 3 do 12 mjeseci sa CrCL 16 do 30 ml/min/1,73 m</w:t>
      </w:r>
      <w:r w:rsidRPr="009A2813">
        <w:rPr>
          <w:szCs w:val="22"/>
          <w:vertAlign w:val="superscript"/>
          <w:lang w:val="hr-HR"/>
        </w:rPr>
        <w:t>2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500"/>
        <w:gridCol w:w="1771"/>
        <w:gridCol w:w="2279"/>
        <w:gridCol w:w="1739"/>
      </w:tblGrid>
      <w:tr w:rsidR="00D4742E" w:rsidRPr="009A2813" w14:paraId="76EDA0FC" w14:textId="77777777" w:rsidTr="004A7A90">
        <w:trPr>
          <w:trHeight w:val="864"/>
          <w:tblHeader/>
          <w:jc w:val="center"/>
        </w:trPr>
        <w:tc>
          <w:tcPr>
            <w:tcW w:w="2044" w:type="dxa"/>
            <w:shd w:val="clear" w:color="auto" w:fill="auto"/>
            <w:vAlign w:val="center"/>
          </w:tcPr>
          <w:p w14:paraId="6854FC2C" w14:textId="70E8888D" w:rsidR="00D4742E" w:rsidRPr="009A2813" w:rsidRDefault="00880BF4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Uzrast</w:t>
            </w:r>
            <w:r w:rsidR="00D4742E" w:rsidRPr="009A2813">
              <w:rPr>
                <w:b/>
                <w:color w:val="000000"/>
                <w:szCs w:val="22"/>
                <w:lang w:val="hr-HR"/>
              </w:rPr>
              <w:t xml:space="preserve"> i doza lijeka Zavicefta (mg/kg)</w:t>
            </w:r>
            <w:r w:rsidR="00D4742E" w:rsidRPr="009A2813">
              <w:rPr>
                <w:b/>
                <w:color w:val="000000"/>
                <w:szCs w:val="22"/>
                <w:vertAlign w:val="superscript"/>
                <w:lang w:val="hr-HR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5B0D1C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Težina (kg)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312BEF2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Doza</w:t>
            </w:r>
          </w:p>
          <w:p w14:paraId="0134003E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(ceftazidim u mg)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2F9F217" w14:textId="3D4E6751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Količina rekonstituisanog rastvora za </w:t>
            </w:r>
            <w:r w:rsidR="00550AC4" w:rsidRPr="009A2813">
              <w:rPr>
                <w:b/>
                <w:color w:val="000000"/>
                <w:szCs w:val="22"/>
                <w:lang w:val="hr-HR"/>
              </w:rPr>
              <w:t>iz</w:t>
            </w:r>
            <w:r w:rsidRPr="009A2813">
              <w:rPr>
                <w:b/>
                <w:color w:val="000000"/>
                <w:szCs w:val="22"/>
                <w:lang w:val="hr-HR"/>
              </w:rPr>
              <w:t>vlačenje iz bočice</w:t>
            </w:r>
          </w:p>
          <w:p w14:paraId="09C9233C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(ml)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4597517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Zapremina razblaživača za dodavanje pri miješanju (ml)</w:t>
            </w:r>
          </w:p>
        </w:tc>
      </w:tr>
      <w:tr w:rsidR="00D4742E" w:rsidRPr="009A2813" w14:paraId="194BC8B9" w14:textId="77777777" w:rsidTr="004A7A90">
        <w:trPr>
          <w:trHeight w:val="274"/>
          <w:jc w:val="center"/>
        </w:trPr>
        <w:tc>
          <w:tcPr>
            <w:tcW w:w="2044" w:type="dxa"/>
            <w:vMerge w:val="restart"/>
            <w:shd w:val="clear" w:color="auto" w:fill="auto"/>
            <w:vAlign w:val="center"/>
            <w:hideMark/>
          </w:tcPr>
          <w:p w14:paraId="1545D524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6 mjeseci do </w:t>
            </w:r>
          </w:p>
          <w:p w14:paraId="330E87A4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12 mjeseci </w:t>
            </w:r>
          </w:p>
          <w:p w14:paraId="4F7675F2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</w:p>
          <w:p w14:paraId="0E9796D0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18,75 mg/kg </w:t>
            </w:r>
          </w:p>
          <w:p w14:paraId="6881717E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ceftazidima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48EBD700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1AA3E7E1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93,75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1D036427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0,56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2625F59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4,1</w:t>
            </w:r>
          </w:p>
        </w:tc>
      </w:tr>
      <w:tr w:rsidR="00D4742E" w:rsidRPr="009A2813" w14:paraId="56F2D3B5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0B602864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2FA4D3D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5771C685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112,5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42D9C05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0,67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36B4F39E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4,9</w:t>
            </w:r>
          </w:p>
        </w:tc>
      </w:tr>
      <w:tr w:rsidR="00D4742E" w:rsidRPr="009A2813" w14:paraId="4BB69E7B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3CB0A264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5F52B5C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0314C99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131,25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4F86A36F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0,78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7B38C3A6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5,7</w:t>
            </w:r>
          </w:p>
        </w:tc>
      </w:tr>
      <w:tr w:rsidR="00D4742E" w:rsidRPr="009A2813" w14:paraId="27A22343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vAlign w:val="center"/>
            <w:hideMark/>
          </w:tcPr>
          <w:p w14:paraId="37EAB32B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1E85455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08F8274F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150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3308C0CA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0,9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71D8DCF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6,6</w:t>
            </w:r>
          </w:p>
        </w:tc>
      </w:tr>
      <w:tr w:rsidR="00D4742E" w:rsidRPr="009A2813" w14:paraId="0F46D064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122F7CE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42D7B9A1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9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68F93E2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168,75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3CD2A195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778DA02D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7,4</w:t>
            </w:r>
          </w:p>
        </w:tc>
      </w:tr>
      <w:tr w:rsidR="00D4742E" w:rsidRPr="009A2813" w14:paraId="6C4CFCA2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2AB5517D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903F4FE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10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77DA59CF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187,5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0EB45A7B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1,1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37FFD2F6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8,1</w:t>
            </w:r>
          </w:p>
        </w:tc>
      </w:tr>
      <w:tr w:rsidR="00D4742E" w:rsidRPr="009A2813" w14:paraId="5F8B445E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6084C7D0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60F2653B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11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4E226D23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206,25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19C1B65A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1,2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377D5DFB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8,8</w:t>
            </w:r>
          </w:p>
        </w:tc>
      </w:tr>
      <w:tr w:rsidR="00D4742E" w:rsidRPr="009A2813" w14:paraId="158F01FF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7CCAB059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6DC3D3F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12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4A26578D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225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3BF9A8DF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1,3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73D03505" w14:textId="77777777" w:rsidR="00D4742E" w:rsidRPr="009A2813" w:rsidRDefault="00D4742E" w:rsidP="00CC4A65">
            <w:pPr>
              <w:keepNext/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9,6</w:t>
            </w:r>
          </w:p>
        </w:tc>
      </w:tr>
      <w:tr w:rsidR="00D4742E" w:rsidRPr="009A2813" w14:paraId="246E9A60" w14:textId="77777777" w:rsidTr="004A7A90">
        <w:trPr>
          <w:trHeight w:val="274"/>
          <w:jc w:val="center"/>
        </w:trPr>
        <w:tc>
          <w:tcPr>
            <w:tcW w:w="2044" w:type="dxa"/>
            <w:vMerge w:val="restart"/>
            <w:shd w:val="clear" w:color="auto" w:fill="auto"/>
            <w:vAlign w:val="center"/>
            <w:hideMark/>
          </w:tcPr>
          <w:p w14:paraId="2A4C4CCF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3 mjeseca do </w:t>
            </w:r>
          </w:p>
          <w:p w14:paraId="4C2B6B61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&lt; 6 mjeseci </w:t>
            </w:r>
          </w:p>
          <w:p w14:paraId="38C33B56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</w:p>
          <w:p w14:paraId="34C81694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 xml:space="preserve">15 mg/kg </w:t>
            </w:r>
          </w:p>
          <w:p w14:paraId="7B16F86A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zCs w:val="22"/>
                <w:lang w:val="hr-HR"/>
              </w:rPr>
            </w:pPr>
            <w:r w:rsidRPr="009A2813">
              <w:rPr>
                <w:b/>
                <w:color w:val="000000"/>
                <w:szCs w:val="22"/>
                <w:lang w:val="hr-HR"/>
              </w:rPr>
              <w:t>ceftazidima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3B44F3BE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4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5F4795F7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60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58510BAE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0,36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383A0214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2,7</w:t>
            </w:r>
          </w:p>
        </w:tc>
      </w:tr>
      <w:tr w:rsidR="00D4742E" w:rsidRPr="009A2813" w14:paraId="260924DE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422517F0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4141B78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326E96CC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75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579BDF88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0,45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11DB52EE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3,3</w:t>
            </w:r>
          </w:p>
        </w:tc>
      </w:tr>
      <w:tr w:rsidR="00D4742E" w:rsidRPr="009A2813" w14:paraId="1C88285A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47D81929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484A22CB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5F25AAF9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90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431CFB82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0,54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49E97707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4</w:t>
            </w:r>
          </w:p>
        </w:tc>
      </w:tr>
      <w:tr w:rsidR="00D4742E" w:rsidRPr="009A2813" w14:paraId="36B1B92E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2E80D23F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F0E94A7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7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0D699560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105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26943B06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0,63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1FA92308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4,6</w:t>
            </w:r>
          </w:p>
        </w:tc>
      </w:tr>
      <w:tr w:rsidR="00D4742E" w:rsidRPr="009A2813" w14:paraId="0E07801F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5B19FA4B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0EA3EE42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8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41F819BE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120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6600579A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0,72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362D9706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5,3</w:t>
            </w:r>
          </w:p>
        </w:tc>
      </w:tr>
      <w:tr w:rsidR="00D4742E" w:rsidRPr="009A2813" w14:paraId="2404C449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50CAEEEA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43C760E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9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6E89B1E7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135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337ADB50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0,81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0B3C513A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</w:t>
            </w:r>
          </w:p>
        </w:tc>
      </w:tr>
      <w:tr w:rsidR="00D4742E" w:rsidRPr="009A2813" w14:paraId="70A82FF0" w14:textId="77777777" w:rsidTr="004A7A90">
        <w:trPr>
          <w:trHeight w:val="288"/>
          <w:jc w:val="center"/>
        </w:trPr>
        <w:tc>
          <w:tcPr>
            <w:tcW w:w="2044" w:type="dxa"/>
            <w:vMerge/>
            <w:shd w:val="clear" w:color="auto" w:fill="auto"/>
            <w:noWrap/>
            <w:vAlign w:val="center"/>
            <w:hideMark/>
          </w:tcPr>
          <w:p w14:paraId="65EAF06B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01163927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10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4C9B3F72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150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14:paraId="7ADDCDAE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0,9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2A288CA4" w14:textId="77777777" w:rsidR="00D4742E" w:rsidRPr="009A2813" w:rsidRDefault="00D4742E" w:rsidP="00CC4A65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  <w:lang w:val="hr-HR"/>
              </w:rPr>
            </w:pPr>
            <w:r w:rsidRPr="009A2813">
              <w:rPr>
                <w:color w:val="000000"/>
                <w:szCs w:val="22"/>
                <w:lang w:val="hr-HR"/>
              </w:rPr>
              <w:t>6,6</w:t>
            </w:r>
          </w:p>
        </w:tc>
      </w:tr>
    </w:tbl>
    <w:p w14:paraId="7F440B83" w14:textId="77777777" w:rsidR="00D4742E" w:rsidRPr="009A2813" w:rsidRDefault="00D4742E" w:rsidP="00CC4A65">
      <w:pPr>
        <w:jc w:val="both"/>
        <w:rPr>
          <w:szCs w:val="22"/>
          <w:lang w:val="hr-HR"/>
        </w:rPr>
      </w:pPr>
      <w:r w:rsidRPr="009A2813">
        <w:rPr>
          <w:szCs w:val="22"/>
          <w:vertAlign w:val="superscript"/>
          <w:lang w:val="hr-HR"/>
        </w:rPr>
        <w:t xml:space="preserve">1 </w:t>
      </w:r>
      <w:r w:rsidRPr="009A2813">
        <w:rPr>
          <w:szCs w:val="22"/>
          <w:lang w:val="hr-HR"/>
        </w:rPr>
        <w:t>Samo na bazi komponente ceftazidima.</w:t>
      </w:r>
    </w:p>
    <w:p w14:paraId="707A8E35" w14:textId="77777777" w:rsidR="00AC2528" w:rsidRPr="009A2813" w:rsidRDefault="00AC2528" w:rsidP="00CC4A65">
      <w:pPr>
        <w:jc w:val="both"/>
        <w:rPr>
          <w:szCs w:val="22"/>
          <w:lang w:val="hr-HR"/>
        </w:rPr>
      </w:pPr>
    </w:p>
    <w:p w14:paraId="1C45174C" w14:textId="6443E78D" w:rsidR="00BE0EAA" w:rsidRDefault="003C29D7" w:rsidP="00B41558">
      <w:pPr>
        <w:rPr>
          <w:bCs/>
          <w:szCs w:val="22"/>
          <w:u w:val="single"/>
          <w:lang w:val="hr-HR"/>
        </w:rPr>
      </w:pPr>
      <w:r w:rsidRPr="00C12B32">
        <w:rPr>
          <w:bCs/>
          <w:szCs w:val="22"/>
          <w:u w:val="single"/>
          <w:lang w:val="hr-HR"/>
        </w:rPr>
        <w:t>Za p</w:t>
      </w:r>
      <w:r w:rsidR="00BE0EAA" w:rsidRPr="00C12B32">
        <w:rPr>
          <w:bCs/>
          <w:szCs w:val="22"/>
          <w:u w:val="single"/>
          <w:lang w:val="hr-HR"/>
        </w:rPr>
        <w:t>edijatrijsk</w:t>
      </w:r>
      <w:r w:rsidRPr="00C12B32">
        <w:rPr>
          <w:bCs/>
          <w:szCs w:val="22"/>
          <w:u w:val="single"/>
          <w:lang w:val="hr-HR"/>
        </w:rPr>
        <w:t>e</w:t>
      </w:r>
      <w:r w:rsidR="00BE0EAA" w:rsidRPr="00C12B32">
        <w:rPr>
          <w:bCs/>
          <w:szCs w:val="22"/>
          <w:u w:val="single"/>
          <w:lang w:val="hr-HR"/>
        </w:rPr>
        <w:t xml:space="preserve"> pacijent</w:t>
      </w:r>
      <w:r w:rsidRPr="00C12B32">
        <w:rPr>
          <w:bCs/>
          <w:szCs w:val="22"/>
          <w:u w:val="single"/>
          <w:lang w:val="hr-HR"/>
        </w:rPr>
        <w:t>e</w:t>
      </w:r>
      <w:r w:rsidR="00BE0EAA" w:rsidRPr="00C12B32">
        <w:rPr>
          <w:bCs/>
          <w:szCs w:val="22"/>
          <w:u w:val="single"/>
          <w:lang w:val="hr-HR"/>
        </w:rPr>
        <w:t xml:space="preserve"> od rođenja (uključujući pr</w:t>
      </w:r>
      <w:r w:rsidR="00DC54E3" w:rsidRPr="00C12B32">
        <w:rPr>
          <w:bCs/>
          <w:szCs w:val="22"/>
          <w:u w:val="single"/>
          <w:lang w:val="hr-HR"/>
        </w:rPr>
        <w:t>ij</w:t>
      </w:r>
      <w:r w:rsidR="00BE0EAA" w:rsidRPr="00C12B32">
        <w:rPr>
          <w:bCs/>
          <w:szCs w:val="22"/>
          <w:u w:val="single"/>
          <w:lang w:val="hr-HR"/>
        </w:rPr>
        <w:t>evremeno rođen</w:t>
      </w:r>
      <w:r w:rsidRPr="00C12B32">
        <w:rPr>
          <w:bCs/>
          <w:szCs w:val="22"/>
          <w:u w:val="single"/>
          <w:lang w:val="hr-HR"/>
        </w:rPr>
        <w:t>e</w:t>
      </w:r>
      <w:r w:rsidR="00BE0EAA" w:rsidRPr="00C12B32">
        <w:rPr>
          <w:bCs/>
          <w:szCs w:val="22"/>
          <w:u w:val="single"/>
          <w:lang w:val="hr-HR"/>
        </w:rPr>
        <w:t>) do &lt; 3 m</w:t>
      </w:r>
      <w:r w:rsidR="00DC54E3" w:rsidRPr="00C12B32">
        <w:rPr>
          <w:bCs/>
          <w:szCs w:val="22"/>
          <w:u w:val="single"/>
          <w:lang w:val="hr-HR"/>
        </w:rPr>
        <w:t>j</w:t>
      </w:r>
      <w:r w:rsidR="00BE0EAA" w:rsidRPr="00C12B32">
        <w:rPr>
          <w:bCs/>
          <w:szCs w:val="22"/>
          <w:u w:val="single"/>
          <w:lang w:val="hr-HR"/>
        </w:rPr>
        <w:t xml:space="preserve">eseca </w:t>
      </w:r>
      <w:r w:rsidR="00BE0EAA" w:rsidRPr="008469FB">
        <w:rPr>
          <w:bCs/>
          <w:szCs w:val="22"/>
          <w:u w:val="single"/>
          <w:lang w:val="hr-HR"/>
        </w:rPr>
        <w:t>starosti:</w:t>
      </w:r>
    </w:p>
    <w:p w14:paraId="1C16F786" w14:textId="77777777" w:rsidR="008469FB" w:rsidRPr="008469FB" w:rsidRDefault="008469FB" w:rsidP="00B41558">
      <w:pPr>
        <w:rPr>
          <w:bCs/>
          <w:szCs w:val="22"/>
          <w:u w:val="single"/>
          <w:lang w:val="hr-HR"/>
        </w:rPr>
      </w:pPr>
    </w:p>
    <w:p w14:paraId="474A2FFA" w14:textId="2B35F7C5" w:rsidR="00130F5C" w:rsidRDefault="00BE0EAA" w:rsidP="00B41558">
      <w:pPr>
        <w:rPr>
          <w:szCs w:val="22"/>
          <w:lang w:val="hr-HR"/>
        </w:rPr>
      </w:pPr>
      <w:r w:rsidRPr="00B41558">
        <w:rPr>
          <w:szCs w:val="22"/>
          <w:lang w:val="hr-HR"/>
        </w:rPr>
        <w:lastRenderedPageBreak/>
        <w:t>NAPOMENA</w:t>
      </w:r>
      <w:r w:rsidRPr="009A2813">
        <w:rPr>
          <w:b/>
          <w:bCs/>
          <w:szCs w:val="22"/>
          <w:lang w:val="hr-HR"/>
        </w:rPr>
        <w:t>:</w:t>
      </w:r>
      <w:r w:rsidRPr="009A2813">
        <w:rPr>
          <w:szCs w:val="22"/>
          <w:lang w:val="hr-HR"/>
        </w:rPr>
        <w:t xml:space="preserve"> Sl</w:t>
      </w:r>
      <w:r w:rsidR="00DC54E3" w:rsidRPr="009A2813">
        <w:rPr>
          <w:szCs w:val="22"/>
          <w:lang w:val="hr-HR"/>
        </w:rPr>
        <w:t>j</w:t>
      </w:r>
      <w:r w:rsidRPr="009A2813">
        <w:rPr>
          <w:szCs w:val="22"/>
          <w:lang w:val="hr-HR"/>
        </w:rPr>
        <w:t xml:space="preserve">edeća procedura opisuje korake za pripremu </w:t>
      </w:r>
      <w:r w:rsidR="000C7D48">
        <w:rPr>
          <w:szCs w:val="22"/>
          <w:lang w:val="hr-HR"/>
        </w:rPr>
        <w:t>osnovnog rastvora za</w:t>
      </w:r>
      <w:r w:rsidRPr="009A2813">
        <w:rPr>
          <w:szCs w:val="22"/>
          <w:lang w:val="hr-HR"/>
        </w:rPr>
        <w:t xml:space="preserve"> infuzij</w:t>
      </w:r>
      <w:r w:rsidR="000C7D48">
        <w:rPr>
          <w:szCs w:val="22"/>
          <w:lang w:val="hr-HR"/>
        </w:rPr>
        <w:t>u</w:t>
      </w:r>
      <w:r w:rsidRPr="009A2813">
        <w:rPr>
          <w:szCs w:val="22"/>
          <w:lang w:val="hr-HR"/>
        </w:rPr>
        <w:t xml:space="preserve"> sa konačnom koncentracijom </w:t>
      </w:r>
      <w:r w:rsidR="003C29D7" w:rsidRPr="009A2813">
        <w:rPr>
          <w:szCs w:val="22"/>
          <w:lang w:val="hr-HR"/>
        </w:rPr>
        <w:t xml:space="preserve">ceftazidima </w:t>
      </w:r>
      <w:r w:rsidRPr="009A2813">
        <w:rPr>
          <w:szCs w:val="22"/>
          <w:lang w:val="hr-HR"/>
        </w:rPr>
        <w:t>od 10 mg/m</w:t>
      </w:r>
      <w:r w:rsidR="009A0CE7">
        <w:rPr>
          <w:szCs w:val="22"/>
          <w:lang w:val="hr-HR"/>
        </w:rPr>
        <w:t>l</w:t>
      </w:r>
      <w:r w:rsidRPr="009A2813">
        <w:rPr>
          <w:szCs w:val="22"/>
          <w:lang w:val="hr-HR"/>
        </w:rPr>
        <w:t xml:space="preserve">, </w:t>
      </w:r>
      <w:r w:rsidR="003C29D7">
        <w:rPr>
          <w:szCs w:val="22"/>
          <w:lang w:val="hr-HR"/>
        </w:rPr>
        <w:t>prikladnog</w:t>
      </w:r>
      <w:r w:rsidRPr="009A2813">
        <w:rPr>
          <w:szCs w:val="22"/>
          <w:lang w:val="hr-HR"/>
        </w:rPr>
        <w:t xml:space="preserve"> za prim</w:t>
      </w:r>
      <w:r w:rsidR="007C3296">
        <w:rPr>
          <w:szCs w:val="22"/>
          <w:lang w:val="hr-HR"/>
        </w:rPr>
        <w:t>j</w:t>
      </w:r>
      <w:r w:rsidRPr="009A2813">
        <w:rPr>
          <w:szCs w:val="22"/>
          <w:lang w:val="hr-HR"/>
        </w:rPr>
        <w:t xml:space="preserve">enu doza ispod 250 mg </w:t>
      </w:r>
      <w:r w:rsidR="003C29D7">
        <w:rPr>
          <w:szCs w:val="22"/>
          <w:lang w:val="hr-HR"/>
        </w:rPr>
        <w:t xml:space="preserve">kod </w:t>
      </w:r>
      <w:r w:rsidRPr="009A2813">
        <w:rPr>
          <w:szCs w:val="22"/>
          <w:lang w:val="hr-HR"/>
        </w:rPr>
        <w:t>pedijatrijski</w:t>
      </w:r>
      <w:r w:rsidR="003C29D7">
        <w:rPr>
          <w:szCs w:val="22"/>
          <w:lang w:val="hr-HR"/>
        </w:rPr>
        <w:t>h</w:t>
      </w:r>
      <w:r w:rsidRPr="009A2813">
        <w:rPr>
          <w:szCs w:val="22"/>
          <w:lang w:val="hr-HR"/>
        </w:rPr>
        <w:t xml:space="preserve"> pacijen</w:t>
      </w:r>
      <w:r w:rsidR="003C29D7">
        <w:rPr>
          <w:szCs w:val="22"/>
          <w:lang w:val="hr-HR"/>
        </w:rPr>
        <w:t>ata</w:t>
      </w:r>
      <w:r w:rsidRPr="009A2813">
        <w:rPr>
          <w:szCs w:val="22"/>
          <w:lang w:val="hr-HR"/>
        </w:rPr>
        <w:t xml:space="preserve"> od rođenja (uključujući pr</w:t>
      </w:r>
      <w:r w:rsidR="00D7064F" w:rsidRPr="009A2813">
        <w:rPr>
          <w:szCs w:val="22"/>
          <w:lang w:val="hr-HR"/>
        </w:rPr>
        <w:t>ij</w:t>
      </w:r>
      <w:r w:rsidRPr="009A2813">
        <w:rPr>
          <w:szCs w:val="22"/>
          <w:lang w:val="hr-HR"/>
        </w:rPr>
        <w:t>evremeno rođen</w:t>
      </w:r>
      <w:r w:rsidR="003C29D7">
        <w:rPr>
          <w:szCs w:val="22"/>
          <w:lang w:val="hr-HR"/>
        </w:rPr>
        <w:t>e</w:t>
      </w:r>
      <w:r w:rsidRPr="009A2813">
        <w:rPr>
          <w:szCs w:val="22"/>
          <w:lang w:val="hr-HR"/>
        </w:rPr>
        <w:t>) do &lt; 3 m</w:t>
      </w:r>
      <w:r w:rsidR="00F0469A" w:rsidRPr="009A2813">
        <w:rPr>
          <w:szCs w:val="22"/>
          <w:lang w:val="hr-HR"/>
        </w:rPr>
        <w:t>j</w:t>
      </w:r>
      <w:r w:rsidRPr="009A2813">
        <w:rPr>
          <w:szCs w:val="22"/>
          <w:lang w:val="hr-HR"/>
        </w:rPr>
        <w:t xml:space="preserve">eseca starosti. </w:t>
      </w:r>
      <w:r w:rsidR="003C29D7">
        <w:rPr>
          <w:szCs w:val="22"/>
          <w:lang w:val="hr-HR"/>
        </w:rPr>
        <w:t xml:space="preserve">Mogu se pripremiti </w:t>
      </w:r>
      <w:r w:rsidR="00A31EB2">
        <w:rPr>
          <w:szCs w:val="22"/>
          <w:lang w:val="hr-HR"/>
        </w:rPr>
        <w:t xml:space="preserve">i </w:t>
      </w:r>
      <w:r w:rsidR="003C29D7">
        <w:rPr>
          <w:szCs w:val="22"/>
          <w:lang w:val="hr-HR"/>
        </w:rPr>
        <w:t>a</w:t>
      </w:r>
      <w:r w:rsidRPr="009A2813">
        <w:rPr>
          <w:szCs w:val="22"/>
          <w:lang w:val="hr-HR"/>
        </w:rPr>
        <w:t xml:space="preserve">lternativne koncentracije, ali konačni raspon koncentracije </w:t>
      </w:r>
      <w:r w:rsidR="00454501" w:rsidRPr="009A2813">
        <w:rPr>
          <w:szCs w:val="22"/>
          <w:lang w:val="hr-HR"/>
        </w:rPr>
        <w:t>mora i</w:t>
      </w:r>
      <w:r w:rsidR="00454501">
        <w:rPr>
          <w:szCs w:val="22"/>
          <w:lang w:val="hr-HR"/>
        </w:rPr>
        <w:t>znosi</w:t>
      </w:r>
      <w:r w:rsidR="00454501" w:rsidRPr="009A2813">
        <w:rPr>
          <w:szCs w:val="22"/>
          <w:lang w:val="hr-HR"/>
        </w:rPr>
        <w:t xml:space="preserve">ti </w:t>
      </w:r>
      <w:r w:rsidRPr="009A2813">
        <w:rPr>
          <w:szCs w:val="22"/>
          <w:lang w:val="hr-HR"/>
        </w:rPr>
        <w:t>od 8</w:t>
      </w:r>
      <w:r w:rsidR="00454501">
        <w:rPr>
          <w:szCs w:val="22"/>
          <w:lang w:val="hr-HR"/>
        </w:rPr>
        <w:t xml:space="preserve"> do </w:t>
      </w:r>
      <w:r w:rsidRPr="009A2813">
        <w:rPr>
          <w:szCs w:val="22"/>
          <w:lang w:val="hr-HR"/>
        </w:rPr>
        <w:t>40 mg/m</w:t>
      </w:r>
      <w:r w:rsidR="007C3296">
        <w:rPr>
          <w:szCs w:val="22"/>
          <w:lang w:val="hr-HR"/>
        </w:rPr>
        <w:t>l</w:t>
      </w:r>
      <w:r w:rsidR="00454501" w:rsidRPr="00454501">
        <w:rPr>
          <w:szCs w:val="22"/>
          <w:lang w:val="hr-HR"/>
        </w:rPr>
        <w:t xml:space="preserve"> </w:t>
      </w:r>
      <w:r w:rsidR="00454501" w:rsidRPr="009A2813">
        <w:rPr>
          <w:szCs w:val="22"/>
          <w:lang w:val="hr-HR"/>
        </w:rPr>
        <w:t>ceftazidima</w:t>
      </w:r>
      <w:r w:rsidRPr="009A2813">
        <w:rPr>
          <w:szCs w:val="22"/>
          <w:lang w:val="hr-HR"/>
        </w:rPr>
        <w:t>.</w:t>
      </w:r>
    </w:p>
    <w:p w14:paraId="432DDCD8" w14:textId="77777777" w:rsidR="00130F5C" w:rsidRDefault="00130F5C" w:rsidP="00130F5C">
      <w:pPr>
        <w:rPr>
          <w:szCs w:val="22"/>
          <w:lang w:val="hr-HR"/>
        </w:rPr>
      </w:pPr>
    </w:p>
    <w:p w14:paraId="34D7A22A" w14:textId="5F1833BF" w:rsidR="00130F5C" w:rsidRPr="00130F5C" w:rsidRDefault="00BE0EAA" w:rsidP="00130F5C">
      <w:pPr>
        <w:pStyle w:val="ListParagraph"/>
        <w:numPr>
          <w:ilvl w:val="0"/>
          <w:numId w:val="53"/>
        </w:numPr>
        <w:rPr>
          <w:rFonts w:ascii="Times New Roman" w:hAnsi="Times New Roman"/>
          <w:lang w:val="hr-HR"/>
        </w:rPr>
      </w:pPr>
      <w:r w:rsidRPr="00B41558">
        <w:rPr>
          <w:rFonts w:ascii="Times New Roman" w:hAnsi="Times New Roman"/>
          <w:bCs/>
          <w:lang w:val="hr-HR"/>
        </w:rPr>
        <w:t xml:space="preserve">Priprema </w:t>
      </w:r>
      <w:r w:rsidRPr="00130F5C">
        <w:rPr>
          <w:rFonts w:ascii="Times New Roman" w:hAnsi="Times New Roman"/>
          <w:b/>
          <w:bCs/>
          <w:lang w:val="hr-HR"/>
        </w:rPr>
        <w:t>rekonstituisan</w:t>
      </w:r>
      <w:r w:rsidR="00F0469A" w:rsidRPr="00130F5C">
        <w:rPr>
          <w:rFonts w:ascii="Times New Roman" w:hAnsi="Times New Roman"/>
          <w:b/>
          <w:bCs/>
          <w:lang w:val="hr-HR"/>
        </w:rPr>
        <w:t>og rastvora</w:t>
      </w:r>
      <w:r w:rsidRPr="00130F5C">
        <w:rPr>
          <w:rFonts w:ascii="Times New Roman" w:hAnsi="Times New Roman"/>
          <w:b/>
          <w:bCs/>
          <w:lang w:val="hr-HR"/>
        </w:rPr>
        <w:t xml:space="preserve"> (167,3 mg/m</w:t>
      </w:r>
      <w:r w:rsidR="007C3296" w:rsidRPr="00130F5C">
        <w:rPr>
          <w:rFonts w:ascii="Times New Roman" w:hAnsi="Times New Roman"/>
          <w:b/>
          <w:bCs/>
          <w:lang w:val="hr-HR"/>
        </w:rPr>
        <w:t>l</w:t>
      </w:r>
      <w:r w:rsidRPr="00130F5C">
        <w:rPr>
          <w:rFonts w:ascii="Times New Roman" w:hAnsi="Times New Roman"/>
          <w:b/>
          <w:bCs/>
          <w:lang w:val="hr-HR"/>
        </w:rPr>
        <w:t xml:space="preserve"> ceftazidima):</w:t>
      </w:r>
      <w:r w:rsidRPr="00130F5C">
        <w:rPr>
          <w:rFonts w:ascii="Times New Roman" w:hAnsi="Times New Roman"/>
          <w:lang w:val="hr-HR"/>
        </w:rPr>
        <w:t xml:space="preserve"> </w:t>
      </w:r>
    </w:p>
    <w:p w14:paraId="76294F72" w14:textId="4EEAE4B7" w:rsidR="00130F5C" w:rsidRPr="00130F5C" w:rsidRDefault="00DF66BE" w:rsidP="00C12B32">
      <w:pPr>
        <w:pStyle w:val="ListParagraph"/>
        <w:numPr>
          <w:ilvl w:val="0"/>
          <w:numId w:val="5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Umetnite</w:t>
      </w:r>
      <w:r w:rsidR="00BE0EAA" w:rsidRPr="00130F5C">
        <w:rPr>
          <w:rFonts w:ascii="Times New Roman" w:hAnsi="Times New Roman"/>
          <w:lang w:val="hr-HR"/>
        </w:rPr>
        <w:t xml:space="preserve"> iglu špric</w:t>
      </w:r>
      <w:r w:rsidR="00F0469A" w:rsidRPr="00130F5C">
        <w:rPr>
          <w:rFonts w:ascii="Times New Roman" w:hAnsi="Times New Roman"/>
          <w:lang w:val="hr-HR"/>
        </w:rPr>
        <w:t>a</w:t>
      </w:r>
      <w:r w:rsidR="00BE0EAA" w:rsidRPr="00130F5C">
        <w:rPr>
          <w:rFonts w:ascii="Times New Roman" w:hAnsi="Times New Roman"/>
          <w:lang w:val="hr-HR"/>
        </w:rPr>
        <w:t xml:space="preserve"> kroz zatvarač bočice i ubrizgajte 10 m</w:t>
      </w:r>
      <w:r w:rsidR="007C3296" w:rsidRPr="00130F5C">
        <w:rPr>
          <w:rFonts w:ascii="Times New Roman" w:hAnsi="Times New Roman"/>
          <w:lang w:val="hr-HR"/>
        </w:rPr>
        <w:t>l</w:t>
      </w:r>
      <w:r w:rsidR="00BE0EAA" w:rsidRPr="00130F5C">
        <w:rPr>
          <w:rFonts w:ascii="Times New Roman" w:hAnsi="Times New Roman"/>
          <w:lang w:val="hr-HR"/>
        </w:rPr>
        <w:t xml:space="preserve"> sterilne vode za injekcije.</w:t>
      </w:r>
    </w:p>
    <w:p w14:paraId="012574BD" w14:textId="12529C0D" w:rsidR="00130F5C" w:rsidRDefault="00DF66BE" w:rsidP="00C12B32">
      <w:pPr>
        <w:pStyle w:val="ListParagraph"/>
        <w:numPr>
          <w:ilvl w:val="0"/>
          <w:numId w:val="56"/>
        </w:numPr>
        <w:rPr>
          <w:lang w:val="hr-HR"/>
        </w:rPr>
      </w:pPr>
      <w:r>
        <w:rPr>
          <w:rFonts w:ascii="Times New Roman" w:hAnsi="Times New Roman"/>
          <w:lang w:val="hr-HR"/>
        </w:rPr>
        <w:t>Izvadite</w:t>
      </w:r>
      <w:r w:rsidR="00BE0EAA" w:rsidRPr="00130F5C">
        <w:rPr>
          <w:rFonts w:ascii="Times New Roman" w:hAnsi="Times New Roman"/>
          <w:lang w:val="hr-HR"/>
        </w:rPr>
        <w:t xml:space="preserve"> iglu i protresite bočicu </w:t>
      </w:r>
      <w:r>
        <w:rPr>
          <w:rFonts w:ascii="Times New Roman" w:hAnsi="Times New Roman"/>
          <w:lang w:val="hr-HR"/>
        </w:rPr>
        <w:t>dok ne dobijete</w:t>
      </w:r>
      <w:r w:rsidR="00BE0EAA" w:rsidRPr="00130F5C">
        <w:rPr>
          <w:rFonts w:ascii="Times New Roman" w:hAnsi="Times New Roman"/>
          <w:lang w:val="hr-HR"/>
        </w:rPr>
        <w:t xml:space="preserve"> </w:t>
      </w:r>
      <w:r w:rsidR="007C3296" w:rsidRPr="00130F5C">
        <w:rPr>
          <w:rFonts w:ascii="Times New Roman" w:hAnsi="Times New Roman"/>
          <w:lang w:val="hr-HR"/>
        </w:rPr>
        <w:t>bist</w:t>
      </w:r>
      <w:r>
        <w:rPr>
          <w:rFonts w:ascii="Times New Roman" w:hAnsi="Times New Roman"/>
          <w:lang w:val="hr-HR"/>
        </w:rPr>
        <w:t>ri</w:t>
      </w:r>
      <w:r w:rsidR="00BD65C3" w:rsidRPr="00130F5C">
        <w:rPr>
          <w:rFonts w:ascii="Times New Roman" w:hAnsi="Times New Roman"/>
          <w:lang w:val="hr-HR"/>
        </w:rPr>
        <w:t xml:space="preserve"> r</w:t>
      </w:r>
      <w:r w:rsidR="007C3296" w:rsidRPr="00130F5C">
        <w:rPr>
          <w:rFonts w:ascii="Times New Roman" w:hAnsi="Times New Roman"/>
          <w:lang w:val="hr-HR"/>
        </w:rPr>
        <w:t>a</w:t>
      </w:r>
      <w:r w:rsidR="00BD65C3" w:rsidRPr="00130F5C">
        <w:rPr>
          <w:rFonts w:ascii="Times New Roman" w:hAnsi="Times New Roman"/>
          <w:lang w:val="hr-HR"/>
        </w:rPr>
        <w:t>stvor</w:t>
      </w:r>
      <w:r w:rsidR="00BE0EAA" w:rsidRPr="00130F5C">
        <w:rPr>
          <w:rFonts w:ascii="Times New Roman" w:hAnsi="Times New Roman"/>
          <w:lang w:val="hr-HR"/>
        </w:rPr>
        <w:t>.</w:t>
      </w:r>
    </w:p>
    <w:p w14:paraId="37C1A5E3" w14:textId="56F847CC" w:rsidR="00130F5C" w:rsidRPr="00130F5C" w:rsidRDefault="00DF66BE" w:rsidP="00C12B32">
      <w:pPr>
        <w:pStyle w:val="ListParagraph"/>
        <w:numPr>
          <w:ilvl w:val="0"/>
          <w:numId w:val="5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Umetnite</w:t>
      </w:r>
      <w:r w:rsidR="00BE0EAA" w:rsidRPr="00130F5C">
        <w:rPr>
          <w:rFonts w:ascii="Times New Roman" w:hAnsi="Times New Roman"/>
          <w:lang w:val="hr-HR"/>
        </w:rPr>
        <w:t xml:space="preserve"> iglu za oslobađanje gasa kroz zatvarač bočice </w:t>
      </w:r>
      <w:r w:rsidR="00BE0EAA" w:rsidRPr="00B41558">
        <w:rPr>
          <w:rFonts w:ascii="Times New Roman" w:hAnsi="Times New Roman"/>
          <w:b/>
          <w:lang w:val="hr-HR"/>
        </w:rPr>
        <w:t>nakon</w:t>
      </w:r>
      <w:r w:rsidR="00BE0EAA" w:rsidRPr="00130F5C">
        <w:rPr>
          <w:rFonts w:ascii="Times New Roman" w:hAnsi="Times New Roman"/>
          <w:lang w:val="hr-HR"/>
        </w:rPr>
        <w:t xml:space="preserve"> što se proizvod rastvori kako bi se oslobodio unutrašnji pritisak (ovo je važno za očuvanje sterilnosti proizvoda).</w:t>
      </w:r>
    </w:p>
    <w:p w14:paraId="0E8E5218" w14:textId="1B2CB189" w:rsidR="00130F5C" w:rsidRPr="00130F5C" w:rsidRDefault="00BE0EAA" w:rsidP="00130F5C">
      <w:pPr>
        <w:pStyle w:val="ListParagraph"/>
        <w:numPr>
          <w:ilvl w:val="0"/>
          <w:numId w:val="53"/>
        </w:numPr>
        <w:rPr>
          <w:rFonts w:ascii="Times New Roman" w:hAnsi="Times New Roman"/>
          <w:lang w:val="hr-HR"/>
        </w:rPr>
      </w:pPr>
      <w:r w:rsidRPr="00B41558">
        <w:rPr>
          <w:rFonts w:ascii="Times New Roman" w:hAnsi="Times New Roman"/>
          <w:bCs/>
          <w:lang w:val="hr-HR"/>
        </w:rPr>
        <w:t xml:space="preserve">Priprema </w:t>
      </w:r>
      <w:r w:rsidRPr="00130F5C">
        <w:rPr>
          <w:rFonts w:ascii="Times New Roman" w:hAnsi="Times New Roman"/>
          <w:b/>
          <w:bCs/>
          <w:lang w:val="hr-HR"/>
        </w:rPr>
        <w:t>konačn</w:t>
      </w:r>
      <w:r w:rsidR="0021730E" w:rsidRPr="00130F5C">
        <w:rPr>
          <w:rFonts w:ascii="Times New Roman" w:hAnsi="Times New Roman"/>
          <w:b/>
          <w:bCs/>
          <w:lang w:val="hr-HR"/>
        </w:rPr>
        <w:t xml:space="preserve">og </w:t>
      </w:r>
      <w:r w:rsidR="000C7D48" w:rsidRPr="00130F5C">
        <w:rPr>
          <w:rFonts w:ascii="Times New Roman" w:hAnsi="Times New Roman"/>
          <w:b/>
          <w:bCs/>
          <w:lang w:val="hr-HR"/>
        </w:rPr>
        <w:t xml:space="preserve">osnovnog </w:t>
      </w:r>
      <w:r w:rsidR="0021730E" w:rsidRPr="00130F5C">
        <w:rPr>
          <w:rFonts w:ascii="Times New Roman" w:hAnsi="Times New Roman"/>
          <w:b/>
          <w:bCs/>
          <w:lang w:val="hr-HR"/>
        </w:rPr>
        <w:t xml:space="preserve">rastvora </w:t>
      </w:r>
      <w:r w:rsidRPr="00130F5C">
        <w:rPr>
          <w:rFonts w:ascii="Times New Roman" w:hAnsi="Times New Roman"/>
          <w:b/>
          <w:bCs/>
          <w:lang w:val="hr-HR"/>
        </w:rPr>
        <w:t>za infuziju sa konačnom koncentracijom od 10 mg/m</w:t>
      </w:r>
      <w:r w:rsidR="007C3296" w:rsidRPr="00130F5C">
        <w:rPr>
          <w:rFonts w:ascii="Times New Roman" w:hAnsi="Times New Roman"/>
          <w:b/>
          <w:bCs/>
          <w:lang w:val="hr-HR"/>
        </w:rPr>
        <w:t>l</w:t>
      </w:r>
      <w:r w:rsidRPr="00130F5C">
        <w:rPr>
          <w:rFonts w:ascii="Times New Roman" w:hAnsi="Times New Roman"/>
          <w:b/>
          <w:bCs/>
          <w:lang w:val="hr-HR"/>
        </w:rPr>
        <w:t xml:space="preserve"> ceftazidima:</w:t>
      </w:r>
    </w:p>
    <w:p w14:paraId="3AE4EDAA" w14:textId="513F60B9" w:rsidR="00130F5C" w:rsidRPr="00130F5C" w:rsidRDefault="00BE0EAA" w:rsidP="00C12B32">
      <w:pPr>
        <w:pStyle w:val="ListParagraph"/>
        <w:numPr>
          <w:ilvl w:val="0"/>
          <w:numId w:val="55"/>
        </w:numPr>
        <w:jc w:val="both"/>
        <w:rPr>
          <w:rFonts w:ascii="Times New Roman" w:hAnsi="Times New Roman"/>
          <w:lang w:val="hr-HR"/>
        </w:rPr>
      </w:pPr>
      <w:r w:rsidRPr="00130F5C">
        <w:rPr>
          <w:rFonts w:ascii="Times New Roman" w:hAnsi="Times New Roman"/>
          <w:lang w:val="hr-HR"/>
        </w:rPr>
        <w:t xml:space="preserve">Dalje </w:t>
      </w:r>
      <w:r w:rsidR="00DF66BE">
        <w:rPr>
          <w:rFonts w:ascii="Times New Roman" w:hAnsi="Times New Roman"/>
          <w:lang w:val="hr-HR"/>
        </w:rPr>
        <w:t>razblažite</w:t>
      </w:r>
      <w:r w:rsidRPr="00130F5C">
        <w:rPr>
          <w:rFonts w:ascii="Times New Roman" w:hAnsi="Times New Roman"/>
          <w:lang w:val="hr-HR"/>
        </w:rPr>
        <w:t xml:space="preserve"> rekonstituisan</w:t>
      </w:r>
      <w:r w:rsidR="0021730E" w:rsidRPr="00130F5C">
        <w:rPr>
          <w:rFonts w:ascii="Times New Roman" w:hAnsi="Times New Roman"/>
          <w:lang w:val="hr-HR"/>
        </w:rPr>
        <w:t>i rastvor</w:t>
      </w:r>
      <w:r w:rsidRPr="00130F5C">
        <w:rPr>
          <w:rFonts w:ascii="Times New Roman" w:hAnsi="Times New Roman"/>
          <w:lang w:val="hr-HR"/>
        </w:rPr>
        <w:t xml:space="preserve"> tako što ćete 3 m</w:t>
      </w:r>
      <w:r w:rsidR="007C3296" w:rsidRPr="00130F5C">
        <w:rPr>
          <w:rFonts w:ascii="Times New Roman" w:hAnsi="Times New Roman"/>
          <w:lang w:val="hr-HR"/>
        </w:rPr>
        <w:t>l</w:t>
      </w:r>
      <w:r w:rsidRPr="00130F5C">
        <w:rPr>
          <w:rFonts w:ascii="Times New Roman" w:hAnsi="Times New Roman"/>
          <w:lang w:val="hr-HR"/>
        </w:rPr>
        <w:t xml:space="preserve"> rekonstituisan</w:t>
      </w:r>
      <w:r w:rsidR="0021730E" w:rsidRPr="00130F5C">
        <w:rPr>
          <w:rFonts w:ascii="Times New Roman" w:hAnsi="Times New Roman"/>
          <w:lang w:val="hr-HR"/>
        </w:rPr>
        <w:t>og rastvora</w:t>
      </w:r>
      <w:r w:rsidRPr="00130F5C">
        <w:rPr>
          <w:rFonts w:ascii="Times New Roman" w:hAnsi="Times New Roman"/>
          <w:lang w:val="hr-HR"/>
        </w:rPr>
        <w:t xml:space="preserve"> </w:t>
      </w:r>
      <w:r w:rsidR="00DF66BE">
        <w:rPr>
          <w:rFonts w:ascii="Times New Roman" w:hAnsi="Times New Roman"/>
          <w:lang w:val="hr-HR"/>
        </w:rPr>
        <w:t xml:space="preserve">prenijeti </w:t>
      </w:r>
      <w:r w:rsidRPr="00130F5C">
        <w:rPr>
          <w:rFonts w:ascii="Times New Roman" w:hAnsi="Times New Roman"/>
          <w:lang w:val="hr-HR"/>
        </w:rPr>
        <w:t>u infuzion</w:t>
      </w:r>
      <w:r w:rsidR="000C7D48" w:rsidRPr="00130F5C">
        <w:rPr>
          <w:rFonts w:ascii="Times New Roman" w:hAnsi="Times New Roman"/>
          <w:lang w:val="hr-HR"/>
        </w:rPr>
        <w:t>u</w:t>
      </w:r>
      <w:r w:rsidRPr="00130F5C">
        <w:rPr>
          <w:rFonts w:ascii="Times New Roman" w:hAnsi="Times New Roman"/>
          <w:lang w:val="hr-HR"/>
        </w:rPr>
        <w:t xml:space="preserve"> kesu ili špric koji sadrži 47 m</w:t>
      </w:r>
      <w:r w:rsidR="000C7D48" w:rsidRPr="00130F5C">
        <w:rPr>
          <w:rFonts w:ascii="Times New Roman" w:hAnsi="Times New Roman"/>
          <w:lang w:val="hr-HR"/>
        </w:rPr>
        <w:t>l</w:t>
      </w:r>
      <w:r w:rsidRPr="00130F5C">
        <w:rPr>
          <w:rFonts w:ascii="Times New Roman" w:hAnsi="Times New Roman"/>
          <w:lang w:val="hr-HR"/>
        </w:rPr>
        <w:t xml:space="preserve"> </w:t>
      </w:r>
      <w:r w:rsidR="00A96BDE">
        <w:rPr>
          <w:rFonts w:ascii="Times New Roman" w:hAnsi="Times New Roman"/>
          <w:lang w:val="hr-HR"/>
        </w:rPr>
        <w:t>razblaživača</w:t>
      </w:r>
      <w:r w:rsidRPr="00130F5C">
        <w:rPr>
          <w:rFonts w:ascii="Times New Roman" w:hAnsi="Times New Roman"/>
          <w:lang w:val="hr-HR"/>
        </w:rPr>
        <w:t xml:space="preserve"> (rastvor natrijum hlorida 9 mg/m</w:t>
      </w:r>
      <w:r w:rsidR="007C3296" w:rsidRPr="00130F5C">
        <w:rPr>
          <w:rFonts w:ascii="Times New Roman" w:hAnsi="Times New Roman"/>
          <w:lang w:val="hr-HR"/>
        </w:rPr>
        <w:t>l</w:t>
      </w:r>
      <w:r w:rsidRPr="00130F5C">
        <w:rPr>
          <w:rFonts w:ascii="Times New Roman" w:hAnsi="Times New Roman"/>
          <w:lang w:val="hr-HR"/>
        </w:rPr>
        <w:t xml:space="preserve"> (0,9%) za injekcije ili rastvor dekstroze 50 mg/m</w:t>
      </w:r>
      <w:r w:rsidR="007C3296" w:rsidRPr="00130F5C">
        <w:rPr>
          <w:rFonts w:ascii="Times New Roman" w:hAnsi="Times New Roman"/>
          <w:lang w:val="hr-HR"/>
        </w:rPr>
        <w:t>l</w:t>
      </w:r>
      <w:r w:rsidRPr="00130F5C">
        <w:rPr>
          <w:rFonts w:ascii="Times New Roman" w:hAnsi="Times New Roman"/>
          <w:lang w:val="hr-HR"/>
        </w:rPr>
        <w:t xml:space="preserve"> (5%) za injekcije) kako bi se postig</w:t>
      </w:r>
      <w:r w:rsidR="004D050B" w:rsidRPr="00130F5C">
        <w:rPr>
          <w:rFonts w:ascii="Times New Roman" w:hAnsi="Times New Roman"/>
          <w:lang w:val="hr-HR"/>
        </w:rPr>
        <w:t>la</w:t>
      </w:r>
      <w:r w:rsidRPr="00130F5C">
        <w:rPr>
          <w:rFonts w:ascii="Times New Roman" w:hAnsi="Times New Roman"/>
          <w:lang w:val="hr-HR"/>
        </w:rPr>
        <w:t xml:space="preserve"> konačn</w:t>
      </w:r>
      <w:r w:rsidR="004D050B" w:rsidRPr="00130F5C">
        <w:rPr>
          <w:rFonts w:ascii="Times New Roman" w:hAnsi="Times New Roman"/>
          <w:lang w:val="hr-HR"/>
        </w:rPr>
        <w:t>a</w:t>
      </w:r>
      <w:r w:rsidRPr="00130F5C">
        <w:rPr>
          <w:rFonts w:ascii="Times New Roman" w:hAnsi="Times New Roman"/>
          <w:lang w:val="hr-HR"/>
        </w:rPr>
        <w:t xml:space="preserve"> </w:t>
      </w:r>
      <w:r w:rsidR="004D050B" w:rsidRPr="00130F5C">
        <w:rPr>
          <w:rFonts w:ascii="Times New Roman" w:hAnsi="Times New Roman"/>
          <w:lang w:val="hr-HR"/>
        </w:rPr>
        <w:t>zapremina</w:t>
      </w:r>
      <w:r w:rsidRPr="00130F5C">
        <w:rPr>
          <w:rFonts w:ascii="Times New Roman" w:hAnsi="Times New Roman"/>
          <w:lang w:val="hr-HR"/>
        </w:rPr>
        <w:t xml:space="preserve"> od 50 m</w:t>
      </w:r>
      <w:r w:rsidR="007C3296" w:rsidRPr="00130F5C">
        <w:rPr>
          <w:rFonts w:ascii="Times New Roman" w:hAnsi="Times New Roman"/>
          <w:lang w:val="hr-HR"/>
        </w:rPr>
        <w:t>l</w:t>
      </w:r>
      <w:r w:rsidRPr="00130F5C">
        <w:rPr>
          <w:rFonts w:ascii="Times New Roman" w:hAnsi="Times New Roman"/>
          <w:lang w:val="hr-HR"/>
        </w:rPr>
        <w:t>.</w:t>
      </w:r>
    </w:p>
    <w:p w14:paraId="1FD810BD" w14:textId="0ADBA92A" w:rsidR="00130F5C" w:rsidRDefault="00BE0EAA" w:rsidP="00C12B32">
      <w:pPr>
        <w:pStyle w:val="ListParagraph"/>
        <w:numPr>
          <w:ilvl w:val="0"/>
          <w:numId w:val="55"/>
        </w:numPr>
        <w:jc w:val="both"/>
        <w:rPr>
          <w:rFonts w:ascii="Times New Roman" w:hAnsi="Times New Roman"/>
          <w:lang w:val="hr-HR"/>
        </w:rPr>
      </w:pPr>
      <w:r w:rsidRPr="00130F5C">
        <w:rPr>
          <w:rFonts w:ascii="Times New Roman" w:hAnsi="Times New Roman"/>
          <w:lang w:val="hr-HR"/>
        </w:rPr>
        <w:t>Temeljno izm</w:t>
      </w:r>
      <w:r w:rsidR="004351BB">
        <w:rPr>
          <w:rFonts w:ascii="Times New Roman" w:hAnsi="Times New Roman"/>
          <w:lang w:val="hr-HR"/>
        </w:rPr>
        <w:t>i</w:t>
      </w:r>
      <w:r w:rsidR="004D050B" w:rsidRPr="00130F5C">
        <w:rPr>
          <w:rFonts w:ascii="Times New Roman" w:hAnsi="Times New Roman"/>
          <w:lang w:val="hr-HR"/>
        </w:rPr>
        <w:t>j</w:t>
      </w:r>
      <w:r w:rsidRPr="00130F5C">
        <w:rPr>
          <w:rFonts w:ascii="Times New Roman" w:hAnsi="Times New Roman"/>
          <w:lang w:val="hr-HR"/>
        </w:rPr>
        <w:t>ešajte (npr. n</w:t>
      </w:r>
      <w:r w:rsidR="004D050B" w:rsidRPr="00130F5C">
        <w:rPr>
          <w:rFonts w:ascii="Times New Roman" w:hAnsi="Times New Roman"/>
          <w:lang w:val="hr-HR"/>
        </w:rPr>
        <w:t>j</w:t>
      </w:r>
      <w:r w:rsidRPr="00130F5C">
        <w:rPr>
          <w:rFonts w:ascii="Times New Roman" w:hAnsi="Times New Roman"/>
          <w:lang w:val="hr-HR"/>
        </w:rPr>
        <w:t xml:space="preserve">ežno okrenite infuzionu kesu ili </w:t>
      </w:r>
      <w:r w:rsidR="004351BB">
        <w:rPr>
          <w:rFonts w:ascii="Times New Roman" w:hAnsi="Times New Roman"/>
          <w:lang w:val="hr-HR"/>
        </w:rPr>
        <w:t>pomoću</w:t>
      </w:r>
      <w:r w:rsidRPr="00130F5C">
        <w:rPr>
          <w:rFonts w:ascii="Times New Roman" w:hAnsi="Times New Roman"/>
          <w:lang w:val="hr-HR"/>
        </w:rPr>
        <w:t xml:space="preserve"> </w:t>
      </w:r>
      <w:r w:rsidR="004351BB">
        <w:rPr>
          <w:rFonts w:ascii="Times New Roman" w:hAnsi="Times New Roman"/>
          <w:lang w:val="hr-HR"/>
        </w:rPr>
        <w:t>priključka</w:t>
      </w:r>
      <w:r w:rsidRPr="00130F5C">
        <w:rPr>
          <w:rFonts w:ascii="Times New Roman" w:hAnsi="Times New Roman"/>
          <w:lang w:val="hr-HR"/>
        </w:rPr>
        <w:t xml:space="preserve"> za špric, n</w:t>
      </w:r>
      <w:r w:rsidR="004D050B" w:rsidRPr="00130F5C">
        <w:rPr>
          <w:rFonts w:ascii="Times New Roman" w:hAnsi="Times New Roman"/>
          <w:lang w:val="hr-HR"/>
        </w:rPr>
        <w:t>j</w:t>
      </w:r>
      <w:r w:rsidRPr="00130F5C">
        <w:rPr>
          <w:rFonts w:ascii="Times New Roman" w:hAnsi="Times New Roman"/>
          <w:lang w:val="hr-HR"/>
        </w:rPr>
        <w:t xml:space="preserve">ežno </w:t>
      </w:r>
      <w:r w:rsidR="004351BB">
        <w:rPr>
          <w:rFonts w:ascii="Times New Roman" w:hAnsi="Times New Roman"/>
          <w:lang w:val="hr-HR"/>
        </w:rPr>
        <w:t>prebacujte</w:t>
      </w:r>
      <w:r w:rsidRPr="00130F5C">
        <w:rPr>
          <w:rFonts w:ascii="Times New Roman" w:hAnsi="Times New Roman"/>
          <w:lang w:val="hr-HR"/>
        </w:rPr>
        <w:t xml:space="preserve"> </w:t>
      </w:r>
      <w:r w:rsidR="004D050B" w:rsidRPr="00130F5C">
        <w:rPr>
          <w:rFonts w:ascii="Times New Roman" w:hAnsi="Times New Roman"/>
          <w:lang w:val="hr-HR"/>
        </w:rPr>
        <w:t>rastvor</w:t>
      </w:r>
      <w:r w:rsidRPr="00130F5C">
        <w:rPr>
          <w:rFonts w:ascii="Times New Roman" w:hAnsi="Times New Roman"/>
          <w:lang w:val="hr-HR"/>
        </w:rPr>
        <w:t xml:space="preserve"> </w:t>
      </w:r>
      <w:r w:rsidR="004351BB">
        <w:rPr>
          <w:rFonts w:ascii="Times New Roman" w:hAnsi="Times New Roman"/>
          <w:lang w:val="hr-HR"/>
        </w:rPr>
        <w:t xml:space="preserve">najmanje </w:t>
      </w:r>
      <w:r w:rsidRPr="00130F5C">
        <w:rPr>
          <w:rFonts w:ascii="Times New Roman" w:hAnsi="Times New Roman"/>
          <w:lang w:val="hr-HR"/>
        </w:rPr>
        <w:t>5 puta iz</w:t>
      </w:r>
      <w:r w:rsidR="00C50453">
        <w:rPr>
          <w:rFonts w:ascii="Times New Roman" w:hAnsi="Times New Roman"/>
          <w:lang w:val="hr-HR"/>
        </w:rPr>
        <w:t xml:space="preserve"> jednog u drugi </w:t>
      </w:r>
      <w:r w:rsidRPr="00130F5C">
        <w:rPr>
          <w:rFonts w:ascii="Times New Roman" w:hAnsi="Times New Roman"/>
          <w:lang w:val="hr-HR"/>
        </w:rPr>
        <w:t>špric).</w:t>
      </w:r>
    </w:p>
    <w:p w14:paraId="27F564C9" w14:textId="03880F8F" w:rsidR="008469FB" w:rsidRPr="00130F5C" w:rsidRDefault="008469FB" w:rsidP="00C12B32">
      <w:pPr>
        <w:pStyle w:val="ListParagraph"/>
        <w:numPr>
          <w:ilvl w:val="0"/>
          <w:numId w:val="55"/>
        </w:numPr>
        <w:jc w:val="both"/>
        <w:rPr>
          <w:rFonts w:ascii="Times New Roman" w:hAnsi="Times New Roman"/>
          <w:lang w:val="hr-HR"/>
        </w:rPr>
      </w:pPr>
      <w:r w:rsidRPr="00130F5C">
        <w:rPr>
          <w:rFonts w:ascii="Times New Roman" w:hAnsi="Times New Roman"/>
          <w:lang w:val="hr-HR"/>
        </w:rPr>
        <w:t xml:space="preserve">Prenesite odgovarajuću zapreminu </w:t>
      </w:r>
      <w:r>
        <w:rPr>
          <w:rFonts w:ascii="Times New Roman" w:hAnsi="Times New Roman"/>
          <w:lang w:val="hr-HR"/>
        </w:rPr>
        <w:t xml:space="preserve">osnovnog </w:t>
      </w:r>
      <w:r w:rsidRPr="00130F5C">
        <w:rPr>
          <w:rFonts w:ascii="Times New Roman" w:hAnsi="Times New Roman"/>
          <w:lang w:val="hr-HR"/>
        </w:rPr>
        <w:t xml:space="preserve">rastvora ceftazidima od </w:t>
      </w:r>
      <w:r w:rsidRPr="00B41558">
        <w:rPr>
          <w:rFonts w:ascii="Times New Roman" w:hAnsi="Times New Roman"/>
          <w:b/>
          <w:lang w:val="hr-HR"/>
        </w:rPr>
        <w:t>10 mg/ml</w:t>
      </w:r>
      <w:r w:rsidRPr="00130F5C">
        <w:rPr>
          <w:rFonts w:ascii="Times New Roman" w:hAnsi="Times New Roman"/>
          <w:lang w:val="hr-HR"/>
        </w:rPr>
        <w:t xml:space="preserve"> u infuzioni špric. Pogledajte tabelu 12 u nastavku za zapreminu </w:t>
      </w:r>
      <w:r>
        <w:rPr>
          <w:rFonts w:ascii="Times New Roman" w:hAnsi="Times New Roman"/>
          <w:lang w:val="hr-HR"/>
        </w:rPr>
        <w:t xml:space="preserve">osnovnog </w:t>
      </w:r>
      <w:r w:rsidRPr="00130F5C">
        <w:rPr>
          <w:rFonts w:ascii="Times New Roman" w:hAnsi="Times New Roman"/>
          <w:lang w:val="hr-HR"/>
        </w:rPr>
        <w:t xml:space="preserve">rastvora koju treba prenijeti u infuzioni špric za primjenu. Vrijednosti su </w:t>
      </w:r>
      <w:r>
        <w:rPr>
          <w:rFonts w:ascii="Times New Roman" w:hAnsi="Times New Roman"/>
          <w:lang w:val="hr-HR"/>
        </w:rPr>
        <w:t>približne</w:t>
      </w:r>
      <w:r w:rsidRPr="00130F5C">
        <w:rPr>
          <w:rFonts w:ascii="Times New Roman" w:hAnsi="Times New Roman"/>
          <w:lang w:val="hr-HR"/>
        </w:rPr>
        <w:t xml:space="preserve"> jer može biti potrebno zaokruži</w:t>
      </w:r>
      <w:r>
        <w:rPr>
          <w:rFonts w:ascii="Times New Roman" w:hAnsi="Times New Roman"/>
          <w:lang w:val="hr-HR"/>
        </w:rPr>
        <w:t>vanje</w:t>
      </w:r>
      <w:r w:rsidRPr="00130F5C">
        <w:rPr>
          <w:rFonts w:ascii="Times New Roman" w:hAnsi="Times New Roman"/>
          <w:lang w:val="hr-HR"/>
        </w:rPr>
        <w:t xml:space="preserve"> na najbliž</w:t>
      </w:r>
      <w:r>
        <w:rPr>
          <w:rFonts w:ascii="Times New Roman" w:hAnsi="Times New Roman"/>
          <w:lang w:val="hr-HR"/>
        </w:rPr>
        <w:t>u</w:t>
      </w:r>
      <w:r w:rsidRPr="00130F5C">
        <w:rPr>
          <w:rFonts w:ascii="Times New Roman" w:hAnsi="Times New Roman"/>
          <w:lang w:val="hr-HR"/>
        </w:rPr>
        <w:t xml:space="preserve"> ozna</w:t>
      </w:r>
      <w:r>
        <w:rPr>
          <w:rFonts w:ascii="Times New Roman" w:hAnsi="Times New Roman"/>
          <w:lang w:val="hr-HR"/>
        </w:rPr>
        <w:t xml:space="preserve">ku na </w:t>
      </w:r>
      <w:r w:rsidRPr="00130F5C">
        <w:rPr>
          <w:rFonts w:ascii="Times New Roman" w:hAnsi="Times New Roman"/>
          <w:lang w:val="hr-HR"/>
        </w:rPr>
        <w:t>odgovarajuće veli</w:t>
      </w:r>
      <w:r>
        <w:rPr>
          <w:rFonts w:ascii="Times New Roman" w:hAnsi="Times New Roman"/>
          <w:lang w:val="hr-HR"/>
        </w:rPr>
        <w:t>kom</w:t>
      </w:r>
      <w:r w:rsidRPr="00130F5C">
        <w:rPr>
          <w:rFonts w:ascii="Times New Roman" w:hAnsi="Times New Roman"/>
          <w:lang w:val="hr-HR"/>
        </w:rPr>
        <w:t xml:space="preserve"> špric</w:t>
      </w:r>
      <w:r>
        <w:rPr>
          <w:rFonts w:ascii="Times New Roman" w:hAnsi="Times New Roman"/>
          <w:lang w:val="hr-HR"/>
        </w:rPr>
        <w:t>u</w:t>
      </w:r>
      <w:r w:rsidRPr="00130F5C">
        <w:rPr>
          <w:rFonts w:ascii="Times New Roman" w:hAnsi="Times New Roman"/>
          <w:lang w:val="hr-HR"/>
        </w:rPr>
        <w:t>.</w:t>
      </w:r>
    </w:p>
    <w:p w14:paraId="456CCDD6" w14:textId="36A083FB" w:rsidR="00BE0EAA" w:rsidRPr="00130F5C" w:rsidRDefault="00BE0EAA" w:rsidP="00C12B32">
      <w:pPr>
        <w:pStyle w:val="ListParagraph"/>
        <w:rPr>
          <w:lang w:val="hr-HR"/>
        </w:rPr>
      </w:pPr>
      <w:r w:rsidRPr="00130F5C">
        <w:rPr>
          <w:rFonts w:ascii="Times New Roman" w:hAnsi="Times New Roman"/>
          <w:lang w:val="hr-HR"/>
        </w:rPr>
        <w:t xml:space="preserve">Napomena: Tabele </w:t>
      </w:r>
      <w:r w:rsidR="0024549A">
        <w:rPr>
          <w:rFonts w:ascii="Times New Roman" w:hAnsi="Times New Roman"/>
          <w:lang w:val="hr-HR"/>
        </w:rPr>
        <w:t>NIJESU</w:t>
      </w:r>
      <w:r w:rsidRPr="00130F5C">
        <w:rPr>
          <w:rFonts w:ascii="Times New Roman" w:hAnsi="Times New Roman"/>
          <w:lang w:val="hr-HR"/>
        </w:rPr>
        <w:t xml:space="preserve"> sveobuhvatne za sve moguće </w:t>
      </w:r>
      <w:r w:rsidR="0024549A">
        <w:rPr>
          <w:rFonts w:ascii="Times New Roman" w:hAnsi="Times New Roman"/>
          <w:lang w:val="hr-HR"/>
        </w:rPr>
        <w:t>iz</w:t>
      </w:r>
      <w:r w:rsidRPr="00130F5C">
        <w:rPr>
          <w:rFonts w:ascii="Times New Roman" w:hAnsi="Times New Roman"/>
          <w:lang w:val="hr-HR"/>
        </w:rPr>
        <w:t xml:space="preserve">računate doze, ali </w:t>
      </w:r>
      <w:r w:rsidR="0024549A">
        <w:rPr>
          <w:rFonts w:ascii="Times New Roman" w:hAnsi="Times New Roman"/>
          <w:lang w:val="hr-HR"/>
        </w:rPr>
        <w:t xml:space="preserve">se </w:t>
      </w:r>
      <w:r w:rsidRPr="00130F5C">
        <w:rPr>
          <w:rFonts w:ascii="Times New Roman" w:hAnsi="Times New Roman"/>
          <w:lang w:val="hr-HR"/>
        </w:rPr>
        <w:t>mogu koristiti za proc</w:t>
      </w:r>
      <w:r w:rsidR="00314B8F" w:rsidRPr="00130F5C">
        <w:rPr>
          <w:rFonts w:ascii="Times New Roman" w:hAnsi="Times New Roman"/>
          <w:lang w:val="hr-HR"/>
        </w:rPr>
        <w:t>j</w:t>
      </w:r>
      <w:r w:rsidRPr="00130F5C">
        <w:rPr>
          <w:rFonts w:ascii="Times New Roman" w:hAnsi="Times New Roman"/>
          <w:lang w:val="hr-HR"/>
        </w:rPr>
        <w:t xml:space="preserve">enu </w:t>
      </w:r>
      <w:r w:rsidR="0024549A">
        <w:rPr>
          <w:rFonts w:ascii="Times New Roman" w:hAnsi="Times New Roman"/>
          <w:lang w:val="hr-HR"/>
        </w:rPr>
        <w:t>približne</w:t>
      </w:r>
      <w:r w:rsidRPr="00130F5C">
        <w:rPr>
          <w:rFonts w:ascii="Times New Roman" w:hAnsi="Times New Roman"/>
          <w:lang w:val="hr-HR"/>
        </w:rPr>
        <w:t xml:space="preserve"> zapremine radi prov</w:t>
      </w:r>
      <w:r w:rsidR="00314B8F" w:rsidRPr="00130F5C">
        <w:rPr>
          <w:rFonts w:ascii="Times New Roman" w:hAnsi="Times New Roman"/>
          <w:lang w:val="hr-HR"/>
        </w:rPr>
        <w:t>je</w:t>
      </w:r>
      <w:r w:rsidRPr="00130F5C">
        <w:rPr>
          <w:rFonts w:ascii="Times New Roman" w:hAnsi="Times New Roman"/>
          <w:lang w:val="hr-HR"/>
        </w:rPr>
        <w:t>re proračuna.</w:t>
      </w:r>
    </w:p>
    <w:p w14:paraId="6E5BA60F" w14:textId="77777777" w:rsidR="00314B8F" w:rsidRPr="009A2813" w:rsidRDefault="00314B8F" w:rsidP="00B41558">
      <w:pPr>
        <w:ind w:left="720"/>
        <w:jc w:val="both"/>
        <w:rPr>
          <w:szCs w:val="22"/>
          <w:lang w:val="hr-HR"/>
        </w:rPr>
      </w:pPr>
    </w:p>
    <w:p w14:paraId="7A217570" w14:textId="3F3D4026" w:rsidR="00BE0EAA" w:rsidRPr="009A2813" w:rsidRDefault="00BE0EAA" w:rsidP="00CB6CA4">
      <w:pPr>
        <w:jc w:val="both"/>
        <w:rPr>
          <w:szCs w:val="22"/>
          <w:lang w:val="hr-HR"/>
        </w:rPr>
      </w:pPr>
      <w:r w:rsidRPr="00CB6CA4">
        <w:rPr>
          <w:bCs/>
          <w:szCs w:val="22"/>
          <w:lang w:val="hr-HR"/>
        </w:rPr>
        <w:t>Tabela 12:</w:t>
      </w:r>
      <w:r w:rsidRPr="009A2813">
        <w:rPr>
          <w:szCs w:val="22"/>
          <w:lang w:val="hr-HR"/>
        </w:rPr>
        <w:t xml:space="preserve"> </w:t>
      </w:r>
      <w:r w:rsidR="00130F5C">
        <w:rPr>
          <w:szCs w:val="22"/>
          <w:lang w:val="hr-HR"/>
        </w:rPr>
        <w:t xml:space="preserve">Doziranje lijeka </w:t>
      </w:r>
      <w:r w:rsidRPr="009A2813">
        <w:rPr>
          <w:szCs w:val="22"/>
          <w:lang w:val="hr-HR"/>
        </w:rPr>
        <w:t>Zavicefta kod pedijatrijskih pacijenata od rođenja (uključujući pr</w:t>
      </w:r>
      <w:r w:rsidR="00314B8F" w:rsidRPr="009A2813">
        <w:rPr>
          <w:szCs w:val="22"/>
          <w:lang w:val="hr-HR"/>
        </w:rPr>
        <w:t>ij</w:t>
      </w:r>
      <w:r w:rsidRPr="009A2813">
        <w:rPr>
          <w:szCs w:val="22"/>
          <w:lang w:val="hr-HR"/>
        </w:rPr>
        <w:t>evremeno rođen</w:t>
      </w:r>
      <w:r w:rsidR="0024549A">
        <w:rPr>
          <w:szCs w:val="22"/>
          <w:lang w:val="hr-HR"/>
        </w:rPr>
        <w:t>e</w:t>
      </w:r>
      <w:r w:rsidRPr="009A2813">
        <w:rPr>
          <w:szCs w:val="22"/>
          <w:lang w:val="hr-HR"/>
        </w:rPr>
        <w:t>) do &lt; 3 m</w:t>
      </w:r>
      <w:r w:rsidR="009F1291" w:rsidRPr="009A2813">
        <w:rPr>
          <w:szCs w:val="22"/>
          <w:lang w:val="hr-HR"/>
        </w:rPr>
        <w:t>j</w:t>
      </w:r>
      <w:r w:rsidRPr="009A2813">
        <w:rPr>
          <w:szCs w:val="22"/>
          <w:lang w:val="hr-HR"/>
        </w:rPr>
        <w:t xml:space="preserve">eseca starosti </w:t>
      </w:r>
      <w:r w:rsidR="0024549A">
        <w:rPr>
          <w:szCs w:val="22"/>
          <w:lang w:val="hr-HR"/>
        </w:rPr>
        <w:t>pomoću</w:t>
      </w:r>
      <w:r w:rsidRPr="009A2813">
        <w:rPr>
          <w:szCs w:val="22"/>
          <w:lang w:val="hr-HR"/>
        </w:rPr>
        <w:t xml:space="preserve"> </w:t>
      </w:r>
      <w:r w:rsidR="00A96BDE">
        <w:rPr>
          <w:szCs w:val="22"/>
          <w:lang w:val="hr-HR"/>
        </w:rPr>
        <w:t xml:space="preserve">osnovnog </w:t>
      </w:r>
      <w:r w:rsidR="009F1291" w:rsidRPr="009A2813">
        <w:rPr>
          <w:szCs w:val="22"/>
          <w:lang w:val="hr-HR"/>
        </w:rPr>
        <w:t>rastvora</w:t>
      </w:r>
      <w:r w:rsidRPr="009A2813">
        <w:rPr>
          <w:szCs w:val="22"/>
          <w:lang w:val="hr-HR"/>
        </w:rPr>
        <w:t xml:space="preserve"> </w:t>
      </w:r>
      <w:r w:rsidR="00A96BDE">
        <w:rPr>
          <w:szCs w:val="22"/>
          <w:lang w:val="hr-HR"/>
        </w:rPr>
        <w:t xml:space="preserve">lijeka </w:t>
      </w:r>
      <w:r w:rsidRPr="009A2813">
        <w:rPr>
          <w:szCs w:val="22"/>
          <w:lang w:val="hr-HR"/>
        </w:rPr>
        <w:t xml:space="preserve">Zavicefta </w:t>
      </w:r>
      <w:r w:rsidR="0024549A">
        <w:rPr>
          <w:szCs w:val="22"/>
          <w:lang w:val="hr-HR"/>
        </w:rPr>
        <w:t xml:space="preserve">of 50 ml </w:t>
      </w:r>
      <w:r w:rsidRPr="009A2813">
        <w:rPr>
          <w:szCs w:val="22"/>
          <w:lang w:val="hr-HR"/>
        </w:rPr>
        <w:t xml:space="preserve">(konačna koncentracija </w:t>
      </w:r>
      <w:r w:rsidR="00A96BDE" w:rsidRPr="009A2813">
        <w:rPr>
          <w:szCs w:val="22"/>
          <w:lang w:val="hr-HR"/>
        </w:rPr>
        <w:t xml:space="preserve">ceftazidima </w:t>
      </w:r>
      <w:r w:rsidR="00A96BDE">
        <w:rPr>
          <w:szCs w:val="22"/>
          <w:lang w:val="hr-HR"/>
        </w:rPr>
        <w:t xml:space="preserve">od </w:t>
      </w:r>
      <w:r w:rsidRPr="009A2813">
        <w:rPr>
          <w:szCs w:val="22"/>
          <w:lang w:val="hr-HR"/>
        </w:rPr>
        <w:t>10 mg/m</w:t>
      </w:r>
      <w:r w:rsidR="00A96BDE">
        <w:rPr>
          <w:szCs w:val="22"/>
          <w:lang w:val="hr-HR"/>
        </w:rPr>
        <w:t>l</w:t>
      </w:r>
      <w:r w:rsidRPr="009A2813">
        <w:rPr>
          <w:szCs w:val="22"/>
          <w:lang w:val="hr-HR"/>
        </w:rPr>
        <w:t>) pripremljen</w:t>
      </w:r>
      <w:r w:rsidR="00A96BDE">
        <w:rPr>
          <w:szCs w:val="22"/>
          <w:lang w:val="hr-HR"/>
        </w:rPr>
        <w:t>og</w:t>
      </w:r>
      <w:r w:rsidRPr="009A2813">
        <w:rPr>
          <w:szCs w:val="22"/>
          <w:lang w:val="hr-HR"/>
        </w:rPr>
        <w:t xml:space="preserve"> sa 3 m</w:t>
      </w:r>
      <w:r w:rsidR="00A96BDE">
        <w:rPr>
          <w:szCs w:val="22"/>
          <w:lang w:val="hr-HR"/>
        </w:rPr>
        <w:t>l</w:t>
      </w:r>
      <w:r w:rsidRPr="009A2813">
        <w:rPr>
          <w:szCs w:val="22"/>
          <w:lang w:val="hr-HR"/>
        </w:rPr>
        <w:t xml:space="preserve"> rekonstituisan</w:t>
      </w:r>
      <w:r w:rsidR="009F1291" w:rsidRPr="009A2813">
        <w:rPr>
          <w:szCs w:val="22"/>
          <w:lang w:val="hr-HR"/>
        </w:rPr>
        <w:t>og rastvora</w:t>
      </w:r>
      <w:r w:rsidRPr="009A2813">
        <w:rPr>
          <w:szCs w:val="22"/>
          <w:lang w:val="hr-HR"/>
        </w:rPr>
        <w:t xml:space="preserve"> </w:t>
      </w:r>
      <w:r w:rsidR="00A96BDE">
        <w:rPr>
          <w:szCs w:val="22"/>
          <w:lang w:val="hr-HR"/>
        </w:rPr>
        <w:t>izvučenog</w:t>
      </w:r>
      <w:r w:rsidRPr="009A2813">
        <w:rPr>
          <w:szCs w:val="22"/>
          <w:lang w:val="hr-HR"/>
        </w:rPr>
        <w:t xml:space="preserve"> iz bočice i dodat</w:t>
      </w:r>
      <w:r w:rsidR="00A96BDE">
        <w:rPr>
          <w:szCs w:val="22"/>
          <w:lang w:val="hr-HR"/>
        </w:rPr>
        <w:t>og u</w:t>
      </w:r>
      <w:r w:rsidRPr="009A2813">
        <w:rPr>
          <w:szCs w:val="22"/>
          <w:lang w:val="hr-HR"/>
        </w:rPr>
        <w:t xml:space="preserve"> 47 m</w:t>
      </w:r>
      <w:r w:rsidR="00A96BDE">
        <w:rPr>
          <w:szCs w:val="22"/>
          <w:lang w:val="hr-HR"/>
        </w:rPr>
        <w:t>l</w:t>
      </w:r>
      <w:r w:rsidRPr="009A2813">
        <w:rPr>
          <w:szCs w:val="22"/>
          <w:lang w:val="hr-HR"/>
        </w:rPr>
        <w:t xml:space="preserve"> </w:t>
      </w:r>
      <w:r w:rsidR="00A96BDE">
        <w:rPr>
          <w:szCs w:val="22"/>
          <w:lang w:val="hr-HR"/>
        </w:rPr>
        <w:t>razblaživača</w:t>
      </w:r>
      <w:r w:rsidRPr="009A2813">
        <w:rPr>
          <w:szCs w:val="22"/>
          <w:lang w:val="hr-HR"/>
        </w:rPr>
        <w:t>.</w:t>
      </w: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1350"/>
        <w:gridCol w:w="1800"/>
        <w:gridCol w:w="3623"/>
      </w:tblGrid>
      <w:tr w:rsidR="0094316A" w:rsidRPr="009A2813" w14:paraId="1746374B" w14:textId="77777777" w:rsidTr="004359F0">
        <w:trPr>
          <w:trHeight w:val="2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48EA" w14:textId="30441922" w:rsidR="0094316A" w:rsidRPr="009A2813" w:rsidRDefault="0094316A" w:rsidP="00C05D0D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Uzrast i </w:t>
            </w:r>
            <w:r w:rsidR="00C05D0D">
              <w:rPr>
                <w:szCs w:val="22"/>
                <w:lang w:val="hr-HR"/>
              </w:rPr>
              <w:t xml:space="preserve">doza lijeka </w:t>
            </w:r>
            <w:r w:rsidRPr="009A2813">
              <w:rPr>
                <w:szCs w:val="22"/>
                <w:lang w:val="hr-HR"/>
              </w:rPr>
              <w:t>Zavicefta (mg/kg)</w:t>
            </w:r>
            <w:r w:rsidRPr="009A2813">
              <w:rPr>
                <w:szCs w:val="22"/>
                <w:vertAlign w:val="superscript"/>
                <w:lang w:val="hr-HR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8E1" w14:textId="13DD66BE" w:rsidR="0094316A" w:rsidRPr="009A2813" w:rsidRDefault="0094316A" w:rsidP="0094316A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Težina (kg)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FA7B" w14:textId="16E8C7E5" w:rsidR="0094316A" w:rsidRPr="009A2813" w:rsidRDefault="0094316A" w:rsidP="0094316A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Doza</w:t>
            </w:r>
          </w:p>
          <w:p w14:paraId="6E6D2A1B" w14:textId="3EA07C52" w:rsidR="0094316A" w:rsidRPr="009A2813" w:rsidRDefault="0094316A" w:rsidP="0094316A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(mg ceftazidim</w:t>
            </w:r>
            <w:r w:rsidR="00C05D0D">
              <w:rPr>
                <w:szCs w:val="22"/>
                <w:lang w:val="hr-HR"/>
              </w:rPr>
              <w:t>a</w:t>
            </w:r>
            <w:r w:rsidRPr="009A2813">
              <w:rPr>
                <w:szCs w:val="22"/>
                <w:lang w:val="hr-HR"/>
              </w:rPr>
              <w:t>)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3D86" w14:textId="27FB8F08" w:rsidR="0094316A" w:rsidRPr="009A2813" w:rsidRDefault="00981100" w:rsidP="00C05D0D">
            <w:pPr>
              <w:jc w:val="both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Zapremina osnovnog rastvora (ceftazidim) od 10 mg/m</w:t>
            </w:r>
            <w:r w:rsidR="00C05D0D">
              <w:rPr>
                <w:szCs w:val="22"/>
                <w:lang w:val="hr-HR"/>
              </w:rPr>
              <w:t>l</w:t>
            </w:r>
            <w:r w:rsidRPr="009A2813">
              <w:rPr>
                <w:szCs w:val="22"/>
                <w:lang w:val="hr-HR"/>
              </w:rPr>
              <w:t xml:space="preserve"> koj</w:t>
            </w:r>
            <w:r w:rsidR="00C05D0D">
              <w:rPr>
                <w:szCs w:val="22"/>
                <w:lang w:val="hr-HR"/>
              </w:rPr>
              <w:t>u</w:t>
            </w:r>
            <w:r w:rsidRPr="009A2813">
              <w:rPr>
                <w:szCs w:val="22"/>
                <w:lang w:val="hr-HR"/>
              </w:rPr>
              <w:t xml:space="preserve"> treba prim</w:t>
            </w:r>
            <w:r w:rsidR="00C05D0D">
              <w:rPr>
                <w:szCs w:val="22"/>
                <w:lang w:val="hr-HR"/>
              </w:rPr>
              <w:t>ij</w:t>
            </w:r>
            <w:r w:rsidRPr="009A2813">
              <w:rPr>
                <w:szCs w:val="22"/>
                <w:lang w:val="hr-HR"/>
              </w:rPr>
              <w:t>eni</w:t>
            </w:r>
            <w:r w:rsidR="00C05D0D">
              <w:rPr>
                <w:szCs w:val="22"/>
                <w:lang w:val="hr-HR"/>
              </w:rPr>
              <w:t>ti</w:t>
            </w:r>
            <w:r w:rsidRPr="009A2813">
              <w:rPr>
                <w:szCs w:val="22"/>
                <w:lang w:val="hr-HR"/>
              </w:rPr>
              <w:t xml:space="preserve"> (m</w:t>
            </w:r>
            <w:r w:rsidR="00C05D0D">
              <w:rPr>
                <w:szCs w:val="22"/>
                <w:lang w:val="hr-HR"/>
              </w:rPr>
              <w:t>l</w:t>
            </w:r>
            <w:r w:rsidRPr="009A2813">
              <w:rPr>
                <w:szCs w:val="22"/>
                <w:lang w:val="hr-HR"/>
              </w:rPr>
              <w:t>)</w:t>
            </w:r>
          </w:p>
        </w:tc>
      </w:tr>
      <w:tr w:rsidR="0094316A" w:rsidRPr="009A2813" w14:paraId="7D49B5F8" w14:textId="77777777" w:rsidTr="004359F0">
        <w:trPr>
          <w:trHeight w:val="274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DF0F" w14:textId="46F417C3" w:rsidR="00533678" w:rsidRDefault="00C50453" w:rsidP="00C12B32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Terminska odoj</w:t>
            </w:r>
            <w:r w:rsidR="00533678" w:rsidRPr="009A2813">
              <w:rPr>
                <w:szCs w:val="22"/>
                <w:lang w:val="hr-HR"/>
              </w:rPr>
              <w:t>čad (gestacija ≥ 37 nedjelja) od &gt; 28 dana do &lt; 3 mjeseca</w:t>
            </w:r>
          </w:p>
          <w:p w14:paraId="25228E64" w14:textId="77777777" w:rsidR="00DC23FB" w:rsidRPr="009A2813" w:rsidRDefault="00DC23FB" w:rsidP="00C12B32">
            <w:pPr>
              <w:rPr>
                <w:szCs w:val="22"/>
                <w:lang w:val="hr-HR"/>
              </w:rPr>
            </w:pPr>
          </w:p>
          <w:p w14:paraId="01F1060A" w14:textId="77777777" w:rsidR="00533678" w:rsidRDefault="00533678" w:rsidP="00C12B32">
            <w:pPr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ILI</w:t>
            </w:r>
          </w:p>
          <w:p w14:paraId="39BD6486" w14:textId="77777777" w:rsidR="00DC23FB" w:rsidRPr="009A2813" w:rsidRDefault="00DC23FB" w:rsidP="00C12B32">
            <w:pPr>
              <w:rPr>
                <w:szCs w:val="22"/>
                <w:lang w:val="hr-HR"/>
              </w:rPr>
            </w:pPr>
          </w:p>
          <w:p w14:paraId="16815AF8" w14:textId="303A76A8" w:rsidR="00533678" w:rsidRDefault="00533678" w:rsidP="00C12B32">
            <w:pPr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Prijevremeno rođen</w:t>
            </w:r>
            <w:r w:rsidR="00C50453">
              <w:rPr>
                <w:szCs w:val="22"/>
                <w:lang w:val="hr-HR"/>
              </w:rPr>
              <w:t>a odojčad</w:t>
            </w:r>
            <w:r w:rsidRPr="009A2813">
              <w:rPr>
                <w:szCs w:val="22"/>
                <w:lang w:val="hr-HR"/>
              </w:rPr>
              <w:t xml:space="preserve"> &gt; 44 nedjelje do &lt; 53 nedjelje PMA</w:t>
            </w:r>
          </w:p>
          <w:p w14:paraId="2B6870A6" w14:textId="77777777" w:rsidR="00717269" w:rsidRPr="009A2813" w:rsidRDefault="00717269" w:rsidP="00533678">
            <w:pPr>
              <w:jc w:val="both"/>
              <w:rPr>
                <w:szCs w:val="22"/>
                <w:lang w:val="hr-HR"/>
              </w:rPr>
            </w:pPr>
          </w:p>
          <w:p w14:paraId="7B8B8B73" w14:textId="77777777" w:rsidR="00533678" w:rsidRPr="00B41558" w:rsidRDefault="00533678" w:rsidP="00533678">
            <w:pPr>
              <w:jc w:val="both"/>
              <w:rPr>
                <w:b/>
                <w:szCs w:val="22"/>
                <w:lang w:val="hr-HR"/>
              </w:rPr>
            </w:pPr>
            <w:r w:rsidRPr="00B41558">
              <w:rPr>
                <w:b/>
                <w:szCs w:val="22"/>
                <w:lang w:val="hr-HR"/>
              </w:rPr>
              <w:t>30 mg/kg ceftazidima</w:t>
            </w:r>
          </w:p>
          <w:p w14:paraId="4DC1DC8D" w14:textId="3AB46718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DDD9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9264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90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E7E3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9</w:t>
            </w:r>
          </w:p>
        </w:tc>
      </w:tr>
      <w:tr w:rsidR="0094316A" w:rsidRPr="009A2813" w14:paraId="34752C5B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E861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7953" w14:textId="1CCA82AC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3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45D0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105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FC2E" w14:textId="031926ED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10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</w:tr>
      <w:tr w:rsidR="0094316A" w:rsidRPr="009A2813" w14:paraId="108C323F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904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7CA4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96A3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120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DD1C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12</w:t>
            </w:r>
          </w:p>
        </w:tc>
      </w:tr>
      <w:tr w:rsidR="0094316A" w:rsidRPr="009A2813" w14:paraId="7DAC0215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61C4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95F7" w14:textId="621AF5C4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4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DEA7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135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6FCD" w14:textId="10C919AB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13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</w:tr>
      <w:tr w:rsidR="0094316A" w:rsidRPr="009A2813" w14:paraId="419D4374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CE26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5EA5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CDCA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150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7CF3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15</w:t>
            </w:r>
          </w:p>
        </w:tc>
      </w:tr>
      <w:tr w:rsidR="0094316A" w:rsidRPr="009A2813" w14:paraId="69B6FD96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966D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B2E9" w14:textId="4176A7D3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5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49EB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165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9BD4" w14:textId="6F273BBE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16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</w:tr>
      <w:tr w:rsidR="0094316A" w:rsidRPr="009A2813" w14:paraId="42C0B679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126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B9BC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2D59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180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972F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18</w:t>
            </w:r>
          </w:p>
        </w:tc>
      </w:tr>
      <w:tr w:rsidR="0094316A" w:rsidRPr="009A2813" w14:paraId="5DBAF451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15F9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DF61" w14:textId="413E4C5E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6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51B2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195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021D" w14:textId="411B33E1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19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</w:tr>
      <w:tr w:rsidR="0094316A" w:rsidRPr="009A2813" w14:paraId="6C96FDF6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A2D6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DCA9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0EF7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3162F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21</w:t>
            </w:r>
          </w:p>
        </w:tc>
      </w:tr>
      <w:tr w:rsidR="0094316A" w:rsidRPr="009A2813" w14:paraId="6282F31B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ADFD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CB34" w14:textId="351D6C3C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7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7350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225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B3B6" w14:textId="69E1A173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22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</w:tr>
      <w:tr w:rsidR="0094316A" w:rsidRPr="009A2813" w14:paraId="5C7C1690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302B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C7E6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9A12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240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8460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24</w:t>
            </w:r>
          </w:p>
        </w:tc>
      </w:tr>
      <w:tr w:rsidR="0094316A" w:rsidRPr="009A2813" w14:paraId="047B3748" w14:textId="77777777" w:rsidTr="004359F0">
        <w:trPr>
          <w:trHeight w:val="274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9AED" w14:textId="2C09E627" w:rsidR="00C857A8" w:rsidRDefault="00C50453" w:rsidP="00C12B32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Terminska n</w:t>
            </w:r>
            <w:r w:rsidR="00C857A8" w:rsidRPr="009A2813">
              <w:rPr>
                <w:szCs w:val="22"/>
                <w:lang w:val="hr-HR"/>
              </w:rPr>
              <w:t>ovorođenčad (gestacija ≥ 37 nedjelja) od rođenja do ≤ 28 dana</w:t>
            </w:r>
          </w:p>
          <w:p w14:paraId="40B61A7A" w14:textId="77777777" w:rsidR="00DC23FB" w:rsidRPr="009A2813" w:rsidRDefault="00DC23FB" w:rsidP="00C12B32">
            <w:pPr>
              <w:rPr>
                <w:szCs w:val="22"/>
                <w:lang w:val="hr-HR"/>
              </w:rPr>
            </w:pPr>
          </w:p>
          <w:p w14:paraId="4FE1631E" w14:textId="324034AD" w:rsidR="00C857A8" w:rsidRDefault="00C857A8" w:rsidP="00C12B32">
            <w:pPr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ILI</w:t>
            </w:r>
          </w:p>
          <w:p w14:paraId="64318C6A" w14:textId="77777777" w:rsidR="008469FB" w:rsidRPr="009A2813" w:rsidRDefault="008469FB" w:rsidP="00C12B32">
            <w:pPr>
              <w:rPr>
                <w:szCs w:val="22"/>
                <w:lang w:val="hr-HR"/>
              </w:rPr>
            </w:pPr>
          </w:p>
          <w:p w14:paraId="14A45AC1" w14:textId="14FBB922" w:rsidR="00C857A8" w:rsidRDefault="00C857A8" w:rsidP="00C12B32">
            <w:pPr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 xml:space="preserve">Prijevremeno rođena novorođenčad i </w:t>
            </w:r>
            <w:r w:rsidR="00717269">
              <w:rPr>
                <w:szCs w:val="22"/>
                <w:lang w:val="hr-HR"/>
              </w:rPr>
              <w:t>odojčad</w:t>
            </w:r>
            <w:r w:rsidRPr="009A2813">
              <w:rPr>
                <w:szCs w:val="22"/>
                <w:lang w:val="hr-HR"/>
              </w:rPr>
              <w:t xml:space="preserve"> od 26 do ≤ 44 nedjelje </w:t>
            </w:r>
            <w:r w:rsidRPr="009A2813">
              <w:rPr>
                <w:szCs w:val="22"/>
                <w:lang w:val="hr-HR"/>
              </w:rPr>
              <w:lastRenderedPageBreak/>
              <w:t>postm</w:t>
            </w:r>
            <w:r w:rsidR="00DC23FB">
              <w:rPr>
                <w:szCs w:val="22"/>
                <w:lang w:val="hr-HR"/>
              </w:rPr>
              <w:t>enstrualne</w:t>
            </w:r>
            <w:r w:rsidR="008469FB">
              <w:rPr>
                <w:szCs w:val="22"/>
                <w:lang w:val="hr-HR"/>
              </w:rPr>
              <w:t xml:space="preserve"> </w:t>
            </w:r>
            <w:r w:rsidRPr="009A2813">
              <w:rPr>
                <w:szCs w:val="22"/>
                <w:lang w:val="hr-HR"/>
              </w:rPr>
              <w:t>starosti (PMA)</w:t>
            </w:r>
          </w:p>
          <w:p w14:paraId="17FA1237" w14:textId="77777777" w:rsidR="008469FB" w:rsidRPr="009A2813" w:rsidRDefault="008469FB" w:rsidP="00C12B32">
            <w:pPr>
              <w:rPr>
                <w:szCs w:val="22"/>
                <w:lang w:val="hr-HR"/>
              </w:rPr>
            </w:pPr>
          </w:p>
          <w:p w14:paraId="003A6453" w14:textId="77777777" w:rsidR="00C857A8" w:rsidRPr="00C12B32" w:rsidRDefault="00C857A8" w:rsidP="00C12B32">
            <w:pPr>
              <w:rPr>
                <w:b/>
                <w:szCs w:val="22"/>
                <w:lang w:val="hr-HR"/>
              </w:rPr>
            </w:pPr>
            <w:r w:rsidRPr="00C12B32">
              <w:rPr>
                <w:b/>
                <w:szCs w:val="22"/>
                <w:lang w:val="hr-HR"/>
              </w:rPr>
              <w:t>20 mg/kg ceftazidima</w:t>
            </w:r>
          </w:p>
          <w:p w14:paraId="1949E742" w14:textId="3F4F4CC9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8826" w14:textId="20B1E0DA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lastRenderedPageBreak/>
              <w:t>0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E3FD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0DA4" w14:textId="79397E61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6</w:t>
            </w:r>
          </w:p>
        </w:tc>
      </w:tr>
      <w:tr w:rsidR="0094316A" w:rsidRPr="009A2813" w14:paraId="5D32C7E2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6B73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C748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1150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0327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</w:t>
            </w:r>
          </w:p>
        </w:tc>
      </w:tr>
      <w:tr w:rsidR="0094316A" w:rsidRPr="009A2813" w14:paraId="5682C77B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0558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A516" w14:textId="340E02ED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0599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A72B" w14:textId="13F9AD6F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4</w:t>
            </w:r>
          </w:p>
        </w:tc>
      </w:tr>
      <w:tr w:rsidR="0094316A" w:rsidRPr="009A2813" w14:paraId="25E3BDD7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8FA0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D414" w14:textId="2980638B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CCEB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426A" w14:textId="3A329A40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8</w:t>
            </w:r>
          </w:p>
        </w:tc>
      </w:tr>
      <w:tr w:rsidR="0094316A" w:rsidRPr="009A2813" w14:paraId="7C85440A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B913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CAD3" w14:textId="5A2B7D1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A79E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32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1D43" w14:textId="57244652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3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2</w:t>
            </w:r>
          </w:p>
        </w:tc>
      </w:tr>
      <w:tr w:rsidR="0094316A" w:rsidRPr="009A2813" w14:paraId="4452A528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663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2617" w14:textId="7C34730A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2E0E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36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7F91" w14:textId="19D21E22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3</w:t>
            </w:r>
            <w:r w:rsidR="00C05D0D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6</w:t>
            </w:r>
          </w:p>
        </w:tc>
      </w:tr>
      <w:tr w:rsidR="0094316A" w:rsidRPr="009A2813" w14:paraId="528ED922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D450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C04E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F81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40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200F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4</w:t>
            </w:r>
          </w:p>
        </w:tc>
      </w:tr>
      <w:tr w:rsidR="0094316A" w:rsidRPr="009A2813" w14:paraId="07A0E9C1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C697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582" w14:textId="6088E47E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D039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44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E5F0" w14:textId="3A5B309D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4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4</w:t>
            </w:r>
          </w:p>
        </w:tc>
      </w:tr>
      <w:tr w:rsidR="0094316A" w:rsidRPr="009A2813" w14:paraId="313D4BCD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421E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4ACC" w14:textId="3A47F435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3C0B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48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33DC" w14:textId="226D1F8D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4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8</w:t>
            </w:r>
          </w:p>
        </w:tc>
      </w:tr>
      <w:tr w:rsidR="0094316A" w:rsidRPr="009A2813" w14:paraId="6AC51EB7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B8E3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A5E5" w14:textId="04134A79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1C54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52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B00F" w14:textId="208E57B3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5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2</w:t>
            </w:r>
          </w:p>
        </w:tc>
      </w:tr>
      <w:tr w:rsidR="0094316A" w:rsidRPr="009A2813" w14:paraId="6522A5C1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4892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C6B5" w14:textId="5A14268E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2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D40A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56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45A5" w14:textId="313E9954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5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6</w:t>
            </w:r>
          </w:p>
        </w:tc>
      </w:tr>
      <w:tr w:rsidR="0094316A" w:rsidRPr="009A2813" w14:paraId="411F9BBA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BCA5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F67C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C64B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60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FD85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6</w:t>
            </w:r>
          </w:p>
        </w:tc>
      </w:tr>
      <w:tr w:rsidR="0094316A" w:rsidRPr="009A2813" w14:paraId="0B0401B0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0230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08D" w14:textId="33FC2A40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3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5778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70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4CB2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7</w:t>
            </w:r>
          </w:p>
        </w:tc>
      </w:tr>
      <w:tr w:rsidR="0094316A" w:rsidRPr="009A2813" w14:paraId="6F3E2968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792E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B50D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774F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80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E566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8</w:t>
            </w:r>
          </w:p>
        </w:tc>
      </w:tr>
      <w:tr w:rsidR="0094316A" w:rsidRPr="009A2813" w14:paraId="731FEC42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7331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F4BF" w14:textId="15E970B9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4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03FA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90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5754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9</w:t>
            </w:r>
          </w:p>
        </w:tc>
      </w:tr>
      <w:tr w:rsidR="0094316A" w:rsidRPr="009A2813" w14:paraId="72BD2647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8967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FDC5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6819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100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78BF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10</w:t>
            </w:r>
          </w:p>
        </w:tc>
      </w:tr>
      <w:tr w:rsidR="0094316A" w:rsidRPr="009A2813" w14:paraId="5A03409C" w14:textId="77777777" w:rsidTr="004359F0">
        <w:trPr>
          <w:trHeight w:val="27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6B66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0C5" w14:textId="594697A0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5</w:t>
            </w:r>
            <w:r w:rsidR="00DC23FB">
              <w:rPr>
                <w:szCs w:val="22"/>
                <w:lang w:val="hr-HR"/>
              </w:rPr>
              <w:t>,</w:t>
            </w:r>
            <w:r w:rsidRPr="009A2813">
              <w:rPr>
                <w:szCs w:val="22"/>
                <w:lang w:val="hr-H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A95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85A1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11</w:t>
            </w:r>
          </w:p>
        </w:tc>
      </w:tr>
      <w:tr w:rsidR="0094316A" w:rsidRPr="009A2813" w14:paraId="33B30226" w14:textId="77777777" w:rsidTr="004359F0">
        <w:trPr>
          <w:trHeight w:val="286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99AE" w14:textId="77777777" w:rsidR="0094316A" w:rsidRPr="009A2813" w:rsidRDefault="0094316A" w:rsidP="0094316A">
            <w:pPr>
              <w:jc w:val="both"/>
              <w:rPr>
                <w:b/>
                <w:bCs/>
                <w:szCs w:val="22"/>
                <w:lang w:val="hr-H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8F77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873E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120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4C83" w14:textId="77777777" w:rsidR="0094316A" w:rsidRPr="009A2813" w:rsidRDefault="0094316A" w:rsidP="00C12B32">
            <w:pPr>
              <w:jc w:val="center"/>
              <w:rPr>
                <w:szCs w:val="22"/>
                <w:lang w:val="hr-HR"/>
              </w:rPr>
            </w:pPr>
            <w:r w:rsidRPr="009A2813">
              <w:rPr>
                <w:szCs w:val="22"/>
                <w:lang w:val="hr-HR"/>
              </w:rPr>
              <w:t>12</w:t>
            </w:r>
          </w:p>
        </w:tc>
      </w:tr>
    </w:tbl>
    <w:p w14:paraId="147027E4" w14:textId="32CEEA4C" w:rsidR="0094316A" w:rsidRPr="009A2813" w:rsidRDefault="00DC23FB" w:rsidP="00BE0EAA">
      <w:pPr>
        <w:jc w:val="both"/>
        <w:rPr>
          <w:szCs w:val="22"/>
          <w:lang w:val="hr-HR"/>
        </w:rPr>
      </w:pPr>
      <w:r w:rsidRPr="00322738">
        <w:rPr>
          <w:shd w:val="clear" w:color="auto" w:fill="FFFFFF"/>
          <w:vertAlign w:val="superscript"/>
        </w:rPr>
        <w:t>1 </w:t>
      </w:r>
      <w:r w:rsidR="00D45D74">
        <w:t>S</w:t>
      </w:r>
      <w:r w:rsidRPr="006009A5">
        <w:t xml:space="preserve">amo na </w:t>
      </w:r>
      <w:r w:rsidR="00717269">
        <w:t>bazi</w:t>
      </w:r>
      <w:r w:rsidRPr="006009A5">
        <w:t xml:space="preserve"> komponente ceftazidima</w:t>
      </w:r>
      <w:r w:rsidRPr="00322738">
        <w:rPr>
          <w:shd w:val="clear" w:color="auto" w:fill="FFFFFF"/>
        </w:rPr>
        <w:t>.</w:t>
      </w:r>
    </w:p>
    <w:p w14:paraId="3AC8EC9F" w14:textId="77777777" w:rsidR="00BE0EAA" w:rsidRPr="009A2813" w:rsidRDefault="00BE0EAA" w:rsidP="00CC4A65">
      <w:pPr>
        <w:jc w:val="both"/>
        <w:rPr>
          <w:szCs w:val="22"/>
          <w:lang w:val="hr-HR"/>
        </w:rPr>
      </w:pPr>
    </w:p>
    <w:p w14:paraId="28AE7D91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4913F652" w14:textId="505BE870" w:rsidR="004C033F" w:rsidRPr="009A2813" w:rsidRDefault="004C033F" w:rsidP="00CC4A65">
      <w:pPr>
        <w:keepNext/>
        <w:ind w:left="567" w:hanging="567"/>
        <w:jc w:val="both"/>
        <w:rPr>
          <w:szCs w:val="22"/>
          <w:lang w:val="hr-HR"/>
        </w:rPr>
      </w:pPr>
      <w:r w:rsidRPr="009A2813">
        <w:rPr>
          <w:b/>
          <w:szCs w:val="22"/>
          <w:lang w:val="hr-HR"/>
        </w:rPr>
        <w:t>7.</w:t>
      </w:r>
      <w:r w:rsidRPr="009A2813">
        <w:rPr>
          <w:b/>
          <w:szCs w:val="22"/>
          <w:lang w:val="hr-HR"/>
        </w:rPr>
        <w:tab/>
        <w:t xml:space="preserve">NOSILAC DOZVOLE </w:t>
      </w:r>
    </w:p>
    <w:p w14:paraId="1DDD8F0B" w14:textId="77777777" w:rsidR="004C033F" w:rsidRPr="009A2813" w:rsidRDefault="004C033F" w:rsidP="00CC4A65">
      <w:pPr>
        <w:keepNext/>
        <w:jc w:val="both"/>
        <w:rPr>
          <w:szCs w:val="22"/>
          <w:lang w:val="hr-HR"/>
        </w:rPr>
      </w:pPr>
    </w:p>
    <w:p w14:paraId="65135BED" w14:textId="6DAE1235" w:rsidR="0016095B" w:rsidRPr="009A2813" w:rsidRDefault="0016095B" w:rsidP="00CC4A65">
      <w:pPr>
        <w:pStyle w:val="BodyText"/>
        <w:jc w:val="both"/>
        <w:rPr>
          <w:i w:val="0"/>
          <w:iCs/>
          <w:color w:val="auto"/>
          <w:szCs w:val="22"/>
          <w:lang w:val="hr-HR"/>
        </w:rPr>
      </w:pPr>
      <w:r w:rsidRPr="009A2813">
        <w:rPr>
          <w:i w:val="0"/>
          <w:color w:val="auto"/>
          <w:szCs w:val="22"/>
          <w:lang w:val="hr-HR"/>
        </w:rPr>
        <w:t xml:space="preserve">Evropa Lek Pharma d.o.o. Podgorica, Kritskog odreda 4/1, </w:t>
      </w:r>
      <w:r w:rsidR="00BA5CB2" w:rsidRPr="009A2813">
        <w:rPr>
          <w:i w:val="0"/>
          <w:color w:val="auto"/>
          <w:szCs w:val="22"/>
          <w:lang w:val="hr-HR"/>
        </w:rPr>
        <w:t xml:space="preserve">81000 </w:t>
      </w:r>
      <w:r w:rsidRPr="009A2813">
        <w:rPr>
          <w:i w:val="0"/>
          <w:color w:val="auto"/>
          <w:szCs w:val="22"/>
          <w:lang w:val="hr-HR"/>
        </w:rPr>
        <w:t>Podgorica, Crna Gora</w:t>
      </w:r>
    </w:p>
    <w:p w14:paraId="4A8DFB4F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43EEDC9E" w14:textId="77777777" w:rsidR="005035D5" w:rsidRPr="009A2813" w:rsidRDefault="005035D5" w:rsidP="00CC4A65">
      <w:pPr>
        <w:jc w:val="both"/>
        <w:rPr>
          <w:szCs w:val="22"/>
          <w:lang w:val="hr-HR"/>
        </w:rPr>
      </w:pPr>
    </w:p>
    <w:p w14:paraId="3D9267D9" w14:textId="62803455" w:rsidR="004C033F" w:rsidRPr="009A2813" w:rsidRDefault="004C033F" w:rsidP="00CC4A65">
      <w:pPr>
        <w:ind w:left="567" w:hanging="567"/>
        <w:jc w:val="both"/>
        <w:rPr>
          <w:b/>
          <w:szCs w:val="22"/>
          <w:lang w:val="hr-HR"/>
        </w:rPr>
      </w:pPr>
      <w:r w:rsidRPr="009A2813">
        <w:rPr>
          <w:b/>
          <w:szCs w:val="22"/>
          <w:lang w:val="hr-HR"/>
        </w:rPr>
        <w:t>8.</w:t>
      </w:r>
      <w:r w:rsidRPr="009A2813">
        <w:rPr>
          <w:b/>
          <w:szCs w:val="22"/>
          <w:lang w:val="hr-HR"/>
        </w:rPr>
        <w:tab/>
      </w:r>
      <w:r w:rsidR="00F403EA" w:rsidRPr="009A2813">
        <w:rPr>
          <w:b/>
          <w:bCs/>
          <w:szCs w:val="22"/>
          <w:lang w:val="hr-HR"/>
        </w:rPr>
        <w:t>BROJ DOZVOLE ZA STAVLJANJE LIJEKA U PROMET</w:t>
      </w:r>
    </w:p>
    <w:p w14:paraId="34A6D07E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560884F8" w14:textId="57F32604" w:rsidR="00EE2DDE" w:rsidRPr="009A2813" w:rsidRDefault="002E0FDB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2030/24/4615 - 5273</w:t>
      </w:r>
    </w:p>
    <w:p w14:paraId="1FE20E6A" w14:textId="5D239721" w:rsidR="00EE2DDE" w:rsidRDefault="00EE2DDE" w:rsidP="00CC4A65">
      <w:pPr>
        <w:jc w:val="both"/>
        <w:rPr>
          <w:szCs w:val="22"/>
          <w:lang w:val="hr-HR"/>
        </w:rPr>
      </w:pPr>
    </w:p>
    <w:p w14:paraId="3969ACE6" w14:textId="77777777" w:rsidR="004B7138" w:rsidRPr="009A2813" w:rsidRDefault="004B7138" w:rsidP="00CC4A65">
      <w:pPr>
        <w:jc w:val="both"/>
        <w:rPr>
          <w:szCs w:val="22"/>
          <w:lang w:val="hr-HR"/>
        </w:rPr>
      </w:pPr>
    </w:p>
    <w:p w14:paraId="3E4FB6B3" w14:textId="64397EF9" w:rsidR="004C033F" w:rsidRPr="009A2813" w:rsidRDefault="004C033F" w:rsidP="00CC4A65">
      <w:pPr>
        <w:ind w:left="567" w:hanging="567"/>
        <w:jc w:val="both"/>
        <w:rPr>
          <w:szCs w:val="22"/>
          <w:lang w:val="hr-HR"/>
        </w:rPr>
      </w:pPr>
      <w:r w:rsidRPr="009A2813">
        <w:rPr>
          <w:b/>
          <w:szCs w:val="22"/>
          <w:lang w:val="hr-HR"/>
        </w:rPr>
        <w:t>9.</w:t>
      </w:r>
      <w:r w:rsidRPr="009A2813">
        <w:rPr>
          <w:b/>
          <w:szCs w:val="22"/>
          <w:lang w:val="hr-HR"/>
        </w:rPr>
        <w:tab/>
        <w:t>DATUM PRVE DOZVOLE/OBNOVE DOZVOLE ZA STAVLJANJE LIJEKA U PROMET</w:t>
      </w:r>
    </w:p>
    <w:p w14:paraId="1320C1BA" w14:textId="77777777" w:rsidR="004C033F" w:rsidRPr="009A2813" w:rsidRDefault="004C033F" w:rsidP="00CC4A65">
      <w:pPr>
        <w:jc w:val="both"/>
        <w:rPr>
          <w:szCs w:val="22"/>
          <w:lang w:val="hr-HR"/>
        </w:rPr>
      </w:pPr>
    </w:p>
    <w:p w14:paraId="61D29CEC" w14:textId="6E6BFDEF" w:rsidR="004C033F" w:rsidRPr="009A2813" w:rsidRDefault="00AD7472" w:rsidP="00CC4A65">
      <w:pPr>
        <w:jc w:val="both"/>
        <w:rPr>
          <w:szCs w:val="22"/>
          <w:lang w:val="hr-HR"/>
        </w:rPr>
      </w:pPr>
      <w:r w:rsidRPr="009A2813">
        <w:rPr>
          <w:szCs w:val="22"/>
          <w:lang w:val="hr-HR"/>
        </w:rPr>
        <w:t>16.09.2024. godine</w:t>
      </w:r>
    </w:p>
    <w:p w14:paraId="407C783E" w14:textId="77777777" w:rsidR="004B7138" w:rsidRDefault="004B7138" w:rsidP="00CC4A65">
      <w:pPr>
        <w:ind w:left="567" w:hanging="567"/>
        <w:jc w:val="both"/>
        <w:rPr>
          <w:b/>
          <w:szCs w:val="22"/>
          <w:lang w:val="hr-HR"/>
        </w:rPr>
      </w:pPr>
    </w:p>
    <w:p w14:paraId="515F6406" w14:textId="77777777" w:rsidR="004B7138" w:rsidRDefault="004B7138" w:rsidP="00CC4A65">
      <w:pPr>
        <w:ind w:left="567" w:hanging="567"/>
        <w:jc w:val="both"/>
        <w:rPr>
          <w:b/>
          <w:szCs w:val="22"/>
          <w:lang w:val="hr-HR"/>
        </w:rPr>
      </w:pPr>
    </w:p>
    <w:p w14:paraId="544DA515" w14:textId="634B0DDB" w:rsidR="004C033F" w:rsidRPr="009A2813" w:rsidRDefault="004C033F" w:rsidP="00CC4A65">
      <w:pPr>
        <w:ind w:left="567" w:hanging="567"/>
        <w:jc w:val="both"/>
        <w:rPr>
          <w:b/>
          <w:szCs w:val="22"/>
          <w:lang w:val="hr-HR"/>
        </w:rPr>
      </w:pPr>
      <w:r w:rsidRPr="009A2813">
        <w:rPr>
          <w:b/>
          <w:szCs w:val="22"/>
          <w:lang w:val="hr-HR"/>
        </w:rPr>
        <w:t>10.</w:t>
      </w:r>
      <w:r w:rsidRPr="009A2813">
        <w:rPr>
          <w:b/>
          <w:szCs w:val="22"/>
          <w:lang w:val="hr-HR"/>
        </w:rPr>
        <w:tab/>
        <w:t>DATUM REVIZIJE TEKSTA</w:t>
      </w:r>
    </w:p>
    <w:p w14:paraId="5097AC49" w14:textId="6135D4B0" w:rsidR="0086180F" w:rsidRDefault="0086180F" w:rsidP="00CC4A65">
      <w:pPr>
        <w:ind w:left="567" w:hanging="567"/>
        <w:jc w:val="both"/>
        <w:rPr>
          <w:b/>
          <w:szCs w:val="22"/>
          <w:lang w:val="hr-HR"/>
        </w:rPr>
      </w:pPr>
    </w:p>
    <w:p w14:paraId="692D5886" w14:textId="72B49A7E" w:rsidR="004B7138" w:rsidRPr="004B7138" w:rsidRDefault="004B7138" w:rsidP="00CC4A65">
      <w:pPr>
        <w:ind w:left="567" w:hanging="567"/>
        <w:jc w:val="both"/>
        <w:rPr>
          <w:szCs w:val="22"/>
          <w:lang w:val="hr-HR"/>
        </w:rPr>
      </w:pPr>
      <w:bookmarkStart w:id="21" w:name="_GoBack"/>
      <w:r w:rsidRPr="004B7138">
        <w:rPr>
          <w:szCs w:val="22"/>
          <w:lang w:val="hr-HR"/>
        </w:rPr>
        <w:t>Februar, 2025. godine</w:t>
      </w:r>
    </w:p>
    <w:bookmarkEnd w:id="21"/>
    <w:p w14:paraId="7B27EF89" w14:textId="77777777" w:rsidR="00A1349F" w:rsidRPr="009A2813" w:rsidRDefault="00A1349F" w:rsidP="00CC4A65">
      <w:pPr>
        <w:numPr>
          <w:ilvl w:val="12"/>
          <w:numId w:val="0"/>
        </w:numPr>
        <w:ind w:right="-2"/>
        <w:jc w:val="both"/>
        <w:rPr>
          <w:szCs w:val="22"/>
          <w:lang w:val="hr-HR"/>
        </w:rPr>
      </w:pPr>
    </w:p>
    <w:sectPr w:rsidR="00A1349F" w:rsidRPr="009A2813" w:rsidSect="00AB3702">
      <w:footerReference w:type="default" r:id="rId13"/>
      <w:footerReference w:type="first" r:id="rId14"/>
      <w:endnotePr>
        <w:numFmt w:val="decimal"/>
      </w:endnotePr>
      <w:pgSz w:w="11907" w:h="16840" w:code="9"/>
      <w:pgMar w:top="1138" w:right="1411" w:bottom="1138" w:left="1411" w:header="734" w:footer="7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CCB95" w14:textId="77777777" w:rsidR="003D04ED" w:rsidRDefault="003D04ED">
      <w:r>
        <w:separator/>
      </w:r>
    </w:p>
  </w:endnote>
  <w:endnote w:type="continuationSeparator" w:id="0">
    <w:p w14:paraId="74C05D95" w14:textId="77777777" w:rsidR="003D04ED" w:rsidRDefault="003D04ED">
      <w:r>
        <w:continuationSeparator/>
      </w:r>
    </w:p>
  </w:endnote>
  <w:endnote w:type="continuationNotice" w:id="1">
    <w:p w14:paraId="47139A66" w14:textId="77777777" w:rsidR="003D04ED" w:rsidRDefault="003D04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26637" w14:textId="40B1212D" w:rsidR="00746F55" w:rsidRPr="00CC4A65" w:rsidRDefault="00746F55" w:rsidP="00CC4A65">
    <w:pPr>
      <w:pStyle w:val="Footer"/>
      <w:jc w:val="center"/>
      <w:rPr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CC4A65">
      <w:rPr>
        <w:rFonts w:ascii="Times New Roman" w:hAnsi="Times New Roman"/>
        <w:sz w:val="22"/>
        <w:szCs w:val="22"/>
      </w:rPr>
      <w:fldChar w:fldCharType="begin"/>
    </w:r>
    <w:r w:rsidRPr="00CC4A65">
      <w:rPr>
        <w:rFonts w:ascii="Times New Roman" w:hAnsi="Times New Roman"/>
        <w:sz w:val="22"/>
        <w:szCs w:val="22"/>
      </w:rPr>
      <w:instrText xml:space="preserve"> PAGE </w:instrText>
    </w:r>
    <w:r w:rsidRPr="00CC4A65">
      <w:rPr>
        <w:rFonts w:ascii="Times New Roman" w:hAnsi="Times New Roman"/>
        <w:sz w:val="22"/>
        <w:szCs w:val="22"/>
      </w:rPr>
      <w:fldChar w:fldCharType="separate"/>
    </w:r>
    <w:r w:rsidR="004B7138">
      <w:rPr>
        <w:rFonts w:ascii="Times New Roman" w:hAnsi="Times New Roman"/>
        <w:sz w:val="22"/>
        <w:szCs w:val="22"/>
      </w:rPr>
      <w:t>24</w:t>
    </w:r>
    <w:r w:rsidRPr="00CC4A65">
      <w:rPr>
        <w:rFonts w:ascii="Times New Roman" w:hAnsi="Times New Roman"/>
        <w:sz w:val="22"/>
        <w:szCs w:val="22"/>
      </w:rPr>
      <w:fldChar w:fldCharType="end"/>
    </w:r>
    <w:r w:rsidRPr="00CC4A65">
      <w:rPr>
        <w:rFonts w:ascii="Times New Roman" w:hAnsi="Times New Roman"/>
        <w:sz w:val="22"/>
        <w:szCs w:val="22"/>
      </w:rPr>
      <w:t xml:space="preserve"> / </w:t>
    </w:r>
    <w:r w:rsidRPr="00CC4A65">
      <w:rPr>
        <w:rFonts w:ascii="Times New Roman" w:hAnsi="Times New Roman"/>
        <w:sz w:val="22"/>
        <w:szCs w:val="22"/>
      </w:rPr>
      <w:fldChar w:fldCharType="begin"/>
    </w:r>
    <w:r w:rsidRPr="00CC4A65">
      <w:rPr>
        <w:rFonts w:ascii="Times New Roman" w:hAnsi="Times New Roman"/>
        <w:sz w:val="22"/>
        <w:szCs w:val="22"/>
      </w:rPr>
      <w:instrText xml:space="preserve"> NUMPAGES </w:instrText>
    </w:r>
    <w:r w:rsidRPr="00CC4A65">
      <w:rPr>
        <w:rFonts w:ascii="Times New Roman" w:hAnsi="Times New Roman"/>
        <w:sz w:val="22"/>
        <w:szCs w:val="22"/>
      </w:rPr>
      <w:fldChar w:fldCharType="separate"/>
    </w:r>
    <w:r w:rsidR="004B7138">
      <w:rPr>
        <w:rFonts w:ascii="Times New Roman" w:hAnsi="Times New Roman"/>
        <w:sz w:val="22"/>
        <w:szCs w:val="22"/>
      </w:rPr>
      <w:t>24</w:t>
    </w:r>
    <w:r w:rsidRPr="00CC4A65">
      <w:rPr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2545E" w14:textId="366D6023" w:rsidR="00746F55" w:rsidRPr="00CC4A65" w:rsidRDefault="00746F55" w:rsidP="00CC4A65">
    <w:pPr>
      <w:pStyle w:val="Footer"/>
      <w:jc w:val="center"/>
      <w:rPr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CC4A65">
      <w:rPr>
        <w:rFonts w:ascii="Times New Roman" w:hAnsi="Times New Roman"/>
        <w:sz w:val="22"/>
        <w:szCs w:val="22"/>
      </w:rPr>
      <w:fldChar w:fldCharType="begin"/>
    </w:r>
    <w:r w:rsidRPr="00CC4A65">
      <w:rPr>
        <w:rFonts w:ascii="Times New Roman" w:hAnsi="Times New Roman"/>
        <w:sz w:val="22"/>
        <w:szCs w:val="22"/>
      </w:rPr>
      <w:instrText xml:space="preserve"> PAGE </w:instrText>
    </w:r>
    <w:r w:rsidRPr="00CC4A65">
      <w:rPr>
        <w:rFonts w:ascii="Times New Roman" w:hAnsi="Times New Roman"/>
        <w:sz w:val="22"/>
        <w:szCs w:val="22"/>
      </w:rPr>
      <w:fldChar w:fldCharType="separate"/>
    </w:r>
    <w:r w:rsidR="004B7138">
      <w:rPr>
        <w:rFonts w:ascii="Times New Roman" w:hAnsi="Times New Roman"/>
        <w:sz w:val="22"/>
        <w:szCs w:val="22"/>
      </w:rPr>
      <w:t>1</w:t>
    </w:r>
    <w:r w:rsidRPr="00CC4A65">
      <w:rPr>
        <w:rFonts w:ascii="Times New Roman" w:hAnsi="Times New Roman"/>
        <w:sz w:val="22"/>
        <w:szCs w:val="22"/>
      </w:rPr>
      <w:fldChar w:fldCharType="end"/>
    </w:r>
    <w:r w:rsidRPr="00CC4A65">
      <w:rPr>
        <w:rFonts w:ascii="Times New Roman" w:hAnsi="Times New Roman"/>
        <w:sz w:val="22"/>
        <w:szCs w:val="22"/>
      </w:rPr>
      <w:t xml:space="preserve"> / </w:t>
    </w:r>
    <w:r w:rsidRPr="00CC4A65">
      <w:rPr>
        <w:rFonts w:ascii="Times New Roman" w:hAnsi="Times New Roman"/>
        <w:sz w:val="22"/>
        <w:szCs w:val="22"/>
      </w:rPr>
      <w:fldChar w:fldCharType="begin"/>
    </w:r>
    <w:r w:rsidRPr="00CC4A65">
      <w:rPr>
        <w:rFonts w:ascii="Times New Roman" w:hAnsi="Times New Roman"/>
        <w:sz w:val="22"/>
        <w:szCs w:val="22"/>
      </w:rPr>
      <w:instrText xml:space="preserve"> NUMPAGES </w:instrText>
    </w:r>
    <w:r w:rsidRPr="00CC4A65">
      <w:rPr>
        <w:rFonts w:ascii="Times New Roman" w:hAnsi="Times New Roman"/>
        <w:sz w:val="22"/>
        <w:szCs w:val="22"/>
      </w:rPr>
      <w:fldChar w:fldCharType="separate"/>
    </w:r>
    <w:r w:rsidR="004B7138">
      <w:rPr>
        <w:rFonts w:ascii="Times New Roman" w:hAnsi="Times New Roman"/>
        <w:sz w:val="22"/>
        <w:szCs w:val="22"/>
      </w:rPr>
      <w:t>24</w:t>
    </w:r>
    <w:r w:rsidRPr="00CC4A65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2D51F" w14:textId="77777777" w:rsidR="003D04ED" w:rsidRDefault="003D04ED">
      <w:r>
        <w:separator/>
      </w:r>
    </w:p>
  </w:footnote>
  <w:footnote w:type="continuationSeparator" w:id="0">
    <w:p w14:paraId="6EC02DD2" w14:textId="77777777" w:rsidR="003D04ED" w:rsidRDefault="003D04ED">
      <w:r>
        <w:continuationSeparator/>
      </w:r>
    </w:p>
  </w:footnote>
  <w:footnote w:type="continuationNotice" w:id="1">
    <w:p w14:paraId="79E9667C" w14:textId="77777777" w:rsidR="003D04ED" w:rsidRDefault="003D04E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91FB7"/>
    <w:multiLevelType w:val="hybridMultilevel"/>
    <w:tmpl w:val="CE7AA8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B2B1A"/>
    <w:multiLevelType w:val="hybridMultilevel"/>
    <w:tmpl w:val="80C2F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056B"/>
    <w:multiLevelType w:val="hybridMultilevel"/>
    <w:tmpl w:val="3BD6E296"/>
    <w:lvl w:ilvl="0" w:tplc="7AEC42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207F19"/>
    <w:multiLevelType w:val="hybridMultilevel"/>
    <w:tmpl w:val="52141FE6"/>
    <w:lvl w:ilvl="0" w:tplc="4420D246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7A571BA"/>
    <w:multiLevelType w:val="hybridMultilevel"/>
    <w:tmpl w:val="1B84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3474B"/>
    <w:multiLevelType w:val="hybridMultilevel"/>
    <w:tmpl w:val="3ABC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83ED9"/>
    <w:multiLevelType w:val="hybridMultilevel"/>
    <w:tmpl w:val="C218A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C6ED9"/>
    <w:multiLevelType w:val="hybridMultilevel"/>
    <w:tmpl w:val="C076E9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2B280F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4A5211D"/>
    <w:multiLevelType w:val="hybridMultilevel"/>
    <w:tmpl w:val="974A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F6822"/>
    <w:multiLevelType w:val="multilevel"/>
    <w:tmpl w:val="5A5CF75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CCD22AF"/>
    <w:multiLevelType w:val="hybridMultilevel"/>
    <w:tmpl w:val="0FB2851A"/>
    <w:lvl w:ilvl="0" w:tplc="D028467A">
      <w:start w:val="1"/>
      <w:numFmt w:val="lowerLetter"/>
      <w:lvlText w:val="%1)"/>
      <w:lvlJc w:val="left"/>
      <w:pPr>
        <w:ind w:left="106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2" w15:restartNumberingAfterBreak="0">
    <w:nsid w:val="1D3C2FB1"/>
    <w:multiLevelType w:val="hybridMultilevel"/>
    <w:tmpl w:val="DBC6E428"/>
    <w:lvl w:ilvl="0" w:tplc="9B00FD1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FC6741"/>
    <w:multiLevelType w:val="hybridMultilevel"/>
    <w:tmpl w:val="BD4ECE16"/>
    <w:lvl w:ilvl="0" w:tplc="BAC0DB7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57D30"/>
    <w:multiLevelType w:val="hybridMultilevel"/>
    <w:tmpl w:val="BCB04008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265A7391"/>
    <w:multiLevelType w:val="hybridMultilevel"/>
    <w:tmpl w:val="89D0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F7B82"/>
    <w:multiLevelType w:val="hybridMultilevel"/>
    <w:tmpl w:val="11684628"/>
    <w:lvl w:ilvl="0" w:tplc="90F8F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828DC"/>
    <w:multiLevelType w:val="multilevel"/>
    <w:tmpl w:val="0A68B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40E38FB"/>
    <w:multiLevelType w:val="hybridMultilevel"/>
    <w:tmpl w:val="3F38A6FA"/>
    <w:lvl w:ilvl="0" w:tplc="34866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53B63F0"/>
    <w:multiLevelType w:val="hybridMultilevel"/>
    <w:tmpl w:val="0BDC5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11BD8"/>
    <w:multiLevelType w:val="hybridMultilevel"/>
    <w:tmpl w:val="B900C8A0"/>
    <w:lvl w:ilvl="0" w:tplc="BE94B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96B51"/>
    <w:multiLevelType w:val="hybridMultilevel"/>
    <w:tmpl w:val="C0EEFA8A"/>
    <w:lvl w:ilvl="0" w:tplc="725E0F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82249"/>
    <w:multiLevelType w:val="hybridMultilevel"/>
    <w:tmpl w:val="2A7C5A74"/>
    <w:lvl w:ilvl="0" w:tplc="66261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40C6E"/>
    <w:multiLevelType w:val="hybridMultilevel"/>
    <w:tmpl w:val="B7280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14956"/>
    <w:multiLevelType w:val="hybridMultilevel"/>
    <w:tmpl w:val="40DA8094"/>
    <w:lvl w:ilvl="0" w:tplc="308609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F3F5F"/>
    <w:multiLevelType w:val="hybridMultilevel"/>
    <w:tmpl w:val="8932B8CC"/>
    <w:lvl w:ilvl="0" w:tplc="D9FC4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E21733"/>
    <w:multiLevelType w:val="multilevel"/>
    <w:tmpl w:val="B01C97B0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81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3E65949"/>
    <w:multiLevelType w:val="hybridMultilevel"/>
    <w:tmpl w:val="C2C0C6A0"/>
    <w:lvl w:ilvl="0" w:tplc="5A6C4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5D31CB"/>
    <w:multiLevelType w:val="hybridMultilevel"/>
    <w:tmpl w:val="80C2F954"/>
    <w:lvl w:ilvl="0" w:tplc="04090017">
      <w:start w:val="1"/>
      <w:numFmt w:val="lowerLetter"/>
      <w:lvlText w:val="%1)"/>
      <w:lvlJc w:val="left"/>
      <w:pPr>
        <w:ind w:left="34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5A443D27"/>
    <w:multiLevelType w:val="hybridMultilevel"/>
    <w:tmpl w:val="9F98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30D4E"/>
    <w:multiLevelType w:val="hybridMultilevel"/>
    <w:tmpl w:val="4F143A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3948A7"/>
    <w:multiLevelType w:val="hybridMultilevel"/>
    <w:tmpl w:val="B11C1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4279B"/>
    <w:multiLevelType w:val="hybridMultilevel"/>
    <w:tmpl w:val="766ED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64AF2"/>
    <w:multiLevelType w:val="hybridMultilevel"/>
    <w:tmpl w:val="EB0A802C"/>
    <w:lvl w:ilvl="0" w:tplc="0F60292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005B8"/>
    <w:multiLevelType w:val="hybridMultilevel"/>
    <w:tmpl w:val="FD1012F4"/>
    <w:lvl w:ilvl="0" w:tplc="993C2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EEC76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EDB3CCA"/>
    <w:multiLevelType w:val="hybridMultilevel"/>
    <w:tmpl w:val="39DAD9F8"/>
    <w:lvl w:ilvl="0" w:tplc="057E303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04DF7"/>
    <w:multiLevelType w:val="hybridMultilevel"/>
    <w:tmpl w:val="D0F84A80"/>
    <w:lvl w:ilvl="0" w:tplc="EC842C8E">
      <w:start w:val="1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5F434B20"/>
    <w:multiLevelType w:val="multilevel"/>
    <w:tmpl w:val="A10A75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522306"/>
    <w:multiLevelType w:val="hybridMultilevel"/>
    <w:tmpl w:val="CA80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E287D"/>
    <w:multiLevelType w:val="hybridMultilevel"/>
    <w:tmpl w:val="394C9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55356C"/>
    <w:multiLevelType w:val="hybridMultilevel"/>
    <w:tmpl w:val="EE0265DE"/>
    <w:lvl w:ilvl="0" w:tplc="66261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611824"/>
    <w:multiLevelType w:val="hybridMultilevel"/>
    <w:tmpl w:val="C61A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A45B8"/>
    <w:multiLevelType w:val="hybridMultilevel"/>
    <w:tmpl w:val="E14A57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A85403A"/>
    <w:multiLevelType w:val="hybridMultilevel"/>
    <w:tmpl w:val="45B0BDD0"/>
    <w:lvl w:ilvl="0" w:tplc="AFEEC7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4" w15:restartNumberingAfterBreak="0">
    <w:nsid w:val="6ACF4327"/>
    <w:multiLevelType w:val="hybridMultilevel"/>
    <w:tmpl w:val="67DE0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46" w15:restartNumberingAfterBreak="0">
    <w:nsid w:val="73AE2B4B"/>
    <w:multiLevelType w:val="hybridMultilevel"/>
    <w:tmpl w:val="8FD0893A"/>
    <w:lvl w:ilvl="0" w:tplc="EBBAD94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DB6EF3"/>
    <w:multiLevelType w:val="hybridMultilevel"/>
    <w:tmpl w:val="82CE8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AD609C"/>
    <w:multiLevelType w:val="hybridMultilevel"/>
    <w:tmpl w:val="87D2F6D6"/>
    <w:lvl w:ilvl="0" w:tplc="F2AC64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7BE7F2F"/>
    <w:multiLevelType w:val="hybridMultilevel"/>
    <w:tmpl w:val="8006FF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85E0F47"/>
    <w:multiLevelType w:val="hybridMultilevel"/>
    <w:tmpl w:val="BB6EF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B77F9C"/>
    <w:multiLevelType w:val="multilevel"/>
    <w:tmpl w:val="BA143B8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7F9B2AC6"/>
    <w:multiLevelType w:val="hybridMultilevel"/>
    <w:tmpl w:val="C7FEF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10"/>
  </w:num>
  <w:num w:numId="4">
    <w:abstractNumId w:val="36"/>
  </w:num>
  <w:num w:numId="5">
    <w:abstractNumId w:val="51"/>
  </w:num>
  <w:num w:numId="6">
    <w:abstractNumId w:val="9"/>
  </w:num>
  <w:num w:numId="7">
    <w:abstractNumId w:val="23"/>
  </w:num>
  <w:num w:numId="8">
    <w:abstractNumId w:val="6"/>
  </w:num>
  <w:num w:numId="9">
    <w:abstractNumId w:val="4"/>
  </w:num>
  <w:num w:numId="10">
    <w:abstractNumId w:val="48"/>
  </w:num>
  <w:num w:numId="11">
    <w:abstractNumId w:val="16"/>
  </w:num>
  <w:num w:numId="12">
    <w:abstractNumId w:val="30"/>
  </w:num>
  <w:num w:numId="13">
    <w:abstractNumId w:val="1"/>
  </w:num>
  <w:num w:numId="14">
    <w:abstractNumId w:val="47"/>
  </w:num>
  <w:num w:numId="15">
    <w:abstractNumId w:val="22"/>
  </w:num>
  <w:num w:numId="16">
    <w:abstractNumId w:val="50"/>
  </w:num>
  <w:num w:numId="17">
    <w:abstractNumId w:val="52"/>
  </w:num>
  <w:num w:numId="18">
    <w:abstractNumId w:val="29"/>
  </w:num>
  <w:num w:numId="19">
    <w:abstractNumId w:val="42"/>
  </w:num>
  <w:num w:numId="20">
    <w:abstractNumId w:val="38"/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</w:num>
  <w:num w:numId="23">
    <w:abstractNumId w:val="13"/>
  </w:num>
  <w:num w:numId="24">
    <w:abstractNumId w:val="26"/>
  </w:num>
  <w:num w:numId="25">
    <w:abstractNumId w:val="5"/>
  </w:num>
  <w:num w:numId="26">
    <w:abstractNumId w:val="35"/>
  </w:num>
  <w:num w:numId="27">
    <w:abstractNumId w:val="34"/>
  </w:num>
  <w:num w:numId="28">
    <w:abstractNumId w:val="25"/>
  </w:num>
  <w:num w:numId="29">
    <w:abstractNumId w:val="21"/>
  </w:num>
  <w:num w:numId="30">
    <w:abstractNumId w:val="18"/>
  </w:num>
  <w:num w:numId="31">
    <w:abstractNumId w:val="27"/>
  </w:num>
  <w:num w:numId="32">
    <w:abstractNumId w:val="17"/>
  </w:num>
  <w:num w:numId="33">
    <w:abstractNumId w:val="25"/>
  </w:num>
  <w:num w:numId="34">
    <w:abstractNumId w:val="12"/>
  </w:num>
  <w:num w:numId="35">
    <w:abstractNumId w:val="15"/>
  </w:num>
  <w:num w:numId="36">
    <w:abstractNumId w:val="46"/>
  </w:num>
  <w:num w:numId="37">
    <w:abstractNumId w:val="44"/>
  </w:num>
  <w:num w:numId="38">
    <w:abstractNumId w:val="49"/>
  </w:num>
  <w:num w:numId="39">
    <w:abstractNumId w:val="32"/>
  </w:num>
  <w:num w:numId="40">
    <w:abstractNumId w:val="19"/>
  </w:num>
  <w:num w:numId="41">
    <w:abstractNumId w:val="2"/>
  </w:num>
  <w:num w:numId="42">
    <w:abstractNumId w:val="40"/>
  </w:num>
  <w:num w:numId="43">
    <w:abstractNumId w:val="39"/>
  </w:num>
  <w:num w:numId="44">
    <w:abstractNumId w:val="14"/>
  </w:num>
  <w:num w:numId="45">
    <w:abstractNumId w:val="3"/>
  </w:num>
  <w:num w:numId="46">
    <w:abstractNumId w:val="11"/>
  </w:num>
  <w:num w:numId="47">
    <w:abstractNumId w:val="34"/>
  </w:num>
  <w:num w:numId="48">
    <w:abstractNumId w:val="28"/>
  </w:num>
  <w:num w:numId="49">
    <w:abstractNumId w:val="7"/>
  </w:num>
  <w:num w:numId="50">
    <w:abstractNumId w:val="31"/>
  </w:num>
  <w:num w:numId="51">
    <w:abstractNumId w:val="41"/>
  </w:num>
  <w:num w:numId="52">
    <w:abstractNumId w:val="37"/>
  </w:num>
  <w:num w:numId="53">
    <w:abstractNumId w:val="20"/>
  </w:num>
  <w:num w:numId="54">
    <w:abstractNumId w:val="33"/>
  </w:num>
  <w:num w:numId="55">
    <w:abstractNumId w:val="24"/>
  </w:num>
  <w:num w:numId="56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E55BC7"/>
    <w:rsid w:val="000003B9"/>
    <w:rsid w:val="000009F7"/>
    <w:rsid w:val="00000BDD"/>
    <w:rsid w:val="00000E7C"/>
    <w:rsid w:val="00002D50"/>
    <w:rsid w:val="0000473A"/>
    <w:rsid w:val="0000514A"/>
    <w:rsid w:val="0000600E"/>
    <w:rsid w:val="00006045"/>
    <w:rsid w:val="00006580"/>
    <w:rsid w:val="00007C71"/>
    <w:rsid w:val="000117A0"/>
    <w:rsid w:val="000125C9"/>
    <w:rsid w:val="00012C00"/>
    <w:rsid w:val="00012C0F"/>
    <w:rsid w:val="00012F43"/>
    <w:rsid w:val="000140DA"/>
    <w:rsid w:val="000146F1"/>
    <w:rsid w:val="00015273"/>
    <w:rsid w:val="00015624"/>
    <w:rsid w:val="00015EBF"/>
    <w:rsid w:val="000178B2"/>
    <w:rsid w:val="00017B2B"/>
    <w:rsid w:val="000205A9"/>
    <w:rsid w:val="00020776"/>
    <w:rsid w:val="00020BDE"/>
    <w:rsid w:val="00021702"/>
    <w:rsid w:val="000220A1"/>
    <w:rsid w:val="00023292"/>
    <w:rsid w:val="00023741"/>
    <w:rsid w:val="00023C25"/>
    <w:rsid w:val="00025CE3"/>
    <w:rsid w:val="00026895"/>
    <w:rsid w:val="00027258"/>
    <w:rsid w:val="00027AE7"/>
    <w:rsid w:val="0003236C"/>
    <w:rsid w:val="0003307F"/>
    <w:rsid w:val="000342F7"/>
    <w:rsid w:val="000357BE"/>
    <w:rsid w:val="00036E32"/>
    <w:rsid w:val="000408CA"/>
    <w:rsid w:val="00042986"/>
    <w:rsid w:val="00043133"/>
    <w:rsid w:val="00044642"/>
    <w:rsid w:val="0004522E"/>
    <w:rsid w:val="0004716B"/>
    <w:rsid w:val="0005104F"/>
    <w:rsid w:val="00052573"/>
    <w:rsid w:val="000530A3"/>
    <w:rsid w:val="00054511"/>
    <w:rsid w:val="000559C1"/>
    <w:rsid w:val="00055FAA"/>
    <w:rsid w:val="00057545"/>
    <w:rsid w:val="00057733"/>
    <w:rsid w:val="00060F86"/>
    <w:rsid w:val="00063130"/>
    <w:rsid w:val="00063C4E"/>
    <w:rsid w:val="000654FE"/>
    <w:rsid w:val="00065BC3"/>
    <w:rsid w:val="00067CCF"/>
    <w:rsid w:val="00067FF0"/>
    <w:rsid w:val="000706E6"/>
    <w:rsid w:val="000730D0"/>
    <w:rsid w:val="00073CFA"/>
    <w:rsid w:val="00074151"/>
    <w:rsid w:val="000757FA"/>
    <w:rsid w:val="000759E8"/>
    <w:rsid w:val="00076688"/>
    <w:rsid w:val="00076AB4"/>
    <w:rsid w:val="00076D4A"/>
    <w:rsid w:val="000771FE"/>
    <w:rsid w:val="000818A0"/>
    <w:rsid w:val="000818CB"/>
    <w:rsid w:val="000818F0"/>
    <w:rsid w:val="00081C3F"/>
    <w:rsid w:val="00081D8B"/>
    <w:rsid w:val="0008239E"/>
    <w:rsid w:val="0008389D"/>
    <w:rsid w:val="00083A1F"/>
    <w:rsid w:val="00083DBC"/>
    <w:rsid w:val="00084D1E"/>
    <w:rsid w:val="000855CE"/>
    <w:rsid w:val="0008563E"/>
    <w:rsid w:val="00085D9C"/>
    <w:rsid w:val="00090577"/>
    <w:rsid w:val="00090EED"/>
    <w:rsid w:val="000931AC"/>
    <w:rsid w:val="00094499"/>
    <w:rsid w:val="000952F0"/>
    <w:rsid w:val="00096844"/>
    <w:rsid w:val="00096D48"/>
    <w:rsid w:val="00096F3F"/>
    <w:rsid w:val="00097141"/>
    <w:rsid w:val="000A1888"/>
    <w:rsid w:val="000A1AD6"/>
    <w:rsid w:val="000A24DF"/>
    <w:rsid w:val="000A2B1F"/>
    <w:rsid w:val="000A4B3A"/>
    <w:rsid w:val="000A6B20"/>
    <w:rsid w:val="000B1341"/>
    <w:rsid w:val="000B1750"/>
    <w:rsid w:val="000B491B"/>
    <w:rsid w:val="000B4D91"/>
    <w:rsid w:val="000B4F00"/>
    <w:rsid w:val="000B53D5"/>
    <w:rsid w:val="000B57D9"/>
    <w:rsid w:val="000B64F2"/>
    <w:rsid w:val="000B7C9B"/>
    <w:rsid w:val="000C0289"/>
    <w:rsid w:val="000C2891"/>
    <w:rsid w:val="000C40F1"/>
    <w:rsid w:val="000C43B4"/>
    <w:rsid w:val="000C4422"/>
    <w:rsid w:val="000C4646"/>
    <w:rsid w:val="000C5D8D"/>
    <w:rsid w:val="000C657B"/>
    <w:rsid w:val="000C7D48"/>
    <w:rsid w:val="000C7F5A"/>
    <w:rsid w:val="000D0AB9"/>
    <w:rsid w:val="000D0F1C"/>
    <w:rsid w:val="000D11A9"/>
    <w:rsid w:val="000D4CE4"/>
    <w:rsid w:val="000D4D11"/>
    <w:rsid w:val="000E009E"/>
    <w:rsid w:val="000E0C9F"/>
    <w:rsid w:val="000E2214"/>
    <w:rsid w:val="000E37AC"/>
    <w:rsid w:val="000E4D92"/>
    <w:rsid w:val="000E563E"/>
    <w:rsid w:val="000E642C"/>
    <w:rsid w:val="000E68AB"/>
    <w:rsid w:val="000E6BAE"/>
    <w:rsid w:val="000E76E1"/>
    <w:rsid w:val="000F0173"/>
    <w:rsid w:val="000F187B"/>
    <w:rsid w:val="000F3B94"/>
    <w:rsid w:val="000F4733"/>
    <w:rsid w:val="000F4C5F"/>
    <w:rsid w:val="000F5478"/>
    <w:rsid w:val="000F6406"/>
    <w:rsid w:val="000F657C"/>
    <w:rsid w:val="000F6B78"/>
    <w:rsid w:val="000F73F7"/>
    <w:rsid w:val="00101878"/>
    <w:rsid w:val="001020A6"/>
    <w:rsid w:val="001022E7"/>
    <w:rsid w:val="00102A49"/>
    <w:rsid w:val="00102E10"/>
    <w:rsid w:val="0010377F"/>
    <w:rsid w:val="00103D24"/>
    <w:rsid w:val="00103E6C"/>
    <w:rsid w:val="0010435B"/>
    <w:rsid w:val="001044A1"/>
    <w:rsid w:val="001059A9"/>
    <w:rsid w:val="00105F2C"/>
    <w:rsid w:val="00105FE0"/>
    <w:rsid w:val="00107062"/>
    <w:rsid w:val="00110FB1"/>
    <w:rsid w:val="00111F5D"/>
    <w:rsid w:val="00112FB1"/>
    <w:rsid w:val="00114020"/>
    <w:rsid w:val="00114477"/>
    <w:rsid w:val="001144DC"/>
    <w:rsid w:val="00114D14"/>
    <w:rsid w:val="00114FE0"/>
    <w:rsid w:val="001155B6"/>
    <w:rsid w:val="00116C1A"/>
    <w:rsid w:val="00116C1E"/>
    <w:rsid w:val="00120743"/>
    <w:rsid w:val="00122B61"/>
    <w:rsid w:val="00122BD4"/>
    <w:rsid w:val="00127DC7"/>
    <w:rsid w:val="0013049A"/>
    <w:rsid w:val="00130DFA"/>
    <w:rsid w:val="00130F5C"/>
    <w:rsid w:val="0013242D"/>
    <w:rsid w:val="0013321A"/>
    <w:rsid w:val="00133CE0"/>
    <w:rsid w:val="00133E64"/>
    <w:rsid w:val="00133EBC"/>
    <w:rsid w:val="001350B0"/>
    <w:rsid w:val="001352BD"/>
    <w:rsid w:val="00136817"/>
    <w:rsid w:val="00136F3D"/>
    <w:rsid w:val="00137029"/>
    <w:rsid w:val="00137DD8"/>
    <w:rsid w:val="001403D7"/>
    <w:rsid w:val="00141ED8"/>
    <w:rsid w:val="001424F9"/>
    <w:rsid w:val="001435D8"/>
    <w:rsid w:val="00143BC0"/>
    <w:rsid w:val="00143E6F"/>
    <w:rsid w:val="00144FF3"/>
    <w:rsid w:val="00145DA0"/>
    <w:rsid w:val="001462AB"/>
    <w:rsid w:val="00147A41"/>
    <w:rsid w:val="00153C87"/>
    <w:rsid w:val="00153E98"/>
    <w:rsid w:val="00154EF9"/>
    <w:rsid w:val="001558AF"/>
    <w:rsid w:val="001569FF"/>
    <w:rsid w:val="00157B3F"/>
    <w:rsid w:val="0016095B"/>
    <w:rsid w:val="00160CE5"/>
    <w:rsid w:val="00161459"/>
    <w:rsid w:val="001623FF"/>
    <w:rsid w:val="001627E3"/>
    <w:rsid w:val="001647E4"/>
    <w:rsid w:val="00171252"/>
    <w:rsid w:val="00171576"/>
    <w:rsid w:val="00171873"/>
    <w:rsid w:val="00172165"/>
    <w:rsid w:val="00173048"/>
    <w:rsid w:val="0017325C"/>
    <w:rsid w:val="00173262"/>
    <w:rsid w:val="00174313"/>
    <w:rsid w:val="00174ACF"/>
    <w:rsid w:val="001752BE"/>
    <w:rsid w:val="00176157"/>
    <w:rsid w:val="001772B8"/>
    <w:rsid w:val="00177D4E"/>
    <w:rsid w:val="001822A6"/>
    <w:rsid w:val="00182D39"/>
    <w:rsid w:val="00182F2A"/>
    <w:rsid w:val="00183688"/>
    <w:rsid w:val="0018418A"/>
    <w:rsid w:val="00184992"/>
    <w:rsid w:val="00184ACF"/>
    <w:rsid w:val="00184BD9"/>
    <w:rsid w:val="00185114"/>
    <w:rsid w:val="00185F45"/>
    <w:rsid w:val="001866B1"/>
    <w:rsid w:val="0018670B"/>
    <w:rsid w:val="001906DB"/>
    <w:rsid w:val="00190DAB"/>
    <w:rsid w:val="00191527"/>
    <w:rsid w:val="0019248F"/>
    <w:rsid w:val="00193876"/>
    <w:rsid w:val="001939C7"/>
    <w:rsid w:val="001959D2"/>
    <w:rsid w:val="00196C35"/>
    <w:rsid w:val="00196FDD"/>
    <w:rsid w:val="0019707C"/>
    <w:rsid w:val="0019723D"/>
    <w:rsid w:val="0019776A"/>
    <w:rsid w:val="001979AA"/>
    <w:rsid w:val="00197B9C"/>
    <w:rsid w:val="00197CB7"/>
    <w:rsid w:val="001A033B"/>
    <w:rsid w:val="001A1F14"/>
    <w:rsid w:val="001A3056"/>
    <w:rsid w:val="001A4134"/>
    <w:rsid w:val="001A5A92"/>
    <w:rsid w:val="001A5B7F"/>
    <w:rsid w:val="001A5D24"/>
    <w:rsid w:val="001A61A4"/>
    <w:rsid w:val="001B0038"/>
    <w:rsid w:val="001B007A"/>
    <w:rsid w:val="001B2162"/>
    <w:rsid w:val="001B2CDC"/>
    <w:rsid w:val="001B4313"/>
    <w:rsid w:val="001B4D58"/>
    <w:rsid w:val="001B4D91"/>
    <w:rsid w:val="001B5C82"/>
    <w:rsid w:val="001B6199"/>
    <w:rsid w:val="001B72AB"/>
    <w:rsid w:val="001B7A26"/>
    <w:rsid w:val="001B7C00"/>
    <w:rsid w:val="001C0761"/>
    <w:rsid w:val="001C115A"/>
    <w:rsid w:val="001C328B"/>
    <w:rsid w:val="001C3B83"/>
    <w:rsid w:val="001C3F81"/>
    <w:rsid w:val="001C4786"/>
    <w:rsid w:val="001C51C3"/>
    <w:rsid w:val="001C5298"/>
    <w:rsid w:val="001C59F4"/>
    <w:rsid w:val="001C5F34"/>
    <w:rsid w:val="001C7F5A"/>
    <w:rsid w:val="001D14C5"/>
    <w:rsid w:val="001D23BA"/>
    <w:rsid w:val="001D3639"/>
    <w:rsid w:val="001D36C7"/>
    <w:rsid w:val="001D5117"/>
    <w:rsid w:val="001E0586"/>
    <w:rsid w:val="001E12B9"/>
    <w:rsid w:val="001E2529"/>
    <w:rsid w:val="001E488B"/>
    <w:rsid w:val="001E75E3"/>
    <w:rsid w:val="001E7E13"/>
    <w:rsid w:val="001F2508"/>
    <w:rsid w:val="001F4D25"/>
    <w:rsid w:val="001F562F"/>
    <w:rsid w:val="001F682B"/>
    <w:rsid w:val="001F7047"/>
    <w:rsid w:val="001F7347"/>
    <w:rsid w:val="001F76C4"/>
    <w:rsid w:val="00202C49"/>
    <w:rsid w:val="0020315C"/>
    <w:rsid w:val="00205154"/>
    <w:rsid w:val="0020678F"/>
    <w:rsid w:val="00206AB9"/>
    <w:rsid w:val="002100F3"/>
    <w:rsid w:val="00210544"/>
    <w:rsid w:val="002106B9"/>
    <w:rsid w:val="002127F1"/>
    <w:rsid w:val="00213D3C"/>
    <w:rsid w:val="00213E00"/>
    <w:rsid w:val="0021418D"/>
    <w:rsid w:val="0021539B"/>
    <w:rsid w:val="002172DC"/>
    <w:rsid w:val="0021730E"/>
    <w:rsid w:val="002173B1"/>
    <w:rsid w:val="00220AD6"/>
    <w:rsid w:val="00221B29"/>
    <w:rsid w:val="00221BD9"/>
    <w:rsid w:val="00221DA4"/>
    <w:rsid w:val="002221D3"/>
    <w:rsid w:val="00223E75"/>
    <w:rsid w:val="00224600"/>
    <w:rsid w:val="002248FE"/>
    <w:rsid w:val="0022536C"/>
    <w:rsid w:val="0022596D"/>
    <w:rsid w:val="00225AB1"/>
    <w:rsid w:val="00227B45"/>
    <w:rsid w:val="00230632"/>
    <w:rsid w:val="0023072E"/>
    <w:rsid w:val="00230A7A"/>
    <w:rsid w:val="00230B9E"/>
    <w:rsid w:val="00230F64"/>
    <w:rsid w:val="002319A9"/>
    <w:rsid w:val="002325A5"/>
    <w:rsid w:val="00232933"/>
    <w:rsid w:val="00232A23"/>
    <w:rsid w:val="00232F61"/>
    <w:rsid w:val="0023342E"/>
    <w:rsid w:val="002336C1"/>
    <w:rsid w:val="00233E1A"/>
    <w:rsid w:val="002340A5"/>
    <w:rsid w:val="002348BC"/>
    <w:rsid w:val="002352E8"/>
    <w:rsid w:val="0023539D"/>
    <w:rsid w:val="00236183"/>
    <w:rsid w:val="00236B7C"/>
    <w:rsid w:val="00237086"/>
    <w:rsid w:val="002401D0"/>
    <w:rsid w:val="0024026F"/>
    <w:rsid w:val="00241CDB"/>
    <w:rsid w:val="00241DD8"/>
    <w:rsid w:val="00243019"/>
    <w:rsid w:val="00243247"/>
    <w:rsid w:val="00243997"/>
    <w:rsid w:val="0024411D"/>
    <w:rsid w:val="00244261"/>
    <w:rsid w:val="00245333"/>
    <w:rsid w:val="0024549A"/>
    <w:rsid w:val="00246D41"/>
    <w:rsid w:val="00247A7C"/>
    <w:rsid w:val="002505E6"/>
    <w:rsid w:val="002517CA"/>
    <w:rsid w:val="00251E4E"/>
    <w:rsid w:val="0025306A"/>
    <w:rsid w:val="002531B4"/>
    <w:rsid w:val="0025351A"/>
    <w:rsid w:val="00253BF6"/>
    <w:rsid w:val="0025434F"/>
    <w:rsid w:val="00255E91"/>
    <w:rsid w:val="00256A4B"/>
    <w:rsid w:val="00256D0E"/>
    <w:rsid w:val="002576CA"/>
    <w:rsid w:val="00261337"/>
    <w:rsid w:val="00261534"/>
    <w:rsid w:val="00261A86"/>
    <w:rsid w:val="00262D25"/>
    <w:rsid w:val="00262E62"/>
    <w:rsid w:val="00264218"/>
    <w:rsid w:val="0026568B"/>
    <w:rsid w:val="00266138"/>
    <w:rsid w:val="00271676"/>
    <w:rsid w:val="00274933"/>
    <w:rsid w:val="00274A37"/>
    <w:rsid w:val="0027543A"/>
    <w:rsid w:val="002758DD"/>
    <w:rsid w:val="002761DC"/>
    <w:rsid w:val="0027666A"/>
    <w:rsid w:val="00276795"/>
    <w:rsid w:val="00277373"/>
    <w:rsid w:val="00277446"/>
    <w:rsid w:val="00277A10"/>
    <w:rsid w:val="00277DB0"/>
    <w:rsid w:val="002800D4"/>
    <w:rsid w:val="00282BBF"/>
    <w:rsid w:val="00284335"/>
    <w:rsid w:val="0028440E"/>
    <w:rsid w:val="0028471E"/>
    <w:rsid w:val="00285092"/>
    <w:rsid w:val="00285A95"/>
    <w:rsid w:val="00286C32"/>
    <w:rsid w:val="00286D5A"/>
    <w:rsid w:val="00290601"/>
    <w:rsid w:val="002907B3"/>
    <w:rsid w:val="00291D2F"/>
    <w:rsid w:val="0029297B"/>
    <w:rsid w:val="00293549"/>
    <w:rsid w:val="00294159"/>
    <w:rsid w:val="00294C0F"/>
    <w:rsid w:val="00295979"/>
    <w:rsid w:val="00296BBD"/>
    <w:rsid w:val="00297846"/>
    <w:rsid w:val="002A01D1"/>
    <w:rsid w:val="002A038A"/>
    <w:rsid w:val="002A139F"/>
    <w:rsid w:val="002A4394"/>
    <w:rsid w:val="002A5280"/>
    <w:rsid w:val="002B0025"/>
    <w:rsid w:val="002B06DD"/>
    <w:rsid w:val="002B07E6"/>
    <w:rsid w:val="002B0919"/>
    <w:rsid w:val="002B0E26"/>
    <w:rsid w:val="002B110B"/>
    <w:rsid w:val="002B14C5"/>
    <w:rsid w:val="002B27B0"/>
    <w:rsid w:val="002B2CDF"/>
    <w:rsid w:val="002B2F81"/>
    <w:rsid w:val="002B342C"/>
    <w:rsid w:val="002B3DF9"/>
    <w:rsid w:val="002B4BD6"/>
    <w:rsid w:val="002B6864"/>
    <w:rsid w:val="002B7E9F"/>
    <w:rsid w:val="002C0278"/>
    <w:rsid w:val="002C0951"/>
    <w:rsid w:val="002C12F0"/>
    <w:rsid w:val="002C1641"/>
    <w:rsid w:val="002C1E1B"/>
    <w:rsid w:val="002C20A1"/>
    <w:rsid w:val="002C3818"/>
    <w:rsid w:val="002C388C"/>
    <w:rsid w:val="002C3DD0"/>
    <w:rsid w:val="002C530A"/>
    <w:rsid w:val="002D1A83"/>
    <w:rsid w:val="002D2278"/>
    <w:rsid w:val="002D3374"/>
    <w:rsid w:val="002D34B4"/>
    <w:rsid w:val="002D44A2"/>
    <w:rsid w:val="002E0EC5"/>
    <w:rsid w:val="002E0EED"/>
    <w:rsid w:val="002E0FDB"/>
    <w:rsid w:val="002E3A4F"/>
    <w:rsid w:val="002E45B5"/>
    <w:rsid w:val="002E4B96"/>
    <w:rsid w:val="002E4EDD"/>
    <w:rsid w:val="002E545B"/>
    <w:rsid w:val="002E5995"/>
    <w:rsid w:val="002E5D61"/>
    <w:rsid w:val="002E5E4F"/>
    <w:rsid w:val="002E6A37"/>
    <w:rsid w:val="002E7460"/>
    <w:rsid w:val="002F08AD"/>
    <w:rsid w:val="002F2608"/>
    <w:rsid w:val="002F2667"/>
    <w:rsid w:val="002F2E00"/>
    <w:rsid w:val="002F38F9"/>
    <w:rsid w:val="002F3CBC"/>
    <w:rsid w:val="002F3CBD"/>
    <w:rsid w:val="002F4DA3"/>
    <w:rsid w:val="002F5BCF"/>
    <w:rsid w:val="002F5F51"/>
    <w:rsid w:val="002F69E7"/>
    <w:rsid w:val="002F71EE"/>
    <w:rsid w:val="002F745D"/>
    <w:rsid w:val="002F7BF6"/>
    <w:rsid w:val="00302666"/>
    <w:rsid w:val="00303349"/>
    <w:rsid w:val="00303B11"/>
    <w:rsid w:val="00305E39"/>
    <w:rsid w:val="00305ED6"/>
    <w:rsid w:val="00307219"/>
    <w:rsid w:val="00311C6B"/>
    <w:rsid w:val="00314B8F"/>
    <w:rsid w:val="003155F2"/>
    <w:rsid w:val="00315A54"/>
    <w:rsid w:val="00315C43"/>
    <w:rsid w:val="003162CA"/>
    <w:rsid w:val="003166A4"/>
    <w:rsid w:val="00320233"/>
    <w:rsid w:val="00320712"/>
    <w:rsid w:val="003232E7"/>
    <w:rsid w:val="00323A8C"/>
    <w:rsid w:val="0032612E"/>
    <w:rsid w:val="003272A0"/>
    <w:rsid w:val="003277A6"/>
    <w:rsid w:val="00330301"/>
    <w:rsid w:val="00330A23"/>
    <w:rsid w:val="00334363"/>
    <w:rsid w:val="00334A08"/>
    <w:rsid w:val="00334A66"/>
    <w:rsid w:val="0033501F"/>
    <w:rsid w:val="003358EC"/>
    <w:rsid w:val="00335E64"/>
    <w:rsid w:val="00336C1F"/>
    <w:rsid w:val="003421DC"/>
    <w:rsid w:val="00342F2D"/>
    <w:rsid w:val="0034413E"/>
    <w:rsid w:val="003442E2"/>
    <w:rsid w:val="00344C65"/>
    <w:rsid w:val="0034537C"/>
    <w:rsid w:val="00345398"/>
    <w:rsid w:val="00345681"/>
    <w:rsid w:val="00346299"/>
    <w:rsid w:val="00347AF4"/>
    <w:rsid w:val="003518D2"/>
    <w:rsid w:val="00352215"/>
    <w:rsid w:val="00352EDA"/>
    <w:rsid w:val="00353C2E"/>
    <w:rsid w:val="00354947"/>
    <w:rsid w:val="003551FA"/>
    <w:rsid w:val="00355B67"/>
    <w:rsid w:val="00355F65"/>
    <w:rsid w:val="003579E6"/>
    <w:rsid w:val="00360F68"/>
    <w:rsid w:val="003610B5"/>
    <w:rsid w:val="003617AF"/>
    <w:rsid w:val="00363262"/>
    <w:rsid w:val="00366E32"/>
    <w:rsid w:val="0037004F"/>
    <w:rsid w:val="00370532"/>
    <w:rsid w:val="00370931"/>
    <w:rsid w:val="00376582"/>
    <w:rsid w:val="00376AEC"/>
    <w:rsid w:val="00381B56"/>
    <w:rsid w:val="00381D70"/>
    <w:rsid w:val="00381F92"/>
    <w:rsid w:val="003836F7"/>
    <w:rsid w:val="0038509D"/>
    <w:rsid w:val="00385F68"/>
    <w:rsid w:val="00386385"/>
    <w:rsid w:val="00390128"/>
    <w:rsid w:val="003901A2"/>
    <w:rsid w:val="0039086C"/>
    <w:rsid w:val="003917BE"/>
    <w:rsid w:val="003931B8"/>
    <w:rsid w:val="00393881"/>
    <w:rsid w:val="00393BD3"/>
    <w:rsid w:val="00394BF2"/>
    <w:rsid w:val="00396311"/>
    <w:rsid w:val="003A0E03"/>
    <w:rsid w:val="003A21B4"/>
    <w:rsid w:val="003A3193"/>
    <w:rsid w:val="003A37DC"/>
    <w:rsid w:val="003A4F2D"/>
    <w:rsid w:val="003A5832"/>
    <w:rsid w:val="003A583D"/>
    <w:rsid w:val="003A61A2"/>
    <w:rsid w:val="003A6B58"/>
    <w:rsid w:val="003A7C2F"/>
    <w:rsid w:val="003B0541"/>
    <w:rsid w:val="003B14FD"/>
    <w:rsid w:val="003B247C"/>
    <w:rsid w:val="003B2A71"/>
    <w:rsid w:val="003B5109"/>
    <w:rsid w:val="003B53A7"/>
    <w:rsid w:val="003B549F"/>
    <w:rsid w:val="003B5787"/>
    <w:rsid w:val="003B6440"/>
    <w:rsid w:val="003B6A18"/>
    <w:rsid w:val="003B757A"/>
    <w:rsid w:val="003C0667"/>
    <w:rsid w:val="003C0D9E"/>
    <w:rsid w:val="003C1B90"/>
    <w:rsid w:val="003C1C26"/>
    <w:rsid w:val="003C29D7"/>
    <w:rsid w:val="003C425E"/>
    <w:rsid w:val="003C56A1"/>
    <w:rsid w:val="003C5813"/>
    <w:rsid w:val="003C6E1E"/>
    <w:rsid w:val="003C6F96"/>
    <w:rsid w:val="003C755E"/>
    <w:rsid w:val="003D0122"/>
    <w:rsid w:val="003D04ED"/>
    <w:rsid w:val="003D0986"/>
    <w:rsid w:val="003D0B43"/>
    <w:rsid w:val="003D0B47"/>
    <w:rsid w:val="003D0F41"/>
    <w:rsid w:val="003D19B4"/>
    <w:rsid w:val="003D1F04"/>
    <w:rsid w:val="003D2990"/>
    <w:rsid w:val="003D3978"/>
    <w:rsid w:val="003D4BF4"/>
    <w:rsid w:val="003D537F"/>
    <w:rsid w:val="003D5801"/>
    <w:rsid w:val="003D663E"/>
    <w:rsid w:val="003E1D55"/>
    <w:rsid w:val="003E2188"/>
    <w:rsid w:val="003E2495"/>
    <w:rsid w:val="003E373D"/>
    <w:rsid w:val="003E4121"/>
    <w:rsid w:val="003E42CB"/>
    <w:rsid w:val="003E5863"/>
    <w:rsid w:val="003E7D66"/>
    <w:rsid w:val="003F0957"/>
    <w:rsid w:val="003F1B2E"/>
    <w:rsid w:val="003F3AEA"/>
    <w:rsid w:val="003F4544"/>
    <w:rsid w:val="003F4C3C"/>
    <w:rsid w:val="003F740D"/>
    <w:rsid w:val="003F7D0B"/>
    <w:rsid w:val="00400982"/>
    <w:rsid w:val="00400BAB"/>
    <w:rsid w:val="00403080"/>
    <w:rsid w:val="00404D08"/>
    <w:rsid w:val="004063BF"/>
    <w:rsid w:val="0040677A"/>
    <w:rsid w:val="004069E6"/>
    <w:rsid w:val="00406B58"/>
    <w:rsid w:val="00407A88"/>
    <w:rsid w:val="00411123"/>
    <w:rsid w:val="00421EA2"/>
    <w:rsid w:val="00422396"/>
    <w:rsid w:val="00424AEF"/>
    <w:rsid w:val="00425E2D"/>
    <w:rsid w:val="004267B0"/>
    <w:rsid w:val="00426E3E"/>
    <w:rsid w:val="0043000B"/>
    <w:rsid w:val="0043064A"/>
    <w:rsid w:val="00431BD2"/>
    <w:rsid w:val="00431CFA"/>
    <w:rsid w:val="00433FA1"/>
    <w:rsid w:val="0043471A"/>
    <w:rsid w:val="00434BE1"/>
    <w:rsid w:val="004351BB"/>
    <w:rsid w:val="004359F0"/>
    <w:rsid w:val="00436652"/>
    <w:rsid w:val="00436E7E"/>
    <w:rsid w:val="004375B0"/>
    <w:rsid w:val="00440247"/>
    <w:rsid w:val="0044117A"/>
    <w:rsid w:val="00441B0D"/>
    <w:rsid w:val="00441F69"/>
    <w:rsid w:val="004422E7"/>
    <w:rsid w:val="0044448D"/>
    <w:rsid w:val="00445177"/>
    <w:rsid w:val="00446613"/>
    <w:rsid w:val="00451647"/>
    <w:rsid w:val="004517AE"/>
    <w:rsid w:val="0045215D"/>
    <w:rsid w:val="004523C5"/>
    <w:rsid w:val="00452B8F"/>
    <w:rsid w:val="00454501"/>
    <w:rsid w:val="004558FE"/>
    <w:rsid w:val="0045693F"/>
    <w:rsid w:val="00457231"/>
    <w:rsid w:val="00460962"/>
    <w:rsid w:val="0046394A"/>
    <w:rsid w:val="00463A90"/>
    <w:rsid w:val="00464571"/>
    <w:rsid w:val="004650A4"/>
    <w:rsid w:val="00465259"/>
    <w:rsid w:val="0046585C"/>
    <w:rsid w:val="00466CCA"/>
    <w:rsid w:val="004711BD"/>
    <w:rsid w:val="00471508"/>
    <w:rsid w:val="00472F0B"/>
    <w:rsid w:val="00476E6E"/>
    <w:rsid w:val="004770EA"/>
    <w:rsid w:val="00483212"/>
    <w:rsid w:val="00483D20"/>
    <w:rsid w:val="00486998"/>
    <w:rsid w:val="004869AF"/>
    <w:rsid w:val="00486B01"/>
    <w:rsid w:val="00486C48"/>
    <w:rsid w:val="00486CF4"/>
    <w:rsid w:val="0049064A"/>
    <w:rsid w:val="0049074B"/>
    <w:rsid w:val="0049186F"/>
    <w:rsid w:val="00493A68"/>
    <w:rsid w:val="00493FF0"/>
    <w:rsid w:val="0049432F"/>
    <w:rsid w:val="004949E1"/>
    <w:rsid w:val="00495846"/>
    <w:rsid w:val="004A0497"/>
    <w:rsid w:val="004A20BE"/>
    <w:rsid w:val="004A2CAD"/>
    <w:rsid w:val="004A31BF"/>
    <w:rsid w:val="004A4832"/>
    <w:rsid w:val="004A7A90"/>
    <w:rsid w:val="004B110E"/>
    <w:rsid w:val="004B2298"/>
    <w:rsid w:val="004B2391"/>
    <w:rsid w:val="004B2986"/>
    <w:rsid w:val="004B2A5B"/>
    <w:rsid w:val="004B2ECC"/>
    <w:rsid w:val="004B48A6"/>
    <w:rsid w:val="004B7138"/>
    <w:rsid w:val="004B73B1"/>
    <w:rsid w:val="004C033F"/>
    <w:rsid w:val="004C047D"/>
    <w:rsid w:val="004C07E9"/>
    <w:rsid w:val="004C0B21"/>
    <w:rsid w:val="004C2DC3"/>
    <w:rsid w:val="004C2DF2"/>
    <w:rsid w:val="004C38EB"/>
    <w:rsid w:val="004C45A4"/>
    <w:rsid w:val="004C4BA9"/>
    <w:rsid w:val="004C67AF"/>
    <w:rsid w:val="004D050B"/>
    <w:rsid w:val="004D0792"/>
    <w:rsid w:val="004D0D74"/>
    <w:rsid w:val="004D1D98"/>
    <w:rsid w:val="004D216F"/>
    <w:rsid w:val="004D2330"/>
    <w:rsid w:val="004D23F4"/>
    <w:rsid w:val="004D4DE8"/>
    <w:rsid w:val="004D51AC"/>
    <w:rsid w:val="004D5784"/>
    <w:rsid w:val="004D66C2"/>
    <w:rsid w:val="004D787A"/>
    <w:rsid w:val="004D792D"/>
    <w:rsid w:val="004D7BDD"/>
    <w:rsid w:val="004E0789"/>
    <w:rsid w:val="004E7524"/>
    <w:rsid w:val="004E7968"/>
    <w:rsid w:val="004E7A57"/>
    <w:rsid w:val="004F0C86"/>
    <w:rsid w:val="004F0FD8"/>
    <w:rsid w:val="004F12A4"/>
    <w:rsid w:val="004F1BE8"/>
    <w:rsid w:val="004F2D21"/>
    <w:rsid w:val="004F4707"/>
    <w:rsid w:val="004F474B"/>
    <w:rsid w:val="004F494E"/>
    <w:rsid w:val="004F5446"/>
    <w:rsid w:val="004F6705"/>
    <w:rsid w:val="00500C2A"/>
    <w:rsid w:val="00500EA3"/>
    <w:rsid w:val="00503037"/>
    <w:rsid w:val="005035D5"/>
    <w:rsid w:val="005046FC"/>
    <w:rsid w:val="00504826"/>
    <w:rsid w:val="00506B71"/>
    <w:rsid w:val="00507FB1"/>
    <w:rsid w:val="00507FFA"/>
    <w:rsid w:val="0051055B"/>
    <w:rsid w:val="0051198C"/>
    <w:rsid w:val="0051245C"/>
    <w:rsid w:val="00512D37"/>
    <w:rsid w:val="00513A6A"/>
    <w:rsid w:val="0051523F"/>
    <w:rsid w:val="00515863"/>
    <w:rsid w:val="00515CF3"/>
    <w:rsid w:val="00516984"/>
    <w:rsid w:val="00517727"/>
    <w:rsid w:val="005216B6"/>
    <w:rsid w:val="005245BF"/>
    <w:rsid w:val="00526D57"/>
    <w:rsid w:val="00527499"/>
    <w:rsid w:val="005274F7"/>
    <w:rsid w:val="005279C1"/>
    <w:rsid w:val="00527B1D"/>
    <w:rsid w:val="00531B10"/>
    <w:rsid w:val="00531E3F"/>
    <w:rsid w:val="00533678"/>
    <w:rsid w:val="00534375"/>
    <w:rsid w:val="00534AB3"/>
    <w:rsid w:val="00534B43"/>
    <w:rsid w:val="00536955"/>
    <w:rsid w:val="00536DC5"/>
    <w:rsid w:val="00540F0D"/>
    <w:rsid w:val="005411CA"/>
    <w:rsid w:val="0054294C"/>
    <w:rsid w:val="00542B60"/>
    <w:rsid w:val="00544420"/>
    <w:rsid w:val="005451CF"/>
    <w:rsid w:val="005457AA"/>
    <w:rsid w:val="0054764F"/>
    <w:rsid w:val="0055073C"/>
    <w:rsid w:val="00550A1C"/>
    <w:rsid w:val="00550AC4"/>
    <w:rsid w:val="005515D0"/>
    <w:rsid w:val="00553E42"/>
    <w:rsid w:val="00554686"/>
    <w:rsid w:val="0055499C"/>
    <w:rsid w:val="005555C4"/>
    <w:rsid w:val="00557A30"/>
    <w:rsid w:val="00557C9E"/>
    <w:rsid w:val="00560FE7"/>
    <w:rsid w:val="00561D9B"/>
    <w:rsid w:val="00562157"/>
    <w:rsid w:val="005638B4"/>
    <w:rsid w:val="00564398"/>
    <w:rsid w:val="00564BEB"/>
    <w:rsid w:val="005664F2"/>
    <w:rsid w:val="005704C3"/>
    <w:rsid w:val="00570C05"/>
    <w:rsid w:val="00571EFC"/>
    <w:rsid w:val="00573A2B"/>
    <w:rsid w:val="005752DC"/>
    <w:rsid w:val="005752ED"/>
    <w:rsid w:val="00576201"/>
    <w:rsid w:val="00576534"/>
    <w:rsid w:val="0057729F"/>
    <w:rsid w:val="00582598"/>
    <w:rsid w:val="0058332D"/>
    <w:rsid w:val="00583F87"/>
    <w:rsid w:val="00584F40"/>
    <w:rsid w:val="00585433"/>
    <w:rsid w:val="00586F98"/>
    <w:rsid w:val="0058708D"/>
    <w:rsid w:val="00587AD8"/>
    <w:rsid w:val="00590C15"/>
    <w:rsid w:val="00591670"/>
    <w:rsid w:val="005917E4"/>
    <w:rsid w:val="0059199B"/>
    <w:rsid w:val="00591E4D"/>
    <w:rsid w:val="00591E68"/>
    <w:rsid w:val="005923A4"/>
    <w:rsid w:val="0059396C"/>
    <w:rsid w:val="00593E16"/>
    <w:rsid w:val="00594F6C"/>
    <w:rsid w:val="005956A3"/>
    <w:rsid w:val="00595AC7"/>
    <w:rsid w:val="0059661F"/>
    <w:rsid w:val="00597879"/>
    <w:rsid w:val="005979FD"/>
    <w:rsid w:val="00597AF5"/>
    <w:rsid w:val="00597E76"/>
    <w:rsid w:val="005A09D3"/>
    <w:rsid w:val="005A12D5"/>
    <w:rsid w:val="005A23A0"/>
    <w:rsid w:val="005A2F82"/>
    <w:rsid w:val="005A4B54"/>
    <w:rsid w:val="005A5D21"/>
    <w:rsid w:val="005A5D72"/>
    <w:rsid w:val="005A5F01"/>
    <w:rsid w:val="005A6184"/>
    <w:rsid w:val="005A6376"/>
    <w:rsid w:val="005B01BB"/>
    <w:rsid w:val="005B0F4C"/>
    <w:rsid w:val="005B15FE"/>
    <w:rsid w:val="005B23EC"/>
    <w:rsid w:val="005B34E2"/>
    <w:rsid w:val="005B44C2"/>
    <w:rsid w:val="005B5AB6"/>
    <w:rsid w:val="005B6216"/>
    <w:rsid w:val="005B6C38"/>
    <w:rsid w:val="005B715F"/>
    <w:rsid w:val="005C0709"/>
    <w:rsid w:val="005C08E4"/>
    <w:rsid w:val="005C163C"/>
    <w:rsid w:val="005C20A1"/>
    <w:rsid w:val="005C2545"/>
    <w:rsid w:val="005C39E2"/>
    <w:rsid w:val="005C447C"/>
    <w:rsid w:val="005C4580"/>
    <w:rsid w:val="005C4809"/>
    <w:rsid w:val="005C5A90"/>
    <w:rsid w:val="005C6F94"/>
    <w:rsid w:val="005D19CE"/>
    <w:rsid w:val="005D1AB5"/>
    <w:rsid w:val="005D27E5"/>
    <w:rsid w:val="005D2C50"/>
    <w:rsid w:val="005D2D7C"/>
    <w:rsid w:val="005D32EB"/>
    <w:rsid w:val="005D493C"/>
    <w:rsid w:val="005D51CB"/>
    <w:rsid w:val="005D5FBF"/>
    <w:rsid w:val="005E00C9"/>
    <w:rsid w:val="005E04F6"/>
    <w:rsid w:val="005E0AFC"/>
    <w:rsid w:val="005E102F"/>
    <w:rsid w:val="005E1BAB"/>
    <w:rsid w:val="005E2086"/>
    <w:rsid w:val="005E255F"/>
    <w:rsid w:val="005E30D8"/>
    <w:rsid w:val="005E4771"/>
    <w:rsid w:val="005E484E"/>
    <w:rsid w:val="005E4F20"/>
    <w:rsid w:val="005E4F64"/>
    <w:rsid w:val="005E70DE"/>
    <w:rsid w:val="005E7199"/>
    <w:rsid w:val="005F09A2"/>
    <w:rsid w:val="005F1FC4"/>
    <w:rsid w:val="005F1FD4"/>
    <w:rsid w:val="005F2D10"/>
    <w:rsid w:val="005F41AE"/>
    <w:rsid w:val="005F44BC"/>
    <w:rsid w:val="005F4732"/>
    <w:rsid w:val="005F51CF"/>
    <w:rsid w:val="005F78F7"/>
    <w:rsid w:val="005F7B30"/>
    <w:rsid w:val="006002D9"/>
    <w:rsid w:val="00600851"/>
    <w:rsid w:val="00601188"/>
    <w:rsid w:val="00601389"/>
    <w:rsid w:val="00602DB6"/>
    <w:rsid w:val="0060527E"/>
    <w:rsid w:val="00605D0C"/>
    <w:rsid w:val="00606781"/>
    <w:rsid w:val="0061016A"/>
    <w:rsid w:val="0061024D"/>
    <w:rsid w:val="006144CC"/>
    <w:rsid w:val="00616839"/>
    <w:rsid w:val="00617804"/>
    <w:rsid w:val="00621AAB"/>
    <w:rsid w:val="00624C89"/>
    <w:rsid w:val="0062507E"/>
    <w:rsid w:val="0062556F"/>
    <w:rsid w:val="00627220"/>
    <w:rsid w:val="00627FD5"/>
    <w:rsid w:val="00631382"/>
    <w:rsid w:val="00632109"/>
    <w:rsid w:val="00634504"/>
    <w:rsid w:val="00634989"/>
    <w:rsid w:val="00634F10"/>
    <w:rsid w:val="00637C32"/>
    <w:rsid w:val="00640D48"/>
    <w:rsid w:val="00640FBB"/>
    <w:rsid w:val="0064104F"/>
    <w:rsid w:val="00641CA5"/>
    <w:rsid w:val="006422FD"/>
    <w:rsid w:val="006428AA"/>
    <w:rsid w:val="00642E8D"/>
    <w:rsid w:val="006432E8"/>
    <w:rsid w:val="00643702"/>
    <w:rsid w:val="006437D1"/>
    <w:rsid w:val="00644596"/>
    <w:rsid w:val="006459B5"/>
    <w:rsid w:val="00646431"/>
    <w:rsid w:val="00646942"/>
    <w:rsid w:val="00646B58"/>
    <w:rsid w:val="0064724F"/>
    <w:rsid w:val="006477BF"/>
    <w:rsid w:val="00651050"/>
    <w:rsid w:val="00651D15"/>
    <w:rsid w:val="00652EED"/>
    <w:rsid w:val="00654383"/>
    <w:rsid w:val="0065558A"/>
    <w:rsid w:val="00655A98"/>
    <w:rsid w:val="00661776"/>
    <w:rsid w:val="00661AC0"/>
    <w:rsid w:val="006628F1"/>
    <w:rsid w:val="0066386F"/>
    <w:rsid w:val="0066436C"/>
    <w:rsid w:val="00664986"/>
    <w:rsid w:val="00670E18"/>
    <w:rsid w:val="006713A7"/>
    <w:rsid w:val="006732F6"/>
    <w:rsid w:val="006735EA"/>
    <w:rsid w:val="00673B28"/>
    <w:rsid w:val="00674F53"/>
    <w:rsid w:val="00675182"/>
    <w:rsid w:val="0067529C"/>
    <w:rsid w:val="0068038C"/>
    <w:rsid w:val="0068049F"/>
    <w:rsid w:val="00683EF3"/>
    <w:rsid w:val="00684AE2"/>
    <w:rsid w:val="00684F35"/>
    <w:rsid w:val="0068587F"/>
    <w:rsid w:val="00686808"/>
    <w:rsid w:val="006869C6"/>
    <w:rsid w:val="0068703B"/>
    <w:rsid w:val="00687411"/>
    <w:rsid w:val="00690142"/>
    <w:rsid w:val="0069055C"/>
    <w:rsid w:val="0069063D"/>
    <w:rsid w:val="00691441"/>
    <w:rsid w:val="006946F4"/>
    <w:rsid w:val="00695528"/>
    <w:rsid w:val="00696328"/>
    <w:rsid w:val="00696590"/>
    <w:rsid w:val="00696E3B"/>
    <w:rsid w:val="00697171"/>
    <w:rsid w:val="006A00E1"/>
    <w:rsid w:val="006A0827"/>
    <w:rsid w:val="006A34AA"/>
    <w:rsid w:val="006A4B83"/>
    <w:rsid w:val="006A57C4"/>
    <w:rsid w:val="006B02CA"/>
    <w:rsid w:val="006B36E7"/>
    <w:rsid w:val="006B3BC3"/>
    <w:rsid w:val="006B44E8"/>
    <w:rsid w:val="006B5A65"/>
    <w:rsid w:val="006B5AC3"/>
    <w:rsid w:val="006B760C"/>
    <w:rsid w:val="006B7F67"/>
    <w:rsid w:val="006C001C"/>
    <w:rsid w:val="006C0995"/>
    <w:rsid w:val="006C15F8"/>
    <w:rsid w:val="006C1B34"/>
    <w:rsid w:val="006C22A2"/>
    <w:rsid w:val="006C3E38"/>
    <w:rsid w:val="006C481C"/>
    <w:rsid w:val="006C48E7"/>
    <w:rsid w:val="006C4CD0"/>
    <w:rsid w:val="006D1D30"/>
    <w:rsid w:val="006D3A8F"/>
    <w:rsid w:val="006D5A08"/>
    <w:rsid w:val="006D6BFE"/>
    <w:rsid w:val="006D6FDB"/>
    <w:rsid w:val="006D705C"/>
    <w:rsid w:val="006D7137"/>
    <w:rsid w:val="006D7A2A"/>
    <w:rsid w:val="006E02C3"/>
    <w:rsid w:val="006E0A34"/>
    <w:rsid w:val="006E0FDB"/>
    <w:rsid w:val="006E30B0"/>
    <w:rsid w:val="006E6E97"/>
    <w:rsid w:val="006E704E"/>
    <w:rsid w:val="006F093C"/>
    <w:rsid w:val="006F1E38"/>
    <w:rsid w:val="006F36B1"/>
    <w:rsid w:val="006F3C99"/>
    <w:rsid w:val="006F4AD3"/>
    <w:rsid w:val="006F4AF6"/>
    <w:rsid w:val="006F5E69"/>
    <w:rsid w:val="00700B10"/>
    <w:rsid w:val="00706024"/>
    <w:rsid w:val="00710186"/>
    <w:rsid w:val="007102ED"/>
    <w:rsid w:val="00710DA5"/>
    <w:rsid w:val="007118A8"/>
    <w:rsid w:val="007118BE"/>
    <w:rsid w:val="00711F1A"/>
    <w:rsid w:val="007125EA"/>
    <w:rsid w:val="00714FDA"/>
    <w:rsid w:val="00715D9C"/>
    <w:rsid w:val="00715EC3"/>
    <w:rsid w:val="00715F72"/>
    <w:rsid w:val="00716946"/>
    <w:rsid w:val="00717269"/>
    <w:rsid w:val="007173F1"/>
    <w:rsid w:val="00720787"/>
    <w:rsid w:val="00722160"/>
    <w:rsid w:val="007229AB"/>
    <w:rsid w:val="007245B1"/>
    <w:rsid w:val="00724620"/>
    <w:rsid w:val="00725B61"/>
    <w:rsid w:val="007276E5"/>
    <w:rsid w:val="00730DAD"/>
    <w:rsid w:val="00730E2F"/>
    <w:rsid w:val="00734262"/>
    <w:rsid w:val="00740DC8"/>
    <w:rsid w:val="00741F55"/>
    <w:rsid w:val="007440E5"/>
    <w:rsid w:val="00745582"/>
    <w:rsid w:val="00746F55"/>
    <w:rsid w:val="0074752D"/>
    <w:rsid w:val="00747760"/>
    <w:rsid w:val="00747C98"/>
    <w:rsid w:val="00750308"/>
    <w:rsid w:val="00750DF2"/>
    <w:rsid w:val="00752275"/>
    <w:rsid w:val="007527C3"/>
    <w:rsid w:val="00754640"/>
    <w:rsid w:val="00756E2B"/>
    <w:rsid w:val="00756EFC"/>
    <w:rsid w:val="0076014C"/>
    <w:rsid w:val="00761836"/>
    <w:rsid w:val="00761AE4"/>
    <w:rsid w:val="00762928"/>
    <w:rsid w:val="007631A0"/>
    <w:rsid w:val="007639BB"/>
    <w:rsid w:val="007644BF"/>
    <w:rsid w:val="007644C3"/>
    <w:rsid w:val="0076580D"/>
    <w:rsid w:val="00765DBF"/>
    <w:rsid w:val="00766C90"/>
    <w:rsid w:val="0076757F"/>
    <w:rsid w:val="00771F4F"/>
    <w:rsid w:val="007729B4"/>
    <w:rsid w:val="00774620"/>
    <w:rsid w:val="00774664"/>
    <w:rsid w:val="00776A59"/>
    <w:rsid w:val="00776A75"/>
    <w:rsid w:val="00776F0D"/>
    <w:rsid w:val="00777671"/>
    <w:rsid w:val="00780851"/>
    <w:rsid w:val="00780DC8"/>
    <w:rsid w:val="00780E9C"/>
    <w:rsid w:val="007816EA"/>
    <w:rsid w:val="00781F7A"/>
    <w:rsid w:val="0078229D"/>
    <w:rsid w:val="00782B93"/>
    <w:rsid w:val="00782CC0"/>
    <w:rsid w:val="00783F6B"/>
    <w:rsid w:val="00783FE6"/>
    <w:rsid w:val="00784055"/>
    <w:rsid w:val="00784638"/>
    <w:rsid w:val="007862DD"/>
    <w:rsid w:val="00786C7E"/>
    <w:rsid w:val="0078765A"/>
    <w:rsid w:val="00791DB4"/>
    <w:rsid w:val="007923BE"/>
    <w:rsid w:val="0079272B"/>
    <w:rsid w:val="00792C84"/>
    <w:rsid w:val="00794C4F"/>
    <w:rsid w:val="007A1670"/>
    <w:rsid w:val="007A2F3D"/>
    <w:rsid w:val="007A360F"/>
    <w:rsid w:val="007A3B3E"/>
    <w:rsid w:val="007A3FDC"/>
    <w:rsid w:val="007A4496"/>
    <w:rsid w:val="007A4723"/>
    <w:rsid w:val="007A59AF"/>
    <w:rsid w:val="007A62A5"/>
    <w:rsid w:val="007A7A0F"/>
    <w:rsid w:val="007B0004"/>
    <w:rsid w:val="007B1536"/>
    <w:rsid w:val="007B18BC"/>
    <w:rsid w:val="007B2052"/>
    <w:rsid w:val="007B33BF"/>
    <w:rsid w:val="007B60D6"/>
    <w:rsid w:val="007B6A52"/>
    <w:rsid w:val="007B6BBB"/>
    <w:rsid w:val="007B7557"/>
    <w:rsid w:val="007B7868"/>
    <w:rsid w:val="007C14BC"/>
    <w:rsid w:val="007C156C"/>
    <w:rsid w:val="007C3296"/>
    <w:rsid w:val="007C3487"/>
    <w:rsid w:val="007C4761"/>
    <w:rsid w:val="007C4CF9"/>
    <w:rsid w:val="007C56DE"/>
    <w:rsid w:val="007C6201"/>
    <w:rsid w:val="007C63DA"/>
    <w:rsid w:val="007C6F4D"/>
    <w:rsid w:val="007C7F6D"/>
    <w:rsid w:val="007D08F7"/>
    <w:rsid w:val="007D16EA"/>
    <w:rsid w:val="007D16EF"/>
    <w:rsid w:val="007D25C3"/>
    <w:rsid w:val="007D3BB6"/>
    <w:rsid w:val="007D5283"/>
    <w:rsid w:val="007D5361"/>
    <w:rsid w:val="007D7172"/>
    <w:rsid w:val="007E0438"/>
    <w:rsid w:val="007E072C"/>
    <w:rsid w:val="007E075E"/>
    <w:rsid w:val="007E1134"/>
    <w:rsid w:val="007E1DA4"/>
    <w:rsid w:val="007E2BAC"/>
    <w:rsid w:val="007E3284"/>
    <w:rsid w:val="007E46F8"/>
    <w:rsid w:val="007E5557"/>
    <w:rsid w:val="007E5F5D"/>
    <w:rsid w:val="007E6342"/>
    <w:rsid w:val="007E7AA7"/>
    <w:rsid w:val="007F017D"/>
    <w:rsid w:val="007F16D0"/>
    <w:rsid w:val="007F2D4D"/>
    <w:rsid w:val="007F3437"/>
    <w:rsid w:val="007F390B"/>
    <w:rsid w:val="007F39B5"/>
    <w:rsid w:val="007F5061"/>
    <w:rsid w:val="007F5488"/>
    <w:rsid w:val="007F79EB"/>
    <w:rsid w:val="007F7A29"/>
    <w:rsid w:val="00800B2A"/>
    <w:rsid w:val="008015C4"/>
    <w:rsid w:val="008026E1"/>
    <w:rsid w:val="00804618"/>
    <w:rsid w:val="008055FB"/>
    <w:rsid w:val="0080594A"/>
    <w:rsid w:val="00813186"/>
    <w:rsid w:val="00813386"/>
    <w:rsid w:val="00813F38"/>
    <w:rsid w:val="00814FE9"/>
    <w:rsid w:val="008150B0"/>
    <w:rsid w:val="0081557E"/>
    <w:rsid w:val="00815A3C"/>
    <w:rsid w:val="00815E20"/>
    <w:rsid w:val="00816E66"/>
    <w:rsid w:val="00817B6E"/>
    <w:rsid w:val="008223A7"/>
    <w:rsid w:val="0082428C"/>
    <w:rsid w:val="00824507"/>
    <w:rsid w:val="0082475E"/>
    <w:rsid w:val="00824BB0"/>
    <w:rsid w:val="00824BE1"/>
    <w:rsid w:val="008261DD"/>
    <w:rsid w:val="008262F5"/>
    <w:rsid w:val="00827FF7"/>
    <w:rsid w:val="00832299"/>
    <w:rsid w:val="0083239F"/>
    <w:rsid w:val="00832814"/>
    <w:rsid w:val="00832B46"/>
    <w:rsid w:val="0083306A"/>
    <w:rsid w:val="008337E4"/>
    <w:rsid w:val="00834F73"/>
    <w:rsid w:val="00836958"/>
    <w:rsid w:val="00836DB9"/>
    <w:rsid w:val="00837445"/>
    <w:rsid w:val="008401BA"/>
    <w:rsid w:val="00840B26"/>
    <w:rsid w:val="00840E00"/>
    <w:rsid w:val="00841331"/>
    <w:rsid w:val="008416D8"/>
    <w:rsid w:val="00844581"/>
    <w:rsid w:val="008455F2"/>
    <w:rsid w:val="008469FB"/>
    <w:rsid w:val="00847F71"/>
    <w:rsid w:val="00850A8E"/>
    <w:rsid w:val="00850D3F"/>
    <w:rsid w:val="008518DD"/>
    <w:rsid w:val="008526E5"/>
    <w:rsid w:val="008578CB"/>
    <w:rsid w:val="008611E5"/>
    <w:rsid w:val="0086180F"/>
    <w:rsid w:val="00861F4A"/>
    <w:rsid w:val="008620FD"/>
    <w:rsid w:val="0086267F"/>
    <w:rsid w:val="00863FFA"/>
    <w:rsid w:val="008641EA"/>
    <w:rsid w:val="00864509"/>
    <w:rsid w:val="008668FB"/>
    <w:rsid w:val="00870E86"/>
    <w:rsid w:val="00871044"/>
    <w:rsid w:val="008715AD"/>
    <w:rsid w:val="008720B5"/>
    <w:rsid w:val="008742F7"/>
    <w:rsid w:val="00874D33"/>
    <w:rsid w:val="00874DF6"/>
    <w:rsid w:val="00875248"/>
    <w:rsid w:val="008753C3"/>
    <w:rsid w:val="00875D27"/>
    <w:rsid w:val="00880BF4"/>
    <w:rsid w:val="00881994"/>
    <w:rsid w:val="0088232C"/>
    <w:rsid w:val="0088287B"/>
    <w:rsid w:val="00882D20"/>
    <w:rsid w:val="00883162"/>
    <w:rsid w:val="008832D2"/>
    <w:rsid w:val="00883631"/>
    <w:rsid w:val="0088423F"/>
    <w:rsid w:val="008848AC"/>
    <w:rsid w:val="00885DFB"/>
    <w:rsid w:val="00885EF5"/>
    <w:rsid w:val="008872BD"/>
    <w:rsid w:val="008874E1"/>
    <w:rsid w:val="00891CEC"/>
    <w:rsid w:val="00892449"/>
    <w:rsid w:val="008939F5"/>
    <w:rsid w:val="00893B35"/>
    <w:rsid w:val="0089602A"/>
    <w:rsid w:val="00896EAF"/>
    <w:rsid w:val="008A05BF"/>
    <w:rsid w:val="008A0B53"/>
    <w:rsid w:val="008A0D59"/>
    <w:rsid w:val="008A1D71"/>
    <w:rsid w:val="008A23B6"/>
    <w:rsid w:val="008A4B2A"/>
    <w:rsid w:val="008A542A"/>
    <w:rsid w:val="008A6E63"/>
    <w:rsid w:val="008A78C3"/>
    <w:rsid w:val="008B0A9A"/>
    <w:rsid w:val="008B17DD"/>
    <w:rsid w:val="008B2FD4"/>
    <w:rsid w:val="008B47CF"/>
    <w:rsid w:val="008B5D30"/>
    <w:rsid w:val="008B5D88"/>
    <w:rsid w:val="008B682D"/>
    <w:rsid w:val="008C00A0"/>
    <w:rsid w:val="008C1143"/>
    <w:rsid w:val="008C1A38"/>
    <w:rsid w:val="008C460F"/>
    <w:rsid w:val="008D067E"/>
    <w:rsid w:val="008D37BA"/>
    <w:rsid w:val="008D3E47"/>
    <w:rsid w:val="008D50CC"/>
    <w:rsid w:val="008D6785"/>
    <w:rsid w:val="008D6819"/>
    <w:rsid w:val="008D6882"/>
    <w:rsid w:val="008D6AF4"/>
    <w:rsid w:val="008D6B33"/>
    <w:rsid w:val="008D7873"/>
    <w:rsid w:val="008E0D0F"/>
    <w:rsid w:val="008E2B5D"/>
    <w:rsid w:val="008E3E20"/>
    <w:rsid w:val="008E522C"/>
    <w:rsid w:val="008E5CEF"/>
    <w:rsid w:val="008E723F"/>
    <w:rsid w:val="008E7290"/>
    <w:rsid w:val="008F1453"/>
    <w:rsid w:val="008F18DB"/>
    <w:rsid w:val="008F1906"/>
    <w:rsid w:val="008F206B"/>
    <w:rsid w:val="008F49E5"/>
    <w:rsid w:val="008F56A8"/>
    <w:rsid w:val="008F6F37"/>
    <w:rsid w:val="008F766D"/>
    <w:rsid w:val="009000B5"/>
    <w:rsid w:val="00900A27"/>
    <w:rsid w:val="00900EA7"/>
    <w:rsid w:val="0090282D"/>
    <w:rsid w:val="00902A87"/>
    <w:rsid w:val="009039ED"/>
    <w:rsid w:val="00903B85"/>
    <w:rsid w:val="00905604"/>
    <w:rsid w:val="00906A75"/>
    <w:rsid w:val="00907BDC"/>
    <w:rsid w:val="0091060B"/>
    <w:rsid w:val="00911C72"/>
    <w:rsid w:val="00913A04"/>
    <w:rsid w:val="00913B2B"/>
    <w:rsid w:val="0091616B"/>
    <w:rsid w:val="0092063C"/>
    <w:rsid w:val="0092120B"/>
    <w:rsid w:val="009218B4"/>
    <w:rsid w:val="00921900"/>
    <w:rsid w:val="00922982"/>
    <w:rsid w:val="00923364"/>
    <w:rsid w:val="00923E0D"/>
    <w:rsid w:val="00923FD8"/>
    <w:rsid w:val="00925205"/>
    <w:rsid w:val="00925691"/>
    <w:rsid w:val="009257E5"/>
    <w:rsid w:val="00926051"/>
    <w:rsid w:val="00926FAE"/>
    <w:rsid w:val="00927933"/>
    <w:rsid w:val="00927D0F"/>
    <w:rsid w:val="00927DB7"/>
    <w:rsid w:val="009325C3"/>
    <w:rsid w:val="00932604"/>
    <w:rsid w:val="00932C07"/>
    <w:rsid w:val="00935C14"/>
    <w:rsid w:val="00936A8E"/>
    <w:rsid w:val="009403BA"/>
    <w:rsid w:val="009403F6"/>
    <w:rsid w:val="00941D37"/>
    <w:rsid w:val="0094316A"/>
    <w:rsid w:val="00944354"/>
    <w:rsid w:val="00945538"/>
    <w:rsid w:val="009479E1"/>
    <w:rsid w:val="00947A38"/>
    <w:rsid w:val="00950D44"/>
    <w:rsid w:val="00951FA4"/>
    <w:rsid w:val="00952BDB"/>
    <w:rsid w:val="00953F22"/>
    <w:rsid w:val="00954C0B"/>
    <w:rsid w:val="009552C4"/>
    <w:rsid w:val="00956C17"/>
    <w:rsid w:val="009574ED"/>
    <w:rsid w:val="009605F7"/>
    <w:rsid w:val="00961A7B"/>
    <w:rsid w:val="00962222"/>
    <w:rsid w:val="009623B7"/>
    <w:rsid w:val="009628B9"/>
    <w:rsid w:val="00963752"/>
    <w:rsid w:val="00964327"/>
    <w:rsid w:val="00966816"/>
    <w:rsid w:val="00966D2E"/>
    <w:rsid w:val="00967D00"/>
    <w:rsid w:val="009706E7"/>
    <w:rsid w:val="0097102B"/>
    <w:rsid w:val="00971391"/>
    <w:rsid w:val="00971C79"/>
    <w:rsid w:val="009720C3"/>
    <w:rsid w:val="00973EBE"/>
    <w:rsid w:val="00975611"/>
    <w:rsid w:val="00975783"/>
    <w:rsid w:val="009761DB"/>
    <w:rsid w:val="00976201"/>
    <w:rsid w:val="009764CA"/>
    <w:rsid w:val="0097689C"/>
    <w:rsid w:val="00977CE7"/>
    <w:rsid w:val="00981100"/>
    <w:rsid w:val="00981111"/>
    <w:rsid w:val="00981A18"/>
    <w:rsid w:val="0098214B"/>
    <w:rsid w:val="0098231F"/>
    <w:rsid w:val="0098290D"/>
    <w:rsid w:val="00982C10"/>
    <w:rsid w:val="0098339C"/>
    <w:rsid w:val="00983F60"/>
    <w:rsid w:val="00983F93"/>
    <w:rsid w:val="00984003"/>
    <w:rsid w:val="009861FC"/>
    <w:rsid w:val="00986F10"/>
    <w:rsid w:val="00987AF3"/>
    <w:rsid w:val="00990563"/>
    <w:rsid w:val="00992AE3"/>
    <w:rsid w:val="00993A67"/>
    <w:rsid w:val="00993C7C"/>
    <w:rsid w:val="009946D1"/>
    <w:rsid w:val="009948C8"/>
    <w:rsid w:val="00994FBF"/>
    <w:rsid w:val="0099537D"/>
    <w:rsid w:val="0099569F"/>
    <w:rsid w:val="00995714"/>
    <w:rsid w:val="0099598F"/>
    <w:rsid w:val="009A07BD"/>
    <w:rsid w:val="009A0864"/>
    <w:rsid w:val="009A0CE7"/>
    <w:rsid w:val="009A1D54"/>
    <w:rsid w:val="009A1D9A"/>
    <w:rsid w:val="009A2813"/>
    <w:rsid w:val="009A2A25"/>
    <w:rsid w:val="009A417F"/>
    <w:rsid w:val="009A4E47"/>
    <w:rsid w:val="009A4F7C"/>
    <w:rsid w:val="009A53BB"/>
    <w:rsid w:val="009A60EB"/>
    <w:rsid w:val="009A678E"/>
    <w:rsid w:val="009A6989"/>
    <w:rsid w:val="009A6DE8"/>
    <w:rsid w:val="009A70F1"/>
    <w:rsid w:val="009B11BA"/>
    <w:rsid w:val="009B1BF0"/>
    <w:rsid w:val="009B20D2"/>
    <w:rsid w:val="009B44E9"/>
    <w:rsid w:val="009B5703"/>
    <w:rsid w:val="009B597F"/>
    <w:rsid w:val="009B66A8"/>
    <w:rsid w:val="009B7442"/>
    <w:rsid w:val="009B7F3D"/>
    <w:rsid w:val="009C1FEB"/>
    <w:rsid w:val="009C2CE3"/>
    <w:rsid w:val="009C40A4"/>
    <w:rsid w:val="009C4B90"/>
    <w:rsid w:val="009C615C"/>
    <w:rsid w:val="009C6E91"/>
    <w:rsid w:val="009C6EA2"/>
    <w:rsid w:val="009C7BE5"/>
    <w:rsid w:val="009D07CE"/>
    <w:rsid w:val="009D090D"/>
    <w:rsid w:val="009D1CC1"/>
    <w:rsid w:val="009D2F26"/>
    <w:rsid w:val="009D3633"/>
    <w:rsid w:val="009D4849"/>
    <w:rsid w:val="009D650E"/>
    <w:rsid w:val="009D678F"/>
    <w:rsid w:val="009D69B0"/>
    <w:rsid w:val="009D6BC0"/>
    <w:rsid w:val="009D6C81"/>
    <w:rsid w:val="009D6D6A"/>
    <w:rsid w:val="009E0A1A"/>
    <w:rsid w:val="009E34DE"/>
    <w:rsid w:val="009E36B7"/>
    <w:rsid w:val="009E5AC9"/>
    <w:rsid w:val="009E5E7E"/>
    <w:rsid w:val="009E60F3"/>
    <w:rsid w:val="009E6EED"/>
    <w:rsid w:val="009E7D77"/>
    <w:rsid w:val="009F1149"/>
    <w:rsid w:val="009F1291"/>
    <w:rsid w:val="009F133D"/>
    <w:rsid w:val="009F2D47"/>
    <w:rsid w:val="009F30F4"/>
    <w:rsid w:val="009F380E"/>
    <w:rsid w:val="009F45EF"/>
    <w:rsid w:val="009F4663"/>
    <w:rsid w:val="009F4C2C"/>
    <w:rsid w:val="00A02189"/>
    <w:rsid w:val="00A024F0"/>
    <w:rsid w:val="00A02BA6"/>
    <w:rsid w:val="00A037BB"/>
    <w:rsid w:val="00A038CA"/>
    <w:rsid w:val="00A052F0"/>
    <w:rsid w:val="00A06DB0"/>
    <w:rsid w:val="00A10DF8"/>
    <w:rsid w:val="00A122F6"/>
    <w:rsid w:val="00A12789"/>
    <w:rsid w:val="00A1349F"/>
    <w:rsid w:val="00A1668D"/>
    <w:rsid w:val="00A16AA9"/>
    <w:rsid w:val="00A17290"/>
    <w:rsid w:val="00A200C7"/>
    <w:rsid w:val="00A2081E"/>
    <w:rsid w:val="00A208EE"/>
    <w:rsid w:val="00A219DD"/>
    <w:rsid w:val="00A21E60"/>
    <w:rsid w:val="00A238F9"/>
    <w:rsid w:val="00A244BE"/>
    <w:rsid w:val="00A25E3B"/>
    <w:rsid w:val="00A26A90"/>
    <w:rsid w:val="00A26D5C"/>
    <w:rsid w:val="00A26DB0"/>
    <w:rsid w:val="00A30C3F"/>
    <w:rsid w:val="00A31EB2"/>
    <w:rsid w:val="00A342E1"/>
    <w:rsid w:val="00A348F8"/>
    <w:rsid w:val="00A35A4B"/>
    <w:rsid w:val="00A35A77"/>
    <w:rsid w:val="00A364CA"/>
    <w:rsid w:val="00A37A67"/>
    <w:rsid w:val="00A37B9F"/>
    <w:rsid w:val="00A37D6F"/>
    <w:rsid w:val="00A42878"/>
    <w:rsid w:val="00A42B7C"/>
    <w:rsid w:val="00A44492"/>
    <w:rsid w:val="00A4591E"/>
    <w:rsid w:val="00A4614F"/>
    <w:rsid w:val="00A465B0"/>
    <w:rsid w:val="00A47153"/>
    <w:rsid w:val="00A47575"/>
    <w:rsid w:val="00A4763A"/>
    <w:rsid w:val="00A479BE"/>
    <w:rsid w:val="00A506A6"/>
    <w:rsid w:val="00A50BBE"/>
    <w:rsid w:val="00A5109E"/>
    <w:rsid w:val="00A52936"/>
    <w:rsid w:val="00A534ED"/>
    <w:rsid w:val="00A537D6"/>
    <w:rsid w:val="00A53999"/>
    <w:rsid w:val="00A5481B"/>
    <w:rsid w:val="00A550EA"/>
    <w:rsid w:val="00A558C7"/>
    <w:rsid w:val="00A5675F"/>
    <w:rsid w:val="00A56A50"/>
    <w:rsid w:val="00A57A03"/>
    <w:rsid w:val="00A60033"/>
    <w:rsid w:val="00A60A27"/>
    <w:rsid w:val="00A613CB"/>
    <w:rsid w:val="00A619CF"/>
    <w:rsid w:val="00A6219B"/>
    <w:rsid w:val="00A62736"/>
    <w:rsid w:val="00A63380"/>
    <w:rsid w:val="00A6359E"/>
    <w:rsid w:val="00A64072"/>
    <w:rsid w:val="00A64421"/>
    <w:rsid w:val="00A66E9E"/>
    <w:rsid w:val="00A67E6E"/>
    <w:rsid w:val="00A7008B"/>
    <w:rsid w:val="00A70435"/>
    <w:rsid w:val="00A70C4F"/>
    <w:rsid w:val="00A71BD8"/>
    <w:rsid w:val="00A72759"/>
    <w:rsid w:val="00A72C2F"/>
    <w:rsid w:val="00A7303B"/>
    <w:rsid w:val="00A74430"/>
    <w:rsid w:val="00A744CA"/>
    <w:rsid w:val="00A750FD"/>
    <w:rsid w:val="00A75124"/>
    <w:rsid w:val="00A75F11"/>
    <w:rsid w:val="00A7721F"/>
    <w:rsid w:val="00A77614"/>
    <w:rsid w:val="00A81FCC"/>
    <w:rsid w:val="00A823AD"/>
    <w:rsid w:val="00A83790"/>
    <w:rsid w:val="00A83C55"/>
    <w:rsid w:val="00A8424E"/>
    <w:rsid w:val="00A84430"/>
    <w:rsid w:val="00A84D3E"/>
    <w:rsid w:val="00A84E0E"/>
    <w:rsid w:val="00A8539F"/>
    <w:rsid w:val="00A854DF"/>
    <w:rsid w:val="00A861EA"/>
    <w:rsid w:val="00A86F81"/>
    <w:rsid w:val="00A877EB"/>
    <w:rsid w:val="00A87CC3"/>
    <w:rsid w:val="00A87ECA"/>
    <w:rsid w:val="00A956D3"/>
    <w:rsid w:val="00A9592D"/>
    <w:rsid w:val="00A96BDE"/>
    <w:rsid w:val="00A96ED3"/>
    <w:rsid w:val="00A971A8"/>
    <w:rsid w:val="00A9750D"/>
    <w:rsid w:val="00A977F1"/>
    <w:rsid w:val="00AB05A8"/>
    <w:rsid w:val="00AB0AD2"/>
    <w:rsid w:val="00AB0B36"/>
    <w:rsid w:val="00AB217A"/>
    <w:rsid w:val="00AB2859"/>
    <w:rsid w:val="00AB3702"/>
    <w:rsid w:val="00AB3733"/>
    <w:rsid w:val="00AB37BA"/>
    <w:rsid w:val="00AB470F"/>
    <w:rsid w:val="00AB4E07"/>
    <w:rsid w:val="00AB501E"/>
    <w:rsid w:val="00AB564D"/>
    <w:rsid w:val="00AB75DC"/>
    <w:rsid w:val="00AB784C"/>
    <w:rsid w:val="00AB78EC"/>
    <w:rsid w:val="00AC2528"/>
    <w:rsid w:val="00AC28D0"/>
    <w:rsid w:val="00AC50B5"/>
    <w:rsid w:val="00AC679C"/>
    <w:rsid w:val="00AC78A7"/>
    <w:rsid w:val="00AD0F00"/>
    <w:rsid w:val="00AD2085"/>
    <w:rsid w:val="00AD256F"/>
    <w:rsid w:val="00AD2A1D"/>
    <w:rsid w:val="00AD2A4B"/>
    <w:rsid w:val="00AD3130"/>
    <w:rsid w:val="00AD3412"/>
    <w:rsid w:val="00AD5249"/>
    <w:rsid w:val="00AD5D97"/>
    <w:rsid w:val="00AD60AF"/>
    <w:rsid w:val="00AD7472"/>
    <w:rsid w:val="00AD754D"/>
    <w:rsid w:val="00AD7C7C"/>
    <w:rsid w:val="00AE0E0B"/>
    <w:rsid w:val="00AE37A1"/>
    <w:rsid w:val="00AE3A71"/>
    <w:rsid w:val="00AE4907"/>
    <w:rsid w:val="00AE49CB"/>
    <w:rsid w:val="00AE5B8C"/>
    <w:rsid w:val="00AE6CDD"/>
    <w:rsid w:val="00AF002A"/>
    <w:rsid w:val="00AF1295"/>
    <w:rsid w:val="00AF1965"/>
    <w:rsid w:val="00AF2290"/>
    <w:rsid w:val="00AF242C"/>
    <w:rsid w:val="00AF3024"/>
    <w:rsid w:val="00AF4573"/>
    <w:rsid w:val="00AF471C"/>
    <w:rsid w:val="00AF5D16"/>
    <w:rsid w:val="00AF6170"/>
    <w:rsid w:val="00B0133C"/>
    <w:rsid w:val="00B020D1"/>
    <w:rsid w:val="00B02BBF"/>
    <w:rsid w:val="00B03677"/>
    <w:rsid w:val="00B04B47"/>
    <w:rsid w:val="00B04E32"/>
    <w:rsid w:val="00B0700A"/>
    <w:rsid w:val="00B076C5"/>
    <w:rsid w:val="00B0788C"/>
    <w:rsid w:val="00B07B5A"/>
    <w:rsid w:val="00B10162"/>
    <w:rsid w:val="00B10D49"/>
    <w:rsid w:val="00B13A82"/>
    <w:rsid w:val="00B1460C"/>
    <w:rsid w:val="00B150C2"/>
    <w:rsid w:val="00B1517B"/>
    <w:rsid w:val="00B15CF9"/>
    <w:rsid w:val="00B17308"/>
    <w:rsid w:val="00B20067"/>
    <w:rsid w:val="00B200E6"/>
    <w:rsid w:val="00B210B8"/>
    <w:rsid w:val="00B23CCE"/>
    <w:rsid w:val="00B24DF6"/>
    <w:rsid w:val="00B26BB7"/>
    <w:rsid w:val="00B34554"/>
    <w:rsid w:val="00B363A6"/>
    <w:rsid w:val="00B36C41"/>
    <w:rsid w:val="00B36D8D"/>
    <w:rsid w:val="00B373BC"/>
    <w:rsid w:val="00B37A11"/>
    <w:rsid w:val="00B37A3B"/>
    <w:rsid w:val="00B40E8A"/>
    <w:rsid w:val="00B41068"/>
    <w:rsid w:val="00B4113C"/>
    <w:rsid w:val="00B41558"/>
    <w:rsid w:val="00B4259E"/>
    <w:rsid w:val="00B429C4"/>
    <w:rsid w:val="00B4421C"/>
    <w:rsid w:val="00B44CF1"/>
    <w:rsid w:val="00B45159"/>
    <w:rsid w:val="00B462A0"/>
    <w:rsid w:val="00B4648D"/>
    <w:rsid w:val="00B475C2"/>
    <w:rsid w:val="00B5081E"/>
    <w:rsid w:val="00B52AE0"/>
    <w:rsid w:val="00B52EC6"/>
    <w:rsid w:val="00B530B5"/>
    <w:rsid w:val="00B53E53"/>
    <w:rsid w:val="00B54783"/>
    <w:rsid w:val="00B554E9"/>
    <w:rsid w:val="00B55A2A"/>
    <w:rsid w:val="00B5626E"/>
    <w:rsid w:val="00B60AD5"/>
    <w:rsid w:val="00B61B06"/>
    <w:rsid w:val="00B62927"/>
    <w:rsid w:val="00B63BC0"/>
    <w:rsid w:val="00B65339"/>
    <w:rsid w:val="00B66A85"/>
    <w:rsid w:val="00B67072"/>
    <w:rsid w:val="00B674DE"/>
    <w:rsid w:val="00B67852"/>
    <w:rsid w:val="00B7096B"/>
    <w:rsid w:val="00B73C66"/>
    <w:rsid w:val="00B73FBE"/>
    <w:rsid w:val="00B755AE"/>
    <w:rsid w:val="00B76AA6"/>
    <w:rsid w:val="00B77908"/>
    <w:rsid w:val="00B80CF6"/>
    <w:rsid w:val="00B810F4"/>
    <w:rsid w:val="00B81409"/>
    <w:rsid w:val="00B82F94"/>
    <w:rsid w:val="00B84B60"/>
    <w:rsid w:val="00B85A16"/>
    <w:rsid w:val="00B86683"/>
    <w:rsid w:val="00B86ADE"/>
    <w:rsid w:val="00B8755D"/>
    <w:rsid w:val="00B917ED"/>
    <w:rsid w:val="00B91CFA"/>
    <w:rsid w:val="00B92F4E"/>
    <w:rsid w:val="00B93D5A"/>
    <w:rsid w:val="00B940FB"/>
    <w:rsid w:val="00B9412E"/>
    <w:rsid w:val="00B95791"/>
    <w:rsid w:val="00B96398"/>
    <w:rsid w:val="00B964C3"/>
    <w:rsid w:val="00B96866"/>
    <w:rsid w:val="00B971C2"/>
    <w:rsid w:val="00B97859"/>
    <w:rsid w:val="00B97F09"/>
    <w:rsid w:val="00BA188F"/>
    <w:rsid w:val="00BA281A"/>
    <w:rsid w:val="00BA351B"/>
    <w:rsid w:val="00BA5CB2"/>
    <w:rsid w:val="00BA7176"/>
    <w:rsid w:val="00BB02A5"/>
    <w:rsid w:val="00BB0DCA"/>
    <w:rsid w:val="00BB3258"/>
    <w:rsid w:val="00BB37CB"/>
    <w:rsid w:val="00BB4257"/>
    <w:rsid w:val="00BB44F4"/>
    <w:rsid w:val="00BB4A2C"/>
    <w:rsid w:val="00BB68A4"/>
    <w:rsid w:val="00BB7CB7"/>
    <w:rsid w:val="00BC04AD"/>
    <w:rsid w:val="00BC0981"/>
    <w:rsid w:val="00BC0CC6"/>
    <w:rsid w:val="00BC0CD6"/>
    <w:rsid w:val="00BC3E5A"/>
    <w:rsid w:val="00BC655A"/>
    <w:rsid w:val="00BC70B5"/>
    <w:rsid w:val="00BC7281"/>
    <w:rsid w:val="00BD0F48"/>
    <w:rsid w:val="00BD2E49"/>
    <w:rsid w:val="00BD4344"/>
    <w:rsid w:val="00BD589E"/>
    <w:rsid w:val="00BD5D54"/>
    <w:rsid w:val="00BD65C3"/>
    <w:rsid w:val="00BD7F1F"/>
    <w:rsid w:val="00BE042D"/>
    <w:rsid w:val="00BE0EAA"/>
    <w:rsid w:val="00BE0FB2"/>
    <w:rsid w:val="00BE158F"/>
    <w:rsid w:val="00BE1B5F"/>
    <w:rsid w:val="00BE3454"/>
    <w:rsid w:val="00BE514C"/>
    <w:rsid w:val="00BE58EE"/>
    <w:rsid w:val="00BE74D9"/>
    <w:rsid w:val="00BE7FE5"/>
    <w:rsid w:val="00BF02BF"/>
    <w:rsid w:val="00BF2A96"/>
    <w:rsid w:val="00BF2F98"/>
    <w:rsid w:val="00BF4372"/>
    <w:rsid w:val="00BF454E"/>
    <w:rsid w:val="00BF4B11"/>
    <w:rsid w:val="00BF4C6F"/>
    <w:rsid w:val="00BF50A0"/>
    <w:rsid w:val="00BF57F7"/>
    <w:rsid w:val="00BF5FED"/>
    <w:rsid w:val="00BF71BB"/>
    <w:rsid w:val="00BF74D3"/>
    <w:rsid w:val="00BF78A8"/>
    <w:rsid w:val="00BF7FA3"/>
    <w:rsid w:val="00C02ECD"/>
    <w:rsid w:val="00C031F2"/>
    <w:rsid w:val="00C03D32"/>
    <w:rsid w:val="00C04870"/>
    <w:rsid w:val="00C04A1B"/>
    <w:rsid w:val="00C05BDB"/>
    <w:rsid w:val="00C05D0D"/>
    <w:rsid w:val="00C06076"/>
    <w:rsid w:val="00C10003"/>
    <w:rsid w:val="00C105EA"/>
    <w:rsid w:val="00C106AD"/>
    <w:rsid w:val="00C111AF"/>
    <w:rsid w:val="00C12894"/>
    <w:rsid w:val="00C12B32"/>
    <w:rsid w:val="00C12D49"/>
    <w:rsid w:val="00C13AFA"/>
    <w:rsid w:val="00C1474A"/>
    <w:rsid w:val="00C1635B"/>
    <w:rsid w:val="00C22A24"/>
    <w:rsid w:val="00C23DA2"/>
    <w:rsid w:val="00C2407F"/>
    <w:rsid w:val="00C24FE9"/>
    <w:rsid w:val="00C32274"/>
    <w:rsid w:val="00C353AC"/>
    <w:rsid w:val="00C3719E"/>
    <w:rsid w:val="00C374DB"/>
    <w:rsid w:val="00C40178"/>
    <w:rsid w:val="00C4348C"/>
    <w:rsid w:val="00C45CE4"/>
    <w:rsid w:val="00C47407"/>
    <w:rsid w:val="00C4791B"/>
    <w:rsid w:val="00C50285"/>
    <w:rsid w:val="00C50453"/>
    <w:rsid w:val="00C533F2"/>
    <w:rsid w:val="00C56647"/>
    <w:rsid w:val="00C571A6"/>
    <w:rsid w:val="00C5785B"/>
    <w:rsid w:val="00C60229"/>
    <w:rsid w:val="00C603A7"/>
    <w:rsid w:val="00C62DC8"/>
    <w:rsid w:val="00C63CFA"/>
    <w:rsid w:val="00C645C1"/>
    <w:rsid w:val="00C6465C"/>
    <w:rsid w:val="00C65C04"/>
    <w:rsid w:val="00C65C0A"/>
    <w:rsid w:val="00C65CED"/>
    <w:rsid w:val="00C664E3"/>
    <w:rsid w:val="00C721A3"/>
    <w:rsid w:val="00C72ABA"/>
    <w:rsid w:val="00C730EA"/>
    <w:rsid w:val="00C74173"/>
    <w:rsid w:val="00C74BDA"/>
    <w:rsid w:val="00C76036"/>
    <w:rsid w:val="00C761BA"/>
    <w:rsid w:val="00C8173F"/>
    <w:rsid w:val="00C82722"/>
    <w:rsid w:val="00C857A8"/>
    <w:rsid w:val="00C85898"/>
    <w:rsid w:val="00C902C2"/>
    <w:rsid w:val="00C90A8C"/>
    <w:rsid w:val="00C92824"/>
    <w:rsid w:val="00C92B2F"/>
    <w:rsid w:val="00C92BEC"/>
    <w:rsid w:val="00C92CCA"/>
    <w:rsid w:val="00C938B7"/>
    <w:rsid w:val="00C93DF1"/>
    <w:rsid w:val="00C9427D"/>
    <w:rsid w:val="00C94AC1"/>
    <w:rsid w:val="00C94D7E"/>
    <w:rsid w:val="00C9551B"/>
    <w:rsid w:val="00C967A0"/>
    <w:rsid w:val="00C96955"/>
    <w:rsid w:val="00CA1EF8"/>
    <w:rsid w:val="00CA42AC"/>
    <w:rsid w:val="00CA504A"/>
    <w:rsid w:val="00CA640B"/>
    <w:rsid w:val="00CA640D"/>
    <w:rsid w:val="00CA6688"/>
    <w:rsid w:val="00CA6D00"/>
    <w:rsid w:val="00CA6D32"/>
    <w:rsid w:val="00CA702E"/>
    <w:rsid w:val="00CB0544"/>
    <w:rsid w:val="00CB1351"/>
    <w:rsid w:val="00CB1CD0"/>
    <w:rsid w:val="00CB3ABD"/>
    <w:rsid w:val="00CB406A"/>
    <w:rsid w:val="00CB4395"/>
    <w:rsid w:val="00CB459F"/>
    <w:rsid w:val="00CB4724"/>
    <w:rsid w:val="00CB4763"/>
    <w:rsid w:val="00CB5821"/>
    <w:rsid w:val="00CB58EF"/>
    <w:rsid w:val="00CB5B02"/>
    <w:rsid w:val="00CB66F9"/>
    <w:rsid w:val="00CB6B0B"/>
    <w:rsid w:val="00CB6CA4"/>
    <w:rsid w:val="00CB77A7"/>
    <w:rsid w:val="00CC04AF"/>
    <w:rsid w:val="00CC25E5"/>
    <w:rsid w:val="00CC26A2"/>
    <w:rsid w:val="00CC26D3"/>
    <w:rsid w:val="00CC3D0C"/>
    <w:rsid w:val="00CC4A65"/>
    <w:rsid w:val="00CC50D5"/>
    <w:rsid w:val="00CC5A12"/>
    <w:rsid w:val="00CC66FD"/>
    <w:rsid w:val="00CD08CA"/>
    <w:rsid w:val="00CD0DFE"/>
    <w:rsid w:val="00CD151F"/>
    <w:rsid w:val="00CD205E"/>
    <w:rsid w:val="00CD29C0"/>
    <w:rsid w:val="00CD3436"/>
    <w:rsid w:val="00CD34D9"/>
    <w:rsid w:val="00CD35D1"/>
    <w:rsid w:val="00CD3D24"/>
    <w:rsid w:val="00CD4238"/>
    <w:rsid w:val="00CD4D8B"/>
    <w:rsid w:val="00CD6791"/>
    <w:rsid w:val="00CD6D3B"/>
    <w:rsid w:val="00CD783C"/>
    <w:rsid w:val="00CE57BC"/>
    <w:rsid w:val="00CE6532"/>
    <w:rsid w:val="00CE763B"/>
    <w:rsid w:val="00CF03D4"/>
    <w:rsid w:val="00CF1AB6"/>
    <w:rsid w:val="00CF2615"/>
    <w:rsid w:val="00CF340E"/>
    <w:rsid w:val="00CF5439"/>
    <w:rsid w:val="00CF76B2"/>
    <w:rsid w:val="00D01BE8"/>
    <w:rsid w:val="00D021EF"/>
    <w:rsid w:val="00D02214"/>
    <w:rsid w:val="00D022C3"/>
    <w:rsid w:val="00D02D13"/>
    <w:rsid w:val="00D02E85"/>
    <w:rsid w:val="00D039C3"/>
    <w:rsid w:val="00D05EC6"/>
    <w:rsid w:val="00D064C3"/>
    <w:rsid w:val="00D077C1"/>
    <w:rsid w:val="00D1288C"/>
    <w:rsid w:val="00D13806"/>
    <w:rsid w:val="00D13F6F"/>
    <w:rsid w:val="00D1484B"/>
    <w:rsid w:val="00D15752"/>
    <w:rsid w:val="00D16619"/>
    <w:rsid w:val="00D16625"/>
    <w:rsid w:val="00D1680A"/>
    <w:rsid w:val="00D17647"/>
    <w:rsid w:val="00D20AA7"/>
    <w:rsid w:val="00D2139E"/>
    <w:rsid w:val="00D23EA9"/>
    <w:rsid w:val="00D249D6"/>
    <w:rsid w:val="00D24F98"/>
    <w:rsid w:val="00D25A7D"/>
    <w:rsid w:val="00D25FB3"/>
    <w:rsid w:val="00D27809"/>
    <w:rsid w:val="00D308DA"/>
    <w:rsid w:val="00D322D8"/>
    <w:rsid w:val="00D328EE"/>
    <w:rsid w:val="00D37694"/>
    <w:rsid w:val="00D40799"/>
    <w:rsid w:val="00D4314E"/>
    <w:rsid w:val="00D43AEA"/>
    <w:rsid w:val="00D4407F"/>
    <w:rsid w:val="00D458BC"/>
    <w:rsid w:val="00D45D74"/>
    <w:rsid w:val="00D45E87"/>
    <w:rsid w:val="00D4742E"/>
    <w:rsid w:val="00D477A2"/>
    <w:rsid w:val="00D47DA4"/>
    <w:rsid w:val="00D513D6"/>
    <w:rsid w:val="00D529E8"/>
    <w:rsid w:val="00D533C0"/>
    <w:rsid w:val="00D53689"/>
    <w:rsid w:val="00D549E4"/>
    <w:rsid w:val="00D54D8D"/>
    <w:rsid w:val="00D569B0"/>
    <w:rsid w:val="00D56BC5"/>
    <w:rsid w:val="00D56EF6"/>
    <w:rsid w:val="00D6070C"/>
    <w:rsid w:val="00D60DBD"/>
    <w:rsid w:val="00D63CB9"/>
    <w:rsid w:val="00D65014"/>
    <w:rsid w:val="00D676E2"/>
    <w:rsid w:val="00D7064F"/>
    <w:rsid w:val="00D70D82"/>
    <w:rsid w:val="00D767E1"/>
    <w:rsid w:val="00D776CB"/>
    <w:rsid w:val="00D81091"/>
    <w:rsid w:val="00D8135C"/>
    <w:rsid w:val="00D827C2"/>
    <w:rsid w:val="00D82BF3"/>
    <w:rsid w:val="00D83FBD"/>
    <w:rsid w:val="00D84F20"/>
    <w:rsid w:val="00D8641F"/>
    <w:rsid w:val="00D87E4F"/>
    <w:rsid w:val="00D9205E"/>
    <w:rsid w:val="00D92A18"/>
    <w:rsid w:val="00D937A1"/>
    <w:rsid w:val="00D94854"/>
    <w:rsid w:val="00D96204"/>
    <w:rsid w:val="00D97396"/>
    <w:rsid w:val="00D97942"/>
    <w:rsid w:val="00DA0C70"/>
    <w:rsid w:val="00DA0F62"/>
    <w:rsid w:val="00DA1420"/>
    <w:rsid w:val="00DA1938"/>
    <w:rsid w:val="00DA1FC8"/>
    <w:rsid w:val="00DA2110"/>
    <w:rsid w:val="00DA257E"/>
    <w:rsid w:val="00DA2991"/>
    <w:rsid w:val="00DA2C8E"/>
    <w:rsid w:val="00DA3315"/>
    <w:rsid w:val="00DA3A99"/>
    <w:rsid w:val="00DA606D"/>
    <w:rsid w:val="00DB0698"/>
    <w:rsid w:val="00DB2EDF"/>
    <w:rsid w:val="00DB4167"/>
    <w:rsid w:val="00DB4BD8"/>
    <w:rsid w:val="00DB54A0"/>
    <w:rsid w:val="00DB72BC"/>
    <w:rsid w:val="00DB75B7"/>
    <w:rsid w:val="00DB78AB"/>
    <w:rsid w:val="00DC08C8"/>
    <w:rsid w:val="00DC0C45"/>
    <w:rsid w:val="00DC0E0B"/>
    <w:rsid w:val="00DC0F80"/>
    <w:rsid w:val="00DC1669"/>
    <w:rsid w:val="00DC16F0"/>
    <w:rsid w:val="00DC17B9"/>
    <w:rsid w:val="00DC1D5C"/>
    <w:rsid w:val="00DC23FB"/>
    <w:rsid w:val="00DC340C"/>
    <w:rsid w:val="00DC36A2"/>
    <w:rsid w:val="00DC40E6"/>
    <w:rsid w:val="00DC54E3"/>
    <w:rsid w:val="00DC619D"/>
    <w:rsid w:val="00DC7F27"/>
    <w:rsid w:val="00DD1D0D"/>
    <w:rsid w:val="00DD2613"/>
    <w:rsid w:val="00DD2FCE"/>
    <w:rsid w:val="00DD3B9D"/>
    <w:rsid w:val="00DD4214"/>
    <w:rsid w:val="00DD4331"/>
    <w:rsid w:val="00DD51DF"/>
    <w:rsid w:val="00DD59D6"/>
    <w:rsid w:val="00DD68BE"/>
    <w:rsid w:val="00DD6974"/>
    <w:rsid w:val="00DE00CE"/>
    <w:rsid w:val="00DE2DD4"/>
    <w:rsid w:val="00DE3AEF"/>
    <w:rsid w:val="00DE40CF"/>
    <w:rsid w:val="00DE4DBF"/>
    <w:rsid w:val="00DE6AB5"/>
    <w:rsid w:val="00DE72C8"/>
    <w:rsid w:val="00DF0D40"/>
    <w:rsid w:val="00DF2A62"/>
    <w:rsid w:val="00DF4319"/>
    <w:rsid w:val="00DF5A41"/>
    <w:rsid w:val="00DF616F"/>
    <w:rsid w:val="00DF66BE"/>
    <w:rsid w:val="00DF6B9E"/>
    <w:rsid w:val="00DF7456"/>
    <w:rsid w:val="00DF7798"/>
    <w:rsid w:val="00E0034B"/>
    <w:rsid w:val="00E01E01"/>
    <w:rsid w:val="00E0516D"/>
    <w:rsid w:val="00E05EE4"/>
    <w:rsid w:val="00E064C0"/>
    <w:rsid w:val="00E075D8"/>
    <w:rsid w:val="00E07993"/>
    <w:rsid w:val="00E113ED"/>
    <w:rsid w:val="00E12F4F"/>
    <w:rsid w:val="00E13813"/>
    <w:rsid w:val="00E14E6E"/>
    <w:rsid w:val="00E15028"/>
    <w:rsid w:val="00E16134"/>
    <w:rsid w:val="00E165EB"/>
    <w:rsid w:val="00E169E3"/>
    <w:rsid w:val="00E17CDF"/>
    <w:rsid w:val="00E20D4D"/>
    <w:rsid w:val="00E213F7"/>
    <w:rsid w:val="00E22C87"/>
    <w:rsid w:val="00E239C0"/>
    <w:rsid w:val="00E23D92"/>
    <w:rsid w:val="00E24BF9"/>
    <w:rsid w:val="00E30FCA"/>
    <w:rsid w:val="00E32B8B"/>
    <w:rsid w:val="00E331C5"/>
    <w:rsid w:val="00E3455A"/>
    <w:rsid w:val="00E3490E"/>
    <w:rsid w:val="00E34F94"/>
    <w:rsid w:val="00E3536E"/>
    <w:rsid w:val="00E362FA"/>
    <w:rsid w:val="00E3687A"/>
    <w:rsid w:val="00E3698E"/>
    <w:rsid w:val="00E374F6"/>
    <w:rsid w:val="00E407AF"/>
    <w:rsid w:val="00E411EA"/>
    <w:rsid w:val="00E413F9"/>
    <w:rsid w:val="00E41D77"/>
    <w:rsid w:val="00E42092"/>
    <w:rsid w:val="00E43A1E"/>
    <w:rsid w:val="00E4425B"/>
    <w:rsid w:val="00E443C5"/>
    <w:rsid w:val="00E445DA"/>
    <w:rsid w:val="00E44DF3"/>
    <w:rsid w:val="00E451E1"/>
    <w:rsid w:val="00E454BD"/>
    <w:rsid w:val="00E47421"/>
    <w:rsid w:val="00E4760B"/>
    <w:rsid w:val="00E47E42"/>
    <w:rsid w:val="00E50370"/>
    <w:rsid w:val="00E50D91"/>
    <w:rsid w:val="00E50EAB"/>
    <w:rsid w:val="00E51C2C"/>
    <w:rsid w:val="00E522B1"/>
    <w:rsid w:val="00E548ED"/>
    <w:rsid w:val="00E54F1F"/>
    <w:rsid w:val="00E553E3"/>
    <w:rsid w:val="00E55BC7"/>
    <w:rsid w:val="00E56025"/>
    <w:rsid w:val="00E561BA"/>
    <w:rsid w:val="00E562C0"/>
    <w:rsid w:val="00E609A7"/>
    <w:rsid w:val="00E60FC3"/>
    <w:rsid w:val="00E61E9E"/>
    <w:rsid w:val="00E62378"/>
    <w:rsid w:val="00E63BE5"/>
    <w:rsid w:val="00E6444E"/>
    <w:rsid w:val="00E64D33"/>
    <w:rsid w:val="00E65031"/>
    <w:rsid w:val="00E65E94"/>
    <w:rsid w:val="00E661BE"/>
    <w:rsid w:val="00E67F12"/>
    <w:rsid w:val="00E70435"/>
    <w:rsid w:val="00E73D4E"/>
    <w:rsid w:val="00E754C0"/>
    <w:rsid w:val="00E756D5"/>
    <w:rsid w:val="00E75931"/>
    <w:rsid w:val="00E75CA0"/>
    <w:rsid w:val="00E77599"/>
    <w:rsid w:val="00E77807"/>
    <w:rsid w:val="00E77B16"/>
    <w:rsid w:val="00E77F92"/>
    <w:rsid w:val="00E80642"/>
    <w:rsid w:val="00E807B4"/>
    <w:rsid w:val="00E810CF"/>
    <w:rsid w:val="00E81E9A"/>
    <w:rsid w:val="00E82133"/>
    <w:rsid w:val="00E8257E"/>
    <w:rsid w:val="00E827A9"/>
    <w:rsid w:val="00E82FFD"/>
    <w:rsid w:val="00E8313A"/>
    <w:rsid w:val="00E8523A"/>
    <w:rsid w:val="00E8529B"/>
    <w:rsid w:val="00E85B16"/>
    <w:rsid w:val="00E85E3F"/>
    <w:rsid w:val="00E86A2F"/>
    <w:rsid w:val="00E9285F"/>
    <w:rsid w:val="00E92CDE"/>
    <w:rsid w:val="00E92F61"/>
    <w:rsid w:val="00E93138"/>
    <w:rsid w:val="00E949BC"/>
    <w:rsid w:val="00E96196"/>
    <w:rsid w:val="00E9694A"/>
    <w:rsid w:val="00E96AC4"/>
    <w:rsid w:val="00E9786C"/>
    <w:rsid w:val="00E97989"/>
    <w:rsid w:val="00EA143A"/>
    <w:rsid w:val="00EA2871"/>
    <w:rsid w:val="00EA42CF"/>
    <w:rsid w:val="00EA5FEE"/>
    <w:rsid w:val="00EA7AE0"/>
    <w:rsid w:val="00EB0C82"/>
    <w:rsid w:val="00EB123F"/>
    <w:rsid w:val="00EB16A4"/>
    <w:rsid w:val="00EB1826"/>
    <w:rsid w:val="00EB1C99"/>
    <w:rsid w:val="00EB4DF6"/>
    <w:rsid w:val="00EC0400"/>
    <w:rsid w:val="00EC1787"/>
    <w:rsid w:val="00EC1B61"/>
    <w:rsid w:val="00EC4BF0"/>
    <w:rsid w:val="00EC4DC8"/>
    <w:rsid w:val="00EC6ACD"/>
    <w:rsid w:val="00EC705E"/>
    <w:rsid w:val="00ED049B"/>
    <w:rsid w:val="00ED1EB5"/>
    <w:rsid w:val="00ED26AE"/>
    <w:rsid w:val="00ED3776"/>
    <w:rsid w:val="00ED47AE"/>
    <w:rsid w:val="00ED6C26"/>
    <w:rsid w:val="00ED7139"/>
    <w:rsid w:val="00ED7553"/>
    <w:rsid w:val="00EE00B9"/>
    <w:rsid w:val="00EE026E"/>
    <w:rsid w:val="00EE1464"/>
    <w:rsid w:val="00EE17FF"/>
    <w:rsid w:val="00EE2A2A"/>
    <w:rsid w:val="00EE2DDE"/>
    <w:rsid w:val="00EE4C0F"/>
    <w:rsid w:val="00EE6AD9"/>
    <w:rsid w:val="00EE6B15"/>
    <w:rsid w:val="00EE7FE8"/>
    <w:rsid w:val="00EF118A"/>
    <w:rsid w:val="00EF2246"/>
    <w:rsid w:val="00EF22B7"/>
    <w:rsid w:val="00EF38F7"/>
    <w:rsid w:val="00EF533D"/>
    <w:rsid w:val="00EF5886"/>
    <w:rsid w:val="00EF59F6"/>
    <w:rsid w:val="00EF5CFC"/>
    <w:rsid w:val="00EF6480"/>
    <w:rsid w:val="00EF64D0"/>
    <w:rsid w:val="00F005E1"/>
    <w:rsid w:val="00F013C3"/>
    <w:rsid w:val="00F01962"/>
    <w:rsid w:val="00F01C87"/>
    <w:rsid w:val="00F0364A"/>
    <w:rsid w:val="00F037BF"/>
    <w:rsid w:val="00F0469A"/>
    <w:rsid w:val="00F04771"/>
    <w:rsid w:val="00F04AD6"/>
    <w:rsid w:val="00F06CE8"/>
    <w:rsid w:val="00F06E60"/>
    <w:rsid w:val="00F07582"/>
    <w:rsid w:val="00F12403"/>
    <w:rsid w:val="00F125E7"/>
    <w:rsid w:val="00F12629"/>
    <w:rsid w:val="00F126EB"/>
    <w:rsid w:val="00F143D1"/>
    <w:rsid w:val="00F147A3"/>
    <w:rsid w:val="00F14B83"/>
    <w:rsid w:val="00F1570F"/>
    <w:rsid w:val="00F162C6"/>
    <w:rsid w:val="00F16ADF"/>
    <w:rsid w:val="00F206A5"/>
    <w:rsid w:val="00F240C6"/>
    <w:rsid w:val="00F24D21"/>
    <w:rsid w:val="00F24F8A"/>
    <w:rsid w:val="00F25266"/>
    <w:rsid w:val="00F2723C"/>
    <w:rsid w:val="00F30416"/>
    <w:rsid w:val="00F3138C"/>
    <w:rsid w:val="00F31593"/>
    <w:rsid w:val="00F319AD"/>
    <w:rsid w:val="00F31EA7"/>
    <w:rsid w:val="00F32108"/>
    <w:rsid w:val="00F3266B"/>
    <w:rsid w:val="00F328F5"/>
    <w:rsid w:val="00F3343E"/>
    <w:rsid w:val="00F336F7"/>
    <w:rsid w:val="00F33CFE"/>
    <w:rsid w:val="00F33EF3"/>
    <w:rsid w:val="00F341D2"/>
    <w:rsid w:val="00F34234"/>
    <w:rsid w:val="00F34988"/>
    <w:rsid w:val="00F34C81"/>
    <w:rsid w:val="00F3596D"/>
    <w:rsid w:val="00F35A0E"/>
    <w:rsid w:val="00F362A4"/>
    <w:rsid w:val="00F36863"/>
    <w:rsid w:val="00F3799E"/>
    <w:rsid w:val="00F402D5"/>
    <w:rsid w:val="00F403EA"/>
    <w:rsid w:val="00F417F5"/>
    <w:rsid w:val="00F41918"/>
    <w:rsid w:val="00F41FEF"/>
    <w:rsid w:val="00F42390"/>
    <w:rsid w:val="00F450BC"/>
    <w:rsid w:val="00F45728"/>
    <w:rsid w:val="00F46C41"/>
    <w:rsid w:val="00F4722A"/>
    <w:rsid w:val="00F4735D"/>
    <w:rsid w:val="00F479B5"/>
    <w:rsid w:val="00F50589"/>
    <w:rsid w:val="00F5193D"/>
    <w:rsid w:val="00F52D65"/>
    <w:rsid w:val="00F52FE6"/>
    <w:rsid w:val="00F5363C"/>
    <w:rsid w:val="00F53D66"/>
    <w:rsid w:val="00F5496F"/>
    <w:rsid w:val="00F551E0"/>
    <w:rsid w:val="00F5620A"/>
    <w:rsid w:val="00F5688D"/>
    <w:rsid w:val="00F57098"/>
    <w:rsid w:val="00F605BF"/>
    <w:rsid w:val="00F60A55"/>
    <w:rsid w:val="00F60DD1"/>
    <w:rsid w:val="00F64CDD"/>
    <w:rsid w:val="00F66EC1"/>
    <w:rsid w:val="00F70173"/>
    <w:rsid w:val="00F70F4C"/>
    <w:rsid w:val="00F733B3"/>
    <w:rsid w:val="00F73F97"/>
    <w:rsid w:val="00F75CD0"/>
    <w:rsid w:val="00F77445"/>
    <w:rsid w:val="00F8011E"/>
    <w:rsid w:val="00F80A1B"/>
    <w:rsid w:val="00F80CE8"/>
    <w:rsid w:val="00F82653"/>
    <w:rsid w:val="00F83A57"/>
    <w:rsid w:val="00F84479"/>
    <w:rsid w:val="00F862DD"/>
    <w:rsid w:val="00F87914"/>
    <w:rsid w:val="00F87AF9"/>
    <w:rsid w:val="00F93214"/>
    <w:rsid w:val="00F94FD2"/>
    <w:rsid w:val="00F95711"/>
    <w:rsid w:val="00F969B7"/>
    <w:rsid w:val="00FA1202"/>
    <w:rsid w:val="00FA1321"/>
    <w:rsid w:val="00FA1F4E"/>
    <w:rsid w:val="00FA225A"/>
    <w:rsid w:val="00FA2ED8"/>
    <w:rsid w:val="00FA32A8"/>
    <w:rsid w:val="00FA531A"/>
    <w:rsid w:val="00FA620F"/>
    <w:rsid w:val="00FA7197"/>
    <w:rsid w:val="00FA74BA"/>
    <w:rsid w:val="00FB0167"/>
    <w:rsid w:val="00FB2760"/>
    <w:rsid w:val="00FB2AA6"/>
    <w:rsid w:val="00FB60BB"/>
    <w:rsid w:val="00FB7630"/>
    <w:rsid w:val="00FB7F89"/>
    <w:rsid w:val="00FC0321"/>
    <w:rsid w:val="00FC294A"/>
    <w:rsid w:val="00FC4B7A"/>
    <w:rsid w:val="00FC4FBE"/>
    <w:rsid w:val="00FC55FE"/>
    <w:rsid w:val="00FC5C8D"/>
    <w:rsid w:val="00FD0399"/>
    <w:rsid w:val="00FD2C8C"/>
    <w:rsid w:val="00FD2F70"/>
    <w:rsid w:val="00FD3108"/>
    <w:rsid w:val="00FD4E80"/>
    <w:rsid w:val="00FD59D8"/>
    <w:rsid w:val="00FD6923"/>
    <w:rsid w:val="00FD7A85"/>
    <w:rsid w:val="00FE01C4"/>
    <w:rsid w:val="00FE080E"/>
    <w:rsid w:val="00FE40B1"/>
    <w:rsid w:val="00FE47F1"/>
    <w:rsid w:val="00FE486B"/>
    <w:rsid w:val="00FE51DE"/>
    <w:rsid w:val="00FE5205"/>
    <w:rsid w:val="00FE6A5A"/>
    <w:rsid w:val="00FF0ED9"/>
    <w:rsid w:val="00FF3838"/>
    <w:rsid w:val="00FF3E19"/>
    <w:rsid w:val="00FF40CE"/>
    <w:rsid w:val="00FF4BAF"/>
    <w:rsid w:val="00FF512F"/>
    <w:rsid w:val="00FF708F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8884CB"/>
  <w15:docId w15:val="{0457705F-55D8-44D8-A133-C2D280B0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ME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FBF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adjustRightInd w:val="0"/>
      <w:outlineLvl w:val="0"/>
    </w:pPr>
    <w:rPr>
      <w:bCs/>
      <w:iCs/>
      <w:szCs w:val="22"/>
      <w:u w:val="single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Cs/>
      <w:i/>
      <w:szCs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Cs/>
      <w:iCs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ind w:right="-2"/>
      <w:outlineLvl w:val="3"/>
    </w:pPr>
    <w:rPr>
      <w:iCs/>
      <w:noProof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spacing w:after="120" w:line="24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noProof/>
      <w:szCs w:val="22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line="240" w:lineRule="auto"/>
      <w:ind w:right="-2"/>
      <w:outlineLvl w:val="6"/>
    </w:pPr>
    <w:rPr>
      <w:b/>
      <w:bCs/>
      <w:noProof/>
    </w:rPr>
  </w:style>
  <w:style w:type="paragraph" w:styleId="Heading8">
    <w:name w:val="heading 8"/>
    <w:basedOn w:val="Normal"/>
    <w:next w:val="Normal"/>
    <w:qFormat/>
    <w:pPr>
      <w:keepNext/>
      <w:numPr>
        <w:ilvl w:val="12"/>
      </w:numPr>
      <w:tabs>
        <w:tab w:val="clear" w:pos="567"/>
      </w:tabs>
      <w:spacing w:line="240" w:lineRule="auto"/>
      <w:ind w:right="-29"/>
      <w:outlineLvl w:val="7"/>
    </w:pPr>
    <w:rPr>
      <w:b/>
      <w:bCs/>
      <w:noProof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Annotationtext,Comment Text Char1 Char,Comment Text Char Char Char,Kommentarer"/>
    <w:basedOn w:val="Normal"/>
    <w:link w:val="CommentTextChar"/>
    <w:uiPriority w:val="99"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rPr>
      <w:rFonts w:ascii="Verdana" w:eastAsia="Verdana" w:hAnsi="Verdana" w:cs="Verdana"/>
      <w:sz w:val="18"/>
      <w:szCs w:val="18"/>
      <w:lang w:val="sr-Latn-ME" w:eastAsia="en-GB" w:bidi="ar-SA"/>
    </w:rPr>
  </w:style>
  <w:style w:type="paragraph" w:customStyle="1" w:styleId="DraftingNotesAgency">
    <w:name w:val="Drafting Notes (Agency)"/>
    <w:basedOn w:val="Normal"/>
    <w:next w:val="BodytextAgency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rPr>
      <w:rFonts w:ascii="Courier New" w:eastAsia="Verdana" w:hAnsi="Courier New"/>
      <w:i/>
      <w:color w:val="339966"/>
      <w:sz w:val="22"/>
      <w:szCs w:val="18"/>
      <w:lang w:val="sr-Latn-ME" w:eastAsia="en-GB" w:bidi="ar-SA"/>
    </w:rPr>
  </w:style>
  <w:style w:type="paragraph" w:customStyle="1" w:styleId="NormalAgency">
    <w:name w:val="Normal (Agency)"/>
    <w:rPr>
      <w:rFonts w:ascii="Verdana" w:eastAsia="Verdana" w:hAnsi="Verdana" w:cs="Verdana"/>
      <w:sz w:val="18"/>
      <w:szCs w:val="18"/>
      <w:lang w:eastAsia="en-GB"/>
    </w:rPr>
  </w:style>
  <w:style w:type="paragraph" w:customStyle="1" w:styleId="A-Heading3">
    <w:name w:val="A-Heading 3"/>
    <w:next w:val="Normal"/>
    <w:pPr>
      <w:keepNext/>
      <w:spacing w:after="120"/>
      <w:outlineLvl w:val="2"/>
    </w:pPr>
    <w:rPr>
      <w:rFonts w:eastAsia="Times New Roman"/>
      <w:b/>
      <w:sz w:val="24"/>
      <w:lang w:eastAsia="en-US"/>
    </w:r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rPr>
      <w:rFonts w:ascii="Verdana" w:eastAsia="Verdana" w:hAnsi="Verdana" w:cs="Verdana"/>
      <w:sz w:val="18"/>
      <w:szCs w:val="18"/>
      <w:lang w:val="sr-Latn-ME" w:eastAsia="en-GB" w:bidi="ar-SA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Char1">
    <w:name w:val="Char Char1"/>
    <w:semiHidden/>
    <w:rPr>
      <w:rFonts w:eastAsia="Times New Roman"/>
      <w:lang w:eastAsia="en-US"/>
    </w:rPr>
  </w:style>
  <w:style w:type="character" w:customStyle="1" w:styleId="CharChar">
    <w:name w:val="Char Char"/>
    <w:rPr>
      <w:rFonts w:eastAsia="Times New Roman"/>
      <w:b/>
      <w:bCs/>
      <w:lang w:eastAsia="en-US"/>
    </w:rPr>
  </w:style>
  <w:style w:type="paragraph" w:customStyle="1" w:styleId="xGuidingText">
    <w:name w:val="xGuiding Text"/>
    <w:basedOn w:val="Normal"/>
    <w:pPr>
      <w:tabs>
        <w:tab w:val="clear" w:pos="567"/>
      </w:tabs>
      <w:spacing w:before="120" w:line="240" w:lineRule="auto"/>
    </w:pPr>
    <w:rPr>
      <w:rFonts w:ascii="Arial" w:hAnsi="Arial" w:cs="Arial"/>
      <w:b/>
      <w:noProof/>
      <w:sz w:val="18"/>
      <w:szCs w:val="24"/>
      <w:lang w:eastAsia="sv-SE"/>
    </w:rPr>
  </w:style>
  <w:style w:type="paragraph" w:customStyle="1" w:styleId="A-StudyTitle">
    <w:name w:val="A-Study Title"/>
    <w:pPr>
      <w:spacing w:after="120"/>
    </w:pPr>
    <w:rPr>
      <w:rFonts w:eastAsia="Times New Roman"/>
      <w:b/>
      <w:sz w:val="28"/>
      <w:lang w:eastAsia="en-US"/>
    </w:rPr>
  </w:style>
  <w:style w:type="paragraph" w:customStyle="1" w:styleId="A-TableText">
    <w:name w:val="A-Table Text"/>
    <w:pPr>
      <w:spacing w:before="60" w:after="60"/>
    </w:pPr>
    <w:rPr>
      <w:rFonts w:eastAsia="Times New Roman"/>
      <w:sz w:val="22"/>
      <w:lang w:eastAsia="en-US"/>
    </w:rPr>
  </w:style>
  <w:style w:type="paragraph" w:customStyle="1" w:styleId="A-TableHeader">
    <w:name w:val="A-Table Header"/>
    <w:next w:val="A-TableText"/>
    <w:pPr>
      <w:keepNext/>
      <w:spacing w:before="60" w:after="60"/>
    </w:pPr>
    <w:rPr>
      <w:rFonts w:eastAsia="Times New Roman"/>
      <w:b/>
      <w:sz w:val="22"/>
      <w:lang w:eastAsia="en-US"/>
    </w:rPr>
  </w:style>
  <w:style w:type="paragraph" w:styleId="BodyTextIndent">
    <w:name w:val="Body Text Indent"/>
    <w:basedOn w:val="Normal"/>
    <w:semiHidden/>
    <w:pPr>
      <w:tabs>
        <w:tab w:val="clear" w:pos="567"/>
      </w:tabs>
      <w:spacing w:after="240" w:line="280" w:lineRule="atLeast"/>
      <w:ind w:left="720"/>
    </w:pPr>
    <w:rPr>
      <w:sz w:val="24"/>
    </w:rPr>
  </w:style>
  <w:style w:type="paragraph" w:customStyle="1" w:styleId="Z-Date">
    <w:name w:val="Z-Date"/>
    <w:basedOn w:val="Normal"/>
    <w:pPr>
      <w:tabs>
        <w:tab w:val="clear" w:pos="567"/>
      </w:tabs>
      <w:spacing w:after="240" w:line="280" w:lineRule="atLeast"/>
    </w:pPr>
    <w:rPr>
      <w:sz w:val="24"/>
    </w:rPr>
  </w:style>
  <w:style w:type="paragraph" w:styleId="NormalWeb">
    <w:name w:val="Normal (Web)"/>
    <w:basedOn w:val="Normal"/>
    <w:uiPriority w:val="99"/>
    <w:semiHidden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tabs>
        <w:tab w:val="clear" w:pos="567"/>
      </w:tabs>
      <w:spacing w:line="240" w:lineRule="auto"/>
      <w:ind w:left="720"/>
    </w:pPr>
    <w:rPr>
      <w:rFonts w:ascii="Arial" w:hAnsi="Arial"/>
      <w:szCs w:val="22"/>
    </w:rPr>
  </w:style>
  <w:style w:type="paragraph" w:styleId="BodyText2">
    <w:name w:val="Body Text 2"/>
    <w:basedOn w:val="Normal"/>
    <w:semiHidden/>
    <w:pPr>
      <w:numPr>
        <w:ilvl w:val="12"/>
      </w:numPr>
      <w:tabs>
        <w:tab w:val="clear" w:pos="567"/>
      </w:tabs>
      <w:spacing w:line="240" w:lineRule="auto"/>
      <w:ind w:right="-2"/>
    </w:pPr>
    <w:rPr>
      <w:rFonts w:ascii="TimesNewRoman" w:hAnsi="TimesNewRoman"/>
      <w:b/>
    </w:rPr>
  </w:style>
  <w:style w:type="paragraph" w:styleId="BlockText">
    <w:name w:val="Block Text"/>
    <w:basedOn w:val="Normal"/>
    <w:semiHidden/>
    <w:pPr>
      <w:numPr>
        <w:ilvl w:val="12"/>
      </w:numPr>
      <w:tabs>
        <w:tab w:val="left" w:pos="2657"/>
      </w:tabs>
      <w:spacing w:line="240" w:lineRule="auto"/>
      <w:ind w:left="-37" w:right="-28"/>
    </w:pPr>
    <w:rPr>
      <w:noProof/>
      <w:szCs w:val="22"/>
    </w:rPr>
  </w:style>
  <w:style w:type="paragraph" w:styleId="BodyText3">
    <w:name w:val="Body Text 3"/>
    <w:basedOn w:val="Normal"/>
    <w:semiHidden/>
    <w:rPr>
      <w:u w:val="single"/>
    </w:rPr>
  </w:style>
  <w:style w:type="character" w:styleId="LineNumber">
    <w:name w:val="lin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5E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aliases w:val="Annotationtext Char,Comment Text Char1 Char Char,Comment Text Char Char Char Char,Kommentarer Char"/>
    <w:link w:val="CommentText"/>
    <w:uiPriority w:val="99"/>
    <w:rsid w:val="00E60FC3"/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1E12B9"/>
    <w:rPr>
      <w:rFonts w:eastAsia="Times New Roman"/>
      <w:sz w:val="22"/>
      <w:lang w:eastAsia="en-US"/>
    </w:rPr>
  </w:style>
  <w:style w:type="paragraph" w:styleId="EndnoteText">
    <w:name w:val="endnote text"/>
    <w:basedOn w:val="Normal"/>
    <w:link w:val="EndnoteTextChar"/>
    <w:semiHidden/>
    <w:rsid w:val="00096844"/>
    <w:pPr>
      <w:widowControl w:val="0"/>
      <w:spacing w:line="240" w:lineRule="auto"/>
    </w:pPr>
    <w:rPr>
      <w:sz w:val="18"/>
    </w:rPr>
  </w:style>
  <w:style w:type="character" w:customStyle="1" w:styleId="EndnoteTextChar">
    <w:name w:val="Endnote Text Char"/>
    <w:link w:val="EndnoteText"/>
    <w:semiHidden/>
    <w:rsid w:val="00096844"/>
    <w:rPr>
      <w:rFonts w:eastAsia="Times New Roman"/>
      <w:sz w:val="18"/>
      <w:lang w:val="sr-Latn-ME" w:eastAsia="en-US"/>
    </w:rPr>
  </w:style>
  <w:style w:type="paragraph" w:customStyle="1" w:styleId="Paragraph">
    <w:name w:val="Paragraph"/>
    <w:link w:val="ParagraphChar"/>
    <w:rsid w:val="008578CB"/>
    <w:pPr>
      <w:spacing w:after="240"/>
    </w:pPr>
    <w:rPr>
      <w:sz w:val="24"/>
      <w:szCs w:val="24"/>
      <w:lang w:eastAsia="en-US"/>
    </w:rPr>
  </w:style>
  <w:style w:type="character" w:customStyle="1" w:styleId="ParagraphChar">
    <w:name w:val="Paragraph Char"/>
    <w:link w:val="Paragraph"/>
    <w:rsid w:val="008578CB"/>
    <w:rPr>
      <w:sz w:val="24"/>
      <w:szCs w:val="24"/>
      <w:lang w:val="sr-Latn-ME" w:eastAsia="en-US"/>
    </w:rPr>
  </w:style>
  <w:style w:type="character" w:customStyle="1" w:styleId="FooterChar">
    <w:name w:val="Footer Char"/>
    <w:link w:val="Footer"/>
    <w:locked/>
    <w:rsid w:val="00964327"/>
    <w:rPr>
      <w:rFonts w:ascii="Arial" w:eastAsia="Times New Roman" w:hAnsi="Arial"/>
      <w:noProof/>
      <w:sz w:val="16"/>
      <w:lang w:eastAsia="en-US"/>
    </w:rPr>
  </w:style>
  <w:style w:type="paragraph" w:customStyle="1" w:styleId="TitleA">
    <w:name w:val="Title A"/>
    <w:basedOn w:val="Heading1"/>
    <w:link w:val="TitleAChar"/>
    <w:autoRedefine/>
    <w:qFormat/>
    <w:rsid w:val="000B7C9B"/>
    <w:pPr>
      <w:spacing w:line="240" w:lineRule="auto"/>
      <w:ind w:left="360" w:hanging="360"/>
      <w:jc w:val="center"/>
    </w:pPr>
    <w:rPr>
      <w:b/>
      <w:bCs w:val="0"/>
    </w:rPr>
  </w:style>
  <w:style w:type="paragraph" w:customStyle="1" w:styleId="TitleB">
    <w:name w:val="Title B"/>
    <w:basedOn w:val="TitleA"/>
    <w:qFormat/>
    <w:rsid w:val="00D27809"/>
    <w:pPr>
      <w:jc w:val="left"/>
    </w:pPr>
  </w:style>
  <w:style w:type="character" w:customStyle="1" w:styleId="Heading1Char">
    <w:name w:val="Heading 1 Char"/>
    <w:link w:val="Heading1"/>
    <w:rsid w:val="00D60DBD"/>
    <w:rPr>
      <w:rFonts w:eastAsia="Times New Roman"/>
      <w:bCs/>
      <w:iCs/>
      <w:sz w:val="22"/>
      <w:szCs w:val="22"/>
      <w:u w:val="single"/>
      <w:lang w:val="sr-Latn-ME"/>
    </w:rPr>
  </w:style>
  <w:style w:type="character" w:customStyle="1" w:styleId="TitleAChar">
    <w:name w:val="Title A Char"/>
    <w:link w:val="TitleA"/>
    <w:rsid w:val="000B7C9B"/>
    <w:rPr>
      <w:rFonts w:eastAsia="Times New Roman"/>
      <w:b/>
      <w:iCs/>
      <w:sz w:val="22"/>
      <w:szCs w:val="22"/>
      <w:u w:val="single"/>
      <w:lang w:val="sr-Latn-ME" w:eastAsia="en-US"/>
    </w:rPr>
  </w:style>
  <w:style w:type="paragraph" w:customStyle="1" w:styleId="TableText">
    <w:name w:val="TableText"/>
    <w:link w:val="TableTextChar"/>
    <w:rsid w:val="00632109"/>
    <w:rPr>
      <w:rFonts w:cs="Arial"/>
      <w:lang w:eastAsia="en-US"/>
    </w:rPr>
  </w:style>
  <w:style w:type="character" w:customStyle="1" w:styleId="TableTextChar">
    <w:name w:val="TableText Char"/>
    <w:link w:val="TableText"/>
    <w:rsid w:val="00632109"/>
    <w:rPr>
      <w:rFonts w:cs="Arial"/>
    </w:rPr>
  </w:style>
  <w:style w:type="paragraph" w:customStyle="1" w:styleId="a">
    <w:basedOn w:val="Normal"/>
    <w:next w:val="CommentText"/>
    <w:link w:val="MerknadstekstTegn"/>
    <w:rsid w:val="00A53999"/>
    <w:rPr>
      <w:sz w:val="20"/>
    </w:rPr>
  </w:style>
  <w:style w:type="character" w:customStyle="1" w:styleId="MerknadstekstTegn">
    <w:name w:val="Merknadstekst Tegn"/>
    <w:link w:val="a"/>
    <w:rsid w:val="00A53999"/>
    <w:rPr>
      <w:rFonts w:eastAsia="Times New Roman"/>
      <w:lang w:val="sr-Latn-ME"/>
    </w:rPr>
  </w:style>
  <w:style w:type="paragraph" w:customStyle="1" w:styleId="Heading1Agency">
    <w:name w:val="Heading 1 (Agency)"/>
    <w:basedOn w:val="Normal"/>
    <w:next w:val="BodytextAgency"/>
    <w:link w:val="Heading1AgencyChar"/>
    <w:qFormat/>
    <w:rsid w:val="00A53999"/>
    <w:pPr>
      <w:keepNext/>
      <w:numPr>
        <w:numId w:val="24"/>
      </w:numPr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A53999"/>
    <w:pPr>
      <w:keepNext/>
      <w:numPr>
        <w:ilvl w:val="1"/>
        <w:numId w:val="24"/>
      </w:numPr>
      <w:tabs>
        <w:tab w:val="clear" w:pos="567"/>
      </w:tabs>
      <w:spacing w:before="280" w:after="220" w:line="240" w:lineRule="auto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A53999"/>
    <w:pPr>
      <w:keepNext/>
      <w:numPr>
        <w:ilvl w:val="2"/>
        <w:numId w:val="24"/>
      </w:numPr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A5399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A5399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A5399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A5399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A5399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A53999"/>
    <w:pPr>
      <w:numPr>
        <w:ilvl w:val="8"/>
      </w:numPr>
      <w:outlineLvl w:val="8"/>
    </w:pPr>
  </w:style>
  <w:style w:type="character" w:customStyle="1" w:styleId="Heading1AgencyChar">
    <w:name w:val="Heading 1 (Agency) Char"/>
    <w:link w:val="Heading1Agency"/>
    <w:locked/>
    <w:rsid w:val="00A53999"/>
    <w:rPr>
      <w:rFonts w:ascii="Verdana" w:eastAsia="Verdana" w:hAnsi="Verdana" w:cs="Arial"/>
      <w:b/>
      <w:bCs/>
      <w:kern w:val="32"/>
      <w:sz w:val="27"/>
      <w:szCs w:val="27"/>
      <w:lang w:val="sr-Latn-ME" w:eastAsia="en-GB"/>
    </w:rPr>
  </w:style>
  <w:style w:type="paragraph" w:customStyle="1" w:styleId="a0">
    <w:basedOn w:val="Normal"/>
    <w:next w:val="CommentText"/>
    <w:rsid w:val="00A2081E"/>
    <w:rPr>
      <w:sz w:val="20"/>
    </w:rPr>
  </w:style>
  <w:style w:type="paragraph" w:customStyle="1" w:styleId="a1">
    <w:basedOn w:val="Normal"/>
    <w:next w:val="CommentText"/>
    <w:rsid w:val="00711F1A"/>
    <w:rPr>
      <w:sz w:val="20"/>
    </w:rPr>
  </w:style>
  <w:style w:type="paragraph" w:customStyle="1" w:styleId="a2">
    <w:basedOn w:val="Normal"/>
    <w:next w:val="CommentText"/>
    <w:link w:val="MerknadstekstTegn1"/>
    <w:rsid w:val="007A3B3E"/>
    <w:rPr>
      <w:sz w:val="20"/>
    </w:rPr>
  </w:style>
  <w:style w:type="character" w:customStyle="1" w:styleId="MerknadstekstTegn1">
    <w:name w:val="Merknadstekst Tegn1"/>
    <w:link w:val="a2"/>
    <w:rsid w:val="000654FE"/>
    <w:rPr>
      <w:rFonts w:eastAsia="Times New Roman"/>
      <w:lang w:val="sr-Latn-ME"/>
    </w:rPr>
  </w:style>
  <w:style w:type="character" w:styleId="FootnoteReference">
    <w:name w:val="footnote reference"/>
    <w:rsid w:val="00A02BA6"/>
    <w:rPr>
      <w:vertAlign w:val="superscript"/>
    </w:rPr>
  </w:style>
  <w:style w:type="paragraph" w:customStyle="1" w:styleId="TableTextColHead">
    <w:name w:val="TableText Col Head"/>
    <w:rsid w:val="00A02BA6"/>
    <w:pPr>
      <w:jc w:val="center"/>
    </w:pPr>
    <w:rPr>
      <w:b/>
      <w:lang w:eastAsia="en-US"/>
    </w:rPr>
  </w:style>
  <w:style w:type="character" w:customStyle="1" w:styleId="Instructions">
    <w:name w:val="Instructions"/>
    <w:rsid w:val="00A02BA6"/>
    <w:rPr>
      <w:i/>
      <w:iCs/>
      <w:color w:val="008000"/>
    </w:rPr>
  </w:style>
  <w:style w:type="paragraph" w:customStyle="1" w:styleId="a3">
    <w:rsid w:val="0034413E"/>
    <w:pPr>
      <w:tabs>
        <w:tab w:val="left" w:pos="567"/>
      </w:tabs>
      <w:spacing w:line="260" w:lineRule="exact"/>
    </w:pPr>
    <w:rPr>
      <w:rFonts w:eastAsia="Times New Roman"/>
      <w:lang w:eastAsia="en-US"/>
    </w:rPr>
  </w:style>
  <w:style w:type="character" w:customStyle="1" w:styleId="MerknadstekstTegn2">
    <w:name w:val="Merknadstekst Tegn2"/>
    <w:link w:val="a4"/>
    <w:rsid w:val="00AC2528"/>
    <w:rPr>
      <w:rFonts w:eastAsia="Times New Roman"/>
    </w:rPr>
  </w:style>
  <w:style w:type="paragraph" w:customStyle="1" w:styleId="a4">
    <w:link w:val="MerknadstekstTegn2"/>
    <w:rsid w:val="00AC2528"/>
    <w:pPr>
      <w:tabs>
        <w:tab w:val="left" w:pos="567"/>
      </w:tabs>
      <w:spacing w:line="260" w:lineRule="exact"/>
    </w:pPr>
    <w:rPr>
      <w:rFonts w:eastAsia="Times New Roman"/>
      <w:lang w:eastAsia="en-US"/>
    </w:rPr>
  </w:style>
  <w:style w:type="paragraph" w:customStyle="1" w:styleId="xmsonormal">
    <w:name w:val="x_msonormal"/>
    <w:basedOn w:val="Normal"/>
    <w:rsid w:val="001B0038"/>
    <w:pPr>
      <w:tabs>
        <w:tab w:val="clear" w:pos="567"/>
      </w:tabs>
      <w:spacing w:line="240" w:lineRule="auto"/>
    </w:pPr>
    <w:rPr>
      <w:rFonts w:ascii="Calibri" w:eastAsia="Calibri" w:hAnsi="Calibri" w:cs="Calibri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30B0"/>
    <w:rPr>
      <w:color w:val="605E5C"/>
      <w:shd w:val="clear" w:color="auto" w:fill="E1DFDD"/>
    </w:rPr>
  </w:style>
  <w:style w:type="paragraph" w:customStyle="1" w:styleId="A-Single">
    <w:name w:val="A-Single"/>
    <w:rsid w:val="00020776"/>
    <w:rPr>
      <w:rFonts w:eastAsia="Times New Roman"/>
      <w:sz w:val="24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CF76B2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232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3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5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435474">
                                              <w:marLeft w:val="0"/>
                                              <w:marRight w:val="0"/>
                                              <w:marTop w:val="136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5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91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4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691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4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7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/documents/other/minimum-inhibitory-concentration-mic-breakpoints_en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A3BF-3FED-4AA6-B145-862ED022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8388</Words>
  <Characters>47813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56089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Johnric Jethro</dc:creator>
  <cp:keywords/>
  <cp:lastModifiedBy>Berina Ljuca</cp:lastModifiedBy>
  <cp:revision>3</cp:revision>
  <dcterms:created xsi:type="dcterms:W3CDTF">2025-02-10T11:45:00Z</dcterms:created>
  <dcterms:modified xsi:type="dcterms:W3CDTF">2025-02-10T11:47:00Z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f9753bbcf642f6b769e251c6925eec93dc235e09a84b309f6087d5af462a98b5</vt:lpwstr>
  </property>
  <property fmtid="{D5CDD505-2E9C-101B-9397-08002B2CF9AE}" pid="3" name="MSIP_Label_4791b42f-c435-42ca-9531-75a3f42aae3d_Enabled">
    <vt:lpwstr>true</vt:lpwstr>
  </property>
  <property fmtid="{D5CDD505-2E9C-101B-9397-08002B2CF9AE}" pid="4" name="MSIP_Label_4791b42f-c435-42ca-9531-75a3f42aae3d_SetDate">
    <vt:lpwstr>2025-01-14T04:25:37Z</vt:lpwstr>
  </property>
  <property fmtid="{D5CDD505-2E9C-101B-9397-08002B2CF9AE}" pid="5" name="MSIP_Label_4791b42f-c435-42ca-9531-75a3f42aae3d_Method">
    <vt:lpwstr>Privileged</vt:lpwstr>
  </property>
  <property fmtid="{D5CDD505-2E9C-101B-9397-08002B2CF9AE}" pid="6" name="MSIP_Label_4791b42f-c435-42ca-9531-75a3f42aae3d_Name">
    <vt:lpwstr>4791b42f-c435-42ca-9531-75a3f42aae3d</vt:lpwstr>
  </property>
  <property fmtid="{D5CDD505-2E9C-101B-9397-08002B2CF9AE}" pid="7" name="MSIP_Label_4791b42f-c435-42ca-9531-75a3f42aae3d_SiteId">
    <vt:lpwstr>7a916015-20ae-4ad1-9170-eefd915e9272</vt:lpwstr>
  </property>
  <property fmtid="{D5CDD505-2E9C-101B-9397-08002B2CF9AE}" pid="8" name="MSIP_Label_4791b42f-c435-42ca-9531-75a3f42aae3d_ActionId">
    <vt:lpwstr>8e787d90-9f5e-44e2-94da-8693aa55a073</vt:lpwstr>
  </property>
  <property fmtid="{D5CDD505-2E9C-101B-9397-08002B2CF9AE}" pid="9" name="MSIP_Label_4791b42f-c435-42ca-9531-75a3f42aae3d_ContentBits">
    <vt:lpwstr>0</vt:lpwstr>
  </property>
</Properties>
</file>