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AC323" w14:textId="77777777" w:rsidR="00F91C7B" w:rsidRPr="008C5396" w:rsidRDefault="00F91C7B" w:rsidP="007B2A33">
      <w:pPr>
        <w:jc w:val="both"/>
        <w:rPr>
          <w:b/>
          <w:bCs/>
          <w:i/>
          <w:iCs/>
          <w:sz w:val="22"/>
          <w:szCs w:val="22"/>
        </w:rPr>
      </w:pPr>
    </w:p>
    <w:p w14:paraId="5D9AC324" w14:textId="76F60369" w:rsidR="002510A5" w:rsidRPr="008C5396" w:rsidRDefault="007B2A33" w:rsidP="007B2A33">
      <w:pPr>
        <w:jc w:val="both"/>
        <w:rPr>
          <w:b/>
          <w:bCs/>
          <w:iCs/>
          <w:sz w:val="22"/>
          <w:szCs w:val="22"/>
        </w:rPr>
      </w:pPr>
      <w:r w:rsidRPr="008C5396">
        <w:rPr>
          <w:b/>
          <w:bCs/>
          <w:iCs/>
          <w:sz w:val="22"/>
          <w:szCs w:val="22"/>
        </w:rPr>
        <w:t xml:space="preserve">                                                </w:t>
      </w:r>
      <w:r w:rsidR="002510A5" w:rsidRPr="008C5396">
        <w:rPr>
          <w:b/>
          <w:bCs/>
          <w:iCs/>
          <w:sz w:val="22"/>
          <w:szCs w:val="22"/>
        </w:rPr>
        <w:t>SAŽETAK KARAKTERISTIKA LIJEKA</w:t>
      </w:r>
    </w:p>
    <w:p w14:paraId="5D9AC325" w14:textId="63CAE4DB" w:rsidR="002510A5" w:rsidRDefault="002510A5" w:rsidP="007B2A33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79BA8D55" w14:textId="77777777" w:rsidR="005D30C4" w:rsidRPr="002510A5" w:rsidRDefault="005D30C4" w:rsidP="007B2A33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5D9AC329" w14:textId="5FB35139" w:rsidR="00C37FD7" w:rsidRDefault="00C37FD7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66F695B" w14:textId="77777777" w:rsidR="005D30C4" w:rsidRPr="00786071" w:rsidRDefault="005D30C4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D9AC32A" w14:textId="77777777" w:rsidR="00411B4B" w:rsidRPr="00786071" w:rsidRDefault="00411B4B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14:paraId="5D9AC32B" w14:textId="77777777" w:rsidR="00EC2532" w:rsidRPr="00786071" w:rsidRDefault="00EC2532" w:rsidP="007B2A33">
      <w:pPr>
        <w:jc w:val="both"/>
        <w:rPr>
          <w:sz w:val="22"/>
          <w:szCs w:val="22"/>
          <w:lang w:val="pl-PL"/>
        </w:rPr>
      </w:pPr>
    </w:p>
    <w:p w14:paraId="2EFA6EBF" w14:textId="704B9749" w:rsidR="00AE0251" w:rsidRPr="00AE0251" w:rsidRDefault="00AE0251" w:rsidP="007B2A33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hr-HR"/>
        </w:rPr>
      </w:pPr>
      <w:r w:rsidRPr="00AE0251">
        <w:rPr>
          <w:noProof/>
          <w:sz w:val="22"/>
          <w:szCs w:val="22"/>
          <w:lang w:val="hr-HR"/>
        </w:rPr>
        <w:t xml:space="preserve">RECARBRIO, </w:t>
      </w:r>
      <w:r w:rsidR="00851D6A">
        <w:rPr>
          <w:noProof/>
          <w:sz w:val="22"/>
          <w:szCs w:val="22"/>
          <w:lang w:val="hr-HR"/>
        </w:rPr>
        <w:t>500 mg + 500 mg + 250 mg</w:t>
      </w:r>
      <w:r w:rsidRPr="00AE0251">
        <w:rPr>
          <w:noProof/>
          <w:sz w:val="22"/>
          <w:szCs w:val="22"/>
          <w:lang w:val="hr-HR"/>
        </w:rPr>
        <w:t>, prašak za rastvor za infuziju</w:t>
      </w:r>
    </w:p>
    <w:p w14:paraId="5D9AC32F" w14:textId="1EF7B0E6" w:rsidR="006D20A5" w:rsidRPr="00AE0251" w:rsidRDefault="00AE0251" w:rsidP="007B2A33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hr-HR"/>
        </w:rPr>
      </w:pPr>
      <w:r w:rsidRPr="00AE0251">
        <w:rPr>
          <w:noProof/>
          <w:sz w:val="22"/>
          <w:szCs w:val="22"/>
          <w:lang w:val="hr-HR"/>
        </w:rPr>
        <w:t xml:space="preserve">INN: </w:t>
      </w:r>
      <w:r w:rsidR="007903A3">
        <w:rPr>
          <w:noProof/>
          <w:sz w:val="22"/>
          <w:szCs w:val="22"/>
          <w:lang w:val="hr-HR"/>
        </w:rPr>
        <w:t>imipenem, cilastatin, relebaktam</w:t>
      </w:r>
    </w:p>
    <w:p w14:paraId="5D9AC330" w14:textId="6C63DA92" w:rsidR="00530BD7" w:rsidRDefault="00530BD7" w:rsidP="007B2A33">
      <w:pPr>
        <w:jc w:val="both"/>
        <w:rPr>
          <w:bCs/>
          <w:sz w:val="22"/>
          <w:szCs w:val="22"/>
          <w:lang w:val="sv-SE"/>
        </w:rPr>
      </w:pPr>
    </w:p>
    <w:p w14:paraId="4DC50B00" w14:textId="77777777" w:rsidR="00830570" w:rsidRPr="00786071" w:rsidRDefault="00830570" w:rsidP="007B2A33">
      <w:pPr>
        <w:jc w:val="both"/>
        <w:rPr>
          <w:bCs/>
          <w:sz w:val="22"/>
          <w:szCs w:val="22"/>
          <w:lang w:val="sv-SE"/>
        </w:rPr>
      </w:pPr>
    </w:p>
    <w:p w14:paraId="5D9AC331" w14:textId="77777777" w:rsidR="00411B4B" w:rsidRPr="00786071" w:rsidRDefault="00411B4B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2.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KVALITATIVNI I KVANTITATIVNI SASTAV</w:t>
      </w:r>
    </w:p>
    <w:p w14:paraId="5D9AC332" w14:textId="55519017" w:rsidR="005A0B2E" w:rsidRDefault="005A0B2E" w:rsidP="007B2A33">
      <w:pPr>
        <w:jc w:val="both"/>
        <w:rPr>
          <w:sz w:val="22"/>
          <w:szCs w:val="22"/>
          <w:lang w:val="sr-Latn-CS"/>
        </w:rPr>
      </w:pPr>
    </w:p>
    <w:p w14:paraId="4CF3BEAE" w14:textId="270B8625" w:rsidR="00AE0251" w:rsidRPr="00AE0251" w:rsidRDefault="00AE0251" w:rsidP="007B2A33">
      <w:pPr>
        <w:jc w:val="both"/>
        <w:rPr>
          <w:sz w:val="22"/>
          <w:szCs w:val="22"/>
          <w:lang w:val="sr-Latn-CS"/>
        </w:rPr>
      </w:pPr>
      <w:r w:rsidRPr="00AE0251">
        <w:rPr>
          <w:sz w:val="22"/>
          <w:szCs w:val="22"/>
          <w:lang w:val="sr-Latn-CS"/>
        </w:rPr>
        <w:t>Jedna bočica sadrži 500 mg imipenema (u obliku imipenem, monohidrata), 500 mg cilastatina (u obliku cilastatin</w:t>
      </w:r>
      <w:r w:rsidR="00830570">
        <w:rPr>
          <w:sz w:val="22"/>
          <w:szCs w:val="22"/>
          <w:lang w:val="sr-Latn-CS"/>
        </w:rPr>
        <w:t xml:space="preserve"> </w:t>
      </w:r>
      <w:r w:rsidRPr="00AE0251">
        <w:rPr>
          <w:sz w:val="22"/>
          <w:szCs w:val="22"/>
          <w:lang w:val="sr-Latn-CS"/>
        </w:rPr>
        <w:t>natrijuma) i 250 mg relebaktama (u obliku relebaktam, monohidrata).</w:t>
      </w:r>
    </w:p>
    <w:p w14:paraId="3DE6F30D" w14:textId="77777777" w:rsidR="00AE0251" w:rsidRPr="00AE0251" w:rsidRDefault="00AE0251" w:rsidP="007B2A33">
      <w:pPr>
        <w:jc w:val="both"/>
        <w:rPr>
          <w:sz w:val="22"/>
          <w:szCs w:val="22"/>
          <w:lang w:val="sr-Latn-CS"/>
        </w:rPr>
      </w:pPr>
    </w:p>
    <w:p w14:paraId="60070B65" w14:textId="77777777" w:rsidR="00AE0251" w:rsidRPr="00AE0251" w:rsidRDefault="00AE0251" w:rsidP="007B2A33">
      <w:pPr>
        <w:jc w:val="both"/>
        <w:rPr>
          <w:sz w:val="22"/>
          <w:szCs w:val="22"/>
          <w:u w:val="single"/>
          <w:lang w:val="sr-Latn-CS"/>
        </w:rPr>
      </w:pPr>
      <w:r w:rsidRPr="00AE0251">
        <w:rPr>
          <w:sz w:val="22"/>
          <w:szCs w:val="22"/>
          <w:u w:val="single"/>
          <w:lang w:val="sr-Latn-CS"/>
        </w:rPr>
        <w:t>Pomoćna supstanca sa potvrđenim dejstvom:</w:t>
      </w:r>
    </w:p>
    <w:p w14:paraId="351194DA" w14:textId="13CA522C" w:rsidR="00AE0251" w:rsidRDefault="00AE0251" w:rsidP="007B2A33">
      <w:pPr>
        <w:jc w:val="both"/>
        <w:rPr>
          <w:sz w:val="22"/>
          <w:szCs w:val="22"/>
          <w:lang w:val="sr-Latn-CS"/>
        </w:rPr>
      </w:pPr>
      <w:r w:rsidRPr="00AE0251">
        <w:rPr>
          <w:sz w:val="22"/>
          <w:szCs w:val="22"/>
          <w:lang w:val="sr-Latn-CS"/>
        </w:rPr>
        <w:t>Jedna bočica sadrži ukupno 37,5 mg (1,6 mmol) natrijuma.</w:t>
      </w:r>
    </w:p>
    <w:p w14:paraId="53BF1B3B" w14:textId="77777777" w:rsidR="00AE0251" w:rsidRPr="00786071" w:rsidRDefault="00AE0251" w:rsidP="007B2A33">
      <w:pPr>
        <w:jc w:val="both"/>
        <w:rPr>
          <w:sz w:val="22"/>
          <w:szCs w:val="22"/>
          <w:lang w:val="sr-Latn-CS"/>
        </w:rPr>
      </w:pPr>
    </w:p>
    <w:p w14:paraId="5D9AC333" w14:textId="77777777" w:rsidR="0003793F" w:rsidRPr="00786071" w:rsidRDefault="0003793F" w:rsidP="007B2A33">
      <w:pPr>
        <w:jc w:val="both"/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14:paraId="5D9AC334" w14:textId="77777777" w:rsidR="0003793F" w:rsidRDefault="0003793F" w:rsidP="007B2A33">
      <w:pPr>
        <w:jc w:val="both"/>
        <w:rPr>
          <w:sz w:val="22"/>
          <w:szCs w:val="22"/>
          <w:lang w:val="sr-Latn-CS"/>
        </w:rPr>
      </w:pPr>
    </w:p>
    <w:p w14:paraId="5D9AC335" w14:textId="77777777" w:rsidR="00C37FD7" w:rsidRPr="00786071" w:rsidRDefault="00C37FD7" w:rsidP="007B2A33">
      <w:pPr>
        <w:jc w:val="both"/>
        <w:rPr>
          <w:sz w:val="22"/>
          <w:szCs w:val="22"/>
          <w:lang w:val="sr-Latn-CS"/>
        </w:rPr>
      </w:pPr>
    </w:p>
    <w:p w14:paraId="5D9AC336" w14:textId="77777777" w:rsidR="00411B4B" w:rsidRPr="00786071" w:rsidRDefault="00411B4B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3.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OBLIK</w:t>
      </w:r>
      <w:r w:rsidR="009F2D23" w:rsidRPr="00786071">
        <w:rPr>
          <w:b/>
          <w:bCs/>
          <w:sz w:val="22"/>
          <w:szCs w:val="22"/>
        </w:rPr>
        <w:t xml:space="preserve"> </w:t>
      </w:r>
    </w:p>
    <w:p w14:paraId="537C52C0" w14:textId="77777777" w:rsidR="00AE0251" w:rsidRDefault="00AE0251" w:rsidP="007B2A33">
      <w:pPr>
        <w:jc w:val="both"/>
        <w:rPr>
          <w:bCs/>
          <w:sz w:val="22"/>
          <w:szCs w:val="22"/>
          <w:lang w:val="sr-Latn-CS"/>
        </w:rPr>
      </w:pPr>
    </w:p>
    <w:p w14:paraId="09116269" w14:textId="7F615164" w:rsidR="00AE0251" w:rsidRPr="00AE0251" w:rsidRDefault="00AE0251" w:rsidP="007B2A33">
      <w:pPr>
        <w:jc w:val="both"/>
        <w:rPr>
          <w:bCs/>
          <w:sz w:val="22"/>
          <w:szCs w:val="22"/>
          <w:lang w:val="sr-Latn-CS"/>
        </w:rPr>
      </w:pPr>
      <w:r w:rsidRPr="00AE0251">
        <w:rPr>
          <w:bCs/>
          <w:sz w:val="22"/>
          <w:szCs w:val="22"/>
          <w:lang w:val="sr-Latn-CS"/>
        </w:rPr>
        <w:t>Prašak za rastvor za infuziju.</w:t>
      </w:r>
    </w:p>
    <w:p w14:paraId="7AF9153C" w14:textId="77777777" w:rsidR="00AE0251" w:rsidRPr="00AE0251" w:rsidRDefault="00AE0251" w:rsidP="007B2A33">
      <w:pPr>
        <w:jc w:val="both"/>
        <w:rPr>
          <w:bCs/>
          <w:sz w:val="22"/>
          <w:szCs w:val="22"/>
          <w:lang w:val="sr-Latn-CS"/>
        </w:rPr>
      </w:pPr>
    </w:p>
    <w:p w14:paraId="40B08D62" w14:textId="7F281284" w:rsidR="00AE0251" w:rsidRPr="00AE0251" w:rsidRDefault="00AE0251" w:rsidP="007B2A33">
      <w:pPr>
        <w:jc w:val="both"/>
        <w:rPr>
          <w:bCs/>
          <w:sz w:val="22"/>
          <w:szCs w:val="22"/>
          <w:lang w:val="sr-Latn-CS"/>
        </w:rPr>
      </w:pPr>
      <w:r w:rsidRPr="00AE0251">
        <w:rPr>
          <w:bCs/>
          <w:sz w:val="22"/>
          <w:szCs w:val="22"/>
          <w:lang w:val="sr-Latn-CS"/>
        </w:rPr>
        <w:t>Prašak b</w:t>
      </w:r>
      <w:r w:rsidR="00D718CE">
        <w:rPr>
          <w:bCs/>
          <w:sz w:val="22"/>
          <w:szCs w:val="22"/>
          <w:lang w:val="sr-Latn-CS"/>
        </w:rPr>
        <w:t>ij</w:t>
      </w:r>
      <w:r w:rsidRPr="00AE0251">
        <w:rPr>
          <w:bCs/>
          <w:sz w:val="22"/>
          <w:szCs w:val="22"/>
          <w:lang w:val="sr-Latn-CS"/>
        </w:rPr>
        <w:t>ele do sv</w:t>
      </w:r>
      <w:r w:rsidR="00893B36">
        <w:rPr>
          <w:bCs/>
          <w:sz w:val="22"/>
          <w:szCs w:val="22"/>
          <w:lang w:val="sr-Latn-CS"/>
        </w:rPr>
        <w:t>ij</w:t>
      </w:r>
      <w:r w:rsidRPr="00AE0251">
        <w:rPr>
          <w:bCs/>
          <w:sz w:val="22"/>
          <w:szCs w:val="22"/>
          <w:lang w:val="sr-Latn-CS"/>
        </w:rPr>
        <w:t>etložute boje.</w:t>
      </w:r>
    </w:p>
    <w:p w14:paraId="5D9AC338" w14:textId="68D361F5" w:rsidR="00EC2532" w:rsidRDefault="00EC2532" w:rsidP="007B2A33">
      <w:pPr>
        <w:jc w:val="both"/>
        <w:rPr>
          <w:bCs/>
          <w:sz w:val="22"/>
          <w:szCs w:val="22"/>
          <w:lang w:val="sr-Latn-CS"/>
        </w:rPr>
      </w:pPr>
    </w:p>
    <w:p w14:paraId="1061EC31" w14:textId="77777777" w:rsidR="0020459E" w:rsidRPr="00786071" w:rsidRDefault="0020459E" w:rsidP="007B2A33">
      <w:pPr>
        <w:jc w:val="both"/>
        <w:rPr>
          <w:bCs/>
          <w:sz w:val="22"/>
          <w:szCs w:val="22"/>
          <w:lang w:val="sr-Latn-CS"/>
        </w:rPr>
      </w:pPr>
    </w:p>
    <w:p w14:paraId="5D9AC339" w14:textId="77777777" w:rsidR="00411B4B" w:rsidRPr="00786071" w:rsidRDefault="00411B4B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KLINIČKI PODACI</w:t>
      </w:r>
    </w:p>
    <w:p w14:paraId="5D9AC33A" w14:textId="77777777" w:rsidR="00CD6F02" w:rsidRPr="00786071" w:rsidRDefault="00CD6F02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D9AC33B" w14:textId="77777777" w:rsidR="00411B4B" w:rsidRPr="008C5396" w:rsidRDefault="00411B4B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86071">
        <w:rPr>
          <w:b/>
          <w:bCs/>
          <w:sz w:val="22"/>
          <w:szCs w:val="22"/>
        </w:rPr>
        <w:t xml:space="preserve">4.1. </w:t>
      </w:r>
      <w:r w:rsidR="00480FB1" w:rsidRPr="00786071">
        <w:rPr>
          <w:b/>
          <w:bCs/>
          <w:sz w:val="22"/>
          <w:szCs w:val="22"/>
        </w:rPr>
        <w:tab/>
      </w:r>
      <w:r w:rsidRPr="008C5396">
        <w:rPr>
          <w:b/>
          <w:bCs/>
          <w:sz w:val="22"/>
          <w:szCs w:val="22"/>
          <w:lang w:val="sr-Latn-ME"/>
        </w:rPr>
        <w:t>Terapijske indikacije</w:t>
      </w:r>
    </w:p>
    <w:p w14:paraId="5D9AC33C" w14:textId="4AB8B15B" w:rsidR="00411B4B" w:rsidRPr="008C5396" w:rsidRDefault="00411B4B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E1DB81" w14:textId="707BA3E1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>L</w:t>
      </w:r>
      <w:r w:rsidR="00D718CE" w:rsidRPr="008C5396">
        <w:rPr>
          <w:bCs/>
          <w:sz w:val="22"/>
          <w:szCs w:val="22"/>
          <w:lang w:val="sr-Latn-ME"/>
        </w:rPr>
        <w:t>ij</w:t>
      </w:r>
      <w:r w:rsidRPr="008C5396">
        <w:rPr>
          <w:bCs/>
          <w:sz w:val="22"/>
          <w:szCs w:val="22"/>
          <w:lang w:val="sr-Latn-ME"/>
        </w:rPr>
        <w:t>ek RECARBRIO je indikovan za:</w:t>
      </w:r>
    </w:p>
    <w:p w14:paraId="2BAEB53D" w14:textId="069C656A" w:rsidR="00AE0251" w:rsidRPr="008C5396" w:rsidRDefault="00AE0251" w:rsidP="007B2A33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 xml:space="preserve"> L</w:t>
      </w:r>
      <w:r w:rsidR="00D718CE" w:rsidRPr="008C5396">
        <w:rPr>
          <w:bCs/>
          <w:sz w:val="22"/>
          <w:szCs w:val="22"/>
          <w:lang w:val="sr-Latn-ME"/>
        </w:rPr>
        <w:t>ij</w:t>
      </w:r>
      <w:r w:rsidRPr="008C5396">
        <w:rPr>
          <w:bCs/>
          <w:sz w:val="22"/>
          <w:szCs w:val="22"/>
          <w:lang w:val="sr-Latn-ME"/>
        </w:rPr>
        <w:t xml:space="preserve">ečenje bolnički stečene pneumonije (engl. </w:t>
      </w:r>
      <w:r w:rsidRPr="008C5396">
        <w:rPr>
          <w:bCs/>
          <w:i/>
          <w:iCs/>
          <w:sz w:val="22"/>
          <w:szCs w:val="22"/>
          <w:lang w:val="sr-Latn-ME"/>
        </w:rPr>
        <w:t xml:space="preserve">hospital-acquired pneumonia, </w:t>
      </w:r>
      <w:r w:rsidRPr="008C5396">
        <w:rPr>
          <w:bCs/>
          <w:iCs/>
          <w:sz w:val="22"/>
          <w:szCs w:val="22"/>
          <w:lang w:val="sr-Latn-ME"/>
        </w:rPr>
        <w:t>HAP</w:t>
      </w:r>
      <w:r w:rsidRPr="008C5396">
        <w:rPr>
          <w:bCs/>
          <w:sz w:val="22"/>
          <w:szCs w:val="22"/>
          <w:lang w:val="sr-Latn-ME"/>
        </w:rPr>
        <w:t xml:space="preserve">), uključujući pneumoniju povezanu sa mehaničkom ventilacijom (engl. </w:t>
      </w:r>
      <w:r w:rsidRPr="008C5396">
        <w:rPr>
          <w:bCs/>
          <w:i/>
          <w:iCs/>
          <w:sz w:val="22"/>
          <w:szCs w:val="22"/>
          <w:lang w:val="sr-Latn-ME"/>
        </w:rPr>
        <w:t xml:space="preserve">ventilator-associated pneumonia, </w:t>
      </w:r>
      <w:r w:rsidRPr="008C5396">
        <w:rPr>
          <w:bCs/>
          <w:iCs/>
          <w:sz w:val="22"/>
          <w:szCs w:val="22"/>
          <w:lang w:val="sr-Latn-ME"/>
        </w:rPr>
        <w:t>VAP</w:t>
      </w:r>
      <w:r w:rsidRPr="008C5396">
        <w:rPr>
          <w:bCs/>
          <w:sz w:val="22"/>
          <w:szCs w:val="22"/>
          <w:lang w:val="sr-Latn-ME"/>
        </w:rPr>
        <w:t>), kod odraslih (vid</w:t>
      </w:r>
      <w:r w:rsidR="00D718CE" w:rsidRPr="008C5396">
        <w:rPr>
          <w:bCs/>
          <w:sz w:val="22"/>
          <w:szCs w:val="22"/>
          <w:lang w:val="sr-Latn-ME"/>
        </w:rPr>
        <w:t>j</w:t>
      </w:r>
      <w:r w:rsidRPr="008C5396">
        <w:rPr>
          <w:bCs/>
          <w:sz w:val="22"/>
          <w:szCs w:val="22"/>
          <w:lang w:val="sr-Latn-ME"/>
        </w:rPr>
        <w:t xml:space="preserve">eti </w:t>
      </w:r>
      <w:r w:rsidR="007B2A33" w:rsidRPr="008C5396">
        <w:rPr>
          <w:bCs/>
          <w:sz w:val="22"/>
          <w:szCs w:val="22"/>
          <w:lang w:val="sr-Latn-ME"/>
        </w:rPr>
        <w:t xml:space="preserve">dijelove </w:t>
      </w:r>
      <w:r w:rsidRPr="008C5396">
        <w:rPr>
          <w:bCs/>
          <w:sz w:val="22"/>
          <w:szCs w:val="22"/>
          <w:lang w:val="sr-Latn-ME"/>
        </w:rPr>
        <w:t>4.4 i 5.1).</w:t>
      </w:r>
    </w:p>
    <w:p w14:paraId="686BA2AD" w14:textId="1549FE80" w:rsidR="00AE0251" w:rsidRPr="008C5396" w:rsidRDefault="00AE0251" w:rsidP="007B2A33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 xml:space="preserve"> L</w:t>
      </w:r>
      <w:r w:rsidR="00D718CE" w:rsidRPr="008C5396">
        <w:rPr>
          <w:bCs/>
          <w:sz w:val="22"/>
          <w:szCs w:val="22"/>
          <w:lang w:val="sr-Latn-ME"/>
        </w:rPr>
        <w:t>ij</w:t>
      </w:r>
      <w:r w:rsidRPr="008C5396">
        <w:rPr>
          <w:bCs/>
          <w:sz w:val="22"/>
          <w:szCs w:val="22"/>
          <w:lang w:val="sr-Latn-ME"/>
        </w:rPr>
        <w:t>ečenje bakterijemije koja je povezana, ili se sumnja da je povezana sa HAP ili VAP, kod odraslih.</w:t>
      </w:r>
    </w:p>
    <w:p w14:paraId="044CA590" w14:textId="6DE2AFA9" w:rsidR="00AE0251" w:rsidRPr="008C5396" w:rsidRDefault="00AE0251" w:rsidP="007B2A33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 xml:space="preserve"> L</w:t>
      </w:r>
      <w:r w:rsidR="00D718CE" w:rsidRPr="008C5396">
        <w:rPr>
          <w:bCs/>
          <w:sz w:val="22"/>
          <w:szCs w:val="22"/>
          <w:lang w:val="sr-Latn-ME"/>
        </w:rPr>
        <w:t>ij</w:t>
      </w:r>
      <w:r w:rsidRPr="008C5396">
        <w:rPr>
          <w:bCs/>
          <w:sz w:val="22"/>
          <w:szCs w:val="22"/>
          <w:lang w:val="sr-Latn-ME"/>
        </w:rPr>
        <w:t xml:space="preserve">ečenje infekcija uzrokovanih aerobnim Gram-negativnim organizmima kod odraslih pacijenata sa ograničenim mogućnostima za </w:t>
      </w:r>
      <w:r w:rsidR="00D718CE" w:rsidRPr="008C5396">
        <w:rPr>
          <w:bCs/>
          <w:sz w:val="22"/>
          <w:szCs w:val="22"/>
          <w:lang w:val="sr-Latn-ME"/>
        </w:rPr>
        <w:t>liječenje</w:t>
      </w:r>
      <w:r w:rsidRPr="008C5396">
        <w:rPr>
          <w:bCs/>
          <w:sz w:val="22"/>
          <w:szCs w:val="22"/>
          <w:lang w:val="sr-Latn-ME"/>
        </w:rPr>
        <w:t xml:space="preserve"> (</w:t>
      </w:r>
      <w:r w:rsidR="00D718CE" w:rsidRPr="008C5396">
        <w:rPr>
          <w:bCs/>
          <w:sz w:val="22"/>
          <w:szCs w:val="22"/>
          <w:lang w:val="sr-Latn-ME"/>
        </w:rPr>
        <w:t>vidjeti</w:t>
      </w:r>
      <w:r w:rsidRPr="008C5396">
        <w:rPr>
          <w:bCs/>
          <w:sz w:val="22"/>
          <w:szCs w:val="22"/>
          <w:lang w:val="sr-Latn-ME"/>
        </w:rPr>
        <w:t xml:space="preserve"> </w:t>
      </w:r>
      <w:r w:rsidR="007B2A33" w:rsidRPr="008C5396">
        <w:rPr>
          <w:bCs/>
          <w:sz w:val="22"/>
          <w:szCs w:val="22"/>
          <w:lang w:val="sr-Latn-ME"/>
        </w:rPr>
        <w:t xml:space="preserve">dijelove </w:t>
      </w:r>
      <w:r w:rsidRPr="008C5396">
        <w:rPr>
          <w:bCs/>
          <w:sz w:val="22"/>
          <w:szCs w:val="22"/>
          <w:lang w:val="sr-Latn-ME"/>
        </w:rPr>
        <w:t>4.2, 4.4 i 5.1).</w:t>
      </w:r>
    </w:p>
    <w:p w14:paraId="0B782935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D189F5" w14:textId="7628CC0B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>Potrebno je uzeti u obzir zvanične sm</w:t>
      </w:r>
      <w:r w:rsidR="007E1A5B" w:rsidRPr="008C5396">
        <w:rPr>
          <w:bCs/>
          <w:sz w:val="22"/>
          <w:szCs w:val="22"/>
          <w:lang w:val="sr-Latn-ME"/>
        </w:rPr>
        <w:t>j</w:t>
      </w:r>
      <w:r w:rsidRPr="008C5396">
        <w:rPr>
          <w:bCs/>
          <w:sz w:val="22"/>
          <w:szCs w:val="22"/>
          <w:lang w:val="sr-Latn-ME"/>
        </w:rPr>
        <w:t>ernice o pravilnoj upotrebi antibiotika.</w:t>
      </w:r>
    </w:p>
    <w:p w14:paraId="4F2005B5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3D" w14:textId="77777777" w:rsidR="00411B4B" w:rsidRPr="008C5396" w:rsidRDefault="00411B4B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5396">
        <w:rPr>
          <w:b/>
          <w:bCs/>
          <w:sz w:val="22"/>
          <w:szCs w:val="22"/>
          <w:lang w:val="sr-Latn-ME"/>
        </w:rPr>
        <w:t xml:space="preserve">4.2. </w:t>
      </w:r>
      <w:r w:rsidR="00480FB1" w:rsidRPr="008C5396">
        <w:rPr>
          <w:b/>
          <w:bCs/>
          <w:sz w:val="22"/>
          <w:szCs w:val="22"/>
          <w:lang w:val="sr-Latn-ME"/>
        </w:rPr>
        <w:tab/>
      </w:r>
      <w:r w:rsidRPr="008C5396">
        <w:rPr>
          <w:b/>
          <w:bCs/>
          <w:sz w:val="22"/>
          <w:szCs w:val="22"/>
          <w:lang w:val="sr-Latn-ME"/>
        </w:rPr>
        <w:t>Doziranje i način primjene</w:t>
      </w:r>
    </w:p>
    <w:p w14:paraId="5D9AC33E" w14:textId="44F3F85C" w:rsidR="0072020E" w:rsidRPr="008C5396" w:rsidRDefault="0072020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8BB198" w14:textId="1AAFABF3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>Preporučuje se da se l</w:t>
      </w:r>
      <w:r w:rsidR="00D718CE" w:rsidRPr="008C5396">
        <w:rPr>
          <w:bCs/>
          <w:sz w:val="22"/>
          <w:szCs w:val="22"/>
          <w:lang w:val="sr-Latn-ME"/>
        </w:rPr>
        <w:t>ij</w:t>
      </w:r>
      <w:r w:rsidRPr="008C5396">
        <w:rPr>
          <w:bCs/>
          <w:sz w:val="22"/>
          <w:szCs w:val="22"/>
          <w:lang w:val="sr-Latn-ME"/>
        </w:rPr>
        <w:t xml:space="preserve">ek RECARBRIO </w:t>
      </w:r>
      <w:r w:rsidR="00A46ACA" w:rsidRPr="008C5396">
        <w:rPr>
          <w:bCs/>
          <w:sz w:val="22"/>
          <w:szCs w:val="22"/>
          <w:lang w:val="sr-Latn-ME"/>
        </w:rPr>
        <w:t>primjeni</w:t>
      </w:r>
      <w:r w:rsidRPr="008C5396">
        <w:rPr>
          <w:bCs/>
          <w:sz w:val="22"/>
          <w:szCs w:val="22"/>
          <w:lang w:val="sr-Latn-ME"/>
        </w:rPr>
        <w:t xml:space="preserve"> za </w:t>
      </w:r>
      <w:r w:rsidR="00D718CE" w:rsidRPr="008C5396">
        <w:rPr>
          <w:bCs/>
          <w:sz w:val="22"/>
          <w:szCs w:val="22"/>
          <w:lang w:val="sr-Latn-ME"/>
        </w:rPr>
        <w:t>liječenje</w:t>
      </w:r>
      <w:r w:rsidRPr="008C5396">
        <w:rPr>
          <w:bCs/>
          <w:sz w:val="22"/>
          <w:szCs w:val="22"/>
          <w:lang w:val="sr-Latn-ME"/>
        </w:rPr>
        <w:t xml:space="preserve"> infekcija uzrokovanih aerobnim Gram-negativnim organizmima kod odraslih pacijenata sa ograničenim mogućnostima </w:t>
      </w:r>
      <w:r w:rsidR="00D718CE" w:rsidRPr="008C5396">
        <w:rPr>
          <w:bCs/>
          <w:sz w:val="22"/>
          <w:szCs w:val="22"/>
          <w:lang w:val="sr-Latn-ME"/>
        </w:rPr>
        <w:t>liječenja</w:t>
      </w:r>
      <w:r w:rsidRPr="008C5396">
        <w:rPr>
          <w:bCs/>
          <w:sz w:val="22"/>
          <w:szCs w:val="22"/>
          <w:lang w:val="sr-Latn-ME"/>
        </w:rPr>
        <w:t xml:space="preserve"> tek nakon sav</w:t>
      </w:r>
      <w:r w:rsidR="00D718CE" w:rsidRPr="008C5396">
        <w:rPr>
          <w:bCs/>
          <w:sz w:val="22"/>
          <w:szCs w:val="22"/>
          <w:lang w:val="sr-Latn-ME"/>
        </w:rPr>
        <w:t>j</w:t>
      </w:r>
      <w:r w:rsidRPr="008C5396">
        <w:rPr>
          <w:bCs/>
          <w:sz w:val="22"/>
          <w:szCs w:val="22"/>
          <w:lang w:val="sr-Latn-ME"/>
        </w:rPr>
        <w:t>etovanja sa l</w:t>
      </w:r>
      <w:r w:rsidR="00D718CE" w:rsidRPr="008C5396">
        <w:rPr>
          <w:bCs/>
          <w:sz w:val="22"/>
          <w:szCs w:val="22"/>
          <w:lang w:val="sr-Latn-ME"/>
        </w:rPr>
        <w:t>j</w:t>
      </w:r>
      <w:r w:rsidRPr="008C5396">
        <w:rPr>
          <w:bCs/>
          <w:sz w:val="22"/>
          <w:szCs w:val="22"/>
          <w:lang w:val="sr-Latn-ME"/>
        </w:rPr>
        <w:t xml:space="preserve">ekarom koji ima odgovarajuće iskustvo u </w:t>
      </w:r>
      <w:r w:rsidR="00D718CE" w:rsidRPr="008C5396">
        <w:rPr>
          <w:bCs/>
          <w:sz w:val="22"/>
          <w:szCs w:val="22"/>
          <w:lang w:val="sr-Latn-ME"/>
        </w:rPr>
        <w:t>liječenju</w:t>
      </w:r>
      <w:r w:rsidRPr="008C5396">
        <w:rPr>
          <w:bCs/>
          <w:sz w:val="22"/>
          <w:szCs w:val="22"/>
          <w:lang w:val="sr-Latn-ME"/>
        </w:rPr>
        <w:t xml:space="preserve"> infektivnih bolesti.</w:t>
      </w:r>
    </w:p>
    <w:p w14:paraId="6A3B3451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5BDB8E" w14:textId="77777777" w:rsidR="00B94ED6" w:rsidRDefault="00B94ED6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FE3E8D2" w14:textId="77777777" w:rsidR="00B94ED6" w:rsidRDefault="00B94ED6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D9AC33F" w14:textId="74724C3E" w:rsidR="00452E9D" w:rsidRPr="008C5396" w:rsidRDefault="00452E9D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C5396">
        <w:rPr>
          <w:bCs/>
          <w:sz w:val="22"/>
          <w:szCs w:val="22"/>
          <w:u w:val="single"/>
          <w:lang w:val="sr-Latn-ME"/>
        </w:rPr>
        <w:t>Doziranje</w:t>
      </w:r>
    </w:p>
    <w:p w14:paraId="5D9AC340" w14:textId="0A065667" w:rsidR="00452E9D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 xml:space="preserve">U Tabeli 1 navedena je preporučena intravenska doza za pacijente sa klirensom kreatinina (CrCl) ≥ 90 </w:t>
      </w:r>
      <w:r w:rsidR="007903A3" w:rsidRPr="008C5396">
        <w:rPr>
          <w:bCs/>
          <w:sz w:val="22"/>
          <w:szCs w:val="22"/>
          <w:lang w:val="sr-Latn-ME"/>
        </w:rPr>
        <w:t>ml</w:t>
      </w:r>
      <w:r w:rsidRPr="008C5396">
        <w:rPr>
          <w:bCs/>
          <w:sz w:val="22"/>
          <w:szCs w:val="22"/>
          <w:lang w:val="sr-Latn-ME"/>
        </w:rPr>
        <w:t>/min (vid</w:t>
      </w:r>
      <w:r w:rsidR="00D718CE" w:rsidRPr="008C5396">
        <w:rPr>
          <w:bCs/>
          <w:sz w:val="22"/>
          <w:szCs w:val="22"/>
          <w:lang w:val="sr-Latn-ME"/>
        </w:rPr>
        <w:t>j</w:t>
      </w:r>
      <w:r w:rsidRPr="008C5396">
        <w:rPr>
          <w:bCs/>
          <w:sz w:val="22"/>
          <w:szCs w:val="22"/>
          <w:lang w:val="sr-Latn-ME"/>
        </w:rPr>
        <w:t xml:space="preserve">eti </w:t>
      </w:r>
      <w:r w:rsidR="007B2A33" w:rsidRPr="008C5396">
        <w:rPr>
          <w:bCs/>
          <w:sz w:val="22"/>
          <w:szCs w:val="22"/>
          <w:lang w:val="sr-Latn-ME"/>
        </w:rPr>
        <w:t xml:space="preserve">dijelove </w:t>
      </w:r>
      <w:r w:rsidRPr="008C5396">
        <w:rPr>
          <w:bCs/>
          <w:sz w:val="22"/>
          <w:szCs w:val="22"/>
          <w:lang w:val="sr-Latn-ME"/>
        </w:rPr>
        <w:t>4.4 i 5.1).</w:t>
      </w:r>
    </w:p>
    <w:p w14:paraId="64E00DAE" w14:textId="07FD8B3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BA86836" w14:textId="36E01D5A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vertAlign w:val="superscript"/>
          <w:lang w:val="sr-Latn-ME"/>
        </w:rPr>
      </w:pPr>
      <w:r w:rsidRPr="008C5396">
        <w:rPr>
          <w:b/>
          <w:bCs/>
          <w:sz w:val="22"/>
          <w:szCs w:val="22"/>
          <w:lang w:val="sr-Latn-ME"/>
        </w:rPr>
        <w:lastRenderedPageBreak/>
        <w:t xml:space="preserve">Tabela 1: </w:t>
      </w:r>
      <w:r w:rsidR="007B2A33" w:rsidRPr="008C5396">
        <w:rPr>
          <w:b/>
          <w:bCs/>
          <w:sz w:val="22"/>
          <w:szCs w:val="22"/>
          <w:lang w:val="sr-Latn-ME"/>
        </w:rPr>
        <w:t xml:space="preserve">Preporučena </w:t>
      </w:r>
      <w:r w:rsidRPr="008C5396">
        <w:rPr>
          <w:b/>
          <w:bCs/>
          <w:sz w:val="22"/>
          <w:szCs w:val="22"/>
          <w:lang w:val="sr-Latn-ME"/>
        </w:rPr>
        <w:t xml:space="preserve">intravenska doza za pacijente sa klirensom kreatinina (CrCl) ≥ 90 </w:t>
      </w:r>
      <w:r w:rsidR="007903A3" w:rsidRPr="008C5396">
        <w:rPr>
          <w:b/>
          <w:bCs/>
          <w:sz w:val="22"/>
          <w:szCs w:val="22"/>
          <w:lang w:val="sr-Latn-ME"/>
        </w:rPr>
        <w:t>ml</w:t>
      </w:r>
      <w:r w:rsidRPr="008C5396">
        <w:rPr>
          <w:b/>
          <w:bCs/>
          <w:sz w:val="22"/>
          <w:szCs w:val="22"/>
          <w:lang w:val="sr-Latn-ME"/>
        </w:rPr>
        <w:t>/min</w:t>
      </w:r>
      <w:r w:rsidRPr="008C5396">
        <w:rPr>
          <w:b/>
          <w:bCs/>
          <w:sz w:val="22"/>
          <w:szCs w:val="22"/>
          <w:vertAlign w:val="superscript"/>
          <w:lang w:val="sr-Latn-ME"/>
        </w:rPr>
        <w:t>1,2</w:t>
      </w:r>
    </w:p>
    <w:p w14:paraId="66B2CFB5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2335"/>
        <w:gridCol w:w="1350"/>
        <w:gridCol w:w="986"/>
        <w:gridCol w:w="1784"/>
      </w:tblGrid>
      <w:tr w:rsidR="00AE0251" w:rsidRPr="00234044" w14:paraId="11535A98" w14:textId="77777777" w:rsidTr="00E17DF7">
        <w:trPr>
          <w:trHeight w:val="690"/>
        </w:trPr>
        <w:tc>
          <w:tcPr>
            <w:tcW w:w="1439" w:type="pct"/>
          </w:tcPr>
          <w:p w14:paraId="74D748C3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020F6445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/>
                <w:bCs/>
                <w:sz w:val="22"/>
                <w:szCs w:val="22"/>
                <w:lang w:val="sr-Latn-ME"/>
              </w:rPr>
              <w:t>Vrsta infekcije</w:t>
            </w:r>
          </w:p>
        </w:tc>
        <w:tc>
          <w:tcPr>
            <w:tcW w:w="1288" w:type="pct"/>
          </w:tcPr>
          <w:p w14:paraId="23864F42" w14:textId="4ED2D14C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/>
                <w:bCs/>
                <w:sz w:val="22"/>
                <w:szCs w:val="22"/>
                <w:lang w:val="sr-Latn-ME"/>
              </w:rPr>
              <w:t>Doza l</w:t>
            </w:r>
            <w:r w:rsidR="00D718CE" w:rsidRPr="008C5396">
              <w:rPr>
                <w:b/>
                <w:bCs/>
                <w:sz w:val="22"/>
                <w:szCs w:val="22"/>
                <w:lang w:val="sr-Latn-ME"/>
              </w:rPr>
              <w:t>ij</w:t>
            </w:r>
            <w:r w:rsidRPr="008C5396">
              <w:rPr>
                <w:b/>
                <w:bCs/>
                <w:sz w:val="22"/>
                <w:szCs w:val="22"/>
                <w:lang w:val="sr-Latn-ME"/>
              </w:rPr>
              <w:t>eka RECARBRIO (</w:t>
            </w:r>
            <w:r w:rsidR="001666C2" w:rsidRPr="001666C2">
              <w:rPr>
                <w:b/>
                <w:bCs/>
                <w:sz w:val="22"/>
                <w:szCs w:val="22"/>
                <w:lang w:val="sr-Latn-ME"/>
              </w:rPr>
              <w:t>imipenem, cilastatin, relebaktam</w:t>
            </w:r>
            <w:r w:rsidRPr="008C5396">
              <w:rPr>
                <w:b/>
                <w:bCs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745" w:type="pct"/>
          </w:tcPr>
          <w:p w14:paraId="729B668D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4EBA1C51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/>
                <w:bCs/>
                <w:sz w:val="22"/>
                <w:szCs w:val="22"/>
                <w:lang w:val="sr-Latn-ME"/>
              </w:rPr>
              <w:t>Učestalost</w:t>
            </w:r>
          </w:p>
        </w:tc>
        <w:tc>
          <w:tcPr>
            <w:tcW w:w="544" w:type="pct"/>
          </w:tcPr>
          <w:p w14:paraId="54DD3B3F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/>
                <w:bCs/>
                <w:sz w:val="22"/>
                <w:szCs w:val="22"/>
                <w:lang w:val="sr-Latn-ME"/>
              </w:rPr>
              <w:t>Trajanje infuzije</w:t>
            </w:r>
          </w:p>
        </w:tc>
        <w:tc>
          <w:tcPr>
            <w:tcW w:w="984" w:type="pct"/>
          </w:tcPr>
          <w:p w14:paraId="4636C856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3EB06D06" w14:textId="0216974C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/>
                <w:bCs/>
                <w:sz w:val="22"/>
                <w:szCs w:val="22"/>
                <w:lang w:val="sr-Latn-ME"/>
              </w:rPr>
              <w:t xml:space="preserve">Trajanje </w:t>
            </w:r>
            <w:r w:rsidR="00D718CE" w:rsidRPr="008C5396">
              <w:rPr>
                <w:b/>
                <w:bCs/>
                <w:sz w:val="22"/>
                <w:szCs w:val="22"/>
                <w:lang w:val="sr-Latn-ME"/>
              </w:rPr>
              <w:t>liječenja</w:t>
            </w:r>
          </w:p>
        </w:tc>
      </w:tr>
      <w:tr w:rsidR="00AE0251" w:rsidRPr="00234044" w14:paraId="41A22835" w14:textId="77777777" w:rsidTr="00E17DF7">
        <w:trPr>
          <w:trHeight w:val="1149"/>
        </w:trPr>
        <w:tc>
          <w:tcPr>
            <w:tcW w:w="1439" w:type="pct"/>
          </w:tcPr>
          <w:p w14:paraId="45C743C6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vertAlign w:val="superscript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Bolnički stečena pneumonija, uključujući pneumoniju povezanu sa mehaničkom ventilacijom</w:t>
            </w:r>
            <w:r w:rsidRPr="008C5396">
              <w:rPr>
                <w:bCs/>
                <w:sz w:val="22"/>
                <w:szCs w:val="22"/>
                <w:vertAlign w:val="superscript"/>
                <w:lang w:val="sr-Latn-ME"/>
              </w:rPr>
              <w:t>2,3</w:t>
            </w:r>
          </w:p>
        </w:tc>
        <w:tc>
          <w:tcPr>
            <w:tcW w:w="1288" w:type="pct"/>
          </w:tcPr>
          <w:p w14:paraId="087FD282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  <w:p w14:paraId="2ABB74F5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  <w:p w14:paraId="7482A987" w14:textId="6F35FF83" w:rsidR="00AE0251" w:rsidRPr="008C5396" w:rsidRDefault="00851D6A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500 mg + 500 mg + 250 mg</w:t>
            </w:r>
          </w:p>
        </w:tc>
        <w:tc>
          <w:tcPr>
            <w:tcW w:w="745" w:type="pct"/>
          </w:tcPr>
          <w:p w14:paraId="53AE87AB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69978D0D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  <w:p w14:paraId="760B1512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svakih 6 sati</w:t>
            </w:r>
          </w:p>
        </w:tc>
        <w:tc>
          <w:tcPr>
            <w:tcW w:w="544" w:type="pct"/>
          </w:tcPr>
          <w:p w14:paraId="22343C37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48F6DA61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41249142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30 min</w:t>
            </w:r>
          </w:p>
        </w:tc>
        <w:tc>
          <w:tcPr>
            <w:tcW w:w="984" w:type="pct"/>
          </w:tcPr>
          <w:p w14:paraId="32E55889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  <w:p w14:paraId="23824528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  <w:p w14:paraId="57A3CAA6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od 7 do 14 dana</w:t>
            </w:r>
          </w:p>
        </w:tc>
      </w:tr>
      <w:tr w:rsidR="00AE0251" w:rsidRPr="00234044" w14:paraId="13924098" w14:textId="77777777" w:rsidTr="00E17DF7">
        <w:trPr>
          <w:trHeight w:val="1149"/>
        </w:trPr>
        <w:tc>
          <w:tcPr>
            <w:tcW w:w="1439" w:type="pct"/>
          </w:tcPr>
          <w:p w14:paraId="04ED544C" w14:textId="37B6E3C6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 xml:space="preserve">Infekcije uzrokovane aerobnim Gram-negativnim organizmima kod pacijenata sa ograničenim mogućnostima </w:t>
            </w:r>
            <w:r w:rsidR="00D718CE" w:rsidRPr="008C5396">
              <w:rPr>
                <w:bCs/>
                <w:sz w:val="22"/>
                <w:szCs w:val="22"/>
                <w:lang w:val="sr-Latn-ME"/>
              </w:rPr>
              <w:t>liječenja</w:t>
            </w:r>
            <w:r w:rsidRPr="008C5396">
              <w:rPr>
                <w:bCs/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1288" w:type="pct"/>
          </w:tcPr>
          <w:p w14:paraId="1FC78F53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45D220F8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29479E51" w14:textId="059831EA" w:rsidR="00AE0251" w:rsidRPr="008C5396" w:rsidRDefault="00851D6A" w:rsidP="00B71C00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500 mg + 500 mg + 250 mg</w:t>
            </w:r>
          </w:p>
        </w:tc>
        <w:tc>
          <w:tcPr>
            <w:tcW w:w="745" w:type="pct"/>
          </w:tcPr>
          <w:p w14:paraId="3B914332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4ECBB0BA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7747A80F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svakih 6 sati</w:t>
            </w:r>
          </w:p>
        </w:tc>
        <w:tc>
          <w:tcPr>
            <w:tcW w:w="544" w:type="pct"/>
          </w:tcPr>
          <w:p w14:paraId="13073526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168EA349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791AEEFF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30 min</w:t>
            </w:r>
          </w:p>
        </w:tc>
        <w:tc>
          <w:tcPr>
            <w:tcW w:w="984" w:type="pct"/>
          </w:tcPr>
          <w:p w14:paraId="194FB7C8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224A32F9" w14:textId="6950467C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Trajanje u skladu sa m</w:t>
            </w:r>
            <w:r w:rsidR="005E77C7" w:rsidRPr="008C5396">
              <w:rPr>
                <w:bCs/>
                <w:sz w:val="22"/>
                <w:szCs w:val="22"/>
                <w:lang w:val="sr-Latn-ME"/>
              </w:rPr>
              <w:t>j</w:t>
            </w:r>
            <w:r w:rsidRPr="008C5396">
              <w:rPr>
                <w:bCs/>
                <w:sz w:val="22"/>
                <w:szCs w:val="22"/>
                <w:lang w:val="sr-Latn-ME"/>
              </w:rPr>
              <w:t>estom infekcije</w:t>
            </w:r>
            <w:r w:rsidRPr="008C5396">
              <w:rPr>
                <w:bCs/>
                <w:sz w:val="22"/>
                <w:szCs w:val="22"/>
                <w:vertAlign w:val="superscript"/>
                <w:lang w:val="sr-Latn-ME"/>
              </w:rPr>
              <w:t>4</w:t>
            </w:r>
          </w:p>
        </w:tc>
      </w:tr>
      <w:tr w:rsidR="00AE0251" w:rsidRPr="00234044" w14:paraId="04E1E6C1" w14:textId="77777777" w:rsidTr="00E17DF7">
        <w:trPr>
          <w:trHeight w:val="1151"/>
        </w:trPr>
        <w:tc>
          <w:tcPr>
            <w:tcW w:w="5000" w:type="pct"/>
            <w:gridSpan w:val="5"/>
          </w:tcPr>
          <w:p w14:paraId="6CC4BB4B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 xml:space="preserve">1Izračunat </w:t>
            </w:r>
            <w:r w:rsidRPr="008C5396">
              <w:rPr>
                <w:bCs/>
                <w:i/>
                <w:sz w:val="22"/>
                <w:szCs w:val="22"/>
                <w:lang w:val="sr-Latn-ME"/>
              </w:rPr>
              <w:t>Cockcroft-Gault</w:t>
            </w:r>
            <w:r w:rsidRPr="008C5396">
              <w:rPr>
                <w:bCs/>
                <w:sz w:val="22"/>
                <w:szCs w:val="22"/>
                <w:lang w:val="sr-Latn-ME"/>
              </w:rPr>
              <w:t xml:space="preserve"> formulom.</w:t>
            </w:r>
          </w:p>
          <w:p w14:paraId="52520F4D" w14:textId="3C63FB58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vertAlign w:val="superscript"/>
                <w:lang w:val="sr-Latn-ME"/>
              </w:rPr>
              <w:t>2</w:t>
            </w:r>
            <w:r w:rsidRPr="008C5396">
              <w:rPr>
                <w:bCs/>
                <w:sz w:val="22"/>
                <w:szCs w:val="22"/>
                <w:lang w:val="sr-Latn-ME"/>
              </w:rPr>
              <w:t>Za pacijente sa HAP ili VAP sa CrCl ˃ 250 </w:t>
            </w:r>
            <w:r w:rsidR="007903A3" w:rsidRPr="008C5396">
              <w:rPr>
                <w:bCs/>
                <w:sz w:val="22"/>
                <w:szCs w:val="22"/>
                <w:lang w:val="sr-Latn-ME"/>
              </w:rPr>
              <w:t>ml</w:t>
            </w:r>
            <w:r w:rsidRPr="008C5396">
              <w:rPr>
                <w:bCs/>
                <w:sz w:val="22"/>
                <w:szCs w:val="22"/>
                <w:lang w:val="sr-Latn-ME"/>
              </w:rPr>
              <w:t xml:space="preserve">/min, kao i za pacijente sa komplikovanim intraabdominalnim infekcijama (engl. </w:t>
            </w:r>
            <w:r w:rsidRPr="008C5396">
              <w:rPr>
                <w:bCs/>
                <w:i/>
                <w:sz w:val="22"/>
                <w:szCs w:val="22"/>
                <w:lang w:val="sr-Latn-ME"/>
              </w:rPr>
              <w:t xml:space="preserve">complicated intra-abdominal infections, </w:t>
            </w:r>
            <w:r w:rsidRPr="008C5396">
              <w:rPr>
                <w:bCs/>
                <w:sz w:val="22"/>
                <w:szCs w:val="22"/>
                <w:lang w:val="sr-Latn-ME"/>
              </w:rPr>
              <w:t xml:space="preserve">cIAI) ili komplikovanim infekcijama urinarnog trakta (engl. </w:t>
            </w:r>
            <w:r w:rsidRPr="008C5396">
              <w:rPr>
                <w:bCs/>
                <w:i/>
                <w:sz w:val="22"/>
                <w:szCs w:val="22"/>
                <w:lang w:val="sr-Latn-ME"/>
              </w:rPr>
              <w:t xml:space="preserve">complicated urinary tract infections, </w:t>
            </w:r>
            <w:r w:rsidRPr="008C5396">
              <w:rPr>
                <w:bCs/>
                <w:sz w:val="22"/>
                <w:szCs w:val="22"/>
                <w:lang w:val="sr-Latn-ME"/>
              </w:rPr>
              <w:t>cUTI), uključujući pijelonefritis sa CrCl ˃ 150 </w:t>
            </w:r>
            <w:r w:rsidR="007903A3" w:rsidRPr="008C5396">
              <w:rPr>
                <w:bCs/>
                <w:sz w:val="22"/>
                <w:szCs w:val="22"/>
                <w:lang w:val="sr-Latn-ME"/>
              </w:rPr>
              <w:t>ml</w:t>
            </w:r>
            <w:r w:rsidRPr="008C5396">
              <w:rPr>
                <w:bCs/>
                <w:sz w:val="22"/>
                <w:szCs w:val="22"/>
                <w:lang w:val="sr-Latn-ME"/>
              </w:rPr>
              <w:t>/min, preporučena doza l</w:t>
            </w:r>
            <w:r w:rsidR="00D718CE" w:rsidRPr="008C5396">
              <w:rPr>
                <w:bCs/>
                <w:sz w:val="22"/>
                <w:szCs w:val="22"/>
                <w:lang w:val="sr-Latn-ME"/>
              </w:rPr>
              <w:t>ij</w:t>
            </w:r>
            <w:r w:rsidRPr="008C5396">
              <w:rPr>
                <w:bCs/>
                <w:sz w:val="22"/>
                <w:szCs w:val="22"/>
                <w:lang w:val="sr-Latn-ME"/>
              </w:rPr>
              <w:t>eka RECARBRIO možda neće biti dovoljna (</w:t>
            </w:r>
            <w:r w:rsidR="00D718CE" w:rsidRPr="008C5396">
              <w:rPr>
                <w:bCs/>
                <w:sz w:val="22"/>
                <w:szCs w:val="22"/>
                <w:lang w:val="sr-Latn-ME"/>
              </w:rPr>
              <w:t>vidjeti</w:t>
            </w:r>
            <w:r w:rsidRPr="008C5396">
              <w:rPr>
                <w:bCs/>
                <w:sz w:val="22"/>
                <w:szCs w:val="22"/>
                <w:lang w:val="sr-Latn-ME"/>
              </w:rPr>
              <w:t xml:space="preserve"> </w:t>
            </w:r>
            <w:r w:rsidR="007B2A33" w:rsidRPr="008C5396">
              <w:rPr>
                <w:bCs/>
                <w:sz w:val="22"/>
                <w:szCs w:val="22"/>
                <w:lang w:val="sr-Latn-ME"/>
              </w:rPr>
              <w:t xml:space="preserve">dio </w:t>
            </w:r>
            <w:r w:rsidRPr="008C5396">
              <w:rPr>
                <w:bCs/>
                <w:sz w:val="22"/>
                <w:szCs w:val="22"/>
                <w:lang w:val="sr-Latn-ME"/>
              </w:rPr>
              <w:t>4.4).</w:t>
            </w:r>
          </w:p>
          <w:p w14:paraId="3121DBE8" w14:textId="77777777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vertAlign w:val="superscript"/>
                <w:lang w:val="sr-Latn-ME"/>
              </w:rPr>
              <w:t>3</w:t>
            </w:r>
            <w:r w:rsidRPr="008C5396">
              <w:rPr>
                <w:bCs/>
                <w:sz w:val="22"/>
                <w:szCs w:val="22"/>
                <w:lang w:val="sr-Latn-ME"/>
              </w:rPr>
              <w:t>Uključujući bakterijemiju koja je povezana, ili se sumnja da je povezana sa HAP ili VAP.</w:t>
            </w:r>
          </w:p>
          <w:p w14:paraId="7AFE3270" w14:textId="6249F98F" w:rsidR="00AE0251" w:rsidRPr="008C5396" w:rsidRDefault="00AE0251" w:rsidP="00B71C00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71C00">
              <w:rPr>
                <w:bCs/>
                <w:sz w:val="22"/>
                <w:szCs w:val="22"/>
                <w:vertAlign w:val="superscript"/>
                <w:lang w:val="sr-Latn-ME"/>
              </w:rPr>
              <w:t>4</w:t>
            </w:r>
            <w:r w:rsidRPr="008C5396">
              <w:rPr>
                <w:bCs/>
                <w:sz w:val="22"/>
                <w:szCs w:val="22"/>
                <w:lang w:val="sr-Latn-ME"/>
              </w:rPr>
              <w:t>Na prim</w:t>
            </w:r>
            <w:r w:rsidR="005E77C7" w:rsidRPr="008C5396">
              <w:rPr>
                <w:bCs/>
                <w:sz w:val="22"/>
                <w:szCs w:val="22"/>
                <w:lang w:val="sr-Latn-ME"/>
              </w:rPr>
              <w:t>j</w:t>
            </w:r>
            <w:r w:rsidRPr="008C5396">
              <w:rPr>
                <w:bCs/>
                <w:sz w:val="22"/>
                <w:szCs w:val="22"/>
                <w:lang w:val="sr-Latn-ME"/>
              </w:rPr>
              <w:t xml:space="preserve">er, kod cIAI i cUTI preporučeno trajanje </w:t>
            </w:r>
            <w:r w:rsidR="00D718CE" w:rsidRPr="008C5396">
              <w:rPr>
                <w:bCs/>
                <w:sz w:val="22"/>
                <w:szCs w:val="22"/>
                <w:lang w:val="sr-Latn-ME"/>
              </w:rPr>
              <w:t>liječenja</w:t>
            </w:r>
            <w:r w:rsidRPr="008C5396">
              <w:rPr>
                <w:bCs/>
                <w:sz w:val="22"/>
                <w:szCs w:val="22"/>
                <w:lang w:val="sr-Latn-ME"/>
              </w:rPr>
              <w:t xml:space="preserve"> iznosi 5 - 10 dana; </w:t>
            </w:r>
            <w:r w:rsidR="00D718CE" w:rsidRPr="008C5396">
              <w:rPr>
                <w:bCs/>
                <w:sz w:val="22"/>
                <w:szCs w:val="22"/>
                <w:lang w:val="sr-Latn-ME"/>
              </w:rPr>
              <w:t>liječenje</w:t>
            </w:r>
            <w:r w:rsidRPr="008C5396">
              <w:rPr>
                <w:bCs/>
                <w:sz w:val="22"/>
                <w:szCs w:val="22"/>
                <w:lang w:val="sr-Latn-ME"/>
              </w:rPr>
              <w:t xml:space="preserve"> se može nastaviti do 14 dana. </w:t>
            </w:r>
          </w:p>
        </w:tc>
      </w:tr>
    </w:tbl>
    <w:p w14:paraId="695E3B86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F1E7379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C5396">
        <w:rPr>
          <w:bCs/>
          <w:sz w:val="22"/>
          <w:szCs w:val="22"/>
          <w:u w:val="single"/>
          <w:lang w:val="sr-Latn-ME"/>
        </w:rPr>
        <w:t>Posebne populacije</w:t>
      </w:r>
    </w:p>
    <w:p w14:paraId="2E40C319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5895D45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8C5396">
        <w:rPr>
          <w:bCs/>
          <w:i/>
          <w:sz w:val="22"/>
          <w:szCs w:val="22"/>
          <w:lang w:val="sr-Latn-ME"/>
        </w:rPr>
        <w:t>Oštećenje funkcije bubrega</w:t>
      </w:r>
    </w:p>
    <w:p w14:paraId="01CBC29D" w14:textId="4E5DA25C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 xml:space="preserve">Pacijentima sa CrCl manjim od 90 </w:t>
      </w:r>
      <w:r w:rsidR="007903A3" w:rsidRPr="008C5396">
        <w:rPr>
          <w:bCs/>
          <w:sz w:val="22"/>
          <w:szCs w:val="22"/>
          <w:lang w:val="sr-Latn-ME"/>
        </w:rPr>
        <w:t>ml</w:t>
      </w:r>
      <w:r w:rsidRPr="008C5396">
        <w:rPr>
          <w:bCs/>
          <w:sz w:val="22"/>
          <w:szCs w:val="22"/>
          <w:lang w:val="sr-Latn-ME"/>
        </w:rPr>
        <w:t xml:space="preserve">/min potrebno je smanjiti dozu </w:t>
      </w:r>
      <w:r w:rsidR="00D718CE" w:rsidRPr="008C5396">
        <w:rPr>
          <w:bCs/>
          <w:sz w:val="22"/>
          <w:szCs w:val="22"/>
          <w:lang w:val="sr-Latn-ME"/>
        </w:rPr>
        <w:t>lijek</w:t>
      </w:r>
      <w:r w:rsidRPr="008C5396">
        <w:rPr>
          <w:bCs/>
          <w:sz w:val="22"/>
          <w:szCs w:val="22"/>
          <w:lang w:val="sr-Latn-ME"/>
        </w:rPr>
        <w:t>a RECARBRIO kako je navedeno u Tabeli 2. Kod pacijenata sa fluktuirajućom funkcijom bubrega potrebno je pratiti CrCl.</w:t>
      </w:r>
    </w:p>
    <w:p w14:paraId="00F5AA66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96C8B8" w14:textId="2C975852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5396">
        <w:rPr>
          <w:b/>
          <w:bCs/>
          <w:sz w:val="22"/>
          <w:szCs w:val="22"/>
          <w:lang w:val="sr-Latn-ME"/>
        </w:rPr>
        <w:t xml:space="preserve">Tabela 2: </w:t>
      </w:r>
      <w:r w:rsidR="007B2A33" w:rsidRPr="008C5396">
        <w:rPr>
          <w:b/>
          <w:bCs/>
          <w:sz w:val="22"/>
          <w:szCs w:val="22"/>
          <w:lang w:val="sr-Latn-ME"/>
        </w:rPr>
        <w:t>P</w:t>
      </w:r>
      <w:r w:rsidRPr="008C5396">
        <w:rPr>
          <w:b/>
          <w:bCs/>
          <w:sz w:val="22"/>
          <w:szCs w:val="22"/>
          <w:lang w:val="sr-Latn-ME"/>
        </w:rPr>
        <w:t xml:space="preserve">reporučene intravenske doze za pacijente sa CrCl &lt; 90 </w:t>
      </w:r>
      <w:r w:rsidR="007903A3" w:rsidRPr="008C5396">
        <w:rPr>
          <w:b/>
          <w:bCs/>
          <w:sz w:val="22"/>
          <w:szCs w:val="22"/>
          <w:lang w:val="sr-Latn-ME"/>
        </w:rPr>
        <w:t>ml</w:t>
      </w:r>
      <w:r w:rsidRPr="008C5396">
        <w:rPr>
          <w:b/>
          <w:bCs/>
          <w:sz w:val="22"/>
          <w:szCs w:val="22"/>
          <w:lang w:val="sr-Latn-ME"/>
        </w:rPr>
        <w:t>/min</w:t>
      </w:r>
    </w:p>
    <w:p w14:paraId="129F3E7D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4831"/>
      </w:tblGrid>
      <w:tr w:rsidR="00AE0251" w:rsidRPr="00234044" w14:paraId="070DEA07" w14:textId="77777777" w:rsidTr="00E17DF7">
        <w:trPr>
          <w:trHeight w:val="481"/>
        </w:trPr>
        <w:tc>
          <w:tcPr>
            <w:tcW w:w="2335" w:type="pct"/>
          </w:tcPr>
          <w:p w14:paraId="022D0D9E" w14:textId="6CC9B3E2" w:rsidR="00AE0251" w:rsidRPr="008C5396" w:rsidRDefault="00D718CE" w:rsidP="007B2A33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/>
                <w:bCs/>
                <w:sz w:val="22"/>
                <w:szCs w:val="22"/>
                <w:lang w:val="sr-Latn-ME"/>
              </w:rPr>
              <w:t>Procijenjeni</w:t>
            </w:r>
            <w:r w:rsidR="00AE0251" w:rsidRPr="008C5396">
              <w:rPr>
                <w:b/>
                <w:bCs/>
                <w:sz w:val="22"/>
                <w:szCs w:val="22"/>
                <w:lang w:val="sr-Latn-ME"/>
              </w:rPr>
              <w:t xml:space="preserve"> klirens kreatinina (</w:t>
            </w:r>
            <w:r w:rsidR="007903A3" w:rsidRPr="008C5396">
              <w:rPr>
                <w:b/>
                <w:bCs/>
                <w:sz w:val="22"/>
                <w:szCs w:val="22"/>
                <w:lang w:val="sr-Latn-ME"/>
              </w:rPr>
              <w:t>ml</w:t>
            </w:r>
            <w:r w:rsidR="00AE0251" w:rsidRPr="008C5396">
              <w:rPr>
                <w:b/>
                <w:bCs/>
                <w:sz w:val="22"/>
                <w:szCs w:val="22"/>
                <w:lang w:val="sr-Latn-ME"/>
              </w:rPr>
              <w:t>/min)*</w:t>
            </w:r>
          </w:p>
        </w:tc>
        <w:tc>
          <w:tcPr>
            <w:tcW w:w="2665" w:type="pct"/>
          </w:tcPr>
          <w:p w14:paraId="15700F76" w14:textId="1106CC22" w:rsidR="00AE0251" w:rsidRPr="008C5396" w:rsidRDefault="00AE0251" w:rsidP="007B2A33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/>
                <w:bCs/>
                <w:sz w:val="22"/>
                <w:szCs w:val="22"/>
                <w:lang w:val="sr-Latn-ME"/>
              </w:rPr>
              <w:t xml:space="preserve">Preporučena doza </w:t>
            </w:r>
            <w:r w:rsidR="00D718CE" w:rsidRPr="008C5396">
              <w:rPr>
                <w:b/>
                <w:bCs/>
                <w:sz w:val="22"/>
                <w:szCs w:val="22"/>
                <w:lang w:val="sr-Latn-ME"/>
              </w:rPr>
              <w:t>lijek</w:t>
            </w:r>
            <w:r w:rsidRPr="008C5396">
              <w:rPr>
                <w:b/>
                <w:bCs/>
                <w:sz w:val="22"/>
                <w:szCs w:val="22"/>
                <w:lang w:val="sr-Latn-ME"/>
              </w:rPr>
              <w:t>a RECARBRIO (</w:t>
            </w:r>
            <w:r w:rsidR="007903A3" w:rsidRPr="008C5396">
              <w:rPr>
                <w:b/>
                <w:bCs/>
                <w:sz w:val="22"/>
                <w:szCs w:val="22"/>
                <w:lang w:val="sr-Latn-ME"/>
              </w:rPr>
              <w:t>imipenem, cilastatin, relebaktam</w:t>
            </w:r>
            <w:r w:rsidRPr="008C5396">
              <w:rPr>
                <w:b/>
                <w:bCs/>
                <w:sz w:val="22"/>
                <w:szCs w:val="22"/>
                <w:lang w:val="sr-Latn-ME"/>
              </w:rPr>
              <w:t>) (mg)</w:t>
            </w:r>
            <w:r w:rsidRPr="008C5396">
              <w:rPr>
                <w:bCs/>
                <w:sz w:val="22"/>
                <w:szCs w:val="22"/>
                <w:vertAlign w:val="superscript"/>
                <w:lang w:val="sr-Latn-ME"/>
              </w:rPr>
              <w:t>†</w:t>
            </w:r>
          </w:p>
        </w:tc>
      </w:tr>
      <w:tr w:rsidR="00AE0251" w:rsidRPr="00234044" w14:paraId="0C5E9AB8" w14:textId="77777777" w:rsidTr="00E17DF7">
        <w:trPr>
          <w:trHeight w:val="234"/>
        </w:trPr>
        <w:tc>
          <w:tcPr>
            <w:tcW w:w="2335" w:type="pct"/>
          </w:tcPr>
          <w:p w14:paraId="3BD7D5F3" w14:textId="77777777" w:rsidR="00AE0251" w:rsidRPr="008C5396" w:rsidRDefault="00AE0251" w:rsidP="007B2A33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Manje od 90 do veće ili jednako 60</w:t>
            </w:r>
          </w:p>
        </w:tc>
        <w:tc>
          <w:tcPr>
            <w:tcW w:w="2665" w:type="pct"/>
          </w:tcPr>
          <w:p w14:paraId="6237A916" w14:textId="77777777" w:rsidR="00AE0251" w:rsidRPr="008C5396" w:rsidRDefault="00AE0251" w:rsidP="007B2A33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400/400/200</w:t>
            </w:r>
          </w:p>
        </w:tc>
      </w:tr>
      <w:tr w:rsidR="00AE0251" w:rsidRPr="00234044" w14:paraId="153DC4C0" w14:textId="77777777" w:rsidTr="00E17DF7">
        <w:trPr>
          <w:trHeight w:val="249"/>
        </w:trPr>
        <w:tc>
          <w:tcPr>
            <w:tcW w:w="2335" w:type="pct"/>
          </w:tcPr>
          <w:p w14:paraId="246243A3" w14:textId="77777777" w:rsidR="00AE0251" w:rsidRPr="008C5396" w:rsidRDefault="00AE0251" w:rsidP="007B2A33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Manje od 60 do veće ili jednako 30</w:t>
            </w:r>
          </w:p>
        </w:tc>
        <w:tc>
          <w:tcPr>
            <w:tcW w:w="2665" w:type="pct"/>
          </w:tcPr>
          <w:p w14:paraId="68C97FEE" w14:textId="77777777" w:rsidR="00AE0251" w:rsidRPr="008C5396" w:rsidRDefault="00AE0251" w:rsidP="007B2A33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300/300/150</w:t>
            </w:r>
          </w:p>
        </w:tc>
      </w:tr>
      <w:tr w:rsidR="00AE0251" w:rsidRPr="00234044" w14:paraId="7BB3C7F0" w14:textId="77777777" w:rsidTr="00E17DF7">
        <w:trPr>
          <w:trHeight w:val="234"/>
        </w:trPr>
        <w:tc>
          <w:tcPr>
            <w:tcW w:w="2335" w:type="pct"/>
          </w:tcPr>
          <w:p w14:paraId="7DB1B3D1" w14:textId="77777777" w:rsidR="00AE0251" w:rsidRPr="008C5396" w:rsidRDefault="00AE0251" w:rsidP="007B2A33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Manje od 30 do veće ili jednako 15</w:t>
            </w:r>
          </w:p>
        </w:tc>
        <w:tc>
          <w:tcPr>
            <w:tcW w:w="2665" w:type="pct"/>
          </w:tcPr>
          <w:p w14:paraId="254C505D" w14:textId="77777777" w:rsidR="00AE0251" w:rsidRPr="008C5396" w:rsidRDefault="00AE0251" w:rsidP="007B2A33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200/200/100</w:t>
            </w:r>
          </w:p>
        </w:tc>
      </w:tr>
      <w:tr w:rsidR="00AE0251" w:rsidRPr="00234044" w14:paraId="3EFEA306" w14:textId="77777777" w:rsidTr="00E17DF7">
        <w:trPr>
          <w:trHeight w:val="460"/>
        </w:trPr>
        <w:tc>
          <w:tcPr>
            <w:tcW w:w="2335" w:type="pct"/>
          </w:tcPr>
          <w:p w14:paraId="3B0A3F52" w14:textId="77777777" w:rsidR="00AE0251" w:rsidRPr="008C5396" w:rsidRDefault="00AE0251" w:rsidP="007B2A33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Završni stadijum bubrežne bolesti uz</w:t>
            </w:r>
          </w:p>
          <w:p w14:paraId="132BED75" w14:textId="77777777" w:rsidR="00AE0251" w:rsidRPr="008C5396" w:rsidRDefault="00AE0251" w:rsidP="007B2A33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 xml:space="preserve">hemodijalizu (engl. </w:t>
            </w:r>
            <w:r w:rsidRPr="008C5396">
              <w:rPr>
                <w:bCs/>
                <w:i/>
                <w:sz w:val="22"/>
                <w:szCs w:val="22"/>
                <w:lang w:val="sr-Latn-ME"/>
              </w:rPr>
              <w:t>E</w:t>
            </w:r>
            <w:r w:rsidRPr="008C5396">
              <w:rPr>
                <w:bCs/>
                <w:i/>
                <w:iCs/>
                <w:sz w:val="22"/>
                <w:szCs w:val="22"/>
                <w:lang w:val="sr-Latn-ME"/>
              </w:rPr>
              <w:t>nd Stage Renal Disease</w:t>
            </w:r>
            <w:r w:rsidRPr="008C5396">
              <w:rPr>
                <w:bCs/>
                <w:sz w:val="22"/>
                <w:szCs w:val="22"/>
                <w:lang w:val="sr-Latn-ME"/>
              </w:rPr>
              <w:t>,  ESRD)</w:t>
            </w:r>
            <w:r w:rsidRPr="008C5396">
              <w:rPr>
                <w:bCs/>
                <w:sz w:val="22"/>
                <w:szCs w:val="22"/>
                <w:vertAlign w:val="superscript"/>
                <w:lang w:val="sr-Latn-ME"/>
              </w:rPr>
              <w:t>‡</w:t>
            </w:r>
          </w:p>
        </w:tc>
        <w:tc>
          <w:tcPr>
            <w:tcW w:w="2665" w:type="pct"/>
          </w:tcPr>
          <w:p w14:paraId="17414B9E" w14:textId="77777777" w:rsidR="00AE0251" w:rsidRPr="008C5396" w:rsidRDefault="00AE0251" w:rsidP="007B2A33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200/200/100</w:t>
            </w:r>
          </w:p>
        </w:tc>
      </w:tr>
      <w:tr w:rsidR="00AE0251" w:rsidRPr="00234044" w14:paraId="17857174" w14:textId="77777777" w:rsidTr="00E17DF7">
        <w:trPr>
          <w:trHeight w:val="1379"/>
        </w:trPr>
        <w:tc>
          <w:tcPr>
            <w:tcW w:w="5000" w:type="pct"/>
            <w:gridSpan w:val="2"/>
          </w:tcPr>
          <w:p w14:paraId="49C0E09D" w14:textId="77777777" w:rsidR="00AE0251" w:rsidRPr="008C5396" w:rsidRDefault="00AE0251" w:rsidP="007B2A33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 xml:space="preserve">*CrCl izračunat </w:t>
            </w:r>
            <w:r w:rsidRPr="008C5396">
              <w:rPr>
                <w:bCs/>
                <w:i/>
                <w:sz w:val="22"/>
                <w:szCs w:val="22"/>
                <w:lang w:val="sr-Latn-ME"/>
              </w:rPr>
              <w:t>Cockcroft-Gault</w:t>
            </w:r>
            <w:r w:rsidRPr="008C5396">
              <w:rPr>
                <w:bCs/>
                <w:sz w:val="22"/>
                <w:szCs w:val="22"/>
                <w:lang w:val="sr-Latn-ME"/>
              </w:rPr>
              <w:t xml:space="preserve"> formulom.</w:t>
            </w:r>
          </w:p>
          <w:p w14:paraId="0775D329" w14:textId="214564FE" w:rsidR="00AE0251" w:rsidRPr="008C5396" w:rsidRDefault="00AE0251" w:rsidP="007B2A33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vertAlign w:val="superscript"/>
                <w:lang w:val="sr-Latn-ME"/>
              </w:rPr>
              <w:t>†</w:t>
            </w:r>
            <w:r w:rsidRPr="008C5396">
              <w:rPr>
                <w:bCs/>
                <w:sz w:val="22"/>
                <w:szCs w:val="22"/>
                <w:lang w:val="sr-Latn-ME"/>
              </w:rPr>
              <w:t>Prim</w:t>
            </w:r>
            <w:r w:rsidR="00D718CE" w:rsidRPr="008C5396">
              <w:rPr>
                <w:bCs/>
                <w:sz w:val="22"/>
                <w:szCs w:val="22"/>
                <w:lang w:val="sr-Latn-ME"/>
              </w:rPr>
              <w:t>ij</w:t>
            </w:r>
            <w:r w:rsidRPr="008C5396">
              <w:rPr>
                <w:bCs/>
                <w:sz w:val="22"/>
                <w:szCs w:val="22"/>
                <w:lang w:val="sr-Latn-ME"/>
              </w:rPr>
              <w:t>enjena intravenski tokom 30 minuta svakih 6 sati.</w:t>
            </w:r>
          </w:p>
          <w:p w14:paraId="4E32837E" w14:textId="314B2E1D" w:rsidR="00AE0251" w:rsidRPr="008C5396" w:rsidRDefault="00AE0251" w:rsidP="007B2A33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vertAlign w:val="superscript"/>
                <w:lang w:val="sr-Latn-ME"/>
              </w:rPr>
              <w:t>‡</w:t>
            </w:r>
            <w:r w:rsidRPr="008C5396">
              <w:rPr>
                <w:bCs/>
                <w:sz w:val="22"/>
                <w:szCs w:val="22"/>
                <w:lang w:val="sr-Latn-ME"/>
              </w:rPr>
              <w:t>L</w:t>
            </w:r>
            <w:r w:rsidR="00D718CE" w:rsidRPr="008C5396">
              <w:rPr>
                <w:bCs/>
                <w:sz w:val="22"/>
                <w:szCs w:val="22"/>
                <w:lang w:val="sr-Latn-ME"/>
              </w:rPr>
              <w:t>ij</w:t>
            </w:r>
            <w:r w:rsidRPr="008C5396">
              <w:rPr>
                <w:bCs/>
                <w:sz w:val="22"/>
                <w:szCs w:val="22"/>
                <w:lang w:val="sr-Latn-ME"/>
              </w:rPr>
              <w:t>ek je potrebno prim</w:t>
            </w:r>
            <w:r w:rsidR="00D718CE" w:rsidRPr="008C5396">
              <w:rPr>
                <w:bCs/>
                <w:sz w:val="22"/>
                <w:szCs w:val="22"/>
                <w:lang w:val="sr-Latn-ME"/>
              </w:rPr>
              <w:t>ij</w:t>
            </w:r>
            <w:r w:rsidRPr="008C5396">
              <w:rPr>
                <w:bCs/>
                <w:sz w:val="22"/>
                <w:szCs w:val="22"/>
                <w:lang w:val="sr-Latn-ME"/>
              </w:rPr>
              <w:t>eniti nakon hemodijalize. Imipenem, cilastatin i relebaktam se uklanjaju iz cirkulacije hemodijalizom.</w:t>
            </w:r>
          </w:p>
          <w:p w14:paraId="02EB4A13" w14:textId="3AD08C15" w:rsidR="00AE0251" w:rsidRPr="008C5396" w:rsidRDefault="00AE0251" w:rsidP="007B2A33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C5396">
              <w:rPr>
                <w:bCs/>
                <w:sz w:val="22"/>
                <w:szCs w:val="22"/>
                <w:lang w:val="sr-Latn-ME"/>
              </w:rPr>
              <w:t>L</w:t>
            </w:r>
            <w:r w:rsidR="00D718CE" w:rsidRPr="008C5396">
              <w:rPr>
                <w:bCs/>
                <w:sz w:val="22"/>
                <w:szCs w:val="22"/>
                <w:lang w:val="sr-Latn-ME"/>
              </w:rPr>
              <w:t>ij</w:t>
            </w:r>
            <w:r w:rsidRPr="008C5396">
              <w:rPr>
                <w:bCs/>
                <w:sz w:val="22"/>
                <w:szCs w:val="22"/>
                <w:lang w:val="sr-Latn-ME"/>
              </w:rPr>
              <w:t>ek RECARBRIO je u obliku kombinacije fiksnih doza u jednoj bočici; tokom pripreme l</w:t>
            </w:r>
            <w:r w:rsidR="00D718CE" w:rsidRPr="008C5396">
              <w:rPr>
                <w:bCs/>
                <w:sz w:val="22"/>
                <w:szCs w:val="22"/>
                <w:lang w:val="sr-Latn-ME"/>
              </w:rPr>
              <w:t>ij</w:t>
            </w:r>
            <w:r w:rsidRPr="008C5396">
              <w:rPr>
                <w:bCs/>
                <w:sz w:val="22"/>
                <w:szCs w:val="22"/>
                <w:lang w:val="sr-Latn-ME"/>
              </w:rPr>
              <w:t>eka jednako će se prilagoditi doza svake supstance (</w:t>
            </w:r>
            <w:r w:rsidR="00D718CE" w:rsidRPr="008C5396">
              <w:rPr>
                <w:bCs/>
                <w:sz w:val="22"/>
                <w:szCs w:val="22"/>
                <w:lang w:val="sr-Latn-ME"/>
              </w:rPr>
              <w:t>vidjeti</w:t>
            </w:r>
            <w:r w:rsidRPr="008C5396">
              <w:rPr>
                <w:bCs/>
                <w:sz w:val="22"/>
                <w:szCs w:val="22"/>
                <w:lang w:val="sr-Latn-ME"/>
              </w:rPr>
              <w:t xml:space="preserve"> </w:t>
            </w:r>
            <w:r w:rsidR="007B2A33" w:rsidRPr="008C5396">
              <w:rPr>
                <w:bCs/>
                <w:sz w:val="22"/>
                <w:szCs w:val="22"/>
                <w:lang w:val="sr-Latn-ME"/>
              </w:rPr>
              <w:t xml:space="preserve">dio </w:t>
            </w:r>
            <w:r w:rsidRPr="008C5396">
              <w:rPr>
                <w:bCs/>
                <w:sz w:val="22"/>
                <w:szCs w:val="22"/>
                <w:lang w:val="sr-Latn-ME"/>
              </w:rPr>
              <w:t>6.6).</w:t>
            </w:r>
          </w:p>
        </w:tc>
      </w:tr>
    </w:tbl>
    <w:p w14:paraId="755E2B9B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BBE08E" w14:textId="4CD1DE89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 xml:space="preserve">Pacijenti sa CrCl manjim od 15 </w:t>
      </w:r>
      <w:r w:rsidR="007903A3" w:rsidRPr="008C5396">
        <w:rPr>
          <w:bCs/>
          <w:sz w:val="22"/>
          <w:szCs w:val="22"/>
          <w:lang w:val="sr-Latn-ME"/>
        </w:rPr>
        <w:t>ml</w:t>
      </w:r>
      <w:r w:rsidRPr="008C5396">
        <w:rPr>
          <w:bCs/>
          <w:sz w:val="22"/>
          <w:szCs w:val="22"/>
          <w:lang w:val="sr-Latn-ME"/>
        </w:rPr>
        <w:t xml:space="preserve">/min ne smeju da primaju </w:t>
      </w:r>
      <w:r w:rsidR="00D718CE" w:rsidRPr="008C5396">
        <w:rPr>
          <w:bCs/>
          <w:sz w:val="22"/>
          <w:szCs w:val="22"/>
          <w:lang w:val="sr-Latn-ME"/>
        </w:rPr>
        <w:t>lijek</w:t>
      </w:r>
      <w:r w:rsidRPr="008C5396">
        <w:rPr>
          <w:bCs/>
          <w:sz w:val="22"/>
          <w:szCs w:val="22"/>
          <w:lang w:val="sr-Latn-ME"/>
        </w:rPr>
        <w:t xml:space="preserve"> RECARBRIO osim ako se tokom 48 sati ne sprovede hemodijaliza. Nema dovoljno podataka da bi se preporučila prim</w:t>
      </w:r>
      <w:r w:rsidR="0022431E" w:rsidRPr="008C5396">
        <w:rPr>
          <w:bCs/>
          <w:sz w:val="22"/>
          <w:szCs w:val="22"/>
          <w:lang w:val="sr-Latn-ME"/>
        </w:rPr>
        <w:t>j</w:t>
      </w:r>
      <w:r w:rsidRPr="008C5396">
        <w:rPr>
          <w:bCs/>
          <w:sz w:val="22"/>
          <w:szCs w:val="22"/>
          <w:lang w:val="sr-Latn-ME"/>
        </w:rPr>
        <w:t xml:space="preserve">ena </w:t>
      </w:r>
      <w:r w:rsidR="00D718CE" w:rsidRPr="008C5396">
        <w:rPr>
          <w:bCs/>
          <w:sz w:val="22"/>
          <w:szCs w:val="22"/>
          <w:lang w:val="sr-Latn-ME"/>
        </w:rPr>
        <w:t>lijek</w:t>
      </w:r>
      <w:r w:rsidRPr="008C5396">
        <w:rPr>
          <w:bCs/>
          <w:sz w:val="22"/>
          <w:szCs w:val="22"/>
          <w:lang w:val="sr-Latn-ME"/>
        </w:rPr>
        <w:t>a RECARBRIO kod pacijenata na peritonealnoj dijalizi.</w:t>
      </w:r>
    </w:p>
    <w:p w14:paraId="1AA27C2F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682CD52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8C5396">
        <w:rPr>
          <w:bCs/>
          <w:i/>
          <w:sz w:val="22"/>
          <w:szCs w:val="22"/>
          <w:lang w:val="sr-Latn-ME"/>
        </w:rPr>
        <w:t>Oštećenje funkcije jetre</w:t>
      </w:r>
    </w:p>
    <w:p w14:paraId="430BB01C" w14:textId="367FED74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>Nije potrebno prilagođavati dozu kod pacijenata sa oštećenom funkcijom jetre (</w:t>
      </w:r>
      <w:r w:rsidR="00D718CE" w:rsidRPr="008C5396">
        <w:rPr>
          <w:bCs/>
          <w:sz w:val="22"/>
          <w:szCs w:val="22"/>
          <w:lang w:val="sr-Latn-ME"/>
        </w:rPr>
        <w:t>vidjeti</w:t>
      </w:r>
      <w:r w:rsidRPr="008C5396">
        <w:rPr>
          <w:bCs/>
          <w:sz w:val="22"/>
          <w:szCs w:val="22"/>
          <w:lang w:val="sr-Latn-ME"/>
        </w:rPr>
        <w:t xml:space="preserve"> </w:t>
      </w:r>
      <w:r w:rsidR="007B2A33" w:rsidRPr="008C5396">
        <w:rPr>
          <w:bCs/>
          <w:sz w:val="22"/>
          <w:szCs w:val="22"/>
          <w:lang w:val="sr-Latn-ME"/>
        </w:rPr>
        <w:t xml:space="preserve">dio </w:t>
      </w:r>
      <w:r w:rsidRPr="008C5396">
        <w:rPr>
          <w:bCs/>
          <w:sz w:val="22"/>
          <w:szCs w:val="22"/>
          <w:lang w:val="sr-Latn-ME"/>
        </w:rPr>
        <w:t>5.2).</w:t>
      </w:r>
    </w:p>
    <w:p w14:paraId="326FFC89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37EFDC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8C5396">
        <w:rPr>
          <w:bCs/>
          <w:i/>
          <w:sz w:val="22"/>
          <w:szCs w:val="22"/>
          <w:lang w:val="sr-Latn-ME"/>
        </w:rPr>
        <w:lastRenderedPageBreak/>
        <w:t>Starije osobe</w:t>
      </w:r>
    </w:p>
    <w:p w14:paraId="35F98777" w14:textId="296F555E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>Nije potrebno prilagođavati dozu kod starijih pacijenata (</w:t>
      </w:r>
      <w:r w:rsidR="00D718CE" w:rsidRPr="008C5396">
        <w:rPr>
          <w:bCs/>
          <w:sz w:val="22"/>
          <w:szCs w:val="22"/>
          <w:lang w:val="sr-Latn-ME"/>
        </w:rPr>
        <w:t>vidjeti</w:t>
      </w:r>
      <w:r w:rsidRPr="008C5396">
        <w:rPr>
          <w:bCs/>
          <w:sz w:val="22"/>
          <w:szCs w:val="22"/>
          <w:lang w:val="sr-Latn-ME"/>
        </w:rPr>
        <w:t xml:space="preserve"> </w:t>
      </w:r>
      <w:r w:rsidR="007B2A33" w:rsidRPr="008C5396">
        <w:rPr>
          <w:bCs/>
          <w:sz w:val="22"/>
          <w:szCs w:val="22"/>
          <w:lang w:val="sr-Latn-ME"/>
        </w:rPr>
        <w:t xml:space="preserve">dio </w:t>
      </w:r>
      <w:r w:rsidRPr="008C5396">
        <w:rPr>
          <w:bCs/>
          <w:sz w:val="22"/>
          <w:szCs w:val="22"/>
          <w:lang w:val="sr-Latn-ME"/>
        </w:rPr>
        <w:t>5.2).</w:t>
      </w:r>
    </w:p>
    <w:p w14:paraId="40CEB114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46C25BB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8C5396">
        <w:rPr>
          <w:bCs/>
          <w:i/>
          <w:sz w:val="22"/>
          <w:szCs w:val="22"/>
          <w:lang w:val="sr-Latn-ME"/>
        </w:rPr>
        <w:t>Pedijatrijska populacija</w:t>
      </w:r>
    </w:p>
    <w:p w14:paraId="53F04C20" w14:textId="2A5311BA" w:rsidR="00AE0251" w:rsidRPr="008C5396" w:rsidRDefault="00D718C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>Bezbjednost</w:t>
      </w:r>
      <w:r w:rsidR="00AE0251" w:rsidRPr="008C5396">
        <w:rPr>
          <w:bCs/>
          <w:sz w:val="22"/>
          <w:szCs w:val="22"/>
          <w:lang w:val="sr-Latn-ME"/>
        </w:rPr>
        <w:t xml:space="preserve"> i efikasnost imipenema/cilastatina/relebaktama kod </w:t>
      </w:r>
      <w:r w:rsidRPr="008C5396">
        <w:rPr>
          <w:bCs/>
          <w:sz w:val="22"/>
          <w:szCs w:val="22"/>
          <w:lang w:val="sr-Latn-ME"/>
        </w:rPr>
        <w:t>djece</w:t>
      </w:r>
      <w:r w:rsidR="00AE0251" w:rsidRPr="008C5396">
        <w:rPr>
          <w:bCs/>
          <w:sz w:val="22"/>
          <w:szCs w:val="22"/>
          <w:lang w:val="sr-Latn-ME"/>
        </w:rPr>
        <w:t xml:space="preserve"> i adolescenata </w:t>
      </w:r>
      <w:r w:rsidR="007903A3" w:rsidRPr="008C5396">
        <w:rPr>
          <w:bCs/>
          <w:sz w:val="22"/>
          <w:szCs w:val="22"/>
          <w:lang w:val="sr-Latn-ME"/>
        </w:rPr>
        <w:t>ml</w:t>
      </w:r>
      <w:r w:rsidR="00AE0251" w:rsidRPr="008C5396">
        <w:rPr>
          <w:bCs/>
          <w:sz w:val="22"/>
          <w:szCs w:val="22"/>
          <w:lang w:val="sr-Latn-ME"/>
        </w:rPr>
        <w:t xml:space="preserve">ađih od 18 godina </w:t>
      </w:r>
      <w:r w:rsidR="007E1A5B" w:rsidRPr="008C5396">
        <w:rPr>
          <w:bCs/>
          <w:sz w:val="22"/>
          <w:szCs w:val="22"/>
          <w:lang w:val="sr-Latn-ME"/>
        </w:rPr>
        <w:t>nijesu</w:t>
      </w:r>
      <w:r w:rsidR="00AE0251" w:rsidRPr="008C5396">
        <w:rPr>
          <w:bCs/>
          <w:sz w:val="22"/>
          <w:szCs w:val="22"/>
          <w:lang w:val="sr-Latn-ME"/>
        </w:rPr>
        <w:t xml:space="preserve"> još ustanovljene. Nema dostupnih podataka.</w:t>
      </w:r>
    </w:p>
    <w:p w14:paraId="24D26691" w14:textId="36B59B3F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D9AC341" w14:textId="77777777" w:rsidR="00452E9D" w:rsidRPr="008C5396" w:rsidRDefault="00452E9D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C5396">
        <w:rPr>
          <w:bCs/>
          <w:sz w:val="22"/>
          <w:szCs w:val="22"/>
          <w:u w:val="single"/>
          <w:lang w:val="sr-Latn-ME"/>
        </w:rPr>
        <w:t>Način primjene</w:t>
      </w:r>
    </w:p>
    <w:p w14:paraId="48AA86C3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>Intravenska upotreba.</w:t>
      </w:r>
    </w:p>
    <w:p w14:paraId="5100D44F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DDC300" w14:textId="07BB960E" w:rsidR="00AE0251" w:rsidRPr="008C5396" w:rsidRDefault="00D718C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>Lijek</w:t>
      </w:r>
      <w:r w:rsidR="00AE0251" w:rsidRPr="008C5396">
        <w:rPr>
          <w:bCs/>
          <w:sz w:val="22"/>
          <w:szCs w:val="22"/>
          <w:lang w:val="sr-Latn-ME"/>
        </w:rPr>
        <w:t xml:space="preserve"> RECARBRIO se </w:t>
      </w:r>
      <w:r w:rsidRPr="008C5396">
        <w:rPr>
          <w:bCs/>
          <w:sz w:val="22"/>
          <w:szCs w:val="22"/>
          <w:lang w:val="sr-Latn-ME"/>
        </w:rPr>
        <w:t>primjenjuje</w:t>
      </w:r>
      <w:r w:rsidR="00AE0251" w:rsidRPr="008C5396">
        <w:rPr>
          <w:bCs/>
          <w:sz w:val="22"/>
          <w:szCs w:val="22"/>
          <w:lang w:val="sr-Latn-ME"/>
        </w:rPr>
        <w:t xml:space="preserve"> intravenskom infuzijom tokom 30 minuta.</w:t>
      </w:r>
    </w:p>
    <w:p w14:paraId="018EAAD9" w14:textId="77777777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3D041F" w14:textId="55955134" w:rsidR="00AE0251" w:rsidRPr="008C5396" w:rsidRDefault="00AE0251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>Pr</w:t>
      </w:r>
      <w:r w:rsidR="0022431E" w:rsidRPr="008C5396">
        <w:rPr>
          <w:bCs/>
          <w:sz w:val="22"/>
          <w:szCs w:val="22"/>
          <w:lang w:val="sr-Latn-ME"/>
        </w:rPr>
        <w:t>ij</w:t>
      </w:r>
      <w:r w:rsidRPr="008C5396">
        <w:rPr>
          <w:bCs/>
          <w:sz w:val="22"/>
          <w:szCs w:val="22"/>
          <w:lang w:val="sr-Latn-ME"/>
        </w:rPr>
        <w:t xml:space="preserve">e intravenske infuzije, </w:t>
      </w:r>
      <w:r w:rsidR="00D718CE" w:rsidRPr="008C5396">
        <w:rPr>
          <w:bCs/>
          <w:sz w:val="22"/>
          <w:szCs w:val="22"/>
          <w:lang w:val="sr-Latn-ME"/>
        </w:rPr>
        <w:t>lijek</w:t>
      </w:r>
      <w:r w:rsidRPr="008C5396">
        <w:rPr>
          <w:bCs/>
          <w:sz w:val="22"/>
          <w:szCs w:val="22"/>
          <w:lang w:val="sr-Latn-ME"/>
        </w:rPr>
        <w:t xml:space="preserve"> RECARBRIO se mora rekonstituisati (</w:t>
      </w:r>
      <w:r w:rsidR="00D718CE" w:rsidRPr="008C5396">
        <w:rPr>
          <w:bCs/>
          <w:sz w:val="22"/>
          <w:szCs w:val="22"/>
          <w:lang w:val="sr-Latn-ME"/>
        </w:rPr>
        <w:t>vidjeti</w:t>
      </w:r>
      <w:r w:rsidRPr="008C5396">
        <w:rPr>
          <w:bCs/>
          <w:sz w:val="22"/>
          <w:szCs w:val="22"/>
          <w:lang w:val="sr-Latn-ME"/>
        </w:rPr>
        <w:t xml:space="preserve"> </w:t>
      </w:r>
      <w:r w:rsidR="007B2A33" w:rsidRPr="008C5396">
        <w:rPr>
          <w:bCs/>
          <w:sz w:val="22"/>
          <w:szCs w:val="22"/>
          <w:lang w:val="sr-Latn-ME"/>
        </w:rPr>
        <w:t xml:space="preserve">dijelove </w:t>
      </w:r>
      <w:r w:rsidRPr="008C5396">
        <w:rPr>
          <w:bCs/>
          <w:sz w:val="22"/>
          <w:szCs w:val="22"/>
          <w:lang w:val="sr-Latn-ME"/>
        </w:rPr>
        <w:t>6.2, 6.3 i 6.6).</w:t>
      </w:r>
    </w:p>
    <w:p w14:paraId="5D9AC342" w14:textId="77777777" w:rsidR="00452E9D" w:rsidRPr="008C5396" w:rsidRDefault="00452E9D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43" w14:textId="77777777" w:rsidR="00411B4B" w:rsidRPr="008C5396" w:rsidRDefault="00411B4B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5396">
        <w:rPr>
          <w:b/>
          <w:bCs/>
          <w:sz w:val="22"/>
          <w:szCs w:val="22"/>
          <w:lang w:val="sr-Latn-ME"/>
        </w:rPr>
        <w:t xml:space="preserve">4.3. </w:t>
      </w:r>
      <w:r w:rsidR="00480FB1" w:rsidRPr="008C5396">
        <w:rPr>
          <w:b/>
          <w:bCs/>
          <w:sz w:val="22"/>
          <w:szCs w:val="22"/>
          <w:lang w:val="sr-Latn-ME"/>
        </w:rPr>
        <w:tab/>
      </w:r>
      <w:r w:rsidRPr="008C5396">
        <w:rPr>
          <w:b/>
          <w:bCs/>
          <w:sz w:val="22"/>
          <w:szCs w:val="22"/>
          <w:lang w:val="sr-Latn-ME"/>
        </w:rPr>
        <w:t>Kontraindikacije</w:t>
      </w:r>
    </w:p>
    <w:p w14:paraId="1F4E65A7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E4BD88" w14:textId="080D263B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>Preos</w:t>
      </w:r>
      <w:r w:rsidR="0022431E" w:rsidRPr="008C5396">
        <w:rPr>
          <w:bCs/>
          <w:sz w:val="22"/>
          <w:szCs w:val="22"/>
          <w:lang w:val="sr-Latn-ME"/>
        </w:rPr>
        <w:t>j</w:t>
      </w:r>
      <w:r w:rsidRPr="008C5396">
        <w:rPr>
          <w:bCs/>
          <w:sz w:val="22"/>
          <w:szCs w:val="22"/>
          <w:lang w:val="sr-Latn-ME"/>
        </w:rPr>
        <w:t>etljivost na aktivne supstance ili na bilo koju od pomoćnih supstanci navedenih u odeljku 6.1.</w:t>
      </w:r>
    </w:p>
    <w:p w14:paraId="5F47CAFE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436224" w14:textId="27AC54EE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>Preos</w:t>
      </w:r>
      <w:r w:rsidR="0022431E" w:rsidRPr="008C5396">
        <w:rPr>
          <w:bCs/>
          <w:sz w:val="22"/>
          <w:szCs w:val="22"/>
          <w:lang w:val="sr-Latn-ME"/>
        </w:rPr>
        <w:t>j</w:t>
      </w:r>
      <w:r w:rsidRPr="008C5396">
        <w:rPr>
          <w:bCs/>
          <w:sz w:val="22"/>
          <w:szCs w:val="22"/>
          <w:lang w:val="sr-Latn-ME"/>
        </w:rPr>
        <w:t xml:space="preserve">etljivost na bilo koji drugi antibakterijski </w:t>
      </w:r>
      <w:r w:rsidR="00D718CE" w:rsidRPr="008C5396">
        <w:rPr>
          <w:bCs/>
          <w:sz w:val="22"/>
          <w:szCs w:val="22"/>
          <w:lang w:val="sr-Latn-ME"/>
        </w:rPr>
        <w:t>lijek</w:t>
      </w:r>
      <w:r w:rsidRPr="008C5396">
        <w:rPr>
          <w:bCs/>
          <w:sz w:val="22"/>
          <w:szCs w:val="22"/>
          <w:lang w:val="sr-Latn-ME"/>
        </w:rPr>
        <w:t xml:space="preserve"> iz grupe karbapenema.</w:t>
      </w:r>
    </w:p>
    <w:p w14:paraId="4E062067" w14:textId="77777777" w:rsidR="007B2A33" w:rsidRPr="008C5396" w:rsidRDefault="007B2A33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18E030" w14:textId="512ACFEF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>Teška preos</w:t>
      </w:r>
      <w:r w:rsidR="0022431E" w:rsidRPr="008C5396">
        <w:rPr>
          <w:bCs/>
          <w:sz w:val="22"/>
          <w:szCs w:val="22"/>
          <w:lang w:val="sr-Latn-ME"/>
        </w:rPr>
        <w:t>j</w:t>
      </w:r>
      <w:r w:rsidRPr="008C5396">
        <w:rPr>
          <w:bCs/>
          <w:sz w:val="22"/>
          <w:szCs w:val="22"/>
          <w:lang w:val="sr-Latn-ME"/>
        </w:rPr>
        <w:t xml:space="preserve">etljivost (npr. anafilaktička reakcija, teška reakcija na koži) na bilo koju drugu vrstu antibakterijskih </w:t>
      </w:r>
      <w:r w:rsidR="00816A5C" w:rsidRPr="008C5396">
        <w:rPr>
          <w:bCs/>
          <w:sz w:val="22"/>
          <w:szCs w:val="22"/>
          <w:lang w:val="sr-Latn-ME"/>
        </w:rPr>
        <w:t>ljekov</w:t>
      </w:r>
      <w:r w:rsidRPr="008C5396">
        <w:rPr>
          <w:bCs/>
          <w:sz w:val="22"/>
          <w:szCs w:val="22"/>
          <w:lang w:val="sr-Latn-ME"/>
        </w:rPr>
        <w:t>a iz grupe beta laktama (npr. peniciline, cefalosporine ili monobaktame) (</w:t>
      </w:r>
      <w:r w:rsidR="00D718CE" w:rsidRPr="008C5396">
        <w:rPr>
          <w:bCs/>
          <w:sz w:val="22"/>
          <w:szCs w:val="22"/>
          <w:lang w:val="sr-Latn-ME"/>
        </w:rPr>
        <w:t>vidjeti</w:t>
      </w:r>
      <w:r w:rsidRPr="008C5396">
        <w:rPr>
          <w:bCs/>
          <w:sz w:val="22"/>
          <w:szCs w:val="22"/>
          <w:lang w:val="sr-Latn-ME"/>
        </w:rPr>
        <w:t xml:space="preserve"> </w:t>
      </w:r>
      <w:r w:rsidR="007B2A33" w:rsidRPr="008C5396">
        <w:rPr>
          <w:bCs/>
          <w:sz w:val="22"/>
          <w:szCs w:val="22"/>
          <w:lang w:val="sr-Latn-ME"/>
        </w:rPr>
        <w:t xml:space="preserve">dio </w:t>
      </w:r>
      <w:r w:rsidRPr="008C5396">
        <w:rPr>
          <w:bCs/>
          <w:sz w:val="22"/>
          <w:szCs w:val="22"/>
          <w:lang w:val="sr-Latn-ME"/>
        </w:rPr>
        <w:t>4.4).</w:t>
      </w:r>
    </w:p>
    <w:p w14:paraId="5D9AC344" w14:textId="77777777" w:rsidR="0072020E" w:rsidRPr="008C5396" w:rsidRDefault="0072020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45" w14:textId="77777777" w:rsidR="00411B4B" w:rsidRPr="008C5396" w:rsidRDefault="00411B4B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5396">
        <w:rPr>
          <w:b/>
          <w:bCs/>
          <w:sz w:val="22"/>
          <w:szCs w:val="22"/>
          <w:lang w:val="sr-Latn-ME"/>
        </w:rPr>
        <w:t xml:space="preserve">4.4. </w:t>
      </w:r>
      <w:r w:rsidR="00480FB1" w:rsidRPr="008C5396">
        <w:rPr>
          <w:b/>
          <w:bCs/>
          <w:sz w:val="22"/>
          <w:szCs w:val="22"/>
          <w:lang w:val="sr-Latn-ME"/>
        </w:rPr>
        <w:tab/>
      </w:r>
      <w:r w:rsidRPr="008C5396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5D9AC346" w14:textId="77777777" w:rsidR="0072020E" w:rsidRPr="008C5396" w:rsidRDefault="0072020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BD5AB1" w14:textId="35ACAE4E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C5396">
        <w:rPr>
          <w:sz w:val="22"/>
          <w:szCs w:val="22"/>
          <w:u w:val="single"/>
          <w:lang w:val="sr-Latn-ME"/>
        </w:rPr>
        <w:t xml:space="preserve">Reakcije </w:t>
      </w:r>
      <w:r w:rsidR="0022431E" w:rsidRPr="008C5396">
        <w:rPr>
          <w:sz w:val="22"/>
          <w:szCs w:val="22"/>
          <w:u w:val="single"/>
          <w:lang w:val="sr-Latn-ME"/>
        </w:rPr>
        <w:t>preosjetljivost</w:t>
      </w:r>
      <w:r w:rsidRPr="008C5396">
        <w:rPr>
          <w:sz w:val="22"/>
          <w:szCs w:val="22"/>
          <w:u w:val="single"/>
          <w:lang w:val="sr-Latn-ME"/>
        </w:rPr>
        <w:t>i</w:t>
      </w:r>
    </w:p>
    <w:p w14:paraId="764D0CAB" w14:textId="613DA40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 xml:space="preserve">Kod pacijenata koji su primali beta laktame prijavljene su ozbiljne i u nekim slučajevima smrtonosne reakcije </w:t>
      </w:r>
      <w:r w:rsidR="0022431E" w:rsidRPr="008C5396">
        <w:rPr>
          <w:sz w:val="22"/>
          <w:szCs w:val="22"/>
          <w:lang w:val="sr-Latn-ME"/>
        </w:rPr>
        <w:t>preosjetljivost</w:t>
      </w:r>
      <w:r w:rsidRPr="008C5396">
        <w:rPr>
          <w:sz w:val="22"/>
          <w:szCs w:val="22"/>
          <w:lang w:val="sr-Latn-ME"/>
        </w:rPr>
        <w:t>i (anafilaktičke reakcije) (</w:t>
      </w:r>
      <w:r w:rsidR="00D718CE" w:rsidRPr="008C5396">
        <w:rPr>
          <w:sz w:val="22"/>
          <w:szCs w:val="22"/>
          <w:lang w:val="sr-Latn-ME"/>
        </w:rPr>
        <w:t>vidjeti</w:t>
      </w:r>
      <w:r w:rsidRPr="008C5396">
        <w:rPr>
          <w:sz w:val="22"/>
          <w:szCs w:val="22"/>
          <w:lang w:val="sr-Latn-ME"/>
        </w:rPr>
        <w:t xml:space="preserve"> </w:t>
      </w:r>
      <w:r w:rsidR="007B2A33" w:rsidRPr="008C5396">
        <w:rPr>
          <w:sz w:val="22"/>
          <w:szCs w:val="22"/>
          <w:lang w:val="sr-Latn-ME"/>
        </w:rPr>
        <w:t xml:space="preserve">dijelove </w:t>
      </w:r>
      <w:r w:rsidRPr="008C5396">
        <w:rPr>
          <w:sz w:val="22"/>
          <w:szCs w:val="22"/>
          <w:lang w:val="sr-Latn-ME"/>
        </w:rPr>
        <w:t>4.3 i 4.8).</w:t>
      </w:r>
    </w:p>
    <w:p w14:paraId="04EBEA32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9842D32" w14:textId="08B43504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 xml:space="preserve">Veća je verovatnoća pojave tih reakcija kod osoba koje u istoriji bolesti imaju </w:t>
      </w:r>
      <w:r w:rsidR="0022431E" w:rsidRPr="008C5396">
        <w:rPr>
          <w:sz w:val="22"/>
          <w:szCs w:val="22"/>
          <w:lang w:val="sr-Latn-ME"/>
        </w:rPr>
        <w:t>preosjetljivost</w:t>
      </w:r>
      <w:r w:rsidRPr="008C5396">
        <w:rPr>
          <w:sz w:val="22"/>
          <w:szCs w:val="22"/>
          <w:lang w:val="sr-Latn-ME"/>
        </w:rPr>
        <w:t xml:space="preserve"> na više alergena. Pr</w:t>
      </w:r>
      <w:r w:rsidR="00A46ACA" w:rsidRPr="008C5396">
        <w:rPr>
          <w:sz w:val="22"/>
          <w:szCs w:val="22"/>
          <w:lang w:val="sr-Latn-ME"/>
        </w:rPr>
        <w:t>ije</w:t>
      </w:r>
      <w:r w:rsidRPr="008C5396">
        <w:rPr>
          <w:sz w:val="22"/>
          <w:szCs w:val="22"/>
          <w:lang w:val="sr-Latn-ME"/>
        </w:rPr>
        <w:t xml:space="preserve"> početka </w:t>
      </w:r>
      <w:r w:rsidR="00D718CE" w:rsidRPr="008C5396">
        <w:rPr>
          <w:sz w:val="22"/>
          <w:szCs w:val="22"/>
          <w:lang w:val="sr-Latn-ME"/>
        </w:rPr>
        <w:t>liječenja</w:t>
      </w:r>
      <w:r w:rsidRPr="008C5396">
        <w:rPr>
          <w:sz w:val="22"/>
          <w:szCs w:val="22"/>
          <w:lang w:val="sr-Latn-ME"/>
        </w:rPr>
        <w:t xml:space="preserve"> </w:t>
      </w:r>
      <w:r w:rsidR="00D718CE" w:rsidRPr="008C5396">
        <w:rPr>
          <w:sz w:val="22"/>
          <w:szCs w:val="22"/>
          <w:lang w:val="sr-Latn-ME"/>
        </w:rPr>
        <w:t>lijek</w:t>
      </w:r>
      <w:r w:rsidRPr="008C5396">
        <w:rPr>
          <w:sz w:val="22"/>
          <w:szCs w:val="22"/>
          <w:lang w:val="sr-Latn-ME"/>
        </w:rPr>
        <w:t xml:space="preserve">om RECARBRIO potrebno je pažljivo istražiti prethodne reakcije </w:t>
      </w:r>
      <w:r w:rsidR="0022431E" w:rsidRPr="008C5396">
        <w:rPr>
          <w:sz w:val="22"/>
          <w:szCs w:val="22"/>
          <w:lang w:val="sr-Latn-ME"/>
        </w:rPr>
        <w:t>preosjetljivost</w:t>
      </w:r>
      <w:r w:rsidRPr="008C5396">
        <w:rPr>
          <w:sz w:val="22"/>
          <w:szCs w:val="22"/>
          <w:lang w:val="sr-Latn-ME"/>
        </w:rPr>
        <w:t>i na karbapeneme, peniciline, cefalosporine, druge beta laktame i druge alergene.</w:t>
      </w:r>
    </w:p>
    <w:p w14:paraId="0EC6B760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8759A0A" w14:textId="0B098489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 xml:space="preserve">Ako se pojavi alergijska reakcija na </w:t>
      </w:r>
      <w:r w:rsidR="00D718CE" w:rsidRPr="008C5396">
        <w:rPr>
          <w:sz w:val="22"/>
          <w:szCs w:val="22"/>
          <w:lang w:val="sr-Latn-ME"/>
        </w:rPr>
        <w:t>lijek</w:t>
      </w:r>
      <w:r w:rsidRPr="008C5396">
        <w:rPr>
          <w:sz w:val="22"/>
          <w:szCs w:val="22"/>
          <w:lang w:val="sr-Latn-ME"/>
        </w:rPr>
        <w:t xml:space="preserve"> RECARBRIO, </w:t>
      </w:r>
      <w:r w:rsidR="00D718CE" w:rsidRPr="008C5396">
        <w:rPr>
          <w:sz w:val="22"/>
          <w:szCs w:val="22"/>
          <w:lang w:val="sr-Latn-ME"/>
        </w:rPr>
        <w:t>liječenje</w:t>
      </w:r>
      <w:r w:rsidRPr="008C5396">
        <w:rPr>
          <w:sz w:val="22"/>
          <w:szCs w:val="22"/>
          <w:lang w:val="sr-Latn-ME"/>
        </w:rPr>
        <w:t xml:space="preserve"> </w:t>
      </w:r>
      <w:r w:rsidR="00D718CE" w:rsidRPr="008C5396">
        <w:rPr>
          <w:sz w:val="22"/>
          <w:szCs w:val="22"/>
          <w:lang w:val="sr-Latn-ME"/>
        </w:rPr>
        <w:t>lijek</w:t>
      </w:r>
      <w:r w:rsidRPr="008C5396">
        <w:rPr>
          <w:sz w:val="22"/>
          <w:szCs w:val="22"/>
          <w:lang w:val="sr-Latn-ME"/>
        </w:rPr>
        <w:t>om RECARBRIO mora odmah da se prekine. Ozbiljne anafilaktičke reakcije zahtevaju preduzimanje hitnih medicinskih m</w:t>
      </w:r>
      <w:r w:rsidR="0022431E" w:rsidRPr="008C5396">
        <w:rPr>
          <w:sz w:val="22"/>
          <w:szCs w:val="22"/>
          <w:lang w:val="sr-Latn-ME"/>
        </w:rPr>
        <w:t>j</w:t>
      </w:r>
      <w:r w:rsidRPr="008C5396">
        <w:rPr>
          <w:sz w:val="22"/>
          <w:szCs w:val="22"/>
          <w:lang w:val="sr-Latn-ME"/>
        </w:rPr>
        <w:t>era.</w:t>
      </w:r>
    </w:p>
    <w:p w14:paraId="52A36C5D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2811A01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C5396">
        <w:rPr>
          <w:sz w:val="22"/>
          <w:szCs w:val="22"/>
          <w:u w:val="single"/>
          <w:lang w:val="sr-Latn-ME"/>
        </w:rPr>
        <w:t>Funkcija jetre</w:t>
      </w:r>
    </w:p>
    <w:p w14:paraId="0DCF79A0" w14:textId="38959D16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 xml:space="preserve">Tokom </w:t>
      </w:r>
      <w:r w:rsidR="00D718CE" w:rsidRPr="008C5396">
        <w:rPr>
          <w:sz w:val="22"/>
          <w:szCs w:val="22"/>
          <w:lang w:val="sr-Latn-ME"/>
        </w:rPr>
        <w:t>liječenja</w:t>
      </w:r>
      <w:r w:rsidRPr="008C5396">
        <w:rPr>
          <w:sz w:val="22"/>
          <w:szCs w:val="22"/>
          <w:lang w:val="sr-Latn-ME"/>
        </w:rPr>
        <w:t xml:space="preserve"> </w:t>
      </w:r>
      <w:r w:rsidR="00D718CE" w:rsidRPr="008C5396">
        <w:rPr>
          <w:sz w:val="22"/>
          <w:szCs w:val="22"/>
          <w:lang w:val="sr-Latn-ME"/>
        </w:rPr>
        <w:t>lijek</w:t>
      </w:r>
      <w:r w:rsidRPr="008C5396">
        <w:rPr>
          <w:sz w:val="22"/>
          <w:szCs w:val="22"/>
          <w:lang w:val="sr-Latn-ME"/>
        </w:rPr>
        <w:t xml:space="preserve">om RECARBRIO potrebno je pažljivo pratiti funkciju jetre zbog rizika od pojave hepatotoksičnosti (poput povećanih </w:t>
      </w:r>
      <w:r w:rsidR="00D718CE" w:rsidRPr="008C5396">
        <w:rPr>
          <w:sz w:val="22"/>
          <w:szCs w:val="22"/>
          <w:lang w:val="sr-Latn-ME"/>
        </w:rPr>
        <w:t>vrijednost</w:t>
      </w:r>
      <w:r w:rsidRPr="008C5396">
        <w:rPr>
          <w:sz w:val="22"/>
          <w:szCs w:val="22"/>
          <w:lang w:val="sr-Latn-ME"/>
        </w:rPr>
        <w:t>i transaminaza, insuficijencije jetre i fulminantnog hepatitisa) (</w:t>
      </w:r>
      <w:r w:rsidR="00D718CE" w:rsidRPr="008C5396">
        <w:rPr>
          <w:sz w:val="22"/>
          <w:szCs w:val="22"/>
          <w:lang w:val="sr-Latn-ME"/>
        </w:rPr>
        <w:t>vidjeti</w:t>
      </w:r>
      <w:r w:rsidRPr="008C5396">
        <w:rPr>
          <w:sz w:val="22"/>
          <w:szCs w:val="22"/>
          <w:lang w:val="sr-Latn-ME"/>
        </w:rPr>
        <w:t xml:space="preserve"> </w:t>
      </w:r>
      <w:r w:rsidR="007B2A33" w:rsidRPr="008C5396">
        <w:rPr>
          <w:sz w:val="22"/>
          <w:szCs w:val="22"/>
          <w:lang w:val="sr-Latn-ME"/>
        </w:rPr>
        <w:t xml:space="preserve">dio </w:t>
      </w:r>
      <w:r w:rsidRPr="008C5396">
        <w:rPr>
          <w:sz w:val="22"/>
          <w:szCs w:val="22"/>
          <w:lang w:val="sr-Latn-ME"/>
        </w:rPr>
        <w:t>4.8).</w:t>
      </w:r>
    </w:p>
    <w:p w14:paraId="6B7999C2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30C8EE1" w14:textId="538AB02F" w:rsidR="00F85CD6" w:rsidRPr="008C5396" w:rsidRDefault="0022431E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>Primjena</w:t>
      </w:r>
      <w:r w:rsidR="00F85CD6" w:rsidRPr="008C5396">
        <w:rPr>
          <w:sz w:val="22"/>
          <w:szCs w:val="22"/>
          <w:lang w:val="sr-Latn-ME"/>
        </w:rPr>
        <w:t xml:space="preserve"> kod pacijenata sa oboljenjem jetre: kod pacijenata sa prethodno postojećim poremećajima jetre potrebno je pratiti funkciju jetre tokom </w:t>
      </w:r>
      <w:r w:rsidR="00D718CE" w:rsidRPr="008C5396">
        <w:rPr>
          <w:sz w:val="22"/>
          <w:szCs w:val="22"/>
          <w:lang w:val="sr-Latn-ME"/>
        </w:rPr>
        <w:t>liječenja</w:t>
      </w:r>
      <w:r w:rsidR="00F85CD6" w:rsidRPr="008C5396">
        <w:rPr>
          <w:sz w:val="22"/>
          <w:szCs w:val="22"/>
          <w:lang w:val="sr-Latn-ME"/>
        </w:rPr>
        <w:t xml:space="preserve"> </w:t>
      </w:r>
      <w:r w:rsidR="00D718CE" w:rsidRPr="008C5396">
        <w:rPr>
          <w:sz w:val="22"/>
          <w:szCs w:val="22"/>
          <w:lang w:val="sr-Latn-ME"/>
        </w:rPr>
        <w:t>lijek</w:t>
      </w:r>
      <w:r w:rsidR="00F85CD6" w:rsidRPr="008C5396">
        <w:rPr>
          <w:sz w:val="22"/>
          <w:szCs w:val="22"/>
          <w:lang w:val="sr-Latn-ME"/>
        </w:rPr>
        <w:t>om RECARBRIO. Nije potrebno prilagođavati dozu (</w:t>
      </w:r>
      <w:r w:rsidR="00D718CE" w:rsidRPr="008C5396">
        <w:rPr>
          <w:sz w:val="22"/>
          <w:szCs w:val="22"/>
          <w:lang w:val="sr-Latn-ME"/>
        </w:rPr>
        <w:t>vidjeti</w:t>
      </w:r>
      <w:r w:rsidR="00F85CD6" w:rsidRPr="008C5396">
        <w:rPr>
          <w:sz w:val="22"/>
          <w:szCs w:val="22"/>
          <w:lang w:val="sr-Latn-ME"/>
        </w:rPr>
        <w:t xml:space="preserve"> </w:t>
      </w:r>
      <w:r w:rsidR="007B2A33" w:rsidRPr="008C5396">
        <w:rPr>
          <w:sz w:val="22"/>
          <w:szCs w:val="22"/>
          <w:lang w:val="sr-Latn-ME"/>
        </w:rPr>
        <w:t xml:space="preserve">dio </w:t>
      </w:r>
      <w:r w:rsidR="00F85CD6" w:rsidRPr="008C5396">
        <w:rPr>
          <w:sz w:val="22"/>
          <w:szCs w:val="22"/>
          <w:lang w:val="sr-Latn-ME"/>
        </w:rPr>
        <w:t>4.2).</w:t>
      </w:r>
    </w:p>
    <w:p w14:paraId="03D21AB2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E56C0AF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C5396">
        <w:rPr>
          <w:sz w:val="22"/>
          <w:szCs w:val="22"/>
          <w:u w:val="single"/>
          <w:lang w:val="sr-Latn-ME"/>
        </w:rPr>
        <w:t>Centralni nervni sistem (CNS)</w:t>
      </w:r>
    </w:p>
    <w:p w14:paraId="512ABEE2" w14:textId="3496A7E2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 xml:space="preserve">Tokom </w:t>
      </w:r>
      <w:r w:rsidR="00D718CE" w:rsidRPr="008C5396">
        <w:rPr>
          <w:sz w:val="22"/>
          <w:szCs w:val="22"/>
          <w:lang w:val="sr-Latn-ME"/>
        </w:rPr>
        <w:t>liječenja</w:t>
      </w:r>
      <w:r w:rsidRPr="008C5396">
        <w:rPr>
          <w:sz w:val="22"/>
          <w:szCs w:val="22"/>
          <w:lang w:val="sr-Latn-ME"/>
        </w:rPr>
        <w:t xml:space="preserve"> imipenemom/cilastatinom, supstancama </w:t>
      </w:r>
      <w:r w:rsidR="00D718CE" w:rsidRPr="008C5396">
        <w:rPr>
          <w:sz w:val="22"/>
          <w:szCs w:val="22"/>
          <w:lang w:val="sr-Latn-ME"/>
        </w:rPr>
        <w:t>lijek</w:t>
      </w:r>
      <w:r w:rsidRPr="008C5396">
        <w:rPr>
          <w:sz w:val="22"/>
          <w:szCs w:val="22"/>
          <w:lang w:val="sr-Latn-ME"/>
        </w:rPr>
        <w:t>a RECARBRIO, prijavljene su neželjene reakcije u CNS-u, kao što su epileptični napadi, stanja konfuzije i mioklonska aktivnost, i to naročito kada su prekoračene preporučene doze imipenema. Te su neželjene reakcije najčešće prijavljene kod pacijenata sa poremećajima CNS-a (npr. moždanim lezijama ili epileptičnim napadima u istoriji bolesti) i/ili kompromitovanom funkcijom bubrega.</w:t>
      </w:r>
    </w:p>
    <w:p w14:paraId="6FE9BE9D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542770E" w14:textId="12B3469F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C5396">
        <w:rPr>
          <w:sz w:val="22"/>
          <w:szCs w:val="22"/>
          <w:u w:val="single"/>
          <w:lang w:val="sr-Latn-ME"/>
        </w:rPr>
        <w:t xml:space="preserve">Povećana mogućnost epileptičnih napada zbog interakcije sa valproinskom </w:t>
      </w:r>
      <w:r w:rsidR="00D718CE" w:rsidRPr="008C5396">
        <w:rPr>
          <w:sz w:val="22"/>
          <w:szCs w:val="22"/>
          <w:u w:val="single"/>
          <w:lang w:val="sr-Latn-ME"/>
        </w:rPr>
        <w:t>kisjelinom</w:t>
      </w:r>
    </w:p>
    <w:p w14:paraId="11DE5531" w14:textId="4E48B84D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>Ne preporučuje se isto</w:t>
      </w:r>
      <w:r w:rsidR="00D718CE" w:rsidRPr="008C5396">
        <w:rPr>
          <w:sz w:val="22"/>
          <w:szCs w:val="22"/>
          <w:lang w:val="sr-Latn-ME"/>
        </w:rPr>
        <w:t>vremena</w:t>
      </w:r>
      <w:r w:rsidRPr="008C5396">
        <w:rPr>
          <w:sz w:val="22"/>
          <w:szCs w:val="22"/>
          <w:lang w:val="sr-Latn-ME"/>
        </w:rPr>
        <w:t xml:space="preserve"> prim</w:t>
      </w:r>
      <w:r w:rsidR="0022431E" w:rsidRPr="008C5396">
        <w:rPr>
          <w:sz w:val="22"/>
          <w:szCs w:val="22"/>
          <w:lang w:val="sr-Latn-ME"/>
        </w:rPr>
        <w:t>j</w:t>
      </w:r>
      <w:r w:rsidRPr="008C5396">
        <w:rPr>
          <w:sz w:val="22"/>
          <w:szCs w:val="22"/>
          <w:lang w:val="sr-Latn-ME"/>
        </w:rPr>
        <w:t xml:space="preserve">ena </w:t>
      </w:r>
      <w:r w:rsidR="00D718CE" w:rsidRPr="008C5396">
        <w:rPr>
          <w:sz w:val="22"/>
          <w:szCs w:val="22"/>
          <w:lang w:val="sr-Latn-ME"/>
        </w:rPr>
        <w:t>lijek</w:t>
      </w:r>
      <w:r w:rsidRPr="008C5396">
        <w:rPr>
          <w:sz w:val="22"/>
          <w:szCs w:val="22"/>
          <w:lang w:val="sr-Latn-ME"/>
        </w:rPr>
        <w:t xml:space="preserve">a RECARBRIO i valproinske kiseline/divalproeks-natrijuma. Potrebno je razmotriti </w:t>
      </w:r>
      <w:r w:rsidR="00D718CE" w:rsidRPr="008C5396">
        <w:rPr>
          <w:sz w:val="22"/>
          <w:szCs w:val="22"/>
          <w:lang w:val="sr-Latn-ME"/>
        </w:rPr>
        <w:t>primjenu</w:t>
      </w:r>
      <w:r w:rsidRPr="008C5396">
        <w:rPr>
          <w:sz w:val="22"/>
          <w:szCs w:val="22"/>
          <w:lang w:val="sr-Latn-ME"/>
        </w:rPr>
        <w:t xml:space="preserve"> drugih antibiotika osim karbapenema za </w:t>
      </w:r>
      <w:r w:rsidR="00D718CE" w:rsidRPr="008C5396">
        <w:rPr>
          <w:sz w:val="22"/>
          <w:szCs w:val="22"/>
          <w:lang w:val="sr-Latn-ME"/>
        </w:rPr>
        <w:t>liječenje</w:t>
      </w:r>
      <w:r w:rsidRPr="008C5396">
        <w:rPr>
          <w:sz w:val="22"/>
          <w:szCs w:val="22"/>
          <w:lang w:val="sr-Latn-ME"/>
        </w:rPr>
        <w:t xml:space="preserve"> infekcija kod pacijenata kojima su epileptični napadi dobro kontrolisani valproinskom </w:t>
      </w:r>
      <w:r w:rsidR="00D718CE" w:rsidRPr="008C5396">
        <w:rPr>
          <w:sz w:val="22"/>
          <w:szCs w:val="22"/>
          <w:lang w:val="sr-Latn-ME"/>
        </w:rPr>
        <w:t>kisjelinom</w:t>
      </w:r>
      <w:r w:rsidRPr="008C5396">
        <w:rPr>
          <w:sz w:val="22"/>
          <w:szCs w:val="22"/>
          <w:lang w:val="sr-Latn-ME"/>
        </w:rPr>
        <w:t xml:space="preserve"> ili divalproeks-</w:t>
      </w:r>
      <w:r w:rsidRPr="008C5396">
        <w:rPr>
          <w:sz w:val="22"/>
          <w:szCs w:val="22"/>
          <w:lang w:val="sr-Latn-ME"/>
        </w:rPr>
        <w:lastRenderedPageBreak/>
        <w:t xml:space="preserve">natrijumom. Ako je </w:t>
      </w:r>
      <w:r w:rsidR="0022431E" w:rsidRPr="008C5396">
        <w:rPr>
          <w:sz w:val="22"/>
          <w:szCs w:val="22"/>
          <w:lang w:val="sr-Latn-ME"/>
        </w:rPr>
        <w:t>primjena</w:t>
      </w:r>
      <w:r w:rsidRPr="008C5396">
        <w:rPr>
          <w:sz w:val="22"/>
          <w:szCs w:val="22"/>
          <w:lang w:val="sr-Latn-ME"/>
        </w:rPr>
        <w:t xml:space="preserve"> </w:t>
      </w:r>
      <w:r w:rsidR="00D718CE" w:rsidRPr="008C5396">
        <w:rPr>
          <w:sz w:val="22"/>
          <w:szCs w:val="22"/>
          <w:lang w:val="sr-Latn-ME"/>
        </w:rPr>
        <w:t>lijek</w:t>
      </w:r>
      <w:r w:rsidRPr="008C5396">
        <w:rPr>
          <w:sz w:val="22"/>
          <w:szCs w:val="22"/>
          <w:lang w:val="sr-Latn-ME"/>
        </w:rPr>
        <w:t>a RECARBRIO neophodna, potrebno je razmotriti dodatnu antikonvulzivnu terapiju (</w:t>
      </w:r>
      <w:r w:rsidR="00D718CE" w:rsidRPr="008C5396">
        <w:rPr>
          <w:sz w:val="22"/>
          <w:szCs w:val="22"/>
          <w:lang w:val="sr-Latn-ME"/>
        </w:rPr>
        <w:t>vidjeti</w:t>
      </w:r>
      <w:r w:rsidRPr="008C5396">
        <w:rPr>
          <w:sz w:val="22"/>
          <w:szCs w:val="22"/>
          <w:lang w:val="sr-Latn-ME"/>
        </w:rPr>
        <w:t xml:space="preserve"> </w:t>
      </w:r>
      <w:bookmarkStart w:id="0" w:name="_Hlk138236781"/>
      <w:r w:rsidR="007B2A33" w:rsidRPr="008C5396">
        <w:rPr>
          <w:sz w:val="22"/>
          <w:szCs w:val="22"/>
          <w:lang w:val="sr-Latn-ME"/>
        </w:rPr>
        <w:t xml:space="preserve">dio </w:t>
      </w:r>
      <w:bookmarkEnd w:id="0"/>
      <w:r w:rsidRPr="008C5396">
        <w:rPr>
          <w:sz w:val="22"/>
          <w:szCs w:val="22"/>
          <w:lang w:val="sr-Latn-ME"/>
        </w:rPr>
        <w:t>4.5).</w:t>
      </w:r>
    </w:p>
    <w:p w14:paraId="1976EB15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C5396">
        <w:rPr>
          <w:sz w:val="22"/>
          <w:szCs w:val="22"/>
          <w:u w:val="single"/>
          <w:lang w:val="sr-Latn-ME"/>
        </w:rPr>
        <w:t xml:space="preserve"> </w:t>
      </w:r>
    </w:p>
    <w:p w14:paraId="0225338A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C5396">
        <w:rPr>
          <w:sz w:val="22"/>
          <w:szCs w:val="22"/>
          <w:u w:val="single"/>
          <w:lang w:val="sr-Latn-ME"/>
        </w:rPr>
        <w:t xml:space="preserve">Dijareja povezana sa bakterijom </w:t>
      </w:r>
      <w:r w:rsidRPr="008C5396">
        <w:rPr>
          <w:i/>
          <w:sz w:val="22"/>
          <w:szCs w:val="22"/>
          <w:u w:val="single"/>
          <w:lang w:val="sr-Latn-ME"/>
        </w:rPr>
        <w:t>Clostridioides difficile</w:t>
      </w:r>
    </w:p>
    <w:p w14:paraId="6836DD5E" w14:textId="3CE5AADA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 xml:space="preserve">Kod primene </w:t>
      </w:r>
      <w:r w:rsidR="00D718CE" w:rsidRPr="008C5396">
        <w:rPr>
          <w:sz w:val="22"/>
          <w:szCs w:val="22"/>
          <w:lang w:val="sr-Latn-ME"/>
        </w:rPr>
        <w:t>lijek</w:t>
      </w:r>
      <w:r w:rsidRPr="008C5396">
        <w:rPr>
          <w:sz w:val="22"/>
          <w:szCs w:val="22"/>
          <w:lang w:val="sr-Latn-ME"/>
        </w:rPr>
        <w:t xml:space="preserve">a RECARBRIO prijavljena je dijareja povezana sa </w:t>
      </w:r>
      <w:r w:rsidRPr="008C5396">
        <w:rPr>
          <w:i/>
          <w:sz w:val="22"/>
          <w:szCs w:val="22"/>
          <w:lang w:val="sr-Latn-ME"/>
        </w:rPr>
        <w:t>Clostridioides difficile</w:t>
      </w:r>
      <w:r w:rsidRPr="008C5396">
        <w:rPr>
          <w:sz w:val="22"/>
          <w:szCs w:val="22"/>
          <w:lang w:val="sr-Latn-ME"/>
        </w:rPr>
        <w:t xml:space="preserve"> (engl. </w:t>
      </w:r>
      <w:r w:rsidRPr="008C5396">
        <w:rPr>
          <w:i/>
          <w:sz w:val="22"/>
          <w:szCs w:val="22"/>
          <w:lang w:val="sr-Latn-ME"/>
        </w:rPr>
        <w:t>Clostridioides difficile-associated diarrhoea</w:t>
      </w:r>
      <w:r w:rsidRPr="008C5396">
        <w:rPr>
          <w:sz w:val="22"/>
          <w:szCs w:val="22"/>
          <w:lang w:val="sr-Latn-ME"/>
        </w:rPr>
        <w:t>, CDAD). CDAD može u rasponu po težini da poprimi oblik od blage dijareje do kolitisa sa smrtnim ishodom. CDAD se mora uzeti u obzir kod svih pacijenata kod kojih se javi dijareja tokom ili nakon prim</w:t>
      </w:r>
      <w:r w:rsidR="00A46ACA" w:rsidRPr="008C5396">
        <w:rPr>
          <w:sz w:val="22"/>
          <w:szCs w:val="22"/>
          <w:lang w:val="sr-Latn-ME"/>
        </w:rPr>
        <w:t>j</w:t>
      </w:r>
      <w:r w:rsidRPr="008C5396">
        <w:rPr>
          <w:sz w:val="22"/>
          <w:szCs w:val="22"/>
          <w:lang w:val="sr-Latn-ME"/>
        </w:rPr>
        <w:t xml:space="preserve">ene </w:t>
      </w:r>
      <w:r w:rsidR="00D718CE" w:rsidRPr="008C5396">
        <w:rPr>
          <w:sz w:val="22"/>
          <w:szCs w:val="22"/>
          <w:lang w:val="sr-Latn-ME"/>
        </w:rPr>
        <w:t>lijek</w:t>
      </w:r>
      <w:r w:rsidRPr="008C5396">
        <w:rPr>
          <w:sz w:val="22"/>
          <w:szCs w:val="22"/>
          <w:lang w:val="sr-Latn-ME"/>
        </w:rPr>
        <w:t>a RECARBRIO (</w:t>
      </w:r>
      <w:r w:rsidR="00D718CE" w:rsidRPr="008C5396">
        <w:rPr>
          <w:sz w:val="22"/>
          <w:szCs w:val="22"/>
          <w:lang w:val="sr-Latn-ME"/>
        </w:rPr>
        <w:t>vidjeti</w:t>
      </w:r>
      <w:r w:rsidRPr="008C5396">
        <w:rPr>
          <w:sz w:val="22"/>
          <w:szCs w:val="22"/>
          <w:lang w:val="sr-Latn-ME"/>
        </w:rPr>
        <w:t xml:space="preserve"> </w:t>
      </w:r>
      <w:r w:rsidR="007B2A33" w:rsidRPr="008C5396">
        <w:rPr>
          <w:sz w:val="22"/>
          <w:szCs w:val="22"/>
          <w:lang w:val="sr-Latn-ME"/>
        </w:rPr>
        <w:t xml:space="preserve">dio </w:t>
      </w:r>
      <w:r w:rsidRPr="008C5396">
        <w:rPr>
          <w:sz w:val="22"/>
          <w:szCs w:val="22"/>
          <w:lang w:val="sr-Latn-ME"/>
        </w:rPr>
        <w:t>4.8). Neophodno je uzeti detaljnu anamnezu budući da je CDAD prijavljen čak dva i više m</w:t>
      </w:r>
      <w:r w:rsidR="00A46ACA" w:rsidRPr="008C5396">
        <w:rPr>
          <w:sz w:val="22"/>
          <w:szCs w:val="22"/>
          <w:lang w:val="sr-Latn-ME"/>
        </w:rPr>
        <w:t>j</w:t>
      </w:r>
      <w:r w:rsidRPr="008C5396">
        <w:rPr>
          <w:sz w:val="22"/>
          <w:szCs w:val="22"/>
          <w:lang w:val="sr-Latn-ME"/>
        </w:rPr>
        <w:t>eseci nakon prim</w:t>
      </w:r>
      <w:r w:rsidR="007B2A33" w:rsidRPr="008C5396">
        <w:rPr>
          <w:sz w:val="22"/>
          <w:szCs w:val="22"/>
          <w:lang w:val="sr-Latn-ME"/>
        </w:rPr>
        <w:t>j</w:t>
      </w:r>
      <w:r w:rsidRPr="008C5396">
        <w:rPr>
          <w:sz w:val="22"/>
          <w:szCs w:val="22"/>
          <w:lang w:val="sr-Latn-ME"/>
        </w:rPr>
        <w:t xml:space="preserve">ene antibakterijskih </w:t>
      </w:r>
      <w:r w:rsidR="00816A5C" w:rsidRPr="008C5396">
        <w:rPr>
          <w:sz w:val="22"/>
          <w:szCs w:val="22"/>
          <w:lang w:val="sr-Latn-ME"/>
        </w:rPr>
        <w:t>ljekov</w:t>
      </w:r>
      <w:r w:rsidRPr="008C5396">
        <w:rPr>
          <w:sz w:val="22"/>
          <w:szCs w:val="22"/>
          <w:lang w:val="sr-Latn-ME"/>
        </w:rPr>
        <w:t>a.</w:t>
      </w:r>
    </w:p>
    <w:p w14:paraId="1BD74DBF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DCE66C3" w14:textId="3D74E0DF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71C00">
        <w:rPr>
          <w:sz w:val="22"/>
          <w:szCs w:val="22"/>
          <w:lang w:val="sr-Latn-ME"/>
        </w:rPr>
        <w:t xml:space="preserve">Ukoliko se posumnja na CDAD ili se on potvrdi, potrebno je razmotriti prekid </w:t>
      </w:r>
      <w:r w:rsidR="00D718CE" w:rsidRPr="00B71C00">
        <w:rPr>
          <w:sz w:val="22"/>
          <w:szCs w:val="22"/>
          <w:lang w:val="sr-Latn-ME"/>
        </w:rPr>
        <w:t>liječenja</w:t>
      </w:r>
      <w:r w:rsidRPr="00B71C00">
        <w:rPr>
          <w:sz w:val="22"/>
          <w:szCs w:val="22"/>
          <w:lang w:val="sr-Latn-ME"/>
        </w:rPr>
        <w:t xml:space="preserve"> </w:t>
      </w:r>
      <w:r w:rsidR="00D718CE" w:rsidRPr="00B71C00">
        <w:rPr>
          <w:sz w:val="22"/>
          <w:szCs w:val="22"/>
          <w:lang w:val="sr-Latn-ME"/>
        </w:rPr>
        <w:t>lijek</w:t>
      </w:r>
      <w:r w:rsidRPr="00B71C00">
        <w:rPr>
          <w:sz w:val="22"/>
          <w:szCs w:val="22"/>
          <w:lang w:val="sr-Latn-ME"/>
        </w:rPr>
        <w:t xml:space="preserve">om RECARBRIO i </w:t>
      </w:r>
      <w:r w:rsidR="00D718CE" w:rsidRPr="00B71C00">
        <w:rPr>
          <w:sz w:val="22"/>
          <w:szCs w:val="22"/>
          <w:lang w:val="sr-Latn-ME"/>
        </w:rPr>
        <w:t>primjenu</w:t>
      </w:r>
      <w:r w:rsidRPr="00B71C00">
        <w:rPr>
          <w:sz w:val="22"/>
          <w:szCs w:val="22"/>
          <w:lang w:val="sr-Latn-ME"/>
        </w:rPr>
        <w:t xml:space="preserve"> specifične terapije za </w:t>
      </w:r>
      <w:r w:rsidRPr="00B71C00">
        <w:rPr>
          <w:i/>
          <w:sz w:val="22"/>
          <w:szCs w:val="22"/>
          <w:lang w:val="sr-Latn-ME"/>
        </w:rPr>
        <w:t>C. difficile</w:t>
      </w:r>
      <w:r w:rsidRPr="00B71C00">
        <w:rPr>
          <w:sz w:val="22"/>
          <w:szCs w:val="22"/>
          <w:lang w:val="sr-Latn-ME"/>
        </w:rPr>
        <w:t xml:space="preserve">. Ne treba davati </w:t>
      </w:r>
      <w:r w:rsidR="00D718CE" w:rsidRPr="00B71C00">
        <w:rPr>
          <w:sz w:val="22"/>
          <w:szCs w:val="22"/>
          <w:lang w:val="sr-Latn-ME"/>
        </w:rPr>
        <w:t>l</w:t>
      </w:r>
      <w:r w:rsidR="00F965BC" w:rsidRPr="00B71C00">
        <w:rPr>
          <w:sz w:val="22"/>
          <w:szCs w:val="22"/>
          <w:lang w:val="sr-Latn-ME"/>
        </w:rPr>
        <w:t>je</w:t>
      </w:r>
      <w:r w:rsidR="00D718CE" w:rsidRPr="00B71C00">
        <w:rPr>
          <w:sz w:val="22"/>
          <w:szCs w:val="22"/>
          <w:lang w:val="sr-Latn-ME"/>
        </w:rPr>
        <w:t>k</w:t>
      </w:r>
      <w:r w:rsidRPr="00B71C00">
        <w:rPr>
          <w:sz w:val="22"/>
          <w:szCs w:val="22"/>
          <w:lang w:val="sr-Latn-ME"/>
        </w:rPr>
        <w:t>ove koji inhibiraju</w:t>
      </w:r>
      <w:r w:rsidRPr="008C5396">
        <w:rPr>
          <w:sz w:val="22"/>
          <w:szCs w:val="22"/>
          <w:u w:val="single"/>
          <w:lang w:val="sr-Latn-ME"/>
        </w:rPr>
        <w:t xml:space="preserve"> </w:t>
      </w:r>
      <w:r w:rsidRPr="008C5396">
        <w:rPr>
          <w:sz w:val="22"/>
          <w:szCs w:val="22"/>
          <w:lang w:val="sr-Latn-ME"/>
        </w:rPr>
        <w:t>peristaltiku.</w:t>
      </w:r>
    </w:p>
    <w:p w14:paraId="62492087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A71C525" w14:textId="7BC5D8CB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C5396">
        <w:rPr>
          <w:sz w:val="22"/>
          <w:szCs w:val="22"/>
          <w:u w:val="single"/>
          <w:lang w:val="sr-Latn-ME"/>
        </w:rPr>
        <w:t xml:space="preserve">Pacijenti sa CrCl ≥ 150 </w:t>
      </w:r>
      <w:r w:rsidR="007903A3" w:rsidRPr="008C5396">
        <w:rPr>
          <w:sz w:val="22"/>
          <w:szCs w:val="22"/>
          <w:u w:val="single"/>
          <w:lang w:val="sr-Latn-ME"/>
        </w:rPr>
        <w:t>ml</w:t>
      </w:r>
      <w:r w:rsidRPr="008C5396">
        <w:rPr>
          <w:sz w:val="22"/>
          <w:szCs w:val="22"/>
          <w:u w:val="single"/>
          <w:lang w:val="sr-Latn-ME"/>
        </w:rPr>
        <w:t xml:space="preserve">/min </w:t>
      </w:r>
    </w:p>
    <w:p w14:paraId="69A4D7B5" w14:textId="6B30A613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 xml:space="preserve">Na osnovu farmakokinetičko-farmakodinamskih analiza, doza </w:t>
      </w:r>
      <w:r w:rsidR="00D718CE" w:rsidRPr="008C5396">
        <w:rPr>
          <w:sz w:val="22"/>
          <w:szCs w:val="22"/>
          <w:lang w:val="sr-Latn-ME"/>
        </w:rPr>
        <w:t>lijek</w:t>
      </w:r>
      <w:r w:rsidRPr="008C5396">
        <w:rPr>
          <w:sz w:val="22"/>
          <w:szCs w:val="22"/>
          <w:lang w:val="sr-Latn-ME"/>
        </w:rPr>
        <w:t xml:space="preserve">a RECARBRIO koja se preporučuje za pacijente sa CrCl ≥ 90 </w:t>
      </w:r>
      <w:r w:rsidR="007903A3" w:rsidRPr="008C5396">
        <w:rPr>
          <w:sz w:val="22"/>
          <w:szCs w:val="22"/>
          <w:lang w:val="sr-Latn-ME"/>
        </w:rPr>
        <w:t>ml</w:t>
      </w:r>
      <w:r w:rsidRPr="008C5396">
        <w:rPr>
          <w:sz w:val="22"/>
          <w:szCs w:val="22"/>
          <w:lang w:val="sr-Latn-ME"/>
        </w:rPr>
        <w:t xml:space="preserve">/min možda neće biti dovoljna za </w:t>
      </w:r>
      <w:r w:rsidR="00D718CE" w:rsidRPr="008C5396">
        <w:rPr>
          <w:sz w:val="22"/>
          <w:szCs w:val="22"/>
          <w:lang w:val="sr-Latn-ME"/>
        </w:rPr>
        <w:t>liječenje</w:t>
      </w:r>
      <w:r w:rsidRPr="008C5396">
        <w:rPr>
          <w:sz w:val="22"/>
          <w:szCs w:val="22"/>
          <w:lang w:val="sr-Latn-ME"/>
        </w:rPr>
        <w:t xml:space="preserve"> pacijenata sa HAP ili VAP i CrCl &gt; 250 </w:t>
      </w:r>
      <w:r w:rsidR="007903A3" w:rsidRPr="008C5396">
        <w:rPr>
          <w:sz w:val="22"/>
          <w:szCs w:val="22"/>
          <w:lang w:val="sr-Latn-ME"/>
        </w:rPr>
        <w:t>ml</w:t>
      </w:r>
      <w:r w:rsidRPr="008C5396">
        <w:rPr>
          <w:sz w:val="22"/>
          <w:szCs w:val="22"/>
          <w:lang w:val="sr-Latn-ME"/>
        </w:rPr>
        <w:t>/min ili pacijenata sa cIAI ili cUTI i CrCl &gt; 150 </w:t>
      </w:r>
      <w:r w:rsidR="007903A3" w:rsidRPr="008C5396">
        <w:rPr>
          <w:sz w:val="22"/>
          <w:szCs w:val="22"/>
          <w:lang w:val="sr-Latn-ME"/>
        </w:rPr>
        <w:t>ml</w:t>
      </w:r>
      <w:r w:rsidRPr="008C5396">
        <w:rPr>
          <w:sz w:val="22"/>
          <w:szCs w:val="22"/>
          <w:lang w:val="sr-Latn-ME"/>
        </w:rPr>
        <w:t xml:space="preserve">/min. Kod ovih pacijenata treba razmotriti </w:t>
      </w:r>
      <w:r w:rsidR="00D718CE" w:rsidRPr="008C5396">
        <w:rPr>
          <w:sz w:val="22"/>
          <w:szCs w:val="22"/>
          <w:lang w:val="sr-Latn-ME"/>
        </w:rPr>
        <w:t>primjenu</w:t>
      </w:r>
      <w:r w:rsidRPr="008C5396">
        <w:rPr>
          <w:sz w:val="22"/>
          <w:szCs w:val="22"/>
          <w:lang w:val="sr-Latn-ME"/>
        </w:rPr>
        <w:t xml:space="preserve"> alternativnih terapija. </w:t>
      </w:r>
    </w:p>
    <w:p w14:paraId="73F42E97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9AC5003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C5396">
        <w:rPr>
          <w:sz w:val="22"/>
          <w:szCs w:val="22"/>
          <w:u w:val="single"/>
          <w:lang w:val="sr-Latn-ME"/>
        </w:rPr>
        <w:t>Oštećenje funkcije bubrega</w:t>
      </w:r>
    </w:p>
    <w:p w14:paraId="6286785A" w14:textId="56361AC0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>Preporučuje se prilagođavanje doze kod pacijenata sa oštećenjem funkcije bubrega (</w:t>
      </w:r>
      <w:r w:rsidR="00D718CE" w:rsidRPr="008C5396">
        <w:rPr>
          <w:sz w:val="22"/>
          <w:szCs w:val="22"/>
          <w:lang w:val="sr-Latn-ME"/>
        </w:rPr>
        <w:t>vidjeti</w:t>
      </w:r>
      <w:r w:rsidRPr="008C5396">
        <w:rPr>
          <w:sz w:val="22"/>
          <w:szCs w:val="22"/>
          <w:lang w:val="sr-Latn-ME"/>
        </w:rPr>
        <w:t xml:space="preserve"> </w:t>
      </w:r>
      <w:r w:rsidR="00C35365" w:rsidRPr="00C35365">
        <w:rPr>
          <w:sz w:val="22"/>
          <w:szCs w:val="22"/>
          <w:lang w:val="sr-Latn-ME"/>
        </w:rPr>
        <w:t xml:space="preserve">dio </w:t>
      </w:r>
      <w:r w:rsidRPr="008C5396">
        <w:rPr>
          <w:sz w:val="22"/>
          <w:szCs w:val="22"/>
          <w:lang w:val="sr-Latn-ME"/>
        </w:rPr>
        <w:t xml:space="preserve">4.2). Nema dovoljno podataka da bi se preporučila </w:t>
      </w:r>
      <w:r w:rsidR="0022431E" w:rsidRPr="008C5396">
        <w:rPr>
          <w:sz w:val="22"/>
          <w:szCs w:val="22"/>
          <w:lang w:val="sr-Latn-ME"/>
        </w:rPr>
        <w:t>primjena</w:t>
      </w:r>
      <w:r w:rsidRPr="008C5396">
        <w:rPr>
          <w:sz w:val="22"/>
          <w:szCs w:val="22"/>
          <w:lang w:val="sr-Latn-ME"/>
        </w:rPr>
        <w:t xml:space="preserve"> </w:t>
      </w:r>
      <w:r w:rsidR="00D718CE" w:rsidRPr="008C5396">
        <w:rPr>
          <w:sz w:val="22"/>
          <w:szCs w:val="22"/>
          <w:lang w:val="sr-Latn-ME"/>
        </w:rPr>
        <w:t>lijek</w:t>
      </w:r>
      <w:r w:rsidRPr="008C5396">
        <w:rPr>
          <w:sz w:val="22"/>
          <w:szCs w:val="22"/>
          <w:lang w:val="sr-Latn-ME"/>
        </w:rPr>
        <w:t>a RECARBRIO kod pacijenata na peritonealnoj dijalizi.</w:t>
      </w:r>
    </w:p>
    <w:p w14:paraId="5BC3F8E0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82F7D99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C5396">
        <w:rPr>
          <w:sz w:val="22"/>
          <w:szCs w:val="22"/>
          <w:u w:val="single"/>
          <w:lang w:val="sr-Latn-ME"/>
        </w:rPr>
        <w:t>Ograničenja kliničkih podataka</w:t>
      </w:r>
    </w:p>
    <w:p w14:paraId="20F2105B" w14:textId="28D08F48" w:rsidR="00F85CD6" w:rsidRPr="008C5396" w:rsidRDefault="007B2A33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>I</w:t>
      </w:r>
      <w:r w:rsidR="00F85CD6" w:rsidRPr="008C5396">
        <w:rPr>
          <w:sz w:val="22"/>
          <w:szCs w:val="22"/>
          <w:lang w:val="sr-Latn-ME"/>
        </w:rPr>
        <w:t>munokompromitovani</w:t>
      </w:r>
      <w:r w:rsidRPr="008C5396">
        <w:rPr>
          <w:sz w:val="22"/>
          <w:szCs w:val="22"/>
          <w:lang w:val="sr-Latn-ME"/>
        </w:rPr>
        <w:t xml:space="preserve"> pacijenti</w:t>
      </w:r>
      <w:r w:rsidR="00F85CD6" w:rsidRPr="008C5396">
        <w:rPr>
          <w:sz w:val="22"/>
          <w:szCs w:val="22"/>
          <w:lang w:val="sr-Latn-ME"/>
        </w:rPr>
        <w:t>, uključujući i pacijente sa neutropenijom,</w:t>
      </w:r>
      <w:r w:rsidR="00C35365">
        <w:rPr>
          <w:sz w:val="22"/>
          <w:szCs w:val="22"/>
          <w:lang w:val="sr-Latn-ME"/>
        </w:rPr>
        <w:t xml:space="preserve"> </w:t>
      </w:r>
      <w:r w:rsidRPr="008C5396">
        <w:rPr>
          <w:sz w:val="22"/>
          <w:szCs w:val="22"/>
          <w:lang w:val="sr-Latn-ME"/>
        </w:rPr>
        <w:t xml:space="preserve">nijesu </w:t>
      </w:r>
      <w:r w:rsidR="00F85CD6" w:rsidRPr="008C5396">
        <w:rPr>
          <w:sz w:val="22"/>
          <w:szCs w:val="22"/>
          <w:lang w:val="sr-Latn-ME"/>
        </w:rPr>
        <w:t xml:space="preserve">bili </w:t>
      </w:r>
      <w:r w:rsidRPr="008C5396">
        <w:rPr>
          <w:sz w:val="22"/>
          <w:szCs w:val="22"/>
          <w:lang w:val="sr-Latn-ME"/>
        </w:rPr>
        <w:t>u</w:t>
      </w:r>
      <w:r w:rsidR="00F85CD6" w:rsidRPr="008C5396">
        <w:rPr>
          <w:sz w:val="22"/>
          <w:szCs w:val="22"/>
          <w:lang w:val="sr-Latn-ME"/>
        </w:rPr>
        <w:t xml:space="preserve">ključeni </w:t>
      </w:r>
      <w:r w:rsidRPr="008C5396">
        <w:rPr>
          <w:sz w:val="22"/>
          <w:szCs w:val="22"/>
          <w:lang w:val="sr-Latn-ME"/>
        </w:rPr>
        <w:t xml:space="preserve">u </w:t>
      </w:r>
      <w:r w:rsidR="00F85CD6" w:rsidRPr="008C5396">
        <w:rPr>
          <w:sz w:val="22"/>
          <w:szCs w:val="22"/>
          <w:lang w:val="sr-Latn-ME"/>
        </w:rPr>
        <w:t>kliničk</w:t>
      </w:r>
      <w:r w:rsidRPr="008C5396">
        <w:rPr>
          <w:sz w:val="22"/>
          <w:szCs w:val="22"/>
          <w:lang w:val="sr-Latn-ME"/>
        </w:rPr>
        <w:t>e studije.</w:t>
      </w:r>
      <w:r w:rsidR="00F85CD6" w:rsidRPr="008C5396">
        <w:rPr>
          <w:sz w:val="22"/>
          <w:szCs w:val="22"/>
          <w:lang w:val="sr-Latn-ME"/>
        </w:rPr>
        <w:t xml:space="preserve"> </w:t>
      </w:r>
    </w:p>
    <w:p w14:paraId="016A2843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0974477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8C5396">
        <w:rPr>
          <w:i/>
          <w:iCs/>
          <w:sz w:val="22"/>
          <w:szCs w:val="22"/>
          <w:lang w:val="sr-Latn-ME"/>
        </w:rPr>
        <w:t>Bolnički stečena pneumonija, uključujući pneumoniju povezanu sa mehaničkom ventilacijom</w:t>
      </w:r>
    </w:p>
    <w:p w14:paraId="262A76EE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>U jednoj studiji bolnički stečene pneumonije, uključujući pneumoniju povezanu sa mehaničkom ventilacijom, 6,2 % (33/535) pacijenata je imalo bakterijemiju na početku ispitivanja.</w:t>
      </w:r>
    </w:p>
    <w:p w14:paraId="46214467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u w:val="single"/>
          <w:lang w:val="sr-Latn-ME"/>
        </w:rPr>
      </w:pPr>
    </w:p>
    <w:p w14:paraId="054A0940" w14:textId="6B5B42D9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8C5396">
        <w:rPr>
          <w:i/>
          <w:sz w:val="22"/>
          <w:szCs w:val="22"/>
          <w:lang w:val="sr-Latn-ME"/>
        </w:rPr>
        <w:t xml:space="preserve">Pacijenti sa ograničenim mogućnostima </w:t>
      </w:r>
      <w:r w:rsidR="00D718CE" w:rsidRPr="008C5396">
        <w:rPr>
          <w:i/>
          <w:sz w:val="22"/>
          <w:szCs w:val="22"/>
          <w:lang w:val="sr-Latn-ME"/>
        </w:rPr>
        <w:t>liječenja</w:t>
      </w:r>
    </w:p>
    <w:p w14:paraId="045189F6" w14:textId="20562161" w:rsidR="00F85CD6" w:rsidRPr="008C5396" w:rsidRDefault="0022431E" w:rsidP="00B71C00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>Primjena</w:t>
      </w:r>
      <w:r w:rsidR="00F85CD6" w:rsidRPr="008C5396">
        <w:rPr>
          <w:sz w:val="22"/>
          <w:szCs w:val="22"/>
          <w:lang w:val="sr-Latn-ME"/>
        </w:rPr>
        <w:t xml:space="preserve"> </w:t>
      </w:r>
      <w:r w:rsidR="00D718CE" w:rsidRPr="008C5396">
        <w:rPr>
          <w:sz w:val="22"/>
          <w:szCs w:val="22"/>
          <w:lang w:val="sr-Latn-ME"/>
        </w:rPr>
        <w:t>lijek</w:t>
      </w:r>
      <w:r w:rsidR="00F85CD6" w:rsidRPr="008C5396">
        <w:rPr>
          <w:sz w:val="22"/>
          <w:szCs w:val="22"/>
          <w:lang w:val="sr-Latn-ME"/>
        </w:rPr>
        <w:t xml:space="preserve">a RECARBRIO za </w:t>
      </w:r>
      <w:r w:rsidR="00D718CE" w:rsidRPr="008C5396">
        <w:rPr>
          <w:sz w:val="22"/>
          <w:szCs w:val="22"/>
          <w:lang w:val="sr-Latn-ME"/>
        </w:rPr>
        <w:t>liječenje</w:t>
      </w:r>
      <w:r w:rsidR="00F85CD6" w:rsidRPr="008C5396">
        <w:rPr>
          <w:sz w:val="22"/>
          <w:szCs w:val="22"/>
          <w:lang w:val="sr-Latn-ME"/>
        </w:rPr>
        <w:t xml:space="preserve"> pacijenata sa infekcijama uzrokovanim aerobnim Gram-negativnim organizmima kod kojih su mogućnosti </w:t>
      </w:r>
      <w:r w:rsidR="00D718CE" w:rsidRPr="008C5396">
        <w:rPr>
          <w:sz w:val="22"/>
          <w:szCs w:val="22"/>
          <w:lang w:val="sr-Latn-ME"/>
        </w:rPr>
        <w:t>liječenja</w:t>
      </w:r>
      <w:r w:rsidR="00F85CD6" w:rsidRPr="008C5396">
        <w:rPr>
          <w:sz w:val="22"/>
          <w:szCs w:val="22"/>
          <w:lang w:val="sr-Latn-ME"/>
        </w:rPr>
        <w:t xml:space="preserve"> ograničene, temelji se na iskustvu sa </w:t>
      </w:r>
      <w:r w:rsidR="00D718CE" w:rsidRPr="008C5396">
        <w:rPr>
          <w:sz w:val="22"/>
          <w:szCs w:val="22"/>
          <w:lang w:val="sr-Latn-ME"/>
        </w:rPr>
        <w:t>primjenom</w:t>
      </w:r>
      <w:r w:rsidR="00F85CD6" w:rsidRPr="008C5396">
        <w:rPr>
          <w:sz w:val="22"/>
          <w:szCs w:val="22"/>
          <w:lang w:val="sr-Latn-ME"/>
        </w:rPr>
        <w:t xml:space="preserve"> imipenema/cilastatina, farmakokinetičko-farmakodinamskim analizama imipenema/cilastatina/relebaktama i na ograničenim podacima iz randomizovanog kliničkog ispitivanja u kojem je 21 pacijent pogodan za </w:t>
      </w:r>
      <w:r w:rsidR="00D718CE" w:rsidRPr="008C5396">
        <w:rPr>
          <w:sz w:val="22"/>
          <w:szCs w:val="22"/>
          <w:lang w:val="sr-Latn-ME"/>
        </w:rPr>
        <w:t>procjenu</w:t>
      </w:r>
      <w:r w:rsidR="00F85CD6" w:rsidRPr="008C5396">
        <w:rPr>
          <w:sz w:val="22"/>
          <w:szCs w:val="22"/>
          <w:lang w:val="sr-Latn-ME"/>
        </w:rPr>
        <w:t xml:space="preserve"> primao </w:t>
      </w:r>
      <w:r w:rsidR="00D718CE" w:rsidRPr="008C5396">
        <w:rPr>
          <w:sz w:val="22"/>
          <w:szCs w:val="22"/>
          <w:lang w:val="sr-Latn-ME"/>
        </w:rPr>
        <w:t>lijek</w:t>
      </w:r>
      <w:r w:rsidR="00F85CD6" w:rsidRPr="008C5396">
        <w:rPr>
          <w:sz w:val="22"/>
          <w:szCs w:val="22"/>
          <w:lang w:val="sr-Latn-ME"/>
        </w:rPr>
        <w:t xml:space="preserve"> RECARBRIO, a 10 pacijenata pogodnih za </w:t>
      </w:r>
      <w:r w:rsidR="00D718CE" w:rsidRPr="008C5396">
        <w:rPr>
          <w:sz w:val="22"/>
          <w:szCs w:val="22"/>
          <w:lang w:val="sr-Latn-ME"/>
        </w:rPr>
        <w:t>procjenu</w:t>
      </w:r>
      <w:r w:rsidR="00F85CD6" w:rsidRPr="008C5396">
        <w:rPr>
          <w:sz w:val="22"/>
          <w:szCs w:val="22"/>
          <w:lang w:val="sr-Latn-ME"/>
        </w:rPr>
        <w:t xml:space="preserve"> kolistin i imipenem/cilastatin za </w:t>
      </w:r>
      <w:r w:rsidR="00D718CE" w:rsidRPr="008C5396">
        <w:rPr>
          <w:sz w:val="22"/>
          <w:szCs w:val="22"/>
          <w:lang w:val="sr-Latn-ME"/>
        </w:rPr>
        <w:t>liječenje</w:t>
      </w:r>
      <w:r w:rsidR="00F85CD6" w:rsidRPr="008C5396">
        <w:rPr>
          <w:sz w:val="22"/>
          <w:szCs w:val="22"/>
          <w:lang w:val="sr-Latn-ME"/>
        </w:rPr>
        <w:t xml:space="preserve"> infekcija uzrokovanih organizmima </w:t>
      </w:r>
      <w:r w:rsidR="00D718CE" w:rsidRPr="008C5396">
        <w:rPr>
          <w:sz w:val="22"/>
          <w:szCs w:val="22"/>
          <w:lang w:val="sr-Latn-ME"/>
        </w:rPr>
        <w:t>neosjetljivim</w:t>
      </w:r>
      <w:r w:rsidR="00F85CD6" w:rsidRPr="008C5396">
        <w:rPr>
          <w:sz w:val="22"/>
          <w:szCs w:val="22"/>
          <w:lang w:val="sr-Latn-ME"/>
        </w:rPr>
        <w:t xml:space="preserve"> na imipenem.</w:t>
      </w:r>
    </w:p>
    <w:p w14:paraId="47264E33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392DE55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C5396">
        <w:rPr>
          <w:sz w:val="22"/>
          <w:szCs w:val="22"/>
          <w:u w:val="single"/>
          <w:lang w:val="sr-Latn-ME"/>
        </w:rPr>
        <w:t>Ograničenja spektra antibakterijske aktivnosti</w:t>
      </w:r>
    </w:p>
    <w:p w14:paraId="54683A9E" w14:textId="0485E015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 xml:space="preserve">Imipenem nema aktivnost protiv meticilin rezistentnih sojeva </w:t>
      </w:r>
      <w:r w:rsidRPr="008C5396">
        <w:rPr>
          <w:i/>
          <w:sz w:val="22"/>
          <w:szCs w:val="22"/>
          <w:lang w:val="sr-Latn-ME"/>
        </w:rPr>
        <w:t>Staphylococcus aureus</w:t>
      </w:r>
      <w:r w:rsidRPr="008C5396">
        <w:rPr>
          <w:sz w:val="22"/>
          <w:szCs w:val="22"/>
          <w:lang w:val="sr-Latn-ME"/>
        </w:rPr>
        <w:t xml:space="preserve"> (MRSA) i </w:t>
      </w:r>
      <w:r w:rsidRPr="008C5396">
        <w:rPr>
          <w:i/>
          <w:sz w:val="22"/>
          <w:szCs w:val="22"/>
          <w:lang w:val="sr-Latn-ME"/>
        </w:rPr>
        <w:t>Staphylococcus epidermidis</w:t>
      </w:r>
      <w:r w:rsidRPr="008C5396">
        <w:rPr>
          <w:sz w:val="22"/>
          <w:szCs w:val="22"/>
          <w:lang w:val="sr-Latn-ME"/>
        </w:rPr>
        <w:t xml:space="preserve"> (MRSE) ili protiv </w:t>
      </w:r>
      <w:r w:rsidRPr="008C5396">
        <w:rPr>
          <w:i/>
          <w:sz w:val="22"/>
          <w:szCs w:val="22"/>
          <w:lang w:val="sr-Latn-ME"/>
        </w:rPr>
        <w:t>Enterococcus faecium</w:t>
      </w:r>
      <w:r w:rsidRPr="008C5396">
        <w:rPr>
          <w:sz w:val="22"/>
          <w:szCs w:val="22"/>
          <w:lang w:val="sr-Latn-ME"/>
        </w:rPr>
        <w:t xml:space="preserve">. Kada se zna ili sumnja da ti patogeni doprinose infektivnom procesu, potrebno je </w:t>
      </w:r>
      <w:r w:rsidR="00D718CE" w:rsidRPr="008C5396">
        <w:rPr>
          <w:sz w:val="22"/>
          <w:szCs w:val="22"/>
          <w:lang w:val="sr-Latn-ME"/>
        </w:rPr>
        <w:t>primijeniti</w:t>
      </w:r>
      <w:r w:rsidRPr="008C5396">
        <w:rPr>
          <w:sz w:val="22"/>
          <w:szCs w:val="22"/>
          <w:lang w:val="sr-Latn-ME"/>
        </w:rPr>
        <w:t xml:space="preserve"> alternativne ili dodatne antibakterijske </w:t>
      </w:r>
      <w:r w:rsidR="00F965BC" w:rsidRPr="008C5396">
        <w:rPr>
          <w:sz w:val="22"/>
          <w:szCs w:val="22"/>
          <w:lang w:val="sr-Latn-ME"/>
        </w:rPr>
        <w:t>ljekove</w:t>
      </w:r>
      <w:r w:rsidRPr="008C5396">
        <w:rPr>
          <w:sz w:val="22"/>
          <w:szCs w:val="22"/>
          <w:lang w:val="sr-Latn-ME"/>
        </w:rPr>
        <w:t>.</w:t>
      </w:r>
    </w:p>
    <w:p w14:paraId="3D9DB423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6147C67" w14:textId="72C1909D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>Inhibitorni spektar relebaktama uključuje beta laktamaze klase A (kao što su ESBL i KPC) i beta laktamaze klase C, uključujući PDC. Relebaktam ne inhibira karbapenemaze klase D, kao što je OXA-48, ni metalo-beta-laktamaze klase B, kao što su NDM i VIM (</w:t>
      </w:r>
      <w:r w:rsidR="00D718CE" w:rsidRPr="008C5396">
        <w:rPr>
          <w:sz w:val="22"/>
          <w:szCs w:val="22"/>
          <w:lang w:val="sr-Latn-ME"/>
        </w:rPr>
        <w:t>vidjeti</w:t>
      </w:r>
      <w:r w:rsidRPr="008C5396">
        <w:rPr>
          <w:sz w:val="22"/>
          <w:szCs w:val="22"/>
          <w:lang w:val="sr-Latn-ME"/>
        </w:rPr>
        <w:t xml:space="preserve"> </w:t>
      </w:r>
      <w:r w:rsidR="007B2A33" w:rsidRPr="008C5396">
        <w:rPr>
          <w:sz w:val="22"/>
          <w:szCs w:val="22"/>
          <w:lang w:val="sr-Latn-ME"/>
        </w:rPr>
        <w:t xml:space="preserve">dio </w:t>
      </w:r>
      <w:r w:rsidRPr="008C5396">
        <w:rPr>
          <w:sz w:val="22"/>
          <w:szCs w:val="22"/>
          <w:lang w:val="sr-Latn-ME"/>
        </w:rPr>
        <w:t>5.1).</w:t>
      </w:r>
    </w:p>
    <w:p w14:paraId="3AF56584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3445A95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C5396">
        <w:rPr>
          <w:sz w:val="22"/>
          <w:szCs w:val="22"/>
          <w:u w:val="single"/>
          <w:lang w:val="sr-Latn-ME"/>
        </w:rPr>
        <w:t>Rezistentni organizmi</w:t>
      </w:r>
    </w:p>
    <w:p w14:paraId="2053F9F8" w14:textId="67FF2C58" w:rsidR="00F85CD6" w:rsidRPr="008C5396" w:rsidRDefault="0022431E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>Primjena</w:t>
      </w:r>
      <w:r w:rsidR="00F85CD6" w:rsidRPr="008C5396">
        <w:rPr>
          <w:sz w:val="22"/>
          <w:szCs w:val="22"/>
          <w:lang w:val="sr-Latn-ME"/>
        </w:rPr>
        <w:t xml:space="preserve"> imipenema/cilastatina/relebaktama može rezultovati prekomernim rastom rezistentnih organizama, što može zahtevati pri</w:t>
      </w:r>
      <w:r w:rsidR="00D718CE" w:rsidRPr="008C5396">
        <w:rPr>
          <w:sz w:val="22"/>
          <w:szCs w:val="22"/>
          <w:lang w:val="sr-Latn-ME"/>
        </w:rPr>
        <w:t>vrijeme</w:t>
      </w:r>
      <w:r w:rsidR="00F85CD6" w:rsidRPr="008C5396">
        <w:rPr>
          <w:sz w:val="22"/>
          <w:szCs w:val="22"/>
          <w:lang w:val="sr-Latn-ME"/>
        </w:rPr>
        <w:t xml:space="preserve">ni prekid </w:t>
      </w:r>
      <w:r w:rsidR="00D718CE" w:rsidRPr="008C5396">
        <w:rPr>
          <w:sz w:val="22"/>
          <w:szCs w:val="22"/>
          <w:lang w:val="sr-Latn-ME"/>
        </w:rPr>
        <w:t>liječenja</w:t>
      </w:r>
      <w:r w:rsidR="00F85CD6" w:rsidRPr="008C5396">
        <w:rPr>
          <w:sz w:val="22"/>
          <w:szCs w:val="22"/>
          <w:lang w:val="sr-Latn-ME"/>
        </w:rPr>
        <w:t xml:space="preserve"> ili sprovođenje drugih odgovarajućih </w:t>
      </w:r>
      <w:r w:rsidRPr="008C5396">
        <w:rPr>
          <w:sz w:val="22"/>
          <w:szCs w:val="22"/>
          <w:lang w:val="sr-Latn-ME"/>
        </w:rPr>
        <w:t>mjera</w:t>
      </w:r>
      <w:r w:rsidR="00F85CD6" w:rsidRPr="008C5396">
        <w:rPr>
          <w:sz w:val="22"/>
          <w:szCs w:val="22"/>
          <w:lang w:val="sr-Latn-ME"/>
        </w:rPr>
        <w:t>.</w:t>
      </w:r>
    </w:p>
    <w:p w14:paraId="50A9720A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F88C666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C5396">
        <w:rPr>
          <w:sz w:val="22"/>
          <w:szCs w:val="22"/>
          <w:u w:val="single"/>
          <w:lang w:val="sr-Latn-ME"/>
        </w:rPr>
        <w:t>Serokonverzija utvrđena antiglobulinskim testom (</w:t>
      </w:r>
      <w:r w:rsidRPr="008C5396">
        <w:rPr>
          <w:i/>
          <w:sz w:val="22"/>
          <w:szCs w:val="22"/>
          <w:u w:val="single"/>
          <w:lang w:val="sr-Latn-ME"/>
        </w:rPr>
        <w:t>Coombs</w:t>
      </w:r>
      <w:r w:rsidRPr="008C5396">
        <w:rPr>
          <w:sz w:val="22"/>
          <w:szCs w:val="22"/>
          <w:u w:val="single"/>
          <w:lang w:val="sr-Latn-ME"/>
        </w:rPr>
        <w:t>-ov test)</w:t>
      </w:r>
    </w:p>
    <w:p w14:paraId="0D2FE597" w14:textId="5161F2D1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 xml:space="preserve">Tokom </w:t>
      </w:r>
      <w:r w:rsidR="00D718CE" w:rsidRPr="008C5396">
        <w:rPr>
          <w:sz w:val="22"/>
          <w:szCs w:val="22"/>
          <w:lang w:val="sr-Latn-ME"/>
        </w:rPr>
        <w:t>liječenja</w:t>
      </w:r>
      <w:r w:rsidRPr="008C5396">
        <w:rPr>
          <w:sz w:val="22"/>
          <w:szCs w:val="22"/>
          <w:lang w:val="sr-Latn-ME"/>
        </w:rPr>
        <w:t xml:space="preserve"> imipenemom/cilastatinom/relebaktamom može se razviti pozitivan nalaz direktnog ili indirektnog </w:t>
      </w:r>
      <w:r w:rsidRPr="008C5396">
        <w:rPr>
          <w:i/>
          <w:sz w:val="22"/>
          <w:szCs w:val="22"/>
          <w:lang w:val="sr-Latn-ME"/>
        </w:rPr>
        <w:t>Coombs</w:t>
      </w:r>
      <w:r w:rsidRPr="008C5396">
        <w:rPr>
          <w:sz w:val="22"/>
          <w:szCs w:val="22"/>
          <w:lang w:val="sr-Latn-ME"/>
        </w:rPr>
        <w:t>-ovog testa (</w:t>
      </w:r>
      <w:r w:rsidR="00D718CE" w:rsidRPr="008C5396">
        <w:rPr>
          <w:sz w:val="22"/>
          <w:szCs w:val="22"/>
          <w:lang w:val="sr-Latn-ME"/>
        </w:rPr>
        <w:t>vidjeti</w:t>
      </w:r>
      <w:r w:rsidRPr="008C5396">
        <w:rPr>
          <w:sz w:val="22"/>
          <w:szCs w:val="22"/>
          <w:lang w:val="sr-Latn-ME"/>
        </w:rPr>
        <w:t xml:space="preserve"> </w:t>
      </w:r>
      <w:r w:rsidR="007B2A33" w:rsidRPr="008C5396">
        <w:rPr>
          <w:sz w:val="22"/>
          <w:szCs w:val="22"/>
          <w:lang w:val="sr-Latn-ME"/>
        </w:rPr>
        <w:t xml:space="preserve">dio </w:t>
      </w:r>
      <w:r w:rsidRPr="008C5396">
        <w:rPr>
          <w:sz w:val="22"/>
          <w:szCs w:val="22"/>
          <w:lang w:val="sr-Latn-ME"/>
        </w:rPr>
        <w:t>4.8).</w:t>
      </w:r>
    </w:p>
    <w:p w14:paraId="01877D9E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5EACCDF" w14:textId="77777777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C5396">
        <w:rPr>
          <w:sz w:val="22"/>
          <w:szCs w:val="22"/>
          <w:u w:val="single"/>
          <w:lang w:val="sr-Latn-ME"/>
        </w:rPr>
        <w:t>Dijeta sa kontrolisanim unosom natrijuma</w:t>
      </w:r>
    </w:p>
    <w:p w14:paraId="5BC262E0" w14:textId="70ED3B00" w:rsidR="00F85CD6" w:rsidRPr="008C5396" w:rsidRDefault="00F85C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5396">
        <w:rPr>
          <w:sz w:val="22"/>
          <w:szCs w:val="22"/>
          <w:lang w:val="sr-Latn-ME"/>
        </w:rPr>
        <w:t xml:space="preserve">Ovaj </w:t>
      </w:r>
      <w:r w:rsidR="00D718CE" w:rsidRPr="008C5396">
        <w:rPr>
          <w:sz w:val="22"/>
          <w:szCs w:val="22"/>
          <w:lang w:val="sr-Latn-ME"/>
        </w:rPr>
        <w:t>lijek</w:t>
      </w:r>
      <w:r w:rsidRPr="008C5396">
        <w:rPr>
          <w:sz w:val="22"/>
          <w:szCs w:val="22"/>
          <w:lang w:val="sr-Latn-ME"/>
        </w:rPr>
        <w:t xml:space="preserve"> sadrži ukupno 37,5 mg (1,6 mmol) natrijuma po bočici, što odgovara 1,9% maksimalnog dnevnog unosa od 2 g natrijuma prema preporukama Svetske zdravstvene organizacije (SZO) za odraslu osobu. Ovo treba uzeti u obzir prilikom prim</w:t>
      </w:r>
      <w:r w:rsidR="0022431E" w:rsidRPr="008C5396">
        <w:rPr>
          <w:sz w:val="22"/>
          <w:szCs w:val="22"/>
          <w:lang w:val="sr-Latn-ME"/>
        </w:rPr>
        <w:t>j</w:t>
      </w:r>
      <w:r w:rsidRPr="008C5396">
        <w:rPr>
          <w:sz w:val="22"/>
          <w:szCs w:val="22"/>
          <w:lang w:val="sr-Latn-ME"/>
        </w:rPr>
        <w:t xml:space="preserve">ene </w:t>
      </w:r>
      <w:r w:rsidR="00D718CE" w:rsidRPr="008C5396">
        <w:rPr>
          <w:sz w:val="22"/>
          <w:szCs w:val="22"/>
          <w:lang w:val="sr-Latn-ME"/>
        </w:rPr>
        <w:t>lijek</w:t>
      </w:r>
      <w:r w:rsidRPr="008C5396">
        <w:rPr>
          <w:sz w:val="22"/>
          <w:szCs w:val="22"/>
          <w:lang w:val="sr-Latn-ME"/>
        </w:rPr>
        <w:t>a RECARBRIO kod pacijenata koji su na dijeti sa kontrolisanim unosom natrijuma.</w:t>
      </w:r>
    </w:p>
    <w:p w14:paraId="5D9AC348" w14:textId="77777777" w:rsidR="00057E35" w:rsidRPr="008C5396" w:rsidRDefault="00057E35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49" w14:textId="77777777" w:rsidR="00411B4B" w:rsidRPr="008C5396" w:rsidRDefault="00411B4B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5396">
        <w:rPr>
          <w:b/>
          <w:bCs/>
          <w:sz w:val="22"/>
          <w:szCs w:val="22"/>
          <w:lang w:val="sr-Latn-ME"/>
        </w:rPr>
        <w:t>4.5.</w:t>
      </w:r>
      <w:r w:rsidR="000D60CC" w:rsidRPr="008C5396">
        <w:rPr>
          <w:b/>
          <w:bCs/>
          <w:sz w:val="22"/>
          <w:szCs w:val="22"/>
          <w:lang w:val="sr-Latn-ME"/>
        </w:rPr>
        <w:tab/>
      </w:r>
      <w:r w:rsidRPr="008C5396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D9AC34A" w14:textId="3D74BD81" w:rsidR="0072020E" w:rsidRPr="008C5396" w:rsidRDefault="0072020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CD1905" w14:textId="77777777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u w:val="single"/>
          <w:lang w:val="sr-Latn-ME"/>
        </w:rPr>
        <w:t>Ganciklovir</w:t>
      </w:r>
    </w:p>
    <w:p w14:paraId="5C45B0FA" w14:textId="77777777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A350B1" w14:textId="524EEB38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>Kod pacijenata koji su primali ganciklovir isto</w:t>
      </w:r>
      <w:r w:rsidR="0022431E" w:rsidRPr="008C5396">
        <w:rPr>
          <w:bCs/>
          <w:sz w:val="22"/>
          <w:szCs w:val="22"/>
          <w:lang w:val="sr-Latn-ME"/>
        </w:rPr>
        <w:t>vremeno</w:t>
      </w:r>
      <w:r w:rsidRPr="008C5396">
        <w:rPr>
          <w:bCs/>
          <w:sz w:val="22"/>
          <w:szCs w:val="22"/>
          <w:lang w:val="sr-Latn-ME"/>
        </w:rPr>
        <w:t xml:space="preserve"> sa imipenemom/cilastatinom, supstancama koje ulaze u sastav </w:t>
      </w:r>
      <w:r w:rsidR="00D718CE" w:rsidRPr="008C5396">
        <w:rPr>
          <w:bCs/>
          <w:sz w:val="22"/>
          <w:szCs w:val="22"/>
          <w:lang w:val="sr-Latn-ME"/>
        </w:rPr>
        <w:t>lijek</w:t>
      </w:r>
      <w:r w:rsidRPr="008C5396">
        <w:rPr>
          <w:bCs/>
          <w:sz w:val="22"/>
          <w:szCs w:val="22"/>
          <w:lang w:val="sr-Latn-ME"/>
        </w:rPr>
        <w:t xml:space="preserve">a RECARBRIO, prijavljeni su generalizovani epileptični napadi. Ganciklovir ne treba </w:t>
      </w:r>
      <w:r w:rsidR="00D718CE" w:rsidRPr="008C5396">
        <w:rPr>
          <w:bCs/>
          <w:sz w:val="22"/>
          <w:szCs w:val="22"/>
          <w:lang w:val="sr-Latn-ME"/>
        </w:rPr>
        <w:t>primjenjivati</w:t>
      </w:r>
      <w:r w:rsidRPr="008C5396">
        <w:rPr>
          <w:bCs/>
          <w:sz w:val="22"/>
          <w:szCs w:val="22"/>
          <w:lang w:val="sr-Latn-ME"/>
        </w:rPr>
        <w:t xml:space="preserve"> isto</w:t>
      </w:r>
      <w:r w:rsidR="0022431E" w:rsidRPr="008C5396">
        <w:rPr>
          <w:bCs/>
          <w:sz w:val="22"/>
          <w:szCs w:val="22"/>
          <w:lang w:val="sr-Latn-ME"/>
        </w:rPr>
        <w:t>vremeno</w:t>
      </w:r>
      <w:r w:rsidRPr="008C5396">
        <w:rPr>
          <w:bCs/>
          <w:sz w:val="22"/>
          <w:szCs w:val="22"/>
          <w:lang w:val="sr-Latn-ME"/>
        </w:rPr>
        <w:t xml:space="preserve"> sa </w:t>
      </w:r>
      <w:r w:rsidR="00D718CE" w:rsidRPr="008C5396">
        <w:rPr>
          <w:bCs/>
          <w:sz w:val="22"/>
          <w:szCs w:val="22"/>
          <w:lang w:val="sr-Latn-ME"/>
        </w:rPr>
        <w:t>lijek</w:t>
      </w:r>
      <w:r w:rsidRPr="008C5396">
        <w:rPr>
          <w:bCs/>
          <w:sz w:val="22"/>
          <w:szCs w:val="22"/>
          <w:lang w:val="sr-Latn-ME"/>
        </w:rPr>
        <w:t>om RECARBRIO osim ako je potencijalna korist veća od rizika.</w:t>
      </w:r>
    </w:p>
    <w:p w14:paraId="2C5B8964" w14:textId="77777777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B29B2B" w14:textId="446019FE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u w:val="single"/>
          <w:lang w:val="sr-Latn-ME"/>
        </w:rPr>
        <w:t xml:space="preserve">Valproinska </w:t>
      </w:r>
      <w:r w:rsidR="00456954" w:rsidRPr="008C5396">
        <w:rPr>
          <w:bCs/>
          <w:sz w:val="22"/>
          <w:szCs w:val="22"/>
          <w:u w:val="single"/>
          <w:lang w:val="sr-Latn-ME"/>
        </w:rPr>
        <w:t>kiselina</w:t>
      </w:r>
    </w:p>
    <w:p w14:paraId="34F7924B" w14:textId="77777777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B420A3" w14:textId="48085626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>Slučajevi opisani u literaturi pokazali su da isto</w:t>
      </w:r>
      <w:r w:rsidR="00D718CE" w:rsidRPr="008C5396">
        <w:rPr>
          <w:bCs/>
          <w:sz w:val="22"/>
          <w:szCs w:val="22"/>
          <w:lang w:val="sr-Latn-ME"/>
        </w:rPr>
        <w:t>vremena</w:t>
      </w:r>
      <w:r w:rsidRPr="008C5396">
        <w:rPr>
          <w:bCs/>
          <w:sz w:val="22"/>
          <w:szCs w:val="22"/>
          <w:lang w:val="sr-Latn-ME"/>
        </w:rPr>
        <w:t xml:space="preserve"> prim</w:t>
      </w:r>
      <w:r w:rsidR="00D718CE" w:rsidRPr="008C5396">
        <w:rPr>
          <w:bCs/>
          <w:sz w:val="22"/>
          <w:szCs w:val="22"/>
          <w:lang w:val="sr-Latn-ME"/>
        </w:rPr>
        <w:t>j</w:t>
      </w:r>
      <w:r w:rsidRPr="008C5396">
        <w:rPr>
          <w:bCs/>
          <w:sz w:val="22"/>
          <w:szCs w:val="22"/>
          <w:lang w:val="sr-Latn-ME"/>
        </w:rPr>
        <w:t xml:space="preserve">ena karbapenema, uključujući imipenem/cilastatin (supstance </w:t>
      </w:r>
      <w:r w:rsidR="00D718CE" w:rsidRPr="008C5396">
        <w:rPr>
          <w:bCs/>
          <w:sz w:val="22"/>
          <w:szCs w:val="22"/>
          <w:lang w:val="sr-Latn-ME"/>
        </w:rPr>
        <w:t>lijek</w:t>
      </w:r>
      <w:r w:rsidRPr="008C5396">
        <w:rPr>
          <w:bCs/>
          <w:sz w:val="22"/>
          <w:szCs w:val="22"/>
          <w:lang w:val="sr-Latn-ME"/>
        </w:rPr>
        <w:t xml:space="preserve">a RECARBRIO), kod pacijenata koji primaju valproinsku </w:t>
      </w:r>
      <w:r w:rsidR="00D718CE" w:rsidRPr="008C5396">
        <w:rPr>
          <w:bCs/>
          <w:sz w:val="22"/>
          <w:szCs w:val="22"/>
          <w:lang w:val="sr-Latn-ME"/>
        </w:rPr>
        <w:t>kisjelinu</w:t>
      </w:r>
      <w:r w:rsidRPr="008C5396">
        <w:rPr>
          <w:bCs/>
          <w:sz w:val="22"/>
          <w:szCs w:val="22"/>
          <w:lang w:val="sr-Latn-ME"/>
        </w:rPr>
        <w:t xml:space="preserve"> ili divalproeks-natrijum dovodi do smanjenja koncentracija valproinske kiseline. Usl</w:t>
      </w:r>
      <w:r w:rsidR="007B2A33" w:rsidRPr="008C5396">
        <w:rPr>
          <w:bCs/>
          <w:sz w:val="22"/>
          <w:szCs w:val="22"/>
          <w:lang w:val="sr-Latn-ME"/>
        </w:rPr>
        <w:t>j</w:t>
      </w:r>
      <w:r w:rsidRPr="008C5396">
        <w:rPr>
          <w:bCs/>
          <w:sz w:val="22"/>
          <w:szCs w:val="22"/>
          <w:lang w:val="sr-Latn-ME"/>
        </w:rPr>
        <w:t xml:space="preserve">ed te interakcije, koncentracije valproinske kiseline mogu pasti ispod terapijskog raspona i tako povećati rizik od probojnih epileptičnih napada. Iako mehanizam te interakcije nije poznat, podaci iz </w:t>
      </w:r>
      <w:r w:rsidRPr="008C5396">
        <w:rPr>
          <w:bCs/>
          <w:i/>
          <w:iCs/>
          <w:sz w:val="22"/>
          <w:szCs w:val="22"/>
          <w:lang w:val="sr-Latn-ME"/>
        </w:rPr>
        <w:t xml:space="preserve">in vitro </w:t>
      </w:r>
      <w:r w:rsidRPr="008C5396">
        <w:rPr>
          <w:bCs/>
          <w:sz w:val="22"/>
          <w:szCs w:val="22"/>
          <w:lang w:val="sr-Latn-ME"/>
        </w:rPr>
        <w:t xml:space="preserve">ispitivanja i ispitivanja na životinjama ukazuju na to da karbapenemi mogu inhibirati hidrolizu glukuronidnog metabolita valproinske kiseline (VPA-g) kojom ponovno nastaje valproinska </w:t>
      </w:r>
      <w:r w:rsidR="00456954" w:rsidRPr="008C5396">
        <w:rPr>
          <w:bCs/>
          <w:sz w:val="22"/>
          <w:szCs w:val="22"/>
          <w:lang w:val="sr-Latn-ME"/>
        </w:rPr>
        <w:t>kiselina</w:t>
      </w:r>
      <w:r w:rsidRPr="008C5396">
        <w:rPr>
          <w:bCs/>
          <w:sz w:val="22"/>
          <w:szCs w:val="22"/>
          <w:lang w:val="sr-Latn-ME"/>
        </w:rPr>
        <w:t xml:space="preserve"> i na taj način smanjiti koncentracije valproinske kiseline u serumu. Ne preporučuje se isto</w:t>
      </w:r>
      <w:r w:rsidR="00D718CE" w:rsidRPr="008C5396">
        <w:rPr>
          <w:bCs/>
          <w:sz w:val="22"/>
          <w:szCs w:val="22"/>
          <w:lang w:val="sr-Latn-ME"/>
        </w:rPr>
        <w:t>vremena</w:t>
      </w:r>
      <w:r w:rsidRPr="008C5396">
        <w:rPr>
          <w:bCs/>
          <w:sz w:val="22"/>
          <w:szCs w:val="22"/>
          <w:lang w:val="sr-Latn-ME"/>
        </w:rPr>
        <w:t xml:space="preserve"> </w:t>
      </w:r>
      <w:r w:rsidR="0022431E" w:rsidRPr="008C5396">
        <w:rPr>
          <w:bCs/>
          <w:sz w:val="22"/>
          <w:szCs w:val="22"/>
          <w:lang w:val="sr-Latn-ME"/>
        </w:rPr>
        <w:t>primjena</w:t>
      </w:r>
      <w:r w:rsidRPr="008C5396">
        <w:rPr>
          <w:bCs/>
          <w:sz w:val="22"/>
          <w:szCs w:val="22"/>
          <w:lang w:val="sr-Latn-ME"/>
        </w:rPr>
        <w:t xml:space="preserve"> </w:t>
      </w:r>
      <w:r w:rsidR="00D718CE" w:rsidRPr="008C5396">
        <w:rPr>
          <w:bCs/>
          <w:sz w:val="22"/>
          <w:szCs w:val="22"/>
          <w:lang w:val="sr-Latn-ME"/>
        </w:rPr>
        <w:t>lijek</w:t>
      </w:r>
      <w:r w:rsidRPr="008C5396">
        <w:rPr>
          <w:bCs/>
          <w:sz w:val="22"/>
          <w:szCs w:val="22"/>
          <w:lang w:val="sr-Latn-ME"/>
        </w:rPr>
        <w:t>a RECARBRIO i valproinske kiseline/divalproeks-natrijuma (</w:t>
      </w:r>
      <w:r w:rsidR="00D718CE" w:rsidRPr="008C5396">
        <w:rPr>
          <w:bCs/>
          <w:sz w:val="22"/>
          <w:szCs w:val="22"/>
          <w:lang w:val="sr-Latn-ME"/>
        </w:rPr>
        <w:t>vidjeti</w:t>
      </w:r>
      <w:r w:rsidRPr="008C5396">
        <w:rPr>
          <w:bCs/>
          <w:sz w:val="22"/>
          <w:szCs w:val="22"/>
          <w:lang w:val="sr-Latn-ME"/>
        </w:rPr>
        <w:t xml:space="preserve"> </w:t>
      </w:r>
      <w:r w:rsidR="007B2A33" w:rsidRPr="008C5396">
        <w:rPr>
          <w:bCs/>
          <w:sz w:val="22"/>
          <w:szCs w:val="22"/>
          <w:lang w:val="sr-Latn-ME"/>
        </w:rPr>
        <w:t xml:space="preserve">dio </w:t>
      </w:r>
      <w:r w:rsidRPr="008C5396">
        <w:rPr>
          <w:bCs/>
          <w:sz w:val="22"/>
          <w:szCs w:val="22"/>
          <w:lang w:val="sr-Latn-ME"/>
        </w:rPr>
        <w:t>4.4).</w:t>
      </w:r>
    </w:p>
    <w:p w14:paraId="5154DB70" w14:textId="77777777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7349CE" w14:textId="77777777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u w:val="single"/>
          <w:lang w:val="sr-Latn-ME"/>
        </w:rPr>
        <w:t>Oralni antikoagulansi</w:t>
      </w:r>
    </w:p>
    <w:p w14:paraId="44E32FD0" w14:textId="77777777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AE1F72" w14:textId="08B143A6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>Isto</w:t>
      </w:r>
      <w:r w:rsidR="00D718CE" w:rsidRPr="008C5396">
        <w:rPr>
          <w:bCs/>
          <w:sz w:val="22"/>
          <w:szCs w:val="22"/>
          <w:lang w:val="sr-Latn-ME"/>
        </w:rPr>
        <w:t>vremena</w:t>
      </w:r>
      <w:r w:rsidRPr="008C5396">
        <w:rPr>
          <w:bCs/>
          <w:sz w:val="22"/>
          <w:szCs w:val="22"/>
          <w:lang w:val="sr-Latn-ME"/>
        </w:rPr>
        <w:t xml:space="preserve"> </w:t>
      </w:r>
      <w:r w:rsidR="0022431E" w:rsidRPr="008C5396">
        <w:rPr>
          <w:bCs/>
          <w:sz w:val="22"/>
          <w:szCs w:val="22"/>
          <w:lang w:val="sr-Latn-ME"/>
        </w:rPr>
        <w:t>primjena</w:t>
      </w:r>
      <w:r w:rsidRPr="008C5396">
        <w:rPr>
          <w:bCs/>
          <w:sz w:val="22"/>
          <w:szCs w:val="22"/>
          <w:lang w:val="sr-Latn-ME"/>
        </w:rPr>
        <w:t xml:space="preserve"> antibakterijskih </w:t>
      </w:r>
      <w:r w:rsidR="00816A5C" w:rsidRPr="008C5396">
        <w:rPr>
          <w:bCs/>
          <w:sz w:val="22"/>
          <w:szCs w:val="22"/>
          <w:lang w:val="sr-Latn-ME"/>
        </w:rPr>
        <w:t>ljekov</w:t>
      </w:r>
      <w:r w:rsidRPr="008C5396">
        <w:rPr>
          <w:bCs/>
          <w:sz w:val="22"/>
          <w:szCs w:val="22"/>
          <w:lang w:val="sr-Latn-ME"/>
        </w:rPr>
        <w:t xml:space="preserve">a sa varfarinom može da pojača njegova antikoagulantna dejstva. Preporučuje se odgovarajuće praćenje internacionalnog normalizovanog odnosa (engl. </w:t>
      </w:r>
      <w:r w:rsidRPr="008C5396">
        <w:rPr>
          <w:bCs/>
          <w:i/>
          <w:sz w:val="22"/>
          <w:szCs w:val="22"/>
          <w:lang w:val="sr-Latn-ME"/>
        </w:rPr>
        <w:t xml:space="preserve">international normalized ratio, </w:t>
      </w:r>
      <w:r w:rsidRPr="008C5396">
        <w:rPr>
          <w:bCs/>
          <w:sz w:val="22"/>
          <w:szCs w:val="22"/>
          <w:lang w:val="sr-Latn-ME"/>
        </w:rPr>
        <w:t>INR) tokom i neposredno nakon isto</w:t>
      </w:r>
      <w:r w:rsidR="00D718CE" w:rsidRPr="008C5396">
        <w:rPr>
          <w:bCs/>
          <w:sz w:val="22"/>
          <w:szCs w:val="22"/>
          <w:lang w:val="sr-Latn-ME"/>
        </w:rPr>
        <w:t>vrijeme</w:t>
      </w:r>
      <w:r w:rsidRPr="008C5396">
        <w:rPr>
          <w:bCs/>
          <w:sz w:val="22"/>
          <w:szCs w:val="22"/>
          <w:lang w:val="sr-Latn-ME"/>
        </w:rPr>
        <w:t>ne primene antibiotika sa oralnim antikoagulansima.</w:t>
      </w:r>
    </w:p>
    <w:p w14:paraId="64F92CEE" w14:textId="77777777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3DA278" w14:textId="6C7CCE04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u w:val="single"/>
          <w:lang w:val="sr-Latn-ME"/>
        </w:rPr>
        <w:t xml:space="preserve">Klinička ispitivanja interakcija sa drugim </w:t>
      </w:r>
      <w:r w:rsidR="007E1A5B" w:rsidRPr="008C5396">
        <w:rPr>
          <w:bCs/>
          <w:sz w:val="22"/>
          <w:szCs w:val="22"/>
          <w:u w:val="single"/>
          <w:lang w:val="sr-Latn-ME"/>
        </w:rPr>
        <w:t>ljekovi</w:t>
      </w:r>
      <w:r w:rsidRPr="008C5396">
        <w:rPr>
          <w:bCs/>
          <w:sz w:val="22"/>
          <w:szCs w:val="22"/>
          <w:u w:val="single"/>
          <w:lang w:val="sr-Latn-ME"/>
        </w:rPr>
        <w:t>ma</w:t>
      </w:r>
    </w:p>
    <w:p w14:paraId="458EA0AC" w14:textId="77777777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96DE25" w14:textId="388A4060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C5396">
        <w:rPr>
          <w:bCs/>
          <w:sz w:val="22"/>
          <w:szCs w:val="22"/>
          <w:lang w:val="sr-Latn-ME"/>
        </w:rPr>
        <w:t xml:space="preserve">Kliničko ispitivanje interakcija sa drugim </w:t>
      </w:r>
      <w:r w:rsidR="007E1A5B" w:rsidRPr="008C5396">
        <w:rPr>
          <w:bCs/>
          <w:sz w:val="22"/>
          <w:szCs w:val="22"/>
          <w:lang w:val="sr-Latn-ME"/>
        </w:rPr>
        <w:t>ljekovi</w:t>
      </w:r>
      <w:r w:rsidRPr="008C5396">
        <w:rPr>
          <w:bCs/>
          <w:sz w:val="22"/>
          <w:szCs w:val="22"/>
          <w:lang w:val="sr-Latn-ME"/>
        </w:rPr>
        <w:t xml:space="preserve">ma pokazalo je da se izloženost imipenemu i relebaktamu ne povećava u klinički značajnoj meri kada se </w:t>
      </w:r>
      <w:r w:rsidR="00D718CE" w:rsidRPr="008C5396">
        <w:rPr>
          <w:bCs/>
          <w:sz w:val="22"/>
          <w:szCs w:val="22"/>
          <w:lang w:val="sr-Latn-ME"/>
        </w:rPr>
        <w:t>lijek</w:t>
      </w:r>
      <w:r w:rsidRPr="008C5396">
        <w:rPr>
          <w:bCs/>
          <w:sz w:val="22"/>
          <w:szCs w:val="22"/>
          <w:lang w:val="sr-Latn-ME"/>
        </w:rPr>
        <w:t xml:space="preserve"> RECARBRIO </w:t>
      </w:r>
      <w:r w:rsidR="00D718CE" w:rsidRPr="008C5396">
        <w:rPr>
          <w:bCs/>
          <w:sz w:val="22"/>
          <w:szCs w:val="22"/>
          <w:lang w:val="sr-Latn-ME"/>
        </w:rPr>
        <w:t>primjenjuje</w:t>
      </w:r>
      <w:r w:rsidRPr="008C5396">
        <w:rPr>
          <w:bCs/>
          <w:sz w:val="22"/>
          <w:szCs w:val="22"/>
          <w:lang w:val="sr-Latn-ME"/>
        </w:rPr>
        <w:t xml:space="preserve"> isto</w:t>
      </w:r>
      <w:r w:rsidR="0022431E" w:rsidRPr="008C5396">
        <w:rPr>
          <w:bCs/>
          <w:sz w:val="22"/>
          <w:szCs w:val="22"/>
          <w:lang w:val="sr-Latn-ME"/>
        </w:rPr>
        <w:t>vremeno</w:t>
      </w:r>
      <w:r w:rsidRPr="008C5396">
        <w:rPr>
          <w:bCs/>
          <w:sz w:val="22"/>
          <w:szCs w:val="22"/>
          <w:lang w:val="sr-Latn-ME"/>
        </w:rPr>
        <w:t xml:space="preserve"> sa prototipnim inhibitorom organskih anjonskih transportera (OAT) probenecidom, što ukazuje na izostanak klinički značajnih interakcija između </w:t>
      </w:r>
      <w:r w:rsidR="00816A5C" w:rsidRPr="008C5396">
        <w:rPr>
          <w:bCs/>
          <w:sz w:val="22"/>
          <w:szCs w:val="22"/>
          <w:lang w:val="sr-Latn-ME"/>
        </w:rPr>
        <w:t>ljekov</w:t>
      </w:r>
      <w:r w:rsidRPr="008C5396">
        <w:rPr>
          <w:bCs/>
          <w:sz w:val="22"/>
          <w:szCs w:val="22"/>
          <w:lang w:val="sr-Latn-ME"/>
        </w:rPr>
        <w:t>a u kojima posreduju organski anjonski transporteri. Isto</w:t>
      </w:r>
      <w:r w:rsidR="00D718CE" w:rsidRPr="008C5396">
        <w:rPr>
          <w:bCs/>
          <w:sz w:val="22"/>
          <w:szCs w:val="22"/>
          <w:lang w:val="sr-Latn-ME"/>
        </w:rPr>
        <w:t>vremena</w:t>
      </w:r>
      <w:r w:rsidRPr="008C5396">
        <w:rPr>
          <w:bCs/>
          <w:sz w:val="22"/>
          <w:szCs w:val="22"/>
          <w:lang w:val="sr-Latn-ME"/>
        </w:rPr>
        <w:t xml:space="preserve"> </w:t>
      </w:r>
      <w:r w:rsidR="0022431E" w:rsidRPr="008C5396">
        <w:rPr>
          <w:bCs/>
          <w:sz w:val="22"/>
          <w:szCs w:val="22"/>
          <w:lang w:val="sr-Latn-ME"/>
        </w:rPr>
        <w:t>primjena</w:t>
      </w:r>
      <w:r w:rsidRPr="008C5396">
        <w:rPr>
          <w:bCs/>
          <w:sz w:val="22"/>
          <w:szCs w:val="22"/>
          <w:lang w:val="sr-Latn-ME"/>
        </w:rPr>
        <w:t xml:space="preserve"> imipenema/cilastatina i probenecida povećala je koncentracije cilastatina u plazmi i produžila polu</w:t>
      </w:r>
      <w:r w:rsidR="00D718CE" w:rsidRPr="008C5396">
        <w:rPr>
          <w:bCs/>
          <w:sz w:val="22"/>
          <w:szCs w:val="22"/>
          <w:lang w:val="sr-Latn-ME"/>
        </w:rPr>
        <w:t>vrijeme</w:t>
      </w:r>
      <w:r w:rsidRPr="008C5396">
        <w:rPr>
          <w:bCs/>
          <w:sz w:val="22"/>
          <w:szCs w:val="22"/>
          <w:lang w:val="sr-Latn-ME"/>
        </w:rPr>
        <w:t xml:space="preserve"> eliminacije cilastatina, ali ne u klinički značajnoj meri. Stoga se </w:t>
      </w:r>
      <w:r w:rsidR="00D718CE" w:rsidRPr="008C5396">
        <w:rPr>
          <w:bCs/>
          <w:sz w:val="22"/>
          <w:szCs w:val="22"/>
          <w:lang w:val="sr-Latn-ME"/>
        </w:rPr>
        <w:t>lijek</w:t>
      </w:r>
      <w:r w:rsidRPr="008C5396">
        <w:rPr>
          <w:bCs/>
          <w:sz w:val="22"/>
          <w:szCs w:val="22"/>
          <w:lang w:val="sr-Latn-ME"/>
        </w:rPr>
        <w:t xml:space="preserve"> RECARBRIO može </w:t>
      </w:r>
      <w:r w:rsidR="00D718CE" w:rsidRPr="008C5396">
        <w:rPr>
          <w:bCs/>
          <w:sz w:val="22"/>
          <w:szCs w:val="22"/>
          <w:lang w:val="sr-Latn-ME"/>
        </w:rPr>
        <w:t>primjenjivati</w:t>
      </w:r>
      <w:r w:rsidRPr="008C5396">
        <w:rPr>
          <w:bCs/>
          <w:sz w:val="22"/>
          <w:szCs w:val="22"/>
          <w:lang w:val="sr-Latn-ME"/>
        </w:rPr>
        <w:t xml:space="preserve"> isto</w:t>
      </w:r>
      <w:r w:rsidR="00D718CE" w:rsidRPr="008C5396">
        <w:rPr>
          <w:bCs/>
          <w:sz w:val="22"/>
          <w:szCs w:val="22"/>
          <w:lang w:val="sr-Latn-ME"/>
        </w:rPr>
        <w:t>vr</w:t>
      </w:r>
      <w:r w:rsidR="0022431E" w:rsidRPr="008C5396">
        <w:rPr>
          <w:bCs/>
          <w:sz w:val="22"/>
          <w:szCs w:val="22"/>
          <w:lang w:val="sr-Latn-ME"/>
        </w:rPr>
        <w:t>e</w:t>
      </w:r>
      <w:r w:rsidR="00D718CE" w:rsidRPr="008C5396">
        <w:rPr>
          <w:bCs/>
          <w:sz w:val="22"/>
          <w:szCs w:val="22"/>
          <w:lang w:val="sr-Latn-ME"/>
        </w:rPr>
        <w:t>me</w:t>
      </w:r>
      <w:r w:rsidRPr="008C5396">
        <w:rPr>
          <w:bCs/>
          <w:sz w:val="22"/>
          <w:szCs w:val="22"/>
          <w:lang w:val="sr-Latn-ME"/>
        </w:rPr>
        <w:t>no sa inhibitorima OAT-a.</w:t>
      </w:r>
    </w:p>
    <w:p w14:paraId="7A775FCC" w14:textId="77777777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522DCC" w14:textId="77777777" w:rsidR="0020459E" w:rsidRDefault="0020459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9AC34B" w14:textId="361E23DA" w:rsidR="0072020E" w:rsidRPr="008C5396" w:rsidRDefault="0072020E" w:rsidP="007B2A33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8C5396">
        <w:rPr>
          <w:b/>
          <w:bCs/>
          <w:sz w:val="22"/>
          <w:szCs w:val="22"/>
          <w:lang w:val="sr-Latn-ME"/>
        </w:rPr>
        <w:t xml:space="preserve">4.6. </w:t>
      </w:r>
      <w:r w:rsidR="00480FB1" w:rsidRPr="008C5396">
        <w:rPr>
          <w:b/>
          <w:bCs/>
          <w:sz w:val="22"/>
          <w:szCs w:val="22"/>
          <w:lang w:val="sr-Latn-ME"/>
        </w:rPr>
        <w:tab/>
      </w:r>
      <w:r w:rsidR="006D20A5" w:rsidRPr="008C5396">
        <w:rPr>
          <w:b/>
          <w:sz w:val="22"/>
          <w:szCs w:val="22"/>
          <w:lang w:val="sr-Latn-ME"/>
        </w:rPr>
        <w:t>Plodnost, trudnoća i dojenje</w:t>
      </w:r>
    </w:p>
    <w:p w14:paraId="5D9AC34C" w14:textId="77777777" w:rsidR="002031B3" w:rsidRPr="008C5396" w:rsidRDefault="002031B3" w:rsidP="007B2A3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1A5BECC" w14:textId="77777777" w:rsidR="00C80414" w:rsidRPr="008C5396" w:rsidRDefault="00C80414" w:rsidP="007B2A33">
      <w:pPr>
        <w:pStyle w:val="BodyText"/>
        <w:kinsoku w:val="0"/>
        <w:overflowPunct w:val="0"/>
        <w:jc w:val="both"/>
        <w:rPr>
          <w:lang w:val="sr-Latn-ME"/>
        </w:rPr>
      </w:pPr>
      <w:r w:rsidRPr="008C5396">
        <w:rPr>
          <w:u w:val="single"/>
          <w:lang w:val="sr-Latn-ME"/>
        </w:rPr>
        <w:t>Plodnost</w:t>
      </w:r>
    </w:p>
    <w:p w14:paraId="4E953FE5" w14:textId="77777777" w:rsidR="00C80414" w:rsidRPr="008C5396" w:rsidRDefault="00C80414" w:rsidP="007B2A33">
      <w:pPr>
        <w:pStyle w:val="BodyText"/>
        <w:kinsoku w:val="0"/>
        <w:overflowPunct w:val="0"/>
        <w:spacing w:before="1"/>
        <w:jc w:val="both"/>
        <w:rPr>
          <w:sz w:val="14"/>
          <w:szCs w:val="14"/>
          <w:lang w:val="sr-Latn-ME"/>
        </w:rPr>
      </w:pPr>
    </w:p>
    <w:p w14:paraId="4EC11F57" w14:textId="60D3EBFA" w:rsidR="00C80414" w:rsidRPr="008C5396" w:rsidRDefault="00C80414" w:rsidP="007B2A33">
      <w:pPr>
        <w:pStyle w:val="BodyText"/>
        <w:kinsoku w:val="0"/>
        <w:overflowPunct w:val="0"/>
        <w:spacing w:before="91"/>
        <w:jc w:val="both"/>
        <w:rPr>
          <w:lang w:val="sr-Latn-ME"/>
        </w:rPr>
      </w:pPr>
      <w:r w:rsidRPr="008C5396">
        <w:rPr>
          <w:lang w:val="sr-Latn-ME"/>
        </w:rPr>
        <w:t xml:space="preserve">Nema dostupnih podataka kod ljudi o mogućim uticajima terapije imipenemom/cilastatinom ili relebaktamom na plodnost muškaraca ili žena. Ispitivanja na životinjama ne ukazuju na štetna dejstva imipenema/cilastatina ili relebaktama na plodnost (vidjeti </w:t>
      </w:r>
      <w:r w:rsidR="007B2A33" w:rsidRPr="008C5396">
        <w:rPr>
          <w:lang w:val="sr-Latn-ME"/>
        </w:rPr>
        <w:t xml:space="preserve">dio </w:t>
      </w:r>
      <w:r w:rsidRPr="008C5396">
        <w:rPr>
          <w:lang w:val="sr-Latn-ME"/>
        </w:rPr>
        <w:t>5.3).</w:t>
      </w:r>
    </w:p>
    <w:p w14:paraId="2D2761FA" w14:textId="77777777" w:rsidR="00C80414" w:rsidRPr="008C5396" w:rsidRDefault="00C80414" w:rsidP="007B2A33">
      <w:pPr>
        <w:pStyle w:val="BodyText"/>
        <w:kinsoku w:val="0"/>
        <w:overflowPunct w:val="0"/>
        <w:jc w:val="both"/>
        <w:rPr>
          <w:u w:val="single"/>
          <w:lang w:val="sr-Latn-ME"/>
        </w:rPr>
      </w:pPr>
    </w:p>
    <w:p w14:paraId="2D40E10B" w14:textId="30D31708" w:rsidR="00714950" w:rsidRPr="008C5396" w:rsidRDefault="00714950" w:rsidP="007B2A33">
      <w:pPr>
        <w:pStyle w:val="BodyText"/>
        <w:kinsoku w:val="0"/>
        <w:overflowPunct w:val="0"/>
        <w:jc w:val="both"/>
        <w:rPr>
          <w:lang w:val="sr-Latn-ME"/>
        </w:rPr>
      </w:pPr>
      <w:r w:rsidRPr="008C5396">
        <w:rPr>
          <w:u w:val="single"/>
          <w:lang w:val="sr-Latn-ME"/>
        </w:rPr>
        <w:lastRenderedPageBreak/>
        <w:t>Trudnoća</w:t>
      </w:r>
    </w:p>
    <w:p w14:paraId="2D062D07" w14:textId="77777777" w:rsidR="00714950" w:rsidRPr="008C5396" w:rsidRDefault="00714950" w:rsidP="007B2A33">
      <w:pPr>
        <w:pStyle w:val="BodyText"/>
        <w:kinsoku w:val="0"/>
        <w:overflowPunct w:val="0"/>
        <w:spacing w:before="1"/>
        <w:jc w:val="both"/>
        <w:rPr>
          <w:sz w:val="14"/>
          <w:szCs w:val="14"/>
          <w:lang w:val="sr-Latn-ME"/>
        </w:rPr>
      </w:pPr>
    </w:p>
    <w:p w14:paraId="60FA2AB3" w14:textId="0B253D65" w:rsidR="00714950" w:rsidRPr="008C5396" w:rsidRDefault="00714950" w:rsidP="007B2A33">
      <w:pPr>
        <w:pStyle w:val="BodyText"/>
        <w:kinsoku w:val="0"/>
        <w:overflowPunct w:val="0"/>
        <w:spacing w:before="92"/>
        <w:jc w:val="both"/>
        <w:rPr>
          <w:lang w:val="sr-Latn-ME"/>
        </w:rPr>
      </w:pPr>
      <w:r w:rsidRPr="008C5396">
        <w:rPr>
          <w:lang w:val="sr-Latn-ME"/>
        </w:rPr>
        <w:t xml:space="preserve">Nema odgovarajućih i dobro kontrolisanih ispitivanja u vezi sa </w:t>
      </w:r>
      <w:r w:rsidR="00D718CE" w:rsidRPr="008C5396">
        <w:rPr>
          <w:lang w:val="sr-Latn-ME"/>
        </w:rPr>
        <w:t>primjenom</w:t>
      </w:r>
      <w:r w:rsidRPr="008C5396">
        <w:rPr>
          <w:lang w:val="sr-Latn-ME"/>
        </w:rPr>
        <w:t xml:space="preserve"> imipenema, cilastatina ili relebaktama kod trudnica.</w:t>
      </w:r>
    </w:p>
    <w:p w14:paraId="784507F7" w14:textId="77777777" w:rsidR="00714950" w:rsidRPr="008C5396" w:rsidRDefault="00714950" w:rsidP="007B2A33">
      <w:pPr>
        <w:pStyle w:val="BodyText"/>
        <w:kinsoku w:val="0"/>
        <w:overflowPunct w:val="0"/>
        <w:jc w:val="both"/>
        <w:rPr>
          <w:lang w:val="sr-Latn-ME"/>
        </w:rPr>
      </w:pPr>
    </w:p>
    <w:p w14:paraId="0B4F8100" w14:textId="1FAADA1D" w:rsidR="00714950" w:rsidRPr="008C5396" w:rsidRDefault="00714950" w:rsidP="007B2A33">
      <w:pPr>
        <w:pStyle w:val="BodyText"/>
        <w:kinsoku w:val="0"/>
        <w:overflowPunct w:val="0"/>
        <w:jc w:val="both"/>
        <w:rPr>
          <w:lang w:val="sr-Latn-ME"/>
        </w:rPr>
      </w:pPr>
      <w:r w:rsidRPr="008C5396">
        <w:rPr>
          <w:lang w:val="sr-Latn-ME"/>
        </w:rPr>
        <w:t>Ispitivanja na životinjama sa imipenemom/cilastatinom pokazala su reproduktivnu toksičnost kod majmuna (</w:t>
      </w:r>
      <w:r w:rsidR="00D718CE" w:rsidRPr="008C5396">
        <w:rPr>
          <w:lang w:val="sr-Latn-ME"/>
        </w:rPr>
        <w:t>vidjeti</w:t>
      </w:r>
      <w:r w:rsidRPr="008C5396">
        <w:rPr>
          <w:lang w:val="sr-Latn-ME"/>
        </w:rPr>
        <w:t xml:space="preserve"> </w:t>
      </w:r>
      <w:r w:rsidR="007B2A33" w:rsidRPr="008C5396">
        <w:rPr>
          <w:lang w:val="sr-Latn-ME"/>
        </w:rPr>
        <w:t xml:space="preserve">dio </w:t>
      </w:r>
      <w:r w:rsidRPr="008C5396">
        <w:rPr>
          <w:lang w:val="sr-Latn-ME"/>
        </w:rPr>
        <w:t>5.3). Nije poznat mogući rizik za ljude. Studije na životinjama sa relebaktamom ne ukazuju na direktna ili indirektna štetna dejstva relebaktama u pogledu reproduktivne toksičnosti (</w:t>
      </w:r>
      <w:r w:rsidR="00D718CE" w:rsidRPr="008C5396">
        <w:rPr>
          <w:lang w:val="sr-Latn-ME"/>
        </w:rPr>
        <w:t>vidjeti</w:t>
      </w:r>
      <w:r w:rsidRPr="008C5396">
        <w:rPr>
          <w:lang w:val="sr-Latn-ME"/>
        </w:rPr>
        <w:t xml:space="preserve"> </w:t>
      </w:r>
      <w:r w:rsidR="007B2A33" w:rsidRPr="008C5396">
        <w:rPr>
          <w:lang w:val="sr-Latn-ME"/>
        </w:rPr>
        <w:t xml:space="preserve">dio </w:t>
      </w:r>
      <w:r w:rsidRPr="008C5396">
        <w:rPr>
          <w:lang w:val="sr-Latn-ME"/>
        </w:rPr>
        <w:t>5.3).</w:t>
      </w:r>
    </w:p>
    <w:p w14:paraId="041490A1" w14:textId="77777777" w:rsidR="00714950" w:rsidRPr="008C5396" w:rsidRDefault="00714950" w:rsidP="007B2A33">
      <w:pPr>
        <w:pStyle w:val="BodyText"/>
        <w:kinsoku w:val="0"/>
        <w:overflowPunct w:val="0"/>
        <w:spacing w:before="2"/>
        <w:jc w:val="both"/>
        <w:rPr>
          <w:lang w:val="sr-Latn-ME"/>
        </w:rPr>
      </w:pPr>
    </w:p>
    <w:p w14:paraId="23FD29BC" w14:textId="1142F567" w:rsidR="00714950" w:rsidRPr="008C5396" w:rsidRDefault="00D718CE" w:rsidP="007B2A33">
      <w:pPr>
        <w:pStyle w:val="BodyText"/>
        <w:kinsoku w:val="0"/>
        <w:overflowPunct w:val="0"/>
        <w:jc w:val="both"/>
        <w:rPr>
          <w:lang w:val="sr-Latn-ME"/>
        </w:rPr>
      </w:pPr>
      <w:r w:rsidRPr="008C5396">
        <w:rPr>
          <w:lang w:val="sr-Latn-ME"/>
        </w:rPr>
        <w:t>Lijek</w:t>
      </w:r>
      <w:r w:rsidR="00714950" w:rsidRPr="008C5396">
        <w:rPr>
          <w:lang w:val="sr-Latn-ME"/>
        </w:rPr>
        <w:t xml:space="preserve"> RECARBRIO treba da se </w:t>
      </w:r>
      <w:r w:rsidRPr="008C5396">
        <w:rPr>
          <w:lang w:val="sr-Latn-ME"/>
        </w:rPr>
        <w:t>primjenjuje</w:t>
      </w:r>
      <w:r w:rsidR="00714950" w:rsidRPr="008C5396">
        <w:rPr>
          <w:lang w:val="sr-Latn-ME"/>
        </w:rPr>
        <w:t xml:space="preserve"> tokom trudnoće samo ako moguća korist za majku opravdava mogući rizik za fetus.</w:t>
      </w:r>
    </w:p>
    <w:p w14:paraId="4236E272" w14:textId="77777777" w:rsidR="00714950" w:rsidRPr="008C5396" w:rsidRDefault="00714950" w:rsidP="007B2A33">
      <w:pPr>
        <w:pStyle w:val="BodyText"/>
        <w:kinsoku w:val="0"/>
        <w:overflowPunct w:val="0"/>
        <w:spacing w:before="11"/>
        <w:jc w:val="both"/>
        <w:rPr>
          <w:sz w:val="21"/>
          <w:szCs w:val="21"/>
          <w:lang w:val="sr-Latn-ME"/>
        </w:rPr>
      </w:pPr>
    </w:p>
    <w:p w14:paraId="4E99FE63" w14:textId="77777777" w:rsidR="00714950" w:rsidRPr="008C5396" w:rsidRDefault="00714950" w:rsidP="007B2A33">
      <w:pPr>
        <w:pStyle w:val="BodyText"/>
        <w:kinsoku w:val="0"/>
        <w:overflowPunct w:val="0"/>
        <w:jc w:val="both"/>
        <w:rPr>
          <w:lang w:val="sr-Latn-ME"/>
        </w:rPr>
      </w:pPr>
      <w:r w:rsidRPr="008C5396">
        <w:rPr>
          <w:u w:val="single"/>
          <w:lang w:val="sr-Latn-ME"/>
        </w:rPr>
        <w:t>Dojenje</w:t>
      </w:r>
    </w:p>
    <w:p w14:paraId="04C1070B" w14:textId="77777777" w:rsidR="00714950" w:rsidRPr="008C5396" w:rsidRDefault="00714950" w:rsidP="007B2A33">
      <w:pPr>
        <w:pStyle w:val="BodyText"/>
        <w:kinsoku w:val="0"/>
        <w:overflowPunct w:val="0"/>
        <w:spacing w:before="1"/>
        <w:jc w:val="both"/>
        <w:rPr>
          <w:sz w:val="14"/>
          <w:szCs w:val="14"/>
          <w:lang w:val="sr-Latn-ME"/>
        </w:rPr>
      </w:pPr>
    </w:p>
    <w:p w14:paraId="7C37D3C2" w14:textId="32AD8214" w:rsidR="00714950" w:rsidRPr="008C5396" w:rsidRDefault="00714950" w:rsidP="007B2A33">
      <w:pPr>
        <w:pStyle w:val="BodyText"/>
        <w:kinsoku w:val="0"/>
        <w:overflowPunct w:val="0"/>
        <w:spacing w:before="92"/>
        <w:jc w:val="both"/>
        <w:rPr>
          <w:lang w:val="sr-Latn-ME"/>
        </w:rPr>
      </w:pPr>
      <w:r w:rsidRPr="008C5396">
        <w:rPr>
          <w:lang w:val="sr-Latn-ME"/>
        </w:rPr>
        <w:t xml:space="preserve">Imipenem i cilastatin se izlučuju u malim količinama u majčino </w:t>
      </w:r>
      <w:r w:rsidR="007903A3" w:rsidRPr="008C5396">
        <w:rPr>
          <w:lang w:val="sr-Latn-ME"/>
        </w:rPr>
        <w:t>ml</w:t>
      </w:r>
      <w:r w:rsidR="00D718CE" w:rsidRPr="008C5396">
        <w:rPr>
          <w:lang w:val="sr-Latn-ME"/>
        </w:rPr>
        <w:t>ijek</w:t>
      </w:r>
      <w:r w:rsidRPr="008C5396">
        <w:rPr>
          <w:lang w:val="sr-Latn-ME"/>
        </w:rPr>
        <w:t>o.</w:t>
      </w:r>
    </w:p>
    <w:p w14:paraId="04C3C479" w14:textId="77777777" w:rsidR="00714950" w:rsidRPr="008C5396" w:rsidRDefault="00714950" w:rsidP="007B2A33">
      <w:pPr>
        <w:pStyle w:val="BodyText"/>
        <w:kinsoku w:val="0"/>
        <w:overflowPunct w:val="0"/>
        <w:jc w:val="both"/>
        <w:rPr>
          <w:lang w:val="sr-Latn-ME"/>
        </w:rPr>
      </w:pPr>
    </w:p>
    <w:p w14:paraId="65550755" w14:textId="05763BDE" w:rsidR="00714950" w:rsidRPr="008C5396" w:rsidRDefault="00714950" w:rsidP="007B2A33">
      <w:pPr>
        <w:pStyle w:val="BodyText"/>
        <w:kinsoku w:val="0"/>
        <w:overflowPunct w:val="0"/>
        <w:jc w:val="both"/>
        <w:rPr>
          <w:lang w:val="sr-Latn-ME"/>
        </w:rPr>
      </w:pPr>
      <w:r w:rsidRPr="008C5396">
        <w:rPr>
          <w:lang w:val="sr-Latn-ME"/>
        </w:rPr>
        <w:t xml:space="preserve">Nije poznato da li se relebaktam izlučuje u majčino </w:t>
      </w:r>
      <w:r w:rsidR="007903A3" w:rsidRPr="008C5396">
        <w:rPr>
          <w:lang w:val="sr-Latn-ME"/>
        </w:rPr>
        <w:t>ml</w:t>
      </w:r>
      <w:r w:rsidR="00D718CE" w:rsidRPr="008C5396">
        <w:rPr>
          <w:lang w:val="sr-Latn-ME"/>
        </w:rPr>
        <w:t>ijek</w:t>
      </w:r>
      <w:r w:rsidRPr="008C5396">
        <w:rPr>
          <w:lang w:val="sr-Latn-ME"/>
        </w:rPr>
        <w:t xml:space="preserve">o kod ljudi. Raspoloživi podaci dobijeni ispitivanjima na životinjama pokazuju da se relebaktam izlučuje u </w:t>
      </w:r>
      <w:r w:rsidR="007903A3" w:rsidRPr="008C5396">
        <w:rPr>
          <w:lang w:val="sr-Latn-ME"/>
        </w:rPr>
        <w:t>ml</w:t>
      </w:r>
      <w:r w:rsidR="00D718CE" w:rsidRPr="008C5396">
        <w:rPr>
          <w:lang w:val="sr-Latn-ME"/>
        </w:rPr>
        <w:t>ijek</w:t>
      </w:r>
      <w:r w:rsidRPr="008C5396">
        <w:rPr>
          <w:lang w:val="sr-Latn-ME"/>
        </w:rPr>
        <w:t xml:space="preserve">o ženki pacova (za detaljne informacije </w:t>
      </w:r>
      <w:r w:rsidR="00D718CE" w:rsidRPr="008C5396">
        <w:rPr>
          <w:lang w:val="sr-Latn-ME"/>
        </w:rPr>
        <w:t>vidjeti</w:t>
      </w:r>
      <w:r w:rsidRPr="008C5396">
        <w:rPr>
          <w:lang w:val="sr-Latn-ME"/>
        </w:rPr>
        <w:t xml:space="preserve"> </w:t>
      </w:r>
      <w:r w:rsidR="007B2A33" w:rsidRPr="008C5396">
        <w:rPr>
          <w:lang w:val="sr-Latn-ME"/>
        </w:rPr>
        <w:t xml:space="preserve">dio </w:t>
      </w:r>
      <w:r w:rsidRPr="008C5396">
        <w:rPr>
          <w:lang w:val="sr-Latn-ME"/>
        </w:rPr>
        <w:t>5.3).</w:t>
      </w:r>
    </w:p>
    <w:p w14:paraId="0A073C9F" w14:textId="77777777" w:rsidR="00714950" w:rsidRPr="008C5396" w:rsidRDefault="00714950" w:rsidP="007B2A33">
      <w:pPr>
        <w:pStyle w:val="BodyText"/>
        <w:kinsoku w:val="0"/>
        <w:overflowPunct w:val="0"/>
        <w:spacing w:before="11"/>
        <w:jc w:val="both"/>
        <w:rPr>
          <w:sz w:val="21"/>
          <w:szCs w:val="21"/>
          <w:lang w:val="sr-Latn-ME"/>
        </w:rPr>
      </w:pPr>
    </w:p>
    <w:p w14:paraId="52AD5316" w14:textId="198A6506" w:rsidR="00714950" w:rsidRPr="008C5396" w:rsidRDefault="00714950" w:rsidP="007B2A33">
      <w:pPr>
        <w:pStyle w:val="BodyText"/>
        <w:kinsoku w:val="0"/>
        <w:overflowPunct w:val="0"/>
        <w:jc w:val="both"/>
        <w:rPr>
          <w:lang w:val="sr-Latn-ME"/>
        </w:rPr>
      </w:pPr>
      <w:r w:rsidRPr="008C5396">
        <w:rPr>
          <w:lang w:val="sr-Latn-ME"/>
        </w:rPr>
        <w:t xml:space="preserve">Ne može se isključiti rizik po novorođenče/odojče. Odluka o tome da li da se prekine dojenje ili da se prekine terapija </w:t>
      </w:r>
      <w:r w:rsidR="00D718CE" w:rsidRPr="008C5396">
        <w:rPr>
          <w:lang w:val="sr-Latn-ME"/>
        </w:rPr>
        <w:t>lijek</w:t>
      </w:r>
      <w:r w:rsidRPr="008C5396">
        <w:rPr>
          <w:lang w:val="sr-Latn-ME"/>
        </w:rPr>
        <w:t>om RECARBRIO, mora se don</w:t>
      </w:r>
      <w:r w:rsidR="00A46ACA" w:rsidRPr="008C5396">
        <w:rPr>
          <w:lang w:val="sr-Latn-ME"/>
        </w:rPr>
        <w:t>ij</w:t>
      </w:r>
      <w:r w:rsidRPr="008C5396">
        <w:rPr>
          <w:lang w:val="sr-Latn-ME"/>
        </w:rPr>
        <w:t>eti uzimajući u obzir korist od dojenja za d</w:t>
      </w:r>
      <w:r w:rsidR="00D718CE" w:rsidRPr="008C5396">
        <w:rPr>
          <w:lang w:val="sr-Latn-ME"/>
        </w:rPr>
        <w:t>ij</w:t>
      </w:r>
      <w:r w:rsidRPr="008C5396">
        <w:rPr>
          <w:lang w:val="sr-Latn-ME"/>
        </w:rPr>
        <w:t>ete i korist od terapije za ženu.</w:t>
      </w:r>
    </w:p>
    <w:p w14:paraId="5D9AC352" w14:textId="77777777" w:rsidR="00227BDB" w:rsidRPr="008C5396" w:rsidRDefault="00227BDB" w:rsidP="007B2A33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5D9AC353" w14:textId="77777777" w:rsidR="0072020E" w:rsidRPr="008C5396" w:rsidRDefault="0072020E" w:rsidP="007B2A33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8C5396">
        <w:rPr>
          <w:b/>
          <w:bCs/>
          <w:sz w:val="22"/>
          <w:szCs w:val="22"/>
          <w:lang w:val="sr-Latn-ME"/>
        </w:rPr>
        <w:t xml:space="preserve">4.7. </w:t>
      </w:r>
      <w:r w:rsidR="00480FB1" w:rsidRPr="008C5396">
        <w:rPr>
          <w:b/>
          <w:bCs/>
          <w:sz w:val="22"/>
          <w:szCs w:val="22"/>
          <w:lang w:val="sr-Latn-ME"/>
        </w:rPr>
        <w:tab/>
      </w:r>
      <w:r w:rsidRPr="008C5396">
        <w:rPr>
          <w:b/>
          <w:bCs/>
          <w:sz w:val="22"/>
          <w:szCs w:val="22"/>
          <w:lang w:val="sr-Latn-ME"/>
        </w:rPr>
        <w:t xml:space="preserve">Uticaj na </w:t>
      </w:r>
      <w:r w:rsidR="002031B3" w:rsidRPr="008C5396">
        <w:rPr>
          <w:b/>
          <w:bCs/>
          <w:sz w:val="22"/>
          <w:szCs w:val="22"/>
          <w:lang w:val="sr-Latn-ME"/>
        </w:rPr>
        <w:t xml:space="preserve">sposobnost </w:t>
      </w:r>
      <w:r w:rsidR="00F34554" w:rsidRPr="008C5396">
        <w:rPr>
          <w:b/>
          <w:bCs/>
          <w:sz w:val="22"/>
          <w:szCs w:val="22"/>
          <w:lang w:val="sr-Latn-ME"/>
        </w:rPr>
        <w:t>upravljanja vozili</w:t>
      </w:r>
      <w:r w:rsidRPr="008C5396">
        <w:rPr>
          <w:b/>
          <w:bCs/>
          <w:sz w:val="22"/>
          <w:szCs w:val="22"/>
          <w:lang w:val="sr-Latn-ME"/>
        </w:rPr>
        <w:t>m</w:t>
      </w:r>
      <w:r w:rsidR="00F34554" w:rsidRPr="008C5396">
        <w:rPr>
          <w:b/>
          <w:bCs/>
          <w:sz w:val="22"/>
          <w:szCs w:val="22"/>
          <w:lang w:val="sr-Latn-ME"/>
        </w:rPr>
        <w:t>a</w:t>
      </w:r>
      <w:r w:rsidRPr="008C5396">
        <w:rPr>
          <w:b/>
          <w:bCs/>
          <w:sz w:val="22"/>
          <w:szCs w:val="22"/>
          <w:lang w:val="sr-Latn-ME"/>
        </w:rPr>
        <w:t xml:space="preserve"> i </w:t>
      </w:r>
      <w:r w:rsidR="000D3449" w:rsidRPr="008C5396">
        <w:rPr>
          <w:b/>
          <w:bCs/>
          <w:sz w:val="22"/>
          <w:szCs w:val="22"/>
          <w:lang w:val="sr-Latn-ME"/>
        </w:rPr>
        <w:t xml:space="preserve">rukovanje </w:t>
      </w:r>
      <w:r w:rsidRPr="008C5396">
        <w:rPr>
          <w:b/>
          <w:bCs/>
          <w:sz w:val="22"/>
          <w:szCs w:val="22"/>
          <w:lang w:val="sr-Latn-ME"/>
        </w:rPr>
        <w:t>mašinama</w:t>
      </w:r>
    </w:p>
    <w:p w14:paraId="5D9AC354" w14:textId="2AECD213" w:rsidR="0072020E" w:rsidRPr="008C5396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A43F001" w14:textId="41625EB3" w:rsidR="00714950" w:rsidRPr="008C5396" w:rsidRDefault="00D718CE" w:rsidP="007B2A33">
      <w:pPr>
        <w:pStyle w:val="BodyText"/>
        <w:kinsoku w:val="0"/>
        <w:overflowPunct w:val="0"/>
        <w:jc w:val="both"/>
        <w:rPr>
          <w:lang w:val="sr-Latn-ME"/>
        </w:rPr>
      </w:pPr>
      <w:r w:rsidRPr="008C5396">
        <w:rPr>
          <w:lang w:val="sr-Latn-ME"/>
        </w:rPr>
        <w:t>Lijek</w:t>
      </w:r>
      <w:r w:rsidR="00714950" w:rsidRPr="008C5396">
        <w:rPr>
          <w:lang w:val="sr-Latn-ME"/>
        </w:rPr>
        <w:t xml:space="preserve"> RECARBRIO um</w:t>
      </w:r>
      <w:r w:rsidR="00A46ACA" w:rsidRPr="008C5396">
        <w:rPr>
          <w:lang w:val="sr-Latn-ME"/>
        </w:rPr>
        <w:t>j</w:t>
      </w:r>
      <w:r w:rsidR="00714950" w:rsidRPr="008C5396">
        <w:rPr>
          <w:lang w:val="sr-Latn-ME"/>
        </w:rPr>
        <w:t xml:space="preserve">ereno utiče na sposobnost upravljanja vozilima i rukovanja mašinama. Tokom terapije imipenemom/cilastatinom, supstancama </w:t>
      </w:r>
      <w:r w:rsidRPr="008C5396">
        <w:rPr>
          <w:lang w:val="sr-Latn-ME"/>
        </w:rPr>
        <w:t>lijek</w:t>
      </w:r>
      <w:r w:rsidR="00714950" w:rsidRPr="008C5396">
        <w:rPr>
          <w:lang w:val="sr-Latn-ME"/>
        </w:rPr>
        <w:t>a RECARBRIO, prijavljene su neželjene reakcije CNS-a, kao što su epileptični napadi, stanja konfuzije i mioklonska aktivnost, i to naročito kada su prekoračene preporučene doze imipenema (</w:t>
      </w:r>
      <w:r w:rsidRPr="008C5396">
        <w:rPr>
          <w:lang w:val="sr-Latn-ME"/>
        </w:rPr>
        <w:t>vidjeti</w:t>
      </w:r>
      <w:r w:rsidR="00714950" w:rsidRPr="008C5396">
        <w:rPr>
          <w:lang w:val="sr-Latn-ME"/>
        </w:rPr>
        <w:t xml:space="preserve"> </w:t>
      </w:r>
      <w:r w:rsidR="007B2A33" w:rsidRPr="008C5396">
        <w:rPr>
          <w:lang w:val="sr-Latn-ME"/>
        </w:rPr>
        <w:t xml:space="preserve">dio </w:t>
      </w:r>
      <w:r w:rsidR="00714950" w:rsidRPr="008C5396">
        <w:rPr>
          <w:lang w:val="sr-Latn-ME"/>
        </w:rPr>
        <w:t>4.4). Stoga je potreban oprez prilikom upravljanja vozilima ili rukovanja mašinama.</w:t>
      </w:r>
    </w:p>
    <w:p w14:paraId="73CDF2A3" w14:textId="77777777" w:rsidR="00714950" w:rsidRPr="008C5396" w:rsidRDefault="00714950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9AC355" w14:textId="77777777" w:rsidR="0072020E" w:rsidRPr="008C5396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5396">
        <w:rPr>
          <w:b/>
          <w:bCs/>
          <w:sz w:val="22"/>
          <w:szCs w:val="22"/>
          <w:lang w:val="sr-Latn-ME"/>
        </w:rPr>
        <w:t xml:space="preserve">4.8. </w:t>
      </w:r>
      <w:r w:rsidR="00480FB1" w:rsidRPr="008C5396">
        <w:rPr>
          <w:b/>
          <w:bCs/>
          <w:sz w:val="22"/>
          <w:szCs w:val="22"/>
          <w:lang w:val="sr-Latn-ME"/>
        </w:rPr>
        <w:tab/>
      </w:r>
      <w:r w:rsidRPr="008C5396">
        <w:rPr>
          <w:b/>
          <w:bCs/>
          <w:sz w:val="22"/>
          <w:szCs w:val="22"/>
          <w:lang w:val="sr-Latn-ME"/>
        </w:rPr>
        <w:t>Neželjena dejstva</w:t>
      </w:r>
    </w:p>
    <w:p w14:paraId="5D9AC356" w14:textId="022F8BEB" w:rsidR="004E70AD" w:rsidRPr="008C5396" w:rsidRDefault="004E70AD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50CC62" w14:textId="70ABCDC5" w:rsidR="00714950" w:rsidRPr="008C5396" w:rsidRDefault="00714950" w:rsidP="007B2A33">
      <w:pPr>
        <w:pStyle w:val="BodyText"/>
        <w:kinsoku w:val="0"/>
        <w:overflowPunct w:val="0"/>
        <w:jc w:val="both"/>
        <w:rPr>
          <w:lang w:val="sr-Latn-ME"/>
        </w:rPr>
      </w:pPr>
      <w:r w:rsidRPr="008C5396">
        <w:rPr>
          <w:u w:val="single"/>
          <w:lang w:val="sr-Latn-ME"/>
        </w:rPr>
        <w:t>Sažetak bezb</w:t>
      </w:r>
      <w:r w:rsidR="00C25ED6" w:rsidRPr="008C5396">
        <w:rPr>
          <w:u w:val="single"/>
          <w:lang w:val="sr-Latn-ME"/>
        </w:rPr>
        <w:t>j</w:t>
      </w:r>
      <w:r w:rsidRPr="008C5396">
        <w:rPr>
          <w:u w:val="single"/>
          <w:lang w:val="sr-Latn-ME"/>
        </w:rPr>
        <w:t>ednosnog profila</w:t>
      </w:r>
    </w:p>
    <w:p w14:paraId="77BD9836" w14:textId="77777777" w:rsidR="00714950" w:rsidRPr="008C5396" w:rsidRDefault="00714950" w:rsidP="007B2A33">
      <w:pPr>
        <w:pStyle w:val="BodyText"/>
        <w:kinsoku w:val="0"/>
        <w:overflowPunct w:val="0"/>
        <w:spacing w:before="10"/>
        <w:jc w:val="both"/>
        <w:rPr>
          <w:sz w:val="13"/>
          <w:szCs w:val="13"/>
          <w:lang w:val="sr-Latn-ME"/>
        </w:rPr>
      </w:pPr>
    </w:p>
    <w:p w14:paraId="3F85588D" w14:textId="64157341" w:rsidR="00714950" w:rsidRPr="008C5396" w:rsidRDefault="00714950" w:rsidP="007B2A33">
      <w:pPr>
        <w:pStyle w:val="BodyText"/>
        <w:kinsoku w:val="0"/>
        <w:overflowPunct w:val="0"/>
        <w:spacing w:before="92"/>
        <w:jc w:val="both"/>
        <w:rPr>
          <w:lang w:val="sr-Latn-ME"/>
        </w:rPr>
      </w:pPr>
      <w:r w:rsidRPr="008C5396">
        <w:rPr>
          <w:lang w:val="sr-Latn-ME"/>
        </w:rPr>
        <w:t xml:space="preserve">Najčešća neželjena reakcija koja se javila </w:t>
      </w:r>
      <w:bookmarkStart w:id="1" w:name="_Hlk138238156"/>
      <w:r w:rsidRPr="008C5396">
        <w:rPr>
          <w:lang w:val="sr-Latn-ME"/>
        </w:rPr>
        <w:t>(≥</w:t>
      </w:r>
      <w:bookmarkEnd w:id="1"/>
      <w:r w:rsidRPr="008C5396">
        <w:rPr>
          <w:lang w:val="sr-Latn-ME"/>
        </w:rPr>
        <w:t xml:space="preserve"> 2%) kod pacijenta koji su primali imipenem/cilastatin plus relebaktam u objedinjenim ispitivanjima faze 2 komplikovanih intraabdominalnih infekcija (cIAI) i komplikovanih infekcija urinarnog trakta (cUTI), uključujući pijelonefritis (N = 431) bila je dijareja. Neželjena reakcija koja se najčešća pojavljivala </w:t>
      </w:r>
      <w:r w:rsidRPr="008C5396">
        <w:rPr>
          <w:rFonts w:eastAsia="SimSun"/>
          <w:lang w:val="sr-Latn-ME"/>
        </w:rPr>
        <w:t>(</w:t>
      </w:r>
      <w:r w:rsidR="005E167D" w:rsidRPr="005E167D">
        <w:rPr>
          <w:rFonts w:eastAsia="SimSun"/>
          <w:lang w:val="sr-Latn-ME"/>
        </w:rPr>
        <w:t>(≥</w:t>
      </w:r>
      <w:r w:rsidRPr="008C5396">
        <w:rPr>
          <w:rFonts w:eastAsia="SimSun" w:hint="eastAsia"/>
          <w:lang w:val="sr-Latn-ME"/>
        </w:rPr>
        <w:t> </w:t>
      </w:r>
      <w:r w:rsidRPr="008C5396">
        <w:rPr>
          <w:rFonts w:eastAsia="SimSun"/>
          <w:lang w:val="sr-Latn-ME"/>
        </w:rPr>
        <w:t xml:space="preserve">2%) kod pacijenata na terapiji </w:t>
      </w:r>
      <w:r w:rsidR="00D718CE" w:rsidRPr="008C5396">
        <w:rPr>
          <w:rFonts w:eastAsia="SimSun"/>
          <w:lang w:val="sr-Latn-ME"/>
        </w:rPr>
        <w:t>lijek</w:t>
      </w:r>
      <w:r w:rsidRPr="008C5396">
        <w:rPr>
          <w:rFonts w:eastAsia="SimSun"/>
          <w:lang w:val="sr-Latn-ME"/>
        </w:rPr>
        <w:t xml:space="preserve">om RECARBRIO u ispitivanjima faze 3 HAP ili VAP (N = 266) bila je dijareja, povećanje </w:t>
      </w:r>
      <w:r w:rsidR="00D718CE" w:rsidRPr="008C5396">
        <w:rPr>
          <w:rFonts w:eastAsia="SimSun"/>
          <w:lang w:val="sr-Latn-ME"/>
        </w:rPr>
        <w:t>vrijednost</w:t>
      </w:r>
      <w:r w:rsidRPr="008C5396">
        <w:rPr>
          <w:rFonts w:eastAsia="SimSun"/>
          <w:lang w:val="sr-Latn-ME"/>
        </w:rPr>
        <w:t>i alanin aminotransferaze i povećanje vr</w:t>
      </w:r>
      <w:r w:rsidR="00D718CE" w:rsidRPr="008C5396">
        <w:rPr>
          <w:rFonts w:eastAsia="SimSun"/>
          <w:lang w:val="sr-Latn-ME"/>
        </w:rPr>
        <w:t>ij</w:t>
      </w:r>
      <w:r w:rsidRPr="008C5396">
        <w:rPr>
          <w:rFonts w:eastAsia="SimSun"/>
          <w:lang w:val="sr-Latn-ME"/>
        </w:rPr>
        <w:t>ednosti aspartat aminotransferaze.</w:t>
      </w:r>
    </w:p>
    <w:p w14:paraId="79A2DDEE" w14:textId="77777777" w:rsidR="00714950" w:rsidRPr="008C5396" w:rsidRDefault="00714950" w:rsidP="007B2A33">
      <w:pPr>
        <w:pStyle w:val="BodyText"/>
        <w:kinsoku w:val="0"/>
        <w:overflowPunct w:val="0"/>
        <w:spacing w:before="1"/>
        <w:jc w:val="both"/>
        <w:rPr>
          <w:lang w:val="sr-Latn-ME"/>
        </w:rPr>
      </w:pPr>
    </w:p>
    <w:p w14:paraId="7828E2F3" w14:textId="77777777" w:rsidR="00714950" w:rsidRPr="008C5396" w:rsidRDefault="00714950" w:rsidP="007B2A33">
      <w:pPr>
        <w:pStyle w:val="BodyText"/>
        <w:kinsoku w:val="0"/>
        <w:overflowPunct w:val="0"/>
        <w:jc w:val="both"/>
        <w:rPr>
          <w:lang w:val="sr-Latn-ME"/>
        </w:rPr>
      </w:pPr>
      <w:r w:rsidRPr="008C5396">
        <w:rPr>
          <w:u w:val="single"/>
          <w:lang w:val="sr-Latn-ME"/>
        </w:rPr>
        <w:t>Tabelarni prikaz neželjenih reakcija</w:t>
      </w:r>
    </w:p>
    <w:p w14:paraId="53978F45" w14:textId="77777777" w:rsidR="00714950" w:rsidRPr="008C5396" w:rsidRDefault="00714950" w:rsidP="007B2A33">
      <w:pPr>
        <w:pStyle w:val="BodyText"/>
        <w:kinsoku w:val="0"/>
        <w:overflowPunct w:val="0"/>
        <w:spacing w:before="10"/>
        <w:jc w:val="both"/>
        <w:rPr>
          <w:sz w:val="13"/>
          <w:szCs w:val="13"/>
          <w:lang w:val="sr-Latn-ME"/>
        </w:rPr>
      </w:pPr>
    </w:p>
    <w:p w14:paraId="786021CE" w14:textId="285F4DD1" w:rsidR="00714950" w:rsidRPr="008C5396" w:rsidRDefault="00714950" w:rsidP="007B2A33">
      <w:pPr>
        <w:pStyle w:val="BodyText"/>
        <w:kinsoku w:val="0"/>
        <w:overflowPunct w:val="0"/>
        <w:spacing w:before="92"/>
        <w:jc w:val="both"/>
        <w:rPr>
          <w:lang w:val="sr-Latn-ME"/>
        </w:rPr>
      </w:pPr>
      <w:r w:rsidRPr="008C5396">
        <w:rPr>
          <w:lang w:val="sr-Latn-ME"/>
        </w:rPr>
        <w:t>U nastavku su navedene neželjene reakcije prijavljene u kliničkim ispitivanjima faze 2 (imipenem/cilastatin plus relebaktam, uključujući 431 pacijenta) i faze 3 (</w:t>
      </w:r>
      <w:r w:rsidR="00D718CE" w:rsidRPr="008C5396">
        <w:rPr>
          <w:lang w:val="sr-Latn-ME"/>
        </w:rPr>
        <w:t>lijek</w:t>
      </w:r>
      <w:r w:rsidRPr="008C5396">
        <w:rPr>
          <w:lang w:val="sr-Latn-ME"/>
        </w:rPr>
        <w:t xml:space="preserve"> </w:t>
      </w:r>
      <w:r w:rsidRPr="008C5396">
        <w:rPr>
          <w:rFonts w:eastAsia="SimSun"/>
          <w:lang w:val="sr-Latn-ME"/>
        </w:rPr>
        <w:t>RECARBRIO</w:t>
      </w:r>
      <w:r w:rsidRPr="008C5396">
        <w:rPr>
          <w:lang w:val="sr-Latn-ME"/>
        </w:rPr>
        <w:t xml:space="preserve"> uključujući 266 pacijenata) i one prijavljene kod prim</w:t>
      </w:r>
      <w:r w:rsidR="00A46ACA" w:rsidRPr="008C5396">
        <w:rPr>
          <w:lang w:val="sr-Latn-ME"/>
        </w:rPr>
        <w:t>je</w:t>
      </w:r>
      <w:r w:rsidRPr="008C5396">
        <w:rPr>
          <w:lang w:val="sr-Latn-ME"/>
        </w:rPr>
        <w:t>ne imipenema/cilastatina u kliničkim ispitivanjima ili tokom postmarketinškog iskustva sa imipenemom/cilastatinom (</w:t>
      </w:r>
      <w:r w:rsidR="00D718CE" w:rsidRPr="008C5396">
        <w:rPr>
          <w:lang w:val="sr-Latn-ME"/>
        </w:rPr>
        <w:t>vidjeti</w:t>
      </w:r>
      <w:r w:rsidRPr="008C5396">
        <w:rPr>
          <w:lang w:val="sr-Latn-ME"/>
        </w:rPr>
        <w:t xml:space="preserve"> Tabelu 3).</w:t>
      </w:r>
    </w:p>
    <w:p w14:paraId="1AFDD094" w14:textId="77777777" w:rsidR="00714950" w:rsidRPr="008C5396" w:rsidRDefault="00714950" w:rsidP="007B2A33">
      <w:pPr>
        <w:pStyle w:val="BodyText"/>
        <w:kinsoku w:val="0"/>
        <w:overflowPunct w:val="0"/>
        <w:spacing w:before="1"/>
        <w:jc w:val="both"/>
        <w:rPr>
          <w:lang w:val="sr-Latn-ME"/>
        </w:rPr>
      </w:pPr>
    </w:p>
    <w:p w14:paraId="1637713F" w14:textId="7DBFBB50" w:rsidR="00714950" w:rsidRPr="008C5396" w:rsidRDefault="00714950" w:rsidP="007B2A33">
      <w:pPr>
        <w:pStyle w:val="BodyText"/>
        <w:kinsoku w:val="0"/>
        <w:overflowPunct w:val="0"/>
        <w:jc w:val="both"/>
        <w:rPr>
          <w:lang w:val="sr-Latn-ME"/>
        </w:rPr>
      </w:pPr>
      <w:r w:rsidRPr="008C5396">
        <w:rPr>
          <w:lang w:val="sr-Latn-ME"/>
        </w:rPr>
        <w:t>Neželjene reakcije su klasifikovane prema MedDRA klasi sistema organa i učestalosti. Kategorije učestalosti definisane su prema sledećoj konvenciji: veoma često (≥ 1/10), često (≥ 1/100 do &lt; 1/10), po</w:t>
      </w:r>
      <w:r w:rsidR="0022431E" w:rsidRPr="008C5396">
        <w:rPr>
          <w:lang w:val="sr-Latn-ME"/>
        </w:rPr>
        <w:t>vremeno</w:t>
      </w:r>
      <w:r w:rsidRPr="008C5396">
        <w:rPr>
          <w:lang w:val="sr-Latn-ME"/>
        </w:rPr>
        <w:t xml:space="preserve"> (≥ 1/1000 do &lt; 1/100), </w:t>
      </w:r>
      <w:r w:rsidR="00D718CE" w:rsidRPr="008C5396">
        <w:rPr>
          <w:lang w:val="sr-Latn-ME"/>
        </w:rPr>
        <w:t>rijetko</w:t>
      </w:r>
      <w:r w:rsidRPr="008C5396">
        <w:rPr>
          <w:lang w:val="sr-Latn-ME"/>
        </w:rPr>
        <w:t xml:space="preserve"> (≥ 1/10000 do &lt; 1/1000), veoma </w:t>
      </w:r>
      <w:r w:rsidR="00D718CE" w:rsidRPr="008C5396">
        <w:rPr>
          <w:lang w:val="sr-Latn-ME"/>
        </w:rPr>
        <w:t>rijetko</w:t>
      </w:r>
      <w:r w:rsidRPr="008C5396">
        <w:rPr>
          <w:lang w:val="sr-Latn-ME"/>
        </w:rPr>
        <w:t xml:space="preserve"> (&lt; 1/10000) i nepoznata učestalost (ne može se proc</w:t>
      </w:r>
      <w:r w:rsidR="0022431E" w:rsidRPr="008C5396">
        <w:rPr>
          <w:lang w:val="sr-Latn-ME"/>
        </w:rPr>
        <w:t>ij</w:t>
      </w:r>
      <w:r w:rsidRPr="008C5396">
        <w:rPr>
          <w:lang w:val="sr-Latn-ME"/>
        </w:rPr>
        <w:t>eniti na osnovu dostupnih podataka).</w:t>
      </w:r>
    </w:p>
    <w:p w14:paraId="68002931" w14:textId="77777777" w:rsidR="00714950" w:rsidRPr="008C5396" w:rsidRDefault="00714950" w:rsidP="007B2A33">
      <w:pPr>
        <w:jc w:val="both"/>
        <w:rPr>
          <w:noProof/>
          <w:szCs w:val="22"/>
          <w:u w:val="single"/>
          <w:lang w:val="sr-Latn-ME"/>
        </w:rPr>
      </w:pPr>
    </w:p>
    <w:p w14:paraId="69393C8D" w14:textId="77777777" w:rsidR="00714950" w:rsidRPr="008C5396" w:rsidRDefault="00714950" w:rsidP="007B2A33">
      <w:pPr>
        <w:jc w:val="both"/>
        <w:rPr>
          <w:noProof/>
          <w:szCs w:val="22"/>
          <w:u w:val="single"/>
          <w:lang w:val="sr-Latn-ME"/>
        </w:rPr>
      </w:pPr>
    </w:p>
    <w:p w14:paraId="53D4E1CF" w14:textId="7EE84F1F" w:rsidR="00714950" w:rsidRPr="008C5396" w:rsidRDefault="00714950" w:rsidP="007B2A33">
      <w:pPr>
        <w:jc w:val="both"/>
        <w:rPr>
          <w:b/>
          <w:noProof/>
          <w:szCs w:val="22"/>
          <w:lang w:val="sr-Latn-ME"/>
        </w:rPr>
      </w:pPr>
      <w:r w:rsidRPr="008C5396">
        <w:rPr>
          <w:b/>
          <w:noProof/>
          <w:szCs w:val="22"/>
          <w:lang w:val="sr-Latn-ME"/>
        </w:rPr>
        <w:lastRenderedPageBreak/>
        <w:t xml:space="preserve">Tabela 3: </w:t>
      </w:r>
      <w:r w:rsidR="007B2A33" w:rsidRPr="008C5396">
        <w:rPr>
          <w:b/>
          <w:noProof/>
          <w:szCs w:val="22"/>
          <w:lang w:val="sr-Latn-ME"/>
        </w:rPr>
        <w:t>U</w:t>
      </w:r>
      <w:r w:rsidRPr="008C5396">
        <w:rPr>
          <w:b/>
          <w:noProof/>
          <w:szCs w:val="22"/>
          <w:lang w:val="sr-Latn-ME"/>
        </w:rPr>
        <w:t>čestalost neželjenih reakcija prema klasi sistema organa</w:t>
      </w:r>
    </w:p>
    <w:p w14:paraId="28E7B451" w14:textId="77777777" w:rsidR="00714950" w:rsidRPr="008C5396" w:rsidRDefault="00714950" w:rsidP="007B2A33">
      <w:pPr>
        <w:jc w:val="both"/>
        <w:rPr>
          <w:noProof/>
          <w:szCs w:val="22"/>
          <w:u w:val="single"/>
          <w:lang w:val="sr-Latn-M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3"/>
        <w:gridCol w:w="1688"/>
        <w:gridCol w:w="1597"/>
        <w:gridCol w:w="1682"/>
        <w:gridCol w:w="1414"/>
        <w:gridCol w:w="1169"/>
      </w:tblGrid>
      <w:tr w:rsidR="00714950" w:rsidRPr="00234044" w14:paraId="04042EB8" w14:textId="77777777" w:rsidTr="00E17DF7">
        <w:trPr>
          <w:trHeight w:val="690"/>
        </w:trPr>
        <w:tc>
          <w:tcPr>
            <w:tcW w:w="835" w:type="pct"/>
            <w:vAlign w:val="center"/>
          </w:tcPr>
          <w:p w14:paraId="5BFD5367" w14:textId="77777777" w:rsidR="00714950" w:rsidRPr="008C5396" w:rsidRDefault="00714950" w:rsidP="007B2A33">
            <w:pPr>
              <w:pStyle w:val="TableParagraph"/>
              <w:kinsoku w:val="0"/>
              <w:overflowPunct w:val="0"/>
              <w:spacing w:before="1"/>
              <w:ind w:left="70" w:right="12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/>
                <w:bCs/>
                <w:sz w:val="22"/>
                <w:szCs w:val="22"/>
                <w:lang w:val="sr-Latn-ME"/>
              </w:rPr>
              <w:t xml:space="preserve">Klasa </w:t>
            </w:r>
          </w:p>
          <w:p w14:paraId="2075774D" w14:textId="77777777" w:rsidR="00714950" w:rsidRPr="008C5396" w:rsidRDefault="00714950" w:rsidP="007B2A33">
            <w:pPr>
              <w:pStyle w:val="TableParagraph"/>
              <w:kinsoku w:val="0"/>
              <w:overflowPunct w:val="0"/>
              <w:spacing w:before="1"/>
              <w:ind w:left="70" w:right="12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/>
                <w:bCs/>
                <w:sz w:val="22"/>
                <w:szCs w:val="22"/>
                <w:lang w:val="sr-Latn-ME"/>
              </w:rPr>
              <w:t>Sistema Organa</w:t>
            </w:r>
          </w:p>
        </w:tc>
        <w:tc>
          <w:tcPr>
            <w:tcW w:w="931" w:type="pct"/>
            <w:vAlign w:val="center"/>
          </w:tcPr>
          <w:p w14:paraId="556E997E" w14:textId="77777777" w:rsidR="00714950" w:rsidRPr="008C5396" w:rsidRDefault="00714950" w:rsidP="007B2A33">
            <w:pPr>
              <w:pStyle w:val="TableParagraph"/>
              <w:kinsoku w:val="0"/>
              <w:overflowPunct w:val="0"/>
              <w:spacing w:before="9"/>
              <w:ind w:left="70" w:right="12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0F034C6B" w14:textId="77777777" w:rsidR="00714950" w:rsidRPr="008C5396" w:rsidRDefault="00714950" w:rsidP="007B2A33">
            <w:pPr>
              <w:pStyle w:val="TableParagraph"/>
              <w:kinsoku w:val="0"/>
              <w:overflowPunct w:val="0"/>
              <w:spacing w:before="1"/>
              <w:ind w:left="70" w:right="12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/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881" w:type="pct"/>
            <w:vAlign w:val="center"/>
          </w:tcPr>
          <w:p w14:paraId="0C976FF4" w14:textId="77777777" w:rsidR="00714950" w:rsidRPr="008C5396" w:rsidRDefault="00714950" w:rsidP="007B2A33">
            <w:pPr>
              <w:pStyle w:val="TableParagraph"/>
              <w:kinsoku w:val="0"/>
              <w:overflowPunct w:val="0"/>
              <w:spacing w:before="9"/>
              <w:ind w:left="60" w:right="8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28AE9745" w14:textId="76F876F2" w:rsidR="00714950" w:rsidRPr="008C5396" w:rsidRDefault="00714950" w:rsidP="007B2A33">
            <w:pPr>
              <w:pStyle w:val="TableParagraph"/>
              <w:kinsoku w:val="0"/>
              <w:overflowPunct w:val="0"/>
              <w:spacing w:before="1"/>
              <w:ind w:left="60" w:right="8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/>
                <w:bCs/>
                <w:sz w:val="22"/>
                <w:szCs w:val="22"/>
                <w:lang w:val="sr-Latn-ME"/>
              </w:rPr>
              <w:t>Po</w:t>
            </w:r>
            <w:r w:rsidR="0022431E" w:rsidRPr="008C5396">
              <w:rPr>
                <w:b/>
                <w:bCs/>
                <w:sz w:val="22"/>
                <w:szCs w:val="22"/>
                <w:lang w:val="sr-Latn-ME"/>
              </w:rPr>
              <w:t>vremeno</w:t>
            </w:r>
          </w:p>
        </w:tc>
        <w:tc>
          <w:tcPr>
            <w:tcW w:w="928" w:type="pct"/>
            <w:vAlign w:val="center"/>
          </w:tcPr>
          <w:p w14:paraId="4CEDEB50" w14:textId="77777777" w:rsidR="00714950" w:rsidRPr="008C5396" w:rsidRDefault="00714950" w:rsidP="007B2A33">
            <w:pPr>
              <w:pStyle w:val="TableParagraph"/>
              <w:kinsoku w:val="0"/>
              <w:overflowPunct w:val="0"/>
              <w:spacing w:before="9"/>
              <w:ind w:left="80" w:right="198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5E692D35" w14:textId="34F81FCB" w:rsidR="00714950" w:rsidRPr="008C5396" w:rsidRDefault="00D718CE" w:rsidP="007B2A33">
            <w:pPr>
              <w:pStyle w:val="TableParagraph"/>
              <w:kinsoku w:val="0"/>
              <w:overflowPunct w:val="0"/>
              <w:spacing w:before="1"/>
              <w:ind w:left="80" w:right="198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/>
                <w:bCs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780" w:type="pct"/>
            <w:vAlign w:val="center"/>
          </w:tcPr>
          <w:p w14:paraId="03F83F98" w14:textId="77777777" w:rsidR="00714950" w:rsidRPr="008C5396" w:rsidRDefault="00714950" w:rsidP="007B2A33">
            <w:pPr>
              <w:pStyle w:val="TableParagraph"/>
              <w:kinsoku w:val="0"/>
              <w:overflowPunct w:val="0"/>
              <w:spacing w:before="1"/>
              <w:ind w:left="80" w:right="9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65AC6EED" w14:textId="2DE88E95" w:rsidR="00714950" w:rsidRPr="008C5396" w:rsidRDefault="00714950" w:rsidP="007B2A33">
            <w:pPr>
              <w:pStyle w:val="TableParagraph"/>
              <w:kinsoku w:val="0"/>
              <w:overflowPunct w:val="0"/>
              <w:spacing w:before="1"/>
              <w:ind w:left="80" w:right="9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/>
                <w:bCs/>
                <w:sz w:val="22"/>
                <w:szCs w:val="22"/>
                <w:lang w:val="sr-Latn-ME"/>
              </w:rPr>
              <w:t xml:space="preserve">Veoma </w:t>
            </w:r>
            <w:r w:rsidR="00D718CE" w:rsidRPr="008C5396">
              <w:rPr>
                <w:b/>
                <w:bCs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645" w:type="pct"/>
            <w:vAlign w:val="center"/>
          </w:tcPr>
          <w:p w14:paraId="23286998" w14:textId="77777777" w:rsidR="00714950" w:rsidRPr="008C5396" w:rsidRDefault="00714950" w:rsidP="007B2A33">
            <w:pPr>
              <w:pStyle w:val="TableParagraph"/>
              <w:kinsoku w:val="0"/>
              <w:overflowPunct w:val="0"/>
              <w:spacing w:before="9"/>
              <w:ind w:left="70" w:right="104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6067AA7C" w14:textId="77777777" w:rsidR="00714950" w:rsidRPr="008C5396" w:rsidRDefault="00714950" w:rsidP="007B2A33">
            <w:pPr>
              <w:pStyle w:val="TableParagraph"/>
              <w:kinsoku w:val="0"/>
              <w:overflowPunct w:val="0"/>
              <w:spacing w:before="1"/>
              <w:ind w:left="70" w:right="104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C5396">
              <w:rPr>
                <w:b/>
                <w:bCs/>
                <w:sz w:val="22"/>
                <w:szCs w:val="22"/>
                <w:lang w:val="sr-Latn-ME"/>
              </w:rPr>
              <w:t>Nepoznato</w:t>
            </w:r>
          </w:p>
        </w:tc>
      </w:tr>
      <w:tr w:rsidR="00714950" w:rsidRPr="00234044" w14:paraId="5674C3E1" w14:textId="77777777" w:rsidTr="00E17DF7">
        <w:trPr>
          <w:trHeight w:val="918"/>
        </w:trPr>
        <w:tc>
          <w:tcPr>
            <w:tcW w:w="835" w:type="pct"/>
            <w:vAlign w:val="center"/>
          </w:tcPr>
          <w:p w14:paraId="2F80E9E3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5"/>
              <w:ind w:left="100" w:right="10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7F998746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Infekcije i infestacije</w:t>
            </w:r>
          </w:p>
        </w:tc>
        <w:tc>
          <w:tcPr>
            <w:tcW w:w="931" w:type="pct"/>
            <w:vAlign w:val="center"/>
          </w:tcPr>
          <w:p w14:paraId="3FE77227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881" w:type="pct"/>
            <w:vAlign w:val="center"/>
          </w:tcPr>
          <w:p w14:paraId="2D132766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928" w:type="pct"/>
            <w:vAlign w:val="center"/>
          </w:tcPr>
          <w:p w14:paraId="52DB36BD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 w:line="215" w:lineRule="exact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pseudomembranozni kolitis*</w:t>
            </w:r>
          </w:p>
          <w:p w14:paraId="3ECFE3D3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 w:line="215" w:lineRule="exact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</w:p>
          <w:p w14:paraId="4863F676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 w:line="215" w:lineRule="exact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kandidijaza*</w:t>
            </w:r>
          </w:p>
        </w:tc>
        <w:tc>
          <w:tcPr>
            <w:tcW w:w="780" w:type="pct"/>
            <w:vAlign w:val="center"/>
          </w:tcPr>
          <w:p w14:paraId="3DF2DA6B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5"/>
              <w:ind w:left="80" w:right="9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28B214A3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gastroenteritis</w:t>
            </w:r>
            <w:r w:rsidRPr="00186264">
              <w:rPr>
                <w:w w:val="99"/>
                <w:sz w:val="22"/>
                <w:szCs w:val="22"/>
                <w:lang w:val="sr-Latn-ME"/>
              </w:rPr>
              <w:t>*</w:t>
            </w:r>
          </w:p>
        </w:tc>
        <w:tc>
          <w:tcPr>
            <w:tcW w:w="645" w:type="pct"/>
            <w:vAlign w:val="center"/>
          </w:tcPr>
          <w:p w14:paraId="52CE7BEB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714950" w:rsidRPr="00234044" w14:paraId="66BFAD59" w14:textId="77777777" w:rsidTr="00E17DF7">
        <w:trPr>
          <w:trHeight w:val="2332"/>
        </w:trPr>
        <w:tc>
          <w:tcPr>
            <w:tcW w:w="835" w:type="pct"/>
            <w:vAlign w:val="center"/>
          </w:tcPr>
          <w:p w14:paraId="588B82F3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100" w:right="10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7B2B99E9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931" w:type="pct"/>
            <w:vAlign w:val="center"/>
          </w:tcPr>
          <w:p w14:paraId="52BC8697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2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25842DF1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1"/>
              <w:ind w:left="70" w:right="12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5AE33D48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eozinofilija*</w:t>
            </w:r>
          </w:p>
        </w:tc>
        <w:tc>
          <w:tcPr>
            <w:tcW w:w="881" w:type="pct"/>
            <w:vAlign w:val="center"/>
          </w:tcPr>
          <w:p w14:paraId="5AB2DEFA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25" w:lineRule="exact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pancitopenija*</w:t>
            </w:r>
          </w:p>
          <w:p w14:paraId="1B210546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4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neutropenija*</w:t>
            </w:r>
          </w:p>
          <w:p w14:paraId="5CD409D9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 w:line="460" w:lineRule="atLeast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leukopenija* trombocitopenija*</w:t>
            </w:r>
          </w:p>
          <w:p w14:paraId="4D8AA53E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6" w:line="215" w:lineRule="exact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trombocitoza*</w:t>
            </w:r>
          </w:p>
        </w:tc>
        <w:tc>
          <w:tcPr>
            <w:tcW w:w="928" w:type="pct"/>
            <w:vAlign w:val="center"/>
          </w:tcPr>
          <w:p w14:paraId="5AF22C70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179FBAA1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1"/>
              <w:ind w:left="80" w:right="198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65C76237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agranulocitoza*</w:t>
            </w:r>
          </w:p>
        </w:tc>
        <w:tc>
          <w:tcPr>
            <w:tcW w:w="780" w:type="pct"/>
            <w:vAlign w:val="center"/>
          </w:tcPr>
          <w:p w14:paraId="2D0FCCDF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4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hemolitička anemija*</w:t>
            </w:r>
          </w:p>
          <w:p w14:paraId="52334846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1"/>
              <w:ind w:left="80" w:right="9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1468874A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depresija koštane srži*</w:t>
            </w:r>
          </w:p>
        </w:tc>
        <w:tc>
          <w:tcPr>
            <w:tcW w:w="645" w:type="pct"/>
            <w:vAlign w:val="center"/>
          </w:tcPr>
          <w:p w14:paraId="091ADDE7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714950" w:rsidRPr="00234044" w14:paraId="32BC30CC" w14:textId="77777777" w:rsidTr="00E17DF7">
        <w:trPr>
          <w:trHeight w:val="690"/>
        </w:trPr>
        <w:tc>
          <w:tcPr>
            <w:tcW w:w="835" w:type="pct"/>
            <w:vAlign w:val="center"/>
          </w:tcPr>
          <w:p w14:paraId="626A25A4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Poremećaji imunskog</w:t>
            </w:r>
          </w:p>
          <w:p w14:paraId="1D32FD84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17" w:lineRule="exact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931" w:type="pct"/>
            <w:vAlign w:val="center"/>
          </w:tcPr>
          <w:p w14:paraId="48346ADF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881" w:type="pct"/>
            <w:vAlign w:val="center"/>
          </w:tcPr>
          <w:p w14:paraId="1DF4D683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928" w:type="pct"/>
            <w:vAlign w:val="center"/>
          </w:tcPr>
          <w:p w14:paraId="54D62FD6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anafilaktičke reakcije*</w:t>
            </w:r>
          </w:p>
        </w:tc>
        <w:tc>
          <w:tcPr>
            <w:tcW w:w="780" w:type="pct"/>
            <w:vAlign w:val="center"/>
          </w:tcPr>
          <w:p w14:paraId="37F61330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645" w:type="pct"/>
            <w:vAlign w:val="center"/>
          </w:tcPr>
          <w:p w14:paraId="764AE83C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714950" w:rsidRPr="00234044" w14:paraId="2C9CAA4F" w14:textId="77777777" w:rsidTr="00E17DF7">
        <w:trPr>
          <w:trHeight w:val="2756"/>
        </w:trPr>
        <w:tc>
          <w:tcPr>
            <w:tcW w:w="835" w:type="pct"/>
            <w:vAlign w:val="center"/>
          </w:tcPr>
          <w:p w14:paraId="78A8C445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7D7E73D0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931" w:type="pct"/>
            <w:vAlign w:val="center"/>
          </w:tcPr>
          <w:p w14:paraId="772DF05D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881" w:type="pct"/>
            <w:vAlign w:val="center"/>
          </w:tcPr>
          <w:p w14:paraId="386B1F17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epileptični napadi*</w:t>
            </w:r>
          </w:p>
          <w:p w14:paraId="00948037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6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halucinacije*</w:t>
            </w:r>
          </w:p>
          <w:p w14:paraId="5C075CB3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3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stanja konfuzije*</w:t>
            </w:r>
          </w:p>
          <w:p w14:paraId="217C2B01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</w:p>
          <w:p w14:paraId="338A7A7D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mioklonska aktivnost*</w:t>
            </w:r>
          </w:p>
          <w:p w14:paraId="6289DEEE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4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vrtoglavica*</w:t>
            </w:r>
          </w:p>
          <w:p w14:paraId="5E3A4247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6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somnolencija*</w:t>
            </w:r>
          </w:p>
        </w:tc>
        <w:tc>
          <w:tcPr>
            <w:tcW w:w="928" w:type="pct"/>
            <w:vAlign w:val="center"/>
          </w:tcPr>
          <w:p w14:paraId="7C0D7442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2"/>
              <w:ind w:left="80" w:right="198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2B31F958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10" w:lineRule="exact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encefalopatija*</w:t>
            </w:r>
          </w:p>
          <w:p w14:paraId="37377811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37" w:line="460" w:lineRule="exact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parestezija* </w:t>
            </w:r>
          </w:p>
          <w:p w14:paraId="6605E882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37" w:line="460" w:lineRule="exact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fokalni tremor*</w:t>
            </w:r>
          </w:p>
          <w:p w14:paraId="0BB5B63F" w14:textId="578520BC" w:rsidR="00714950" w:rsidRPr="00186264" w:rsidRDefault="00714950" w:rsidP="007B2A33">
            <w:pPr>
              <w:pStyle w:val="TableParagraph"/>
              <w:kinsoku w:val="0"/>
              <w:overflowPunct w:val="0"/>
              <w:spacing w:before="37" w:line="460" w:lineRule="exact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izm</w:t>
            </w:r>
            <w:r w:rsidR="00D718CE" w:rsidRPr="00186264">
              <w:rPr>
                <w:sz w:val="22"/>
                <w:szCs w:val="22"/>
                <w:lang w:val="sr-Latn-ME"/>
              </w:rPr>
              <w:t>ij</w:t>
            </w:r>
            <w:r w:rsidRPr="00186264">
              <w:rPr>
                <w:sz w:val="22"/>
                <w:szCs w:val="22"/>
                <w:lang w:val="sr-Latn-ME"/>
              </w:rPr>
              <w:t>enjen osećaj ukusa*</w:t>
            </w:r>
          </w:p>
        </w:tc>
        <w:tc>
          <w:tcPr>
            <w:tcW w:w="780" w:type="pct"/>
            <w:vAlign w:val="center"/>
          </w:tcPr>
          <w:p w14:paraId="551D3B65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pogoršanje miastenije gravis*</w:t>
            </w:r>
          </w:p>
          <w:p w14:paraId="5D7C677C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80" w:right="9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089AD911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09" w:lineRule="exact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glavobolja*</w:t>
            </w:r>
          </w:p>
        </w:tc>
        <w:tc>
          <w:tcPr>
            <w:tcW w:w="645" w:type="pct"/>
            <w:vAlign w:val="center"/>
          </w:tcPr>
          <w:p w14:paraId="37860C8F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37" w:line="460" w:lineRule="exact"/>
              <w:ind w:left="70" w:right="104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agitacija* diskinezija*</w:t>
            </w:r>
          </w:p>
        </w:tc>
      </w:tr>
      <w:tr w:rsidR="00714950" w:rsidRPr="00234044" w14:paraId="35CA4027" w14:textId="77777777" w:rsidTr="00E17DF7">
        <w:trPr>
          <w:trHeight w:val="1146"/>
        </w:trPr>
        <w:tc>
          <w:tcPr>
            <w:tcW w:w="835" w:type="pct"/>
            <w:vAlign w:val="center"/>
          </w:tcPr>
          <w:p w14:paraId="113E62CE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2"/>
              <w:ind w:left="100" w:right="10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216144F7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Poremećaji uha i labirinta</w:t>
            </w:r>
          </w:p>
        </w:tc>
        <w:tc>
          <w:tcPr>
            <w:tcW w:w="931" w:type="pct"/>
            <w:vAlign w:val="center"/>
          </w:tcPr>
          <w:p w14:paraId="2B9F8030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881" w:type="pct"/>
            <w:vAlign w:val="center"/>
          </w:tcPr>
          <w:p w14:paraId="21057DB7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928" w:type="pct"/>
            <w:vAlign w:val="center"/>
          </w:tcPr>
          <w:p w14:paraId="6AB4ABDF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30327469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3"/>
              <w:ind w:left="80" w:right="198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1AA8B74A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gubitak sluha*</w:t>
            </w:r>
          </w:p>
        </w:tc>
        <w:tc>
          <w:tcPr>
            <w:tcW w:w="780" w:type="pct"/>
            <w:vAlign w:val="center"/>
          </w:tcPr>
          <w:p w14:paraId="558C4EE0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39" w:line="460" w:lineRule="exact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vertigo* </w:t>
            </w:r>
          </w:p>
          <w:p w14:paraId="02BABBAC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39" w:line="460" w:lineRule="exact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tinitus*</w:t>
            </w:r>
          </w:p>
        </w:tc>
        <w:tc>
          <w:tcPr>
            <w:tcW w:w="645" w:type="pct"/>
            <w:vAlign w:val="center"/>
          </w:tcPr>
          <w:p w14:paraId="50BE7639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714950" w:rsidRPr="00234044" w14:paraId="29383E0A" w14:textId="77777777" w:rsidTr="00E17DF7">
        <w:trPr>
          <w:trHeight w:val="1149"/>
        </w:trPr>
        <w:tc>
          <w:tcPr>
            <w:tcW w:w="835" w:type="pct"/>
            <w:vAlign w:val="center"/>
          </w:tcPr>
          <w:p w14:paraId="2B0BE1AD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2"/>
              <w:ind w:left="100" w:right="10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01DD6498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931" w:type="pct"/>
            <w:vAlign w:val="center"/>
          </w:tcPr>
          <w:p w14:paraId="2568DE48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881" w:type="pct"/>
            <w:vAlign w:val="center"/>
          </w:tcPr>
          <w:p w14:paraId="43243970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928" w:type="pct"/>
            <w:vAlign w:val="center"/>
          </w:tcPr>
          <w:p w14:paraId="5FBC60E4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780" w:type="pct"/>
            <w:vAlign w:val="center"/>
          </w:tcPr>
          <w:p w14:paraId="58DDF78C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477" w:lineRule="auto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cijanoza* tahikardija*</w:t>
            </w:r>
          </w:p>
          <w:p w14:paraId="566EA534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17" w:lineRule="exact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palpitacije*</w:t>
            </w:r>
          </w:p>
        </w:tc>
        <w:tc>
          <w:tcPr>
            <w:tcW w:w="645" w:type="pct"/>
            <w:vAlign w:val="center"/>
          </w:tcPr>
          <w:p w14:paraId="6DC49295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714950" w:rsidRPr="00234044" w14:paraId="182A1B97" w14:textId="77777777" w:rsidTr="00E17DF7">
        <w:trPr>
          <w:trHeight w:val="457"/>
        </w:trPr>
        <w:tc>
          <w:tcPr>
            <w:tcW w:w="835" w:type="pct"/>
            <w:vAlign w:val="center"/>
          </w:tcPr>
          <w:p w14:paraId="6DB0CC4A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23" w:lineRule="exact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Vaskularni</w:t>
            </w:r>
          </w:p>
          <w:p w14:paraId="329A17BD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15" w:lineRule="exact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931" w:type="pct"/>
            <w:vAlign w:val="center"/>
          </w:tcPr>
          <w:p w14:paraId="5C8D7404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23" w:lineRule="exact"/>
              <w:ind w:left="70" w:right="120"/>
              <w:jc w:val="both"/>
              <w:rPr>
                <w:w w:val="99"/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tromboflebitis</w:t>
            </w:r>
            <w:r w:rsidRPr="00186264">
              <w:rPr>
                <w:w w:val="99"/>
                <w:sz w:val="22"/>
                <w:szCs w:val="22"/>
                <w:lang w:val="sr-Latn-ME"/>
              </w:rPr>
              <w:t>*</w:t>
            </w:r>
          </w:p>
        </w:tc>
        <w:tc>
          <w:tcPr>
            <w:tcW w:w="881" w:type="pct"/>
            <w:vAlign w:val="center"/>
          </w:tcPr>
          <w:p w14:paraId="39A8ACCC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8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 hipotenzija*</w:t>
            </w:r>
          </w:p>
        </w:tc>
        <w:tc>
          <w:tcPr>
            <w:tcW w:w="928" w:type="pct"/>
            <w:vAlign w:val="center"/>
          </w:tcPr>
          <w:p w14:paraId="16F9E4CE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780" w:type="pct"/>
            <w:vAlign w:val="center"/>
          </w:tcPr>
          <w:p w14:paraId="0BCB6C62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23" w:lineRule="exact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naleti</w:t>
            </w:r>
          </w:p>
          <w:p w14:paraId="1609B243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15" w:lineRule="exact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crvenila*</w:t>
            </w:r>
          </w:p>
        </w:tc>
        <w:tc>
          <w:tcPr>
            <w:tcW w:w="645" w:type="pct"/>
            <w:vAlign w:val="center"/>
          </w:tcPr>
          <w:p w14:paraId="0D0872D5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714950" w:rsidRPr="00234044" w14:paraId="14B5656C" w14:textId="77777777" w:rsidTr="00E17DF7">
        <w:trPr>
          <w:trHeight w:val="1379"/>
        </w:trPr>
        <w:tc>
          <w:tcPr>
            <w:tcW w:w="835" w:type="pct"/>
            <w:vAlign w:val="center"/>
          </w:tcPr>
          <w:p w14:paraId="22712AE7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8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931" w:type="pct"/>
            <w:vAlign w:val="center"/>
          </w:tcPr>
          <w:p w14:paraId="6A87987D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881" w:type="pct"/>
            <w:vAlign w:val="center"/>
          </w:tcPr>
          <w:p w14:paraId="6EF1D291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928" w:type="pct"/>
            <w:vAlign w:val="center"/>
          </w:tcPr>
          <w:p w14:paraId="4E27F8BD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780" w:type="pct"/>
            <w:vAlign w:val="center"/>
          </w:tcPr>
          <w:p w14:paraId="6E7E526F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25" w:lineRule="exact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dispnea*</w:t>
            </w:r>
          </w:p>
          <w:p w14:paraId="7F2D5C1D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9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</w:p>
          <w:p w14:paraId="0A33C50A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hiperventilacija*</w:t>
            </w:r>
          </w:p>
          <w:p w14:paraId="7F1AD7E3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</w:p>
          <w:p w14:paraId="43D915B4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17" w:lineRule="exact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bol u ždrelu*</w:t>
            </w:r>
          </w:p>
        </w:tc>
        <w:tc>
          <w:tcPr>
            <w:tcW w:w="645" w:type="pct"/>
            <w:vAlign w:val="center"/>
          </w:tcPr>
          <w:p w14:paraId="7A226624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714950" w:rsidRPr="00234044" w14:paraId="3C4B8459" w14:textId="77777777" w:rsidTr="00E17DF7">
        <w:trPr>
          <w:trHeight w:val="3712"/>
        </w:trPr>
        <w:tc>
          <w:tcPr>
            <w:tcW w:w="835" w:type="pct"/>
            <w:vAlign w:val="center"/>
          </w:tcPr>
          <w:p w14:paraId="0E009AE8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8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lastRenderedPageBreak/>
              <w:t>Gastrointestinalni poremećaji</w:t>
            </w:r>
          </w:p>
        </w:tc>
        <w:tc>
          <w:tcPr>
            <w:tcW w:w="931" w:type="pct"/>
            <w:vAlign w:val="center"/>
          </w:tcPr>
          <w:p w14:paraId="48437260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44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dijareja†*</w:t>
            </w:r>
          </w:p>
          <w:p w14:paraId="5E879A46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</w:p>
          <w:p w14:paraId="133661A0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44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mučnina†*</w:t>
            </w:r>
          </w:p>
          <w:p w14:paraId="284BE3B6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44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povraćanje†*</w:t>
            </w:r>
          </w:p>
        </w:tc>
        <w:tc>
          <w:tcPr>
            <w:tcW w:w="881" w:type="pct"/>
            <w:vAlign w:val="center"/>
          </w:tcPr>
          <w:p w14:paraId="026B7385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928" w:type="pct"/>
            <w:vAlign w:val="center"/>
          </w:tcPr>
          <w:p w14:paraId="6F3B63D8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 </w:t>
            </w:r>
          </w:p>
          <w:p w14:paraId="54724DF4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prebojenost zuba i/ili jezika*</w:t>
            </w:r>
          </w:p>
          <w:p w14:paraId="40257D8E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794E8A59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36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780" w:type="pct"/>
            <w:vAlign w:val="center"/>
          </w:tcPr>
          <w:p w14:paraId="551E6966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37" w:lineRule="auto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hemoragični kolitis*</w:t>
            </w:r>
          </w:p>
          <w:p w14:paraId="0ABE4BA5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2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bol u abdomenu*</w:t>
            </w:r>
          </w:p>
          <w:p w14:paraId="4168A766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59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gorušica*</w:t>
            </w:r>
          </w:p>
          <w:p w14:paraId="66EABF35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</w:p>
          <w:p w14:paraId="56B63536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glositis*</w:t>
            </w:r>
          </w:p>
          <w:p w14:paraId="2724341B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1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hipertrofija jezičnih papila*</w:t>
            </w:r>
          </w:p>
          <w:p w14:paraId="32EFC155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1" w:line="230" w:lineRule="atLeast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pojačana salivacija*</w:t>
            </w:r>
          </w:p>
        </w:tc>
        <w:tc>
          <w:tcPr>
            <w:tcW w:w="645" w:type="pct"/>
            <w:vAlign w:val="center"/>
          </w:tcPr>
          <w:p w14:paraId="32D8A555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714950" w:rsidRPr="00234044" w14:paraId="557822A9" w14:textId="77777777" w:rsidTr="00E17DF7">
        <w:trPr>
          <w:trHeight w:val="2529"/>
        </w:trPr>
        <w:tc>
          <w:tcPr>
            <w:tcW w:w="835" w:type="pct"/>
            <w:vAlign w:val="center"/>
          </w:tcPr>
          <w:p w14:paraId="38211556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683C5743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6DEC8911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26534850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6409F7B5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Hepatobilijarni poremećaji</w:t>
            </w:r>
          </w:p>
        </w:tc>
        <w:tc>
          <w:tcPr>
            <w:tcW w:w="931" w:type="pct"/>
            <w:vAlign w:val="center"/>
          </w:tcPr>
          <w:p w14:paraId="6D70C201" w14:textId="4DB2A9D1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povećane </w:t>
            </w:r>
            <w:r w:rsidR="00D718CE" w:rsidRPr="00186264">
              <w:rPr>
                <w:sz w:val="22"/>
                <w:szCs w:val="22"/>
                <w:lang w:val="sr-Latn-ME"/>
              </w:rPr>
              <w:t>vrijednost</w:t>
            </w:r>
            <w:r w:rsidRPr="00186264">
              <w:rPr>
                <w:sz w:val="22"/>
                <w:szCs w:val="22"/>
                <w:lang w:val="sr-Latn-ME"/>
              </w:rPr>
              <w:t>i alanin aminotransferaze†*</w:t>
            </w:r>
          </w:p>
          <w:p w14:paraId="19CF85BE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</w:p>
          <w:p w14:paraId="494A9AB9" w14:textId="5A299FE6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povećane </w:t>
            </w:r>
            <w:r w:rsidR="00D718CE" w:rsidRPr="00186264">
              <w:rPr>
                <w:sz w:val="22"/>
                <w:szCs w:val="22"/>
                <w:lang w:val="sr-Latn-ME"/>
              </w:rPr>
              <w:t>vrijednost</w:t>
            </w:r>
            <w:r w:rsidRPr="00186264">
              <w:rPr>
                <w:sz w:val="22"/>
                <w:szCs w:val="22"/>
                <w:lang w:val="sr-Latn-ME"/>
              </w:rPr>
              <w:t>i aspartat aminotransferaze†*</w:t>
            </w:r>
          </w:p>
        </w:tc>
        <w:tc>
          <w:tcPr>
            <w:tcW w:w="881" w:type="pct"/>
            <w:vAlign w:val="center"/>
          </w:tcPr>
          <w:p w14:paraId="4E1E76BC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928" w:type="pct"/>
            <w:vAlign w:val="center"/>
          </w:tcPr>
          <w:p w14:paraId="01BDE7BD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</w:p>
          <w:p w14:paraId="6D6FDE2D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</w:p>
          <w:p w14:paraId="77AB5E1B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</w:p>
          <w:p w14:paraId="04462906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insuficijencija jetre* </w:t>
            </w:r>
          </w:p>
          <w:p w14:paraId="12A07E5C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</w:p>
          <w:p w14:paraId="321C4539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 w:line="480" w:lineRule="auto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hepatitis*</w:t>
            </w:r>
          </w:p>
        </w:tc>
        <w:tc>
          <w:tcPr>
            <w:tcW w:w="780" w:type="pct"/>
            <w:vAlign w:val="center"/>
          </w:tcPr>
          <w:p w14:paraId="01985F39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100" w:right="10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4D89B412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36CDF061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158B9661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2714B240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fulminantni hepatitis*</w:t>
            </w:r>
          </w:p>
        </w:tc>
        <w:tc>
          <w:tcPr>
            <w:tcW w:w="645" w:type="pct"/>
            <w:vAlign w:val="center"/>
          </w:tcPr>
          <w:p w14:paraId="6006FEC4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076883EB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4F997243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4CC14E67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2EE9ABFF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27"/>
              <w:ind w:left="70" w:right="104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žutica*</w:t>
            </w:r>
          </w:p>
        </w:tc>
      </w:tr>
      <w:tr w:rsidR="00714950" w:rsidRPr="00234044" w14:paraId="4AB15512" w14:textId="77777777" w:rsidTr="00E17DF7">
        <w:trPr>
          <w:trHeight w:val="3074"/>
        </w:trPr>
        <w:tc>
          <w:tcPr>
            <w:tcW w:w="835" w:type="pct"/>
            <w:vAlign w:val="center"/>
          </w:tcPr>
          <w:p w14:paraId="7CD6A31A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9"/>
              <w:ind w:left="100" w:right="10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513C2A5C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0C31E677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</w:p>
          <w:p w14:paraId="71630AF1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osip (npr. egzantematozni)*</w:t>
            </w:r>
          </w:p>
        </w:tc>
        <w:tc>
          <w:tcPr>
            <w:tcW w:w="881" w:type="pct"/>
            <w:vAlign w:val="center"/>
          </w:tcPr>
          <w:p w14:paraId="7FA7A3BA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2" w:line="460" w:lineRule="atLeast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urtikarija* </w:t>
            </w:r>
          </w:p>
          <w:p w14:paraId="5D41113A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2" w:line="460" w:lineRule="atLeast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pruritus*</w:t>
            </w:r>
          </w:p>
        </w:tc>
        <w:tc>
          <w:tcPr>
            <w:tcW w:w="928" w:type="pct"/>
            <w:vAlign w:val="center"/>
          </w:tcPr>
          <w:p w14:paraId="243EC540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toksična epidermalna nekroliza*</w:t>
            </w:r>
          </w:p>
          <w:p w14:paraId="1721E04D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1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angioedem*</w:t>
            </w:r>
          </w:p>
          <w:p w14:paraId="09A6985B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</w:p>
          <w:p w14:paraId="572F9F3E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i/>
                <w:sz w:val="22"/>
                <w:szCs w:val="22"/>
                <w:lang w:val="sr-Latn-ME"/>
              </w:rPr>
              <w:t>Stevens–Johnson</w:t>
            </w:r>
            <w:r w:rsidRPr="00186264">
              <w:rPr>
                <w:sz w:val="22"/>
                <w:szCs w:val="22"/>
                <w:lang w:val="sr-Latn-ME"/>
              </w:rPr>
              <w:t>-ov sindrom*</w:t>
            </w:r>
          </w:p>
          <w:p w14:paraId="58FCF29A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45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i/>
                <w:sz w:val="22"/>
                <w:szCs w:val="22"/>
                <w:lang w:val="sr-Latn-ME"/>
              </w:rPr>
              <w:t>erythema multiforme</w:t>
            </w:r>
            <w:r w:rsidRPr="00186264">
              <w:rPr>
                <w:sz w:val="22"/>
                <w:szCs w:val="22"/>
                <w:lang w:val="sr-Latn-ME"/>
              </w:rPr>
              <w:t>*</w:t>
            </w:r>
          </w:p>
          <w:p w14:paraId="7AF3D90E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1" w:line="230" w:lineRule="atLeast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eksfolijativni dermatitis*</w:t>
            </w:r>
          </w:p>
        </w:tc>
        <w:tc>
          <w:tcPr>
            <w:tcW w:w="780" w:type="pct"/>
            <w:vAlign w:val="center"/>
          </w:tcPr>
          <w:p w14:paraId="77DAE97D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9"/>
              <w:ind w:left="80" w:right="9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243C66E9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hiperhidroza*</w:t>
            </w:r>
          </w:p>
          <w:p w14:paraId="3C44ADEB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"/>
              <w:ind w:left="80" w:right="9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31D0EFD5" w14:textId="2945A7DC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prom</w:t>
            </w:r>
            <w:r w:rsidR="00D718CE" w:rsidRPr="00186264">
              <w:rPr>
                <w:sz w:val="22"/>
                <w:szCs w:val="22"/>
                <w:lang w:val="sr-Latn-ME"/>
              </w:rPr>
              <w:t>j</w:t>
            </w:r>
            <w:r w:rsidRPr="00186264">
              <w:rPr>
                <w:sz w:val="22"/>
                <w:szCs w:val="22"/>
                <w:lang w:val="sr-Latn-ME"/>
              </w:rPr>
              <w:t xml:space="preserve">ene u teksturi </w:t>
            </w:r>
            <w:r w:rsidRPr="00186264">
              <w:rPr>
                <w:spacing w:val="-3"/>
                <w:sz w:val="22"/>
                <w:szCs w:val="22"/>
                <w:lang w:val="sr-Latn-ME"/>
              </w:rPr>
              <w:t>kože*</w:t>
            </w:r>
          </w:p>
        </w:tc>
        <w:tc>
          <w:tcPr>
            <w:tcW w:w="645" w:type="pct"/>
            <w:vAlign w:val="center"/>
          </w:tcPr>
          <w:p w14:paraId="378D8197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714950" w:rsidRPr="00234044" w14:paraId="49490DA1" w14:textId="77777777" w:rsidTr="00E17DF7">
        <w:trPr>
          <w:trHeight w:val="1379"/>
        </w:trPr>
        <w:tc>
          <w:tcPr>
            <w:tcW w:w="835" w:type="pct"/>
            <w:vAlign w:val="center"/>
          </w:tcPr>
          <w:p w14:paraId="10197DDE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Poremećaji mišićno-koštanog sistema i vezivnog</w:t>
            </w:r>
          </w:p>
          <w:p w14:paraId="3CFE5775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20" w:lineRule="exact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tkiva</w:t>
            </w:r>
          </w:p>
        </w:tc>
        <w:tc>
          <w:tcPr>
            <w:tcW w:w="931" w:type="pct"/>
            <w:vAlign w:val="center"/>
          </w:tcPr>
          <w:p w14:paraId="046E0AFC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881" w:type="pct"/>
            <w:vAlign w:val="center"/>
          </w:tcPr>
          <w:p w14:paraId="0CA8131B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928" w:type="pct"/>
            <w:vAlign w:val="center"/>
          </w:tcPr>
          <w:p w14:paraId="26F1B712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780" w:type="pct"/>
            <w:vAlign w:val="center"/>
          </w:tcPr>
          <w:p w14:paraId="2208F339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05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poliartralgija*</w:t>
            </w:r>
          </w:p>
          <w:p w14:paraId="4C67A8B3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3FBFB072" w14:textId="52BA2364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bol u torakalnom d</w:t>
            </w:r>
            <w:r w:rsidR="00A46ACA" w:rsidRPr="00186264">
              <w:rPr>
                <w:sz w:val="22"/>
                <w:szCs w:val="22"/>
                <w:lang w:val="sr-Latn-ME"/>
              </w:rPr>
              <w:t>ij</w:t>
            </w:r>
            <w:r w:rsidRPr="00186264">
              <w:rPr>
                <w:sz w:val="22"/>
                <w:szCs w:val="22"/>
                <w:lang w:val="sr-Latn-ME"/>
              </w:rPr>
              <w:t>elu kičme*</w:t>
            </w:r>
          </w:p>
        </w:tc>
        <w:tc>
          <w:tcPr>
            <w:tcW w:w="645" w:type="pct"/>
            <w:vAlign w:val="center"/>
          </w:tcPr>
          <w:p w14:paraId="37E0E1F4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714950" w:rsidRPr="00234044" w14:paraId="2950F1DD" w14:textId="77777777" w:rsidTr="00E17DF7">
        <w:trPr>
          <w:trHeight w:val="3652"/>
        </w:trPr>
        <w:tc>
          <w:tcPr>
            <w:tcW w:w="835" w:type="pct"/>
            <w:vAlign w:val="center"/>
          </w:tcPr>
          <w:p w14:paraId="129CB7FA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214AA72C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36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Poremećaji bubrega i urinarnog sistema</w:t>
            </w:r>
          </w:p>
        </w:tc>
        <w:tc>
          <w:tcPr>
            <w:tcW w:w="931" w:type="pct"/>
            <w:vAlign w:val="center"/>
          </w:tcPr>
          <w:p w14:paraId="47FC030C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881" w:type="pct"/>
            <w:vAlign w:val="center"/>
          </w:tcPr>
          <w:p w14:paraId="2A0DC8D0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60" w:right="8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6DDDAB27" w14:textId="09E826C1" w:rsidR="00714950" w:rsidRPr="00186264" w:rsidRDefault="00714950" w:rsidP="007B2A33">
            <w:pPr>
              <w:pStyle w:val="TableParagraph"/>
              <w:kinsoku w:val="0"/>
              <w:overflowPunct w:val="0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povećane </w:t>
            </w:r>
            <w:r w:rsidR="00D718CE" w:rsidRPr="00186264">
              <w:rPr>
                <w:sz w:val="22"/>
                <w:szCs w:val="22"/>
                <w:lang w:val="sr-Latn-ME"/>
              </w:rPr>
              <w:t>vrijednost</w:t>
            </w:r>
            <w:r w:rsidRPr="00186264">
              <w:rPr>
                <w:sz w:val="22"/>
                <w:szCs w:val="22"/>
                <w:lang w:val="sr-Latn-ME"/>
              </w:rPr>
              <w:t>i kreatinina u serumu*</w:t>
            </w:r>
          </w:p>
        </w:tc>
        <w:tc>
          <w:tcPr>
            <w:tcW w:w="928" w:type="pct"/>
            <w:vAlign w:val="center"/>
          </w:tcPr>
          <w:p w14:paraId="6BFBDDF8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akutna insuficijencija bubrega*</w:t>
            </w:r>
          </w:p>
          <w:p w14:paraId="387F5507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59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oligurija/anurija*</w:t>
            </w:r>
          </w:p>
          <w:p w14:paraId="07EDB09C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449CF397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poliurija*</w:t>
            </w:r>
          </w:p>
          <w:p w14:paraId="5439B40E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9"/>
              <w:ind w:left="80" w:right="198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44BD72E0" w14:textId="2A2378AE" w:rsidR="00714950" w:rsidRPr="00186264" w:rsidRDefault="00D718CE" w:rsidP="007B2A33">
            <w:pPr>
              <w:pStyle w:val="TableParagraph"/>
              <w:kinsoku w:val="0"/>
              <w:overflowPunct w:val="0"/>
              <w:spacing w:before="1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promjena</w:t>
            </w:r>
            <w:r w:rsidR="00714950" w:rsidRPr="00186264">
              <w:rPr>
                <w:sz w:val="22"/>
                <w:szCs w:val="22"/>
                <w:lang w:val="sr-Latn-ME"/>
              </w:rPr>
              <w:t xml:space="preserve"> u boji urina (bezazlena i ne treba je m</w:t>
            </w:r>
            <w:r w:rsidR="0022431E" w:rsidRPr="00186264">
              <w:rPr>
                <w:sz w:val="22"/>
                <w:szCs w:val="22"/>
                <w:lang w:val="sr-Latn-ME"/>
              </w:rPr>
              <w:t>ij</w:t>
            </w:r>
            <w:r w:rsidR="00714950" w:rsidRPr="00186264">
              <w:rPr>
                <w:sz w:val="22"/>
                <w:szCs w:val="22"/>
                <w:lang w:val="sr-Latn-ME"/>
              </w:rPr>
              <w:t>ešati sa hematurijom)*</w:t>
            </w:r>
          </w:p>
        </w:tc>
        <w:tc>
          <w:tcPr>
            <w:tcW w:w="780" w:type="pct"/>
            <w:vAlign w:val="center"/>
          </w:tcPr>
          <w:p w14:paraId="32ECC388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645" w:type="pct"/>
            <w:vAlign w:val="center"/>
          </w:tcPr>
          <w:p w14:paraId="40160F2C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714950" w:rsidRPr="00234044" w14:paraId="6D579855" w14:textId="77777777" w:rsidTr="00E17DF7">
        <w:trPr>
          <w:trHeight w:val="1148"/>
        </w:trPr>
        <w:tc>
          <w:tcPr>
            <w:tcW w:w="835" w:type="pct"/>
            <w:vAlign w:val="center"/>
          </w:tcPr>
          <w:p w14:paraId="215B6DD3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36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Poremećaji reproduktivnog sistema i dojki</w:t>
            </w:r>
          </w:p>
        </w:tc>
        <w:tc>
          <w:tcPr>
            <w:tcW w:w="931" w:type="pct"/>
            <w:vAlign w:val="center"/>
          </w:tcPr>
          <w:p w14:paraId="4B90F684" w14:textId="77777777" w:rsidR="00714950" w:rsidRPr="00186264" w:rsidRDefault="00714950" w:rsidP="007B2A33">
            <w:pPr>
              <w:ind w:left="70" w:right="120"/>
              <w:jc w:val="both"/>
              <w:rPr>
                <w:b/>
                <w:bCs/>
                <w:szCs w:val="22"/>
                <w:lang w:val="sr-Latn-ME"/>
              </w:rPr>
            </w:pPr>
          </w:p>
        </w:tc>
        <w:tc>
          <w:tcPr>
            <w:tcW w:w="881" w:type="pct"/>
            <w:vAlign w:val="center"/>
          </w:tcPr>
          <w:p w14:paraId="134E0F01" w14:textId="77777777" w:rsidR="00714950" w:rsidRPr="00186264" w:rsidRDefault="00714950" w:rsidP="007B2A33">
            <w:pPr>
              <w:ind w:left="60" w:right="80"/>
              <w:jc w:val="both"/>
              <w:rPr>
                <w:b/>
                <w:bCs/>
                <w:szCs w:val="22"/>
                <w:lang w:val="sr-Latn-ME"/>
              </w:rPr>
            </w:pPr>
          </w:p>
        </w:tc>
        <w:tc>
          <w:tcPr>
            <w:tcW w:w="928" w:type="pct"/>
            <w:vAlign w:val="center"/>
          </w:tcPr>
          <w:p w14:paraId="34A2662A" w14:textId="77777777" w:rsidR="00714950" w:rsidRPr="00186264" w:rsidRDefault="00714950" w:rsidP="007B2A33">
            <w:pPr>
              <w:ind w:left="80" w:right="198"/>
              <w:jc w:val="both"/>
              <w:rPr>
                <w:b/>
                <w:bCs/>
                <w:szCs w:val="22"/>
                <w:lang w:val="sr-Latn-ME"/>
              </w:rPr>
            </w:pPr>
          </w:p>
        </w:tc>
        <w:tc>
          <w:tcPr>
            <w:tcW w:w="780" w:type="pct"/>
            <w:vAlign w:val="center"/>
          </w:tcPr>
          <w:p w14:paraId="55363A10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00" w:lineRule="exact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pruritus vulve*</w:t>
            </w:r>
          </w:p>
        </w:tc>
        <w:tc>
          <w:tcPr>
            <w:tcW w:w="645" w:type="pct"/>
            <w:vAlign w:val="center"/>
          </w:tcPr>
          <w:p w14:paraId="1C5E6BBB" w14:textId="77777777" w:rsidR="00714950" w:rsidRPr="00186264" w:rsidRDefault="00714950" w:rsidP="007B2A33">
            <w:pPr>
              <w:ind w:left="70" w:right="104"/>
              <w:jc w:val="both"/>
              <w:rPr>
                <w:b/>
                <w:bCs/>
                <w:szCs w:val="22"/>
                <w:lang w:val="sr-Latn-ME"/>
              </w:rPr>
            </w:pPr>
          </w:p>
        </w:tc>
      </w:tr>
      <w:tr w:rsidR="00714950" w:rsidRPr="00234044" w14:paraId="21F09178" w14:textId="77777777" w:rsidTr="00E17DF7">
        <w:trPr>
          <w:trHeight w:val="1151"/>
        </w:trPr>
        <w:tc>
          <w:tcPr>
            <w:tcW w:w="835" w:type="pct"/>
            <w:vAlign w:val="center"/>
          </w:tcPr>
          <w:p w14:paraId="547BE5F2" w14:textId="2DD97863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Opšti poremećaji i reakcije na </w:t>
            </w:r>
            <w:r w:rsidR="0022431E" w:rsidRPr="00186264">
              <w:rPr>
                <w:sz w:val="22"/>
                <w:szCs w:val="22"/>
                <w:lang w:val="sr-Latn-ME"/>
              </w:rPr>
              <w:t>mjestu</w:t>
            </w:r>
          </w:p>
          <w:p w14:paraId="30315280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line="219" w:lineRule="exact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primene</w:t>
            </w:r>
          </w:p>
        </w:tc>
        <w:tc>
          <w:tcPr>
            <w:tcW w:w="931" w:type="pct"/>
            <w:vAlign w:val="center"/>
          </w:tcPr>
          <w:p w14:paraId="6F36CD51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881" w:type="pct"/>
            <w:vAlign w:val="center"/>
          </w:tcPr>
          <w:p w14:paraId="246F8DF2" w14:textId="0E5C5FC3" w:rsidR="00714950" w:rsidRPr="00186264" w:rsidRDefault="00714950" w:rsidP="007B2A33">
            <w:pPr>
              <w:pStyle w:val="TableParagraph"/>
              <w:kinsoku w:val="0"/>
              <w:overflowPunct w:val="0"/>
              <w:spacing w:line="222" w:lineRule="exact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povišena t</w:t>
            </w:r>
            <w:r w:rsidR="00D718CE" w:rsidRPr="00186264">
              <w:rPr>
                <w:sz w:val="22"/>
                <w:szCs w:val="22"/>
                <w:lang w:val="sr-Latn-ME"/>
              </w:rPr>
              <w:t>j</w:t>
            </w:r>
            <w:r w:rsidRPr="00186264">
              <w:rPr>
                <w:sz w:val="22"/>
                <w:szCs w:val="22"/>
                <w:lang w:val="sr-Latn-ME"/>
              </w:rPr>
              <w:t>elesna temperatura*</w:t>
            </w:r>
          </w:p>
          <w:p w14:paraId="66A53795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9"/>
              <w:ind w:left="60" w:right="8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6B523195" w14:textId="51889FC8" w:rsidR="00714950" w:rsidRPr="00186264" w:rsidRDefault="00714950" w:rsidP="007B2A33">
            <w:pPr>
              <w:pStyle w:val="TableParagraph"/>
              <w:kinsoku w:val="0"/>
              <w:overflowPunct w:val="0"/>
              <w:spacing w:before="1" w:line="230" w:lineRule="atLeast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lokalni bol i induracija na m</w:t>
            </w:r>
            <w:r w:rsidR="0022431E" w:rsidRPr="00186264">
              <w:rPr>
                <w:sz w:val="22"/>
                <w:szCs w:val="22"/>
                <w:lang w:val="sr-Latn-ME"/>
              </w:rPr>
              <w:t>j</w:t>
            </w:r>
            <w:r w:rsidRPr="00186264">
              <w:rPr>
                <w:sz w:val="22"/>
                <w:szCs w:val="22"/>
                <w:lang w:val="sr-Latn-ME"/>
              </w:rPr>
              <w:t>estu prim</w:t>
            </w:r>
            <w:r w:rsidR="00D718CE" w:rsidRPr="00186264">
              <w:rPr>
                <w:sz w:val="22"/>
                <w:szCs w:val="22"/>
                <w:lang w:val="sr-Latn-ME"/>
              </w:rPr>
              <w:t>j</w:t>
            </w:r>
            <w:r w:rsidRPr="00186264">
              <w:rPr>
                <w:sz w:val="22"/>
                <w:szCs w:val="22"/>
                <w:lang w:val="sr-Latn-ME"/>
              </w:rPr>
              <w:t>ene injekcije*</w:t>
            </w:r>
          </w:p>
        </w:tc>
        <w:tc>
          <w:tcPr>
            <w:tcW w:w="928" w:type="pct"/>
            <w:vAlign w:val="center"/>
          </w:tcPr>
          <w:p w14:paraId="4B4514E5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780" w:type="pct"/>
            <w:vAlign w:val="center"/>
          </w:tcPr>
          <w:p w14:paraId="343F6118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nelagodnost u grudima*</w:t>
            </w:r>
          </w:p>
          <w:p w14:paraId="7E7CAFA1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186264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  <w:p w14:paraId="106AB27F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 astenija/slabost</w:t>
            </w:r>
            <w:r w:rsidRPr="00186264">
              <w:rPr>
                <w:w w:val="99"/>
                <w:sz w:val="22"/>
                <w:szCs w:val="22"/>
                <w:lang w:val="sr-Latn-ME"/>
              </w:rPr>
              <w:t>*</w:t>
            </w:r>
          </w:p>
        </w:tc>
        <w:tc>
          <w:tcPr>
            <w:tcW w:w="645" w:type="pct"/>
            <w:vAlign w:val="center"/>
          </w:tcPr>
          <w:p w14:paraId="684E611D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70" w:right="104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714950" w:rsidRPr="00234044" w14:paraId="775A5A0B" w14:textId="77777777" w:rsidTr="00E17DF7">
        <w:trPr>
          <w:trHeight w:val="4869"/>
        </w:trPr>
        <w:tc>
          <w:tcPr>
            <w:tcW w:w="835" w:type="pct"/>
            <w:vAlign w:val="center"/>
          </w:tcPr>
          <w:p w14:paraId="25096CB5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759C137F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9"/>
              <w:ind w:left="100" w:right="10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7FA4F4BB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100" w:right="10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Ispitivanja</w:t>
            </w:r>
          </w:p>
        </w:tc>
        <w:tc>
          <w:tcPr>
            <w:tcW w:w="931" w:type="pct"/>
            <w:vAlign w:val="center"/>
          </w:tcPr>
          <w:p w14:paraId="764DA50A" w14:textId="0AEC4B41" w:rsidR="00714950" w:rsidRPr="00186264" w:rsidRDefault="00714950" w:rsidP="007B2A33">
            <w:pPr>
              <w:pStyle w:val="TableParagraph"/>
              <w:kinsoku w:val="0"/>
              <w:overflowPunct w:val="0"/>
              <w:spacing w:before="102"/>
              <w:ind w:left="70" w:right="12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povećane </w:t>
            </w:r>
            <w:r w:rsidR="00D718CE" w:rsidRPr="00186264">
              <w:rPr>
                <w:sz w:val="22"/>
                <w:szCs w:val="22"/>
                <w:lang w:val="sr-Latn-ME"/>
              </w:rPr>
              <w:t>vrijednost</w:t>
            </w:r>
            <w:r w:rsidRPr="00186264">
              <w:rPr>
                <w:sz w:val="22"/>
                <w:szCs w:val="22"/>
                <w:lang w:val="sr-Latn-ME"/>
              </w:rPr>
              <w:t>i alkalne fosfataze u serumu*</w:t>
            </w:r>
          </w:p>
        </w:tc>
        <w:tc>
          <w:tcPr>
            <w:tcW w:w="881" w:type="pct"/>
            <w:vAlign w:val="center"/>
          </w:tcPr>
          <w:p w14:paraId="1BC15B42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pozitivan </w:t>
            </w:r>
            <w:r w:rsidRPr="00186264">
              <w:rPr>
                <w:i/>
                <w:sz w:val="22"/>
                <w:szCs w:val="22"/>
                <w:lang w:val="sr-Latn-ME"/>
              </w:rPr>
              <w:t>Coombs</w:t>
            </w:r>
            <w:r w:rsidRPr="00186264">
              <w:rPr>
                <w:sz w:val="22"/>
                <w:szCs w:val="22"/>
                <w:lang w:val="sr-Latn-ME"/>
              </w:rPr>
              <w:t>-ov test*</w:t>
            </w:r>
          </w:p>
          <w:p w14:paraId="63D6B8BC" w14:textId="0260F84B" w:rsidR="00714950" w:rsidRPr="00186264" w:rsidRDefault="00714950" w:rsidP="007B2A33">
            <w:pPr>
              <w:pStyle w:val="TableParagraph"/>
              <w:kinsoku w:val="0"/>
              <w:overflowPunct w:val="0"/>
              <w:spacing w:before="101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produženo protrombinsko vr</w:t>
            </w:r>
            <w:r w:rsidR="00D718CE" w:rsidRPr="00186264">
              <w:rPr>
                <w:sz w:val="22"/>
                <w:szCs w:val="22"/>
                <w:lang w:val="sr-Latn-ME"/>
              </w:rPr>
              <w:t>ij</w:t>
            </w:r>
            <w:r w:rsidRPr="00186264">
              <w:rPr>
                <w:sz w:val="22"/>
                <w:szCs w:val="22"/>
                <w:lang w:val="sr-Latn-ME"/>
              </w:rPr>
              <w:t>eme*</w:t>
            </w:r>
          </w:p>
          <w:p w14:paraId="3F79E242" w14:textId="260FB590" w:rsidR="00714950" w:rsidRPr="00186264" w:rsidRDefault="00714950" w:rsidP="007B2A33">
            <w:pPr>
              <w:pStyle w:val="TableParagraph"/>
              <w:kinsoku w:val="0"/>
              <w:overflowPunct w:val="0"/>
              <w:spacing w:before="102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smanjene </w:t>
            </w:r>
            <w:r w:rsidR="00D718CE" w:rsidRPr="00186264">
              <w:rPr>
                <w:sz w:val="22"/>
                <w:szCs w:val="22"/>
                <w:lang w:val="sr-Latn-ME"/>
              </w:rPr>
              <w:t>vrijednost</w:t>
            </w:r>
            <w:r w:rsidRPr="00186264">
              <w:rPr>
                <w:sz w:val="22"/>
                <w:szCs w:val="22"/>
                <w:lang w:val="sr-Latn-ME"/>
              </w:rPr>
              <w:t>i hemoglobina*</w:t>
            </w:r>
          </w:p>
          <w:p w14:paraId="41E9CF46" w14:textId="77777777" w:rsidR="00714950" w:rsidRPr="00186264" w:rsidRDefault="00714950" w:rsidP="007B2A33">
            <w:pPr>
              <w:pStyle w:val="TableParagraph"/>
              <w:kinsoku w:val="0"/>
              <w:overflowPunct w:val="0"/>
              <w:spacing w:before="11"/>
              <w:ind w:left="60" w:right="8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41C18D57" w14:textId="43B50A96" w:rsidR="00714950" w:rsidRPr="00186264" w:rsidRDefault="00714950" w:rsidP="007B2A33">
            <w:pPr>
              <w:pStyle w:val="TableParagraph"/>
              <w:kinsoku w:val="0"/>
              <w:overflowPunct w:val="0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povećane </w:t>
            </w:r>
            <w:r w:rsidR="00D718CE" w:rsidRPr="00186264">
              <w:rPr>
                <w:sz w:val="22"/>
                <w:szCs w:val="22"/>
                <w:lang w:val="sr-Latn-ME"/>
              </w:rPr>
              <w:t>vrijednost</w:t>
            </w:r>
            <w:r w:rsidRPr="00186264">
              <w:rPr>
                <w:sz w:val="22"/>
                <w:szCs w:val="22"/>
                <w:lang w:val="sr-Latn-ME"/>
              </w:rPr>
              <w:t>i bilirubina u serumu*</w:t>
            </w:r>
          </w:p>
          <w:p w14:paraId="39582570" w14:textId="1363FBF4" w:rsidR="00714950" w:rsidRPr="00186264" w:rsidRDefault="00714950" w:rsidP="007B2A33">
            <w:pPr>
              <w:pStyle w:val="TableParagraph"/>
              <w:kinsoku w:val="0"/>
              <w:overflowPunct w:val="0"/>
              <w:spacing w:before="101" w:line="230" w:lineRule="atLeast"/>
              <w:ind w:left="60" w:right="8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porast </w:t>
            </w:r>
            <w:r w:rsidR="00D718CE" w:rsidRPr="00186264">
              <w:rPr>
                <w:sz w:val="22"/>
                <w:szCs w:val="22"/>
                <w:lang w:val="sr-Latn-ME"/>
              </w:rPr>
              <w:t>vrijednost</w:t>
            </w:r>
            <w:r w:rsidRPr="00186264">
              <w:rPr>
                <w:sz w:val="22"/>
                <w:szCs w:val="22"/>
                <w:lang w:val="sr-Latn-ME"/>
              </w:rPr>
              <w:t>i uree u krvi*</w:t>
            </w:r>
          </w:p>
        </w:tc>
        <w:tc>
          <w:tcPr>
            <w:tcW w:w="928" w:type="pct"/>
            <w:vAlign w:val="center"/>
          </w:tcPr>
          <w:p w14:paraId="05A10392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198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780" w:type="pct"/>
            <w:vAlign w:val="center"/>
          </w:tcPr>
          <w:p w14:paraId="0D12AF44" w14:textId="77777777" w:rsidR="00714950" w:rsidRPr="00186264" w:rsidRDefault="00714950" w:rsidP="007B2A33">
            <w:pPr>
              <w:pStyle w:val="TableParagraph"/>
              <w:kinsoku w:val="0"/>
              <w:overflowPunct w:val="0"/>
              <w:ind w:left="80" w:right="9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645" w:type="pct"/>
            <w:vAlign w:val="center"/>
          </w:tcPr>
          <w:p w14:paraId="20DA7229" w14:textId="7DC582D9" w:rsidR="00714950" w:rsidRPr="00186264" w:rsidRDefault="00714950" w:rsidP="007B2A33">
            <w:pPr>
              <w:pStyle w:val="TableParagraph"/>
              <w:kinsoku w:val="0"/>
              <w:overflowPunct w:val="0"/>
              <w:spacing w:before="102"/>
              <w:ind w:left="70" w:right="1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 xml:space="preserve">povećane </w:t>
            </w:r>
            <w:r w:rsidR="00D718CE" w:rsidRPr="00186264">
              <w:rPr>
                <w:sz w:val="22"/>
                <w:szCs w:val="22"/>
                <w:lang w:val="sr-Latn-ME"/>
              </w:rPr>
              <w:t>vrijednost</w:t>
            </w:r>
            <w:r w:rsidRPr="00186264">
              <w:rPr>
                <w:sz w:val="22"/>
                <w:szCs w:val="22"/>
                <w:lang w:val="sr-Latn-ME"/>
              </w:rPr>
              <w:t>i laktat dehidrogenaze u krvi*</w:t>
            </w:r>
          </w:p>
        </w:tc>
      </w:tr>
      <w:tr w:rsidR="00714950" w:rsidRPr="00234044" w14:paraId="69507F45" w14:textId="77777777" w:rsidTr="00E17DF7">
        <w:trPr>
          <w:trHeight w:val="918"/>
        </w:trPr>
        <w:tc>
          <w:tcPr>
            <w:tcW w:w="5000" w:type="pct"/>
            <w:gridSpan w:val="6"/>
            <w:vAlign w:val="center"/>
          </w:tcPr>
          <w:p w14:paraId="603D5F51" w14:textId="2EEC10FD" w:rsidR="00714950" w:rsidRPr="00186264" w:rsidRDefault="00714950" w:rsidP="007B2A33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lang w:val="sr-Latn-ME"/>
              </w:rPr>
              <w:t>*prijavljeno kod prim</w:t>
            </w:r>
            <w:r w:rsidR="00D718CE" w:rsidRPr="00186264">
              <w:rPr>
                <w:sz w:val="22"/>
                <w:szCs w:val="22"/>
                <w:lang w:val="sr-Latn-ME"/>
              </w:rPr>
              <w:t>j</w:t>
            </w:r>
            <w:r w:rsidRPr="00186264">
              <w:rPr>
                <w:sz w:val="22"/>
                <w:szCs w:val="22"/>
                <w:lang w:val="sr-Latn-ME"/>
              </w:rPr>
              <w:t>ene imipenema/cilastatina u kliničkim ispitivanjima ili tokom postmarketinškog iskustva sa imipenem/cilastatinom</w:t>
            </w:r>
          </w:p>
          <w:p w14:paraId="2D7E8211" w14:textId="31547B2D" w:rsidR="00714950" w:rsidRPr="00186264" w:rsidRDefault="00714950" w:rsidP="007B2A33">
            <w:pPr>
              <w:pStyle w:val="TableParagraph"/>
              <w:kinsoku w:val="0"/>
              <w:overflowPunct w:val="0"/>
              <w:spacing w:line="228" w:lineRule="exact"/>
              <w:jc w:val="both"/>
              <w:rPr>
                <w:sz w:val="22"/>
                <w:szCs w:val="22"/>
                <w:lang w:val="sr-Latn-ME"/>
              </w:rPr>
            </w:pPr>
            <w:r w:rsidRPr="00186264">
              <w:rPr>
                <w:sz w:val="22"/>
                <w:szCs w:val="22"/>
                <w:vertAlign w:val="superscript"/>
                <w:lang w:val="sr-Latn-ME"/>
              </w:rPr>
              <w:t>†</w:t>
            </w:r>
            <w:r w:rsidRPr="00186264">
              <w:rPr>
                <w:sz w:val="22"/>
                <w:szCs w:val="22"/>
                <w:lang w:val="sr-Latn-ME"/>
              </w:rPr>
              <w:t>prijavljeno kod prim</w:t>
            </w:r>
            <w:r w:rsidR="00D718CE" w:rsidRPr="00186264">
              <w:rPr>
                <w:sz w:val="22"/>
                <w:szCs w:val="22"/>
                <w:lang w:val="sr-Latn-ME"/>
              </w:rPr>
              <w:t>j</w:t>
            </w:r>
            <w:r w:rsidRPr="00186264">
              <w:rPr>
                <w:sz w:val="22"/>
                <w:szCs w:val="22"/>
                <w:lang w:val="sr-Latn-ME"/>
              </w:rPr>
              <w:t>ene imipenema/cilastatina plus relebaktam u ispitivanjima faze 2 (N = 431) i faze 3 (N = 266)</w:t>
            </w:r>
          </w:p>
        </w:tc>
      </w:tr>
    </w:tbl>
    <w:p w14:paraId="502F63A4" w14:textId="77777777" w:rsidR="00714950" w:rsidRPr="00186264" w:rsidRDefault="00714950" w:rsidP="007B2A33">
      <w:pPr>
        <w:jc w:val="both"/>
        <w:rPr>
          <w:noProof/>
          <w:szCs w:val="22"/>
          <w:u w:val="single"/>
          <w:lang w:val="sr-Latn-ME"/>
        </w:rPr>
      </w:pPr>
    </w:p>
    <w:p w14:paraId="5D9AC357" w14:textId="77777777" w:rsidR="005A23D2" w:rsidRPr="00186264" w:rsidRDefault="005A23D2" w:rsidP="007B2A33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186264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D9AC358" w14:textId="0716FCDB" w:rsidR="005A23D2" w:rsidRPr="00186264" w:rsidRDefault="005A23D2" w:rsidP="007B2A33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186264">
        <w:rPr>
          <w:rFonts w:eastAsia="Calibri"/>
          <w:sz w:val="22"/>
          <w:szCs w:val="22"/>
          <w:lang w:val="sr-Latn-ME"/>
        </w:rPr>
        <w:t>Prijavljivanje neželjenih dejstava nakon dobijanja dozvole</w:t>
      </w:r>
      <w:r w:rsidR="007B2A33" w:rsidRPr="00186264">
        <w:rPr>
          <w:rFonts w:eastAsia="Calibri"/>
          <w:sz w:val="22"/>
          <w:szCs w:val="22"/>
          <w:lang w:val="sr-Latn-ME"/>
        </w:rPr>
        <w:t xml:space="preserve"> za lijek</w:t>
      </w:r>
      <w:r w:rsidRPr="00186264">
        <w:rPr>
          <w:rFonts w:eastAsia="Calibri"/>
          <w:sz w:val="22"/>
          <w:szCs w:val="22"/>
          <w:lang w:val="sr-Latn-ME"/>
        </w:rPr>
        <w:t xml:space="preserve"> je od velikog značaja jer obezbjeđuje kont</w:t>
      </w:r>
      <w:r w:rsidR="00EA5765" w:rsidRPr="00186264">
        <w:rPr>
          <w:rFonts w:eastAsia="Calibri"/>
          <w:sz w:val="22"/>
          <w:szCs w:val="22"/>
          <w:lang w:val="sr-Latn-ME"/>
        </w:rPr>
        <w:t>inuirano praćenje odnosa korist</w:t>
      </w:r>
      <w:r w:rsidRPr="00186264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186264">
        <w:rPr>
          <w:rFonts w:eastAsia="Calibri"/>
          <w:sz w:val="22"/>
          <w:szCs w:val="22"/>
          <w:lang w:val="sr-Latn-ME"/>
        </w:rPr>
        <w:t xml:space="preserve"> </w:t>
      </w:r>
      <w:r w:rsidRPr="00186264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186264">
        <w:rPr>
          <w:rFonts w:eastAsia="Calibri"/>
          <w:sz w:val="22"/>
          <w:szCs w:val="22"/>
          <w:lang w:val="sr-Latn-ME"/>
        </w:rPr>
        <w:t>Institutu</w:t>
      </w:r>
      <w:r w:rsidRPr="00186264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186264">
        <w:rPr>
          <w:rFonts w:eastAsia="Calibri"/>
          <w:sz w:val="22"/>
          <w:szCs w:val="22"/>
          <w:lang w:val="sr-Latn-ME"/>
        </w:rPr>
        <w:t xml:space="preserve"> </w:t>
      </w:r>
      <w:r w:rsidRPr="00186264">
        <w:rPr>
          <w:rFonts w:eastAsia="Calibri"/>
          <w:sz w:val="22"/>
          <w:szCs w:val="22"/>
          <w:lang w:val="sr-Latn-ME"/>
        </w:rPr>
        <w:t>(</w:t>
      </w:r>
      <w:r w:rsidR="004E70AD" w:rsidRPr="00186264">
        <w:rPr>
          <w:rFonts w:eastAsia="Calibri"/>
          <w:sz w:val="22"/>
          <w:szCs w:val="22"/>
          <w:lang w:val="sr-Latn-ME"/>
        </w:rPr>
        <w:t>CInMED</w:t>
      </w:r>
      <w:r w:rsidRPr="00186264">
        <w:rPr>
          <w:rFonts w:eastAsia="Calibri"/>
          <w:sz w:val="22"/>
          <w:szCs w:val="22"/>
          <w:lang w:val="sr-Latn-ME"/>
        </w:rPr>
        <w:t>):</w:t>
      </w:r>
    </w:p>
    <w:p w14:paraId="5D9AC359" w14:textId="77777777" w:rsidR="005A23D2" w:rsidRPr="00186264" w:rsidRDefault="004E70AD" w:rsidP="007B2A3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86264">
        <w:rPr>
          <w:rFonts w:eastAsia="Calibri"/>
          <w:sz w:val="22"/>
          <w:szCs w:val="22"/>
          <w:lang w:val="sr-Latn-ME"/>
        </w:rPr>
        <w:lastRenderedPageBreak/>
        <w:t xml:space="preserve">Institut </w:t>
      </w:r>
      <w:r w:rsidR="005A23D2" w:rsidRPr="00186264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D9AC35A" w14:textId="77777777" w:rsidR="005A23D2" w:rsidRPr="00186264" w:rsidRDefault="005A23D2" w:rsidP="007B2A3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86264">
        <w:rPr>
          <w:rFonts w:eastAsia="Calibri"/>
          <w:sz w:val="22"/>
          <w:szCs w:val="22"/>
          <w:lang w:val="sr-Latn-ME"/>
        </w:rPr>
        <w:t>Odjeljenje za farmakovigilancu</w:t>
      </w:r>
    </w:p>
    <w:p w14:paraId="5D9AC35B" w14:textId="77777777" w:rsidR="00EA5765" w:rsidRPr="00186264" w:rsidRDefault="005A23D2" w:rsidP="007B2A3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86264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D9AC35C" w14:textId="77777777" w:rsidR="00EA5765" w:rsidRPr="00186264" w:rsidRDefault="00EA5765" w:rsidP="007B2A3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D9AC35D" w14:textId="77777777" w:rsidR="005A23D2" w:rsidRPr="00186264" w:rsidRDefault="005A23D2" w:rsidP="007B2A3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86264">
        <w:rPr>
          <w:rFonts w:eastAsia="Calibri"/>
          <w:sz w:val="22"/>
          <w:szCs w:val="22"/>
          <w:lang w:val="sr-Latn-ME"/>
        </w:rPr>
        <w:t>tel: +382 (0) 20 310 280</w:t>
      </w:r>
    </w:p>
    <w:p w14:paraId="5D9AC35E" w14:textId="77777777" w:rsidR="00EA5765" w:rsidRPr="00186264" w:rsidRDefault="005A23D2" w:rsidP="007B2A3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86264">
        <w:rPr>
          <w:rFonts w:eastAsia="Calibri"/>
          <w:sz w:val="22"/>
          <w:szCs w:val="22"/>
          <w:lang w:val="sr-Latn-ME"/>
        </w:rPr>
        <w:t>fax:</w:t>
      </w:r>
      <w:r w:rsidR="00EA5765" w:rsidRPr="00186264">
        <w:rPr>
          <w:rFonts w:eastAsia="Calibri"/>
          <w:sz w:val="22"/>
          <w:szCs w:val="22"/>
          <w:lang w:val="sr-Latn-ME"/>
        </w:rPr>
        <w:t xml:space="preserve"> </w:t>
      </w:r>
      <w:r w:rsidRPr="00186264">
        <w:rPr>
          <w:rFonts w:eastAsia="Calibri"/>
          <w:sz w:val="22"/>
          <w:szCs w:val="22"/>
          <w:lang w:val="sr-Latn-ME"/>
        </w:rPr>
        <w:t>+382 (0) 20 310 581</w:t>
      </w:r>
    </w:p>
    <w:p w14:paraId="5D9AC35F" w14:textId="77777777" w:rsidR="005A23D2" w:rsidRPr="00186264" w:rsidRDefault="005F6D66" w:rsidP="007B2A3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186264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D9AC360" w14:textId="77777777" w:rsidR="00EA5765" w:rsidRPr="00186264" w:rsidRDefault="005F6D66" w:rsidP="007B2A33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186264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D9AC361" w14:textId="77777777" w:rsidR="005A23D2" w:rsidRPr="00186264" w:rsidRDefault="005A23D2" w:rsidP="007B2A3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86264">
        <w:rPr>
          <w:rFonts w:eastAsia="Calibri"/>
          <w:sz w:val="22"/>
          <w:szCs w:val="22"/>
          <w:lang w:val="sr-Latn-ME"/>
        </w:rPr>
        <w:t>putem IS zdravstvene zaštite</w:t>
      </w:r>
    </w:p>
    <w:p w14:paraId="5F7935AB" w14:textId="77777777" w:rsidR="00C25ED6" w:rsidRPr="00186264" w:rsidRDefault="00C25ED6" w:rsidP="007B2A3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86264">
        <w:rPr>
          <w:sz w:val="22"/>
          <w:szCs w:val="22"/>
          <w:lang w:val="sr-Latn-ME"/>
        </w:rPr>
        <w:t>QR kod za online prijavu sumnje na neželjeno dejstvo lijeka:</w:t>
      </w:r>
    </w:p>
    <w:p w14:paraId="480CD363" w14:textId="77777777" w:rsidR="00C25ED6" w:rsidRPr="00186264" w:rsidRDefault="00C25ED6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F1656E1" w14:textId="0B33B4BF" w:rsidR="00C25ED6" w:rsidRPr="00186264" w:rsidRDefault="00CC0F1A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59A9BFED" wp14:editId="6034DE4F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9AC362" w14:textId="77777777" w:rsidR="00836B35" w:rsidRPr="00186264" w:rsidRDefault="00836B35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9AC363" w14:textId="77777777" w:rsidR="00CD6F02" w:rsidRPr="00186264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86264">
        <w:rPr>
          <w:b/>
          <w:bCs/>
          <w:sz w:val="22"/>
          <w:szCs w:val="22"/>
          <w:lang w:val="sr-Latn-ME"/>
        </w:rPr>
        <w:t xml:space="preserve">4.9. </w:t>
      </w:r>
      <w:r w:rsidR="00480FB1" w:rsidRPr="00186264">
        <w:rPr>
          <w:b/>
          <w:bCs/>
          <w:sz w:val="22"/>
          <w:szCs w:val="22"/>
          <w:lang w:val="sr-Latn-ME"/>
        </w:rPr>
        <w:tab/>
      </w:r>
      <w:r w:rsidRPr="00186264">
        <w:rPr>
          <w:b/>
          <w:bCs/>
          <w:sz w:val="22"/>
          <w:szCs w:val="22"/>
          <w:lang w:val="sr-Latn-ME"/>
        </w:rPr>
        <w:t>Predoziranje</w:t>
      </w:r>
      <w:r w:rsidR="002846DB" w:rsidRPr="00186264">
        <w:rPr>
          <w:b/>
          <w:bCs/>
          <w:sz w:val="22"/>
          <w:szCs w:val="22"/>
          <w:lang w:val="sr-Latn-ME"/>
        </w:rPr>
        <w:t xml:space="preserve"> </w:t>
      </w:r>
    </w:p>
    <w:p w14:paraId="4083C1F2" w14:textId="77777777" w:rsidR="00E17DF7" w:rsidRPr="00186264" w:rsidRDefault="00E17DF7" w:rsidP="007B2A33">
      <w:pPr>
        <w:jc w:val="both"/>
        <w:rPr>
          <w:szCs w:val="22"/>
          <w:lang w:val="sr-Latn-ME"/>
        </w:rPr>
      </w:pPr>
    </w:p>
    <w:p w14:paraId="4BDBABBF" w14:textId="1D39BC6A" w:rsidR="00E17DF7" w:rsidRPr="00186264" w:rsidRDefault="00E17DF7" w:rsidP="007B2A33">
      <w:pPr>
        <w:jc w:val="both"/>
        <w:rPr>
          <w:szCs w:val="22"/>
          <w:lang w:val="sr-Latn-ME"/>
        </w:rPr>
      </w:pPr>
      <w:r w:rsidRPr="00186264">
        <w:rPr>
          <w:szCs w:val="22"/>
          <w:lang w:val="sr-Latn-ME"/>
        </w:rPr>
        <w:t xml:space="preserve">U slučaju predoziranja, potrebno je da se prekine terapija </w:t>
      </w:r>
      <w:r w:rsidR="00D718CE" w:rsidRPr="00186264">
        <w:rPr>
          <w:szCs w:val="22"/>
          <w:lang w:val="sr-Latn-ME"/>
        </w:rPr>
        <w:t>lijek</w:t>
      </w:r>
      <w:r w:rsidRPr="00186264">
        <w:rPr>
          <w:szCs w:val="22"/>
          <w:lang w:val="sr-Latn-ME"/>
        </w:rPr>
        <w:t>om RECARBRIO, prim</w:t>
      </w:r>
      <w:r w:rsidR="00D718CE" w:rsidRPr="00186264">
        <w:rPr>
          <w:szCs w:val="22"/>
          <w:lang w:val="sr-Latn-ME"/>
        </w:rPr>
        <w:t>ij</w:t>
      </w:r>
      <w:r w:rsidRPr="00186264">
        <w:rPr>
          <w:szCs w:val="22"/>
          <w:lang w:val="sr-Latn-ME"/>
        </w:rPr>
        <w:t>eni odgovarajuća terapija u skladu sa simptomima i uvede opšta suportivna terapija. Imipenem, cilastatin i relebaktam mogu da se uklone hemodijalizom. Nema dostupnih kliničkih informacija o prim</w:t>
      </w:r>
      <w:r w:rsidR="00D718CE" w:rsidRPr="00186264">
        <w:rPr>
          <w:szCs w:val="22"/>
          <w:lang w:val="sr-Latn-ME"/>
        </w:rPr>
        <w:t>j</w:t>
      </w:r>
      <w:r w:rsidRPr="00186264">
        <w:rPr>
          <w:szCs w:val="22"/>
          <w:lang w:val="sr-Latn-ME"/>
        </w:rPr>
        <w:t>eni hemodijalize za terapiju predoziranja.</w:t>
      </w:r>
    </w:p>
    <w:p w14:paraId="5D9AC365" w14:textId="04372F4F" w:rsidR="00227BDB" w:rsidRDefault="00227BDB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1EA7E4" w14:textId="77777777" w:rsidR="0020459E" w:rsidRPr="00186264" w:rsidRDefault="0020459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9AC366" w14:textId="77777777" w:rsidR="0072020E" w:rsidRPr="00186264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86264">
        <w:rPr>
          <w:b/>
          <w:bCs/>
          <w:sz w:val="22"/>
          <w:szCs w:val="22"/>
          <w:lang w:val="sr-Latn-ME"/>
        </w:rPr>
        <w:t xml:space="preserve">5. </w:t>
      </w:r>
      <w:r w:rsidR="00480FB1" w:rsidRPr="00186264">
        <w:rPr>
          <w:b/>
          <w:bCs/>
          <w:sz w:val="22"/>
          <w:szCs w:val="22"/>
          <w:lang w:val="sr-Latn-ME"/>
        </w:rPr>
        <w:tab/>
      </w:r>
      <w:r w:rsidRPr="00186264">
        <w:rPr>
          <w:b/>
          <w:bCs/>
          <w:sz w:val="22"/>
          <w:szCs w:val="22"/>
          <w:lang w:val="sr-Latn-ME"/>
        </w:rPr>
        <w:t>FARMAKOLOŠK</w:t>
      </w:r>
      <w:r w:rsidR="000D425A" w:rsidRPr="00186264">
        <w:rPr>
          <w:b/>
          <w:bCs/>
          <w:sz w:val="22"/>
          <w:szCs w:val="22"/>
          <w:lang w:val="sr-Latn-ME"/>
        </w:rPr>
        <w:t>I</w:t>
      </w:r>
      <w:r w:rsidRPr="00186264">
        <w:rPr>
          <w:b/>
          <w:bCs/>
          <w:sz w:val="22"/>
          <w:szCs w:val="22"/>
          <w:lang w:val="sr-Latn-ME"/>
        </w:rPr>
        <w:t xml:space="preserve"> PODACI</w:t>
      </w:r>
    </w:p>
    <w:p w14:paraId="5D9AC367" w14:textId="77777777" w:rsidR="0072020E" w:rsidRPr="00186264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9AC368" w14:textId="77777777" w:rsidR="0072020E" w:rsidRPr="00186264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86264">
        <w:rPr>
          <w:b/>
          <w:bCs/>
          <w:sz w:val="22"/>
          <w:szCs w:val="22"/>
          <w:lang w:val="sr-Latn-ME"/>
        </w:rPr>
        <w:t xml:space="preserve">5.1. </w:t>
      </w:r>
      <w:r w:rsidR="00480FB1" w:rsidRPr="00186264">
        <w:rPr>
          <w:b/>
          <w:bCs/>
          <w:sz w:val="22"/>
          <w:szCs w:val="22"/>
          <w:lang w:val="sr-Latn-ME"/>
        </w:rPr>
        <w:tab/>
      </w:r>
      <w:r w:rsidRPr="00186264">
        <w:rPr>
          <w:b/>
          <w:bCs/>
          <w:sz w:val="22"/>
          <w:szCs w:val="22"/>
          <w:lang w:val="sr-Latn-ME"/>
        </w:rPr>
        <w:t>Farmakodinamski podaci</w:t>
      </w:r>
      <w:r w:rsidR="003A7059" w:rsidRPr="00186264">
        <w:rPr>
          <w:b/>
          <w:bCs/>
          <w:sz w:val="22"/>
          <w:szCs w:val="22"/>
          <w:lang w:val="sr-Latn-ME"/>
        </w:rPr>
        <w:t xml:space="preserve"> </w:t>
      </w:r>
    </w:p>
    <w:p w14:paraId="5D9AC369" w14:textId="77777777" w:rsidR="00F45F77" w:rsidRPr="00186264" w:rsidRDefault="00F45F77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9AC36A" w14:textId="728907AD" w:rsidR="0072020E" w:rsidRPr="00186264" w:rsidRDefault="0072020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86264">
        <w:rPr>
          <w:bCs/>
          <w:sz w:val="22"/>
          <w:szCs w:val="22"/>
          <w:lang w:val="sr-Latn-ME"/>
        </w:rPr>
        <w:t>Farmakoterapijska grupa:</w:t>
      </w:r>
      <w:r w:rsidR="00E17DF7" w:rsidRPr="00186264">
        <w:rPr>
          <w:bCs/>
          <w:sz w:val="22"/>
          <w:szCs w:val="22"/>
          <w:lang w:val="sr-Latn-ME"/>
        </w:rPr>
        <w:t xml:space="preserve"> antibakterijski </w:t>
      </w:r>
      <w:r w:rsidR="007E1A5B" w:rsidRPr="00186264">
        <w:rPr>
          <w:bCs/>
          <w:sz w:val="22"/>
          <w:szCs w:val="22"/>
          <w:lang w:val="sr-Latn-ME"/>
        </w:rPr>
        <w:t>ljekovi</w:t>
      </w:r>
      <w:r w:rsidR="00E17DF7" w:rsidRPr="00186264">
        <w:rPr>
          <w:bCs/>
          <w:sz w:val="22"/>
          <w:szCs w:val="22"/>
          <w:lang w:val="sr-Latn-ME"/>
        </w:rPr>
        <w:t xml:space="preserve"> za sistemsku </w:t>
      </w:r>
      <w:r w:rsidR="00D718CE" w:rsidRPr="00186264">
        <w:rPr>
          <w:bCs/>
          <w:sz w:val="22"/>
          <w:szCs w:val="22"/>
          <w:lang w:val="sr-Latn-ME"/>
        </w:rPr>
        <w:t>primjenu</w:t>
      </w:r>
      <w:r w:rsidR="00E17DF7" w:rsidRPr="00186264">
        <w:rPr>
          <w:bCs/>
          <w:sz w:val="22"/>
          <w:szCs w:val="22"/>
          <w:lang w:val="sr-Latn-ME"/>
        </w:rPr>
        <w:t>, karbapenemi</w:t>
      </w:r>
    </w:p>
    <w:p w14:paraId="5D9AC36B" w14:textId="77777777" w:rsidR="0072020E" w:rsidRPr="00186264" w:rsidRDefault="0072020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6C" w14:textId="7AF5D110" w:rsidR="0072020E" w:rsidRPr="00186264" w:rsidRDefault="0072020E" w:rsidP="007B2A33">
      <w:pPr>
        <w:tabs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186264">
        <w:rPr>
          <w:bCs/>
          <w:sz w:val="22"/>
          <w:szCs w:val="22"/>
          <w:lang w:val="sr-Latn-ME"/>
        </w:rPr>
        <w:t>ATC kod:</w:t>
      </w:r>
      <w:r w:rsidR="00E17DF7" w:rsidRPr="00186264">
        <w:rPr>
          <w:bCs/>
          <w:szCs w:val="22"/>
          <w:lang w:val="sr-Latn-ME"/>
        </w:rPr>
        <w:t xml:space="preserve"> J01DH56</w:t>
      </w:r>
    </w:p>
    <w:p w14:paraId="4362520A" w14:textId="2DF233F5" w:rsidR="00E17DF7" w:rsidRPr="00186264" w:rsidRDefault="00E17DF7" w:rsidP="007B2A33">
      <w:pPr>
        <w:tabs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5E01947F" w14:textId="77777777" w:rsidR="00E17DF7" w:rsidRPr="00186264" w:rsidRDefault="00E17DF7" w:rsidP="007B2A33">
      <w:pPr>
        <w:jc w:val="both"/>
        <w:rPr>
          <w:szCs w:val="22"/>
          <w:u w:val="single"/>
          <w:lang w:val="sr-Latn-ME"/>
        </w:rPr>
      </w:pPr>
      <w:r w:rsidRPr="00186264">
        <w:rPr>
          <w:szCs w:val="22"/>
          <w:u w:val="single"/>
          <w:lang w:val="sr-Latn-ME"/>
        </w:rPr>
        <w:t>Mehanizam dejstva</w:t>
      </w:r>
    </w:p>
    <w:p w14:paraId="7DAAAD51" w14:textId="77777777" w:rsidR="00E17DF7" w:rsidRPr="00186264" w:rsidRDefault="00E17DF7" w:rsidP="007B2A33">
      <w:pPr>
        <w:jc w:val="both"/>
        <w:rPr>
          <w:szCs w:val="22"/>
          <w:u w:val="single"/>
          <w:lang w:val="sr-Latn-ME"/>
        </w:rPr>
      </w:pPr>
    </w:p>
    <w:p w14:paraId="17C7ECD2" w14:textId="77777777" w:rsidR="00E17DF7" w:rsidRPr="00186264" w:rsidRDefault="00E17DF7" w:rsidP="007B2A33">
      <w:pPr>
        <w:jc w:val="both"/>
        <w:rPr>
          <w:szCs w:val="22"/>
          <w:lang w:val="sr-Latn-ME"/>
        </w:rPr>
      </w:pPr>
      <w:r w:rsidRPr="00186264">
        <w:rPr>
          <w:szCs w:val="22"/>
          <w:lang w:val="sr-Latn-ME"/>
        </w:rPr>
        <w:t xml:space="preserve">Baktericidna aktivnost imipenema rezultat je inhibicije proteina koji vežu penicilin (engl. </w:t>
      </w:r>
      <w:r w:rsidRPr="00186264">
        <w:rPr>
          <w:i/>
          <w:szCs w:val="22"/>
          <w:lang w:val="sr-Latn-ME"/>
        </w:rPr>
        <w:t>Penicillin binding proteins</w:t>
      </w:r>
      <w:r w:rsidRPr="00186264">
        <w:rPr>
          <w:szCs w:val="22"/>
          <w:lang w:val="sr-Latn-ME"/>
        </w:rPr>
        <w:t xml:space="preserve">, PBPs), a koja dovodi do inhibicije sinteze peptidoglikanskog ćelijskog zida. </w:t>
      </w:r>
    </w:p>
    <w:p w14:paraId="6BD4F972" w14:textId="77777777" w:rsidR="00E17DF7" w:rsidRPr="00186264" w:rsidRDefault="00E17DF7" w:rsidP="007B2A33">
      <w:pPr>
        <w:jc w:val="both"/>
        <w:rPr>
          <w:szCs w:val="22"/>
          <w:lang w:val="sr-Latn-ME"/>
        </w:rPr>
      </w:pPr>
    </w:p>
    <w:p w14:paraId="64727D5A" w14:textId="77777777" w:rsidR="00E17DF7" w:rsidRPr="00186264" w:rsidRDefault="00E17DF7" w:rsidP="007B2A33">
      <w:pPr>
        <w:jc w:val="both"/>
        <w:rPr>
          <w:szCs w:val="22"/>
          <w:lang w:val="sr-Latn-ME"/>
        </w:rPr>
      </w:pPr>
      <w:r w:rsidRPr="00186264">
        <w:rPr>
          <w:szCs w:val="22"/>
          <w:lang w:val="sr-Latn-ME"/>
        </w:rPr>
        <w:t xml:space="preserve">Cilastatin ograničava bubrežni metabolizam imipenema i nema antibakterijsku aktivnost. </w:t>
      </w:r>
    </w:p>
    <w:p w14:paraId="173FD81D" w14:textId="77777777" w:rsidR="00E17DF7" w:rsidRPr="00186264" w:rsidRDefault="00E17DF7" w:rsidP="007B2A33">
      <w:pPr>
        <w:jc w:val="both"/>
        <w:rPr>
          <w:szCs w:val="22"/>
          <w:lang w:val="sr-Latn-ME"/>
        </w:rPr>
      </w:pPr>
    </w:p>
    <w:p w14:paraId="07529207" w14:textId="77777777" w:rsidR="00E17DF7" w:rsidRPr="00186264" w:rsidRDefault="00E17DF7" w:rsidP="007B2A33">
      <w:pPr>
        <w:jc w:val="both"/>
        <w:rPr>
          <w:szCs w:val="22"/>
          <w:lang w:val="sr-Latn-ME"/>
        </w:rPr>
      </w:pPr>
      <w:r w:rsidRPr="00186264">
        <w:rPr>
          <w:szCs w:val="22"/>
          <w:lang w:val="sr-Latn-ME"/>
        </w:rPr>
        <w:t xml:space="preserve">Relebaktam je nebetalaktamski inhibitor beta-laktamaza klase A i klase C prema Amblerovoj klasifikaciji, uključujući </w:t>
      </w:r>
      <w:r w:rsidRPr="00186264">
        <w:rPr>
          <w:i/>
          <w:iCs/>
          <w:szCs w:val="22"/>
          <w:lang w:val="sr-Latn-ME"/>
        </w:rPr>
        <w:t>Klebsiella pneumoniae</w:t>
      </w:r>
      <w:r w:rsidRPr="00186264">
        <w:rPr>
          <w:szCs w:val="22"/>
          <w:lang w:val="sr-Latn-ME"/>
        </w:rPr>
        <w:t xml:space="preserve"> karbapenemazu (engl. </w:t>
      </w:r>
      <w:r w:rsidRPr="00186264">
        <w:rPr>
          <w:i/>
          <w:szCs w:val="22"/>
          <w:lang w:val="sr-Latn-ME"/>
        </w:rPr>
        <w:t>Klebsiella pneumoniae carbapenemase</w:t>
      </w:r>
      <w:r w:rsidRPr="00186264">
        <w:rPr>
          <w:szCs w:val="22"/>
          <w:lang w:val="sr-Latn-ME"/>
        </w:rPr>
        <w:t xml:space="preserve">, KPC) i beta-laktamaze proširenog spektra (engl. </w:t>
      </w:r>
      <w:r w:rsidRPr="00186264">
        <w:rPr>
          <w:i/>
          <w:szCs w:val="22"/>
          <w:lang w:val="sr-Latn-ME"/>
        </w:rPr>
        <w:t>extended-spectrum beta-lactamases</w:t>
      </w:r>
      <w:r w:rsidRPr="00186264">
        <w:rPr>
          <w:szCs w:val="22"/>
          <w:lang w:val="sr-Latn-ME"/>
        </w:rPr>
        <w:t xml:space="preserve">, ESBLs) iz klase A, kao i beta-laktamaze klase C (tipa AmpC), uključujući cefalosporinazu koju proizvode bakterije roda </w:t>
      </w:r>
      <w:r w:rsidRPr="00186264">
        <w:rPr>
          <w:i/>
          <w:szCs w:val="22"/>
          <w:lang w:val="sr-Latn-ME"/>
        </w:rPr>
        <w:t>Pseudomonas</w:t>
      </w:r>
      <w:r w:rsidRPr="00186264">
        <w:rPr>
          <w:szCs w:val="22"/>
          <w:lang w:val="sr-Latn-ME"/>
        </w:rPr>
        <w:t xml:space="preserve"> (engl. </w:t>
      </w:r>
      <w:r w:rsidRPr="00186264">
        <w:rPr>
          <w:i/>
          <w:szCs w:val="22"/>
          <w:lang w:val="sr-Latn-ME"/>
        </w:rPr>
        <w:t>Pseudomonas-Derived Cephalosporinase</w:t>
      </w:r>
      <w:r w:rsidRPr="00186264">
        <w:rPr>
          <w:szCs w:val="22"/>
          <w:lang w:val="sr-Latn-ME"/>
        </w:rPr>
        <w:t>, PDC). Relebaktam ne inhibira enzime klase B (metalo-beta-laktamaze), ni karbapenemaze klase D. Relebaktam nema antibakterijsku aktivnost.</w:t>
      </w:r>
    </w:p>
    <w:p w14:paraId="05B8C095" w14:textId="77777777" w:rsidR="00E17DF7" w:rsidRPr="00186264" w:rsidRDefault="00E17DF7" w:rsidP="007B2A33">
      <w:pPr>
        <w:jc w:val="both"/>
        <w:rPr>
          <w:szCs w:val="22"/>
          <w:lang w:val="sr-Latn-ME"/>
        </w:rPr>
      </w:pPr>
    </w:p>
    <w:p w14:paraId="2F7099EF" w14:textId="77777777" w:rsidR="0020459E" w:rsidRDefault="0020459E" w:rsidP="007B2A33">
      <w:pPr>
        <w:jc w:val="both"/>
        <w:rPr>
          <w:szCs w:val="22"/>
          <w:u w:val="single"/>
          <w:lang w:val="sr-Latn-ME"/>
        </w:rPr>
      </w:pPr>
    </w:p>
    <w:p w14:paraId="078C2812" w14:textId="77777777" w:rsidR="0020459E" w:rsidRDefault="0020459E" w:rsidP="007B2A33">
      <w:pPr>
        <w:jc w:val="both"/>
        <w:rPr>
          <w:szCs w:val="22"/>
          <w:u w:val="single"/>
          <w:lang w:val="sr-Latn-ME"/>
        </w:rPr>
      </w:pPr>
    </w:p>
    <w:p w14:paraId="355A0573" w14:textId="77777777" w:rsidR="0020459E" w:rsidRDefault="0020459E" w:rsidP="007B2A33">
      <w:pPr>
        <w:jc w:val="both"/>
        <w:rPr>
          <w:szCs w:val="22"/>
          <w:u w:val="single"/>
          <w:lang w:val="sr-Latn-ME"/>
        </w:rPr>
      </w:pPr>
    </w:p>
    <w:p w14:paraId="5CB6C720" w14:textId="77777777" w:rsidR="0020459E" w:rsidRDefault="0020459E" w:rsidP="007B2A33">
      <w:pPr>
        <w:jc w:val="both"/>
        <w:rPr>
          <w:szCs w:val="22"/>
          <w:u w:val="single"/>
          <w:lang w:val="sr-Latn-ME"/>
        </w:rPr>
      </w:pPr>
    </w:p>
    <w:p w14:paraId="1BC0C3C9" w14:textId="063C91EC" w:rsidR="00E17DF7" w:rsidRPr="00186264" w:rsidRDefault="00E17DF7" w:rsidP="007B2A33">
      <w:pPr>
        <w:jc w:val="both"/>
        <w:rPr>
          <w:szCs w:val="22"/>
          <w:u w:val="single"/>
          <w:lang w:val="sr-Latn-ME"/>
        </w:rPr>
      </w:pPr>
      <w:r w:rsidRPr="00186264">
        <w:rPr>
          <w:szCs w:val="22"/>
          <w:u w:val="single"/>
          <w:lang w:val="sr-Latn-ME"/>
        </w:rPr>
        <w:lastRenderedPageBreak/>
        <w:t>Rezistencija</w:t>
      </w:r>
    </w:p>
    <w:p w14:paraId="4D23BD93" w14:textId="77777777" w:rsidR="00E17DF7" w:rsidRPr="00186264" w:rsidRDefault="00E17DF7" w:rsidP="007B2A33">
      <w:pPr>
        <w:jc w:val="both"/>
        <w:rPr>
          <w:szCs w:val="22"/>
          <w:u w:val="single"/>
          <w:lang w:val="sr-Latn-ME"/>
        </w:rPr>
      </w:pPr>
    </w:p>
    <w:p w14:paraId="6F2C9C26" w14:textId="77777777" w:rsidR="00E17DF7" w:rsidRPr="00186264" w:rsidRDefault="00E17DF7" w:rsidP="007B2A33">
      <w:pPr>
        <w:jc w:val="both"/>
        <w:rPr>
          <w:szCs w:val="22"/>
          <w:lang w:val="sr-Latn-ME"/>
        </w:rPr>
      </w:pPr>
      <w:r w:rsidRPr="00186264">
        <w:rPr>
          <w:szCs w:val="22"/>
          <w:lang w:val="sr-Latn-ME"/>
        </w:rPr>
        <w:t xml:space="preserve">Mehanizmi rezistencije Gram-negativnih bakterija za koje je poznato da utiču na imipenem/relebaktam uključuju proizvodnju metalo-beta-laktamaza ili oksacilinaza sa aktivnošću karbapenemaze. </w:t>
      </w:r>
    </w:p>
    <w:p w14:paraId="1D6F3F4A" w14:textId="77777777" w:rsidR="00E17DF7" w:rsidRPr="00186264" w:rsidRDefault="00E17DF7" w:rsidP="007B2A33">
      <w:pPr>
        <w:jc w:val="both"/>
        <w:rPr>
          <w:szCs w:val="22"/>
          <w:lang w:val="sr-Latn-ME"/>
        </w:rPr>
      </w:pPr>
    </w:p>
    <w:p w14:paraId="4FDBB97F" w14:textId="47BF3D6B" w:rsidR="00E17DF7" w:rsidRPr="00186264" w:rsidRDefault="00E17DF7" w:rsidP="007B2A33">
      <w:pPr>
        <w:jc w:val="both"/>
        <w:rPr>
          <w:szCs w:val="22"/>
          <w:lang w:val="sr-Latn-ME"/>
        </w:rPr>
      </w:pPr>
      <w:r w:rsidRPr="00186264">
        <w:rPr>
          <w:szCs w:val="22"/>
          <w:lang w:val="sr-Latn-ME"/>
        </w:rPr>
        <w:t xml:space="preserve">Ekspresija određenih alela gena za gvajansku beta-laktamazu proširenog spektra (engl. </w:t>
      </w:r>
      <w:r w:rsidRPr="00186264">
        <w:rPr>
          <w:i/>
          <w:szCs w:val="22"/>
          <w:lang w:val="sr-Latn-ME"/>
        </w:rPr>
        <w:t>Guiana extended-spectrum β-lactamase</w:t>
      </w:r>
      <w:r w:rsidRPr="00186264">
        <w:rPr>
          <w:szCs w:val="22"/>
          <w:lang w:val="sr-Latn-ME"/>
        </w:rPr>
        <w:t>, GES), koja pripada beta-laktamazama klase A, kao i prekom</w:t>
      </w:r>
      <w:r w:rsidR="00D718CE" w:rsidRPr="00186264">
        <w:rPr>
          <w:szCs w:val="22"/>
          <w:lang w:val="sr-Latn-ME"/>
        </w:rPr>
        <w:t>j</w:t>
      </w:r>
      <w:r w:rsidRPr="00186264">
        <w:rPr>
          <w:szCs w:val="22"/>
          <w:lang w:val="sr-Latn-ME"/>
        </w:rPr>
        <w:t xml:space="preserve">erna ekspresija PDC-a u kombinaciji sa gubitkom porina OprD koji omogućava ulazak imipenema u bakterijsku ćeliju mogu uzrokovati rezistenciju bakterije </w:t>
      </w:r>
      <w:r w:rsidRPr="00186264">
        <w:rPr>
          <w:i/>
          <w:szCs w:val="22"/>
          <w:lang w:val="sr-Latn-ME"/>
        </w:rPr>
        <w:t>P. aeruginosa</w:t>
      </w:r>
      <w:r w:rsidRPr="00186264">
        <w:rPr>
          <w:szCs w:val="22"/>
          <w:lang w:val="sr-Latn-ME"/>
        </w:rPr>
        <w:t xml:space="preserve"> na imipenem/relebaktam. Ekspresija efluksnih pumpi kod bakterije </w:t>
      </w:r>
      <w:r w:rsidRPr="00186264">
        <w:rPr>
          <w:i/>
          <w:szCs w:val="22"/>
          <w:lang w:val="sr-Latn-ME"/>
        </w:rPr>
        <w:t>P. aeruginosa</w:t>
      </w:r>
      <w:r w:rsidRPr="00186264">
        <w:rPr>
          <w:szCs w:val="22"/>
          <w:lang w:val="sr-Latn-ME"/>
        </w:rPr>
        <w:t xml:space="preserve"> ne utiče na aktivnost ni imipenema ni relebaktama. Mehanizmi bakterijske rezistencije koji bi mogli da smanje antibakterijsku aktivnost imipenema/relebaktama kod bakterija iz roda </w:t>
      </w:r>
      <w:r w:rsidRPr="00186264">
        <w:rPr>
          <w:i/>
          <w:szCs w:val="22"/>
          <w:lang w:val="sr-Latn-ME"/>
        </w:rPr>
        <w:t>Enterobacterales</w:t>
      </w:r>
      <w:r w:rsidRPr="00186264">
        <w:rPr>
          <w:szCs w:val="22"/>
          <w:lang w:val="sr-Latn-ME"/>
        </w:rPr>
        <w:t xml:space="preserve"> uključuju mutacije porina koje utiču na propustljivost spoljašnje membrane.</w:t>
      </w:r>
    </w:p>
    <w:p w14:paraId="3B681F25" w14:textId="77777777" w:rsidR="00E17DF7" w:rsidRPr="00186264" w:rsidRDefault="00E17DF7" w:rsidP="007B2A33">
      <w:pPr>
        <w:jc w:val="both"/>
        <w:rPr>
          <w:szCs w:val="22"/>
          <w:lang w:val="sr-Latn-ME"/>
        </w:rPr>
      </w:pPr>
    </w:p>
    <w:p w14:paraId="247F9866" w14:textId="0F3F469D" w:rsidR="00E17DF7" w:rsidRPr="00186264" w:rsidRDefault="00E17DF7" w:rsidP="007B2A33">
      <w:pPr>
        <w:jc w:val="both"/>
        <w:rPr>
          <w:szCs w:val="22"/>
          <w:u w:val="single"/>
          <w:lang w:val="sr-Latn-ME"/>
        </w:rPr>
      </w:pPr>
      <w:r w:rsidRPr="00186264">
        <w:rPr>
          <w:szCs w:val="22"/>
          <w:u w:val="single"/>
          <w:lang w:val="sr-Latn-ME"/>
        </w:rPr>
        <w:t xml:space="preserve">Antibakterijska aktivnost u kombinaciji sa drugim antibakterijskim </w:t>
      </w:r>
      <w:r w:rsidR="007E1A5B" w:rsidRPr="00186264">
        <w:rPr>
          <w:szCs w:val="22"/>
          <w:u w:val="single"/>
          <w:lang w:val="sr-Latn-ME"/>
        </w:rPr>
        <w:t>ljekovi</w:t>
      </w:r>
      <w:r w:rsidRPr="00186264">
        <w:rPr>
          <w:szCs w:val="22"/>
          <w:u w:val="single"/>
          <w:lang w:val="sr-Latn-ME"/>
        </w:rPr>
        <w:t xml:space="preserve">ma </w:t>
      </w:r>
    </w:p>
    <w:p w14:paraId="4E063F3F" w14:textId="77777777" w:rsidR="00E17DF7" w:rsidRPr="00186264" w:rsidRDefault="00E17DF7" w:rsidP="007B2A33">
      <w:pPr>
        <w:jc w:val="both"/>
        <w:rPr>
          <w:szCs w:val="22"/>
          <w:u w:val="single"/>
          <w:lang w:val="sr-Latn-ME"/>
        </w:rPr>
      </w:pPr>
    </w:p>
    <w:p w14:paraId="60B52495" w14:textId="0984BAB9" w:rsidR="00E17DF7" w:rsidRPr="00186264" w:rsidRDefault="00E17DF7" w:rsidP="007B2A33">
      <w:pPr>
        <w:jc w:val="both"/>
        <w:rPr>
          <w:szCs w:val="22"/>
          <w:lang w:val="sr-Latn-ME"/>
        </w:rPr>
      </w:pPr>
      <w:r w:rsidRPr="00186264">
        <w:rPr>
          <w:i/>
          <w:szCs w:val="22"/>
          <w:lang w:val="sr-Latn-ME"/>
        </w:rPr>
        <w:t>In vitro</w:t>
      </w:r>
      <w:r w:rsidRPr="00186264">
        <w:rPr>
          <w:szCs w:val="22"/>
          <w:lang w:val="sr-Latn-ME"/>
        </w:rPr>
        <w:t xml:space="preserve"> ispitivanja </w:t>
      </w:r>
      <w:r w:rsidR="007E1A5B" w:rsidRPr="00186264">
        <w:rPr>
          <w:szCs w:val="22"/>
          <w:lang w:val="sr-Latn-ME"/>
        </w:rPr>
        <w:t>nijesu</w:t>
      </w:r>
      <w:r w:rsidRPr="00186264">
        <w:rPr>
          <w:szCs w:val="22"/>
          <w:lang w:val="sr-Latn-ME"/>
        </w:rPr>
        <w:t xml:space="preserve"> ukazala na antagonizam između imipenema/relebaktama i amikacina, azitromicina, aztreonama, kolistina, gentamicina, levofloksacina, linezolida, tigeciklina, tobramicina ili vankomicina.</w:t>
      </w:r>
    </w:p>
    <w:p w14:paraId="20495A06" w14:textId="77777777" w:rsidR="00E17DF7" w:rsidRPr="00186264" w:rsidRDefault="00E17DF7" w:rsidP="007B2A33">
      <w:pPr>
        <w:jc w:val="both"/>
        <w:rPr>
          <w:szCs w:val="22"/>
          <w:lang w:val="sr-Latn-ME"/>
        </w:rPr>
      </w:pPr>
    </w:p>
    <w:p w14:paraId="390F4F41" w14:textId="43FBFBD6" w:rsidR="00E17DF7" w:rsidRPr="00186264" w:rsidRDefault="00E17DF7" w:rsidP="007B2A33">
      <w:pPr>
        <w:jc w:val="both"/>
        <w:rPr>
          <w:szCs w:val="22"/>
          <w:u w:val="single"/>
          <w:lang w:val="sr-Latn-ME"/>
        </w:rPr>
      </w:pPr>
      <w:r w:rsidRPr="00186264">
        <w:rPr>
          <w:szCs w:val="22"/>
          <w:u w:val="single"/>
          <w:lang w:val="sr-Latn-ME"/>
        </w:rPr>
        <w:t xml:space="preserve">Granične </w:t>
      </w:r>
      <w:r w:rsidR="00D718CE" w:rsidRPr="00186264">
        <w:rPr>
          <w:szCs w:val="22"/>
          <w:u w:val="single"/>
          <w:lang w:val="sr-Latn-ME"/>
        </w:rPr>
        <w:t>vrijednost</w:t>
      </w:r>
      <w:r w:rsidRPr="00186264">
        <w:rPr>
          <w:szCs w:val="22"/>
          <w:u w:val="single"/>
          <w:lang w:val="sr-Latn-ME"/>
        </w:rPr>
        <w:t>i testova os</w:t>
      </w:r>
      <w:r w:rsidR="0022431E" w:rsidRPr="00186264">
        <w:rPr>
          <w:szCs w:val="22"/>
          <w:u w:val="single"/>
          <w:lang w:val="sr-Latn-ME"/>
        </w:rPr>
        <w:t>j</w:t>
      </w:r>
      <w:r w:rsidRPr="00186264">
        <w:rPr>
          <w:szCs w:val="22"/>
          <w:u w:val="single"/>
          <w:lang w:val="sr-Latn-ME"/>
        </w:rPr>
        <w:t>etljivosti</w:t>
      </w:r>
    </w:p>
    <w:p w14:paraId="1B60377F" w14:textId="77777777" w:rsidR="00E17DF7" w:rsidRPr="00186264" w:rsidRDefault="00E17DF7" w:rsidP="007B2A33">
      <w:pPr>
        <w:jc w:val="both"/>
        <w:rPr>
          <w:szCs w:val="22"/>
          <w:u w:val="single"/>
          <w:lang w:val="sr-Latn-ME"/>
        </w:rPr>
      </w:pPr>
    </w:p>
    <w:p w14:paraId="6F380CD8" w14:textId="14AA13CA" w:rsidR="003C43AE" w:rsidRPr="00561CA1" w:rsidRDefault="003C43AE" w:rsidP="003C43AE">
      <w:pPr>
        <w:keepNext/>
        <w:keepLines/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617CB">
        <w:rPr>
          <w:sz w:val="22"/>
          <w:szCs w:val="22"/>
          <w:lang w:val="sr-Latn-ME"/>
        </w:rPr>
        <w:t xml:space="preserve">Kriterijumi za tumačenje ispitivanja osjetljivosti MIK (minimalne inhibitorne koncentracije) za imipenem-relebaktam određeni su od strane Evropskog komiteta za ispitivanje osjetljivosti na antimikrobne ljekove (engl. </w:t>
      </w:r>
      <w:r w:rsidRPr="009617CB">
        <w:rPr>
          <w:i/>
          <w:iCs/>
          <w:sz w:val="22"/>
          <w:szCs w:val="22"/>
          <w:lang w:val="sr-Latn-ME"/>
        </w:rPr>
        <w:t>European Committee on Antimicrobial susceptibility Testing</w:t>
      </w:r>
      <w:r w:rsidRPr="009617CB">
        <w:rPr>
          <w:sz w:val="22"/>
          <w:szCs w:val="22"/>
          <w:lang w:val="sr-Latn-ME"/>
        </w:rPr>
        <w:t>, EUCAST) i navedeni su na sljedećoj adresi:</w:t>
      </w:r>
      <w:r w:rsidRPr="00561CA1">
        <w:rPr>
          <w:color w:val="000000"/>
          <w:sz w:val="22"/>
          <w:szCs w:val="22"/>
        </w:rPr>
        <w:t xml:space="preserve"> </w:t>
      </w:r>
      <w:hyperlink r:id="rId12" w:history="1">
        <w:r w:rsidRPr="00561CA1">
          <w:rPr>
            <w:rStyle w:val="Hyperlink"/>
            <w:sz w:val="22"/>
            <w:szCs w:val="22"/>
          </w:rPr>
          <w:t>https://www.ema.europa.eu/documents/other/minimum-inhibitory-concentration-mic-breakpoints_en.xlsx</w:t>
        </w:r>
      </w:hyperlink>
      <w:r w:rsidRPr="00561CA1">
        <w:rPr>
          <w:sz w:val="22"/>
          <w:szCs w:val="22"/>
        </w:rPr>
        <w:t>.</w:t>
      </w:r>
    </w:p>
    <w:p w14:paraId="7873E7F2" w14:textId="77777777" w:rsidR="00E17DF7" w:rsidRPr="008F4EE6" w:rsidRDefault="00E17DF7" w:rsidP="007B2A33">
      <w:pPr>
        <w:jc w:val="both"/>
        <w:rPr>
          <w:szCs w:val="22"/>
          <w:lang w:val="sr-Latn-ME"/>
        </w:rPr>
      </w:pPr>
    </w:p>
    <w:p w14:paraId="119617BE" w14:textId="1E07AC8D" w:rsidR="00E17DF7" w:rsidRPr="008F4EE6" w:rsidRDefault="00E17DF7" w:rsidP="007B2A33">
      <w:pPr>
        <w:jc w:val="both"/>
        <w:rPr>
          <w:szCs w:val="22"/>
          <w:u w:val="single"/>
          <w:lang w:val="sr-Latn-ME"/>
        </w:rPr>
      </w:pPr>
      <w:r w:rsidRPr="008F4EE6">
        <w:rPr>
          <w:szCs w:val="22"/>
          <w:u w:val="single"/>
          <w:lang w:val="sr-Latn-ME"/>
        </w:rPr>
        <w:t xml:space="preserve">Odnos farmakokinetike i farmakodinamike </w:t>
      </w:r>
      <w:r w:rsidR="00D718CE" w:rsidRPr="008F4EE6">
        <w:rPr>
          <w:szCs w:val="22"/>
          <w:u w:val="single"/>
          <w:lang w:val="sr-Latn-ME"/>
        </w:rPr>
        <w:t>lijek</w:t>
      </w:r>
      <w:r w:rsidRPr="008F4EE6">
        <w:rPr>
          <w:szCs w:val="22"/>
          <w:u w:val="single"/>
          <w:lang w:val="sr-Latn-ME"/>
        </w:rPr>
        <w:t>a</w:t>
      </w:r>
    </w:p>
    <w:p w14:paraId="46198BFF" w14:textId="77777777" w:rsidR="00E17DF7" w:rsidRPr="008F4EE6" w:rsidRDefault="00E17DF7" w:rsidP="007B2A33">
      <w:pPr>
        <w:jc w:val="both"/>
        <w:rPr>
          <w:szCs w:val="22"/>
          <w:u w:val="single"/>
          <w:lang w:val="sr-Latn-ME"/>
        </w:rPr>
      </w:pPr>
    </w:p>
    <w:p w14:paraId="5D1C8369" w14:textId="27735293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szCs w:val="22"/>
          <w:lang w:val="sr-Latn-ME"/>
        </w:rPr>
        <w:t xml:space="preserve">Pokazalo se da je </w:t>
      </w:r>
      <w:r w:rsidR="00D718CE" w:rsidRPr="008F4EE6">
        <w:rPr>
          <w:szCs w:val="22"/>
          <w:lang w:val="sr-Latn-ME"/>
        </w:rPr>
        <w:t>vrijeme</w:t>
      </w:r>
      <w:r w:rsidRPr="008F4EE6">
        <w:rPr>
          <w:szCs w:val="22"/>
          <w:lang w:val="sr-Latn-ME"/>
        </w:rPr>
        <w:t xml:space="preserve"> tokom kojeg je koncentracija nevezanog imipenema u plazmi iznad minimalne inhibitorne koncentracije imipenema/relebaktama (% </w:t>
      </w:r>
      <w:r w:rsidRPr="008F4EE6">
        <w:rPr>
          <w:i/>
          <w:szCs w:val="22"/>
          <w:lang w:val="sr-Latn-ME"/>
        </w:rPr>
        <w:t>f</w:t>
      </w:r>
      <w:r w:rsidRPr="008F4EE6">
        <w:rPr>
          <w:szCs w:val="22"/>
          <w:lang w:val="sr-Latn-ME"/>
        </w:rPr>
        <w:t>T &gt; MIK) u najboljoj korelaciji sa efikasnošću. Utvrđeno je da je odnos PIK-a nevezanog relebaktama u plazmi tokom 24 sata i MIK-a imipenema/relebaktama (</w:t>
      </w:r>
      <w:r w:rsidRPr="008F4EE6">
        <w:rPr>
          <w:i/>
          <w:szCs w:val="22"/>
          <w:lang w:val="sr-Latn-ME"/>
        </w:rPr>
        <w:t>f</w:t>
      </w:r>
      <w:r w:rsidRPr="008F4EE6">
        <w:rPr>
          <w:szCs w:val="22"/>
          <w:lang w:val="sr-Latn-ME"/>
        </w:rPr>
        <w:t>PIK / MIK) najbolji pokazatelj aktivnosti relebaktama.</w:t>
      </w:r>
    </w:p>
    <w:p w14:paraId="29EA41D1" w14:textId="77777777" w:rsidR="00E17DF7" w:rsidRPr="008F4EE6" w:rsidRDefault="00E17DF7" w:rsidP="007B2A33">
      <w:pPr>
        <w:jc w:val="both"/>
        <w:rPr>
          <w:szCs w:val="22"/>
          <w:lang w:val="sr-Latn-ME"/>
        </w:rPr>
      </w:pPr>
    </w:p>
    <w:p w14:paraId="1AEBAD45" w14:textId="77777777" w:rsidR="00E17DF7" w:rsidRPr="008F4EE6" w:rsidRDefault="00E17DF7" w:rsidP="007B2A33">
      <w:pPr>
        <w:jc w:val="both"/>
        <w:rPr>
          <w:szCs w:val="22"/>
          <w:u w:val="single"/>
          <w:lang w:val="sr-Latn-ME"/>
        </w:rPr>
      </w:pPr>
      <w:r w:rsidRPr="008F4EE6">
        <w:rPr>
          <w:szCs w:val="22"/>
          <w:u w:val="single"/>
          <w:lang w:val="sr-Latn-ME"/>
        </w:rPr>
        <w:t>Klinička efikasnost protiv specifičnih patogena</w:t>
      </w:r>
    </w:p>
    <w:p w14:paraId="5E62E856" w14:textId="77777777" w:rsidR="00E17DF7" w:rsidRPr="008F4EE6" w:rsidRDefault="00E17DF7" w:rsidP="007B2A33">
      <w:pPr>
        <w:jc w:val="both"/>
        <w:rPr>
          <w:szCs w:val="22"/>
          <w:u w:val="single"/>
          <w:lang w:val="sr-Latn-ME"/>
        </w:rPr>
      </w:pPr>
    </w:p>
    <w:p w14:paraId="137814E5" w14:textId="454E2334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szCs w:val="22"/>
          <w:lang w:val="sr-Latn-ME"/>
        </w:rPr>
        <w:t>Efikasnost je pokazana u kliničkim studijama protiv patogena navedenih ispod svake indikacije koji su os</w:t>
      </w:r>
      <w:r w:rsidR="00D718CE" w:rsidRPr="008F4EE6">
        <w:rPr>
          <w:szCs w:val="22"/>
          <w:lang w:val="sr-Latn-ME"/>
        </w:rPr>
        <w:t>j</w:t>
      </w:r>
      <w:r w:rsidRPr="008F4EE6">
        <w:rPr>
          <w:szCs w:val="22"/>
          <w:lang w:val="sr-Latn-ME"/>
        </w:rPr>
        <w:t xml:space="preserve">etljivi na imipenem i relebaktam </w:t>
      </w:r>
      <w:r w:rsidRPr="008F4EE6">
        <w:rPr>
          <w:i/>
          <w:iCs/>
          <w:szCs w:val="22"/>
          <w:lang w:val="sr-Latn-ME"/>
        </w:rPr>
        <w:t>in vitro</w:t>
      </w:r>
      <w:r w:rsidRPr="008F4EE6">
        <w:rPr>
          <w:szCs w:val="22"/>
          <w:lang w:val="sr-Latn-ME"/>
        </w:rPr>
        <w:t>:</w:t>
      </w:r>
    </w:p>
    <w:p w14:paraId="00C64D04" w14:textId="77777777" w:rsidR="00E17DF7" w:rsidRPr="008F4EE6" w:rsidRDefault="00E17DF7" w:rsidP="007B2A33">
      <w:pPr>
        <w:jc w:val="both"/>
        <w:rPr>
          <w:szCs w:val="22"/>
          <w:u w:val="single"/>
          <w:lang w:val="sr-Latn-ME"/>
        </w:rPr>
      </w:pPr>
    </w:p>
    <w:p w14:paraId="5285524B" w14:textId="77777777" w:rsidR="00E17DF7" w:rsidRPr="008F4EE6" w:rsidRDefault="00E17DF7" w:rsidP="007B2A33">
      <w:pPr>
        <w:jc w:val="both"/>
        <w:rPr>
          <w:b/>
          <w:bCs/>
          <w:lang w:val="sr-Latn-ME"/>
        </w:rPr>
      </w:pPr>
      <w:r w:rsidRPr="008F4EE6">
        <w:rPr>
          <w:b/>
          <w:bCs/>
          <w:szCs w:val="22"/>
          <w:lang w:val="sr-Latn-ME"/>
        </w:rPr>
        <w:t>Bolnički stečena pneumonija,</w:t>
      </w:r>
      <w:r w:rsidRPr="008F4EE6">
        <w:rPr>
          <w:b/>
          <w:bCs/>
          <w:lang w:val="sr-Latn-ME"/>
        </w:rPr>
        <w:t xml:space="preserve"> uključujući pneumoniju povezanu sa mehaničkom ventilacijom</w:t>
      </w:r>
    </w:p>
    <w:p w14:paraId="5FB2D7CB" w14:textId="77777777" w:rsidR="00E17DF7" w:rsidRPr="008F4EE6" w:rsidRDefault="00E17DF7" w:rsidP="007B2A33">
      <w:pPr>
        <w:jc w:val="both"/>
        <w:rPr>
          <w:u w:val="single"/>
          <w:lang w:val="sr-Latn-ME"/>
        </w:rPr>
      </w:pPr>
      <w:r w:rsidRPr="008F4EE6">
        <w:rPr>
          <w:u w:val="single"/>
          <w:lang w:val="sr-Latn-ME"/>
        </w:rPr>
        <w:t>Gram-negativni mikroorganizmi</w:t>
      </w:r>
    </w:p>
    <w:p w14:paraId="6B0D762A" w14:textId="77777777" w:rsidR="00E17DF7" w:rsidRPr="008F4EE6" w:rsidRDefault="00E17DF7" w:rsidP="007B2A33">
      <w:pPr>
        <w:pStyle w:val="ListParagraph"/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i/>
          <w:iCs/>
          <w:lang w:val="sr-Latn-ME"/>
        </w:rPr>
      </w:pPr>
      <w:r w:rsidRPr="008F4EE6">
        <w:rPr>
          <w:i/>
          <w:iCs/>
          <w:lang w:val="sr-Latn-ME"/>
        </w:rPr>
        <w:t>Escherichia coli</w:t>
      </w:r>
    </w:p>
    <w:p w14:paraId="7E7B06EA" w14:textId="77777777" w:rsidR="00E17DF7" w:rsidRPr="008F4EE6" w:rsidRDefault="00E17DF7" w:rsidP="007B2A33">
      <w:pPr>
        <w:pStyle w:val="ListParagraph"/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i/>
          <w:iCs/>
          <w:lang w:val="sr-Latn-ME"/>
        </w:rPr>
      </w:pPr>
      <w:r w:rsidRPr="008F4EE6">
        <w:rPr>
          <w:i/>
          <w:iCs/>
          <w:lang w:val="sr-Latn-ME"/>
        </w:rPr>
        <w:t>Haemophilus influenzae</w:t>
      </w:r>
    </w:p>
    <w:p w14:paraId="50C5414F" w14:textId="77777777" w:rsidR="00E17DF7" w:rsidRPr="008F4EE6" w:rsidRDefault="00E17DF7" w:rsidP="007B2A33">
      <w:pPr>
        <w:pStyle w:val="ListParagraph"/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i/>
          <w:iCs/>
          <w:noProof/>
          <w:lang w:val="sr-Latn-ME"/>
        </w:rPr>
      </w:pPr>
      <w:r w:rsidRPr="008F4EE6">
        <w:rPr>
          <w:i/>
          <w:iCs/>
          <w:lang w:val="sr-Latn-ME"/>
        </w:rPr>
        <w:t>Klebsiella pneumoniae</w:t>
      </w:r>
    </w:p>
    <w:p w14:paraId="3A6748BE" w14:textId="77777777" w:rsidR="00E17DF7" w:rsidRPr="008F4EE6" w:rsidRDefault="00E17DF7" w:rsidP="007B2A33">
      <w:pPr>
        <w:pStyle w:val="ListParagraph"/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i/>
          <w:iCs/>
          <w:noProof/>
          <w:lang w:val="sr-Latn-ME"/>
        </w:rPr>
      </w:pPr>
      <w:r w:rsidRPr="008F4EE6">
        <w:rPr>
          <w:i/>
          <w:iCs/>
          <w:noProof/>
          <w:lang w:val="sr-Latn-ME"/>
        </w:rPr>
        <w:t>Pseudomonas aeruginosa</w:t>
      </w:r>
    </w:p>
    <w:p w14:paraId="275E8115" w14:textId="77777777" w:rsidR="00E17DF7" w:rsidRPr="008F4EE6" w:rsidRDefault="00E17DF7" w:rsidP="007B2A33">
      <w:pPr>
        <w:pStyle w:val="ListParagraph"/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i/>
          <w:iCs/>
          <w:noProof/>
          <w:lang w:val="sr-Latn-ME"/>
        </w:rPr>
      </w:pPr>
      <w:r w:rsidRPr="008F4EE6">
        <w:rPr>
          <w:i/>
          <w:iCs/>
          <w:noProof/>
          <w:lang w:val="sr-Latn-ME"/>
        </w:rPr>
        <w:t>Serratia marcescens</w:t>
      </w:r>
    </w:p>
    <w:p w14:paraId="6F8AD738" w14:textId="77777777" w:rsidR="00E17DF7" w:rsidRPr="008F4EE6" w:rsidRDefault="00E17DF7" w:rsidP="007B2A33">
      <w:pPr>
        <w:jc w:val="both"/>
        <w:rPr>
          <w:szCs w:val="22"/>
          <w:lang w:val="sr-Latn-ME"/>
        </w:rPr>
      </w:pPr>
    </w:p>
    <w:p w14:paraId="3C6F8252" w14:textId="59FEA31F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i/>
          <w:szCs w:val="22"/>
          <w:lang w:val="sr-Latn-ME"/>
        </w:rPr>
        <w:t>In vitro</w:t>
      </w:r>
      <w:r w:rsidRPr="008F4EE6">
        <w:rPr>
          <w:szCs w:val="22"/>
          <w:lang w:val="sr-Latn-ME"/>
        </w:rPr>
        <w:t xml:space="preserve"> ispitivanja ukazuju na to da bi sl</w:t>
      </w:r>
      <w:r w:rsidR="008F7D2F" w:rsidRPr="008F4EE6">
        <w:rPr>
          <w:szCs w:val="22"/>
          <w:lang w:val="sr-Latn-ME"/>
        </w:rPr>
        <w:t>j</w:t>
      </w:r>
      <w:r w:rsidRPr="008F4EE6">
        <w:rPr>
          <w:szCs w:val="22"/>
          <w:lang w:val="sr-Latn-ME"/>
        </w:rPr>
        <w:t>edeći patogeni bili os</w:t>
      </w:r>
      <w:r w:rsidR="0022431E" w:rsidRPr="008F4EE6">
        <w:rPr>
          <w:szCs w:val="22"/>
          <w:lang w:val="sr-Latn-ME"/>
        </w:rPr>
        <w:t>j</w:t>
      </w:r>
      <w:r w:rsidRPr="008F4EE6">
        <w:rPr>
          <w:szCs w:val="22"/>
          <w:lang w:val="sr-Latn-ME"/>
        </w:rPr>
        <w:t>etljivi na imipenem i relebaktam u odsustvu stečenih mehanizama rezistencije:</w:t>
      </w:r>
    </w:p>
    <w:p w14:paraId="1CE74AC0" w14:textId="77777777" w:rsidR="00E17DF7" w:rsidRPr="008F4EE6" w:rsidRDefault="00E17DF7" w:rsidP="007B2A33">
      <w:pPr>
        <w:jc w:val="both"/>
        <w:rPr>
          <w:szCs w:val="22"/>
          <w:lang w:val="sr-Latn-ME"/>
        </w:rPr>
      </w:pPr>
    </w:p>
    <w:p w14:paraId="702B5BBF" w14:textId="77777777" w:rsidR="00E17DF7" w:rsidRPr="008F4EE6" w:rsidRDefault="00E17DF7" w:rsidP="007B2A33">
      <w:pPr>
        <w:jc w:val="both"/>
        <w:rPr>
          <w:szCs w:val="22"/>
          <w:u w:val="single"/>
          <w:lang w:val="sr-Latn-ME"/>
        </w:rPr>
      </w:pPr>
      <w:r w:rsidRPr="008F4EE6">
        <w:rPr>
          <w:szCs w:val="22"/>
          <w:u w:val="single"/>
          <w:lang w:val="sr-Latn-ME"/>
        </w:rPr>
        <w:t>Gram-negativni aerobni mikroorganizmi</w:t>
      </w:r>
    </w:p>
    <w:p w14:paraId="4A6BB0D6" w14:textId="6B6067AE" w:rsidR="00E17DF7" w:rsidRPr="008F4EE6" w:rsidRDefault="00E17DF7" w:rsidP="007B2A33">
      <w:pPr>
        <w:jc w:val="both"/>
        <w:rPr>
          <w:iCs/>
          <w:szCs w:val="22"/>
          <w:lang w:val="sr-Latn-ME"/>
        </w:rPr>
      </w:pPr>
      <w:r w:rsidRPr="008F4EE6">
        <w:rPr>
          <w:szCs w:val="22"/>
          <w:lang w:val="sr-Latn-ME"/>
        </w:rPr>
        <w:t>•</w:t>
      </w:r>
      <w:r w:rsidRPr="008F4EE6">
        <w:rPr>
          <w:szCs w:val="22"/>
          <w:lang w:val="sr-Latn-ME"/>
        </w:rPr>
        <w:tab/>
      </w:r>
      <w:r w:rsidRPr="008F4EE6">
        <w:rPr>
          <w:i/>
          <w:szCs w:val="22"/>
          <w:lang w:val="sr-Latn-ME"/>
        </w:rPr>
        <w:t xml:space="preserve">Acinetobacter </w:t>
      </w:r>
      <w:r w:rsidRPr="008F4EE6">
        <w:rPr>
          <w:i/>
          <w:iCs/>
          <w:lang w:val="sr-Latn-ME"/>
        </w:rPr>
        <w:t>calcoaceticus-</w:t>
      </w:r>
      <w:r w:rsidRPr="008F4EE6">
        <w:rPr>
          <w:i/>
          <w:szCs w:val="22"/>
          <w:lang w:val="sr-Latn-ME"/>
        </w:rPr>
        <w:t xml:space="preserve">baumannii </w:t>
      </w:r>
      <w:r w:rsidRPr="008F4EE6">
        <w:rPr>
          <w:iCs/>
          <w:szCs w:val="22"/>
          <w:lang w:val="sr-Latn-ME"/>
        </w:rPr>
        <w:t>komp</w:t>
      </w:r>
      <w:r w:rsidR="0022431E" w:rsidRPr="008F4EE6">
        <w:rPr>
          <w:iCs/>
          <w:szCs w:val="22"/>
          <w:lang w:val="sr-Latn-ME"/>
        </w:rPr>
        <w:t>leks</w:t>
      </w:r>
    </w:p>
    <w:p w14:paraId="206BE4BA" w14:textId="77777777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szCs w:val="22"/>
          <w:lang w:val="sr-Latn-ME"/>
        </w:rPr>
        <w:t>•</w:t>
      </w:r>
      <w:r w:rsidRPr="008F4EE6">
        <w:rPr>
          <w:szCs w:val="22"/>
          <w:lang w:val="sr-Latn-ME"/>
        </w:rPr>
        <w:tab/>
        <w:t xml:space="preserve">vrste roda </w:t>
      </w:r>
      <w:r w:rsidRPr="008F4EE6">
        <w:rPr>
          <w:i/>
          <w:szCs w:val="22"/>
          <w:lang w:val="sr-Latn-ME"/>
        </w:rPr>
        <w:t>Citrobacter</w:t>
      </w:r>
      <w:r w:rsidRPr="008F4EE6">
        <w:rPr>
          <w:szCs w:val="22"/>
          <w:lang w:val="sr-Latn-ME"/>
        </w:rPr>
        <w:t xml:space="preserve"> (uključujući </w:t>
      </w:r>
      <w:r w:rsidRPr="008F4EE6">
        <w:rPr>
          <w:i/>
          <w:szCs w:val="22"/>
          <w:lang w:val="sr-Latn-ME"/>
        </w:rPr>
        <w:t>C. freundii</w:t>
      </w:r>
      <w:r w:rsidRPr="008F4EE6">
        <w:rPr>
          <w:szCs w:val="22"/>
          <w:lang w:val="sr-Latn-ME"/>
        </w:rPr>
        <w:t xml:space="preserve"> i </w:t>
      </w:r>
      <w:r w:rsidRPr="008F4EE6">
        <w:rPr>
          <w:i/>
          <w:szCs w:val="22"/>
          <w:lang w:val="sr-Latn-ME"/>
        </w:rPr>
        <w:t>C. koseri</w:t>
      </w:r>
      <w:r w:rsidRPr="008F4EE6">
        <w:rPr>
          <w:szCs w:val="22"/>
          <w:lang w:val="sr-Latn-ME"/>
        </w:rPr>
        <w:t>)</w:t>
      </w:r>
    </w:p>
    <w:p w14:paraId="66326505" w14:textId="77777777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szCs w:val="22"/>
          <w:lang w:val="sr-Latn-ME"/>
        </w:rPr>
        <w:t>•</w:t>
      </w:r>
      <w:r w:rsidRPr="008F4EE6">
        <w:rPr>
          <w:szCs w:val="22"/>
          <w:lang w:val="sr-Latn-ME"/>
        </w:rPr>
        <w:tab/>
        <w:t xml:space="preserve">vrste roda </w:t>
      </w:r>
      <w:r w:rsidRPr="008F4EE6">
        <w:rPr>
          <w:i/>
          <w:szCs w:val="22"/>
          <w:lang w:val="sr-Latn-ME"/>
        </w:rPr>
        <w:t>Enterobacter</w:t>
      </w:r>
      <w:r w:rsidRPr="008F4EE6">
        <w:rPr>
          <w:szCs w:val="22"/>
          <w:lang w:val="sr-Latn-ME"/>
        </w:rPr>
        <w:t xml:space="preserve"> (uključujući </w:t>
      </w:r>
      <w:r w:rsidRPr="008F4EE6">
        <w:rPr>
          <w:i/>
          <w:szCs w:val="22"/>
          <w:lang w:val="sr-Latn-ME"/>
        </w:rPr>
        <w:t>E. asburiae</w:t>
      </w:r>
      <w:r w:rsidRPr="008F4EE6">
        <w:rPr>
          <w:szCs w:val="22"/>
          <w:lang w:val="sr-Latn-ME"/>
        </w:rPr>
        <w:t xml:space="preserve"> i </w:t>
      </w:r>
      <w:r w:rsidRPr="008F4EE6">
        <w:rPr>
          <w:i/>
          <w:szCs w:val="22"/>
          <w:lang w:val="sr-Latn-ME"/>
        </w:rPr>
        <w:t>E. cloacae</w:t>
      </w:r>
      <w:r w:rsidRPr="008F4EE6">
        <w:rPr>
          <w:szCs w:val="22"/>
          <w:lang w:val="sr-Latn-ME"/>
        </w:rPr>
        <w:t>)</w:t>
      </w:r>
    </w:p>
    <w:p w14:paraId="365A6C86" w14:textId="77777777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szCs w:val="22"/>
          <w:lang w:val="sr-Latn-ME"/>
        </w:rPr>
        <w:t>•</w:t>
      </w:r>
      <w:r w:rsidRPr="008F4EE6">
        <w:rPr>
          <w:szCs w:val="22"/>
          <w:lang w:val="sr-Latn-ME"/>
        </w:rPr>
        <w:tab/>
      </w:r>
      <w:r w:rsidRPr="008F4EE6">
        <w:rPr>
          <w:i/>
          <w:szCs w:val="22"/>
          <w:lang w:val="sr-Latn-ME"/>
        </w:rPr>
        <w:t>Escherichia coli</w:t>
      </w:r>
    </w:p>
    <w:p w14:paraId="4602263F" w14:textId="77777777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szCs w:val="22"/>
          <w:lang w:val="sr-Latn-ME"/>
        </w:rPr>
        <w:t>•</w:t>
      </w:r>
      <w:r w:rsidRPr="008F4EE6">
        <w:rPr>
          <w:szCs w:val="22"/>
          <w:lang w:val="sr-Latn-ME"/>
        </w:rPr>
        <w:tab/>
        <w:t xml:space="preserve">vrste roda </w:t>
      </w:r>
      <w:r w:rsidRPr="008F4EE6">
        <w:rPr>
          <w:i/>
          <w:szCs w:val="22"/>
          <w:lang w:val="sr-Latn-ME"/>
        </w:rPr>
        <w:t>Klebsiella</w:t>
      </w:r>
      <w:r w:rsidRPr="008F4EE6">
        <w:rPr>
          <w:szCs w:val="22"/>
          <w:lang w:val="sr-Latn-ME"/>
        </w:rPr>
        <w:t xml:space="preserve"> (uključujući </w:t>
      </w:r>
      <w:r w:rsidRPr="008F4EE6">
        <w:rPr>
          <w:i/>
          <w:szCs w:val="22"/>
          <w:lang w:val="sr-Latn-ME"/>
        </w:rPr>
        <w:t>K. aerogenes, K. oxytoca i K. pneumoniae</w:t>
      </w:r>
      <w:r w:rsidRPr="008F4EE6">
        <w:rPr>
          <w:szCs w:val="22"/>
          <w:lang w:val="sr-Latn-ME"/>
        </w:rPr>
        <w:t>)</w:t>
      </w:r>
    </w:p>
    <w:p w14:paraId="5B82295C" w14:textId="77777777" w:rsidR="00E17DF7" w:rsidRPr="008F4EE6" w:rsidRDefault="00E17DF7" w:rsidP="007B2A33">
      <w:pPr>
        <w:jc w:val="both"/>
        <w:rPr>
          <w:i/>
          <w:szCs w:val="22"/>
          <w:lang w:val="sr-Latn-ME"/>
        </w:rPr>
      </w:pPr>
      <w:r w:rsidRPr="008F4EE6">
        <w:rPr>
          <w:szCs w:val="22"/>
          <w:lang w:val="sr-Latn-ME"/>
        </w:rPr>
        <w:t>•</w:t>
      </w:r>
      <w:r w:rsidRPr="008F4EE6">
        <w:rPr>
          <w:szCs w:val="22"/>
          <w:lang w:val="sr-Latn-ME"/>
        </w:rPr>
        <w:tab/>
      </w:r>
      <w:r w:rsidRPr="008F4EE6">
        <w:rPr>
          <w:i/>
          <w:szCs w:val="22"/>
          <w:lang w:val="sr-Latn-ME"/>
        </w:rPr>
        <w:t>Pseudomonas aeruginosa</w:t>
      </w:r>
    </w:p>
    <w:p w14:paraId="2B798C89" w14:textId="77777777" w:rsidR="00E17DF7" w:rsidRPr="008F4EE6" w:rsidRDefault="00E17DF7" w:rsidP="007B2A33">
      <w:pPr>
        <w:jc w:val="both"/>
        <w:rPr>
          <w:i/>
          <w:szCs w:val="22"/>
          <w:lang w:val="sr-Latn-ME"/>
        </w:rPr>
      </w:pPr>
      <w:r w:rsidRPr="008F4EE6">
        <w:rPr>
          <w:i/>
          <w:szCs w:val="22"/>
          <w:lang w:val="sr-Latn-ME"/>
        </w:rPr>
        <w:t>•</w:t>
      </w:r>
      <w:r w:rsidRPr="008F4EE6">
        <w:rPr>
          <w:i/>
          <w:szCs w:val="22"/>
          <w:lang w:val="sr-Latn-ME"/>
        </w:rPr>
        <w:tab/>
        <w:t>Serratia marcescens</w:t>
      </w:r>
    </w:p>
    <w:p w14:paraId="71111CA3" w14:textId="77777777" w:rsidR="00E17DF7" w:rsidRPr="008F4EE6" w:rsidRDefault="00E17DF7" w:rsidP="007B2A33">
      <w:pPr>
        <w:jc w:val="both"/>
        <w:rPr>
          <w:i/>
          <w:szCs w:val="22"/>
          <w:lang w:val="sr-Latn-ME"/>
        </w:rPr>
      </w:pPr>
    </w:p>
    <w:p w14:paraId="3884943F" w14:textId="77777777" w:rsidR="00E17DF7" w:rsidRPr="008F4EE6" w:rsidRDefault="00E17DF7" w:rsidP="007B2A33">
      <w:pPr>
        <w:jc w:val="both"/>
        <w:rPr>
          <w:szCs w:val="22"/>
          <w:u w:val="single"/>
          <w:lang w:val="sr-Latn-ME"/>
        </w:rPr>
      </w:pPr>
      <w:r w:rsidRPr="008F4EE6">
        <w:rPr>
          <w:szCs w:val="22"/>
          <w:u w:val="single"/>
          <w:lang w:val="sr-Latn-ME"/>
        </w:rPr>
        <w:t>Gram-negativni anaerobni mikroorganizmi</w:t>
      </w:r>
    </w:p>
    <w:p w14:paraId="5138189E" w14:textId="77777777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szCs w:val="22"/>
          <w:lang w:val="sr-Latn-ME"/>
        </w:rPr>
        <w:t>•</w:t>
      </w:r>
      <w:r w:rsidRPr="008F4EE6">
        <w:rPr>
          <w:szCs w:val="22"/>
          <w:lang w:val="sr-Latn-ME"/>
        </w:rPr>
        <w:tab/>
        <w:t xml:space="preserve">vrste roda </w:t>
      </w:r>
      <w:r w:rsidRPr="008F4EE6">
        <w:rPr>
          <w:i/>
          <w:szCs w:val="22"/>
          <w:lang w:val="sr-Latn-ME"/>
        </w:rPr>
        <w:t xml:space="preserve">Bacteroides </w:t>
      </w:r>
      <w:r w:rsidRPr="008F4EE6">
        <w:rPr>
          <w:szCs w:val="22"/>
          <w:lang w:val="sr-Latn-ME"/>
        </w:rPr>
        <w:t xml:space="preserve">(uključujući </w:t>
      </w:r>
      <w:r w:rsidRPr="008F4EE6">
        <w:rPr>
          <w:i/>
          <w:szCs w:val="22"/>
          <w:lang w:val="sr-Latn-ME"/>
        </w:rPr>
        <w:t>B. fragilis</w:t>
      </w:r>
      <w:r w:rsidRPr="008F4EE6">
        <w:rPr>
          <w:szCs w:val="22"/>
          <w:lang w:val="sr-Latn-ME"/>
        </w:rPr>
        <w:t>)</w:t>
      </w:r>
    </w:p>
    <w:p w14:paraId="7015362B" w14:textId="77777777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szCs w:val="22"/>
          <w:lang w:val="sr-Latn-ME"/>
        </w:rPr>
        <w:t>•</w:t>
      </w:r>
      <w:r w:rsidRPr="008F4EE6">
        <w:rPr>
          <w:szCs w:val="22"/>
          <w:lang w:val="sr-Latn-ME"/>
        </w:rPr>
        <w:tab/>
        <w:t xml:space="preserve">vrste roda </w:t>
      </w:r>
      <w:r w:rsidRPr="008F4EE6">
        <w:rPr>
          <w:i/>
          <w:szCs w:val="22"/>
          <w:lang w:val="sr-Latn-ME"/>
        </w:rPr>
        <w:t>Fusobacterium</w:t>
      </w:r>
      <w:r w:rsidRPr="008F4EE6">
        <w:rPr>
          <w:szCs w:val="22"/>
          <w:lang w:val="sr-Latn-ME"/>
        </w:rPr>
        <w:t xml:space="preserve"> (uključujući </w:t>
      </w:r>
      <w:r w:rsidRPr="008F4EE6">
        <w:rPr>
          <w:i/>
          <w:szCs w:val="22"/>
          <w:lang w:val="sr-Latn-ME"/>
        </w:rPr>
        <w:t>F. nucleatum</w:t>
      </w:r>
      <w:r w:rsidRPr="008F4EE6">
        <w:rPr>
          <w:szCs w:val="22"/>
          <w:lang w:val="sr-Latn-ME"/>
        </w:rPr>
        <w:t xml:space="preserve"> i </w:t>
      </w:r>
      <w:r w:rsidRPr="008F4EE6">
        <w:rPr>
          <w:i/>
          <w:szCs w:val="22"/>
          <w:lang w:val="sr-Latn-ME"/>
        </w:rPr>
        <w:t>F. necrophorum</w:t>
      </w:r>
      <w:r w:rsidRPr="008F4EE6">
        <w:rPr>
          <w:szCs w:val="22"/>
          <w:lang w:val="sr-Latn-ME"/>
        </w:rPr>
        <w:t>)</w:t>
      </w:r>
    </w:p>
    <w:p w14:paraId="78CC087A" w14:textId="77777777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szCs w:val="22"/>
          <w:lang w:val="sr-Latn-ME"/>
        </w:rPr>
        <w:t>•</w:t>
      </w:r>
      <w:r w:rsidRPr="008F4EE6">
        <w:rPr>
          <w:szCs w:val="22"/>
          <w:lang w:val="sr-Latn-ME"/>
        </w:rPr>
        <w:tab/>
        <w:t xml:space="preserve">vrste roda </w:t>
      </w:r>
      <w:r w:rsidRPr="008F4EE6">
        <w:rPr>
          <w:i/>
          <w:szCs w:val="22"/>
          <w:lang w:val="sr-Latn-ME"/>
        </w:rPr>
        <w:t>Prevotella</w:t>
      </w:r>
      <w:r w:rsidRPr="008F4EE6">
        <w:rPr>
          <w:szCs w:val="22"/>
          <w:lang w:val="sr-Latn-ME"/>
        </w:rPr>
        <w:t xml:space="preserve"> (uključujući </w:t>
      </w:r>
      <w:r w:rsidRPr="008F4EE6">
        <w:rPr>
          <w:i/>
          <w:szCs w:val="22"/>
          <w:lang w:val="sr-Latn-ME"/>
        </w:rPr>
        <w:t xml:space="preserve">P. melaninogenica, P. bivia </w:t>
      </w:r>
      <w:r w:rsidRPr="008F4EE6">
        <w:rPr>
          <w:szCs w:val="22"/>
          <w:lang w:val="sr-Latn-ME"/>
        </w:rPr>
        <w:t>i</w:t>
      </w:r>
      <w:r w:rsidRPr="008F4EE6">
        <w:rPr>
          <w:i/>
          <w:szCs w:val="22"/>
          <w:lang w:val="sr-Latn-ME"/>
        </w:rPr>
        <w:t xml:space="preserve"> P. buccae</w:t>
      </w:r>
      <w:r w:rsidRPr="008F4EE6">
        <w:rPr>
          <w:szCs w:val="22"/>
          <w:lang w:val="sr-Latn-ME"/>
        </w:rPr>
        <w:t>)</w:t>
      </w:r>
    </w:p>
    <w:p w14:paraId="466E3013" w14:textId="77777777" w:rsidR="00E17DF7" w:rsidRPr="008F4EE6" w:rsidRDefault="00E17DF7" w:rsidP="007B2A33">
      <w:pPr>
        <w:jc w:val="both"/>
        <w:rPr>
          <w:szCs w:val="22"/>
          <w:lang w:val="sr-Latn-ME"/>
        </w:rPr>
      </w:pPr>
    </w:p>
    <w:p w14:paraId="0C371735" w14:textId="77777777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szCs w:val="22"/>
          <w:u w:val="single"/>
          <w:lang w:val="sr-Latn-ME"/>
        </w:rPr>
        <w:t>Gram-pozitivni aerobni mikroorganizmi</w:t>
      </w:r>
    </w:p>
    <w:p w14:paraId="3881F89D" w14:textId="77777777" w:rsidR="00E17DF7" w:rsidRPr="008F4EE6" w:rsidRDefault="00E17DF7" w:rsidP="007B2A33">
      <w:pPr>
        <w:jc w:val="both"/>
        <w:rPr>
          <w:i/>
          <w:szCs w:val="22"/>
          <w:lang w:val="sr-Latn-ME"/>
        </w:rPr>
      </w:pPr>
      <w:r w:rsidRPr="008F4EE6">
        <w:rPr>
          <w:szCs w:val="22"/>
          <w:lang w:val="sr-Latn-ME"/>
        </w:rPr>
        <w:t>•</w:t>
      </w:r>
      <w:r w:rsidRPr="008F4EE6">
        <w:rPr>
          <w:szCs w:val="22"/>
          <w:lang w:val="sr-Latn-ME"/>
        </w:rPr>
        <w:tab/>
      </w:r>
      <w:r w:rsidRPr="008F4EE6">
        <w:rPr>
          <w:i/>
          <w:szCs w:val="22"/>
          <w:lang w:val="sr-Latn-ME"/>
        </w:rPr>
        <w:t>Enterococcus faecalis</w:t>
      </w:r>
    </w:p>
    <w:p w14:paraId="6D2B66E4" w14:textId="77777777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szCs w:val="22"/>
          <w:lang w:val="sr-Latn-ME"/>
        </w:rPr>
        <w:t>•</w:t>
      </w:r>
      <w:r w:rsidRPr="008F4EE6">
        <w:rPr>
          <w:szCs w:val="22"/>
          <w:lang w:val="sr-Latn-ME"/>
        </w:rPr>
        <w:tab/>
      </w:r>
      <w:r w:rsidRPr="008F4EE6">
        <w:rPr>
          <w:i/>
          <w:szCs w:val="22"/>
          <w:lang w:val="sr-Latn-ME"/>
        </w:rPr>
        <w:t>Staphylococcus aureus</w:t>
      </w:r>
      <w:r w:rsidRPr="008F4EE6">
        <w:rPr>
          <w:szCs w:val="22"/>
          <w:lang w:val="sr-Latn-ME"/>
        </w:rPr>
        <w:t xml:space="preserve"> (samo izolati osetljivi na meticilin)</w:t>
      </w:r>
    </w:p>
    <w:p w14:paraId="35171A16" w14:textId="77777777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szCs w:val="22"/>
          <w:lang w:val="sr-Latn-ME"/>
        </w:rPr>
        <w:t>•</w:t>
      </w:r>
      <w:r w:rsidRPr="008F4EE6">
        <w:rPr>
          <w:szCs w:val="22"/>
          <w:lang w:val="sr-Latn-ME"/>
        </w:rPr>
        <w:tab/>
        <w:t xml:space="preserve">streptokoke iz grupe </w:t>
      </w:r>
      <w:r w:rsidRPr="008F4EE6">
        <w:rPr>
          <w:i/>
          <w:szCs w:val="22"/>
          <w:lang w:val="sr-Latn-ME"/>
        </w:rPr>
        <w:t>Viridans</w:t>
      </w:r>
      <w:r w:rsidRPr="008F4EE6">
        <w:rPr>
          <w:szCs w:val="22"/>
          <w:lang w:val="sr-Latn-ME"/>
        </w:rPr>
        <w:t xml:space="preserve"> (uključujući </w:t>
      </w:r>
      <w:r w:rsidRPr="008F4EE6">
        <w:rPr>
          <w:i/>
          <w:szCs w:val="22"/>
          <w:lang w:val="sr-Latn-ME"/>
        </w:rPr>
        <w:t>S. anginosus</w:t>
      </w:r>
      <w:r w:rsidRPr="008F4EE6">
        <w:rPr>
          <w:szCs w:val="22"/>
          <w:lang w:val="sr-Latn-ME"/>
        </w:rPr>
        <w:t xml:space="preserve"> i </w:t>
      </w:r>
      <w:r w:rsidRPr="008F4EE6">
        <w:rPr>
          <w:i/>
          <w:szCs w:val="22"/>
          <w:lang w:val="sr-Latn-ME"/>
        </w:rPr>
        <w:t>S. constellatus</w:t>
      </w:r>
      <w:r w:rsidRPr="008F4EE6">
        <w:rPr>
          <w:szCs w:val="22"/>
          <w:lang w:val="sr-Latn-ME"/>
        </w:rPr>
        <w:t>)</w:t>
      </w:r>
    </w:p>
    <w:p w14:paraId="52508F24" w14:textId="77777777" w:rsidR="00E17DF7" w:rsidRPr="008F4EE6" w:rsidRDefault="00E17DF7" w:rsidP="007B2A33">
      <w:pPr>
        <w:jc w:val="both"/>
        <w:rPr>
          <w:szCs w:val="22"/>
          <w:lang w:val="sr-Latn-ME"/>
        </w:rPr>
      </w:pPr>
    </w:p>
    <w:p w14:paraId="7790270D" w14:textId="7FABD614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i/>
          <w:szCs w:val="22"/>
          <w:lang w:val="sr-Latn-ME"/>
        </w:rPr>
        <w:t>In vitro</w:t>
      </w:r>
      <w:r w:rsidRPr="008F4EE6">
        <w:rPr>
          <w:szCs w:val="22"/>
          <w:lang w:val="sr-Latn-ME"/>
        </w:rPr>
        <w:t xml:space="preserve"> ispitivanja pokazuju da sl</w:t>
      </w:r>
      <w:r w:rsidR="008F7D2F" w:rsidRPr="008F4EE6">
        <w:rPr>
          <w:szCs w:val="22"/>
          <w:lang w:val="sr-Latn-ME"/>
        </w:rPr>
        <w:t>j</w:t>
      </w:r>
      <w:r w:rsidRPr="008F4EE6">
        <w:rPr>
          <w:szCs w:val="22"/>
          <w:lang w:val="sr-Latn-ME"/>
        </w:rPr>
        <w:t xml:space="preserve">edeće vrste </w:t>
      </w:r>
      <w:r w:rsidR="007E1A5B" w:rsidRPr="008F4EE6">
        <w:rPr>
          <w:szCs w:val="22"/>
          <w:lang w:val="sr-Latn-ME"/>
        </w:rPr>
        <w:t>nijesu</w:t>
      </w:r>
      <w:r w:rsidRPr="008F4EE6">
        <w:rPr>
          <w:szCs w:val="22"/>
          <w:lang w:val="sr-Latn-ME"/>
        </w:rPr>
        <w:t xml:space="preserve"> os</w:t>
      </w:r>
      <w:r w:rsidR="0022431E" w:rsidRPr="008F4EE6">
        <w:rPr>
          <w:szCs w:val="22"/>
          <w:lang w:val="sr-Latn-ME"/>
        </w:rPr>
        <w:t>j</w:t>
      </w:r>
      <w:r w:rsidRPr="008F4EE6">
        <w:rPr>
          <w:szCs w:val="22"/>
          <w:lang w:val="sr-Latn-ME"/>
        </w:rPr>
        <w:t>etljive na imipenem i relebaktam:</w:t>
      </w:r>
    </w:p>
    <w:p w14:paraId="703708CB" w14:textId="77777777" w:rsidR="00E17DF7" w:rsidRPr="008F4EE6" w:rsidRDefault="00E17DF7" w:rsidP="007B2A33">
      <w:pPr>
        <w:jc w:val="both"/>
        <w:rPr>
          <w:szCs w:val="22"/>
          <w:lang w:val="sr-Latn-ME"/>
        </w:rPr>
      </w:pPr>
    </w:p>
    <w:p w14:paraId="0A594351" w14:textId="77777777" w:rsidR="00E17DF7" w:rsidRPr="008F4EE6" w:rsidRDefault="00E17DF7" w:rsidP="007B2A33">
      <w:pPr>
        <w:jc w:val="both"/>
        <w:rPr>
          <w:szCs w:val="22"/>
          <w:u w:val="single"/>
          <w:lang w:val="sr-Latn-ME"/>
        </w:rPr>
      </w:pPr>
      <w:r w:rsidRPr="008F4EE6">
        <w:rPr>
          <w:szCs w:val="22"/>
          <w:u w:val="single"/>
          <w:lang w:val="sr-Latn-ME"/>
        </w:rPr>
        <w:t>Gram-negativni aerobni mikroorganizmi</w:t>
      </w:r>
    </w:p>
    <w:p w14:paraId="1D783FBD" w14:textId="77777777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szCs w:val="22"/>
          <w:lang w:val="sr-Latn-ME"/>
        </w:rPr>
        <w:t>•</w:t>
      </w:r>
      <w:r w:rsidRPr="008F4EE6">
        <w:rPr>
          <w:szCs w:val="22"/>
          <w:lang w:val="sr-Latn-ME"/>
        </w:rPr>
        <w:tab/>
        <w:t xml:space="preserve">vrste roda </w:t>
      </w:r>
      <w:r w:rsidRPr="008F4EE6">
        <w:rPr>
          <w:i/>
          <w:szCs w:val="22"/>
          <w:lang w:val="sr-Latn-ME"/>
        </w:rPr>
        <w:t>Legionella</w:t>
      </w:r>
    </w:p>
    <w:p w14:paraId="2931E9D0" w14:textId="77777777" w:rsidR="00E17DF7" w:rsidRPr="008F4EE6" w:rsidRDefault="00E17DF7" w:rsidP="007B2A33">
      <w:pPr>
        <w:jc w:val="both"/>
        <w:rPr>
          <w:szCs w:val="22"/>
          <w:lang w:val="sr-Latn-ME"/>
        </w:rPr>
      </w:pPr>
      <w:r w:rsidRPr="008F4EE6">
        <w:rPr>
          <w:szCs w:val="22"/>
          <w:lang w:val="sr-Latn-ME"/>
        </w:rPr>
        <w:t>•</w:t>
      </w:r>
      <w:r w:rsidRPr="008F4EE6">
        <w:rPr>
          <w:szCs w:val="22"/>
          <w:lang w:val="sr-Latn-ME"/>
        </w:rPr>
        <w:tab/>
      </w:r>
      <w:r w:rsidRPr="008F4EE6">
        <w:rPr>
          <w:i/>
          <w:szCs w:val="22"/>
          <w:lang w:val="sr-Latn-ME"/>
        </w:rPr>
        <w:t>Stenotrophomonas maltophilia</w:t>
      </w:r>
    </w:p>
    <w:p w14:paraId="7AE39438" w14:textId="77777777" w:rsidR="00E17DF7" w:rsidRPr="008F4EE6" w:rsidRDefault="00E17DF7" w:rsidP="007B2A33">
      <w:pPr>
        <w:jc w:val="both"/>
        <w:rPr>
          <w:szCs w:val="22"/>
          <w:lang w:val="sr-Latn-ME"/>
        </w:rPr>
      </w:pPr>
    </w:p>
    <w:p w14:paraId="07BA2960" w14:textId="77777777" w:rsidR="00E17DF7" w:rsidRPr="008F4EE6" w:rsidRDefault="00E17DF7" w:rsidP="007B2A33">
      <w:pPr>
        <w:jc w:val="both"/>
        <w:rPr>
          <w:szCs w:val="22"/>
          <w:u w:val="single"/>
          <w:lang w:val="sr-Latn-ME"/>
        </w:rPr>
      </w:pPr>
      <w:r w:rsidRPr="008F4EE6">
        <w:rPr>
          <w:szCs w:val="22"/>
          <w:u w:val="single"/>
          <w:lang w:val="sr-Latn-ME"/>
        </w:rPr>
        <w:t>Pedijatrijska populacija</w:t>
      </w:r>
    </w:p>
    <w:p w14:paraId="0BD1F343" w14:textId="77777777" w:rsidR="00E17DF7" w:rsidRPr="008F4EE6" w:rsidRDefault="00E17DF7" w:rsidP="007B2A33">
      <w:pPr>
        <w:jc w:val="both"/>
        <w:rPr>
          <w:szCs w:val="22"/>
          <w:u w:val="single"/>
          <w:lang w:val="sr-Latn-ME"/>
        </w:rPr>
      </w:pPr>
    </w:p>
    <w:p w14:paraId="3FC00E2D" w14:textId="2D51E044" w:rsidR="00E17DF7" w:rsidRPr="00F91AEE" w:rsidRDefault="00E17DF7" w:rsidP="00F91AEE">
      <w:pPr>
        <w:jc w:val="both"/>
        <w:rPr>
          <w:szCs w:val="22"/>
          <w:lang w:val="sr-Latn-ME"/>
        </w:rPr>
      </w:pPr>
      <w:r w:rsidRPr="008F4EE6">
        <w:rPr>
          <w:szCs w:val="22"/>
          <w:lang w:val="sr-Latn-ME"/>
        </w:rPr>
        <w:t xml:space="preserve">Evropska agencija za </w:t>
      </w:r>
      <w:r w:rsidR="00F965BC" w:rsidRPr="008F4EE6">
        <w:rPr>
          <w:szCs w:val="22"/>
          <w:lang w:val="sr-Latn-ME"/>
        </w:rPr>
        <w:t>ljekove</w:t>
      </w:r>
      <w:r w:rsidRPr="008F4EE6">
        <w:rPr>
          <w:szCs w:val="22"/>
          <w:lang w:val="sr-Latn-ME"/>
        </w:rPr>
        <w:t xml:space="preserve"> odložila je obavezu podnošenja rezultata ispitivanja </w:t>
      </w:r>
      <w:r w:rsidR="00D718CE" w:rsidRPr="008F4EE6">
        <w:rPr>
          <w:szCs w:val="22"/>
          <w:lang w:val="sr-Latn-ME"/>
        </w:rPr>
        <w:t>lijek</w:t>
      </w:r>
      <w:r w:rsidRPr="008F4EE6">
        <w:rPr>
          <w:szCs w:val="22"/>
          <w:lang w:val="sr-Latn-ME"/>
        </w:rPr>
        <w:t xml:space="preserve">a RECARBRIO u jednoj ili više podgrupa pedijatrijske populacije za </w:t>
      </w:r>
      <w:r w:rsidR="00D718CE" w:rsidRPr="008F4EE6">
        <w:rPr>
          <w:szCs w:val="22"/>
          <w:lang w:val="sr-Latn-ME"/>
        </w:rPr>
        <w:t>liječenje</w:t>
      </w:r>
      <w:r w:rsidRPr="008F4EE6">
        <w:rPr>
          <w:szCs w:val="22"/>
          <w:lang w:val="sr-Latn-ME"/>
        </w:rPr>
        <w:t xml:space="preserve"> Gram-negativnih bakterijskih infekcija (</w:t>
      </w:r>
      <w:r w:rsidR="00D718CE" w:rsidRPr="008F4EE6">
        <w:rPr>
          <w:szCs w:val="22"/>
          <w:lang w:val="sr-Latn-ME"/>
        </w:rPr>
        <w:t>vidjeti</w:t>
      </w:r>
      <w:r w:rsidRPr="008F4EE6">
        <w:rPr>
          <w:szCs w:val="22"/>
          <w:lang w:val="sr-Latn-ME"/>
        </w:rPr>
        <w:t xml:space="preserve"> </w:t>
      </w:r>
      <w:r w:rsidR="007B2A33" w:rsidRPr="008F4EE6">
        <w:rPr>
          <w:szCs w:val="22"/>
          <w:lang w:val="sr-Latn-ME"/>
        </w:rPr>
        <w:t xml:space="preserve">dio </w:t>
      </w:r>
      <w:r w:rsidRPr="008F4EE6">
        <w:rPr>
          <w:szCs w:val="22"/>
          <w:lang w:val="sr-Latn-ME"/>
        </w:rPr>
        <w:t>4.2 za informacije o upotrebi u pedijatrijskoj populaciji).</w:t>
      </w:r>
    </w:p>
    <w:p w14:paraId="5D9AC36D" w14:textId="77777777" w:rsidR="002E37A5" w:rsidRPr="008F4EE6" w:rsidRDefault="002E37A5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9AC36E" w14:textId="77777777" w:rsidR="0072020E" w:rsidRPr="008F4EE6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F4EE6">
        <w:rPr>
          <w:b/>
          <w:bCs/>
          <w:sz w:val="22"/>
          <w:szCs w:val="22"/>
          <w:lang w:val="sr-Latn-ME"/>
        </w:rPr>
        <w:t xml:space="preserve">5.2. </w:t>
      </w:r>
      <w:r w:rsidR="00480FB1" w:rsidRPr="008F4EE6">
        <w:rPr>
          <w:b/>
          <w:bCs/>
          <w:sz w:val="22"/>
          <w:szCs w:val="22"/>
          <w:lang w:val="sr-Latn-ME"/>
        </w:rPr>
        <w:tab/>
      </w:r>
      <w:r w:rsidRPr="008F4EE6">
        <w:rPr>
          <w:b/>
          <w:bCs/>
          <w:sz w:val="22"/>
          <w:szCs w:val="22"/>
          <w:lang w:val="sr-Latn-ME"/>
        </w:rPr>
        <w:t>Farmakokinetički podaci</w:t>
      </w:r>
      <w:r w:rsidR="003A7059" w:rsidRPr="008F4EE6">
        <w:rPr>
          <w:b/>
          <w:bCs/>
          <w:sz w:val="22"/>
          <w:szCs w:val="22"/>
          <w:lang w:val="sr-Latn-ME"/>
        </w:rPr>
        <w:t xml:space="preserve"> </w:t>
      </w:r>
    </w:p>
    <w:p w14:paraId="5D9AC36F" w14:textId="63069C14" w:rsidR="0072020E" w:rsidRPr="008F4EE6" w:rsidRDefault="0072020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B87C8E" w14:textId="77777777" w:rsidR="00E17DF7" w:rsidRPr="008F4EE6" w:rsidRDefault="00E17DF7" w:rsidP="007B2A33">
      <w:pPr>
        <w:spacing w:after="160" w:line="259" w:lineRule="auto"/>
        <w:jc w:val="both"/>
        <w:rPr>
          <w:rFonts w:eastAsia="Calibri"/>
          <w:szCs w:val="22"/>
          <w:u w:val="single"/>
          <w:lang w:val="sr-Latn-ME"/>
        </w:rPr>
      </w:pPr>
      <w:r w:rsidRPr="008F4EE6">
        <w:rPr>
          <w:rFonts w:eastAsia="Calibri"/>
          <w:szCs w:val="22"/>
          <w:u w:val="single"/>
          <w:lang w:val="sr-Latn-ME"/>
        </w:rPr>
        <w:t>Opšti uvod</w:t>
      </w:r>
    </w:p>
    <w:p w14:paraId="648F3CEF" w14:textId="24883CF7" w:rsidR="00E17DF7" w:rsidRPr="008F4EE6" w:rsidRDefault="00E17DF7" w:rsidP="007B2A33">
      <w:pPr>
        <w:spacing w:line="259" w:lineRule="auto"/>
        <w:jc w:val="both"/>
        <w:rPr>
          <w:rFonts w:eastAsia="Calibri"/>
          <w:szCs w:val="22"/>
          <w:lang w:val="sr-Latn-ME"/>
        </w:rPr>
      </w:pPr>
      <w:r w:rsidRPr="008F4EE6">
        <w:rPr>
          <w:rFonts w:eastAsia="Calibri"/>
          <w:szCs w:val="22"/>
          <w:lang w:val="sr-Latn-ME"/>
        </w:rPr>
        <w:t xml:space="preserve">U Tabeli 4 sažeto su prikazani farmakokinetički parametri imipenema, cilastatina i relebaktama u stanju dinamičke ravnoteže kod zdravih odraslih osoba i normalnom funkcijom bubrega (CrCl 90 </w:t>
      </w:r>
      <w:r w:rsidR="007903A3" w:rsidRPr="008F4EE6">
        <w:rPr>
          <w:rFonts w:eastAsia="Calibri"/>
          <w:szCs w:val="22"/>
          <w:lang w:val="sr-Latn-ME"/>
        </w:rPr>
        <w:t>ml</w:t>
      </w:r>
      <w:r w:rsidRPr="008F4EE6">
        <w:rPr>
          <w:rFonts w:eastAsia="Calibri"/>
          <w:szCs w:val="22"/>
          <w:lang w:val="sr-Latn-ME"/>
        </w:rPr>
        <w:t>/min ili više) nakon višestrukih 30-minutnih intravenskih infuzija 500 mg imipenema/500 mg cilastatina + 250 mg relebaktama prim</w:t>
      </w:r>
      <w:r w:rsidR="00D718CE" w:rsidRPr="008F4EE6">
        <w:rPr>
          <w:rFonts w:eastAsia="Calibri"/>
          <w:szCs w:val="22"/>
          <w:lang w:val="sr-Latn-ME"/>
        </w:rPr>
        <w:t>ij</w:t>
      </w:r>
      <w:r w:rsidRPr="008F4EE6">
        <w:rPr>
          <w:rFonts w:eastAsia="Calibri"/>
          <w:szCs w:val="22"/>
          <w:lang w:val="sr-Latn-ME"/>
        </w:rPr>
        <w:t xml:space="preserve">enjenih svakih 6 sati. Farmakokinetički parametri u stanju dinamičke ravnoteže za imipenem i relebaktam kod pacijenata sa </w:t>
      </w:r>
      <w:r w:rsidRPr="008F4EE6">
        <w:rPr>
          <w:rFonts w:eastAsia="MS Mincho"/>
          <w:szCs w:val="22"/>
          <w:lang w:val="sr-Latn-ME" w:eastAsia="ja-JP"/>
        </w:rPr>
        <w:t>cIAI ili cUTI i HAP ili VAP i normalnom funkcijom bubrega (90 </w:t>
      </w:r>
      <w:r w:rsidR="007903A3" w:rsidRPr="008F4EE6">
        <w:rPr>
          <w:rFonts w:eastAsia="MS Mincho"/>
          <w:szCs w:val="22"/>
          <w:lang w:val="sr-Latn-ME" w:eastAsia="ja-JP"/>
        </w:rPr>
        <w:t>ml</w:t>
      </w:r>
      <w:r w:rsidRPr="008F4EE6">
        <w:rPr>
          <w:rFonts w:eastAsia="MS Mincho"/>
          <w:szCs w:val="22"/>
          <w:lang w:val="sr-Latn-ME" w:eastAsia="ja-JP"/>
        </w:rPr>
        <w:t>/min ≤ CrCl &lt; 150 </w:t>
      </w:r>
      <w:r w:rsidR="007903A3" w:rsidRPr="008F4EE6">
        <w:rPr>
          <w:rFonts w:eastAsia="MS Mincho"/>
          <w:szCs w:val="22"/>
          <w:lang w:val="sr-Latn-ME" w:eastAsia="ja-JP"/>
        </w:rPr>
        <w:t>ml</w:t>
      </w:r>
      <w:r w:rsidRPr="008F4EE6">
        <w:rPr>
          <w:rFonts w:eastAsia="MS Mincho"/>
          <w:szCs w:val="22"/>
          <w:lang w:val="sr-Latn-ME" w:eastAsia="ja-JP"/>
        </w:rPr>
        <w:t>/min) nakon višestrukih 30-minutnih intravenskih infuzija od 500 mg imipenema/500 mg cilastatina + 250 mg relebaktama prim</w:t>
      </w:r>
      <w:r w:rsidR="00D718CE" w:rsidRPr="008F4EE6">
        <w:rPr>
          <w:rFonts w:eastAsia="MS Mincho"/>
          <w:szCs w:val="22"/>
          <w:lang w:val="sr-Latn-ME" w:eastAsia="ja-JP"/>
        </w:rPr>
        <w:t>ij</w:t>
      </w:r>
      <w:r w:rsidRPr="008F4EE6">
        <w:rPr>
          <w:rFonts w:eastAsia="MS Mincho"/>
          <w:szCs w:val="22"/>
          <w:lang w:val="sr-Latn-ME" w:eastAsia="ja-JP"/>
        </w:rPr>
        <w:t xml:space="preserve">enjenih na svakih 6 sati su sažeto prikazani u Tabeli 5, odnosno Tabeli 6. </w:t>
      </w:r>
      <w:r w:rsidRPr="008F4EE6">
        <w:rPr>
          <w:rFonts w:eastAsia="Calibri"/>
          <w:szCs w:val="22"/>
          <w:lang w:val="sr-Latn-ME"/>
        </w:rPr>
        <w:t>Farmakokinetički parametri bili su slični nakon prim</w:t>
      </w:r>
      <w:r w:rsidR="00D718CE" w:rsidRPr="008F4EE6">
        <w:rPr>
          <w:rFonts w:eastAsia="Calibri"/>
          <w:szCs w:val="22"/>
          <w:lang w:val="sr-Latn-ME"/>
        </w:rPr>
        <w:t>j</w:t>
      </w:r>
      <w:r w:rsidRPr="008F4EE6">
        <w:rPr>
          <w:rFonts w:eastAsia="Calibri"/>
          <w:szCs w:val="22"/>
          <w:lang w:val="sr-Latn-ME"/>
        </w:rPr>
        <w:t xml:space="preserve">ene jedne i više doza zbog minimalne akumulacije </w:t>
      </w:r>
      <w:r w:rsidR="00D718CE" w:rsidRPr="008F4EE6">
        <w:rPr>
          <w:rFonts w:eastAsia="Calibri"/>
          <w:szCs w:val="22"/>
          <w:lang w:val="sr-Latn-ME"/>
        </w:rPr>
        <w:t>lijek</w:t>
      </w:r>
      <w:r w:rsidRPr="008F4EE6">
        <w:rPr>
          <w:rFonts w:eastAsia="Calibri"/>
          <w:szCs w:val="22"/>
          <w:lang w:val="sr-Latn-ME"/>
        </w:rPr>
        <w:t>a.</w:t>
      </w:r>
    </w:p>
    <w:p w14:paraId="662185A6" w14:textId="77777777" w:rsidR="00E17DF7" w:rsidRPr="008F4EE6" w:rsidRDefault="00E17DF7" w:rsidP="007B2A33">
      <w:pPr>
        <w:spacing w:line="259" w:lineRule="auto"/>
        <w:jc w:val="both"/>
        <w:rPr>
          <w:rFonts w:eastAsia="Calibri"/>
          <w:szCs w:val="22"/>
          <w:lang w:val="sr-Latn-ME"/>
        </w:rPr>
      </w:pPr>
    </w:p>
    <w:p w14:paraId="2F110F91" w14:textId="2FE20804" w:rsidR="00E17DF7" w:rsidRPr="008F4EE6" w:rsidRDefault="00D718CE" w:rsidP="007B2A33">
      <w:pPr>
        <w:spacing w:line="259" w:lineRule="auto"/>
        <w:jc w:val="both"/>
        <w:rPr>
          <w:rFonts w:eastAsia="Calibri"/>
          <w:szCs w:val="22"/>
          <w:lang w:val="sr-Latn-ME"/>
        </w:rPr>
      </w:pPr>
      <w:r w:rsidRPr="008F4EE6">
        <w:rPr>
          <w:rFonts w:eastAsia="Calibri"/>
          <w:szCs w:val="22"/>
          <w:lang w:val="sr-Latn-ME"/>
        </w:rPr>
        <w:t>Vrijednost</w:t>
      </w:r>
      <w:r w:rsidR="00E17DF7" w:rsidRPr="008F4EE6">
        <w:rPr>
          <w:rFonts w:eastAsia="Calibri"/>
          <w:szCs w:val="22"/>
          <w:lang w:val="sr-Latn-ME"/>
        </w:rPr>
        <w:t>i C</w:t>
      </w:r>
      <w:r w:rsidR="00E17DF7" w:rsidRPr="008F4EE6">
        <w:rPr>
          <w:rFonts w:eastAsia="Calibri"/>
          <w:szCs w:val="22"/>
          <w:vertAlign w:val="subscript"/>
          <w:lang w:val="sr-Latn-ME"/>
        </w:rPr>
        <w:t>max</w:t>
      </w:r>
      <w:r w:rsidR="00E17DF7" w:rsidRPr="008F4EE6">
        <w:rPr>
          <w:rFonts w:eastAsia="Calibri"/>
          <w:szCs w:val="22"/>
          <w:lang w:val="sr-Latn-ME"/>
        </w:rPr>
        <w:t xml:space="preserve"> i PIK-a</w:t>
      </w:r>
      <w:r w:rsidR="00E17DF7" w:rsidRPr="008F4EE6" w:rsidDel="00353A10">
        <w:rPr>
          <w:rFonts w:eastAsia="Calibri"/>
          <w:szCs w:val="22"/>
          <w:lang w:val="sr-Latn-ME"/>
        </w:rPr>
        <w:t xml:space="preserve"> </w:t>
      </w:r>
      <w:r w:rsidR="00E17DF7" w:rsidRPr="008F4EE6">
        <w:rPr>
          <w:rFonts w:eastAsia="Calibri"/>
          <w:szCs w:val="22"/>
          <w:lang w:val="sr-Latn-ME"/>
        </w:rPr>
        <w:t>imipenema, cilastatina i relebaktama povećavaju se proporcionalno dozi.</w:t>
      </w:r>
    </w:p>
    <w:p w14:paraId="3C8EF47C" w14:textId="0D5A3B60" w:rsidR="00E17DF7" w:rsidRPr="008F4EE6" w:rsidRDefault="00E17DF7" w:rsidP="007B2A33">
      <w:pPr>
        <w:spacing w:line="259" w:lineRule="auto"/>
        <w:jc w:val="both"/>
        <w:rPr>
          <w:rFonts w:eastAsia="Calibri"/>
          <w:szCs w:val="22"/>
          <w:lang w:val="sr-Latn-ME"/>
        </w:rPr>
      </w:pPr>
      <w:r w:rsidRPr="008F4EE6">
        <w:rPr>
          <w:rFonts w:eastAsia="Calibri"/>
          <w:szCs w:val="22"/>
          <w:lang w:val="sr-Latn-ME"/>
        </w:rPr>
        <w:t>Polu</w:t>
      </w:r>
      <w:r w:rsidR="00D718CE" w:rsidRPr="008F4EE6">
        <w:rPr>
          <w:rFonts w:eastAsia="Calibri"/>
          <w:szCs w:val="22"/>
          <w:lang w:val="sr-Latn-ME"/>
        </w:rPr>
        <w:t>vrijeme</w:t>
      </w:r>
      <w:r w:rsidRPr="008F4EE6">
        <w:rPr>
          <w:rFonts w:eastAsia="Calibri"/>
          <w:szCs w:val="22"/>
          <w:lang w:val="sr-Latn-ME"/>
        </w:rPr>
        <w:t xml:space="preserve"> eliminacije (t</w:t>
      </w:r>
      <w:r w:rsidRPr="008F4EE6">
        <w:rPr>
          <w:rFonts w:eastAsia="Calibri"/>
          <w:szCs w:val="22"/>
          <w:vertAlign w:val="subscript"/>
          <w:lang w:val="sr-Latn-ME"/>
        </w:rPr>
        <w:t>½</w:t>
      </w:r>
      <w:r w:rsidRPr="008F4EE6">
        <w:rPr>
          <w:rFonts w:eastAsia="Calibri"/>
          <w:szCs w:val="22"/>
          <w:lang w:val="sr-Latn-ME"/>
        </w:rPr>
        <w:t>) imipenema, cilastatina i relebaktama ne zavisi od doze.</w:t>
      </w:r>
    </w:p>
    <w:p w14:paraId="53460579" w14:textId="77777777" w:rsidR="00E17DF7" w:rsidRPr="008F4EE6" w:rsidRDefault="00E17DF7" w:rsidP="007B2A33">
      <w:pPr>
        <w:spacing w:after="160" w:line="259" w:lineRule="auto"/>
        <w:jc w:val="both"/>
        <w:rPr>
          <w:rFonts w:eastAsia="Calibri"/>
          <w:szCs w:val="22"/>
          <w:lang w:val="sr-Latn-ME"/>
        </w:rPr>
      </w:pPr>
    </w:p>
    <w:p w14:paraId="404CD749" w14:textId="02FEFCEB" w:rsidR="00E17DF7" w:rsidRPr="008F4EE6" w:rsidRDefault="00E17DF7" w:rsidP="007B2A33">
      <w:pPr>
        <w:spacing w:line="259" w:lineRule="auto"/>
        <w:jc w:val="both"/>
        <w:rPr>
          <w:rFonts w:eastAsia="Calibri"/>
          <w:b/>
          <w:szCs w:val="22"/>
          <w:lang w:val="sr-Latn-ME"/>
        </w:rPr>
      </w:pPr>
      <w:r w:rsidRPr="008F4EE6">
        <w:rPr>
          <w:rFonts w:eastAsia="Calibri"/>
          <w:b/>
          <w:szCs w:val="22"/>
          <w:lang w:val="sr-Latn-ME"/>
        </w:rPr>
        <w:lastRenderedPageBreak/>
        <w:t xml:space="preserve">Tabela 4: </w:t>
      </w:r>
      <w:r w:rsidR="008F7D2F" w:rsidRPr="008F4EE6">
        <w:rPr>
          <w:rFonts w:eastAsia="Calibri"/>
          <w:b/>
          <w:szCs w:val="22"/>
          <w:lang w:val="sr-Latn-ME"/>
        </w:rPr>
        <w:t>G</w:t>
      </w:r>
      <w:r w:rsidRPr="008F4EE6">
        <w:rPr>
          <w:rFonts w:eastAsia="Calibri"/>
          <w:b/>
          <w:szCs w:val="22"/>
          <w:lang w:val="sr-Latn-ME"/>
        </w:rPr>
        <w:t xml:space="preserve">eometrijska srednja </w:t>
      </w:r>
      <w:r w:rsidR="00D718CE" w:rsidRPr="008F4EE6">
        <w:rPr>
          <w:rFonts w:eastAsia="Calibri"/>
          <w:b/>
          <w:szCs w:val="22"/>
          <w:lang w:val="sr-Latn-ME"/>
        </w:rPr>
        <w:t>vrijednost</w:t>
      </w:r>
      <w:r w:rsidRPr="008F4EE6">
        <w:rPr>
          <w:rFonts w:eastAsia="Calibri"/>
          <w:b/>
          <w:szCs w:val="22"/>
          <w:lang w:val="sr-Latn-ME"/>
        </w:rPr>
        <w:t xml:space="preserve"> (% geometrijskog koeficijenta varijacije) plazmatskih farmakokinetičkih parametara imipenema, cilastatina i relebaktama u stanju dinamičke ravnoteže nakon višestrukih 30-minutnih intravenskih infuzija 500 mg imipenema/500 mg cilastatina + 250 mg relebaktama, </w:t>
      </w:r>
      <w:r w:rsidR="00D718CE" w:rsidRPr="008F4EE6">
        <w:rPr>
          <w:rFonts w:eastAsia="Calibri"/>
          <w:b/>
          <w:szCs w:val="22"/>
          <w:lang w:val="sr-Latn-ME"/>
        </w:rPr>
        <w:t>primijenjenih</w:t>
      </w:r>
      <w:r w:rsidRPr="008F4EE6">
        <w:rPr>
          <w:rFonts w:eastAsia="Calibri"/>
          <w:b/>
          <w:szCs w:val="22"/>
          <w:lang w:val="sr-Latn-ME"/>
        </w:rPr>
        <w:t xml:space="preserve"> svakih 6 sati kod zdravih odraslih osoba</w:t>
      </w:r>
    </w:p>
    <w:p w14:paraId="5EEBEDAD" w14:textId="77777777" w:rsidR="00E17DF7" w:rsidRPr="008F4EE6" w:rsidRDefault="00E17DF7" w:rsidP="007B2A33">
      <w:pPr>
        <w:jc w:val="both"/>
        <w:rPr>
          <w:szCs w:val="22"/>
          <w:lang w:val="sr-Latn-ME"/>
        </w:rPr>
      </w:pPr>
    </w:p>
    <w:tbl>
      <w:tblPr>
        <w:tblStyle w:val="TableGrid"/>
        <w:tblW w:w="4840" w:type="pct"/>
        <w:tblInd w:w="198" w:type="dxa"/>
        <w:tblLook w:val="04A0" w:firstRow="1" w:lastRow="0" w:firstColumn="1" w:lastColumn="0" w:noHBand="0" w:noVBand="1"/>
      </w:tblPr>
      <w:tblGrid>
        <w:gridCol w:w="2083"/>
        <w:gridCol w:w="2267"/>
        <w:gridCol w:w="2267"/>
        <w:gridCol w:w="2156"/>
      </w:tblGrid>
      <w:tr w:rsidR="00E17DF7" w:rsidRPr="00234044" w14:paraId="1F0DDDCB" w14:textId="77777777" w:rsidTr="00E17DF7">
        <w:tc>
          <w:tcPr>
            <w:tcW w:w="1187" w:type="pct"/>
          </w:tcPr>
          <w:p w14:paraId="1C09DDBE" w14:textId="77777777" w:rsidR="00E17DF7" w:rsidRPr="008F4EE6" w:rsidRDefault="00E17DF7" w:rsidP="007B2A33">
            <w:pPr>
              <w:jc w:val="both"/>
              <w:rPr>
                <w:lang w:val="sr-Latn-ME"/>
              </w:rPr>
            </w:pPr>
          </w:p>
        </w:tc>
        <w:tc>
          <w:tcPr>
            <w:tcW w:w="1292" w:type="pct"/>
          </w:tcPr>
          <w:p w14:paraId="418C77F9" w14:textId="77777777" w:rsidR="00E17DF7" w:rsidRPr="008F4EE6" w:rsidRDefault="00E17DF7" w:rsidP="007B2A33">
            <w:pPr>
              <w:jc w:val="both"/>
              <w:rPr>
                <w:b/>
                <w:lang w:val="sr-Latn-ME"/>
              </w:rPr>
            </w:pPr>
            <w:r w:rsidRPr="008F4EE6">
              <w:rPr>
                <w:b/>
                <w:lang w:val="sr-Latn-ME"/>
              </w:rPr>
              <w:t>Imipenem (n=6)</w:t>
            </w:r>
          </w:p>
        </w:tc>
        <w:tc>
          <w:tcPr>
            <w:tcW w:w="1292" w:type="pct"/>
          </w:tcPr>
          <w:p w14:paraId="44E35CE7" w14:textId="77777777" w:rsidR="00E17DF7" w:rsidRPr="008F4EE6" w:rsidRDefault="00E17DF7" w:rsidP="007B2A33">
            <w:pPr>
              <w:jc w:val="both"/>
              <w:rPr>
                <w:b/>
                <w:lang w:val="sr-Latn-ME"/>
              </w:rPr>
            </w:pPr>
            <w:r w:rsidRPr="008F4EE6">
              <w:rPr>
                <w:b/>
                <w:lang w:val="sr-Latn-ME"/>
              </w:rPr>
              <w:t>Cilastatin (n=6)</w:t>
            </w:r>
          </w:p>
        </w:tc>
        <w:tc>
          <w:tcPr>
            <w:tcW w:w="1229" w:type="pct"/>
          </w:tcPr>
          <w:p w14:paraId="616FF4C4" w14:textId="77777777" w:rsidR="00E17DF7" w:rsidRPr="008F4EE6" w:rsidRDefault="00E17DF7" w:rsidP="007B2A33">
            <w:pPr>
              <w:jc w:val="both"/>
              <w:rPr>
                <w:b/>
                <w:lang w:val="sr-Latn-ME"/>
              </w:rPr>
            </w:pPr>
            <w:r w:rsidRPr="008F4EE6">
              <w:rPr>
                <w:b/>
                <w:lang w:val="sr-Latn-ME"/>
              </w:rPr>
              <w:t>Relebaktam (n=6)</w:t>
            </w:r>
          </w:p>
        </w:tc>
      </w:tr>
      <w:tr w:rsidR="00E17DF7" w:rsidRPr="00234044" w14:paraId="1644B325" w14:textId="77777777" w:rsidTr="00E17DF7">
        <w:tc>
          <w:tcPr>
            <w:tcW w:w="1187" w:type="pct"/>
          </w:tcPr>
          <w:p w14:paraId="72027F5F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lang w:val="sr-Latn-ME"/>
              </w:rPr>
              <w:t>PIK</w:t>
            </w:r>
            <w:r w:rsidRPr="008F4EE6">
              <w:rPr>
                <w:vertAlign w:val="subscript"/>
                <w:lang w:val="sr-Latn-ME"/>
              </w:rPr>
              <w:t xml:space="preserve">0 – 6 h </w:t>
            </w:r>
            <w:r w:rsidRPr="008F4EE6">
              <w:rPr>
                <w:lang w:val="sr-Latn-ME"/>
              </w:rPr>
              <w:t>(mikromol-h)</w:t>
            </w:r>
          </w:p>
        </w:tc>
        <w:tc>
          <w:tcPr>
            <w:tcW w:w="1292" w:type="pct"/>
          </w:tcPr>
          <w:p w14:paraId="64DD5C6A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138,0 (17,8)</w:t>
            </w:r>
          </w:p>
        </w:tc>
        <w:tc>
          <w:tcPr>
            <w:tcW w:w="1292" w:type="pct"/>
          </w:tcPr>
          <w:p w14:paraId="1B2F46EC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98,0 (17,0)</w:t>
            </w:r>
          </w:p>
        </w:tc>
        <w:tc>
          <w:tcPr>
            <w:tcW w:w="1229" w:type="pct"/>
          </w:tcPr>
          <w:p w14:paraId="7FC07B3C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81,6 (17,8)</w:t>
            </w:r>
          </w:p>
        </w:tc>
      </w:tr>
      <w:tr w:rsidR="00E17DF7" w:rsidRPr="00234044" w14:paraId="37614393" w14:textId="77777777" w:rsidTr="00E17DF7">
        <w:tc>
          <w:tcPr>
            <w:tcW w:w="1187" w:type="pct"/>
          </w:tcPr>
          <w:p w14:paraId="64996024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C</w:t>
            </w:r>
            <w:r w:rsidRPr="008F4EE6">
              <w:rPr>
                <w:rFonts w:eastAsia="TimesNewRoman"/>
                <w:sz w:val="13"/>
                <w:szCs w:val="13"/>
                <w:lang w:val="sr-Latn-ME"/>
              </w:rPr>
              <w:t xml:space="preserve">max </w:t>
            </w:r>
            <w:r w:rsidRPr="008F4EE6">
              <w:rPr>
                <w:rFonts w:eastAsia="TimesNewRoman"/>
                <w:sz w:val="20"/>
                <w:szCs w:val="20"/>
                <w:lang w:val="sr-Latn-ME"/>
              </w:rPr>
              <w:t>(mikromol)</w:t>
            </w:r>
          </w:p>
        </w:tc>
        <w:tc>
          <w:tcPr>
            <w:tcW w:w="1292" w:type="pct"/>
          </w:tcPr>
          <w:p w14:paraId="6B0A2CC7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106,0 (26,8)</w:t>
            </w:r>
          </w:p>
        </w:tc>
        <w:tc>
          <w:tcPr>
            <w:tcW w:w="1292" w:type="pct"/>
          </w:tcPr>
          <w:p w14:paraId="0064B71F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96,4 (21,8)</w:t>
            </w:r>
          </w:p>
        </w:tc>
        <w:tc>
          <w:tcPr>
            <w:tcW w:w="1229" w:type="pct"/>
          </w:tcPr>
          <w:p w14:paraId="32D1D83C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48,3 (24,9)</w:t>
            </w:r>
          </w:p>
        </w:tc>
      </w:tr>
      <w:tr w:rsidR="00E17DF7" w:rsidRPr="00234044" w14:paraId="0D09D5D2" w14:textId="77777777" w:rsidTr="00E17DF7">
        <w:tc>
          <w:tcPr>
            <w:tcW w:w="1187" w:type="pct"/>
          </w:tcPr>
          <w:p w14:paraId="296A3519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CL (L/h)</w:t>
            </w:r>
          </w:p>
        </w:tc>
        <w:tc>
          <w:tcPr>
            <w:tcW w:w="1292" w:type="pct"/>
          </w:tcPr>
          <w:p w14:paraId="6A83B9A0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12,0 (17,8)</w:t>
            </w:r>
          </w:p>
        </w:tc>
        <w:tc>
          <w:tcPr>
            <w:tcW w:w="1292" w:type="pct"/>
          </w:tcPr>
          <w:p w14:paraId="5A751C25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14,2 (17,0)</w:t>
            </w:r>
          </w:p>
        </w:tc>
        <w:tc>
          <w:tcPr>
            <w:tcW w:w="1229" w:type="pct"/>
          </w:tcPr>
          <w:p w14:paraId="59C59C4B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8,8 (17,8)</w:t>
            </w:r>
          </w:p>
        </w:tc>
      </w:tr>
      <w:tr w:rsidR="00E17DF7" w:rsidRPr="00234044" w14:paraId="7D80CEB8" w14:textId="77777777" w:rsidTr="00E17DF7">
        <w:tc>
          <w:tcPr>
            <w:tcW w:w="1187" w:type="pct"/>
          </w:tcPr>
          <w:p w14:paraId="4D5C9455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t</w:t>
            </w:r>
            <w:r w:rsidRPr="008F4EE6">
              <w:rPr>
                <w:rFonts w:eastAsia="TimesNewRoman"/>
                <w:sz w:val="13"/>
                <w:szCs w:val="13"/>
                <w:lang w:val="sr-Latn-ME"/>
              </w:rPr>
              <w:t xml:space="preserve">1/2 </w:t>
            </w:r>
            <w:r w:rsidRPr="008F4EE6">
              <w:rPr>
                <w:rFonts w:eastAsia="TimesNewRoman"/>
                <w:sz w:val="20"/>
                <w:szCs w:val="20"/>
                <w:lang w:val="sr-Latn-ME"/>
              </w:rPr>
              <w:t>(h)*</w:t>
            </w:r>
          </w:p>
        </w:tc>
        <w:tc>
          <w:tcPr>
            <w:tcW w:w="1292" w:type="pct"/>
          </w:tcPr>
          <w:p w14:paraId="73B35FCF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1,1 (± 0,1)</w:t>
            </w:r>
          </w:p>
        </w:tc>
        <w:tc>
          <w:tcPr>
            <w:tcW w:w="1292" w:type="pct"/>
          </w:tcPr>
          <w:p w14:paraId="436F8DB9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1,0 (± 0,1)</w:t>
            </w:r>
          </w:p>
        </w:tc>
        <w:tc>
          <w:tcPr>
            <w:tcW w:w="1229" w:type="pct"/>
          </w:tcPr>
          <w:p w14:paraId="299CC00F" w14:textId="77777777" w:rsidR="00E17DF7" w:rsidRPr="008F4EE6" w:rsidRDefault="00E17DF7" w:rsidP="00B71C00">
            <w:pPr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1,7 (± 0,2)</w:t>
            </w:r>
          </w:p>
        </w:tc>
      </w:tr>
      <w:tr w:rsidR="00E17DF7" w:rsidRPr="00234044" w14:paraId="73E244F9" w14:textId="77777777" w:rsidTr="00E17DF7">
        <w:tc>
          <w:tcPr>
            <w:tcW w:w="5000" w:type="pct"/>
            <w:gridSpan w:val="4"/>
          </w:tcPr>
          <w:p w14:paraId="51876FCA" w14:textId="710DA0BC" w:rsidR="00E17DF7" w:rsidRPr="008F4EE6" w:rsidRDefault="00E17DF7" w:rsidP="007B2A33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3"/>
                <w:szCs w:val="13"/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 xml:space="preserve">*Aritmetička srednja </w:t>
            </w:r>
            <w:r w:rsidR="00D718CE" w:rsidRPr="008F4EE6">
              <w:rPr>
                <w:rFonts w:eastAsia="TimesNewRoman"/>
                <w:sz w:val="20"/>
                <w:szCs w:val="20"/>
                <w:lang w:val="sr-Latn-ME"/>
              </w:rPr>
              <w:t>vrijednost</w:t>
            </w:r>
            <w:r w:rsidRPr="008F4EE6">
              <w:rPr>
                <w:rFonts w:eastAsia="TimesNewRoman"/>
                <w:sz w:val="20"/>
                <w:szCs w:val="20"/>
                <w:lang w:val="sr-Latn-ME"/>
              </w:rPr>
              <w:t xml:space="preserve"> (standardno odstupanje) prijavljena za t</w:t>
            </w:r>
            <w:r w:rsidRPr="008F4EE6">
              <w:rPr>
                <w:rFonts w:eastAsia="TimesNewRoman"/>
                <w:sz w:val="13"/>
                <w:szCs w:val="13"/>
                <w:lang w:val="sr-Latn-ME"/>
              </w:rPr>
              <w:t>1/2</w:t>
            </w:r>
          </w:p>
          <w:p w14:paraId="53D87777" w14:textId="454500B7" w:rsidR="00E17DF7" w:rsidRPr="008F4EE6" w:rsidRDefault="00E17DF7" w:rsidP="007B2A33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PIK</w:t>
            </w:r>
            <w:r w:rsidRPr="008F4EE6">
              <w:rPr>
                <w:rFonts w:eastAsia="TimesNewRoman"/>
                <w:sz w:val="13"/>
                <w:szCs w:val="13"/>
                <w:lang w:val="sr-Latn-ME"/>
              </w:rPr>
              <w:t xml:space="preserve">0 – 6 h </w:t>
            </w:r>
            <w:r w:rsidRPr="008F4EE6">
              <w:rPr>
                <w:rFonts w:eastAsia="TimesNewRoman"/>
                <w:sz w:val="20"/>
                <w:szCs w:val="20"/>
                <w:lang w:val="sr-Latn-ME"/>
              </w:rPr>
              <w:t xml:space="preserve">= površina ispod krive koncentracije tokom </w:t>
            </w:r>
            <w:r w:rsidR="00D718CE" w:rsidRPr="008F4EE6">
              <w:rPr>
                <w:rFonts w:eastAsia="TimesNewRoman"/>
                <w:sz w:val="20"/>
                <w:szCs w:val="20"/>
                <w:lang w:val="sr-Latn-ME"/>
              </w:rPr>
              <w:t>vremena</w:t>
            </w:r>
            <w:r w:rsidRPr="008F4EE6">
              <w:rPr>
                <w:rFonts w:eastAsia="TimesNewRoman"/>
                <w:sz w:val="20"/>
                <w:szCs w:val="20"/>
                <w:lang w:val="sr-Latn-ME"/>
              </w:rPr>
              <w:t xml:space="preserve"> od 0 do 6 sati;</w:t>
            </w:r>
          </w:p>
          <w:p w14:paraId="326BFD54" w14:textId="03395815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C</w:t>
            </w:r>
            <w:r w:rsidRPr="008F4EE6">
              <w:rPr>
                <w:rFonts w:eastAsia="TimesNewRoman"/>
                <w:sz w:val="13"/>
                <w:szCs w:val="13"/>
                <w:lang w:val="sr-Latn-ME"/>
              </w:rPr>
              <w:t xml:space="preserve">max </w:t>
            </w:r>
            <w:r w:rsidRPr="008F4EE6">
              <w:rPr>
                <w:rFonts w:eastAsia="TimesNewRoman"/>
                <w:sz w:val="20"/>
                <w:szCs w:val="20"/>
                <w:lang w:val="sr-Latn-ME"/>
              </w:rPr>
              <w:t>= maksimalna koncentracija; CL = klirens iz plazme; t</w:t>
            </w:r>
            <w:r w:rsidRPr="008F4EE6">
              <w:rPr>
                <w:rFonts w:eastAsia="TimesNewRoman"/>
                <w:sz w:val="13"/>
                <w:szCs w:val="13"/>
                <w:lang w:val="sr-Latn-ME"/>
              </w:rPr>
              <w:t xml:space="preserve">1/2 </w:t>
            </w:r>
            <w:r w:rsidRPr="008F4EE6">
              <w:rPr>
                <w:rFonts w:eastAsia="TimesNewRoman"/>
                <w:sz w:val="20"/>
                <w:szCs w:val="20"/>
                <w:lang w:val="sr-Latn-ME"/>
              </w:rPr>
              <w:t>= polu</w:t>
            </w:r>
            <w:r w:rsidR="00D718CE" w:rsidRPr="008F4EE6">
              <w:rPr>
                <w:rFonts w:eastAsia="TimesNewRoman"/>
                <w:sz w:val="20"/>
                <w:szCs w:val="20"/>
                <w:lang w:val="sr-Latn-ME"/>
              </w:rPr>
              <w:t>vrijeme</w:t>
            </w:r>
            <w:r w:rsidRPr="008F4EE6">
              <w:rPr>
                <w:rFonts w:eastAsia="TimesNewRoman"/>
                <w:sz w:val="20"/>
                <w:szCs w:val="20"/>
                <w:lang w:val="sr-Latn-ME"/>
              </w:rPr>
              <w:t xml:space="preserve"> eliminacije</w:t>
            </w:r>
          </w:p>
        </w:tc>
      </w:tr>
    </w:tbl>
    <w:p w14:paraId="4A7CECE8" w14:textId="77777777" w:rsidR="00E17DF7" w:rsidRPr="008F4EE6" w:rsidRDefault="00E17DF7" w:rsidP="007B2A33">
      <w:pPr>
        <w:jc w:val="both"/>
        <w:rPr>
          <w:szCs w:val="22"/>
          <w:u w:val="single"/>
          <w:lang w:val="sr-Latn-ME"/>
        </w:rPr>
      </w:pPr>
    </w:p>
    <w:p w14:paraId="35996237" w14:textId="4FEFF93D" w:rsidR="00E17DF7" w:rsidRPr="008F4EE6" w:rsidRDefault="00E17DF7" w:rsidP="007B2A33">
      <w:pPr>
        <w:keepLines/>
        <w:jc w:val="both"/>
        <w:rPr>
          <w:rFonts w:eastAsia="Calibri"/>
          <w:b/>
          <w:szCs w:val="22"/>
          <w:lang w:val="sr-Latn-ME"/>
        </w:rPr>
      </w:pPr>
      <w:r w:rsidRPr="008F4EE6">
        <w:rPr>
          <w:rFonts w:eastAsia="Calibri"/>
          <w:b/>
          <w:szCs w:val="22"/>
          <w:lang w:val="sr-Latn-ME"/>
        </w:rPr>
        <w:t xml:space="preserve">Tabela 5: </w:t>
      </w:r>
      <w:r w:rsidR="008F7D2F" w:rsidRPr="008F4EE6">
        <w:rPr>
          <w:rFonts w:eastAsia="Calibri"/>
          <w:b/>
          <w:szCs w:val="22"/>
          <w:lang w:val="sr-Latn-ME"/>
        </w:rPr>
        <w:t>G</w:t>
      </w:r>
      <w:r w:rsidRPr="008F4EE6">
        <w:rPr>
          <w:rFonts w:eastAsia="Calibri"/>
          <w:b/>
          <w:szCs w:val="22"/>
          <w:lang w:val="sr-Latn-ME"/>
        </w:rPr>
        <w:t xml:space="preserve">eometrijska srednja </w:t>
      </w:r>
      <w:r w:rsidR="00D718CE" w:rsidRPr="008F4EE6">
        <w:rPr>
          <w:rFonts w:eastAsia="Calibri"/>
          <w:b/>
          <w:szCs w:val="22"/>
          <w:lang w:val="sr-Latn-ME"/>
        </w:rPr>
        <w:t>vrijednost</w:t>
      </w:r>
      <w:r w:rsidRPr="008F4EE6">
        <w:rPr>
          <w:rFonts w:eastAsia="Calibri"/>
          <w:b/>
          <w:szCs w:val="22"/>
          <w:lang w:val="sr-Latn-ME"/>
        </w:rPr>
        <w:t xml:space="preserve"> (% geometrijskog koeficijenta varijacije) plazmatskih farmakokinetičkih parametara imipenema i relebaktama u stanju dinamičke ravnoteže nakon višestrukih 30-minutnih intravenskih infuzija </w:t>
      </w:r>
      <w:r w:rsidR="00D718CE" w:rsidRPr="008F4EE6">
        <w:rPr>
          <w:rFonts w:eastAsia="Calibri"/>
          <w:b/>
          <w:szCs w:val="22"/>
          <w:lang w:val="sr-Latn-ME"/>
        </w:rPr>
        <w:t>lijek</w:t>
      </w:r>
      <w:r w:rsidRPr="008F4EE6">
        <w:rPr>
          <w:rFonts w:eastAsia="Calibri"/>
          <w:b/>
          <w:szCs w:val="22"/>
          <w:lang w:val="sr-Latn-ME"/>
        </w:rPr>
        <w:t xml:space="preserve">a RECARBRIO (500 mg imipenema/500 mg cilastatina/250 mg relebaktama), </w:t>
      </w:r>
      <w:r w:rsidR="00D718CE" w:rsidRPr="008F4EE6">
        <w:rPr>
          <w:rFonts w:eastAsia="Calibri"/>
          <w:b/>
          <w:szCs w:val="22"/>
          <w:lang w:val="sr-Latn-ME"/>
        </w:rPr>
        <w:t>primijenjenih</w:t>
      </w:r>
      <w:r w:rsidRPr="008F4EE6">
        <w:rPr>
          <w:rFonts w:eastAsia="Calibri"/>
          <w:b/>
          <w:szCs w:val="22"/>
          <w:lang w:val="sr-Latn-ME"/>
        </w:rPr>
        <w:t xml:space="preserve"> svakih 6 sati kod pacijenata sa </w:t>
      </w:r>
      <w:r w:rsidRPr="008F4EE6">
        <w:rPr>
          <w:rFonts w:eastAsia="MS Mincho"/>
          <w:b/>
          <w:szCs w:val="22"/>
          <w:lang w:val="sr-Latn-ME" w:eastAsia="ja-JP"/>
        </w:rPr>
        <w:t xml:space="preserve">cIAI ili cUTI i CrCl </w:t>
      </w:r>
      <w:r w:rsidRPr="008F4EE6">
        <w:rPr>
          <w:rFonts w:eastAsia="MS Mincho"/>
          <w:b/>
          <w:bCs/>
          <w:szCs w:val="22"/>
          <w:lang w:val="sr-Latn-ME" w:eastAsia="ja-JP"/>
        </w:rPr>
        <w:t>90 </w:t>
      </w:r>
      <w:r w:rsidR="007903A3" w:rsidRPr="008F4EE6">
        <w:rPr>
          <w:rFonts w:eastAsia="MS Mincho"/>
          <w:b/>
          <w:bCs/>
          <w:szCs w:val="22"/>
          <w:lang w:val="sr-Latn-ME" w:eastAsia="ja-JP"/>
        </w:rPr>
        <w:t>ml</w:t>
      </w:r>
      <w:r w:rsidRPr="008F4EE6">
        <w:rPr>
          <w:rFonts w:eastAsia="MS Mincho"/>
          <w:b/>
          <w:bCs/>
          <w:szCs w:val="22"/>
          <w:lang w:val="sr-Latn-ME" w:eastAsia="ja-JP"/>
        </w:rPr>
        <w:t>/min ili većim</w:t>
      </w:r>
      <w:r w:rsidRPr="008F4EE6">
        <w:rPr>
          <w:rFonts w:eastAsia="Calibri"/>
          <w:b/>
          <w:szCs w:val="22"/>
          <w:lang w:val="sr-Latn-ME"/>
        </w:rPr>
        <w:t xml:space="preserve"> na osnovu populacionog farmakokinetičkog modela</w:t>
      </w:r>
    </w:p>
    <w:p w14:paraId="58599AF7" w14:textId="77777777" w:rsidR="00E17DF7" w:rsidRPr="008F4EE6" w:rsidRDefault="00E17DF7" w:rsidP="007B2A33">
      <w:pPr>
        <w:jc w:val="both"/>
        <w:rPr>
          <w:szCs w:val="22"/>
          <w:u w:val="single"/>
          <w:lang w:val="sr-Latn-ME"/>
        </w:rPr>
      </w:pPr>
    </w:p>
    <w:tbl>
      <w:tblPr>
        <w:tblStyle w:val="TableGrid"/>
        <w:tblW w:w="4886" w:type="pct"/>
        <w:tblInd w:w="108" w:type="dxa"/>
        <w:tblLook w:val="04A0" w:firstRow="1" w:lastRow="0" w:firstColumn="1" w:lastColumn="0" w:noHBand="0" w:noVBand="1"/>
      </w:tblPr>
      <w:tblGrid>
        <w:gridCol w:w="2850"/>
        <w:gridCol w:w="3057"/>
        <w:gridCol w:w="2949"/>
      </w:tblGrid>
      <w:tr w:rsidR="00E17DF7" w:rsidRPr="00234044" w14:paraId="45B96D10" w14:textId="77777777" w:rsidTr="00E17DF7">
        <w:tc>
          <w:tcPr>
            <w:tcW w:w="1609" w:type="pct"/>
          </w:tcPr>
          <w:p w14:paraId="009ADE69" w14:textId="77777777" w:rsidR="00E17DF7" w:rsidRPr="008F4EE6" w:rsidRDefault="00E17DF7" w:rsidP="007B2A33">
            <w:pPr>
              <w:jc w:val="both"/>
              <w:rPr>
                <w:lang w:val="sr-Latn-ME"/>
              </w:rPr>
            </w:pPr>
          </w:p>
        </w:tc>
        <w:tc>
          <w:tcPr>
            <w:tcW w:w="1726" w:type="pct"/>
          </w:tcPr>
          <w:p w14:paraId="50530C1B" w14:textId="77777777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rFonts w:eastAsia="TimesNewRoman,Bold"/>
                <w:b/>
                <w:bCs/>
                <w:sz w:val="20"/>
                <w:szCs w:val="20"/>
                <w:lang w:val="sr-Latn-ME"/>
              </w:rPr>
              <w:t>Imipenem</w:t>
            </w:r>
          </w:p>
        </w:tc>
        <w:tc>
          <w:tcPr>
            <w:tcW w:w="1665" w:type="pct"/>
          </w:tcPr>
          <w:p w14:paraId="1D0436DD" w14:textId="77777777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rFonts w:eastAsia="TimesNewRoman,Bold"/>
                <w:b/>
                <w:bCs/>
                <w:sz w:val="20"/>
                <w:szCs w:val="20"/>
                <w:lang w:val="sr-Latn-ME"/>
              </w:rPr>
              <w:t>Relebaktam</w:t>
            </w:r>
          </w:p>
        </w:tc>
      </w:tr>
      <w:tr w:rsidR="00E17DF7" w:rsidRPr="00234044" w14:paraId="5BF4987C" w14:textId="77777777" w:rsidTr="00E17DF7">
        <w:tc>
          <w:tcPr>
            <w:tcW w:w="1609" w:type="pct"/>
          </w:tcPr>
          <w:p w14:paraId="7599E22A" w14:textId="77777777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PIK</w:t>
            </w:r>
            <w:r w:rsidRPr="008F4EE6">
              <w:rPr>
                <w:rFonts w:eastAsia="TimesNewRoman"/>
                <w:sz w:val="13"/>
                <w:szCs w:val="13"/>
                <w:lang w:val="sr-Latn-ME"/>
              </w:rPr>
              <w:t xml:space="preserve">0 – 24 h </w:t>
            </w:r>
            <w:r w:rsidRPr="008F4EE6">
              <w:rPr>
                <w:rFonts w:eastAsia="TimesNewRoman"/>
                <w:sz w:val="20"/>
                <w:szCs w:val="20"/>
                <w:lang w:val="sr-Latn-ME"/>
              </w:rPr>
              <w:t>(mikromol-h)</w:t>
            </w:r>
          </w:p>
        </w:tc>
        <w:tc>
          <w:tcPr>
            <w:tcW w:w="1726" w:type="pct"/>
          </w:tcPr>
          <w:p w14:paraId="2B865FEB" w14:textId="77777777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500,0 (56,3)</w:t>
            </w:r>
          </w:p>
        </w:tc>
        <w:tc>
          <w:tcPr>
            <w:tcW w:w="1665" w:type="pct"/>
          </w:tcPr>
          <w:p w14:paraId="5D1A7B2F" w14:textId="77777777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390,5 (44,5)</w:t>
            </w:r>
          </w:p>
        </w:tc>
      </w:tr>
      <w:tr w:rsidR="00E17DF7" w:rsidRPr="00234044" w14:paraId="11178840" w14:textId="77777777" w:rsidTr="00E17DF7">
        <w:tc>
          <w:tcPr>
            <w:tcW w:w="1609" w:type="pct"/>
          </w:tcPr>
          <w:p w14:paraId="518AA1CA" w14:textId="77777777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C</w:t>
            </w:r>
            <w:r w:rsidRPr="008F4EE6">
              <w:rPr>
                <w:rFonts w:eastAsia="TimesNewRoman"/>
                <w:sz w:val="13"/>
                <w:szCs w:val="13"/>
                <w:lang w:val="sr-Latn-ME"/>
              </w:rPr>
              <w:t xml:space="preserve">max </w:t>
            </w:r>
            <w:r w:rsidRPr="008F4EE6">
              <w:rPr>
                <w:rFonts w:eastAsia="TimesNewRoman"/>
                <w:sz w:val="20"/>
                <w:szCs w:val="20"/>
                <w:lang w:val="sr-Latn-ME"/>
              </w:rPr>
              <w:t>(mikromol)</w:t>
            </w:r>
          </w:p>
        </w:tc>
        <w:tc>
          <w:tcPr>
            <w:tcW w:w="1726" w:type="pct"/>
          </w:tcPr>
          <w:p w14:paraId="4E6DACEE" w14:textId="77777777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88,9 (62,1)</w:t>
            </w:r>
          </w:p>
        </w:tc>
        <w:tc>
          <w:tcPr>
            <w:tcW w:w="1665" w:type="pct"/>
          </w:tcPr>
          <w:p w14:paraId="60900B8A" w14:textId="77777777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58,5 (44,9)</w:t>
            </w:r>
          </w:p>
        </w:tc>
      </w:tr>
      <w:tr w:rsidR="00E17DF7" w:rsidRPr="00234044" w14:paraId="3025FC42" w14:textId="77777777" w:rsidTr="00E17DF7">
        <w:tc>
          <w:tcPr>
            <w:tcW w:w="1609" w:type="pct"/>
          </w:tcPr>
          <w:p w14:paraId="4ED2ADEE" w14:textId="77777777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CL (L/h)</w:t>
            </w:r>
          </w:p>
        </w:tc>
        <w:tc>
          <w:tcPr>
            <w:tcW w:w="1726" w:type="pct"/>
          </w:tcPr>
          <w:p w14:paraId="03676386" w14:textId="77777777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13,4 (56,3)</w:t>
            </w:r>
          </w:p>
        </w:tc>
        <w:tc>
          <w:tcPr>
            <w:tcW w:w="1665" w:type="pct"/>
          </w:tcPr>
          <w:p w14:paraId="3061B9E9" w14:textId="77777777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7,4 (44,5)</w:t>
            </w:r>
          </w:p>
        </w:tc>
      </w:tr>
      <w:tr w:rsidR="00E17DF7" w:rsidRPr="00234044" w14:paraId="39750196" w14:textId="77777777" w:rsidTr="00E17DF7">
        <w:tc>
          <w:tcPr>
            <w:tcW w:w="1609" w:type="pct"/>
          </w:tcPr>
          <w:p w14:paraId="3C4B36EF" w14:textId="77777777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t</w:t>
            </w:r>
            <w:r w:rsidRPr="008F4EE6">
              <w:rPr>
                <w:rFonts w:eastAsia="TimesNewRoman"/>
                <w:sz w:val="13"/>
                <w:szCs w:val="13"/>
                <w:lang w:val="sr-Latn-ME"/>
              </w:rPr>
              <w:t xml:space="preserve">1/2 </w:t>
            </w:r>
            <w:r w:rsidRPr="008F4EE6">
              <w:rPr>
                <w:rFonts w:eastAsia="TimesNewRoman"/>
                <w:sz w:val="20"/>
                <w:szCs w:val="20"/>
                <w:lang w:val="sr-Latn-ME"/>
              </w:rPr>
              <w:t>(h)*</w:t>
            </w:r>
          </w:p>
        </w:tc>
        <w:tc>
          <w:tcPr>
            <w:tcW w:w="1726" w:type="pct"/>
          </w:tcPr>
          <w:p w14:paraId="2C874930" w14:textId="77777777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rFonts w:eastAsia="TimesNewRoman"/>
                <w:sz w:val="20"/>
                <w:szCs w:val="20"/>
                <w:lang w:val="sr-Latn-ME"/>
              </w:rPr>
              <w:t>1,0 (± 0,5)</w:t>
            </w:r>
          </w:p>
        </w:tc>
        <w:tc>
          <w:tcPr>
            <w:tcW w:w="1665" w:type="pct"/>
          </w:tcPr>
          <w:p w14:paraId="5D0F9286" w14:textId="77777777" w:rsidR="00E17DF7" w:rsidRPr="008F4EE6" w:rsidRDefault="00E17DF7" w:rsidP="007B2A33">
            <w:pPr>
              <w:jc w:val="both"/>
              <w:rPr>
                <w:sz w:val="20"/>
                <w:szCs w:val="20"/>
                <w:lang w:val="sr-Latn-ME"/>
              </w:rPr>
            </w:pPr>
            <w:r w:rsidRPr="008F4EE6">
              <w:rPr>
                <w:sz w:val="20"/>
                <w:szCs w:val="20"/>
                <w:lang w:val="sr-Latn-ME"/>
              </w:rPr>
              <w:t>1,2 (± 0,7)</w:t>
            </w:r>
          </w:p>
        </w:tc>
      </w:tr>
      <w:tr w:rsidR="00E17DF7" w:rsidRPr="00234044" w14:paraId="05F68202" w14:textId="77777777" w:rsidTr="00E17DF7">
        <w:tc>
          <w:tcPr>
            <w:tcW w:w="5000" w:type="pct"/>
            <w:gridSpan w:val="3"/>
          </w:tcPr>
          <w:p w14:paraId="58CAA857" w14:textId="4BDF342E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lang w:val="sr-Latn-ME"/>
              </w:rPr>
              <w:t xml:space="preserve">*Aritmetička srednja </w:t>
            </w:r>
            <w:r w:rsidR="00D718CE" w:rsidRPr="008F4EE6">
              <w:rPr>
                <w:lang w:val="sr-Latn-ME"/>
              </w:rPr>
              <w:t>vrijednost</w:t>
            </w:r>
            <w:r w:rsidRPr="008F4EE6">
              <w:rPr>
                <w:lang w:val="sr-Latn-ME"/>
              </w:rPr>
              <w:t xml:space="preserve"> (standardno odstupanje) prijavljena za t</w:t>
            </w:r>
            <w:r w:rsidRPr="008F4EE6">
              <w:rPr>
                <w:vertAlign w:val="subscript"/>
                <w:lang w:val="sr-Latn-ME"/>
              </w:rPr>
              <w:t>1/2</w:t>
            </w:r>
          </w:p>
          <w:p w14:paraId="71A8EB11" w14:textId="0774D961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lang w:val="sr-Latn-ME"/>
              </w:rPr>
              <w:t>PIK</w:t>
            </w:r>
            <w:r w:rsidRPr="008F4EE6">
              <w:rPr>
                <w:vertAlign w:val="subscript"/>
                <w:lang w:val="sr-Latn-ME"/>
              </w:rPr>
              <w:t xml:space="preserve">0 – 24 h </w:t>
            </w:r>
            <w:r w:rsidRPr="008F4EE6">
              <w:rPr>
                <w:lang w:val="sr-Latn-ME"/>
              </w:rPr>
              <w:t xml:space="preserve">= površina ispod krive koncentracije tokom </w:t>
            </w:r>
            <w:r w:rsidR="00D718CE" w:rsidRPr="008F4EE6">
              <w:rPr>
                <w:lang w:val="sr-Latn-ME"/>
              </w:rPr>
              <w:t>vremena</w:t>
            </w:r>
            <w:r w:rsidRPr="008F4EE6">
              <w:rPr>
                <w:lang w:val="sr-Latn-ME"/>
              </w:rPr>
              <w:t xml:space="preserve"> od 0 do 24 sata;</w:t>
            </w:r>
          </w:p>
          <w:p w14:paraId="784EE6BB" w14:textId="28C41683" w:rsidR="00E17DF7" w:rsidRPr="008F4EE6" w:rsidRDefault="00E17DF7" w:rsidP="007B2A33">
            <w:pPr>
              <w:jc w:val="both"/>
              <w:rPr>
                <w:lang w:val="sr-Latn-ME"/>
              </w:rPr>
            </w:pPr>
            <w:r w:rsidRPr="008F4EE6">
              <w:rPr>
                <w:lang w:val="sr-Latn-ME"/>
              </w:rPr>
              <w:t>C</w:t>
            </w:r>
            <w:r w:rsidRPr="008F4EE6">
              <w:rPr>
                <w:vertAlign w:val="subscript"/>
                <w:lang w:val="sr-Latn-ME"/>
              </w:rPr>
              <w:t>max</w:t>
            </w:r>
            <w:r w:rsidRPr="008F4EE6">
              <w:rPr>
                <w:lang w:val="sr-Latn-ME"/>
              </w:rPr>
              <w:t xml:space="preserve"> = maksimalna koncentracija; CL = klirens iz plazme; t</w:t>
            </w:r>
            <w:r w:rsidRPr="008F4EE6">
              <w:rPr>
                <w:vertAlign w:val="subscript"/>
                <w:lang w:val="sr-Latn-ME"/>
              </w:rPr>
              <w:t xml:space="preserve">1/2 </w:t>
            </w:r>
            <w:r w:rsidRPr="008F4EE6">
              <w:rPr>
                <w:lang w:val="sr-Latn-ME"/>
              </w:rPr>
              <w:t>= polu</w:t>
            </w:r>
            <w:r w:rsidR="00D718CE" w:rsidRPr="008F4EE6">
              <w:rPr>
                <w:lang w:val="sr-Latn-ME"/>
              </w:rPr>
              <w:t>vrijeme</w:t>
            </w:r>
            <w:r w:rsidRPr="008F4EE6">
              <w:rPr>
                <w:lang w:val="sr-Latn-ME"/>
              </w:rPr>
              <w:t xml:space="preserve"> eliminacije</w:t>
            </w:r>
          </w:p>
        </w:tc>
      </w:tr>
    </w:tbl>
    <w:p w14:paraId="5CE633C2" w14:textId="77777777" w:rsidR="00E17DF7" w:rsidRPr="008F4EE6" w:rsidRDefault="00E17DF7" w:rsidP="007B2A33">
      <w:pPr>
        <w:jc w:val="both"/>
        <w:rPr>
          <w:szCs w:val="22"/>
          <w:u w:val="single"/>
          <w:lang w:val="sr-Latn-ME"/>
        </w:rPr>
      </w:pPr>
    </w:p>
    <w:p w14:paraId="065C79B0" w14:textId="10D71E2A" w:rsidR="00E17DF7" w:rsidRPr="008F4EE6" w:rsidRDefault="00E17DF7" w:rsidP="00921789">
      <w:pPr>
        <w:keepLines/>
        <w:rPr>
          <w:rFonts w:eastAsia="Calibri"/>
          <w:b/>
          <w:szCs w:val="22"/>
          <w:lang w:val="sr-Latn-ME"/>
        </w:rPr>
      </w:pPr>
      <w:r w:rsidRPr="008F4EE6">
        <w:rPr>
          <w:rFonts w:eastAsia="Calibri"/>
          <w:b/>
          <w:szCs w:val="22"/>
          <w:lang w:val="sr-Latn-ME"/>
        </w:rPr>
        <w:t xml:space="preserve">Tabela 6: </w:t>
      </w:r>
      <w:r w:rsidR="008F7D2F" w:rsidRPr="008F4EE6">
        <w:rPr>
          <w:rFonts w:eastAsia="Calibri"/>
          <w:b/>
          <w:szCs w:val="22"/>
          <w:lang w:val="sr-Latn-ME"/>
        </w:rPr>
        <w:t>G</w:t>
      </w:r>
      <w:r w:rsidRPr="008F4EE6">
        <w:rPr>
          <w:rFonts w:eastAsia="Calibri"/>
          <w:b/>
          <w:szCs w:val="22"/>
          <w:lang w:val="sr-Latn-ME"/>
        </w:rPr>
        <w:t xml:space="preserve">eometrijska srednja </w:t>
      </w:r>
      <w:r w:rsidR="00D718CE" w:rsidRPr="008F4EE6">
        <w:rPr>
          <w:rFonts w:eastAsia="Calibri"/>
          <w:b/>
          <w:szCs w:val="22"/>
          <w:lang w:val="sr-Latn-ME"/>
        </w:rPr>
        <w:t>vrijednost</w:t>
      </w:r>
      <w:r w:rsidRPr="008F4EE6">
        <w:rPr>
          <w:rFonts w:eastAsia="Calibri"/>
          <w:b/>
          <w:szCs w:val="22"/>
          <w:lang w:val="sr-Latn-ME"/>
        </w:rPr>
        <w:t xml:space="preserve"> (% geometrijskog koeficijenta varijacije) plazmatskih farmakokinetičkih parametara imipenema i relebaktama u stanju dinamičke ravnoteže nakon višestrukih 30-minutnih intravenskih infuzija </w:t>
      </w:r>
      <w:r w:rsidR="00D718CE" w:rsidRPr="008F4EE6">
        <w:rPr>
          <w:rFonts w:eastAsia="Calibri"/>
          <w:b/>
          <w:szCs w:val="22"/>
          <w:lang w:val="sr-Latn-ME"/>
        </w:rPr>
        <w:t>lijek</w:t>
      </w:r>
      <w:r w:rsidRPr="008F4EE6">
        <w:rPr>
          <w:rFonts w:eastAsia="Calibri"/>
          <w:b/>
          <w:szCs w:val="22"/>
          <w:lang w:val="sr-Latn-ME"/>
        </w:rPr>
        <w:t xml:space="preserve">a RECARBRIO (500 mg imipenema/500 mg cilastatina + 250 mg relebaktama), </w:t>
      </w:r>
      <w:r w:rsidR="00D718CE" w:rsidRPr="008F4EE6">
        <w:rPr>
          <w:rFonts w:eastAsia="Calibri"/>
          <w:b/>
          <w:szCs w:val="22"/>
          <w:lang w:val="sr-Latn-ME"/>
        </w:rPr>
        <w:t>primijenjenih</w:t>
      </w:r>
      <w:r w:rsidRPr="008F4EE6">
        <w:rPr>
          <w:rFonts w:eastAsia="Calibri"/>
          <w:b/>
          <w:szCs w:val="22"/>
          <w:lang w:val="sr-Latn-ME"/>
        </w:rPr>
        <w:t xml:space="preserve"> svakih 6 sati kod pacijenata sa </w:t>
      </w:r>
      <w:r w:rsidRPr="008F4EE6">
        <w:rPr>
          <w:rFonts w:eastAsia="MS Mincho"/>
          <w:b/>
          <w:szCs w:val="22"/>
          <w:lang w:val="sr-Latn-ME" w:eastAsia="ja-JP"/>
        </w:rPr>
        <w:t xml:space="preserve">HAP ili VAP i CrCl </w:t>
      </w:r>
      <w:r w:rsidRPr="008F4EE6">
        <w:rPr>
          <w:rFonts w:eastAsia="MS Mincho"/>
          <w:b/>
          <w:bCs/>
          <w:szCs w:val="22"/>
          <w:lang w:val="sr-Latn-ME" w:eastAsia="ja-JP"/>
        </w:rPr>
        <w:t>90 </w:t>
      </w:r>
      <w:r w:rsidR="007903A3" w:rsidRPr="008F4EE6">
        <w:rPr>
          <w:rFonts w:eastAsia="MS Mincho"/>
          <w:b/>
          <w:bCs/>
          <w:szCs w:val="22"/>
          <w:lang w:val="sr-Latn-ME" w:eastAsia="ja-JP"/>
        </w:rPr>
        <w:t>ml</w:t>
      </w:r>
      <w:r w:rsidRPr="008F4EE6">
        <w:rPr>
          <w:rFonts w:eastAsia="MS Mincho"/>
          <w:b/>
          <w:bCs/>
          <w:szCs w:val="22"/>
          <w:lang w:val="sr-Latn-ME" w:eastAsia="ja-JP"/>
        </w:rPr>
        <w:t>/min ili većim</w:t>
      </w:r>
      <w:r w:rsidRPr="008F4EE6">
        <w:rPr>
          <w:rFonts w:eastAsia="Calibri"/>
          <w:b/>
          <w:szCs w:val="22"/>
          <w:lang w:val="sr-Latn-ME"/>
        </w:rPr>
        <w:t xml:space="preserve"> na osnovu populacionog farmakokinetičkog modela</w:t>
      </w:r>
    </w:p>
    <w:p w14:paraId="24B5111B" w14:textId="77777777" w:rsidR="00E17DF7" w:rsidRPr="008F4EE6" w:rsidRDefault="00E17DF7" w:rsidP="007B2A33">
      <w:pPr>
        <w:jc w:val="both"/>
        <w:rPr>
          <w:szCs w:val="22"/>
          <w:u w:val="single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3063"/>
        <w:gridCol w:w="3063"/>
      </w:tblGrid>
      <w:tr w:rsidR="00E17DF7" w:rsidRPr="00234044" w14:paraId="21A46A0B" w14:textId="77777777" w:rsidTr="00E17DF7">
        <w:trPr>
          <w:trHeight w:val="230"/>
        </w:trPr>
        <w:tc>
          <w:tcPr>
            <w:tcW w:w="1620" w:type="pct"/>
            <w:shd w:val="clear" w:color="auto" w:fill="auto"/>
            <w:noWrap/>
            <w:vAlign w:val="center"/>
            <w:hideMark/>
          </w:tcPr>
          <w:p w14:paraId="515E0D2D" w14:textId="77777777" w:rsidR="00E17DF7" w:rsidRPr="008F4EE6" w:rsidRDefault="00E17DF7" w:rsidP="007B2A33">
            <w:pPr>
              <w:keepNext/>
              <w:keepLines/>
              <w:jc w:val="both"/>
              <w:rPr>
                <w:rFonts w:eastAsia="MS Mincho"/>
                <w:i/>
                <w:iCs/>
                <w:color w:val="000000"/>
                <w:sz w:val="20"/>
                <w:lang w:val="sr-Latn-ME" w:eastAsia="ja-JP"/>
              </w:rPr>
            </w:pPr>
          </w:p>
        </w:tc>
        <w:tc>
          <w:tcPr>
            <w:tcW w:w="1690" w:type="pct"/>
            <w:shd w:val="clear" w:color="auto" w:fill="auto"/>
            <w:noWrap/>
            <w:vAlign w:val="center"/>
            <w:hideMark/>
          </w:tcPr>
          <w:p w14:paraId="202C656B" w14:textId="77777777" w:rsidR="00E17DF7" w:rsidRPr="008F4EE6" w:rsidRDefault="00E17DF7" w:rsidP="007B2A33">
            <w:pPr>
              <w:keepNext/>
              <w:keepLines/>
              <w:spacing w:before="60" w:after="60"/>
              <w:jc w:val="both"/>
              <w:rPr>
                <w:rFonts w:eastAsia="MS Mincho"/>
                <w:b/>
                <w:iCs/>
                <w:color w:val="000000"/>
                <w:sz w:val="20"/>
                <w:lang w:val="sr-Latn-ME" w:eastAsia="ja-JP"/>
              </w:rPr>
            </w:pPr>
            <w:r w:rsidRPr="008F4EE6">
              <w:rPr>
                <w:rFonts w:eastAsia="MS Mincho"/>
                <w:b/>
                <w:iCs/>
                <w:color w:val="000000"/>
                <w:sz w:val="20"/>
                <w:lang w:val="sr-Latn-ME" w:eastAsia="ja-JP"/>
              </w:rPr>
              <w:t>Imipenem</w:t>
            </w:r>
          </w:p>
        </w:tc>
        <w:tc>
          <w:tcPr>
            <w:tcW w:w="1690" w:type="pct"/>
            <w:shd w:val="clear" w:color="auto" w:fill="auto"/>
            <w:noWrap/>
            <w:vAlign w:val="center"/>
          </w:tcPr>
          <w:p w14:paraId="623B8D31" w14:textId="77777777" w:rsidR="00E17DF7" w:rsidRPr="008F4EE6" w:rsidRDefault="00E17DF7" w:rsidP="007B2A33">
            <w:pPr>
              <w:keepNext/>
              <w:keepLines/>
              <w:spacing w:before="60" w:after="60"/>
              <w:jc w:val="both"/>
              <w:rPr>
                <w:rFonts w:eastAsia="MS Mincho"/>
                <w:b/>
                <w:iCs/>
                <w:color w:val="000000"/>
                <w:sz w:val="20"/>
                <w:lang w:val="sr-Latn-ME" w:eastAsia="ja-JP"/>
              </w:rPr>
            </w:pPr>
            <w:r w:rsidRPr="008F4EE6">
              <w:rPr>
                <w:rFonts w:eastAsia="MS Mincho"/>
                <w:b/>
                <w:iCs/>
                <w:color w:val="000000"/>
                <w:sz w:val="20"/>
                <w:lang w:val="sr-Latn-ME" w:eastAsia="ja-JP"/>
              </w:rPr>
              <w:t>Relebaktam</w:t>
            </w:r>
          </w:p>
        </w:tc>
      </w:tr>
      <w:tr w:rsidR="00E17DF7" w:rsidRPr="00234044" w14:paraId="0FF09FA4" w14:textId="77777777" w:rsidTr="00E17DF7">
        <w:trPr>
          <w:trHeight w:val="288"/>
        </w:trPr>
        <w:tc>
          <w:tcPr>
            <w:tcW w:w="1620" w:type="pct"/>
            <w:shd w:val="clear" w:color="auto" w:fill="auto"/>
            <w:noWrap/>
            <w:vAlign w:val="center"/>
          </w:tcPr>
          <w:p w14:paraId="3B84E849" w14:textId="77777777" w:rsidR="00E17DF7" w:rsidRPr="00921789" w:rsidRDefault="00E17DF7" w:rsidP="007B2A33">
            <w:pPr>
              <w:spacing w:before="40" w:after="40"/>
              <w:jc w:val="both"/>
              <w:rPr>
                <w:rFonts w:eastAsia="MS Mincho"/>
                <w:color w:val="000000"/>
                <w:sz w:val="20"/>
                <w:lang w:val="sr-Latn-ME" w:eastAsia="ja-JP"/>
              </w:rPr>
            </w:pPr>
            <w:r w:rsidRPr="00921789">
              <w:rPr>
                <w:rFonts w:eastAsia="MS Mincho"/>
                <w:color w:val="000000"/>
                <w:sz w:val="20"/>
                <w:lang w:val="sr-Latn-ME" w:eastAsia="ja-JP"/>
              </w:rPr>
              <w:t>PIK</w:t>
            </w:r>
            <w:r w:rsidRPr="00921789">
              <w:rPr>
                <w:rFonts w:eastAsia="MS Mincho"/>
                <w:color w:val="000000"/>
                <w:sz w:val="20"/>
                <w:vertAlign w:val="subscript"/>
                <w:lang w:val="sr-Latn-ME" w:eastAsia="ja-JP"/>
              </w:rPr>
              <w:t xml:space="preserve">0 - 24h </w:t>
            </w:r>
            <w:r w:rsidRPr="00921789">
              <w:rPr>
                <w:rFonts w:eastAsia="MS Mincho"/>
                <w:color w:val="000000"/>
                <w:sz w:val="20"/>
                <w:lang w:val="sr-Latn-ME" w:eastAsia="ja-JP"/>
              </w:rPr>
              <w:t>(mikromol-h)</w:t>
            </w:r>
          </w:p>
        </w:tc>
        <w:tc>
          <w:tcPr>
            <w:tcW w:w="1690" w:type="pct"/>
            <w:shd w:val="clear" w:color="auto" w:fill="auto"/>
            <w:noWrap/>
            <w:vAlign w:val="center"/>
          </w:tcPr>
          <w:p w14:paraId="74D00C83" w14:textId="77777777" w:rsidR="00E17DF7" w:rsidRPr="00921789" w:rsidRDefault="00E17DF7" w:rsidP="007B2A33">
            <w:pPr>
              <w:spacing w:before="40" w:after="40"/>
              <w:jc w:val="both"/>
              <w:rPr>
                <w:rFonts w:eastAsia="MS Mincho"/>
                <w:color w:val="000000"/>
                <w:sz w:val="20"/>
                <w:lang w:val="sr-Latn-ME" w:eastAsia="ja-JP"/>
              </w:rPr>
            </w:pPr>
            <w:r w:rsidRPr="00921789">
              <w:rPr>
                <w:rFonts w:eastAsia="MS Mincho"/>
                <w:color w:val="000000"/>
                <w:sz w:val="20"/>
                <w:lang w:val="sr-Latn-ME" w:eastAsia="ja-JP"/>
              </w:rPr>
              <w:t>812,2 (59,4)</w:t>
            </w:r>
          </w:p>
        </w:tc>
        <w:tc>
          <w:tcPr>
            <w:tcW w:w="1690" w:type="pct"/>
            <w:shd w:val="clear" w:color="auto" w:fill="auto"/>
            <w:noWrap/>
            <w:vAlign w:val="center"/>
          </w:tcPr>
          <w:p w14:paraId="6C7CEF2E" w14:textId="77777777" w:rsidR="00E17DF7" w:rsidRPr="00921789" w:rsidRDefault="00E17DF7" w:rsidP="007B2A33">
            <w:pPr>
              <w:spacing w:before="40" w:after="40"/>
              <w:jc w:val="both"/>
              <w:rPr>
                <w:rFonts w:eastAsia="MS Mincho"/>
                <w:color w:val="000000"/>
                <w:sz w:val="20"/>
                <w:lang w:val="sr-Latn-ME" w:eastAsia="ja-JP"/>
              </w:rPr>
            </w:pPr>
            <w:r w:rsidRPr="00921789">
              <w:rPr>
                <w:rFonts w:eastAsia="MS Mincho"/>
                <w:color w:val="000000"/>
                <w:sz w:val="20"/>
                <w:lang w:val="sr-Latn-ME" w:eastAsia="ja-JP"/>
              </w:rPr>
              <w:t>655,2 (47,9)</w:t>
            </w:r>
          </w:p>
        </w:tc>
      </w:tr>
      <w:tr w:rsidR="00E17DF7" w:rsidRPr="00234044" w14:paraId="7FD55762" w14:textId="77777777" w:rsidTr="00E17DF7">
        <w:trPr>
          <w:trHeight w:val="288"/>
        </w:trPr>
        <w:tc>
          <w:tcPr>
            <w:tcW w:w="1620" w:type="pct"/>
            <w:shd w:val="clear" w:color="auto" w:fill="auto"/>
            <w:noWrap/>
            <w:vAlign w:val="center"/>
          </w:tcPr>
          <w:p w14:paraId="1D2907A9" w14:textId="77777777" w:rsidR="00E17DF7" w:rsidRPr="00921789" w:rsidRDefault="00E17DF7" w:rsidP="007B2A33">
            <w:pPr>
              <w:spacing w:before="40" w:after="40"/>
              <w:jc w:val="both"/>
              <w:rPr>
                <w:rFonts w:eastAsia="MS Mincho"/>
                <w:color w:val="000000"/>
                <w:sz w:val="20"/>
                <w:lang w:val="sr-Latn-ME" w:eastAsia="ja-JP"/>
              </w:rPr>
            </w:pPr>
            <w:r w:rsidRPr="00921789">
              <w:rPr>
                <w:rFonts w:eastAsia="MS Mincho"/>
                <w:color w:val="000000"/>
                <w:sz w:val="20"/>
                <w:lang w:val="sr-Latn-ME" w:eastAsia="ja-JP"/>
              </w:rPr>
              <w:t>C</w:t>
            </w:r>
            <w:r w:rsidRPr="00921789">
              <w:rPr>
                <w:rFonts w:eastAsia="MS Mincho"/>
                <w:color w:val="000000"/>
                <w:sz w:val="20"/>
                <w:vertAlign w:val="subscript"/>
                <w:lang w:val="sr-Latn-ME" w:eastAsia="ja-JP"/>
              </w:rPr>
              <w:t>max</w:t>
            </w:r>
            <w:r w:rsidRPr="00921789">
              <w:rPr>
                <w:rFonts w:eastAsia="MS Mincho"/>
                <w:color w:val="000000"/>
                <w:sz w:val="20"/>
                <w:lang w:val="sr-Latn-ME" w:eastAsia="ja-JP"/>
              </w:rPr>
              <w:t xml:space="preserve"> (mikromol)</w:t>
            </w:r>
          </w:p>
        </w:tc>
        <w:tc>
          <w:tcPr>
            <w:tcW w:w="1690" w:type="pct"/>
            <w:shd w:val="clear" w:color="auto" w:fill="auto"/>
            <w:noWrap/>
            <w:vAlign w:val="center"/>
          </w:tcPr>
          <w:p w14:paraId="4A1790E5" w14:textId="77777777" w:rsidR="00E17DF7" w:rsidRPr="00921789" w:rsidRDefault="00E17DF7" w:rsidP="007B2A33">
            <w:pPr>
              <w:spacing w:before="40" w:after="40"/>
              <w:jc w:val="both"/>
              <w:rPr>
                <w:rFonts w:eastAsia="MS Mincho"/>
                <w:color w:val="000000"/>
                <w:sz w:val="20"/>
                <w:lang w:val="sr-Latn-ME" w:eastAsia="ja-JP"/>
              </w:rPr>
            </w:pPr>
            <w:r w:rsidRPr="00921789">
              <w:rPr>
                <w:rFonts w:eastAsia="MS Mincho"/>
                <w:color w:val="000000"/>
                <w:sz w:val="20"/>
                <w:lang w:val="sr-Latn-ME" w:eastAsia="ja-JP"/>
              </w:rPr>
              <w:t>159,1 (62,3)</w:t>
            </w:r>
          </w:p>
        </w:tc>
        <w:tc>
          <w:tcPr>
            <w:tcW w:w="1690" w:type="pct"/>
            <w:shd w:val="clear" w:color="auto" w:fill="auto"/>
            <w:noWrap/>
            <w:vAlign w:val="center"/>
          </w:tcPr>
          <w:p w14:paraId="051E8B5E" w14:textId="77777777" w:rsidR="00E17DF7" w:rsidRPr="00921789" w:rsidRDefault="00E17DF7" w:rsidP="007B2A33">
            <w:pPr>
              <w:spacing w:before="40" w:after="40"/>
              <w:jc w:val="both"/>
              <w:rPr>
                <w:rFonts w:eastAsia="MS Mincho"/>
                <w:color w:val="000000"/>
                <w:sz w:val="20"/>
                <w:lang w:val="sr-Latn-ME" w:eastAsia="ja-JP"/>
              </w:rPr>
            </w:pPr>
            <w:r w:rsidRPr="00921789">
              <w:rPr>
                <w:rFonts w:eastAsia="MS Mincho"/>
                <w:color w:val="000000"/>
                <w:sz w:val="20"/>
                <w:lang w:val="sr-Latn-ME" w:eastAsia="ja-JP"/>
              </w:rPr>
              <w:t>87,6 (43,8)</w:t>
            </w:r>
          </w:p>
        </w:tc>
      </w:tr>
      <w:tr w:rsidR="00E17DF7" w:rsidRPr="00234044" w14:paraId="39B91EE8" w14:textId="77777777" w:rsidTr="00E17DF7">
        <w:trPr>
          <w:trHeight w:val="288"/>
        </w:trPr>
        <w:tc>
          <w:tcPr>
            <w:tcW w:w="1620" w:type="pct"/>
            <w:shd w:val="clear" w:color="auto" w:fill="auto"/>
            <w:noWrap/>
            <w:vAlign w:val="center"/>
            <w:hideMark/>
          </w:tcPr>
          <w:p w14:paraId="36863A52" w14:textId="77777777" w:rsidR="00E17DF7" w:rsidRPr="00921789" w:rsidRDefault="00E17DF7" w:rsidP="007B2A33">
            <w:pPr>
              <w:spacing w:before="40" w:after="40"/>
              <w:jc w:val="both"/>
              <w:rPr>
                <w:rFonts w:eastAsia="MS Mincho"/>
                <w:color w:val="000000"/>
                <w:sz w:val="20"/>
                <w:lang w:val="sr-Latn-ME" w:eastAsia="ja-JP"/>
              </w:rPr>
            </w:pPr>
            <w:r w:rsidRPr="00921789">
              <w:rPr>
                <w:rFonts w:eastAsia="MS Mincho"/>
                <w:color w:val="000000"/>
                <w:sz w:val="20"/>
                <w:lang w:val="sr-Latn-ME" w:eastAsia="ja-JP"/>
              </w:rPr>
              <w:t>CL (L/h)</w:t>
            </w:r>
          </w:p>
        </w:tc>
        <w:tc>
          <w:tcPr>
            <w:tcW w:w="1690" w:type="pct"/>
            <w:shd w:val="clear" w:color="auto" w:fill="auto"/>
            <w:noWrap/>
            <w:vAlign w:val="center"/>
            <w:hideMark/>
          </w:tcPr>
          <w:p w14:paraId="56782F09" w14:textId="77777777" w:rsidR="00E17DF7" w:rsidRPr="00921789" w:rsidRDefault="00E17DF7" w:rsidP="007B2A33">
            <w:pPr>
              <w:spacing w:before="40" w:after="40"/>
              <w:jc w:val="both"/>
              <w:rPr>
                <w:rFonts w:eastAsia="MS Mincho"/>
                <w:color w:val="000000"/>
                <w:sz w:val="20"/>
                <w:lang w:val="sr-Latn-ME" w:eastAsia="ja-JP"/>
              </w:rPr>
            </w:pPr>
            <w:r w:rsidRPr="00921789">
              <w:rPr>
                <w:rFonts w:eastAsia="MS Mincho"/>
                <w:color w:val="000000"/>
                <w:sz w:val="20"/>
                <w:lang w:val="sr-Latn-ME" w:eastAsia="ja-JP"/>
              </w:rPr>
              <w:t>8,2 (59,4)</w:t>
            </w:r>
          </w:p>
        </w:tc>
        <w:tc>
          <w:tcPr>
            <w:tcW w:w="1690" w:type="pct"/>
            <w:shd w:val="clear" w:color="auto" w:fill="auto"/>
            <w:noWrap/>
            <w:vAlign w:val="center"/>
          </w:tcPr>
          <w:p w14:paraId="5BB13E8A" w14:textId="77777777" w:rsidR="00E17DF7" w:rsidRPr="00921789" w:rsidRDefault="00E17DF7" w:rsidP="007B2A33">
            <w:pPr>
              <w:spacing w:before="40" w:after="40"/>
              <w:jc w:val="both"/>
              <w:rPr>
                <w:rFonts w:eastAsia="MS Mincho"/>
                <w:color w:val="000000"/>
                <w:sz w:val="20"/>
                <w:lang w:val="sr-Latn-ME" w:eastAsia="ja-JP"/>
              </w:rPr>
            </w:pPr>
            <w:r w:rsidRPr="00921789">
              <w:rPr>
                <w:rFonts w:eastAsia="MS Mincho"/>
                <w:color w:val="000000"/>
                <w:sz w:val="20"/>
                <w:lang w:val="sr-Latn-ME" w:eastAsia="ja-JP"/>
              </w:rPr>
              <w:t>4,4 (47,9)</w:t>
            </w:r>
          </w:p>
        </w:tc>
      </w:tr>
      <w:tr w:rsidR="00E17DF7" w:rsidRPr="00234044" w14:paraId="6B61D5AA" w14:textId="77777777" w:rsidTr="00E17DF7">
        <w:trPr>
          <w:trHeight w:val="296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0DE37DE8" w14:textId="32D57970" w:rsidR="00E17DF7" w:rsidRPr="00921789" w:rsidRDefault="00E17DF7" w:rsidP="007B2A33">
            <w:pPr>
              <w:jc w:val="both"/>
              <w:rPr>
                <w:rFonts w:eastAsia="MS Mincho"/>
                <w:sz w:val="20"/>
                <w:lang w:val="sr-Latn-ME" w:eastAsia="ja-JP"/>
              </w:rPr>
            </w:pPr>
            <w:r w:rsidRPr="00921789">
              <w:rPr>
                <w:rFonts w:eastAsia="MS Mincho"/>
                <w:sz w:val="20"/>
                <w:lang w:val="sr-Latn-ME" w:eastAsia="ja-JP"/>
              </w:rPr>
              <w:t>PIK</w:t>
            </w:r>
            <w:r w:rsidRPr="00921789">
              <w:rPr>
                <w:rFonts w:eastAsia="MS Mincho"/>
                <w:sz w:val="20"/>
                <w:vertAlign w:val="subscript"/>
                <w:lang w:val="sr-Latn-ME" w:eastAsia="ja-JP"/>
              </w:rPr>
              <w:t>0 - 24h</w:t>
            </w:r>
            <w:r w:rsidRPr="00921789">
              <w:rPr>
                <w:rFonts w:eastAsia="MS Mincho"/>
                <w:sz w:val="20"/>
                <w:lang w:val="sr-Latn-ME" w:eastAsia="ja-JP"/>
              </w:rPr>
              <w:t>=</w:t>
            </w:r>
            <w:r w:rsidRPr="00921789">
              <w:rPr>
                <w:lang w:val="sr-Latn-ME"/>
              </w:rPr>
              <w:t xml:space="preserve"> </w:t>
            </w:r>
            <w:r w:rsidRPr="00921789">
              <w:rPr>
                <w:rFonts w:eastAsia="MS Mincho"/>
                <w:sz w:val="20"/>
                <w:lang w:val="sr-Latn-ME" w:eastAsia="ja-JP"/>
              </w:rPr>
              <w:t xml:space="preserve">površina ispod krive koncentracije tokom </w:t>
            </w:r>
            <w:r w:rsidR="00D718CE" w:rsidRPr="00921789">
              <w:rPr>
                <w:rFonts w:eastAsia="MS Mincho"/>
                <w:sz w:val="20"/>
                <w:lang w:val="sr-Latn-ME" w:eastAsia="ja-JP"/>
              </w:rPr>
              <w:t>vremena</w:t>
            </w:r>
            <w:r w:rsidRPr="00921789">
              <w:rPr>
                <w:rFonts w:eastAsia="MS Mincho"/>
                <w:sz w:val="20"/>
                <w:lang w:val="sr-Latn-ME" w:eastAsia="ja-JP"/>
              </w:rPr>
              <w:t xml:space="preserve"> od 0 do 24 sata; C</w:t>
            </w:r>
            <w:r w:rsidRPr="00921789">
              <w:rPr>
                <w:rFonts w:eastAsia="MS Mincho"/>
                <w:sz w:val="20"/>
                <w:vertAlign w:val="subscript"/>
                <w:lang w:val="sr-Latn-ME" w:eastAsia="ja-JP"/>
              </w:rPr>
              <w:t xml:space="preserve">max </w:t>
            </w:r>
            <w:r w:rsidRPr="00921789">
              <w:rPr>
                <w:rFonts w:eastAsia="MS Mincho"/>
                <w:sz w:val="20"/>
                <w:lang w:val="sr-Latn-ME" w:eastAsia="ja-JP"/>
              </w:rPr>
              <w:t>= maksimalna koncentracija; CL = klirens iz plazme</w:t>
            </w:r>
          </w:p>
        </w:tc>
      </w:tr>
    </w:tbl>
    <w:p w14:paraId="234ED74A" w14:textId="77777777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</w:p>
    <w:p w14:paraId="19FE5FD3" w14:textId="77777777" w:rsidR="00B94ED6" w:rsidRDefault="00B94ED6" w:rsidP="007B2A33">
      <w:pPr>
        <w:jc w:val="both"/>
        <w:rPr>
          <w:u w:val="single"/>
          <w:lang w:val="sr-Latn-ME"/>
        </w:rPr>
      </w:pPr>
    </w:p>
    <w:p w14:paraId="22A60787" w14:textId="5E27052C" w:rsidR="00E17DF7" w:rsidRPr="00921789" w:rsidRDefault="00E17DF7" w:rsidP="007B2A33">
      <w:pPr>
        <w:jc w:val="both"/>
        <w:rPr>
          <w:u w:val="single"/>
          <w:lang w:val="sr-Latn-ME"/>
        </w:rPr>
      </w:pPr>
      <w:r w:rsidRPr="00921789">
        <w:rPr>
          <w:u w:val="single"/>
          <w:lang w:val="sr-Latn-ME"/>
        </w:rPr>
        <w:t>Distribucija</w:t>
      </w:r>
    </w:p>
    <w:p w14:paraId="567B911F" w14:textId="77777777" w:rsidR="00E17DF7" w:rsidRPr="00921789" w:rsidRDefault="00E17DF7" w:rsidP="007B2A33">
      <w:pPr>
        <w:jc w:val="both"/>
        <w:rPr>
          <w:u w:val="single"/>
          <w:lang w:val="sr-Latn-ME"/>
        </w:rPr>
      </w:pPr>
    </w:p>
    <w:p w14:paraId="5D7B2C40" w14:textId="77777777" w:rsidR="00E17DF7" w:rsidRPr="00921789" w:rsidRDefault="00E17DF7" w:rsidP="007B2A33">
      <w:pPr>
        <w:jc w:val="both"/>
        <w:rPr>
          <w:lang w:val="sr-Latn-ME"/>
        </w:rPr>
      </w:pPr>
      <w:r w:rsidRPr="00921789">
        <w:rPr>
          <w:lang w:val="sr-Latn-ME"/>
        </w:rPr>
        <w:t xml:space="preserve">Vezivanje imipenema i cilastatina za proteine plazme kod ljudi iznosi približno 20%, odnosno 40%. Vezivanje relebaktama za proteine plazme kod ljudi iznosi približno 22% i ne zavisi od koncentracije. </w:t>
      </w:r>
    </w:p>
    <w:p w14:paraId="595D72DB" w14:textId="77777777" w:rsidR="00E17DF7" w:rsidRPr="00921789" w:rsidRDefault="00E17DF7" w:rsidP="007B2A33">
      <w:pPr>
        <w:jc w:val="both"/>
        <w:rPr>
          <w:lang w:val="sr-Latn-ME"/>
        </w:rPr>
      </w:pPr>
    </w:p>
    <w:p w14:paraId="7C100883" w14:textId="25F36400" w:rsidR="00E17DF7" w:rsidRPr="00921789" w:rsidRDefault="00E17DF7" w:rsidP="007B2A33">
      <w:pPr>
        <w:jc w:val="both"/>
        <w:rPr>
          <w:lang w:val="sr-Latn-ME"/>
        </w:rPr>
      </w:pPr>
      <w:r w:rsidRPr="00921789">
        <w:rPr>
          <w:lang w:val="sr-Latn-ME"/>
        </w:rPr>
        <w:lastRenderedPageBreak/>
        <w:t>Volumen distribucije u stanju dinamičke ravnoteže kod ispitanika nakon višestrukih doza</w:t>
      </w:r>
      <w:r w:rsidR="00921789">
        <w:rPr>
          <w:lang w:val="sr-Latn-ME"/>
        </w:rPr>
        <w:t xml:space="preserve"> </w:t>
      </w:r>
      <w:r w:rsidR="00D718CE" w:rsidRPr="00921789">
        <w:rPr>
          <w:lang w:val="sr-Latn-ME"/>
        </w:rPr>
        <w:t>primijenjenih</w:t>
      </w:r>
      <w:r w:rsidR="00921789">
        <w:rPr>
          <w:lang w:val="sr-Latn-ME"/>
        </w:rPr>
        <w:t xml:space="preserve"> </w:t>
      </w:r>
      <w:r w:rsidRPr="00921789">
        <w:rPr>
          <w:lang w:val="sr-Latn-ME"/>
        </w:rPr>
        <w:t>30-minutnom infuzijom svakih 6 sati iznosi 24,3 L za imipenem, 13,8 L za cilastatin i 19,0 L za relebaktam.</w:t>
      </w:r>
    </w:p>
    <w:p w14:paraId="0E2374D1" w14:textId="77777777" w:rsidR="00E17DF7" w:rsidRPr="00921789" w:rsidRDefault="00E17DF7" w:rsidP="007B2A33">
      <w:pPr>
        <w:jc w:val="both"/>
        <w:rPr>
          <w:lang w:val="sr-Latn-ME"/>
        </w:rPr>
      </w:pPr>
    </w:p>
    <w:p w14:paraId="014526B5" w14:textId="426FC175" w:rsidR="00E17DF7" w:rsidRPr="00921789" w:rsidRDefault="00E17DF7" w:rsidP="007B2A33">
      <w:pPr>
        <w:jc w:val="both"/>
        <w:rPr>
          <w:lang w:val="sr-Latn-ME"/>
        </w:rPr>
      </w:pPr>
      <w:r w:rsidRPr="00921789">
        <w:rPr>
          <w:lang w:val="sr-Latn-ME"/>
        </w:rPr>
        <w:t xml:space="preserve">Prodiranje u tečnost plućne epitelne ovojnice (engl. </w:t>
      </w:r>
      <w:r w:rsidRPr="00921789">
        <w:rPr>
          <w:i/>
          <w:lang w:val="sr-Latn-ME"/>
        </w:rPr>
        <w:t>epithelial lining fluid</w:t>
      </w:r>
      <w:r w:rsidRPr="00921789">
        <w:rPr>
          <w:lang w:val="sr-Latn-ME"/>
        </w:rPr>
        <w:t xml:space="preserve">, ELF), izraženo kao odnos ukupne izloženosti </w:t>
      </w:r>
      <w:r w:rsidR="00D718CE" w:rsidRPr="00921789">
        <w:rPr>
          <w:lang w:val="sr-Latn-ME"/>
        </w:rPr>
        <w:t>lijek</w:t>
      </w:r>
      <w:r w:rsidRPr="00921789">
        <w:rPr>
          <w:lang w:val="sr-Latn-ME"/>
        </w:rPr>
        <w:t xml:space="preserve">u u tečnosti plućne epitelne ovojnice i izloženosti nevezanom </w:t>
      </w:r>
      <w:r w:rsidR="00D718CE" w:rsidRPr="00921789">
        <w:rPr>
          <w:lang w:val="sr-Latn-ME"/>
        </w:rPr>
        <w:t>lijek</w:t>
      </w:r>
      <w:r w:rsidRPr="00921789">
        <w:rPr>
          <w:lang w:val="sr-Latn-ME"/>
        </w:rPr>
        <w:t>u u plazmi, iznosilo je 55% za imipenem i 54% za relebaktam.</w:t>
      </w:r>
    </w:p>
    <w:p w14:paraId="54EAAABF" w14:textId="77777777" w:rsidR="00E17DF7" w:rsidRPr="00921789" w:rsidRDefault="00E17DF7" w:rsidP="007B2A33">
      <w:pPr>
        <w:jc w:val="both"/>
        <w:rPr>
          <w:lang w:val="sr-Latn-ME"/>
        </w:rPr>
      </w:pPr>
    </w:p>
    <w:p w14:paraId="49A535AF" w14:textId="77777777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  <w:r w:rsidRPr="00921789">
        <w:rPr>
          <w:szCs w:val="22"/>
          <w:u w:val="single"/>
          <w:lang w:val="sr-Latn-ME"/>
        </w:rPr>
        <w:t>Biotransformacija</w:t>
      </w:r>
    </w:p>
    <w:p w14:paraId="620946C6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18ED0FB8" w14:textId="158C15E0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 xml:space="preserve">Samostalno </w:t>
      </w:r>
      <w:r w:rsidR="00D718CE" w:rsidRPr="00921789">
        <w:rPr>
          <w:szCs w:val="22"/>
          <w:lang w:val="sr-Latn-ME"/>
        </w:rPr>
        <w:t>primijenjeni</w:t>
      </w:r>
      <w:r w:rsidRPr="00921789">
        <w:rPr>
          <w:szCs w:val="22"/>
          <w:lang w:val="sr-Latn-ME"/>
        </w:rPr>
        <w:t xml:space="preserve"> imipenem metaboliše se u bubrezima posredstvom enzima dehidropeptidaze-I, što dovodi do malih koncentracija imipenema (u pros</w:t>
      </w:r>
      <w:r w:rsidR="0022431E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>eku 15 - 20% doze) koji je pronađen u urinu ljudi. Cilastatin, koji je inhibitor tog enzima, efikasno sprečava bubrežni metabolizam, pa se kod isto</w:t>
      </w:r>
      <w:r w:rsidR="00D718CE" w:rsidRPr="00921789">
        <w:rPr>
          <w:szCs w:val="22"/>
          <w:lang w:val="sr-Latn-ME"/>
        </w:rPr>
        <w:t>vreme</w:t>
      </w:r>
      <w:r w:rsidRPr="00921789">
        <w:rPr>
          <w:szCs w:val="22"/>
          <w:lang w:val="sr-Latn-ME"/>
        </w:rPr>
        <w:t>ne prim</w:t>
      </w:r>
      <w:r w:rsidR="0022431E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>ene imipenema i cilastatina postižu odgovarajuće koncentracije imipenema u urinu (približno 70% doze) koje omogućavaju antibakterijsku aktivnost.</w:t>
      </w:r>
    </w:p>
    <w:p w14:paraId="5980CE00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3D6BACC4" w14:textId="76B225B3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>Cilastatin se prvenstveno eliminiše urinom u obliku neprom</w:t>
      </w:r>
      <w:r w:rsidR="0022431E" w:rsidRPr="00921789">
        <w:rPr>
          <w:szCs w:val="22"/>
          <w:lang w:val="sr-Latn-ME"/>
        </w:rPr>
        <w:t>ij</w:t>
      </w:r>
      <w:r w:rsidRPr="00921789">
        <w:rPr>
          <w:szCs w:val="22"/>
          <w:lang w:val="sr-Latn-ME"/>
        </w:rPr>
        <w:t xml:space="preserve">enjenog osnovnog oblika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 xml:space="preserve">a (približno 70 - 80% doze), a 10% doze čini N-acetil metabolit, koji ima inhibitornu aktivnost na dehidropeptidazu-I uporedivu sa osnovnim oblikom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>a.</w:t>
      </w:r>
    </w:p>
    <w:p w14:paraId="66CFC214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4B55622A" w14:textId="319CB960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 xml:space="preserve">Relebaktam se primarno uklanja izlučivanjem putem bubrega u obliku nepromenjenog osnovnog oblika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>a (više od 90% doze) i minimalno se metaboliše. Neprom</w:t>
      </w:r>
      <w:r w:rsidR="0022431E" w:rsidRPr="00921789">
        <w:rPr>
          <w:szCs w:val="22"/>
          <w:lang w:val="sr-Latn-ME"/>
        </w:rPr>
        <w:t>ij</w:t>
      </w:r>
      <w:r w:rsidRPr="00921789">
        <w:rPr>
          <w:szCs w:val="22"/>
          <w:lang w:val="sr-Latn-ME"/>
        </w:rPr>
        <w:t xml:space="preserve">enjeni relebaktam bio je jedina veza sa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>om koji je pronađen u plazmi kod ljudi.</w:t>
      </w:r>
    </w:p>
    <w:p w14:paraId="25A3CA7D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179BE019" w14:textId="77777777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  <w:r w:rsidRPr="00921789">
        <w:rPr>
          <w:szCs w:val="22"/>
          <w:u w:val="single"/>
          <w:lang w:val="sr-Latn-ME"/>
        </w:rPr>
        <w:t>Eliminacija</w:t>
      </w:r>
    </w:p>
    <w:p w14:paraId="51F0EBE2" w14:textId="77777777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</w:p>
    <w:p w14:paraId="22961DE9" w14:textId="77777777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>Imipenem, cilastatin i relebaktam prvenstveno se izlučuju putem bubrega.</w:t>
      </w:r>
    </w:p>
    <w:p w14:paraId="74064131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5BA8BE62" w14:textId="0E2109ED" w:rsidR="00830570" w:rsidRPr="0020459E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>Nakon prim</w:t>
      </w:r>
      <w:r w:rsidR="0022431E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 xml:space="preserve">ene višestrukih doza od 500 mg imipenema, 500 mg cilastatina i 250 mg relebaktama kod zdravih muškaraca, približno 63% </w:t>
      </w:r>
      <w:r w:rsidR="00D718CE" w:rsidRPr="00921789">
        <w:rPr>
          <w:szCs w:val="22"/>
          <w:lang w:val="sr-Latn-ME"/>
        </w:rPr>
        <w:t>primijenjene</w:t>
      </w:r>
      <w:r w:rsidRPr="00921789">
        <w:rPr>
          <w:szCs w:val="22"/>
          <w:lang w:val="sr-Latn-ME"/>
        </w:rPr>
        <w:t xml:space="preserve"> doze imipenema i 77% </w:t>
      </w:r>
      <w:r w:rsidR="00D718CE" w:rsidRPr="00921789">
        <w:rPr>
          <w:szCs w:val="22"/>
          <w:lang w:val="sr-Latn-ME"/>
        </w:rPr>
        <w:t>primijenjene</w:t>
      </w:r>
      <w:r w:rsidRPr="00921789">
        <w:rPr>
          <w:szCs w:val="22"/>
          <w:lang w:val="sr-Latn-ME"/>
        </w:rPr>
        <w:t xml:space="preserve"> doze cilastatina pronađeno je u urinu u obliku neprom</w:t>
      </w:r>
      <w:r w:rsidR="00F965BC" w:rsidRPr="00921789">
        <w:rPr>
          <w:szCs w:val="22"/>
          <w:lang w:val="sr-Latn-ME"/>
        </w:rPr>
        <w:t>ij</w:t>
      </w:r>
      <w:r w:rsidRPr="00921789">
        <w:rPr>
          <w:szCs w:val="22"/>
          <w:lang w:val="sr-Latn-ME"/>
        </w:rPr>
        <w:t xml:space="preserve">enjenog oblika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 xml:space="preserve">a. Bubrežno izlučivanje imipenema i cilastatina uključuje i glomerularnu filtraciju i aktivnu tubularnu sekreciju. Više od 90% </w:t>
      </w:r>
      <w:r w:rsidR="00D718CE" w:rsidRPr="00921789">
        <w:rPr>
          <w:szCs w:val="22"/>
          <w:lang w:val="sr-Latn-ME"/>
        </w:rPr>
        <w:t>primijenjene</w:t>
      </w:r>
      <w:r w:rsidRPr="00921789">
        <w:rPr>
          <w:szCs w:val="22"/>
          <w:lang w:val="sr-Latn-ME"/>
        </w:rPr>
        <w:t xml:space="preserve"> doze relebaktama izlučilo se urinom u </w:t>
      </w:r>
      <w:r w:rsidR="00D718CE" w:rsidRPr="00921789">
        <w:rPr>
          <w:szCs w:val="22"/>
          <w:lang w:val="sr-Latn-ME"/>
        </w:rPr>
        <w:t>nepromijenjenom</w:t>
      </w:r>
      <w:r w:rsidRPr="00921789">
        <w:rPr>
          <w:szCs w:val="22"/>
          <w:lang w:val="sr-Latn-ME"/>
        </w:rPr>
        <w:t xml:space="preserve"> obliku kod ljudi. Srednja </w:t>
      </w:r>
      <w:r w:rsidR="00D718CE" w:rsidRPr="00921789">
        <w:rPr>
          <w:szCs w:val="22"/>
          <w:lang w:val="sr-Latn-ME"/>
        </w:rPr>
        <w:t>vrijednost</w:t>
      </w:r>
      <w:r w:rsidRPr="00921789">
        <w:rPr>
          <w:szCs w:val="22"/>
          <w:lang w:val="sr-Latn-ME"/>
        </w:rPr>
        <w:t xml:space="preserve"> bubrežnog klirensa relebaktama iznosi 135 </w:t>
      </w:r>
      <w:r w:rsidR="007903A3" w:rsidRPr="00921789">
        <w:rPr>
          <w:szCs w:val="22"/>
          <w:lang w:val="sr-Latn-ME"/>
        </w:rPr>
        <w:t>ml</w:t>
      </w:r>
      <w:r w:rsidRPr="00921789">
        <w:rPr>
          <w:szCs w:val="22"/>
          <w:lang w:val="sr-Latn-ME"/>
        </w:rPr>
        <w:t xml:space="preserve">/min, što je slično plazmatskom klirensu (148 </w:t>
      </w:r>
      <w:r w:rsidR="007903A3" w:rsidRPr="00921789">
        <w:rPr>
          <w:szCs w:val="22"/>
          <w:lang w:val="sr-Latn-ME"/>
        </w:rPr>
        <w:t>ml</w:t>
      </w:r>
      <w:r w:rsidRPr="00921789">
        <w:rPr>
          <w:szCs w:val="22"/>
          <w:lang w:val="sr-Latn-ME"/>
        </w:rPr>
        <w:t>/min), dok to ukazuje da se relebaktam gotovo u potpunosti eliminiše putem bubrega. Bubrežni klirens nevezanog relebaktama veći je od brzine glomerularne filtracije, što ukazuje na to da u njegovoj bubrežnoj eliminaciji uz glomerularnu filtraciju učestvuje i aktivna tubularna sekrecija, koja čini ~ 30% ukupnog klirensa.</w:t>
      </w:r>
    </w:p>
    <w:p w14:paraId="3BD831C7" w14:textId="77777777" w:rsidR="00B94ED6" w:rsidRDefault="00B94ED6" w:rsidP="007B2A33">
      <w:pPr>
        <w:jc w:val="both"/>
        <w:rPr>
          <w:szCs w:val="22"/>
          <w:u w:val="single"/>
          <w:lang w:val="sr-Latn-ME"/>
        </w:rPr>
      </w:pPr>
    </w:p>
    <w:p w14:paraId="74A87684" w14:textId="77777777" w:rsidR="00B94ED6" w:rsidRDefault="00B94ED6" w:rsidP="007B2A33">
      <w:pPr>
        <w:jc w:val="both"/>
        <w:rPr>
          <w:szCs w:val="22"/>
          <w:u w:val="single"/>
          <w:lang w:val="sr-Latn-ME"/>
        </w:rPr>
      </w:pPr>
    </w:p>
    <w:p w14:paraId="172BFD83" w14:textId="0762CEE9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  <w:r w:rsidRPr="00921789">
        <w:rPr>
          <w:szCs w:val="22"/>
          <w:u w:val="single"/>
          <w:lang w:val="sr-Latn-ME"/>
        </w:rPr>
        <w:t>Linearnost/nelinearnost</w:t>
      </w:r>
    </w:p>
    <w:p w14:paraId="0DA95034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3376848D" w14:textId="7A506F63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>Farmakokinetika relebaktama linearna je u ispitivanom rasponu doza od 25 mg do 1150 mg nakon jednokratne intravenske prim</w:t>
      </w:r>
      <w:r w:rsidR="00D718CE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 xml:space="preserve">ene, kao i u ispitivanom rasponu doza od 50 mg do 625 mg nakon višestrukih intravenskih </w:t>
      </w:r>
      <w:r w:rsidR="0022431E" w:rsidRPr="00921789">
        <w:rPr>
          <w:szCs w:val="22"/>
          <w:lang w:val="sr-Latn-ME"/>
        </w:rPr>
        <w:t>primjena</w:t>
      </w:r>
      <w:r w:rsidRPr="00921789">
        <w:rPr>
          <w:szCs w:val="22"/>
          <w:lang w:val="sr-Latn-ME"/>
        </w:rPr>
        <w:t xml:space="preserve"> na svakih 6 sati tokom najviše 7 dana. Nakon višestrukih 30-minutnih intravenskih infuzija relebaktama (50 - 625 mg) </w:t>
      </w:r>
      <w:r w:rsidR="00D718CE" w:rsidRPr="00921789">
        <w:rPr>
          <w:szCs w:val="22"/>
          <w:lang w:val="sr-Latn-ME"/>
        </w:rPr>
        <w:t>primijenjenih</w:t>
      </w:r>
      <w:r w:rsidRPr="00921789">
        <w:rPr>
          <w:szCs w:val="22"/>
          <w:lang w:val="sr-Latn-ME"/>
        </w:rPr>
        <w:t xml:space="preserve"> isto</w:t>
      </w:r>
      <w:r w:rsidR="0022431E" w:rsidRPr="00921789">
        <w:rPr>
          <w:szCs w:val="22"/>
          <w:lang w:val="sr-Latn-ME"/>
        </w:rPr>
        <w:t>vreme</w:t>
      </w:r>
      <w:r w:rsidRPr="00921789">
        <w:rPr>
          <w:szCs w:val="22"/>
          <w:lang w:val="sr-Latn-ME"/>
        </w:rPr>
        <w:t xml:space="preserve">no sa 500 mg imipenema/500 mg cilastatina svakih 6 sati tokom najviše 7 dana u zdravih odraslih muškaraca sa normalnom funkcijom bubrega </w:t>
      </w:r>
      <w:r w:rsidR="008F7D2F" w:rsidRPr="00921789">
        <w:rPr>
          <w:szCs w:val="22"/>
          <w:lang w:val="sr-Latn-ME"/>
        </w:rPr>
        <w:t xml:space="preserve">primijećena </w:t>
      </w:r>
      <w:r w:rsidRPr="00921789">
        <w:rPr>
          <w:szCs w:val="22"/>
          <w:lang w:val="sr-Latn-ME"/>
        </w:rPr>
        <w:t>je minimalna akumulacija imipenema, cilastatina ili relebaktama.</w:t>
      </w:r>
    </w:p>
    <w:p w14:paraId="64C7EEC3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651F8B00" w14:textId="0798479A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  <w:r w:rsidRPr="00921789">
        <w:rPr>
          <w:szCs w:val="22"/>
          <w:u w:val="single"/>
          <w:lang w:val="sr-Latn-ME"/>
        </w:rPr>
        <w:lastRenderedPageBreak/>
        <w:t xml:space="preserve">Enzimi koji metabolišu </w:t>
      </w:r>
      <w:r w:rsidR="00D718CE" w:rsidRPr="00921789">
        <w:rPr>
          <w:szCs w:val="22"/>
          <w:u w:val="single"/>
          <w:lang w:val="sr-Latn-ME"/>
        </w:rPr>
        <w:t>l</w:t>
      </w:r>
      <w:r w:rsidR="0022431E" w:rsidRPr="00921789">
        <w:rPr>
          <w:szCs w:val="22"/>
          <w:u w:val="single"/>
          <w:lang w:val="sr-Latn-ME"/>
        </w:rPr>
        <w:t>je</w:t>
      </w:r>
      <w:r w:rsidR="00D718CE" w:rsidRPr="00921789">
        <w:rPr>
          <w:szCs w:val="22"/>
          <w:u w:val="single"/>
          <w:lang w:val="sr-Latn-ME"/>
        </w:rPr>
        <w:t>k</w:t>
      </w:r>
      <w:r w:rsidRPr="00921789">
        <w:rPr>
          <w:szCs w:val="22"/>
          <w:u w:val="single"/>
          <w:lang w:val="sr-Latn-ME"/>
        </w:rPr>
        <w:t>ove</w:t>
      </w:r>
    </w:p>
    <w:p w14:paraId="062468E1" w14:textId="77777777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</w:p>
    <w:p w14:paraId="3DD8261A" w14:textId="77FFA1DA" w:rsidR="00E17DF7" w:rsidRPr="00921789" w:rsidRDefault="007E1A5B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>Nijesu</w:t>
      </w:r>
      <w:r w:rsidR="00E17DF7" w:rsidRPr="00921789">
        <w:rPr>
          <w:szCs w:val="22"/>
          <w:lang w:val="sr-Latn-ME"/>
        </w:rPr>
        <w:t xml:space="preserve"> sprovedena ispitivanja kojima bi se proc</w:t>
      </w:r>
      <w:r w:rsidR="00D718CE" w:rsidRPr="00921789">
        <w:rPr>
          <w:szCs w:val="22"/>
          <w:lang w:val="sr-Latn-ME"/>
        </w:rPr>
        <w:t>ij</w:t>
      </w:r>
      <w:r w:rsidR="00E17DF7" w:rsidRPr="00921789">
        <w:rPr>
          <w:szCs w:val="22"/>
          <w:lang w:val="sr-Latn-ME"/>
        </w:rPr>
        <w:t>enio uticaj imipenema ili cilastatina na interakciju sa enzimima CYP450.</w:t>
      </w:r>
    </w:p>
    <w:p w14:paraId="283A8D49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694AFB30" w14:textId="53D57525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 xml:space="preserve">Relebaktam pri klinički značajnim koncentracijama ne inhibira CYP1A2, CYP2B6, CYP2C8, CYP2C9, CYP2C19, CYP2D6 ni CYP3A4 </w:t>
      </w:r>
      <w:r w:rsidRPr="00921789">
        <w:rPr>
          <w:i/>
          <w:szCs w:val="22"/>
          <w:lang w:val="sr-Latn-ME"/>
        </w:rPr>
        <w:t>in vitro</w:t>
      </w:r>
      <w:r w:rsidRPr="00921789">
        <w:rPr>
          <w:szCs w:val="22"/>
          <w:lang w:val="sr-Latn-ME"/>
        </w:rPr>
        <w:t xml:space="preserve"> u ljudskim mikrozomima jetre. Relebaktam nije pokazao potencijal za </w:t>
      </w:r>
      <w:r w:rsidRPr="00921789">
        <w:rPr>
          <w:i/>
          <w:szCs w:val="22"/>
          <w:lang w:val="sr-Latn-ME"/>
        </w:rPr>
        <w:t>in vitro</w:t>
      </w:r>
      <w:r w:rsidRPr="00921789">
        <w:rPr>
          <w:szCs w:val="22"/>
          <w:lang w:val="sr-Latn-ME"/>
        </w:rPr>
        <w:t xml:space="preserve"> indukovanje CYP1A2, CYP2B6 i CYP3A4 u hepatocitima kod ljudi. Stoga je mala v</w:t>
      </w:r>
      <w:r w:rsidR="00A46ACA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 xml:space="preserve">erovatnoća da će relebaktam uzrokovati klinički značajne interakcije sa drugim </w:t>
      </w:r>
      <w:r w:rsidR="007E1A5B" w:rsidRPr="00921789">
        <w:rPr>
          <w:szCs w:val="22"/>
          <w:lang w:val="sr-Latn-ME"/>
        </w:rPr>
        <w:t>lj</w:t>
      </w:r>
      <w:r w:rsidR="0022431E" w:rsidRPr="00921789">
        <w:rPr>
          <w:szCs w:val="22"/>
          <w:lang w:val="sr-Latn-ME"/>
        </w:rPr>
        <w:t>ekovi</w:t>
      </w:r>
      <w:r w:rsidRPr="00921789">
        <w:rPr>
          <w:szCs w:val="22"/>
          <w:lang w:val="sr-Latn-ME"/>
        </w:rPr>
        <w:t>ma u kojima posreduju CYP enzimi.</w:t>
      </w:r>
    </w:p>
    <w:p w14:paraId="7C936030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3CDE0607" w14:textId="1F9DE4B4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 xml:space="preserve">Imipenem, cilastatin i relebaktam izlučuju se primarno putem bubrega u </w:t>
      </w:r>
      <w:r w:rsidR="00D718CE" w:rsidRPr="00921789">
        <w:rPr>
          <w:szCs w:val="22"/>
          <w:lang w:val="sr-Latn-ME"/>
        </w:rPr>
        <w:t>nepromijenjenom</w:t>
      </w:r>
      <w:r w:rsidRPr="00921789">
        <w:rPr>
          <w:szCs w:val="22"/>
          <w:lang w:val="sr-Latn-ME"/>
        </w:rPr>
        <w:t xml:space="preserve"> obliku, dok je metabolizam sporedan put eliminacije. Stoga je mala verovatnoća da će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 xml:space="preserve"> RECARBRIO ući u interakciju sa drugim </w:t>
      </w:r>
      <w:r w:rsidR="007E1A5B" w:rsidRPr="00921789">
        <w:rPr>
          <w:szCs w:val="22"/>
          <w:lang w:val="sr-Latn-ME"/>
        </w:rPr>
        <w:t>ljekovi</w:t>
      </w:r>
      <w:r w:rsidRPr="00921789">
        <w:rPr>
          <w:szCs w:val="22"/>
          <w:lang w:val="sr-Latn-ME"/>
        </w:rPr>
        <w:t xml:space="preserve">ma kada se </w:t>
      </w:r>
      <w:r w:rsidR="00D718CE" w:rsidRPr="00921789">
        <w:rPr>
          <w:szCs w:val="22"/>
          <w:lang w:val="sr-Latn-ME"/>
        </w:rPr>
        <w:t>primjenjuje</w:t>
      </w:r>
      <w:r w:rsidRPr="00921789">
        <w:rPr>
          <w:szCs w:val="22"/>
          <w:lang w:val="sr-Latn-ME"/>
        </w:rPr>
        <w:t xml:space="preserve"> isto</w:t>
      </w:r>
      <w:r w:rsidR="0022431E" w:rsidRPr="00921789">
        <w:rPr>
          <w:szCs w:val="22"/>
          <w:lang w:val="sr-Latn-ME"/>
        </w:rPr>
        <w:t>vreme</w:t>
      </w:r>
      <w:r w:rsidRPr="00921789">
        <w:rPr>
          <w:szCs w:val="22"/>
          <w:lang w:val="sr-Latn-ME"/>
        </w:rPr>
        <w:t>no sa inhibitorima ili induktorima CYP enzima.</w:t>
      </w:r>
    </w:p>
    <w:p w14:paraId="2C9A064C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2BF05D97" w14:textId="77777777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  <w:r w:rsidRPr="00921789">
        <w:rPr>
          <w:szCs w:val="22"/>
          <w:u w:val="single"/>
          <w:lang w:val="sr-Latn-ME"/>
        </w:rPr>
        <w:t>Membranski transporteri</w:t>
      </w:r>
    </w:p>
    <w:p w14:paraId="3F432460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0DD74B66" w14:textId="77777777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 xml:space="preserve">Relebaktam pri klinički značajnim koncentracijama ne inhibira sledeće jetrene i bubrežne transportere </w:t>
      </w:r>
      <w:r w:rsidRPr="00921789">
        <w:rPr>
          <w:i/>
          <w:szCs w:val="22"/>
          <w:lang w:val="sr-Latn-ME"/>
        </w:rPr>
        <w:t>in vitro</w:t>
      </w:r>
      <w:r w:rsidRPr="00921789">
        <w:rPr>
          <w:szCs w:val="22"/>
          <w:lang w:val="sr-Latn-ME"/>
        </w:rPr>
        <w:t>: OATP1B1, OATP1B3, OAT1, OAT3, OCT2, P-gp, BCRP, MATE1, MATE2K ili BSEP.</w:t>
      </w:r>
    </w:p>
    <w:p w14:paraId="17743756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607BA952" w14:textId="0550103F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 xml:space="preserve">Relebaktam se aktivno izlučuje u urin. Nije supstrat OAT1, OCT2, P-gp, BCRP, MRP2 ni MRP4, ali je supstrat OAT3, OAT4, MATE1 i MATE2K transportera. Budući da aktivna tubularna sekrecija čini samo oko 30% ukupnog klirensa relebaktama, očekuje se da će njegova interakcija sa drugim </w:t>
      </w:r>
      <w:r w:rsidR="007E1A5B" w:rsidRPr="00921789">
        <w:rPr>
          <w:szCs w:val="22"/>
          <w:lang w:val="sr-Latn-ME"/>
        </w:rPr>
        <w:t>ljekovi</w:t>
      </w:r>
      <w:r w:rsidRPr="00921789">
        <w:rPr>
          <w:szCs w:val="22"/>
          <w:lang w:val="sr-Latn-ME"/>
        </w:rPr>
        <w:t xml:space="preserve">ma zbog inhibicije tubularnih transportera biti od minimalnog kliničkog značaja, što je potvrđeno kliničkim ispitivanjem interakcija između probenecida i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>a RECARBRIO (</w:t>
      </w:r>
      <w:r w:rsidR="00D718CE" w:rsidRPr="00921789">
        <w:rPr>
          <w:szCs w:val="22"/>
          <w:lang w:val="sr-Latn-ME"/>
        </w:rPr>
        <w:t>vidjeti</w:t>
      </w:r>
      <w:r w:rsidRPr="00921789">
        <w:rPr>
          <w:szCs w:val="22"/>
          <w:lang w:val="sr-Latn-ME"/>
        </w:rPr>
        <w:t xml:space="preserve"> </w:t>
      </w:r>
      <w:r w:rsidR="007B2A33" w:rsidRPr="00921789">
        <w:rPr>
          <w:szCs w:val="22"/>
          <w:lang w:val="sr-Latn-ME"/>
        </w:rPr>
        <w:t xml:space="preserve">dio </w:t>
      </w:r>
      <w:r w:rsidRPr="00921789">
        <w:rPr>
          <w:szCs w:val="22"/>
          <w:lang w:val="sr-Latn-ME"/>
        </w:rPr>
        <w:t>4.5).</w:t>
      </w:r>
    </w:p>
    <w:p w14:paraId="031B88C8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525B19E7" w14:textId="77777777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  <w:r w:rsidRPr="00921789">
        <w:rPr>
          <w:szCs w:val="22"/>
          <w:u w:val="single"/>
          <w:lang w:val="sr-Latn-ME"/>
        </w:rPr>
        <w:t>Posebne populacije</w:t>
      </w:r>
    </w:p>
    <w:p w14:paraId="0BFD8412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17C06628" w14:textId="77777777" w:rsidR="00E17DF7" w:rsidRPr="00921789" w:rsidRDefault="00E17DF7" w:rsidP="007B2A33">
      <w:pPr>
        <w:jc w:val="both"/>
        <w:rPr>
          <w:i/>
          <w:szCs w:val="22"/>
          <w:u w:val="single"/>
          <w:lang w:val="sr-Latn-ME"/>
        </w:rPr>
      </w:pPr>
      <w:r w:rsidRPr="00921789">
        <w:rPr>
          <w:i/>
          <w:szCs w:val="22"/>
          <w:u w:val="single"/>
          <w:lang w:val="sr-Latn-ME"/>
        </w:rPr>
        <w:t>Oštećenje funkcije bubrega</w:t>
      </w:r>
    </w:p>
    <w:p w14:paraId="4B1BC82C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03DB304E" w14:textId="35B11430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>U kliničkom farmakokinetičkom ispitivanju i populacionoj farmakokinetičkoj analizi prim</w:t>
      </w:r>
      <w:r w:rsidR="008F7D2F" w:rsidRPr="00921789">
        <w:rPr>
          <w:szCs w:val="22"/>
          <w:lang w:val="sr-Latn-ME"/>
        </w:rPr>
        <w:t>ij</w:t>
      </w:r>
      <w:r w:rsidRPr="00921789">
        <w:rPr>
          <w:szCs w:val="22"/>
          <w:lang w:val="sr-Latn-ME"/>
        </w:rPr>
        <w:t>ećene su klinički značajne razlike pri izloženosti (PIK) imipenemu, cilastatinu i relebaktamu s obzirom na stepen oštećenja funkcije bubrega.</w:t>
      </w:r>
    </w:p>
    <w:p w14:paraId="0AD8DE88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3CDDB1BE" w14:textId="151B259F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 xml:space="preserve">U kliničkom ispitivanju su geometrijske srednje </w:t>
      </w:r>
      <w:r w:rsidR="00D718CE" w:rsidRPr="00921789">
        <w:rPr>
          <w:szCs w:val="22"/>
          <w:lang w:val="sr-Latn-ME"/>
        </w:rPr>
        <w:t>vrijednost</w:t>
      </w:r>
      <w:r w:rsidRPr="00921789">
        <w:rPr>
          <w:szCs w:val="22"/>
          <w:lang w:val="sr-Latn-ME"/>
        </w:rPr>
        <w:t xml:space="preserve">i PIK-a imipenema u poređenju sa zdravim ispitanicima sa normalnom funkcijom bubrega bile do 1,4 puta veće kod pacijenata sa blagim oštećenjem funkcije bubrega, 1,5 puta veće kod pacijenata sa umerenim oštećenjem funkcije bubrega i 2,5 puta veće kod pacijenata sa teškim oštećenjem funkcije bubrega. Geometrijske srednje </w:t>
      </w:r>
      <w:r w:rsidR="00D718CE" w:rsidRPr="00921789">
        <w:rPr>
          <w:szCs w:val="22"/>
          <w:lang w:val="sr-Latn-ME"/>
        </w:rPr>
        <w:t>vrijednost</w:t>
      </w:r>
      <w:r w:rsidRPr="00921789">
        <w:rPr>
          <w:szCs w:val="22"/>
          <w:lang w:val="sr-Latn-ME"/>
        </w:rPr>
        <w:t>i PIK-a cilastatina u poređenju sa zdravim ispitanicima sa normalnom funkcijom bubrega bile su do 1,6 puta veće kod pacijenata sa blagim, 1,9 puta veće kod pacijenata sa um</w:t>
      </w:r>
      <w:r w:rsidR="00D718CE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 xml:space="preserve">erenim, odnosno 5,6 puta veće kod pacijenata sa teškim oštećenjem funkcije bubrega. Geometrijske srednje </w:t>
      </w:r>
      <w:r w:rsidR="00D718CE" w:rsidRPr="00921789">
        <w:rPr>
          <w:szCs w:val="22"/>
          <w:lang w:val="sr-Latn-ME"/>
        </w:rPr>
        <w:t>vrijednost</w:t>
      </w:r>
      <w:r w:rsidRPr="00921789">
        <w:rPr>
          <w:szCs w:val="22"/>
          <w:lang w:val="sr-Latn-ME"/>
        </w:rPr>
        <w:t>i PIK-a relebaktama u poređenju sa zdravim ispitanicima sa normalnom funkcijom bubrega bile su do 1,6 puta veće kod ispitanika sa blagim, 2,2 puta veće kod ispitanika sa um</w:t>
      </w:r>
      <w:r w:rsidR="00A46ACA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 xml:space="preserve">erenim, odnosno 4,9 puta veće kod ispitanika sa teškim oštećenjem funkcije bubrega. Kod ispitanika u završnom stadijumu bubrežne bolesti (engl. </w:t>
      </w:r>
      <w:r w:rsidRPr="00921789">
        <w:rPr>
          <w:i/>
          <w:szCs w:val="22"/>
          <w:lang w:val="sr-Latn-ME"/>
        </w:rPr>
        <w:t xml:space="preserve">End Stage Renal Disease, </w:t>
      </w:r>
      <w:r w:rsidRPr="00921789">
        <w:rPr>
          <w:szCs w:val="22"/>
          <w:lang w:val="sr-Latn-ME"/>
        </w:rPr>
        <w:t>ESRD) na hemodijalizi, imipenem, cilastatin i relebaktam efikasno su se uklanjali hemodijalizom.</w:t>
      </w:r>
    </w:p>
    <w:p w14:paraId="1FF8918E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1DF4ABA9" w14:textId="031972E6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lastRenderedPageBreak/>
        <w:t xml:space="preserve">Da bi se sistemska izloženost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 xml:space="preserve">u održala na nivou sličnom onom kao kod pacijenata sa normalnom funkcijom bubrega, preporučuje se prilagođavanje doze kod pacijenata sa oštećenjem funkcije bubrega. Pacijenti u završnom stadijumu bubrežne bolesti na hemodijalizi treba da prime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 xml:space="preserve"> RECARBRIO nakon hemodijalize (</w:t>
      </w:r>
      <w:r w:rsidR="00D718CE" w:rsidRPr="00921789">
        <w:rPr>
          <w:szCs w:val="22"/>
          <w:lang w:val="sr-Latn-ME"/>
        </w:rPr>
        <w:t>vidjeti</w:t>
      </w:r>
      <w:r w:rsidRPr="00921789">
        <w:rPr>
          <w:szCs w:val="22"/>
          <w:lang w:val="sr-Latn-ME"/>
        </w:rPr>
        <w:t xml:space="preserve"> </w:t>
      </w:r>
      <w:r w:rsidR="007B2A33" w:rsidRPr="00921789">
        <w:rPr>
          <w:szCs w:val="22"/>
          <w:lang w:val="sr-Latn-ME"/>
        </w:rPr>
        <w:t xml:space="preserve">dio </w:t>
      </w:r>
      <w:r w:rsidRPr="00921789">
        <w:rPr>
          <w:szCs w:val="22"/>
          <w:lang w:val="sr-Latn-ME"/>
        </w:rPr>
        <w:t>4.2).</w:t>
      </w:r>
    </w:p>
    <w:p w14:paraId="4E6A3947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5C242C30" w14:textId="77777777" w:rsidR="00E17DF7" w:rsidRPr="00921789" w:rsidRDefault="00E17DF7" w:rsidP="007B2A33">
      <w:pPr>
        <w:jc w:val="both"/>
        <w:rPr>
          <w:i/>
          <w:szCs w:val="22"/>
          <w:u w:val="single"/>
          <w:lang w:val="sr-Latn-ME"/>
        </w:rPr>
      </w:pPr>
      <w:r w:rsidRPr="00921789">
        <w:rPr>
          <w:i/>
          <w:szCs w:val="22"/>
          <w:u w:val="single"/>
          <w:lang w:val="sr-Latn-ME"/>
        </w:rPr>
        <w:t>Oštećenje funkcije jetre</w:t>
      </w:r>
    </w:p>
    <w:p w14:paraId="72C00DA5" w14:textId="77777777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</w:p>
    <w:p w14:paraId="4CD85579" w14:textId="42DBE0C1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>Imipenem, cilastatin i relebaktam primarno se izlučuju putem bubrega; stoga, nije v</w:t>
      </w:r>
      <w:r w:rsidR="0022431E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 xml:space="preserve">erovatno da će oštećenje funkcije jetre imati uticaj na izloženost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>u RECARBRIO (</w:t>
      </w:r>
      <w:r w:rsidR="00D718CE" w:rsidRPr="00921789">
        <w:rPr>
          <w:szCs w:val="22"/>
          <w:lang w:val="sr-Latn-ME"/>
        </w:rPr>
        <w:t>vidjeti</w:t>
      </w:r>
      <w:r w:rsidRPr="00921789">
        <w:rPr>
          <w:szCs w:val="22"/>
          <w:lang w:val="sr-Latn-ME"/>
        </w:rPr>
        <w:t xml:space="preserve"> </w:t>
      </w:r>
      <w:r w:rsidR="007B2A33" w:rsidRPr="00921789">
        <w:rPr>
          <w:szCs w:val="22"/>
          <w:lang w:val="sr-Latn-ME"/>
        </w:rPr>
        <w:t xml:space="preserve">dio </w:t>
      </w:r>
      <w:r w:rsidRPr="00921789">
        <w:rPr>
          <w:szCs w:val="22"/>
          <w:lang w:val="sr-Latn-ME"/>
        </w:rPr>
        <w:t>4.2).</w:t>
      </w:r>
    </w:p>
    <w:p w14:paraId="2253D767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057B5919" w14:textId="77777777" w:rsidR="00E17DF7" w:rsidRPr="00921789" w:rsidRDefault="00E17DF7" w:rsidP="007B2A33">
      <w:pPr>
        <w:jc w:val="both"/>
        <w:rPr>
          <w:i/>
          <w:szCs w:val="22"/>
          <w:u w:val="single"/>
          <w:lang w:val="sr-Latn-ME"/>
        </w:rPr>
      </w:pPr>
      <w:r w:rsidRPr="00921789">
        <w:rPr>
          <w:i/>
          <w:szCs w:val="22"/>
          <w:u w:val="single"/>
          <w:lang w:val="sr-Latn-ME"/>
        </w:rPr>
        <w:t>Starije osobe/pol</w:t>
      </w:r>
    </w:p>
    <w:p w14:paraId="6815BCEA" w14:textId="77777777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</w:p>
    <w:p w14:paraId="24FD5CFD" w14:textId="6B56CA4D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>U ispitivanju prim</w:t>
      </w:r>
      <w:r w:rsidR="0022431E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 xml:space="preserve">ene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 xml:space="preserve">a kod starijih osoba/osoba različitog pola i u populacionoj farmakokinetičkoj analizi </w:t>
      </w:r>
      <w:r w:rsidR="007E1A5B" w:rsidRPr="00921789">
        <w:rPr>
          <w:szCs w:val="22"/>
          <w:lang w:val="sr-Latn-ME"/>
        </w:rPr>
        <w:t>nijesu</w:t>
      </w:r>
      <w:r w:rsidRPr="00921789">
        <w:rPr>
          <w:szCs w:val="22"/>
          <w:lang w:val="sr-Latn-ME"/>
        </w:rPr>
        <w:t xml:space="preserve"> prim</w:t>
      </w:r>
      <w:r w:rsidR="00D718CE" w:rsidRPr="00921789">
        <w:rPr>
          <w:szCs w:val="22"/>
          <w:lang w:val="sr-Latn-ME"/>
        </w:rPr>
        <w:t>ij</w:t>
      </w:r>
      <w:r w:rsidRPr="00921789">
        <w:rPr>
          <w:szCs w:val="22"/>
          <w:lang w:val="sr-Latn-ME"/>
        </w:rPr>
        <w:t>ećene klinički značajne razlike u izloženosti (PIK) imipenemu, cilastatinu i relebaktamu s obzirom na uzrast ili pol, izuzevši uticaj funkcije bubrega (</w:t>
      </w:r>
      <w:r w:rsidR="00D718CE" w:rsidRPr="00921789">
        <w:rPr>
          <w:szCs w:val="22"/>
          <w:lang w:val="sr-Latn-ME"/>
        </w:rPr>
        <w:t>vidjeti</w:t>
      </w:r>
      <w:r w:rsidRPr="00921789">
        <w:rPr>
          <w:szCs w:val="22"/>
          <w:lang w:val="sr-Latn-ME"/>
        </w:rPr>
        <w:t xml:space="preserve"> </w:t>
      </w:r>
      <w:r w:rsidR="007B2A33" w:rsidRPr="00921789">
        <w:rPr>
          <w:szCs w:val="22"/>
          <w:lang w:val="sr-Latn-ME"/>
        </w:rPr>
        <w:t xml:space="preserve">dio </w:t>
      </w:r>
      <w:r w:rsidRPr="00921789">
        <w:rPr>
          <w:szCs w:val="22"/>
          <w:lang w:val="sr-Latn-ME"/>
        </w:rPr>
        <w:t>4.2).</w:t>
      </w:r>
    </w:p>
    <w:p w14:paraId="26E512AE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3D0A5C9A" w14:textId="77777777" w:rsidR="00E17DF7" w:rsidRPr="00921789" w:rsidRDefault="00E17DF7" w:rsidP="007B2A33">
      <w:pPr>
        <w:jc w:val="both"/>
        <w:rPr>
          <w:i/>
          <w:szCs w:val="22"/>
          <w:u w:val="single"/>
          <w:lang w:val="sr-Latn-ME"/>
        </w:rPr>
      </w:pPr>
      <w:r w:rsidRPr="00921789">
        <w:rPr>
          <w:i/>
          <w:szCs w:val="22"/>
          <w:u w:val="single"/>
          <w:lang w:val="sr-Latn-ME"/>
        </w:rPr>
        <w:t>Rasa</w:t>
      </w:r>
    </w:p>
    <w:p w14:paraId="518F4D0C" w14:textId="77777777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</w:p>
    <w:p w14:paraId="018B9BAE" w14:textId="382A6A5D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 xml:space="preserve">U kliničkim ispitivanjima učestvovao je samo ograničen broj pacijenata koji </w:t>
      </w:r>
      <w:r w:rsidR="007E1A5B" w:rsidRPr="00921789">
        <w:rPr>
          <w:szCs w:val="22"/>
          <w:lang w:val="sr-Latn-ME"/>
        </w:rPr>
        <w:t>nijesu</w:t>
      </w:r>
      <w:r w:rsidRPr="00921789">
        <w:rPr>
          <w:szCs w:val="22"/>
          <w:lang w:val="sr-Latn-ME"/>
        </w:rPr>
        <w:t xml:space="preserve"> bili b</w:t>
      </w:r>
      <w:r w:rsidR="00D718CE" w:rsidRPr="00921789">
        <w:rPr>
          <w:szCs w:val="22"/>
          <w:lang w:val="sr-Latn-ME"/>
        </w:rPr>
        <w:t>ij</w:t>
      </w:r>
      <w:r w:rsidRPr="00921789">
        <w:rPr>
          <w:szCs w:val="22"/>
          <w:lang w:val="sr-Latn-ME"/>
        </w:rPr>
        <w:t>ele rase, međutim značajan uticaj rase na farmakokinetiku imipenema, cilastatina i relebaktama se ne očekuje.</w:t>
      </w:r>
    </w:p>
    <w:p w14:paraId="3C571B20" w14:textId="77777777" w:rsidR="00E17DF7" w:rsidRPr="00921789" w:rsidRDefault="00E17DF7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70" w14:textId="77777777" w:rsidR="0072020E" w:rsidRPr="00921789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21789">
        <w:rPr>
          <w:b/>
          <w:bCs/>
          <w:sz w:val="22"/>
          <w:szCs w:val="22"/>
          <w:lang w:val="sr-Latn-ME"/>
        </w:rPr>
        <w:t xml:space="preserve">5.3. </w:t>
      </w:r>
      <w:r w:rsidR="00480FB1" w:rsidRPr="00921789">
        <w:rPr>
          <w:b/>
          <w:bCs/>
          <w:sz w:val="22"/>
          <w:szCs w:val="22"/>
          <w:lang w:val="sr-Latn-ME"/>
        </w:rPr>
        <w:tab/>
      </w:r>
      <w:r w:rsidRPr="00921789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5D9AC371" w14:textId="22D5C1F5" w:rsidR="00836B35" w:rsidRPr="00921789" w:rsidRDefault="00836B35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F173DF" w14:textId="77777777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  <w:r w:rsidRPr="00921789">
        <w:rPr>
          <w:szCs w:val="22"/>
          <w:u w:val="single"/>
          <w:lang w:val="sr-Latn-ME"/>
        </w:rPr>
        <w:t>Imipenem/cilastatin</w:t>
      </w:r>
    </w:p>
    <w:p w14:paraId="0FF72E9F" w14:textId="77777777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</w:p>
    <w:p w14:paraId="18C43FF0" w14:textId="6EF15786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 xml:space="preserve">Pretklinički podaci dobijeni na osnovu konvencionalnih studija </w:t>
      </w:r>
      <w:r w:rsidR="0022431E" w:rsidRPr="00921789">
        <w:rPr>
          <w:szCs w:val="22"/>
          <w:lang w:val="sr-Latn-ME"/>
        </w:rPr>
        <w:t>bezbjednosne</w:t>
      </w:r>
      <w:r w:rsidRPr="00921789">
        <w:rPr>
          <w:szCs w:val="22"/>
          <w:lang w:val="sr-Latn-ME"/>
        </w:rPr>
        <w:t xml:space="preserve"> farmakologije, toksičnosti ponovljenih doza i genotoksičnosti, ne ukazuju na poseban rizik pri prim</w:t>
      </w:r>
      <w:r w:rsidR="00D718CE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 xml:space="preserve">eni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>a kod ljudi.</w:t>
      </w:r>
    </w:p>
    <w:p w14:paraId="3BD59A2D" w14:textId="1911860C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 xml:space="preserve">Ispitivanja na životinjama pokazala su da je toksičnost imipenema, kao zasebnog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>a, bila ograničena na bubrege. Isto</w:t>
      </w:r>
      <w:r w:rsidR="00D718CE" w:rsidRPr="00921789">
        <w:rPr>
          <w:szCs w:val="22"/>
          <w:lang w:val="sr-Latn-ME"/>
        </w:rPr>
        <w:t>vremena</w:t>
      </w:r>
      <w:r w:rsidRPr="00921789">
        <w:rPr>
          <w:szCs w:val="22"/>
          <w:lang w:val="sr-Latn-ME"/>
        </w:rPr>
        <w:t xml:space="preserve"> prim</w:t>
      </w:r>
      <w:r w:rsidR="00D718CE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>ena cilastatina i imipenema u odnosu 1:1 spr</w:t>
      </w:r>
      <w:r w:rsidR="00D718CE" w:rsidRPr="00921789">
        <w:rPr>
          <w:szCs w:val="22"/>
          <w:lang w:val="sr-Latn-ME"/>
        </w:rPr>
        <w:t>ij</w:t>
      </w:r>
      <w:r w:rsidRPr="00921789">
        <w:rPr>
          <w:szCs w:val="22"/>
          <w:lang w:val="sr-Latn-ME"/>
        </w:rPr>
        <w:t>ečila je nefrotoksična dejstva imipenema kod kunića i majmuna. Dostupni dokazi ukazuju na to da cilastatin spr</w:t>
      </w:r>
      <w:r w:rsidR="00F965BC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>ečava nefrotoksičnost tako što onemogućuje ulazak imipenema u tubularne ćelije.</w:t>
      </w:r>
    </w:p>
    <w:p w14:paraId="0C888ED6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6DDC5D17" w14:textId="46247887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>Ispitivanje teratogenosti na skotnim ženkama makaki majmuna kojima je prim</w:t>
      </w:r>
      <w:r w:rsidR="00D718CE" w:rsidRPr="00921789">
        <w:rPr>
          <w:szCs w:val="22"/>
          <w:lang w:val="sr-Latn-ME"/>
        </w:rPr>
        <w:t>ij</w:t>
      </w:r>
      <w:r w:rsidRPr="00921789">
        <w:rPr>
          <w:szCs w:val="22"/>
          <w:lang w:val="sr-Latn-ME"/>
        </w:rPr>
        <w:t>enjen imipenem/cilastatin-natrijum u dozama od 40/40 mg/kg/dan (bolusnom intravenskom injekcijom) rezultiralo je toksičnošću za majku, koja je uključivala emezu, gubitak apetita, smanjenje t</w:t>
      </w:r>
      <w:r w:rsidR="00D718CE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>elesne mase, dijareju, gubitak ploda, a u nekim slučajevima i smrt. Kada su se skotnim ženkama makaki majmuna prim</w:t>
      </w:r>
      <w:r w:rsidR="0022431E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 xml:space="preserve">enjivale doze imipenema/cilastatin-natrijuma (približno 100/100 mg/kg/dan ili doze približno trostruko više od preporučene dnevne intravenske doze kod ljudi) intravenskom infuzijom brzinom koja je oponašala onu kod kliničke primene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>a kod ljudi, prim</w:t>
      </w:r>
      <w:r w:rsidR="00D718CE" w:rsidRPr="00921789">
        <w:rPr>
          <w:szCs w:val="22"/>
          <w:lang w:val="sr-Latn-ME"/>
        </w:rPr>
        <w:t>ij</w:t>
      </w:r>
      <w:r w:rsidRPr="00921789">
        <w:rPr>
          <w:szCs w:val="22"/>
          <w:lang w:val="sr-Latn-ME"/>
        </w:rPr>
        <w:t>ećena je minimalna nepodnošljivost kod majke (po</w:t>
      </w:r>
      <w:r w:rsidR="00D718CE" w:rsidRPr="00921789">
        <w:rPr>
          <w:szCs w:val="22"/>
          <w:lang w:val="sr-Latn-ME"/>
        </w:rPr>
        <w:t>vremena</w:t>
      </w:r>
      <w:r w:rsidRPr="00921789">
        <w:rPr>
          <w:szCs w:val="22"/>
          <w:lang w:val="sr-Latn-ME"/>
        </w:rPr>
        <w:t xml:space="preserve"> emeza), nijedan slučaj smrti majke i nijedan dokaz teratogenosti, ali je zab</w:t>
      </w:r>
      <w:r w:rsidR="00D718CE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>eleženo povećanje stope gubitka embriona u poređenju sa kontrolnom grupom (</w:t>
      </w:r>
      <w:r w:rsidR="00D718CE" w:rsidRPr="00921789">
        <w:rPr>
          <w:szCs w:val="22"/>
          <w:lang w:val="sr-Latn-ME"/>
        </w:rPr>
        <w:t>vidjeti</w:t>
      </w:r>
      <w:r w:rsidRPr="00921789">
        <w:rPr>
          <w:szCs w:val="22"/>
          <w:lang w:val="sr-Latn-ME"/>
        </w:rPr>
        <w:t xml:space="preserve"> </w:t>
      </w:r>
      <w:r w:rsidR="007B2A33" w:rsidRPr="00921789">
        <w:rPr>
          <w:szCs w:val="22"/>
          <w:lang w:val="sr-Latn-ME"/>
        </w:rPr>
        <w:t xml:space="preserve">dio </w:t>
      </w:r>
      <w:r w:rsidRPr="00921789">
        <w:rPr>
          <w:szCs w:val="22"/>
          <w:lang w:val="sr-Latn-ME"/>
        </w:rPr>
        <w:t>4.6).</w:t>
      </w:r>
    </w:p>
    <w:p w14:paraId="39EC21C8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32D8DB2F" w14:textId="7C02B4FE" w:rsidR="00E17DF7" w:rsidRPr="00921789" w:rsidRDefault="007E1A5B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>Nijesu</w:t>
      </w:r>
      <w:r w:rsidR="00E17DF7" w:rsidRPr="00921789">
        <w:rPr>
          <w:szCs w:val="22"/>
          <w:lang w:val="sr-Latn-ME"/>
        </w:rPr>
        <w:t xml:space="preserve"> sprovedena dugotrajna ispitivanja na životinjama kojima bi se proc</w:t>
      </w:r>
      <w:r w:rsidR="00D718CE" w:rsidRPr="00921789">
        <w:rPr>
          <w:szCs w:val="22"/>
          <w:lang w:val="sr-Latn-ME"/>
        </w:rPr>
        <w:t>ij</w:t>
      </w:r>
      <w:r w:rsidR="00E17DF7" w:rsidRPr="00921789">
        <w:rPr>
          <w:szCs w:val="22"/>
          <w:lang w:val="sr-Latn-ME"/>
        </w:rPr>
        <w:t>enio karcinogeni potencijal imipenema/cilastatina.</w:t>
      </w:r>
    </w:p>
    <w:p w14:paraId="445D78A2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50E9C188" w14:textId="77777777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  <w:r w:rsidRPr="00921789">
        <w:rPr>
          <w:szCs w:val="22"/>
          <w:u w:val="single"/>
          <w:lang w:val="sr-Latn-ME"/>
        </w:rPr>
        <w:t>Relebaktam</w:t>
      </w:r>
    </w:p>
    <w:p w14:paraId="32B260B7" w14:textId="77777777" w:rsidR="00E17DF7" w:rsidRPr="00921789" w:rsidRDefault="00E17DF7" w:rsidP="007B2A33">
      <w:pPr>
        <w:jc w:val="both"/>
        <w:rPr>
          <w:szCs w:val="22"/>
          <w:u w:val="single"/>
          <w:lang w:val="sr-Latn-ME"/>
        </w:rPr>
      </w:pPr>
    </w:p>
    <w:p w14:paraId="00350BF3" w14:textId="0EE676BA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lastRenderedPageBreak/>
        <w:t>Pretklinički podaci dobijeni na osnovu konvencionalnih studija bezb</w:t>
      </w:r>
      <w:r w:rsidR="0022431E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>ednosne farmakologije, toksičnosti ponovljenih doza, reproduktivne toksičnosti ili genotoksičnosti, ne ukazuju na poseban rizik pri prim</w:t>
      </w:r>
      <w:r w:rsidR="00A46ACA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 xml:space="preserve">eni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>a kod ljudi.</w:t>
      </w:r>
    </w:p>
    <w:p w14:paraId="0E1816FD" w14:textId="3A657A30" w:rsidR="00E17DF7" w:rsidRPr="00921789" w:rsidRDefault="007E1A5B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>Nijesu</w:t>
      </w:r>
      <w:r w:rsidR="00E17DF7" w:rsidRPr="00921789">
        <w:rPr>
          <w:szCs w:val="22"/>
          <w:lang w:val="sr-Latn-ME"/>
        </w:rPr>
        <w:t xml:space="preserve"> sprovedena ispitivanja karcinogenosti relebaktama.</w:t>
      </w:r>
    </w:p>
    <w:p w14:paraId="4D3693BF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41CED232" w14:textId="72B912D9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>Relebaktam koji se intravenski prim</w:t>
      </w:r>
      <w:r w:rsidR="00D718CE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 xml:space="preserve">enjivao ženkama pacova u laktaciji u dozi od 450 mg/kg/dan (od 6. dana gestacije (GD 6) do 14. dana nakon okota (LD14)) izlučivao se u </w:t>
      </w:r>
      <w:r w:rsidR="007903A3" w:rsidRPr="00921789">
        <w:rPr>
          <w:szCs w:val="22"/>
          <w:lang w:val="sr-Latn-ME"/>
        </w:rPr>
        <w:t>ml</w:t>
      </w:r>
      <w:r w:rsidR="00D718CE" w:rsidRPr="00921789">
        <w:rPr>
          <w:szCs w:val="22"/>
          <w:lang w:val="sr-Latn-ME"/>
        </w:rPr>
        <w:t>ijek</w:t>
      </w:r>
      <w:r w:rsidRPr="00921789">
        <w:rPr>
          <w:szCs w:val="22"/>
          <w:lang w:val="sr-Latn-ME"/>
        </w:rPr>
        <w:t xml:space="preserve">o u koncentraciji koja je iznosila približno 5% koncentracije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>a u majčinoj plazmi.</w:t>
      </w:r>
    </w:p>
    <w:p w14:paraId="3662A2FA" w14:textId="77777777" w:rsidR="00E17DF7" w:rsidRPr="00921789" w:rsidRDefault="00E17DF7" w:rsidP="007B2A33">
      <w:pPr>
        <w:jc w:val="both"/>
        <w:rPr>
          <w:szCs w:val="22"/>
          <w:lang w:val="sr-Latn-ME"/>
        </w:rPr>
      </w:pPr>
    </w:p>
    <w:p w14:paraId="0113305C" w14:textId="4F2E4FB3" w:rsidR="00E17DF7" w:rsidRPr="00921789" w:rsidRDefault="00E17DF7" w:rsidP="007B2A33">
      <w:pPr>
        <w:jc w:val="both"/>
        <w:rPr>
          <w:szCs w:val="22"/>
          <w:lang w:val="sr-Latn-ME"/>
        </w:rPr>
      </w:pPr>
      <w:r w:rsidRPr="00921789">
        <w:rPr>
          <w:szCs w:val="22"/>
          <w:lang w:val="sr-Latn-ME"/>
        </w:rPr>
        <w:t>Ispitivanja na životinjama pokazuju da je relebaktam, prim</w:t>
      </w:r>
      <w:r w:rsidR="00D718CE" w:rsidRPr="00921789">
        <w:rPr>
          <w:szCs w:val="22"/>
          <w:lang w:val="sr-Latn-ME"/>
        </w:rPr>
        <w:t>ij</w:t>
      </w:r>
      <w:r w:rsidRPr="00921789">
        <w:rPr>
          <w:szCs w:val="22"/>
          <w:lang w:val="sr-Latn-ME"/>
        </w:rPr>
        <w:t xml:space="preserve">enjen kao zaseban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>, uzrokovao bubrežnu tubularnu degeneraciju kod majmuna pri PIK izloženosti 7 puta većoj od PIK izloženosti kod ljudi nakon prim</w:t>
      </w:r>
      <w:r w:rsidR="00D718CE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>ene maksimalne preporučene doze kod ljudi. Pokazalo se da je bubrežna tubularna degeneracija reverzibilna nakon prekida prim</w:t>
      </w:r>
      <w:r w:rsidR="007E1A5B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 xml:space="preserve">ene </w:t>
      </w:r>
      <w:r w:rsidR="00D718CE" w:rsidRPr="00921789">
        <w:rPr>
          <w:szCs w:val="22"/>
          <w:lang w:val="sr-Latn-ME"/>
        </w:rPr>
        <w:t>lijek</w:t>
      </w:r>
      <w:r w:rsidRPr="00921789">
        <w:rPr>
          <w:szCs w:val="22"/>
          <w:lang w:val="sr-Latn-ME"/>
        </w:rPr>
        <w:t>a. N</w:t>
      </w:r>
      <w:r w:rsidR="007E1A5B" w:rsidRPr="00921789">
        <w:rPr>
          <w:szCs w:val="22"/>
          <w:lang w:val="sr-Latn-ME"/>
        </w:rPr>
        <w:t>ije</w:t>
      </w:r>
      <w:r w:rsidRPr="00921789">
        <w:rPr>
          <w:szCs w:val="22"/>
          <w:lang w:val="sr-Latn-ME"/>
        </w:rPr>
        <w:t>su utvrđeni dokazi nefrotoksičnosti pri PIK izloženosti koja je manja ili jednaka 3 puta većoj od PIK izloženosti kod ljudi nakon prim</w:t>
      </w:r>
      <w:r w:rsidR="007E1A5B" w:rsidRPr="00921789">
        <w:rPr>
          <w:szCs w:val="22"/>
          <w:lang w:val="sr-Latn-ME"/>
        </w:rPr>
        <w:t>j</w:t>
      </w:r>
      <w:r w:rsidRPr="00921789">
        <w:rPr>
          <w:szCs w:val="22"/>
          <w:lang w:val="sr-Latn-ME"/>
        </w:rPr>
        <w:t>ene maksimalne preporučene doze kod ljudi.</w:t>
      </w:r>
    </w:p>
    <w:p w14:paraId="5D9AC372" w14:textId="68D798B4" w:rsidR="00396DFD" w:rsidRDefault="00396DFD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20A1712" w14:textId="77777777" w:rsidR="00B94ED6" w:rsidRPr="00A51E5C" w:rsidRDefault="00B94ED6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9AC373" w14:textId="77777777" w:rsidR="0072020E" w:rsidRPr="00A51E5C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51E5C">
        <w:rPr>
          <w:b/>
          <w:bCs/>
          <w:sz w:val="22"/>
          <w:szCs w:val="22"/>
          <w:lang w:val="sr-Latn-ME"/>
        </w:rPr>
        <w:t xml:space="preserve">6. </w:t>
      </w:r>
      <w:r w:rsidR="00480FB1" w:rsidRPr="00A51E5C">
        <w:rPr>
          <w:b/>
          <w:bCs/>
          <w:sz w:val="22"/>
          <w:szCs w:val="22"/>
          <w:lang w:val="sr-Latn-ME"/>
        </w:rPr>
        <w:tab/>
      </w:r>
      <w:r w:rsidRPr="00A51E5C">
        <w:rPr>
          <w:b/>
          <w:bCs/>
          <w:sz w:val="22"/>
          <w:szCs w:val="22"/>
          <w:lang w:val="sr-Latn-ME"/>
        </w:rPr>
        <w:t>FARMACEUTSKI PODACI</w:t>
      </w:r>
    </w:p>
    <w:p w14:paraId="5D9AC374" w14:textId="77777777" w:rsidR="00836B35" w:rsidRPr="00A51E5C" w:rsidRDefault="00836B35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75" w14:textId="77777777" w:rsidR="0072020E" w:rsidRPr="00A51E5C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51E5C">
        <w:rPr>
          <w:b/>
          <w:bCs/>
          <w:sz w:val="22"/>
          <w:szCs w:val="22"/>
          <w:lang w:val="sr-Latn-ME"/>
        </w:rPr>
        <w:t xml:space="preserve">6.1. </w:t>
      </w:r>
      <w:r w:rsidR="00480FB1" w:rsidRPr="00A51E5C">
        <w:rPr>
          <w:b/>
          <w:bCs/>
          <w:sz w:val="22"/>
          <w:szCs w:val="22"/>
          <w:lang w:val="sr-Latn-ME"/>
        </w:rPr>
        <w:tab/>
      </w:r>
      <w:r w:rsidRPr="00A51E5C">
        <w:rPr>
          <w:b/>
          <w:bCs/>
          <w:sz w:val="22"/>
          <w:szCs w:val="22"/>
          <w:lang w:val="sr-Latn-ME"/>
        </w:rPr>
        <w:t>Lista pomoćnih supstanci</w:t>
      </w:r>
      <w:r w:rsidR="002E0135" w:rsidRPr="00A51E5C">
        <w:rPr>
          <w:b/>
          <w:bCs/>
          <w:sz w:val="22"/>
          <w:szCs w:val="22"/>
          <w:lang w:val="sr-Latn-ME"/>
        </w:rPr>
        <w:t xml:space="preserve"> (ekscipijenasa)</w:t>
      </w:r>
    </w:p>
    <w:p w14:paraId="401D6FC4" w14:textId="77777777" w:rsidR="00E17DF7" w:rsidRPr="00A51E5C" w:rsidRDefault="00E17DF7" w:rsidP="007B2A33">
      <w:pPr>
        <w:jc w:val="both"/>
        <w:rPr>
          <w:szCs w:val="22"/>
          <w:lang w:val="sr-Latn-ME"/>
        </w:rPr>
      </w:pPr>
    </w:p>
    <w:p w14:paraId="336FF082" w14:textId="714AB094" w:rsidR="00E17DF7" w:rsidRPr="00A51E5C" w:rsidRDefault="00E17DF7" w:rsidP="007B2A33">
      <w:pPr>
        <w:jc w:val="both"/>
        <w:rPr>
          <w:szCs w:val="22"/>
          <w:lang w:val="sr-Latn-ME"/>
        </w:rPr>
      </w:pPr>
      <w:r w:rsidRPr="00A51E5C">
        <w:rPr>
          <w:szCs w:val="22"/>
          <w:lang w:val="sr-Latn-ME"/>
        </w:rPr>
        <w:t>Natrijum</w:t>
      </w:r>
      <w:r w:rsidR="00893B36" w:rsidRPr="00A51E5C">
        <w:rPr>
          <w:szCs w:val="22"/>
          <w:lang w:val="sr-Latn-ME"/>
        </w:rPr>
        <w:t xml:space="preserve"> </w:t>
      </w:r>
      <w:r w:rsidRPr="00A51E5C">
        <w:rPr>
          <w:szCs w:val="22"/>
          <w:lang w:val="sr-Latn-ME"/>
        </w:rPr>
        <w:t>hidrogenkarbonat</w:t>
      </w:r>
    </w:p>
    <w:p w14:paraId="5D9AC376" w14:textId="77777777" w:rsidR="0072020E" w:rsidRPr="00A51E5C" w:rsidRDefault="0072020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77" w14:textId="77777777" w:rsidR="0072020E" w:rsidRPr="00A51E5C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51E5C">
        <w:rPr>
          <w:b/>
          <w:bCs/>
          <w:sz w:val="22"/>
          <w:szCs w:val="22"/>
          <w:lang w:val="sr-Latn-ME"/>
        </w:rPr>
        <w:t xml:space="preserve">6.2. </w:t>
      </w:r>
      <w:r w:rsidR="00480FB1" w:rsidRPr="00A51E5C">
        <w:rPr>
          <w:b/>
          <w:bCs/>
          <w:sz w:val="22"/>
          <w:szCs w:val="22"/>
          <w:lang w:val="sr-Latn-ME"/>
        </w:rPr>
        <w:tab/>
      </w:r>
      <w:r w:rsidRPr="00A51E5C">
        <w:rPr>
          <w:b/>
          <w:bCs/>
          <w:sz w:val="22"/>
          <w:szCs w:val="22"/>
          <w:lang w:val="sr-Latn-ME"/>
        </w:rPr>
        <w:t>Inkompatibilnost</w:t>
      </w:r>
      <w:r w:rsidR="002846DB" w:rsidRPr="00A51E5C">
        <w:rPr>
          <w:b/>
          <w:bCs/>
          <w:sz w:val="22"/>
          <w:szCs w:val="22"/>
          <w:lang w:val="sr-Latn-ME"/>
        </w:rPr>
        <w:t>i</w:t>
      </w:r>
    </w:p>
    <w:p w14:paraId="5D9AC378" w14:textId="22EFBC64" w:rsidR="0072020E" w:rsidRPr="00A51E5C" w:rsidRDefault="0072020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FAF450" w14:textId="636255A2" w:rsidR="00E17DF7" w:rsidRPr="00A51E5C" w:rsidRDefault="00E17DF7" w:rsidP="007B2A33">
      <w:pPr>
        <w:jc w:val="both"/>
        <w:rPr>
          <w:szCs w:val="22"/>
          <w:lang w:val="sr-Latn-ME"/>
        </w:rPr>
      </w:pPr>
      <w:r w:rsidRPr="00A51E5C">
        <w:rPr>
          <w:szCs w:val="22"/>
          <w:lang w:val="sr-Latn-ME"/>
        </w:rPr>
        <w:t xml:space="preserve">Ovaj </w:t>
      </w:r>
      <w:r w:rsidR="00D718CE" w:rsidRPr="00A51E5C">
        <w:rPr>
          <w:szCs w:val="22"/>
          <w:lang w:val="sr-Latn-ME"/>
        </w:rPr>
        <w:t>lijek</w:t>
      </w:r>
      <w:r w:rsidRPr="00A51E5C">
        <w:rPr>
          <w:szCs w:val="22"/>
          <w:lang w:val="sr-Latn-ME"/>
        </w:rPr>
        <w:t xml:space="preserve"> se ne sm</w:t>
      </w:r>
      <w:r w:rsidR="007E1A5B" w:rsidRPr="00A51E5C">
        <w:rPr>
          <w:szCs w:val="22"/>
          <w:lang w:val="sr-Latn-ME"/>
        </w:rPr>
        <w:t>ij</w:t>
      </w:r>
      <w:r w:rsidRPr="00A51E5C">
        <w:rPr>
          <w:szCs w:val="22"/>
          <w:lang w:val="sr-Latn-ME"/>
        </w:rPr>
        <w:t>e m</w:t>
      </w:r>
      <w:r w:rsidR="007E1A5B" w:rsidRPr="00A51E5C">
        <w:rPr>
          <w:szCs w:val="22"/>
          <w:lang w:val="sr-Latn-ME"/>
        </w:rPr>
        <w:t>ij</w:t>
      </w:r>
      <w:r w:rsidRPr="00A51E5C">
        <w:rPr>
          <w:szCs w:val="22"/>
          <w:lang w:val="sr-Latn-ME"/>
        </w:rPr>
        <w:t xml:space="preserve">ešati sa drugim </w:t>
      </w:r>
      <w:r w:rsidR="007E1A5B" w:rsidRPr="00A51E5C">
        <w:rPr>
          <w:szCs w:val="22"/>
          <w:lang w:val="sr-Latn-ME"/>
        </w:rPr>
        <w:t>ljekovi</w:t>
      </w:r>
      <w:r w:rsidRPr="00A51E5C">
        <w:rPr>
          <w:szCs w:val="22"/>
          <w:lang w:val="sr-Latn-ME"/>
        </w:rPr>
        <w:t xml:space="preserve">ma, osim sa onima koji su navedeni u </w:t>
      </w:r>
      <w:r w:rsidR="007B2A33" w:rsidRPr="00A51E5C">
        <w:rPr>
          <w:szCs w:val="22"/>
          <w:lang w:val="sr-Latn-ME"/>
        </w:rPr>
        <w:t xml:space="preserve">dijelu </w:t>
      </w:r>
      <w:r w:rsidRPr="00A51E5C">
        <w:rPr>
          <w:szCs w:val="22"/>
          <w:lang w:val="sr-Latn-ME"/>
        </w:rPr>
        <w:t>6.6.</w:t>
      </w:r>
    </w:p>
    <w:p w14:paraId="621B14D4" w14:textId="77777777" w:rsidR="00E17DF7" w:rsidRPr="00A51E5C" w:rsidRDefault="00E17DF7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79" w14:textId="77777777" w:rsidR="0072020E" w:rsidRPr="00A51E5C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51E5C">
        <w:rPr>
          <w:b/>
          <w:bCs/>
          <w:sz w:val="22"/>
          <w:szCs w:val="22"/>
          <w:lang w:val="sr-Latn-ME"/>
        </w:rPr>
        <w:t>6.3.</w:t>
      </w:r>
      <w:r w:rsidR="00C05DF8" w:rsidRPr="00A51E5C">
        <w:rPr>
          <w:b/>
          <w:bCs/>
          <w:sz w:val="22"/>
          <w:szCs w:val="22"/>
          <w:lang w:val="sr-Latn-ME"/>
        </w:rPr>
        <w:t xml:space="preserve"> </w:t>
      </w:r>
      <w:r w:rsidR="00480FB1" w:rsidRPr="00A51E5C">
        <w:rPr>
          <w:b/>
          <w:bCs/>
          <w:sz w:val="22"/>
          <w:szCs w:val="22"/>
          <w:lang w:val="sr-Latn-ME"/>
        </w:rPr>
        <w:tab/>
      </w:r>
      <w:r w:rsidRPr="00A51E5C">
        <w:rPr>
          <w:b/>
          <w:bCs/>
          <w:sz w:val="22"/>
          <w:szCs w:val="22"/>
          <w:lang w:val="sr-Latn-ME"/>
        </w:rPr>
        <w:t>Rok upotrebe</w:t>
      </w:r>
    </w:p>
    <w:p w14:paraId="5D9AC37A" w14:textId="47BC6A13" w:rsidR="0072020E" w:rsidRPr="00A51E5C" w:rsidRDefault="0072020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2C9230" w14:textId="77777777" w:rsidR="00E17DF7" w:rsidRPr="00A51E5C" w:rsidRDefault="00E17DF7" w:rsidP="007B2A33">
      <w:pPr>
        <w:jc w:val="both"/>
        <w:rPr>
          <w:szCs w:val="22"/>
          <w:u w:val="single"/>
          <w:lang w:val="sr-Latn-ME"/>
        </w:rPr>
      </w:pPr>
      <w:r w:rsidRPr="00A51E5C">
        <w:rPr>
          <w:szCs w:val="22"/>
          <w:u w:val="single"/>
          <w:lang w:val="sr-Latn-ME"/>
        </w:rPr>
        <w:t>Rok upotrebe neotvorene bočice</w:t>
      </w:r>
    </w:p>
    <w:p w14:paraId="13F11102" w14:textId="77777777" w:rsidR="00E17DF7" w:rsidRPr="00A51E5C" w:rsidRDefault="00E17DF7" w:rsidP="007B2A33">
      <w:pPr>
        <w:jc w:val="both"/>
        <w:rPr>
          <w:szCs w:val="22"/>
          <w:lang w:val="sr-Latn-ME"/>
        </w:rPr>
      </w:pPr>
    </w:p>
    <w:p w14:paraId="22263DD7" w14:textId="044D6CBB" w:rsidR="00E17DF7" w:rsidRPr="00A51E5C" w:rsidRDefault="00E17DF7" w:rsidP="007B2A33">
      <w:pPr>
        <w:jc w:val="both"/>
        <w:rPr>
          <w:szCs w:val="22"/>
          <w:lang w:val="sr-Latn-ME"/>
        </w:rPr>
      </w:pPr>
      <w:r w:rsidRPr="00A51E5C">
        <w:rPr>
          <w:szCs w:val="22"/>
          <w:lang w:val="sr-Latn-ME"/>
        </w:rPr>
        <w:t>30 m</w:t>
      </w:r>
      <w:r w:rsidR="007E1A5B" w:rsidRPr="00A51E5C">
        <w:rPr>
          <w:szCs w:val="22"/>
          <w:lang w:val="sr-Latn-ME"/>
        </w:rPr>
        <w:t>j</w:t>
      </w:r>
      <w:r w:rsidRPr="00A51E5C">
        <w:rPr>
          <w:szCs w:val="22"/>
          <w:lang w:val="sr-Latn-ME"/>
        </w:rPr>
        <w:t>eseci.</w:t>
      </w:r>
    </w:p>
    <w:p w14:paraId="301F18DA" w14:textId="77777777" w:rsidR="00E17DF7" w:rsidRPr="00A51E5C" w:rsidRDefault="00E17DF7" w:rsidP="007B2A33">
      <w:pPr>
        <w:jc w:val="both"/>
        <w:rPr>
          <w:szCs w:val="22"/>
          <w:lang w:val="sr-Latn-ME"/>
        </w:rPr>
      </w:pPr>
    </w:p>
    <w:p w14:paraId="3409426E" w14:textId="77777777" w:rsidR="00E17DF7" w:rsidRPr="00A51E5C" w:rsidRDefault="00E17DF7" w:rsidP="007B2A33">
      <w:pPr>
        <w:jc w:val="both"/>
        <w:rPr>
          <w:szCs w:val="22"/>
          <w:u w:val="single"/>
          <w:lang w:val="sr-Latn-ME"/>
        </w:rPr>
      </w:pPr>
      <w:r w:rsidRPr="00A51E5C">
        <w:rPr>
          <w:szCs w:val="22"/>
          <w:u w:val="single"/>
          <w:lang w:val="sr-Latn-ME"/>
        </w:rPr>
        <w:t>Nakon rekonstitucije i razblaživanja</w:t>
      </w:r>
    </w:p>
    <w:p w14:paraId="62464AA1" w14:textId="77777777" w:rsidR="00E17DF7" w:rsidRPr="00A51E5C" w:rsidRDefault="00E17DF7" w:rsidP="007B2A33">
      <w:pPr>
        <w:jc w:val="both"/>
        <w:rPr>
          <w:szCs w:val="22"/>
          <w:u w:val="single"/>
          <w:lang w:val="sr-Latn-ME"/>
        </w:rPr>
      </w:pPr>
    </w:p>
    <w:p w14:paraId="3DA9E612" w14:textId="34A3A657" w:rsidR="00E17DF7" w:rsidRPr="00A51E5C" w:rsidRDefault="00E17DF7" w:rsidP="007B2A33">
      <w:pPr>
        <w:jc w:val="both"/>
        <w:rPr>
          <w:szCs w:val="22"/>
          <w:lang w:val="sr-Latn-ME"/>
        </w:rPr>
      </w:pPr>
      <w:r w:rsidRPr="00A51E5C">
        <w:rPr>
          <w:szCs w:val="22"/>
          <w:lang w:val="sr-Latn-ME"/>
        </w:rPr>
        <w:t>Razblaženi rastvor se mora odmah upotr</w:t>
      </w:r>
      <w:r w:rsidR="00830570" w:rsidRPr="00A51E5C">
        <w:rPr>
          <w:szCs w:val="22"/>
          <w:lang w:val="sr-Latn-ME"/>
        </w:rPr>
        <w:t>ij</w:t>
      </w:r>
      <w:r w:rsidRPr="00A51E5C">
        <w:rPr>
          <w:szCs w:val="22"/>
          <w:lang w:val="sr-Latn-ME"/>
        </w:rPr>
        <w:t xml:space="preserve">ebiti. </w:t>
      </w:r>
      <w:r w:rsidR="00D718CE" w:rsidRPr="00A51E5C">
        <w:rPr>
          <w:szCs w:val="22"/>
          <w:lang w:val="sr-Latn-ME"/>
        </w:rPr>
        <w:t>Vrijeme</w:t>
      </w:r>
      <w:r w:rsidRPr="00A51E5C">
        <w:rPr>
          <w:szCs w:val="22"/>
          <w:lang w:val="sr-Latn-ME"/>
        </w:rPr>
        <w:t xml:space="preserve"> od početka rekonstitucije do završetka intravenske infuzije ne sm</w:t>
      </w:r>
      <w:r w:rsidR="007E1A5B" w:rsidRPr="00A51E5C">
        <w:rPr>
          <w:szCs w:val="22"/>
          <w:lang w:val="sr-Latn-ME"/>
        </w:rPr>
        <w:t>ij</w:t>
      </w:r>
      <w:r w:rsidRPr="00A51E5C">
        <w:rPr>
          <w:szCs w:val="22"/>
          <w:lang w:val="sr-Latn-ME"/>
        </w:rPr>
        <w:t>e biti duže od dva sata.</w:t>
      </w:r>
    </w:p>
    <w:p w14:paraId="223E32B8" w14:textId="77777777" w:rsidR="00E17DF7" w:rsidRPr="00A51E5C" w:rsidRDefault="00E17DF7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7B" w14:textId="77777777" w:rsidR="0072020E" w:rsidRPr="00A51E5C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51E5C">
        <w:rPr>
          <w:b/>
          <w:bCs/>
          <w:sz w:val="22"/>
          <w:szCs w:val="22"/>
          <w:lang w:val="sr-Latn-ME"/>
        </w:rPr>
        <w:t xml:space="preserve">6.4. </w:t>
      </w:r>
      <w:r w:rsidR="00480FB1" w:rsidRPr="00A51E5C">
        <w:rPr>
          <w:b/>
          <w:bCs/>
          <w:sz w:val="22"/>
          <w:szCs w:val="22"/>
          <w:lang w:val="sr-Latn-ME"/>
        </w:rPr>
        <w:tab/>
      </w:r>
      <w:r w:rsidRPr="00A51E5C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A51E5C">
        <w:rPr>
          <w:b/>
          <w:bCs/>
          <w:sz w:val="22"/>
          <w:szCs w:val="22"/>
          <w:lang w:val="sr-Latn-ME"/>
        </w:rPr>
        <w:t xml:space="preserve"> lijeka</w:t>
      </w:r>
    </w:p>
    <w:p w14:paraId="211E91BF" w14:textId="77777777" w:rsidR="00E17DF7" w:rsidRPr="00A51E5C" w:rsidRDefault="00E17DF7" w:rsidP="007B2A33">
      <w:pPr>
        <w:jc w:val="both"/>
        <w:rPr>
          <w:szCs w:val="22"/>
          <w:lang w:val="sr-Latn-ME"/>
        </w:rPr>
      </w:pPr>
    </w:p>
    <w:p w14:paraId="4ED7949C" w14:textId="7C257781" w:rsidR="00E17DF7" w:rsidRPr="00A51E5C" w:rsidRDefault="00E17DF7" w:rsidP="007B2A33">
      <w:pPr>
        <w:jc w:val="both"/>
        <w:rPr>
          <w:szCs w:val="22"/>
          <w:lang w:val="sr-Latn-ME"/>
        </w:rPr>
      </w:pPr>
      <w:r w:rsidRPr="00A51E5C">
        <w:rPr>
          <w:szCs w:val="22"/>
          <w:lang w:val="sr-Latn-ME"/>
        </w:rPr>
        <w:t xml:space="preserve">Ovaj </w:t>
      </w:r>
      <w:r w:rsidR="00D718CE" w:rsidRPr="00A51E5C">
        <w:rPr>
          <w:szCs w:val="22"/>
          <w:lang w:val="sr-Latn-ME"/>
        </w:rPr>
        <w:t>lijek</w:t>
      </w:r>
      <w:r w:rsidRPr="00A51E5C">
        <w:rPr>
          <w:szCs w:val="22"/>
          <w:lang w:val="sr-Latn-ME"/>
        </w:rPr>
        <w:t xml:space="preserve"> ne zaht</w:t>
      </w:r>
      <w:r w:rsidR="007E1A5B" w:rsidRPr="00A51E5C">
        <w:rPr>
          <w:szCs w:val="22"/>
          <w:lang w:val="sr-Latn-ME"/>
        </w:rPr>
        <w:t>ij</w:t>
      </w:r>
      <w:r w:rsidRPr="00A51E5C">
        <w:rPr>
          <w:szCs w:val="22"/>
          <w:lang w:val="sr-Latn-ME"/>
        </w:rPr>
        <w:t>eva posebne temperaturne uslove čuvanja.</w:t>
      </w:r>
    </w:p>
    <w:p w14:paraId="3F6D0063" w14:textId="77777777" w:rsidR="00E17DF7" w:rsidRPr="00A51E5C" w:rsidRDefault="00E17DF7" w:rsidP="007B2A33">
      <w:pPr>
        <w:jc w:val="both"/>
        <w:rPr>
          <w:szCs w:val="22"/>
          <w:lang w:val="sr-Latn-ME"/>
        </w:rPr>
      </w:pPr>
    </w:p>
    <w:p w14:paraId="53B4AD08" w14:textId="44B42C09" w:rsidR="00E17DF7" w:rsidRPr="00A51E5C" w:rsidRDefault="00E17DF7" w:rsidP="007B2A33">
      <w:pPr>
        <w:jc w:val="both"/>
        <w:rPr>
          <w:szCs w:val="22"/>
          <w:lang w:val="sr-Latn-ME"/>
        </w:rPr>
      </w:pPr>
      <w:r w:rsidRPr="00A51E5C">
        <w:rPr>
          <w:szCs w:val="22"/>
          <w:lang w:val="sr-Latn-ME"/>
        </w:rPr>
        <w:t>Čuvati bočice u spoljašnjem pakovanju, radi zaštite od sv</w:t>
      </w:r>
      <w:r w:rsidR="007E1A5B" w:rsidRPr="00A51E5C">
        <w:rPr>
          <w:szCs w:val="22"/>
          <w:lang w:val="sr-Latn-ME"/>
        </w:rPr>
        <w:t>ij</w:t>
      </w:r>
      <w:r w:rsidRPr="00A51E5C">
        <w:rPr>
          <w:szCs w:val="22"/>
          <w:lang w:val="sr-Latn-ME"/>
        </w:rPr>
        <w:t>etlosti.</w:t>
      </w:r>
    </w:p>
    <w:p w14:paraId="555EE84B" w14:textId="77777777" w:rsidR="00E17DF7" w:rsidRPr="00A51E5C" w:rsidRDefault="00E17DF7" w:rsidP="007B2A33">
      <w:pPr>
        <w:jc w:val="both"/>
        <w:rPr>
          <w:szCs w:val="22"/>
          <w:lang w:val="sr-Latn-ME"/>
        </w:rPr>
      </w:pPr>
    </w:p>
    <w:p w14:paraId="4522AC4C" w14:textId="24DC9681" w:rsidR="00893B36" w:rsidRPr="00A51E5C" w:rsidRDefault="00E17DF7" w:rsidP="00A51E5C">
      <w:pPr>
        <w:jc w:val="both"/>
        <w:rPr>
          <w:b/>
          <w:bCs/>
          <w:sz w:val="22"/>
          <w:szCs w:val="22"/>
          <w:lang w:val="sr-Latn-ME"/>
        </w:rPr>
      </w:pPr>
      <w:r w:rsidRPr="00A51E5C">
        <w:rPr>
          <w:szCs w:val="22"/>
          <w:lang w:val="sr-Latn-ME"/>
        </w:rPr>
        <w:t xml:space="preserve">Za uslove čuvanja nakon rekonstitucije i razblaživanja </w:t>
      </w:r>
      <w:r w:rsidR="00D718CE" w:rsidRPr="00A51E5C">
        <w:rPr>
          <w:szCs w:val="22"/>
          <w:lang w:val="sr-Latn-ME"/>
        </w:rPr>
        <w:t>lijek</w:t>
      </w:r>
      <w:r w:rsidRPr="00A51E5C">
        <w:rPr>
          <w:szCs w:val="22"/>
          <w:lang w:val="sr-Latn-ME"/>
        </w:rPr>
        <w:t xml:space="preserve">a, </w:t>
      </w:r>
      <w:r w:rsidR="00D718CE" w:rsidRPr="00A51E5C">
        <w:rPr>
          <w:szCs w:val="22"/>
          <w:lang w:val="sr-Latn-ME"/>
        </w:rPr>
        <w:t>vidjeti</w:t>
      </w:r>
      <w:r w:rsidRPr="00A51E5C">
        <w:rPr>
          <w:szCs w:val="22"/>
          <w:lang w:val="sr-Latn-ME"/>
        </w:rPr>
        <w:t xml:space="preserve"> </w:t>
      </w:r>
      <w:r w:rsidR="007B2A33" w:rsidRPr="00A51E5C">
        <w:rPr>
          <w:szCs w:val="22"/>
          <w:lang w:val="sr-Latn-ME"/>
        </w:rPr>
        <w:t xml:space="preserve">dio </w:t>
      </w:r>
      <w:r w:rsidRPr="00A51E5C">
        <w:rPr>
          <w:szCs w:val="22"/>
          <w:lang w:val="sr-Latn-ME"/>
        </w:rPr>
        <w:t>6.3.</w:t>
      </w:r>
    </w:p>
    <w:p w14:paraId="05C79F6E" w14:textId="77777777" w:rsidR="00893B36" w:rsidRPr="00A51E5C" w:rsidRDefault="00893B36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9AC37D" w14:textId="66E8A325" w:rsidR="0072020E" w:rsidRPr="00A51E5C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51E5C">
        <w:rPr>
          <w:b/>
          <w:bCs/>
          <w:sz w:val="22"/>
          <w:szCs w:val="22"/>
          <w:lang w:val="sr-Latn-ME"/>
        </w:rPr>
        <w:t xml:space="preserve">6.5. </w:t>
      </w:r>
      <w:r w:rsidR="00480FB1" w:rsidRPr="00A51E5C">
        <w:rPr>
          <w:b/>
          <w:bCs/>
          <w:sz w:val="22"/>
          <w:szCs w:val="22"/>
          <w:lang w:val="sr-Latn-ME"/>
        </w:rPr>
        <w:tab/>
      </w:r>
      <w:r w:rsidR="002846DB" w:rsidRPr="00A51E5C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A51E5C">
        <w:rPr>
          <w:b/>
          <w:bCs/>
          <w:sz w:val="22"/>
          <w:szCs w:val="22"/>
          <w:lang w:val="sr-Latn-ME"/>
        </w:rPr>
        <w:t>pakovanja</w:t>
      </w:r>
      <w:r w:rsidR="00C06864" w:rsidRPr="00A51E5C">
        <w:rPr>
          <w:b/>
          <w:bCs/>
          <w:sz w:val="22"/>
          <w:szCs w:val="22"/>
          <w:lang w:val="sr-Latn-ME"/>
        </w:rPr>
        <w:t xml:space="preserve"> </w:t>
      </w:r>
    </w:p>
    <w:p w14:paraId="6B934AF7" w14:textId="77777777" w:rsidR="00E17DF7" w:rsidRPr="00A51E5C" w:rsidRDefault="00E17DF7" w:rsidP="007B2A33">
      <w:pPr>
        <w:jc w:val="both"/>
        <w:rPr>
          <w:szCs w:val="22"/>
          <w:lang w:val="sr-Latn-ME"/>
        </w:rPr>
      </w:pPr>
    </w:p>
    <w:p w14:paraId="5A333D51" w14:textId="4114FFE6" w:rsidR="00E17DF7" w:rsidRPr="00A51E5C" w:rsidRDefault="00E17DF7" w:rsidP="007B2A33">
      <w:pPr>
        <w:jc w:val="both"/>
        <w:rPr>
          <w:szCs w:val="22"/>
          <w:lang w:val="sr-Latn-ME"/>
        </w:rPr>
      </w:pPr>
      <w:r w:rsidRPr="00A51E5C">
        <w:rPr>
          <w:szCs w:val="22"/>
          <w:lang w:val="sr-Latn-ME"/>
        </w:rPr>
        <w:t xml:space="preserve">Unutrašnje pakovanje </w:t>
      </w:r>
      <w:r w:rsidR="00D718CE" w:rsidRPr="00A51E5C">
        <w:rPr>
          <w:szCs w:val="22"/>
          <w:lang w:val="sr-Latn-ME"/>
        </w:rPr>
        <w:t>lijek</w:t>
      </w:r>
      <w:r w:rsidRPr="00A51E5C">
        <w:rPr>
          <w:szCs w:val="22"/>
          <w:lang w:val="sr-Latn-ME"/>
        </w:rPr>
        <w:t xml:space="preserve">a je staklena bočica zapremine 20 </w:t>
      </w:r>
      <w:r w:rsidR="007903A3" w:rsidRPr="00A51E5C">
        <w:rPr>
          <w:szCs w:val="22"/>
          <w:lang w:val="sr-Latn-ME"/>
        </w:rPr>
        <w:t>ml</w:t>
      </w:r>
      <w:r w:rsidRPr="00A51E5C">
        <w:rPr>
          <w:szCs w:val="22"/>
          <w:lang w:val="sr-Latn-ME"/>
        </w:rPr>
        <w:t xml:space="preserve"> od providnog stakla hidrolitičke otpornosti tip I sa hlorobutil gumenim čepom od 20 mm i aluminijskim zaštitnim zatvaračem sa plastičnim poklopcem.</w:t>
      </w:r>
    </w:p>
    <w:p w14:paraId="7AC42AC2" w14:textId="7D210E11" w:rsidR="00E17DF7" w:rsidRPr="00A51E5C" w:rsidRDefault="00E17DF7" w:rsidP="007B2A33">
      <w:pPr>
        <w:jc w:val="both"/>
        <w:rPr>
          <w:szCs w:val="22"/>
          <w:lang w:val="sr-Latn-ME"/>
        </w:rPr>
      </w:pPr>
      <w:r w:rsidRPr="00A51E5C">
        <w:rPr>
          <w:szCs w:val="22"/>
          <w:lang w:val="sr-Latn-ME"/>
        </w:rPr>
        <w:t xml:space="preserve">Spoljašnje pakovanje </w:t>
      </w:r>
      <w:r w:rsidR="00D718CE" w:rsidRPr="00A51E5C">
        <w:rPr>
          <w:szCs w:val="22"/>
          <w:lang w:val="sr-Latn-ME"/>
        </w:rPr>
        <w:t>lijek</w:t>
      </w:r>
      <w:r w:rsidRPr="00A51E5C">
        <w:rPr>
          <w:szCs w:val="22"/>
          <w:lang w:val="sr-Latn-ME"/>
        </w:rPr>
        <w:t xml:space="preserve">a je složiva kartonska kutija koja sadrži 25 bočica i Uputstvo za </w:t>
      </w:r>
      <w:r w:rsidR="00D718CE" w:rsidRPr="00A51E5C">
        <w:rPr>
          <w:szCs w:val="22"/>
          <w:lang w:val="sr-Latn-ME"/>
        </w:rPr>
        <w:t>lijek</w:t>
      </w:r>
      <w:r w:rsidRPr="00A51E5C">
        <w:rPr>
          <w:szCs w:val="22"/>
          <w:lang w:val="sr-Latn-ME"/>
        </w:rPr>
        <w:t>.</w:t>
      </w:r>
    </w:p>
    <w:p w14:paraId="5D9AC37E" w14:textId="32C80FBA" w:rsidR="0072020E" w:rsidRPr="00A51E5C" w:rsidRDefault="0072020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7F" w14:textId="77777777" w:rsidR="002846DB" w:rsidRPr="00A51E5C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51E5C">
        <w:rPr>
          <w:b/>
          <w:bCs/>
          <w:sz w:val="22"/>
          <w:szCs w:val="22"/>
          <w:lang w:val="sr-Latn-ME"/>
        </w:rPr>
        <w:lastRenderedPageBreak/>
        <w:t xml:space="preserve">6.6. </w:t>
      </w:r>
      <w:r w:rsidR="00480FB1" w:rsidRPr="00A51E5C">
        <w:rPr>
          <w:b/>
          <w:bCs/>
          <w:sz w:val="22"/>
          <w:szCs w:val="22"/>
          <w:lang w:val="sr-Latn-ME"/>
        </w:rPr>
        <w:tab/>
      </w:r>
      <w:r w:rsidRPr="00A51E5C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A51E5C">
        <w:rPr>
          <w:b/>
          <w:bCs/>
          <w:sz w:val="22"/>
          <w:szCs w:val="22"/>
          <w:lang w:val="sr-Latn-ME"/>
        </w:rPr>
        <w:t xml:space="preserve"> </w:t>
      </w:r>
      <w:r w:rsidR="00310F03" w:rsidRPr="00A51E5C">
        <w:rPr>
          <w:b/>
          <w:bCs/>
          <w:sz w:val="22"/>
          <w:szCs w:val="22"/>
          <w:lang w:val="sr-Latn-ME"/>
        </w:rPr>
        <w:t>(i druga uputs</w:t>
      </w:r>
      <w:r w:rsidR="004109FA" w:rsidRPr="00A51E5C">
        <w:rPr>
          <w:b/>
          <w:bCs/>
          <w:sz w:val="22"/>
          <w:szCs w:val="22"/>
          <w:lang w:val="sr-Latn-ME"/>
        </w:rPr>
        <w:t>t</w:t>
      </w:r>
      <w:r w:rsidR="00310F03" w:rsidRPr="00A51E5C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5D9AC380" w14:textId="77777777" w:rsidR="00B66A70" w:rsidRPr="00A51E5C" w:rsidRDefault="00B66A70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8A17972" w14:textId="5871225C" w:rsidR="00B451EB" w:rsidRPr="00A51E5C" w:rsidRDefault="00D718CE" w:rsidP="007B2A33">
      <w:pPr>
        <w:jc w:val="both"/>
        <w:rPr>
          <w:szCs w:val="22"/>
          <w:lang w:val="sr-Latn-ME"/>
        </w:rPr>
      </w:pPr>
      <w:r w:rsidRPr="00A51E5C">
        <w:rPr>
          <w:szCs w:val="22"/>
          <w:lang w:val="sr-Latn-ME"/>
        </w:rPr>
        <w:t>Lijek</w:t>
      </w:r>
      <w:r w:rsidR="00B451EB" w:rsidRPr="00A51E5C">
        <w:rPr>
          <w:szCs w:val="22"/>
          <w:lang w:val="sr-Latn-ME"/>
        </w:rPr>
        <w:t xml:space="preserve"> RECARBRIO je dostupan u jednodoznoj bočici u obliku suvog praška koji se pr</w:t>
      </w:r>
      <w:r w:rsidR="007E1A5B" w:rsidRPr="00A51E5C">
        <w:rPr>
          <w:szCs w:val="22"/>
          <w:lang w:val="sr-Latn-ME"/>
        </w:rPr>
        <w:t>ij</w:t>
      </w:r>
      <w:r w:rsidR="00B451EB" w:rsidRPr="00A51E5C">
        <w:rPr>
          <w:szCs w:val="22"/>
          <w:lang w:val="sr-Latn-ME"/>
        </w:rPr>
        <w:t xml:space="preserve">e intravenske infuzije mora rekonstituisati i dodatno razblažiti </w:t>
      </w:r>
      <w:r w:rsidRPr="00A51E5C">
        <w:rPr>
          <w:szCs w:val="22"/>
          <w:lang w:val="sr-Latn-ME"/>
        </w:rPr>
        <w:t>primjenom</w:t>
      </w:r>
      <w:r w:rsidR="00B451EB" w:rsidRPr="00A51E5C">
        <w:rPr>
          <w:szCs w:val="22"/>
          <w:lang w:val="sr-Latn-ME"/>
        </w:rPr>
        <w:t xml:space="preserve"> aseptične tehnike na način opisan u nastavku.</w:t>
      </w:r>
    </w:p>
    <w:p w14:paraId="35BCB56D" w14:textId="636DD6A9" w:rsidR="00B451EB" w:rsidRPr="00A51E5C" w:rsidRDefault="00B451EB" w:rsidP="007B2A3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A51E5C">
        <w:rPr>
          <w:szCs w:val="22"/>
          <w:lang w:val="sr-Latn-ME"/>
        </w:rPr>
        <w:t>Za pripremu rastvora za infuziju sadržaj bočice mora se pren</w:t>
      </w:r>
      <w:r w:rsidR="007E1A5B" w:rsidRPr="00A51E5C">
        <w:rPr>
          <w:szCs w:val="22"/>
          <w:lang w:val="sr-Latn-ME"/>
        </w:rPr>
        <w:t>ij</w:t>
      </w:r>
      <w:r w:rsidRPr="00A51E5C">
        <w:rPr>
          <w:szCs w:val="22"/>
          <w:lang w:val="sr-Latn-ME"/>
        </w:rPr>
        <w:t xml:space="preserve">eti u 100 </w:t>
      </w:r>
      <w:r w:rsidR="007903A3" w:rsidRPr="00A51E5C">
        <w:rPr>
          <w:szCs w:val="22"/>
          <w:lang w:val="sr-Latn-ME"/>
        </w:rPr>
        <w:t>ml</w:t>
      </w:r>
      <w:r w:rsidRPr="00A51E5C">
        <w:rPr>
          <w:szCs w:val="22"/>
          <w:lang w:val="sr-Latn-ME"/>
        </w:rPr>
        <w:t xml:space="preserve"> odgovarajućeg rastvora za infuziju (</w:t>
      </w:r>
      <w:r w:rsidR="00D718CE" w:rsidRPr="00A51E5C">
        <w:rPr>
          <w:szCs w:val="22"/>
          <w:lang w:val="sr-Latn-ME"/>
        </w:rPr>
        <w:t>vidjeti</w:t>
      </w:r>
      <w:r w:rsidRPr="00A51E5C">
        <w:rPr>
          <w:szCs w:val="22"/>
          <w:lang w:val="sr-Latn-ME"/>
        </w:rPr>
        <w:t xml:space="preserve"> </w:t>
      </w:r>
      <w:r w:rsidR="007B2A33" w:rsidRPr="00A51E5C">
        <w:rPr>
          <w:szCs w:val="22"/>
          <w:lang w:val="sr-Latn-ME"/>
        </w:rPr>
        <w:t xml:space="preserve">dijelove </w:t>
      </w:r>
      <w:r w:rsidRPr="00A51E5C">
        <w:rPr>
          <w:szCs w:val="22"/>
          <w:lang w:val="sr-Latn-ME"/>
        </w:rPr>
        <w:t>6.2 i 6.3): sterilni rastvor natrijum</w:t>
      </w:r>
      <w:r w:rsidR="00830570" w:rsidRPr="00A51E5C">
        <w:rPr>
          <w:szCs w:val="22"/>
          <w:lang w:val="sr-Latn-ME"/>
        </w:rPr>
        <w:t xml:space="preserve"> </w:t>
      </w:r>
      <w:r w:rsidRPr="00A51E5C">
        <w:rPr>
          <w:szCs w:val="22"/>
          <w:lang w:val="sr-Latn-ME"/>
        </w:rPr>
        <w:t>hlorida od 9 mg/</w:t>
      </w:r>
      <w:r w:rsidR="007903A3" w:rsidRPr="00A51E5C">
        <w:rPr>
          <w:szCs w:val="22"/>
          <w:lang w:val="sr-Latn-ME"/>
        </w:rPr>
        <w:t>ml</w:t>
      </w:r>
      <w:r w:rsidRPr="00A51E5C">
        <w:rPr>
          <w:szCs w:val="22"/>
          <w:lang w:val="sr-Latn-ME"/>
        </w:rPr>
        <w:t xml:space="preserve"> (0,9%). U određenim situacijama kada se zbog kliničkih razloga ne može upotr</w:t>
      </w:r>
      <w:r w:rsidR="00830570" w:rsidRPr="00A51E5C">
        <w:rPr>
          <w:szCs w:val="22"/>
          <w:lang w:val="sr-Latn-ME"/>
        </w:rPr>
        <w:t>ij</w:t>
      </w:r>
      <w:r w:rsidRPr="00A51E5C">
        <w:rPr>
          <w:szCs w:val="22"/>
          <w:lang w:val="sr-Latn-ME"/>
        </w:rPr>
        <w:t>ebiti sterilni rastvor natrijum</w:t>
      </w:r>
      <w:r w:rsidR="00830570" w:rsidRPr="00A51E5C">
        <w:rPr>
          <w:szCs w:val="22"/>
          <w:lang w:val="sr-Latn-ME"/>
        </w:rPr>
        <w:t xml:space="preserve"> </w:t>
      </w:r>
      <w:r w:rsidRPr="00A51E5C">
        <w:rPr>
          <w:szCs w:val="22"/>
          <w:lang w:val="sr-Latn-ME"/>
        </w:rPr>
        <w:t>hlorida od 9 mg/</w:t>
      </w:r>
      <w:r w:rsidR="007903A3" w:rsidRPr="00A51E5C">
        <w:rPr>
          <w:szCs w:val="22"/>
          <w:lang w:val="sr-Latn-ME"/>
        </w:rPr>
        <w:t>ml</w:t>
      </w:r>
      <w:r w:rsidRPr="00A51E5C">
        <w:rPr>
          <w:szCs w:val="22"/>
          <w:lang w:val="sr-Latn-ME"/>
        </w:rPr>
        <w:t xml:space="preserve"> (0,9%), um</w:t>
      </w:r>
      <w:r w:rsidR="00A46ACA" w:rsidRPr="00A51E5C">
        <w:rPr>
          <w:szCs w:val="22"/>
          <w:lang w:val="sr-Latn-ME"/>
        </w:rPr>
        <w:t>j</w:t>
      </w:r>
      <w:r w:rsidRPr="00A51E5C">
        <w:rPr>
          <w:szCs w:val="22"/>
          <w:lang w:val="sr-Latn-ME"/>
        </w:rPr>
        <w:t>esto njega se može upotr</w:t>
      </w:r>
      <w:r w:rsidR="00830570" w:rsidRPr="00A51E5C">
        <w:rPr>
          <w:szCs w:val="22"/>
          <w:lang w:val="sr-Latn-ME"/>
        </w:rPr>
        <w:t>ij</w:t>
      </w:r>
      <w:r w:rsidRPr="00A51E5C">
        <w:rPr>
          <w:szCs w:val="22"/>
          <w:lang w:val="sr-Latn-ME"/>
        </w:rPr>
        <w:t>ebiti 5%-tni sterilni rastvor glukoze.</w:t>
      </w:r>
    </w:p>
    <w:p w14:paraId="2388D41E" w14:textId="66847DD4" w:rsidR="00B451EB" w:rsidRPr="00A51E5C" w:rsidRDefault="00B451EB" w:rsidP="007B2A3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A51E5C">
        <w:rPr>
          <w:szCs w:val="22"/>
          <w:lang w:val="sr-Latn-ME"/>
        </w:rPr>
        <w:t xml:space="preserve">Izvucite 20 </w:t>
      </w:r>
      <w:r w:rsidR="007903A3" w:rsidRPr="00A51E5C">
        <w:rPr>
          <w:szCs w:val="22"/>
          <w:lang w:val="sr-Latn-ME"/>
        </w:rPr>
        <w:t>ml</w:t>
      </w:r>
      <w:r w:rsidRPr="00A51E5C">
        <w:rPr>
          <w:szCs w:val="22"/>
          <w:lang w:val="sr-Latn-ME"/>
        </w:rPr>
        <w:t xml:space="preserve"> (dva puta po 10 </w:t>
      </w:r>
      <w:r w:rsidR="007903A3" w:rsidRPr="00A51E5C">
        <w:rPr>
          <w:szCs w:val="22"/>
          <w:lang w:val="sr-Latn-ME"/>
        </w:rPr>
        <w:t>ml</w:t>
      </w:r>
      <w:r w:rsidRPr="00A51E5C">
        <w:rPr>
          <w:szCs w:val="22"/>
          <w:lang w:val="sr-Latn-ME"/>
        </w:rPr>
        <w:t xml:space="preserve">) rastvarača iz odgovarajuće infuzione kese i rekonstituišite sadržaj bočice koristeći 10 </w:t>
      </w:r>
      <w:r w:rsidR="007903A3" w:rsidRPr="00A51E5C">
        <w:rPr>
          <w:szCs w:val="22"/>
          <w:lang w:val="sr-Latn-ME"/>
        </w:rPr>
        <w:t>ml</w:t>
      </w:r>
      <w:r w:rsidRPr="00A51E5C">
        <w:rPr>
          <w:szCs w:val="22"/>
          <w:lang w:val="sr-Latn-ME"/>
        </w:rPr>
        <w:t xml:space="preserve"> rastvarača. Pripre</w:t>
      </w:r>
      <w:r w:rsidR="007903A3" w:rsidRPr="00A51E5C">
        <w:rPr>
          <w:szCs w:val="22"/>
          <w:lang w:val="sr-Latn-ME"/>
        </w:rPr>
        <w:t>ml</w:t>
      </w:r>
      <w:r w:rsidRPr="00A51E5C">
        <w:rPr>
          <w:szCs w:val="22"/>
          <w:lang w:val="sr-Latn-ME"/>
        </w:rPr>
        <w:t>jena suspenzija se ne sm</w:t>
      </w:r>
      <w:r w:rsidR="0022431E" w:rsidRPr="00A51E5C">
        <w:rPr>
          <w:szCs w:val="22"/>
          <w:lang w:val="sr-Latn-ME"/>
        </w:rPr>
        <w:t>ij</w:t>
      </w:r>
      <w:r w:rsidRPr="00A51E5C">
        <w:rPr>
          <w:szCs w:val="22"/>
          <w:lang w:val="sr-Latn-ME"/>
        </w:rPr>
        <w:t xml:space="preserve">e </w:t>
      </w:r>
      <w:r w:rsidR="00D718CE" w:rsidRPr="00A51E5C">
        <w:rPr>
          <w:szCs w:val="22"/>
          <w:lang w:val="sr-Latn-ME"/>
        </w:rPr>
        <w:t>primjenjivati</w:t>
      </w:r>
      <w:r w:rsidRPr="00A51E5C">
        <w:rPr>
          <w:szCs w:val="22"/>
          <w:lang w:val="sr-Latn-ME"/>
        </w:rPr>
        <w:t xml:space="preserve"> direktnom intravenskom infuzijom.</w:t>
      </w:r>
    </w:p>
    <w:p w14:paraId="533E3B3E" w14:textId="306491D6" w:rsidR="00B451EB" w:rsidRPr="00A51E5C" w:rsidRDefault="00B451EB" w:rsidP="007B2A3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A51E5C">
        <w:rPr>
          <w:szCs w:val="22"/>
          <w:lang w:val="sr-Latn-ME"/>
        </w:rPr>
        <w:t>Nakon rekonstitucije, dobro protresite bočicu i prenesite pripre</w:t>
      </w:r>
      <w:r w:rsidR="007903A3" w:rsidRPr="00A51E5C">
        <w:rPr>
          <w:szCs w:val="22"/>
          <w:lang w:val="sr-Latn-ME"/>
        </w:rPr>
        <w:t>ml</w:t>
      </w:r>
      <w:r w:rsidRPr="00A51E5C">
        <w:rPr>
          <w:szCs w:val="22"/>
          <w:lang w:val="sr-Latn-ME"/>
        </w:rPr>
        <w:t xml:space="preserve">jenu suspenziju u preostalih 80 </w:t>
      </w:r>
      <w:r w:rsidR="007903A3" w:rsidRPr="00A51E5C">
        <w:rPr>
          <w:szCs w:val="22"/>
          <w:lang w:val="sr-Latn-ME"/>
        </w:rPr>
        <w:t>ml</w:t>
      </w:r>
      <w:r w:rsidRPr="00A51E5C">
        <w:rPr>
          <w:szCs w:val="22"/>
          <w:lang w:val="sr-Latn-ME"/>
        </w:rPr>
        <w:t xml:space="preserve"> rastvarača u infuzionu kesu.</w:t>
      </w:r>
    </w:p>
    <w:p w14:paraId="1573AA25" w14:textId="43A9F39A" w:rsidR="00B451EB" w:rsidRPr="00A51E5C" w:rsidRDefault="00B451EB" w:rsidP="007B2A3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A51E5C">
        <w:rPr>
          <w:szCs w:val="22"/>
          <w:lang w:val="sr-Latn-ME"/>
        </w:rPr>
        <w:t xml:space="preserve">Dodajte preostalih 10 </w:t>
      </w:r>
      <w:r w:rsidR="007903A3" w:rsidRPr="00A51E5C">
        <w:rPr>
          <w:szCs w:val="22"/>
          <w:lang w:val="sr-Latn-ME"/>
        </w:rPr>
        <w:t>ml</w:t>
      </w:r>
      <w:r w:rsidRPr="00A51E5C">
        <w:rPr>
          <w:szCs w:val="22"/>
          <w:lang w:val="sr-Latn-ME"/>
        </w:rPr>
        <w:t xml:space="preserve"> rastvarača za infuziju u bočicu i dobro je protresite kako biste osigurali prenos čitavog sadržaja bočice; ponovite postupak prenosa dobijene suspenzije u rastvor za infuziju pr</w:t>
      </w:r>
      <w:r w:rsidR="0022431E" w:rsidRPr="00A51E5C">
        <w:rPr>
          <w:szCs w:val="22"/>
          <w:lang w:val="sr-Latn-ME"/>
        </w:rPr>
        <w:t>ij</w:t>
      </w:r>
      <w:r w:rsidRPr="00A51E5C">
        <w:rPr>
          <w:szCs w:val="22"/>
          <w:lang w:val="sr-Latn-ME"/>
        </w:rPr>
        <w:t>e prim</w:t>
      </w:r>
      <w:r w:rsidR="0022431E" w:rsidRPr="00A51E5C">
        <w:rPr>
          <w:szCs w:val="22"/>
          <w:lang w:val="sr-Latn-ME"/>
        </w:rPr>
        <w:t>j</w:t>
      </w:r>
      <w:r w:rsidRPr="00A51E5C">
        <w:rPr>
          <w:szCs w:val="22"/>
          <w:lang w:val="sr-Latn-ME"/>
        </w:rPr>
        <w:t xml:space="preserve">ene </w:t>
      </w:r>
      <w:r w:rsidR="00D718CE" w:rsidRPr="00A51E5C">
        <w:rPr>
          <w:szCs w:val="22"/>
          <w:lang w:val="sr-Latn-ME"/>
        </w:rPr>
        <w:t>lijek</w:t>
      </w:r>
      <w:r w:rsidRPr="00A51E5C">
        <w:rPr>
          <w:szCs w:val="22"/>
          <w:lang w:val="sr-Latn-ME"/>
        </w:rPr>
        <w:t>a. Tresite pripre</w:t>
      </w:r>
      <w:r w:rsidR="007903A3" w:rsidRPr="00A51E5C">
        <w:rPr>
          <w:szCs w:val="22"/>
          <w:lang w:val="sr-Latn-ME"/>
        </w:rPr>
        <w:t>ml</w:t>
      </w:r>
      <w:r w:rsidRPr="00A51E5C">
        <w:rPr>
          <w:szCs w:val="22"/>
          <w:lang w:val="sr-Latn-ME"/>
        </w:rPr>
        <w:t>jenu m</w:t>
      </w:r>
      <w:r w:rsidR="008F7D2F" w:rsidRPr="00A51E5C">
        <w:rPr>
          <w:szCs w:val="22"/>
          <w:lang w:val="sr-Latn-ME"/>
        </w:rPr>
        <w:t>j</w:t>
      </w:r>
      <w:r w:rsidRPr="00A51E5C">
        <w:rPr>
          <w:szCs w:val="22"/>
          <w:lang w:val="sr-Latn-ME"/>
        </w:rPr>
        <w:t>ešavinu dok se ne razbistri.</w:t>
      </w:r>
    </w:p>
    <w:p w14:paraId="11530125" w14:textId="07EEB66E" w:rsidR="00B451EB" w:rsidRPr="00A51E5C" w:rsidRDefault="00B451EB" w:rsidP="007B2A3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A51E5C">
        <w:rPr>
          <w:szCs w:val="22"/>
          <w:lang w:val="sr-Latn-ME"/>
        </w:rPr>
        <w:t xml:space="preserve">Boja rekonstituisanog rastvora </w:t>
      </w:r>
      <w:r w:rsidR="00D718CE" w:rsidRPr="00A51E5C">
        <w:rPr>
          <w:szCs w:val="22"/>
          <w:lang w:val="sr-Latn-ME"/>
        </w:rPr>
        <w:t>lijek</w:t>
      </w:r>
      <w:r w:rsidRPr="00A51E5C">
        <w:rPr>
          <w:szCs w:val="22"/>
          <w:lang w:val="sr-Latn-ME"/>
        </w:rPr>
        <w:t xml:space="preserve">a RECARBRIO kreće se u rasponu od bezbojne do žute. Nijanse boje unutar tog raspona ne utiču na aktivnost </w:t>
      </w:r>
      <w:r w:rsidR="00D718CE" w:rsidRPr="00A51E5C">
        <w:rPr>
          <w:szCs w:val="22"/>
          <w:lang w:val="sr-Latn-ME"/>
        </w:rPr>
        <w:t>lijek</w:t>
      </w:r>
      <w:r w:rsidRPr="00A51E5C">
        <w:rPr>
          <w:szCs w:val="22"/>
          <w:lang w:val="sr-Latn-ME"/>
        </w:rPr>
        <w:t>a.</w:t>
      </w:r>
    </w:p>
    <w:p w14:paraId="385FA8A8" w14:textId="0A3A1C10" w:rsidR="00B451EB" w:rsidRPr="00A51E5C" w:rsidRDefault="00B451EB" w:rsidP="007B2A3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A51E5C">
        <w:rPr>
          <w:szCs w:val="22"/>
          <w:lang w:val="sr-Latn-ME"/>
        </w:rPr>
        <w:t xml:space="preserve">Pacijentima sa insuficijencijom bubrega potrebno je smanjiti dozu </w:t>
      </w:r>
      <w:r w:rsidR="00D718CE" w:rsidRPr="00A51E5C">
        <w:rPr>
          <w:szCs w:val="22"/>
          <w:lang w:val="sr-Latn-ME"/>
        </w:rPr>
        <w:t>lijek</w:t>
      </w:r>
      <w:r w:rsidRPr="00A51E5C">
        <w:rPr>
          <w:szCs w:val="22"/>
          <w:lang w:val="sr-Latn-ME"/>
        </w:rPr>
        <w:t xml:space="preserve">a RECARBRIO, u skladu sa </w:t>
      </w:r>
      <w:r w:rsidR="00D718CE" w:rsidRPr="00A51E5C">
        <w:rPr>
          <w:szCs w:val="22"/>
          <w:lang w:val="sr-Latn-ME"/>
        </w:rPr>
        <w:t>vrijednost</w:t>
      </w:r>
      <w:r w:rsidRPr="00A51E5C">
        <w:rPr>
          <w:szCs w:val="22"/>
          <w:lang w:val="sr-Latn-ME"/>
        </w:rPr>
        <w:t xml:space="preserve">ima CrCl kod svakog pacijenta posebno, kao što je navedeno u Tabeli 7. Pripremite 100 </w:t>
      </w:r>
      <w:r w:rsidR="007903A3" w:rsidRPr="00A51E5C">
        <w:rPr>
          <w:szCs w:val="22"/>
          <w:lang w:val="sr-Latn-ME"/>
        </w:rPr>
        <w:t>ml</w:t>
      </w:r>
      <w:r w:rsidRPr="00A51E5C">
        <w:rPr>
          <w:szCs w:val="22"/>
          <w:lang w:val="sr-Latn-ME"/>
        </w:rPr>
        <w:t xml:space="preserve"> rastvora za infuziju na prethodno opisan način. Odaberite finalnu zapreminu (</w:t>
      </w:r>
      <w:r w:rsidR="007903A3" w:rsidRPr="00A51E5C">
        <w:rPr>
          <w:szCs w:val="22"/>
          <w:lang w:val="sr-Latn-ME"/>
        </w:rPr>
        <w:t>ml</w:t>
      </w:r>
      <w:r w:rsidRPr="00A51E5C">
        <w:rPr>
          <w:szCs w:val="22"/>
          <w:lang w:val="sr-Latn-ME"/>
        </w:rPr>
        <w:t xml:space="preserve">) rastvora za infuziju koji je potreban za </w:t>
      </w:r>
      <w:r w:rsidR="00D718CE" w:rsidRPr="00A51E5C">
        <w:rPr>
          <w:szCs w:val="22"/>
          <w:lang w:val="sr-Latn-ME"/>
        </w:rPr>
        <w:t>primjenu</w:t>
      </w:r>
      <w:r w:rsidRPr="00A51E5C">
        <w:rPr>
          <w:szCs w:val="22"/>
          <w:lang w:val="sr-Latn-ME"/>
        </w:rPr>
        <w:t xml:space="preserve"> odgovarajuće doze </w:t>
      </w:r>
      <w:r w:rsidR="00D718CE" w:rsidRPr="00A51E5C">
        <w:rPr>
          <w:szCs w:val="22"/>
          <w:lang w:val="sr-Latn-ME"/>
        </w:rPr>
        <w:t>lijek</w:t>
      </w:r>
      <w:r w:rsidRPr="00A51E5C">
        <w:rPr>
          <w:szCs w:val="22"/>
          <w:lang w:val="sr-Latn-ME"/>
        </w:rPr>
        <w:t>a RECARBRIO kako je prikazano u Tabeli 7.</w:t>
      </w:r>
    </w:p>
    <w:p w14:paraId="48D6020F" w14:textId="77777777" w:rsidR="00B451EB" w:rsidRPr="00A51E5C" w:rsidRDefault="00B451EB" w:rsidP="007B2A33">
      <w:pPr>
        <w:jc w:val="both"/>
        <w:rPr>
          <w:szCs w:val="22"/>
          <w:lang w:val="sr-Latn-ME"/>
        </w:rPr>
      </w:pPr>
    </w:p>
    <w:p w14:paraId="5519C8CC" w14:textId="4F89AFE1" w:rsidR="00B451EB" w:rsidRPr="009617CB" w:rsidRDefault="00F965BC" w:rsidP="007B2A33">
      <w:pPr>
        <w:jc w:val="both"/>
        <w:rPr>
          <w:sz w:val="22"/>
          <w:szCs w:val="22"/>
          <w:lang w:val="sr-Latn-ME"/>
        </w:rPr>
      </w:pPr>
      <w:r w:rsidRPr="009617CB">
        <w:rPr>
          <w:sz w:val="22"/>
          <w:szCs w:val="22"/>
          <w:lang w:val="sr-Latn-ME"/>
        </w:rPr>
        <w:t>Ljekove</w:t>
      </w:r>
      <w:r w:rsidR="00B451EB" w:rsidRPr="009617CB">
        <w:rPr>
          <w:sz w:val="22"/>
          <w:szCs w:val="22"/>
          <w:lang w:val="sr-Latn-ME"/>
        </w:rPr>
        <w:t xml:space="preserve"> za parenteralnu </w:t>
      </w:r>
      <w:r w:rsidR="00D718CE" w:rsidRPr="009617CB">
        <w:rPr>
          <w:sz w:val="22"/>
          <w:szCs w:val="22"/>
          <w:lang w:val="sr-Latn-ME"/>
        </w:rPr>
        <w:t>primjenu</w:t>
      </w:r>
      <w:r w:rsidR="00B451EB" w:rsidRPr="009617CB">
        <w:rPr>
          <w:sz w:val="22"/>
          <w:szCs w:val="22"/>
          <w:lang w:val="sr-Latn-ME"/>
        </w:rPr>
        <w:t xml:space="preserve"> potrebno je prethodno vizuelno pregledati zbog moguće prisutnosti čestica i </w:t>
      </w:r>
      <w:r w:rsidR="00D718CE" w:rsidRPr="009617CB">
        <w:rPr>
          <w:sz w:val="22"/>
          <w:szCs w:val="22"/>
          <w:lang w:val="sr-Latn-ME"/>
        </w:rPr>
        <w:t>promjene</w:t>
      </w:r>
      <w:r w:rsidR="00B451EB" w:rsidRPr="009617CB">
        <w:rPr>
          <w:sz w:val="22"/>
          <w:szCs w:val="22"/>
          <w:lang w:val="sr-Latn-ME"/>
        </w:rPr>
        <w:t xml:space="preserve"> boje, kad god to rastvor i ambalaža dopuštaju. Rastvor je potrebno odbaciti ako se uoče </w:t>
      </w:r>
      <w:r w:rsidR="00D718CE" w:rsidRPr="009617CB">
        <w:rPr>
          <w:sz w:val="22"/>
          <w:szCs w:val="22"/>
          <w:lang w:val="sr-Latn-ME"/>
        </w:rPr>
        <w:t>promjena</w:t>
      </w:r>
      <w:r w:rsidR="00B451EB" w:rsidRPr="009617CB">
        <w:rPr>
          <w:sz w:val="22"/>
          <w:szCs w:val="22"/>
          <w:lang w:val="sr-Latn-ME"/>
        </w:rPr>
        <w:t xml:space="preserve"> boje ili vidljive čestice.</w:t>
      </w:r>
    </w:p>
    <w:p w14:paraId="593921A9" w14:textId="77777777" w:rsidR="00B451EB" w:rsidRPr="00A51E5C" w:rsidRDefault="00B451EB" w:rsidP="007B2A33">
      <w:pPr>
        <w:jc w:val="both"/>
        <w:rPr>
          <w:szCs w:val="22"/>
          <w:lang w:val="sr-Latn-ME"/>
        </w:rPr>
      </w:pPr>
    </w:p>
    <w:p w14:paraId="7FCD2B47" w14:textId="1D62E6CE" w:rsidR="00B451EB" w:rsidRPr="009617CB" w:rsidRDefault="00B451EB" w:rsidP="007B2A33">
      <w:pPr>
        <w:jc w:val="both"/>
        <w:rPr>
          <w:b/>
          <w:sz w:val="22"/>
          <w:szCs w:val="22"/>
          <w:lang w:val="sr-Latn-ME"/>
        </w:rPr>
      </w:pPr>
      <w:r w:rsidRPr="009617CB">
        <w:rPr>
          <w:b/>
          <w:sz w:val="22"/>
          <w:szCs w:val="22"/>
          <w:lang w:val="sr-Latn-ME"/>
        </w:rPr>
        <w:t xml:space="preserve">Tabela 7: </w:t>
      </w:r>
      <w:r w:rsidR="008F7D2F" w:rsidRPr="009617CB">
        <w:rPr>
          <w:b/>
          <w:sz w:val="22"/>
          <w:szCs w:val="22"/>
          <w:lang w:val="sr-Latn-ME"/>
        </w:rPr>
        <w:t>P</w:t>
      </w:r>
      <w:r w:rsidRPr="009617CB">
        <w:rPr>
          <w:b/>
          <w:sz w:val="22"/>
          <w:szCs w:val="22"/>
          <w:lang w:val="sr-Latn-ME"/>
        </w:rPr>
        <w:t xml:space="preserve">riprema doza </w:t>
      </w:r>
      <w:r w:rsidR="00D718CE" w:rsidRPr="009617CB">
        <w:rPr>
          <w:b/>
          <w:sz w:val="22"/>
          <w:szCs w:val="22"/>
          <w:lang w:val="sr-Latn-ME"/>
        </w:rPr>
        <w:t>lijek</w:t>
      </w:r>
      <w:r w:rsidRPr="009617CB">
        <w:rPr>
          <w:b/>
          <w:sz w:val="22"/>
          <w:szCs w:val="22"/>
          <w:lang w:val="sr-Latn-ME"/>
        </w:rPr>
        <w:t>a RECARBRIO</w:t>
      </w:r>
    </w:p>
    <w:p w14:paraId="7D024FA8" w14:textId="77777777" w:rsidR="00B451EB" w:rsidRPr="00A51E5C" w:rsidRDefault="00B451EB" w:rsidP="007B2A33">
      <w:pPr>
        <w:jc w:val="both"/>
        <w:rPr>
          <w:szCs w:val="22"/>
          <w:lang w:val="sr-Latn-M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68"/>
        <w:gridCol w:w="3059"/>
        <w:gridCol w:w="2022"/>
        <w:gridCol w:w="1906"/>
      </w:tblGrid>
      <w:tr w:rsidR="00B451EB" w:rsidRPr="00FE6836" w14:paraId="00A468A5" w14:textId="77777777" w:rsidTr="00D718CE">
        <w:tc>
          <w:tcPr>
            <w:tcW w:w="2082" w:type="dxa"/>
          </w:tcPr>
          <w:p w14:paraId="5CB6CC73" w14:textId="725344C3" w:rsidR="00B451EB" w:rsidRPr="009617CB" w:rsidRDefault="00B451EB" w:rsidP="007B2A33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9617CB">
              <w:rPr>
                <w:b/>
                <w:sz w:val="22"/>
                <w:szCs w:val="22"/>
                <w:lang w:val="sr-Latn-ME"/>
              </w:rPr>
              <w:t>Klirens kreatinina (</w:t>
            </w:r>
            <w:r w:rsidR="007903A3" w:rsidRPr="009617CB">
              <w:rPr>
                <w:b/>
                <w:sz w:val="22"/>
                <w:szCs w:val="22"/>
                <w:lang w:val="sr-Latn-ME"/>
              </w:rPr>
              <w:t>ml</w:t>
            </w:r>
            <w:r w:rsidRPr="009617CB">
              <w:rPr>
                <w:b/>
                <w:sz w:val="22"/>
                <w:szCs w:val="22"/>
                <w:lang w:val="sr-Latn-ME"/>
              </w:rPr>
              <w:t>/min)</w:t>
            </w:r>
          </w:p>
        </w:tc>
        <w:tc>
          <w:tcPr>
            <w:tcW w:w="3345" w:type="dxa"/>
          </w:tcPr>
          <w:p w14:paraId="6BCE51AF" w14:textId="7F81DA75" w:rsidR="00B451EB" w:rsidRPr="009617CB" w:rsidRDefault="00B451EB" w:rsidP="007B2A33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9617CB">
              <w:rPr>
                <w:b/>
                <w:sz w:val="22"/>
                <w:szCs w:val="22"/>
                <w:lang w:val="sr-Latn-ME"/>
              </w:rPr>
              <w:t xml:space="preserve">Doza </w:t>
            </w:r>
            <w:r w:rsidR="00D718CE" w:rsidRPr="009617CB">
              <w:rPr>
                <w:b/>
                <w:sz w:val="22"/>
                <w:szCs w:val="22"/>
                <w:lang w:val="sr-Latn-ME"/>
              </w:rPr>
              <w:t>lijek</w:t>
            </w:r>
            <w:r w:rsidRPr="009617CB">
              <w:rPr>
                <w:b/>
                <w:sz w:val="22"/>
                <w:szCs w:val="22"/>
                <w:lang w:val="sr-Latn-ME"/>
              </w:rPr>
              <w:t>a RECARBRIO (</w:t>
            </w:r>
            <w:r w:rsidR="007903A3" w:rsidRPr="009617CB">
              <w:rPr>
                <w:b/>
                <w:sz w:val="22"/>
                <w:szCs w:val="22"/>
                <w:lang w:val="sr-Latn-ME"/>
              </w:rPr>
              <w:t>imipenem, cilastatin, relebaktam</w:t>
            </w:r>
            <w:r w:rsidRPr="009617CB">
              <w:rPr>
                <w:b/>
                <w:sz w:val="22"/>
                <w:szCs w:val="22"/>
                <w:lang w:val="sr-Latn-ME"/>
              </w:rPr>
              <w:t>) (mg)</w:t>
            </w:r>
          </w:p>
        </w:tc>
        <w:tc>
          <w:tcPr>
            <w:tcW w:w="2166" w:type="dxa"/>
          </w:tcPr>
          <w:p w14:paraId="652094B8" w14:textId="33A6B0D1" w:rsidR="00B451EB" w:rsidRPr="009617CB" w:rsidRDefault="00B451EB" w:rsidP="007B2A33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9617CB">
              <w:rPr>
                <w:b/>
                <w:sz w:val="22"/>
                <w:szCs w:val="22"/>
                <w:lang w:val="sr-Latn-ME"/>
              </w:rPr>
              <w:t>Zapremina (</w:t>
            </w:r>
            <w:r w:rsidR="007903A3" w:rsidRPr="009617CB">
              <w:rPr>
                <w:b/>
                <w:sz w:val="22"/>
                <w:szCs w:val="22"/>
                <w:lang w:val="sr-Latn-ME"/>
              </w:rPr>
              <w:t>ml</w:t>
            </w:r>
            <w:r w:rsidRPr="009617CB">
              <w:rPr>
                <w:b/>
                <w:sz w:val="22"/>
                <w:szCs w:val="22"/>
                <w:lang w:val="sr-Latn-ME"/>
              </w:rPr>
              <w:t>) rastvora koju je potrebno ukloniti i odbaciti iz pripreme</w:t>
            </w:r>
          </w:p>
        </w:tc>
        <w:tc>
          <w:tcPr>
            <w:tcW w:w="2037" w:type="dxa"/>
          </w:tcPr>
          <w:p w14:paraId="2DF63149" w14:textId="1CDA1493" w:rsidR="00B451EB" w:rsidRPr="009617CB" w:rsidRDefault="00B451EB" w:rsidP="007B2A33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9617CB">
              <w:rPr>
                <w:b/>
                <w:sz w:val="22"/>
                <w:szCs w:val="22"/>
                <w:lang w:val="sr-Latn-ME"/>
              </w:rPr>
              <w:t>Finalna zapremina (</w:t>
            </w:r>
            <w:r w:rsidR="007903A3" w:rsidRPr="009617CB">
              <w:rPr>
                <w:b/>
                <w:sz w:val="22"/>
                <w:szCs w:val="22"/>
                <w:lang w:val="sr-Latn-ME"/>
              </w:rPr>
              <w:t>ml</w:t>
            </w:r>
            <w:r w:rsidRPr="009617CB">
              <w:rPr>
                <w:b/>
                <w:sz w:val="22"/>
                <w:szCs w:val="22"/>
                <w:lang w:val="sr-Latn-ME"/>
              </w:rPr>
              <w:t xml:space="preserve">) rastvora za infuziju koja je potrebna za </w:t>
            </w:r>
            <w:r w:rsidR="00D718CE" w:rsidRPr="009617CB">
              <w:rPr>
                <w:b/>
                <w:sz w:val="22"/>
                <w:szCs w:val="22"/>
                <w:lang w:val="sr-Latn-ME"/>
              </w:rPr>
              <w:t>primjenu</w:t>
            </w:r>
            <w:r w:rsidRPr="009617CB">
              <w:rPr>
                <w:b/>
                <w:sz w:val="22"/>
                <w:szCs w:val="22"/>
                <w:lang w:val="sr-Latn-ME"/>
              </w:rPr>
              <w:t xml:space="preserve"> doze</w:t>
            </w:r>
          </w:p>
          <w:p w14:paraId="58CD7A36" w14:textId="77777777" w:rsidR="00B451EB" w:rsidRPr="009617CB" w:rsidRDefault="00B451EB" w:rsidP="007B2A33">
            <w:pPr>
              <w:jc w:val="both"/>
              <w:rPr>
                <w:b/>
                <w:sz w:val="22"/>
                <w:szCs w:val="22"/>
                <w:lang w:val="sr-Latn-ME"/>
              </w:rPr>
            </w:pPr>
          </w:p>
          <w:p w14:paraId="5DD64866" w14:textId="77777777" w:rsidR="00B451EB" w:rsidRPr="009617CB" w:rsidRDefault="00B451EB" w:rsidP="007B2A33">
            <w:pPr>
              <w:ind w:firstLine="720"/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B451EB" w:rsidRPr="00FE6836" w14:paraId="57CC41E1" w14:textId="77777777" w:rsidTr="00D718CE">
        <w:tc>
          <w:tcPr>
            <w:tcW w:w="2082" w:type="dxa"/>
          </w:tcPr>
          <w:p w14:paraId="3E4F3185" w14:textId="77777777" w:rsidR="00B451EB" w:rsidRPr="009617CB" w:rsidRDefault="00B451EB" w:rsidP="007B2A33">
            <w:pPr>
              <w:jc w:val="both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veće ili jednako 90</w:t>
            </w:r>
          </w:p>
        </w:tc>
        <w:tc>
          <w:tcPr>
            <w:tcW w:w="3345" w:type="dxa"/>
          </w:tcPr>
          <w:p w14:paraId="7F2BA244" w14:textId="77777777" w:rsidR="00B451EB" w:rsidRPr="009617CB" w:rsidRDefault="00B451EB" w:rsidP="009617CB">
            <w:pPr>
              <w:jc w:val="center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500/500/250</w:t>
            </w:r>
          </w:p>
        </w:tc>
        <w:tc>
          <w:tcPr>
            <w:tcW w:w="2166" w:type="dxa"/>
          </w:tcPr>
          <w:p w14:paraId="47FD0609" w14:textId="77777777" w:rsidR="00B451EB" w:rsidRPr="009617CB" w:rsidRDefault="00B451EB" w:rsidP="009617CB">
            <w:pPr>
              <w:jc w:val="center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N/P</w:t>
            </w:r>
          </w:p>
        </w:tc>
        <w:tc>
          <w:tcPr>
            <w:tcW w:w="2037" w:type="dxa"/>
          </w:tcPr>
          <w:p w14:paraId="50DD6082" w14:textId="77777777" w:rsidR="00B451EB" w:rsidRPr="009617CB" w:rsidRDefault="00B451EB" w:rsidP="009617CB">
            <w:pPr>
              <w:jc w:val="center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100</w:t>
            </w:r>
          </w:p>
        </w:tc>
      </w:tr>
      <w:tr w:rsidR="00B451EB" w:rsidRPr="00FE6836" w14:paraId="5B3E42BE" w14:textId="77777777" w:rsidTr="00D718CE">
        <w:tc>
          <w:tcPr>
            <w:tcW w:w="2082" w:type="dxa"/>
          </w:tcPr>
          <w:p w14:paraId="520828BB" w14:textId="77777777" w:rsidR="00B451EB" w:rsidRPr="009617CB" w:rsidRDefault="00B451EB" w:rsidP="007B2A33">
            <w:pPr>
              <w:jc w:val="both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manje od 90 do veće ili jednako 60</w:t>
            </w:r>
          </w:p>
        </w:tc>
        <w:tc>
          <w:tcPr>
            <w:tcW w:w="3345" w:type="dxa"/>
          </w:tcPr>
          <w:p w14:paraId="1E0F7F87" w14:textId="77777777" w:rsidR="00B451EB" w:rsidRPr="009617CB" w:rsidRDefault="00B451EB" w:rsidP="009617CB">
            <w:pPr>
              <w:jc w:val="center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400/400/200</w:t>
            </w:r>
          </w:p>
        </w:tc>
        <w:tc>
          <w:tcPr>
            <w:tcW w:w="2166" w:type="dxa"/>
          </w:tcPr>
          <w:p w14:paraId="539C1F9B" w14:textId="77777777" w:rsidR="00B451EB" w:rsidRPr="009617CB" w:rsidRDefault="00B451EB" w:rsidP="009617CB">
            <w:pPr>
              <w:jc w:val="center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20</w:t>
            </w:r>
          </w:p>
        </w:tc>
        <w:tc>
          <w:tcPr>
            <w:tcW w:w="2037" w:type="dxa"/>
          </w:tcPr>
          <w:p w14:paraId="277554AD" w14:textId="77777777" w:rsidR="00B451EB" w:rsidRPr="009617CB" w:rsidRDefault="00B451EB" w:rsidP="009617CB">
            <w:pPr>
              <w:jc w:val="center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80</w:t>
            </w:r>
          </w:p>
        </w:tc>
      </w:tr>
      <w:tr w:rsidR="00B451EB" w:rsidRPr="00FE6836" w14:paraId="7C71EF9E" w14:textId="77777777" w:rsidTr="00D718CE">
        <w:tc>
          <w:tcPr>
            <w:tcW w:w="2082" w:type="dxa"/>
          </w:tcPr>
          <w:p w14:paraId="7E936150" w14:textId="77777777" w:rsidR="00B451EB" w:rsidRPr="009617CB" w:rsidRDefault="00B451EB" w:rsidP="007B2A33">
            <w:pPr>
              <w:jc w:val="both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manje od 60 do veće ili jednako 30</w:t>
            </w:r>
          </w:p>
        </w:tc>
        <w:tc>
          <w:tcPr>
            <w:tcW w:w="3345" w:type="dxa"/>
          </w:tcPr>
          <w:p w14:paraId="770948A6" w14:textId="77777777" w:rsidR="00B451EB" w:rsidRPr="009617CB" w:rsidRDefault="00B451EB" w:rsidP="009617CB">
            <w:pPr>
              <w:jc w:val="center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300/300/150</w:t>
            </w:r>
          </w:p>
        </w:tc>
        <w:tc>
          <w:tcPr>
            <w:tcW w:w="2166" w:type="dxa"/>
          </w:tcPr>
          <w:p w14:paraId="3A34FB9F" w14:textId="77777777" w:rsidR="00B451EB" w:rsidRPr="009617CB" w:rsidRDefault="00B451EB" w:rsidP="009617CB">
            <w:pPr>
              <w:jc w:val="center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40</w:t>
            </w:r>
          </w:p>
        </w:tc>
        <w:tc>
          <w:tcPr>
            <w:tcW w:w="2037" w:type="dxa"/>
          </w:tcPr>
          <w:p w14:paraId="1DA5CB38" w14:textId="77777777" w:rsidR="00B451EB" w:rsidRPr="009617CB" w:rsidRDefault="00B451EB" w:rsidP="009617CB">
            <w:pPr>
              <w:jc w:val="center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60</w:t>
            </w:r>
          </w:p>
        </w:tc>
      </w:tr>
      <w:tr w:rsidR="00B451EB" w:rsidRPr="00FE6836" w14:paraId="20C2DFA8" w14:textId="77777777" w:rsidTr="00D718CE">
        <w:tc>
          <w:tcPr>
            <w:tcW w:w="2082" w:type="dxa"/>
          </w:tcPr>
          <w:p w14:paraId="3A027D28" w14:textId="77777777" w:rsidR="00B451EB" w:rsidRPr="009617CB" w:rsidRDefault="00B451EB" w:rsidP="007B2A33">
            <w:pPr>
              <w:jc w:val="both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manje od 30 do veće ili jednako 15 ili završni stadijum bubrežne bolesti uz hemodijalizu</w:t>
            </w:r>
          </w:p>
        </w:tc>
        <w:tc>
          <w:tcPr>
            <w:tcW w:w="3345" w:type="dxa"/>
          </w:tcPr>
          <w:p w14:paraId="0C882BA5" w14:textId="77777777" w:rsidR="00B451EB" w:rsidRPr="009617CB" w:rsidRDefault="00B451EB" w:rsidP="009617CB">
            <w:pPr>
              <w:jc w:val="center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200/200/100</w:t>
            </w:r>
          </w:p>
        </w:tc>
        <w:tc>
          <w:tcPr>
            <w:tcW w:w="2166" w:type="dxa"/>
          </w:tcPr>
          <w:p w14:paraId="5EFF10B0" w14:textId="77777777" w:rsidR="00B451EB" w:rsidRPr="009617CB" w:rsidRDefault="00B451EB" w:rsidP="009617CB">
            <w:pPr>
              <w:jc w:val="center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60</w:t>
            </w:r>
          </w:p>
        </w:tc>
        <w:tc>
          <w:tcPr>
            <w:tcW w:w="2037" w:type="dxa"/>
          </w:tcPr>
          <w:p w14:paraId="7A300F2B" w14:textId="77777777" w:rsidR="00B451EB" w:rsidRPr="009617CB" w:rsidRDefault="00B451EB" w:rsidP="009617CB">
            <w:pPr>
              <w:jc w:val="center"/>
              <w:rPr>
                <w:sz w:val="22"/>
                <w:szCs w:val="22"/>
                <w:lang w:val="sr-Latn-ME"/>
              </w:rPr>
            </w:pPr>
            <w:r w:rsidRPr="009617CB">
              <w:rPr>
                <w:sz w:val="22"/>
                <w:szCs w:val="22"/>
                <w:lang w:val="sr-Latn-ME"/>
              </w:rPr>
              <w:t>40</w:t>
            </w:r>
          </w:p>
        </w:tc>
      </w:tr>
    </w:tbl>
    <w:p w14:paraId="6F0AED65" w14:textId="77777777" w:rsidR="00B451EB" w:rsidRPr="003F4D31" w:rsidRDefault="00B451EB" w:rsidP="007B2A33">
      <w:pPr>
        <w:jc w:val="both"/>
        <w:rPr>
          <w:szCs w:val="22"/>
          <w:lang w:val="sr-Latn-ME"/>
        </w:rPr>
      </w:pPr>
    </w:p>
    <w:p w14:paraId="114232D5" w14:textId="6241AA44" w:rsidR="00B451EB" w:rsidRPr="009617CB" w:rsidRDefault="00B451EB" w:rsidP="007B2A33">
      <w:pPr>
        <w:jc w:val="both"/>
        <w:rPr>
          <w:sz w:val="22"/>
          <w:szCs w:val="22"/>
          <w:lang w:val="sr-Latn-ME"/>
        </w:rPr>
      </w:pPr>
      <w:r w:rsidRPr="009617CB">
        <w:rPr>
          <w:sz w:val="22"/>
          <w:szCs w:val="22"/>
          <w:lang w:val="sr-Latn-ME"/>
        </w:rPr>
        <w:t xml:space="preserve">Svu neiskorišćenu količinu </w:t>
      </w:r>
      <w:r w:rsidR="00D718CE" w:rsidRPr="009617CB">
        <w:rPr>
          <w:sz w:val="22"/>
          <w:szCs w:val="22"/>
          <w:lang w:val="sr-Latn-ME"/>
        </w:rPr>
        <w:t>lijek</w:t>
      </w:r>
      <w:r w:rsidRPr="009617CB">
        <w:rPr>
          <w:sz w:val="22"/>
          <w:szCs w:val="22"/>
          <w:lang w:val="sr-Latn-ME"/>
        </w:rPr>
        <w:t>a ili otpadnog materijala nakon njegove upotrebe treba ukloniti, u skladu sa važećim propisima.</w:t>
      </w:r>
    </w:p>
    <w:p w14:paraId="33A4C1AA" w14:textId="77777777" w:rsidR="00B451EB" w:rsidRPr="003F4D31" w:rsidRDefault="00B451EB" w:rsidP="007B2A33">
      <w:pPr>
        <w:jc w:val="both"/>
        <w:rPr>
          <w:szCs w:val="22"/>
          <w:lang w:val="sr-Latn-ME"/>
        </w:rPr>
      </w:pPr>
    </w:p>
    <w:p w14:paraId="52A657A5" w14:textId="597C0393" w:rsidR="00B451EB" w:rsidRPr="009617CB" w:rsidRDefault="00B451EB" w:rsidP="007B2A33">
      <w:pPr>
        <w:jc w:val="both"/>
        <w:rPr>
          <w:sz w:val="22"/>
          <w:szCs w:val="22"/>
          <w:u w:val="single"/>
          <w:lang w:val="sr-Latn-ME"/>
        </w:rPr>
      </w:pPr>
      <w:r w:rsidRPr="009617CB">
        <w:rPr>
          <w:sz w:val="22"/>
          <w:szCs w:val="22"/>
          <w:u w:val="single"/>
          <w:lang w:val="sr-Latn-ME"/>
        </w:rPr>
        <w:t xml:space="preserve">Kompatibilni </w:t>
      </w:r>
      <w:r w:rsidR="007E1A5B" w:rsidRPr="009617CB">
        <w:rPr>
          <w:sz w:val="22"/>
          <w:szCs w:val="22"/>
          <w:u w:val="single"/>
          <w:lang w:val="sr-Latn-ME"/>
        </w:rPr>
        <w:t>ljekovi</w:t>
      </w:r>
    </w:p>
    <w:p w14:paraId="527D3A52" w14:textId="77777777" w:rsidR="00B451EB" w:rsidRPr="009617CB" w:rsidRDefault="00B451EB" w:rsidP="007B2A33">
      <w:pPr>
        <w:jc w:val="both"/>
        <w:rPr>
          <w:sz w:val="22"/>
          <w:szCs w:val="22"/>
          <w:u w:val="single"/>
          <w:lang w:val="sr-Latn-ME"/>
        </w:rPr>
      </w:pPr>
    </w:p>
    <w:p w14:paraId="29332C6A" w14:textId="5AF25AC4" w:rsidR="00B451EB" w:rsidRPr="009617CB" w:rsidRDefault="00B451EB" w:rsidP="007B2A33">
      <w:pPr>
        <w:jc w:val="both"/>
        <w:rPr>
          <w:sz w:val="22"/>
          <w:szCs w:val="22"/>
          <w:lang w:val="sr-Latn-ME"/>
        </w:rPr>
      </w:pPr>
      <w:r w:rsidRPr="009617CB">
        <w:rPr>
          <w:sz w:val="22"/>
          <w:szCs w:val="22"/>
          <w:lang w:val="sr-Latn-ME"/>
        </w:rPr>
        <w:t xml:space="preserve">Fizička kompatibilnost </w:t>
      </w:r>
      <w:r w:rsidR="00D718CE" w:rsidRPr="009617CB">
        <w:rPr>
          <w:sz w:val="22"/>
          <w:szCs w:val="22"/>
          <w:lang w:val="sr-Latn-ME"/>
        </w:rPr>
        <w:t>lijek</w:t>
      </w:r>
      <w:r w:rsidRPr="009617CB">
        <w:rPr>
          <w:sz w:val="22"/>
          <w:szCs w:val="22"/>
          <w:lang w:val="sr-Latn-ME"/>
        </w:rPr>
        <w:t xml:space="preserve">a RECARBRIO sa odabranim injekcionim </w:t>
      </w:r>
      <w:r w:rsidR="007E1A5B" w:rsidRPr="009617CB">
        <w:rPr>
          <w:sz w:val="22"/>
          <w:szCs w:val="22"/>
          <w:lang w:val="sr-Latn-ME"/>
        </w:rPr>
        <w:t>ljekovi</w:t>
      </w:r>
      <w:r w:rsidRPr="009617CB">
        <w:rPr>
          <w:sz w:val="22"/>
          <w:szCs w:val="22"/>
          <w:lang w:val="sr-Latn-ME"/>
        </w:rPr>
        <w:t>ma proc</w:t>
      </w:r>
      <w:r w:rsidR="007E1A5B" w:rsidRPr="009617CB">
        <w:rPr>
          <w:sz w:val="22"/>
          <w:szCs w:val="22"/>
          <w:lang w:val="sr-Latn-ME"/>
        </w:rPr>
        <w:t>j</w:t>
      </w:r>
      <w:r w:rsidRPr="009617CB">
        <w:rPr>
          <w:sz w:val="22"/>
          <w:szCs w:val="22"/>
          <w:lang w:val="sr-Latn-ME"/>
        </w:rPr>
        <w:t>enjivala se u dva često dostupna rastvarača na Y-</w:t>
      </w:r>
      <w:r w:rsidR="0022431E" w:rsidRPr="009617CB">
        <w:rPr>
          <w:sz w:val="22"/>
          <w:szCs w:val="22"/>
          <w:lang w:val="sr-Latn-ME"/>
        </w:rPr>
        <w:t>mjestu</w:t>
      </w:r>
      <w:r w:rsidRPr="009617CB">
        <w:rPr>
          <w:sz w:val="22"/>
          <w:szCs w:val="22"/>
          <w:lang w:val="sr-Latn-ME"/>
        </w:rPr>
        <w:t xml:space="preserve"> infuzije. U nastavku su navedeni kompatibilni </w:t>
      </w:r>
      <w:r w:rsidR="007E1A5B" w:rsidRPr="009617CB">
        <w:rPr>
          <w:sz w:val="22"/>
          <w:szCs w:val="22"/>
          <w:lang w:val="sr-Latn-ME"/>
        </w:rPr>
        <w:t>ljekovi</w:t>
      </w:r>
      <w:r w:rsidRPr="009617CB">
        <w:rPr>
          <w:sz w:val="22"/>
          <w:szCs w:val="22"/>
          <w:lang w:val="sr-Latn-ME"/>
        </w:rPr>
        <w:t>, zajedno sa odgovarajućim kompatibilnim rastvaračem (tj. 5%-tnim sterilnim rastvorom glukoze ili 0,9%-tnim sterilnim rastvorom natrijum</w:t>
      </w:r>
      <w:r w:rsidR="007D771F" w:rsidRPr="009617CB">
        <w:rPr>
          <w:sz w:val="22"/>
          <w:szCs w:val="22"/>
          <w:lang w:val="sr-Latn-ME"/>
        </w:rPr>
        <w:t xml:space="preserve"> </w:t>
      </w:r>
      <w:r w:rsidRPr="009617CB">
        <w:rPr>
          <w:sz w:val="22"/>
          <w:szCs w:val="22"/>
          <w:lang w:val="sr-Latn-ME"/>
        </w:rPr>
        <w:t xml:space="preserve">hlorida). Budući da nema dostupnih podataka o kompatibilnosti, </w:t>
      </w:r>
      <w:r w:rsidR="00D718CE" w:rsidRPr="009617CB">
        <w:rPr>
          <w:sz w:val="22"/>
          <w:szCs w:val="22"/>
          <w:lang w:val="sr-Latn-ME"/>
        </w:rPr>
        <w:t>lijek</w:t>
      </w:r>
      <w:r w:rsidRPr="009617CB">
        <w:rPr>
          <w:sz w:val="22"/>
          <w:szCs w:val="22"/>
          <w:lang w:val="sr-Latn-ME"/>
        </w:rPr>
        <w:t xml:space="preserve"> RECARBRIO ne treba </w:t>
      </w:r>
      <w:r w:rsidR="00D718CE" w:rsidRPr="009617CB">
        <w:rPr>
          <w:sz w:val="22"/>
          <w:szCs w:val="22"/>
          <w:lang w:val="sr-Latn-ME"/>
        </w:rPr>
        <w:t>primjenjivati</w:t>
      </w:r>
      <w:r w:rsidRPr="009617CB">
        <w:rPr>
          <w:sz w:val="22"/>
          <w:szCs w:val="22"/>
          <w:lang w:val="sr-Latn-ME"/>
        </w:rPr>
        <w:t xml:space="preserve"> isto</w:t>
      </w:r>
      <w:r w:rsidR="00D718CE" w:rsidRPr="009617CB">
        <w:rPr>
          <w:sz w:val="22"/>
          <w:szCs w:val="22"/>
          <w:lang w:val="sr-Latn-ME"/>
        </w:rPr>
        <w:t>vreme</w:t>
      </w:r>
      <w:r w:rsidRPr="009617CB">
        <w:rPr>
          <w:sz w:val="22"/>
          <w:szCs w:val="22"/>
          <w:lang w:val="sr-Latn-ME"/>
        </w:rPr>
        <w:t xml:space="preserve">no istom intravenskom linijom (ili kanilom) sa drugim </w:t>
      </w:r>
      <w:r w:rsidR="007E1A5B" w:rsidRPr="009617CB">
        <w:rPr>
          <w:sz w:val="22"/>
          <w:szCs w:val="22"/>
          <w:lang w:val="sr-Latn-ME"/>
        </w:rPr>
        <w:t>ljekovi</w:t>
      </w:r>
      <w:r w:rsidRPr="009617CB">
        <w:rPr>
          <w:sz w:val="22"/>
          <w:szCs w:val="22"/>
          <w:lang w:val="sr-Latn-ME"/>
        </w:rPr>
        <w:t>ma, osim sa onima koji su navedeni u nastavku. Za potvrdu kompatibilnosti isto</w:t>
      </w:r>
      <w:r w:rsidR="00D718CE" w:rsidRPr="009617CB">
        <w:rPr>
          <w:sz w:val="22"/>
          <w:szCs w:val="22"/>
          <w:lang w:val="sr-Latn-ME"/>
        </w:rPr>
        <w:t>vrijeme</w:t>
      </w:r>
      <w:r w:rsidRPr="009617CB">
        <w:rPr>
          <w:sz w:val="22"/>
          <w:szCs w:val="22"/>
          <w:lang w:val="sr-Latn-ME"/>
        </w:rPr>
        <w:t>ne prim</w:t>
      </w:r>
      <w:r w:rsidR="007D771F" w:rsidRPr="009617CB">
        <w:rPr>
          <w:sz w:val="22"/>
          <w:szCs w:val="22"/>
          <w:lang w:val="sr-Latn-ME"/>
        </w:rPr>
        <w:t>j</w:t>
      </w:r>
      <w:r w:rsidRPr="009617CB">
        <w:rPr>
          <w:sz w:val="22"/>
          <w:szCs w:val="22"/>
          <w:lang w:val="sr-Latn-ME"/>
        </w:rPr>
        <w:t xml:space="preserve">ene </w:t>
      </w:r>
      <w:r w:rsidR="00D718CE" w:rsidRPr="009617CB">
        <w:rPr>
          <w:sz w:val="22"/>
          <w:szCs w:val="22"/>
          <w:lang w:val="sr-Latn-ME"/>
        </w:rPr>
        <w:t>vidjeti</w:t>
      </w:r>
      <w:r w:rsidRPr="009617CB">
        <w:rPr>
          <w:sz w:val="22"/>
          <w:szCs w:val="22"/>
          <w:lang w:val="sr-Latn-ME"/>
        </w:rPr>
        <w:t xml:space="preserve"> odgovarajuće informacije o </w:t>
      </w:r>
      <w:r w:rsidR="00D718CE" w:rsidRPr="009617CB">
        <w:rPr>
          <w:sz w:val="22"/>
          <w:szCs w:val="22"/>
          <w:lang w:val="sr-Latn-ME"/>
        </w:rPr>
        <w:t>lijek</w:t>
      </w:r>
      <w:r w:rsidRPr="009617CB">
        <w:rPr>
          <w:sz w:val="22"/>
          <w:szCs w:val="22"/>
          <w:lang w:val="sr-Latn-ME"/>
        </w:rPr>
        <w:t>u koje se odnose na isto</w:t>
      </w:r>
      <w:r w:rsidR="0022431E" w:rsidRPr="009617CB">
        <w:rPr>
          <w:sz w:val="22"/>
          <w:szCs w:val="22"/>
          <w:lang w:val="sr-Latn-ME"/>
        </w:rPr>
        <w:t>vremeno</w:t>
      </w:r>
      <w:r w:rsidRPr="009617CB">
        <w:rPr>
          <w:sz w:val="22"/>
          <w:szCs w:val="22"/>
          <w:lang w:val="sr-Latn-ME"/>
        </w:rPr>
        <w:t xml:space="preserve"> </w:t>
      </w:r>
      <w:r w:rsidR="00D718CE" w:rsidRPr="009617CB">
        <w:rPr>
          <w:sz w:val="22"/>
          <w:szCs w:val="22"/>
          <w:lang w:val="sr-Latn-ME"/>
        </w:rPr>
        <w:t>primijenjeni</w:t>
      </w:r>
      <w:r w:rsidRPr="009617CB">
        <w:rPr>
          <w:sz w:val="22"/>
          <w:szCs w:val="22"/>
          <w:lang w:val="sr-Latn-ME"/>
        </w:rPr>
        <w:t xml:space="preserve">(e) </w:t>
      </w:r>
      <w:r w:rsidR="00D718CE" w:rsidRPr="009617CB">
        <w:rPr>
          <w:sz w:val="22"/>
          <w:szCs w:val="22"/>
          <w:lang w:val="sr-Latn-ME"/>
        </w:rPr>
        <w:t>lijek</w:t>
      </w:r>
      <w:r w:rsidRPr="009617CB">
        <w:rPr>
          <w:sz w:val="22"/>
          <w:szCs w:val="22"/>
          <w:lang w:val="sr-Latn-ME"/>
        </w:rPr>
        <w:t xml:space="preserve">(ove). Ovaj </w:t>
      </w:r>
      <w:r w:rsidR="00D718CE" w:rsidRPr="009617CB">
        <w:rPr>
          <w:sz w:val="22"/>
          <w:szCs w:val="22"/>
          <w:lang w:val="sr-Latn-ME"/>
        </w:rPr>
        <w:t>lijek</w:t>
      </w:r>
      <w:r w:rsidRPr="009617CB">
        <w:rPr>
          <w:sz w:val="22"/>
          <w:szCs w:val="22"/>
          <w:lang w:val="sr-Latn-ME"/>
        </w:rPr>
        <w:t xml:space="preserve"> se ne sm</w:t>
      </w:r>
      <w:r w:rsidR="007D771F" w:rsidRPr="009617CB">
        <w:rPr>
          <w:sz w:val="22"/>
          <w:szCs w:val="22"/>
          <w:lang w:val="sr-Latn-ME"/>
        </w:rPr>
        <w:t>ij</w:t>
      </w:r>
      <w:r w:rsidRPr="009617CB">
        <w:rPr>
          <w:sz w:val="22"/>
          <w:szCs w:val="22"/>
          <w:lang w:val="sr-Latn-ME"/>
        </w:rPr>
        <w:t>e m</w:t>
      </w:r>
      <w:r w:rsidR="007D771F" w:rsidRPr="009617CB">
        <w:rPr>
          <w:sz w:val="22"/>
          <w:szCs w:val="22"/>
          <w:lang w:val="sr-Latn-ME"/>
        </w:rPr>
        <w:t>j</w:t>
      </w:r>
      <w:r w:rsidRPr="009617CB">
        <w:rPr>
          <w:sz w:val="22"/>
          <w:szCs w:val="22"/>
          <w:lang w:val="sr-Latn-ME"/>
        </w:rPr>
        <w:t xml:space="preserve">ešati sa drugim </w:t>
      </w:r>
      <w:r w:rsidR="007E1A5B" w:rsidRPr="009617CB">
        <w:rPr>
          <w:sz w:val="22"/>
          <w:szCs w:val="22"/>
          <w:lang w:val="sr-Latn-ME"/>
        </w:rPr>
        <w:t>ljekovi</w:t>
      </w:r>
      <w:r w:rsidRPr="009617CB">
        <w:rPr>
          <w:sz w:val="22"/>
          <w:szCs w:val="22"/>
          <w:lang w:val="sr-Latn-ME"/>
        </w:rPr>
        <w:t>ma, osim sa onima koji su navedeni u nastavku.</w:t>
      </w:r>
    </w:p>
    <w:p w14:paraId="2B3BA312" w14:textId="77777777" w:rsidR="00B451EB" w:rsidRPr="009617CB" w:rsidRDefault="00B451EB" w:rsidP="007B2A33">
      <w:pPr>
        <w:jc w:val="both"/>
        <w:rPr>
          <w:sz w:val="22"/>
          <w:szCs w:val="22"/>
          <w:lang w:val="sr-Latn-ME"/>
        </w:rPr>
      </w:pPr>
    </w:p>
    <w:p w14:paraId="29EBA4BC" w14:textId="3E694B89" w:rsidR="00B451EB" w:rsidRPr="009617CB" w:rsidRDefault="00B451EB" w:rsidP="007B2A33">
      <w:pPr>
        <w:jc w:val="both"/>
        <w:rPr>
          <w:sz w:val="22"/>
          <w:szCs w:val="22"/>
          <w:lang w:val="sr-Latn-ME"/>
        </w:rPr>
      </w:pPr>
      <w:r w:rsidRPr="009617CB">
        <w:rPr>
          <w:sz w:val="22"/>
          <w:szCs w:val="22"/>
          <w:lang w:val="sr-Latn-ME"/>
        </w:rPr>
        <w:t xml:space="preserve">Spisak kompatibilnih injekcionih </w:t>
      </w:r>
      <w:r w:rsidR="00816A5C" w:rsidRPr="009617CB">
        <w:rPr>
          <w:sz w:val="22"/>
          <w:szCs w:val="22"/>
          <w:lang w:val="sr-Latn-ME"/>
        </w:rPr>
        <w:t>ljekov</w:t>
      </w:r>
      <w:r w:rsidRPr="009617CB">
        <w:rPr>
          <w:sz w:val="22"/>
          <w:szCs w:val="22"/>
          <w:lang w:val="sr-Latn-ME"/>
        </w:rPr>
        <w:t xml:space="preserve">a za </w:t>
      </w:r>
      <w:r w:rsidR="00D718CE" w:rsidRPr="009617CB">
        <w:rPr>
          <w:sz w:val="22"/>
          <w:szCs w:val="22"/>
          <w:lang w:val="sr-Latn-ME"/>
        </w:rPr>
        <w:t>primjenu</w:t>
      </w:r>
      <w:r w:rsidRPr="009617CB">
        <w:rPr>
          <w:sz w:val="22"/>
          <w:szCs w:val="22"/>
          <w:lang w:val="sr-Latn-ME"/>
        </w:rPr>
        <w:t xml:space="preserve"> sa 5%-tnim sterilnim rastvorom glukoze ili 0,9%-tnim sterilnim rastvorom natrijum</w:t>
      </w:r>
      <w:r w:rsidR="007D771F" w:rsidRPr="009617CB">
        <w:rPr>
          <w:sz w:val="22"/>
          <w:szCs w:val="22"/>
          <w:lang w:val="sr-Latn-ME"/>
        </w:rPr>
        <w:t xml:space="preserve"> </w:t>
      </w:r>
      <w:r w:rsidRPr="009617CB">
        <w:rPr>
          <w:sz w:val="22"/>
          <w:szCs w:val="22"/>
          <w:lang w:val="sr-Latn-ME"/>
        </w:rPr>
        <w:t>hlorida kao rastvaračima:</w:t>
      </w:r>
    </w:p>
    <w:p w14:paraId="501B86CE" w14:textId="77777777" w:rsidR="00B451EB" w:rsidRPr="00FE6836" w:rsidRDefault="00B451EB" w:rsidP="007B2A33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FE6836">
        <w:rPr>
          <w:szCs w:val="22"/>
          <w:lang w:val="sr-Latn-ME"/>
        </w:rPr>
        <w:t>deksmedetomidin</w:t>
      </w:r>
    </w:p>
    <w:p w14:paraId="4B0F63C1" w14:textId="77777777" w:rsidR="00B451EB" w:rsidRPr="00FE6836" w:rsidRDefault="00B451EB" w:rsidP="007B2A33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FE6836">
        <w:rPr>
          <w:szCs w:val="22"/>
          <w:lang w:val="sr-Latn-ME"/>
        </w:rPr>
        <w:t>dopamin</w:t>
      </w:r>
    </w:p>
    <w:p w14:paraId="2872B191" w14:textId="77777777" w:rsidR="00B451EB" w:rsidRPr="00FE6836" w:rsidRDefault="00B451EB" w:rsidP="007B2A33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FE6836">
        <w:rPr>
          <w:szCs w:val="22"/>
          <w:lang w:val="sr-Latn-ME"/>
        </w:rPr>
        <w:t>epinefrin</w:t>
      </w:r>
    </w:p>
    <w:p w14:paraId="5312C1F8" w14:textId="77777777" w:rsidR="00B451EB" w:rsidRPr="00FE6836" w:rsidRDefault="00B451EB" w:rsidP="007B2A33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FE6836">
        <w:rPr>
          <w:szCs w:val="22"/>
          <w:lang w:val="sr-Latn-ME"/>
        </w:rPr>
        <w:t>fentanil</w:t>
      </w:r>
    </w:p>
    <w:p w14:paraId="11A82D13" w14:textId="77777777" w:rsidR="00B451EB" w:rsidRPr="00FE6836" w:rsidRDefault="00B451EB" w:rsidP="007B2A33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FE6836">
        <w:rPr>
          <w:szCs w:val="22"/>
          <w:lang w:val="sr-Latn-ME"/>
        </w:rPr>
        <w:t>heparin</w:t>
      </w:r>
    </w:p>
    <w:p w14:paraId="7BD5ED8B" w14:textId="77777777" w:rsidR="00B451EB" w:rsidRPr="00FE6836" w:rsidRDefault="00B451EB" w:rsidP="007B2A33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FE6836">
        <w:rPr>
          <w:szCs w:val="22"/>
          <w:lang w:val="sr-Latn-ME"/>
        </w:rPr>
        <w:t>midazolam</w:t>
      </w:r>
    </w:p>
    <w:p w14:paraId="5906DDD0" w14:textId="77777777" w:rsidR="00B451EB" w:rsidRPr="00FE6836" w:rsidRDefault="00B451EB" w:rsidP="007B2A33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FE6836">
        <w:rPr>
          <w:szCs w:val="22"/>
          <w:lang w:val="sr-Latn-ME"/>
        </w:rPr>
        <w:t>norepinefrin</w:t>
      </w:r>
    </w:p>
    <w:p w14:paraId="77785930" w14:textId="77777777" w:rsidR="00B451EB" w:rsidRPr="00FE6836" w:rsidRDefault="00B451EB" w:rsidP="007B2A33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FE6836">
        <w:rPr>
          <w:szCs w:val="22"/>
          <w:lang w:val="sr-Latn-ME"/>
        </w:rPr>
        <w:t>fenilefrin.</w:t>
      </w:r>
    </w:p>
    <w:p w14:paraId="5F028477" w14:textId="77777777" w:rsidR="00B451EB" w:rsidRPr="009617CB" w:rsidRDefault="00B451EB" w:rsidP="007B2A33">
      <w:pPr>
        <w:jc w:val="both"/>
        <w:rPr>
          <w:sz w:val="22"/>
          <w:szCs w:val="22"/>
          <w:lang w:val="sr-Latn-ME"/>
        </w:rPr>
      </w:pPr>
    </w:p>
    <w:p w14:paraId="7EA0B726" w14:textId="77777777" w:rsidR="00B451EB" w:rsidRPr="009617CB" w:rsidRDefault="00B451EB" w:rsidP="007B2A33">
      <w:pPr>
        <w:jc w:val="both"/>
        <w:rPr>
          <w:sz w:val="22"/>
          <w:szCs w:val="22"/>
          <w:u w:val="single"/>
          <w:lang w:val="sr-Latn-ME"/>
        </w:rPr>
      </w:pPr>
      <w:r w:rsidRPr="009617CB">
        <w:rPr>
          <w:sz w:val="22"/>
          <w:szCs w:val="22"/>
          <w:u w:val="single"/>
          <w:lang w:val="sr-Latn-ME"/>
        </w:rPr>
        <w:t>Kompatibilne kese za intravensku infuziju i infuzioni setovi</w:t>
      </w:r>
    </w:p>
    <w:p w14:paraId="769F188C" w14:textId="77777777" w:rsidR="00B451EB" w:rsidRPr="009617CB" w:rsidRDefault="00B451EB" w:rsidP="007B2A33">
      <w:pPr>
        <w:jc w:val="both"/>
        <w:rPr>
          <w:sz w:val="22"/>
          <w:szCs w:val="22"/>
          <w:u w:val="single"/>
          <w:lang w:val="sr-Latn-ME"/>
        </w:rPr>
      </w:pPr>
    </w:p>
    <w:p w14:paraId="507DBADB" w14:textId="343576D3" w:rsidR="00B451EB" w:rsidRPr="009617CB" w:rsidRDefault="00D718CE" w:rsidP="007B2A33">
      <w:pPr>
        <w:jc w:val="both"/>
        <w:rPr>
          <w:sz w:val="22"/>
          <w:szCs w:val="22"/>
          <w:lang w:val="sr-Latn-ME"/>
        </w:rPr>
      </w:pPr>
      <w:r w:rsidRPr="009617CB">
        <w:rPr>
          <w:sz w:val="22"/>
          <w:szCs w:val="22"/>
          <w:lang w:val="sr-Latn-ME"/>
        </w:rPr>
        <w:t>Lijek</w:t>
      </w:r>
      <w:r w:rsidR="00B451EB" w:rsidRPr="009617CB">
        <w:rPr>
          <w:sz w:val="22"/>
          <w:szCs w:val="22"/>
          <w:lang w:val="sr-Latn-ME"/>
        </w:rPr>
        <w:t xml:space="preserve"> RECARBRIO je kompatibilan sa sl</w:t>
      </w:r>
      <w:r w:rsidR="007D771F" w:rsidRPr="009617CB">
        <w:rPr>
          <w:sz w:val="22"/>
          <w:szCs w:val="22"/>
          <w:lang w:val="sr-Latn-ME"/>
        </w:rPr>
        <w:t>j</w:t>
      </w:r>
      <w:r w:rsidR="00B451EB" w:rsidRPr="009617CB">
        <w:rPr>
          <w:sz w:val="22"/>
          <w:szCs w:val="22"/>
          <w:lang w:val="sr-Latn-ME"/>
        </w:rPr>
        <w:t>edećim kesama za intravensku infuziju i infuzionim setovima. Ne sm</w:t>
      </w:r>
      <w:r w:rsidR="007E1A5B" w:rsidRPr="009617CB">
        <w:rPr>
          <w:sz w:val="22"/>
          <w:szCs w:val="22"/>
          <w:lang w:val="sr-Latn-ME"/>
        </w:rPr>
        <w:t>ij</w:t>
      </w:r>
      <w:r w:rsidR="00B451EB" w:rsidRPr="009617CB">
        <w:rPr>
          <w:sz w:val="22"/>
          <w:szCs w:val="22"/>
          <w:lang w:val="sr-Latn-ME"/>
        </w:rPr>
        <w:t>e se koristiti nijedna kesa za intravensku infuziju ni infuzioni set koji nije naveden u nastavku.</w:t>
      </w:r>
    </w:p>
    <w:p w14:paraId="0276311D" w14:textId="77777777" w:rsidR="00B451EB" w:rsidRPr="009617CB" w:rsidRDefault="00B451EB" w:rsidP="007B2A33">
      <w:pPr>
        <w:jc w:val="both"/>
        <w:rPr>
          <w:sz w:val="22"/>
          <w:szCs w:val="22"/>
          <w:lang w:val="sr-Latn-ME"/>
        </w:rPr>
      </w:pPr>
    </w:p>
    <w:p w14:paraId="0B46D8F1" w14:textId="77777777" w:rsidR="00B451EB" w:rsidRPr="009617CB" w:rsidRDefault="00B451EB" w:rsidP="007B2A33">
      <w:pPr>
        <w:jc w:val="both"/>
        <w:rPr>
          <w:i/>
          <w:sz w:val="22"/>
          <w:szCs w:val="22"/>
          <w:lang w:val="sr-Latn-ME"/>
        </w:rPr>
      </w:pPr>
      <w:r w:rsidRPr="009617CB">
        <w:rPr>
          <w:i/>
          <w:sz w:val="22"/>
          <w:szCs w:val="22"/>
          <w:lang w:val="sr-Latn-ME"/>
        </w:rPr>
        <w:t>Kese za intravensku infuziju</w:t>
      </w:r>
    </w:p>
    <w:p w14:paraId="37FD39E5" w14:textId="77777777" w:rsidR="00B451EB" w:rsidRPr="009617CB" w:rsidRDefault="00B451EB" w:rsidP="007B2A33">
      <w:pPr>
        <w:jc w:val="both"/>
        <w:rPr>
          <w:sz w:val="22"/>
          <w:szCs w:val="22"/>
          <w:lang w:val="sr-Latn-ME"/>
        </w:rPr>
      </w:pPr>
      <w:r w:rsidRPr="009617CB">
        <w:rPr>
          <w:sz w:val="22"/>
          <w:szCs w:val="22"/>
          <w:lang w:val="sr-Latn-ME"/>
        </w:rPr>
        <w:t>Kese sastavljene od polivinilhlorida (PVC) i poliolefina (polipropilena i polietilena).</w:t>
      </w:r>
    </w:p>
    <w:p w14:paraId="08A2D456" w14:textId="77777777" w:rsidR="00B451EB" w:rsidRPr="009617CB" w:rsidRDefault="00B451EB" w:rsidP="007B2A33">
      <w:pPr>
        <w:jc w:val="both"/>
        <w:rPr>
          <w:sz w:val="22"/>
          <w:szCs w:val="22"/>
          <w:lang w:val="sr-Latn-ME"/>
        </w:rPr>
      </w:pPr>
    </w:p>
    <w:p w14:paraId="69B89CBD" w14:textId="376343B2" w:rsidR="00B451EB" w:rsidRPr="009617CB" w:rsidRDefault="00B451EB" w:rsidP="007B2A33">
      <w:pPr>
        <w:jc w:val="both"/>
        <w:rPr>
          <w:i/>
          <w:sz w:val="22"/>
          <w:szCs w:val="22"/>
          <w:lang w:val="sr-Latn-ME"/>
        </w:rPr>
      </w:pPr>
      <w:r w:rsidRPr="009617CB">
        <w:rPr>
          <w:i/>
          <w:sz w:val="22"/>
          <w:szCs w:val="22"/>
          <w:lang w:val="sr-Latn-ME"/>
        </w:rPr>
        <w:t>Setovi za intravensku infuziju (sa c</w:t>
      </w:r>
      <w:r w:rsidR="007E1A5B" w:rsidRPr="009617CB">
        <w:rPr>
          <w:i/>
          <w:sz w:val="22"/>
          <w:szCs w:val="22"/>
          <w:lang w:val="sr-Latn-ME"/>
        </w:rPr>
        <w:t>ij</w:t>
      </w:r>
      <w:r w:rsidRPr="009617CB">
        <w:rPr>
          <w:i/>
          <w:sz w:val="22"/>
          <w:szCs w:val="22"/>
          <w:lang w:val="sr-Latn-ME"/>
        </w:rPr>
        <w:t>evima)</w:t>
      </w:r>
    </w:p>
    <w:p w14:paraId="6A61F306" w14:textId="77777777" w:rsidR="00B451EB" w:rsidRPr="009617CB" w:rsidRDefault="00B451EB" w:rsidP="007B2A33">
      <w:pPr>
        <w:jc w:val="both"/>
        <w:rPr>
          <w:sz w:val="22"/>
          <w:szCs w:val="22"/>
          <w:lang w:val="sr-Latn-ME"/>
        </w:rPr>
      </w:pPr>
      <w:r w:rsidRPr="009617CB">
        <w:rPr>
          <w:sz w:val="22"/>
          <w:szCs w:val="22"/>
          <w:lang w:val="sr-Latn-ME"/>
        </w:rPr>
        <w:t>Setovi sastavljeni od PVC-a koji sadrže di(2-etilheksil)ftalat (DEHP) i PVC-a obloženog polietilenom (PE).</w:t>
      </w:r>
    </w:p>
    <w:p w14:paraId="05E3BB7B" w14:textId="77777777" w:rsidR="00893B36" w:rsidRPr="009617CB" w:rsidRDefault="00893B36" w:rsidP="007B2A33">
      <w:pPr>
        <w:jc w:val="both"/>
        <w:rPr>
          <w:sz w:val="22"/>
          <w:szCs w:val="22"/>
          <w:u w:val="single"/>
          <w:lang w:val="sr-Latn-ME"/>
        </w:rPr>
      </w:pPr>
    </w:p>
    <w:p w14:paraId="1E5C76AC" w14:textId="54456941" w:rsidR="00B451EB" w:rsidRPr="009617CB" w:rsidRDefault="00B451EB" w:rsidP="007B2A33">
      <w:pPr>
        <w:jc w:val="both"/>
        <w:rPr>
          <w:sz w:val="22"/>
          <w:szCs w:val="22"/>
          <w:u w:val="single"/>
          <w:lang w:val="sr-Latn-ME"/>
        </w:rPr>
      </w:pPr>
      <w:r w:rsidRPr="009617CB">
        <w:rPr>
          <w:sz w:val="22"/>
          <w:szCs w:val="22"/>
          <w:u w:val="single"/>
          <w:lang w:val="sr-Latn-ME"/>
        </w:rPr>
        <w:t xml:space="preserve">Inkompatibilni </w:t>
      </w:r>
      <w:r w:rsidR="007E1A5B" w:rsidRPr="009617CB">
        <w:rPr>
          <w:sz w:val="22"/>
          <w:szCs w:val="22"/>
          <w:u w:val="single"/>
          <w:lang w:val="sr-Latn-ME"/>
        </w:rPr>
        <w:t>ljekovi</w:t>
      </w:r>
    </w:p>
    <w:p w14:paraId="5C415DE1" w14:textId="77777777" w:rsidR="00B451EB" w:rsidRPr="009617CB" w:rsidRDefault="00B451EB" w:rsidP="007B2A33">
      <w:pPr>
        <w:jc w:val="both"/>
        <w:rPr>
          <w:sz w:val="22"/>
          <w:szCs w:val="22"/>
          <w:u w:val="single"/>
          <w:lang w:val="sr-Latn-ME"/>
        </w:rPr>
      </w:pPr>
    </w:p>
    <w:p w14:paraId="52BB5FD2" w14:textId="7DAE4FE9" w:rsidR="00B451EB" w:rsidRPr="009617CB" w:rsidRDefault="00D718CE" w:rsidP="007B2A33">
      <w:pPr>
        <w:jc w:val="both"/>
        <w:rPr>
          <w:sz w:val="22"/>
          <w:szCs w:val="22"/>
          <w:lang w:val="sr-Latn-ME"/>
        </w:rPr>
      </w:pPr>
      <w:r w:rsidRPr="009617CB">
        <w:rPr>
          <w:sz w:val="22"/>
          <w:szCs w:val="22"/>
          <w:lang w:val="sr-Latn-ME"/>
        </w:rPr>
        <w:t>Lijek</w:t>
      </w:r>
      <w:r w:rsidR="00B451EB" w:rsidRPr="009617CB">
        <w:rPr>
          <w:sz w:val="22"/>
          <w:szCs w:val="22"/>
          <w:lang w:val="sr-Latn-ME"/>
        </w:rPr>
        <w:t xml:space="preserve"> RECARBRIO, rastvor za infuziju fizički je inkompatibilan sa propofolom u 5%-tnom sterilnom rastvoru dekstroze (koji se naziva i glukozom) ili 0,9%-tnom sterilnom rastvoru natrijum</w:t>
      </w:r>
      <w:r w:rsidR="007D771F" w:rsidRPr="009617CB">
        <w:rPr>
          <w:sz w:val="22"/>
          <w:szCs w:val="22"/>
          <w:lang w:val="sr-Latn-ME"/>
        </w:rPr>
        <w:t xml:space="preserve"> </w:t>
      </w:r>
      <w:r w:rsidR="00B451EB" w:rsidRPr="009617CB">
        <w:rPr>
          <w:sz w:val="22"/>
          <w:szCs w:val="22"/>
          <w:lang w:val="sr-Latn-ME"/>
        </w:rPr>
        <w:t>hlorida.</w:t>
      </w:r>
    </w:p>
    <w:p w14:paraId="5D9AC381" w14:textId="2C26AFA4" w:rsidR="0072020E" w:rsidRPr="00FE6836" w:rsidRDefault="0072020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2CF314" w14:textId="77777777" w:rsidR="00B94ED6" w:rsidRPr="00FE6836" w:rsidRDefault="00B94ED6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82" w14:textId="77777777" w:rsidR="00F8570A" w:rsidRPr="00FE6836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6836">
        <w:rPr>
          <w:b/>
          <w:bCs/>
          <w:sz w:val="22"/>
          <w:szCs w:val="22"/>
          <w:lang w:val="sr-Latn-ME"/>
        </w:rPr>
        <w:t xml:space="preserve">7. </w:t>
      </w:r>
      <w:r w:rsidR="00480FB1" w:rsidRPr="00FE6836">
        <w:rPr>
          <w:b/>
          <w:bCs/>
          <w:sz w:val="22"/>
          <w:szCs w:val="22"/>
          <w:lang w:val="sr-Latn-ME"/>
        </w:rPr>
        <w:tab/>
      </w:r>
      <w:r w:rsidRPr="00FE6836">
        <w:rPr>
          <w:b/>
          <w:bCs/>
          <w:sz w:val="22"/>
          <w:szCs w:val="22"/>
          <w:lang w:val="sr-Latn-ME"/>
        </w:rPr>
        <w:t>NOSILAC DOZVOLE</w:t>
      </w:r>
      <w:r w:rsidR="00483928" w:rsidRPr="00FE6836">
        <w:rPr>
          <w:b/>
          <w:bCs/>
          <w:sz w:val="22"/>
          <w:szCs w:val="22"/>
          <w:lang w:val="sr-Latn-ME"/>
        </w:rPr>
        <w:t xml:space="preserve"> </w:t>
      </w:r>
    </w:p>
    <w:p w14:paraId="7E82DA7D" w14:textId="77777777" w:rsidR="00B451EB" w:rsidRPr="00FE6836" w:rsidRDefault="00B451EB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075BF0" w14:textId="77777777" w:rsidR="00244589" w:rsidRPr="00FE6836" w:rsidRDefault="00244589" w:rsidP="0024458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E6836">
        <w:rPr>
          <w:bCs/>
          <w:sz w:val="22"/>
          <w:szCs w:val="22"/>
          <w:lang w:val="sr-Latn-ME"/>
        </w:rPr>
        <w:t>Glosarij d.o.o.</w:t>
      </w:r>
    </w:p>
    <w:p w14:paraId="5D9AC383" w14:textId="3B970EBA" w:rsidR="00C61BE0" w:rsidRPr="00FE6836" w:rsidRDefault="00B451EB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6836">
        <w:rPr>
          <w:bCs/>
          <w:sz w:val="22"/>
          <w:szCs w:val="22"/>
          <w:lang w:val="sr-Latn-ME"/>
        </w:rPr>
        <w:t>Vojislavljevića  76, Podgorica, Crna  Gora</w:t>
      </w:r>
    </w:p>
    <w:p w14:paraId="5D9AC384" w14:textId="67A839BF" w:rsidR="00C37FD7" w:rsidRPr="00FE6836" w:rsidRDefault="00C37FD7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BC3B44" w14:textId="77777777" w:rsidR="00B94ED6" w:rsidRPr="00FE6836" w:rsidRDefault="00B94ED6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85" w14:textId="77777777" w:rsidR="0072020E" w:rsidRPr="00FE6836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6836">
        <w:rPr>
          <w:b/>
          <w:bCs/>
          <w:sz w:val="22"/>
          <w:szCs w:val="22"/>
          <w:lang w:val="sr-Latn-ME"/>
        </w:rPr>
        <w:t xml:space="preserve">8. </w:t>
      </w:r>
      <w:r w:rsidR="00480FB1" w:rsidRPr="00FE6836">
        <w:rPr>
          <w:b/>
          <w:bCs/>
          <w:sz w:val="22"/>
          <w:szCs w:val="22"/>
          <w:lang w:val="sr-Latn-ME"/>
        </w:rPr>
        <w:tab/>
      </w:r>
      <w:r w:rsidRPr="00FE6836">
        <w:rPr>
          <w:b/>
          <w:bCs/>
          <w:sz w:val="22"/>
          <w:szCs w:val="22"/>
          <w:lang w:val="sr-Latn-ME"/>
        </w:rPr>
        <w:t>BROJ DOZVOLE</w:t>
      </w:r>
      <w:r w:rsidR="008A6D43" w:rsidRPr="00FE6836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D9AC386" w14:textId="77777777" w:rsidR="0072020E" w:rsidRPr="00FE6836" w:rsidRDefault="0072020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87" w14:textId="71B80C62" w:rsidR="00F45F77" w:rsidRPr="00FE6836" w:rsidRDefault="0020459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6836">
        <w:rPr>
          <w:bCs/>
          <w:sz w:val="22"/>
          <w:szCs w:val="22"/>
          <w:lang w:val="sr-Latn-ME"/>
        </w:rPr>
        <w:t>2030/23/2488 - 4783</w:t>
      </w:r>
    </w:p>
    <w:p w14:paraId="42EE8220" w14:textId="6312E68F" w:rsidR="0020459E" w:rsidRPr="00FE6836" w:rsidRDefault="0020459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23EC57" w14:textId="77777777" w:rsidR="0020459E" w:rsidRPr="00FE6836" w:rsidRDefault="0020459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88" w14:textId="77777777" w:rsidR="0072020E" w:rsidRPr="00FE6836" w:rsidRDefault="0072020E" w:rsidP="007B2A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6836">
        <w:rPr>
          <w:b/>
          <w:bCs/>
          <w:sz w:val="22"/>
          <w:szCs w:val="22"/>
          <w:lang w:val="sr-Latn-ME"/>
        </w:rPr>
        <w:t xml:space="preserve">9. </w:t>
      </w:r>
      <w:r w:rsidR="00480FB1" w:rsidRPr="00FE6836">
        <w:rPr>
          <w:b/>
          <w:bCs/>
          <w:sz w:val="22"/>
          <w:szCs w:val="22"/>
          <w:lang w:val="sr-Latn-ME"/>
        </w:rPr>
        <w:tab/>
      </w:r>
      <w:r w:rsidRPr="00FE6836">
        <w:rPr>
          <w:b/>
          <w:bCs/>
          <w:sz w:val="22"/>
          <w:szCs w:val="22"/>
          <w:lang w:val="sr-Latn-ME"/>
        </w:rPr>
        <w:t xml:space="preserve">DATUM </w:t>
      </w:r>
      <w:r w:rsidR="00C05DF8" w:rsidRPr="00FE6836">
        <w:rPr>
          <w:b/>
          <w:bCs/>
          <w:sz w:val="22"/>
          <w:szCs w:val="22"/>
          <w:lang w:val="sr-Latn-ME"/>
        </w:rPr>
        <w:t xml:space="preserve">PRVE </w:t>
      </w:r>
      <w:r w:rsidR="008A6D43" w:rsidRPr="00FE6836">
        <w:rPr>
          <w:b/>
          <w:bCs/>
          <w:sz w:val="22"/>
          <w:szCs w:val="22"/>
          <w:lang w:val="sr-Latn-ME"/>
        </w:rPr>
        <w:t>DOZVOLE</w:t>
      </w:r>
      <w:r w:rsidR="00C05DF8" w:rsidRPr="00FE6836">
        <w:rPr>
          <w:b/>
          <w:bCs/>
          <w:sz w:val="22"/>
          <w:szCs w:val="22"/>
          <w:lang w:val="sr-Latn-ME"/>
        </w:rPr>
        <w:t>/OBNOVE DOZVOLE</w:t>
      </w:r>
      <w:r w:rsidR="008A6D43" w:rsidRPr="00FE6836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D9AC389" w14:textId="77777777" w:rsidR="0072020E" w:rsidRPr="00FE6836" w:rsidRDefault="0072020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8A" w14:textId="5A23D330" w:rsidR="00836B35" w:rsidRPr="00FE6836" w:rsidRDefault="0020459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6836">
        <w:rPr>
          <w:bCs/>
          <w:sz w:val="22"/>
          <w:szCs w:val="22"/>
          <w:lang w:val="sr-Latn-ME"/>
        </w:rPr>
        <w:t>03.07.2023. godine</w:t>
      </w:r>
    </w:p>
    <w:p w14:paraId="0C9C4465" w14:textId="6E776FD1" w:rsidR="0020459E" w:rsidRPr="00FE6836" w:rsidRDefault="0020459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099816" w14:textId="77777777" w:rsidR="0020459E" w:rsidRPr="00FE6836" w:rsidRDefault="0020459E" w:rsidP="007B2A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AC38B" w14:textId="77777777" w:rsidR="003F6A59" w:rsidRPr="00FE6836" w:rsidRDefault="0072020E" w:rsidP="007B2A33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FE6836">
        <w:rPr>
          <w:b/>
          <w:bCs/>
          <w:sz w:val="22"/>
          <w:szCs w:val="22"/>
          <w:lang w:val="sr-Latn-ME"/>
        </w:rPr>
        <w:lastRenderedPageBreak/>
        <w:t xml:space="preserve">10. </w:t>
      </w:r>
      <w:r w:rsidR="00480FB1" w:rsidRPr="00FE6836">
        <w:rPr>
          <w:b/>
          <w:bCs/>
          <w:sz w:val="22"/>
          <w:szCs w:val="22"/>
          <w:lang w:val="sr-Latn-ME"/>
        </w:rPr>
        <w:tab/>
      </w:r>
      <w:r w:rsidR="002846DB" w:rsidRPr="00FE6836">
        <w:rPr>
          <w:b/>
          <w:bCs/>
          <w:sz w:val="22"/>
          <w:szCs w:val="22"/>
          <w:lang w:val="sr-Latn-ME"/>
        </w:rPr>
        <w:t>D</w:t>
      </w:r>
      <w:r w:rsidR="00EC2532" w:rsidRPr="00FE6836">
        <w:rPr>
          <w:b/>
          <w:bCs/>
          <w:sz w:val="22"/>
          <w:szCs w:val="22"/>
          <w:lang w:val="sr-Latn-ME"/>
        </w:rPr>
        <w:t xml:space="preserve">ATUM REVIZIJE TEKSTA </w:t>
      </w:r>
    </w:p>
    <w:p w14:paraId="5D9AC394" w14:textId="7BB3784B" w:rsidR="003F6A59" w:rsidRPr="00FE6836" w:rsidRDefault="003F6A59" w:rsidP="007B2A33">
      <w:pPr>
        <w:jc w:val="both"/>
        <w:rPr>
          <w:sz w:val="22"/>
          <w:szCs w:val="22"/>
          <w:lang w:val="sr-Latn-ME"/>
        </w:rPr>
      </w:pPr>
    </w:p>
    <w:p w14:paraId="2F1ACF9B" w14:textId="01EC23D8" w:rsidR="0020459E" w:rsidRPr="003F4D31" w:rsidRDefault="00CC0F1A" w:rsidP="007B2A33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F</w:t>
      </w:r>
      <w:bookmarkStart w:id="2" w:name="_GoBack"/>
      <w:bookmarkEnd w:id="2"/>
      <w:r>
        <w:rPr>
          <w:sz w:val="22"/>
          <w:szCs w:val="22"/>
          <w:lang w:val="sr-Latn-ME"/>
        </w:rPr>
        <w:t>ebruar</w:t>
      </w:r>
      <w:r w:rsidR="00FE6836">
        <w:rPr>
          <w:sz w:val="22"/>
          <w:szCs w:val="22"/>
          <w:lang w:val="sr-Latn-ME"/>
        </w:rPr>
        <w:t>, 2025. godine</w:t>
      </w:r>
    </w:p>
    <w:sectPr w:rsidR="0020459E" w:rsidRPr="003F4D31" w:rsidSect="006B5404"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A5B18" w14:textId="77777777" w:rsidR="005F6D66" w:rsidRDefault="005F6D66">
      <w:r>
        <w:separator/>
      </w:r>
    </w:p>
  </w:endnote>
  <w:endnote w:type="continuationSeparator" w:id="0">
    <w:p w14:paraId="067A0E37" w14:textId="77777777" w:rsidR="005F6D66" w:rsidRDefault="005F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39B" w14:textId="36FE1112" w:rsidR="005D30C4" w:rsidRPr="00B23F69" w:rsidRDefault="005D30C4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CC0F1A">
      <w:rPr>
        <w:noProof/>
        <w:sz w:val="22"/>
        <w:szCs w:val="22"/>
      </w:rPr>
      <w:t>20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CC0F1A">
      <w:rPr>
        <w:noProof/>
        <w:sz w:val="22"/>
        <w:szCs w:val="22"/>
      </w:rPr>
      <w:t>20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9C0EE" w14:textId="77777777" w:rsidR="005F6D66" w:rsidRDefault="005F6D66">
      <w:r>
        <w:separator/>
      </w:r>
    </w:p>
  </w:footnote>
  <w:footnote w:type="continuationSeparator" w:id="0">
    <w:p w14:paraId="42EEA2C9" w14:textId="77777777" w:rsidR="005F6D66" w:rsidRDefault="005F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.5pt;height:14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346FAD"/>
    <w:multiLevelType w:val="hybridMultilevel"/>
    <w:tmpl w:val="2BC6B1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476B9"/>
    <w:multiLevelType w:val="hybridMultilevel"/>
    <w:tmpl w:val="E896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AFB241D"/>
    <w:multiLevelType w:val="hybridMultilevel"/>
    <w:tmpl w:val="9D12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F0553"/>
    <w:multiLevelType w:val="hybridMultilevel"/>
    <w:tmpl w:val="E638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14"/>
  </w:num>
  <w:num w:numId="11">
    <w:abstractNumId w:val="7"/>
  </w:num>
  <w:num w:numId="12">
    <w:abstractNumId w:val="2"/>
  </w:num>
  <w:num w:numId="13">
    <w:abstractNumId w:val="6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4554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2FF0"/>
    <w:rsid w:val="000F77FA"/>
    <w:rsid w:val="00107BF7"/>
    <w:rsid w:val="00120F9B"/>
    <w:rsid w:val="00126F53"/>
    <w:rsid w:val="0014766D"/>
    <w:rsid w:val="001536CC"/>
    <w:rsid w:val="001666C2"/>
    <w:rsid w:val="00186264"/>
    <w:rsid w:val="001A3FBA"/>
    <w:rsid w:val="001A5518"/>
    <w:rsid w:val="001B1C6A"/>
    <w:rsid w:val="001C1263"/>
    <w:rsid w:val="001C1417"/>
    <w:rsid w:val="001E390B"/>
    <w:rsid w:val="001E41F4"/>
    <w:rsid w:val="001F42FB"/>
    <w:rsid w:val="001F719A"/>
    <w:rsid w:val="002031B3"/>
    <w:rsid w:val="0020459E"/>
    <w:rsid w:val="00215931"/>
    <w:rsid w:val="0022431E"/>
    <w:rsid w:val="00224C91"/>
    <w:rsid w:val="00227BDB"/>
    <w:rsid w:val="00234044"/>
    <w:rsid w:val="00234CB1"/>
    <w:rsid w:val="002352F8"/>
    <w:rsid w:val="00244589"/>
    <w:rsid w:val="002510A5"/>
    <w:rsid w:val="00254A0A"/>
    <w:rsid w:val="00256AC7"/>
    <w:rsid w:val="00266046"/>
    <w:rsid w:val="002846DB"/>
    <w:rsid w:val="00284CCD"/>
    <w:rsid w:val="00287C98"/>
    <w:rsid w:val="002B5575"/>
    <w:rsid w:val="002B7199"/>
    <w:rsid w:val="002C6637"/>
    <w:rsid w:val="002E0135"/>
    <w:rsid w:val="002E37A5"/>
    <w:rsid w:val="00310F03"/>
    <w:rsid w:val="003247D2"/>
    <w:rsid w:val="003445C1"/>
    <w:rsid w:val="00351180"/>
    <w:rsid w:val="00355B61"/>
    <w:rsid w:val="00362686"/>
    <w:rsid w:val="00371510"/>
    <w:rsid w:val="00396DFD"/>
    <w:rsid w:val="003A7059"/>
    <w:rsid w:val="003B7A36"/>
    <w:rsid w:val="003C17AB"/>
    <w:rsid w:val="003C43AE"/>
    <w:rsid w:val="003C7823"/>
    <w:rsid w:val="003E1DCC"/>
    <w:rsid w:val="003F11A1"/>
    <w:rsid w:val="003F4D31"/>
    <w:rsid w:val="003F6A59"/>
    <w:rsid w:val="004065C8"/>
    <w:rsid w:val="004109FA"/>
    <w:rsid w:val="00411B4B"/>
    <w:rsid w:val="00415BEE"/>
    <w:rsid w:val="0042660A"/>
    <w:rsid w:val="00427F85"/>
    <w:rsid w:val="00436F42"/>
    <w:rsid w:val="004378B4"/>
    <w:rsid w:val="00451314"/>
    <w:rsid w:val="00452E9D"/>
    <w:rsid w:val="004534C7"/>
    <w:rsid w:val="00456954"/>
    <w:rsid w:val="004671AA"/>
    <w:rsid w:val="00480FB1"/>
    <w:rsid w:val="00483928"/>
    <w:rsid w:val="004B49B0"/>
    <w:rsid w:val="004C331F"/>
    <w:rsid w:val="004D6103"/>
    <w:rsid w:val="004E3BCE"/>
    <w:rsid w:val="004E70AD"/>
    <w:rsid w:val="004F0E97"/>
    <w:rsid w:val="00501DD1"/>
    <w:rsid w:val="00515C21"/>
    <w:rsid w:val="00530BD7"/>
    <w:rsid w:val="00545CD2"/>
    <w:rsid w:val="005476F3"/>
    <w:rsid w:val="00561CA1"/>
    <w:rsid w:val="00572527"/>
    <w:rsid w:val="00573E40"/>
    <w:rsid w:val="00576348"/>
    <w:rsid w:val="005A0B2E"/>
    <w:rsid w:val="005A23D2"/>
    <w:rsid w:val="005A36CB"/>
    <w:rsid w:val="005A7015"/>
    <w:rsid w:val="005B49B8"/>
    <w:rsid w:val="005C0741"/>
    <w:rsid w:val="005C5EF4"/>
    <w:rsid w:val="005D30C4"/>
    <w:rsid w:val="005E167D"/>
    <w:rsid w:val="005E2E0B"/>
    <w:rsid w:val="005E77C7"/>
    <w:rsid w:val="005E7A7D"/>
    <w:rsid w:val="005F6D66"/>
    <w:rsid w:val="00602457"/>
    <w:rsid w:val="006105CA"/>
    <w:rsid w:val="0063627A"/>
    <w:rsid w:val="00644FC3"/>
    <w:rsid w:val="00646BD1"/>
    <w:rsid w:val="006561C2"/>
    <w:rsid w:val="00671CB3"/>
    <w:rsid w:val="00674BAF"/>
    <w:rsid w:val="00682200"/>
    <w:rsid w:val="00692BF6"/>
    <w:rsid w:val="006A1497"/>
    <w:rsid w:val="006B0BD1"/>
    <w:rsid w:val="006B5404"/>
    <w:rsid w:val="006C0DF1"/>
    <w:rsid w:val="006D20A5"/>
    <w:rsid w:val="006D37BF"/>
    <w:rsid w:val="00702E22"/>
    <w:rsid w:val="00714950"/>
    <w:rsid w:val="0072020E"/>
    <w:rsid w:val="00774AC0"/>
    <w:rsid w:val="00786071"/>
    <w:rsid w:val="00786C5F"/>
    <w:rsid w:val="007903A3"/>
    <w:rsid w:val="007A3DA0"/>
    <w:rsid w:val="007A3ECB"/>
    <w:rsid w:val="007B2A33"/>
    <w:rsid w:val="007D4199"/>
    <w:rsid w:val="007D771F"/>
    <w:rsid w:val="007D7BB3"/>
    <w:rsid w:val="007E1A5B"/>
    <w:rsid w:val="007E7B4D"/>
    <w:rsid w:val="007F4200"/>
    <w:rsid w:val="007F74B8"/>
    <w:rsid w:val="00816A5C"/>
    <w:rsid w:val="00824AB9"/>
    <w:rsid w:val="00830570"/>
    <w:rsid w:val="00836B35"/>
    <w:rsid w:val="00843BDE"/>
    <w:rsid w:val="00851D6A"/>
    <w:rsid w:val="008562A6"/>
    <w:rsid w:val="00862DBF"/>
    <w:rsid w:val="0087588C"/>
    <w:rsid w:val="00893B36"/>
    <w:rsid w:val="0089705C"/>
    <w:rsid w:val="008A6D43"/>
    <w:rsid w:val="008B491E"/>
    <w:rsid w:val="008C1A28"/>
    <w:rsid w:val="008C2E98"/>
    <w:rsid w:val="008C5396"/>
    <w:rsid w:val="008E49BD"/>
    <w:rsid w:val="008E53E9"/>
    <w:rsid w:val="008E5771"/>
    <w:rsid w:val="008F4ACF"/>
    <w:rsid w:val="008F4EE6"/>
    <w:rsid w:val="008F7D2F"/>
    <w:rsid w:val="00921789"/>
    <w:rsid w:val="00924166"/>
    <w:rsid w:val="00940B9B"/>
    <w:rsid w:val="0095676E"/>
    <w:rsid w:val="00956983"/>
    <w:rsid w:val="009617CB"/>
    <w:rsid w:val="00963CF0"/>
    <w:rsid w:val="00964BB1"/>
    <w:rsid w:val="009775D9"/>
    <w:rsid w:val="00997175"/>
    <w:rsid w:val="009A1847"/>
    <w:rsid w:val="009B062A"/>
    <w:rsid w:val="009B5640"/>
    <w:rsid w:val="009D2D9B"/>
    <w:rsid w:val="009D5E26"/>
    <w:rsid w:val="009E67A6"/>
    <w:rsid w:val="009E7C6F"/>
    <w:rsid w:val="009F1793"/>
    <w:rsid w:val="009F2D23"/>
    <w:rsid w:val="00A01D69"/>
    <w:rsid w:val="00A02335"/>
    <w:rsid w:val="00A46ACA"/>
    <w:rsid w:val="00A46C9A"/>
    <w:rsid w:val="00A51E5C"/>
    <w:rsid w:val="00A619F3"/>
    <w:rsid w:val="00A62A73"/>
    <w:rsid w:val="00A87FF6"/>
    <w:rsid w:val="00A929E3"/>
    <w:rsid w:val="00AA0A3B"/>
    <w:rsid w:val="00AA2763"/>
    <w:rsid w:val="00AA33B6"/>
    <w:rsid w:val="00AB50CA"/>
    <w:rsid w:val="00AB6D64"/>
    <w:rsid w:val="00AC53CE"/>
    <w:rsid w:val="00AD2193"/>
    <w:rsid w:val="00AE0251"/>
    <w:rsid w:val="00AF2AC7"/>
    <w:rsid w:val="00AF74CE"/>
    <w:rsid w:val="00B208DB"/>
    <w:rsid w:val="00B23F69"/>
    <w:rsid w:val="00B451EB"/>
    <w:rsid w:val="00B60619"/>
    <w:rsid w:val="00B66A70"/>
    <w:rsid w:val="00B67366"/>
    <w:rsid w:val="00B71C00"/>
    <w:rsid w:val="00B80EE1"/>
    <w:rsid w:val="00B84135"/>
    <w:rsid w:val="00B94ED6"/>
    <w:rsid w:val="00C04D34"/>
    <w:rsid w:val="00C05DF8"/>
    <w:rsid w:val="00C06864"/>
    <w:rsid w:val="00C10F54"/>
    <w:rsid w:val="00C23D8D"/>
    <w:rsid w:val="00C25ED6"/>
    <w:rsid w:val="00C35365"/>
    <w:rsid w:val="00C37AA3"/>
    <w:rsid w:val="00C37FD7"/>
    <w:rsid w:val="00C43419"/>
    <w:rsid w:val="00C44CF3"/>
    <w:rsid w:val="00C61BE0"/>
    <w:rsid w:val="00C6707E"/>
    <w:rsid w:val="00C70B0E"/>
    <w:rsid w:val="00C773CA"/>
    <w:rsid w:val="00C80414"/>
    <w:rsid w:val="00C83785"/>
    <w:rsid w:val="00C94C0D"/>
    <w:rsid w:val="00CA1FEB"/>
    <w:rsid w:val="00CC0F1A"/>
    <w:rsid w:val="00CD4F85"/>
    <w:rsid w:val="00CD6F02"/>
    <w:rsid w:val="00CE246D"/>
    <w:rsid w:val="00CF07A0"/>
    <w:rsid w:val="00CF3E03"/>
    <w:rsid w:val="00D0082A"/>
    <w:rsid w:val="00D21455"/>
    <w:rsid w:val="00D42E6F"/>
    <w:rsid w:val="00D47634"/>
    <w:rsid w:val="00D709B3"/>
    <w:rsid w:val="00D718CE"/>
    <w:rsid w:val="00DA2ED6"/>
    <w:rsid w:val="00DA7FD6"/>
    <w:rsid w:val="00DB3AA9"/>
    <w:rsid w:val="00DB76B8"/>
    <w:rsid w:val="00DC2EA1"/>
    <w:rsid w:val="00DD1460"/>
    <w:rsid w:val="00DD6AAF"/>
    <w:rsid w:val="00DD7288"/>
    <w:rsid w:val="00DE3F5C"/>
    <w:rsid w:val="00DF1D20"/>
    <w:rsid w:val="00E17DF7"/>
    <w:rsid w:val="00E21324"/>
    <w:rsid w:val="00E246B9"/>
    <w:rsid w:val="00E31FEA"/>
    <w:rsid w:val="00E45169"/>
    <w:rsid w:val="00E47787"/>
    <w:rsid w:val="00E51C30"/>
    <w:rsid w:val="00E62B62"/>
    <w:rsid w:val="00E64180"/>
    <w:rsid w:val="00E74AEE"/>
    <w:rsid w:val="00E868E5"/>
    <w:rsid w:val="00E9237A"/>
    <w:rsid w:val="00E939FA"/>
    <w:rsid w:val="00EA5765"/>
    <w:rsid w:val="00EA7C9C"/>
    <w:rsid w:val="00EC2532"/>
    <w:rsid w:val="00ED7812"/>
    <w:rsid w:val="00ED7E89"/>
    <w:rsid w:val="00EF3B86"/>
    <w:rsid w:val="00F317E9"/>
    <w:rsid w:val="00F34554"/>
    <w:rsid w:val="00F45F77"/>
    <w:rsid w:val="00F5167F"/>
    <w:rsid w:val="00F52258"/>
    <w:rsid w:val="00F8570A"/>
    <w:rsid w:val="00F85CD6"/>
    <w:rsid w:val="00F91AEE"/>
    <w:rsid w:val="00F91C7B"/>
    <w:rsid w:val="00F965BC"/>
    <w:rsid w:val="00FB3608"/>
    <w:rsid w:val="00FD6665"/>
    <w:rsid w:val="00FE6836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9AC3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14950"/>
    <w:pPr>
      <w:widowControl w:val="0"/>
      <w:autoSpaceDE w:val="0"/>
      <w:autoSpaceDN w:val="0"/>
      <w:adjustRightInd w:val="0"/>
    </w:pPr>
    <w:rPr>
      <w:rFonts w:eastAsiaTheme="minorEastAs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14950"/>
    <w:rPr>
      <w:rFonts w:eastAsiaTheme="minorEastAsia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1495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ListParagraph">
    <w:name w:val="List Paragraph"/>
    <w:basedOn w:val="Normal"/>
    <w:uiPriority w:val="1"/>
    <w:qFormat/>
    <w:rsid w:val="00E17DF7"/>
    <w:pPr>
      <w:tabs>
        <w:tab w:val="left" w:pos="284"/>
      </w:tabs>
      <w:ind w:left="720"/>
      <w:contextualSpacing/>
      <w:jc w:val="both"/>
    </w:pPr>
    <w:rPr>
      <w:sz w:val="22"/>
    </w:rPr>
  </w:style>
  <w:style w:type="table" w:styleId="TableGrid">
    <w:name w:val="Table Grid"/>
    <w:basedOn w:val="TableNormal"/>
    <w:uiPriority w:val="39"/>
    <w:rsid w:val="00E17DF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1D6A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ma.europa.eu/documents/other/minimum-inhibitory-concentration-mic-breakpoints_en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BA56F-4C91-467A-B97D-BFB3C976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6813</Words>
  <Characters>38836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2025-02-10T12:12:00Z</dcterms:created>
  <dcterms:modified xsi:type="dcterms:W3CDTF">2025-02-10T12:12:00Z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2025-01-31T13:57:08Z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6c2c3af9-632b-49ad-a23d-42053b559de7</vt:lpwstr>
  </property>
  <property fmtid="{D5CDD505-2E9C-101B-9397-08002B2CF9AE}" pid="8" name="MSIP_Label_e81acc0d-dcc4-4dc9-a2c5-be70b05a2fe6_ContentBits">
    <vt:lpwstr>0</vt:lpwstr>
  </property>
  <property fmtid="{D5CDD505-2E9C-101B-9397-08002B2CF9AE}" pid="9" name="_AdHocReviewCycleID">
    <vt:i4>-1645159680</vt:i4>
  </property>
  <property fmtid="{D5CDD505-2E9C-101B-9397-08002B2CF9AE}" pid="10" name="_NewReviewCycle">
    <vt:lpwstr/>
  </property>
  <property fmtid="{D5CDD505-2E9C-101B-9397-08002B2CF9AE}" pid="11" name="_ReviewingToolsShownOnce">
    <vt:lpwstr/>
  </property>
</Properties>
</file>