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99AF0" w14:textId="77777777" w:rsidR="001A5518" w:rsidRPr="00C0654D" w:rsidRDefault="001A5518" w:rsidP="00455ABF">
      <w:pPr>
        <w:jc w:val="both"/>
        <w:rPr>
          <w:b/>
          <w:bCs/>
          <w:i/>
          <w:iCs/>
          <w:sz w:val="22"/>
          <w:szCs w:val="22"/>
          <w:u w:val="single"/>
          <w:lang w:val="sr-Latn-ME"/>
        </w:rPr>
      </w:pPr>
    </w:p>
    <w:p w14:paraId="5FA99AF1" w14:textId="77777777" w:rsidR="00F91C7B" w:rsidRPr="00C0654D" w:rsidRDefault="00F91C7B" w:rsidP="00455ABF">
      <w:pPr>
        <w:jc w:val="both"/>
        <w:rPr>
          <w:b/>
          <w:bCs/>
          <w:i/>
          <w:iCs/>
          <w:sz w:val="22"/>
          <w:szCs w:val="22"/>
          <w:u w:val="single"/>
          <w:lang w:val="sr-Latn-ME"/>
        </w:rPr>
      </w:pPr>
    </w:p>
    <w:p w14:paraId="5FA99AF2" w14:textId="0302768F" w:rsidR="002510A5" w:rsidRPr="00C0654D" w:rsidRDefault="002510A5">
      <w:pPr>
        <w:jc w:val="center"/>
        <w:rPr>
          <w:b/>
          <w:bCs/>
          <w:iCs/>
          <w:sz w:val="22"/>
          <w:szCs w:val="22"/>
          <w:u w:val="single"/>
          <w:lang w:val="sr-Latn-ME"/>
        </w:rPr>
      </w:pPr>
      <w:r w:rsidRPr="00C0654D">
        <w:rPr>
          <w:b/>
          <w:bCs/>
          <w:iCs/>
          <w:sz w:val="22"/>
          <w:szCs w:val="22"/>
          <w:u w:val="single"/>
          <w:lang w:val="sr-Latn-ME"/>
        </w:rPr>
        <w:t>SAŽETAK KARAKTERISTIKA LIJEKA</w:t>
      </w:r>
    </w:p>
    <w:p w14:paraId="5FA99AF4" w14:textId="77777777" w:rsidR="003C17AB" w:rsidRPr="00C0654D" w:rsidRDefault="003C17AB" w:rsidP="00455ABF">
      <w:pPr>
        <w:jc w:val="both"/>
        <w:rPr>
          <w:sz w:val="22"/>
          <w:szCs w:val="22"/>
          <w:lang w:val="sr-Latn-ME"/>
        </w:rPr>
      </w:pPr>
    </w:p>
    <w:p w14:paraId="5FA99AF6" w14:textId="77777777" w:rsidR="003C17AB" w:rsidRPr="00C0654D" w:rsidRDefault="003C17AB" w:rsidP="00455ABF">
      <w:pPr>
        <w:tabs>
          <w:tab w:val="left" w:pos="540"/>
          <w:tab w:val="left" w:pos="569"/>
        </w:tabs>
        <w:jc w:val="both"/>
        <w:rPr>
          <w:noProof/>
          <w:sz w:val="22"/>
          <w:szCs w:val="22"/>
          <w:lang w:val="sr-Latn-ME"/>
        </w:rPr>
      </w:pPr>
    </w:p>
    <w:p w14:paraId="5FA99AF7" w14:textId="77777777" w:rsidR="00C37FD7" w:rsidRPr="00C0654D" w:rsidRDefault="00C37FD7" w:rsidP="00455ABF">
      <w:pPr>
        <w:tabs>
          <w:tab w:val="left" w:pos="540"/>
          <w:tab w:val="left" w:pos="569"/>
        </w:tabs>
        <w:jc w:val="both"/>
        <w:rPr>
          <w:bCs/>
          <w:sz w:val="22"/>
          <w:szCs w:val="22"/>
          <w:lang w:val="sr-Latn-ME"/>
        </w:rPr>
      </w:pPr>
    </w:p>
    <w:p w14:paraId="5FA99AF8" w14:textId="77777777" w:rsidR="00411B4B" w:rsidRPr="00C0654D" w:rsidRDefault="00411B4B" w:rsidP="00455ABF">
      <w:pPr>
        <w:tabs>
          <w:tab w:val="left" w:pos="540"/>
          <w:tab w:val="left" w:pos="569"/>
        </w:tabs>
        <w:jc w:val="both"/>
        <w:rPr>
          <w:b/>
          <w:bCs/>
          <w:sz w:val="22"/>
          <w:szCs w:val="22"/>
          <w:lang w:val="sr-Latn-ME"/>
        </w:rPr>
      </w:pPr>
      <w:r w:rsidRPr="00C0654D">
        <w:rPr>
          <w:b/>
          <w:bCs/>
          <w:sz w:val="22"/>
          <w:szCs w:val="22"/>
          <w:lang w:val="sr-Latn-ME"/>
        </w:rPr>
        <w:t>1.</w:t>
      </w:r>
      <w:r w:rsidR="00F5167F" w:rsidRPr="00C0654D">
        <w:rPr>
          <w:b/>
          <w:bCs/>
          <w:sz w:val="22"/>
          <w:szCs w:val="22"/>
          <w:lang w:val="sr-Latn-ME"/>
        </w:rPr>
        <w:tab/>
      </w:r>
      <w:r w:rsidR="002846DB" w:rsidRPr="00C0654D">
        <w:rPr>
          <w:b/>
          <w:bCs/>
          <w:sz w:val="22"/>
          <w:szCs w:val="22"/>
          <w:lang w:val="sr-Latn-ME"/>
        </w:rPr>
        <w:t xml:space="preserve">NAZIV </w:t>
      </w:r>
      <w:r w:rsidRPr="00C0654D">
        <w:rPr>
          <w:b/>
          <w:bCs/>
          <w:sz w:val="22"/>
          <w:szCs w:val="22"/>
          <w:lang w:val="sr-Latn-ME"/>
        </w:rPr>
        <w:t>LIJEKA</w:t>
      </w:r>
    </w:p>
    <w:p w14:paraId="5FA99AF9" w14:textId="77777777" w:rsidR="00EC2532" w:rsidRPr="00C0654D" w:rsidRDefault="00EC2532" w:rsidP="00455ABF">
      <w:pPr>
        <w:jc w:val="both"/>
        <w:rPr>
          <w:sz w:val="22"/>
          <w:szCs w:val="22"/>
          <w:lang w:val="sr-Latn-ME"/>
        </w:rPr>
      </w:pPr>
    </w:p>
    <w:p w14:paraId="7418E995" w14:textId="59722E60" w:rsidR="00C66769" w:rsidRPr="00C0654D" w:rsidRDefault="002C3E28" w:rsidP="00455ABF">
      <w:pPr>
        <w:jc w:val="both"/>
        <w:rPr>
          <w:sz w:val="22"/>
          <w:szCs w:val="22"/>
          <w:lang w:val="sr-Latn-ME"/>
        </w:rPr>
      </w:pPr>
      <w:r w:rsidRPr="00C0654D">
        <w:rPr>
          <w:sz w:val="22"/>
          <w:szCs w:val="22"/>
          <w:lang w:val="sr-Latn-ME"/>
        </w:rPr>
        <w:t>Capecitabine PharmaSwiss, 500 mg, film tableta</w:t>
      </w:r>
    </w:p>
    <w:p w14:paraId="302BB8EA" w14:textId="77777777" w:rsidR="002C3E28" w:rsidRPr="00C0654D" w:rsidRDefault="002C3E28" w:rsidP="00455ABF">
      <w:pPr>
        <w:jc w:val="both"/>
        <w:rPr>
          <w:sz w:val="22"/>
          <w:szCs w:val="22"/>
          <w:lang w:val="sr-Latn-ME"/>
        </w:rPr>
      </w:pPr>
    </w:p>
    <w:p w14:paraId="5FA99AFC" w14:textId="50FFB5A5" w:rsidR="006D20A5" w:rsidRPr="00C0654D" w:rsidRDefault="006D20A5" w:rsidP="00455ABF">
      <w:pPr>
        <w:jc w:val="both"/>
        <w:rPr>
          <w:sz w:val="22"/>
          <w:szCs w:val="22"/>
          <w:lang w:val="sr-Latn-ME"/>
        </w:rPr>
      </w:pPr>
      <w:r w:rsidRPr="00C0654D">
        <w:rPr>
          <w:sz w:val="22"/>
          <w:szCs w:val="22"/>
          <w:lang w:val="sr-Latn-ME"/>
        </w:rPr>
        <w:t>INN:</w:t>
      </w:r>
      <w:r w:rsidR="000F2EA2" w:rsidRPr="00C0654D">
        <w:rPr>
          <w:lang w:val="sr-Latn-ME"/>
        </w:rPr>
        <w:t xml:space="preserve"> </w:t>
      </w:r>
      <w:r w:rsidR="000F2EA2" w:rsidRPr="00C0654D">
        <w:rPr>
          <w:sz w:val="22"/>
          <w:szCs w:val="22"/>
          <w:lang w:val="sr-Latn-ME"/>
        </w:rPr>
        <w:t>kapecitabin</w:t>
      </w:r>
    </w:p>
    <w:p w14:paraId="5FA99AFD" w14:textId="77777777" w:rsidR="006D20A5" w:rsidRPr="00C0654D" w:rsidRDefault="006D20A5" w:rsidP="00455ABF">
      <w:pPr>
        <w:jc w:val="both"/>
        <w:rPr>
          <w:bCs/>
          <w:sz w:val="22"/>
          <w:szCs w:val="22"/>
          <w:lang w:val="sr-Latn-ME"/>
        </w:rPr>
      </w:pPr>
    </w:p>
    <w:p w14:paraId="5FA99AFE" w14:textId="77777777" w:rsidR="00530BD7" w:rsidRPr="00C0654D" w:rsidRDefault="00530BD7" w:rsidP="00455ABF">
      <w:pPr>
        <w:jc w:val="both"/>
        <w:rPr>
          <w:bCs/>
          <w:sz w:val="22"/>
          <w:szCs w:val="22"/>
          <w:lang w:val="sr-Latn-ME"/>
        </w:rPr>
      </w:pPr>
    </w:p>
    <w:p w14:paraId="5FA99AFF" w14:textId="77777777" w:rsidR="00411B4B" w:rsidRPr="00C0654D" w:rsidRDefault="00411B4B" w:rsidP="00455ABF">
      <w:pPr>
        <w:tabs>
          <w:tab w:val="left" w:pos="540"/>
          <w:tab w:val="left" w:pos="569"/>
        </w:tabs>
        <w:jc w:val="both"/>
        <w:rPr>
          <w:b/>
          <w:bCs/>
          <w:sz w:val="22"/>
          <w:szCs w:val="22"/>
          <w:lang w:val="sr-Latn-ME"/>
        </w:rPr>
      </w:pPr>
      <w:r w:rsidRPr="00C0654D">
        <w:rPr>
          <w:b/>
          <w:bCs/>
          <w:sz w:val="22"/>
          <w:szCs w:val="22"/>
          <w:lang w:val="sr-Latn-ME"/>
        </w:rPr>
        <w:t xml:space="preserve">2. </w:t>
      </w:r>
      <w:r w:rsidR="00F5167F" w:rsidRPr="00C0654D">
        <w:rPr>
          <w:b/>
          <w:bCs/>
          <w:sz w:val="22"/>
          <w:szCs w:val="22"/>
          <w:lang w:val="sr-Latn-ME"/>
        </w:rPr>
        <w:tab/>
      </w:r>
      <w:r w:rsidRPr="00C0654D">
        <w:rPr>
          <w:b/>
          <w:bCs/>
          <w:sz w:val="22"/>
          <w:szCs w:val="22"/>
          <w:lang w:val="sr-Latn-ME"/>
        </w:rPr>
        <w:t>KVALITATIVNI I KVANTITATIVNI SASTAV</w:t>
      </w:r>
    </w:p>
    <w:p w14:paraId="5FA99B00" w14:textId="77777777" w:rsidR="005A0B2E" w:rsidRPr="00C0654D" w:rsidRDefault="005A0B2E" w:rsidP="00455ABF">
      <w:pPr>
        <w:jc w:val="both"/>
        <w:rPr>
          <w:sz w:val="22"/>
          <w:szCs w:val="22"/>
          <w:lang w:val="sr-Latn-ME"/>
        </w:rPr>
      </w:pPr>
    </w:p>
    <w:p w14:paraId="09322A2F" w14:textId="77777777" w:rsidR="003825E0" w:rsidRPr="00C0654D" w:rsidRDefault="003825E0" w:rsidP="00455ABF">
      <w:pPr>
        <w:jc w:val="both"/>
        <w:rPr>
          <w:sz w:val="22"/>
          <w:szCs w:val="22"/>
          <w:lang w:val="sr-Latn-ME"/>
        </w:rPr>
      </w:pPr>
      <w:r w:rsidRPr="00C0654D">
        <w:rPr>
          <w:sz w:val="22"/>
          <w:szCs w:val="22"/>
          <w:lang w:val="sr-Latn-ME"/>
        </w:rPr>
        <w:t>Jedna film tableta sadrži 500 mg kapecitabina.</w:t>
      </w:r>
    </w:p>
    <w:p w14:paraId="6488F024" w14:textId="77777777" w:rsidR="003825E0" w:rsidRPr="00C0654D" w:rsidRDefault="003825E0" w:rsidP="00455ABF">
      <w:pPr>
        <w:jc w:val="both"/>
        <w:rPr>
          <w:sz w:val="22"/>
          <w:szCs w:val="22"/>
          <w:lang w:val="sr-Latn-ME"/>
        </w:rPr>
      </w:pPr>
    </w:p>
    <w:p w14:paraId="74716F37" w14:textId="240148D6" w:rsidR="003825E0" w:rsidRPr="00C0654D" w:rsidRDefault="003825E0" w:rsidP="00455ABF">
      <w:pPr>
        <w:jc w:val="both"/>
        <w:rPr>
          <w:sz w:val="22"/>
          <w:szCs w:val="22"/>
          <w:lang w:val="sr-Latn-ME"/>
        </w:rPr>
      </w:pPr>
      <w:r w:rsidRPr="00C0654D">
        <w:rPr>
          <w:sz w:val="22"/>
          <w:szCs w:val="22"/>
          <w:lang w:val="sr-Latn-ME"/>
        </w:rPr>
        <w:t>Pomoćna supstanca sa potvrđenim dejstvom: laktoza</w:t>
      </w:r>
      <w:r w:rsidR="00DC3DB2">
        <w:rPr>
          <w:sz w:val="22"/>
          <w:szCs w:val="22"/>
          <w:lang w:val="sr-Latn-ME"/>
        </w:rPr>
        <w:t xml:space="preserve"> </w:t>
      </w:r>
      <w:r w:rsidRPr="00C0654D">
        <w:rPr>
          <w:sz w:val="22"/>
          <w:szCs w:val="22"/>
          <w:lang w:val="sr-Latn-ME"/>
        </w:rPr>
        <w:t>bezvodna.</w:t>
      </w:r>
    </w:p>
    <w:p w14:paraId="37F3FEBE" w14:textId="3B556EDE" w:rsidR="003825E0" w:rsidRPr="00C0654D" w:rsidRDefault="003825E0" w:rsidP="00455ABF">
      <w:pPr>
        <w:jc w:val="both"/>
        <w:rPr>
          <w:sz w:val="22"/>
          <w:szCs w:val="22"/>
          <w:lang w:val="sr-Latn-ME"/>
        </w:rPr>
      </w:pPr>
      <w:r w:rsidRPr="00C0654D">
        <w:rPr>
          <w:sz w:val="22"/>
          <w:szCs w:val="22"/>
          <w:lang w:val="sr-Latn-ME"/>
        </w:rPr>
        <w:t>Jedna film tableta sadrži 25,47 mg laktoze bezvodne.</w:t>
      </w:r>
    </w:p>
    <w:p w14:paraId="5044912B" w14:textId="77777777" w:rsidR="003825E0" w:rsidRPr="00C0654D" w:rsidRDefault="003825E0" w:rsidP="00455ABF">
      <w:pPr>
        <w:jc w:val="both"/>
        <w:rPr>
          <w:sz w:val="22"/>
          <w:szCs w:val="22"/>
          <w:lang w:val="sr-Latn-ME"/>
        </w:rPr>
      </w:pPr>
    </w:p>
    <w:p w14:paraId="5FA99B01" w14:textId="3B47E5B8" w:rsidR="0003793F" w:rsidRPr="00C0654D" w:rsidRDefault="0003793F" w:rsidP="00455ABF">
      <w:pPr>
        <w:jc w:val="both"/>
        <w:rPr>
          <w:sz w:val="22"/>
          <w:szCs w:val="22"/>
          <w:lang w:val="sr-Latn-ME"/>
        </w:rPr>
      </w:pPr>
      <w:r w:rsidRPr="00C0654D">
        <w:rPr>
          <w:sz w:val="22"/>
          <w:szCs w:val="22"/>
          <w:lang w:val="sr-Latn-ME"/>
        </w:rPr>
        <w:t>Za spisak svih ekscipijenasa, pogledati dio 6.1.</w:t>
      </w:r>
    </w:p>
    <w:p w14:paraId="5FA99B02" w14:textId="77777777" w:rsidR="0003793F" w:rsidRPr="00C0654D" w:rsidRDefault="0003793F" w:rsidP="00455ABF">
      <w:pPr>
        <w:jc w:val="both"/>
        <w:rPr>
          <w:sz w:val="22"/>
          <w:szCs w:val="22"/>
          <w:lang w:val="sr-Latn-ME"/>
        </w:rPr>
      </w:pPr>
    </w:p>
    <w:p w14:paraId="5FA99B03" w14:textId="77777777" w:rsidR="00C37FD7" w:rsidRPr="00C0654D" w:rsidRDefault="00C37FD7" w:rsidP="00455ABF">
      <w:pPr>
        <w:jc w:val="both"/>
        <w:rPr>
          <w:sz w:val="22"/>
          <w:szCs w:val="22"/>
          <w:lang w:val="sr-Latn-ME"/>
        </w:rPr>
      </w:pPr>
    </w:p>
    <w:p w14:paraId="5FA99B04" w14:textId="77777777" w:rsidR="00411B4B" w:rsidRPr="00C0654D" w:rsidRDefault="00411B4B" w:rsidP="00455ABF">
      <w:pPr>
        <w:tabs>
          <w:tab w:val="left" w:pos="540"/>
          <w:tab w:val="left" w:pos="569"/>
        </w:tabs>
        <w:jc w:val="both"/>
        <w:rPr>
          <w:b/>
          <w:bCs/>
          <w:sz w:val="22"/>
          <w:szCs w:val="22"/>
          <w:lang w:val="sr-Latn-ME"/>
        </w:rPr>
      </w:pPr>
      <w:r w:rsidRPr="00C0654D">
        <w:rPr>
          <w:b/>
          <w:bCs/>
          <w:sz w:val="22"/>
          <w:szCs w:val="22"/>
          <w:lang w:val="sr-Latn-ME"/>
        </w:rPr>
        <w:t xml:space="preserve">3. </w:t>
      </w:r>
      <w:r w:rsidR="00F5167F" w:rsidRPr="00C0654D">
        <w:rPr>
          <w:b/>
          <w:bCs/>
          <w:sz w:val="22"/>
          <w:szCs w:val="22"/>
          <w:lang w:val="sr-Latn-ME"/>
        </w:rPr>
        <w:tab/>
      </w:r>
      <w:r w:rsidRPr="00C0654D">
        <w:rPr>
          <w:b/>
          <w:bCs/>
          <w:sz w:val="22"/>
          <w:szCs w:val="22"/>
          <w:lang w:val="sr-Latn-ME"/>
        </w:rPr>
        <w:t>FARMACEUTSKI OBLIK</w:t>
      </w:r>
      <w:r w:rsidR="009F2D23" w:rsidRPr="00C0654D">
        <w:rPr>
          <w:b/>
          <w:bCs/>
          <w:sz w:val="22"/>
          <w:szCs w:val="22"/>
          <w:lang w:val="sr-Latn-ME"/>
        </w:rPr>
        <w:t xml:space="preserve"> </w:t>
      </w:r>
    </w:p>
    <w:p w14:paraId="738A9B24" w14:textId="77777777" w:rsidR="004D0B86" w:rsidRPr="00C0654D" w:rsidRDefault="004D0B86" w:rsidP="00455ABF">
      <w:pPr>
        <w:jc w:val="both"/>
        <w:rPr>
          <w:bCs/>
          <w:sz w:val="22"/>
          <w:szCs w:val="22"/>
          <w:lang w:val="sr-Latn-ME"/>
        </w:rPr>
      </w:pPr>
    </w:p>
    <w:p w14:paraId="13D1F2EF" w14:textId="4DF96453" w:rsidR="004D0B86" w:rsidRPr="00C0654D" w:rsidRDefault="004D0B86" w:rsidP="00455ABF">
      <w:pPr>
        <w:jc w:val="both"/>
        <w:rPr>
          <w:bCs/>
          <w:sz w:val="22"/>
          <w:szCs w:val="22"/>
          <w:lang w:val="sr-Latn-ME"/>
        </w:rPr>
      </w:pPr>
      <w:r w:rsidRPr="00C0654D">
        <w:rPr>
          <w:bCs/>
          <w:sz w:val="22"/>
          <w:szCs w:val="22"/>
          <w:lang w:val="sr-Latn-ME"/>
        </w:rPr>
        <w:t>Film tablete.</w:t>
      </w:r>
    </w:p>
    <w:p w14:paraId="5FA99B05" w14:textId="2D45A871" w:rsidR="00411B4B" w:rsidRPr="00C0654D" w:rsidRDefault="002827B5" w:rsidP="00455ABF">
      <w:pPr>
        <w:jc w:val="both"/>
        <w:rPr>
          <w:bCs/>
          <w:sz w:val="22"/>
          <w:szCs w:val="22"/>
          <w:lang w:val="sr-Latn-ME"/>
        </w:rPr>
      </w:pPr>
      <w:r>
        <w:rPr>
          <w:bCs/>
          <w:sz w:val="22"/>
          <w:szCs w:val="22"/>
          <w:lang w:val="sr-Latn-ME"/>
        </w:rPr>
        <w:t>I</w:t>
      </w:r>
      <w:r w:rsidR="004D0B86" w:rsidRPr="00C0654D">
        <w:rPr>
          <w:bCs/>
          <w:sz w:val="22"/>
          <w:szCs w:val="22"/>
          <w:lang w:val="sr-Latn-ME"/>
        </w:rPr>
        <w:t>zdužene, bikonveksne tablete ružičaste boje sa utisnutom oznakom „500“ na jednoj strani.</w:t>
      </w:r>
    </w:p>
    <w:p w14:paraId="5FA99B06" w14:textId="6AF62A39" w:rsidR="00EC2532" w:rsidRPr="00C0654D" w:rsidRDefault="00EC2532" w:rsidP="00455ABF">
      <w:pPr>
        <w:jc w:val="both"/>
        <w:rPr>
          <w:bCs/>
          <w:sz w:val="22"/>
          <w:szCs w:val="22"/>
          <w:lang w:val="sr-Latn-ME"/>
        </w:rPr>
      </w:pPr>
    </w:p>
    <w:p w14:paraId="00BECAD1" w14:textId="77777777" w:rsidR="009D2DD4" w:rsidRPr="00C0654D" w:rsidRDefault="009D2DD4" w:rsidP="00455ABF">
      <w:pPr>
        <w:jc w:val="both"/>
        <w:rPr>
          <w:bCs/>
          <w:sz w:val="22"/>
          <w:szCs w:val="22"/>
          <w:lang w:val="sr-Latn-ME"/>
        </w:rPr>
      </w:pPr>
    </w:p>
    <w:p w14:paraId="5FA99B07" w14:textId="77777777" w:rsidR="00411B4B" w:rsidRPr="00C0654D" w:rsidRDefault="00411B4B" w:rsidP="00455ABF">
      <w:pPr>
        <w:tabs>
          <w:tab w:val="left" w:pos="540"/>
          <w:tab w:val="left" w:pos="569"/>
        </w:tabs>
        <w:jc w:val="both"/>
        <w:rPr>
          <w:b/>
          <w:bCs/>
          <w:sz w:val="22"/>
          <w:szCs w:val="22"/>
          <w:lang w:val="sr-Latn-ME"/>
        </w:rPr>
      </w:pPr>
      <w:r w:rsidRPr="00C0654D">
        <w:rPr>
          <w:b/>
          <w:bCs/>
          <w:sz w:val="22"/>
          <w:szCs w:val="22"/>
          <w:lang w:val="sr-Latn-ME"/>
        </w:rPr>
        <w:t xml:space="preserve">4. </w:t>
      </w:r>
      <w:r w:rsidR="00480FB1" w:rsidRPr="00C0654D">
        <w:rPr>
          <w:b/>
          <w:bCs/>
          <w:sz w:val="22"/>
          <w:szCs w:val="22"/>
          <w:lang w:val="sr-Latn-ME"/>
        </w:rPr>
        <w:tab/>
      </w:r>
      <w:r w:rsidRPr="00C0654D">
        <w:rPr>
          <w:b/>
          <w:bCs/>
          <w:sz w:val="22"/>
          <w:szCs w:val="22"/>
          <w:lang w:val="sr-Latn-ME"/>
        </w:rPr>
        <w:t>KLINIČKI PODACI</w:t>
      </w:r>
    </w:p>
    <w:p w14:paraId="5FA99B08" w14:textId="77777777" w:rsidR="00CD6F02" w:rsidRPr="00C0654D" w:rsidRDefault="00CD6F02" w:rsidP="00455ABF">
      <w:pPr>
        <w:tabs>
          <w:tab w:val="left" w:pos="540"/>
          <w:tab w:val="left" w:pos="569"/>
        </w:tabs>
        <w:jc w:val="both"/>
        <w:rPr>
          <w:bCs/>
          <w:sz w:val="22"/>
          <w:szCs w:val="22"/>
          <w:lang w:val="sr-Latn-ME"/>
        </w:rPr>
      </w:pPr>
    </w:p>
    <w:p w14:paraId="5FA99B09" w14:textId="77777777" w:rsidR="00411B4B" w:rsidRPr="00C0654D" w:rsidRDefault="00411B4B" w:rsidP="00455ABF">
      <w:pPr>
        <w:tabs>
          <w:tab w:val="left" w:pos="540"/>
          <w:tab w:val="left" w:pos="569"/>
        </w:tabs>
        <w:jc w:val="both"/>
        <w:rPr>
          <w:b/>
          <w:bCs/>
          <w:sz w:val="22"/>
          <w:szCs w:val="22"/>
          <w:lang w:val="sr-Latn-ME"/>
        </w:rPr>
      </w:pPr>
      <w:r w:rsidRPr="00C0654D">
        <w:rPr>
          <w:b/>
          <w:bCs/>
          <w:sz w:val="22"/>
          <w:szCs w:val="22"/>
          <w:lang w:val="sr-Latn-ME"/>
        </w:rPr>
        <w:t xml:space="preserve">4.1. </w:t>
      </w:r>
      <w:r w:rsidR="00480FB1" w:rsidRPr="00C0654D">
        <w:rPr>
          <w:b/>
          <w:bCs/>
          <w:sz w:val="22"/>
          <w:szCs w:val="22"/>
          <w:lang w:val="sr-Latn-ME"/>
        </w:rPr>
        <w:tab/>
      </w:r>
      <w:r w:rsidRPr="00C0654D">
        <w:rPr>
          <w:b/>
          <w:bCs/>
          <w:sz w:val="22"/>
          <w:szCs w:val="22"/>
          <w:lang w:val="sr-Latn-ME"/>
        </w:rPr>
        <w:t>Terapijske indikacije</w:t>
      </w:r>
    </w:p>
    <w:p w14:paraId="6A48E4A1" w14:textId="77777777" w:rsidR="00141772" w:rsidRPr="00C0654D" w:rsidRDefault="00141772" w:rsidP="00455ABF">
      <w:pPr>
        <w:tabs>
          <w:tab w:val="left" w:pos="540"/>
          <w:tab w:val="left" w:pos="569"/>
        </w:tabs>
        <w:jc w:val="both"/>
        <w:rPr>
          <w:bCs/>
          <w:sz w:val="22"/>
          <w:szCs w:val="22"/>
          <w:lang w:val="sr-Latn-ME"/>
        </w:rPr>
      </w:pPr>
    </w:p>
    <w:p w14:paraId="6314C11A" w14:textId="58AE27EB" w:rsidR="00141772" w:rsidRPr="00C0654D" w:rsidRDefault="00141772" w:rsidP="00D85C58">
      <w:pPr>
        <w:tabs>
          <w:tab w:val="left" w:pos="540"/>
          <w:tab w:val="left" w:pos="569"/>
        </w:tabs>
        <w:jc w:val="both"/>
        <w:rPr>
          <w:bCs/>
          <w:sz w:val="22"/>
          <w:szCs w:val="22"/>
          <w:lang w:val="sr-Latn-ME"/>
        </w:rPr>
      </w:pPr>
      <w:r w:rsidRPr="00C0654D">
        <w:rPr>
          <w:bCs/>
          <w:sz w:val="22"/>
          <w:szCs w:val="22"/>
          <w:lang w:val="sr-Latn-ME"/>
        </w:rPr>
        <w:t xml:space="preserve">Lijek Capecitabine PharmaSwiss je indikovan za adjuvantnu terapiju pacijenata nakon operacije stadijuma III (Djuksov stadijum C) karcinoma kolona (vidjeti </w:t>
      </w:r>
      <w:r w:rsidR="00D85C58">
        <w:rPr>
          <w:bCs/>
          <w:sz w:val="22"/>
          <w:szCs w:val="22"/>
          <w:lang w:val="sr-Latn-ME"/>
        </w:rPr>
        <w:t xml:space="preserve">dio </w:t>
      </w:r>
      <w:r w:rsidRPr="00C0654D">
        <w:rPr>
          <w:bCs/>
          <w:sz w:val="22"/>
          <w:szCs w:val="22"/>
          <w:lang w:val="sr-Latn-ME"/>
        </w:rPr>
        <w:t>5.1).</w:t>
      </w:r>
    </w:p>
    <w:p w14:paraId="2E40EF8B" w14:textId="77777777" w:rsidR="00141772" w:rsidRPr="00C0654D" w:rsidRDefault="00141772" w:rsidP="00CA1BE0">
      <w:pPr>
        <w:tabs>
          <w:tab w:val="left" w:pos="540"/>
          <w:tab w:val="left" w:pos="569"/>
        </w:tabs>
        <w:jc w:val="both"/>
        <w:rPr>
          <w:bCs/>
          <w:sz w:val="22"/>
          <w:szCs w:val="22"/>
          <w:lang w:val="sr-Latn-ME"/>
        </w:rPr>
      </w:pPr>
    </w:p>
    <w:p w14:paraId="0C3283F6" w14:textId="7812DF8F" w:rsidR="00141772" w:rsidRPr="00C0654D" w:rsidRDefault="00141772">
      <w:pPr>
        <w:tabs>
          <w:tab w:val="left" w:pos="540"/>
          <w:tab w:val="left" w:pos="569"/>
        </w:tabs>
        <w:jc w:val="both"/>
        <w:rPr>
          <w:bCs/>
          <w:sz w:val="22"/>
          <w:szCs w:val="22"/>
          <w:lang w:val="sr-Latn-ME"/>
        </w:rPr>
      </w:pPr>
      <w:r w:rsidRPr="00C0654D">
        <w:rPr>
          <w:bCs/>
          <w:sz w:val="22"/>
          <w:szCs w:val="22"/>
          <w:lang w:val="sr-Latn-ME"/>
        </w:rPr>
        <w:t xml:space="preserve">Lijek Capecitabine PharmaSwiss je indikovan za terapiju metastatskog kolorektalnog karcinoma (vidjeti </w:t>
      </w:r>
      <w:r w:rsidR="00D85C58">
        <w:rPr>
          <w:bCs/>
          <w:sz w:val="22"/>
          <w:szCs w:val="22"/>
          <w:lang w:val="sr-Latn-ME"/>
        </w:rPr>
        <w:t xml:space="preserve">dio </w:t>
      </w:r>
      <w:r w:rsidRPr="00C0654D">
        <w:rPr>
          <w:bCs/>
          <w:sz w:val="22"/>
          <w:szCs w:val="22"/>
          <w:lang w:val="sr-Latn-ME"/>
        </w:rPr>
        <w:t>5.1).</w:t>
      </w:r>
    </w:p>
    <w:p w14:paraId="08FD2D64" w14:textId="77777777" w:rsidR="00141772" w:rsidRPr="00C0654D" w:rsidRDefault="00141772">
      <w:pPr>
        <w:tabs>
          <w:tab w:val="left" w:pos="540"/>
          <w:tab w:val="left" w:pos="569"/>
        </w:tabs>
        <w:jc w:val="both"/>
        <w:rPr>
          <w:bCs/>
          <w:sz w:val="22"/>
          <w:szCs w:val="22"/>
          <w:lang w:val="sr-Latn-ME"/>
        </w:rPr>
      </w:pPr>
    </w:p>
    <w:p w14:paraId="73C31191" w14:textId="7530185E" w:rsidR="00141772" w:rsidRPr="00C0654D" w:rsidRDefault="00141772">
      <w:pPr>
        <w:tabs>
          <w:tab w:val="left" w:pos="540"/>
          <w:tab w:val="left" w:pos="569"/>
        </w:tabs>
        <w:jc w:val="both"/>
        <w:rPr>
          <w:bCs/>
          <w:sz w:val="22"/>
          <w:szCs w:val="22"/>
          <w:lang w:val="sr-Latn-ME"/>
        </w:rPr>
      </w:pPr>
      <w:r w:rsidRPr="00C0654D">
        <w:rPr>
          <w:bCs/>
          <w:sz w:val="22"/>
          <w:szCs w:val="22"/>
          <w:lang w:val="sr-Latn-ME"/>
        </w:rPr>
        <w:t xml:space="preserve">Lijek Capecitabine PharmaSwiss je indikovan za prvu liniju terapije uznapredovalog karcinoma želuca u kombinaciji sa terapijskim režimima na bazi platine (vidjeti </w:t>
      </w:r>
      <w:r w:rsidR="00D85C58">
        <w:rPr>
          <w:bCs/>
          <w:sz w:val="22"/>
          <w:szCs w:val="22"/>
          <w:lang w:val="sr-Latn-ME"/>
        </w:rPr>
        <w:t xml:space="preserve">dio </w:t>
      </w:r>
      <w:r w:rsidRPr="00C0654D">
        <w:rPr>
          <w:bCs/>
          <w:sz w:val="22"/>
          <w:szCs w:val="22"/>
          <w:lang w:val="sr-Latn-ME"/>
        </w:rPr>
        <w:t>5.1).</w:t>
      </w:r>
    </w:p>
    <w:p w14:paraId="1D85E961" w14:textId="77777777" w:rsidR="00141772" w:rsidRPr="00C0654D" w:rsidRDefault="00141772">
      <w:pPr>
        <w:tabs>
          <w:tab w:val="left" w:pos="540"/>
          <w:tab w:val="left" w:pos="569"/>
        </w:tabs>
        <w:jc w:val="both"/>
        <w:rPr>
          <w:bCs/>
          <w:sz w:val="22"/>
          <w:szCs w:val="22"/>
          <w:lang w:val="sr-Latn-ME"/>
        </w:rPr>
      </w:pPr>
    </w:p>
    <w:p w14:paraId="3556F1E6" w14:textId="4ECF2D28" w:rsidR="00141772" w:rsidRPr="00C0654D" w:rsidRDefault="00141772">
      <w:pPr>
        <w:tabs>
          <w:tab w:val="left" w:pos="540"/>
          <w:tab w:val="left" w:pos="569"/>
        </w:tabs>
        <w:jc w:val="both"/>
        <w:rPr>
          <w:bCs/>
          <w:sz w:val="22"/>
          <w:szCs w:val="22"/>
          <w:lang w:val="sr-Latn-ME"/>
        </w:rPr>
      </w:pPr>
      <w:r w:rsidRPr="00C0654D">
        <w:rPr>
          <w:bCs/>
          <w:sz w:val="22"/>
          <w:szCs w:val="22"/>
          <w:lang w:val="sr-Latn-ME"/>
        </w:rPr>
        <w:t xml:space="preserve">Lijek Capecitabine PharmaSwiss u kombinaciji sa docetakselom (vidjeti </w:t>
      </w:r>
      <w:r w:rsidR="00D85C58">
        <w:rPr>
          <w:bCs/>
          <w:sz w:val="22"/>
          <w:szCs w:val="22"/>
          <w:lang w:val="sr-Latn-ME"/>
        </w:rPr>
        <w:t xml:space="preserve">dio </w:t>
      </w:r>
      <w:r w:rsidRPr="00C0654D">
        <w:rPr>
          <w:bCs/>
          <w:sz w:val="22"/>
          <w:szCs w:val="22"/>
          <w:lang w:val="sr-Latn-ME"/>
        </w:rPr>
        <w:t>5.1) je indikovan za terapiju pacijenata sa lokalno uznapredovalim ili metastatskim karcinomom dojke nakon neuspjeha citotoksične hemoterapije. Prethodna terapija bi trebalo da je uključivala antraciklin.</w:t>
      </w:r>
    </w:p>
    <w:p w14:paraId="638ADF37" w14:textId="77777777" w:rsidR="00141772" w:rsidRPr="00C0654D" w:rsidRDefault="00141772">
      <w:pPr>
        <w:tabs>
          <w:tab w:val="left" w:pos="540"/>
          <w:tab w:val="left" w:pos="569"/>
        </w:tabs>
        <w:jc w:val="both"/>
        <w:rPr>
          <w:bCs/>
          <w:sz w:val="22"/>
          <w:szCs w:val="22"/>
          <w:lang w:val="sr-Latn-ME"/>
        </w:rPr>
      </w:pPr>
    </w:p>
    <w:p w14:paraId="5FA99B0A" w14:textId="61A238F0" w:rsidR="00411B4B" w:rsidRPr="00C0654D" w:rsidRDefault="00141772">
      <w:pPr>
        <w:tabs>
          <w:tab w:val="left" w:pos="540"/>
          <w:tab w:val="left" w:pos="569"/>
        </w:tabs>
        <w:jc w:val="both"/>
        <w:rPr>
          <w:bCs/>
          <w:sz w:val="22"/>
          <w:szCs w:val="22"/>
          <w:lang w:val="sr-Latn-ME"/>
        </w:rPr>
      </w:pPr>
      <w:r w:rsidRPr="00C0654D">
        <w:rPr>
          <w:bCs/>
          <w:sz w:val="22"/>
          <w:szCs w:val="22"/>
          <w:lang w:val="sr-Latn-ME"/>
        </w:rPr>
        <w:t>Lijek Capecitabine PharmaSwiss je takođe indikovan kao monoterapija za terapiju pacijenata sa lokalno uznapredovalim ili metastatskim karcinomom dojke nakon neuspjeha terapije taksanima i hemoterapijskog režima koji sadrži antracikline ili za koje dalja terapija antraciklinima nije indikovana.</w:t>
      </w:r>
    </w:p>
    <w:p w14:paraId="4B61BFD2" w14:textId="77777777" w:rsidR="00141772" w:rsidRPr="00C0654D" w:rsidRDefault="00141772" w:rsidP="00455ABF">
      <w:pPr>
        <w:tabs>
          <w:tab w:val="left" w:pos="540"/>
          <w:tab w:val="left" w:pos="569"/>
        </w:tabs>
        <w:jc w:val="both"/>
        <w:rPr>
          <w:bCs/>
          <w:sz w:val="22"/>
          <w:szCs w:val="22"/>
          <w:lang w:val="sr-Latn-ME"/>
        </w:rPr>
      </w:pPr>
    </w:p>
    <w:p w14:paraId="5FA99B0B" w14:textId="77777777" w:rsidR="00411B4B" w:rsidRPr="00C0654D" w:rsidRDefault="00411B4B" w:rsidP="00455ABF">
      <w:pPr>
        <w:tabs>
          <w:tab w:val="left" w:pos="540"/>
          <w:tab w:val="left" w:pos="569"/>
        </w:tabs>
        <w:jc w:val="both"/>
        <w:rPr>
          <w:b/>
          <w:bCs/>
          <w:sz w:val="22"/>
          <w:szCs w:val="22"/>
          <w:lang w:val="sr-Latn-ME"/>
        </w:rPr>
      </w:pPr>
      <w:r w:rsidRPr="00C0654D">
        <w:rPr>
          <w:b/>
          <w:bCs/>
          <w:sz w:val="22"/>
          <w:szCs w:val="22"/>
          <w:lang w:val="sr-Latn-ME"/>
        </w:rPr>
        <w:t xml:space="preserve">4.2. </w:t>
      </w:r>
      <w:r w:rsidR="00480FB1" w:rsidRPr="00C0654D">
        <w:rPr>
          <w:b/>
          <w:bCs/>
          <w:sz w:val="22"/>
          <w:szCs w:val="22"/>
          <w:lang w:val="sr-Latn-ME"/>
        </w:rPr>
        <w:tab/>
      </w:r>
      <w:r w:rsidRPr="00C0654D">
        <w:rPr>
          <w:b/>
          <w:bCs/>
          <w:sz w:val="22"/>
          <w:szCs w:val="22"/>
          <w:lang w:val="sr-Latn-ME"/>
        </w:rPr>
        <w:t>Doziranje i način primjene</w:t>
      </w:r>
    </w:p>
    <w:p w14:paraId="5FA99B0C" w14:textId="77777777" w:rsidR="0072020E" w:rsidRPr="00C0654D" w:rsidRDefault="0072020E" w:rsidP="00455ABF">
      <w:pPr>
        <w:tabs>
          <w:tab w:val="left" w:pos="540"/>
          <w:tab w:val="left" w:pos="569"/>
        </w:tabs>
        <w:jc w:val="both"/>
        <w:rPr>
          <w:bCs/>
          <w:sz w:val="22"/>
          <w:szCs w:val="22"/>
          <w:lang w:val="sr-Latn-ME"/>
        </w:rPr>
      </w:pPr>
    </w:p>
    <w:p w14:paraId="5FA99B0D" w14:textId="77777777" w:rsidR="00452E9D" w:rsidRPr="00C0654D" w:rsidRDefault="00452E9D" w:rsidP="00455ABF">
      <w:pPr>
        <w:tabs>
          <w:tab w:val="left" w:pos="540"/>
          <w:tab w:val="left" w:pos="569"/>
        </w:tabs>
        <w:jc w:val="both"/>
        <w:rPr>
          <w:bCs/>
          <w:sz w:val="22"/>
          <w:szCs w:val="22"/>
          <w:u w:val="single"/>
          <w:lang w:val="sr-Latn-ME"/>
        </w:rPr>
      </w:pPr>
      <w:r w:rsidRPr="00C0654D">
        <w:rPr>
          <w:bCs/>
          <w:sz w:val="22"/>
          <w:szCs w:val="22"/>
          <w:u w:val="single"/>
          <w:lang w:val="sr-Latn-ME"/>
        </w:rPr>
        <w:t>Doziranje</w:t>
      </w:r>
    </w:p>
    <w:p w14:paraId="2E2CE14A" w14:textId="77777777" w:rsidR="00CF03B8" w:rsidRPr="00C0654D" w:rsidRDefault="00CF03B8" w:rsidP="00D85C58">
      <w:pPr>
        <w:shd w:val="clear" w:color="auto" w:fill="FFFFFF"/>
        <w:tabs>
          <w:tab w:val="left" w:pos="284"/>
          <w:tab w:val="left" w:pos="734"/>
          <w:tab w:val="left" w:pos="9270"/>
        </w:tabs>
        <w:ind w:left="14" w:right="36"/>
        <w:jc w:val="both"/>
        <w:rPr>
          <w:b/>
          <w:bCs/>
          <w:sz w:val="22"/>
          <w:szCs w:val="22"/>
          <w:lang w:val="sr-Latn-ME"/>
        </w:rPr>
      </w:pPr>
    </w:p>
    <w:p w14:paraId="020DA7E5" w14:textId="47FC1E8D" w:rsidR="00EA7E29" w:rsidRPr="00C0654D" w:rsidRDefault="00EA7E29" w:rsidP="00CA1BE0">
      <w:pPr>
        <w:shd w:val="clear" w:color="auto" w:fill="FFFFFF"/>
        <w:tabs>
          <w:tab w:val="left" w:pos="284"/>
          <w:tab w:val="left" w:pos="734"/>
          <w:tab w:val="left" w:pos="9270"/>
        </w:tabs>
        <w:ind w:left="14" w:right="36"/>
        <w:jc w:val="both"/>
        <w:rPr>
          <w:sz w:val="22"/>
          <w:szCs w:val="22"/>
          <w:lang w:val="sr-Latn-ME"/>
        </w:rPr>
      </w:pPr>
      <w:r w:rsidRPr="00C0654D">
        <w:rPr>
          <w:bCs/>
          <w:sz w:val="22"/>
          <w:szCs w:val="22"/>
          <w:lang w:val="sr-Latn-ME"/>
        </w:rPr>
        <w:t xml:space="preserve">Lijek </w:t>
      </w:r>
      <w:r w:rsidRPr="00C0654D">
        <w:rPr>
          <w:sz w:val="22"/>
          <w:szCs w:val="22"/>
          <w:lang w:val="sr-Latn-ME"/>
        </w:rPr>
        <w:t>Capecitabine PharmaSwiss treba da propisuje ljekar specijalista koji ima iskustva u korišćenju anti-neoplastičnih ljekova. Preporučuje se pažljivo praćenje pacijenata tokom prvog ciklusa liječenja.</w:t>
      </w:r>
    </w:p>
    <w:p w14:paraId="60EEACF8" w14:textId="77777777" w:rsidR="00EA7E29" w:rsidRPr="00C0654D" w:rsidRDefault="00EA7E29" w:rsidP="00CA1BE0">
      <w:pPr>
        <w:shd w:val="clear" w:color="auto" w:fill="FFFFFF"/>
        <w:tabs>
          <w:tab w:val="left" w:pos="284"/>
          <w:tab w:val="left" w:pos="734"/>
          <w:tab w:val="left" w:pos="9270"/>
        </w:tabs>
        <w:ind w:left="14" w:right="36"/>
        <w:jc w:val="both"/>
        <w:rPr>
          <w:sz w:val="22"/>
          <w:szCs w:val="22"/>
          <w:lang w:val="sr-Latn-ME"/>
        </w:rPr>
      </w:pPr>
    </w:p>
    <w:p w14:paraId="3F6E8974" w14:textId="77777777" w:rsidR="00EA7E29" w:rsidRPr="00C0654D" w:rsidRDefault="00EA7E29">
      <w:pPr>
        <w:shd w:val="clear" w:color="auto" w:fill="FFFFFF"/>
        <w:tabs>
          <w:tab w:val="left" w:pos="284"/>
          <w:tab w:val="left" w:pos="734"/>
          <w:tab w:val="left" w:pos="9270"/>
        </w:tabs>
        <w:ind w:left="14" w:right="36"/>
        <w:jc w:val="both"/>
        <w:rPr>
          <w:sz w:val="22"/>
          <w:szCs w:val="22"/>
          <w:lang w:val="sr-Latn-ME"/>
        </w:rPr>
      </w:pPr>
      <w:r w:rsidRPr="00C0654D">
        <w:rPr>
          <w:sz w:val="22"/>
          <w:szCs w:val="22"/>
          <w:lang w:val="sr-Latn-ME"/>
        </w:rPr>
        <w:lastRenderedPageBreak/>
        <w:t xml:space="preserve">Terapiju treba prekinuti ako se uoči progresija bolesti ili nepodnošljiva toksičnost. </w:t>
      </w:r>
    </w:p>
    <w:p w14:paraId="0E9BEC14" w14:textId="470E13C9" w:rsidR="00EA7E29" w:rsidRPr="00C0654D" w:rsidRDefault="00EA7E29">
      <w:pPr>
        <w:shd w:val="clear" w:color="auto" w:fill="FFFFFF"/>
        <w:tabs>
          <w:tab w:val="left" w:pos="284"/>
          <w:tab w:val="left" w:pos="734"/>
          <w:tab w:val="left" w:pos="9270"/>
        </w:tabs>
        <w:ind w:left="14" w:right="36"/>
        <w:jc w:val="both"/>
        <w:rPr>
          <w:sz w:val="22"/>
          <w:szCs w:val="22"/>
          <w:lang w:val="sr-Latn-ME"/>
        </w:rPr>
      </w:pPr>
      <w:r w:rsidRPr="00C0654D">
        <w:rPr>
          <w:sz w:val="22"/>
          <w:szCs w:val="22"/>
          <w:lang w:val="sr-Latn-ME"/>
        </w:rPr>
        <w:t>Izračunavanja standardne doze i smanjene doze na osnovu površine tijela prikazana su u Tabeli 1. za početnu dozu lijeka Capecitabine PharmaSwiss od 1250 mg/m</w:t>
      </w:r>
      <w:r w:rsidRPr="00C0654D">
        <w:rPr>
          <w:sz w:val="22"/>
          <w:szCs w:val="22"/>
          <w:vertAlign w:val="superscript"/>
          <w:lang w:val="sr-Latn-ME"/>
        </w:rPr>
        <w:t>2</w:t>
      </w:r>
      <w:r w:rsidRPr="00C0654D">
        <w:rPr>
          <w:sz w:val="22"/>
          <w:szCs w:val="22"/>
          <w:lang w:val="sr-Latn-ME"/>
        </w:rPr>
        <w:t xml:space="preserve"> i za početnu dozu od 1000 mg/</w:t>
      </w:r>
      <w:r w:rsidRPr="00455ABF">
        <w:rPr>
          <w:lang w:val="sr-Latn-ME"/>
        </w:rPr>
        <w:t>m</w:t>
      </w:r>
      <w:r w:rsidRPr="00455ABF">
        <w:rPr>
          <w:vertAlign w:val="superscript"/>
          <w:lang w:val="sr-Latn-ME"/>
        </w:rPr>
        <w:t>2</w:t>
      </w:r>
      <w:r w:rsidR="00D85C58">
        <w:rPr>
          <w:vertAlign w:val="superscript"/>
          <w:lang w:val="sr-Latn-ME"/>
        </w:rPr>
        <w:t xml:space="preserve">  </w:t>
      </w:r>
      <w:r w:rsidR="00D85C58">
        <w:rPr>
          <w:sz w:val="22"/>
          <w:szCs w:val="22"/>
          <w:lang w:val="sr-Latn-ME"/>
        </w:rPr>
        <w:t>u Tabeli 2.</w:t>
      </w:r>
    </w:p>
    <w:p w14:paraId="0EBC72F1" w14:textId="77777777" w:rsidR="00EA7E29" w:rsidRPr="00C0654D" w:rsidRDefault="00EA7E29">
      <w:pPr>
        <w:shd w:val="clear" w:color="auto" w:fill="FFFFFF"/>
        <w:tabs>
          <w:tab w:val="left" w:pos="284"/>
          <w:tab w:val="left" w:pos="734"/>
          <w:tab w:val="left" w:pos="9270"/>
        </w:tabs>
        <w:ind w:left="14" w:right="36"/>
        <w:jc w:val="both"/>
        <w:rPr>
          <w:sz w:val="22"/>
          <w:szCs w:val="22"/>
          <w:lang w:val="sr-Latn-ME"/>
        </w:rPr>
      </w:pPr>
    </w:p>
    <w:p w14:paraId="6E923973" w14:textId="72A78DA7" w:rsidR="00EA7E29" w:rsidRPr="00C0654D" w:rsidRDefault="00EA7E29">
      <w:pPr>
        <w:shd w:val="clear" w:color="auto" w:fill="FFFFFF"/>
        <w:tabs>
          <w:tab w:val="left" w:pos="284"/>
          <w:tab w:val="left" w:pos="734"/>
          <w:tab w:val="left" w:pos="9270"/>
        </w:tabs>
        <w:ind w:right="36"/>
        <w:jc w:val="both"/>
        <w:rPr>
          <w:sz w:val="22"/>
          <w:szCs w:val="22"/>
          <w:u w:val="single"/>
          <w:lang w:val="sr-Latn-ME"/>
        </w:rPr>
      </w:pPr>
      <w:r w:rsidRPr="00C0654D">
        <w:rPr>
          <w:sz w:val="22"/>
          <w:szCs w:val="22"/>
          <w:u w:val="single"/>
          <w:lang w:val="sr-Latn-ME"/>
        </w:rPr>
        <w:t xml:space="preserve">Preporučeni režim doziranja (vidjeti </w:t>
      </w:r>
      <w:r w:rsidR="00D85C58">
        <w:rPr>
          <w:sz w:val="22"/>
          <w:szCs w:val="22"/>
          <w:u w:val="single"/>
          <w:lang w:val="sr-Latn-ME"/>
        </w:rPr>
        <w:t xml:space="preserve">dio </w:t>
      </w:r>
      <w:r w:rsidRPr="00C0654D">
        <w:rPr>
          <w:sz w:val="22"/>
          <w:szCs w:val="22"/>
          <w:u w:val="single"/>
          <w:lang w:val="sr-Latn-ME"/>
        </w:rPr>
        <w:t>5.1):</w:t>
      </w:r>
    </w:p>
    <w:p w14:paraId="7AB2EFED" w14:textId="77777777" w:rsidR="00EA7E29" w:rsidRPr="00C0654D" w:rsidRDefault="00EA7E29">
      <w:pPr>
        <w:shd w:val="clear" w:color="auto" w:fill="FFFFFF"/>
        <w:tabs>
          <w:tab w:val="left" w:pos="284"/>
          <w:tab w:val="left" w:pos="734"/>
          <w:tab w:val="left" w:pos="9270"/>
        </w:tabs>
        <w:ind w:left="14" w:right="36"/>
        <w:jc w:val="both"/>
        <w:rPr>
          <w:sz w:val="22"/>
          <w:szCs w:val="22"/>
          <w:u w:val="single"/>
          <w:lang w:val="sr-Latn-ME"/>
        </w:rPr>
      </w:pPr>
    </w:p>
    <w:p w14:paraId="3DAB60BE" w14:textId="77777777" w:rsidR="00EA7E29" w:rsidRPr="00C0654D" w:rsidRDefault="00EA7E29">
      <w:pPr>
        <w:shd w:val="clear" w:color="auto" w:fill="FFFFFF"/>
        <w:tabs>
          <w:tab w:val="left" w:pos="284"/>
          <w:tab w:val="left" w:pos="734"/>
          <w:tab w:val="left" w:pos="9270"/>
        </w:tabs>
        <w:ind w:left="14" w:right="36"/>
        <w:jc w:val="both"/>
        <w:rPr>
          <w:b/>
          <w:sz w:val="22"/>
          <w:szCs w:val="22"/>
          <w:lang w:val="sr-Latn-ME"/>
        </w:rPr>
      </w:pPr>
      <w:r w:rsidRPr="00C0654D">
        <w:rPr>
          <w:b/>
          <w:sz w:val="22"/>
          <w:szCs w:val="22"/>
          <w:lang w:val="sr-Latn-ME"/>
        </w:rPr>
        <w:t>Monoterapija</w:t>
      </w:r>
    </w:p>
    <w:p w14:paraId="72AB266C" w14:textId="77777777" w:rsidR="00EA7E29" w:rsidRPr="00C0654D" w:rsidRDefault="00EA7E29">
      <w:pPr>
        <w:shd w:val="clear" w:color="auto" w:fill="FFFFFF"/>
        <w:tabs>
          <w:tab w:val="left" w:pos="284"/>
          <w:tab w:val="left" w:pos="734"/>
          <w:tab w:val="left" w:pos="9270"/>
        </w:tabs>
        <w:ind w:left="14" w:right="36"/>
        <w:jc w:val="both"/>
        <w:rPr>
          <w:i/>
          <w:sz w:val="22"/>
          <w:szCs w:val="22"/>
          <w:lang w:val="sr-Latn-ME"/>
        </w:rPr>
      </w:pPr>
      <w:r w:rsidRPr="00C0654D">
        <w:rPr>
          <w:i/>
          <w:sz w:val="22"/>
          <w:szCs w:val="22"/>
          <w:lang w:val="sr-Latn-ME"/>
        </w:rPr>
        <w:t>Karcinom kolona, kolorektalni karcinom i karcinom dojke</w:t>
      </w:r>
    </w:p>
    <w:p w14:paraId="2AEDEF6D" w14:textId="77777777" w:rsidR="00EA7E29" w:rsidRPr="00C0654D" w:rsidRDefault="00EA7E29">
      <w:pPr>
        <w:shd w:val="clear" w:color="auto" w:fill="FFFFFF"/>
        <w:tabs>
          <w:tab w:val="left" w:pos="284"/>
          <w:tab w:val="left" w:pos="734"/>
          <w:tab w:val="left" w:pos="9270"/>
        </w:tabs>
        <w:ind w:left="14" w:right="36"/>
        <w:jc w:val="both"/>
        <w:rPr>
          <w:sz w:val="22"/>
          <w:szCs w:val="22"/>
          <w:lang w:val="sr-Latn-ME"/>
        </w:rPr>
      </w:pPr>
      <w:r w:rsidRPr="00C0654D">
        <w:rPr>
          <w:sz w:val="22"/>
          <w:szCs w:val="22"/>
          <w:lang w:val="sr-Latn-ME"/>
        </w:rPr>
        <w:t>Kada se primjenjuje kao monoterapija, preporučena početna doza lijeka Capecitabine PharmaSwiss u adjuvantnoj terapiji karcinoma kolona, lječenju metastatskog kolorektalnog karcinoma ili lokalno uznapredovalog ili metastatskog karcinoma dojke je 1250 mg/m</w:t>
      </w:r>
      <w:r w:rsidRPr="00C0654D">
        <w:rPr>
          <w:sz w:val="22"/>
          <w:szCs w:val="22"/>
          <w:vertAlign w:val="superscript"/>
          <w:lang w:val="sr-Latn-ME"/>
        </w:rPr>
        <w:t>2</w:t>
      </w:r>
      <w:r w:rsidRPr="00C0654D">
        <w:rPr>
          <w:sz w:val="22"/>
          <w:szCs w:val="22"/>
          <w:lang w:val="sr-Latn-ME"/>
        </w:rPr>
        <w:t xml:space="preserve"> i primjenjuje se dva puta dnevno (ujutru i uveče, što odgovara ukupnoj dnevnoj dozi od 2500 mg/m</w:t>
      </w:r>
      <w:r w:rsidRPr="00C0654D">
        <w:rPr>
          <w:sz w:val="22"/>
          <w:szCs w:val="22"/>
          <w:vertAlign w:val="superscript"/>
          <w:lang w:val="sr-Latn-ME"/>
        </w:rPr>
        <w:t>2</w:t>
      </w:r>
      <w:r w:rsidRPr="00C0654D">
        <w:rPr>
          <w:sz w:val="22"/>
          <w:szCs w:val="22"/>
          <w:lang w:val="sr-Latn-ME"/>
        </w:rPr>
        <w:t>) tokom 14 dana, nakon čega slijedi 7 dana pauze. Adjuvantna terapija kod pacijenata sa karcinomom kolona u III stadijumu se preporučuje u ukupnom trajanju od 6 mjeseci.</w:t>
      </w:r>
    </w:p>
    <w:p w14:paraId="0506FB8C" w14:textId="77777777" w:rsidR="00EA7E29" w:rsidRPr="00C0654D" w:rsidRDefault="00EA7E29">
      <w:pPr>
        <w:shd w:val="clear" w:color="auto" w:fill="FFFFFF"/>
        <w:tabs>
          <w:tab w:val="left" w:pos="284"/>
          <w:tab w:val="left" w:pos="734"/>
          <w:tab w:val="left" w:pos="9270"/>
        </w:tabs>
        <w:ind w:left="14" w:right="36"/>
        <w:jc w:val="both"/>
        <w:rPr>
          <w:sz w:val="22"/>
          <w:szCs w:val="22"/>
          <w:lang w:val="sr-Latn-ME"/>
        </w:rPr>
      </w:pPr>
    </w:p>
    <w:p w14:paraId="77ECE041" w14:textId="77777777" w:rsidR="00EA7E29" w:rsidRPr="00C0654D" w:rsidRDefault="00EA7E29">
      <w:pPr>
        <w:shd w:val="clear" w:color="auto" w:fill="FFFFFF"/>
        <w:tabs>
          <w:tab w:val="left" w:pos="284"/>
          <w:tab w:val="left" w:pos="734"/>
          <w:tab w:val="left" w:pos="9270"/>
        </w:tabs>
        <w:ind w:left="14" w:right="36"/>
        <w:jc w:val="both"/>
        <w:rPr>
          <w:b/>
          <w:sz w:val="22"/>
          <w:szCs w:val="22"/>
          <w:lang w:val="sr-Latn-ME"/>
        </w:rPr>
      </w:pPr>
      <w:r w:rsidRPr="00C0654D">
        <w:rPr>
          <w:b/>
          <w:sz w:val="22"/>
          <w:szCs w:val="22"/>
          <w:lang w:val="sr-Latn-ME"/>
        </w:rPr>
        <w:t>Kombinovana terapija</w:t>
      </w:r>
    </w:p>
    <w:p w14:paraId="556418DF" w14:textId="77777777" w:rsidR="00EA7E29" w:rsidRPr="00C0654D" w:rsidRDefault="00EA7E29">
      <w:pPr>
        <w:shd w:val="clear" w:color="auto" w:fill="FFFFFF"/>
        <w:tabs>
          <w:tab w:val="left" w:pos="284"/>
          <w:tab w:val="left" w:pos="734"/>
          <w:tab w:val="left" w:pos="9270"/>
        </w:tabs>
        <w:ind w:left="14" w:right="36"/>
        <w:jc w:val="both"/>
        <w:rPr>
          <w:i/>
          <w:sz w:val="22"/>
          <w:szCs w:val="22"/>
          <w:lang w:val="sr-Latn-ME"/>
        </w:rPr>
      </w:pPr>
      <w:r w:rsidRPr="00C0654D">
        <w:rPr>
          <w:i/>
          <w:sz w:val="22"/>
          <w:szCs w:val="22"/>
          <w:lang w:val="sr-Latn-ME"/>
        </w:rPr>
        <w:t>Karcinom kolona, kolorektalni karcinom i karcinom želuca</w:t>
      </w:r>
    </w:p>
    <w:p w14:paraId="7C1AF534" w14:textId="4216B202" w:rsidR="00EA7E29" w:rsidRPr="00C0654D" w:rsidRDefault="00EA7E29" w:rsidP="007F357C">
      <w:pPr>
        <w:shd w:val="clear" w:color="auto" w:fill="FFFFFF"/>
        <w:tabs>
          <w:tab w:val="left" w:pos="284"/>
          <w:tab w:val="left" w:pos="734"/>
          <w:tab w:val="left" w:pos="9270"/>
        </w:tabs>
        <w:ind w:left="14" w:right="36"/>
        <w:jc w:val="both"/>
        <w:rPr>
          <w:sz w:val="22"/>
          <w:szCs w:val="22"/>
          <w:lang w:val="sr-Latn-ME"/>
        </w:rPr>
      </w:pPr>
      <w:r w:rsidRPr="00C0654D">
        <w:rPr>
          <w:sz w:val="22"/>
          <w:szCs w:val="22"/>
          <w:lang w:val="sr-Latn-ME"/>
        </w:rPr>
        <w:t>U kombinovanoj terapiji, preporučena početna doza lijeka Capecitabine PharmaSwiss treba da se smanji na 800-1000 mg/m</w:t>
      </w:r>
      <w:r w:rsidRPr="00C0654D">
        <w:rPr>
          <w:sz w:val="22"/>
          <w:szCs w:val="22"/>
          <w:vertAlign w:val="superscript"/>
          <w:lang w:val="sr-Latn-ME"/>
        </w:rPr>
        <w:t>2</w:t>
      </w:r>
      <w:r w:rsidRPr="00C0654D">
        <w:rPr>
          <w:sz w:val="22"/>
          <w:szCs w:val="22"/>
          <w:lang w:val="sr-Latn-ME"/>
        </w:rPr>
        <w:t xml:space="preserve"> dva puta dnevno tokom 14 dana, nakon čega slijedi pauza od 7 dana, ili na 625 mg/m</w:t>
      </w:r>
      <w:r w:rsidRPr="00C0654D">
        <w:rPr>
          <w:sz w:val="22"/>
          <w:szCs w:val="22"/>
          <w:vertAlign w:val="superscript"/>
          <w:lang w:val="sr-Latn-ME"/>
        </w:rPr>
        <w:t>2</w:t>
      </w:r>
      <w:r w:rsidRPr="00C0654D">
        <w:rPr>
          <w:sz w:val="22"/>
          <w:szCs w:val="22"/>
          <w:lang w:val="sr-Latn-ME"/>
        </w:rPr>
        <w:t xml:space="preserve"> dva puta dnevno u kontinuitetu (vidjeti poglavlje 5.1). Kada se primjenjuje u kombinaciji sa irinotekanom, preporučena početna doza je 800 mg/m² dva puta dnevno tokom 14 dana, nakon čega slijedi sedam dana odmora, </w:t>
      </w:r>
      <w:r w:rsidR="00D85C58" w:rsidRPr="007D0C80">
        <w:rPr>
          <w:sz w:val="22"/>
          <w:szCs w:val="22"/>
          <w:lang w:val="sr-Latn-ME"/>
        </w:rPr>
        <w:t>uz primjenu irinotekana u dozi od</w:t>
      </w:r>
      <w:r w:rsidR="007F357C">
        <w:rPr>
          <w:sz w:val="22"/>
          <w:szCs w:val="22"/>
          <w:lang w:val="sr-Latn-ME"/>
        </w:rPr>
        <w:t xml:space="preserve"> </w:t>
      </w:r>
      <w:r w:rsidR="00D85C58" w:rsidRPr="007D0C80">
        <w:rPr>
          <w:sz w:val="22"/>
          <w:szCs w:val="22"/>
          <w:lang w:val="sr-Latn-ME"/>
        </w:rPr>
        <w:t>200 mg/m2 prvog dana</w:t>
      </w:r>
      <w:r w:rsidRPr="00C0654D">
        <w:rPr>
          <w:sz w:val="22"/>
          <w:szCs w:val="22"/>
          <w:lang w:val="sr-Latn-ME"/>
        </w:rPr>
        <w:t>. Uključivanje bevacizumaba u kombinovani režim nema uticaja na početnu dozu lijeka Capecitabine PharmaSwiss. Premedikaciju treba započeti prije davanja cisplatina kod pacijenata koji primaju kombinaciju lijeka Capecitabine PharmaSwiss i cisplatina, da bi se održala adekvatna hidratacija i spriječilo povraćanje, u skladu sa Sažetkom karakteristika lijeka za cisplatin. Kod pacijenata koji primaju kombinaciju lijeka Capecitabine PharmaSwiss i oksaliplatina, preporučuje se premedikacija antiemeticima u skladu sa Sažetkom karakteristika lijeka za oksaliplatin.  Kod pacijenata sa  karcinomom kolona, adjuvantna terapija u III stadijumu se preporučuje u trajanju od 6 mjeseci.</w:t>
      </w:r>
    </w:p>
    <w:p w14:paraId="313DD60F" w14:textId="77777777" w:rsidR="00EA7E29" w:rsidRPr="00C0654D" w:rsidRDefault="00EA7E29" w:rsidP="00CA1BE0">
      <w:pPr>
        <w:shd w:val="clear" w:color="auto" w:fill="FFFFFF"/>
        <w:tabs>
          <w:tab w:val="left" w:pos="284"/>
          <w:tab w:val="left" w:pos="734"/>
          <w:tab w:val="left" w:pos="9270"/>
        </w:tabs>
        <w:ind w:left="14" w:right="36"/>
        <w:jc w:val="both"/>
        <w:rPr>
          <w:sz w:val="22"/>
          <w:szCs w:val="22"/>
          <w:lang w:val="sr-Latn-ME"/>
        </w:rPr>
      </w:pPr>
    </w:p>
    <w:p w14:paraId="2C49D531" w14:textId="77777777" w:rsidR="00EA7E29" w:rsidRPr="00C0654D" w:rsidRDefault="00EA7E29">
      <w:pPr>
        <w:shd w:val="clear" w:color="auto" w:fill="FFFFFF"/>
        <w:tabs>
          <w:tab w:val="left" w:pos="284"/>
          <w:tab w:val="left" w:pos="734"/>
          <w:tab w:val="left" w:pos="9270"/>
        </w:tabs>
        <w:ind w:left="14" w:right="36"/>
        <w:jc w:val="both"/>
        <w:rPr>
          <w:i/>
          <w:sz w:val="22"/>
          <w:szCs w:val="22"/>
          <w:lang w:val="sr-Latn-ME"/>
        </w:rPr>
      </w:pPr>
      <w:r w:rsidRPr="00C0654D">
        <w:rPr>
          <w:i/>
          <w:sz w:val="22"/>
          <w:szCs w:val="22"/>
          <w:lang w:val="sr-Latn-ME"/>
        </w:rPr>
        <w:t>Karcinom dojke</w:t>
      </w:r>
    </w:p>
    <w:p w14:paraId="2784872D" w14:textId="77777777" w:rsidR="00EA7E29" w:rsidRPr="00C0654D" w:rsidRDefault="00EA7E29">
      <w:pPr>
        <w:shd w:val="clear" w:color="auto" w:fill="FFFFFF"/>
        <w:tabs>
          <w:tab w:val="left" w:pos="284"/>
          <w:tab w:val="left" w:pos="734"/>
          <w:tab w:val="left" w:pos="9270"/>
        </w:tabs>
        <w:ind w:left="14" w:right="36"/>
        <w:jc w:val="both"/>
        <w:rPr>
          <w:sz w:val="22"/>
          <w:szCs w:val="22"/>
          <w:lang w:val="sr-Latn-ME"/>
        </w:rPr>
      </w:pPr>
      <w:r w:rsidRPr="00C0654D">
        <w:rPr>
          <w:sz w:val="22"/>
          <w:szCs w:val="22"/>
          <w:lang w:val="sr-Latn-ME"/>
        </w:rPr>
        <w:t>U kombinaciji sa docetakselom, preporučena početna doza lijeka Capecitabine PharmaSwiss u liječenju metastatskog karcinoma dojke je 1250 mg/m</w:t>
      </w:r>
      <w:r w:rsidRPr="00C0654D">
        <w:rPr>
          <w:sz w:val="22"/>
          <w:szCs w:val="22"/>
          <w:vertAlign w:val="superscript"/>
          <w:lang w:val="sr-Latn-ME"/>
        </w:rPr>
        <w:t>2</w:t>
      </w:r>
      <w:r w:rsidRPr="00C0654D">
        <w:rPr>
          <w:sz w:val="22"/>
          <w:szCs w:val="22"/>
          <w:lang w:val="sr-Latn-ME"/>
        </w:rPr>
        <w:t xml:space="preserve"> dva puta dnevno tokom 14 dana, nakon čega slijedi pauza od 7 dana, u kombinaciji sa 75 mg/m</w:t>
      </w:r>
      <w:r w:rsidRPr="00C0654D">
        <w:rPr>
          <w:sz w:val="22"/>
          <w:szCs w:val="22"/>
          <w:vertAlign w:val="superscript"/>
          <w:lang w:val="sr-Latn-ME"/>
        </w:rPr>
        <w:t>2</w:t>
      </w:r>
      <w:r w:rsidRPr="00C0654D">
        <w:rPr>
          <w:sz w:val="22"/>
          <w:szCs w:val="22"/>
          <w:lang w:val="sr-Latn-ME"/>
        </w:rPr>
        <w:t xml:space="preserve"> docetaksela u vidu jednočasovne intravenske infuzije na svake 3 nedjelje. Premedikacija oralnim kortikosteroidima kao što je deksametazon, u skladu sa Sažetkom karakteristika lijeka za docetaksel, treba da se započne prije primjene docetaksela kod pacijenata koji primaju kombinaciju lijeka Capecitabine PharmaSwiss i docetaksela.</w:t>
      </w:r>
    </w:p>
    <w:p w14:paraId="2242A30A" w14:textId="77777777" w:rsidR="00EA7E29" w:rsidRPr="00C0654D" w:rsidRDefault="00EA7E29">
      <w:pPr>
        <w:shd w:val="clear" w:color="auto" w:fill="FFFFFF"/>
        <w:tabs>
          <w:tab w:val="left" w:pos="284"/>
          <w:tab w:val="left" w:pos="734"/>
          <w:tab w:val="left" w:pos="9270"/>
        </w:tabs>
        <w:ind w:left="14" w:right="36"/>
        <w:jc w:val="both"/>
        <w:rPr>
          <w:bCs/>
          <w:sz w:val="22"/>
          <w:szCs w:val="22"/>
          <w:lang w:val="sr-Latn-ME"/>
        </w:rPr>
      </w:pPr>
    </w:p>
    <w:p w14:paraId="71757A5E" w14:textId="77777777" w:rsidR="00EA7E29" w:rsidRPr="00C0654D" w:rsidRDefault="00EA7E29">
      <w:pPr>
        <w:shd w:val="clear" w:color="auto" w:fill="FFFFFF"/>
        <w:tabs>
          <w:tab w:val="left" w:pos="284"/>
          <w:tab w:val="left" w:pos="734"/>
          <w:tab w:val="left" w:pos="9270"/>
        </w:tabs>
        <w:ind w:left="14" w:right="36"/>
        <w:jc w:val="both"/>
        <w:rPr>
          <w:sz w:val="22"/>
          <w:szCs w:val="22"/>
          <w:u w:val="single"/>
          <w:lang w:val="sr-Latn-ME"/>
        </w:rPr>
      </w:pPr>
      <w:r w:rsidRPr="00C0654D">
        <w:rPr>
          <w:bCs/>
          <w:sz w:val="22"/>
          <w:szCs w:val="22"/>
          <w:u w:val="single"/>
          <w:lang w:val="sr-Latn-ME"/>
        </w:rPr>
        <w:t xml:space="preserve">Izračunavanje doze lijeka </w:t>
      </w:r>
      <w:r w:rsidRPr="00C0654D">
        <w:rPr>
          <w:sz w:val="22"/>
          <w:szCs w:val="22"/>
          <w:u w:val="single"/>
          <w:lang w:val="sr-Latn-ME"/>
        </w:rPr>
        <w:t>Capecitabine PharmaSwiss:</w:t>
      </w:r>
    </w:p>
    <w:p w14:paraId="130E4907" w14:textId="77777777" w:rsidR="00D85C58" w:rsidRDefault="00D85C58">
      <w:pPr>
        <w:shd w:val="clear" w:color="auto" w:fill="FFFFFF"/>
        <w:tabs>
          <w:tab w:val="left" w:pos="284"/>
          <w:tab w:val="left" w:pos="734"/>
          <w:tab w:val="left" w:pos="9270"/>
        </w:tabs>
        <w:ind w:right="36"/>
        <w:jc w:val="both"/>
        <w:rPr>
          <w:sz w:val="22"/>
          <w:szCs w:val="22"/>
          <w:lang w:val="sr-Latn-ME"/>
        </w:rPr>
      </w:pPr>
    </w:p>
    <w:p w14:paraId="42E449C8" w14:textId="2FD035E3" w:rsidR="00EA7E29" w:rsidRPr="00C0654D" w:rsidRDefault="00EA7E29">
      <w:pPr>
        <w:shd w:val="clear" w:color="auto" w:fill="FFFFFF"/>
        <w:tabs>
          <w:tab w:val="left" w:pos="284"/>
          <w:tab w:val="left" w:pos="734"/>
          <w:tab w:val="left" w:pos="9270"/>
        </w:tabs>
        <w:ind w:right="36"/>
        <w:jc w:val="both"/>
        <w:rPr>
          <w:sz w:val="22"/>
          <w:szCs w:val="22"/>
          <w:vertAlign w:val="superscript"/>
          <w:lang w:val="sr-Latn-ME"/>
        </w:rPr>
      </w:pPr>
      <w:r w:rsidRPr="00C0654D">
        <w:rPr>
          <w:sz w:val="22"/>
          <w:szCs w:val="22"/>
          <w:lang w:val="sr-Latn-ME"/>
        </w:rPr>
        <w:t>Tabela 1. Izračunavanje standardne i</w:t>
      </w:r>
      <w:r w:rsidR="009D71F8">
        <w:rPr>
          <w:sz w:val="22"/>
          <w:szCs w:val="22"/>
          <w:lang w:val="sr-Latn-ME"/>
        </w:rPr>
        <w:t xml:space="preserve"> </w:t>
      </w:r>
      <w:r w:rsidR="00D85C58">
        <w:rPr>
          <w:sz w:val="22"/>
          <w:szCs w:val="22"/>
          <w:lang w:val="sr-Latn-ME"/>
        </w:rPr>
        <w:t xml:space="preserve">smanjene </w:t>
      </w:r>
      <w:r w:rsidRPr="00C0654D">
        <w:rPr>
          <w:sz w:val="22"/>
          <w:szCs w:val="22"/>
          <w:lang w:val="sr-Latn-ME"/>
        </w:rPr>
        <w:t>doze lijeka Capecitabine PharmaSwiss na osnovu površine tijela, za početnu dozu od  1250 mg/m</w:t>
      </w:r>
      <w:r w:rsidRPr="00C0654D">
        <w:rPr>
          <w:sz w:val="22"/>
          <w:szCs w:val="22"/>
          <w:vertAlign w:val="superscript"/>
          <w:lang w:val="sr-Latn-ME"/>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1657"/>
        <w:gridCol w:w="1657"/>
        <w:gridCol w:w="1657"/>
        <w:gridCol w:w="1657"/>
        <w:gridCol w:w="1349"/>
      </w:tblGrid>
      <w:tr w:rsidR="00EA7E29" w:rsidRPr="006E16D5" w14:paraId="57005CEC" w14:textId="77777777" w:rsidTr="00EB69AA">
        <w:tc>
          <w:tcPr>
            <w:tcW w:w="1657" w:type="dxa"/>
          </w:tcPr>
          <w:p w14:paraId="3DFEC7D4" w14:textId="77777777" w:rsidR="00EA7E29" w:rsidRPr="00C0654D" w:rsidRDefault="00EA7E29" w:rsidP="00F10513">
            <w:pPr>
              <w:tabs>
                <w:tab w:val="left" w:pos="284"/>
                <w:tab w:val="left" w:pos="734"/>
                <w:tab w:val="left" w:pos="9270"/>
              </w:tabs>
              <w:ind w:right="36"/>
              <w:jc w:val="both"/>
              <w:rPr>
                <w:bCs/>
                <w:sz w:val="22"/>
                <w:szCs w:val="22"/>
                <w:u w:val="single"/>
                <w:lang w:val="sr-Latn-ME"/>
              </w:rPr>
            </w:pPr>
          </w:p>
        </w:tc>
        <w:tc>
          <w:tcPr>
            <w:tcW w:w="7977" w:type="dxa"/>
            <w:gridSpan w:val="5"/>
          </w:tcPr>
          <w:p w14:paraId="7244DDDD"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Dozni nivo 1250 mg/m</w:t>
            </w:r>
            <w:r w:rsidRPr="00C0654D">
              <w:rPr>
                <w:bCs/>
                <w:sz w:val="22"/>
                <w:szCs w:val="22"/>
                <w:vertAlign w:val="superscript"/>
                <w:lang w:val="sr-Latn-ME"/>
              </w:rPr>
              <w:t>2</w:t>
            </w:r>
            <w:r w:rsidRPr="00C0654D">
              <w:rPr>
                <w:bCs/>
                <w:sz w:val="22"/>
                <w:szCs w:val="22"/>
                <w:lang w:val="sr-Latn-ME"/>
              </w:rPr>
              <w:t xml:space="preserve"> (dva puta dnevno)</w:t>
            </w:r>
          </w:p>
        </w:tc>
      </w:tr>
      <w:tr w:rsidR="00EA7E29" w:rsidRPr="00C0654D" w14:paraId="19191535" w14:textId="77777777" w:rsidTr="00EB69AA">
        <w:trPr>
          <w:trHeight w:val="571"/>
        </w:trPr>
        <w:tc>
          <w:tcPr>
            <w:tcW w:w="1657" w:type="dxa"/>
          </w:tcPr>
          <w:p w14:paraId="43F9AA78" w14:textId="77777777" w:rsidR="00EA7E29" w:rsidRPr="00C0654D" w:rsidRDefault="00EA7E29" w:rsidP="00F10513">
            <w:pPr>
              <w:tabs>
                <w:tab w:val="left" w:pos="284"/>
                <w:tab w:val="left" w:pos="734"/>
                <w:tab w:val="left" w:pos="9270"/>
              </w:tabs>
              <w:ind w:right="36"/>
              <w:jc w:val="both"/>
              <w:rPr>
                <w:bCs/>
                <w:sz w:val="22"/>
                <w:szCs w:val="22"/>
                <w:u w:val="single"/>
                <w:lang w:val="sr-Latn-ME"/>
              </w:rPr>
            </w:pPr>
          </w:p>
        </w:tc>
        <w:tc>
          <w:tcPr>
            <w:tcW w:w="1657" w:type="dxa"/>
          </w:tcPr>
          <w:p w14:paraId="5C0D842D"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Puna doza</w:t>
            </w:r>
          </w:p>
          <w:p w14:paraId="0D94903C"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1250 mg/m</w:t>
            </w:r>
            <w:r w:rsidRPr="00C0654D">
              <w:rPr>
                <w:bCs/>
                <w:sz w:val="22"/>
                <w:szCs w:val="22"/>
                <w:vertAlign w:val="superscript"/>
                <w:lang w:val="sr-Latn-ME"/>
              </w:rPr>
              <w:t>2</w:t>
            </w:r>
          </w:p>
        </w:tc>
        <w:tc>
          <w:tcPr>
            <w:tcW w:w="3314" w:type="dxa"/>
            <w:gridSpan w:val="2"/>
          </w:tcPr>
          <w:p w14:paraId="176E1821"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Broj tableta od 150 mg i/ili 500 mg po svakom uzimanju lijeka (uzima se ujutru i uveče)</w:t>
            </w:r>
          </w:p>
        </w:tc>
        <w:tc>
          <w:tcPr>
            <w:tcW w:w="1657" w:type="dxa"/>
          </w:tcPr>
          <w:p w14:paraId="75A064A7"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Smanjena doza (75%)</w:t>
            </w:r>
          </w:p>
          <w:p w14:paraId="2542637D"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950 mg/m</w:t>
            </w:r>
            <w:r w:rsidRPr="00C0654D">
              <w:rPr>
                <w:bCs/>
                <w:sz w:val="22"/>
                <w:szCs w:val="22"/>
                <w:vertAlign w:val="superscript"/>
                <w:lang w:val="sr-Latn-ME"/>
              </w:rPr>
              <w:t>2</w:t>
            </w:r>
          </w:p>
        </w:tc>
        <w:tc>
          <w:tcPr>
            <w:tcW w:w="1349" w:type="dxa"/>
          </w:tcPr>
          <w:p w14:paraId="7EEF7FF5"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Smanjena doza (50%)</w:t>
            </w:r>
          </w:p>
          <w:p w14:paraId="450CDA22"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625 mg/m</w:t>
            </w:r>
            <w:r w:rsidRPr="00C0654D">
              <w:rPr>
                <w:bCs/>
                <w:sz w:val="22"/>
                <w:szCs w:val="22"/>
                <w:vertAlign w:val="superscript"/>
                <w:lang w:val="sr-Latn-ME"/>
              </w:rPr>
              <w:t>2</w:t>
            </w:r>
          </w:p>
        </w:tc>
      </w:tr>
      <w:tr w:rsidR="00EA7E29" w:rsidRPr="006E16D5" w14:paraId="7F0D0352" w14:textId="77777777" w:rsidTr="00EB69AA">
        <w:tc>
          <w:tcPr>
            <w:tcW w:w="1657" w:type="dxa"/>
          </w:tcPr>
          <w:p w14:paraId="724F5756"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Površina tijela (m</w:t>
            </w:r>
            <w:r w:rsidRPr="00C0654D">
              <w:rPr>
                <w:bCs/>
                <w:sz w:val="22"/>
                <w:szCs w:val="22"/>
                <w:vertAlign w:val="superscript"/>
                <w:lang w:val="sr-Latn-ME"/>
              </w:rPr>
              <w:t>2</w:t>
            </w:r>
            <w:r w:rsidRPr="00C0654D">
              <w:rPr>
                <w:bCs/>
                <w:sz w:val="22"/>
                <w:szCs w:val="22"/>
                <w:lang w:val="sr-Latn-ME"/>
              </w:rPr>
              <w:t>)</w:t>
            </w:r>
          </w:p>
        </w:tc>
        <w:tc>
          <w:tcPr>
            <w:tcW w:w="1657" w:type="dxa"/>
          </w:tcPr>
          <w:p w14:paraId="68D66A36"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Doza po jednom uzimanju (mg)</w:t>
            </w:r>
          </w:p>
        </w:tc>
        <w:tc>
          <w:tcPr>
            <w:tcW w:w="1657" w:type="dxa"/>
          </w:tcPr>
          <w:p w14:paraId="04B59015"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150 mg</w:t>
            </w:r>
          </w:p>
        </w:tc>
        <w:tc>
          <w:tcPr>
            <w:tcW w:w="1657" w:type="dxa"/>
          </w:tcPr>
          <w:p w14:paraId="44652FC6"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500 mg</w:t>
            </w:r>
          </w:p>
        </w:tc>
        <w:tc>
          <w:tcPr>
            <w:tcW w:w="1657" w:type="dxa"/>
          </w:tcPr>
          <w:p w14:paraId="78E696F8"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Doza po jednom uzimanju (mg)</w:t>
            </w:r>
          </w:p>
        </w:tc>
        <w:tc>
          <w:tcPr>
            <w:tcW w:w="1349" w:type="dxa"/>
          </w:tcPr>
          <w:p w14:paraId="413A9258" w14:textId="04C575C4"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Doza po jednom uzimanj</w:t>
            </w:r>
            <w:r w:rsidR="00EB69AA">
              <w:rPr>
                <w:bCs/>
                <w:sz w:val="22"/>
                <w:szCs w:val="22"/>
                <w:lang w:val="sr-Latn-ME"/>
              </w:rPr>
              <w:t xml:space="preserve">u </w:t>
            </w:r>
            <w:r w:rsidRPr="00C0654D">
              <w:rPr>
                <w:bCs/>
                <w:sz w:val="22"/>
                <w:szCs w:val="22"/>
                <w:lang w:val="sr-Latn-ME"/>
              </w:rPr>
              <w:t>(mg)</w:t>
            </w:r>
          </w:p>
        </w:tc>
      </w:tr>
      <w:tr w:rsidR="00EA7E29" w:rsidRPr="00C0654D" w14:paraId="6CF39930" w14:textId="77777777" w:rsidTr="00EB69AA">
        <w:tc>
          <w:tcPr>
            <w:tcW w:w="1657" w:type="dxa"/>
          </w:tcPr>
          <w:p w14:paraId="31455A53"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≤1,26</w:t>
            </w:r>
          </w:p>
        </w:tc>
        <w:tc>
          <w:tcPr>
            <w:tcW w:w="1657" w:type="dxa"/>
          </w:tcPr>
          <w:p w14:paraId="4CA6ED9B"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1500</w:t>
            </w:r>
          </w:p>
        </w:tc>
        <w:tc>
          <w:tcPr>
            <w:tcW w:w="1657" w:type="dxa"/>
          </w:tcPr>
          <w:p w14:paraId="3AF629C7"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w:t>
            </w:r>
          </w:p>
        </w:tc>
        <w:tc>
          <w:tcPr>
            <w:tcW w:w="1657" w:type="dxa"/>
          </w:tcPr>
          <w:p w14:paraId="10AD824D"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3</w:t>
            </w:r>
          </w:p>
        </w:tc>
        <w:tc>
          <w:tcPr>
            <w:tcW w:w="1657" w:type="dxa"/>
          </w:tcPr>
          <w:p w14:paraId="6B6C70A1"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1150</w:t>
            </w:r>
          </w:p>
        </w:tc>
        <w:tc>
          <w:tcPr>
            <w:tcW w:w="1349" w:type="dxa"/>
          </w:tcPr>
          <w:p w14:paraId="3A29B438"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800</w:t>
            </w:r>
          </w:p>
        </w:tc>
      </w:tr>
      <w:tr w:rsidR="00EA7E29" w:rsidRPr="00C0654D" w14:paraId="7F8513B4" w14:textId="77777777" w:rsidTr="00EB69AA">
        <w:tc>
          <w:tcPr>
            <w:tcW w:w="1657" w:type="dxa"/>
          </w:tcPr>
          <w:p w14:paraId="5848C644"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1,27-1,38</w:t>
            </w:r>
          </w:p>
        </w:tc>
        <w:tc>
          <w:tcPr>
            <w:tcW w:w="1657" w:type="dxa"/>
          </w:tcPr>
          <w:p w14:paraId="7AEAF40B"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1650</w:t>
            </w:r>
          </w:p>
        </w:tc>
        <w:tc>
          <w:tcPr>
            <w:tcW w:w="1657" w:type="dxa"/>
          </w:tcPr>
          <w:p w14:paraId="22A145EE"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w:t>
            </w:r>
          </w:p>
        </w:tc>
        <w:tc>
          <w:tcPr>
            <w:tcW w:w="1657" w:type="dxa"/>
          </w:tcPr>
          <w:p w14:paraId="20047FB9"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3</w:t>
            </w:r>
          </w:p>
        </w:tc>
        <w:tc>
          <w:tcPr>
            <w:tcW w:w="1657" w:type="dxa"/>
          </w:tcPr>
          <w:p w14:paraId="67A4A1E3"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1300</w:t>
            </w:r>
          </w:p>
        </w:tc>
        <w:tc>
          <w:tcPr>
            <w:tcW w:w="1349" w:type="dxa"/>
          </w:tcPr>
          <w:p w14:paraId="31E37ED2"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800</w:t>
            </w:r>
          </w:p>
        </w:tc>
      </w:tr>
      <w:tr w:rsidR="00EA7E29" w:rsidRPr="00C0654D" w14:paraId="2C75C9DB" w14:textId="77777777" w:rsidTr="00EB69AA">
        <w:tc>
          <w:tcPr>
            <w:tcW w:w="1657" w:type="dxa"/>
          </w:tcPr>
          <w:p w14:paraId="2F51E34B"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1,39-1,52</w:t>
            </w:r>
          </w:p>
        </w:tc>
        <w:tc>
          <w:tcPr>
            <w:tcW w:w="1657" w:type="dxa"/>
          </w:tcPr>
          <w:p w14:paraId="7389744F"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1800</w:t>
            </w:r>
          </w:p>
        </w:tc>
        <w:tc>
          <w:tcPr>
            <w:tcW w:w="1657" w:type="dxa"/>
          </w:tcPr>
          <w:p w14:paraId="7B3FE026"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5C870FE8"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3</w:t>
            </w:r>
          </w:p>
        </w:tc>
        <w:tc>
          <w:tcPr>
            <w:tcW w:w="1657" w:type="dxa"/>
          </w:tcPr>
          <w:p w14:paraId="447A2C18"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1450</w:t>
            </w:r>
          </w:p>
        </w:tc>
        <w:tc>
          <w:tcPr>
            <w:tcW w:w="1349" w:type="dxa"/>
          </w:tcPr>
          <w:p w14:paraId="1DFA7561"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950</w:t>
            </w:r>
          </w:p>
        </w:tc>
      </w:tr>
      <w:tr w:rsidR="00EA7E29" w:rsidRPr="00C0654D" w14:paraId="7F8FA3F5" w14:textId="77777777" w:rsidTr="00EB69AA">
        <w:tc>
          <w:tcPr>
            <w:tcW w:w="1657" w:type="dxa"/>
          </w:tcPr>
          <w:p w14:paraId="3DCD9234"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1,53-1,66</w:t>
            </w:r>
          </w:p>
        </w:tc>
        <w:tc>
          <w:tcPr>
            <w:tcW w:w="1657" w:type="dxa"/>
          </w:tcPr>
          <w:p w14:paraId="126E9ED9"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2000</w:t>
            </w:r>
          </w:p>
        </w:tc>
        <w:tc>
          <w:tcPr>
            <w:tcW w:w="1657" w:type="dxa"/>
          </w:tcPr>
          <w:p w14:paraId="38D0A906"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w:t>
            </w:r>
          </w:p>
        </w:tc>
        <w:tc>
          <w:tcPr>
            <w:tcW w:w="1657" w:type="dxa"/>
          </w:tcPr>
          <w:p w14:paraId="37F11BE1"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4</w:t>
            </w:r>
          </w:p>
        </w:tc>
        <w:tc>
          <w:tcPr>
            <w:tcW w:w="1657" w:type="dxa"/>
          </w:tcPr>
          <w:p w14:paraId="37C75244"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1500</w:t>
            </w:r>
          </w:p>
        </w:tc>
        <w:tc>
          <w:tcPr>
            <w:tcW w:w="1349" w:type="dxa"/>
          </w:tcPr>
          <w:p w14:paraId="74ABD823"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1000</w:t>
            </w:r>
          </w:p>
        </w:tc>
      </w:tr>
      <w:tr w:rsidR="00EA7E29" w:rsidRPr="00C0654D" w14:paraId="4104FB3F" w14:textId="77777777" w:rsidTr="00EB69AA">
        <w:tc>
          <w:tcPr>
            <w:tcW w:w="1657" w:type="dxa"/>
          </w:tcPr>
          <w:p w14:paraId="4491E7EA"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1,67-1,78</w:t>
            </w:r>
          </w:p>
        </w:tc>
        <w:tc>
          <w:tcPr>
            <w:tcW w:w="1657" w:type="dxa"/>
          </w:tcPr>
          <w:p w14:paraId="2C7AC3DE"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2150</w:t>
            </w:r>
          </w:p>
        </w:tc>
        <w:tc>
          <w:tcPr>
            <w:tcW w:w="1657" w:type="dxa"/>
          </w:tcPr>
          <w:p w14:paraId="7CB8D68A"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w:t>
            </w:r>
          </w:p>
        </w:tc>
        <w:tc>
          <w:tcPr>
            <w:tcW w:w="1657" w:type="dxa"/>
          </w:tcPr>
          <w:p w14:paraId="5A0B637E"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4</w:t>
            </w:r>
          </w:p>
        </w:tc>
        <w:tc>
          <w:tcPr>
            <w:tcW w:w="1657" w:type="dxa"/>
          </w:tcPr>
          <w:p w14:paraId="01F4C041"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1650</w:t>
            </w:r>
          </w:p>
        </w:tc>
        <w:tc>
          <w:tcPr>
            <w:tcW w:w="1349" w:type="dxa"/>
          </w:tcPr>
          <w:p w14:paraId="25802B2C"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1000</w:t>
            </w:r>
          </w:p>
        </w:tc>
      </w:tr>
      <w:tr w:rsidR="00EA7E29" w:rsidRPr="00C0654D" w14:paraId="1C4B9148" w14:textId="77777777" w:rsidTr="00EB69AA">
        <w:tc>
          <w:tcPr>
            <w:tcW w:w="1657" w:type="dxa"/>
          </w:tcPr>
          <w:p w14:paraId="77277C92"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1,79-1,92</w:t>
            </w:r>
          </w:p>
        </w:tc>
        <w:tc>
          <w:tcPr>
            <w:tcW w:w="1657" w:type="dxa"/>
          </w:tcPr>
          <w:p w14:paraId="40E2E154"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2300</w:t>
            </w:r>
          </w:p>
        </w:tc>
        <w:tc>
          <w:tcPr>
            <w:tcW w:w="1657" w:type="dxa"/>
          </w:tcPr>
          <w:p w14:paraId="5AEB29C2"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0AADD3F1"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4</w:t>
            </w:r>
          </w:p>
        </w:tc>
        <w:tc>
          <w:tcPr>
            <w:tcW w:w="1657" w:type="dxa"/>
          </w:tcPr>
          <w:p w14:paraId="49A87D92"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1800</w:t>
            </w:r>
          </w:p>
        </w:tc>
        <w:tc>
          <w:tcPr>
            <w:tcW w:w="1349" w:type="dxa"/>
          </w:tcPr>
          <w:p w14:paraId="5FE62CA5"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1150</w:t>
            </w:r>
          </w:p>
        </w:tc>
      </w:tr>
      <w:tr w:rsidR="00EA7E29" w:rsidRPr="00C0654D" w14:paraId="46BB3346" w14:textId="77777777" w:rsidTr="00EB69AA">
        <w:tc>
          <w:tcPr>
            <w:tcW w:w="1657" w:type="dxa"/>
          </w:tcPr>
          <w:p w14:paraId="1A113ABF"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lastRenderedPageBreak/>
              <w:t>1,93-2,06</w:t>
            </w:r>
          </w:p>
        </w:tc>
        <w:tc>
          <w:tcPr>
            <w:tcW w:w="1657" w:type="dxa"/>
          </w:tcPr>
          <w:p w14:paraId="22075EB8"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2500</w:t>
            </w:r>
          </w:p>
        </w:tc>
        <w:tc>
          <w:tcPr>
            <w:tcW w:w="1657" w:type="dxa"/>
          </w:tcPr>
          <w:p w14:paraId="0FC98E91"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w:t>
            </w:r>
          </w:p>
        </w:tc>
        <w:tc>
          <w:tcPr>
            <w:tcW w:w="1657" w:type="dxa"/>
          </w:tcPr>
          <w:p w14:paraId="426EFC5C"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5</w:t>
            </w:r>
          </w:p>
        </w:tc>
        <w:tc>
          <w:tcPr>
            <w:tcW w:w="1657" w:type="dxa"/>
          </w:tcPr>
          <w:p w14:paraId="36D42B4A"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1950</w:t>
            </w:r>
          </w:p>
        </w:tc>
        <w:tc>
          <w:tcPr>
            <w:tcW w:w="1349" w:type="dxa"/>
          </w:tcPr>
          <w:p w14:paraId="048D95DF"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1300</w:t>
            </w:r>
          </w:p>
        </w:tc>
      </w:tr>
      <w:tr w:rsidR="00EA7E29" w:rsidRPr="00C0654D" w14:paraId="6868DB31" w14:textId="77777777" w:rsidTr="00EB69AA">
        <w:tc>
          <w:tcPr>
            <w:tcW w:w="1657" w:type="dxa"/>
          </w:tcPr>
          <w:p w14:paraId="16AAE52A"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2,07-2,18</w:t>
            </w:r>
          </w:p>
        </w:tc>
        <w:tc>
          <w:tcPr>
            <w:tcW w:w="1657" w:type="dxa"/>
          </w:tcPr>
          <w:p w14:paraId="352642D7"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2650</w:t>
            </w:r>
          </w:p>
        </w:tc>
        <w:tc>
          <w:tcPr>
            <w:tcW w:w="1657" w:type="dxa"/>
          </w:tcPr>
          <w:p w14:paraId="17DF0FFE"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w:t>
            </w:r>
          </w:p>
        </w:tc>
        <w:tc>
          <w:tcPr>
            <w:tcW w:w="1657" w:type="dxa"/>
          </w:tcPr>
          <w:p w14:paraId="63754D9A"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5</w:t>
            </w:r>
          </w:p>
        </w:tc>
        <w:tc>
          <w:tcPr>
            <w:tcW w:w="1657" w:type="dxa"/>
          </w:tcPr>
          <w:p w14:paraId="262EEDFB"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2000</w:t>
            </w:r>
          </w:p>
        </w:tc>
        <w:tc>
          <w:tcPr>
            <w:tcW w:w="1349" w:type="dxa"/>
          </w:tcPr>
          <w:p w14:paraId="716C7246"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1300</w:t>
            </w:r>
          </w:p>
        </w:tc>
      </w:tr>
      <w:tr w:rsidR="00EA7E29" w:rsidRPr="00C0654D" w14:paraId="5BF0CA9D" w14:textId="77777777" w:rsidTr="00EB69AA">
        <w:tc>
          <w:tcPr>
            <w:tcW w:w="1657" w:type="dxa"/>
          </w:tcPr>
          <w:p w14:paraId="19ADD912"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≥2,19</w:t>
            </w:r>
          </w:p>
        </w:tc>
        <w:tc>
          <w:tcPr>
            <w:tcW w:w="1657" w:type="dxa"/>
          </w:tcPr>
          <w:p w14:paraId="3D6D3B17"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2800</w:t>
            </w:r>
          </w:p>
        </w:tc>
        <w:tc>
          <w:tcPr>
            <w:tcW w:w="1657" w:type="dxa"/>
          </w:tcPr>
          <w:p w14:paraId="2280B9FF"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3F6C40E8"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5</w:t>
            </w:r>
          </w:p>
        </w:tc>
        <w:tc>
          <w:tcPr>
            <w:tcW w:w="1657" w:type="dxa"/>
          </w:tcPr>
          <w:p w14:paraId="3702D2E2"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2150</w:t>
            </w:r>
          </w:p>
        </w:tc>
        <w:tc>
          <w:tcPr>
            <w:tcW w:w="1349" w:type="dxa"/>
          </w:tcPr>
          <w:p w14:paraId="0260F056" w14:textId="77777777" w:rsidR="00EA7E29" w:rsidRPr="00C0654D" w:rsidRDefault="00EA7E29" w:rsidP="00F10513">
            <w:pPr>
              <w:tabs>
                <w:tab w:val="left" w:pos="284"/>
                <w:tab w:val="left" w:pos="734"/>
                <w:tab w:val="left" w:pos="9270"/>
              </w:tabs>
              <w:ind w:right="36"/>
              <w:jc w:val="both"/>
              <w:rPr>
                <w:bCs/>
                <w:sz w:val="22"/>
                <w:szCs w:val="22"/>
                <w:lang w:val="sr-Latn-ME"/>
              </w:rPr>
            </w:pPr>
            <w:r w:rsidRPr="00C0654D">
              <w:rPr>
                <w:bCs/>
                <w:sz w:val="22"/>
                <w:szCs w:val="22"/>
                <w:lang w:val="sr-Latn-ME"/>
              </w:rPr>
              <w:t>1450</w:t>
            </w:r>
          </w:p>
        </w:tc>
      </w:tr>
    </w:tbl>
    <w:p w14:paraId="3F99CBCB" w14:textId="77777777" w:rsidR="00EA7E29" w:rsidRPr="00C0654D" w:rsidRDefault="00EA7E29" w:rsidP="00D85C58">
      <w:pPr>
        <w:shd w:val="clear" w:color="auto" w:fill="FFFFFF"/>
        <w:tabs>
          <w:tab w:val="left" w:pos="284"/>
          <w:tab w:val="left" w:pos="734"/>
          <w:tab w:val="left" w:pos="9270"/>
        </w:tabs>
        <w:ind w:right="36"/>
        <w:jc w:val="both"/>
        <w:rPr>
          <w:bCs/>
          <w:sz w:val="22"/>
          <w:szCs w:val="22"/>
          <w:lang w:val="sr-Latn-ME"/>
        </w:rPr>
      </w:pPr>
    </w:p>
    <w:p w14:paraId="0A2C04AA" w14:textId="7C1C67B5" w:rsidR="00EA7E29" w:rsidRPr="00C0654D" w:rsidRDefault="00EA7E29" w:rsidP="00D85C58">
      <w:pPr>
        <w:shd w:val="clear" w:color="auto" w:fill="FFFFFF"/>
        <w:tabs>
          <w:tab w:val="left" w:pos="284"/>
          <w:tab w:val="left" w:pos="734"/>
          <w:tab w:val="left" w:pos="9270"/>
        </w:tabs>
        <w:ind w:right="36"/>
        <w:jc w:val="both"/>
        <w:rPr>
          <w:sz w:val="22"/>
          <w:szCs w:val="22"/>
          <w:vertAlign w:val="superscript"/>
          <w:lang w:val="sr-Latn-ME"/>
        </w:rPr>
      </w:pPr>
      <w:r w:rsidRPr="00C0654D">
        <w:rPr>
          <w:sz w:val="22"/>
          <w:szCs w:val="22"/>
          <w:lang w:val="sr-Latn-ME"/>
        </w:rPr>
        <w:t>Tabela 2. Izračunavanje standardne i smanjene doze lijeka Capecitabine PharmaSwiss na osnovu površine tijela, za početnu dozu od 1000 mg/m</w:t>
      </w:r>
      <w:r w:rsidRPr="00C0654D">
        <w:rPr>
          <w:sz w:val="22"/>
          <w:szCs w:val="22"/>
          <w:vertAlign w:val="superscript"/>
          <w:lang w:val="sr-Latn-ME"/>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1657"/>
        <w:gridCol w:w="1657"/>
        <w:gridCol w:w="1657"/>
        <w:gridCol w:w="1657"/>
        <w:gridCol w:w="1349"/>
      </w:tblGrid>
      <w:tr w:rsidR="00EA7E29" w:rsidRPr="006E16D5" w14:paraId="3F8CD2BC" w14:textId="77777777" w:rsidTr="00D85C58">
        <w:tc>
          <w:tcPr>
            <w:tcW w:w="1657" w:type="dxa"/>
          </w:tcPr>
          <w:p w14:paraId="55BBA009" w14:textId="77777777" w:rsidR="00EA7E29" w:rsidRPr="00C0654D" w:rsidRDefault="00EA7E29" w:rsidP="00C22FF8">
            <w:pPr>
              <w:tabs>
                <w:tab w:val="left" w:pos="284"/>
                <w:tab w:val="left" w:pos="734"/>
                <w:tab w:val="left" w:pos="9270"/>
              </w:tabs>
              <w:ind w:right="36"/>
              <w:jc w:val="both"/>
              <w:rPr>
                <w:bCs/>
                <w:sz w:val="22"/>
                <w:szCs w:val="22"/>
                <w:u w:val="single"/>
                <w:lang w:val="sr-Latn-ME"/>
              </w:rPr>
            </w:pPr>
          </w:p>
        </w:tc>
        <w:tc>
          <w:tcPr>
            <w:tcW w:w="7977" w:type="dxa"/>
            <w:gridSpan w:val="5"/>
          </w:tcPr>
          <w:p w14:paraId="19F74E8A"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Dozni nivo 1000 mg/m</w:t>
            </w:r>
            <w:r w:rsidRPr="00C0654D">
              <w:rPr>
                <w:bCs/>
                <w:sz w:val="22"/>
                <w:szCs w:val="22"/>
                <w:vertAlign w:val="superscript"/>
                <w:lang w:val="sr-Latn-ME"/>
              </w:rPr>
              <w:t>2</w:t>
            </w:r>
            <w:r w:rsidRPr="00C0654D">
              <w:rPr>
                <w:bCs/>
                <w:sz w:val="22"/>
                <w:szCs w:val="22"/>
                <w:lang w:val="sr-Latn-ME"/>
              </w:rPr>
              <w:t xml:space="preserve"> (dva puta dnevno)</w:t>
            </w:r>
          </w:p>
        </w:tc>
      </w:tr>
      <w:tr w:rsidR="00EA7E29" w:rsidRPr="00C0654D" w14:paraId="4C617FC3" w14:textId="77777777" w:rsidTr="00D85C58">
        <w:trPr>
          <w:trHeight w:val="571"/>
        </w:trPr>
        <w:tc>
          <w:tcPr>
            <w:tcW w:w="1657" w:type="dxa"/>
          </w:tcPr>
          <w:p w14:paraId="187D3E88" w14:textId="77777777" w:rsidR="00EA7E29" w:rsidRPr="00C0654D" w:rsidRDefault="00EA7E29" w:rsidP="00C22FF8">
            <w:pPr>
              <w:tabs>
                <w:tab w:val="left" w:pos="284"/>
                <w:tab w:val="left" w:pos="734"/>
                <w:tab w:val="left" w:pos="9270"/>
              </w:tabs>
              <w:ind w:right="36"/>
              <w:jc w:val="both"/>
              <w:rPr>
                <w:bCs/>
                <w:sz w:val="22"/>
                <w:szCs w:val="22"/>
                <w:u w:val="single"/>
                <w:lang w:val="sr-Latn-ME"/>
              </w:rPr>
            </w:pPr>
          </w:p>
        </w:tc>
        <w:tc>
          <w:tcPr>
            <w:tcW w:w="1657" w:type="dxa"/>
          </w:tcPr>
          <w:p w14:paraId="17D49EC8"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Puna doza</w:t>
            </w:r>
          </w:p>
          <w:p w14:paraId="52DC1B0C"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1000 mg/m</w:t>
            </w:r>
            <w:r w:rsidRPr="00C0654D">
              <w:rPr>
                <w:bCs/>
                <w:sz w:val="22"/>
                <w:szCs w:val="22"/>
                <w:vertAlign w:val="superscript"/>
                <w:lang w:val="sr-Latn-ME"/>
              </w:rPr>
              <w:t>2</w:t>
            </w:r>
          </w:p>
        </w:tc>
        <w:tc>
          <w:tcPr>
            <w:tcW w:w="3314" w:type="dxa"/>
            <w:gridSpan w:val="2"/>
          </w:tcPr>
          <w:p w14:paraId="610684A2"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Broj tableta od 150 mg i/ili 500 mg po svakom uzimanju lijeka (uzima se ujutru i uveče)</w:t>
            </w:r>
          </w:p>
        </w:tc>
        <w:tc>
          <w:tcPr>
            <w:tcW w:w="1657" w:type="dxa"/>
          </w:tcPr>
          <w:p w14:paraId="521B1C8F"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Smanjena doza (75%)</w:t>
            </w:r>
          </w:p>
          <w:p w14:paraId="75236E64"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750 mg/m</w:t>
            </w:r>
            <w:r w:rsidRPr="00C0654D">
              <w:rPr>
                <w:bCs/>
                <w:sz w:val="22"/>
                <w:szCs w:val="22"/>
                <w:vertAlign w:val="superscript"/>
                <w:lang w:val="sr-Latn-ME"/>
              </w:rPr>
              <w:t>2</w:t>
            </w:r>
          </w:p>
        </w:tc>
        <w:tc>
          <w:tcPr>
            <w:tcW w:w="1349" w:type="dxa"/>
          </w:tcPr>
          <w:p w14:paraId="6B4EE75D"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Smanjena doza (50%)</w:t>
            </w:r>
          </w:p>
          <w:p w14:paraId="4D0ED07F"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500 mg/m</w:t>
            </w:r>
            <w:r w:rsidRPr="00C0654D">
              <w:rPr>
                <w:bCs/>
                <w:sz w:val="22"/>
                <w:szCs w:val="22"/>
                <w:vertAlign w:val="superscript"/>
                <w:lang w:val="sr-Latn-ME"/>
              </w:rPr>
              <w:t>2</w:t>
            </w:r>
          </w:p>
        </w:tc>
      </w:tr>
      <w:tr w:rsidR="00EA7E29" w:rsidRPr="006E16D5" w14:paraId="18A560A8" w14:textId="77777777" w:rsidTr="00D85C58">
        <w:tc>
          <w:tcPr>
            <w:tcW w:w="1657" w:type="dxa"/>
          </w:tcPr>
          <w:p w14:paraId="536F3DB2"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Površina tijela (m</w:t>
            </w:r>
            <w:r w:rsidRPr="00C0654D">
              <w:rPr>
                <w:bCs/>
                <w:sz w:val="22"/>
                <w:szCs w:val="22"/>
                <w:vertAlign w:val="superscript"/>
                <w:lang w:val="sr-Latn-ME"/>
              </w:rPr>
              <w:t>2</w:t>
            </w:r>
            <w:r w:rsidRPr="00C0654D">
              <w:rPr>
                <w:bCs/>
                <w:sz w:val="22"/>
                <w:szCs w:val="22"/>
                <w:lang w:val="sr-Latn-ME"/>
              </w:rPr>
              <w:t>)</w:t>
            </w:r>
          </w:p>
        </w:tc>
        <w:tc>
          <w:tcPr>
            <w:tcW w:w="1657" w:type="dxa"/>
          </w:tcPr>
          <w:p w14:paraId="6D9EB80B"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Doza po jednom uzimanju (mg)</w:t>
            </w:r>
          </w:p>
        </w:tc>
        <w:tc>
          <w:tcPr>
            <w:tcW w:w="1657" w:type="dxa"/>
          </w:tcPr>
          <w:p w14:paraId="7D076ACA"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150 mg</w:t>
            </w:r>
          </w:p>
        </w:tc>
        <w:tc>
          <w:tcPr>
            <w:tcW w:w="1657" w:type="dxa"/>
          </w:tcPr>
          <w:p w14:paraId="2098BDB2"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500 mg</w:t>
            </w:r>
          </w:p>
        </w:tc>
        <w:tc>
          <w:tcPr>
            <w:tcW w:w="1657" w:type="dxa"/>
          </w:tcPr>
          <w:p w14:paraId="1EB22850"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Doza po jednom uzimanju (mg)</w:t>
            </w:r>
          </w:p>
        </w:tc>
        <w:tc>
          <w:tcPr>
            <w:tcW w:w="1349" w:type="dxa"/>
          </w:tcPr>
          <w:p w14:paraId="33C145F4"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Doza po jednom uzimanju (mg)</w:t>
            </w:r>
          </w:p>
        </w:tc>
      </w:tr>
      <w:tr w:rsidR="00EA7E29" w:rsidRPr="00C0654D" w14:paraId="69327106" w14:textId="77777777" w:rsidTr="00D85C58">
        <w:tc>
          <w:tcPr>
            <w:tcW w:w="1657" w:type="dxa"/>
          </w:tcPr>
          <w:p w14:paraId="1B79DDA8"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≤1,26</w:t>
            </w:r>
          </w:p>
        </w:tc>
        <w:tc>
          <w:tcPr>
            <w:tcW w:w="1657" w:type="dxa"/>
          </w:tcPr>
          <w:p w14:paraId="2D393A98"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1150</w:t>
            </w:r>
          </w:p>
        </w:tc>
        <w:tc>
          <w:tcPr>
            <w:tcW w:w="1657" w:type="dxa"/>
          </w:tcPr>
          <w:p w14:paraId="0789946A"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w:t>
            </w:r>
          </w:p>
        </w:tc>
        <w:tc>
          <w:tcPr>
            <w:tcW w:w="1657" w:type="dxa"/>
          </w:tcPr>
          <w:p w14:paraId="440F6D04"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1ED6095F"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800</w:t>
            </w:r>
          </w:p>
        </w:tc>
        <w:tc>
          <w:tcPr>
            <w:tcW w:w="1349" w:type="dxa"/>
          </w:tcPr>
          <w:p w14:paraId="14324FF7"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600</w:t>
            </w:r>
          </w:p>
        </w:tc>
      </w:tr>
      <w:tr w:rsidR="00EA7E29" w:rsidRPr="00C0654D" w14:paraId="2C7B6A69" w14:textId="77777777" w:rsidTr="00D85C58">
        <w:tc>
          <w:tcPr>
            <w:tcW w:w="1657" w:type="dxa"/>
          </w:tcPr>
          <w:p w14:paraId="4F26D928"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1,27-1,38</w:t>
            </w:r>
          </w:p>
        </w:tc>
        <w:tc>
          <w:tcPr>
            <w:tcW w:w="1657" w:type="dxa"/>
          </w:tcPr>
          <w:p w14:paraId="2065B58A"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1300</w:t>
            </w:r>
          </w:p>
        </w:tc>
        <w:tc>
          <w:tcPr>
            <w:tcW w:w="1657" w:type="dxa"/>
          </w:tcPr>
          <w:p w14:paraId="78F23915"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7F84E58B"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2866FCB5"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1000</w:t>
            </w:r>
          </w:p>
        </w:tc>
        <w:tc>
          <w:tcPr>
            <w:tcW w:w="1349" w:type="dxa"/>
          </w:tcPr>
          <w:p w14:paraId="11F9854C"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600</w:t>
            </w:r>
          </w:p>
        </w:tc>
      </w:tr>
      <w:tr w:rsidR="00EA7E29" w:rsidRPr="00C0654D" w14:paraId="3D1488D5" w14:textId="77777777" w:rsidTr="00D85C58">
        <w:tc>
          <w:tcPr>
            <w:tcW w:w="1657" w:type="dxa"/>
          </w:tcPr>
          <w:p w14:paraId="15AE01A8"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1,39-1,52</w:t>
            </w:r>
          </w:p>
        </w:tc>
        <w:tc>
          <w:tcPr>
            <w:tcW w:w="1657" w:type="dxa"/>
          </w:tcPr>
          <w:p w14:paraId="4F8256C2"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1450</w:t>
            </w:r>
          </w:p>
        </w:tc>
        <w:tc>
          <w:tcPr>
            <w:tcW w:w="1657" w:type="dxa"/>
          </w:tcPr>
          <w:p w14:paraId="56472A51"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3</w:t>
            </w:r>
          </w:p>
        </w:tc>
        <w:tc>
          <w:tcPr>
            <w:tcW w:w="1657" w:type="dxa"/>
          </w:tcPr>
          <w:p w14:paraId="032F371A"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45619379"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1100</w:t>
            </w:r>
          </w:p>
        </w:tc>
        <w:tc>
          <w:tcPr>
            <w:tcW w:w="1349" w:type="dxa"/>
          </w:tcPr>
          <w:p w14:paraId="4B63572F"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750</w:t>
            </w:r>
          </w:p>
        </w:tc>
      </w:tr>
      <w:tr w:rsidR="00EA7E29" w:rsidRPr="00C0654D" w14:paraId="5FEE1761" w14:textId="77777777" w:rsidTr="00D85C58">
        <w:tc>
          <w:tcPr>
            <w:tcW w:w="1657" w:type="dxa"/>
          </w:tcPr>
          <w:p w14:paraId="57D2164A"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1,53-1,66</w:t>
            </w:r>
          </w:p>
        </w:tc>
        <w:tc>
          <w:tcPr>
            <w:tcW w:w="1657" w:type="dxa"/>
          </w:tcPr>
          <w:p w14:paraId="31ADF697"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1600</w:t>
            </w:r>
          </w:p>
        </w:tc>
        <w:tc>
          <w:tcPr>
            <w:tcW w:w="1657" w:type="dxa"/>
          </w:tcPr>
          <w:p w14:paraId="79D9D34C"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4</w:t>
            </w:r>
          </w:p>
        </w:tc>
        <w:tc>
          <w:tcPr>
            <w:tcW w:w="1657" w:type="dxa"/>
          </w:tcPr>
          <w:p w14:paraId="348BFFA6"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79DB52A7"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1200</w:t>
            </w:r>
          </w:p>
        </w:tc>
        <w:tc>
          <w:tcPr>
            <w:tcW w:w="1349" w:type="dxa"/>
          </w:tcPr>
          <w:p w14:paraId="6DFEB837"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800</w:t>
            </w:r>
          </w:p>
        </w:tc>
      </w:tr>
      <w:tr w:rsidR="00EA7E29" w:rsidRPr="00C0654D" w14:paraId="7BE2EF0E" w14:textId="77777777" w:rsidTr="00D85C58">
        <w:tc>
          <w:tcPr>
            <w:tcW w:w="1657" w:type="dxa"/>
          </w:tcPr>
          <w:p w14:paraId="4C03D8C0"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1,67-1,78</w:t>
            </w:r>
          </w:p>
        </w:tc>
        <w:tc>
          <w:tcPr>
            <w:tcW w:w="1657" w:type="dxa"/>
          </w:tcPr>
          <w:p w14:paraId="4A9F28E6"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1750</w:t>
            </w:r>
          </w:p>
        </w:tc>
        <w:tc>
          <w:tcPr>
            <w:tcW w:w="1657" w:type="dxa"/>
          </w:tcPr>
          <w:p w14:paraId="56F0CFA7"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5</w:t>
            </w:r>
          </w:p>
        </w:tc>
        <w:tc>
          <w:tcPr>
            <w:tcW w:w="1657" w:type="dxa"/>
          </w:tcPr>
          <w:p w14:paraId="6F5B1A2C"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15080864"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1300</w:t>
            </w:r>
          </w:p>
        </w:tc>
        <w:tc>
          <w:tcPr>
            <w:tcW w:w="1349" w:type="dxa"/>
          </w:tcPr>
          <w:p w14:paraId="7036A849"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800</w:t>
            </w:r>
          </w:p>
        </w:tc>
      </w:tr>
      <w:tr w:rsidR="00EA7E29" w:rsidRPr="00C0654D" w14:paraId="65BFC3FE" w14:textId="77777777" w:rsidTr="00D85C58">
        <w:tc>
          <w:tcPr>
            <w:tcW w:w="1657" w:type="dxa"/>
          </w:tcPr>
          <w:p w14:paraId="4BF9D3B6"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1,79-1,92</w:t>
            </w:r>
          </w:p>
        </w:tc>
        <w:tc>
          <w:tcPr>
            <w:tcW w:w="1657" w:type="dxa"/>
          </w:tcPr>
          <w:p w14:paraId="4A3BCF0C"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1800</w:t>
            </w:r>
          </w:p>
        </w:tc>
        <w:tc>
          <w:tcPr>
            <w:tcW w:w="1657" w:type="dxa"/>
          </w:tcPr>
          <w:p w14:paraId="7382E8B5"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0026506F"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3</w:t>
            </w:r>
          </w:p>
        </w:tc>
        <w:tc>
          <w:tcPr>
            <w:tcW w:w="1657" w:type="dxa"/>
          </w:tcPr>
          <w:p w14:paraId="58E85C5C"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1400</w:t>
            </w:r>
          </w:p>
        </w:tc>
        <w:tc>
          <w:tcPr>
            <w:tcW w:w="1349" w:type="dxa"/>
          </w:tcPr>
          <w:p w14:paraId="652C0B70"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900</w:t>
            </w:r>
          </w:p>
        </w:tc>
      </w:tr>
      <w:tr w:rsidR="00EA7E29" w:rsidRPr="00C0654D" w14:paraId="5CCDEC29" w14:textId="77777777" w:rsidTr="00D85C58">
        <w:tc>
          <w:tcPr>
            <w:tcW w:w="1657" w:type="dxa"/>
          </w:tcPr>
          <w:p w14:paraId="08CECE3B"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1,93-2,06</w:t>
            </w:r>
          </w:p>
        </w:tc>
        <w:tc>
          <w:tcPr>
            <w:tcW w:w="1657" w:type="dxa"/>
          </w:tcPr>
          <w:p w14:paraId="00CA5094"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2000</w:t>
            </w:r>
          </w:p>
        </w:tc>
        <w:tc>
          <w:tcPr>
            <w:tcW w:w="1657" w:type="dxa"/>
          </w:tcPr>
          <w:p w14:paraId="6C81F882"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w:t>
            </w:r>
          </w:p>
        </w:tc>
        <w:tc>
          <w:tcPr>
            <w:tcW w:w="1657" w:type="dxa"/>
          </w:tcPr>
          <w:p w14:paraId="51277CA7"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4</w:t>
            </w:r>
          </w:p>
        </w:tc>
        <w:tc>
          <w:tcPr>
            <w:tcW w:w="1657" w:type="dxa"/>
          </w:tcPr>
          <w:p w14:paraId="72E5E78F"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1500</w:t>
            </w:r>
          </w:p>
        </w:tc>
        <w:tc>
          <w:tcPr>
            <w:tcW w:w="1349" w:type="dxa"/>
          </w:tcPr>
          <w:p w14:paraId="78F1516E"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1000</w:t>
            </w:r>
          </w:p>
        </w:tc>
      </w:tr>
      <w:tr w:rsidR="00EA7E29" w:rsidRPr="00C0654D" w14:paraId="0652E8E1" w14:textId="77777777" w:rsidTr="00D85C58">
        <w:tc>
          <w:tcPr>
            <w:tcW w:w="1657" w:type="dxa"/>
          </w:tcPr>
          <w:p w14:paraId="62E9BCD4"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2,07-2,18</w:t>
            </w:r>
          </w:p>
        </w:tc>
        <w:tc>
          <w:tcPr>
            <w:tcW w:w="1657" w:type="dxa"/>
          </w:tcPr>
          <w:p w14:paraId="3BFE0C59"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2150</w:t>
            </w:r>
          </w:p>
        </w:tc>
        <w:tc>
          <w:tcPr>
            <w:tcW w:w="1657" w:type="dxa"/>
          </w:tcPr>
          <w:p w14:paraId="1C2C8B6D"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w:t>
            </w:r>
          </w:p>
        </w:tc>
        <w:tc>
          <w:tcPr>
            <w:tcW w:w="1657" w:type="dxa"/>
          </w:tcPr>
          <w:p w14:paraId="73ED86F2"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4</w:t>
            </w:r>
          </w:p>
        </w:tc>
        <w:tc>
          <w:tcPr>
            <w:tcW w:w="1657" w:type="dxa"/>
          </w:tcPr>
          <w:p w14:paraId="7A5EF483"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1600</w:t>
            </w:r>
          </w:p>
        </w:tc>
        <w:tc>
          <w:tcPr>
            <w:tcW w:w="1349" w:type="dxa"/>
          </w:tcPr>
          <w:p w14:paraId="27D73682"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1050</w:t>
            </w:r>
          </w:p>
        </w:tc>
      </w:tr>
      <w:tr w:rsidR="00EA7E29" w:rsidRPr="00C0654D" w14:paraId="58EC7F42" w14:textId="77777777" w:rsidTr="00D85C58">
        <w:tc>
          <w:tcPr>
            <w:tcW w:w="1657" w:type="dxa"/>
          </w:tcPr>
          <w:p w14:paraId="35BCB670"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≥2,19</w:t>
            </w:r>
          </w:p>
        </w:tc>
        <w:tc>
          <w:tcPr>
            <w:tcW w:w="1657" w:type="dxa"/>
          </w:tcPr>
          <w:p w14:paraId="23AFB118"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2300</w:t>
            </w:r>
          </w:p>
        </w:tc>
        <w:tc>
          <w:tcPr>
            <w:tcW w:w="1657" w:type="dxa"/>
          </w:tcPr>
          <w:p w14:paraId="2629A75C"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2</w:t>
            </w:r>
          </w:p>
        </w:tc>
        <w:tc>
          <w:tcPr>
            <w:tcW w:w="1657" w:type="dxa"/>
          </w:tcPr>
          <w:p w14:paraId="27062C65"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4</w:t>
            </w:r>
          </w:p>
        </w:tc>
        <w:tc>
          <w:tcPr>
            <w:tcW w:w="1657" w:type="dxa"/>
          </w:tcPr>
          <w:p w14:paraId="32E1EC78"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1750</w:t>
            </w:r>
          </w:p>
        </w:tc>
        <w:tc>
          <w:tcPr>
            <w:tcW w:w="1349" w:type="dxa"/>
          </w:tcPr>
          <w:p w14:paraId="20397FE7" w14:textId="77777777" w:rsidR="00EA7E29" w:rsidRPr="00C0654D" w:rsidRDefault="00EA7E29" w:rsidP="00C22FF8">
            <w:pPr>
              <w:tabs>
                <w:tab w:val="left" w:pos="284"/>
                <w:tab w:val="left" w:pos="734"/>
                <w:tab w:val="left" w:pos="9270"/>
              </w:tabs>
              <w:ind w:right="36"/>
              <w:jc w:val="both"/>
              <w:rPr>
                <w:bCs/>
                <w:sz w:val="22"/>
                <w:szCs w:val="22"/>
                <w:lang w:val="sr-Latn-ME"/>
              </w:rPr>
            </w:pPr>
            <w:r w:rsidRPr="00C0654D">
              <w:rPr>
                <w:bCs/>
                <w:sz w:val="22"/>
                <w:szCs w:val="22"/>
                <w:lang w:val="sr-Latn-ME"/>
              </w:rPr>
              <w:t>1100</w:t>
            </w:r>
          </w:p>
        </w:tc>
      </w:tr>
    </w:tbl>
    <w:p w14:paraId="03DAE59D" w14:textId="77777777" w:rsidR="00EA7E29" w:rsidRPr="00C0654D" w:rsidRDefault="00EA7E29" w:rsidP="00D85C58">
      <w:pPr>
        <w:shd w:val="clear" w:color="auto" w:fill="FFFFFF"/>
        <w:tabs>
          <w:tab w:val="left" w:pos="284"/>
          <w:tab w:val="left" w:pos="734"/>
          <w:tab w:val="left" w:pos="9270"/>
        </w:tabs>
        <w:ind w:right="36"/>
        <w:jc w:val="both"/>
        <w:rPr>
          <w:bCs/>
          <w:sz w:val="22"/>
          <w:szCs w:val="22"/>
          <w:lang w:val="sr-Latn-ME"/>
        </w:rPr>
      </w:pPr>
    </w:p>
    <w:p w14:paraId="7FA77B51" w14:textId="77777777" w:rsidR="00EA7E29" w:rsidRPr="00C0654D" w:rsidRDefault="00EA7E29" w:rsidP="00CA1BE0">
      <w:pPr>
        <w:shd w:val="clear" w:color="auto" w:fill="FFFFFF"/>
        <w:tabs>
          <w:tab w:val="left" w:pos="284"/>
          <w:tab w:val="left" w:pos="734"/>
          <w:tab w:val="left" w:pos="9270"/>
        </w:tabs>
        <w:ind w:left="14" w:right="36"/>
        <w:jc w:val="both"/>
        <w:rPr>
          <w:sz w:val="22"/>
          <w:szCs w:val="22"/>
          <w:u w:val="single"/>
          <w:lang w:val="sr-Latn-ME"/>
        </w:rPr>
      </w:pPr>
      <w:r w:rsidRPr="00C0654D">
        <w:rPr>
          <w:sz w:val="22"/>
          <w:szCs w:val="22"/>
          <w:u w:val="single"/>
          <w:lang w:val="sr-Latn-ME"/>
        </w:rPr>
        <w:t>Podešavanje doze tokom terapije:</w:t>
      </w:r>
    </w:p>
    <w:p w14:paraId="5732D6F9" w14:textId="77777777" w:rsidR="00EA7E29" w:rsidRPr="00C0654D" w:rsidRDefault="00EA7E29">
      <w:pPr>
        <w:shd w:val="clear" w:color="auto" w:fill="FFFFFF"/>
        <w:tabs>
          <w:tab w:val="left" w:pos="284"/>
          <w:tab w:val="left" w:pos="734"/>
          <w:tab w:val="left" w:pos="9270"/>
        </w:tabs>
        <w:ind w:left="14" w:right="36"/>
        <w:jc w:val="both"/>
        <w:rPr>
          <w:i/>
          <w:sz w:val="22"/>
          <w:szCs w:val="22"/>
          <w:lang w:val="sr-Latn-ME"/>
        </w:rPr>
      </w:pPr>
      <w:r w:rsidRPr="00C0654D">
        <w:rPr>
          <w:i/>
          <w:sz w:val="22"/>
          <w:szCs w:val="22"/>
          <w:lang w:val="sr-Latn-ME"/>
        </w:rPr>
        <w:t>Opšti principi</w:t>
      </w:r>
    </w:p>
    <w:p w14:paraId="546DF4BC" w14:textId="1D52B8F7" w:rsidR="00EA7E29" w:rsidRPr="00C0654D" w:rsidRDefault="00EA7E29">
      <w:pPr>
        <w:shd w:val="clear" w:color="auto" w:fill="FFFFFF"/>
        <w:tabs>
          <w:tab w:val="left" w:pos="284"/>
          <w:tab w:val="left" w:pos="734"/>
          <w:tab w:val="left" w:pos="9270"/>
        </w:tabs>
        <w:ind w:left="14" w:right="36"/>
        <w:jc w:val="both"/>
        <w:rPr>
          <w:sz w:val="22"/>
          <w:szCs w:val="22"/>
          <w:lang w:val="sr-Latn-ME"/>
        </w:rPr>
      </w:pPr>
      <w:r w:rsidRPr="00C0654D">
        <w:rPr>
          <w:sz w:val="22"/>
          <w:szCs w:val="22"/>
          <w:lang w:val="sr-Latn-ME"/>
        </w:rPr>
        <w:t xml:space="preserve">Toksičnost usljed primjene lijeka Capecitabine PharmaSwiss može da se reguliše simptomatskom terapijom i/ili promjenom doze (prekid terapije ili smanjenje doze). Kada se doza jednom smanji, kasnije </w:t>
      </w:r>
      <w:r w:rsidR="00CA1BE0">
        <w:rPr>
          <w:sz w:val="22"/>
          <w:szCs w:val="22"/>
          <w:lang w:val="sr-Latn-ME"/>
        </w:rPr>
        <w:t xml:space="preserve">se ne smije </w:t>
      </w:r>
      <w:r w:rsidRPr="00C0654D">
        <w:rPr>
          <w:sz w:val="22"/>
          <w:szCs w:val="22"/>
          <w:lang w:val="sr-Latn-ME"/>
        </w:rPr>
        <w:t>povećavati. Kada se radi o toksičnostima za koje ljekar smatra da je malo vjerovatno da će postati ozbiljne ili životno ugrožavajuće, npr. alopecija, izmijenjen osjećaj ukusa, promjene na noktima, liječenje se može nastaviti u istoj dozi bez smanjenja doze ili prekida terapije. Pacijenti koji uzimaju lijek Capecitabine PharmaSwiss treba da budu informisani o potrebi da se odmah prekine terapija ako dođe do pojave umjerene ili teže toksičnosti. Doze lijeka Capecitabine PharmaSwiss preskočene usljed toksičnosti se ne nadoknađuju. U nastavku su preporučene izmjene doze zbog toksičnosti:</w:t>
      </w:r>
    </w:p>
    <w:p w14:paraId="1952A7D1" w14:textId="77777777" w:rsidR="00EA7E29" w:rsidRPr="00C0654D" w:rsidRDefault="00EA7E29">
      <w:pPr>
        <w:shd w:val="clear" w:color="auto" w:fill="FFFFFF"/>
        <w:tabs>
          <w:tab w:val="left" w:pos="284"/>
          <w:tab w:val="left" w:pos="734"/>
          <w:tab w:val="left" w:pos="9270"/>
        </w:tabs>
        <w:ind w:left="14" w:right="36"/>
        <w:jc w:val="both"/>
        <w:rPr>
          <w:sz w:val="22"/>
          <w:szCs w:val="22"/>
          <w:lang w:val="sr-Latn-ME"/>
        </w:rPr>
      </w:pPr>
    </w:p>
    <w:p w14:paraId="12FCB666" w14:textId="5BA0E875" w:rsidR="00EA7E29" w:rsidRPr="00C0654D" w:rsidRDefault="00EA7E29">
      <w:pPr>
        <w:shd w:val="clear" w:color="auto" w:fill="FFFFFF"/>
        <w:tabs>
          <w:tab w:val="left" w:pos="284"/>
          <w:tab w:val="left" w:pos="734"/>
          <w:tab w:val="left" w:pos="9270"/>
        </w:tabs>
        <w:ind w:left="14" w:right="36"/>
        <w:jc w:val="both"/>
        <w:rPr>
          <w:sz w:val="22"/>
          <w:szCs w:val="22"/>
          <w:lang w:val="sr-Latn-ME"/>
        </w:rPr>
      </w:pPr>
      <w:r w:rsidRPr="00C0654D">
        <w:rPr>
          <w:sz w:val="22"/>
          <w:szCs w:val="22"/>
          <w:lang w:val="sr-Latn-ME"/>
        </w:rPr>
        <w:t>Tabela 3. Šema smanjenja doze lijeka Capecitabine PharmaSwiss (tronedjeljni ciklus ili kontinuirana terapija)</w:t>
      </w:r>
    </w:p>
    <w:tbl>
      <w:tblPr>
        <w:tblW w:w="96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3314"/>
        <w:gridCol w:w="2992"/>
      </w:tblGrid>
      <w:tr w:rsidR="00EA7E29" w:rsidRPr="006E16D5" w14:paraId="463D114F" w14:textId="77777777" w:rsidTr="00D85C58">
        <w:tc>
          <w:tcPr>
            <w:tcW w:w="3314" w:type="dxa"/>
          </w:tcPr>
          <w:p w14:paraId="03EE26BF" w14:textId="77777777" w:rsidR="00EA7E29" w:rsidRPr="00C22FF8" w:rsidRDefault="00EA7E29" w:rsidP="00C22FF8">
            <w:pPr>
              <w:tabs>
                <w:tab w:val="left" w:pos="284"/>
                <w:tab w:val="left" w:pos="734"/>
                <w:tab w:val="left" w:pos="9270"/>
              </w:tabs>
              <w:ind w:right="36"/>
              <w:jc w:val="both"/>
              <w:rPr>
                <w:b/>
                <w:sz w:val="22"/>
                <w:szCs w:val="22"/>
                <w:lang w:val="sr-Latn-ME"/>
              </w:rPr>
            </w:pPr>
            <w:r w:rsidRPr="00C22FF8">
              <w:rPr>
                <w:b/>
                <w:sz w:val="22"/>
                <w:szCs w:val="22"/>
                <w:lang w:val="sr-Latn-ME"/>
              </w:rPr>
              <w:t>Stepen toksičnosti*</w:t>
            </w:r>
          </w:p>
        </w:tc>
        <w:tc>
          <w:tcPr>
            <w:tcW w:w="3314" w:type="dxa"/>
          </w:tcPr>
          <w:p w14:paraId="62512FFF" w14:textId="77777777" w:rsidR="00EA7E29" w:rsidRPr="00C22FF8" w:rsidRDefault="00EA7E29" w:rsidP="00C22FF8">
            <w:pPr>
              <w:tabs>
                <w:tab w:val="left" w:pos="284"/>
                <w:tab w:val="left" w:pos="734"/>
                <w:tab w:val="left" w:pos="9270"/>
              </w:tabs>
              <w:ind w:right="36"/>
              <w:jc w:val="both"/>
              <w:rPr>
                <w:b/>
                <w:sz w:val="22"/>
                <w:szCs w:val="22"/>
                <w:lang w:val="sr-Latn-ME"/>
              </w:rPr>
            </w:pPr>
            <w:r w:rsidRPr="00C22FF8">
              <w:rPr>
                <w:b/>
                <w:sz w:val="22"/>
                <w:szCs w:val="22"/>
                <w:lang w:val="sr-Latn-ME"/>
              </w:rPr>
              <w:t>Promjene doze tokom terapijskog ciklusa</w:t>
            </w:r>
          </w:p>
        </w:tc>
        <w:tc>
          <w:tcPr>
            <w:tcW w:w="2992" w:type="dxa"/>
          </w:tcPr>
          <w:p w14:paraId="5FAB35D5" w14:textId="77777777" w:rsidR="00EA7E29" w:rsidRPr="00C22FF8" w:rsidRDefault="00EA7E29" w:rsidP="00C22FF8">
            <w:pPr>
              <w:tabs>
                <w:tab w:val="left" w:pos="284"/>
                <w:tab w:val="left" w:pos="734"/>
                <w:tab w:val="left" w:pos="9270"/>
              </w:tabs>
              <w:ind w:right="36"/>
              <w:jc w:val="both"/>
              <w:rPr>
                <w:b/>
                <w:sz w:val="22"/>
                <w:szCs w:val="22"/>
                <w:lang w:val="sr-Latn-ME"/>
              </w:rPr>
            </w:pPr>
            <w:r w:rsidRPr="00C22FF8">
              <w:rPr>
                <w:b/>
                <w:sz w:val="22"/>
                <w:szCs w:val="22"/>
                <w:lang w:val="sr-Latn-ME"/>
              </w:rPr>
              <w:t>Prilagođavanje doze za naredni ciklus/dozu (% početne doze)</w:t>
            </w:r>
          </w:p>
        </w:tc>
      </w:tr>
      <w:tr w:rsidR="00EA7E29" w:rsidRPr="00C0654D" w14:paraId="7DA36D06" w14:textId="77777777" w:rsidTr="00D85C58">
        <w:tc>
          <w:tcPr>
            <w:tcW w:w="3314" w:type="dxa"/>
          </w:tcPr>
          <w:p w14:paraId="2FCDD0E0" w14:textId="77777777" w:rsidR="00EA7E29" w:rsidRPr="00C0654D" w:rsidRDefault="00EA7E29" w:rsidP="00C22FF8">
            <w:pPr>
              <w:numPr>
                <w:ilvl w:val="0"/>
                <w:numId w:val="12"/>
              </w:numPr>
              <w:tabs>
                <w:tab w:val="left" w:pos="284"/>
                <w:tab w:val="left" w:pos="734"/>
                <w:tab w:val="left" w:pos="9270"/>
              </w:tabs>
              <w:ind w:right="36"/>
              <w:jc w:val="both"/>
              <w:rPr>
                <w:i/>
                <w:sz w:val="22"/>
                <w:szCs w:val="22"/>
                <w:lang w:val="sr-Latn-ME"/>
              </w:rPr>
            </w:pPr>
            <w:r w:rsidRPr="00C0654D">
              <w:rPr>
                <w:i/>
                <w:sz w:val="22"/>
                <w:szCs w:val="22"/>
                <w:lang w:val="sr-Latn-ME"/>
              </w:rPr>
              <w:t>Gradus 1</w:t>
            </w:r>
          </w:p>
        </w:tc>
        <w:tc>
          <w:tcPr>
            <w:tcW w:w="3314" w:type="dxa"/>
          </w:tcPr>
          <w:p w14:paraId="05D2FEAA"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Održati nivo doze</w:t>
            </w:r>
          </w:p>
        </w:tc>
        <w:tc>
          <w:tcPr>
            <w:tcW w:w="2992" w:type="dxa"/>
          </w:tcPr>
          <w:p w14:paraId="0A8078B5"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Održati nivo doze</w:t>
            </w:r>
          </w:p>
        </w:tc>
      </w:tr>
      <w:tr w:rsidR="00EA7E29" w:rsidRPr="00C0654D" w14:paraId="1FED3ABA" w14:textId="77777777" w:rsidTr="00D85C58">
        <w:tc>
          <w:tcPr>
            <w:tcW w:w="9620" w:type="dxa"/>
            <w:gridSpan w:val="3"/>
          </w:tcPr>
          <w:p w14:paraId="019A8501" w14:textId="77777777" w:rsidR="00EA7E29" w:rsidRPr="00C0654D" w:rsidRDefault="00EA7E29" w:rsidP="00C22FF8">
            <w:pPr>
              <w:numPr>
                <w:ilvl w:val="0"/>
                <w:numId w:val="12"/>
              </w:numPr>
              <w:tabs>
                <w:tab w:val="left" w:pos="284"/>
                <w:tab w:val="left" w:pos="734"/>
                <w:tab w:val="left" w:pos="9270"/>
              </w:tabs>
              <w:ind w:right="36"/>
              <w:jc w:val="both"/>
              <w:rPr>
                <w:i/>
                <w:sz w:val="22"/>
                <w:szCs w:val="22"/>
                <w:lang w:val="sr-Latn-ME"/>
              </w:rPr>
            </w:pPr>
            <w:r w:rsidRPr="00C0654D">
              <w:rPr>
                <w:i/>
                <w:sz w:val="22"/>
                <w:szCs w:val="22"/>
                <w:lang w:val="sr-Latn-ME"/>
              </w:rPr>
              <w:t>Gradus 2</w:t>
            </w:r>
          </w:p>
        </w:tc>
      </w:tr>
      <w:tr w:rsidR="00EA7E29" w:rsidRPr="00C0654D" w14:paraId="27FFF18D" w14:textId="77777777" w:rsidTr="00D85C58">
        <w:tc>
          <w:tcPr>
            <w:tcW w:w="3314" w:type="dxa"/>
          </w:tcPr>
          <w:p w14:paraId="6AF2B05C"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 prvo pojavljivanje</w:t>
            </w:r>
          </w:p>
        </w:tc>
        <w:tc>
          <w:tcPr>
            <w:tcW w:w="3314" w:type="dxa"/>
            <w:vMerge w:val="restart"/>
          </w:tcPr>
          <w:p w14:paraId="7B64A700"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Prekinuti dok se ne vrati na gradus  0-1</w:t>
            </w:r>
          </w:p>
        </w:tc>
        <w:tc>
          <w:tcPr>
            <w:tcW w:w="2992" w:type="dxa"/>
          </w:tcPr>
          <w:p w14:paraId="5F67B10C"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100%</w:t>
            </w:r>
          </w:p>
        </w:tc>
      </w:tr>
      <w:tr w:rsidR="00EA7E29" w:rsidRPr="00C0654D" w14:paraId="7930DE37" w14:textId="77777777" w:rsidTr="00D85C58">
        <w:tc>
          <w:tcPr>
            <w:tcW w:w="3314" w:type="dxa"/>
          </w:tcPr>
          <w:p w14:paraId="20E2800C"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 drugo pojavljivanje</w:t>
            </w:r>
          </w:p>
        </w:tc>
        <w:tc>
          <w:tcPr>
            <w:tcW w:w="3314" w:type="dxa"/>
            <w:vMerge/>
          </w:tcPr>
          <w:p w14:paraId="2C570D53" w14:textId="77777777" w:rsidR="00EA7E29" w:rsidRPr="00C0654D" w:rsidRDefault="00EA7E29" w:rsidP="00C22FF8">
            <w:pPr>
              <w:tabs>
                <w:tab w:val="left" w:pos="284"/>
                <w:tab w:val="left" w:pos="734"/>
                <w:tab w:val="left" w:pos="9270"/>
              </w:tabs>
              <w:ind w:right="36"/>
              <w:jc w:val="both"/>
              <w:rPr>
                <w:sz w:val="22"/>
                <w:szCs w:val="22"/>
                <w:lang w:val="sr-Latn-ME"/>
              </w:rPr>
            </w:pPr>
          </w:p>
        </w:tc>
        <w:tc>
          <w:tcPr>
            <w:tcW w:w="2992" w:type="dxa"/>
          </w:tcPr>
          <w:p w14:paraId="22A6EF23"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75%</w:t>
            </w:r>
          </w:p>
        </w:tc>
      </w:tr>
      <w:tr w:rsidR="00EA7E29" w:rsidRPr="00C0654D" w14:paraId="2CF50019" w14:textId="77777777" w:rsidTr="00D85C58">
        <w:tc>
          <w:tcPr>
            <w:tcW w:w="3314" w:type="dxa"/>
          </w:tcPr>
          <w:p w14:paraId="62C9CF47"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 treće pojavljivanje</w:t>
            </w:r>
          </w:p>
        </w:tc>
        <w:tc>
          <w:tcPr>
            <w:tcW w:w="3314" w:type="dxa"/>
            <w:vMerge/>
          </w:tcPr>
          <w:p w14:paraId="7321B4D3" w14:textId="77777777" w:rsidR="00EA7E29" w:rsidRPr="00C0654D" w:rsidRDefault="00EA7E29" w:rsidP="00C22FF8">
            <w:pPr>
              <w:tabs>
                <w:tab w:val="left" w:pos="284"/>
                <w:tab w:val="left" w:pos="734"/>
                <w:tab w:val="left" w:pos="9270"/>
              </w:tabs>
              <w:ind w:right="36"/>
              <w:jc w:val="both"/>
              <w:rPr>
                <w:sz w:val="22"/>
                <w:szCs w:val="22"/>
                <w:lang w:val="sr-Latn-ME"/>
              </w:rPr>
            </w:pPr>
          </w:p>
        </w:tc>
        <w:tc>
          <w:tcPr>
            <w:tcW w:w="2992" w:type="dxa"/>
          </w:tcPr>
          <w:p w14:paraId="6F230147"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50%</w:t>
            </w:r>
          </w:p>
        </w:tc>
      </w:tr>
      <w:tr w:rsidR="00EA7E29" w:rsidRPr="00C0654D" w14:paraId="22E2EFA9" w14:textId="77777777" w:rsidTr="00D85C58">
        <w:tc>
          <w:tcPr>
            <w:tcW w:w="3314" w:type="dxa"/>
          </w:tcPr>
          <w:p w14:paraId="4E1189EF"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 četvrto pojavljivanje</w:t>
            </w:r>
          </w:p>
        </w:tc>
        <w:tc>
          <w:tcPr>
            <w:tcW w:w="3314" w:type="dxa"/>
          </w:tcPr>
          <w:p w14:paraId="11E58146"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Trajno prekinuti terapiju</w:t>
            </w:r>
          </w:p>
        </w:tc>
        <w:tc>
          <w:tcPr>
            <w:tcW w:w="2992" w:type="dxa"/>
          </w:tcPr>
          <w:p w14:paraId="2C9D200A"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Nije primjenljivo</w:t>
            </w:r>
          </w:p>
        </w:tc>
      </w:tr>
      <w:tr w:rsidR="00EA7E29" w:rsidRPr="00C0654D" w14:paraId="4D5933E3" w14:textId="77777777" w:rsidTr="00D85C58">
        <w:tc>
          <w:tcPr>
            <w:tcW w:w="3314" w:type="dxa"/>
          </w:tcPr>
          <w:p w14:paraId="7710D991" w14:textId="77777777" w:rsidR="00EA7E29" w:rsidRPr="00C0654D" w:rsidRDefault="00EA7E29" w:rsidP="00C22FF8">
            <w:pPr>
              <w:numPr>
                <w:ilvl w:val="0"/>
                <w:numId w:val="12"/>
              </w:numPr>
              <w:tabs>
                <w:tab w:val="left" w:pos="284"/>
                <w:tab w:val="left" w:pos="734"/>
                <w:tab w:val="left" w:pos="9270"/>
              </w:tabs>
              <w:ind w:right="36"/>
              <w:jc w:val="both"/>
              <w:rPr>
                <w:i/>
                <w:sz w:val="22"/>
                <w:szCs w:val="22"/>
                <w:lang w:val="sr-Latn-ME"/>
              </w:rPr>
            </w:pPr>
            <w:r w:rsidRPr="00C0654D">
              <w:rPr>
                <w:i/>
                <w:sz w:val="22"/>
                <w:szCs w:val="22"/>
                <w:lang w:val="sr-Latn-ME"/>
              </w:rPr>
              <w:t>Gradus 3</w:t>
            </w:r>
          </w:p>
        </w:tc>
        <w:tc>
          <w:tcPr>
            <w:tcW w:w="3314" w:type="dxa"/>
          </w:tcPr>
          <w:p w14:paraId="5C779233" w14:textId="77777777" w:rsidR="00EA7E29" w:rsidRPr="00C0654D" w:rsidRDefault="00EA7E29" w:rsidP="00C22FF8">
            <w:pPr>
              <w:tabs>
                <w:tab w:val="left" w:pos="284"/>
                <w:tab w:val="left" w:pos="734"/>
                <w:tab w:val="left" w:pos="9270"/>
              </w:tabs>
              <w:ind w:right="36"/>
              <w:jc w:val="both"/>
              <w:rPr>
                <w:sz w:val="22"/>
                <w:szCs w:val="22"/>
                <w:lang w:val="sr-Latn-ME"/>
              </w:rPr>
            </w:pPr>
          </w:p>
        </w:tc>
        <w:tc>
          <w:tcPr>
            <w:tcW w:w="2992" w:type="dxa"/>
          </w:tcPr>
          <w:p w14:paraId="7230988C" w14:textId="77777777" w:rsidR="00EA7E29" w:rsidRPr="00C0654D" w:rsidRDefault="00EA7E29" w:rsidP="00C22FF8">
            <w:pPr>
              <w:tabs>
                <w:tab w:val="left" w:pos="284"/>
                <w:tab w:val="left" w:pos="734"/>
                <w:tab w:val="left" w:pos="9270"/>
              </w:tabs>
              <w:ind w:right="36"/>
              <w:jc w:val="both"/>
              <w:rPr>
                <w:sz w:val="22"/>
                <w:szCs w:val="22"/>
                <w:lang w:val="sr-Latn-ME"/>
              </w:rPr>
            </w:pPr>
          </w:p>
        </w:tc>
      </w:tr>
      <w:tr w:rsidR="00EA7E29" w:rsidRPr="00C0654D" w14:paraId="633A0FF7" w14:textId="77777777" w:rsidTr="00D85C58">
        <w:tc>
          <w:tcPr>
            <w:tcW w:w="3314" w:type="dxa"/>
          </w:tcPr>
          <w:p w14:paraId="72285D35"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 prvo pojavljivanje</w:t>
            </w:r>
          </w:p>
        </w:tc>
        <w:tc>
          <w:tcPr>
            <w:tcW w:w="3314" w:type="dxa"/>
            <w:vMerge w:val="restart"/>
          </w:tcPr>
          <w:p w14:paraId="118CC0FA"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Prekinuti dok se ne vrati na gradus  0-1</w:t>
            </w:r>
          </w:p>
        </w:tc>
        <w:tc>
          <w:tcPr>
            <w:tcW w:w="2992" w:type="dxa"/>
          </w:tcPr>
          <w:p w14:paraId="5FD40113"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75%</w:t>
            </w:r>
          </w:p>
        </w:tc>
      </w:tr>
      <w:tr w:rsidR="00EA7E29" w:rsidRPr="00C0654D" w14:paraId="39B320EC" w14:textId="77777777" w:rsidTr="00D85C58">
        <w:tc>
          <w:tcPr>
            <w:tcW w:w="3314" w:type="dxa"/>
          </w:tcPr>
          <w:p w14:paraId="45835D4F"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 drugo pojavljivanje</w:t>
            </w:r>
          </w:p>
        </w:tc>
        <w:tc>
          <w:tcPr>
            <w:tcW w:w="3314" w:type="dxa"/>
            <w:vMerge/>
          </w:tcPr>
          <w:p w14:paraId="5B9F6CB9" w14:textId="77777777" w:rsidR="00EA7E29" w:rsidRPr="00C0654D" w:rsidRDefault="00EA7E29" w:rsidP="00C22FF8">
            <w:pPr>
              <w:tabs>
                <w:tab w:val="left" w:pos="284"/>
                <w:tab w:val="left" w:pos="734"/>
                <w:tab w:val="left" w:pos="9270"/>
              </w:tabs>
              <w:ind w:right="36"/>
              <w:jc w:val="both"/>
              <w:rPr>
                <w:sz w:val="22"/>
                <w:szCs w:val="22"/>
                <w:lang w:val="sr-Latn-ME"/>
              </w:rPr>
            </w:pPr>
          </w:p>
        </w:tc>
        <w:tc>
          <w:tcPr>
            <w:tcW w:w="2992" w:type="dxa"/>
          </w:tcPr>
          <w:p w14:paraId="0E1AEAEC"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50%</w:t>
            </w:r>
          </w:p>
        </w:tc>
      </w:tr>
      <w:tr w:rsidR="00EA7E29" w:rsidRPr="00C0654D" w14:paraId="16FBAC50" w14:textId="77777777" w:rsidTr="00D85C58">
        <w:tc>
          <w:tcPr>
            <w:tcW w:w="3314" w:type="dxa"/>
          </w:tcPr>
          <w:p w14:paraId="2802D8A0"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treće pojavljivanje</w:t>
            </w:r>
          </w:p>
        </w:tc>
        <w:tc>
          <w:tcPr>
            <w:tcW w:w="3314" w:type="dxa"/>
          </w:tcPr>
          <w:p w14:paraId="103D3244"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Trajno prekinuti terapiju</w:t>
            </w:r>
          </w:p>
        </w:tc>
        <w:tc>
          <w:tcPr>
            <w:tcW w:w="2992" w:type="dxa"/>
          </w:tcPr>
          <w:p w14:paraId="16BE20C4"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Nije primjenljivo</w:t>
            </w:r>
          </w:p>
        </w:tc>
      </w:tr>
      <w:tr w:rsidR="00EA7E29" w:rsidRPr="00C0654D" w14:paraId="720DAE63" w14:textId="77777777" w:rsidTr="00D85C58">
        <w:tc>
          <w:tcPr>
            <w:tcW w:w="3314" w:type="dxa"/>
          </w:tcPr>
          <w:p w14:paraId="500E39E0" w14:textId="77777777" w:rsidR="00EA7E29" w:rsidRPr="00C0654D" w:rsidRDefault="00EA7E29" w:rsidP="00C22FF8">
            <w:pPr>
              <w:numPr>
                <w:ilvl w:val="0"/>
                <w:numId w:val="12"/>
              </w:numPr>
              <w:tabs>
                <w:tab w:val="left" w:pos="284"/>
                <w:tab w:val="left" w:pos="734"/>
                <w:tab w:val="left" w:pos="9270"/>
              </w:tabs>
              <w:ind w:right="36"/>
              <w:jc w:val="both"/>
              <w:rPr>
                <w:i/>
                <w:sz w:val="22"/>
                <w:szCs w:val="22"/>
                <w:lang w:val="sr-Latn-ME"/>
              </w:rPr>
            </w:pPr>
            <w:r w:rsidRPr="00C0654D">
              <w:rPr>
                <w:i/>
                <w:sz w:val="22"/>
                <w:szCs w:val="22"/>
                <w:lang w:val="sr-Latn-ME"/>
              </w:rPr>
              <w:t>Gradus 4</w:t>
            </w:r>
          </w:p>
        </w:tc>
        <w:tc>
          <w:tcPr>
            <w:tcW w:w="3314" w:type="dxa"/>
          </w:tcPr>
          <w:p w14:paraId="4CCF24C9" w14:textId="77777777" w:rsidR="00EA7E29" w:rsidRPr="00C0654D" w:rsidRDefault="00EA7E29" w:rsidP="00C22FF8">
            <w:pPr>
              <w:tabs>
                <w:tab w:val="left" w:pos="284"/>
                <w:tab w:val="left" w:pos="734"/>
                <w:tab w:val="left" w:pos="9270"/>
              </w:tabs>
              <w:ind w:right="36"/>
              <w:jc w:val="both"/>
              <w:rPr>
                <w:sz w:val="22"/>
                <w:szCs w:val="22"/>
                <w:lang w:val="sr-Latn-ME"/>
              </w:rPr>
            </w:pPr>
          </w:p>
        </w:tc>
        <w:tc>
          <w:tcPr>
            <w:tcW w:w="2992" w:type="dxa"/>
          </w:tcPr>
          <w:p w14:paraId="41C307C3" w14:textId="77777777" w:rsidR="00EA7E29" w:rsidRPr="00C0654D" w:rsidRDefault="00EA7E29" w:rsidP="00C22FF8">
            <w:pPr>
              <w:tabs>
                <w:tab w:val="left" w:pos="284"/>
                <w:tab w:val="left" w:pos="734"/>
                <w:tab w:val="left" w:pos="9270"/>
              </w:tabs>
              <w:ind w:right="36"/>
              <w:jc w:val="both"/>
              <w:rPr>
                <w:sz w:val="22"/>
                <w:szCs w:val="22"/>
                <w:lang w:val="sr-Latn-ME"/>
              </w:rPr>
            </w:pPr>
          </w:p>
        </w:tc>
      </w:tr>
      <w:tr w:rsidR="00EA7E29" w:rsidRPr="00C0654D" w14:paraId="48C4B370" w14:textId="77777777" w:rsidTr="00D85C58">
        <w:tc>
          <w:tcPr>
            <w:tcW w:w="3314" w:type="dxa"/>
          </w:tcPr>
          <w:p w14:paraId="11E7F10C"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 prvo pojavljivanje</w:t>
            </w:r>
          </w:p>
        </w:tc>
        <w:tc>
          <w:tcPr>
            <w:tcW w:w="3314" w:type="dxa"/>
          </w:tcPr>
          <w:p w14:paraId="0A170E30"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Trajno prekinuti terapiju</w:t>
            </w:r>
          </w:p>
          <w:p w14:paraId="3187FD16" w14:textId="77777777" w:rsidR="00EA7E29" w:rsidRPr="00C0654D" w:rsidRDefault="00EA7E29" w:rsidP="00C22FF8">
            <w:pPr>
              <w:tabs>
                <w:tab w:val="left" w:pos="284"/>
                <w:tab w:val="left" w:pos="734"/>
                <w:tab w:val="left" w:pos="9270"/>
              </w:tabs>
              <w:ind w:right="36"/>
              <w:jc w:val="both"/>
              <w:rPr>
                <w:i/>
                <w:sz w:val="22"/>
                <w:szCs w:val="22"/>
                <w:lang w:val="sr-Latn-ME"/>
              </w:rPr>
            </w:pPr>
            <w:r w:rsidRPr="00C0654D">
              <w:rPr>
                <w:i/>
                <w:sz w:val="22"/>
                <w:szCs w:val="22"/>
                <w:lang w:val="sr-Latn-ME"/>
              </w:rPr>
              <w:t>ili</w:t>
            </w:r>
          </w:p>
          <w:p w14:paraId="490510EE"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 xml:space="preserve">Ako ljekar smatra da je u najboljem interesu pacijenta da </w:t>
            </w:r>
            <w:r w:rsidRPr="00C0654D">
              <w:rPr>
                <w:sz w:val="22"/>
                <w:szCs w:val="22"/>
                <w:lang w:val="sr-Latn-ME"/>
              </w:rPr>
              <w:lastRenderedPageBreak/>
              <w:t>nastavi, prekinuti dok se ne vrati na gradus  0-1</w:t>
            </w:r>
          </w:p>
          <w:p w14:paraId="62674F6E" w14:textId="77777777" w:rsidR="00EA7E29" w:rsidRPr="00C0654D" w:rsidRDefault="00EA7E29" w:rsidP="00C22FF8">
            <w:pPr>
              <w:tabs>
                <w:tab w:val="left" w:pos="284"/>
                <w:tab w:val="left" w:pos="734"/>
                <w:tab w:val="left" w:pos="9270"/>
              </w:tabs>
              <w:ind w:right="36"/>
              <w:jc w:val="both"/>
              <w:rPr>
                <w:sz w:val="22"/>
                <w:szCs w:val="22"/>
                <w:lang w:val="sr-Latn-ME"/>
              </w:rPr>
            </w:pPr>
          </w:p>
        </w:tc>
        <w:tc>
          <w:tcPr>
            <w:tcW w:w="2992" w:type="dxa"/>
          </w:tcPr>
          <w:p w14:paraId="305F080D"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lastRenderedPageBreak/>
              <w:t>50%</w:t>
            </w:r>
          </w:p>
        </w:tc>
      </w:tr>
      <w:tr w:rsidR="00EA7E29" w:rsidRPr="00C0654D" w14:paraId="242509BA" w14:textId="77777777" w:rsidTr="00D85C58">
        <w:tc>
          <w:tcPr>
            <w:tcW w:w="3314" w:type="dxa"/>
          </w:tcPr>
          <w:p w14:paraId="3D24ABED"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drugo pojavljivanje</w:t>
            </w:r>
          </w:p>
        </w:tc>
        <w:tc>
          <w:tcPr>
            <w:tcW w:w="3314" w:type="dxa"/>
          </w:tcPr>
          <w:p w14:paraId="42E46D94"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Trajno prekinuti terapiju</w:t>
            </w:r>
          </w:p>
        </w:tc>
        <w:tc>
          <w:tcPr>
            <w:tcW w:w="2992" w:type="dxa"/>
          </w:tcPr>
          <w:p w14:paraId="504C8F5F" w14:textId="77777777" w:rsidR="00EA7E29" w:rsidRPr="00C0654D" w:rsidRDefault="00EA7E29" w:rsidP="00C22FF8">
            <w:pPr>
              <w:tabs>
                <w:tab w:val="left" w:pos="284"/>
                <w:tab w:val="left" w:pos="734"/>
                <w:tab w:val="left" w:pos="9270"/>
              </w:tabs>
              <w:ind w:right="36"/>
              <w:jc w:val="both"/>
              <w:rPr>
                <w:sz w:val="22"/>
                <w:szCs w:val="22"/>
                <w:lang w:val="sr-Latn-ME"/>
              </w:rPr>
            </w:pPr>
            <w:r w:rsidRPr="00C0654D">
              <w:rPr>
                <w:sz w:val="22"/>
                <w:szCs w:val="22"/>
                <w:lang w:val="sr-Latn-ME"/>
              </w:rPr>
              <w:t>Nije primjenljivo</w:t>
            </w:r>
          </w:p>
        </w:tc>
      </w:tr>
    </w:tbl>
    <w:p w14:paraId="725667FD" w14:textId="7F7658C2" w:rsidR="00EA7E29" w:rsidRPr="00C0654D" w:rsidRDefault="00EA7E29" w:rsidP="00D85C58">
      <w:pPr>
        <w:autoSpaceDE w:val="0"/>
        <w:autoSpaceDN w:val="0"/>
        <w:adjustRightInd w:val="0"/>
        <w:jc w:val="both"/>
        <w:rPr>
          <w:sz w:val="22"/>
          <w:szCs w:val="22"/>
          <w:lang w:val="sr-Latn-ME" w:eastAsia="sr-Latn-CS"/>
        </w:rPr>
      </w:pPr>
      <w:r w:rsidRPr="00C0654D">
        <w:rPr>
          <w:sz w:val="22"/>
          <w:szCs w:val="22"/>
          <w:lang w:val="sr-Latn-ME"/>
        </w:rPr>
        <w:t>*</w:t>
      </w:r>
      <w:r w:rsidRPr="00C0654D">
        <w:rPr>
          <w:sz w:val="22"/>
          <w:szCs w:val="22"/>
          <w:lang w:val="sr-Latn-ME" w:eastAsia="sr-Latn-CS"/>
        </w:rPr>
        <w:t xml:space="preserve"> Prema Grupi za klini</w:t>
      </w:r>
      <w:r w:rsidRPr="00C0654D">
        <w:rPr>
          <w:rFonts w:eastAsia="TimesNewRoman"/>
          <w:sz w:val="22"/>
          <w:szCs w:val="22"/>
          <w:lang w:val="sr-Latn-ME" w:eastAsia="sr-Latn-CS"/>
        </w:rPr>
        <w:t>č</w:t>
      </w:r>
      <w:r w:rsidRPr="00C0654D">
        <w:rPr>
          <w:sz w:val="22"/>
          <w:szCs w:val="22"/>
          <w:lang w:val="sr-Latn-ME" w:eastAsia="sr-Latn-CS"/>
        </w:rPr>
        <w:t>ka ispitivanja Kanadskog nacionalnog instituta za karcinom (NCIC CTG), koriš</w:t>
      </w:r>
      <w:r w:rsidRPr="00C0654D">
        <w:rPr>
          <w:rFonts w:eastAsia="TimesNewRoman"/>
          <w:sz w:val="22"/>
          <w:szCs w:val="22"/>
          <w:lang w:val="sr-Latn-ME" w:eastAsia="sr-Latn-CS"/>
        </w:rPr>
        <w:t>ć</w:t>
      </w:r>
      <w:r w:rsidRPr="00C0654D">
        <w:rPr>
          <w:sz w:val="22"/>
          <w:szCs w:val="22"/>
          <w:lang w:val="sr-Latn-ME" w:eastAsia="sr-Latn-CS"/>
        </w:rPr>
        <w:t xml:space="preserve">eni su </w:t>
      </w:r>
      <w:r w:rsidR="00CA1BE0">
        <w:rPr>
          <w:sz w:val="22"/>
          <w:szCs w:val="22"/>
          <w:lang w:val="sr-Latn-ME" w:eastAsia="sr-Latn-CS"/>
        </w:rPr>
        <w:t xml:space="preserve">opšti </w:t>
      </w:r>
      <w:r w:rsidRPr="00C0654D">
        <w:rPr>
          <w:sz w:val="22"/>
          <w:szCs w:val="22"/>
          <w:lang w:val="sr-Latn-ME" w:eastAsia="sr-Latn-CS"/>
        </w:rPr>
        <w:t>kriterijumi toksi</w:t>
      </w:r>
      <w:r w:rsidRPr="00C0654D">
        <w:rPr>
          <w:rFonts w:eastAsia="TimesNewRoman"/>
          <w:sz w:val="22"/>
          <w:szCs w:val="22"/>
          <w:lang w:val="sr-Latn-ME" w:eastAsia="sr-Latn-CS"/>
        </w:rPr>
        <w:t>č</w:t>
      </w:r>
      <w:r w:rsidRPr="00C0654D">
        <w:rPr>
          <w:sz w:val="22"/>
          <w:szCs w:val="22"/>
          <w:lang w:val="sr-Latn-ME" w:eastAsia="sr-Latn-CS"/>
        </w:rPr>
        <w:t>nosti (verzija 1) ili Zajedni</w:t>
      </w:r>
      <w:r w:rsidRPr="00C0654D">
        <w:rPr>
          <w:rFonts w:eastAsia="TimesNewRoman"/>
          <w:sz w:val="22"/>
          <w:szCs w:val="22"/>
          <w:lang w:val="sr-Latn-ME" w:eastAsia="sr-Latn-CS"/>
        </w:rPr>
        <w:t>č</w:t>
      </w:r>
      <w:r w:rsidRPr="00C0654D">
        <w:rPr>
          <w:sz w:val="22"/>
          <w:szCs w:val="22"/>
          <w:lang w:val="sr-Latn-ME" w:eastAsia="sr-Latn-CS"/>
        </w:rPr>
        <w:t>ki terminološki kriterijumi za neželjene doga</w:t>
      </w:r>
      <w:r w:rsidRPr="00C0654D">
        <w:rPr>
          <w:rFonts w:eastAsia="TimesNewRoman"/>
          <w:sz w:val="22"/>
          <w:szCs w:val="22"/>
          <w:lang w:val="sr-Latn-ME" w:eastAsia="sr-Latn-CS"/>
        </w:rPr>
        <w:t>đ</w:t>
      </w:r>
      <w:r w:rsidRPr="00C0654D">
        <w:rPr>
          <w:sz w:val="22"/>
          <w:szCs w:val="22"/>
          <w:lang w:val="sr-Latn-ME" w:eastAsia="sr-Latn-CS"/>
        </w:rPr>
        <w:t>aje (CTCAE) Programa procjene terapije karcinoma Ameri</w:t>
      </w:r>
      <w:r w:rsidRPr="00C0654D">
        <w:rPr>
          <w:rFonts w:eastAsia="TimesNewRoman"/>
          <w:sz w:val="22"/>
          <w:szCs w:val="22"/>
          <w:lang w:val="sr-Latn-ME" w:eastAsia="sr-Latn-CS"/>
        </w:rPr>
        <w:t>č</w:t>
      </w:r>
      <w:r w:rsidRPr="00C0654D">
        <w:rPr>
          <w:sz w:val="22"/>
          <w:szCs w:val="22"/>
          <w:lang w:val="sr-Latn-ME" w:eastAsia="sr-Latn-CS"/>
        </w:rPr>
        <w:t xml:space="preserve">kog nacionalnog instituta za karcinom, verzija 4.0. Za sindrom šaka-stopalo i hiperbilirubinemiju, vidjeti </w:t>
      </w:r>
      <w:r w:rsidR="00CA1BE0">
        <w:rPr>
          <w:sz w:val="22"/>
          <w:szCs w:val="22"/>
          <w:lang w:val="sr-Latn-ME" w:eastAsia="sr-Latn-CS"/>
        </w:rPr>
        <w:t xml:space="preserve">dio </w:t>
      </w:r>
      <w:r w:rsidRPr="00C0654D">
        <w:rPr>
          <w:sz w:val="22"/>
          <w:szCs w:val="22"/>
          <w:lang w:val="sr-Latn-ME" w:eastAsia="sr-Latn-CS"/>
        </w:rPr>
        <w:t>4.4.</w:t>
      </w:r>
    </w:p>
    <w:p w14:paraId="77E04B5E" w14:textId="77777777" w:rsidR="00EA7E29" w:rsidRPr="00C0654D" w:rsidRDefault="00EA7E29" w:rsidP="00CA1BE0">
      <w:pPr>
        <w:autoSpaceDE w:val="0"/>
        <w:autoSpaceDN w:val="0"/>
        <w:adjustRightInd w:val="0"/>
        <w:jc w:val="both"/>
        <w:rPr>
          <w:i/>
          <w:iCs/>
          <w:sz w:val="22"/>
          <w:szCs w:val="22"/>
          <w:lang w:val="sr-Latn-ME" w:eastAsia="sr-Latn-CS"/>
        </w:rPr>
      </w:pPr>
    </w:p>
    <w:p w14:paraId="72B85C17" w14:textId="77777777" w:rsidR="00EA7E29" w:rsidRPr="00C0654D" w:rsidRDefault="00EA7E29">
      <w:pPr>
        <w:autoSpaceDE w:val="0"/>
        <w:autoSpaceDN w:val="0"/>
        <w:adjustRightInd w:val="0"/>
        <w:jc w:val="both"/>
        <w:rPr>
          <w:sz w:val="22"/>
          <w:szCs w:val="22"/>
          <w:lang w:val="sr-Latn-ME" w:eastAsia="sr-Latn-CS"/>
        </w:rPr>
      </w:pPr>
      <w:r w:rsidRPr="00C0654D">
        <w:rPr>
          <w:i/>
          <w:iCs/>
          <w:sz w:val="22"/>
          <w:szCs w:val="22"/>
          <w:lang w:val="sr-Latn-ME" w:eastAsia="sr-Latn-CS"/>
        </w:rPr>
        <w:t>Hematologija</w:t>
      </w:r>
      <w:r w:rsidRPr="00C0654D">
        <w:rPr>
          <w:sz w:val="22"/>
          <w:szCs w:val="22"/>
          <w:lang w:val="sr-Latn-ME" w:eastAsia="sr-Latn-CS"/>
        </w:rPr>
        <w:t xml:space="preserve"> </w:t>
      </w:r>
    </w:p>
    <w:p w14:paraId="25B1E3CE" w14:textId="77777777"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Pacijenti kod kojih je broj neutrofila prije uključivanja  terapije &lt;1,5 x 10</w:t>
      </w:r>
      <w:r w:rsidRPr="00C0654D">
        <w:rPr>
          <w:sz w:val="22"/>
          <w:szCs w:val="22"/>
          <w:vertAlign w:val="superscript"/>
          <w:lang w:val="sr-Latn-ME" w:eastAsia="sr-Latn-CS"/>
        </w:rPr>
        <w:t>9</w:t>
      </w:r>
      <w:r w:rsidRPr="00C0654D">
        <w:rPr>
          <w:sz w:val="22"/>
          <w:szCs w:val="22"/>
          <w:lang w:val="sr-Latn-ME" w:eastAsia="sr-Latn-CS"/>
        </w:rPr>
        <w:t>/L, i/ili sa brojem trombocita &lt;100 x 10</w:t>
      </w:r>
      <w:r w:rsidRPr="00C0654D">
        <w:rPr>
          <w:sz w:val="22"/>
          <w:szCs w:val="22"/>
          <w:vertAlign w:val="superscript"/>
          <w:lang w:val="sr-Latn-ME" w:eastAsia="sr-Latn-CS"/>
        </w:rPr>
        <w:t>9</w:t>
      </w:r>
      <w:r w:rsidRPr="00C0654D">
        <w:rPr>
          <w:sz w:val="22"/>
          <w:szCs w:val="22"/>
          <w:lang w:val="sr-Latn-ME" w:eastAsia="sr-Latn-CS"/>
        </w:rPr>
        <w:t xml:space="preserve">/L, ne treba da uzimaju lijek </w:t>
      </w:r>
      <w:r w:rsidRPr="00C0654D">
        <w:rPr>
          <w:sz w:val="22"/>
          <w:szCs w:val="22"/>
          <w:lang w:val="sr-Latn-ME"/>
        </w:rPr>
        <w:t>Capecitabine PharmaSwiss</w:t>
      </w:r>
      <w:r w:rsidRPr="00C0654D">
        <w:rPr>
          <w:sz w:val="22"/>
          <w:szCs w:val="22"/>
          <w:lang w:val="sr-Latn-ME" w:eastAsia="sr-Latn-CS"/>
        </w:rPr>
        <w:t>. Ako vanredni laboratorijski testovi tokom terapijskog ciklusa pokažu pad broja neutrofila ispod 1,0 x 10</w:t>
      </w:r>
      <w:r w:rsidRPr="00C0654D">
        <w:rPr>
          <w:sz w:val="22"/>
          <w:szCs w:val="22"/>
          <w:vertAlign w:val="superscript"/>
          <w:lang w:val="sr-Latn-ME" w:eastAsia="sr-Latn-CS"/>
        </w:rPr>
        <w:t>9</w:t>
      </w:r>
      <w:r w:rsidRPr="00C0654D">
        <w:rPr>
          <w:sz w:val="22"/>
          <w:szCs w:val="22"/>
          <w:lang w:val="sr-Latn-ME" w:eastAsia="sr-Latn-CS"/>
        </w:rPr>
        <w:t>/L, ili pad broja trombocita ispod 75 x 10</w:t>
      </w:r>
      <w:r w:rsidRPr="00C0654D">
        <w:rPr>
          <w:sz w:val="22"/>
          <w:szCs w:val="22"/>
          <w:vertAlign w:val="superscript"/>
          <w:lang w:val="sr-Latn-ME" w:eastAsia="sr-Latn-CS"/>
        </w:rPr>
        <w:t>9</w:t>
      </w:r>
      <w:r w:rsidRPr="00C0654D">
        <w:rPr>
          <w:sz w:val="22"/>
          <w:szCs w:val="22"/>
          <w:lang w:val="sr-Latn-ME" w:eastAsia="sr-Latn-CS"/>
        </w:rPr>
        <w:t xml:space="preserve">/L, terapiju lijekom </w:t>
      </w:r>
      <w:r w:rsidRPr="00C0654D">
        <w:rPr>
          <w:sz w:val="22"/>
          <w:szCs w:val="22"/>
          <w:lang w:val="sr-Latn-ME"/>
        </w:rPr>
        <w:t>Capecitabine PharmaSwiss</w:t>
      </w:r>
      <w:r w:rsidRPr="00C0654D">
        <w:rPr>
          <w:sz w:val="22"/>
          <w:szCs w:val="22"/>
          <w:lang w:val="sr-Latn-ME" w:eastAsia="sr-Latn-CS"/>
        </w:rPr>
        <w:t xml:space="preserve"> treba prekinuti.</w:t>
      </w:r>
    </w:p>
    <w:p w14:paraId="347D1CA5" w14:textId="77777777" w:rsidR="00EA7E29" w:rsidRPr="00C0654D" w:rsidRDefault="00EA7E29">
      <w:pPr>
        <w:shd w:val="clear" w:color="auto" w:fill="FFFFFF"/>
        <w:tabs>
          <w:tab w:val="left" w:pos="284"/>
          <w:tab w:val="left" w:pos="734"/>
          <w:tab w:val="left" w:pos="9270"/>
        </w:tabs>
        <w:ind w:left="14" w:right="36"/>
        <w:jc w:val="both"/>
        <w:rPr>
          <w:sz w:val="22"/>
          <w:szCs w:val="22"/>
          <w:lang w:val="sr-Latn-ME" w:eastAsia="sr-Latn-CS"/>
        </w:rPr>
      </w:pPr>
    </w:p>
    <w:p w14:paraId="3EC0B25E" w14:textId="77777777" w:rsidR="00EA7E29" w:rsidRPr="00C0654D" w:rsidRDefault="00EA7E29">
      <w:pPr>
        <w:shd w:val="clear" w:color="auto" w:fill="FFFFFF"/>
        <w:tabs>
          <w:tab w:val="left" w:pos="284"/>
          <w:tab w:val="left" w:pos="734"/>
          <w:tab w:val="left" w:pos="9270"/>
        </w:tabs>
        <w:ind w:left="14" w:right="36"/>
        <w:jc w:val="both"/>
        <w:rPr>
          <w:sz w:val="22"/>
          <w:szCs w:val="22"/>
          <w:u w:val="single"/>
          <w:lang w:val="sr-Latn-ME"/>
        </w:rPr>
      </w:pPr>
      <w:r w:rsidRPr="00C0654D">
        <w:rPr>
          <w:sz w:val="22"/>
          <w:szCs w:val="22"/>
          <w:u w:val="single"/>
          <w:lang w:val="sr-Latn-ME" w:eastAsia="sr-Latn-CS"/>
        </w:rPr>
        <w:t>Izmjene doze zbog toksi</w:t>
      </w:r>
      <w:r w:rsidRPr="00C0654D">
        <w:rPr>
          <w:rFonts w:eastAsia="TimesNewRoman"/>
          <w:sz w:val="22"/>
          <w:szCs w:val="22"/>
          <w:u w:val="single"/>
          <w:lang w:val="sr-Latn-ME" w:eastAsia="sr-Latn-CS"/>
        </w:rPr>
        <w:t>č</w:t>
      </w:r>
      <w:r w:rsidRPr="00C0654D">
        <w:rPr>
          <w:sz w:val="22"/>
          <w:szCs w:val="22"/>
          <w:u w:val="single"/>
          <w:lang w:val="sr-Latn-ME" w:eastAsia="sr-Latn-CS"/>
        </w:rPr>
        <w:t xml:space="preserve">nosti kada se lijek </w:t>
      </w:r>
      <w:r w:rsidRPr="00C0654D">
        <w:rPr>
          <w:sz w:val="22"/>
          <w:szCs w:val="22"/>
          <w:u w:val="single"/>
          <w:lang w:val="sr-Latn-ME"/>
        </w:rPr>
        <w:t>Capecitabine PharmaSwiss primjenjuje u tronedjeljnom ciklusu u kombinaciji sa drugim ljekovima:</w:t>
      </w:r>
    </w:p>
    <w:p w14:paraId="0187A47B" w14:textId="77777777" w:rsidR="00EA7E29" w:rsidRPr="00C0654D" w:rsidRDefault="00EA7E29">
      <w:pPr>
        <w:shd w:val="clear" w:color="auto" w:fill="FFFFFF"/>
        <w:tabs>
          <w:tab w:val="left" w:pos="284"/>
          <w:tab w:val="left" w:pos="734"/>
          <w:tab w:val="left" w:pos="9270"/>
        </w:tabs>
        <w:ind w:left="14" w:right="36"/>
        <w:jc w:val="both"/>
        <w:rPr>
          <w:sz w:val="22"/>
          <w:szCs w:val="22"/>
          <w:u w:val="single"/>
          <w:lang w:val="sr-Latn-ME"/>
        </w:rPr>
      </w:pPr>
    </w:p>
    <w:p w14:paraId="4BBDBE7A" w14:textId="77777777"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Izmjene doze zbog toksi</w:t>
      </w:r>
      <w:r w:rsidRPr="00C0654D">
        <w:rPr>
          <w:rFonts w:eastAsia="TimesNewRoman"/>
          <w:sz w:val="22"/>
          <w:szCs w:val="22"/>
          <w:lang w:val="sr-Latn-ME" w:eastAsia="sr-Latn-CS"/>
        </w:rPr>
        <w:t>č</w:t>
      </w:r>
      <w:r w:rsidRPr="00C0654D">
        <w:rPr>
          <w:sz w:val="22"/>
          <w:szCs w:val="22"/>
          <w:lang w:val="sr-Latn-ME" w:eastAsia="sr-Latn-CS"/>
        </w:rPr>
        <w:t xml:space="preserve">nosti kada se lijek </w:t>
      </w:r>
      <w:r w:rsidRPr="00C0654D">
        <w:rPr>
          <w:sz w:val="22"/>
          <w:szCs w:val="22"/>
          <w:lang w:val="sr-Latn-ME"/>
        </w:rPr>
        <w:t>Capecitabine PharmaSwiss</w:t>
      </w:r>
      <w:r w:rsidRPr="00C0654D">
        <w:rPr>
          <w:sz w:val="22"/>
          <w:szCs w:val="22"/>
          <w:lang w:val="sr-Latn-ME" w:eastAsia="sr-Latn-CS"/>
        </w:rPr>
        <w:t xml:space="preserve"> primjenjuje u tronedjeljnom ciklusu u kombinaciji sa drugim ljekovima treba vršiti u skladu sa Tabelom 3. (gore) za lijek </w:t>
      </w:r>
      <w:r w:rsidRPr="00C0654D">
        <w:rPr>
          <w:sz w:val="22"/>
          <w:szCs w:val="22"/>
          <w:lang w:val="sr-Latn-ME"/>
        </w:rPr>
        <w:t>Capecitabine PharmaSwiss</w:t>
      </w:r>
      <w:r w:rsidRPr="00C0654D">
        <w:rPr>
          <w:sz w:val="22"/>
          <w:szCs w:val="22"/>
          <w:lang w:val="sr-Latn-ME" w:eastAsia="sr-Latn-CS"/>
        </w:rPr>
        <w:t xml:space="preserve"> i u skladu sa odgovaraju</w:t>
      </w:r>
      <w:r w:rsidRPr="00C0654D">
        <w:rPr>
          <w:rFonts w:eastAsia="TimesNewRoman"/>
          <w:sz w:val="22"/>
          <w:szCs w:val="22"/>
          <w:lang w:val="sr-Latn-ME" w:eastAsia="sr-Latn-CS"/>
        </w:rPr>
        <w:t>ć</w:t>
      </w:r>
      <w:r w:rsidRPr="00C0654D">
        <w:rPr>
          <w:sz w:val="22"/>
          <w:szCs w:val="22"/>
          <w:lang w:val="sr-Latn-ME" w:eastAsia="sr-Latn-CS"/>
        </w:rPr>
        <w:t>im Sažetkom karakteristika lijeka za drugi lijek (druge ljekove).</w:t>
      </w:r>
    </w:p>
    <w:p w14:paraId="49412636" w14:textId="77777777" w:rsidR="00EA7E29" w:rsidRPr="00C0654D" w:rsidRDefault="00EA7E29">
      <w:pPr>
        <w:autoSpaceDE w:val="0"/>
        <w:autoSpaceDN w:val="0"/>
        <w:adjustRightInd w:val="0"/>
        <w:jc w:val="both"/>
        <w:rPr>
          <w:sz w:val="22"/>
          <w:szCs w:val="22"/>
          <w:lang w:val="sr-Latn-ME" w:eastAsia="sr-Latn-CS"/>
        </w:rPr>
      </w:pPr>
    </w:p>
    <w:p w14:paraId="6363CD64" w14:textId="77777777"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Na početku terapijskog ciklusa, ako je indikovano odlaganje lije</w:t>
      </w:r>
      <w:r w:rsidRPr="00C0654D">
        <w:rPr>
          <w:rFonts w:eastAsia="TimesNewRoman"/>
          <w:sz w:val="22"/>
          <w:szCs w:val="22"/>
          <w:lang w:val="sr-Latn-ME" w:eastAsia="sr-Latn-CS"/>
        </w:rPr>
        <w:t>č</w:t>
      </w:r>
      <w:r w:rsidRPr="00C0654D">
        <w:rPr>
          <w:sz w:val="22"/>
          <w:szCs w:val="22"/>
          <w:lang w:val="sr-Latn-ME" w:eastAsia="sr-Latn-CS"/>
        </w:rPr>
        <w:t xml:space="preserve">enja bilo lijekom </w:t>
      </w:r>
      <w:r w:rsidRPr="00C0654D">
        <w:rPr>
          <w:sz w:val="22"/>
          <w:szCs w:val="22"/>
          <w:lang w:val="sr-Latn-ME"/>
        </w:rPr>
        <w:t>Capecitabine PharmaSwiss</w:t>
      </w:r>
      <w:r w:rsidRPr="00C0654D">
        <w:rPr>
          <w:sz w:val="22"/>
          <w:szCs w:val="22"/>
          <w:lang w:val="sr-Latn-ME" w:eastAsia="sr-Latn-CS"/>
        </w:rPr>
        <w:t xml:space="preserve"> ili drugim lijekom (drugim ljekovima), primjenu kombinovane terapije treba odložiti sve dok se ne steknu uslovi za započinjanje terapije svim ljekovima.</w:t>
      </w:r>
    </w:p>
    <w:p w14:paraId="06CB6520" w14:textId="77777777" w:rsidR="00EA7E29" w:rsidRPr="00C0654D" w:rsidRDefault="00EA7E29">
      <w:pPr>
        <w:autoSpaceDE w:val="0"/>
        <w:autoSpaceDN w:val="0"/>
        <w:adjustRightInd w:val="0"/>
        <w:jc w:val="both"/>
        <w:rPr>
          <w:sz w:val="22"/>
          <w:szCs w:val="22"/>
          <w:lang w:val="sr-Latn-ME" w:eastAsia="sr-Latn-CS"/>
        </w:rPr>
      </w:pPr>
    </w:p>
    <w:p w14:paraId="43F33067" w14:textId="4E3B3814"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Tokom terapijskog ciklusa, za one toksi</w:t>
      </w:r>
      <w:r w:rsidRPr="00C0654D">
        <w:rPr>
          <w:rFonts w:eastAsia="TimesNewRoman"/>
          <w:sz w:val="22"/>
          <w:szCs w:val="22"/>
          <w:lang w:val="sr-Latn-ME" w:eastAsia="sr-Latn-CS"/>
        </w:rPr>
        <w:t>č</w:t>
      </w:r>
      <w:r w:rsidRPr="00C0654D">
        <w:rPr>
          <w:sz w:val="22"/>
          <w:szCs w:val="22"/>
          <w:lang w:val="sr-Latn-ME" w:eastAsia="sr-Latn-CS"/>
        </w:rPr>
        <w:t xml:space="preserve">nosti za koje ljekar ne smatra da su povezane sa lijekom </w:t>
      </w:r>
      <w:r w:rsidRPr="00C0654D">
        <w:rPr>
          <w:sz w:val="22"/>
          <w:szCs w:val="22"/>
          <w:lang w:val="sr-Latn-ME"/>
        </w:rPr>
        <w:t>Capecitabine PharmaSwiss</w:t>
      </w:r>
      <w:r w:rsidRPr="00C0654D">
        <w:rPr>
          <w:sz w:val="22"/>
          <w:szCs w:val="22"/>
          <w:lang w:val="sr-Latn-ME" w:eastAsia="sr-Latn-CS"/>
        </w:rPr>
        <w:t xml:space="preserve">, davanje lijeka </w:t>
      </w:r>
      <w:r w:rsidRPr="00C0654D">
        <w:rPr>
          <w:sz w:val="22"/>
          <w:szCs w:val="22"/>
          <w:lang w:val="sr-Latn-ME"/>
        </w:rPr>
        <w:t>Capecitabine PharmaSwiss</w:t>
      </w:r>
      <w:r w:rsidRPr="00C0654D">
        <w:rPr>
          <w:sz w:val="22"/>
          <w:szCs w:val="22"/>
          <w:lang w:val="sr-Latn-ME" w:eastAsia="sr-Latn-CS"/>
        </w:rPr>
        <w:t xml:space="preserve"> treba nastaviti, a dozu drugog lijeka prilagoditi u skladu sa odgovaraju</w:t>
      </w:r>
      <w:r w:rsidRPr="00C0654D">
        <w:rPr>
          <w:rFonts w:eastAsia="TimesNewRoman"/>
          <w:sz w:val="22"/>
          <w:szCs w:val="22"/>
          <w:lang w:val="sr-Latn-ME" w:eastAsia="sr-Latn-CS"/>
        </w:rPr>
        <w:t>ć</w:t>
      </w:r>
      <w:r w:rsidRPr="00C0654D">
        <w:rPr>
          <w:sz w:val="22"/>
          <w:szCs w:val="22"/>
          <w:lang w:val="sr-Latn-ME" w:eastAsia="sr-Latn-CS"/>
        </w:rPr>
        <w:t>im</w:t>
      </w:r>
      <w:r w:rsidR="004F15C2">
        <w:rPr>
          <w:sz w:val="22"/>
          <w:szCs w:val="22"/>
          <w:lang w:val="sr-Latn-ME" w:eastAsia="sr-Latn-CS"/>
        </w:rPr>
        <w:t xml:space="preserve"> </w:t>
      </w:r>
      <w:r w:rsidR="00CA1BE0">
        <w:rPr>
          <w:sz w:val="22"/>
          <w:szCs w:val="22"/>
          <w:lang w:val="sr-Latn-ME" w:eastAsia="sr-Latn-CS"/>
        </w:rPr>
        <w:t>S</w:t>
      </w:r>
      <w:r w:rsidR="004F15C2">
        <w:rPr>
          <w:sz w:val="22"/>
          <w:szCs w:val="22"/>
          <w:lang w:val="sr-Latn-ME" w:eastAsia="sr-Latn-CS"/>
        </w:rPr>
        <w:t>a</w:t>
      </w:r>
      <w:r w:rsidR="00CA1BE0">
        <w:rPr>
          <w:sz w:val="22"/>
          <w:szCs w:val="22"/>
          <w:lang w:val="sr-Latn-ME" w:eastAsia="sr-Latn-CS"/>
        </w:rPr>
        <w:t>žetkom karakteristika tog lijeka.</w:t>
      </w:r>
    </w:p>
    <w:p w14:paraId="6394A699" w14:textId="77777777" w:rsidR="00EA7E29" w:rsidRPr="00C0654D" w:rsidRDefault="00EA7E29">
      <w:pPr>
        <w:autoSpaceDE w:val="0"/>
        <w:autoSpaceDN w:val="0"/>
        <w:adjustRightInd w:val="0"/>
        <w:jc w:val="both"/>
        <w:rPr>
          <w:sz w:val="22"/>
          <w:szCs w:val="22"/>
          <w:lang w:val="sr-Latn-ME" w:eastAsia="sr-Latn-CS"/>
        </w:rPr>
      </w:pPr>
    </w:p>
    <w:p w14:paraId="58C82AD9" w14:textId="77777777"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 xml:space="preserve">Ako druge ljekove treba trajno ukinuti, terapija lijekom </w:t>
      </w:r>
      <w:r w:rsidRPr="00C0654D">
        <w:rPr>
          <w:sz w:val="22"/>
          <w:szCs w:val="22"/>
          <w:lang w:val="sr-Latn-ME"/>
        </w:rPr>
        <w:t>Capecitabine PharmaSwiss</w:t>
      </w:r>
      <w:r w:rsidRPr="00C0654D">
        <w:rPr>
          <w:sz w:val="22"/>
          <w:szCs w:val="22"/>
          <w:lang w:val="sr-Latn-ME" w:eastAsia="sr-Latn-CS"/>
        </w:rPr>
        <w:t xml:space="preserve"> se može nastaviti kada se ispune uslovi za ponovno uvo</w:t>
      </w:r>
      <w:r w:rsidRPr="00C0654D">
        <w:rPr>
          <w:rFonts w:eastAsia="TimesNewRoman"/>
          <w:sz w:val="22"/>
          <w:szCs w:val="22"/>
          <w:lang w:val="sr-Latn-ME" w:eastAsia="sr-Latn-CS"/>
        </w:rPr>
        <w:t xml:space="preserve">đenje lijeka </w:t>
      </w:r>
      <w:r w:rsidRPr="00C0654D">
        <w:rPr>
          <w:sz w:val="22"/>
          <w:szCs w:val="22"/>
          <w:lang w:val="sr-Latn-ME"/>
        </w:rPr>
        <w:t>Capecitabine PharmaSwiss</w:t>
      </w:r>
      <w:r w:rsidRPr="00C0654D">
        <w:rPr>
          <w:sz w:val="22"/>
          <w:szCs w:val="22"/>
          <w:lang w:val="sr-Latn-ME" w:eastAsia="sr-Latn-CS"/>
        </w:rPr>
        <w:t>.</w:t>
      </w:r>
    </w:p>
    <w:p w14:paraId="1220BCEC" w14:textId="77777777" w:rsidR="00EA7E29" w:rsidRPr="00C0654D" w:rsidRDefault="00EA7E29">
      <w:pPr>
        <w:autoSpaceDE w:val="0"/>
        <w:autoSpaceDN w:val="0"/>
        <w:adjustRightInd w:val="0"/>
        <w:jc w:val="both"/>
        <w:rPr>
          <w:sz w:val="22"/>
          <w:szCs w:val="22"/>
          <w:lang w:val="sr-Latn-ME" w:eastAsia="sr-Latn-CS"/>
        </w:rPr>
      </w:pPr>
    </w:p>
    <w:p w14:paraId="0CFC6767" w14:textId="6D254146"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Ov</w:t>
      </w:r>
      <w:r w:rsidR="00CA1BE0">
        <w:rPr>
          <w:sz w:val="22"/>
          <w:szCs w:val="22"/>
          <w:lang w:val="sr-Latn-ME" w:eastAsia="sr-Latn-CS"/>
        </w:rPr>
        <w:t xml:space="preserve">e preporuke </w:t>
      </w:r>
      <w:r w:rsidRPr="00C0654D">
        <w:rPr>
          <w:sz w:val="22"/>
          <w:szCs w:val="22"/>
          <w:lang w:val="sr-Latn-ME" w:eastAsia="sr-Latn-CS"/>
        </w:rPr>
        <w:t>važ</w:t>
      </w:r>
      <w:r w:rsidR="00CA1BE0">
        <w:rPr>
          <w:sz w:val="22"/>
          <w:szCs w:val="22"/>
          <w:lang w:val="sr-Latn-ME" w:eastAsia="sr-Latn-CS"/>
        </w:rPr>
        <w:t>e</w:t>
      </w:r>
      <w:r w:rsidRPr="00C0654D">
        <w:rPr>
          <w:sz w:val="22"/>
          <w:szCs w:val="22"/>
          <w:lang w:val="sr-Latn-ME" w:eastAsia="sr-Latn-CS"/>
        </w:rPr>
        <w:t xml:space="preserve"> za sve indikacije i sve posebne grupe pacijenata.</w:t>
      </w:r>
    </w:p>
    <w:p w14:paraId="4A17A0B3" w14:textId="77777777" w:rsidR="00EA7E29" w:rsidRPr="00C0654D" w:rsidRDefault="00EA7E29">
      <w:pPr>
        <w:autoSpaceDE w:val="0"/>
        <w:autoSpaceDN w:val="0"/>
        <w:adjustRightInd w:val="0"/>
        <w:jc w:val="both"/>
        <w:rPr>
          <w:sz w:val="22"/>
          <w:szCs w:val="22"/>
          <w:lang w:val="sr-Latn-ME" w:eastAsia="sr-Latn-CS"/>
        </w:rPr>
      </w:pPr>
    </w:p>
    <w:p w14:paraId="077CDB68" w14:textId="77777777" w:rsidR="00EA7E29" w:rsidRPr="00C0654D" w:rsidRDefault="00EA7E29">
      <w:pPr>
        <w:shd w:val="clear" w:color="auto" w:fill="FFFFFF"/>
        <w:tabs>
          <w:tab w:val="left" w:pos="284"/>
          <w:tab w:val="left" w:pos="734"/>
          <w:tab w:val="left" w:pos="9270"/>
        </w:tabs>
        <w:ind w:left="14" w:right="36"/>
        <w:jc w:val="both"/>
        <w:rPr>
          <w:sz w:val="22"/>
          <w:szCs w:val="22"/>
          <w:u w:val="single"/>
          <w:lang w:val="sr-Latn-ME"/>
        </w:rPr>
      </w:pPr>
      <w:r w:rsidRPr="00C0654D">
        <w:rPr>
          <w:sz w:val="22"/>
          <w:szCs w:val="22"/>
          <w:u w:val="single"/>
          <w:lang w:val="sr-Latn-ME" w:eastAsia="sr-Latn-CS"/>
        </w:rPr>
        <w:t>Izmjene doze zbog toksi</w:t>
      </w:r>
      <w:r w:rsidRPr="00C0654D">
        <w:rPr>
          <w:rFonts w:eastAsia="TimesNewRoman"/>
          <w:sz w:val="22"/>
          <w:szCs w:val="22"/>
          <w:u w:val="single"/>
          <w:lang w:val="sr-Latn-ME" w:eastAsia="sr-Latn-CS"/>
        </w:rPr>
        <w:t>č</w:t>
      </w:r>
      <w:r w:rsidRPr="00C0654D">
        <w:rPr>
          <w:sz w:val="22"/>
          <w:szCs w:val="22"/>
          <w:u w:val="single"/>
          <w:lang w:val="sr-Latn-ME" w:eastAsia="sr-Latn-CS"/>
        </w:rPr>
        <w:t xml:space="preserve">nosti kada se lijek </w:t>
      </w:r>
      <w:r w:rsidRPr="00C0654D">
        <w:rPr>
          <w:sz w:val="22"/>
          <w:szCs w:val="22"/>
          <w:u w:val="single"/>
          <w:lang w:val="sr-Latn-ME"/>
        </w:rPr>
        <w:t>Capecitabine PharmaSwiss primjenjuje kontinuirano u kombinaciji sa drugim ljekovima:</w:t>
      </w:r>
    </w:p>
    <w:p w14:paraId="5BF9D93B" w14:textId="77777777" w:rsidR="00EA7E29" w:rsidRPr="00C0654D" w:rsidRDefault="00EA7E29">
      <w:pPr>
        <w:shd w:val="clear" w:color="auto" w:fill="FFFFFF"/>
        <w:tabs>
          <w:tab w:val="left" w:pos="284"/>
          <w:tab w:val="left" w:pos="734"/>
          <w:tab w:val="left" w:pos="9270"/>
        </w:tabs>
        <w:ind w:left="14" w:right="36"/>
        <w:jc w:val="both"/>
        <w:rPr>
          <w:sz w:val="22"/>
          <w:szCs w:val="22"/>
          <w:u w:val="single"/>
          <w:lang w:val="sr-Latn-ME"/>
        </w:rPr>
      </w:pPr>
    </w:p>
    <w:p w14:paraId="1B0F8BF8" w14:textId="77777777"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Izmjene doze zbog toksi</w:t>
      </w:r>
      <w:r w:rsidRPr="00C0654D">
        <w:rPr>
          <w:rFonts w:eastAsia="TimesNewRoman"/>
          <w:sz w:val="22"/>
          <w:szCs w:val="22"/>
          <w:lang w:val="sr-Latn-ME" w:eastAsia="sr-Latn-CS"/>
        </w:rPr>
        <w:t>č</w:t>
      </w:r>
      <w:r w:rsidRPr="00C0654D">
        <w:rPr>
          <w:sz w:val="22"/>
          <w:szCs w:val="22"/>
          <w:lang w:val="sr-Latn-ME" w:eastAsia="sr-Latn-CS"/>
        </w:rPr>
        <w:t xml:space="preserve">nosti kada se lijek </w:t>
      </w:r>
      <w:r w:rsidRPr="00C0654D">
        <w:rPr>
          <w:sz w:val="22"/>
          <w:szCs w:val="22"/>
          <w:lang w:val="sr-Latn-ME"/>
        </w:rPr>
        <w:t>Capecitabine PharmaSwiss</w:t>
      </w:r>
      <w:r w:rsidRPr="00C0654D">
        <w:rPr>
          <w:sz w:val="22"/>
          <w:szCs w:val="22"/>
          <w:lang w:val="sr-Latn-ME" w:eastAsia="sr-Latn-CS"/>
        </w:rPr>
        <w:t xml:space="preserve"> primjenjuje kontinuirano u kombinaciji sa drugim ljekovima treba vršiti u skladu sa Tabelom 3 (gore), za lijek </w:t>
      </w:r>
      <w:r w:rsidRPr="00C0654D">
        <w:rPr>
          <w:sz w:val="22"/>
          <w:szCs w:val="22"/>
          <w:lang w:val="sr-Latn-ME"/>
        </w:rPr>
        <w:t>Capecitabine PharmaSwiss</w:t>
      </w:r>
      <w:r w:rsidRPr="00C0654D">
        <w:rPr>
          <w:sz w:val="22"/>
          <w:szCs w:val="22"/>
          <w:lang w:val="sr-Latn-ME" w:eastAsia="sr-Latn-CS"/>
        </w:rPr>
        <w:t xml:space="preserve"> i u skladu sa odgovaraju</w:t>
      </w:r>
      <w:r w:rsidRPr="00C0654D">
        <w:rPr>
          <w:rFonts w:eastAsia="TimesNewRoman"/>
          <w:sz w:val="22"/>
          <w:szCs w:val="22"/>
          <w:lang w:val="sr-Latn-ME" w:eastAsia="sr-Latn-CS"/>
        </w:rPr>
        <w:t>ć</w:t>
      </w:r>
      <w:r w:rsidRPr="00C0654D">
        <w:rPr>
          <w:sz w:val="22"/>
          <w:szCs w:val="22"/>
          <w:lang w:val="sr-Latn-ME" w:eastAsia="sr-Latn-CS"/>
        </w:rPr>
        <w:t>im Sažetkom karakteristika lijeka za drugi lijek (druge ljekove).</w:t>
      </w:r>
    </w:p>
    <w:p w14:paraId="3E797346" w14:textId="77777777" w:rsidR="00EA7E29" w:rsidRPr="00C0654D" w:rsidRDefault="00EA7E29">
      <w:pPr>
        <w:autoSpaceDE w:val="0"/>
        <w:autoSpaceDN w:val="0"/>
        <w:adjustRightInd w:val="0"/>
        <w:jc w:val="both"/>
        <w:rPr>
          <w:sz w:val="22"/>
          <w:szCs w:val="22"/>
          <w:lang w:val="sr-Latn-ME" w:eastAsia="sr-Latn-CS"/>
        </w:rPr>
      </w:pPr>
    </w:p>
    <w:p w14:paraId="54481786" w14:textId="77777777" w:rsidR="00EA7E29" w:rsidRPr="00C0654D" w:rsidRDefault="00EA7E29">
      <w:pPr>
        <w:autoSpaceDE w:val="0"/>
        <w:autoSpaceDN w:val="0"/>
        <w:adjustRightInd w:val="0"/>
        <w:jc w:val="both"/>
        <w:rPr>
          <w:sz w:val="22"/>
          <w:szCs w:val="22"/>
          <w:u w:val="single"/>
          <w:lang w:val="sr-Latn-ME" w:eastAsia="sr-Latn-CS"/>
        </w:rPr>
      </w:pPr>
      <w:r w:rsidRPr="00C0654D">
        <w:rPr>
          <w:sz w:val="22"/>
          <w:szCs w:val="22"/>
          <w:u w:val="single"/>
          <w:lang w:val="sr-Latn-ME" w:eastAsia="sr-Latn-CS"/>
        </w:rPr>
        <w:t>Prilagođavanje doze kod posebnih grupa pacijenata:</w:t>
      </w:r>
    </w:p>
    <w:p w14:paraId="6CBB5A60" w14:textId="77777777" w:rsidR="00EA7E29" w:rsidRPr="00C0654D" w:rsidRDefault="00EA7E29">
      <w:pPr>
        <w:autoSpaceDE w:val="0"/>
        <w:autoSpaceDN w:val="0"/>
        <w:adjustRightInd w:val="0"/>
        <w:jc w:val="both"/>
        <w:rPr>
          <w:i/>
          <w:sz w:val="22"/>
          <w:szCs w:val="22"/>
          <w:lang w:val="sr-Latn-ME" w:eastAsia="sr-Latn-CS"/>
        </w:rPr>
      </w:pPr>
      <w:r w:rsidRPr="00C0654D">
        <w:rPr>
          <w:i/>
          <w:sz w:val="22"/>
          <w:szCs w:val="22"/>
          <w:lang w:val="sr-Latn-ME" w:eastAsia="sr-Latn-CS"/>
        </w:rPr>
        <w:t>Oštećenje jetre</w:t>
      </w:r>
    </w:p>
    <w:p w14:paraId="6A8707E3" w14:textId="77777777"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Nema dovoljno podataka o bezbjednosti i efikasnosti primjene lijeka kod pacijenata sa oštećenjem jetre da bi se mogle dati preporuke za prilagođavanje doze. Nema informacija o oštećenju jetre usljed ciroze ili hepatitisa.</w:t>
      </w:r>
    </w:p>
    <w:p w14:paraId="594688C6" w14:textId="77777777" w:rsidR="00EA7E29" w:rsidRPr="00C0654D" w:rsidRDefault="00EA7E29">
      <w:pPr>
        <w:autoSpaceDE w:val="0"/>
        <w:autoSpaceDN w:val="0"/>
        <w:adjustRightInd w:val="0"/>
        <w:jc w:val="both"/>
        <w:rPr>
          <w:sz w:val="22"/>
          <w:szCs w:val="22"/>
          <w:lang w:val="sr-Latn-ME" w:eastAsia="sr-Latn-CS"/>
        </w:rPr>
      </w:pPr>
    </w:p>
    <w:p w14:paraId="01F9F0B2" w14:textId="77777777" w:rsidR="00EA7E29" w:rsidRPr="00C0654D" w:rsidRDefault="00EA7E29">
      <w:pPr>
        <w:autoSpaceDE w:val="0"/>
        <w:autoSpaceDN w:val="0"/>
        <w:adjustRightInd w:val="0"/>
        <w:jc w:val="both"/>
        <w:rPr>
          <w:i/>
          <w:sz w:val="22"/>
          <w:szCs w:val="22"/>
          <w:lang w:val="sr-Latn-ME" w:eastAsia="sr-Latn-CS"/>
        </w:rPr>
      </w:pPr>
      <w:r w:rsidRPr="00C0654D">
        <w:rPr>
          <w:i/>
          <w:sz w:val="22"/>
          <w:szCs w:val="22"/>
          <w:lang w:val="sr-Latn-ME" w:eastAsia="sr-Latn-CS"/>
        </w:rPr>
        <w:t>Oštećenje bubrega</w:t>
      </w:r>
    </w:p>
    <w:p w14:paraId="6C938B31" w14:textId="5B31DE79" w:rsidR="00EA7E29" w:rsidRPr="00C0654D" w:rsidRDefault="00EA7E29">
      <w:pPr>
        <w:autoSpaceDE w:val="0"/>
        <w:autoSpaceDN w:val="0"/>
        <w:adjustRightInd w:val="0"/>
        <w:jc w:val="both"/>
        <w:rPr>
          <w:sz w:val="22"/>
          <w:szCs w:val="22"/>
          <w:lang w:val="sr-Latn-ME"/>
        </w:rPr>
      </w:pPr>
      <w:r w:rsidRPr="00C0654D">
        <w:rPr>
          <w:sz w:val="22"/>
          <w:szCs w:val="22"/>
          <w:lang w:val="sr-Latn-ME" w:eastAsia="sr-Latn-CS"/>
        </w:rPr>
        <w:t xml:space="preserve">Lijek </w:t>
      </w:r>
      <w:r w:rsidRPr="00C0654D">
        <w:rPr>
          <w:sz w:val="22"/>
          <w:szCs w:val="22"/>
          <w:lang w:val="sr-Latn-ME"/>
        </w:rPr>
        <w:t>Capecitabine PharmaSwiss je kontraindikovan kod pacijenata sa teškim oštećenjem bubrega (klirens kreatinina ispod 30 ml/min [</w:t>
      </w:r>
      <w:r w:rsidRPr="00C0654D">
        <w:rPr>
          <w:i/>
          <w:sz w:val="22"/>
          <w:szCs w:val="22"/>
          <w:lang w:val="sr-Latn-ME"/>
        </w:rPr>
        <w:t>Cockcroft-Gault</w:t>
      </w:r>
      <w:r w:rsidRPr="00C0654D">
        <w:rPr>
          <w:sz w:val="22"/>
          <w:szCs w:val="22"/>
          <w:lang w:val="sr-Latn-ME"/>
        </w:rPr>
        <w:t>] na početku liječenja). Incidenca pojave neželjenih reakcija gradusa 3 ili 4 kod pacijenata sa umjerenim oštećenjem bubrega (klirens kreatinina 30-50 ml/min na početku liječenja) je veća u odnosu na ukupnu populaciju. Kod pacijenata sa umjerenim oštećenjem bubrega na početku liječenja, preporučuje se smanjenje doze na 75% početne doze od 1250 mg/m</w:t>
      </w:r>
      <w:r w:rsidRPr="00C0654D">
        <w:rPr>
          <w:sz w:val="22"/>
          <w:szCs w:val="22"/>
          <w:vertAlign w:val="superscript"/>
          <w:lang w:val="sr-Latn-ME"/>
        </w:rPr>
        <w:t>2</w:t>
      </w:r>
      <w:r w:rsidRPr="00C0654D">
        <w:rPr>
          <w:sz w:val="22"/>
          <w:szCs w:val="22"/>
          <w:lang w:val="sr-Latn-ME"/>
        </w:rPr>
        <w:t>. Kod pacijenata sa umjerenim oštećenjem bubrega na početku liječenja, nije potrebno smanjenje doze kada je početna doza 1000 mg/m</w:t>
      </w:r>
      <w:r w:rsidRPr="00C0654D">
        <w:rPr>
          <w:sz w:val="22"/>
          <w:szCs w:val="22"/>
          <w:vertAlign w:val="superscript"/>
          <w:lang w:val="sr-Latn-ME"/>
        </w:rPr>
        <w:t>2</w:t>
      </w:r>
      <w:r w:rsidRPr="00C0654D">
        <w:rPr>
          <w:sz w:val="22"/>
          <w:szCs w:val="22"/>
          <w:lang w:val="sr-Latn-ME"/>
        </w:rPr>
        <w:t xml:space="preserve">. Kod pacijenata sa blagim oštećenjem bubrega (klirens kreatinina </w:t>
      </w:r>
      <w:r w:rsidRPr="00C0654D">
        <w:rPr>
          <w:sz w:val="22"/>
          <w:szCs w:val="22"/>
          <w:lang w:val="sr-Latn-ME"/>
        </w:rPr>
        <w:lastRenderedPageBreak/>
        <w:t xml:space="preserve">51-80 ml/min na početku liječenja) ne preporučuje se prilagođavanje početne doze. Ukoliko tokom terapije dođe do pojave neželjenih reakcija gradusa  2, 3 ili 4, preporučuje se pažljivo praćenje i brz prekid terapije, a nakon toga prilagođavanje doze kako je navedeno u Tabeli 3. (gore). Ako se izračunate vrijednosti klirensa kreatinina tokom terapije smanje na vrijednost ispod 30 ml/min, terapiju lijekom Capecitabine PharmaSwiss treba prekinuti. Ove preporuke za prilagođavanje doze kod pacijenata sa oštećenjem bubrega se odnose i na monoterapiju i na kombinovanu terapiju (vidjeti ispod i </w:t>
      </w:r>
      <w:r w:rsidR="00CA1BE0">
        <w:rPr>
          <w:sz w:val="22"/>
          <w:szCs w:val="22"/>
          <w:lang w:val="sr-Latn-ME"/>
        </w:rPr>
        <w:t xml:space="preserve">dio </w:t>
      </w:r>
      <w:r w:rsidRPr="00C0654D">
        <w:rPr>
          <w:sz w:val="22"/>
          <w:szCs w:val="22"/>
          <w:lang w:val="sr-Latn-ME"/>
        </w:rPr>
        <w:t>„ Pacijenti starijeg životnog doba“).</w:t>
      </w:r>
    </w:p>
    <w:p w14:paraId="734FCF49" w14:textId="77777777" w:rsidR="00EA7E29" w:rsidRPr="00C0654D" w:rsidRDefault="00EA7E29">
      <w:pPr>
        <w:autoSpaceDE w:val="0"/>
        <w:autoSpaceDN w:val="0"/>
        <w:adjustRightInd w:val="0"/>
        <w:jc w:val="both"/>
        <w:rPr>
          <w:sz w:val="22"/>
          <w:szCs w:val="22"/>
          <w:lang w:val="sr-Latn-ME"/>
        </w:rPr>
      </w:pPr>
    </w:p>
    <w:p w14:paraId="57D0176F" w14:textId="77777777" w:rsidR="00EA7E29" w:rsidRPr="00C0654D" w:rsidRDefault="00EA7E29">
      <w:pPr>
        <w:autoSpaceDE w:val="0"/>
        <w:autoSpaceDN w:val="0"/>
        <w:adjustRightInd w:val="0"/>
        <w:jc w:val="both"/>
        <w:rPr>
          <w:i/>
          <w:sz w:val="22"/>
          <w:szCs w:val="22"/>
          <w:lang w:val="sr-Latn-ME"/>
        </w:rPr>
      </w:pPr>
      <w:r w:rsidRPr="00C0654D">
        <w:rPr>
          <w:i/>
          <w:sz w:val="22"/>
          <w:szCs w:val="22"/>
          <w:lang w:val="sr-Latn-ME"/>
        </w:rPr>
        <w:t>Pacijenti starijeg životnog doba</w:t>
      </w:r>
    </w:p>
    <w:p w14:paraId="651FD729" w14:textId="1CC75F7D" w:rsidR="00EA7E29" w:rsidRPr="00C0654D" w:rsidRDefault="00EA7E29">
      <w:pPr>
        <w:autoSpaceDE w:val="0"/>
        <w:autoSpaceDN w:val="0"/>
        <w:adjustRightInd w:val="0"/>
        <w:jc w:val="both"/>
        <w:rPr>
          <w:sz w:val="22"/>
          <w:szCs w:val="22"/>
          <w:lang w:val="sr-Latn-ME"/>
        </w:rPr>
      </w:pPr>
      <w:r w:rsidRPr="00C0654D">
        <w:rPr>
          <w:sz w:val="22"/>
          <w:szCs w:val="22"/>
          <w:lang w:val="sr-Latn-ME"/>
        </w:rPr>
        <w:t>Tokom monoterapije lijekom Capecitabine PharmaSwiss, nije potrebno prilagođavanje početne doze. Ipak, neželjene reakcije gradusa 3 ili 4 povezane sa terapijom, češće se javljaju kod pacijenata ≥60 godina starosti, u odnosu na mlađe pacijente.</w:t>
      </w:r>
    </w:p>
    <w:p w14:paraId="118E37EF" w14:textId="77777777" w:rsidR="00EA7E29" w:rsidRPr="00C0654D" w:rsidRDefault="00EA7E29">
      <w:pPr>
        <w:autoSpaceDE w:val="0"/>
        <w:autoSpaceDN w:val="0"/>
        <w:adjustRightInd w:val="0"/>
        <w:jc w:val="both"/>
        <w:rPr>
          <w:sz w:val="22"/>
          <w:szCs w:val="22"/>
          <w:lang w:val="sr-Latn-ME"/>
        </w:rPr>
      </w:pPr>
      <w:r w:rsidRPr="00C0654D">
        <w:rPr>
          <w:sz w:val="22"/>
          <w:szCs w:val="22"/>
          <w:lang w:val="sr-Latn-ME"/>
        </w:rPr>
        <w:t>Kada se lijek Capecitabine PharmaSwiss primjenjuje u kombinaciji sa drugim ljekovima, kod starijih pacijenata (≥65 godina) se, u odnosu na mlađe pacijente, javlja više neželjenih reakcija gradusa  3 i 4, uključujući i one koje dovode do prekida terapije. Savjetuje se pažljivo praćenje pacijenata starijih od 60 godina.</w:t>
      </w:r>
    </w:p>
    <w:p w14:paraId="18047EDA" w14:textId="097B1D7E" w:rsidR="00EA7E29" w:rsidRPr="00C0654D" w:rsidRDefault="00EA7E29">
      <w:pPr>
        <w:autoSpaceDE w:val="0"/>
        <w:autoSpaceDN w:val="0"/>
        <w:adjustRightInd w:val="0"/>
        <w:jc w:val="both"/>
        <w:rPr>
          <w:sz w:val="22"/>
          <w:szCs w:val="22"/>
          <w:lang w:val="sr-Latn-ME" w:eastAsia="sr-Latn-CS"/>
        </w:rPr>
      </w:pPr>
      <w:r w:rsidRPr="00C0654D">
        <w:rPr>
          <w:sz w:val="22"/>
          <w:szCs w:val="22"/>
          <w:lang w:val="sr-Latn-ME"/>
        </w:rPr>
        <w:t xml:space="preserve">- </w:t>
      </w:r>
      <w:r w:rsidR="00A5679E" w:rsidRPr="003250C0">
        <w:rPr>
          <w:sz w:val="22"/>
          <w:szCs w:val="22"/>
          <w:u w:val="single"/>
          <w:lang w:val="sr-Latn-ME"/>
        </w:rPr>
        <w:t>U</w:t>
      </w:r>
      <w:r w:rsidRPr="00C0654D">
        <w:rPr>
          <w:i/>
          <w:sz w:val="22"/>
          <w:szCs w:val="22"/>
          <w:u w:val="single"/>
          <w:lang w:val="sr-Latn-ME"/>
        </w:rPr>
        <w:t xml:space="preserve"> </w:t>
      </w:r>
      <w:r w:rsidRPr="00C0654D">
        <w:rPr>
          <w:sz w:val="22"/>
          <w:szCs w:val="22"/>
          <w:u w:val="single"/>
          <w:lang w:val="sr-Latn-ME"/>
        </w:rPr>
        <w:t>kombinaciji sa docetakselom</w:t>
      </w:r>
      <w:r w:rsidRPr="00C0654D">
        <w:rPr>
          <w:sz w:val="22"/>
          <w:szCs w:val="22"/>
          <w:lang w:val="sr-Latn-ME"/>
        </w:rPr>
        <w:t xml:space="preserve">: uočena je povećana incidenca neželjenih reakcija gradusa 3 ili 4 i ozbiljnih neželjenih reakcija povezanih sa terapijom kod pacijenata ≥60 godina starosti (vidjeti </w:t>
      </w:r>
      <w:r w:rsidR="00CA1BE0">
        <w:rPr>
          <w:sz w:val="22"/>
          <w:szCs w:val="22"/>
          <w:lang w:val="sr-Latn-ME"/>
        </w:rPr>
        <w:t xml:space="preserve">dio </w:t>
      </w:r>
      <w:r w:rsidRPr="00C0654D">
        <w:rPr>
          <w:sz w:val="22"/>
          <w:szCs w:val="22"/>
          <w:lang w:val="sr-Latn-ME"/>
        </w:rPr>
        <w:t>5.1). Kod pacijenata ≥60 godina starosti, preporučuje se smanjenje početne doze na 75% (950 mg/m</w:t>
      </w:r>
      <w:r w:rsidRPr="00C0654D">
        <w:rPr>
          <w:sz w:val="22"/>
          <w:szCs w:val="22"/>
          <w:vertAlign w:val="superscript"/>
          <w:lang w:val="sr-Latn-ME"/>
        </w:rPr>
        <w:t>2</w:t>
      </w:r>
      <w:r w:rsidRPr="00C0654D">
        <w:rPr>
          <w:sz w:val="22"/>
          <w:szCs w:val="22"/>
          <w:lang w:val="sr-Latn-ME"/>
        </w:rPr>
        <w:t xml:space="preserve"> dva puta dnevno). Ako se ne uoči nikakva toksičnost kod ovih pacijenata koji uzimaju smanjenu početnu dozu lijeka Capecitabine PharmaSwiss u kombinaciji sa docetakselom, doza lijeka se može oprezno povećavati do 1250 mg/m</w:t>
      </w:r>
      <w:r w:rsidRPr="00C0654D">
        <w:rPr>
          <w:sz w:val="22"/>
          <w:szCs w:val="22"/>
          <w:vertAlign w:val="superscript"/>
          <w:lang w:val="sr-Latn-ME"/>
        </w:rPr>
        <w:t xml:space="preserve">2 </w:t>
      </w:r>
      <w:r w:rsidRPr="00C0654D">
        <w:rPr>
          <w:sz w:val="22"/>
          <w:szCs w:val="22"/>
          <w:lang w:val="sr-Latn-ME"/>
        </w:rPr>
        <w:t>dva puta dnevno.</w:t>
      </w:r>
    </w:p>
    <w:p w14:paraId="7F833F6B" w14:textId="77777777" w:rsidR="00EA7E29" w:rsidRPr="00C0654D" w:rsidRDefault="00EA7E29">
      <w:pPr>
        <w:autoSpaceDE w:val="0"/>
        <w:autoSpaceDN w:val="0"/>
        <w:adjustRightInd w:val="0"/>
        <w:jc w:val="both"/>
        <w:rPr>
          <w:sz w:val="22"/>
          <w:szCs w:val="22"/>
          <w:lang w:val="sr-Latn-ME"/>
        </w:rPr>
      </w:pPr>
    </w:p>
    <w:p w14:paraId="6924DDFC" w14:textId="77777777" w:rsidR="00EA7E29" w:rsidRPr="00C0654D" w:rsidRDefault="00EA7E29">
      <w:pPr>
        <w:autoSpaceDE w:val="0"/>
        <w:autoSpaceDN w:val="0"/>
        <w:adjustRightInd w:val="0"/>
        <w:jc w:val="both"/>
        <w:rPr>
          <w:i/>
          <w:sz w:val="22"/>
          <w:szCs w:val="22"/>
          <w:lang w:val="sr-Latn-ME" w:eastAsia="sr-Latn-CS"/>
        </w:rPr>
      </w:pPr>
      <w:r w:rsidRPr="00C0654D">
        <w:rPr>
          <w:i/>
          <w:sz w:val="22"/>
          <w:szCs w:val="22"/>
          <w:lang w:val="sr-Latn-ME" w:eastAsia="sr-Latn-CS"/>
        </w:rPr>
        <w:t>Pedijatrijska populacija</w:t>
      </w:r>
    </w:p>
    <w:p w14:paraId="4664FEF6" w14:textId="26F23E17" w:rsidR="00EA7E29" w:rsidRPr="00C0654D" w:rsidRDefault="00EA7E29">
      <w:pPr>
        <w:autoSpaceDE w:val="0"/>
        <w:autoSpaceDN w:val="0"/>
        <w:adjustRightInd w:val="0"/>
        <w:jc w:val="both"/>
        <w:rPr>
          <w:sz w:val="22"/>
          <w:szCs w:val="22"/>
          <w:lang w:val="sr-Latn-ME" w:eastAsia="sr-Latn-CS"/>
        </w:rPr>
      </w:pPr>
      <w:r w:rsidRPr="00C0654D">
        <w:rPr>
          <w:sz w:val="22"/>
          <w:szCs w:val="22"/>
          <w:lang w:val="sr-Latn-ME" w:eastAsia="sr-Latn-CS"/>
        </w:rPr>
        <w:t xml:space="preserve">Nema </w:t>
      </w:r>
      <w:r w:rsidR="00CA1BE0">
        <w:rPr>
          <w:sz w:val="22"/>
          <w:szCs w:val="22"/>
          <w:lang w:val="sr-Latn-ME" w:eastAsia="sr-Latn-CS"/>
        </w:rPr>
        <w:t xml:space="preserve">relevantne primjene </w:t>
      </w:r>
      <w:r w:rsidRPr="00C0654D">
        <w:rPr>
          <w:sz w:val="22"/>
          <w:szCs w:val="22"/>
          <w:lang w:val="sr-Latn-ME" w:eastAsia="sr-Latn-CS"/>
        </w:rPr>
        <w:t>lijeka u pedijatrijskoj populaciji u terapiji karcinoma kolona, kolorektalnog karcinoma,</w:t>
      </w:r>
      <w:r w:rsidRPr="00C0654D">
        <w:rPr>
          <w:sz w:val="22"/>
          <w:szCs w:val="22"/>
          <w:lang w:val="sr-Latn-ME"/>
        </w:rPr>
        <w:t xml:space="preserve"> </w:t>
      </w:r>
      <w:r w:rsidRPr="00C0654D">
        <w:rPr>
          <w:sz w:val="22"/>
          <w:szCs w:val="22"/>
          <w:lang w:val="sr-Latn-ME" w:eastAsia="sr-Latn-CS"/>
        </w:rPr>
        <w:t>karcinoma želuca i dojke.</w:t>
      </w:r>
    </w:p>
    <w:p w14:paraId="51CCE5AE" w14:textId="77777777" w:rsidR="00EA7E29" w:rsidRPr="00C0654D" w:rsidRDefault="00EA7E29" w:rsidP="00145C95">
      <w:pPr>
        <w:tabs>
          <w:tab w:val="left" w:pos="540"/>
          <w:tab w:val="left" w:pos="569"/>
        </w:tabs>
        <w:jc w:val="both"/>
        <w:rPr>
          <w:bCs/>
          <w:sz w:val="22"/>
          <w:szCs w:val="22"/>
          <w:u w:val="single"/>
          <w:lang w:val="sr-Latn-ME"/>
        </w:rPr>
      </w:pPr>
    </w:p>
    <w:p w14:paraId="5FA99B0F" w14:textId="3BB2FF27" w:rsidR="00452E9D" w:rsidRPr="00C0654D" w:rsidRDefault="00452E9D" w:rsidP="00145C95">
      <w:pPr>
        <w:tabs>
          <w:tab w:val="left" w:pos="540"/>
          <w:tab w:val="left" w:pos="569"/>
        </w:tabs>
        <w:jc w:val="both"/>
        <w:rPr>
          <w:bCs/>
          <w:sz w:val="22"/>
          <w:szCs w:val="22"/>
          <w:u w:val="single"/>
          <w:lang w:val="sr-Latn-ME"/>
        </w:rPr>
      </w:pPr>
      <w:r w:rsidRPr="00C0654D">
        <w:rPr>
          <w:bCs/>
          <w:sz w:val="22"/>
          <w:szCs w:val="22"/>
          <w:u w:val="single"/>
          <w:lang w:val="sr-Latn-ME"/>
        </w:rPr>
        <w:t>Način primjene</w:t>
      </w:r>
    </w:p>
    <w:p w14:paraId="5CF35681" w14:textId="77777777" w:rsidR="00CF03B8" w:rsidRPr="00C0654D" w:rsidRDefault="00CF03B8" w:rsidP="00145C95">
      <w:pPr>
        <w:tabs>
          <w:tab w:val="left" w:pos="540"/>
          <w:tab w:val="left" w:pos="569"/>
        </w:tabs>
        <w:jc w:val="both"/>
        <w:rPr>
          <w:bCs/>
          <w:sz w:val="22"/>
          <w:szCs w:val="22"/>
          <w:u w:val="single"/>
          <w:lang w:val="sr-Latn-ME"/>
        </w:rPr>
      </w:pPr>
    </w:p>
    <w:p w14:paraId="5FA99B10" w14:textId="4EB4E916" w:rsidR="00452E9D" w:rsidRDefault="00A55D98" w:rsidP="00145C95">
      <w:pPr>
        <w:tabs>
          <w:tab w:val="left" w:pos="540"/>
          <w:tab w:val="left" w:pos="569"/>
        </w:tabs>
        <w:jc w:val="both"/>
        <w:rPr>
          <w:sz w:val="22"/>
          <w:szCs w:val="22"/>
          <w:lang w:val="sr-Latn-ME" w:eastAsia="sr-Latn-CS"/>
        </w:rPr>
      </w:pPr>
      <w:r w:rsidRPr="00C0654D">
        <w:rPr>
          <w:sz w:val="22"/>
          <w:szCs w:val="22"/>
          <w:lang w:val="sr-Latn-ME" w:eastAsia="sr-Latn-CS"/>
        </w:rPr>
        <w:t>Film tablet</w:t>
      </w:r>
      <w:r w:rsidR="00CA1BE0">
        <w:rPr>
          <w:sz w:val="22"/>
          <w:szCs w:val="22"/>
          <w:lang w:val="sr-Latn-ME" w:eastAsia="sr-Latn-CS"/>
        </w:rPr>
        <w:t xml:space="preserve">e se moraju </w:t>
      </w:r>
      <w:r w:rsidRPr="00C0654D">
        <w:rPr>
          <w:sz w:val="22"/>
          <w:szCs w:val="22"/>
          <w:lang w:val="sr-Latn-ME" w:eastAsia="sr-Latn-CS"/>
        </w:rPr>
        <w:t xml:space="preserve">progutati </w:t>
      </w:r>
      <w:r w:rsidR="009547E3">
        <w:rPr>
          <w:sz w:val="22"/>
          <w:szCs w:val="22"/>
          <w:lang w:val="sr-Latn-ME" w:eastAsia="sr-Latn-CS"/>
        </w:rPr>
        <w:t>c</w:t>
      </w:r>
      <w:r w:rsidR="00AC3072">
        <w:rPr>
          <w:sz w:val="22"/>
          <w:szCs w:val="22"/>
          <w:lang w:val="sr-Latn-ME" w:eastAsia="sr-Latn-CS"/>
        </w:rPr>
        <w:t>ij</w:t>
      </w:r>
      <w:r w:rsidR="009547E3">
        <w:rPr>
          <w:sz w:val="22"/>
          <w:szCs w:val="22"/>
          <w:lang w:val="sr-Latn-ME" w:eastAsia="sr-Latn-CS"/>
        </w:rPr>
        <w:t>el</w:t>
      </w:r>
      <w:r w:rsidR="00CA1BE0">
        <w:rPr>
          <w:sz w:val="22"/>
          <w:szCs w:val="22"/>
          <w:lang w:val="sr-Latn-ME" w:eastAsia="sr-Latn-CS"/>
        </w:rPr>
        <w:t>e</w:t>
      </w:r>
      <w:r w:rsidR="009547E3">
        <w:rPr>
          <w:sz w:val="22"/>
          <w:szCs w:val="22"/>
          <w:lang w:val="sr-Latn-ME" w:eastAsia="sr-Latn-CS"/>
        </w:rPr>
        <w:t xml:space="preserve"> </w:t>
      </w:r>
      <w:r w:rsidRPr="00C0654D">
        <w:rPr>
          <w:sz w:val="22"/>
          <w:szCs w:val="22"/>
          <w:lang w:val="sr-Latn-ME" w:eastAsia="sr-Latn-CS"/>
        </w:rPr>
        <w:t xml:space="preserve">sa </w:t>
      </w:r>
      <w:r w:rsidR="009547E3">
        <w:rPr>
          <w:sz w:val="22"/>
          <w:szCs w:val="22"/>
          <w:lang w:val="sr-Latn-ME" w:eastAsia="sr-Latn-CS"/>
        </w:rPr>
        <w:t>vodom</w:t>
      </w:r>
      <w:r w:rsidRPr="00C0654D">
        <w:rPr>
          <w:sz w:val="22"/>
          <w:szCs w:val="22"/>
          <w:lang w:val="sr-Latn-ME" w:eastAsia="sr-Latn-CS"/>
        </w:rPr>
        <w:t xml:space="preserve">, </w:t>
      </w:r>
      <w:r w:rsidR="009547E3">
        <w:rPr>
          <w:sz w:val="22"/>
          <w:szCs w:val="22"/>
          <w:lang w:val="sr-Latn-ME" w:eastAsia="sr-Latn-CS"/>
        </w:rPr>
        <w:t>najkasnije</w:t>
      </w:r>
      <w:r w:rsidR="009547E3" w:rsidRPr="00C0654D">
        <w:rPr>
          <w:sz w:val="22"/>
          <w:szCs w:val="22"/>
          <w:lang w:val="sr-Latn-ME" w:eastAsia="sr-Latn-CS"/>
        </w:rPr>
        <w:t xml:space="preserve"> </w:t>
      </w:r>
      <w:r w:rsidRPr="00C0654D">
        <w:rPr>
          <w:sz w:val="22"/>
          <w:szCs w:val="22"/>
          <w:lang w:val="sr-Latn-ME" w:eastAsia="sr-Latn-CS"/>
        </w:rPr>
        <w:t>30 minuta nakon obroka.</w:t>
      </w:r>
    </w:p>
    <w:p w14:paraId="0E4E2A45" w14:textId="4EAA03E0" w:rsidR="009547E3" w:rsidRPr="00C0654D" w:rsidRDefault="009547E3" w:rsidP="00145C95">
      <w:pPr>
        <w:tabs>
          <w:tab w:val="left" w:pos="540"/>
          <w:tab w:val="left" w:pos="569"/>
        </w:tabs>
        <w:jc w:val="both"/>
        <w:rPr>
          <w:sz w:val="22"/>
          <w:szCs w:val="22"/>
          <w:lang w:val="sr-Latn-ME" w:eastAsia="sr-Latn-CS"/>
        </w:rPr>
      </w:pPr>
      <w:r>
        <w:rPr>
          <w:sz w:val="22"/>
          <w:szCs w:val="22"/>
          <w:lang w:val="sr-Latn-ME" w:eastAsia="sr-Latn-CS"/>
        </w:rPr>
        <w:t xml:space="preserve">Film tablete </w:t>
      </w:r>
      <w:r w:rsidR="00CA1BE0">
        <w:rPr>
          <w:sz w:val="22"/>
          <w:szCs w:val="22"/>
          <w:lang w:val="sr-Latn-ME" w:eastAsia="sr-Latn-CS"/>
        </w:rPr>
        <w:t xml:space="preserve">se ne smiju </w:t>
      </w:r>
      <w:r>
        <w:rPr>
          <w:sz w:val="22"/>
          <w:szCs w:val="22"/>
          <w:lang w:val="sr-Latn-ME" w:eastAsia="sr-Latn-CS"/>
        </w:rPr>
        <w:t>drobiti niti lomiti.</w:t>
      </w:r>
    </w:p>
    <w:p w14:paraId="7C1C3344" w14:textId="77777777" w:rsidR="00A55D98" w:rsidRPr="00C0654D" w:rsidRDefault="00A55D98" w:rsidP="00145C95">
      <w:pPr>
        <w:tabs>
          <w:tab w:val="left" w:pos="540"/>
          <w:tab w:val="left" w:pos="569"/>
        </w:tabs>
        <w:jc w:val="both"/>
        <w:rPr>
          <w:bCs/>
          <w:sz w:val="22"/>
          <w:szCs w:val="22"/>
          <w:lang w:val="sr-Latn-ME"/>
        </w:rPr>
      </w:pPr>
    </w:p>
    <w:p w14:paraId="5FA99B11" w14:textId="77777777" w:rsidR="00411B4B" w:rsidRPr="00C0654D" w:rsidRDefault="00411B4B" w:rsidP="00145C95">
      <w:pPr>
        <w:tabs>
          <w:tab w:val="left" w:pos="540"/>
          <w:tab w:val="left" w:pos="569"/>
        </w:tabs>
        <w:jc w:val="both"/>
        <w:rPr>
          <w:b/>
          <w:bCs/>
          <w:sz w:val="22"/>
          <w:szCs w:val="22"/>
          <w:lang w:val="sr-Latn-ME"/>
        </w:rPr>
      </w:pPr>
      <w:r w:rsidRPr="00C0654D">
        <w:rPr>
          <w:b/>
          <w:bCs/>
          <w:sz w:val="22"/>
          <w:szCs w:val="22"/>
          <w:lang w:val="sr-Latn-ME"/>
        </w:rPr>
        <w:t xml:space="preserve">4.3. </w:t>
      </w:r>
      <w:r w:rsidR="00480FB1" w:rsidRPr="00C0654D">
        <w:rPr>
          <w:b/>
          <w:bCs/>
          <w:sz w:val="22"/>
          <w:szCs w:val="22"/>
          <w:lang w:val="sr-Latn-ME"/>
        </w:rPr>
        <w:tab/>
      </w:r>
      <w:r w:rsidRPr="00C0654D">
        <w:rPr>
          <w:b/>
          <w:bCs/>
          <w:sz w:val="22"/>
          <w:szCs w:val="22"/>
          <w:lang w:val="sr-Latn-ME"/>
        </w:rPr>
        <w:t>Kontraindikacije</w:t>
      </w:r>
    </w:p>
    <w:p w14:paraId="5FA99B12" w14:textId="1F9ABA3E" w:rsidR="0072020E" w:rsidRPr="00C0654D" w:rsidRDefault="0072020E" w:rsidP="00145C95">
      <w:pPr>
        <w:tabs>
          <w:tab w:val="left" w:pos="540"/>
          <w:tab w:val="left" w:pos="569"/>
        </w:tabs>
        <w:jc w:val="both"/>
        <w:rPr>
          <w:bCs/>
          <w:sz w:val="22"/>
          <w:szCs w:val="22"/>
          <w:lang w:val="sr-Latn-ME"/>
        </w:rPr>
      </w:pPr>
    </w:p>
    <w:p w14:paraId="0832DA2D" w14:textId="77777777" w:rsidR="00616735" w:rsidRPr="00C0654D" w:rsidRDefault="00616735" w:rsidP="00D85C58">
      <w:pPr>
        <w:tabs>
          <w:tab w:val="left" w:pos="284"/>
        </w:tabs>
        <w:jc w:val="both"/>
        <w:rPr>
          <w:sz w:val="22"/>
          <w:szCs w:val="22"/>
          <w:lang w:val="sr-Latn-ME" w:eastAsia="sr-Latn-CS"/>
        </w:rPr>
      </w:pPr>
      <w:r w:rsidRPr="00C0654D">
        <w:rPr>
          <w:spacing w:val="-1"/>
          <w:sz w:val="22"/>
          <w:szCs w:val="22"/>
          <w:lang w:val="sr-Latn-ME"/>
        </w:rPr>
        <w:t xml:space="preserve">- ozbiljne i neočekivane reakcije na </w:t>
      </w:r>
      <w:r w:rsidRPr="00C0654D">
        <w:rPr>
          <w:sz w:val="22"/>
          <w:szCs w:val="22"/>
          <w:lang w:val="sr-Latn-ME" w:eastAsia="sr-Latn-CS"/>
        </w:rPr>
        <w:t>terapiju fluoropirimidinom u anamnezi;</w:t>
      </w:r>
    </w:p>
    <w:p w14:paraId="21E89A89" w14:textId="65346238" w:rsidR="00616735" w:rsidRPr="00C0654D" w:rsidRDefault="00616735" w:rsidP="00CA1BE0">
      <w:pPr>
        <w:tabs>
          <w:tab w:val="left" w:pos="284"/>
        </w:tabs>
        <w:jc w:val="both"/>
        <w:rPr>
          <w:sz w:val="22"/>
          <w:szCs w:val="22"/>
          <w:lang w:val="sr-Latn-ME" w:eastAsia="sr-Latn-CS"/>
        </w:rPr>
      </w:pPr>
      <w:r w:rsidRPr="00C0654D">
        <w:rPr>
          <w:sz w:val="22"/>
          <w:szCs w:val="22"/>
          <w:lang w:val="sr-Latn-ME" w:eastAsia="sr-Latn-CS"/>
        </w:rPr>
        <w:t xml:space="preserve">- preosjetljivost na kapecitabin </w:t>
      </w:r>
      <w:r w:rsidR="00593CB3" w:rsidRPr="00593CB3">
        <w:rPr>
          <w:sz w:val="22"/>
          <w:szCs w:val="22"/>
          <w:lang w:val="sr-Latn-ME" w:eastAsia="sr-Latn-CS"/>
        </w:rPr>
        <w:t xml:space="preserve">ili na bilo koju od pomoćnih supstanci navedenih u </w:t>
      </w:r>
      <w:r w:rsidR="00CA1BE0">
        <w:rPr>
          <w:sz w:val="22"/>
          <w:szCs w:val="22"/>
          <w:lang w:val="sr-Latn-ME" w:eastAsia="sr-Latn-CS"/>
        </w:rPr>
        <w:t xml:space="preserve">dijelu </w:t>
      </w:r>
      <w:r w:rsidR="00593CB3" w:rsidRPr="00593CB3">
        <w:rPr>
          <w:sz w:val="22"/>
          <w:szCs w:val="22"/>
          <w:lang w:val="sr-Latn-ME" w:eastAsia="sr-Latn-CS"/>
        </w:rPr>
        <w:t>6.</w:t>
      </w:r>
      <w:r w:rsidR="00593CB3">
        <w:rPr>
          <w:sz w:val="22"/>
          <w:szCs w:val="22"/>
          <w:lang w:val="sr-Latn-ME" w:eastAsia="sr-Latn-CS"/>
        </w:rPr>
        <w:t>1</w:t>
      </w:r>
      <w:r w:rsidRPr="00C0654D">
        <w:rPr>
          <w:sz w:val="22"/>
          <w:szCs w:val="22"/>
          <w:lang w:val="sr-Latn-ME" w:eastAsia="sr-Latn-CS"/>
        </w:rPr>
        <w:t xml:space="preserve"> ili na fluorouracil;</w:t>
      </w:r>
    </w:p>
    <w:p w14:paraId="737D375C" w14:textId="02CC08B5" w:rsidR="00616735" w:rsidRPr="00C0654D" w:rsidRDefault="00616735" w:rsidP="00CA1BE0">
      <w:pPr>
        <w:tabs>
          <w:tab w:val="left" w:pos="284"/>
        </w:tabs>
        <w:jc w:val="both"/>
        <w:rPr>
          <w:sz w:val="22"/>
          <w:szCs w:val="22"/>
          <w:lang w:val="sr-Latn-ME" w:eastAsia="sr-Latn-CS"/>
        </w:rPr>
      </w:pPr>
      <w:r w:rsidRPr="00C0654D">
        <w:rPr>
          <w:sz w:val="22"/>
          <w:szCs w:val="22"/>
          <w:lang w:val="sr-Latn-ME" w:eastAsia="sr-Latn-CS"/>
        </w:rPr>
        <w:t>- poznat</w:t>
      </w:r>
      <w:r w:rsidR="009547E3">
        <w:rPr>
          <w:sz w:val="22"/>
          <w:szCs w:val="22"/>
          <w:lang w:val="sr-Latn-ME" w:eastAsia="sr-Latn-CS"/>
        </w:rPr>
        <w:t xml:space="preserve"> potpuni nedostatak </w:t>
      </w:r>
      <w:r w:rsidRPr="00C0654D">
        <w:rPr>
          <w:sz w:val="22"/>
          <w:szCs w:val="22"/>
          <w:lang w:val="sr-Latn-ME" w:eastAsia="sr-Latn-CS"/>
        </w:rPr>
        <w:t xml:space="preserve">dihidropirimidin dehidrogenaze (DPD), vidjeti </w:t>
      </w:r>
      <w:r w:rsidR="00CA1BE0">
        <w:rPr>
          <w:sz w:val="22"/>
          <w:szCs w:val="22"/>
          <w:lang w:val="sr-Latn-ME" w:eastAsia="sr-Latn-CS"/>
        </w:rPr>
        <w:t xml:space="preserve">dio </w:t>
      </w:r>
      <w:r w:rsidRPr="00C0654D">
        <w:rPr>
          <w:sz w:val="22"/>
          <w:szCs w:val="22"/>
          <w:lang w:val="sr-Latn-ME" w:eastAsia="sr-Latn-CS"/>
        </w:rPr>
        <w:t>4.4;</w:t>
      </w:r>
    </w:p>
    <w:p w14:paraId="25C1AA1A" w14:textId="77777777" w:rsidR="00616735" w:rsidRPr="00C0654D" w:rsidRDefault="00616735">
      <w:pPr>
        <w:tabs>
          <w:tab w:val="left" w:pos="284"/>
        </w:tabs>
        <w:jc w:val="both"/>
        <w:rPr>
          <w:sz w:val="22"/>
          <w:szCs w:val="22"/>
          <w:lang w:val="sr-Latn-ME" w:eastAsia="sr-Latn-CS"/>
        </w:rPr>
      </w:pPr>
      <w:r w:rsidRPr="00C0654D">
        <w:rPr>
          <w:sz w:val="22"/>
          <w:szCs w:val="22"/>
          <w:lang w:val="sr-Latn-ME" w:eastAsia="sr-Latn-CS"/>
        </w:rPr>
        <w:t>- tokom trudno</w:t>
      </w:r>
      <w:r w:rsidRPr="00C0654D">
        <w:rPr>
          <w:rFonts w:eastAsia="TimesNewRoman"/>
          <w:sz w:val="22"/>
          <w:szCs w:val="22"/>
          <w:lang w:val="sr-Latn-ME" w:eastAsia="sr-Latn-CS"/>
        </w:rPr>
        <w:t>ć</w:t>
      </w:r>
      <w:r w:rsidRPr="00C0654D">
        <w:rPr>
          <w:sz w:val="22"/>
          <w:szCs w:val="22"/>
          <w:lang w:val="sr-Latn-ME" w:eastAsia="sr-Latn-CS"/>
        </w:rPr>
        <w:t>e i dojenja;</w:t>
      </w:r>
    </w:p>
    <w:p w14:paraId="11A76DA8" w14:textId="77777777" w:rsidR="00616735" w:rsidRPr="00C0654D" w:rsidRDefault="00616735">
      <w:pPr>
        <w:tabs>
          <w:tab w:val="left" w:pos="284"/>
        </w:tabs>
        <w:jc w:val="both"/>
        <w:rPr>
          <w:sz w:val="22"/>
          <w:szCs w:val="22"/>
          <w:lang w:val="sr-Latn-ME" w:eastAsia="sr-Latn-CS"/>
        </w:rPr>
      </w:pPr>
      <w:r w:rsidRPr="00C0654D">
        <w:rPr>
          <w:sz w:val="22"/>
          <w:szCs w:val="22"/>
          <w:lang w:val="sr-Latn-ME" w:eastAsia="sr-Latn-CS"/>
        </w:rPr>
        <w:t>- kod pacijenata sa teškom leukopenijom, neutropenijom ili trombocitopenijom;</w:t>
      </w:r>
    </w:p>
    <w:p w14:paraId="5F268113" w14:textId="77777777" w:rsidR="00616735" w:rsidRPr="00C0654D" w:rsidRDefault="00616735">
      <w:pPr>
        <w:tabs>
          <w:tab w:val="left" w:pos="284"/>
        </w:tabs>
        <w:jc w:val="both"/>
        <w:rPr>
          <w:sz w:val="22"/>
          <w:szCs w:val="22"/>
          <w:lang w:val="sr-Latn-ME" w:eastAsia="sr-Latn-CS"/>
        </w:rPr>
      </w:pPr>
      <w:r w:rsidRPr="00C0654D">
        <w:rPr>
          <w:sz w:val="22"/>
          <w:szCs w:val="22"/>
          <w:lang w:val="sr-Latn-ME" w:eastAsia="sr-Latn-CS"/>
        </w:rPr>
        <w:t>- kod pacijenata sa teškim oštećenjem jetre;</w:t>
      </w:r>
    </w:p>
    <w:p w14:paraId="633294D6" w14:textId="77777777" w:rsidR="00616735" w:rsidRPr="00C0654D" w:rsidRDefault="00616735">
      <w:pPr>
        <w:tabs>
          <w:tab w:val="left" w:pos="284"/>
        </w:tabs>
        <w:jc w:val="both"/>
        <w:rPr>
          <w:sz w:val="22"/>
          <w:szCs w:val="22"/>
          <w:lang w:val="sr-Latn-ME" w:eastAsia="sr-Latn-CS"/>
        </w:rPr>
      </w:pPr>
      <w:r w:rsidRPr="00C0654D">
        <w:rPr>
          <w:sz w:val="22"/>
          <w:szCs w:val="22"/>
          <w:lang w:val="sr-Latn-ME" w:eastAsia="sr-Latn-CS"/>
        </w:rPr>
        <w:t>- kod pacijenata sa teškim oštećenjem bubrega (klirens kreatinina ispod 30 ml/min);</w:t>
      </w:r>
    </w:p>
    <w:p w14:paraId="2684B4E7" w14:textId="54E7775B" w:rsidR="00616735" w:rsidRPr="00C0654D" w:rsidRDefault="00616735">
      <w:pPr>
        <w:tabs>
          <w:tab w:val="left" w:pos="284"/>
        </w:tabs>
        <w:jc w:val="both"/>
        <w:rPr>
          <w:sz w:val="22"/>
          <w:szCs w:val="22"/>
          <w:lang w:val="sr-Latn-ME" w:eastAsia="sr-Latn-CS"/>
        </w:rPr>
      </w:pPr>
      <w:r w:rsidRPr="00C0654D">
        <w:rPr>
          <w:sz w:val="22"/>
          <w:szCs w:val="22"/>
          <w:lang w:val="sr-Latn-ME" w:eastAsia="sr-Latn-CS"/>
        </w:rPr>
        <w:t>-</w:t>
      </w:r>
      <w:r w:rsidR="009547E3">
        <w:rPr>
          <w:sz w:val="22"/>
          <w:szCs w:val="22"/>
          <w:lang w:val="sr-Latn-ME" w:eastAsia="sr-Latn-CS"/>
        </w:rPr>
        <w:t xml:space="preserve"> nedavna ili istovremena</w:t>
      </w:r>
      <w:r w:rsidRPr="00C0654D">
        <w:rPr>
          <w:sz w:val="22"/>
          <w:szCs w:val="22"/>
          <w:lang w:val="sr-Latn-ME" w:eastAsia="sr-Latn-CS"/>
        </w:rPr>
        <w:t xml:space="preserve"> terapija brivudin</w:t>
      </w:r>
      <w:r w:rsidR="009547E3">
        <w:rPr>
          <w:sz w:val="22"/>
          <w:szCs w:val="22"/>
          <w:lang w:val="sr-Latn-ME" w:eastAsia="sr-Latn-CS"/>
        </w:rPr>
        <w:t>om</w:t>
      </w:r>
      <w:r w:rsidRPr="00C0654D">
        <w:rPr>
          <w:sz w:val="22"/>
          <w:szCs w:val="22"/>
          <w:lang w:val="sr-Latn-ME" w:eastAsia="sr-Latn-CS"/>
        </w:rPr>
        <w:t xml:space="preserve"> (vidjeti </w:t>
      </w:r>
      <w:r w:rsidR="00CA1BE0">
        <w:rPr>
          <w:sz w:val="22"/>
          <w:szCs w:val="22"/>
          <w:lang w:val="sr-Latn-ME" w:eastAsia="sr-Latn-CS"/>
        </w:rPr>
        <w:t xml:space="preserve">dijelove </w:t>
      </w:r>
      <w:r w:rsidR="009547E3">
        <w:rPr>
          <w:sz w:val="22"/>
          <w:szCs w:val="22"/>
          <w:lang w:val="sr-Latn-ME" w:eastAsia="sr-Latn-CS"/>
        </w:rPr>
        <w:t>4.4 i</w:t>
      </w:r>
      <w:r w:rsidRPr="00C0654D">
        <w:rPr>
          <w:sz w:val="22"/>
          <w:szCs w:val="22"/>
          <w:lang w:val="sr-Latn-ME" w:eastAsia="sr-Latn-CS"/>
        </w:rPr>
        <w:t xml:space="preserve"> 4.5</w:t>
      </w:r>
      <w:r w:rsidR="009547E3">
        <w:rPr>
          <w:sz w:val="22"/>
          <w:szCs w:val="22"/>
          <w:lang w:val="sr-Latn-ME" w:eastAsia="sr-Latn-CS"/>
        </w:rPr>
        <w:t xml:space="preserve"> za interakcije sa drugim ljekovima</w:t>
      </w:r>
      <w:r w:rsidRPr="00C0654D">
        <w:rPr>
          <w:sz w:val="22"/>
          <w:szCs w:val="22"/>
          <w:lang w:val="sr-Latn-ME" w:eastAsia="sr-Latn-CS"/>
        </w:rPr>
        <w:t>);</w:t>
      </w:r>
    </w:p>
    <w:p w14:paraId="4C1CCF9E" w14:textId="77777777" w:rsidR="00616735" w:rsidRPr="00C0654D" w:rsidRDefault="00616735">
      <w:pPr>
        <w:tabs>
          <w:tab w:val="left" w:pos="284"/>
        </w:tabs>
        <w:jc w:val="both"/>
        <w:rPr>
          <w:sz w:val="22"/>
          <w:szCs w:val="22"/>
          <w:lang w:val="sr-Latn-ME" w:eastAsia="sr-Latn-CS"/>
        </w:rPr>
      </w:pPr>
      <w:r w:rsidRPr="00C0654D">
        <w:rPr>
          <w:sz w:val="22"/>
          <w:szCs w:val="22"/>
          <w:lang w:val="sr-Latn-ME" w:eastAsia="sr-Latn-CS"/>
        </w:rPr>
        <w:t>- ako postoje kontraindikacije za bilo koji od ljekova koji se primjenjuju u kombinovanom režimu, taj lijek se ne smije uzimati.</w:t>
      </w:r>
    </w:p>
    <w:p w14:paraId="0DE79459" w14:textId="77777777" w:rsidR="00616735" w:rsidRPr="00C0654D" w:rsidRDefault="00616735" w:rsidP="00145C95">
      <w:pPr>
        <w:tabs>
          <w:tab w:val="left" w:pos="540"/>
          <w:tab w:val="left" w:pos="569"/>
        </w:tabs>
        <w:jc w:val="both"/>
        <w:rPr>
          <w:bCs/>
          <w:sz w:val="22"/>
          <w:szCs w:val="22"/>
          <w:lang w:val="sr-Latn-ME"/>
        </w:rPr>
      </w:pPr>
    </w:p>
    <w:p w14:paraId="5FA99B13" w14:textId="77777777" w:rsidR="00411B4B" w:rsidRPr="00C0654D" w:rsidRDefault="00411B4B" w:rsidP="00145C95">
      <w:pPr>
        <w:tabs>
          <w:tab w:val="left" w:pos="540"/>
          <w:tab w:val="left" w:pos="569"/>
        </w:tabs>
        <w:jc w:val="both"/>
        <w:rPr>
          <w:b/>
          <w:bCs/>
          <w:sz w:val="22"/>
          <w:szCs w:val="22"/>
          <w:lang w:val="sr-Latn-ME"/>
        </w:rPr>
      </w:pPr>
      <w:r w:rsidRPr="00C0654D">
        <w:rPr>
          <w:b/>
          <w:bCs/>
          <w:sz w:val="22"/>
          <w:szCs w:val="22"/>
          <w:lang w:val="sr-Latn-ME"/>
        </w:rPr>
        <w:t xml:space="preserve">4.4. </w:t>
      </w:r>
      <w:r w:rsidR="00480FB1" w:rsidRPr="00C0654D">
        <w:rPr>
          <w:b/>
          <w:bCs/>
          <w:sz w:val="22"/>
          <w:szCs w:val="22"/>
          <w:lang w:val="sr-Latn-ME"/>
        </w:rPr>
        <w:tab/>
      </w:r>
      <w:r w:rsidRPr="00C0654D">
        <w:rPr>
          <w:b/>
          <w:bCs/>
          <w:sz w:val="22"/>
          <w:szCs w:val="22"/>
          <w:lang w:val="sr-Latn-ME"/>
        </w:rPr>
        <w:t>Posebna upozorenja i mjere opreza pri upotrebi lijeka</w:t>
      </w:r>
    </w:p>
    <w:p w14:paraId="5FA99B14" w14:textId="77777777" w:rsidR="0072020E" w:rsidRPr="00C0654D" w:rsidRDefault="0072020E" w:rsidP="00145C95">
      <w:pPr>
        <w:tabs>
          <w:tab w:val="left" w:pos="540"/>
          <w:tab w:val="left" w:pos="569"/>
        </w:tabs>
        <w:jc w:val="both"/>
        <w:rPr>
          <w:bCs/>
          <w:sz w:val="22"/>
          <w:szCs w:val="22"/>
          <w:lang w:val="sr-Latn-ME"/>
        </w:rPr>
      </w:pPr>
    </w:p>
    <w:p w14:paraId="754FE673" w14:textId="77777777" w:rsidR="00E4562D" w:rsidRPr="0058400C" w:rsidRDefault="00E4562D" w:rsidP="00145C95">
      <w:pPr>
        <w:jc w:val="both"/>
        <w:rPr>
          <w:szCs w:val="22"/>
          <w:u w:val="single"/>
          <w:lang w:val="sr-Latn-RS"/>
        </w:rPr>
      </w:pPr>
      <w:r w:rsidRPr="0058400C">
        <w:rPr>
          <w:bCs/>
          <w:szCs w:val="22"/>
          <w:u w:val="single"/>
          <w:lang w:val="sr-Latn-RS"/>
        </w:rPr>
        <w:t>Toksičnost koja ograničava dozu</w:t>
      </w:r>
    </w:p>
    <w:p w14:paraId="32F9409E" w14:textId="7D57EB3D" w:rsidR="00DE275B" w:rsidRPr="00C0654D" w:rsidRDefault="00583A23" w:rsidP="00D85C58">
      <w:pPr>
        <w:tabs>
          <w:tab w:val="left" w:pos="284"/>
        </w:tabs>
        <w:jc w:val="both"/>
        <w:rPr>
          <w:sz w:val="22"/>
          <w:szCs w:val="22"/>
          <w:lang w:val="sr-Latn-ME"/>
        </w:rPr>
      </w:pPr>
      <w:r>
        <w:rPr>
          <w:sz w:val="22"/>
          <w:szCs w:val="22"/>
          <w:lang w:val="sr-Latn-ME"/>
        </w:rPr>
        <w:t>T</w:t>
      </w:r>
      <w:r w:rsidR="00DE275B" w:rsidRPr="00C0654D">
        <w:rPr>
          <w:sz w:val="22"/>
          <w:szCs w:val="22"/>
          <w:lang w:val="sr-Latn-ME"/>
        </w:rPr>
        <w:t>oksičnost koj</w:t>
      </w:r>
      <w:r>
        <w:rPr>
          <w:sz w:val="22"/>
          <w:szCs w:val="22"/>
          <w:lang w:val="sr-Latn-ME"/>
        </w:rPr>
        <w:t xml:space="preserve">a </w:t>
      </w:r>
      <w:r w:rsidR="00DE275B" w:rsidRPr="00C0654D">
        <w:rPr>
          <w:sz w:val="22"/>
          <w:szCs w:val="22"/>
          <w:lang w:val="sr-Latn-ME"/>
        </w:rPr>
        <w:t xml:space="preserve">ograničava dozu </w:t>
      </w:r>
      <w:r>
        <w:rPr>
          <w:sz w:val="22"/>
          <w:szCs w:val="22"/>
          <w:lang w:val="sr-Latn-ME"/>
        </w:rPr>
        <w:t xml:space="preserve">uključuje: </w:t>
      </w:r>
      <w:r w:rsidR="00DE275B" w:rsidRPr="00C0654D">
        <w:rPr>
          <w:sz w:val="22"/>
          <w:szCs w:val="22"/>
          <w:lang w:val="sr-Latn-ME"/>
        </w:rPr>
        <w:t>dijarej</w:t>
      </w:r>
      <w:r>
        <w:rPr>
          <w:sz w:val="22"/>
          <w:szCs w:val="22"/>
          <w:lang w:val="sr-Latn-ME"/>
        </w:rPr>
        <w:t>u</w:t>
      </w:r>
      <w:r w:rsidR="00DE275B" w:rsidRPr="00C0654D">
        <w:rPr>
          <w:sz w:val="22"/>
          <w:szCs w:val="22"/>
          <w:lang w:val="sr-Latn-ME"/>
        </w:rPr>
        <w:t>, bol u abdomenu, mučnin</w:t>
      </w:r>
      <w:r>
        <w:rPr>
          <w:sz w:val="22"/>
          <w:szCs w:val="22"/>
          <w:lang w:val="sr-Latn-ME"/>
        </w:rPr>
        <w:t>u</w:t>
      </w:r>
      <w:r w:rsidR="00DE275B" w:rsidRPr="00C0654D">
        <w:rPr>
          <w:sz w:val="22"/>
          <w:szCs w:val="22"/>
          <w:lang w:val="sr-Latn-ME"/>
        </w:rPr>
        <w:t>, stomatitis i sindrom šaka-stopalo (kožna reakcija šaka-stopalo, palmarno-plantarna eritrodizestezija). Većina neželjenih reakcija je reverzibilna i ne zahtijeva trajni prekid terapije, iako se može desiti da treba prekinuti doziranje za neko vrijeme ili smanjiti dozu.</w:t>
      </w:r>
    </w:p>
    <w:p w14:paraId="1F30CC56" w14:textId="77777777" w:rsidR="00DE275B" w:rsidRPr="00C0654D" w:rsidRDefault="00DE275B" w:rsidP="00D85C58">
      <w:pPr>
        <w:tabs>
          <w:tab w:val="left" w:pos="284"/>
        </w:tabs>
        <w:jc w:val="both"/>
        <w:rPr>
          <w:sz w:val="22"/>
          <w:szCs w:val="22"/>
          <w:lang w:val="sr-Latn-ME"/>
        </w:rPr>
      </w:pPr>
    </w:p>
    <w:p w14:paraId="2E1BB80A" w14:textId="3D45719E" w:rsidR="00DE275B" w:rsidRPr="00C0654D" w:rsidRDefault="00DE275B" w:rsidP="00CA1BE0">
      <w:pPr>
        <w:tabs>
          <w:tab w:val="left" w:pos="284"/>
        </w:tabs>
        <w:jc w:val="both"/>
        <w:rPr>
          <w:sz w:val="22"/>
          <w:szCs w:val="22"/>
          <w:lang w:val="sr-Latn-ME"/>
        </w:rPr>
      </w:pPr>
      <w:r w:rsidRPr="00C0654D">
        <w:rPr>
          <w:i/>
          <w:sz w:val="22"/>
          <w:szCs w:val="22"/>
          <w:lang w:val="sr-Latn-ME"/>
        </w:rPr>
        <w:t>Dijareja</w:t>
      </w:r>
      <w:r w:rsidRPr="00C0654D">
        <w:rPr>
          <w:sz w:val="22"/>
          <w:szCs w:val="22"/>
          <w:lang w:val="sr-Latn-ME"/>
        </w:rPr>
        <w:t xml:space="preserve">: Pacijente sa teškom dijarejom treba pažljivo pratiti, i davati im tečnosti i elektrolite ako dehidriraju. Može se koristiti standardna terapija protiv dijareje (npr. loperamid). Dijareja gradusa 2 po </w:t>
      </w:r>
      <w:r w:rsidRPr="00C0654D">
        <w:rPr>
          <w:sz w:val="22"/>
          <w:szCs w:val="22"/>
          <w:lang w:val="sr-Latn-ME"/>
        </w:rPr>
        <w:lastRenderedPageBreak/>
        <w:t xml:space="preserve">NCIC CTC definiše se kao povećanje na 4 do 6 stolica dnevno ili noćne stolice, a dijareja gradusa 3 kao povećanje na 7 do 9 stolica dnevno ili inkontinencija ili malapsorpcija. Dijareja gradusa  4 je povećanje na ≥10 stolica dnevno ili masivno krvava dijareja ili potreba za parenteralnom podrškom. Dozu treba smanjivati po potrebi (vidjeti </w:t>
      </w:r>
      <w:r w:rsidR="00583A23">
        <w:rPr>
          <w:sz w:val="22"/>
          <w:szCs w:val="22"/>
          <w:lang w:val="sr-Latn-ME"/>
        </w:rPr>
        <w:t xml:space="preserve">dio </w:t>
      </w:r>
      <w:r w:rsidRPr="00C0654D">
        <w:rPr>
          <w:sz w:val="22"/>
          <w:szCs w:val="22"/>
          <w:lang w:val="sr-Latn-ME"/>
        </w:rPr>
        <w:t>4.2).</w:t>
      </w:r>
    </w:p>
    <w:p w14:paraId="78702555" w14:textId="77777777" w:rsidR="00DE275B" w:rsidRPr="00C0654D" w:rsidRDefault="00DE275B">
      <w:pPr>
        <w:tabs>
          <w:tab w:val="left" w:pos="284"/>
        </w:tabs>
        <w:jc w:val="both"/>
        <w:rPr>
          <w:sz w:val="22"/>
          <w:szCs w:val="22"/>
          <w:lang w:val="sr-Latn-ME"/>
        </w:rPr>
      </w:pPr>
    </w:p>
    <w:p w14:paraId="01551595" w14:textId="7DFBE410" w:rsidR="00DE275B" w:rsidRPr="00C0654D" w:rsidRDefault="00DE275B">
      <w:pPr>
        <w:tabs>
          <w:tab w:val="left" w:pos="284"/>
        </w:tabs>
        <w:jc w:val="both"/>
        <w:rPr>
          <w:sz w:val="22"/>
          <w:szCs w:val="22"/>
          <w:lang w:val="sr-Latn-ME"/>
        </w:rPr>
      </w:pPr>
      <w:r w:rsidRPr="00C0654D">
        <w:rPr>
          <w:i/>
          <w:sz w:val="22"/>
          <w:szCs w:val="22"/>
          <w:lang w:val="sr-Latn-ME"/>
        </w:rPr>
        <w:t>Dehidracija</w:t>
      </w:r>
      <w:r w:rsidRPr="00C0654D">
        <w:rPr>
          <w:sz w:val="22"/>
          <w:szCs w:val="22"/>
          <w:lang w:val="sr-Latn-ME"/>
        </w:rPr>
        <w:t xml:space="preserve">: Dehidraciju treba spriječiti ili korigovati na samom početku. Pacijenti sa anoreksijom, astenijom, mučninom, povraćanjem ili dijarejom lako mogu da dehidriraju. Dehidracija može dovesti do akutne bubrežne insuficijencije, posebno kod pacijenata sa preegzistirajućim poremećajem bubrežne funkcije ili kada se kapecitabin daje istovremeno sa nefrotoksičnim ljekovima. Akutna bubrežna insuficijencija, zbog sekundarne dehidracije može biti fatalna. Ako dođe do dehidratacije gradusa  2 (ili teže), terapiju lijekom Capecitabine PharmaSwiss treba odmah prekinuti i korigovati dehidraciju. Terapija se ne smije ponovo započinjati dok se pacijent ne rehidrira i svi uzročnici koriguju ili kontrolišu. Ukoliko je potrebno, dozu treba prilagoditi nastaloj neželjenoj reakciji kako je navedeno (vidjeti </w:t>
      </w:r>
      <w:r w:rsidR="00583A23">
        <w:rPr>
          <w:sz w:val="22"/>
          <w:szCs w:val="22"/>
          <w:lang w:val="sr-Latn-ME"/>
        </w:rPr>
        <w:t xml:space="preserve">dio </w:t>
      </w:r>
      <w:r w:rsidRPr="00C0654D">
        <w:rPr>
          <w:sz w:val="22"/>
          <w:szCs w:val="22"/>
          <w:lang w:val="sr-Latn-ME"/>
        </w:rPr>
        <w:t xml:space="preserve">4.2). </w:t>
      </w:r>
    </w:p>
    <w:p w14:paraId="3829B797" w14:textId="77777777" w:rsidR="00DE275B" w:rsidRPr="00C0654D" w:rsidRDefault="00DE275B">
      <w:pPr>
        <w:tabs>
          <w:tab w:val="left" w:pos="284"/>
        </w:tabs>
        <w:jc w:val="both"/>
        <w:rPr>
          <w:sz w:val="22"/>
          <w:szCs w:val="22"/>
          <w:lang w:val="sr-Latn-ME"/>
        </w:rPr>
      </w:pPr>
    </w:p>
    <w:p w14:paraId="3374FA1E" w14:textId="77777777" w:rsidR="00DE275B" w:rsidRPr="00C0654D" w:rsidRDefault="00DE275B">
      <w:pPr>
        <w:tabs>
          <w:tab w:val="left" w:pos="284"/>
        </w:tabs>
        <w:jc w:val="both"/>
        <w:rPr>
          <w:sz w:val="22"/>
          <w:szCs w:val="22"/>
          <w:lang w:val="sr-Latn-ME"/>
        </w:rPr>
      </w:pPr>
      <w:r w:rsidRPr="00C0654D">
        <w:rPr>
          <w:i/>
          <w:sz w:val="22"/>
          <w:szCs w:val="22"/>
          <w:lang w:val="sr-Latn-ME"/>
        </w:rPr>
        <w:t>Sindrom šaka-stopalo</w:t>
      </w:r>
      <w:r w:rsidRPr="00C0654D">
        <w:rPr>
          <w:sz w:val="22"/>
          <w:szCs w:val="22"/>
          <w:lang w:val="sr-Latn-ME"/>
        </w:rPr>
        <w:t xml:space="preserve"> (poznat i kao reakcija šaka-stopalo ili palmarno-plantarna eritrodizestezija ili hemoterapijski izazvan akralni eritem): Sindrom šaka-stopalo gradusa 1 definiše se kao utrnulost, dizestezija/parestezija, peckanje, bezbolni otok ili eritem šaka i/ili stopala i/ili neprijatnost koja ne utiče na aktivnosti pacijenta u njegovom svakodnevnom životu.</w:t>
      </w:r>
    </w:p>
    <w:p w14:paraId="29AC232C" w14:textId="77777777" w:rsidR="00DE275B" w:rsidRPr="00C0654D" w:rsidRDefault="00DE275B">
      <w:pPr>
        <w:tabs>
          <w:tab w:val="left" w:pos="284"/>
        </w:tabs>
        <w:jc w:val="both"/>
        <w:rPr>
          <w:sz w:val="22"/>
          <w:szCs w:val="22"/>
          <w:lang w:val="sr-Latn-ME"/>
        </w:rPr>
      </w:pPr>
    </w:p>
    <w:p w14:paraId="4BCE1365" w14:textId="77777777" w:rsidR="00DE275B" w:rsidRPr="00C0654D" w:rsidRDefault="00DE275B">
      <w:pPr>
        <w:tabs>
          <w:tab w:val="left" w:pos="284"/>
        </w:tabs>
        <w:jc w:val="both"/>
        <w:rPr>
          <w:sz w:val="22"/>
          <w:szCs w:val="22"/>
          <w:lang w:val="sr-Latn-ME"/>
        </w:rPr>
      </w:pPr>
      <w:r w:rsidRPr="00C0654D">
        <w:rPr>
          <w:sz w:val="22"/>
          <w:szCs w:val="22"/>
          <w:lang w:val="sr-Latn-ME"/>
        </w:rPr>
        <w:t>Sindrom šaka-stopalo gradusa 2 definiše se kao bolni otok ili eritem šaka i/ili stopala i/ili neprijatnost koja utiče na aktivnosti pacijenta u njegovom svakodnevnom životu.</w:t>
      </w:r>
    </w:p>
    <w:p w14:paraId="3BCADD50" w14:textId="77777777" w:rsidR="00DE275B" w:rsidRPr="00C0654D" w:rsidRDefault="00DE275B">
      <w:pPr>
        <w:tabs>
          <w:tab w:val="left" w:pos="284"/>
        </w:tabs>
        <w:jc w:val="both"/>
        <w:rPr>
          <w:sz w:val="22"/>
          <w:szCs w:val="22"/>
          <w:lang w:val="sr-Latn-ME"/>
        </w:rPr>
      </w:pPr>
    </w:p>
    <w:p w14:paraId="709914CF" w14:textId="454C07D7" w:rsidR="00DE275B" w:rsidRPr="00C0654D" w:rsidRDefault="00DE275B">
      <w:pPr>
        <w:tabs>
          <w:tab w:val="left" w:pos="284"/>
        </w:tabs>
        <w:jc w:val="both"/>
        <w:rPr>
          <w:sz w:val="22"/>
          <w:szCs w:val="22"/>
          <w:lang w:val="sr-Latn-ME"/>
        </w:rPr>
      </w:pPr>
      <w:r w:rsidRPr="00C0654D">
        <w:rPr>
          <w:sz w:val="22"/>
          <w:szCs w:val="22"/>
          <w:lang w:val="sr-Latn-ME"/>
        </w:rPr>
        <w:t xml:space="preserve">Sidrom šaka-stopalo gradusa 3 je vlažna deskvamacija, ulceracija, pojava plikova i jak bol u šakama i/ili stopalima i/ili teža neprijatnost koja pacijenta onemogućava da obavlja aktivnosti u njegovom svakodnevnom životu. Uporni i teški šaka-stopalo sindrom (gradusa 2 ili višeg) može dovesti do gubitka otiska prsta, što može ugroziti identifikaciju pacijenta. Ako dođe do pojave sindroma šaka-stopalo gradusa 2 ili 3, terapiju lijekom Capecitabine PharmaSwiss treba prekinuti  dok se tegobe ne otklone ili dok ne dođe do smanjenja intenziteta do gradusa 1. Po pojavi sindroma šaka-stopalo gradusa 3, naredne doze lijeka Capecitabine PharmaSwiss treba smanjiti. Kada se lijek Capecitabine PharmaSwiss i cisplatin daju u kombinaciji, primjena vitamina B6 (piridoksin) se ne savjetuje za simptomatsku ili sekundarnu profilaktičku terapiju sindroma šaka-stopalo, </w:t>
      </w:r>
      <w:r w:rsidR="00583A23">
        <w:rPr>
          <w:sz w:val="22"/>
          <w:szCs w:val="22"/>
          <w:lang w:val="sr-Latn-ME"/>
        </w:rPr>
        <w:t xml:space="preserve">jer postoje objavljeni </w:t>
      </w:r>
      <w:r w:rsidRPr="00C0654D">
        <w:rPr>
          <w:sz w:val="22"/>
          <w:szCs w:val="22"/>
          <w:lang w:val="sr-Latn-ME"/>
        </w:rPr>
        <w:t>izvještaj</w:t>
      </w:r>
      <w:r w:rsidR="00583A23">
        <w:rPr>
          <w:sz w:val="22"/>
          <w:szCs w:val="22"/>
          <w:lang w:val="sr-Latn-ME"/>
        </w:rPr>
        <w:t>i</w:t>
      </w:r>
      <w:r w:rsidRPr="00C0654D">
        <w:rPr>
          <w:sz w:val="22"/>
          <w:szCs w:val="22"/>
          <w:lang w:val="sr-Latn-ME"/>
        </w:rPr>
        <w:t xml:space="preserve"> da to može da smanji efikasnost cisplatina. Postoje dokazi o efikasnosti primjene dekspantenola u profilaksi sindroma šaka-stopalo kod pacijenata koji primjenjuju kapecitabin.</w:t>
      </w:r>
    </w:p>
    <w:p w14:paraId="3BC045BB" w14:textId="77777777" w:rsidR="00DE275B" w:rsidRPr="00C0654D" w:rsidRDefault="00DE275B">
      <w:pPr>
        <w:tabs>
          <w:tab w:val="left" w:pos="284"/>
        </w:tabs>
        <w:jc w:val="both"/>
        <w:rPr>
          <w:sz w:val="22"/>
          <w:szCs w:val="22"/>
          <w:lang w:val="sr-Latn-ME"/>
        </w:rPr>
      </w:pPr>
    </w:p>
    <w:p w14:paraId="5A3FEC93" w14:textId="440FC5DB" w:rsidR="00DE275B" w:rsidRPr="00C0654D" w:rsidRDefault="00DE275B">
      <w:pPr>
        <w:tabs>
          <w:tab w:val="left" w:pos="284"/>
        </w:tabs>
        <w:jc w:val="both"/>
        <w:rPr>
          <w:sz w:val="22"/>
          <w:szCs w:val="22"/>
          <w:lang w:val="sr-Latn-ME"/>
        </w:rPr>
      </w:pPr>
      <w:r w:rsidRPr="00C0654D">
        <w:rPr>
          <w:i/>
          <w:sz w:val="22"/>
          <w:szCs w:val="22"/>
          <w:lang w:val="sr-Latn-ME"/>
        </w:rPr>
        <w:t>Kardiotoksičnost</w:t>
      </w:r>
      <w:r w:rsidRPr="00C0654D">
        <w:rPr>
          <w:sz w:val="22"/>
          <w:szCs w:val="22"/>
          <w:lang w:val="sr-Latn-ME"/>
        </w:rPr>
        <w:t xml:space="preserve">: Kardiotoksičnost je povezana sa terapijom fluoropirimidinom i uključuje infarkt miokarda, anginu pektoris, disritmije, kardiogeni šok, iznenadnu smrt i elektrokardiografske promjene (uključujući i veoma rijetke slučajeve produženja QT intervala). Ove neželjene reakcije mogu biti češće kod pacijenata sa koronarnom arterijskom bolešću u anamnezi. Kod pacijenata koji uzimaju lijek Capecitabine PharmaSwiss, zabilježena je pojava srčanih aritmija (uključujući ventrikularnu fibrilaciju, </w:t>
      </w:r>
      <w:r w:rsidRPr="003250C0">
        <w:rPr>
          <w:i/>
          <w:iCs/>
          <w:sz w:val="22"/>
          <w:szCs w:val="22"/>
          <w:lang w:val="sr-Latn-ME"/>
        </w:rPr>
        <w:t>torsade de pointes</w:t>
      </w:r>
      <w:r w:rsidRPr="00C0654D">
        <w:rPr>
          <w:sz w:val="22"/>
          <w:szCs w:val="22"/>
          <w:lang w:val="sr-Latn-ME"/>
        </w:rPr>
        <w:t xml:space="preserve"> i bradikardiju), angine pektoris, infarkta miokarda, srčane insuficijencije i kardiomiopatije. Potreban je oprez kod pacijenata koji su već imali značajnija srčana oboljenja, aritmije i anginu pektoris (vidjeti </w:t>
      </w:r>
      <w:r w:rsidR="00583A23">
        <w:rPr>
          <w:sz w:val="22"/>
          <w:szCs w:val="22"/>
          <w:lang w:val="sr-Latn-ME"/>
        </w:rPr>
        <w:t xml:space="preserve">dio </w:t>
      </w:r>
      <w:r w:rsidRPr="00C0654D">
        <w:rPr>
          <w:sz w:val="22"/>
          <w:szCs w:val="22"/>
          <w:lang w:val="sr-Latn-ME"/>
        </w:rPr>
        <w:t>4.8).</w:t>
      </w:r>
    </w:p>
    <w:p w14:paraId="6163B4D8" w14:textId="77777777" w:rsidR="00DE275B" w:rsidRPr="00C0654D" w:rsidRDefault="00DE275B">
      <w:pPr>
        <w:tabs>
          <w:tab w:val="left" w:pos="284"/>
        </w:tabs>
        <w:jc w:val="both"/>
        <w:rPr>
          <w:sz w:val="22"/>
          <w:szCs w:val="22"/>
          <w:lang w:val="sr-Latn-ME"/>
        </w:rPr>
      </w:pPr>
    </w:p>
    <w:p w14:paraId="491D9C75" w14:textId="77BAFD21" w:rsidR="00DE275B" w:rsidRPr="00C0654D" w:rsidRDefault="00DE275B">
      <w:pPr>
        <w:tabs>
          <w:tab w:val="left" w:pos="284"/>
        </w:tabs>
        <w:jc w:val="both"/>
        <w:rPr>
          <w:sz w:val="22"/>
          <w:szCs w:val="22"/>
          <w:lang w:val="sr-Latn-ME"/>
        </w:rPr>
      </w:pPr>
      <w:r w:rsidRPr="00C0654D">
        <w:rPr>
          <w:i/>
          <w:sz w:val="22"/>
          <w:szCs w:val="22"/>
          <w:lang w:val="sr-Latn-ME"/>
        </w:rPr>
        <w:t>Hipo-ili hiperkalcijemija</w:t>
      </w:r>
      <w:r w:rsidRPr="00C0654D">
        <w:rPr>
          <w:sz w:val="22"/>
          <w:szCs w:val="22"/>
          <w:lang w:val="sr-Latn-ME"/>
        </w:rPr>
        <w:t xml:space="preserve">: Hipo- ili hiperkalcijemija su zabilježene tokom terapije lijekom Capecitabine PharmaSwiss. Potreban je oprez kod pacijenata koji su već imali hipo- ili hiperkalcijemiju (vidjeti </w:t>
      </w:r>
      <w:r w:rsidR="00583A23">
        <w:rPr>
          <w:sz w:val="22"/>
          <w:szCs w:val="22"/>
          <w:lang w:val="sr-Latn-ME"/>
        </w:rPr>
        <w:t xml:space="preserve"> dio </w:t>
      </w:r>
      <w:r w:rsidRPr="00C0654D">
        <w:rPr>
          <w:sz w:val="22"/>
          <w:szCs w:val="22"/>
          <w:lang w:val="sr-Latn-ME"/>
        </w:rPr>
        <w:t>4.8).</w:t>
      </w:r>
    </w:p>
    <w:p w14:paraId="1008141E" w14:textId="77777777" w:rsidR="00DE275B" w:rsidRPr="00C0654D" w:rsidRDefault="00DE275B">
      <w:pPr>
        <w:tabs>
          <w:tab w:val="left" w:pos="284"/>
        </w:tabs>
        <w:jc w:val="both"/>
        <w:rPr>
          <w:sz w:val="22"/>
          <w:szCs w:val="22"/>
          <w:lang w:val="sr-Latn-ME"/>
        </w:rPr>
      </w:pPr>
    </w:p>
    <w:p w14:paraId="20F86DAF" w14:textId="5F3270A1" w:rsidR="00DE275B" w:rsidRPr="00C0654D" w:rsidRDefault="00DE275B">
      <w:pPr>
        <w:tabs>
          <w:tab w:val="left" w:pos="284"/>
        </w:tabs>
        <w:jc w:val="both"/>
        <w:rPr>
          <w:sz w:val="22"/>
          <w:szCs w:val="22"/>
          <w:lang w:val="sr-Latn-ME"/>
        </w:rPr>
      </w:pPr>
      <w:r w:rsidRPr="00C0654D">
        <w:rPr>
          <w:i/>
          <w:sz w:val="22"/>
          <w:szCs w:val="22"/>
          <w:lang w:val="sr-Latn-ME"/>
        </w:rPr>
        <w:t>Oboljenja centralnog ili perifernog nervnog sistema</w:t>
      </w:r>
      <w:r w:rsidRPr="00C0654D">
        <w:rPr>
          <w:sz w:val="22"/>
          <w:szCs w:val="22"/>
          <w:lang w:val="sr-Latn-ME"/>
        </w:rPr>
        <w:t xml:space="preserve">: Potreban je oprez kod pacijenata sa oboljenjima centralnog ili perifernog nervnog sistema, npr. sa metastazama na  mozgu ili neuropatijom (vidjeti </w:t>
      </w:r>
      <w:r w:rsidR="00583A23">
        <w:rPr>
          <w:sz w:val="22"/>
          <w:szCs w:val="22"/>
          <w:lang w:val="sr-Latn-ME"/>
        </w:rPr>
        <w:t xml:space="preserve">dio </w:t>
      </w:r>
      <w:r w:rsidRPr="00C0654D">
        <w:rPr>
          <w:sz w:val="22"/>
          <w:szCs w:val="22"/>
          <w:lang w:val="sr-Latn-ME"/>
        </w:rPr>
        <w:t>4.8).</w:t>
      </w:r>
    </w:p>
    <w:p w14:paraId="7594A18C" w14:textId="77777777" w:rsidR="00DE275B" w:rsidRPr="00C0654D" w:rsidRDefault="00DE275B">
      <w:pPr>
        <w:tabs>
          <w:tab w:val="left" w:pos="284"/>
        </w:tabs>
        <w:jc w:val="both"/>
        <w:rPr>
          <w:i/>
          <w:sz w:val="22"/>
          <w:szCs w:val="22"/>
          <w:lang w:val="sr-Latn-ME"/>
        </w:rPr>
      </w:pPr>
    </w:p>
    <w:p w14:paraId="620662EE" w14:textId="77777777" w:rsidR="00DE275B" w:rsidRPr="00C0654D" w:rsidRDefault="00DE275B">
      <w:pPr>
        <w:tabs>
          <w:tab w:val="left" w:pos="284"/>
        </w:tabs>
        <w:jc w:val="both"/>
        <w:rPr>
          <w:sz w:val="22"/>
          <w:szCs w:val="22"/>
          <w:lang w:val="sr-Latn-ME"/>
        </w:rPr>
      </w:pPr>
      <w:r w:rsidRPr="00C0654D">
        <w:rPr>
          <w:i/>
          <w:sz w:val="22"/>
          <w:szCs w:val="22"/>
          <w:lang w:val="sr-Latn-ME"/>
        </w:rPr>
        <w:t>Dijabetes melitus ili poremećaji elektrolita</w:t>
      </w:r>
      <w:r w:rsidRPr="00C0654D">
        <w:rPr>
          <w:sz w:val="22"/>
          <w:szCs w:val="22"/>
          <w:lang w:val="sr-Latn-ME"/>
        </w:rPr>
        <w:t>: Potreban je oprez kod pacijenata sa dijabetes melitusom ili poremećajima elektrolita, jer se oni mogu pogoršati tokom terapije lijekom Capecitabine PharmaSwiss.</w:t>
      </w:r>
    </w:p>
    <w:p w14:paraId="2A0E3408" w14:textId="77777777" w:rsidR="00DE275B" w:rsidRPr="00C0654D" w:rsidRDefault="00DE275B">
      <w:pPr>
        <w:tabs>
          <w:tab w:val="left" w:pos="284"/>
        </w:tabs>
        <w:jc w:val="both"/>
        <w:rPr>
          <w:sz w:val="22"/>
          <w:szCs w:val="22"/>
          <w:lang w:val="sr-Latn-ME"/>
        </w:rPr>
      </w:pPr>
    </w:p>
    <w:p w14:paraId="7DEEDC23" w14:textId="5A0F90CE" w:rsidR="00DE275B" w:rsidRPr="00C0654D" w:rsidRDefault="00DE275B">
      <w:pPr>
        <w:tabs>
          <w:tab w:val="left" w:pos="284"/>
        </w:tabs>
        <w:jc w:val="both"/>
        <w:rPr>
          <w:sz w:val="22"/>
          <w:szCs w:val="22"/>
          <w:lang w:val="sr-Latn-ME"/>
        </w:rPr>
      </w:pPr>
      <w:r w:rsidRPr="00C0654D">
        <w:rPr>
          <w:i/>
          <w:sz w:val="22"/>
          <w:szCs w:val="22"/>
          <w:lang w:val="sr-Latn-ME"/>
        </w:rPr>
        <w:t>Kumarinski antikoagulansi</w:t>
      </w:r>
      <w:r w:rsidRPr="00C0654D">
        <w:rPr>
          <w:sz w:val="22"/>
          <w:szCs w:val="22"/>
          <w:lang w:val="sr-Latn-ME"/>
        </w:rPr>
        <w:t xml:space="preserve">: U jednom ispitivanju interakcije ljekova sa primjenom pojedinačne doze varfarina, došlo je do značajnog povećanja srednje vrijednosti PIK (+57%) S-varfarina. Ovi rezultati </w:t>
      </w:r>
      <w:r w:rsidRPr="00C0654D">
        <w:rPr>
          <w:sz w:val="22"/>
          <w:szCs w:val="22"/>
          <w:lang w:val="sr-Latn-ME"/>
        </w:rPr>
        <w:lastRenderedPageBreak/>
        <w:t xml:space="preserve">ukazuju na interakciju, vjerovatno zbog inhibicije sistema izoenzima citohroma P450 2C9 izazvane kapecitabinom. Kod pacijenata koji istovremeno primaju lijek Capecitabine PharmaSwiss i oralne kumarinske antikoagulanse, treba pažljivo pratiti antikoagulacioni odgovor (INR ili protrombinsko vrijeme) i po tome prilagoditi dozu antikoagulansa (vidjeti </w:t>
      </w:r>
      <w:r w:rsidR="00583A23">
        <w:rPr>
          <w:sz w:val="22"/>
          <w:szCs w:val="22"/>
          <w:lang w:val="sr-Latn-ME"/>
        </w:rPr>
        <w:t xml:space="preserve">dio </w:t>
      </w:r>
      <w:r w:rsidRPr="00C0654D">
        <w:rPr>
          <w:sz w:val="22"/>
          <w:szCs w:val="22"/>
          <w:lang w:val="sr-Latn-ME"/>
        </w:rPr>
        <w:t>4.5).</w:t>
      </w:r>
    </w:p>
    <w:p w14:paraId="4F80249F" w14:textId="2F724A5E" w:rsidR="00DE275B" w:rsidRDefault="00DE275B">
      <w:pPr>
        <w:tabs>
          <w:tab w:val="left" w:pos="284"/>
        </w:tabs>
        <w:jc w:val="both"/>
        <w:rPr>
          <w:sz w:val="22"/>
          <w:szCs w:val="22"/>
          <w:lang w:val="sr-Latn-ME"/>
        </w:rPr>
      </w:pPr>
    </w:p>
    <w:p w14:paraId="6CB03D69" w14:textId="456B327E" w:rsidR="009547E3" w:rsidRDefault="009547E3">
      <w:pPr>
        <w:tabs>
          <w:tab w:val="left" w:pos="284"/>
        </w:tabs>
        <w:jc w:val="both"/>
        <w:rPr>
          <w:sz w:val="22"/>
          <w:szCs w:val="22"/>
          <w:lang w:val="sr-Latn-RS"/>
        </w:rPr>
      </w:pPr>
      <w:r>
        <w:rPr>
          <w:i/>
          <w:sz w:val="22"/>
          <w:szCs w:val="22"/>
          <w:u w:val="single"/>
          <w:lang w:val="sr-Latn-RS"/>
        </w:rPr>
        <w:t>Brivudin</w:t>
      </w:r>
      <w:r>
        <w:rPr>
          <w:sz w:val="22"/>
          <w:szCs w:val="22"/>
          <w:lang w:val="sr-Latn-RS"/>
        </w:rPr>
        <w:t>: Brivudin se ne sm</w:t>
      </w:r>
      <w:r w:rsidR="00AC3072">
        <w:rPr>
          <w:sz w:val="22"/>
          <w:szCs w:val="22"/>
          <w:lang w:val="sr-Latn-RS"/>
        </w:rPr>
        <w:t>ij</w:t>
      </w:r>
      <w:r>
        <w:rPr>
          <w:sz w:val="22"/>
          <w:szCs w:val="22"/>
          <w:lang w:val="sr-Latn-RS"/>
        </w:rPr>
        <w:t>e prim</w:t>
      </w:r>
      <w:r w:rsidR="00AC3072">
        <w:rPr>
          <w:sz w:val="22"/>
          <w:szCs w:val="22"/>
          <w:lang w:val="sr-Latn-RS"/>
        </w:rPr>
        <w:t>j</w:t>
      </w:r>
      <w:r>
        <w:rPr>
          <w:sz w:val="22"/>
          <w:szCs w:val="22"/>
          <w:lang w:val="sr-Latn-RS"/>
        </w:rPr>
        <w:t>enjivati istovremeno sa kapecitabinom. Zab</w:t>
      </w:r>
      <w:r w:rsidR="00AC3072">
        <w:rPr>
          <w:sz w:val="22"/>
          <w:szCs w:val="22"/>
          <w:lang w:val="sr-Latn-RS"/>
        </w:rPr>
        <w:t>i</w:t>
      </w:r>
      <w:r>
        <w:rPr>
          <w:sz w:val="22"/>
          <w:szCs w:val="22"/>
          <w:lang w:val="sr-Latn-RS"/>
        </w:rPr>
        <w:t>l</w:t>
      </w:r>
      <w:r w:rsidR="00AC3072">
        <w:rPr>
          <w:sz w:val="22"/>
          <w:szCs w:val="22"/>
          <w:lang w:val="sr-Latn-RS"/>
        </w:rPr>
        <w:t>j</w:t>
      </w:r>
      <w:r>
        <w:rPr>
          <w:sz w:val="22"/>
          <w:szCs w:val="22"/>
          <w:lang w:val="sr-Latn-RS"/>
        </w:rPr>
        <w:t>eženi su smrtni slučajevi kao posl</w:t>
      </w:r>
      <w:r w:rsidR="00AC3072">
        <w:rPr>
          <w:sz w:val="22"/>
          <w:szCs w:val="22"/>
          <w:lang w:val="sr-Latn-RS"/>
        </w:rPr>
        <w:t>j</w:t>
      </w:r>
      <w:r>
        <w:rPr>
          <w:sz w:val="22"/>
          <w:szCs w:val="22"/>
          <w:lang w:val="sr-Latn-RS"/>
        </w:rPr>
        <w:t>edica ove interakcije. Mora postojati barem četiri ned</w:t>
      </w:r>
      <w:r w:rsidR="00AC3072">
        <w:rPr>
          <w:sz w:val="22"/>
          <w:szCs w:val="22"/>
          <w:lang w:val="sr-Latn-RS"/>
        </w:rPr>
        <w:t>j</w:t>
      </w:r>
      <w:r>
        <w:rPr>
          <w:sz w:val="22"/>
          <w:szCs w:val="22"/>
          <w:lang w:val="sr-Latn-RS"/>
        </w:rPr>
        <w:t>elje pauze između završetka terapije brivudinom i početka terapije kapecitabinom. Terapija brivudinom može se započeti 24 sata nakon prim</w:t>
      </w:r>
      <w:r w:rsidR="00AC3072">
        <w:rPr>
          <w:sz w:val="22"/>
          <w:szCs w:val="22"/>
          <w:lang w:val="sr-Latn-RS"/>
        </w:rPr>
        <w:t>j</w:t>
      </w:r>
      <w:r>
        <w:rPr>
          <w:sz w:val="22"/>
          <w:szCs w:val="22"/>
          <w:lang w:val="sr-Latn-RS"/>
        </w:rPr>
        <w:t>ene posl</w:t>
      </w:r>
      <w:r w:rsidR="00AC3072">
        <w:rPr>
          <w:sz w:val="22"/>
          <w:szCs w:val="22"/>
          <w:lang w:val="sr-Latn-RS"/>
        </w:rPr>
        <w:t>j</w:t>
      </w:r>
      <w:r>
        <w:rPr>
          <w:sz w:val="22"/>
          <w:szCs w:val="22"/>
          <w:lang w:val="sr-Latn-RS"/>
        </w:rPr>
        <w:t>ednje doze kapecitabina (vid</w:t>
      </w:r>
      <w:r w:rsidR="00AC3072">
        <w:rPr>
          <w:sz w:val="22"/>
          <w:szCs w:val="22"/>
          <w:lang w:val="sr-Latn-RS"/>
        </w:rPr>
        <w:t>j</w:t>
      </w:r>
      <w:r>
        <w:rPr>
          <w:sz w:val="22"/>
          <w:szCs w:val="22"/>
          <w:lang w:val="sr-Latn-RS"/>
        </w:rPr>
        <w:t xml:space="preserve">eti </w:t>
      </w:r>
      <w:r w:rsidR="00583A23">
        <w:rPr>
          <w:sz w:val="22"/>
          <w:szCs w:val="22"/>
          <w:lang w:val="sr-Latn-RS"/>
        </w:rPr>
        <w:t xml:space="preserve">dijelove </w:t>
      </w:r>
      <w:r>
        <w:rPr>
          <w:sz w:val="22"/>
          <w:szCs w:val="22"/>
          <w:lang w:val="sr-Latn-RS"/>
        </w:rPr>
        <w:t>4.3 i 4.5). Ukoliko dođe do slučajne prim</w:t>
      </w:r>
      <w:r w:rsidR="00AC3072">
        <w:rPr>
          <w:sz w:val="22"/>
          <w:szCs w:val="22"/>
          <w:lang w:val="sr-Latn-RS"/>
        </w:rPr>
        <w:t>j</w:t>
      </w:r>
      <w:r>
        <w:rPr>
          <w:sz w:val="22"/>
          <w:szCs w:val="22"/>
          <w:lang w:val="sr-Latn-RS"/>
        </w:rPr>
        <w:t>ene brivudina kod pacijenata na terapiji kapecitabinom, potrebno je preduzeti efektivne m</w:t>
      </w:r>
      <w:r w:rsidR="00AC3072">
        <w:rPr>
          <w:sz w:val="22"/>
          <w:szCs w:val="22"/>
          <w:lang w:val="sr-Latn-RS"/>
        </w:rPr>
        <w:t>j</w:t>
      </w:r>
      <w:r>
        <w:rPr>
          <w:sz w:val="22"/>
          <w:szCs w:val="22"/>
          <w:lang w:val="sr-Latn-RS"/>
        </w:rPr>
        <w:t>ere u cilju smanjenja toksičnosti kapecitabina. Preporučuje se hitan prijem u bolnicu. Potrebno je preduzeti sve m</w:t>
      </w:r>
      <w:r w:rsidR="00AC3072">
        <w:rPr>
          <w:sz w:val="22"/>
          <w:szCs w:val="22"/>
          <w:lang w:val="sr-Latn-RS"/>
        </w:rPr>
        <w:t>j</w:t>
      </w:r>
      <w:r>
        <w:rPr>
          <w:sz w:val="22"/>
          <w:szCs w:val="22"/>
          <w:lang w:val="sr-Latn-RS"/>
        </w:rPr>
        <w:t>ere kako bi se spr</w:t>
      </w:r>
      <w:r w:rsidR="00AC3072">
        <w:rPr>
          <w:sz w:val="22"/>
          <w:szCs w:val="22"/>
          <w:lang w:val="sr-Latn-RS"/>
        </w:rPr>
        <w:t>ij</w:t>
      </w:r>
      <w:r>
        <w:rPr>
          <w:sz w:val="22"/>
          <w:szCs w:val="22"/>
          <w:lang w:val="sr-Latn-RS"/>
        </w:rPr>
        <w:t>ečile sistemske infekcije i dehidratacija.</w:t>
      </w:r>
    </w:p>
    <w:p w14:paraId="4E9BC7B9" w14:textId="77777777" w:rsidR="009547E3" w:rsidRPr="00C0654D" w:rsidRDefault="009547E3">
      <w:pPr>
        <w:tabs>
          <w:tab w:val="left" w:pos="284"/>
        </w:tabs>
        <w:jc w:val="both"/>
        <w:rPr>
          <w:sz w:val="22"/>
          <w:szCs w:val="22"/>
          <w:lang w:val="sr-Latn-ME"/>
        </w:rPr>
      </w:pPr>
    </w:p>
    <w:p w14:paraId="0209D5FC" w14:textId="77777777" w:rsidR="00DE275B" w:rsidRPr="00C0654D" w:rsidRDefault="00DE275B">
      <w:pPr>
        <w:tabs>
          <w:tab w:val="left" w:pos="284"/>
        </w:tabs>
        <w:jc w:val="both"/>
        <w:rPr>
          <w:sz w:val="22"/>
          <w:szCs w:val="22"/>
          <w:lang w:val="sr-Latn-ME"/>
        </w:rPr>
      </w:pPr>
      <w:r w:rsidRPr="00C0654D">
        <w:rPr>
          <w:i/>
          <w:sz w:val="22"/>
          <w:szCs w:val="22"/>
          <w:lang w:val="sr-Latn-ME"/>
        </w:rPr>
        <w:t>Oštećenje jetre</w:t>
      </w:r>
      <w:r w:rsidRPr="00C0654D">
        <w:rPr>
          <w:sz w:val="22"/>
          <w:szCs w:val="22"/>
          <w:lang w:val="sr-Latn-ME"/>
        </w:rPr>
        <w:t>: U odsustvu podataka o bezbjednosti i efikasnosti kod pacijenata sa oštećenjem jetre, liječenje lijekom Capecitabine PharmaSwiss treba pažljivo pratiti kod pacijenata s blagom do umjerenom disfunkcijom jetre, nezavisno od prisustva ili odsustva metastaza na jetri. Primjenu lijeka Capecitabine PharmaSwiss treba prekinuti ako dođe do terapijom izazvanog povećanja nivoa bilirubina od  &gt;3,0 x GGN (gornje granice normale) ili terapijom izazvanog povećanja hepatičkih aminotransferaza (ALT, AST) od &gt; 2,5 x GGN. Monoterapija lijekom Capecitabine PharmaSwiss može se ponovo započeti kada bilirubin padne na ≤3 x GGN, ili hepatičke aminotransferaze padnu na ≤2,5 x GGN.</w:t>
      </w:r>
    </w:p>
    <w:p w14:paraId="4E62DF71" w14:textId="77777777" w:rsidR="00DE275B" w:rsidRPr="00C0654D" w:rsidRDefault="00DE275B">
      <w:pPr>
        <w:tabs>
          <w:tab w:val="left" w:pos="284"/>
        </w:tabs>
        <w:jc w:val="both"/>
        <w:rPr>
          <w:sz w:val="22"/>
          <w:szCs w:val="22"/>
          <w:lang w:val="sr-Latn-ME"/>
        </w:rPr>
      </w:pPr>
    </w:p>
    <w:p w14:paraId="4222C30D" w14:textId="08AD970F" w:rsidR="00DE275B" w:rsidRPr="00C0654D" w:rsidRDefault="00DE275B">
      <w:pPr>
        <w:tabs>
          <w:tab w:val="left" w:pos="284"/>
        </w:tabs>
        <w:jc w:val="both"/>
        <w:rPr>
          <w:sz w:val="22"/>
          <w:szCs w:val="22"/>
          <w:lang w:val="sr-Latn-ME"/>
        </w:rPr>
      </w:pPr>
      <w:r w:rsidRPr="00C0654D">
        <w:rPr>
          <w:i/>
          <w:sz w:val="22"/>
          <w:szCs w:val="22"/>
          <w:lang w:val="sr-Latn-ME"/>
        </w:rPr>
        <w:t>Oštećenje bubrega</w:t>
      </w:r>
      <w:r w:rsidRPr="00C0654D">
        <w:rPr>
          <w:sz w:val="22"/>
          <w:szCs w:val="22"/>
          <w:lang w:val="sr-Latn-ME"/>
        </w:rPr>
        <w:t xml:space="preserve">: Incidenca neželjenih reakcija gradusa 3 ili 4 kod pacijenata sa umjerenim oštećenjem bubrega (klirens kreatinina 30-50 ml/min) je povećana u poređenju sa ukupnom populacijom (vidjeti </w:t>
      </w:r>
      <w:r w:rsidR="00583A23">
        <w:rPr>
          <w:sz w:val="22"/>
          <w:szCs w:val="22"/>
          <w:lang w:val="sr-Latn-ME"/>
        </w:rPr>
        <w:t xml:space="preserve">dijelove </w:t>
      </w:r>
      <w:r w:rsidRPr="00C0654D">
        <w:rPr>
          <w:sz w:val="22"/>
          <w:szCs w:val="22"/>
          <w:lang w:val="sr-Latn-ME"/>
        </w:rPr>
        <w:t>4.2 i 4.3).</w:t>
      </w:r>
    </w:p>
    <w:p w14:paraId="4AA1A1C3" w14:textId="77777777" w:rsidR="00DE275B" w:rsidRPr="00C0654D" w:rsidRDefault="00DE275B">
      <w:pPr>
        <w:tabs>
          <w:tab w:val="left" w:pos="284"/>
        </w:tabs>
        <w:jc w:val="both"/>
        <w:rPr>
          <w:sz w:val="22"/>
          <w:szCs w:val="22"/>
          <w:lang w:val="sr-Latn-ME"/>
        </w:rPr>
      </w:pPr>
    </w:p>
    <w:p w14:paraId="00956FB3" w14:textId="77777777" w:rsidR="009547E3" w:rsidRDefault="00DE275B" w:rsidP="00CF6F2D">
      <w:pPr>
        <w:jc w:val="both"/>
        <w:rPr>
          <w:sz w:val="22"/>
          <w:szCs w:val="22"/>
          <w:lang w:val="sr-Latn-RS" w:bidi="hr-HR"/>
        </w:rPr>
      </w:pPr>
      <w:r w:rsidRPr="00C0654D">
        <w:rPr>
          <w:i/>
          <w:sz w:val="22"/>
          <w:szCs w:val="22"/>
          <w:lang w:val="sr-Latn-ME"/>
        </w:rPr>
        <w:t>Nedostatak dihidropirimidin dehidrogenaze (DPD)</w:t>
      </w:r>
      <w:r w:rsidRPr="00C0654D">
        <w:rPr>
          <w:sz w:val="22"/>
          <w:szCs w:val="22"/>
          <w:lang w:val="sr-Latn-ME"/>
        </w:rPr>
        <w:t xml:space="preserve">: </w:t>
      </w:r>
    </w:p>
    <w:p w14:paraId="0C105680" w14:textId="6B2CBE43" w:rsidR="009547E3" w:rsidRDefault="009547E3" w:rsidP="00CF6F2D">
      <w:pPr>
        <w:jc w:val="both"/>
        <w:rPr>
          <w:sz w:val="22"/>
          <w:szCs w:val="22"/>
          <w:lang w:val="sr-Latn-RS" w:bidi="hr-HR"/>
        </w:rPr>
      </w:pPr>
      <w:r>
        <w:rPr>
          <w:sz w:val="22"/>
          <w:szCs w:val="22"/>
          <w:lang w:val="sr-Latn-RS" w:bidi="hr-HR"/>
        </w:rPr>
        <w:t>Aktivnost DPD-a je faktor koji ograničava brzinu katabolizma 5-fluorouracila (vid</w:t>
      </w:r>
      <w:r w:rsidR="00AC3072">
        <w:rPr>
          <w:sz w:val="22"/>
          <w:szCs w:val="22"/>
          <w:lang w:val="sr-Latn-RS" w:bidi="hr-HR"/>
        </w:rPr>
        <w:t>j</w:t>
      </w:r>
      <w:r>
        <w:rPr>
          <w:sz w:val="22"/>
          <w:szCs w:val="22"/>
          <w:lang w:val="sr-Latn-RS" w:bidi="hr-HR"/>
        </w:rPr>
        <w:t xml:space="preserve">eti </w:t>
      </w:r>
      <w:r w:rsidR="00583A23">
        <w:rPr>
          <w:sz w:val="22"/>
          <w:szCs w:val="22"/>
          <w:lang w:val="sr-Latn-RS" w:bidi="hr-HR"/>
        </w:rPr>
        <w:t xml:space="preserve">dio </w:t>
      </w:r>
      <w:r>
        <w:rPr>
          <w:sz w:val="22"/>
          <w:szCs w:val="22"/>
          <w:lang w:val="sr-Latn-RS" w:bidi="hr-HR"/>
        </w:rPr>
        <w:t>5.2).</w:t>
      </w:r>
    </w:p>
    <w:p w14:paraId="69D3207F" w14:textId="309E87EF"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 xml:space="preserve">Pacijenti sa nedostatkom DPD-a </w:t>
      </w:r>
      <w:r w:rsidR="00583A23">
        <w:rPr>
          <w:color w:val="000000"/>
          <w:sz w:val="22"/>
          <w:szCs w:val="22"/>
          <w:lang w:val="sr-Latn-RS"/>
        </w:rPr>
        <w:t xml:space="preserve">zbog toga </w:t>
      </w:r>
      <w:r>
        <w:rPr>
          <w:color w:val="000000"/>
          <w:sz w:val="22"/>
          <w:szCs w:val="22"/>
          <w:lang w:val="sr-Latn-RS"/>
        </w:rPr>
        <w:t>imaju povećan rizik od toksičnosti povezane s prim</w:t>
      </w:r>
      <w:r w:rsidR="00AC3072">
        <w:rPr>
          <w:color w:val="000000"/>
          <w:sz w:val="22"/>
          <w:szCs w:val="22"/>
          <w:lang w:val="sr-Latn-RS"/>
        </w:rPr>
        <w:t>j</w:t>
      </w:r>
      <w:r>
        <w:rPr>
          <w:color w:val="000000"/>
          <w:sz w:val="22"/>
          <w:szCs w:val="22"/>
          <w:lang w:val="sr-Latn-RS"/>
        </w:rPr>
        <w:t>enom fluoropirimidina, uključujući, na prim</w:t>
      </w:r>
      <w:r w:rsidR="00AC3072">
        <w:rPr>
          <w:color w:val="000000"/>
          <w:sz w:val="22"/>
          <w:szCs w:val="22"/>
          <w:lang w:val="sr-Latn-RS"/>
        </w:rPr>
        <w:t>j</w:t>
      </w:r>
      <w:r>
        <w:rPr>
          <w:color w:val="000000"/>
          <w:sz w:val="22"/>
          <w:szCs w:val="22"/>
          <w:lang w:val="sr-Latn-RS"/>
        </w:rPr>
        <w:t xml:space="preserve">er: stomatitis, dijareju, zapaljenje sluznica, neutropeniju i neurotoksičnost. </w:t>
      </w:r>
    </w:p>
    <w:p w14:paraId="6392AA96" w14:textId="77777777" w:rsidR="009547E3" w:rsidRDefault="009547E3" w:rsidP="00CF6F2D">
      <w:pPr>
        <w:autoSpaceDE w:val="0"/>
        <w:autoSpaceDN w:val="0"/>
        <w:adjustRightInd w:val="0"/>
        <w:jc w:val="both"/>
        <w:rPr>
          <w:color w:val="000000"/>
          <w:sz w:val="22"/>
          <w:szCs w:val="22"/>
          <w:lang w:val="sr-Latn-RS"/>
        </w:rPr>
      </w:pPr>
    </w:p>
    <w:p w14:paraId="0CA71F67" w14:textId="77777777"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 xml:space="preserve">Toksičnost povezana sa nedostatkom DPD-a obično se javlja u toku prvog ciklusa terapije ili nakon povećanja doze. </w:t>
      </w:r>
    </w:p>
    <w:p w14:paraId="026C5CE8" w14:textId="77777777" w:rsidR="009547E3" w:rsidRDefault="009547E3" w:rsidP="00CF6F2D">
      <w:pPr>
        <w:autoSpaceDE w:val="0"/>
        <w:autoSpaceDN w:val="0"/>
        <w:adjustRightInd w:val="0"/>
        <w:jc w:val="both"/>
        <w:rPr>
          <w:color w:val="000000"/>
          <w:sz w:val="22"/>
          <w:szCs w:val="22"/>
          <w:lang w:val="sr-Latn-RS"/>
        </w:rPr>
      </w:pPr>
    </w:p>
    <w:p w14:paraId="1234E363" w14:textId="77777777" w:rsidR="009547E3" w:rsidRDefault="009547E3" w:rsidP="00CF6F2D">
      <w:pPr>
        <w:autoSpaceDE w:val="0"/>
        <w:autoSpaceDN w:val="0"/>
        <w:adjustRightInd w:val="0"/>
        <w:jc w:val="both"/>
        <w:rPr>
          <w:i/>
          <w:iCs/>
          <w:color w:val="000000"/>
          <w:sz w:val="22"/>
          <w:szCs w:val="22"/>
          <w:lang w:val="sr-Latn-RS"/>
        </w:rPr>
      </w:pPr>
      <w:r>
        <w:rPr>
          <w:i/>
          <w:iCs/>
          <w:color w:val="000000"/>
          <w:sz w:val="22"/>
          <w:szCs w:val="22"/>
          <w:lang w:val="sr-Latn-RS"/>
        </w:rPr>
        <w:t xml:space="preserve">Potpuni nedostatak DPD-a </w:t>
      </w:r>
    </w:p>
    <w:p w14:paraId="1203FBCD" w14:textId="77777777" w:rsidR="009547E3" w:rsidRDefault="009547E3" w:rsidP="00CF6F2D">
      <w:pPr>
        <w:autoSpaceDE w:val="0"/>
        <w:autoSpaceDN w:val="0"/>
        <w:adjustRightInd w:val="0"/>
        <w:jc w:val="both"/>
        <w:rPr>
          <w:color w:val="000000"/>
          <w:sz w:val="22"/>
          <w:szCs w:val="22"/>
          <w:lang w:val="sr-Latn-RS"/>
        </w:rPr>
      </w:pPr>
    </w:p>
    <w:p w14:paraId="3DDF9FBF" w14:textId="6801AB2F"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Potpuni nedostatak DPD-a je r</w:t>
      </w:r>
      <w:r w:rsidR="00AC3072">
        <w:rPr>
          <w:color w:val="000000"/>
          <w:sz w:val="22"/>
          <w:szCs w:val="22"/>
          <w:lang w:val="sr-Latn-RS"/>
        </w:rPr>
        <w:t>ij</w:t>
      </w:r>
      <w:r>
        <w:rPr>
          <w:color w:val="000000"/>
          <w:sz w:val="22"/>
          <w:szCs w:val="22"/>
          <w:lang w:val="sr-Latn-RS"/>
        </w:rPr>
        <w:t>edak (javlja se kod 0,01 - 0,5% b</w:t>
      </w:r>
      <w:r w:rsidR="005B1EE9">
        <w:rPr>
          <w:color w:val="000000"/>
          <w:sz w:val="22"/>
          <w:szCs w:val="22"/>
          <w:lang w:val="sr-Latn-RS"/>
        </w:rPr>
        <w:t>j</w:t>
      </w:r>
      <w:r>
        <w:rPr>
          <w:color w:val="000000"/>
          <w:sz w:val="22"/>
          <w:szCs w:val="22"/>
          <w:lang w:val="sr-Latn-RS"/>
        </w:rPr>
        <w:t>elaca). Pacijenti sa potpunim nedostatkom DPD-a izloženi su visokom riziku od po život opasne ili smrtonosne toksičnosti i ne sm</w:t>
      </w:r>
      <w:r w:rsidR="00AC3072">
        <w:rPr>
          <w:color w:val="000000"/>
          <w:sz w:val="22"/>
          <w:szCs w:val="22"/>
          <w:lang w:val="sr-Latn-RS"/>
        </w:rPr>
        <w:t>i</w:t>
      </w:r>
      <w:r>
        <w:rPr>
          <w:color w:val="000000"/>
          <w:sz w:val="22"/>
          <w:szCs w:val="22"/>
          <w:lang w:val="sr-Latn-RS"/>
        </w:rPr>
        <w:t>ju se l</w:t>
      </w:r>
      <w:r w:rsidR="00AC3072">
        <w:rPr>
          <w:color w:val="000000"/>
          <w:sz w:val="22"/>
          <w:szCs w:val="22"/>
          <w:lang w:val="sr-Latn-RS"/>
        </w:rPr>
        <w:t>ij</w:t>
      </w:r>
      <w:r>
        <w:rPr>
          <w:color w:val="000000"/>
          <w:sz w:val="22"/>
          <w:szCs w:val="22"/>
          <w:lang w:val="sr-Latn-RS"/>
        </w:rPr>
        <w:t>ečiti kapecitabinom (vid</w:t>
      </w:r>
      <w:r w:rsidR="00AC3072">
        <w:rPr>
          <w:color w:val="000000"/>
          <w:sz w:val="22"/>
          <w:szCs w:val="22"/>
          <w:lang w:val="sr-Latn-RS"/>
        </w:rPr>
        <w:t>j</w:t>
      </w:r>
      <w:r>
        <w:rPr>
          <w:color w:val="000000"/>
          <w:sz w:val="22"/>
          <w:szCs w:val="22"/>
          <w:lang w:val="sr-Latn-RS"/>
        </w:rPr>
        <w:t xml:space="preserve">eti </w:t>
      </w:r>
      <w:r w:rsidR="00583A23">
        <w:rPr>
          <w:color w:val="000000"/>
          <w:sz w:val="22"/>
          <w:szCs w:val="22"/>
          <w:lang w:val="sr-Latn-RS"/>
        </w:rPr>
        <w:t xml:space="preserve">dio </w:t>
      </w:r>
      <w:r>
        <w:rPr>
          <w:color w:val="000000"/>
          <w:sz w:val="22"/>
          <w:szCs w:val="22"/>
          <w:lang w:val="sr-Latn-RS"/>
        </w:rPr>
        <w:t xml:space="preserve">4.3). </w:t>
      </w:r>
    </w:p>
    <w:p w14:paraId="470025AC" w14:textId="77777777" w:rsidR="009547E3" w:rsidRDefault="009547E3" w:rsidP="00CF6F2D">
      <w:pPr>
        <w:autoSpaceDE w:val="0"/>
        <w:autoSpaceDN w:val="0"/>
        <w:adjustRightInd w:val="0"/>
        <w:jc w:val="both"/>
        <w:rPr>
          <w:color w:val="000000"/>
          <w:sz w:val="22"/>
          <w:szCs w:val="22"/>
          <w:lang w:val="sr-Latn-RS"/>
        </w:rPr>
      </w:pPr>
    </w:p>
    <w:p w14:paraId="6BB215AB" w14:textId="6AB34659" w:rsidR="009547E3" w:rsidRDefault="009547E3" w:rsidP="00CF6F2D">
      <w:pPr>
        <w:autoSpaceDE w:val="0"/>
        <w:autoSpaceDN w:val="0"/>
        <w:adjustRightInd w:val="0"/>
        <w:jc w:val="both"/>
        <w:rPr>
          <w:i/>
          <w:iCs/>
          <w:color w:val="000000"/>
          <w:sz w:val="22"/>
          <w:szCs w:val="22"/>
          <w:lang w:val="sr-Latn-RS"/>
        </w:rPr>
      </w:pPr>
      <w:r>
        <w:rPr>
          <w:i/>
          <w:iCs/>
          <w:color w:val="000000"/>
          <w:sz w:val="22"/>
          <w:szCs w:val="22"/>
          <w:lang w:val="sr-Latn-RS"/>
        </w:rPr>
        <w:t>D</w:t>
      </w:r>
      <w:r w:rsidR="00AC3072">
        <w:rPr>
          <w:i/>
          <w:iCs/>
          <w:color w:val="000000"/>
          <w:sz w:val="22"/>
          <w:szCs w:val="22"/>
          <w:lang w:val="sr-Latn-RS"/>
        </w:rPr>
        <w:t>j</w:t>
      </w:r>
      <w:r>
        <w:rPr>
          <w:i/>
          <w:iCs/>
          <w:color w:val="000000"/>
          <w:sz w:val="22"/>
          <w:szCs w:val="22"/>
          <w:lang w:val="sr-Latn-RS"/>
        </w:rPr>
        <w:t xml:space="preserve">elimičan nedostatak DPD-a </w:t>
      </w:r>
    </w:p>
    <w:p w14:paraId="29F62753" w14:textId="77777777" w:rsidR="009547E3" w:rsidRDefault="009547E3" w:rsidP="00CF6F2D">
      <w:pPr>
        <w:autoSpaceDE w:val="0"/>
        <w:autoSpaceDN w:val="0"/>
        <w:adjustRightInd w:val="0"/>
        <w:jc w:val="both"/>
        <w:rPr>
          <w:color w:val="000000"/>
          <w:sz w:val="22"/>
          <w:szCs w:val="22"/>
          <w:lang w:val="sr-Latn-RS"/>
        </w:rPr>
      </w:pPr>
    </w:p>
    <w:p w14:paraId="634F6BB3" w14:textId="10E99489"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Proc</w:t>
      </w:r>
      <w:r w:rsidR="00AC3072">
        <w:rPr>
          <w:color w:val="000000"/>
          <w:sz w:val="22"/>
          <w:szCs w:val="22"/>
          <w:lang w:val="sr-Latn-RS"/>
        </w:rPr>
        <w:t>j</w:t>
      </w:r>
      <w:r>
        <w:rPr>
          <w:color w:val="000000"/>
          <w:sz w:val="22"/>
          <w:szCs w:val="22"/>
          <w:lang w:val="sr-Latn-RS"/>
        </w:rPr>
        <w:t>enjuje se da se d</w:t>
      </w:r>
      <w:r w:rsidR="00AC3072">
        <w:rPr>
          <w:color w:val="000000"/>
          <w:sz w:val="22"/>
          <w:szCs w:val="22"/>
          <w:lang w:val="sr-Latn-RS"/>
        </w:rPr>
        <w:t>j</w:t>
      </w:r>
      <w:r>
        <w:rPr>
          <w:color w:val="000000"/>
          <w:sz w:val="22"/>
          <w:szCs w:val="22"/>
          <w:lang w:val="sr-Latn-RS"/>
        </w:rPr>
        <w:t>elimičan nedostatak DPD-a javlja kod 3 - 9% b</w:t>
      </w:r>
      <w:r w:rsidR="00583A23">
        <w:rPr>
          <w:color w:val="000000"/>
          <w:sz w:val="22"/>
          <w:szCs w:val="22"/>
          <w:lang w:val="sr-Latn-RS"/>
        </w:rPr>
        <w:t>i</w:t>
      </w:r>
      <w:r w:rsidR="00AC3072">
        <w:rPr>
          <w:color w:val="000000"/>
          <w:sz w:val="22"/>
          <w:szCs w:val="22"/>
          <w:lang w:val="sr-Latn-RS"/>
        </w:rPr>
        <w:t>j</w:t>
      </w:r>
      <w:r>
        <w:rPr>
          <w:color w:val="000000"/>
          <w:sz w:val="22"/>
          <w:szCs w:val="22"/>
          <w:lang w:val="sr-Latn-RS"/>
        </w:rPr>
        <w:t>elaca. Pacijenti sa d</w:t>
      </w:r>
      <w:r w:rsidR="00AC3072">
        <w:rPr>
          <w:color w:val="000000"/>
          <w:sz w:val="22"/>
          <w:szCs w:val="22"/>
          <w:lang w:val="sr-Latn-RS"/>
        </w:rPr>
        <w:t>j</w:t>
      </w:r>
      <w:r>
        <w:rPr>
          <w:color w:val="000000"/>
          <w:sz w:val="22"/>
          <w:szCs w:val="22"/>
          <w:lang w:val="sr-Latn-RS"/>
        </w:rPr>
        <w:t>elimičnim nedostatkom DPD-a imaju povećan rizik od teške i potencijalno po život opasne toksičnosti. Radi ograničenja te toksičnosti potrebno je razmotriti smanjenje početne doze. Nedostatak DPD-a parametar je koji treba uzeti u obzir zajedno s drugim rutinskim m</w:t>
      </w:r>
      <w:r w:rsidR="00AC3072">
        <w:rPr>
          <w:color w:val="000000"/>
          <w:sz w:val="22"/>
          <w:szCs w:val="22"/>
          <w:lang w:val="sr-Latn-RS"/>
        </w:rPr>
        <w:t>j</w:t>
      </w:r>
      <w:r>
        <w:rPr>
          <w:color w:val="000000"/>
          <w:sz w:val="22"/>
          <w:szCs w:val="22"/>
          <w:lang w:val="sr-Latn-RS"/>
        </w:rPr>
        <w:t xml:space="preserve">erenjima za smanjenje doze. Smanjenje početne doze može uticati na efikasnost terapije. Ukoliko ne dođe do ozbiljne toksičnosti, naredne doze se mogu povećavati uz intenzivno praćenje. </w:t>
      </w:r>
    </w:p>
    <w:p w14:paraId="78E395FB" w14:textId="77777777" w:rsidR="009547E3" w:rsidRDefault="009547E3" w:rsidP="00CF6F2D">
      <w:pPr>
        <w:autoSpaceDE w:val="0"/>
        <w:autoSpaceDN w:val="0"/>
        <w:adjustRightInd w:val="0"/>
        <w:jc w:val="both"/>
        <w:rPr>
          <w:color w:val="000000"/>
          <w:sz w:val="22"/>
          <w:szCs w:val="22"/>
          <w:lang w:val="sr-Latn-RS"/>
        </w:rPr>
      </w:pPr>
    </w:p>
    <w:p w14:paraId="4DFDA3DC" w14:textId="77777777" w:rsidR="009547E3" w:rsidRDefault="009547E3" w:rsidP="00CF6F2D">
      <w:pPr>
        <w:autoSpaceDE w:val="0"/>
        <w:autoSpaceDN w:val="0"/>
        <w:adjustRightInd w:val="0"/>
        <w:jc w:val="both"/>
        <w:rPr>
          <w:i/>
          <w:iCs/>
          <w:color w:val="000000"/>
          <w:sz w:val="22"/>
          <w:szCs w:val="22"/>
          <w:lang w:val="sr-Latn-RS"/>
        </w:rPr>
      </w:pPr>
      <w:r>
        <w:rPr>
          <w:i/>
          <w:iCs/>
          <w:color w:val="000000"/>
          <w:sz w:val="22"/>
          <w:szCs w:val="22"/>
          <w:lang w:val="sr-Latn-RS"/>
        </w:rPr>
        <w:t xml:space="preserve">Testiranje radi utvrđivanja nedostatka DPD-a </w:t>
      </w:r>
    </w:p>
    <w:p w14:paraId="16841B7F" w14:textId="77777777" w:rsidR="009547E3" w:rsidRDefault="009547E3" w:rsidP="00CF6F2D">
      <w:pPr>
        <w:autoSpaceDE w:val="0"/>
        <w:autoSpaceDN w:val="0"/>
        <w:adjustRightInd w:val="0"/>
        <w:jc w:val="both"/>
        <w:rPr>
          <w:color w:val="000000"/>
          <w:sz w:val="22"/>
          <w:szCs w:val="22"/>
          <w:lang w:val="sr-Latn-RS"/>
        </w:rPr>
      </w:pPr>
    </w:p>
    <w:p w14:paraId="651F922E" w14:textId="02A672A6"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Preporučuje se fenotipsko i/ili genotipsko testiranje pr</w:t>
      </w:r>
      <w:r w:rsidR="00AC3072">
        <w:rPr>
          <w:color w:val="000000"/>
          <w:sz w:val="22"/>
          <w:szCs w:val="22"/>
          <w:lang w:val="sr-Latn-RS"/>
        </w:rPr>
        <w:t>ij</w:t>
      </w:r>
      <w:r>
        <w:rPr>
          <w:color w:val="000000"/>
          <w:sz w:val="22"/>
          <w:szCs w:val="22"/>
          <w:lang w:val="sr-Latn-RS"/>
        </w:rPr>
        <w:t>e uvođenja terapije kapecitabinom uprkos nedoumicama oko optimalne metodologije testiranja pr</w:t>
      </w:r>
      <w:r w:rsidR="00AC3072">
        <w:rPr>
          <w:color w:val="000000"/>
          <w:sz w:val="22"/>
          <w:szCs w:val="22"/>
          <w:lang w:val="sr-Latn-RS"/>
        </w:rPr>
        <w:t>ij</w:t>
      </w:r>
      <w:r>
        <w:rPr>
          <w:color w:val="000000"/>
          <w:sz w:val="22"/>
          <w:szCs w:val="22"/>
          <w:lang w:val="sr-Latn-RS"/>
        </w:rPr>
        <w:t>e početka terapije. Potrebno je uzeti u obzir odgovarajuće kliničke sm</w:t>
      </w:r>
      <w:r w:rsidR="00AC3072">
        <w:rPr>
          <w:color w:val="000000"/>
          <w:sz w:val="22"/>
          <w:szCs w:val="22"/>
          <w:lang w:val="sr-Latn-RS"/>
        </w:rPr>
        <w:t>j</w:t>
      </w:r>
      <w:r>
        <w:rPr>
          <w:color w:val="000000"/>
          <w:sz w:val="22"/>
          <w:szCs w:val="22"/>
          <w:lang w:val="sr-Latn-RS"/>
        </w:rPr>
        <w:t xml:space="preserve">ernice. </w:t>
      </w:r>
    </w:p>
    <w:p w14:paraId="0737CDA6" w14:textId="40529D2D" w:rsidR="009547E3" w:rsidRDefault="009547E3" w:rsidP="00CF6F2D">
      <w:pPr>
        <w:autoSpaceDE w:val="0"/>
        <w:autoSpaceDN w:val="0"/>
        <w:adjustRightInd w:val="0"/>
        <w:jc w:val="both"/>
        <w:rPr>
          <w:color w:val="000000"/>
          <w:sz w:val="22"/>
          <w:szCs w:val="22"/>
          <w:lang w:val="sr-Latn-RS"/>
        </w:rPr>
      </w:pPr>
    </w:p>
    <w:p w14:paraId="3C649F77" w14:textId="4356529D" w:rsidR="00DA7E19" w:rsidRDefault="00DA7E19" w:rsidP="00CF6F2D">
      <w:pPr>
        <w:autoSpaceDE w:val="0"/>
        <w:autoSpaceDN w:val="0"/>
        <w:adjustRightInd w:val="0"/>
        <w:jc w:val="both"/>
        <w:rPr>
          <w:color w:val="000000"/>
          <w:sz w:val="22"/>
          <w:szCs w:val="22"/>
          <w:lang w:val="sr-Latn-RS"/>
        </w:rPr>
      </w:pPr>
    </w:p>
    <w:p w14:paraId="61AC1A63" w14:textId="77777777" w:rsidR="00DA7E19" w:rsidRDefault="00DA7E19" w:rsidP="00CF6F2D">
      <w:pPr>
        <w:autoSpaceDE w:val="0"/>
        <w:autoSpaceDN w:val="0"/>
        <w:adjustRightInd w:val="0"/>
        <w:jc w:val="both"/>
        <w:rPr>
          <w:color w:val="000000"/>
          <w:sz w:val="22"/>
          <w:szCs w:val="22"/>
          <w:lang w:val="sr-Latn-RS"/>
        </w:rPr>
      </w:pPr>
    </w:p>
    <w:p w14:paraId="02D9121B" w14:textId="77777777" w:rsidR="009547E3" w:rsidRDefault="009547E3" w:rsidP="00CF6F2D">
      <w:pPr>
        <w:autoSpaceDE w:val="0"/>
        <w:autoSpaceDN w:val="0"/>
        <w:adjustRightInd w:val="0"/>
        <w:jc w:val="both"/>
        <w:rPr>
          <w:i/>
          <w:iCs/>
          <w:color w:val="000000"/>
          <w:sz w:val="22"/>
          <w:szCs w:val="22"/>
          <w:lang w:val="sr-Latn-RS"/>
        </w:rPr>
      </w:pPr>
      <w:r>
        <w:rPr>
          <w:i/>
          <w:iCs/>
          <w:color w:val="000000"/>
          <w:sz w:val="22"/>
          <w:szCs w:val="22"/>
          <w:lang w:val="sr-Latn-RS"/>
        </w:rPr>
        <w:lastRenderedPageBreak/>
        <w:t xml:space="preserve">Genotipska karakterizacija nedostatka DPD-a </w:t>
      </w:r>
    </w:p>
    <w:p w14:paraId="5C983D25" w14:textId="77777777" w:rsidR="009547E3" w:rsidRDefault="009547E3" w:rsidP="00CF6F2D">
      <w:pPr>
        <w:autoSpaceDE w:val="0"/>
        <w:autoSpaceDN w:val="0"/>
        <w:adjustRightInd w:val="0"/>
        <w:jc w:val="both"/>
        <w:rPr>
          <w:color w:val="000000"/>
          <w:sz w:val="22"/>
          <w:szCs w:val="22"/>
          <w:lang w:val="sr-Latn-RS"/>
        </w:rPr>
      </w:pPr>
    </w:p>
    <w:p w14:paraId="576E9C25" w14:textId="4F687BD7"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Testiranjem na r</w:t>
      </w:r>
      <w:r w:rsidR="00AC3072">
        <w:rPr>
          <w:color w:val="000000"/>
          <w:sz w:val="22"/>
          <w:szCs w:val="22"/>
          <w:lang w:val="sr-Latn-RS"/>
        </w:rPr>
        <w:t>ij</w:t>
      </w:r>
      <w:r>
        <w:rPr>
          <w:color w:val="000000"/>
          <w:sz w:val="22"/>
          <w:szCs w:val="22"/>
          <w:lang w:val="sr-Latn-RS"/>
        </w:rPr>
        <w:t xml:space="preserve">etke mutacije gena </w:t>
      </w:r>
      <w:r>
        <w:rPr>
          <w:i/>
          <w:iCs/>
          <w:color w:val="000000"/>
          <w:sz w:val="22"/>
          <w:szCs w:val="22"/>
          <w:lang w:val="sr-Latn-RS"/>
        </w:rPr>
        <w:t xml:space="preserve">DPYD </w:t>
      </w:r>
      <w:r>
        <w:rPr>
          <w:color w:val="000000"/>
          <w:sz w:val="22"/>
          <w:szCs w:val="22"/>
          <w:lang w:val="sr-Latn-RS"/>
        </w:rPr>
        <w:t>pr</w:t>
      </w:r>
      <w:r w:rsidR="00AC3072">
        <w:rPr>
          <w:color w:val="000000"/>
          <w:sz w:val="22"/>
          <w:szCs w:val="22"/>
          <w:lang w:val="sr-Latn-RS"/>
        </w:rPr>
        <w:t>ij</w:t>
      </w:r>
      <w:r>
        <w:rPr>
          <w:color w:val="000000"/>
          <w:sz w:val="22"/>
          <w:szCs w:val="22"/>
          <w:lang w:val="sr-Latn-RS"/>
        </w:rPr>
        <w:t xml:space="preserve">e početka terapije mogu se utvrditi pacijenti sa nedostatkom DPD-a. </w:t>
      </w:r>
    </w:p>
    <w:p w14:paraId="496910E8" w14:textId="77777777" w:rsidR="009547E3" w:rsidRDefault="009547E3" w:rsidP="00CF6F2D">
      <w:pPr>
        <w:autoSpaceDE w:val="0"/>
        <w:autoSpaceDN w:val="0"/>
        <w:adjustRightInd w:val="0"/>
        <w:jc w:val="both"/>
        <w:rPr>
          <w:color w:val="000000"/>
          <w:sz w:val="22"/>
          <w:szCs w:val="22"/>
          <w:lang w:val="sr-Latn-RS"/>
        </w:rPr>
      </w:pPr>
    </w:p>
    <w:p w14:paraId="5EBA6979" w14:textId="53A9D201"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 xml:space="preserve">Četiri varijante gena </w:t>
      </w:r>
      <w:r>
        <w:rPr>
          <w:i/>
          <w:iCs/>
          <w:color w:val="000000"/>
          <w:sz w:val="22"/>
          <w:szCs w:val="22"/>
          <w:lang w:val="sr-Latn-RS"/>
        </w:rPr>
        <w:t>DPYD</w:t>
      </w:r>
      <w:r>
        <w:rPr>
          <w:color w:val="000000"/>
          <w:sz w:val="22"/>
          <w:szCs w:val="22"/>
          <w:lang w:val="sr-Latn-RS"/>
        </w:rPr>
        <w:t>: c.1905+1G&gt;A [poznata i kao DPYD*2A], c.1679T&gt;G [DPYD*13], c.2846A&gt;T i c.1236G&gt;A/HapB3, mogu uzrokovati potpuni nedostatak ili smanjenje enzimske aktivnosti DPD-a. Druge r</w:t>
      </w:r>
      <w:r w:rsidR="00AC3072">
        <w:rPr>
          <w:color w:val="000000"/>
          <w:sz w:val="22"/>
          <w:szCs w:val="22"/>
          <w:lang w:val="sr-Latn-RS"/>
        </w:rPr>
        <w:t>ij</w:t>
      </w:r>
      <w:r>
        <w:rPr>
          <w:color w:val="000000"/>
          <w:sz w:val="22"/>
          <w:szCs w:val="22"/>
          <w:lang w:val="sr-Latn-RS"/>
        </w:rPr>
        <w:t xml:space="preserve">etke varijante takođe mogu biti povezane sa povećanim rizikom od teške ili po život opasne toksičnosti. </w:t>
      </w:r>
    </w:p>
    <w:p w14:paraId="306D34F4" w14:textId="77777777" w:rsidR="009547E3" w:rsidRDefault="009547E3" w:rsidP="00CF6F2D">
      <w:pPr>
        <w:autoSpaceDE w:val="0"/>
        <w:autoSpaceDN w:val="0"/>
        <w:adjustRightInd w:val="0"/>
        <w:jc w:val="both"/>
        <w:rPr>
          <w:color w:val="000000"/>
          <w:sz w:val="22"/>
          <w:szCs w:val="22"/>
          <w:lang w:val="sr-Latn-RS"/>
        </w:rPr>
      </w:pPr>
    </w:p>
    <w:p w14:paraId="689540FE" w14:textId="77777777"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 xml:space="preserve">Poznato je da određene homozigotne i višestruke heterozigotne mutacije u lokusu gena </w:t>
      </w:r>
      <w:r>
        <w:rPr>
          <w:i/>
          <w:iCs/>
          <w:color w:val="000000"/>
          <w:sz w:val="22"/>
          <w:szCs w:val="22"/>
          <w:lang w:val="sr-Latn-RS"/>
        </w:rPr>
        <w:t xml:space="preserve">DPYD </w:t>
      </w:r>
      <w:r>
        <w:rPr>
          <w:color w:val="000000"/>
          <w:sz w:val="22"/>
          <w:szCs w:val="22"/>
          <w:lang w:val="sr-Latn-RS"/>
        </w:rPr>
        <w:t xml:space="preserve">(npr. kombinacije četiri varijante sa najmanje jednim alelom c.1905+1G&gt;A ili c.1679T&gt;G) uzrokuju potpuni ili gotovo potpuni nedostatak enzimske aktivnosti DPD-a. </w:t>
      </w:r>
    </w:p>
    <w:p w14:paraId="40EB2DA2" w14:textId="77777777" w:rsidR="009547E3" w:rsidRDefault="009547E3" w:rsidP="00CF6F2D">
      <w:pPr>
        <w:autoSpaceDE w:val="0"/>
        <w:autoSpaceDN w:val="0"/>
        <w:adjustRightInd w:val="0"/>
        <w:jc w:val="both"/>
        <w:rPr>
          <w:color w:val="000000"/>
          <w:sz w:val="22"/>
          <w:szCs w:val="22"/>
          <w:lang w:val="sr-Latn-RS"/>
        </w:rPr>
      </w:pPr>
    </w:p>
    <w:p w14:paraId="19428622" w14:textId="55157F67" w:rsidR="009547E3" w:rsidRDefault="009547E3" w:rsidP="00CF6F2D">
      <w:pPr>
        <w:autoSpaceDE w:val="0"/>
        <w:autoSpaceDN w:val="0"/>
        <w:adjustRightInd w:val="0"/>
        <w:jc w:val="both"/>
        <w:rPr>
          <w:color w:val="000000"/>
          <w:sz w:val="22"/>
          <w:szCs w:val="22"/>
          <w:lang w:val="sr-Latn-RS"/>
        </w:rPr>
      </w:pPr>
      <w:r>
        <w:rPr>
          <w:color w:val="000000"/>
          <w:sz w:val="22"/>
          <w:szCs w:val="22"/>
          <w:lang w:val="sr-Latn-RS"/>
        </w:rPr>
        <w:t xml:space="preserve">Pacijenti sa određenim heterozigotnim varijantama gena </w:t>
      </w:r>
      <w:r>
        <w:rPr>
          <w:i/>
          <w:iCs/>
          <w:color w:val="000000"/>
          <w:sz w:val="22"/>
          <w:szCs w:val="22"/>
          <w:lang w:val="sr-Latn-RS"/>
        </w:rPr>
        <w:t xml:space="preserve">DPYD </w:t>
      </w:r>
      <w:r>
        <w:rPr>
          <w:color w:val="000000"/>
          <w:sz w:val="22"/>
          <w:szCs w:val="22"/>
          <w:lang w:val="sr-Latn-RS"/>
        </w:rPr>
        <w:t>(uključujući varijante c.1905+1G&gt;A, c.1679T&gt;G, c.2846A&gt;T i c.1236G&gt;A/HapB3) imaju povećan rizik od teške toksičnosti kad se l</w:t>
      </w:r>
      <w:r w:rsidR="00AC3072">
        <w:rPr>
          <w:color w:val="000000"/>
          <w:sz w:val="22"/>
          <w:szCs w:val="22"/>
          <w:lang w:val="sr-Latn-RS"/>
        </w:rPr>
        <w:t>ij</w:t>
      </w:r>
      <w:r>
        <w:rPr>
          <w:color w:val="000000"/>
          <w:sz w:val="22"/>
          <w:szCs w:val="22"/>
          <w:lang w:val="sr-Latn-RS"/>
        </w:rPr>
        <w:t xml:space="preserve">eče fluoropirimidinima. </w:t>
      </w:r>
    </w:p>
    <w:p w14:paraId="2FE3C2D9" w14:textId="77777777" w:rsidR="0002629C" w:rsidRDefault="0002629C" w:rsidP="00CF6F2D">
      <w:pPr>
        <w:autoSpaceDE w:val="0"/>
        <w:autoSpaceDN w:val="0"/>
        <w:adjustRightInd w:val="0"/>
        <w:jc w:val="both"/>
        <w:rPr>
          <w:rFonts w:ascii="Arial" w:hAnsi="Arial" w:cs="Arial"/>
          <w:color w:val="000000"/>
          <w:sz w:val="16"/>
          <w:szCs w:val="16"/>
          <w:lang w:val="sr-Latn-RS"/>
        </w:rPr>
      </w:pPr>
    </w:p>
    <w:p w14:paraId="79970004" w14:textId="049B4A17" w:rsidR="0002629C" w:rsidRPr="0002629C" w:rsidRDefault="0002629C" w:rsidP="00CF6F2D">
      <w:pPr>
        <w:autoSpaceDE w:val="0"/>
        <w:autoSpaceDN w:val="0"/>
        <w:adjustRightInd w:val="0"/>
        <w:jc w:val="both"/>
        <w:rPr>
          <w:sz w:val="22"/>
          <w:szCs w:val="22"/>
          <w:lang w:val="sr-Latn-ME"/>
        </w:rPr>
      </w:pPr>
      <w:r w:rsidRPr="0002629C">
        <w:rPr>
          <w:sz w:val="22"/>
          <w:szCs w:val="22"/>
          <w:lang w:val="sr-Latn-ME"/>
        </w:rPr>
        <w:t xml:space="preserve">Učestalost heterozigotnog genotipa c.1905+1G&gt;A u genu </w:t>
      </w:r>
      <w:r w:rsidRPr="003250C0">
        <w:rPr>
          <w:i/>
          <w:iCs/>
          <w:sz w:val="22"/>
          <w:szCs w:val="22"/>
          <w:lang w:val="sr-Latn-ME"/>
        </w:rPr>
        <w:t>DYPD</w:t>
      </w:r>
      <w:r w:rsidRPr="0002629C">
        <w:rPr>
          <w:sz w:val="22"/>
          <w:szCs w:val="22"/>
          <w:lang w:val="sr-Latn-ME"/>
        </w:rPr>
        <w:t xml:space="preserve"> kod pacijenata b</w:t>
      </w:r>
      <w:r w:rsidR="00AC3072">
        <w:rPr>
          <w:sz w:val="22"/>
          <w:szCs w:val="22"/>
          <w:lang w:val="sr-Latn-ME"/>
        </w:rPr>
        <w:t>ij</w:t>
      </w:r>
      <w:r w:rsidRPr="0002629C">
        <w:rPr>
          <w:sz w:val="22"/>
          <w:szCs w:val="22"/>
          <w:lang w:val="sr-Latn-ME"/>
        </w:rPr>
        <w:t xml:space="preserve">ele rase iznosi približno 1%, učestalost varijante c.2846A&gt;T 1,1%, varijante c.1236G&gt;A/HapB3 2,6 - 6,3%, a varijante c.1679T&gt;G 0,07 - 0,1%. </w:t>
      </w:r>
    </w:p>
    <w:p w14:paraId="30E89815" w14:textId="77777777" w:rsidR="0002629C" w:rsidRPr="0002629C" w:rsidRDefault="0002629C" w:rsidP="00CF6F2D">
      <w:pPr>
        <w:autoSpaceDE w:val="0"/>
        <w:autoSpaceDN w:val="0"/>
        <w:adjustRightInd w:val="0"/>
        <w:jc w:val="both"/>
        <w:rPr>
          <w:sz w:val="22"/>
          <w:szCs w:val="22"/>
          <w:lang w:val="sr-Latn-ME"/>
        </w:rPr>
      </w:pPr>
    </w:p>
    <w:p w14:paraId="661F3691" w14:textId="3FEF54A1" w:rsidR="0002629C" w:rsidRPr="0002629C" w:rsidRDefault="0002629C" w:rsidP="00CF6F2D">
      <w:pPr>
        <w:autoSpaceDE w:val="0"/>
        <w:autoSpaceDN w:val="0"/>
        <w:adjustRightInd w:val="0"/>
        <w:jc w:val="both"/>
        <w:rPr>
          <w:sz w:val="22"/>
          <w:szCs w:val="22"/>
          <w:lang w:val="sr-Latn-ME"/>
        </w:rPr>
      </w:pPr>
      <w:r w:rsidRPr="0002629C">
        <w:rPr>
          <w:sz w:val="22"/>
          <w:szCs w:val="22"/>
          <w:lang w:val="sr-Latn-ME"/>
        </w:rPr>
        <w:t xml:space="preserve">Podaci o učestalosti ove četiri varijante gena </w:t>
      </w:r>
      <w:r w:rsidRPr="003250C0">
        <w:rPr>
          <w:i/>
          <w:iCs/>
          <w:sz w:val="22"/>
          <w:szCs w:val="22"/>
          <w:lang w:val="sr-Latn-ME"/>
        </w:rPr>
        <w:t>DPYD</w:t>
      </w:r>
      <w:r w:rsidRPr="0002629C">
        <w:rPr>
          <w:sz w:val="22"/>
          <w:szCs w:val="22"/>
          <w:lang w:val="sr-Latn-ME"/>
        </w:rPr>
        <w:t xml:space="preserve"> u drugim populacijama osim b</w:t>
      </w:r>
      <w:r w:rsidR="00583A23">
        <w:rPr>
          <w:sz w:val="22"/>
          <w:szCs w:val="22"/>
          <w:lang w:val="sr-Latn-ME"/>
        </w:rPr>
        <w:t>i</w:t>
      </w:r>
      <w:r w:rsidR="00AC3072">
        <w:rPr>
          <w:sz w:val="22"/>
          <w:szCs w:val="22"/>
          <w:lang w:val="sr-Latn-ME"/>
        </w:rPr>
        <w:t>j</w:t>
      </w:r>
      <w:r w:rsidRPr="0002629C">
        <w:rPr>
          <w:sz w:val="22"/>
          <w:szCs w:val="22"/>
          <w:lang w:val="sr-Latn-ME"/>
        </w:rPr>
        <w:t xml:space="preserve">elaca su ograničeni. Trenutno se smatra da navedene četiri varijante gena </w:t>
      </w:r>
      <w:r w:rsidRPr="003250C0">
        <w:rPr>
          <w:i/>
          <w:iCs/>
          <w:sz w:val="22"/>
          <w:szCs w:val="22"/>
          <w:lang w:val="sr-Latn-ME"/>
        </w:rPr>
        <w:t xml:space="preserve">DPYD </w:t>
      </w:r>
      <w:r w:rsidRPr="0002629C">
        <w:rPr>
          <w:sz w:val="22"/>
          <w:szCs w:val="22"/>
          <w:lang w:val="sr-Latn-ME"/>
        </w:rPr>
        <w:t>(c.1905+1G&gt;A, c.1679T&gt;G, c.2846A&gt;T i c.1236G&gt;A/HapB3) gotovo uopšte ni</w:t>
      </w:r>
      <w:r w:rsidR="00583A23">
        <w:rPr>
          <w:sz w:val="22"/>
          <w:szCs w:val="22"/>
          <w:lang w:val="sr-Latn-ME"/>
        </w:rPr>
        <w:t>je</w:t>
      </w:r>
      <w:r w:rsidRPr="0002629C">
        <w:rPr>
          <w:sz w:val="22"/>
          <w:szCs w:val="22"/>
          <w:lang w:val="sr-Latn-ME"/>
        </w:rPr>
        <w:t>su prisutne u populacijama afričkog (afroameričkog) ili azijskog por</w:t>
      </w:r>
      <w:r w:rsidR="00583A23">
        <w:rPr>
          <w:sz w:val="22"/>
          <w:szCs w:val="22"/>
          <w:lang w:val="sr-Latn-ME"/>
        </w:rPr>
        <w:t>ij</w:t>
      </w:r>
      <w:r w:rsidRPr="0002629C">
        <w:rPr>
          <w:sz w:val="22"/>
          <w:szCs w:val="22"/>
          <w:lang w:val="sr-Latn-ME"/>
        </w:rPr>
        <w:t xml:space="preserve">ekla. </w:t>
      </w:r>
    </w:p>
    <w:p w14:paraId="567D49D1" w14:textId="77777777" w:rsidR="0002629C" w:rsidRPr="0002629C" w:rsidRDefault="0002629C" w:rsidP="00CF6F2D">
      <w:pPr>
        <w:autoSpaceDE w:val="0"/>
        <w:autoSpaceDN w:val="0"/>
        <w:adjustRightInd w:val="0"/>
        <w:jc w:val="both"/>
        <w:rPr>
          <w:sz w:val="22"/>
          <w:szCs w:val="22"/>
          <w:lang w:val="sr-Latn-ME"/>
        </w:rPr>
      </w:pPr>
    </w:p>
    <w:p w14:paraId="1F85BB68" w14:textId="77777777" w:rsidR="0002629C" w:rsidRPr="003250C0" w:rsidRDefault="0002629C" w:rsidP="00CF6F2D">
      <w:pPr>
        <w:autoSpaceDE w:val="0"/>
        <w:autoSpaceDN w:val="0"/>
        <w:adjustRightInd w:val="0"/>
        <w:jc w:val="both"/>
        <w:rPr>
          <w:i/>
          <w:iCs/>
          <w:sz w:val="22"/>
          <w:szCs w:val="22"/>
          <w:lang w:val="sr-Latn-ME"/>
        </w:rPr>
      </w:pPr>
      <w:r w:rsidRPr="003250C0">
        <w:rPr>
          <w:i/>
          <w:iCs/>
          <w:sz w:val="22"/>
          <w:szCs w:val="22"/>
          <w:lang w:val="sr-Latn-ME"/>
        </w:rPr>
        <w:t xml:space="preserve">Fenotipska karakterizacija nedostatka DPD-a </w:t>
      </w:r>
    </w:p>
    <w:p w14:paraId="68734E82" w14:textId="77777777" w:rsidR="0002629C" w:rsidRPr="0002629C" w:rsidRDefault="0002629C" w:rsidP="00CF6F2D">
      <w:pPr>
        <w:autoSpaceDE w:val="0"/>
        <w:autoSpaceDN w:val="0"/>
        <w:adjustRightInd w:val="0"/>
        <w:jc w:val="both"/>
        <w:rPr>
          <w:sz w:val="22"/>
          <w:szCs w:val="22"/>
          <w:lang w:val="sr-Latn-ME"/>
        </w:rPr>
      </w:pPr>
    </w:p>
    <w:p w14:paraId="2A97C73E" w14:textId="337F4EF7" w:rsidR="0002629C" w:rsidRPr="0002629C" w:rsidRDefault="0002629C" w:rsidP="00CF6F2D">
      <w:pPr>
        <w:autoSpaceDE w:val="0"/>
        <w:autoSpaceDN w:val="0"/>
        <w:adjustRightInd w:val="0"/>
        <w:jc w:val="both"/>
        <w:rPr>
          <w:sz w:val="22"/>
          <w:szCs w:val="22"/>
          <w:lang w:val="sr-Latn-ME"/>
        </w:rPr>
      </w:pPr>
      <w:r w:rsidRPr="0002629C">
        <w:rPr>
          <w:sz w:val="22"/>
          <w:szCs w:val="22"/>
          <w:lang w:val="sr-Latn-ME"/>
        </w:rPr>
        <w:t>Za fenotipsku karakterizaciju nedostatka DPD-a, preporučuje se m</w:t>
      </w:r>
      <w:r w:rsidR="00AC3072">
        <w:rPr>
          <w:sz w:val="22"/>
          <w:szCs w:val="22"/>
          <w:lang w:val="sr-Latn-ME"/>
        </w:rPr>
        <w:t>j</w:t>
      </w:r>
      <w:r w:rsidRPr="0002629C">
        <w:rPr>
          <w:sz w:val="22"/>
          <w:szCs w:val="22"/>
          <w:lang w:val="sr-Latn-ME"/>
        </w:rPr>
        <w:t>erenje nivoa uracila (U) u plazmi, koji je endogeni supstrat za DPD, pr</w:t>
      </w:r>
      <w:r w:rsidR="00AC3072">
        <w:rPr>
          <w:sz w:val="22"/>
          <w:szCs w:val="22"/>
          <w:lang w:val="sr-Latn-ME"/>
        </w:rPr>
        <w:t>ij</w:t>
      </w:r>
      <w:r w:rsidRPr="0002629C">
        <w:rPr>
          <w:sz w:val="22"/>
          <w:szCs w:val="22"/>
          <w:lang w:val="sr-Latn-ME"/>
        </w:rPr>
        <w:t xml:space="preserve">e početka terapije. </w:t>
      </w:r>
    </w:p>
    <w:p w14:paraId="1BC34C39" w14:textId="77777777" w:rsidR="0002629C" w:rsidRPr="0002629C" w:rsidRDefault="0002629C" w:rsidP="00CF6F2D">
      <w:pPr>
        <w:autoSpaceDE w:val="0"/>
        <w:autoSpaceDN w:val="0"/>
        <w:adjustRightInd w:val="0"/>
        <w:jc w:val="both"/>
        <w:rPr>
          <w:sz w:val="22"/>
          <w:szCs w:val="22"/>
          <w:lang w:val="sr-Latn-ME"/>
        </w:rPr>
      </w:pPr>
    </w:p>
    <w:p w14:paraId="0D4DC38C" w14:textId="7D96BF0D" w:rsidR="00732FC6" w:rsidRPr="00C0654D" w:rsidRDefault="0002629C" w:rsidP="00D85C58">
      <w:pPr>
        <w:tabs>
          <w:tab w:val="left" w:pos="284"/>
        </w:tabs>
        <w:jc w:val="both"/>
        <w:rPr>
          <w:sz w:val="22"/>
          <w:szCs w:val="22"/>
          <w:lang w:val="sr-Latn-ME"/>
        </w:rPr>
      </w:pPr>
      <w:r w:rsidRPr="0002629C">
        <w:rPr>
          <w:sz w:val="22"/>
          <w:szCs w:val="22"/>
          <w:lang w:val="sr-Latn-ME"/>
        </w:rPr>
        <w:t>Povećane koncentracije uracila pr</w:t>
      </w:r>
      <w:r w:rsidR="00AC3072">
        <w:rPr>
          <w:sz w:val="22"/>
          <w:szCs w:val="22"/>
          <w:lang w:val="sr-Latn-ME"/>
        </w:rPr>
        <w:t>ij</w:t>
      </w:r>
      <w:r w:rsidRPr="0002629C">
        <w:rPr>
          <w:sz w:val="22"/>
          <w:szCs w:val="22"/>
          <w:lang w:val="sr-Latn-ME"/>
        </w:rPr>
        <w:t>e početka terapije povezane su sa povećanim rizikom od toksičnosti. Uprkos nedoumicama oko graničnih vr</w:t>
      </w:r>
      <w:r w:rsidR="00AC3072">
        <w:rPr>
          <w:sz w:val="22"/>
          <w:szCs w:val="22"/>
          <w:lang w:val="sr-Latn-ME"/>
        </w:rPr>
        <w:t>ije</w:t>
      </w:r>
      <w:r w:rsidRPr="0002629C">
        <w:rPr>
          <w:sz w:val="22"/>
          <w:szCs w:val="22"/>
          <w:lang w:val="sr-Latn-ME"/>
        </w:rPr>
        <w:t>dnosti uracila koje znače potpun ili d</w:t>
      </w:r>
      <w:r w:rsidR="00AC3072">
        <w:rPr>
          <w:sz w:val="22"/>
          <w:szCs w:val="22"/>
          <w:lang w:val="sr-Latn-ME"/>
        </w:rPr>
        <w:t>j</w:t>
      </w:r>
      <w:r w:rsidRPr="0002629C">
        <w:rPr>
          <w:sz w:val="22"/>
          <w:szCs w:val="22"/>
          <w:lang w:val="sr-Latn-ME"/>
        </w:rPr>
        <w:t>elimičan nedostatak DPD-a, treba smatrati da vr</w:t>
      </w:r>
      <w:r w:rsidR="00AC3072">
        <w:rPr>
          <w:sz w:val="22"/>
          <w:szCs w:val="22"/>
          <w:lang w:val="sr-Latn-ME"/>
        </w:rPr>
        <w:t>ij</w:t>
      </w:r>
      <w:r w:rsidRPr="0002629C">
        <w:rPr>
          <w:sz w:val="22"/>
          <w:szCs w:val="22"/>
          <w:lang w:val="sr-Latn-ME"/>
        </w:rPr>
        <w:t>ednosti uracila u krvi ≥ 16 ng/ml i &lt; 150 ng/ml ukazuju na d</w:t>
      </w:r>
      <w:r w:rsidR="00AC3072">
        <w:rPr>
          <w:sz w:val="22"/>
          <w:szCs w:val="22"/>
          <w:lang w:val="sr-Latn-ME"/>
        </w:rPr>
        <w:t>j</w:t>
      </w:r>
      <w:r w:rsidRPr="0002629C">
        <w:rPr>
          <w:sz w:val="22"/>
          <w:szCs w:val="22"/>
          <w:lang w:val="sr-Latn-ME"/>
        </w:rPr>
        <w:t>elimičan nedostatak DPD-a i povezane su sa povećanim rizikom od toksičnosti fluoropirimidina, a da vr</w:t>
      </w:r>
      <w:r w:rsidR="00AC3072">
        <w:rPr>
          <w:sz w:val="22"/>
          <w:szCs w:val="22"/>
          <w:lang w:val="sr-Latn-ME"/>
        </w:rPr>
        <w:t>ij</w:t>
      </w:r>
      <w:r w:rsidRPr="0002629C">
        <w:rPr>
          <w:sz w:val="22"/>
          <w:szCs w:val="22"/>
          <w:lang w:val="sr-Latn-ME"/>
        </w:rPr>
        <w:t>ednosti uracila u krvi ≥ 150 ng/ml ukazuju na potpun nedostatak DPD-a i povezane su sa rizikom od po život opasne ili smrtonosne toksičnosti fluoropirimidina.</w:t>
      </w:r>
    </w:p>
    <w:p w14:paraId="7EBD8693" w14:textId="77777777" w:rsidR="00DE275B" w:rsidRPr="00C0654D" w:rsidRDefault="00DE275B" w:rsidP="00CA1BE0">
      <w:pPr>
        <w:tabs>
          <w:tab w:val="left" w:pos="284"/>
        </w:tabs>
        <w:jc w:val="both"/>
        <w:rPr>
          <w:sz w:val="22"/>
          <w:szCs w:val="22"/>
          <w:lang w:val="sr-Latn-ME"/>
        </w:rPr>
      </w:pPr>
    </w:p>
    <w:p w14:paraId="47E0B8C0" w14:textId="77777777" w:rsidR="00DE275B" w:rsidRPr="00C0654D" w:rsidRDefault="00DE275B">
      <w:pPr>
        <w:tabs>
          <w:tab w:val="left" w:pos="284"/>
        </w:tabs>
        <w:jc w:val="both"/>
        <w:rPr>
          <w:sz w:val="22"/>
          <w:szCs w:val="22"/>
          <w:lang w:val="sr-Latn-ME"/>
        </w:rPr>
      </w:pPr>
      <w:r w:rsidRPr="00C0654D">
        <w:rPr>
          <w:i/>
          <w:sz w:val="22"/>
          <w:szCs w:val="22"/>
          <w:lang w:val="sr-Latn-ME"/>
        </w:rPr>
        <w:t>Oftalmološke komplikacije</w:t>
      </w:r>
      <w:r w:rsidRPr="00C0654D">
        <w:rPr>
          <w:sz w:val="22"/>
          <w:szCs w:val="22"/>
          <w:lang w:val="sr-Latn-ME"/>
        </w:rPr>
        <w:t>: Pacijente bi trebalo pažljivo pratiti zbog moguće pojave oftalmoloških komplikacija, poput keratitisa i poremećaja rožnjače, posebno ako imaju prethodnu istoriju očnih poremećaja.</w:t>
      </w:r>
    </w:p>
    <w:p w14:paraId="131C87A0" w14:textId="77777777" w:rsidR="00DE275B" w:rsidRPr="00C0654D" w:rsidRDefault="00DE275B">
      <w:pPr>
        <w:tabs>
          <w:tab w:val="left" w:pos="284"/>
        </w:tabs>
        <w:jc w:val="both"/>
        <w:rPr>
          <w:sz w:val="22"/>
          <w:szCs w:val="22"/>
          <w:lang w:val="sr-Latn-ME"/>
        </w:rPr>
      </w:pPr>
      <w:r w:rsidRPr="00C0654D">
        <w:rPr>
          <w:sz w:val="22"/>
          <w:szCs w:val="22"/>
          <w:lang w:val="sr-Latn-ME"/>
        </w:rPr>
        <w:t xml:space="preserve">Terapiju očnih poremećaja bi trebalo započeti prema kliničkim preporukama.  </w:t>
      </w:r>
    </w:p>
    <w:p w14:paraId="488BD1DA" w14:textId="77777777" w:rsidR="00DE275B" w:rsidRPr="00C0654D" w:rsidRDefault="00DE275B">
      <w:pPr>
        <w:tabs>
          <w:tab w:val="left" w:pos="284"/>
        </w:tabs>
        <w:jc w:val="both"/>
        <w:rPr>
          <w:sz w:val="22"/>
          <w:szCs w:val="22"/>
          <w:lang w:val="sr-Latn-ME"/>
        </w:rPr>
      </w:pPr>
    </w:p>
    <w:p w14:paraId="36FE7209" w14:textId="77777777" w:rsidR="00DE275B" w:rsidRPr="00C0654D" w:rsidRDefault="00DE275B">
      <w:pPr>
        <w:tabs>
          <w:tab w:val="left" w:pos="284"/>
        </w:tabs>
        <w:jc w:val="both"/>
        <w:rPr>
          <w:sz w:val="22"/>
          <w:szCs w:val="22"/>
          <w:lang w:val="sr-Latn-ME"/>
        </w:rPr>
      </w:pPr>
      <w:r w:rsidRPr="00C0654D">
        <w:rPr>
          <w:i/>
          <w:sz w:val="22"/>
          <w:szCs w:val="22"/>
          <w:lang w:val="sr-Latn-ME"/>
        </w:rPr>
        <w:t>Teške kožne reakcije</w:t>
      </w:r>
      <w:r w:rsidRPr="00C0654D">
        <w:rPr>
          <w:sz w:val="22"/>
          <w:szCs w:val="22"/>
          <w:lang w:val="sr-Latn-ME"/>
        </w:rPr>
        <w:t>: Lijek Capecitabine PharmaSwiss može da izazove teške kožne reakcije, kao što su Stevens-Džonsonov sindrom i toksična epidermalna nekroliza. Primjenu lijeka Capecitabine PharmaSwiss potrebno je potpuno prekinuti kod pacijenata kod kojih se tokom liječenja pojavi teška kožna reakcija.</w:t>
      </w:r>
    </w:p>
    <w:p w14:paraId="5A6994F1" w14:textId="77777777" w:rsidR="00DE275B" w:rsidRPr="00C0654D" w:rsidRDefault="00DE275B">
      <w:pPr>
        <w:tabs>
          <w:tab w:val="left" w:pos="284"/>
        </w:tabs>
        <w:jc w:val="both"/>
        <w:rPr>
          <w:sz w:val="22"/>
          <w:szCs w:val="22"/>
          <w:lang w:val="sr-Latn-ME"/>
        </w:rPr>
      </w:pPr>
    </w:p>
    <w:p w14:paraId="1BA77DC7" w14:textId="3AF3A242" w:rsidR="00DE275B" w:rsidRDefault="00DE275B">
      <w:pPr>
        <w:tabs>
          <w:tab w:val="left" w:pos="284"/>
        </w:tabs>
        <w:jc w:val="both"/>
        <w:rPr>
          <w:sz w:val="22"/>
          <w:szCs w:val="22"/>
          <w:lang w:val="sr-Latn-ME"/>
        </w:rPr>
      </w:pPr>
      <w:r w:rsidRPr="00C0654D">
        <w:rPr>
          <w:i/>
          <w:sz w:val="22"/>
          <w:szCs w:val="22"/>
          <w:lang w:val="sr-Latn-ME"/>
        </w:rPr>
        <w:t>Laktoza</w:t>
      </w:r>
      <w:r w:rsidRPr="00C0654D">
        <w:rPr>
          <w:sz w:val="22"/>
          <w:szCs w:val="22"/>
          <w:lang w:val="sr-Latn-ME"/>
        </w:rPr>
        <w:t>: S obzirom na to da ovaj lijek sadrži bezvodnu laktozu kao pomoćnu supstancu, pacijenti koji boluju od rijetkog nasljednog oboljenja netolerancije na galaktozu, deficijencije Lapp laktaze ili malapsorpcije  gluko-galaktoze ne smiju koristiti ovaj lijek.</w:t>
      </w:r>
    </w:p>
    <w:p w14:paraId="2B7578EF" w14:textId="7F75C57E" w:rsidR="009547E3" w:rsidRDefault="009547E3">
      <w:pPr>
        <w:tabs>
          <w:tab w:val="left" w:pos="284"/>
        </w:tabs>
        <w:jc w:val="both"/>
        <w:rPr>
          <w:sz w:val="22"/>
          <w:szCs w:val="22"/>
          <w:lang w:val="sr-Latn-ME"/>
        </w:rPr>
      </w:pPr>
    </w:p>
    <w:p w14:paraId="37A9A923" w14:textId="7B1B2E81" w:rsidR="009547E3" w:rsidRDefault="009547E3">
      <w:pPr>
        <w:tabs>
          <w:tab w:val="left" w:pos="284"/>
        </w:tabs>
        <w:jc w:val="both"/>
        <w:rPr>
          <w:sz w:val="22"/>
          <w:szCs w:val="22"/>
          <w:lang w:val="sr-Latn-RS"/>
        </w:rPr>
      </w:pPr>
      <w:r>
        <w:rPr>
          <w:sz w:val="22"/>
          <w:szCs w:val="22"/>
          <w:lang w:val="sr-Latn-RS"/>
        </w:rPr>
        <w:t xml:space="preserve">Capecitabine PharmaSwiss film tablete ne </w:t>
      </w:r>
      <w:r w:rsidR="00583A23">
        <w:rPr>
          <w:sz w:val="22"/>
          <w:szCs w:val="22"/>
          <w:lang w:val="sr-Latn-RS"/>
        </w:rPr>
        <w:t xml:space="preserve">smiju se </w:t>
      </w:r>
      <w:r>
        <w:rPr>
          <w:sz w:val="22"/>
          <w:szCs w:val="22"/>
          <w:lang w:val="sr-Latn-RS"/>
        </w:rPr>
        <w:t>drobiti niti lomiti. U slučaju izlaganja pacijenta ili negovatelja zdrobljenim ili prelomljenim film tabletama mogu se javiti neželjene reakcije (vid</w:t>
      </w:r>
      <w:r w:rsidR="00191075">
        <w:rPr>
          <w:sz w:val="22"/>
          <w:szCs w:val="22"/>
          <w:lang w:val="sr-Latn-RS"/>
        </w:rPr>
        <w:t>j</w:t>
      </w:r>
      <w:r>
        <w:rPr>
          <w:sz w:val="22"/>
          <w:szCs w:val="22"/>
          <w:lang w:val="sr-Latn-RS"/>
        </w:rPr>
        <w:t xml:space="preserve">eti </w:t>
      </w:r>
      <w:r w:rsidR="00583A23">
        <w:rPr>
          <w:sz w:val="22"/>
          <w:szCs w:val="22"/>
          <w:lang w:val="sr-Latn-RS"/>
        </w:rPr>
        <w:t xml:space="preserve">dio </w:t>
      </w:r>
      <w:r>
        <w:rPr>
          <w:sz w:val="22"/>
          <w:szCs w:val="22"/>
          <w:lang w:val="sr-Latn-RS"/>
        </w:rPr>
        <w:t>4.8).</w:t>
      </w:r>
    </w:p>
    <w:p w14:paraId="64267EBD" w14:textId="77777777" w:rsidR="009547E3" w:rsidRPr="00C0654D" w:rsidRDefault="009547E3">
      <w:pPr>
        <w:tabs>
          <w:tab w:val="left" w:pos="284"/>
        </w:tabs>
        <w:jc w:val="both"/>
        <w:rPr>
          <w:sz w:val="22"/>
          <w:szCs w:val="22"/>
          <w:lang w:val="sr-Latn-ME"/>
        </w:rPr>
      </w:pPr>
    </w:p>
    <w:p w14:paraId="5FA99B17" w14:textId="77777777" w:rsidR="00411B4B" w:rsidRPr="00C0654D" w:rsidRDefault="00411B4B" w:rsidP="00BB7508">
      <w:pPr>
        <w:tabs>
          <w:tab w:val="left" w:pos="540"/>
          <w:tab w:val="left" w:pos="569"/>
        </w:tabs>
        <w:jc w:val="both"/>
        <w:rPr>
          <w:b/>
          <w:bCs/>
          <w:sz w:val="22"/>
          <w:szCs w:val="22"/>
          <w:lang w:val="sr-Latn-ME"/>
        </w:rPr>
      </w:pPr>
      <w:r w:rsidRPr="00C0654D">
        <w:rPr>
          <w:b/>
          <w:bCs/>
          <w:sz w:val="22"/>
          <w:szCs w:val="22"/>
          <w:lang w:val="sr-Latn-ME"/>
        </w:rPr>
        <w:lastRenderedPageBreak/>
        <w:t>4.5.</w:t>
      </w:r>
      <w:r w:rsidR="000D60CC" w:rsidRPr="00C0654D">
        <w:rPr>
          <w:b/>
          <w:bCs/>
          <w:sz w:val="22"/>
          <w:szCs w:val="22"/>
          <w:lang w:val="sr-Latn-ME"/>
        </w:rPr>
        <w:tab/>
      </w:r>
      <w:r w:rsidRPr="00C0654D">
        <w:rPr>
          <w:b/>
          <w:bCs/>
          <w:sz w:val="22"/>
          <w:szCs w:val="22"/>
          <w:lang w:val="sr-Latn-ME"/>
        </w:rPr>
        <w:t>Interakcije sa drugim ljekovima i druge vrste interakcija</w:t>
      </w:r>
    </w:p>
    <w:p w14:paraId="5FA99B18" w14:textId="1391C43F" w:rsidR="0072020E" w:rsidRPr="00C0654D" w:rsidRDefault="0072020E" w:rsidP="00BB7508">
      <w:pPr>
        <w:tabs>
          <w:tab w:val="left" w:pos="540"/>
          <w:tab w:val="left" w:pos="569"/>
        </w:tabs>
        <w:jc w:val="both"/>
        <w:rPr>
          <w:bCs/>
          <w:sz w:val="22"/>
          <w:szCs w:val="22"/>
          <w:lang w:val="sr-Latn-ME"/>
        </w:rPr>
      </w:pPr>
    </w:p>
    <w:p w14:paraId="72E6D67B" w14:textId="77777777" w:rsidR="00881B53" w:rsidRPr="00C0654D" w:rsidRDefault="00881B53" w:rsidP="00D85C58">
      <w:pPr>
        <w:tabs>
          <w:tab w:val="left" w:pos="284"/>
        </w:tabs>
        <w:jc w:val="both"/>
        <w:rPr>
          <w:sz w:val="22"/>
          <w:szCs w:val="22"/>
          <w:lang w:val="sr-Latn-ME"/>
        </w:rPr>
      </w:pPr>
      <w:r w:rsidRPr="00C0654D">
        <w:rPr>
          <w:sz w:val="22"/>
          <w:szCs w:val="22"/>
          <w:lang w:val="sr-Latn-ME"/>
        </w:rPr>
        <w:t>Studije interakcija su sprovedene samo kod odraslih.</w:t>
      </w:r>
    </w:p>
    <w:p w14:paraId="1CBF1A62" w14:textId="77777777" w:rsidR="00881B53" w:rsidRPr="00C0654D" w:rsidRDefault="00881B53" w:rsidP="00CA1BE0">
      <w:pPr>
        <w:tabs>
          <w:tab w:val="left" w:pos="284"/>
        </w:tabs>
        <w:jc w:val="both"/>
        <w:rPr>
          <w:sz w:val="22"/>
          <w:szCs w:val="22"/>
          <w:lang w:val="sr-Latn-ME"/>
        </w:rPr>
      </w:pPr>
    </w:p>
    <w:p w14:paraId="6A63D214" w14:textId="77777777" w:rsidR="00881B53" w:rsidRPr="00C0654D" w:rsidRDefault="00881B53">
      <w:pPr>
        <w:tabs>
          <w:tab w:val="left" w:pos="284"/>
        </w:tabs>
        <w:jc w:val="both"/>
        <w:rPr>
          <w:b/>
          <w:sz w:val="22"/>
          <w:szCs w:val="22"/>
          <w:lang w:val="sr-Latn-ME"/>
        </w:rPr>
      </w:pPr>
      <w:r w:rsidRPr="00C0654D">
        <w:rPr>
          <w:b/>
          <w:sz w:val="22"/>
          <w:szCs w:val="22"/>
          <w:lang w:val="sr-Latn-ME"/>
        </w:rPr>
        <w:t>Interakcije sa drugim ljekovima</w:t>
      </w:r>
    </w:p>
    <w:p w14:paraId="794D5C83" w14:textId="77777777" w:rsidR="00583A23" w:rsidRDefault="00583A23">
      <w:pPr>
        <w:tabs>
          <w:tab w:val="left" w:pos="284"/>
        </w:tabs>
        <w:jc w:val="both"/>
        <w:rPr>
          <w:i/>
          <w:sz w:val="22"/>
          <w:szCs w:val="22"/>
          <w:lang w:val="sr-Latn-ME"/>
        </w:rPr>
      </w:pPr>
    </w:p>
    <w:p w14:paraId="3C58B621" w14:textId="5379F540" w:rsidR="00583A23" w:rsidRDefault="00583A23">
      <w:pPr>
        <w:tabs>
          <w:tab w:val="left" w:pos="284"/>
        </w:tabs>
        <w:jc w:val="both"/>
        <w:rPr>
          <w:i/>
          <w:sz w:val="22"/>
          <w:szCs w:val="22"/>
          <w:lang w:val="sr-Latn-ME"/>
        </w:rPr>
      </w:pPr>
      <w:r w:rsidRPr="0024013B">
        <w:rPr>
          <w:i/>
          <w:sz w:val="22"/>
          <w:szCs w:val="22"/>
          <w:lang w:val="sr-Latn-ME"/>
        </w:rPr>
        <w:t>Brivudin: opisana je klinički značajna interakcija između brivudina i fluoropirimidina (npr. kapecitabin, 5-florouracil, tegafur), koja je posljedica inhibicije dihidropirimidin dehidrogenaze od strane brivudina. Ova interakcija, koja dovodi do pojačane toksičnosti fluoropirimidina, potencijalno je fatalna.</w:t>
      </w:r>
      <w:r w:rsidR="00DF6F46" w:rsidRPr="0024013B">
        <w:rPr>
          <w:i/>
          <w:sz w:val="22"/>
          <w:szCs w:val="22"/>
          <w:lang w:val="sr-Latn-ME"/>
        </w:rPr>
        <w:t xml:space="preserve"> Zbog toga </w:t>
      </w:r>
      <w:r w:rsidRPr="0024013B">
        <w:rPr>
          <w:i/>
          <w:sz w:val="22"/>
          <w:szCs w:val="22"/>
          <w:lang w:val="sr-Latn-ME"/>
        </w:rPr>
        <w:t xml:space="preserve"> se brivudin ne smije primjenjivati istovremeno sa  kapecitabinom (vidjeti dijelove 4.3 i 4.4). Mora postojati barem četiri nedjelje pauze između završetka terapije brivudinom ili početka terapije kapecitabinom. Terapija brivudinom može se započeti 24 sata nakon primjene posljednje doze kapecitabina.</w:t>
      </w:r>
    </w:p>
    <w:p w14:paraId="44EC0BB1" w14:textId="77777777" w:rsidR="00583A23" w:rsidRDefault="00583A23">
      <w:pPr>
        <w:tabs>
          <w:tab w:val="left" w:pos="284"/>
        </w:tabs>
        <w:jc w:val="both"/>
        <w:rPr>
          <w:i/>
          <w:sz w:val="22"/>
          <w:szCs w:val="22"/>
          <w:lang w:val="sr-Latn-ME"/>
        </w:rPr>
      </w:pPr>
    </w:p>
    <w:p w14:paraId="127F371D" w14:textId="46AD1D4E" w:rsidR="00881B53" w:rsidRPr="00C0654D" w:rsidRDefault="00881B53">
      <w:pPr>
        <w:tabs>
          <w:tab w:val="left" w:pos="284"/>
        </w:tabs>
        <w:jc w:val="both"/>
        <w:rPr>
          <w:sz w:val="22"/>
          <w:szCs w:val="22"/>
          <w:lang w:val="sr-Latn-ME"/>
        </w:rPr>
      </w:pPr>
      <w:r w:rsidRPr="00C0654D">
        <w:rPr>
          <w:i/>
          <w:sz w:val="22"/>
          <w:szCs w:val="22"/>
          <w:lang w:val="sr-Latn-ME"/>
        </w:rPr>
        <w:t>Supstrati citohroma P-450 2C9</w:t>
      </w:r>
      <w:r w:rsidRPr="00C0654D">
        <w:rPr>
          <w:sz w:val="22"/>
          <w:szCs w:val="22"/>
          <w:lang w:val="sr-Latn-ME"/>
        </w:rPr>
        <w:t xml:space="preserve">: sem interakcija sa varfarinom, nije bilo zvaničnih studija o interakcijama ljekova pri istovremenoj upotrebi kapecitabina i ostalih supstrata CYP2C9. Istovremenu primjenu kapecitabina i 2C9 substrata (npr. fenitoin) treba pažljivo pratiti. Vidjeti takođe interakcije sa kumarinskim antikoagulansima ispod i </w:t>
      </w:r>
      <w:r w:rsidR="00583A23">
        <w:rPr>
          <w:sz w:val="22"/>
          <w:szCs w:val="22"/>
          <w:lang w:val="sr-Latn-ME"/>
        </w:rPr>
        <w:t xml:space="preserve">dio </w:t>
      </w:r>
      <w:r w:rsidRPr="00C0654D">
        <w:rPr>
          <w:sz w:val="22"/>
          <w:szCs w:val="22"/>
          <w:lang w:val="sr-Latn-ME"/>
        </w:rPr>
        <w:t>4.4.</w:t>
      </w:r>
    </w:p>
    <w:p w14:paraId="357211F4" w14:textId="77777777" w:rsidR="00881B53" w:rsidRPr="00C0654D" w:rsidRDefault="00881B53">
      <w:pPr>
        <w:tabs>
          <w:tab w:val="left" w:pos="284"/>
        </w:tabs>
        <w:jc w:val="both"/>
        <w:rPr>
          <w:sz w:val="22"/>
          <w:szCs w:val="22"/>
          <w:lang w:val="sr-Latn-ME"/>
        </w:rPr>
      </w:pPr>
    </w:p>
    <w:p w14:paraId="74277CE1" w14:textId="77777777" w:rsidR="00881B53" w:rsidRPr="00C0654D" w:rsidRDefault="00881B53">
      <w:pPr>
        <w:tabs>
          <w:tab w:val="left" w:pos="284"/>
        </w:tabs>
        <w:jc w:val="both"/>
        <w:rPr>
          <w:sz w:val="22"/>
          <w:szCs w:val="22"/>
          <w:lang w:val="sr-Latn-ME"/>
        </w:rPr>
      </w:pPr>
      <w:r w:rsidRPr="00C0654D">
        <w:rPr>
          <w:i/>
          <w:sz w:val="22"/>
          <w:szCs w:val="22"/>
          <w:lang w:val="sr-Latn-ME"/>
        </w:rPr>
        <w:t>Kumarinski antikoagulansi</w:t>
      </w:r>
      <w:r w:rsidRPr="00C0654D">
        <w:rPr>
          <w:sz w:val="22"/>
          <w:szCs w:val="22"/>
          <w:lang w:val="sr-Latn-ME"/>
        </w:rPr>
        <w:t xml:space="preserve">: kod pacijenata koji istovremeno uzimaju kapecitabin i kumarinske antikoagulanse kao što su varfarin i fenprokumon, zabilježeni su izmijenjeni parametri koagulacije i/ili krvarenje. Ove reakcije su se javljale nekoliko dana ili do nekoliko mjeseci nakon započinjanja terapije kapecitabinom i, u nekim slučajevima, u roku od mjesec dana po prestanku terapije ovim lijekom. U kliničkoj farmakokinetičkoj studiji interakcija, nakon pojedinačne doze varfarina od 20 mg, primjena kapecitabina dovodi do povećanja PIK vrednosti S-varfarina za 57% i vrijednosti INR za 91%. Budući da nema uticaja na metabolizam R-varfarina, ovi rezultati ukazuju na to da kapecitabin usporava djelovanje izoenzima 2C9, ali nema dejstva na izoenzime 1A2 i 3A4. Pacijente koji uzimaju kumarinske antikoagulanse istovremeno sa kapecitabinom, treba pažljivo pratiti da se identifikuju izmjene u njihovim parametrima koagulacije (PT ili INR), i u skladu sa tim prilagoditi dozu antikoagulansa. </w:t>
      </w:r>
    </w:p>
    <w:p w14:paraId="29EEA945" w14:textId="77777777" w:rsidR="00881B53" w:rsidRPr="00C0654D" w:rsidRDefault="00881B53">
      <w:pPr>
        <w:tabs>
          <w:tab w:val="left" w:pos="284"/>
        </w:tabs>
        <w:jc w:val="both"/>
        <w:rPr>
          <w:sz w:val="22"/>
          <w:szCs w:val="22"/>
          <w:lang w:val="sr-Latn-ME"/>
        </w:rPr>
      </w:pPr>
    </w:p>
    <w:p w14:paraId="43E07456" w14:textId="77777777" w:rsidR="00881B53" w:rsidRPr="00C0654D" w:rsidRDefault="00881B53">
      <w:pPr>
        <w:tabs>
          <w:tab w:val="left" w:pos="284"/>
        </w:tabs>
        <w:jc w:val="both"/>
        <w:rPr>
          <w:sz w:val="22"/>
          <w:szCs w:val="22"/>
          <w:lang w:val="sr-Latn-ME"/>
        </w:rPr>
      </w:pPr>
      <w:r w:rsidRPr="00C0654D">
        <w:rPr>
          <w:i/>
          <w:sz w:val="22"/>
          <w:szCs w:val="22"/>
          <w:lang w:val="sr-Latn-ME"/>
        </w:rPr>
        <w:t>Fenitoin</w:t>
      </w:r>
      <w:r w:rsidRPr="00C0654D">
        <w:rPr>
          <w:sz w:val="22"/>
          <w:szCs w:val="22"/>
          <w:lang w:val="sr-Latn-ME"/>
        </w:rPr>
        <w:t>: tokom istovremene primjene kapecitabina i fenitoina, zabilježene su povećane koncentracije fenitoina u plazmi koje u pojedinim slučajevima dovode do simptoma intoksikacije fenitoinom. Pacijente koji uzimaju fenitoin istovremeno sa kapecitabinom, treba redovno pratiti da bi se identifikovale povećane koncentracije fenitoina u plazmi.</w:t>
      </w:r>
    </w:p>
    <w:p w14:paraId="14DBF0E5" w14:textId="77777777" w:rsidR="00881B53" w:rsidRPr="00C0654D" w:rsidRDefault="00881B53">
      <w:pPr>
        <w:tabs>
          <w:tab w:val="left" w:pos="284"/>
        </w:tabs>
        <w:jc w:val="both"/>
        <w:rPr>
          <w:sz w:val="22"/>
          <w:szCs w:val="22"/>
          <w:lang w:val="sr-Latn-ME"/>
        </w:rPr>
      </w:pPr>
    </w:p>
    <w:p w14:paraId="54B53903" w14:textId="77777777" w:rsidR="00881B53" w:rsidRPr="00C0654D" w:rsidRDefault="00881B53">
      <w:pPr>
        <w:tabs>
          <w:tab w:val="left" w:pos="284"/>
        </w:tabs>
        <w:jc w:val="both"/>
        <w:rPr>
          <w:sz w:val="22"/>
          <w:szCs w:val="22"/>
          <w:lang w:val="sr-Latn-ME"/>
        </w:rPr>
      </w:pPr>
      <w:r w:rsidRPr="00C0654D">
        <w:rPr>
          <w:i/>
          <w:sz w:val="22"/>
          <w:szCs w:val="22"/>
          <w:lang w:val="sr-Latn-ME"/>
        </w:rPr>
        <w:t>Folinska/Folna kiselina</w:t>
      </w:r>
      <w:r w:rsidRPr="00C0654D">
        <w:rPr>
          <w:sz w:val="22"/>
          <w:szCs w:val="22"/>
          <w:lang w:val="sr-Latn-ME"/>
        </w:rPr>
        <w:t>: ispitivanje kombinovane terapije kapecitabina i folinske kiseline ukazuje na to da  folinska kiselina nema većeg uticaja na farmakokinetiku kapecitabina i njegove metabolite. Međutim, folinska kiselina utiče na farmakodinamiku kapecitabina i može pojačati njegovu toksičnost: maksimalna tolerisana doza (MTD) kapecitabina u monoterapiji kada se primjenjuje intermitentni režim je 3000 mg/m</w:t>
      </w:r>
      <w:r w:rsidRPr="00C0654D">
        <w:rPr>
          <w:sz w:val="22"/>
          <w:szCs w:val="22"/>
          <w:vertAlign w:val="superscript"/>
          <w:lang w:val="sr-Latn-ME"/>
        </w:rPr>
        <w:t>2</w:t>
      </w:r>
      <w:r w:rsidRPr="00C0654D">
        <w:rPr>
          <w:sz w:val="22"/>
          <w:szCs w:val="22"/>
          <w:lang w:val="sr-Latn-ME"/>
        </w:rPr>
        <w:t xml:space="preserve"> dnevno, dok je samo 2000 mg/m</w:t>
      </w:r>
      <w:r w:rsidRPr="00C0654D">
        <w:rPr>
          <w:sz w:val="22"/>
          <w:szCs w:val="22"/>
          <w:vertAlign w:val="superscript"/>
          <w:lang w:val="sr-Latn-ME"/>
        </w:rPr>
        <w:t>2</w:t>
      </w:r>
      <w:r w:rsidRPr="00C0654D">
        <w:rPr>
          <w:sz w:val="22"/>
          <w:szCs w:val="22"/>
          <w:lang w:val="sr-Latn-ME"/>
        </w:rPr>
        <w:t xml:space="preserve">  dnevno kada se primjenjuje u kombinaciji sa folinskom kiselinom (30 mg oralno, dva puta dnevno). Povećana toksičnost može se javiti pri prelazu sa 5-FU/LV na kapecitabin. Takođe se može javiti pri suplementaciji folnom kiselinom, zbog sličnosti između folinske i folne kiseline.</w:t>
      </w:r>
    </w:p>
    <w:p w14:paraId="47590E4B" w14:textId="77777777" w:rsidR="00881B53" w:rsidRPr="00C0654D" w:rsidRDefault="00881B53">
      <w:pPr>
        <w:tabs>
          <w:tab w:val="left" w:pos="284"/>
        </w:tabs>
        <w:jc w:val="both"/>
        <w:rPr>
          <w:sz w:val="22"/>
          <w:szCs w:val="22"/>
          <w:lang w:val="sr-Latn-ME"/>
        </w:rPr>
      </w:pPr>
    </w:p>
    <w:p w14:paraId="23C5E6B5" w14:textId="77777777" w:rsidR="00881B53" w:rsidRPr="00C0654D" w:rsidRDefault="00881B53" w:rsidP="00583A23">
      <w:pPr>
        <w:tabs>
          <w:tab w:val="left" w:pos="284"/>
        </w:tabs>
        <w:jc w:val="both"/>
        <w:rPr>
          <w:sz w:val="22"/>
          <w:szCs w:val="22"/>
          <w:lang w:val="sr-Latn-ME"/>
        </w:rPr>
      </w:pPr>
      <w:r w:rsidRPr="00C0654D">
        <w:rPr>
          <w:i/>
          <w:sz w:val="22"/>
          <w:szCs w:val="22"/>
          <w:lang w:val="sr-Latn-ME"/>
        </w:rPr>
        <w:t>Antacidi</w:t>
      </w:r>
      <w:r w:rsidRPr="00C0654D">
        <w:rPr>
          <w:sz w:val="22"/>
          <w:szCs w:val="22"/>
          <w:lang w:val="sr-Latn-ME"/>
        </w:rPr>
        <w:t>: Ispitivano je dejstvo antacida koji sadrži aluminijum hidroksid i magnezijum hidroksid na farmakokinetiku kapecitabina. Zabilježeno je malo povećanje koncentracije kapecitabina i jednog metabolita (5'- DFCR) u plazmi; nije bilo uticaja na tri glavna metabolita (5'-DFUR, 5-FU i FBAL).</w:t>
      </w:r>
    </w:p>
    <w:p w14:paraId="7A3073E2" w14:textId="77777777" w:rsidR="00881B53" w:rsidRPr="00C0654D" w:rsidRDefault="00881B53">
      <w:pPr>
        <w:tabs>
          <w:tab w:val="left" w:pos="284"/>
        </w:tabs>
        <w:jc w:val="both"/>
        <w:rPr>
          <w:sz w:val="22"/>
          <w:szCs w:val="22"/>
          <w:lang w:val="sr-Latn-ME"/>
        </w:rPr>
      </w:pPr>
    </w:p>
    <w:p w14:paraId="2FDAA5E8" w14:textId="77777777" w:rsidR="00881B53" w:rsidRPr="00C0654D" w:rsidRDefault="00881B53">
      <w:pPr>
        <w:tabs>
          <w:tab w:val="left" w:pos="284"/>
        </w:tabs>
        <w:jc w:val="both"/>
        <w:rPr>
          <w:sz w:val="22"/>
          <w:szCs w:val="22"/>
          <w:lang w:val="sr-Latn-ME"/>
        </w:rPr>
      </w:pPr>
      <w:r w:rsidRPr="00C0654D">
        <w:rPr>
          <w:i/>
          <w:sz w:val="22"/>
          <w:szCs w:val="22"/>
          <w:lang w:val="sr-Latn-ME"/>
        </w:rPr>
        <w:t>Alopurinol</w:t>
      </w:r>
      <w:r w:rsidRPr="00C0654D">
        <w:rPr>
          <w:sz w:val="22"/>
          <w:szCs w:val="22"/>
          <w:lang w:val="sr-Latn-ME"/>
        </w:rPr>
        <w:t xml:space="preserve">: Zabilježene su interakcije alopurinola sa 5-FU, sa mogućnošću smanjene efikasnosti 5-FU. Treba izbjegavati istovremenu primjenu alopurinola sa kapecitabinom. </w:t>
      </w:r>
    </w:p>
    <w:p w14:paraId="721B720C" w14:textId="77777777" w:rsidR="00881B53" w:rsidRPr="00C0654D" w:rsidRDefault="00881B53">
      <w:pPr>
        <w:tabs>
          <w:tab w:val="left" w:pos="284"/>
        </w:tabs>
        <w:jc w:val="both"/>
        <w:rPr>
          <w:sz w:val="22"/>
          <w:szCs w:val="22"/>
          <w:lang w:val="sr-Latn-ME"/>
        </w:rPr>
      </w:pPr>
    </w:p>
    <w:p w14:paraId="21F31C1D" w14:textId="77777777" w:rsidR="00881B53" w:rsidRPr="00C0654D" w:rsidRDefault="00881B53">
      <w:pPr>
        <w:tabs>
          <w:tab w:val="left" w:pos="284"/>
        </w:tabs>
        <w:jc w:val="both"/>
        <w:rPr>
          <w:sz w:val="22"/>
          <w:szCs w:val="22"/>
          <w:lang w:val="sr-Latn-ME"/>
        </w:rPr>
      </w:pPr>
      <w:r w:rsidRPr="00C0654D">
        <w:rPr>
          <w:i/>
          <w:sz w:val="22"/>
          <w:szCs w:val="22"/>
          <w:lang w:val="sr-Latn-ME"/>
        </w:rPr>
        <w:t>Interferon alfa</w:t>
      </w:r>
      <w:r w:rsidRPr="00C0654D">
        <w:rPr>
          <w:sz w:val="22"/>
          <w:szCs w:val="22"/>
          <w:lang w:val="sr-Latn-ME"/>
        </w:rPr>
        <w:t>: MTD kapecitabina je iznosila 2000 mg/m</w:t>
      </w:r>
      <w:r w:rsidRPr="00C0654D">
        <w:rPr>
          <w:sz w:val="22"/>
          <w:szCs w:val="22"/>
          <w:vertAlign w:val="superscript"/>
          <w:lang w:val="sr-Latn-ME"/>
        </w:rPr>
        <w:t>2</w:t>
      </w:r>
      <w:r w:rsidRPr="00C0654D">
        <w:rPr>
          <w:sz w:val="22"/>
          <w:szCs w:val="22"/>
          <w:lang w:val="sr-Latn-ME"/>
        </w:rPr>
        <w:t xml:space="preserve"> dnevno kada je kombinovan sa interferonom alfa-2a (3 MIU/m2 dnevno), u poređenju sa 3000 mg/m</w:t>
      </w:r>
      <w:r w:rsidRPr="00C0654D">
        <w:rPr>
          <w:sz w:val="22"/>
          <w:szCs w:val="22"/>
          <w:vertAlign w:val="superscript"/>
          <w:lang w:val="sr-Latn-ME"/>
        </w:rPr>
        <w:t>2</w:t>
      </w:r>
      <w:r w:rsidRPr="00C0654D">
        <w:rPr>
          <w:sz w:val="22"/>
          <w:szCs w:val="22"/>
          <w:lang w:val="sr-Latn-ME"/>
        </w:rPr>
        <w:t xml:space="preserve"> dnevno kada se koristio u monoterapiji.</w:t>
      </w:r>
    </w:p>
    <w:p w14:paraId="068A51CA" w14:textId="77777777" w:rsidR="00881B53" w:rsidRPr="00C0654D" w:rsidRDefault="00881B53">
      <w:pPr>
        <w:tabs>
          <w:tab w:val="left" w:pos="284"/>
        </w:tabs>
        <w:jc w:val="both"/>
        <w:rPr>
          <w:sz w:val="22"/>
          <w:szCs w:val="22"/>
          <w:lang w:val="sr-Latn-ME"/>
        </w:rPr>
      </w:pPr>
    </w:p>
    <w:p w14:paraId="03707047" w14:textId="77777777" w:rsidR="00881B53" w:rsidRPr="00C0654D" w:rsidRDefault="00881B53">
      <w:pPr>
        <w:tabs>
          <w:tab w:val="left" w:pos="284"/>
        </w:tabs>
        <w:jc w:val="both"/>
        <w:rPr>
          <w:sz w:val="22"/>
          <w:szCs w:val="22"/>
          <w:lang w:val="sr-Latn-ME"/>
        </w:rPr>
      </w:pPr>
      <w:r w:rsidRPr="00C0654D">
        <w:rPr>
          <w:i/>
          <w:sz w:val="22"/>
          <w:szCs w:val="22"/>
          <w:lang w:val="sr-Latn-ME"/>
        </w:rPr>
        <w:t>Radioterapija</w:t>
      </w:r>
      <w:r w:rsidRPr="00C0654D">
        <w:rPr>
          <w:sz w:val="22"/>
          <w:szCs w:val="22"/>
          <w:lang w:val="sr-Latn-ME"/>
        </w:rPr>
        <w:t>: MTD kapecitabina kada se primjenjuje kao monoterapija u intermitentnom režimu iznosi 3000 mg/m</w:t>
      </w:r>
      <w:r w:rsidRPr="00C0654D">
        <w:rPr>
          <w:sz w:val="22"/>
          <w:szCs w:val="22"/>
          <w:vertAlign w:val="superscript"/>
          <w:lang w:val="sr-Latn-ME"/>
        </w:rPr>
        <w:t>2</w:t>
      </w:r>
      <w:r w:rsidRPr="00C0654D">
        <w:rPr>
          <w:sz w:val="22"/>
          <w:szCs w:val="22"/>
          <w:lang w:val="sr-Latn-ME"/>
        </w:rPr>
        <w:t xml:space="preserve"> dnevno, dok u kombinaciji sa radioterapijom rektalnog karcinoma, MTD kapecitabina </w:t>
      </w:r>
      <w:r w:rsidRPr="00C0654D">
        <w:rPr>
          <w:sz w:val="22"/>
          <w:szCs w:val="22"/>
          <w:lang w:val="sr-Latn-ME"/>
        </w:rPr>
        <w:lastRenderedPageBreak/>
        <w:t>iznosi 2000 mg/m</w:t>
      </w:r>
      <w:r w:rsidRPr="00C0654D">
        <w:rPr>
          <w:sz w:val="22"/>
          <w:szCs w:val="22"/>
          <w:vertAlign w:val="superscript"/>
          <w:lang w:val="sr-Latn-ME"/>
        </w:rPr>
        <w:t>2</w:t>
      </w:r>
      <w:r w:rsidRPr="00C0654D">
        <w:rPr>
          <w:sz w:val="22"/>
          <w:szCs w:val="22"/>
          <w:lang w:val="sr-Latn-ME"/>
        </w:rPr>
        <w:t xml:space="preserve"> dnevno kada se primjenjuje bilo kao kontinuirana šema ili svakodnevno od ponedjeljka do petka tokom šestonedjeljnog ciklusa radioterapije.</w:t>
      </w:r>
    </w:p>
    <w:p w14:paraId="0B90089F" w14:textId="77777777" w:rsidR="00881B53" w:rsidRPr="00C0654D" w:rsidRDefault="00881B53">
      <w:pPr>
        <w:tabs>
          <w:tab w:val="left" w:pos="284"/>
        </w:tabs>
        <w:jc w:val="both"/>
        <w:rPr>
          <w:sz w:val="22"/>
          <w:szCs w:val="22"/>
          <w:lang w:val="sr-Latn-ME"/>
        </w:rPr>
      </w:pPr>
    </w:p>
    <w:p w14:paraId="2FA77169" w14:textId="77777777" w:rsidR="00881B53" w:rsidRPr="00C0654D" w:rsidRDefault="00881B53">
      <w:pPr>
        <w:tabs>
          <w:tab w:val="left" w:pos="284"/>
        </w:tabs>
        <w:jc w:val="both"/>
        <w:rPr>
          <w:sz w:val="22"/>
          <w:szCs w:val="22"/>
          <w:lang w:val="sr-Latn-ME"/>
        </w:rPr>
      </w:pPr>
      <w:r w:rsidRPr="00C0654D">
        <w:rPr>
          <w:i/>
          <w:sz w:val="22"/>
          <w:szCs w:val="22"/>
          <w:lang w:val="sr-Latn-ME"/>
        </w:rPr>
        <w:t>Oksaliplatin</w:t>
      </w:r>
      <w:r w:rsidRPr="00C0654D">
        <w:rPr>
          <w:sz w:val="22"/>
          <w:szCs w:val="22"/>
          <w:lang w:val="sr-Latn-ME"/>
        </w:rPr>
        <w:t>: Nijesu zabelježene klinički značajne razlike u izloženosti kapecitabinu ili njegovim metabolitima, slobodnoj platini ili ukupnoj platini kada je kapecitabin primjenjivan u kombinaciji sa oksaliplatinom ili u kombinaciji sa oksaliplatinom i bevacizumabom.</w:t>
      </w:r>
    </w:p>
    <w:p w14:paraId="45B6A515" w14:textId="77777777" w:rsidR="00881B53" w:rsidRPr="00C0654D" w:rsidRDefault="00881B53">
      <w:pPr>
        <w:tabs>
          <w:tab w:val="left" w:pos="284"/>
        </w:tabs>
        <w:jc w:val="both"/>
        <w:rPr>
          <w:sz w:val="22"/>
          <w:szCs w:val="22"/>
          <w:lang w:val="sr-Latn-ME"/>
        </w:rPr>
      </w:pPr>
    </w:p>
    <w:p w14:paraId="0AE7EB9A" w14:textId="77777777" w:rsidR="00881B53" w:rsidRPr="00C0654D" w:rsidRDefault="00881B53">
      <w:pPr>
        <w:tabs>
          <w:tab w:val="left" w:pos="284"/>
        </w:tabs>
        <w:jc w:val="both"/>
        <w:rPr>
          <w:sz w:val="22"/>
          <w:szCs w:val="22"/>
          <w:lang w:val="sr-Latn-ME"/>
        </w:rPr>
      </w:pPr>
      <w:r w:rsidRPr="00C0654D">
        <w:rPr>
          <w:i/>
          <w:sz w:val="22"/>
          <w:szCs w:val="22"/>
          <w:lang w:val="sr-Latn-ME"/>
        </w:rPr>
        <w:t>Bevacizumab</w:t>
      </w:r>
      <w:r w:rsidRPr="00C0654D">
        <w:rPr>
          <w:sz w:val="22"/>
          <w:szCs w:val="22"/>
          <w:lang w:val="sr-Latn-ME"/>
        </w:rPr>
        <w:t>: Nije bilo klinički značajnog uticaja bevacizumaba na farmakokinetičke parametre kapecitabina ili njegovih metabolita u prisustvu oksaliplatina.</w:t>
      </w:r>
    </w:p>
    <w:p w14:paraId="7E4625AB" w14:textId="77777777" w:rsidR="00881B53" w:rsidRPr="00C0654D" w:rsidRDefault="00881B53">
      <w:pPr>
        <w:tabs>
          <w:tab w:val="left" w:pos="284"/>
        </w:tabs>
        <w:jc w:val="both"/>
        <w:rPr>
          <w:b/>
          <w:sz w:val="22"/>
          <w:szCs w:val="22"/>
          <w:lang w:val="sr-Latn-ME"/>
        </w:rPr>
      </w:pPr>
    </w:p>
    <w:p w14:paraId="64201033" w14:textId="77777777" w:rsidR="00881B53" w:rsidRPr="00C0654D" w:rsidRDefault="00881B53">
      <w:pPr>
        <w:tabs>
          <w:tab w:val="left" w:pos="284"/>
        </w:tabs>
        <w:jc w:val="both"/>
        <w:rPr>
          <w:b/>
          <w:sz w:val="22"/>
          <w:szCs w:val="22"/>
          <w:lang w:val="sr-Latn-ME"/>
        </w:rPr>
      </w:pPr>
      <w:r w:rsidRPr="00C0654D">
        <w:rPr>
          <w:b/>
          <w:sz w:val="22"/>
          <w:szCs w:val="22"/>
          <w:lang w:val="sr-Latn-ME"/>
        </w:rPr>
        <w:t>Interakcije sa hranom</w:t>
      </w:r>
    </w:p>
    <w:p w14:paraId="3D1A50C4" w14:textId="35E6A460" w:rsidR="00881B53" w:rsidRPr="00C0654D" w:rsidRDefault="00881B53">
      <w:pPr>
        <w:tabs>
          <w:tab w:val="left" w:pos="284"/>
        </w:tabs>
        <w:jc w:val="both"/>
        <w:rPr>
          <w:sz w:val="22"/>
          <w:szCs w:val="22"/>
          <w:lang w:val="sr-Latn-ME"/>
        </w:rPr>
      </w:pPr>
      <w:r w:rsidRPr="00C0654D">
        <w:rPr>
          <w:sz w:val="22"/>
          <w:szCs w:val="22"/>
          <w:lang w:val="sr-Latn-ME"/>
        </w:rPr>
        <w:t xml:space="preserve">U svim kliničkim ispitivanjima, pacijentima je savjetovano da kapecitabin uzimaju </w:t>
      </w:r>
      <w:r w:rsidR="00DF6F46">
        <w:rPr>
          <w:sz w:val="22"/>
          <w:szCs w:val="22"/>
          <w:lang w:val="sr-Latn-ME"/>
        </w:rPr>
        <w:t xml:space="preserve">najkasnije </w:t>
      </w:r>
      <w:r w:rsidRPr="00C0654D">
        <w:rPr>
          <w:sz w:val="22"/>
          <w:szCs w:val="22"/>
          <w:lang w:val="sr-Latn-ME"/>
        </w:rPr>
        <w:t xml:space="preserve">30 minuta nakon obroka. Budući da </w:t>
      </w:r>
      <w:r w:rsidR="00DF6F46">
        <w:rPr>
          <w:sz w:val="22"/>
          <w:szCs w:val="22"/>
          <w:lang w:val="sr-Latn-ME"/>
        </w:rPr>
        <w:t xml:space="preserve">su postojeći </w:t>
      </w:r>
      <w:r w:rsidRPr="00C0654D">
        <w:rPr>
          <w:sz w:val="22"/>
          <w:szCs w:val="22"/>
          <w:lang w:val="sr-Latn-ME"/>
        </w:rPr>
        <w:t xml:space="preserve">podaci o bezbjednosti i efikasnosti bazirani na </w:t>
      </w:r>
      <w:r w:rsidR="00DF6F46">
        <w:rPr>
          <w:sz w:val="22"/>
          <w:szCs w:val="22"/>
          <w:lang w:val="sr-Latn-ME"/>
        </w:rPr>
        <w:t xml:space="preserve">primjenu lijeka </w:t>
      </w:r>
      <w:r w:rsidRPr="00C0654D">
        <w:rPr>
          <w:sz w:val="22"/>
          <w:szCs w:val="22"/>
          <w:lang w:val="sr-Latn-ME"/>
        </w:rPr>
        <w:t xml:space="preserve">sa hranom, preporučuje se da se lijek Capecitabine PharmaSwiss uzima sa hranom. Uzimanje lijeka sa hranom smanjuje brzinu resorpcije kapecitabina (vidjeti </w:t>
      </w:r>
      <w:r w:rsidR="00DF6F46">
        <w:rPr>
          <w:sz w:val="22"/>
          <w:szCs w:val="22"/>
          <w:lang w:val="sr-Latn-ME"/>
        </w:rPr>
        <w:t xml:space="preserve">dio </w:t>
      </w:r>
      <w:r w:rsidRPr="00C0654D">
        <w:rPr>
          <w:sz w:val="22"/>
          <w:szCs w:val="22"/>
          <w:lang w:val="sr-Latn-ME"/>
        </w:rPr>
        <w:t>5.2).</w:t>
      </w:r>
    </w:p>
    <w:p w14:paraId="5A225A16" w14:textId="77777777" w:rsidR="00881B53" w:rsidRPr="00C0654D" w:rsidRDefault="00881B53" w:rsidP="00BB7508">
      <w:pPr>
        <w:tabs>
          <w:tab w:val="left" w:pos="540"/>
          <w:tab w:val="left" w:pos="569"/>
        </w:tabs>
        <w:jc w:val="both"/>
        <w:rPr>
          <w:b/>
          <w:sz w:val="22"/>
          <w:szCs w:val="22"/>
          <w:lang w:val="sr-Latn-ME"/>
        </w:rPr>
      </w:pPr>
    </w:p>
    <w:p w14:paraId="5FA99B19" w14:textId="77777777" w:rsidR="0072020E" w:rsidRPr="00C0654D" w:rsidRDefault="0072020E" w:rsidP="00BB7508">
      <w:pPr>
        <w:tabs>
          <w:tab w:val="left" w:pos="540"/>
          <w:tab w:val="left" w:pos="569"/>
        </w:tabs>
        <w:jc w:val="both"/>
        <w:rPr>
          <w:b/>
          <w:sz w:val="22"/>
          <w:szCs w:val="22"/>
          <w:lang w:val="sr-Latn-ME"/>
        </w:rPr>
      </w:pPr>
      <w:r w:rsidRPr="00C0654D">
        <w:rPr>
          <w:b/>
          <w:bCs/>
          <w:sz w:val="22"/>
          <w:szCs w:val="22"/>
          <w:lang w:val="sr-Latn-ME"/>
        </w:rPr>
        <w:t xml:space="preserve">4.6. </w:t>
      </w:r>
      <w:r w:rsidR="00480FB1" w:rsidRPr="00C0654D">
        <w:rPr>
          <w:b/>
          <w:bCs/>
          <w:sz w:val="22"/>
          <w:szCs w:val="22"/>
          <w:lang w:val="sr-Latn-ME"/>
        </w:rPr>
        <w:tab/>
      </w:r>
      <w:r w:rsidR="006D20A5" w:rsidRPr="00C0654D">
        <w:rPr>
          <w:b/>
          <w:sz w:val="22"/>
          <w:szCs w:val="22"/>
          <w:lang w:val="sr-Latn-ME"/>
        </w:rPr>
        <w:t>Plodnost, trudnoća i dojenje</w:t>
      </w:r>
    </w:p>
    <w:p w14:paraId="5FA99B1A" w14:textId="77777777" w:rsidR="002031B3" w:rsidRPr="00C0654D" w:rsidRDefault="002031B3" w:rsidP="00BB7508">
      <w:pPr>
        <w:tabs>
          <w:tab w:val="left" w:pos="540"/>
          <w:tab w:val="left" w:pos="569"/>
        </w:tabs>
        <w:jc w:val="both"/>
        <w:rPr>
          <w:sz w:val="22"/>
          <w:szCs w:val="22"/>
          <w:u w:val="single"/>
          <w:lang w:val="sr-Latn-ME"/>
        </w:rPr>
      </w:pPr>
    </w:p>
    <w:p w14:paraId="6873A910" w14:textId="77777777" w:rsidR="00254AF4" w:rsidRPr="003250C0" w:rsidRDefault="00254AF4" w:rsidP="00D85C58">
      <w:pPr>
        <w:autoSpaceDE w:val="0"/>
        <w:autoSpaceDN w:val="0"/>
        <w:adjustRightInd w:val="0"/>
        <w:jc w:val="both"/>
        <w:rPr>
          <w:sz w:val="22"/>
          <w:szCs w:val="22"/>
          <w:u w:val="single"/>
          <w:lang w:val="sr-Latn-ME"/>
        </w:rPr>
      </w:pPr>
      <w:r w:rsidRPr="003250C0">
        <w:rPr>
          <w:sz w:val="22"/>
          <w:szCs w:val="22"/>
          <w:u w:val="single"/>
          <w:lang w:val="sr-Latn-ME"/>
        </w:rPr>
        <w:t>Žene u reproduktivnom periodu/Kontracepcija kod muškaraca i žena</w:t>
      </w:r>
    </w:p>
    <w:p w14:paraId="66446251" w14:textId="18E4446A" w:rsidR="009547E3" w:rsidRPr="009547E3" w:rsidRDefault="00254AF4" w:rsidP="00CA1BE0">
      <w:pPr>
        <w:autoSpaceDE w:val="0"/>
        <w:autoSpaceDN w:val="0"/>
        <w:adjustRightInd w:val="0"/>
        <w:jc w:val="both"/>
        <w:rPr>
          <w:sz w:val="22"/>
          <w:szCs w:val="22"/>
          <w:lang w:val="sr-Latn-ME" w:eastAsia="sr-Latn-CS"/>
        </w:rPr>
      </w:pPr>
      <w:r w:rsidRPr="00C0654D">
        <w:rPr>
          <w:sz w:val="22"/>
          <w:szCs w:val="22"/>
          <w:lang w:val="sr-Latn-ME" w:eastAsia="sr-Latn-CS"/>
        </w:rPr>
        <w:t>Ženama u reproduktivnom dobu treba savjetovati da izbjegavaju trudno</w:t>
      </w:r>
      <w:r w:rsidRPr="00C0654D">
        <w:rPr>
          <w:rFonts w:eastAsia="TimesNewRoman"/>
          <w:sz w:val="22"/>
          <w:szCs w:val="22"/>
          <w:lang w:val="sr-Latn-ME" w:eastAsia="sr-Latn-CS"/>
        </w:rPr>
        <w:t>ć</w:t>
      </w:r>
      <w:r w:rsidRPr="00C0654D">
        <w:rPr>
          <w:sz w:val="22"/>
          <w:szCs w:val="22"/>
          <w:lang w:val="sr-Latn-ME" w:eastAsia="sr-Latn-CS"/>
        </w:rPr>
        <w:t xml:space="preserve">u dok su na terapiji lijekom </w:t>
      </w:r>
      <w:r w:rsidRPr="00C0654D">
        <w:rPr>
          <w:sz w:val="22"/>
          <w:szCs w:val="22"/>
          <w:lang w:val="sr-Latn-ME"/>
        </w:rPr>
        <w:t>Capecitabine PharmaSwiss</w:t>
      </w:r>
      <w:r w:rsidRPr="00C0654D">
        <w:rPr>
          <w:sz w:val="22"/>
          <w:szCs w:val="22"/>
          <w:lang w:val="sr-Latn-ME" w:eastAsia="sr-Latn-CS"/>
        </w:rPr>
        <w:t xml:space="preserve">. Ako pacijentkinja zatrudni tokom terapije lijekom </w:t>
      </w:r>
      <w:r w:rsidRPr="00C0654D">
        <w:rPr>
          <w:sz w:val="22"/>
          <w:szCs w:val="22"/>
          <w:lang w:val="sr-Latn-ME"/>
        </w:rPr>
        <w:t>Capecitabine PharmaSwiss</w:t>
      </w:r>
      <w:r w:rsidRPr="00C0654D">
        <w:rPr>
          <w:sz w:val="22"/>
          <w:szCs w:val="22"/>
          <w:lang w:val="sr-Latn-ME" w:eastAsia="sr-Latn-CS"/>
        </w:rPr>
        <w:t>, moraju joj se objasniti potencijalne opasnosti po fetus. Tokom liječenja se savjetuje primjena efikasne kontracepcije</w:t>
      </w:r>
      <w:r w:rsidR="009547E3">
        <w:t xml:space="preserve">, </w:t>
      </w:r>
      <w:r w:rsidR="009547E3" w:rsidRPr="009547E3">
        <w:rPr>
          <w:sz w:val="22"/>
          <w:szCs w:val="22"/>
          <w:lang w:val="sr-Latn-ME" w:eastAsia="sr-Latn-CS"/>
        </w:rPr>
        <w:t>kao i 6 m</w:t>
      </w:r>
      <w:r w:rsidR="00191075">
        <w:rPr>
          <w:sz w:val="22"/>
          <w:szCs w:val="22"/>
          <w:lang w:val="sr-Latn-ME" w:eastAsia="sr-Latn-CS"/>
        </w:rPr>
        <w:t>j</w:t>
      </w:r>
      <w:r w:rsidR="009547E3" w:rsidRPr="009547E3">
        <w:rPr>
          <w:sz w:val="22"/>
          <w:szCs w:val="22"/>
          <w:lang w:val="sr-Latn-ME" w:eastAsia="sr-Latn-CS"/>
        </w:rPr>
        <w:t>eseci nakon posl</w:t>
      </w:r>
      <w:r w:rsidR="00191075">
        <w:rPr>
          <w:sz w:val="22"/>
          <w:szCs w:val="22"/>
          <w:lang w:val="sr-Latn-ME" w:eastAsia="sr-Latn-CS"/>
        </w:rPr>
        <w:t>j</w:t>
      </w:r>
      <w:r w:rsidR="009547E3" w:rsidRPr="009547E3">
        <w:rPr>
          <w:sz w:val="22"/>
          <w:szCs w:val="22"/>
          <w:lang w:val="sr-Latn-ME" w:eastAsia="sr-Latn-CS"/>
        </w:rPr>
        <w:t>ednje doze kapecitabina.</w:t>
      </w:r>
    </w:p>
    <w:p w14:paraId="3829BB48" w14:textId="78F365AE" w:rsidR="00254AF4" w:rsidRPr="00C0654D" w:rsidRDefault="009547E3">
      <w:pPr>
        <w:autoSpaceDE w:val="0"/>
        <w:autoSpaceDN w:val="0"/>
        <w:adjustRightInd w:val="0"/>
        <w:jc w:val="both"/>
        <w:rPr>
          <w:sz w:val="22"/>
          <w:szCs w:val="22"/>
          <w:lang w:val="sr-Latn-ME" w:eastAsia="sr-Latn-CS"/>
        </w:rPr>
      </w:pPr>
      <w:r w:rsidRPr="009547E3">
        <w:rPr>
          <w:sz w:val="22"/>
          <w:szCs w:val="22"/>
          <w:lang w:val="sr-Latn-ME" w:eastAsia="sr-Latn-CS"/>
        </w:rPr>
        <w:t>S obzirom na genotoksične efekte l</w:t>
      </w:r>
      <w:r w:rsidR="00191075">
        <w:rPr>
          <w:sz w:val="22"/>
          <w:szCs w:val="22"/>
          <w:lang w:val="sr-Latn-ME" w:eastAsia="sr-Latn-CS"/>
        </w:rPr>
        <w:t>ij</w:t>
      </w:r>
      <w:r w:rsidRPr="009547E3">
        <w:rPr>
          <w:sz w:val="22"/>
          <w:szCs w:val="22"/>
          <w:lang w:val="sr-Latn-ME" w:eastAsia="sr-Latn-CS"/>
        </w:rPr>
        <w:t>eka, pacijenti muškog pola koji imaju partnerke u reproduktivnom periodu moraju koristiti efikasne m</w:t>
      </w:r>
      <w:r w:rsidR="00191075">
        <w:rPr>
          <w:sz w:val="22"/>
          <w:szCs w:val="22"/>
          <w:lang w:val="sr-Latn-ME" w:eastAsia="sr-Latn-CS"/>
        </w:rPr>
        <w:t>j</w:t>
      </w:r>
      <w:r w:rsidRPr="009547E3">
        <w:rPr>
          <w:sz w:val="22"/>
          <w:szCs w:val="22"/>
          <w:lang w:val="sr-Latn-ME" w:eastAsia="sr-Latn-CS"/>
        </w:rPr>
        <w:t>ere kontracepcije tokom terapije kao i 3 m</w:t>
      </w:r>
      <w:r w:rsidR="00191075">
        <w:rPr>
          <w:sz w:val="22"/>
          <w:szCs w:val="22"/>
          <w:lang w:val="sr-Latn-ME" w:eastAsia="sr-Latn-CS"/>
        </w:rPr>
        <w:t>j</w:t>
      </w:r>
      <w:r w:rsidRPr="009547E3">
        <w:rPr>
          <w:sz w:val="22"/>
          <w:szCs w:val="22"/>
          <w:lang w:val="sr-Latn-ME" w:eastAsia="sr-Latn-CS"/>
        </w:rPr>
        <w:t>eseca nakon posl</w:t>
      </w:r>
      <w:r w:rsidR="00191075">
        <w:rPr>
          <w:sz w:val="22"/>
          <w:szCs w:val="22"/>
          <w:lang w:val="sr-Latn-ME" w:eastAsia="sr-Latn-CS"/>
        </w:rPr>
        <w:t>j</w:t>
      </w:r>
      <w:r w:rsidRPr="009547E3">
        <w:rPr>
          <w:sz w:val="22"/>
          <w:szCs w:val="22"/>
          <w:lang w:val="sr-Latn-ME" w:eastAsia="sr-Latn-CS"/>
        </w:rPr>
        <w:t>ednje doze kapecitabina.</w:t>
      </w:r>
    </w:p>
    <w:p w14:paraId="60EF19DE" w14:textId="77777777" w:rsidR="00254AF4" w:rsidRPr="00C0654D" w:rsidRDefault="00254AF4" w:rsidP="00BB7508">
      <w:pPr>
        <w:tabs>
          <w:tab w:val="left" w:pos="540"/>
          <w:tab w:val="left" w:pos="569"/>
        </w:tabs>
        <w:jc w:val="both"/>
        <w:rPr>
          <w:sz w:val="22"/>
          <w:szCs w:val="22"/>
          <w:u w:val="single"/>
          <w:lang w:val="sr-Latn-ME"/>
        </w:rPr>
      </w:pPr>
    </w:p>
    <w:p w14:paraId="5FA99B1B" w14:textId="17CE5066" w:rsidR="002031B3" w:rsidRPr="00C0654D" w:rsidRDefault="002031B3" w:rsidP="00BB7508">
      <w:pPr>
        <w:tabs>
          <w:tab w:val="left" w:pos="540"/>
          <w:tab w:val="left" w:pos="569"/>
        </w:tabs>
        <w:jc w:val="both"/>
        <w:rPr>
          <w:sz w:val="22"/>
          <w:szCs w:val="22"/>
          <w:u w:val="single"/>
          <w:lang w:val="sr-Latn-ME"/>
        </w:rPr>
      </w:pPr>
      <w:r w:rsidRPr="00C0654D">
        <w:rPr>
          <w:sz w:val="22"/>
          <w:szCs w:val="22"/>
          <w:u w:val="single"/>
          <w:lang w:val="sr-Latn-ME"/>
        </w:rPr>
        <w:t>Plodnost</w:t>
      </w:r>
    </w:p>
    <w:p w14:paraId="671AFF51" w14:textId="212C92FE" w:rsidR="00B60BDA" w:rsidRPr="00C0654D" w:rsidRDefault="00B60BDA" w:rsidP="00D85C58">
      <w:pPr>
        <w:shd w:val="clear" w:color="auto" w:fill="FFFFFF"/>
        <w:tabs>
          <w:tab w:val="left" w:pos="284"/>
          <w:tab w:val="left" w:pos="9270"/>
        </w:tabs>
        <w:ind w:right="36"/>
        <w:jc w:val="both"/>
        <w:rPr>
          <w:sz w:val="22"/>
          <w:szCs w:val="22"/>
          <w:lang w:val="sr-Latn-ME"/>
        </w:rPr>
      </w:pPr>
      <w:r w:rsidRPr="00C0654D">
        <w:rPr>
          <w:sz w:val="22"/>
          <w:szCs w:val="22"/>
          <w:lang w:val="sr-Latn-ME"/>
        </w:rPr>
        <w:t xml:space="preserve">Nema podataka o uticaju kapecitabina na plodnost. Pivotalne studije sa kapecitabinom uključivale su samo pacijentkinje u reproduktivnom periodu i pacijente koji su prihvatili metod kontrole rađanja tokom trajanja studija i u razumnom roku nakon toga. U studijama na životinjama uočeni su uticaji lijeka na plodnost (vidjeti </w:t>
      </w:r>
      <w:r w:rsidR="00DF6F46">
        <w:rPr>
          <w:sz w:val="22"/>
          <w:szCs w:val="22"/>
          <w:lang w:val="sr-Latn-ME"/>
        </w:rPr>
        <w:t xml:space="preserve">dio </w:t>
      </w:r>
      <w:r w:rsidRPr="00C0654D">
        <w:rPr>
          <w:sz w:val="22"/>
          <w:szCs w:val="22"/>
          <w:lang w:val="sr-Latn-ME"/>
        </w:rPr>
        <w:t>5.3).</w:t>
      </w:r>
    </w:p>
    <w:p w14:paraId="5FA99B1C" w14:textId="77777777" w:rsidR="002031B3" w:rsidRPr="00C0654D" w:rsidRDefault="002031B3" w:rsidP="00BB7508">
      <w:pPr>
        <w:tabs>
          <w:tab w:val="left" w:pos="540"/>
          <w:tab w:val="left" w:pos="569"/>
        </w:tabs>
        <w:jc w:val="both"/>
        <w:rPr>
          <w:sz w:val="22"/>
          <w:szCs w:val="22"/>
          <w:u w:val="single"/>
          <w:lang w:val="sr-Latn-ME"/>
        </w:rPr>
      </w:pPr>
    </w:p>
    <w:p w14:paraId="5FA99B1D" w14:textId="77777777" w:rsidR="007A3ECB" w:rsidRPr="00C0654D" w:rsidRDefault="007A3ECB" w:rsidP="00BB7508">
      <w:pPr>
        <w:tabs>
          <w:tab w:val="left" w:pos="540"/>
          <w:tab w:val="left" w:pos="569"/>
        </w:tabs>
        <w:jc w:val="both"/>
        <w:rPr>
          <w:sz w:val="22"/>
          <w:szCs w:val="22"/>
          <w:u w:val="single"/>
          <w:lang w:val="sr-Latn-ME"/>
        </w:rPr>
      </w:pPr>
      <w:r w:rsidRPr="00C0654D">
        <w:rPr>
          <w:sz w:val="22"/>
          <w:szCs w:val="22"/>
          <w:u w:val="single"/>
          <w:lang w:val="sr-Latn-ME"/>
        </w:rPr>
        <w:t>Trudnoća</w:t>
      </w:r>
    </w:p>
    <w:p w14:paraId="63AF43EE" w14:textId="77777777" w:rsidR="00B530A8" w:rsidRPr="00C0654D" w:rsidRDefault="00B530A8" w:rsidP="00D85C58">
      <w:pPr>
        <w:autoSpaceDE w:val="0"/>
        <w:autoSpaceDN w:val="0"/>
        <w:adjustRightInd w:val="0"/>
        <w:jc w:val="both"/>
        <w:rPr>
          <w:sz w:val="22"/>
          <w:szCs w:val="22"/>
          <w:lang w:val="sr-Latn-ME" w:eastAsia="sr-Latn-CS"/>
        </w:rPr>
      </w:pPr>
      <w:r w:rsidRPr="00C0654D">
        <w:rPr>
          <w:iCs/>
          <w:sz w:val="22"/>
          <w:szCs w:val="22"/>
          <w:lang w:val="sr-Latn-ME"/>
        </w:rPr>
        <w:t xml:space="preserve">Nijesu sprovedene studije primjene kapecitabina </w:t>
      </w:r>
      <w:r w:rsidRPr="00C0654D">
        <w:rPr>
          <w:sz w:val="22"/>
          <w:szCs w:val="22"/>
          <w:lang w:val="sr-Latn-ME"/>
        </w:rPr>
        <w:t xml:space="preserve">kod trudnica; ipak, pretpostavlja se da kapecitabin može da šteti fetusu ako se daje trudnicama. U studijama reproduktivne toksičnosti na životinjama, primjena kapecitabina je dovela do embrioletalnosti i teratogenosti. </w:t>
      </w:r>
      <w:r w:rsidRPr="00C0654D">
        <w:rPr>
          <w:sz w:val="22"/>
          <w:szCs w:val="22"/>
          <w:lang w:val="sr-Latn-ME" w:eastAsia="sr-Latn-CS"/>
        </w:rPr>
        <w:t>Ovi nalazi su o</w:t>
      </w:r>
      <w:r w:rsidRPr="00C0654D">
        <w:rPr>
          <w:rFonts w:eastAsia="TimesNewRoman"/>
          <w:sz w:val="22"/>
          <w:szCs w:val="22"/>
          <w:lang w:val="sr-Latn-ME" w:eastAsia="sr-Latn-CS"/>
        </w:rPr>
        <w:t>č</w:t>
      </w:r>
      <w:r w:rsidRPr="00C0654D">
        <w:rPr>
          <w:sz w:val="22"/>
          <w:szCs w:val="22"/>
          <w:lang w:val="sr-Latn-ME" w:eastAsia="sr-Latn-CS"/>
        </w:rPr>
        <w:t xml:space="preserve">ekivana dejstva derivata fluoropirimidina. </w:t>
      </w:r>
    </w:p>
    <w:p w14:paraId="55CDF85F" w14:textId="77777777" w:rsidR="00B530A8" w:rsidRPr="00C0654D" w:rsidRDefault="00B530A8" w:rsidP="00CA1BE0">
      <w:pPr>
        <w:autoSpaceDE w:val="0"/>
        <w:autoSpaceDN w:val="0"/>
        <w:adjustRightInd w:val="0"/>
        <w:jc w:val="both"/>
        <w:rPr>
          <w:sz w:val="22"/>
          <w:szCs w:val="22"/>
          <w:lang w:val="sr-Latn-ME" w:eastAsia="sr-Latn-CS"/>
        </w:rPr>
      </w:pPr>
      <w:r w:rsidRPr="00C0654D">
        <w:rPr>
          <w:sz w:val="22"/>
          <w:szCs w:val="22"/>
          <w:lang w:val="sr-Latn-ME"/>
        </w:rPr>
        <w:t>Lijek Capecitabine PharmaSwiss</w:t>
      </w:r>
      <w:r w:rsidRPr="00C0654D">
        <w:rPr>
          <w:sz w:val="22"/>
          <w:szCs w:val="22"/>
          <w:lang w:val="sr-Latn-ME" w:eastAsia="sr-Latn-CS"/>
        </w:rPr>
        <w:t xml:space="preserve"> je kontraindikovan tokom trudno</w:t>
      </w:r>
      <w:r w:rsidRPr="00C0654D">
        <w:rPr>
          <w:rFonts w:eastAsia="TimesNewRoman"/>
          <w:sz w:val="22"/>
          <w:szCs w:val="22"/>
          <w:lang w:val="sr-Latn-ME" w:eastAsia="sr-Latn-CS"/>
        </w:rPr>
        <w:t>ć</w:t>
      </w:r>
      <w:r w:rsidRPr="00C0654D">
        <w:rPr>
          <w:sz w:val="22"/>
          <w:szCs w:val="22"/>
          <w:lang w:val="sr-Latn-ME" w:eastAsia="sr-Latn-CS"/>
        </w:rPr>
        <w:t xml:space="preserve">e. </w:t>
      </w:r>
    </w:p>
    <w:p w14:paraId="5FA99B1E" w14:textId="77777777" w:rsidR="002031B3" w:rsidRPr="00C0654D" w:rsidRDefault="002031B3" w:rsidP="00BB7508">
      <w:pPr>
        <w:tabs>
          <w:tab w:val="left" w:pos="540"/>
          <w:tab w:val="left" w:pos="569"/>
        </w:tabs>
        <w:jc w:val="both"/>
        <w:rPr>
          <w:sz w:val="22"/>
          <w:szCs w:val="22"/>
          <w:u w:val="single"/>
          <w:lang w:val="sr-Latn-ME"/>
        </w:rPr>
      </w:pPr>
    </w:p>
    <w:p w14:paraId="5FA99B1F" w14:textId="77777777" w:rsidR="0072020E" w:rsidRPr="00C0654D" w:rsidRDefault="007A3ECB" w:rsidP="00BB7508">
      <w:pPr>
        <w:tabs>
          <w:tab w:val="left" w:pos="540"/>
          <w:tab w:val="left" w:pos="569"/>
        </w:tabs>
        <w:jc w:val="both"/>
        <w:rPr>
          <w:b/>
          <w:bCs/>
          <w:sz w:val="22"/>
          <w:szCs w:val="22"/>
          <w:lang w:val="sr-Latn-ME"/>
        </w:rPr>
      </w:pPr>
      <w:r w:rsidRPr="00C0654D">
        <w:rPr>
          <w:sz w:val="22"/>
          <w:szCs w:val="22"/>
          <w:u w:val="single"/>
          <w:lang w:val="sr-Latn-ME"/>
        </w:rPr>
        <w:t xml:space="preserve">Dojenje </w:t>
      </w:r>
    </w:p>
    <w:p w14:paraId="1E79F5D2" w14:textId="7AAF7206" w:rsidR="001D6753" w:rsidRPr="00C0654D" w:rsidRDefault="001D6753" w:rsidP="00CA1BE0">
      <w:pPr>
        <w:autoSpaceDE w:val="0"/>
        <w:autoSpaceDN w:val="0"/>
        <w:adjustRightInd w:val="0"/>
        <w:jc w:val="both"/>
        <w:rPr>
          <w:sz w:val="22"/>
          <w:szCs w:val="22"/>
          <w:lang w:val="sr-Latn-ME" w:eastAsia="sr-Latn-CS"/>
        </w:rPr>
      </w:pPr>
      <w:r w:rsidRPr="00C0654D">
        <w:rPr>
          <w:sz w:val="22"/>
          <w:szCs w:val="22"/>
          <w:lang w:val="sr-Latn-ME" w:eastAsia="sr-Latn-CS"/>
        </w:rPr>
        <w:t xml:space="preserve">Nije poznato da li se </w:t>
      </w:r>
      <w:r w:rsidRPr="00C0654D">
        <w:rPr>
          <w:sz w:val="22"/>
          <w:szCs w:val="22"/>
          <w:lang w:val="sr-Latn-ME"/>
        </w:rPr>
        <w:t>kapecitabin</w:t>
      </w:r>
      <w:r w:rsidRPr="00C0654D">
        <w:rPr>
          <w:sz w:val="22"/>
          <w:szCs w:val="22"/>
          <w:lang w:val="sr-Latn-ME" w:eastAsia="sr-Latn-CS"/>
        </w:rPr>
        <w:t xml:space="preserve"> izlu</w:t>
      </w:r>
      <w:r w:rsidRPr="00C0654D">
        <w:rPr>
          <w:rFonts w:eastAsia="TimesNewRoman"/>
          <w:sz w:val="22"/>
          <w:szCs w:val="22"/>
          <w:lang w:val="sr-Latn-ME" w:eastAsia="sr-Latn-CS"/>
        </w:rPr>
        <w:t>č</w:t>
      </w:r>
      <w:r w:rsidRPr="00C0654D">
        <w:rPr>
          <w:sz w:val="22"/>
          <w:szCs w:val="22"/>
          <w:lang w:val="sr-Latn-ME" w:eastAsia="sr-Latn-CS"/>
        </w:rPr>
        <w:t xml:space="preserve">uje u majčino mlijeko. </w:t>
      </w:r>
      <w:r w:rsidR="009547E3">
        <w:rPr>
          <w:sz w:val="22"/>
          <w:szCs w:val="22"/>
          <w:lang w:val="sr-Latn-ME" w:eastAsia="sr-Latn-CS"/>
        </w:rPr>
        <w:t>Ni</w:t>
      </w:r>
      <w:r w:rsidR="00DF6F46">
        <w:rPr>
          <w:sz w:val="22"/>
          <w:szCs w:val="22"/>
          <w:lang w:val="sr-Latn-ME" w:eastAsia="sr-Latn-CS"/>
        </w:rPr>
        <w:t>je</w:t>
      </w:r>
      <w:r w:rsidR="009547E3">
        <w:rPr>
          <w:sz w:val="22"/>
          <w:szCs w:val="22"/>
          <w:lang w:val="sr-Latn-ME" w:eastAsia="sr-Latn-CS"/>
        </w:rPr>
        <w:t>su sprovedena ispitivanja kako bi se proc</w:t>
      </w:r>
      <w:r w:rsidR="00191075">
        <w:rPr>
          <w:sz w:val="22"/>
          <w:szCs w:val="22"/>
          <w:lang w:val="sr-Latn-ME" w:eastAsia="sr-Latn-CS"/>
        </w:rPr>
        <w:t>ij</w:t>
      </w:r>
      <w:r w:rsidR="009547E3">
        <w:rPr>
          <w:sz w:val="22"/>
          <w:szCs w:val="22"/>
          <w:lang w:val="sr-Latn-ME" w:eastAsia="sr-Latn-CS"/>
        </w:rPr>
        <w:t>enio uticaj kapecitabina na stvaranje ml</w:t>
      </w:r>
      <w:r w:rsidR="00191075">
        <w:rPr>
          <w:sz w:val="22"/>
          <w:szCs w:val="22"/>
          <w:lang w:val="sr-Latn-ME" w:eastAsia="sr-Latn-CS"/>
        </w:rPr>
        <w:t>ij</w:t>
      </w:r>
      <w:r w:rsidR="009547E3">
        <w:rPr>
          <w:sz w:val="22"/>
          <w:szCs w:val="22"/>
          <w:lang w:val="sr-Latn-ME" w:eastAsia="sr-Latn-CS"/>
        </w:rPr>
        <w:t>eka ili njegovo prisustvo u majčinom ml</w:t>
      </w:r>
      <w:r w:rsidR="00191075">
        <w:rPr>
          <w:sz w:val="22"/>
          <w:szCs w:val="22"/>
          <w:lang w:val="sr-Latn-ME" w:eastAsia="sr-Latn-CS"/>
        </w:rPr>
        <w:t>ij</w:t>
      </w:r>
      <w:r w:rsidR="009547E3">
        <w:rPr>
          <w:sz w:val="22"/>
          <w:szCs w:val="22"/>
          <w:lang w:val="sr-Latn-ME" w:eastAsia="sr-Latn-CS"/>
        </w:rPr>
        <w:t xml:space="preserve">eku. </w:t>
      </w:r>
      <w:r w:rsidRPr="00C0654D">
        <w:rPr>
          <w:sz w:val="22"/>
          <w:szCs w:val="22"/>
          <w:lang w:val="sr-Latn-ME" w:eastAsia="sr-Latn-CS"/>
        </w:rPr>
        <w:t>Kod ženki miševa su u mlijeku na</w:t>
      </w:r>
      <w:r w:rsidRPr="00C0654D">
        <w:rPr>
          <w:rFonts w:eastAsia="TimesNewRoman"/>
          <w:sz w:val="22"/>
          <w:szCs w:val="22"/>
          <w:lang w:val="sr-Latn-ME" w:eastAsia="sr-Latn-CS"/>
        </w:rPr>
        <w:t>đ</w:t>
      </w:r>
      <w:r w:rsidRPr="00C0654D">
        <w:rPr>
          <w:sz w:val="22"/>
          <w:szCs w:val="22"/>
          <w:lang w:val="sr-Latn-ME" w:eastAsia="sr-Latn-CS"/>
        </w:rPr>
        <w:t>ene znatne koli</w:t>
      </w:r>
      <w:r w:rsidRPr="00C0654D">
        <w:rPr>
          <w:rFonts w:eastAsia="TimesNewRoman"/>
          <w:sz w:val="22"/>
          <w:szCs w:val="22"/>
          <w:lang w:val="sr-Latn-ME" w:eastAsia="sr-Latn-CS"/>
        </w:rPr>
        <w:t>č</w:t>
      </w:r>
      <w:r w:rsidRPr="00C0654D">
        <w:rPr>
          <w:sz w:val="22"/>
          <w:szCs w:val="22"/>
          <w:lang w:val="sr-Latn-ME" w:eastAsia="sr-Latn-CS"/>
        </w:rPr>
        <w:t xml:space="preserve">ine kapecitabina i njegovih metabolita. </w:t>
      </w:r>
      <w:r w:rsidR="009547E3">
        <w:rPr>
          <w:sz w:val="22"/>
          <w:szCs w:val="22"/>
          <w:lang w:val="sr-Latn-ME" w:eastAsia="sr-Latn-CS"/>
        </w:rPr>
        <w:t>Budući da mogućnost štetnog uticaja na odojče nije poznata, dojenje treba prekinuti tokom trajanja terapije kapecitabinom kao i 2 ned</w:t>
      </w:r>
      <w:r w:rsidR="00191075">
        <w:rPr>
          <w:sz w:val="22"/>
          <w:szCs w:val="22"/>
          <w:lang w:val="sr-Latn-ME" w:eastAsia="sr-Latn-CS"/>
        </w:rPr>
        <w:t>j</w:t>
      </w:r>
      <w:r w:rsidR="009547E3">
        <w:rPr>
          <w:sz w:val="22"/>
          <w:szCs w:val="22"/>
          <w:lang w:val="sr-Latn-ME" w:eastAsia="sr-Latn-CS"/>
        </w:rPr>
        <w:t>elje nakon posl</w:t>
      </w:r>
      <w:r w:rsidR="00191075">
        <w:rPr>
          <w:sz w:val="22"/>
          <w:szCs w:val="22"/>
          <w:lang w:val="sr-Latn-ME" w:eastAsia="sr-Latn-CS"/>
        </w:rPr>
        <w:t>j</w:t>
      </w:r>
      <w:r w:rsidR="009547E3">
        <w:rPr>
          <w:sz w:val="22"/>
          <w:szCs w:val="22"/>
          <w:lang w:val="sr-Latn-ME" w:eastAsia="sr-Latn-CS"/>
        </w:rPr>
        <w:t xml:space="preserve">ednje doze. </w:t>
      </w:r>
    </w:p>
    <w:p w14:paraId="5FA99B20" w14:textId="77777777" w:rsidR="00227BDB" w:rsidRPr="00C0654D" w:rsidRDefault="00227BDB" w:rsidP="00BB7508">
      <w:pPr>
        <w:tabs>
          <w:tab w:val="left" w:pos="540"/>
          <w:tab w:val="left" w:pos="569"/>
        </w:tabs>
        <w:ind w:left="540" w:hanging="540"/>
        <w:jc w:val="both"/>
        <w:rPr>
          <w:b/>
          <w:bCs/>
          <w:sz w:val="22"/>
          <w:szCs w:val="22"/>
          <w:lang w:val="sr-Latn-ME"/>
        </w:rPr>
      </w:pPr>
    </w:p>
    <w:p w14:paraId="5FA99B21" w14:textId="77777777" w:rsidR="0072020E" w:rsidRPr="00C0654D" w:rsidRDefault="0072020E" w:rsidP="00BB7508">
      <w:pPr>
        <w:tabs>
          <w:tab w:val="left" w:pos="540"/>
          <w:tab w:val="left" w:pos="569"/>
        </w:tabs>
        <w:ind w:left="540" w:hanging="540"/>
        <w:jc w:val="both"/>
        <w:rPr>
          <w:b/>
          <w:bCs/>
          <w:sz w:val="22"/>
          <w:szCs w:val="22"/>
          <w:lang w:val="sr-Latn-ME"/>
        </w:rPr>
      </w:pPr>
      <w:r w:rsidRPr="00C0654D">
        <w:rPr>
          <w:b/>
          <w:bCs/>
          <w:sz w:val="22"/>
          <w:szCs w:val="22"/>
          <w:lang w:val="sr-Latn-ME"/>
        </w:rPr>
        <w:t xml:space="preserve">4.7. </w:t>
      </w:r>
      <w:r w:rsidR="00480FB1" w:rsidRPr="00C0654D">
        <w:rPr>
          <w:b/>
          <w:bCs/>
          <w:sz w:val="22"/>
          <w:szCs w:val="22"/>
          <w:lang w:val="sr-Latn-ME"/>
        </w:rPr>
        <w:tab/>
      </w:r>
      <w:r w:rsidRPr="00C0654D">
        <w:rPr>
          <w:b/>
          <w:bCs/>
          <w:sz w:val="22"/>
          <w:szCs w:val="22"/>
          <w:lang w:val="sr-Latn-ME"/>
        </w:rPr>
        <w:t xml:space="preserve">Uticaj na </w:t>
      </w:r>
      <w:r w:rsidR="002031B3" w:rsidRPr="00C0654D">
        <w:rPr>
          <w:b/>
          <w:bCs/>
          <w:sz w:val="22"/>
          <w:szCs w:val="22"/>
          <w:lang w:val="sr-Latn-ME"/>
        </w:rPr>
        <w:t xml:space="preserve">sposobnost </w:t>
      </w:r>
      <w:r w:rsidR="00F34554" w:rsidRPr="00C0654D">
        <w:rPr>
          <w:b/>
          <w:bCs/>
          <w:sz w:val="22"/>
          <w:szCs w:val="22"/>
          <w:lang w:val="sr-Latn-ME"/>
        </w:rPr>
        <w:t>upravljanja vozili</w:t>
      </w:r>
      <w:r w:rsidRPr="00C0654D">
        <w:rPr>
          <w:b/>
          <w:bCs/>
          <w:sz w:val="22"/>
          <w:szCs w:val="22"/>
          <w:lang w:val="sr-Latn-ME"/>
        </w:rPr>
        <w:t>m</w:t>
      </w:r>
      <w:r w:rsidR="00F34554" w:rsidRPr="00C0654D">
        <w:rPr>
          <w:b/>
          <w:bCs/>
          <w:sz w:val="22"/>
          <w:szCs w:val="22"/>
          <w:lang w:val="sr-Latn-ME"/>
        </w:rPr>
        <w:t>a</w:t>
      </w:r>
      <w:r w:rsidRPr="00C0654D">
        <w:rPr>
          <w:b/>
          <w:bCs/>
          <w:sz w:val="22"/>
          <w:szCs w:val="22"/>
          <w:lang w:val="sr-Latn-ME"/>
        </w:rPr>
        <w:t xml:space="preserve"> i </w:t>
      </w:r>
      <w:r w:rsidR="000D3449" w:rsidRPr="00C0654D">
        <w:rPr>
          <w:b/>
          <w:bCs/>
          <w:sz w:val="22"/>
          <w:szCs w:val="22"/>
          <w:lang w:val="sr-Latn-ME"/>
        </w:rPr>
        <w:t xml:space="preserve">rukovanje </w:t>
      </w:r>
      <w:r w:rsidRPr="00C0654D">
        <w:rPr>
          <w:b/>
          <w:bCs/>
          <w:sz w:val="22"/>
          <w:szCs w:val="22"/>
          <w:lang w:val="sr-Latn-ME"/>
        </w:rPr>
        <w:t>mašinama</w:t>
      </w:r>
    </w:p>
    <w:p w14:paraId="535B1284" w14:textId="77777777" w:rsidR="00D605F5" w:rsidRPr="00C0654D" w:rsidRDefault="00D605F5" w:rsidP="00D85C58">
      <w:pPr>
        <w:tabs>
          <w:tab w:val="left" w:pos="284"/>
        </w:tabs>
        <w:jc w:val="both"/>
        <w:rPr>
          <w:lang w:val="sr-Latn-ME"/>
        </w:rPr>
      </w:pPr>
    </w:p>
    <w:p w14:paraId="4B73D5D0" w14:textId="6AB0664D" w:rsidR="002827B5" w:rsidRDefault="00D605F5" w:rsidP="000D3B8C">
      <w:pPr>
        <w:tabs>
          <w:tab w:val="left" w:pos="284"/>
        </w:tabs>
        <w:jc w:val="both"/>
        <w:rPr>
          <w:b/>
          <w:bCs/>
          <w:sz w:val="22"/>
          <w:szCs w:val="22"/>
          <w:lang w:val="sr-Latn-ME"/>
        </w:rPr>
      </w:pPr>
      <w:r w:rsidRPr="00C0654D">
        <w:rPr>
          <w:sz w:val="22"/>
          <w:szCs w:val="22"/>
          <w:lang w:val="sr-Latn-ME"/>
        </w:rPr>
        <w:t xml:space="preserve">Lijek Capecitabine PharmaSwiss </w:t>
      </w:r>
      <w:r w:rsidRPr="00C0654D">
        <w:rPr>
          <w:sz w:val="22"/>
          <w:szCs w:val="22"/>
          <w:lang w:val="sr-Latn-ME" w:eastAsia="sr-Latn-CS"/>
        </w:rPr>
        <w:t>ima mali do umjereni uticaj na sposobnost upravljanja motornim vozilima i rukovanja mašinama. Primjena ovog lijeka može da izazove vrtoglavicu, zamor i mu</w:t>
      </w:r>
      <w:r w:rsidRPr="00C0654D">
        <w:rPr>
          <w:rFonts w:eastAsia="TimesNewRoman"/>
          <w:sz w:val="22"/>
          <w:szCs w:val="22"/>
          <w:lang w:val="sr-Latn-ME" w:eastAsia="sr-Latn-CS"/>
        </w:rPr>
        <w:t>č</w:t>
      </w:r>
      <w:r w:rsidRPr="00C0654D">
        <w:rPr>
          <w:sz w:val="22"/>
          <w:szCs w:val="22"/>
          <w:lang w:val="sr-Latn-ME" w:eastAsia="sr-Latn-CS"/>
        </w:rPr>
        <w:t>ninu.</w:t>
      </w:r>
    </w:p>
    <w:p w14:paraId="3EC0D17C" w14:textId="3C1C20C3" w:rsidR="002827B5" w:rsidRDefault="002827B5" w:rsidP="00BB7508">
      <w:pPr>
        <w:tabs>
          <w:tab w:val="left" w:pos="540"/>
          <w:tab w:val="left" w:pos="569"/>
        </w:tabs>
        <w:jc w:val="both"/>
        <w:rPr>
          <w:b/>
          <w:bCs/>
          <w:sz w:val="22"/>
          <w:szCs w:val="22"/>
          <w:lang w:val="sr-Latn-ME"/>
        </w:rPr>
      </w:pPr>
    </w:p>
    <w:p w14:paraId="1E21B441" w14:textId="45ABA99F" w:rsidR="00DA7E19" w:rsidRDefault="00DA7E19" w:rsidP="00BB7508">
      <w:pPr>
        <w:tabs>
          <w:tab w:val="left" w:pos="540"/>
          <w:tab w:val="left" w:pos="569"/>
        </w:tabs>
        <w:jc w:val="both"/>
        <w:rPr>
          <w:b/>
          <w:bCs/>
          <w:sz w:val="22"/>
          <w:szCs w:val="22"/>
          <w:lang w:val="sr-Latn-ME"/>
        </w:rPr>
      </w:pPr>
    </w:p>
    <w:p w14:paraId="65970B55" w14:textId="3AEF2E4A" w:rsidR="00DA7E19" w:rsidRDefault="00DA7E19" w:rsidP="00BB7508">
      <w:pPr>
        <w:tabs>
          <w:tab w:val="left" w:pos="540"/>
          <w:tab w:val="left" w:pos="569"/>
        </w:tabs>
        <w:jc w:val="both"/>
        <w:rPr>
          <w:b/>
          <w:bCs/>
          <w:sz w:val="22"/>
          <w:szCs w:val="22"/>
          <w:lang w:val="sr-Latn-ME"/>
        </w:rPr>
      </w:pPr>
    </w:p>
    <w:p w14:paraId="04CFAE85" w14:textId="6EBD9F1E" w:rsidR="00DA7E19" w:rsidRDefault="00DA7E19" w:rsidP="00BB7508">
      <w:pPr>
        <w:tabs>
          <w:tab w:val="left" w:pos="540"/>
          <w:tab w:val="left" w:pos="569"/>
        </w:tabs>
        <w:jc w:val="both"/>
        <w:rPr>
          <w:b/>
          <w:bCs/>
          <w:sz w:val="22"/>
          <w:szCs w:val="22"/>
          <w:lang w:val="sr-Latn-ME"/>
        </w:rPr>
      </w:pPr>
    </w:p>
    <w:p w14:paraId="7B8E3655" w14:textId="753CBF02" w:rsidR="00DA7E19" w:rsidRDefault="00DA7E19" w:rsidP="00BB7508">
      <w:pPr>
        <w:tabs>
          <w:tab w:val="left" w:pos="540"/>
          <w:tab w:val="left" w:pos="569"/>
        </w:tabs>
        <w:jc w:val="both"/>
        <w:rPr>
          <w:b/>
          <w:bCs/>
          <w:sz w:val="22"/>
          <w:szCs w:val="22"/>
          <w:lang w:val="sr-Latn-ME"/>
        </w:rPr>
      </w:pPr>
    </w:p>
    <w:p w14:paraId="3678A717" w14:textId="77777777" w:rsidR="00DA7E19" w:rsidRPr="00C0654D" w:rsidRDefault="00DA7E19" w:rsidP="00BB7508">
      <w:pPr>
        <w:tabs>
          <w:tab w:val="left" w:pos="540"/>
          <w:tab w:val="left" w:pos="569"/>
        </w:tabs>
        <w:jc w:val="both"/>
        <w:rPr>
          <w:b/>
          <w:bCs/>
          <w:sz w:val="22"/>
          <w:szCs w:val="22"/>
          <w:lang w:val="sr-Latn-ME"/>
        </w:rPr>
      </w:pPr>
    </w:p>
    <w:p w14:paraId="5FA99B23" w14:textId="3CC82E7B" w:rsidR="0072020E" w:rsidRPr="00C0654D" w:rsidRDefault="0072020E" w:rsidP="00BB7508">
      <w:pPr>
        <w:tabs>
          <w:tab w:val="left" w:pos="540"/>
          <w:tab w:val="left" w:pos="569"/>
        </w:tabs>
        <w:jc w:val="both"/>
        <w:rPr>
          <w:b/>
          <w:bCs/>
          <w:sz w:val="22"/>
          <w:szCs w:val="22"/>
          <w:lang w:val="sr-Latn-ME"/>
        </w:rPr>
      </w:pPr>
      <w:r w:rsidRPr="00C0654D">
        <w:rPr>
          <w:b/>
          <w:bCs/>
          <w:sz w:val="22"/>
          <w:szCs w:val="22"/>
          <w:lang w:val="sr-Latn-ME"/>
        </w:rPr>
        <w:lastRenderedPageBreak/>
        <w:t xml:space="preserve">4.8. </w:t>
      </w:r>
      <w:r w:rsidR="00480FB1" w:rsidRPr="00C0654D">
        <w:rPr>
          <w:b/>
          <w:bCs/>
          <w:sz w:val="22"/>
          <w:szCs w:val="22"/>
          <w:lang w:val="sr-Latn-ME"/>
        </w:rPr>
        <w:tab/>
      </w:r>
      <w:r w:rsidRPr="00C0654D">
        <w:rPr>
          <w:b/>
          <w:bCs/>
          <w:sz w:val="22"/>
          <w:szCs w:val="22"/>
          <w:lang w:val="sr-Latn-ME"/>
        </w:rPr>
        <w:t>Neželjena dejstva</w:t>
      </w:r>
    </w:p>
    <w:p w14:paraId="66ABF215" w14:textId="77777777" w:rsidR="008B0AD6" w:rsidRPr="00C0654D" w:rsidRDefault="008B0AD6" w:rsidP="00BB7508">
      <w:pPr>
        <w:tabs>
          <w:tab w:val="left" w:pos="540"/>
          <w:tab w:val="left" w:pos="569"/>
        </w:tabs>
        <w:jc w:val="both"/>
        <w:rPr>
          <w:b/>
          <w:bCs/>
          <w:sz w:val="22"/>
          <w:szCs w:val="22"/>
          <w:lang w:val="sr-Latn-ME"/>
        </w:rPr>
      </w:pPr>
    </w:p>
    <w:p w14:paraId="6633E90F" w14:textId="77777777" w:rsidR="008B0AD6" w:rsidRPr="00C0654D" w:rsidRDefault="008B0AD6" w:rsidP="00D85C58">
      <w:pPr>
        <w:autoSpaceDE w:val="0"/>
        <w:autoSpaceDN w:val="0"/>
        <w:adjustRightInd w:val="0"/>
        <w:jc w:val="both"/>
        <w:rPr>
          <w:iCs/>
          <w:sz w:val="22"/>
          <w:szCs w:val="22"/>
          <w:u w:val="single"/>
          <w:lang w:val="sr-Latn-ME" w:eastAsia="sr-Latn-CS"/>
        </w:rPr>
      </w:pPr>
      <w:r w:rsidRPr="00C0654D">
        <w:rPr>
          <w:iCs/>
          <w:sz w:val="22"/>
          <w:szCs w:val="22"/>
          <w:u w:val="single"/>
          <w:lang w:val="sr-Latn-ME" w:eastAsia="sr-Latn-CS"/>
        </w:rPr>
        <w:t>Sažetak bezbjednosnog profila</w:t>
      </w:r>
    </w:p>
    <w:p w14:paraId="7080C0AF" w14:textId="77777777" w:rsidR="008B0AD6" w:rsidRPr="00C0654D" w:rsidRDefault="008B0AD6" w:rsidP="00CA1BE0">
      <w:pPr>
        <w:autoSpaceDE w:val="0"/>
        <w:autoSpaceDN w:val="0"/>
        <w:adjustRightInd w:val="0"/>
        <w:jc w:val="both"/>
        <w:rPr>
          <w:iCs/>
          <w:sz w:val="22"/>
          <w:szCs w:val="22"/>
          <w:u w:val="single"/>
          <w:lang w:val="sr-Latn-ME" w:eastAsia="sr-Latn-CS"/>
        </w:rPr>
      </w:pPr>
    </w:p>
    <w:p w14:paraId="166CEA6B" w14:textId="4897E72A" w:rsidR="008B0AD6" w:rsidRPr="00C0654D" w:rsidRDefault="008B0AD6" w:rsidP="00CA1BE0">
      <w:pPr>
        <w:autoSpaceDE w:val="0"/>
        <w:autoSpaceDN w:val="0"/>
        <w:adjustRightInd w:val="0"/>
        <w:jc w:val="both"/>
        <w:rPr>
          <w:sz w:val="22"/>
          <w:szCs w:val="22"/>
          <w:lang w:val="sr-Latn-ME" w:eastAsia="sr-Latn-CS"/>
        </w:rPr>
      </w:pPr>
      <w:r w:rsidRPr="00C0654D">
        <w:rPr>
          <w:sz w:val="22"/>
          <w:szCs w:val="22"/>
          <w:lang w:val="sr-Latn-ME" w:eastAsia="sr-Latn-CS"/>
        </w:rPr>
        <w:t>Ukupan bezbjednosni profil kapecitabina zasnovan je na podacima od preko 3000 pacijenata lije</w:t>
      </w:r>
      <w:r w:rsidRPr="00C0654D">
        <w:rPr>
          <w:rFonts w:eastAsia="TimesNewRoman"/>
          <w:sz w:val="22"/>
          <w:szCs w:val="22"/>
          <w:lang w:val="sr-Latn-ME" w:eastAsia="sr-Latn-CS"/>
        </w:rPr>
        <w:t>č</w:t>
      </w:r>
      <w:r w:rsidRPr="00C0654D">
        <w:rPr>
          <w:sz w:val="22"/>
          <w:szCs w:val="22"/>
          <w:lang w:val="sr-Latn-ME" w:eastAsia="sr-Latn-CS"/>
        </w:rPr>
        <w:t>enih ovim lijekom kao monoterapijom, ili u kombinaciji sa razli</w:t>
      </w:r>
      <w:r w:rsidRPr="00C0654D">
        <w:rPr>
          <w:rFonts w:eastAsia="TimesNewRoman"/>
          <w:sz w:val="22"/>
          <w:szCs w:val="22"/>
          <w:lang w:val="sr-Latn-ME" w:eastAsia="sr-Latn-CS"/>
        </w:rPr>
        <w:t>č</w:t>
      </w:r>
      <w:r w:rsidRPr="00C0654D">
        <w:rPr>
          <w:sz w:val="22"/>
          <w:szCs w:val="22"/>
          <w:lang w:val="sr-Latn-ME" w:eastAsia="sr-Latn-CS"/>
        </w:rPr>
        <w:t>itim hemoterapijskim režimima u razli</w:t>
      </w:r>
      <w:r w:rsidRPr="00C0654D">
        <w:rPr>
          <w:rFonts w:eastAsia="TimesNewRoman"/>
          <w:sz w:val="22"/>
          <w:szCs w:val="22"/>
          <w:lang w:val="sr-Latn-ME" w:eastAsia="sr-Latn-CS"/>
        </w:rPr>
        <w:t>č</w:t>
      </w:r>
      <w:r w:rsidRPr="00C0654D">
        <w:rPr>
          <w:sz w:val="22"/>
          <w:szCs w:val="22"/>
          <w:lang w:val="sr-Latn-ME" w:eastAsia="sr-Latn-CS"/>
        </w:rPr>
        <w:t xml:space="preserve">itim indikacijama. Bezbjednosni profili monoterapije kapecitabinom za populacije pacijenata sa metastatskim karcinomom dojke, metastatskim kolorektalnim karcinomom i adjuvantnim karcinomom kolona su uporedivi. Vidjeti </w:t>
      </w:r>
      <w:r w:rsidR="00DF6F46">
        <w:rPr>
          <w:sz w:val="22"/>
          <w:szCs w:val="22"/>
          <w:lang w:val="sr-Latn-ME" w:eastAsia="sr-Latn-CS"/>
        </w:rPr>
        <w:t xml:space="preserve">dio </w:t>
      </w:r>
      <w:r w:rsidRPr="00C0654D">
        <w:rPr>
          <w:sz w:val="22"/>
          <w:szCs w:val="22"/>
          <w:lang w:val="sr-Latn-ME" w:eastAsia="sr-Latn-CS"/>
        </w:rPr>
        <w:t>5.1 za detalje velikih studija, uklju</w:t>
      </w:r>
      <w:r w:rsidRPr="00C0654D">
        <w:rPr>
          <w:rFonts w:eastAsia="TimesNewRoman"/>
          <w:sz w:val="22"/>
          <w:szCs w:val="22"/>
          <w:lang w:val="sr-Latn-ME" w:eastAsia="sr-Latn-CS"/>
        </w:rPr>
        <w:t>č</w:t>
      </w:r>
      <w:r w:rsidRPr="00C0654D">
        <w:rPr>
          <w:sz w:val="22"/>
          <w:szCs w:val="22"/>
          <w:lang w:val="sr-Latn-ME" w:eastAsia="sr-Latn-CS"/>
        </w:rPr>
        <w:t>uju</w:t>
      </w:r>
      <w:r w:rsidRPr="00C0654D">
        <w:rPr>
          <w:rFonts w:eastAsia="TimesNewRoman"/>
          <w:sz w:val="22"/>
          <w:szCs w:val="22"/>
          <w:lang w:val="sr-Latn-ME" w:eastAsia="sr-Latn-CS"/>
        </w:rPr>
        <w:t>ć</w:t>
      </w:r>
      <w:r w:rsidRPr="00C0654D">
        <w:rPr>
          <w:sz w:val="22"/>
          <w:szCs w:val="22"/>
          <w:lang w:val="sr-Latn-ME" w:eastAsia="sr-Latn-CS"/>
        </w:rPr>
        <w:t>i dizajn studija i glavne rezultate efikasnosti.</w:t>
      </w:r>
    </w:p>
    <w:p w14:paraId="6B69D3A0" w14:textId="77777777" w:rsidR="008B0AD6" w:rsidRPr="00C0654D" w:rsidRDefault="008B0AD6">
      <w:pPr>
        <w:autoSpaceDE w:val="0"/>
        <w:autoSpaceDN w:val="0"/>
        <w:adjustRightInd w:val="0"/>
        <w:jc w:val="both"/>
        <w:rPr>
          <w:sz w:val="22"/>
          <w:szCs w:val="22"/>
          <w:lang w:val="sr-Latn-ME" w:eastAsia="sr-Latn-CS"/>
        </w:rPr>
      </w:pPr>
    </w:p>
    <w:p w14:paraId="55E88946"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Naj</w:t>
      </w:r>
      <w:r w:rsidRPr="00C0654D">
        <w:rPr>
          <w:rFonts w:eastAsia="TimesNewRoman"/>
          <w:sz w:val="22"/>
          <w:szCs w:val="22"/>
          <w:lang w:val="sr-Latn-ME" w:eastAsia="sr-Latn-CS"/>
        </w:rPr>
        <w:t>č</w:t>
      </w:r>
      <w:r w:rsidRPr="00C0654D">
        <w:rPr>
          <w:sz w:val="22"/>
          <w:szCs w:val="22"/>
          <w:lang w:val="sr-Latn-ME" w:eastAsia="sr-Latn-CS"/>
        </w:rPr>
        <w:t>eš</w:t>
      </w:r>
      <w:r w:rsidRPr="00C0654D">
        <w:rPr>
          <w:rFonts w:eastAsia="TimesNewRoman"/>
          <w:sz w:val="22"/>
          <w:szCs w:val="22"/>
          <w:lang w:val="sr-Latn-ME" w:eastAsia="sr-Latn-CS"/>
        </w:rPr>
        <w:t>ć</w:t>
      </w:r>
      <w:r w:rsidRPr="00C0654D">
        <w:rPr>
          <w:sz w:val="22"/>
          <w:szCs w:val="22"/>
          <w:lang w:val="sr-Latn-ME" w:eastAsia="sr-Latn-CS"/>
        </w:rPr>
        <w:t>e prijavljene i/ili klini</w:t>
      </w:r>
      <w:r w:rsidRPr="00C0654D">
        <w:rPr>
          <w:rFonts w:eastAsia="TimesNewRoman"/>
          <w:sz w:val="22"/>
          <w:szCs w:val="22"/>
          <w:lang w:val="sr-Latn-ME" w:eastAsia="sr-Latn-CS"/>
        </w:rPr>
        <w:t>č</w:t>
      </w:r>
      <w:r w:rsidRPr="00C0654D">
        <w:rPr>
          <w:sz w:val="22"/>
          <w:szCs w:val="22"/>
          <w:lang w:val="sr-Latn-ME" w:eastAsia="sr-Latn-CS"/>
        </w:rPr>
        <w:t>ki značajne neželjene reakcije povezane sa terapijom bili su gastrointestinalni poreme</w:t>
      </w:r>
      <w:r w:rsidRPr="00C0654D">
        <w:rPr>
          <w:rFonts w:eastAsia="TimesNewRoman"/>
          <w:sz w:val="22"/>
          <w:szCs w:val="22"/>
          <w:lang w:val="sr-Latn-ME" w:eastAsia="sr-Latn-CS"/>
        </w:rPr>
        <w:t>ć</w:t>
      </w:r>
      <w:r w:rsidRPr="00C0654D">
        <w:rPr>
          <w:sz w:val="22"/>
          <w:szCs w:val="22"/>
          <w:lang w:val="sr-Latn-ME" w:eastAsia="sr-Latn-CS"/>
        </w:rPr>
        <w:t>aji (naro</w:t>
      </w:r>
      <w:r w:rsidRPr="00C0654D">
        <w:rPr>
          <w:rFonts w:eastAsia="TimesNewRoman"/>
          <w:sz w:val="22"/>
          <w:szCs w:val="22"/>
          <w:lang w:val="sr-Latn-ME" w:eastAsia="sr-Latn-CS"/>
        </w:rPr>
        <w:t>č</w:t>
      </w:r>
      <w:r w:rsidRPr="00C0654D">
        <w:rPr>
          <w:sz w:val="22"/>
          <w:szCs w:val="22"/>
          <w:lang w:val="sr-Latn-ME" w:eastAsia="sr-Latn-CS"/>
        </w:rPr>
        <w:t>ito dijareja, mu</w:t>
      </w:r>
      <w:r w:rsidRPr="00C0654D">
        <w:rPr>
          <w:rFonts w:eastAsia="TimesNewRoman"/>
          <w:sz w:val="22"/>
          <w:szCs w:val="22"/>
          <w:lang w:val="sr-Latn-ME" w:eastAsia="sr-Latn-CS"/>
        </w:rPr>
        <w:t>č</w:t>
      </w:r>
      <w:r w:rsidRPr="00C0654D">
        <w:rPr>
          <w:sz w:val="22"/>
          <w:szCs w:val="22"/>
          <w:lang w:val="sr-Latn-ME" w:eastAsia="sr-Latn-CS"/>
        </w:rPr>
        <w:t>nina, povra</w:t>
      </w:r>
      <w:r w:rsidRPr="00C0654D">
        <w:rPr>
          <w:rFonts w:eastAsia="TimesNewRoman"/>
          <w:sz w:val="22"/>
          <w:szCs w:val="22"/>
          <w:lang w:val="sr-Latn-ME" w:eastAsia="sr-Latn-CS"/>
        </w:rPr>
        <w:t>ć</w:t>
      </w:r>
      <w:r w:rsidRPr="00C0654D">
        <w:rPr>
          <w:sz w:val="22"/>
          <w:szCs w:val="22"/>
          <w:lang w:val="sr-Latn-ME" w:eastAsia="sr-Latn-CS"/>
        </w:rPr>
        <w:t>anje, bol u abdomenu, stomatitis), sindrom šaka-stopalo (palmarno-plantarna eritrodizestezija), zamor, astenija, anoreksija, kardiotoksi</w:t>
      </w:r>
      <w:r w:rsidRPr="00C0654D">
        <w:rPr>
          <w:rFonts w:eastAsia="TimesNewRoman"/>
          <w:sz w:val="22"/>
          <w:szCs w:val="22"/>
          <w:lang w:val="sr-Latn-ME" w:eastAsia="sr-Latn-CS"/>
        </w:rPr>
        <w:t>č</w:t>
      </w:r>
      <w:r w:rsidRPr="00C0654D">
        <w:rPr>
          <w:sz w:val="22"/>
          <w:szCs w:val="22"/>
          <w:lang w:val="sr-Latn-ME" w:eastAsia="sr-Latn-CS"/>
        </w:rPr>
        <w:t>nost, poja</w:t>
      </w:r>
      <w:r w:rsidRPr="00C0654D">
        <w:rPr>
          <w:rFonts w:eastAsia="TimesNewRoman"/>
          <w:sz w:val="22"/>
          <w:szCs w:val="22"/>
          <w:lang w:val="sr-Latn-ME" w:eastAsia="sr-Latn-CS"/>
        </w:rPr>
        <w:t>č</w:t>
      </w:r>
      <w:r w:rsidRPr="00C0654D">
        <w:rPr>
          <w:sz w:val="22"/>
          <w:szCs w:val="22"/>
          <w:lang w:val="sr-Latn-ME" w:eastAsia="sr-Latn-CS"/>
        </w:rPr>
        <w:t>ana disfunkcija bubrega kod pacijenata sa ve</w:t>
      </w:r>
      <w:r w:rsidRPr="00C0654D">
        <w:rPr>
          <w:rFonts w:eastAsia="TimesNewRoman"/>
          <w:sz w:val="22"/>
          <w:szCs w:val="22"/>
          <w:lang w:val="sr-Latn-ME" w:eastAsia="sr-Latn-CS"/>
        </w:rPr>
        <w:t xml:space="preserve">ć </w:t>
      </w:r>
      <w:r w:rsidRPr="00C0654D">
        <w:rPr>
          <w:sz w:val="22"/>
          <w:szCs w:val="22"/>
          <w:lang w:val="sr-Latn-ME" w:eastAsia="sr-Latn-CS"/>
        </w:rPr>
        <w:t>postoje</w:t>
      </w:r>
      <w:r w:rsidRPr="00C0654D">
        <w:rPr>
          <w:rFonts w:eastAsia="TimesNewRoman"/>
          <w:sz w:val="22"/>
          <w:szCs w:val="22"/>
          <w:lang w:val="sr-Latn-ME" w:eastAsia="sr-Latn-CS"/>
        </w:rPr>
        <w:t>ć</w:t>
      </w:r>
      <w:r w:rsidRPr="00C0654D">
        <w:rPr>
          <w:sz w:val="22"/>
          <w:szCs w:val="22"/>
          <w:lang w:val="sr-Latn-ME" w:eastAsia="sr-Latn-CS"/>
        </w:rPr>
        <w:t>om kompromitovanom bubrežnom funkcijom, i tromboza/embolija.</w:t>
      </w:r>
    </w:p>
    <w:p w14:paraId="54E72EDA" w14:textId="77777777" w:rsidR="008B0AD6" w:rsidRPr="00C0654D" w:rsidRDefault="008B0AD6">
      <w:pPr>
        <w:autoSpaceDE w:val="0"/>
        <w:autoSpaceDN w:val="0"/>
        <w:adjustRightInd w:val="0"/>
        <w:jc w:val="both"/>
        <w:rPr>
          <w:i/>
          <w:iCs/>
          <w:sz w:val="22"/>
          <w:szCs w:val="22"/>
          <w:lang w:val="sr-Latn-ME" w:eastAsia="sr-Latn-CS"/>
        </w:rPr>
      </w:pPr>
    </w:p>
    <w:p w14:paraId="43FD34AA" w14:textId="77777777" w:rsidR="008B0AD6" w:rsidRPr="00C0654D" w:rsidRDefault="008B0AD6">
      <w:pPr>
        <w:autoSpaceDE w:val="0"/>
        <w:autoSpaceDN w:val="0"/>
        <w:adjustRightInd w:val="0"/>
        <w:jc w:val="both"/>
        <w:rPr>
          <w:iCs/>
          <w:sz w:val="22"/>
          <w:szCs w:val="22"/>
          <w:u w:val="single"/>
          <w:lang w:val="sr-Latn-ME" w:eastAsia="sr-Latn-CS"/>
        </w:rPr>
      </w:pPr>
      <w:r w:rsidRPr="00C0654D">
        <w:rPr>
          <w:iCs/>
          <w:sz w:val="22"/>
          <w:szCs w:val="22"/>
          <w:u w:val="single"/>
          <w:lang w:val="sr-Latn-ME" w:eastAsia="sr-Latn-CS"/>
        </w:rPr>
        <w:t>Tabelarni prikaz neželjenih reakcija</w:t>
      </w:r>
    </w:p>
    <w:p w14:paraId="63DA44EF" w14:textId="77777777" w:rsidR="008B0AD6" w:rsidRPr="00C0654D" w:rsidRDefault="008B0AD6">
      <w:pPr>
        <w:autoSpaceDE w:val="0"/>
        <w:autoSpaceDN w:val="0"/>
        <w:adjustRightInd w:val="0"/>
        <w:jc w:val="both"/>
        <w:rPr>
          <w:iCs/>
          <w:sz w:val="22"/>
          <w:szCs w:val="22"/>
          <w:u w:val="single"/>
          <w:lang w:val="sr-Latn-ME" w:eastAsia="sr-Latn-CS"/>
        </w:rPr>
      </w:pPr>
    </w:p>
    <w:p w14:paraId="4793633C" w14:textId="0315F265"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 xml:space="preserve">Neželjene reakcije za koje </w:t>
      </w:r>
      <w:r w:rsidR="009547E3">
        <w:rPr>
          <w:sz w:val="22"/>
          <w:szCs w:val="22"/>
          <w:lang w:val="sr-Latn-ME" w:eastAsia="sr-Latn-CS"/>
        </w:rPr>
        <w:t xml:space="preserve">su </w:t>
      </w:r>
      <w:r w:rsidRPr="00C0654D">
        <w:rPr>
          <w:sz w:val="22"/>
          <w:szCs w:val="22"/>
          <w:lang w:val="sr-Latn-ME" w:eastAsia="sr-Latn-CS"/>
        </w:rPr>
        <w:t>istraživa</w:t>
      </w:r>
      <w:r w:rsidRPr="00C0654D">
        <w:rPr>
          <w:rFonts w:eastAsia="TimesNewRoman"/>
          <w:sz w:val="22"/>
          <w:szCs w:val="22"/>
          <w:lang w:val="sr-Latn-ME" w:eastAsia="sr-Latn-CS"/>
        </w:rPr>
        <w:t>č</w:t>
      </w:r>
      <w:r w:rsidRPr="00C0654D">
        <w:rPr>
          <w:sz w:val="22"/>
          <w:szCs w:val="22"/>
          <w:lang w:val="sr-Latn-ME" w:eastAsia="sr-Latn-CS"/>
        </w:rPr>
        <w:t>i smatra</w:t>
      </w:r>
      <w:r w:rsidR="009547E3">
        <w:rPr>
          <w:sz w:val="22"/>
          <w:szCs w:val="22"/>
          <w:lang w:val="sr-Latn-ME" w:eastAsia="sr-Latn-CS"/>
        </w:rPr>
        <w:t>li</w:t>
      </w:r>
      <w:r w:rsidRPr="00C0654D">
        <w:rPr>
          <w:sz w:val="22"/>
          <w:szCs w:val="22"/>
          <w:lang w:val="sr-Latn-ME" w:eastAsia="sr-Latn-CS"/>
        </w:rPr>
        <w:t xml:space="preserve"> da </w:t>
      </w:r>
      <w:r w:rsidR="009547E3">
        <w:rPr>
          <w:sz w:val="22"/>
          <w:szCs w:val="22"/>
          <w:lang w:val="sr-Latn-ME" w:eastAsia="sr-Latn-CS"/>
        </w:rPr>
        <w:t>su moguće</w:t>
      </w:r>
      <w:r w:rsidRPr="00C0654D">
        <w:rPr>
          <w:sz w:val="22"/>
          <w:szCs w:val="22"/>
          <w:lang w:val="sr-Latn-ME" w:eastAsia="sr-Latn-CS"/>
        </w:rPr>
        <w:t>, vjerovatno</w:t>
      </w:r>
      <w:r w:rsidR="009547E3">
        <w:rPr>
          <w:sz w:val="22"/>
          <w:szCs w:val="22"/>
          <w:lang w:val="sr-Latn-ME" w:eastAsia="sr-Latn-CS"/>
        </w:rPr>
        <w:t xml:space="preserve"> ili slabo</w:t>
      </w:r>
      <w:r w:rsidRPr="00C0654D">
        <w:rPr>
          <w:sz w:val="22"/>
          <w:szCs w:val="22"/>
          <w:lang w:val="sr-Latn-ME" w:eastAsia="sr-Latn-CS"/>
        </w:rPr>
        <w:t xml:space="preserve"> povezane sa primjenom kapecitabina prikazane su u Tabeli 4. u slu</w:t>
      </w:r>
      <w:r w:rsidRPr="00C0654D">
        <w:rPr>
          <w:rFonts w:eastAsia="TimesNewRoman"/>
          <w:sz w:val="22"/>
          <w:szCs w:val="22"/>
          <w:lang w:val="sr-Latn-ME" w:eastAsia="sr-Latn-CS"/>
        </w:rPr>
        <w:t>č</w:t>
      </w:r>
      <w:r w:rsidRPr="00C0654D">
        <w:rPr>
          <w:sz w:val="22"/>
          <w:szCs w:val="22"/>
          <w:lang w:val="sr-Latn-ME" w:eastAsia="sr-Latn-CS"/>
        </w:rPr>
        <w:t xml:space="preserve">aju kada </w:t>
      </w:r>
      <w:r w:rsidR="0002629C">
        <w:rPr>
          <w:sz w:val="22"/>
          <w:szCs w:val="22"/>
          <w:lang w:val="sr-Latn-ME" w:eastAsia="sr-Latn-CS"/>
        </w:rPr>
        <w:t>j</w:t>
      </w:r>
      <w:r w:rsidRPr="00C0654D">
        <w:rPr>
          <w:sz w:val="22"/>
          <w:szCs w:val="22"/>
          <w:lang w:val="sr-Latn-ME" w:eastAsia="sr-Latn-CS"/>
        </w:rPr>
        <w:t>e ovaj lijek da</w:t>
      </w:r>
      <w:r w:rsidR="0002629C">
        <w:rPr>
          <w:sz w:val="22"/>
          <w:szCs w:val="22"/>
          <w:lang w:val="sr-Latn-ME" w:eastAsia="sr-Latn-CS"/>
        </w:rPr>
        <w:t>van</w:t>
      </w:r>
      <w:r w:rsidRPr="00C0654D">
        <w:rPr>
          <w:sz w:val="22"/>
          <w:szCs w:val="22"/>
          <w:lang w:val="sr-Latn-ME" w:eastAsia="sr-Latn-CS"/>
        </w:rPr>
        <w:t xml:space="preserve"> kao monoterapija i u Tabeli 5. kada </w:t>
      </w:r>
      <w:r w:rsidR="0002629C">
        <w:rPr>
          <w:sz w:val="22"/>
          <w:szCs w:val="22"/>
          <w:lang w:val="sr-Latn-ME" w:eastAsia="sr-Latn-CS"/>
        </w:rPr>
        <w:t>j</w:t>
      </w:r>
      <w:r w:rsidRPr="00C0654D">
        <w:rPr>
          <w:sz w:val="22"/>
          <w:szCs w:val="22"/>
          <w:lang w:val="sr-Latn-ME" w:eastAsia="sr-Latn-CS"/>
        </w:rPr>
        <w:t xml:space="preserve">e </w:t>
      </w:r>
      <w:r w:rsidRPr="00C0654D">
        <w:rPr>
          <w:sz w:val="22"/>
          <w:szCs w:val="22"/>
          <w:lang w:val="sr-Latn-ME"/>
        </w:rPr>
        <w:t xml:space="preserve">kapecitabin </w:t>
      </w:r>
      <w:r w:rsidRPr="00C0654D">
        <w:rPr>
          <w:sz w:val="22"/>
          <w:szCs w:val="22"/>
          <w:lang w:val="sr-Latn-ME" w:eastAsia="sr-Latn-CS"/>
        </w:rPr>
        <w:t>primjenj</w:t>
      </w:r>
      <w:r w:rsidR="0002629C">
        <w:rPr>
          <w:sz w:val="22"/>
          <w:szCs w:val="22"/>
          <w:lang w:val="sr-Latn-ME" w:eastAsia="sr-Latn-CS"/>
        </w:rPr>
        <w:t>ivan</w:t>
      </w:r>
      <w:r w:rsidRPr="00C0654D">
        <w:rPr>
          <w:sz w:val="22"/>
          <w:szCs w:val="22"/>
          <w:lang w:val="sr-Latn-ME" w:eastAsia="sr-Latn-CS"/>
        </w:rPr>
        <w:t xml:space="preserve"> u kombinaciji sa razli</w:t>
      </w:r>
      <w:r w:rsidRPr="00C0654D">
        <w:rPr>
          <w:rFonts w:eastAsia="TimesNewRoman"/>
          <w:sz w:val="22"/>
          <w:szCs w:val="22"/>
          <w:lang w:val="sr-Latn-ME" w:eastAsia="sr-Latn-CS"/>
        </w:rPr>
        <w:t>č</w:t>
      </w:r>
      <w:r w:rsidRPr="00C0654D">
        <w:rPr>
          <w:sz w:val="22"/>
          <w:szCs w:val="22"/>
          <w:lang w:val="sr-Latn-ME" w:eastAsia="sr-Latn-CS"/>
        </w:rPr>
        <w:t>itim hemoterapijskim režimima u razli</w:t>
      </w:r>
      <w:r w:rsidRPr="00C0654D">
        <w:rPr>
          <w:rFonts w:eastAsia="TimesNewRoman"/>
          <w:sz w:val="22"/>
          <w:szCs w:val="22"/>
          <w:lang w:val="sr-Latn-ME" w:eastAsia="sr-Latn-CS"/>
        </w:rPr>
        <w:t>č</w:t>
      </w:r>
      <w:r w:rsidRPr="00C0654D">
        <w:rPr>
          <w:sz w:val="22"/>
          <w:szCs w:val="22"/>
          <w:lang w:val="sr-Latn-ME" w:eastAsia="sr-Latn-CS"/>
        </w:rPr>
        <w:t xml:space="preserve">itim indikacijama. Neželjene reakcije su podijeljene po učestalosti na sljedeći način: veoma česte (≥1/10), česte (≥1/100 do &lt;1/10), povremene (≥1/1000, &lt;1/100), rijetke (≥ 1/10,000 do &lt; 1/1,000), veoma rijetke (&lt; 1/10,000). U okviru svake podjele po učestalosti, neželjene reakcije su prikazane </w:t>
      </w:r>
      <w:r w:rsidRPr="00C0654D">
        <w:rPr>
          <w:sz w:val="22"/>
          <w:szCs w:val="22"/>
          <w:lang w:val="sr-Latn-ME"/>
        </w:rPr>
        <w:t>od najozbiljnijih do manje ozbiljnih.</w:t>
      </w:r>
    </w:p>
    <w:p w14:paraId="7C52C98A" w14:textId="77777777" w:rsidR="008B0AD6" w:rsidRPr="00C0654D" w:rsidRDefault="008B0AD6">
      <w:pPr>
        <w:autoSpaceDE w:val="0"/>
        <w:autoSpaceDN w:val="0"/>
        <w:adjustRightInd w:val="0"/>
        <w:jc w:val="both"/>
        <w:rPr>
          <w:sz w:val="22"/>
          <w:szCs w:val="22"/>
          <w:lang w:val="sr-Latn-ME"/>
        </w:rPr>
      </w:pPr>
    </w:p>
    <w:p w14:paraId="0F0A9DAF"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Monoterapija:</w:t>
      </w:r>
    </w:p>
    <w:p w14:paraId="25500171"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rPr>
        <w:t xml:space="preserve">U Tabeli 4. su prikazane neželjene reakcije povezane sa monoterapijom kapecitabinom </w:t>
      </w:r>
      <w:r w:rsidRPr="00C0654D">
        <w:rPr>
          <w:sz w:val="22"/>
          <w:szCs w:val="22"/>
          <w:lang w:val="sr-Latn-ME" w:eastAsia="sr-Latn-CS"/>
        </w:rPr>
        <w:t>na osnovu zbirne analize bezbjednosnih podataka iz tri velike studije koje su obuhvatile preko 1900 pacijenata (studije M66001, SO14695, i SO14796). Neželjene reakcije svrstane su u odgovaraju</w:t>
      </w:r>
      <w:r w:rsidRPr="00C0654D">
        <w:rPr>
          <w:rFonts w:eastAsia="TimesNewRoman"/>
          <w:sz w:val="22"/>
          <w:szCs w:val="22"/>
          <w:lang w:val="sr-Latn-ME" w:eastAsia="sr-Latn-CS"/>
        </w:rPr>
        <w:t>ć</w:t>
      </w:r>
      <w:r w:rsidRPr="00C0654D">
        <w:rPr>
          <w:sz w:val="22"/>
          <w:szCs w:val="22"/>
          <w:lang w:val="sr-Latn-ME" w:eastAsia="sr-Latn-CS"/>
        </w:rPr>
        <w:t>u grupu u</w:t>
      </w:r>
      <w:r w:rsidRPr="00C0654D">
        <w:rPr>
          <w:rFonts w:eastAsia="TimesNewRoman"/>
          <w:sz w:val="22"/>
          <w:szCs w:val="22"/>
          <w:lang w:val="sr-Latn-ME" w:eastAsia="sr-Latn-CS"/>
        </w:rPr>
        <w:t>č</w:t>
      </w:r>
      <w:r w:rsidRPr="00C0654D">
        <w:rPr>
          <w:sz w:val="22"/>
          <w:szCs w:val="22"/>
          <w:lang w:val="sr-Latn-ME" w:eastAsia="sr-Latn-CS"/>
        </w:rPr>
        <w:t>estalosti na osnovu ukupne incidence iz zbirne analize.</w:t>
      </w:r>
    </w:p>
    <w:p w14:paraId="09540EBE" w14:textId="77777777" w:rsidR="008B0AD6" w:rsidRPr="00C0654D" w:rsidRDefault="008B0AD6">
      <w:pPr>
        <w:autoSpaceDE w:val="0"/>
        <w:autoSpaceDN w:val="0"/>
        <w:adjustRightInd w:val="0"/>
        <w:jc w:val="both"/>
        <w:rPr>
          <w:sz w:val="22"/>
          <w:szCs w:val="22"/>
          <w:lang w:val="sr-Latn-ME" w:eastAsia="sr-Latn-CS"/>
        </w:rPr>
      </w:pPr>
    </w:p>
    <w:p w14:paraId="78C63575"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Tabela 4. Rezime neželjenih reakcija zabilježenih kod pacijenata liječenih monoterapijom kapecitabinom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30"/>
        <w:gridCol w:w="1843"/>
        <w:gridCol w:w="2835"/>
        <w:gridCol w:w="1843"/>
      </w:tblGrid>
      <w:tr w:rsidR="008B0AD6" w:rsidRPr="00C0654D" w14:paraId="3A899232" w14:textId="77777777" w:rsidTr="00D85C58">
        <w:tc>
          <w:tcPr>
            <w:tcW w:w="1555" w:type="dxa"/>
          </w:tcPr>
          <w:p w14:paraId="66FDD0AC"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Sistem organa</w:t>
            </w:r>
          </w:p>
        </w:tc>
        <w:tc>
          <w:tcPr>
            <w:tcW w:w="1530" w:type="dxa"/>
          </w:tcPr>
          <w:p w14:paraId="323B4A66"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 xml:space="preserve">Veoma često </w:t>
            </w:r>
          </w:p>
          <w:p w14:paraId="27A204D2" w14:textId="77777777" w:rsidR="008B0AD6" w:rsidRPr="00C0654D" w:rsidRDefault="008B0AD6">
            <w:pPr>
              <w:autoSpaceDE w:val="0"/>
              <w:autoSpaceDN w:val="0"/>
              <w:adjustRightInd w:val="0"/>
              <w:jc w:val="both"/>
              <w:rPr>
                <w:i/>
                <w:sz w:val="22"/>
                <w:szCs w:val="22"/>
                <w:lang w:val="sr-Latn-ME"/>
              </w:rPr>
            </w:pPr>
            <w:r w:rsidRPr="00C0654D">
              <w:rPr>
                <w:i/>
                <w:sz w:val="22"/>
                <w:szCs w:val="22"/>
                <w:lang w:val="sr-Latn-ME"/>
              </w:rPr>
              <w:t>Svi gradusi</w:t>
            </w:r>
          </w:p>
        </w:tc>
        <w:tc>
          <w:tcPr>
            <w:tcW w:w="1843" w:type="dxa"/>
          </w:tcPr>
          <w:p w14:paraId="0D9FB6FF"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Često</w:t>
            </w:r>
          </w:p>
          <w:p w14:paraId="433C0BC9" w14:textId="77777777" w:rsidR="008B0AD6" w:rsidRPr="00C0654D" w:rsidRDefault="008B0AD6">
            <w:pPr>
              <w:autoSpaceDE w:val="0"/>
              <w:autoSpaceDN w:val="0"/>
              <w:adjustRightInd w:val="0"/>
              <w:jc w:val="both"/>
              <w:rPr>
                <w:sz w:val="22"/>
                <w:szCs w:val="22"/>
                <w:lang w:val="sr-Latn-ME"/>
              </w:rPr>
            </w:pPr>
            <w:r w:rsidRPr="00C0654D">
              <w:rPr>
                <w:i/>
                <w:sz w:val="22"/>
                <w:szCs w:val="22"/>
                <w:lang w:val="sr-Latn-ME"/>
              </w:rPr>
              <w:t>Svi gradusi</w:t>
            </w:r>
          </w:p>
        </w:tc>
        <w:tc>
          <w:tcPr>
            <w:tcW w:w="2835" w:type="dxa"/>
          </w:tcPr>
          <w:p w14:paraId="719CEBDE"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Povremeno</w:t>
            </w:r>
          </w:p>
          <w:p w14:paraId="2C11994A" w14:textId="77777777" w:rsidR="008B0AD6" w:rsidRPr="00C0654D" w:rsidRDefault="008B0AD6">
            <w:pPr>
              <w:autoSpaceDE w:val="0"/>
              <w:autoSpaceDN w:val="0"/>
              <w:adjustRightInd w:val="0"/>
              <w:jc w:val="both"/>
              <w:rPr>
                <w:i/>
                <w:sz w:val="22"/>
                <w:szCs w:val="22"/>
                <w:lang w:val="sr-Latn-ME"/>
              </w:rPr>
            </w:pPr>
            <w:r w:rsidRPr="00C0654D">
              <w:rPr>
                <w:i/>
                <w:sz w:val="22"/>
                <w:szCs w:val="22"/>
                <w:lang w:val="sr-Latn-ME"/>
              </w:rPr>
              <w:t>Ozbiljne i/ili životno-ugrožavajuće (gradus 3-4) ili koje se smatraju medicinski značajnim</w:t>
            </w:r>
          </w:p>
        </w:tc>
        <w:tc>
          <w:tcPr>
            <w:tcW w:w="1843" w:type="dxa"/>
          </w:tcPr>
          <w:p w14:paraId="3A326641" w14:textId="77777777" w:rsidR="008B0AD6" w:rsidRPr="00C0654D" w:rsidRDefault="008B0AD6">
            <w:pPr>
              <w:autoSpaceDE w:val="0"/>
              <w:autoSpaceDN w:val="0"/>
              <w:adjustRightInd w:val="0"/>
              <w:jc w:val="both"/>
              <w:rPr>
                <w:sz w:val="22"/>
                <w:szCs w:val="22"/>
                <w:lang w:val="sr-Latn-ME"/>
              </w:rPr>
            </w:pPr>
            <w:r w:rsidRPr="00C0654D">
              <w:rPr>
                <w:b/>
                <w:sz w:val="22"/>
                <w:szCs w:val="22"/>
                <w:lang w:val="sr-Latn-ME"/>
              </w:rPr>
              <w:t>Rijetko/Veoma rijetko</w:t>
            </w:r>
            <w:r w:rsidRPr="00C0654D">
              <w:rPr>
                <w:sz w:val="22"/>
                <w:szCs w:val="22"/>
                <w:lang w:val="sr-Latn-ME"/>
              </w:rPr>
              <w:t xml:space="preserve"> (postmarketinško iskustvo)</w:t>
            </w:r>
          </w:p>
        </w:tc>
      </w:tr>
      <w:tr w:rsidR="008B0AD6" w:rsidRPr="00C0654D" w14:paraId="451B797F" w14:textId="77777777" w:rsidTr="00D85C58">
        <w:tc>
          <w:tcPr>
            <w:tcW w:w="1555" w:type="dxa"/>
          </w:tcPr>
          <w:p w14:paraId="4ABA660D"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Infekcije i infestacije</w:t>
            </w:r>
          </w:p>
        </w:tc>
        <w:tc>
          <w:tcPr>
            <w:tcW w:w="1530" w:type="dxa"/>
          </w:tcPr>
          <w:p w14:paraId="6BE9CB0D"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031F92C2" w14:textId="77777777" w:rsidR="008B0AD6" w:rsidRPr="00C0654D" w:rsidRDefault="008B0AD6" w:rsidP="00BB7508">
            <w:pPr>
              <w:autoSpaceDE w:val="0"/>
              <w:autoSpaceDN w:val="0"/>
              <w:adjustRightInd w:val="0"/>
              <w:rPr>
                <w:sz w:val="22"/>
                <w:szCs w:val="22"/>
                <w:lang w:val="sr-Latn-ME" w:eastAsia="sr-Latn-CS"/>
              </w:rPr>
            </w:pPr>
            <w:r w:rsidRPr="00C0654D">
              <w:rPr>
                <w:sz w:val="22"/>
                <w:szCs w:val="22"/>
                <w:lang w:val="sr-Latn-ME" w:eastAsia="sr-Latn-CS"/>
              </w:rPr>
              <w:t xml:space="preserve">virusne herpes infekcije, nazofaringitis, </w:t>
            </w:r>
          </w:p>
          <w:p w14:paraId="6D4DD8A4" w14:textId="77777777" w:rsidR="008B0AD6" w:rsidRPr="00C0654D" w:rsidRDefault="008B0AD6" w:rsidP="00BB7508">
            <w:pPr>
              <w:autoSpaceDE w:val="0"/>
              <w:autoSpaceDN w:val="0"/>
              <w:adjustRightInd w:val="0"/>
              <w:rPr>
                <w:sz w:val="22"/>
                <w:szCs w:val="22"/>
                <w:lang w:val="sr-Latn-ME"/>
              </w:rPr>
            </w:pPr>
            <w:r w:rsidRPr="00C0654D">
              <w:rPr>
                <w:sz w:val="22"/>
                <w:szCs w:val="22"/>
                <w:lang w:val="sr-Latn-ME" w:eastAsia="sr-Latn-CS"/>
              </w:rPr>
              <w:t>infekcije donjeg respiratornog trakta</w:t>
            </w:r>
          </w:p>
        </w:tc>
        <w:tc>
          <w:tcPr>
            <w:tcW w:w="2835" w:type="dxa"/>
          </w:tcPr>
          <w:p w14:paraId="5E7D0650" w14:textId="77777777" w:rsidR="008B0AD6" w:rsidRPr="00C0654D" w:rsidRDefault="008B0AD6" w:rsidP="00DF6F46">
            <w:pPr>
              <w:autoSpaceDE w:val="0"/>
              <w:autoSpaceDN w:val="0"/>
              <w:adjustRightInd w:val="0"/>
              <w:rPr>
                <w:sz w:val="22"/>
                <w:szCs w:val="22"/>
                <w:lang w:val="sr-Latn-ME" w:eastAsia="sr-Latn-CS"/>
              </w:rPr>
            </w:pPr>
            <w:r w:rsidRPr="00C0654D">
              <w:rPr>
                <w:sz w:val="22"/>
                <w:szCs w:val="22"/>
                <w:lang w:val="sr-Latn-ME" w:eastAsia="sr-Latn-CS"/>
              </w:rPr>
              <w:t>sepsa, infekcije urinarnog trakta, celulitis, tonzilitis, faringitis, oralna kandidijaza, grip, gastroenteritis,</w:t>
            </w:r>
          </w:p>
          <w:p w14:paraId="7D6809D8"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gljivi</w:t>
            </w:r>
            <w:r w:rsidRPr="00C0654D">
              <w:rPr>
                <w:rFonts w:eastAsia="TimesNewRoman"/>
                <w:sz w:val="22"/>
                <w:szCs w:val="22"/>
                <w:lang w:val="sr-Latn-ME" w:eastAsia="sr-Latn-CS"/>
              </w:rPr>
              <w:t>č</w:t>
            </w:r>
            <w:r w:rsidRPr="00C0654D">
              <w:rPr>
                <w:sz w:val="22"/>
                <w:szCs w:val="22"/>
                <w:lang w:val="sr-Latn-ME" w:eastAsia="sr-Latn-CS"/>
              </w:rPr>
              <w:t>na infekcija,</w:t>
            </w:r>
          </w:p>
          <w:p w14:paraId="1B4E9B0F" w14:textId="77777777" w:rsidR="008B0AD6" w:rsidRPr="00C0654D" w:rsidRDefault="008B0AD6">
            <w:pPr>
              <w:autoSpaceDE w:val="0"/>
              <w:autoSpaceDN w:val="0"/>
              <w:adjustRightInd w:val="0"/>
              <w:rPr>
                <w:sz w:val="22"/>
                <w:szCs w:val="22"/>
                <w:lang w:val="sr-Latn-ME"/>
              </w:rPr>
            </w:pPr>
            <w:r w:rsidRPr="00C0654D">
              <w:rPr>
                <w:sz w:val="22"/>
                <w:szCs w:val="22"/>
                <w:lang w:val="sr-Latn-ME" w:eastAsia="sr-Latn-CS"/>
              </w:rPr>
              <w:t>infekcija, apsces zuba</w:t>
            </w:r>
          </w:p>
        </w:tc>
        <w:tc>
          <w:tcPr>
            <w:tcW w:w="1843" w:type="dxa"/>
          </w:tcPr>
          <w:p w14:paraId="319F3E08" w14:textId="0105A3DD" w:rsidR="008B0AD6" w:rsidRPr="00C0654D" w:rsidRDefault="00426E98" w:rsidP="00D85C5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3F61650F" w14:textId="77777777" w:rsidTr="00D85C58">
        <w:tc>
          <w:tcPr>
            <w:tcW w:w="1555" w:type="dxa"/>
          </w:tcPr>
          <w:p w14:paraId="4A10C6A4" w14:textId="24E102F6" w:rsidR="008B0AD6" w:rsidRPr="00C0654D" w:rsidRDefault="00655746" w:rsidP="00D85C58">
            <w:pPr>
              <w:autoSpaceDE w:val="0"/>
              <w:autoSpaceDN w:val="0"/>
              <w:adjustRightInd w:val="0"/>
              <w:jc w:val="both"/>
              <w:rPr>
                <w:i/>
                <w:sz w:val="22"/>
                <w:szCs w:val="22"/>
                <w:lang w:val="sr-Latn-ME"/>
              </w:rPr>
            </w:pPr>
            <w:r w:rsidRPr="00655746">
              <w:rPr>
                <w:i/>
                <w:sz w:val="22"/>
                <w:szCs w:val="22"/>
                <w:lang w:val="sr-Latn-ME"/>
              </w:rPr>
              <w:t xml:space="preserve">Neoplazme – benigne, maligne i neodređene </w:t>
            </w:r>
          </w:p>
        </w:tc>
        <w:tc>
          <w:tcPr>
            <w:tcW w:w="1530" w:type="dxa"/>
          </w:tcPr>
          <w:p w14:paraId="00A162B0"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4A53BCFF"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w:t>
            </w:r>
          </w:p>
        </w:tc>
        <w:tc>
          <w:tcPr>
            <w:tcW w:w="2835" w:type="dxa"/>
          </w:tcPr>
          <w:p w14:paraId="09867249"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lipom</w:t>
            </w:r>
          </w:p>
        </w:tc>
        <w:tc>
          <w:tcPr>
            <w:tcW w:w="1843" w:type="dxa"/>
          </w:tcPr>
          <w:p w14:paraId="05DB0BD4" w14:textId="506C0CF5" w:rsidR="008B0AD6" w:rsidRPr="00C0654D" w:rsidRDefault="00426E98">
            <w:pPr>
              <w:autoSpaceDE w:val="0"/>
              <w:autoSpaceDN w:val="0"/>
              <w:adjustRightInd w:val="0"/>
              <w:jc w:val="both"/>
              <w:rPr>
                <w:sz w:val="22"/>
                <w:szCs w:val="22"/>
                <w:lang w:val="sr-Latn-ME"/>
              </w:rPr>
            </w:pPr>
            <w:r>
              <w:rPr>
                <w:sz w:val="22"/>
                <w:szCs w:val="22"/>
                <w:lang w:val="sr-Latn-ME"/>
              </w:rPr>
              <w:t>-</w:t>
            </w:r>
          </w:p>
        </w:tc>
      </w:tr>
      <w:tr w:rsidR="008B0AD6" w:rsidRPr="00C0654D" w14:paraId="7AB47B0A" w14:textId="77777777" w:rsidTr="00D85C58">
        <w:tc>
          <w:tcPr>
            <w:tcW w:w="1555" w:type="dxa"/>
          </w:tcPr>
          <w:p w14:paraId="166ECE43"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Poremećaji  krvi i limfnog sistema</w:t>
            </w:r>
          </w:p>
        </w:tc>
        <w:tc>
          <w:tcPr>
            <w:tcW w:w="1530" w:type="dxa"/>
          </w:tcPr>
          <w:p w14:paraId="33EBA3B4"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71F3EF2E"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 xml:space="preserve">neutropenija, </w:t>
            </w:r>
          </w:p>
          <w:p w14:paraId="362B99CB"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anemija</w:t>
            </w:r>
          </w:p>
        </w:tc>
        <w:tc>
          <w:tcPr>
            <w:tcW w:w="2835" w:type="dxa"/>
          </w:tcPr>
          <w:p w14:paraId="41B7D1B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febrilna neutropenija,</w:t>
            </w:r>
          </w:p>
          <w:p w14:paraId="43F64D6D"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pancitopenija,</w:t>
            </w:r>
          </w:p>
          <w:p w14:paraId="5B051B8C"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granulocitopenija,</w:t>
            </w:r>
          </w:p>
          <w:p w14:paraId="6DFEB89A"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trombocitopenija,</w:t>
            </w:r>
          </w:p>
          <w:p w14:paraId="5FFCD79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leukopenija,</w:t>
            </w:r>
          </w:p>
          <w:p w14:paraId="01E8A2F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hemoliti</w:t>
            </w:r>
            <w:r w:rsidRPr="00C0654D">
              <w:rPr>
                <w:rFonts w:eastAsia="TimesNewRoman"/>
                <w:sz w:val="22"/>
                <w:szCs w:val="22"/>
                <w:lang w:val="sr-Latn-ME" w:eastAsia="sr-Latn-CS"/>
              </w:rPr>
              <w:t>č</w:t>
            </w:r>
            <w:r w:rsidRPr="00C0654D">
              <w:rPr>
                <w:sz w:val="22"/>
                <w:szCs w:val="22"/>
                <w:lang w:val="sr-Latn-ME" w:eastAsia="sr-Latn-CS"/>
              </w:rPr>
              <w:t>ka anemija,</w:t>
            </w:r>
          </w:p>
          <w:p w14:paraId="54C18E8A"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pove</w:t>
            </w:r>
            <w:r w:rsidRPr="00C0654D">
              <w:rPr>
                <w:rFonts w:eastAsia="TimesNewRoman"/>
                <w:sz w:val="22"/>
                <w:szCs w:val="22"/>
                <w:lang w:val="sr-Latn-ME" w:eastAsia="sr-Latn-CS"/>
              </w:rPr>
              <w:t>ć</w:t>
            </w:r>
            <w:r w:rsidRPr="00C0654D">
              <w:rPr>
                <w:sz w:val="22"/>
                <w:szCs w:val="22"/>
                <w:lang w:val="sr-Latn-ME" w:eastAsia="sr-Latn-CS"/>
              </w:rPr>
              <w:t>anje INR</w:t>
            </w:r>
          </w:p>
          <w:p w14:paraId="20861AAE" w14:textId="77777777" w:rsidR="008B0AD6" w:rsidRPr="00C0654D" w:rsidRDefault="008B0AD6">
            <w:pPr>
              <w:autoSpaceDE w:val="0"/>
              <w:autoSpaceDN w:val="0"/>
              <w:adjustRightInd w:val="0"/>
              <w:jc w:val="both"/>
              <w:rPr>
                <w:i/>
                <w:sz w:val="22"/>
                <w:szCs w:val="22"/>
                <w:lang w:val="sr-Latn-ME" w:eastAsia="sr-Latn-CS"/>
              </w:rPr>
            </w:pPr>
            <w:r w:rsidRPr="00C0654D">
              <w:rPr>
                <w:sz w:val="22"/>
                <w:szCs w:val="22"/>
                <w:lang w:val="sr-Latn-ME" w:eastAsia="sr-Latn-CS"/>
              </w:rPr>
              <w:lastRenderedPageBreak/>
              <w:t>(</w:t>
            </w:r>
            <w:r w:rsidRPr="00C0654D">
              <w:rPr>
                <w:i/>
                <w:sz w:val="22"/>
                <w:szCs w:val="22"/>
                <w:lang w:val="sr-Latn-ME" w:eastAsia="sr-Latn-CS"/>
              </w:rPr>
              <w:t>International</w:t>
            </w:r>
          </w:p>
          <w:p w14:paraId="53BA47D2" w14:textId="77777777" w:rsidR="008B0AD6" w:rsidRPr="00C0654D" w:rsidRDefault="008B0AD6">
            <w:pPr>
              <w:autoSpaceDE w:val="0"/>
              <w:autoSpaceDN w:val="0"/>
              <w:adjustRightInd w:val="0"/>
              <w:jc w:val="both"/>
              <w:rPr>
                <w:sz w:val="22"/>
                <w:szCs w:val="22"/>
                <w:lang w:val="sr-Latn-ME" w:eastAsia="sr-Latn-CS"/>
              </w:rPr>
            </w:pPr>
            <w:r w:rsidRPr="00C0654D">
              <w:rPr>
                <w:i/>
                <w:sz w:val="22"/>
                <w:szCs w:val="22"/>
                <w:lang w:val="sr-Latn-ME" w:eastAsia="sr-Latn-CS"/>
              </w:rPr>
              <w:t>Normalised Ratio</w:t>
            </w:r>
            <w:r w:rsidRPr="00C0654D">
              <w:rPr>
                <w:sz w:val="22"/>
                <w:szCs w:val="22"/>
                <w:lang w:val="sr-Latn-ME" w:eastAsia="sr-Latn-CS"/>
              </w:rPr>
              <w:t>)</w:t>
            </w:r>
          </w:p>
          <w:p w14:paraId="2C622F7D"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/produženje</w:t>
            </w:r>
          </w:p>
          <w:p w14:paraId="4DC48CFA"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protrombinskog</w:t>
            </w:r>
          </w:p>
          <w:p w14:paraId="08612000" w14:textId="77777777"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vremena</w:t>
            </w:r>
          </w:p>
        </w:tc>
        <w:tc>
          <w:tcPr>
            <w:tcW w:w="1843" w:type="dxa"/>
          </w:tcPr>
          <w:p w14:paraId="111556ED" w14:textId="5C39EB45" w:rsidR="008B0AD6" w:rsidRPr="00C0654D" w:rsidRDefault="00426E98">
            <w:pPr>
              <w:autoSpaceDE w:val="0"/>
              <w:autoSpaceDN w:val="0"/>
              <w:adjustRightInd w:val="0"/>
              <w:jc w:val="both"/>
              <w:rPr>
                <w:sz w:val="22"/>
                <w:szCs w:val="22"/>
                <w:lang w:val="sr-Latn-ME" w:eastAsia="sr-Latn-CS"/>
              </w:rPr>
            </w:pPr>
            <w:r>
              <w:rPr>
                <w:sz w:val="22"/>
                <w:szCs w:val="22"/>
                <w:lang w:val="sr-Latn-ME" w:eastAsia="sr-Latn-CS"/>
              </w:rPr>
              <w:lastRenderedPageBreak/>
              <w:t>-</w:t>
            </w:r>
          </w:p>
        </w:tc>
      </w:tr>
      <w:tr w:rsidR="008B0AD6" w:rsidRPr="00C0654D" w14:paraId="117A304A" w14:textId="77777777" w:rsidTr="00D85C58">
        <w:tc>
          <w:tcPr>
            <w:tcW w:w="1555" w:type="dxa"/>
          </w:tcPr>
          <w:p w14:paraId="0A1F2C4E" w14:textId="77777777" w:rsidR="00BB2131" w:rsidRPr="00BB2131" w:rsidRDefault="00BB2131" w:rsidP="00D85C58">
            <w:pPr>
              <w:autoSpaceDE w:val="0"/>
              <w:autoSpaceDN w:val="0"/>
              <w:adjustRightInd w:val="0"/>
              <w:jc w:val="both"/>
              <w:rPr>
                <w:i/>
                <w:sz w:val="22"/>
                <w:szCs w:val="22"/>
                <w:lang w:val="sr-Latn-ME"/>
              </w:rPr>
            </w:pPr>
            <w:r w:rsidRPr="00BB2131">
              <w:rPr>
                <w:i/>
                <w:sz w:val="22"/>
                <w:szCs w:val="22"/>
                <w:lang w:val="sr-Latn-ME"/>
              </w:rPr>
              <w:t>Poremećaji</w:t>
            </w:r>
          </w:p>
          <w:p w14:paraId="68F36C06" w14:textId="77777777" w:rsidR="00BB2131" w:rsidRPr="00BB2131" w:rsidRDefault="00BB2131" w:rsidP="00CA1BE0">
            <w:pPr>
              <w:autoSpaceDE w:val="0"/>
              <w:autoSpaceDN w:val="0"/>
              <w:adjustRightInd w:val="0"/>
              <w:jc w:val="both"/>
              <w:rPr>
                <w:i/>
                <w:sz w:val="22"/>
                <w:szCs w:val="22"/>
                <w:lang w:val="sr-Latn-ME"/>
              </w:rPr>
            </w:pPr>
            <w:r w:rsidRPr="00BB2131">
              <w:rPr>
                <w:i/>
                <w:sz w:val="22"/>
                <w:szCs w:val="22"/>
                <w:lang w:val="sr-Latn-ME"/>
              </w:rPr>
              <w:t>imunskog</w:t>
            </w:r>
          </w:p>
          <w:p w14:paraId="78E130A1" w14:textId="50E55CF8" w:rsidR="008B0AD6" w:rsidRPr="00C0654D" w:rsidRDefault="00BB2131">
            <w:pPr>
              <w:autoSpaceDE w:val="0"/>
              <w:autoSpaceDN w:val="0"/>
              <w:adjustRightInd w:val="0"/>
              <w:jc w:val="both"/>
              <w:rPr>
                <w:i/>
                <w:sz w:val="22"/>
                <w:szCs w:val="22"/>
                <w:lang w:val="sr-Latn-ME"/>
              </w:rPr>
            </w:pPr>
            <w:r w:rsidRPr="00BB2131">
              <w:rPr>
                <w:i/>
                <w:sz w:val="22"/>
                <w:szCs w:val="22"/>
                <w:lang w:val="sr-Latn-ME"/>
              </w:rPr>
              <w:t xml:space="preserve">sistema </w:t>
            </w:r>
          </w:p>
        </w:tc>
        <w:tc>
          <w:tcPr>
            <w:tcW w:w="1530" w:type="dxa"/>
          </w:tcPr>
          <w:p w14:paraId="72139662"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w:t>
            </w:r>
          </w:p>
        </w:tc>
        <w:tc>
          <w:tcPr>
            <w:tcW w:w="1843" w:type="dxa"/>
          </w:tcPr>
          <w:p w14:paraId="747D1E37"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w:t>
            </w:r>
          </w:p>
        </w:tc>
        <w:tc>
          <w:tcPr>
            <w:tcW w:w="2835" w:type="dxa"/>
          </w:tcPr>
          <w:p w14:paraId="7EFD247B"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preosjetljivost</w:t>
            </w:r>
          </w:p>
        </w:tc>
        <w:tc>
          <w:tcPr>
            <w:tcW w:w="1843" w:type="dxa"/>
          </w:tcPr>
          <w:p w14:paraId="0D3360E4" w14:textId="18678927" w:rsidR="00DF6F46" w:rsidRDefault="00DF6F46">
            <w:pPr>
              <w:autoSpaceDE w:val="0"/>
              <w:autoSpaceDN w:val="0"/>
              <w:adjustRightInd w:val="0"/>
              <w:jc w:val="both"/>
              <w:rPr>
                <w:sz w:val="22"/>
                <w:szCs w:val="22"/>
                <w:lang w:val="sr-Latn-ME"/>
              </w:rPr>
            </w:pPr>
            <w:r>
              <w:rPr>
                <w:sz w:val="22"/>
                <w:szCs w:val="22"/>
                <w:lang w:val="sr-Latn-ME"/>
              </w:rPr>
              <w:t>angioedem</w:t>
            </w:r>
          </w:p>
          <w:p w14:paraId="506D704E" w14:textId="3F67D3C1" w:rsidR="008B0AD6" w:rsidRPr="00C0654D" w:rsidRDefault="00DF6F46">
            <w:pPr>
              <w:autoSpaceDE w:val="0"/>
              <w:autoSpaceDN w:val="0"/>
              <w:adjustRightInd w:val="0"/>
              <w:jc w:val="both"/>
              <w:rPr>
                <w:sz w:val="22"/>
                <w:szCs w:val="22"/>
                <w:lang w:val="sr-Latn-ME"/>
              </w:rPr>
            </w:pPr>
            <w:r>
              <w:rPr>
                <w:sz w:val="22"/>
                <w:szCs w:val="22"/>
                <w:lang w:val="sr-Latn-ME"/>
              </w:rPr>
              <w:t>(rijetko)</w:t>
            </w:r>
          </w:p>
        </w:tc>
      </w:tr>
      <w:tr w:rsidR="008B0AD6" w:rsidRPr="00C0654D" w14:paraId="7A7FAC57" w14:textId="77777777" w:rsidTr="00D85C58">
        <w:tc>
          <w:tcPr>
            <w:tcW w:w="1555" w:type="dxa"/>
          </w:tcPr>
          <w:p w14:paraId="179B3318" w14:textId="10AE36C2" w:rsidR="008B0AD6" w:rsidRPr="00C0654D" w:rsidRDefault="000E2AD5" w:rsidP="00D85C58">
            <w:pPr>
              <w:autoSpaceDE w:val="0"/>
              <w:autoSpaceDN w:val="0"/>
              <w:adjustRightInd w:val="0"/>
              <w:jc w:val="both"/>
              <w:rPr>
                <w:i/>
                <w:sz w:val="22"/>
                <w:szCs w:val="22"/>
                <w:lang w:val="sr-Latn-ME"/>
              </w:rPr>
            </w:pPr>
            <w:r w:rsidRPr="000E2AD5">
              <w:rPr>
                <w:i/>
                <w:sz w:val="22"/>
                <w:szCs w:val="22"/>
                <w:lang w:val="sr-Latn-ME"/>
              </w:rPr>
              <w:t xml:space="preserve">Poremećaji metabolizma i ishrane </w:t>
            </w:r>
          </w:p>
        </w:tc>
        <w:tc>
          <w:tcPr>
            <w:tcW w:w="1530" w:type="dxa"/>
          </w:tcPr>
          <w:p w14:paraId="3803D9A4"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anoreksija</w:t>
            </w:r>
          </w:p>
        </w:tc>
        <w:tc>
          <w:tcPr>
            <w:tcW w:w="1843" w:type="dxa"/>
          </w:tcPr>
          <w:p w14:paraId="06C12BB8"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dehidratacija,</w:t>
            </w:r>
          </w:p>
          <w:p w14:paraId="3BB6DBBB"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smanjenje tjelesne mase</w:t>
            </w:r>
          </w:p>
        </w:tc>
        <w:tc>
          <w:tcPr>
            <w:tcW w:w="2835" w:type="dxa"/>
          </w:tcPr>
          <w:p w14:paraId="71185D03"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rPr>
              <w:t>dijabetes,</w:t>
            </w:r>
            <w:r w:rsidRPr="00C0654D">
              <w:rPr>
                <w:sz w:val="22"/>
                <w:szCs w:val="22"/>
                <w:lang w:val="sr-Latn-ME" w:eastAsia="sr-Latn-CS"/>
              </w:rPr>
              <w:t xml:space="preserve"> </w:t>
            </w:r>
          </w:p>
          <w:p w14:paraId="4EB53240"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hipokalijemija,</w:t>
            </w:r>
          </w:p>
          <w:p w14:paraId="1855AC53"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poreme</w:t>
            </w:r>
            <w:r w:rsidRPr="00C0654D">
              <w:rPr>
                <w:rFonts w:eastAsia="TimesNewRoman"/>
                <w:sz w:val="22"/>
                <w:szCs w:val="22"/>
                <w:lang w:val="sr-Latn-ME" w:eastAsia="sr-Latn-CS"/>
              </w:rPr>
              <w:t>ć</w:t>
            </w:r>
            <w:r w:rsidRPr="00C0654D">
              <w:rPr>
                <w:sz w:val="22"/>
                <w:szCs w:val="22"/>
                <w:lang w:val="sr-Latn-ME" w:eastAsia="sr-Latn-CS"/>
              </w:rPr>
              <w:t>aj apetita,</w:t>
            </w:r>
          </w:p>
          <w:p w14:paraId="29C0B549"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neuhranjenost,</w:t>
            </w:r>
          </w:p>
          <w:p w14:paraId="60F76FC9" w14:textId="77777777"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hipertrigliceridemija</w:t>
            </w:r>
          </w:p>
        </w:tc>
        <w:tc>
          <w:tcPr>
            <w:tcW w:w="1843" w:type="dxa"/>
          </w:tcPr>
          <w:p w14:paraId="0F8849B0" w14:textId="664416FA" w:rsidR="008B0AD6" w:rsidRPr="00C0654D" w:rsidRDefault="00426E98">
            <w:pPr>
              <w:autoSpaceDE w:val="0"/>
              <w:autoSpaceDN w:val="0"/>
              <w:adjustRightInd w:val="0"/>
              <w:jc w:val="both"/>
              <w:rPr>
                <w:sz w:val="22"/>
                <w:szCs w:val="22"/>
                <w:lang w:val="sr-Latn-ME"/>
              </w:rPr>
            </w:pPr>
            <w:r>
              <w:rPr>
                <w:sz w:val="22"/>
                <w:szCs w:val="22"/>
                <w:lang w:val="sr-Latn-ME"/>
              </w:rPr>
              <w:t>-</w:t>
            </w:r>
          </w:p>
        </w:tc>
      </w:tr>
      <w:tr w:rsidR="008B0AD6" w:rsidRPr="00C0654D" w14:paraId="01562ADB" w14:textId="77777777" w:rsidTr="00D85C58">
        <w:tc>
          <w:tcPr>
            <w:tcW w:w="1555" w:type="dxa"/>
          </w:tcPr>
          <w:p w14:paraId="0F0389C8"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Psihijatrijski poremećaji</w:t>
            </w:r>
          </w:p>
        </w:tc>
        <w:tc>
          <w:tcPr>
            <w:tcW w:w="1530" w:type="dxa"/>
          </w:tcPr>
          <w:p w14:paraId="15C98105"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6E675B9B"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 xml:space="preserve">nesanica, </w:t>
            </w:r>
          </w:p>
          <w:p w14:paraId="0E322B65"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depresija</w:t>
            </w:r>
          </w:p>
        </w:tc>
        <w:tc>
          <w:tcPr>
            <w:tcW w:w="2835" w:type="dxa"/>
          </w:tcPr>
          <w:p w14:paraId="35B76C54"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stanje konfuzije,</w:t>
            </w:r>
          </w:p>
          <w:p w14:paraId="58C3938D"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napadi panike,</w:t>
            </w:r>
          </w:p>
          <w:p w14:paraId="62007B89"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depresivno raspoloženje,</w:t>
            </w:r>
          </w:p>
          <w:p w14:paraId="47902583" w14:textId="77777777"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smanjen libido</w:t>
            </w:r>
          </w:p>
        </w:tc>
        <w:tc>
          <w:tcPr>
            <w:tcW w:w="1843" w:type="dxa"/>
          </w:tcPr>
          <w:p w14:paraId="7FFBFE42" w14:textId="5D3250D5" w:rsidR="008B0AD6" w:rsidRPr="00C0654D" w:rsidRDefault="00426E9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00D7450D" w14:textId="77777777" w:rsidTr="00D85C58">
        <w:tc>
          <w:tcPr>
            <w:tcW w:w="1555" w:type="dxa"/>
          </w:tcPr>
          <w:p w14:paraId="61B6D738"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Poremećaji nervnog sistema</w:t>
            </w:r>
          </w:p>
        </w:tc>
        <w:tc>
          <w:tcPr>
            <w:tcW w:w="1530" w:type="dxa"/>
          </w:tcPr>
          <w:p w14:paraId="3E6B5A02"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3768DBCA"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 xml:space="preserve">glavobolja, letargija, </w:t>
            </w:r>
          </w:p>
          <w:p w14:paraId="4CC49EC9"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 xml:space="preserve">vrtoglavica, </w:t>
            </w:r>
            <w:r w:rsidRPr="00C0654D">
              <w:rPr>
                <w:sz w:val="22"/>
                <w:szCs w:val="22"/>
                <w:lang w:val="sr-Latn-ME" w:eastAsia="sr-Latn-CS"/>
              </w:rPr>
              <w:t>parestezija,</w:t>
            </w:r>
          </w:p>
          <w:p w14:paraId="2E0C6D05" w14:textId="77777777"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disgeuzija</w:t>
            </w:r>
          </w:p>
        </w:tc>
        <w:tc>
          <w:tcPr>
            <w:tcW w:w="2835" w:type="dxa"/>
          </w:tcPr>
          <w:p w14:paraId="2DBF3727"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afazija, poreme</w:t>
            </w:r>
            <w:r w:rsidRPr="00C0654D">
              <w:rPr>
                <w:rFonts w:eastAsia="TimesNewRoman"/>
                <w:sz w:val="22"/>
                <w:szCs w:val="22"/>
                <w:lang w:val="sr-Latn-ME" w:eastAsia="sr-Latn-CS"/>
              </w:rPr>
              <w:t>ć</w:t>
            </w:r>
            <w:r w:rsidRPr="00C0654D">
              <w:rPr>
                <w:sz w:val="22"/>
                <w:szCs w:val="22"/>
                <w:lang w:val="sr-Latn-ME" w:eastAsia="sr-Latn-CS"/>
              </w:rPr>
              <w:t>aj pam</w:t>
            </w:r>
            <w:r w:rsidRPr="00C0654D">
              <w:rPr>
                <w:rFonts w:eastAsia="TimesNewRoman"/>
                <w:sz w:val="22"/>
                <w:szCs w:val="22"/>
                <w:lang w:val="sr-Latn-ME" w:eastAsia="sr-Latn-CS"/>
              </w:rPr>
              <w:t>ć</w:t>
            </w:r>
            <w:r w:rsidRPr="00C0654D">
              <w:rPr>
                <w:sz w:val="22"/>
                <w:szCs w:val="22"/>
                <w:lang w:val="sr-Latn-ME" w:eastAsia="sr-Latn-CS"/>
              </w:rPr>
              <w:t>enja, ataksija,</w:t>
            </w:r>
          </w:p>
          <w:p w14:paraId="1BB3A0F2" w14:textId="77777777" w:rsidR="008B0AD6" w:rsidRPr="00C0654D" w:rsidRDefault="008B0AD6">
            <w:pPr>
              <w:autoSpaceDE w:val="0"/>
              <w:autoSpaceDN w:val="0"/>
              <w:adjustRightInd w:val="0"/>
              <w:rPr>
                <w:sz w:val="22"/>
                <w:szCs w:val="22"/>
                <w:lang w:val="sr-Latn-ME"/>
              </w:rPr>
            </w:pPr>
            <w:r w:rsidRPr="00C0654D">
              <w:rPr>
                <w:sz w:val="22"/>
                <w:szCs w:val="22"/>
                <w:lang w:val="sr-Latn-ME" w:eastAsia="sr-Latn-CS"/>
              </w:rPr>
              <w:t>sinkopa, poreme</w:t>
            </w:r>
            <w:r w:rsidRPr="00C0654D">
              <w:rPr>
                <w:rFonts w:eastAsia="TimesNewRoman"/>
                <w:sz w:val="22"/>
                <w:szCs w:val="22"/>
                <w:lang w:val="sr-Latn-ME" w:eastAsia="sr-Latn-CS"/>
              </w:rPr>
              <w:t>ć</w:t>
            </w:r>
            <w:r w:rsidRPr="00C0654D">
              <w:rPr>
                <w:sz w:val="22"/>
                <w:szCs w:val="22"/>
                <w:lang w:val="sr-Latn-ME" w:eastAsia="sr-Latn-CS"/>
              </w:rPr>
              <w:t>aj ravnoteže, senzorni poreme</w:t>
            </w:r>
            <w:r w:rsidRPr="00C0654D">
              <w:rPr>
                <w:rFonts w:eastAsia="TimesNewRoman"/>
                <w:sz w:val="22"/>
                <w:szCs w:val="22"/>
                <w:lang w:val="sr-Latn-ME" w:eastAsia="sr-Latn-CS"/>
              </w:rPr>
              <w:t>ć</w:t>
            </w:r>
            <w:r w:rsidRPr="00C0654D">
              <w:rPr>
                <w:sz w:val="22"/>
                <w:szCs w:val="22"/>
                <w:lang w:val="sr-Latn-ME" w:eastAsia="sr-Latn-CS"/>
              </w:rPr>
              <w:t>aj, periferna neuropatija</w:t>
            </w:r>
          </w:p>
        </w:tc>
        <w:tc>
          <w:tcPr>
            <w:tcW w:w="1843" w:type="dxa"/>
          </w:tcPr>
          <w:p w14:paraId="55322C38"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toksična leukoencefalopatija (veoma rijetko)</w:t>
            </w:r>
          </w:p>
        </w:tc>
      </w:tr>
      <w:tr w:rsidR="008B0AD6" w:rsidRPr="006E16D5" w14:paraId="13103BE5" w14:textId="77777777" w:rsidTr="00D85C58">
        <w:tc>
          <w:tcPr>
            <w:tcW w:w="1555" w:type="dxa"/>
          </w:tcPr>
          <w:p w14:paraId="5D80BBFE" w14:textId="7D350992"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Poremećaji oka</w:t>
            </w:r>
          </w:p>
        </w:tc>
        <w:tc>
          <w:tcPr>
            <w:tcW w:w="1530" w:type="dxa"/>
          </w:tcPr>
          <w:p w14:paraId="2EB8E8ED"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06CC8F63"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poja</w:t>
            </w:r>
            <w:r w:rsidRPr="00C0654D">
              <w:rPr>
                <w:rFonts w:eastAsia="TimesNewRoman"/>
                <w:sz w:val="22"/>
                <w:szCs w:val="22"/>
                <w:lang w:val="sr-Latn-ME" w:eastAsia="sr-Latn-CS"/>
              </w:rPr>
              <w:t>č</w:t>
            </w:r>
            <w:r w:rsidRPr="00C0654D">
              <w:rPr>
                <w:sz w:val="22"/>
                <w:szCs w:val="22"/>
                <w:lang w:val="sr-Latn-ME" w:eastAsia="sr-Latn-CS"/>
              </w:rPr>
              <w:t>ano suzenje,</w:t>
            </w:r>
          </w:p>
          <w:p w14:paraId="70A580C9"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konjunktivitis,</w:t>
            </w:r>
          </w:p>
          <w:p w14:paraId="184A8539"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iritacija oka</w:t>
            </w:r>
          </w:p>
          <w:p w14:paraId="7DE5AC40" w14:textId="77777777" w:rsidR="008B0AD6" w:rsidRPr="00C0654D" w:rsidRDefault="008B0AD6">
            <w:pPr>
              <w:autoSpaceDE w:val="0"/>
              <w:autoSpaceDN w:val="0"/>
              <w:adjustRightInd w:val="0"/>
              <w:jc w:val="both"/>
              <w:rPr>
                <w:sz w:val="22"/>
                <w:szCs w:val="22"/>
                <w:lang w:val="sr-Latn-ME"/>
              </w:rPr>
            </w:pPr>
          </w:p>
        </w:tc>
        <w:tc>
          <w:tcPr>
            <w:tcW w:w="2835" w:type="dxa"/>
          </w:tcPr>
          <w:p w14:paraId="6F0E1D91"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smanjena oštrina vida,</w:t>
            </w:r>
          </w:p>
          <w:p w14:paraId="0B912982"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diplopija</w:t>
            </w:r>
          </w:p>
        </w:tc>
        <w:tc>
          <w:tcPr>
            <w:tcW w:w="1843" w:type="dxa"/>
          </w:tcPr>
          <w:p w14:paraId="5AF20E02"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stenoza suznog kanala (rijetko), poremećaji rožnjače (rijetko), keratitis (rijetko), tačkasti keratitis (rijetko)</w:t>
            </w:r>
          </w:p>
        </w:tc>
      </w:tr>
      <w:tr w:rsidR="008B0AD6" w:rsidRPr="00C0654D" w14:paraId="3C7E69F5" w14:textId="77777777" w:rsidTr="00D85C58">
        <w:tc>
          <w:tcPr>
            <w:tcW w:w="1555" w:type="dxa"/>
          </w:tcPr>
          <w:p w14:paraId="70D67982" w14:textId="09D6B9F9"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Poremećaji uha i labirinta</w:t>
            </w:r>
          </w:p>
        </w:tc>
        <w:tc>
          <w:tcPr>
            <w:tcW w:w="1530" w:type="dxa"/>
          </w:tcPr>
          <w:p w14:paraId="6F006EB4"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7EA3E09B"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w:t>
            </w:r>
          </w:p>
        </w:tc>
        <w:tc>
          <w:tcPr>
            <w:tcW w:w="2835" w:type="dxa"/>
          </w:tcPr>
          <w:p w14:paraId="6FEC85D4"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vertigo,</w:t>
            </w:r>
          </w:p>
          <w:p w14:paraId="5FD70907"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bol u ušima</w:t>
            </w:r>
          </w:p>
        </w:tc>
        <w:tc>
          <w:tcPr>
            <w:tcW w:w="1843" w:type="dxa"/>
          </w:tcPr>
          <w:p w14:paraId="57824ADA" w14:textId="6E53D750" w:rsidR="008B0AD6" w:rsidRPr="00C0654D" w:rsidRDefault="00426E98">
            <w:pPr>
              <w:autoSpaceDE w:val="0"/>
              <w:autoSpaceDN w:val="0"/>
              <w:adjustRightInd w:val="0"/>
              <w:jc w:val="both"/>
              <w:rPr>
                <w:sz w:val="22"/>
                <w:szCs w:val="22"/>
                <w:lang w:val="sr-Latn-ME" w:eastAsia="sr-Latn-CS"/>
              </w:rPr>
            </w:pPr>
            <w:r>
              <w:rPr>
                <w:sz w:val="22"/>
                <w:szCs w:val="22"/>
                <w:lang w:val="sr-Latn-ME" w:eastAsia="sr-Latn-CS"/>
              </w:rPr>
              <w:t>-</w:t>
            </w:r>
          </w:p>
        </w:tc>
      </w:tr>
      <w:tr w:rsidR="008B0AD6" w:rsidRPr="006E16D5" w14:paraId="2F2331E7" w14:textId="77777777" w:rsidTr="00D85C58">
        <w:tc>
          <w:tcPr>
            <w:tcW w:w="1555" w:type="dxa"/>
          </w:tcPr>
          <w:p w14:paraId="58B3B0E5"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Kardiološki poremećaji</w:t>
            </w:r>
          </w:p>
        </w:tc>
        <w:tc>
          <w:tcPr>
            <w:tcW w:w="1530" w:type="dxa"/>
          </w:tcPr>
          <w:p w14:paraId="009639AE"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1E2F7EB0"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w:t>
            </w:r>
          </w:p>
        </w:tc>
        <w:tc>
          <w:tcPr>
            <w:tcW w:w="2835" w:type="dxa"/>
          </w:tcPr>
          <w:p w14:paraId="1F1BDB71"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nestabilna angina,</w:t>
            </w:r>
          </w:p>
          <w:p w14:paraId="0ABE3131"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angina pektoris,</w:t>
            </w:r>
          </w:p>
          <w:p w14:paraId="3D71EA4C"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ishemija miokarda/infarkt,</w:t>
            </w:r>
          </w:p>
          <w:p w14:paraId="56363E5C"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atrijalna fibrilacija,</w:t>
            </w:r>
          </w:p>
          <w:p w14:paraId="7A03425C"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aritmija, tahikardija,</w:t>
            </w:r>
          </w:p>
          <w:p w14:paraId="6A15B5AF"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sinusna tahikardija,</w:t>
            </w:r>
          </w:p>
          <w:p w14:paraId="5DE7FAED"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palpitacije</w:t>
            </w:r>
          </w:p>
        </w:tc>
        <w:tc>
          <w:tcPr>
            <w:tcW w:w="1843" w:type="dxa"/>
          </w:tcPr>
          <w:p w14:paraId="279235B5"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 xml:space="preserve">ventrikularna fibrilacija (rijetko), produženje QT intervala (rijetko), </w:t>
            </w:r>
            <w:r w:rsidRPr="003250C0">
              <w:rPr>
                <w:i/>
                <w:iCs/>
                <w:sz w:val="22"/>
                <w:szCs w:val="22"/>
                <w:lang w:val="sr-Latn-ME" w:eastAsia="sr-Latn-CS"/>
              </w:rPr>
              <w:t>Torsade de pointes</w:t>
            </w:r>
            <w:r w:rsidRPr="00C0654D">
              <w:rPr>
                <w:sz w:val="22"/>
                <w:szCs w:val="22"/>
                <w:lang w:val="sr-Latn-ME" w:eastAsia="sr-Latn-CS"/>
              </w:rPr>
              <w:t xml:space="preserve"> (rijetko), bradikardija (rijetko), vazospazam (rijetko)</w:t>
            </w:r>
          </w:p>
        </w:tc>
      </w:tr>
      <w:tr w:rsidR="008B0AD6" w:rsidRPr="00C0654D" w14:paraId="51CEC01E" w14:textId="77777777" w:rsidTr="00D85C58">
        <w:tc>
          <w:tcPr>
            <w:tcW w:w="1555" w:type="dxa"/>
          </w:tcPr>
          <w:p w14:paraId="743E39E4"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Vaskularni poremećaji</w:t>
            </w:r>
          </w:p>
        </w:tc>
        <w:tc>
          <w:tcPr>
            <w:tcW w:w="1530" w:type="dxa"/>
          </w:tcPr>
          <w:p w14:paraId="123FCAE7"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3457C920" w14:textId="77777777" w:rsidR="008B0AD6" w:rsidRPr="00C0654D" w:rsidRDefault="008B0AD6" w:rsidP="00DF6F46">
            <w:pPr>
              <w:autoSpaceDE w:val="0"/>
              <w:autoSpaceDN w:val="0"/>
              <w:adjustRightInd w:val="0"/>
              <w:jc w:val="both"/>
              <w:rPr>
                <w:sz w:val="22"/>
                <w:szCs w:val="22"/>
                <w:lang w:val="sr-Latn-ME"/>
              </w:rPr>
            </w:pPr>
            <w:r w:rsidRPr="00C0654D">
              <w:rPr>
                <w:sz w:val="22"/>
                <w:szCs w:val="22"/>
                <w:lang w:val="sr-Latn-ME"/>
              </w:rPr>
              <w:t>tromboflebitis</w:t>
            </w:r>
          </w:p>
        </w:tc>
        <w:tc>
          <w:tcPr>
            <w:tcW w:w="2835" w:type="dxa"/>
          </w:tcPr>
          <w:p w14:paraId="26CB95DC"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duboka venska tromboza,</w:t>
            </w:r>
          </w:p>
          <w:p w14:paraId="6B40EC77"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hipertenzija, petehije,</w:t>
            </w:r>
          </w:p>
          <w:p w14:paraId="34BC7F60"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hipotenzija, naleti  vrućine, hladno</w:t>
            </w:r>
            <w:r w:rsidRPr="00C0654D">
              <w:rPr>
                <w:rFonts w:eastAsia="TimesNewRoman"/>
                <w:sz w:val="22"/>
                <w:szCs w:val="22"/>
                <w:lang w:val="sr-Latn-ME" w:eastAsia="sr-Latn-CS"/>
              </w:rPr>
              <w:t>ć</w:t>
            </w:r>
            <w:r w:rsidRPr="00C0654D">
              <w:rPr>
                <w:sz w:val="22"/>
                <w:szCs w:val="22"/>
                <w:lang w:val="sr-Latn-ME" w:eastAsia="sr-Latn-CS"/>
              </w:rPr>
              <w:t>a perifernih djelova tijela</w:t>
            </w:r>
          </w:p>
        </w:tc>
        <w:tc>
          <w:tcPr>
            <w:tcW w:w="1843" w:type="dxa"/>
          </w:tcPr>
          <w:p w14:paraId="3E6F6050" w14:textId="21781366" w:rsidR="008B0AD6" w:rsidRPr="00C0654D" w:rsidRDefault="00426E98" w:rsidP="00DF6F46">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31DD5857" w14:textId="77777777" w:rsidTr="00D85C58">
        <w:tc>
          <w:tcPr>
            <w:tcW w:w="1555" w:type="dxa"/>
          </w:tcPr>
          <w:p w14:paraId="03AD1DB0"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Respiratorni, torakalni i medijastinalni poremećaji</w:t>
            </w:r>
          </w:p>
        </w:tc>
        <w:tc>
          <w:tcPr>
            <w:tcW w:w="1530" w:type="dxa"/>
          </w:tcPr>
          <w:p w14:paraId="235893CC"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182ACF0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dispneja, epistaksa</w:t>
            </w:r>
          </w:p>
          <w:p w14:paraId="3D560CAD" w14:textId="77777777"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kašalj, rinoreja</w:t>
            </w:r>
          </w:p>
        </w:tc>
        <w:tc>
          <w:tcPr>
            <w:tcW w:w="2835" w:type="dxa"/>
          </w:tcPr>
          <w:p w14:paraId="2931125B"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plu</w:t>
            </w:r>
            <w:r w:rsidRPr="00C0654D">
              <w:rPr>
                <w:rFonts w:eastAsia="TimesNewRoman"/>
                <w:sz w:val="22"/>
                <w:szCs w:val="22"/>
                <w:lang w:val="sr-Latn-ME" w:eastAsia="sr-Latn-CS"/>
              </w:rPr>
              <w:t>ć</w:t>
            </w:r>
            <w:r w:rsidRPr="00C0654D">
              <w:rPr>
                <w:sz w:val="22"/>
                <w:szCs w:val="22"/>
                <w:lang w:val="sr-Latn-ME" w:eastAsia="sr-Latn-CS"/>
              </w:rPr>
              <w:t>na embolija,</w:t>
            </w:r>
          </w:p>
          <w:p w14:paraId="5A99E7CD"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pneumotoraks,</w:t>
            </w:r>
          </w:p>
          <w:p w14:paraId="5D5E8CE5"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hemoptiza, astma,</w:t>
            </w:r>
          </w:p>
          <w:p w14:paraId="0F501CD6"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dispneja pri naporu</w:t>
            </w:r>
          </w:p>
        </w:tc>
        <w:tc>
          <w:tcPr>
            <w:tcW w:w="1843" w:type="dxa"/>
          </w:tcPr>
          <w:p w14:paraId="0F6F09F3" w14:textId="15DCA983" w:rsidR="008B0AD6" w:rsidRPr="00C0654D" w:rsidRDefault="00426E9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45656569" w14:textId="77777777" w:rsidTr="00D85C58">
        <w:tc>
          <w:tcPr>
            <w:tcW w:w="1555" w:type="dxa"/>
          </w:tcPr>
          <w:p w14:paraId="1392C9C4"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Gastrointestinalni poremećaji</w:t>
            </w:r>
          </w:p>
        </w:tc>
        <w:tc>
          <w:tcPr>
            <w:tcW w:w="1530" w:type="dxa"/>
          </w:tcPr>
          <w:p w14:paraId="0153149C" w14:textId="77777777" w:rsidR="008B0AD6" w:rsidRPr="00C0654D" w:rsidRDefault="008B0AD6" w:rsidP="0066437B">
            <w:pPr>
              <w:autoSpaceDE w:val="0"/>
              <w:autoSpaceDN w:val="0"/>
              <w:adjustRightInd w:val="0"/>
              <w:rPr>
                <w:sz w:val="22"/>
                <w:szCs w:val="22"/>
                <w:lang w:val="sr-Latn-ME"/>
              </w:rPr>
            </w:pPr>
            <w:r w:rsidRPr="00C0654D">
              <w:rPr>
                <w:sz w:val="22"/>
                <w:szCs w:val="22"/>
                <w:lang w:val="sr-Latn-ME"/>
              </w:rPr>
              <w:t>dijareja, povraćanje,</w:t>
            </w:r>
          </w:p>
          <w:p w14:paraId="6B4A652F" w14:textId="77777777" w:rsidR="008B0AD6" w:rsidRPr="00C0654D" w:rsidRDefault="008B0AD6" w:rsidP="0066437B">
            <w:pPr>
              <w:autoSpaceDE w:val="0"/>
              <w:autoSpaceDN w:val="0"/>
              <w:adjustRightInd w:val="0"/>
              <w:rPr>
                <w:sz w:val="22"/>
                <w:szCs w:val="22"/>
                <w:lang w:val="sr-Latn-ME"/>
              </w:rPr>
            </w:pPr>
            <w:r w:rsidRPr="00C0654D">
              <w:rPr>
                <w:sz w:val="22"/>
                <w:szCs w:val="22"/>
                <w:lang w:val="sr-Latn-ME"/>
              </w:rPr>
              <w:t>mučnina, stomatitis,</w:t>
            </w:r>
          </w:p>
          <w:p w14:paraId="2018A4FA" w14:textId="77777777" w:rsidR="008B0AD6" w:rsidRPr="00C0654D" w:rsidRDefault="008B0AD6" w:rsidP="0066437B">
            <w:pPr>
              <w:autoSpaceDE w:val="0"/>
              <w:autoSpaceDN w:val="0"/>
              <w:adjustRightInd w:val="0"/>
              <w:rPr>
                <w:sz w:val="22"/>
                <w:szCs w:val="22"/>
                <w:lang w:val="sr-Latn-ME"/>
              </w:rPr>
            </w:pPr>
            <w:r w:rsidRPr="00C0654D">
              <w:rPr>
                <w:sz w:val="22"/>
                <w:szCs w:val="22"/>
                <w:lang w:val="sr-Latn-ME"/>
              </w:rPr>
              <w:lastRenderedPageBreak/>
              <w:t>bol u abdomenu</w:t>
            </w:r>
          </w:p>
        </w:tc>
        <w:tc>
          <w:tcPr>
            <w:tcW w:w="1843" w:type="dxa"/>
          </w:tcPr>
          <w:p w14:paraId="6C7DD539"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lastRenderedPageBreak/>
              <w:t>gastrointestinalna</w:t>
            </w:r>
          </w:p>
          <w:p w14:paraId="3269D3B5"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hemoragija, opstipacija,</w:t>
            </w:r>
          </w:p>
          <w:p w14:paraId="20EBA517"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bol u gornjem dijelu</w:t>
            </w:r>
          </w:p>
          <w:p w14:paraId="0B293122"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lastRenderedPageBreak/>
              <w:t>abdomena, dispepsija,</w:t>
            </w:r>
          </w:p>
          <w:p w14:paraId="464EADA8" w14:textId="77777777" w:rsidR="008B0AD6" w:rsidRPr="00C0654D" w:rsidRDefault="008B0AD6" w:rsidP="0066437B">
            <w:pPr>
              <w:autoSpaceDE w:val="0"/>
              <w:autoSpaceDN w:val="0"/>
              <w:adjustRightInd w:val="0"/>
              <w:rPr>
                <w:sz w:val="22"/>
                <w:szCs w:val="22"/>
                <w:lang w:val="sr-Latn-ME"/>
              </w:rPr>
            </w:pPr>
            <w:r w:rsidRPr="00C0654D">
              <w:rPr>
                <w:sz w:val="22"/>
                <w:szCs w:val="22"/>
                <w:lang w:val="sr-Latn-ME" w:eastAsia="sr-Latn-CS"/>
              </w:rPr>
              <w:t>flatulencija, suvoća usta</w:t>
            </w:r>
          </w:p>
        </w:tc>
        <w:tc>
          <w:tcPr>
            <w:tcW w:w="2835" w:type="dxa"/>
          </w:tcPr>
          <w:p w14:paraId="5368EABC" w14:textId="77777777" w:rsidR="008B0AD6" w:rsidRPr="00C0654D" w:rsidRDefault="008B0AD6" w:rsidP="00DF6F46">
            <w:pPr>
              <w:autoSpaceDE w:val="0"/>
              <w:autoSpaceDN w:val="0"/>
              <w:adjustRightInd w:val="0"/>
              <w:jc w:val="both"/>
              <w:rPr>
                <w:sz w:val="22"/>
                <w:szCs w:val="22"/>
                <w:lang w:val="sr-Latn-ME" w:eastAsia="sr-Latn-CS"/>
              </w:rPr>
            </w:pPr>
            <w:r w:rsidRPr="00C0654D">
              <w:rPr>
                <w:sz w:val="22"/>
                <w:szCs w:val="22"/>
                <w:lang w:val="sr-Latn-ME" w:eastAsia="sr-Latn-CS"/>
              </w:rPr>
              <w:lastRenderedPageBreak/>
              <w:t>opstrukcija crijeva,</w:t>
            </w:r>
          </w:p>
          <w:p w14:paraId="7B020CE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ascites, enteritis,</w:t>
            </w:r>
          </w:p>
          <w:p w14:paraId="18B6F01D"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 xml:space="preserve">gastritis, disfagija, </w:t>
            </w:r>
          </w:p>
          <w:p w14:paraId="3D264082"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bol u donjem dijelu</w:t>
            </w:r>
          </w:p>
          <w:p w14:paraId="7F858900"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abdomena, ezofagitis,</w:t>
            </w:r>
          </w:p>
          <w:p w14:paraId="40E5B3AB"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lastRenderedPageBreak/>
              <w:t>nelagodnost u abdomenu,</w:t>
            </w:r>
          </w:p>
          <w:p w14:paraId="472A8BE6"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gastroezofagealni</w:t>
            </w:r>
          </w:p>
          <w:p w14:paraId="4645DC28"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refluks, kolitis,</w:t>
            </w:r>
          </w:p>
          <w:p w14:paraId="011BD010"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krv u stolici</w:t>
            </w:r>
          </w:p>
        </w:tc>
        <w:tc>
          <w:tcPr>
            <w:tcW w:w="1843" w:type="dxa"/>
          </w:tcPr>
          <w:p w14:paraId="2309AE03" w14:textId="77777777" w:rsidR="008B0AD6" w:rsidRPr="00C0654D" w:rsidRDefault="008B0AD6">
            <w:pPr>
              <w:autoSpaceDE w:val="0"/>
              <w:autoSpaceDN w:val="0"/>
              <w:adjustRightInd w:val="0"/>
              <w:jc w:val="both"/>
              <w:rPr>
                <w:sz w:val="22"/>
                <w:szCs w:val="22"/>
                <w:lang w:val="sr-Latn-ME" w:eastAsia="sr-Latn-CS"/>
              </w:rPr>
            </w:pPr>
          </w:p>
        </w:tc>
      </w:tr>
      <w:tr w:rsidR="008B0AD6" w:rsidRPr="006E16D5" w14:paraId="16494F7C" w14:textId="77777777" w:rsidTr="00D85C58">
        <w:tc>
          <w:tcPr>
            <w:tcW w:w="1555" w:type="dxa"/>
          </w:tcPr>
          <w:p w14:paraId="5DF03496"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Hepatobilijarni poremećaji</w:t>
            </w:r>
          </w:p>
        </w:tc>
        <w:tc>
          <w:tcPr>
            <w:tcW w:w="1530" w:type="dxa"/>
          </w:tcPr>
          <w:p w14:paraId="631E52EE"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1843" w:type="dxa"/>
          </w:tcPr>
          <w:p w14:paraId="1D6058A4"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hiperbilirubinemija,</w:t>
            </w:r>
          </w:p>
          <w:p w14:paraId="14355FCD"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vrijednosti funkcionalnih testova jetre različite od normalnih</w:t>
            </w:r>
          </w:p>
        </w:tc>
        <w:tc>
          <w:tcPr>
            <w:tcW w:w="2835" w:type="dxa"/>
          </w:tcPr>
          <w:p w14:paraId="5EA8F53E" w14:textId="77777777" w:rsidR="008B0AD6" w:rsidRPr="00C0654D" w:rsidRDefault="008B0AD6" w:rsidP="00DF6F46">
            <w:pPr>
              <w:autoSpaceDE w:val="0"/>
              <w:autoSpaceDN w:val="0"/>
              <w:adjustRightInd w:val="0"/>
              <w:jc w:val="both"/>
              <w:rPr>
                <w:sz w:val="22"/>
                <w:szCs w:val="22"/>
                <w:lang w:val="sr-Latn-ME" w:eastAsia="sr-Latn-CS"/>
              </w:rPr>
            </w:pPr>
            <w:r w:rsidRPr="00C0654D">
              <w:rPr>
                <w:sz w:val="22"/>
                <w:szCs w:val="22"/>
                <w:lang w:val="sr-Latn-ME" w:eastAsia="sr-Latn-CS"/>
              </w:rPr>
              <w:t>žutica</w:t>
            </w:r>
          </w:p>
        </w:tc>
        <w:tc>
          <w:tcPr>
            <w:tcW w:w="1843" w:type="dxa"/>
          </w:tcPr>
          <w:p w14:paraId="12D52717"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insuficijencija jetre (rijetko); holestatski hepatitis (rijetko)</w:t>
            </w:r>
          </w:p>
        </w:tc>
      </w:tr>
      <w:tr w:rsidR="008B0AD6" w:rsidRPr="006E16D5" w14:paraId="0AE5B6A2" w14:textId="77777777" w:rsidTr="00D85C58">
        <w:tc>
          <w:tcPr>
            <w:tcW w:w="1555" w:type="dxa"/>
          </w:tcPr>
          <w:p w14:paraId="157B0F62"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Poremećaji kože i potkožnog tkiva</w:t>
            </w:r>
          </w:p>
        </w:tc>
        <w:tc>
          <w:tcPr>
            <w:tcW w:w="1530" w:type="dxa"/>
          </w:tcPr>
          <w:p w14:paraId="2D09D315"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eastAsia="sr-Latn-CS"/>
              </w:rPr>
              <w:t>sindrom palmarno-plantarne eritrodizestezije**</w:t>
            </w:r>
          </w:p>
        </w:tc>
        <w:tc>
          <w:tcPr>
            <w:tcW w:w="1843" w:type="dxa"/>
          </w:tcPr>
          <w:p w14:paraId="6CF3941C"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osip, alopecija, eritem,</w:t>
            </w:r>
          </w:p>
          <w:p w14:paraId="5785DAF3"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suva koža, pruritus,</w:t>
            </w:r>
          </w:p>
          <w:p w14:paraId="452D81F4"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hiperpigmentacija kože,</w:t>
            </w:r>
          </w:p>
          <w:p w14:paraId="7DDF5A22"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makularni osip, deskvamacija kože,</w:t>
            </w:r>
          </w:p>
          <w:p w14:paraId="7C91CB26"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dermatitis, poreme</w:t>
            </w:r>
            <w:r w:rsidRPr="00C0654D">
              <w:rPr>
                <w:rFonts w:eastAsia="TimesNewRoman"/>
                <w:sz w:val="22"/>
                <w:szCs w:val="22"/>
                <w:lang w:val="sr-Latn-ME" w:eastAsia="sr-Latn-CS"/>
              </w:rPr>
              <w:t>ć</w:t>
            </w:r>
            <w:r w:rsidRPr="00C0654D">
              <w:rPr>
                <w:sz w:val="22"/>
                <w:szCs w:val="22"/>
                <w:lang w:val="sr-Latn-ME" w:eastAsia="sr-Latn-CS"/>
              </w:rPr>
              <w:t>aj pigmentacije, poreme</w:t>
            </w:r>
            <w:r w:rsidRPr="00C0654D">
              <w:rPr>
                <w:rFonts w:eastAsia="TimesNewRoman"/>
                <w:sz w:val="22"/>
                <w:szCs w:val="22"/>
                <w:lang w:val="sr-Latn-ME" w:eastAsia="sr-Latn-CS"/>
              </w:rPr>
              <w:t>ć</w:t>
            </w:r>
            <w:r w:rsidRPr="00C0654D">
              <w:rPr>
                <w:sz w:val="22"/>
                <w:szCs w:val="22"/>
                <w:lang w:val="sr-Latn-ME" w:eastAsia="sr-Latn-CS"/>
              </w:rPr>
              <w:t>aj noktiju</w:t>
            </w:r>
          </w:p>
        </w:tc>
        <w:tc>
          <w:tcPr>
            <w:tcW w:w="2835" w:type="dxa"/>
          </w:tcPr>
          <w:p w14:paraId="002B7A4D" w14:textId="77777777" w:rsidR="008B0AD6" w:rsidRPr="00C0654D" w:rsidRDefault="008B0AD6" w:rsidP="00DF6F46">
            <w:pPr>
              <w:autoSpaceDE w:val="0"/>
              <w:autoSpaceDN w:val="0"/>
              <w:adjustRightInd w:val="0"/>
              <w:rPr>
                <w:sz w:val="22"/>
                <w:szCs w:val="22"/>
                <w:lang w:val="sr-Latn-ME" w:eastAsia="sr-Latn-CS"/>
              </w:rPr>
            </w:pPr>
            <w:r w:rsidRPr="00C0654D">
              <w:rPr>
                <w:sz w:val="22"/>
                <w:szCs w:val="22"/>
                <w:lang w:val="sr-Latn-ME" w:eastAsia="sr-Latn-CS"/>
              </w:rPr>
              <w:t>plikovi, ulceracije kože, osip,</w:t>
            </w:r>
          </w:p>
          <w:p w14:paraId="1EFF9B70"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urtikarija, reakcija osjetljivosti na svjetlost,</w:t>
            </w:r>
          </w:p>
          <w:p w14:paraId="4EFAEBC2"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eritem dlana, otok lica,</w:t>
            </w:r>
          </w:p>
          <w:p w14:paraId="0B335210"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purpura, sindrom nakon obustave zračenja</w:t>
            </w:r>
          </w:p>
        </w:tc>
        <w:tc>
          <w:tcPr>
            <w:tcW w:w="1843" w:type="dxa"/>
          </w:tcPr>
          <w:p w14:paraId="4ADFE875"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 xml:space="preserve">kožni lupus erythematosus (rijetko), ozbiljne neželjene reakcije na koži kao što su </w:t>
            </w:r>
            <w:r w:rsidRPr="003250C0">
              <w:rPr>
                <w:i/>
                <w:iCs/>
                <w:sz w:val="22"/>
                <w:szCs w:val="22"/>
                <w:lang w:val="sr-Latn-ME" w:eastAsia="sr-Latn-CS"/>
              </w:rPr>
              <w:t>Stevens-Johnson Syndrome</w:t>
            </w:r>
            <w:r w:rsidRPr="00C0654D">
              <w:rPr>
                <w:sz w:val="22"/>
                <w:szCs w:val="22"/>
                <w:lang w:val="sr-Latn-ME" w:eastAsia="sr-Latn-CS"/>
              </w:rPr>
              <w:t xml:space="preserve"> i toksična epidermalna nekroliza (veoma rijetko) (vidjeti poglavlje 4.4.)</w:t>
            </w:r>
          </w:p>
        </w:tc>
      </w:tr>
      <w:tr w:rsidR="008B0AD6" w:rsidRPr="00C0654D" w14:paraId="01FDBFB1" w14:textId="77777777" w:rsidTr="00D85C58">
        <w:tc>
          <w:tcPr>
            <w:tcW w:w="1555" w:type="dxa"/>
          </w:tcPr>
          <w:p w14:paraId="299C2E6F" w14:textId="5905ACE2" w:rsidR="008B0AD6" w:rsidRPr="00C0654D" w:rsidRDefault="00837EE7" w:rsidP="00D85C58">
            <w:pPr>
              <w:autoSpaceDE w:val="0"/>
              <w:autoSpaceDN w:val="0"/>
              <w:adjustRightInd w:val="0"/>
              <w:jc w:val="both"/>
              <w:rPr>
                <w:i/>
                <w:sz w:val="22"/>
                <w:szCs w:val="22"/>
                <w:lang w:val="sr-Latn-ME"/>
              </w:rPr>
            </w:pPr>
            <w:r w:rsidRPr="00837EE7">
              <w:rPr>
                <w:i/>
                <w:sz w:val="22"/>
                <w:szCs w:val="22"/>
                <w:lang w:val="sr-Latn-ME"/>
              </w:rPr>
              <w:t xml:space="preserve">Poremećaji mišićno-koštanog sistema i vezivnog tkiva </w:t>
            </w:r>
          </w:p>
        </w:tc>
        <w:tc>
          <w:tcPr>
            <w:tcW w:w="1530" w:type="dxa"/>
          </w:tcPr>
          <w:p w14:paraId="67AE1A09" w14:textId="77777777" w:rsidR="008B0AD6" w:rsidRPr="00C0654D" w:rsidRDefault="008B0AD6" w:rsidP="00CA1BE0">
            <w:pPr>
              <w:autoSpaceDE w:val="0"/>
              <w:autoSpaceDN w:val="0"/>
              <w:adjustRightInd w:val="0"/>
              <w:jc w:val="both"/>
              <w:rPr>
                <w:sz w:val="22"/>
                <w:szCs w:val="22"/>
                <w:lang w:val="sr-Latn-ME" w:eastAsia="sr-Latn-CS"/>
              </w:rPr>
            </w:pPr>
            <w:r w:rsidRPr="00C0654D">
              <w:rPr>
                <w:sz w:val="22"/>
                <w:szCs w:val="22"/>
                <w:lang w:val="sr-Latn-ME" w:eastAsia="sr-Latn-CS"/>
              </w:rPr>
              <w:t>-</w:t>
            </w:r>
          </w:p>
        </w:tc>
        <w:tc>
          <w:tcPr>
            <w:tcW w:w="1843" w:type="dxa"/>
          </w:tcPr>
          <w:p w14:paraId="1D29B093"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bol u ekstremitetima,</w:t>
            </w:r>
          </w:p>
          <w:p w14:paraId="6367C10E"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bol u leđima, artralgija</w:t>
            </w:r>
          </w:p>
        </w:tc>
        <w:tc>
          <w:tcPr>
            <w:tcW w:w="2835" w:type="dxa"/>
          </w:tcPr>
          <w:p w14:paraId="1E662522"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ote</w:t>
            </w:r>
            <w:r w:rsidRPr="00C0654D">
              <w:rPr>
                <w:rFonts w:eastAsia="TimesNewRoman"/>
                <w:sz w:val="22"/>
                <w:szCs w:val="22"/>
                <w:lang w:val="sr-Latn-ME" w:eastAsia="sr-Latn-CS"/>
              </w:rPr>
              <w:t>č</w:t>
            </w:r>
            <w:r w:rsidRPr="00C0654D">
              <w:rPr>
                <w:sz w:val="22"/>
                <w:szCs w:val="22"/>
                <w:lang w:val="sr-Latn-ME" w:eastAsia="sr-Latn-CS"/>
              </w:rPr>
              <w:t>eni zglobovi,</w:t>
            </w:r>
          </w:p>
          <w:p w14:paraId="4FAB442B"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bol u kostima, bol lica,</w:t>
            </w:r>
          </w:p>
          <w:p w14:paraId="78631603"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koštano-miši</w:t>
            </w:r>
            <w:r w:rsidRPr="00C0654D">
              <w:rPr>
                <w:rFonts w:eastAsia="TimesNewRoman"/>
                <w:sz w:val="22"/>
                <w:szCs w:val="22"/>
                <w:lang w:val="sr-Latn-ME" w:eastAsia="sr-Latn-CS"/>
              </w:rPr>
              <w:t>ć</w:t>
            </w:r>
            <w:r w:rsidRPr="00C0654D">
              <w:rPr>
                <w:sz w:val="22"/>
                <w:szCs w:val="22"/>
                <w:lang w:val="sr-Latn-ME" w:eastAsia="sr-Latn-CS"/>
              </w:rPr>
              <w:t>na uko</w:t>
            </w:r>
            <w:r w:rsidRPr="00C0654D">
              <w:rPr>
                <w:rFonts w:eastAsia="TimesNewRoman"/>
                <w:sz w:val="22"/>
                <w:szCs w:val="22"/>
                <w:lang w:val="sr-Latn-ME" w:eastAsia="sr-Latn-CS"/>
              </w:rPr>
              <w:t>č</w:t>
            </w:r>
            <w:r w:rsidRPr="00C0654D">
              <w:rPr>
                <w:sz w:val="22"/>
                <w:szCs w:val="22"/>
                <w:lang w:val="sr-Latn-ME" w:eastAsia="sr-Latn-CS"/>
              </w:rPr>
              <w:t>enost, miši</w:t>
            </w:r>
            <w:r w:rsidRPr="00C0654D">
              <w:rPr>
                <w:rFonts w:eastAsia="TimesNewRoman"/>
                <w:sz w:val="22"/>
                <w:szCs w:val="22"/>
                <w:lang w:val="sr-Latn-ME" w:eastAsia="sr-Latn-CS"/>
              </w:rPr>
              <w:t>ć</w:t>
            </w:r>
            <w:r w:rsidRPr="00C0654D">
              <w:rPr>
                <w:sz w:val="22"/>
                <w:szCs w:val="22"/>
                <w:lang w:val="sr-Latn-ME" w:eastAsia="sr-Latn-CS"/>
              </w:rPr>
              <w:t>na slabost</w:t>
            </w:r>
          </w:p>
        </w:tc>
        <w:tc>
          <w:tcPr>
            <w:tcW w:w="1843" w:type="dxa"/>
          </w:tcPr>
          <w:p w14:paraId="0C505C9E" w14:textId="06B34B89" w:rsidR="008B0AD6" w:rsidRPr="00C0654D" w:rsidRDefault="00426E98" w:rsidP="00DF6F46">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211639F3" w14:textId="77777777" w:rsidTr="00D85C58">
        <w:tc>
          <w:tcPr>
            <w:tcW w:w="1555" w:type="dxa"/>
          </w:tcPr>
          <w:p w14:paraId="7EAF95CE" w14:textId="08545A22" w:rsidR="008B0AD6" w:rsidRPr="00C0654D" w:rsidRDefault="008B0AD6" w:rsidP="00D85C58">
            <w:pPr>
              <w:autoSpaceDE w:val="0"/>
              <w:autoSpaceDN w:val="0"/>
              <w:adjustRightInd w:val="0"/>
              <w:jc w:val="both"/>
              <w:rPr>
                <w:i/>
                <w:sz w:val="22"/>
                <w:szCs w:val="22"/>
                <w:highlight w:val="yellow"/>
                <w:lang w:val="sr-Latn-ME"/>
              </w:rPr>
            </w:pPr>
            <w:r w:rsidRPr="00C0654D">
              <w:rPr>
                <w:i/>
                <w:sz w:val="22"/>
                <w:szCs w:val="22"/>
                <w:lang w:val="sr-Latn-ME"/>
              </w:rPr>
              <w:t>Poremećaji bubrega i urinarnog sistema</w:t>
            </w:r>
          </w:p>
        </w:tc>
        <w:tc>
          <w:tcPr>
            <w:tcW w:w="1530" w:type="dxa"/>
          </w:tcPr>
          <w:p w14:paraId="3112FBFF" w14:textId="77777777" w:rsidR="008B0AD6" w:rsidRPr="00C0654D" w:rsidRDefault="008B0AD6" w:rsidP="00CA1BE0">
            <w:pPr>
              <w:autoSpaceDE w:val="0"/>
              <w:autoSpaceDN w:val="0"/>
              <w:adjustRightInd w:val="0"/>
              <w:jc w:val="both"/>
              <w:rPr>
                <w:sz w:val="22"/>
                <w:szCs w:val="22"/>
                <w:lang w:val="sr-Latn-ME" w:eastAsia="sr-Latn-CS"/>
              </w:rPr>
            </w:pPr>
            <w:r w:rsidRPr="00C0654D">
              <w:rPr>
                <w:sz w:val="22"/>
                <w:szCs w:val="22"/>
                <w:lang w:val="sr-Latn-ME" w:eastAsia="sr-Latn-CS"/>
              </w:rPr>
              <w:t>-</w:t>
            </w:r>
          </w:p>
        </w:tc>
        <w:tc>
          <w:tcPr>
            <w:tcW w:w="1843" w:type="dxa"/>
          </w:tcPr>
          <w:p w14:paraId="405A2F4B" w14:textId="77777777" w:rsidR="008B0AD6" w:rsidRPr="00C0654D" w:rsidRDefault="008B0AD6" w:rsidP="00DF6F46">
            <w:pPr>
              <w:autoSpaceDE w:val="0"/>
              <w:autoSpaceDN w:val="0"/>
              <w:adjustRightInd w:val="0"/>
              <w:jc w:val="both"/>
              <w:rPr>
                <w:sz w:val="22"/>
                <w:szCs w:val="22"/>
                <w:lang w:val="sr-Latn-ME" w:eastAsia="sr-Latn-CS"/>
              </w:rPr>
            </w:pPr>
            <w:r w:rsidRPr="00C0654D">
              <w:rPr>
                <w:sz w:val="22"/>
                <w:szCs w:val="22"/>
                <w:lang w:val="sr-Latn-ME" w:eastAsia="sr-Latn-CS"/>
              </w:rPr>
              <w:t>-</w:t>
            </w:r>
          </w:p>
        </w:tc>
        <w:tc>
          <w:tcPr>
            <w:tcW w:w="2835" w:type="dxa"/>
          </w:tcPr>
          <w:p w14:paraId="5ED518ED"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hidronefroza, urinarna</w:t>
            </w:r>
          </w:p>
          <w:p w14:paraId="302A1D48"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inkontinencija,</w:t>
            </w:r>
          </w:p>
          <w:p w14:paraId="5AB21D2F"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 xml:space="preserve">hematurija, nokturija, </w:t>
            </w:r>
          </w:p>
          <w:p w14:paraId="7E167F98"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porast kreatinina u krvi</w:t>
            </w:r>
          </w:p>
        </w:tc>
        <w:tc>
          <w:tcPr>
            <w:tcW w:w="1843" w:type="dxa"/>
          </w:tcPr>
          <w:p w14:paraId="4029DD29" w14:textId="27656BA3" w:rsidR="008B0AD6" w:rsidRPr="00C0654D" w:rsidRDefault="00426E98" w:rsidP="00DF6F46">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2256FD64" w14:textId="77777777" w:rsidTr="00D85C58">
        <w:tc>
          <w:tcPr>
            <w:tcW w:w="1555" w:type="dxa"/>
          </w:tcPr>
          <w:p w14:paraId="6CB9E0C3" w14:textId="1A7D5458"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eastAsia="en-GB"/>
              </w:rPr>
              <w:t>Poremećaji reproduktivnog sistema i dojki</w:t>
            </w:r>
          </w:p>
        </w:tc>
        <w:tc>
          <w:tcPr>
            <w:tcW w:w="1530" w:type="dxa"/>
          </w:tcPr>
          <w:p w14:paraId="31F08F9A" w14:textId="77777777" w:rsidR="008B0AD6" w:rsidRPr="00C0654D" w:rsidRDefault="008B0AD6" w:rsidP="00CA1BE0">
            <w:pPr>
              <w:autoSpaceDE w:val="0"/>
              <w:autoSpaceDN w:val="0"/>
              <w:adjustRightInd w:val="0"/>
              <w:jc w:val="both"/>
              <w:rPr>
                <w:sz w:val="22"/>
                <w:szCs w:val="22"/>
                <w:lang w:val="sr-Latn-ME" w:eastAsia="sr-Latn-CS"/>
              </w:rPr>
            </w:pPr>
            <w:r w:rsidRPr="00C0654D">
              <w:rPr>
                <w:sz w:val="22"/>
                <w:szCs w:val="22"/>
                <w:lang w:val="sr-Latn-ME" w:eastAsia="sr-Latn-CS"/>
              </w:rPr>
              <w:t>-</w:t>
            </w:r>
          </w:p>
        </w:tc>
        <w:tc>
          <w:tcPr>
            <w:tcW w:w="1843" w:type="dxa"/>
          </w:tcPr>
          <w:p w14:paraId="74C1DD09"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w:t>
            </w:r>
          </w:p>
        </w:tc>
        <w:tc>
          <w:tcPr>
            <w:tcW w:w="2835" w:type="dxa"/>
          </w:tcPr>
          <w:p w14:paraId="4C499728"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vaginalna hemoragija</w:t>
            </w:r>
          </w:p>
        </w:tc>
        <w:tc>
          <w:tcPr>
            <w:tcW w:w="1843" w:type="dxa"/>
          </w:tcPr>
          <w:p w14:paraId="3E38C128" w14:textId="78DF0DC6" w:rsidR="008B0AD6" w:rsidRPr="00C0654D" w:rsidRDefault="00426E9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639E4989" w14:textId="77777777" w:rsidTr="00D85C58">
        <w:tc>
          <w:tcPr>
            <w:tcW w:w="1555" w:type="dxa"/>
          </w:tcPr>
          <w:p w14:paraId="7E43A158" w14:textId="77777777" w:rsidR="008B0AD6" w:rsidRPr="00C0654D" w:rsidRDefault="008B0AD6" w:rsidP="00D85C58">
            <w:pPr>
              <w:autoSpaceDE w:val="0"/>
              <w:autoSpaceDN w:val="0"/>
              <w:adjustRightInd w:val="0"/>
              <w:jc w:val="both"/>
              <w:rPr>
                <w:i/>
                <w:sz w:val="22"/>
                <w:szCs w:val="22"/>
                <w:lang w:val="sr-Latn-ME"/>
              </w:rPr>
            </w:pPr>
            <w:r w:rsidRPr="00C0654D">
              <w:rPr>
                <w:i/>
                <w:sz w:val="22"/>
                <w:szCs w:val="22"/>
                <w:lang w:val="sr-Latn-ME"/>
              </w:rPr>
              <w:t>Opšti poremećaji i reakcije na mjestu primjene</w:t>
            </w:r>
          </w:p>
        </w:tc>
        <w:tc>
          <w:tcPr>
            <w:tcW w:w="1530" w:type="dxa"/>
          </w:tcPr>
          <w:p w14:paraId="039199C5" w14:textId="77777777" w:rsidR="008B0AD6" w:rsidRPr="00C0654D" w:rsidRDefault="008B0AD6" w:rsidP="00CA1BE0">
            <w:pPr>
              <w:autoSpaceDE w:val="0"/>
              <w:autoSpaceDN w:val="0"/>
              <w:adjustRightInd w:val="0"/>
              <w:jc w:val="both"/>
              <w:rPr>
                <w:sz w:val="22"/>
                <w:szCs w:val="22"/>
                <w:lang w:val="sr-Latn-ME" w:eastAsia="sr-Latn-CS"/>
              </w:rPr>
            </w:pPr>
            <w:r w:rsidRPr="00C0654D">
              <w:rPr>
                <w:sz w:val="22"/>
                <w:szCs w:val="22"/>
                <w:lang w:val="sr-Latn-ME" w:eastAsia="sr-Latn-CS"/>
              </w:rPr>
              <w:t>zamor, astenija</w:t>
            </w:r>
          </w:p>
        </w:tc>
        <w:tc>
          <w:tcPr>
            <w:tcW w:w="1843" w:type="dxa"/>
          </w:tcPr>
          <w:p w14:paraId="03C4C428"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 xml:space="preserve">pireksija, </w:t>
            </w:r>
          </w:p>
          <w:p w14:paraId="2EA5DEB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periferni edem, malaksalost, bol u grudima</w:t>
            </w:r>
          </w:p>
        </w:tc>
        <w:tc>
          <w:tcPr>
            <w:tcW w:w="2835" w:type="dxa"/>
          </w:tcPr>
          <w:p w14:paraId="2C5ED8F2"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edem, jeza, simptomi sli</w:t>
            </w:r>
            <w:r w:rsidRPr="00C0654D">
              <w:rPr>
                <w:rFonts w:eastAsia="TimesNewRoman"/>
                <w:sz w:val="22"/>
                <w:szCs w:val="22"/>
                <w:lang w:val="sr-Latn-ME" w:eastAsia="sr-Latn-CS"/>
              </w:rPr>
              <w:t>č</w:t>
            </w:r>
            <w:r w:rsidRPr="00C0654D">
              <w:rPr>
                <w:sz w:val="22"/>
                <w:szCs w:val="22"/>
                <w:lang w:val="sr-Latn-ME" w:eastAsia="sr-Latn-CS"/>
              </w:rPr>
              <w:t xml:space="preserve">ni gripu, rigor, </w:t>
            </w:r>
          </w:p>
          <w:p w14:paraId="4DB57F0D" w14:textId="77777777" w:rsidR="008B0AD6" w:rsidRPr="00C0654D" w:rsidRDefault="008B0AD6" w:rsidP="0066437B">
            <w:pPr>
              <w:autoSpaceDE w:val="0"/>
              <w:autoSpaceDN w:val="0"/>
              <w:adjustRightInd w:val="0"/>
              <w:rPr>
                <w:sz w:val="22"/>
                <w:szCs w:val="22"/>
                <w:lang w:val="sr-Latn-ME" w:eastAsia="sr-Latn-CS"/>
              </w:rPr>
            </w:pPr>
            <w:r w:rsidRPr="00C0654D">
              <w:rPr>
                <w:sz w:val="22"/>
                <w:szCs w:val="22"/>
                <w:lang w:val="sr-Latn-ME" w:eastAsia="sr-Latn-CS"/>
              </w:rPr>
              <w:t>povišena tjelesna temperatura</w:t>
            </w:r>
          </w:p>
        </w:tc>
        <w:tc>
          <w:tcPr>
            <w:tcW w:w="1843" w:type="dxa"/>
          </w:tcPr>
          <w:p w14:paraId="46D7E5F9" w14:textId="4D5FB917" w:rsidR="008B0AD6" w:rsidRPr="00C0654D" w:rsidRDefault="003250C0" w:rsidP="00DF6F46">
            <w:pPr>
              <w:autoSpaceDE w:val="0"/>
              <w:autoSpaceDN w:val="0"/>
              <w:adjustRightInd w:val="0"/>
              <w:jc w:val="both"/>
              <w:rPr>
                <w:sz w:val="22"/>
                <w:szCs w:val="22"/>
                <w:lang w:val="sr-Latn-ME" w:eastAsia="sr-Latn-CS"/>
              </w:rPr>
            </w:pPr>
            <w:r>
              <w:rPr>
                <w:sz w:val="22"/>
                <w:szCs w:val="22"/>
                <w:lang w:val="sr-Latn-ME" w:eastAsia="sr-Latn-CS"/>
              </w:rPr>
              <w:t>-</w:t>
            </w:r>
          </w:p>
        </w:tc>
      </w:tr>
    </w:tbl>
    <w:p w14:paraId="4A7802EE" w14:textId="43BDE52A" w:rsidR="008B0AD6" w:rsidRPr="00C0654D" w:rsidRDefault="008B0AD6" w:rsidP="00D85C58">
      <w:pPr>
        <w:autoSpaceDE w:val="0"/>
        <w:autoSpaceDN w:val="0"/>
        <w:adjustRightInd w:val="0"/>
        <w:jc w:val="both"/>
        <w:rPr>
          <w:sz w:val="22"/>
          <w:szCs w:val="22"/>
          <w:lang w:val="sr-Latn-ME" w:eastAsia="sr-Latn-CS"/>
        </w:rPr>
      </w:pPr>
      <w:r w:rsidRPr="00C0654D">
        <w:rPr>
          <w:sz w:val="22"/>
          <w:szCs w:val="22"/>
          <w:lang w:val="sr-Latn-ME" w:eastAsia="sr-Latn-CS"/>
        </w:rPr>
        <w:t xml:space="preserve">**Na osnovu postmarketinškog iskustva, uporni ili ozbiljni sindrom palmarno-plantarne eritrodizestezije može dovesti do gubitka otiska prsta (vidjeti </w:t>
      </w:r>
      <w:r w:rsidR="00DF6F46">
        <w:rPr>
          <w:sz w:val="22"/>
          <w:szCs w:val="22"/>
          <w:lang w:val="sr-Latn-ME" w:eastAsia="sr-Latn-CS"/>
        </w:rPr>
        <w:t>dio</w:t>
      </w:r>
      <w:r w:rsidR="0024013B">
        <w:rPr>
          <w:sz w:val="22"/>
          <w:szCs w:val="22"/>
          <w:lang w:val="sr-Latn-ME" w:eastAsia="sr-Latn-CS"/>
        </w:rPr>
        <w:t xml:space="preserve"> </w:t>
      </w:r>
      <w:r w:rsidRPr="00C0654D">
        <w:rPr>
          <w:sz w:val="22"/>
          <w:szCs w:val="22"/>
          <w:lang w:val="sr-Latn-ME" w:eastAsia="sr-Latn-CS"/>
        </w:rPr>
        <w:t>4.4.)</w:t>
      </w:r>
    </w:p>
    <w:p w14:paraId="79154F75" w14:textId="77777777" w:rsidR="008B0AD6" w:rsidRPr="00C0654D" w:rsidRDefault="008B0AD6" w:rsidP="00CA1BE0">
      <w:pPr>
        <w:autoSpaceDE w:val="0"/>
        <w:autoSpaceDN w:val="0"/>
        <w:adjustRightInd w:val="0"/>
        <w:jc w:val="both"/>
        <w:rPr>
          <w:sz w:val="22"/>
          <w:szCs w:val="22"/>
          <w:lang w:val="sr-Latn-ME" w:eastAsia="sr-Latn-CS"/>
        </w:rPr>
      </w:pPr>
    </w:p>
    <w:p w14:paraId="41962407"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Kombinovana terapija:</w:t>
      </w:r>
    </w:p>
    <w:p w14:paraId="37F1095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U Tabeli 5. prikazane su neželjene reakcije povezane sa primjenom kapecitabina</w:t>
      </w:r>
      <w:r w:rsidRPr="00C0654D">
        <w:rPr>
          <w:sz w:val="22"/>
          <w:szCs w:val="22"/>
          <w:lang w:val="sr-Latn-ME"/>
        </w:rPr>
        <w:t xml:space="preserve"> </w:t>
      </w:r>
      <w:r w:rsidRPr="00C0654D">
        <w:rPr>
          <w:sz w:val="22"/>
          <w:szCs w:val="22"/>
          <w:lang w:val="sr-Latn-ME" w:eastAsia="sr-Latn-CS"/>
        </w:rPr>
        <w:t>u kombinaciji sa razli</w:t>
      </w:r>
      <w:r w:rsidRPr="00C0654D">
        <w:rPr>
          <w:rFonts w:eastAsia="TimesNewRoman"/>
          <w:sz w:val="22"/>
          <w:szCs w:val="22"/>
          <w:lang w:val="sr-Latn-ME" w:eastAsia="sr-Latn-CS"/>
        </w:rPr>
        <w:t>č</w:t>
      </w:r>
      <w:r w:rsidRPr="00C0654D">
        <w:rPr>
          <w:sz w:val="22"/>
          <w:szCs w:val="22"/>
          <w:lang w:val="sr-Latn-ME" w:eastAsia="sr-Latn-CS"/>
        </w:rPr>
        <w:t>itim hemoterapijskim režimima u razli</w:t>
      </w:r>
      <w:r w:rsidRPr="00C0654D">
        <w:rPr>
          <w:rFonts w:eastAsia="TimesNewRoman"/>
          <w:sz w:val="22"/>
          <w:szCs w:val="22"/>
          <w:lang w:val="sr-Latn-ME" w:eastAsia="sr-Latn-CS"/>
        </w:rPr>
        <w:t>č</w:t>
      </w:r>
      <w:r w:rsidRPr="00C0654D">
        <w:rPr>
          <w:sz w:val="22"/>
          <w:szCs w:val="22"/>
          <w:lang w:val="sr-Latn-ME" w:eastAsia="sr-Latn-CS"/>
        </w:rPr>
        <w:t>itim indikacijama, na osnovu bezbjednosnih podataka dobijenih od preko 3000 pacijenata. Neželjene reakcije su svrstane u odgovaraju</w:t>
      </w:r>
      <w:r w:rsidRPr="00C0654D">
        <w:rPr>
          <w:rFonts w:eastAsia="TimesNewRoman"/>
          <w:sz w:val="22"/>
          <w:szCs w:val="22"/>
          <w:lang w:val="sr-Latn-ME" w:eastAsia="sr-Latn-CS"/>
        </w:rPr>
        <w:t>ć</w:t>
      </w:r>
      <w:r w:rsidRPr="00C0654D">
        <w:rPr>
          <w:sz w:val="22"/>
          <w:szCs w:val="22"/>
          <w:lang w:val="sr-Latn-ME" w:eastAsia="sr-Latn-CS"/>
        </w:rPr>
        <w:t>e grupe po u</w:t>
      </w:r>
      <w:r w:rsidRPr="00C0654D">
        <w:rPr>
          <w:rFonts w:eastAsia="TimesNewRoman"/>
          <w:sz w:val="22"/>
          <w:szCs w:val="22"/>
          <w:lang w:val="sr-Latn-ME" w:eastAsia="sr-Latn-CS"/>
        </w:rPr>
        <w:t>č</w:t>
      </w:r>
      <w:r w:rsidRPr="00C0654D">
        <w:rPr>
          <w:sz w:val="22"/>
          <w:szCs w:val="22"/>
          <w:lang w:val="sr-Latn-ME" w:eastAsia="sr-Latn-CS"/>
        </w:rPr>
        <w:t xml:space="preserve">estalosti ispoljavanja (veoma </w:t>
      </w:r>
      <w:r w:rsidRPr="00C0654D">
        <w:rPr>
          <w:rFonts w:eastAsia="TimesNewRoman"/>
          <w:sz w:val="22"/>
          <w:szCs w:val="22"/>
          <w:lang w:val="sr-Latn-ME" w:eastAsia="sr-Latn-CS"/>
        </w:rPr>
        <w:t>č</w:t>
      </w:r>
      <w:r w:rsidRPr="00C0654D">
        <w:rPr>
          <w:sz w:val="22"/>
          <w:szCs w:val="22"/>
          <w:lang w:val="sr-Latn-ME" w:eastAsia="sr-Latn-CS"/>
        </w:rPr>
        <w:t xml:space="preserve">este ili </w:t>
      </w:r>
      <w:r w:rsidRPr="00C0654D">
        <w:rPr>
          <w:rFonts w:eastAsia="TimesNewRoman"/>
          <w:sz w:val="22"/>
          <w:szCs w:val="22"/>
          <w:lang w:val="sr-Latn-ME" w:eastAsia="sr-Latn-CS"/>
        </w:rPr>
        <w:t>č</w:t>
      </w:r>
      <w:r w:rsidRPr="00C0654D">
        <w:rPr>
          <w:sz w:val="22"/>
          <w:szCs w:val="22"/>
          <w:lang w:val="sr-Latn-ME" w:eastAsia="sr-Latn-CS"/>
        </w:rPr>
        <w:t>este) na osnovu najviše incidence zabilježene u bilo kojoj od velikih klini</w:t>
      </w:r>
      <w:r w:rsidRPr="00C0654D">
        <w:rPr>
          <w:rFonts w:eastAsia="TimesNewRoman"/>
          <w:sz w:val="22"/>
          <w:szCs w:val="22"/>
          <w:lang w:val="sr-Latn-ME" w:eastAsia="sr-Latn-CS"/>
        </w:rPr>
        <w:t>č</w:t>
      </w:r>
      <w:r w:rsidRPr="00C0654D">
        <w:rPr>
          <w:sz w:val="22"/>
          <w:szCs w:val="22"/>
          <w:lang w:val="sr-Latn-ME" w:eastAsia="sr-Latn-CS"/>
        </w:rPr>
        <w:t xml:space="preserve">kih studija i dodate su jedino ukoliko se javljaju </w:t>
      </w:r>
      <w:r w:rsidRPr="00C0654D">
        <w:rPr>
          <w:bCs/>
          <w:sz w:val="22"/>
          <w:szCs w:val="22"/>
          <w:lang w:val="sr-Latn-ME" w:eastAsia="sr-Latn-CS"/>
        </w:rPr>
        <w:t>pored onih</w:t>
      </w:r>
      <w:r w:rsidRPr="00C0654D">
        <w:rPr>
          <w:b/>
          <w:bCs/>
          <w:sz w:val="22"/>
          <w:szCs w:val="22"/>
          <w:lang w:val="sr-Latn-ME" w:eastAsia="sr-Latn-CS"/>
        </w:rPr>
        <w:t xml:space="preserve"> </w:t>
      </w:r>
      <w:r w:rsidRPr="00C0654D">
        <w:rPr>
          <w:sz w:val="22"/>
          <w:szCs w:val="22"/>
          <w:lang w:val="sr-Latn-ME" w:eastAsia="sr-Latn-CS"/>
        </w:rPr>
        <w:t>koje se vi</w:t>
      </w:r>
      <w:r w:rsidRPr="00C0654D">
        <w:rPr>
          <w:rFonts w:eastAsia="TimesNewRoman"/>
          <w:sz w:val="22"/>
          <w:szCs w:val="22"/>
          <w:lang w:val="sr-Latn-ME" w:eastAsia="sr-Latn-CS"/>
        </w:rPr>
        <w:t>đ</w:t>
      </w:r>
      <w:r w:rsidRPr="00C0654D">
        <w:rPr>
          <w:sz w:val="22"/>
          <w:szCs w:val="22"/>
          <w:lang w:val="sr-Latn-ME" w:eastAsia="sr-Latn-CS"/>
        </w:rPr>
        <w:t>aju sa kapecitabinom kao monoterapijom, ili se vi</w:t>
      </w:r>
      <w:r w:rsidRPr="00C0654D">
        <w:rPr>
          <w:rFonts w:eastAsia="TimesNewRoman"/>
          <w:sz w:val="22"/>
          <w:szCs w:val="22"/>
          <w:lang w:val="sr-Latn-ME" w:eastAsia="sr-Latn-CS"/>
        </w:rPr>
        <w:t>đ</w:t>
      </w:r>
      <w:r w:rsidRPr="00C0654D">
        <w:rPr>
          <w:sz w:val="22"/>
          <w:szCs w:val="22"/>
          <w:lang w:val="sr-Latn-ME" w:eastAsia="sr-Latn-CS"/>
        </w:rPr>
        <w:t xml:space="preserve">aju </w:t>
      </w:r>
      <w:r w:rsidRPr="00C0654D">
        <w:rPr>
          <w:bCs/>
          <w:sz w:val="22"/>
          <w:szCs w:val="22"/>
          <w:lang w:val="sr-Latn-ME" w:eastAsia="sr-Latn-CS"/>
        </w:rPr>
        <w:t>sa ve</w:t>
      </w:r>
      <w:r w:rsidRPr="00C0654D">
        <w:rPr>
          <w:rFonts w:eastAsia="TimesNewRoman,Bold"/>
          <w:bCs/>
          <w:sz w:val="22"/>
          <w:szCs w:val="22"/>
          <w:lang w:val="sr-Latn-ME" w:eastAsia="sr-Latn-CS"/>
        </w:rPr>
        <w:t>ć</w:t>
      </w:r>
      <w:r w:rsidRPr="00C0654D">
        <w:rPr>
          <w:bCs/>
          <w:sz w:val="22"/>
          <w:szCs w:val="22"/>
          <w:lang w:val="sr-Latn-ME" w:eastAsia="sr-Latn-CS"/>
        </w:rPr>
        <w:t>om u</w:t>
      </w:r>
      <w:r w:rsidRPr="00C0654D">
        <w:rPr>
          <w:rFonts w:eastAsia="TimesNewRoman,Bold"/>
          <w:bCs/>
          <w:sz w:val="22"/>
          <w:szCs w:val="22"/>
          <w:lang w:val="sr-Latn-ME" w:eastAsia="sr-Latn-CS"/>
        </w:rPr>
        <w:t>č</w:t>
      </w:r>
      <w:r w:rsidRPr="00C0654D">
        <w:rPr>
          <w:bCs/>
          <w:sz w:val="22"/>
          <w:szCs w:val="22"/>
          <w:lang w:val="sr-Latn-ME" w:eastAsia="sr-Latn-CS"/>
        </w:rPr>
        <w:t>estaloš</w:t>
      </w:r>
      <w:r w:rsidRPr="00C0654D">
        <w:rPr>
          <w:rFonts w:eastAsia="TimesNewRoman,Bold"/>
          <w:bCs/>
          <w:sz w:val="22"/>
          <w:szCs w:val="22"/>
          <w:lang w:val="sr-Latn-ME" w:eastAsia="sr-Latn-CS"/>
        </w:rPr>
        <w:t>ć</w:t>
      </w:r>
      <w:r w:rsidRPr="00C0654D">
        <w:rPr>
          <w:bCs/>
          <w:sz w:val="22"/>
          <w:szCs w:val="22"/>
          <w:lang w:val="sr-Latn-ME" w:eastAsia="sr-Latn-CS"/>
        </w:rPr>
        <w:t>u</w:t>
      </w:r>
      <w:r w:rsidRPr="00C0654D">
        <w:rPr>
          <w:b/>
          <w:bCs/>
          <w:sz w:val="22"/>
          <w:szCs w:val="22"/>
          <w:lang w:val="sr-Latn-ME" w:eastAsia="sr-Latn-CS"/>
        </w:rPr>
        <w:t xml:space="preserve"> </w:t>
      </w:r>
      <w:r w:rsidRPr="00C0654D">
        <w:rPr>
          <w:sz w:val="22"/>
          <w:szCs w:val="22"/>
          <w:lang w:val="sr-Latn-ME" w:eastAsia="sr-Latn-CS"/>
        </w:rPr>
        <w:t xml:space="preserve">nego kada se </w:t>
      </w:r>
      <w:r w:rsidRPr="00C0654D">
        <w:rPr>
          <w:sz w:val="22"/>
          <w:szCs w:val="22"/>
          <w:lang w:val="sr-Latn-ME"/>
        </w:rPr>
        <w:t>kapecitabin</w:t>
      </w:r>
      <w:r w:rsidRPr="00C0654D">
        <w:rPr>
          <w:sz w:val="22"/>
          <w:szCs w:val="22"/>
          <w:lang w:val="sr-Latn-ME" w:eastAsia="sr-Latn-CS"/>
        </w:rPr>
        <w:t xml:space="preserve"> koristi kao monoterapija (vidjeti Tabelu 4.). Povremene neželjene reakcije prijavljene pri primjeni kapecitabina</w:t>
      </w:r>
      <w:r w:rsidRPr="00C0654D">
        <w:rPr>
          <w:sz w:val="22"/>
          <w:szCs w:val="22"/>
          <w:lang w:val="sr-Latn-ME"/>
        </w:rPr>
        <w:t xml:space="preserve"> u</w:t>
      </w:r>
      <w:r w:rsidRPr="00C0654D">
        <w:rPr>
          <w:sz w:val="22"/>
          <w:szCs w:val="22"/>
          <w:lang w:val="sr-Latn-ME" w:eastAsia="sr-Latn-CS"/>
        </w:rPr>
        <w:t xml:space="preserve"> kombinovanoj terapiji su u saglasnosti sa neželjenim reakcijama prijavljenim kod monoterapije kapecitabinom, ili prijavljenim kod monoterapije drugim lijekom koji je u kombinaciji (u literaturi i/ili odgovaraju</w:t>
      </w:r>
      <w:r w:rsidRPr="00C0654D">
        <w:rPr>
          <w:rFonts w:eastAsia="TimesNewRoman"/>
          <w:sz w:val="22"/>
          <w:szCs w:val="22"/>
          <w:lang w:val="sr-Latn-ME" w:eastAsia="sr-Latn-CS"/>
        </w:rPr>
        <w:t>ć</w:t>
      </w:r>
      <w:r w:rsidRPr="00C0654D">
        <w:rPr>
          <w:sz w:val="22"/>
          <w:szCs w:val="22"/>
          <w:lang w:val="sr-Latn-ME" w:eastAsia="sr-Latn-CS"/>
        </w:rPr>
        <w:t>em Sažetku karakteristika lijeka).</w:t>
      </w:r>
    </w:p>
    <w:p w14:paraId="35013969" w14:textId="77777777" w:rsidR="008B0AD6" w:rsidRPr="00C0654D" w:rsidRDefault="008B0AD6">
      <w:pPr>
        <w:autoSpaceDE w:val="0"/>
        <w:autoSpaceDN w:val="0"/>
        <w:adjustRightInd w:val="0"/>
        <w:jc w:val="both"/>
        <w:rPr>
          <w:sz w:val="22"/>
          <w:szCs w:val="22"/>
          <w:lang w:val="sr-Latn-ME" w:eastAsia="sr-Latn-CS"/>
        </w:rPr>
      </w:pPr>
    </w:p>
    <w:p w14:paraId="0B0437F5"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lastRenderedPageBreak/>
        <w:t>Neke od neželjenih reakcija su reakcije uobi</w:t>
      </w:r>
      <w:r w:rsidRPr="00C0654D">
        <w:rPr>
          <w:rFonts w:eastAsia="TimesNewRoman"/>
          <w:sz w:val="22"/>
          <w:szCs w:val="22"/>
          <w:lang w:val="sr-Latn-ME" w:eastAsia="sr-Latn-CS"/>
        </w:rPr>
        <w:t>č</w:t>
      </w:r>
      <w:r w:rsidRPr="00C0654D">
        <w:rPr>
          <w:sz w:val="22"/>
          <w:szCs w:val="22"/>
          <w:lang w:val="sr-Latn-ME" w:eastAsia="sr-Latn-CS"/>
        </w:rPr>
        <w:t>ajeno zabilježene za lijek sa kojim se terapija kombinuje (npr. periferna senzorna neuropatija sa docetakselom ili oksaliplatinom, hipertenzija zabilježena sa bevacizumabom); ipak, egzacerbacija primjenom kapecitabina ne može se isklju</w:t>
      </w:r>
      <w:r w:rsidRPr="00C0654D">
        <w:rPr>
          <w:rFonts w:eastAsia="TimesNewRoman"/>
          <w:sz w:val="22"/>
          <w:szCs w:val="22"/>
          <w:lang w:val="sr-Latn-ME" w:eastAsia="sr-Latn-CS"/>
        </w:rPr>
        <w:t>č</w:t>
      </w:r>
      <w:r w:rsidRPr="00C0654D">
        <w:rPr>
          <w:sz w:val="22"/>
          <w:szCs w:val="22"/>
          <w:lang w:val="sr-Latn-ME" w:eastAsia="sr-Latn-CS"/>
        </w:rPr>
        <w:t>iti.</w:t>
      </w:r>
    </w:p>
    <w:p w14:paraId="3BE35811" w14:textId="77777777" w:rsidR="008B0AD6" w:rsidRPr="00C0654D" w:rsidRDefault="008B0AD6">
      <w:pPr>
        <w:autoSpaceDE w:val="0"/>
        <w:autoSpaceDN w:val="0"/>
        <w:adjustRightInd w:val="0"/>
        <w:jc w:val="both"/>
        <w:rPr>
          <w:sz w:val="22"/>
          <w:szCs w:val="22"/>
          <w:lang w:val="sr-Latn-ME" w:eastAsia="sr-Latn-CS"/>
        </w:rPr>
      </w:pPr>
    </w:p>
    <w:p w14:paraId="1BB66882"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Tabela 5. Rezime neželjenih reakcija prijavljenih kod pacijenata lje</w:t>
      </w:r>
      <w:r w:rsidRPr="00C0654D">
        <w:rPr>
          <w:rFonts w:eastAsia="TimesNewRoman"/>
          <w:sz w:val="22"/>
          <w:szCs w:val="22"/>
          <w:lang w:val="sr-Latn-ME" w:eastAsia="sr-Latn-CS"/>
        </w:rPr>
        <w:t>č</w:t>
      </w:r>
      <w:r w:rsidRPr="00C0654D">
        <w:rPr>
          <w:sz w:val="22"/>
          <w:szCs w:val="22"/>
          <w:lang w:val="sr-Latn-ME" w:eastAsia="sr-Latn-CS"/>
        </w:rPr>
        <w:t xml:space="preserve">enih kapecitabinom u kombinovanoj terapiji koje se javljaju </w:t>
      </w:r>
      <w:r w:rsidRPr="00C0654D">
        <w:rPr>
          <w:bCs/>
          <w:sz w:val="22"/>
          <w:szCs w:val="22"/>
          <w:lang w:val="sr-Latn-ME" w:eastAsia="sr-Latn-CS"/>
        </w:rPr>
        <w:t>pored onih</w:t>
      </w:r>
      <w:r w:rsidRPr="00C0654D">
        <w:rPr>
          <w:b/>
          <w:bCs/>
          <w:sz w:val="22"/>
          <w:szCs w:val="22"/>
          <w:lang w:val="sr-Latn-ME" w:eastAsia="sr-Latn-CS"/>
        </w:rPr>
        <w:t xml:space="preserve"> </w:t>
      </w:r>
      <w:r w:rsidRPr="00C0654D">
        <w:rPr>
          <w:sz w:val="22"/>
          <w:szCs w:val="22"/>
          <w:lang w:val="sr-Latn-ME" w:eastAsia="sr-Latn-CS"/>
        </w:rPr>
        <w:t>koje se vi</w:t>
      </w:r>
      <w:r w:rsidRPr="00C0654D">
        <w:rPr>
          <w:rFonts w:eastAsia="TimesNewRoman"/>
          <w:sz w:val="22"/>
          <w:szCs w:val="22"/>
          <w:lang w:val="sr-Latn-ME" w:eastAsia="sr-Latn-CS"/>
        </w:rPr>
        <w:t>đ</w:t>
      </w:r>
      <w:r w:rsidRPr="00C0654D">
        <w:rPr>
          <w:sz w:val="22"/>
          <w:szCs w:val="22"/>
          <w:lang w:val="sr-Latn-ME" w:eastAsia="sr-Latn-CS"/>
        </w:rPr>
        <w:t>aju sa kapecitabinom kao monoterapijom, ili se vi</w:t>
      </w:r>
      <w:r w:rsidRPr="00C0654D">
        <w:rPr>
          <w:rFonts w:eastAsia="TimesNewRoman"/>
          <w:sz w:val="22"/>
          <w:szCs w:val="22"/>
          <w:lang w:val="sr-Latn-ME" w:eastAsia="sr-Latn-CS"/>
        </w:rPr>
        <w:t>đ</w:t>
      </w:r>
      <w:r w:rsidRPr="00C0654D">
        <w:rPr>
          <w:sz w:val="22"/>
          <w:szCs w:val="22"/>
          <w:lang w:val="sr-Latn-ME" w:eastAsia="sr-Latn-CS"/>
        </w:rPr>
        <w:t xml:space="preserve">aju </w:t>
      </w:r>
      <w:r w:rsidRPr="00C0654D">
        <w:rPr>
          <w:bCs/>
          <w:sz w:val="22"/>
          <w:szCs w:val="22"/>
          <w:lang w:val="sr-Latn-ME" w:eastAsia="sr-Latn-CS"/>
        </w:rPr>
        <w:t>sa ve</w:t>
      </w:r>
      <w:r w:rsidRPr="00C0654D">
        <w:rPr>
          <w:rFonts w:eastAsia="TimesNewRoman,Bold"/>
          <w:bCs/>
          <w:sz w:val="22"/>
          <w:szCs w:val="22"/>
          <w:lang w:val="sr-Latn-ME" w:eastAsia="sr-Latn-CS"/>
        </w:rPr>
        <w:t>ć</w:t>
      </w:r>
      <w:r w:rsidRPr="00C0654D">
        <w:rPr>
          <w:bCs/>
          <w:sz w:val="22"/>
          <w:szCs w:val="22"/>
          <w:lang w:val="sr-Latn-ME" w:eastAsia="sr-Latn-CS"/>
        </w:rPr>
        <w:t>om u</w:t>
      </w:r>
      <w:r w:rsidRPr="00C0654D">
        <w:rPr>
          <w:rFonts w:eastAsia="TimesNewRoman,Bold"/>
          <w:bCs/>
          <w:sz w:val="22"/>
          <w:szCs w:val="22"/>
          <w:lang w:val="sr-Latn-ME" w:eastAsia="sr-Latn-CS"/>
        </w:rPr>
        <w:t>č</w:t>
      </w:r>
      <w:r w:rsidRPr="00C0654D">
        <w:rPr>
          <w:bCs/>
          <w:sz w:val="22"/>
          <w:szCs w:val="22"/>
          <w:lang w:val="sr-Latn-ME" w:eastAsia="sr-Latn-CS"/>
        </w:rPr>
        <w:t>estaloš</w:t>
      </w:r>
      <w:r w:rsidRPr="00C0654D">
        <w:rPr>
          <w:rFonts w:eastAsia="TimesNewRoman,Bold"/>
          <w:bCs/>
          <w:sz w:val="22"/>
          <w:szCs w:val="22"/>
          <w:lang w:val="sr-Latn-ME" w:eastAsia="sr-Latn-CS"/>
        </w:rPr>
        <w:t>ć</w:t>
      </w:r>
      <w:r w:rsidRPr="00C0654D">
        <w:rPr>
          <w:bCs/>
          <w:sz w:val="22"/>
          <w:szCs w:val="22"/>
          <w:lang w:val="sr-Latn-ME" w:eastAsia="sr-Latn-CS"/>
        </w:rPr>
        <w:t>u</w:t>
      </w:r>
      <w:r w:rsidRPr="00C0654D">
        <w:rPr>
          <w:b/>
          <w:bCs/>
          <w:sz w:val="22"/>
          <w:szCs w:val="22"/>
          <w:lang w:val="sr-Latn-ME" w:eastAsia="sr-Latn-CS"/>
        </w:rPr>
        <w:t xml:space="preserve"> </w:t>
      </w:r>
      <w:r w:rsidRPr="00C0654D">
        <w:rPr>
          <w:sz w:val="22"/>
          <w:szCs w:val="22"/>
          <w:lang w:val="sr-Latn-ME" w:eastAsia="sr-Latn-CS"/>
        </w:rPr>
        <w:t xml:space="preserve">nego kada se </w:t>
      </w:r>
      <w:r w:rsidRPr="00C0654D">
        <w:rPr>
          <w:sz w:val="22"/>
          <w:szCs w:val="22"/>
          <w:lang w:val="sr-Latn-ME"/>
        </w:rPr>
        <w:t xml:space="preserve">kapecitabin </w:t>
      </w:r>
      <w:r w:rsidRPr="00C0654D">
        <w:rPr>
          <w:sz w:val="22"/>
          <w:szCs w:val="22"/>
          <w:lang w:val="sr-Latn-ME" w:eastAsia="sr-Latn-CS"/>
        </w:rPr>
        <w:t>koristi kao monoterapija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977"/>
        <w:gridCol w:w="2126"/>
      </w:tblGrid>
      <w:tr w:rsidR="008B0AD6" w:rsidRPr="00C0654D" w14:paraId="3943D082" w14:textId="77777777" w:rsidTr="00D85C58">
        <w:tc>
          <w:tcPr>
            <w:tcW w:w="1951" w:type="dxa"/>
          </w:tcPr>
          <w:p w14:paraId="42EB3AB5"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Sistem organa</w:t>
            </w:r>
          </w:p>
        </w:tc>
        <w:tc>
          <w:tcPr>
            <w:tcW w:w="2268" w:type="dxa"/>
          </w:tcPr>
          <w:p w14:paraId="55380E11"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 xml:space="preserve">Veoma često </w:t>
            </w:r>
          </w:p>
          <w:p w14:paraId="6280739F" w14:textId="77777777" w:rsidR="008B0AD6" w:rsidRPr="00C0654D" w:rsidRDefault="008B0AD6">
            <w:pPr>
              <w:autoSpaceDE w:val="0"/>
              <w:autoSpaceDN w:val="0"/>
              <w:adjustRightInd w:val="0"/>
              <w:jc w:val="both"/>
              <w:rPr>
                <w:i/>
                <w:sz w:val="22"/>
                <w:szCs w:val="22"/>
                <w:lang w:val="sr-Latn-ME"/>
              </w:rPr>
            </w:pPr>
            <w:r w:rsidRPr="00C0654D">
              <w:rPr>
                <w:i/>
                <w:sz w:val="22"/>
                <w:szCs w:val="22"/>
                <w:lang w:val="sr-Latn-ME"/>
              </w:rPr>
              <w:t>Svi gradusi</w:t>
            </w:r>
          </w:p>
        </w:tc>
        <w:tc>
          <w:tcPr>
            <w:tcW w:w="2977" w:type="dxa"/>
          </w:tcPr>
          <w:p w14:paraId="74E0859B" w14:textId="77777777" w:rsidR="008B0AD6" w:rsidRPr="00C0654D" w:rsidRDefault="008B0AD6">
            <w:pPr>
              <w:autoSpaceDE w:val="0"/>
              <w:autoSpaceDN w:val="0"/>
              <w:adjustRightInd w:val="0"/>
              <w:jc w:val="both"/>
              <w:rPr>
                <w:b/>
                <w:sz w:val="22"/>
                <w:szCs w:val="22"/>
                <w:lang w:val="sr-Latn-ME"/>
              </w:rPr>
            </w:pPr>
            <w:r w:rsidRPr="00C0654D">
              <w:rPr>
                <w:b/>
                <w:sz w:val="22"/>
                <w:szCs w:val="22"/>
                <w:lang w:val="sr-Latn-ME"/>
              </w:rPr>
              <w:t>Često</w:t>
            </w:r>
          </w:p>
          <w:p w14:paraId="64728C42" w14:textId="77777777" w:rsidR="008B0AD6" w:rsidRPr="00C0654D" w:rsidRDefault="008B0AD6">
            <w:pPr>
              <w:autoSpaceDE w:val="0"/>
              <w:autoSpaceDN w:val="0"/>
              <w:adjustRightInd w:val="0"/>
              <w:jc w:val="both"/>
              <w:rPr>
                <w:sz w:val="22"/>
                <w:szCs w:val="22"/>
                <w:lang w:val="sr-Latn-ME"/>
              </w:rPr>
            </w:pPr>
            <w:r w:rsidRPr="00C0654D">
              <w:rPr>
                <w:i/>
                <w:sz w:val="22"/>
                <w:szCs w:val="22"/>
                <w:lang w:val="sr-Latn-ME"/>
              </w:rPr>
              <w:t xml:space="preserve">Svi gradusi </w:t>
            </w:r>
          </w:p>
        </w:tc>
        <w:tc>
          <w:tcPr>
            <w:tcW w:w="2126" w:type="dxa"/>
          </w:tcPr>
          <w:p w14:paraId="197BB10C" w14:textId="77777777" w:rsidR="008B0AD6" w:rsidRPr="00C0654D" w:rsidRDefault="008B0AD6">
            <w:pPr>
              <w:autoSpaceDE w:val="0"/>
              <w:autoSpaceDN w:val="0"/>
              <w:adjustRightInd w:val="0"/>
              <w:jc w:val="both"/>
              <w:rPr>
                <w:sz w:val="22"/>
                <w:szCs w:val="22"/>
                <w:lang w:val="sr-Latn-ME"/>
              </w:rPr>
            </w:pPr>
            <w:r w:rsidRPr="00C0654D">
              <w:rPr>
                <w:b/>
                <w:sz w:val="22"/>
                <w:szCs w:val="22"/>
                <w:lang w:val="sr-Latn-ME"/>
              </w:rPr>
              <w:t>Rijetko/Veoma rijetko</w:t>
            </w:r>
            <w:r w:rsidRPr="00C0654D">
              <w:rPr>
                <w:sz w:val="22"/>
                <w:szCs w:val="22"/>
                <w:lang w:val="sr-Latn-ME"/>
              </w:rPr>
              <w:t xml:space="preserve"> (postmarketinško iskustvo)</w:t>
            </w:r>
          </w:p>
        </w:tc>
      </w:tr>
      <w:tr w:rsidR="008B0AD6" w:rsidRPr="00C0654D" w14:paraId="50E5BB03" w14:textId="77777777" w:rsidTr="00D85C58">
        <w:tc>
          <w:tcPr>
            <w:tcW w:w="1951" w:type="dxa"/>
          </w:tcPr>
          <w:p w14:paraId="79A2D913" w14:textId="77777777" w:rsidR="008B0AD6" w:rsidRPr="00C0654D" w:rsidRDefault="008B0AD6" w:rsidP="0066437B">
            <w:pPr>
              <w:autoSpaceDE w:val="0"/>
              <w:autoSpaceDN w:val="0"/>
              <w:adjustRightInd w:val="0"/>
              <w:rPr>
                <w:i/>
                <w:sz w:val="22"/>
                <w:szCs w:val="22"/>
                <w:lang w:val="sr-Latn-ME"/>
              </w:rPr>
            </w:pPr>
            <w:r w:rsidRPr="00C0654D">
              <w:rPr>
                <w:i/>
                <w:sz w:val="22"/>
                <w:szCs w:val="22"/>
                <w:lang w:val="sr-Latn-ME"/>
              </w:rPr>
              <w:t>Infekcije i infestacije</w:t>
            </w:r>
          </w:p>
        </w:tc>
        <w:tc>
          <w:tcPr>
            <w:tcW w:w="2268" w:type="dxa"/>
          </w:tcPr>
          <w:p w14:paraId="776EA389"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2977" w:type="dxa"/>
          </w:tcPr>
          <w:p w14:paraId="6A84C5DD" w14:textId="0D50F190" w:rsidR="008B0AD6" w:rsidRPr="00C0654D" w:rsidRDefault="007A3141" w:rsidP="00DF6F46">
            <w:pPr>
              <w:autoSpaceDE w:val="0"/>
              <w:autoSpaceDN w:val="0"/>
              <w:adjustRightInd w:val="0"/>
              <w:rPr>
                <w:sz w:val="22"/>
                <w:szCs w:val="22"/>
                <w:lang w:val="sr-Latn-ME" w:eastAsia="sr-Latn-CS"/>
              </w:rPr>
            </w:pPr>
            <w:r>
              <w:rPr>
                <w:sz w:val="22"/>
                <w:szCs w:val="22"/>
                <w:lang w:val="sr-Latn-ME"/>
              </w:rPr>
              <w:t>h</w:t>
            </w:r>
            <w:r w:rsidR="008B0AD6" w:rsidRPr="00C0654D">
              <w:rPr>
                <w:sz w:val="22"/>
                <w:szCs w:val="22"/>
                <w:lang w:val="sr-Latn-ME"/>
              </w:rPr>
              <w:t xml:space="preserve">erpes </w:t>
            </w:r>
            <w:r w:rsidR="008B0AD6" w:rsidRPr="00C0654D">
              <w:rPr>
                <w:sz w:val="22"/>
                <w:szCs w:val="22"/>
                <w:lang w:val="sr-Latn-ME" w:eastAsia="sr-Latn-CS"/>
              </w:rPr>
              <w:t>zoster, infekcije urinarnog trakta, oralna kandidijaza,</w:t>
            </w:r>
          </w:p>
          <w:p w14:paraId="02A79C4F" w14:textId="77777777" w:rsidR="008B0AD6" w:rsidRPr="00C0654D" w:rsidRDefault="008B0AD6">
            <w:pPr>
              <w:autoSpaceDE w:val="0"/>
              <w:autoSpaceDN w:val="0"/>
              <w:adjustRightInd w:val="0"/>
              <w:rPr>
                <w:sz w:val="22"/>
                <w:szCs w:val="22"/>
                <w:lang w:val="sr-Latn-ME"/>
              </w:rPr>
            </w:pPr>
            <w:r w:rsidRPr="00C0654D">
              <w:rPr>
                <w:sz w:val="22"/>
                <w:szCs w:val="22"/>
                <w:lang w:val="sr-Latn-ME" w:eastAsia="sr-Latn-CS"/>
              </w:rPr>
              <w:t xml:space="preserve">infekcije gornjeg respiratornog trakta, rinitis,  grip, </w:t>
            </w:r>
            <w:r w:rsidRPr="00C0654D">
              <w:rPr>
                <w:sz w:val="22"/>
                <w:szCs w:val="22"/>
                <w:vertAlign w:val="superscript"/>
                <w:lang w:val="sr-Latn-ME" w:eastAsia="sr-Latn-CS"/>
              </w:rPr>
              <w:t>+</w:t>
            </w:r>
            <w:r w:rsidRPr="00C0654D">
              <w:rPr>
                <w:sz w:val="22"/>
                <w:szCs w:val="22"/>
                <w:lang w:val="sr-Latn-ME" w:eastAsia="sr-Latn-CS"/>
              </w:rPr>
              <w:t>infekcija, oralni herpes</w:t>
            </w:r>
          </w:p>
        </w:tc>
        <w:tc>
          <w:tcPr>
            <w:tcW w:w="2126" w:type="dxa"/>
          </w:tcPr>
          <w:p w14:paraId="73244130" w14:textId="69FF8DB5" w:rsidR="008B0AD6" w:rsidRPr="00C0654D" w:rsidRDefault="00E96481" w:rsidP="00D85C58">
            <w:pPr>
              <w:autoSpaceDE w:val="0"/>
              <w:autoSpaceDN w:val="0"/>
              <w:adjustRightInd w:val="0"/>
              <w:jc w:val="both"/>
              <w:rPr>
                <w:sz w:val="22"/>
                <w:szCs w:val="22"/>
                <w:lang w:val="sr-Latn-ME"/>
              </w:rPr>
            </w:pPr>
            <w:r>
              <w:rPr>
                <w:sz w:val="22"/>
                <w:szCs w:val="22"/>
                <w:lang w:val="sr-Latn-ME"/>
              </w:rPr>
              <w:t>-</w:t>
            </w:r>
          </w:p>
        </w:tc>
      </w:tr>
      <w:tr w:rsidR="008B0AD6" w:rsidRPr="00C0654D" w14:paraId="30C30A12" w14:textId="77777777" w:rsidTr="00D85C58">
        <w:tc>
          <w:tcPr>
            <w:tcW w:w="1951" w:type="dxa"/>
          </w:tcPr>
          <w:p w14:paraId="18443424" w14:textId="473608AB" w:rsidR="008B0AD6" w:rsidRPr="00C0654D" w:rsidRDefault="008B0AD6" w:rsidP="0066437B">
            <w:pPr>
              <w:autoSpaceDE w:val="0"/>
              <w:autoSpaceDN w:val="0"/>
              <w:adjustRightInd w:val="0"/>
              <w:rPr>
                <w:i/>
                <w:sz w:val="22"/>
                <w:szCs w:val="22"/>
                <w:lang w:val="sr-Latn-ME"/>
              </w:rPr>
            </w:pPr>
            <w:r w:rsidRPr="00C0654D">
              <w:rPr>
                <w:i/>
                <w:sz w:val="22"/>
                <w:szCs w:val="22"/>
                <w:lang w:val="sr-Latn-ME"/>
              </w:rPr>
              <w:t>Poremećaji krvi i limfnog sistema</w:t>
            </w:r>
          </w:p>
        </w:tc>
        <w:tc>
          <w:tcPr>
            <w:tcW w:w="2268" w:type="dxa"/>
          </w:tcPr>
          <w:p w14:paraId="0B90F896" w14:textId="77777777" w:rsidR="008B0AD6" w:rsidRPr="00C0654D" w:rsidRDefault="008B0AD6" w:rsidP="00CA1BE0">
            <w:pPr>
              <w:autoSpaceDE w:val="0"/>
              <w:autoSpaceDN w:val="0"/>
              <w:adjustRightInd w:val="0"/>
              <w:jc w:val="both"/>
              <w:rPr>
                <w:sz w:val="22"/>
                <w:szCs w:val="22"/>
                <w:lang w:val="sr-Latn-ME" w:eastAsia="sr-Latn-CS"/>
              </w:rPr>
            </w:pPr>
            <w:r w:rsidRPr="00C0654D">
              <w:rPr>
                <w:sz w:val="22"/>
                <w:szCs w:val="22"/>
                <w:vertAlign w:val="superscript"/>
                <w:lang w:val="sr-Latn-ME" w:eastAsia="sr-Latn-CS"/>
              </w:rPr>
              <w:t>+</w:t>
            </w:r>
            <w:r w:rsidRPr="00C0654D">
              <w:rPr>
                <w:sz w:val="22"/>
                <w:szCs w:val="22"/>
                <w:lang w:val="sr-Latn-ME" w:eastAsia="sr-Latn-CS"/>
              </w:rPr>
              <w:t xml:space="preserve">neutropenija, </w:t>
            </w:r>
            <w:r w:rsidRPr="00C0654D">
              <w:rPr>
                <w:sz w:val="22"/>
                <w:szCs w:val="22"/>
                <w:vertAlign w:val="superscript"/>
                <w:lang w:val="sr-Latn-ME" w:eastAsia="sr-Latn-CS"/>
              </w:rPr>
              <w:t>+</w:t>
            </w:r>
            <w:r w:rsidRPr="00C0654D">
              <w:rPr>
                <w:sz w:val="22"/>
                <w:szCs w:val="22"/>
                <w:lang w:val="sr-Latn-ME" w:eastAsia="sr-Latn-CS"/>
              </w:rPr>
              <w:t>leukopenija,</w:t>
            </w:r>
          </w:p>
          <w:p w14:paraId="539D4C1C" w14:textId="77777777" w:rsidR="008B0AD6" w:rsidRPr="00C0654D" w:rsidRDefault="008B0AD6">
            <w:pPr>
              <w:autoSpaceDE w:val="0"/>
              <w:autoSpaceDN w:val="0"/>
              <w:adjustRightInd w:val="0"/>
              <w:jc w:val="both"/>
              <w:rPr>
                <w:sz w:val="22"/>
                <w:szCs w:val="22"/>
                <w:lang w:val="sr-Latn-ME" w:eastAsia="sr-Latn-CS"/>
              </w:rPr>
            </w:pPr>
            <w:r w:rsidRPr="00C0654D">
              <w:rPr>
                <w:sz w:val="22"/>
                <w:szCs w:val="22"/>
                <w:vertAlign w:val="superscript"/>
                <w:lang w:val="sr-Latn-ME" w:eastAsia="sr-Latn-CS"/>
              </w:rPr>
              <w:t>+</w:t>
            </w:r>
            <w:r w:rsidRPr="00C0654D">
              <w:rPr>
                <w:sz w:val="22"/>
                <w:szCs w:val="22"/>
                <w:lang w:val="sr-Latn-ME" w:eastAsia="sr-Latn-CS"/>
              </w:rPr>
              <w:t xml:space="preserve">anemija,  </w:t>
            </w:r>
            <w:r w:rsidRPr="00C0654D">
              <w:rPr>
                <w:sz w:val="22"/>
                <w:szCs w:val="22"/>
                <w:vertAlign w:val="superscript"/>
                <w:lang w:val="sr-Latn-ME" w:eastAsia="sr-Latn-CS"/>
              </w:rPr>
              <w:t>+</w:t>
            </w:r>
            <w:r w:rsidRPr="00C0654D">
              <w:rPr>
                <w:sz w:val="22"/>
                <w:szCs w:val="22"/>
                <w:lang w:val="sr-Latn-ME" w:eastAsia="sr-Latn-CS"/>
              </w:rPr>
              <w:t>neutropenijska groznica, trombocitopenija</w:t>
            </w:r>
          </w:p>
        </w:tc>
        <w:tc>
          <w:tcPr>
            <w:tcW w:w="2977" w:type="dxa"/>
          </w:tcPr>
          <w:p w14:paraId="547DC229" w14:textId="77777777"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 xml:space="preserve">depresija koštane srži, </w:t>
            </w:r>
            <w:r w:rsidRPr="00C0654D">
              <w:rPr>
                <w:sz w:val="22"/>
                <w:szCs w:val="22"/>
                <w:vertAlign w:val="superscript"/>
                <w:lang w:val="sr-Latn-ME" w:eastAsia="sr-Latn-CS"/>
              </w:rPr>
              <w:t>+</w:t>
            </w:r>
            <w:r w:rsidRPr="00C0654D">
              <w:rPr>
                <w:sz w:val="22"/>
                <w:szCs w:val="22"/>
                <w:lang w:val="sr-Latn-ME" w:eastAsia="sr-Latn-CS"/>
              </w:rPr>
              <w:t>febrilna neutropenija</w:t>
            </w:r>
          </w:p>
        </w:tc>
        <w:tc>
          <w:tcPr>
            <w:tcW w:w="2126" w:type="dxa"/>
          </w:tcPr>
          <w:p w14:paraId="778E7FA0" w14:textId="0BEC367E" w:rsidR="008B0AD6" w:rsidRPr="00C0654D" w:rsidRDefault="00E96481">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6D3B2F6C" w14:textId="77777777" w:rsidTr="00D85C58">
        <w:tc>
          <w:tcPr>
            <w:tcW w:w="1951" w:type="dxa"/>
          </w:tcPr>
          <w:p w14:paraId="45663293" w14:textId="6CE24096" w:rsidR="008B0AD6" w:rsidRPr="00C0654D" w:rsidRDefault="00EC71E8" w:rsidP="0066437B">
            <w:pPr>
              <w:autoSpaceDE w:val="0"/>
              <w:autoSpaceDN w:val="0"/>
              <w:adjustRightInd w:val="0"/>
              <w:rPr>
                <w:i/>
                <w:sz w:val="22"/>
                <w:szCs w:val="22"/>
                <w:lang w:val="sr-Latn-ME"/>
              </w:rPr>
            </w:pPr>
            <w:r w:rsidRPr="00EC71E8">
              <w:rPr>
                <w:i/>
                <w:sz w:val="22"/>
                <w:szCs w:val="22"/>
                <w:lang w:val="sr-Latn-ME"/>
              </w:rPr>
              <w:t xml:space="preserve">Poremećaji imunskog sistema </w:t>
            </w:r>
          </w:p>
        </w:tc>
        <w:tc>
          <w:tcPr>
            <w:tcW w:w="2268" w:type="dxa"/>
          </w:tcPr>
          <w:p w14:paraId="7CAF09AA"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2977" w:type="dxa"/>
          </w:tcPr>
          <w:p w14:paraId="6212BDE9" w14:textId="77777777" w:rsidR="008B0AD6" w:rsidRPr="00C0654D" w:rsidRDefault="008B0AD6" w:rsidP="00DF6F46">
            <w:pPr>
              <w:autoSpaceDE w:val="0"/>
              <w:autoSpaceDN w:val="0"/>
              <w:adjustRightInd w:val="0"/>
              <w:jc w:val="both"/>
              <w:rPr>
                <w:sz w:val="22"/>
                <w:szCs w:val="22"/>
                <w:lang w:val="sr-Latn-ME"/>
              </w:rPr>
            </w:pPr>
            <w:r w:rsidRPr="00C0654D">
              <w:rPr>
                <w:sz w:val="22"/>
                <w:szCs w:val="22"/>
                <w:lang w:val="sr-Latn-ME"/>
              </w:rPr>
              <w:t>preosjetljivost</w:t>
            </w:r>
          </w:p>
        </w:tc>
        <w:tc>
          <w:tcPr>
            <w:tcW w:w="2126" w:type="dxa"/>
          </w:tcPr>
          <w:p w14:paraId="040C76EE" w14:textId="36DF5B30" w:rsidR="008B0AD6" w:rsidRPr="00C0654D" w:rsidRDefault="008B0AD6" w:rsidP="00DF6F46">
            <w:pPr>
              <w:autoSpaceDE w:val="0"/>
              <w:autoSpaceDN w:val="0"/>
              <w:adjustRightInd w:val="0"/>
              <w:jc w:val="both"/>
              <w:rPr>
                <w:sz w:val="22"/>
                <w:szCs w:val="22"/>
                <w:lang w:val="sr-Latn-ME"/>
              </w:rPr>
            </w:pPr>
          </w:p>
        </w:tc>
      </w:tr>
      <w:tr w:rsidR="008B0AD6" w:rsidRPr="00C0654D" w14:paraId="50779CEA" w14:textId="77777777" w:rsidTr="00D85C58">
        <w:tc>
          <w:tcPr>
            <w:tcW w:w="1951" w:type="dxa"/>
          </w:tcPr>
          <w:p w14:paraId="12972D76" w14:textId="77777777" w:rsidR="008B0AD6" w:rsidRPr="00C0654D" w:rsidRDefault="008B0AD6" w:rsidP="0066437B">
            <w:pPr>
              <w:autoSpaceDE w:val="0"/>
              <w:autoSpaceDN w:val="0"/>
              <w:adjustRightInd w:val="0"/>
              <w:rPr>
                <w:i/>
                <w:sz w:val="22"/>
                <w:szCs w:val="22"/>
                <w:lang w:val="sr-Latn-ME"/>
              </w:rPr>
            </w:pPr>
            <w:r w:rsidRPr="00C0654D">
              <w:rPr>
                <w:i/>
                <w:sz w:val="22"/>
                <w:szCs w:val="22"/>
                <w:lang w:val="sr-Latn-ME"/>
              </w:rPr>
              <w:t>Poremećaji metabolizma i ishrane</w:t>
            </w:r>
          </w:p>
        </w:tc>
        <w:tc>
          <w:tcPr>
            <w:tcW w:w="2268" w:type="dxa"/>
          </w:tcPr>
          <w:p w14:paraId="4CB7B8A5"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smanjenje apetita</w:t>
            </w:r>
          </w:p>
        </w:tc>
        <w:tc>
          <w:tcPr>
            <w:tcW w:w="2977" w:type="dxa"/>
          </w:tcPr>
          <w:p w14:paraId="3F33754C"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hipokalijemija, hiponatrijemija,</w:t>
            </w:r>
          </w:p>
          <w:p w14:paraId="3427B8E8"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hipomagnezijemija, hipokalcijemija,</w:t>
            </w:r>
          </w:p>
          <w:p w14:paraId="72ED5D04" w14:textId="77777777" w:rsidR="008B0AD6" w:rsidRPr="00C0654D" w:rsidRDefault="008B0AD6">
            <w:pPr>
              <w:autoSpaceDE w:val="0"/>
              <w:autoSpaceDN w:val="0"/>
              <w:adjustRightInd w:val="0"/>
              <w:jc w:val="both"/>
              <w:rPr>
                <w:sz w:val="22"/>
                <w:szCs w:val="22"/>
                <w:lang w:val="sr-Latn-ME"/>
              </w:rPr>
            </w:pPr>
            <w:r w:rsidRPr="00C0654D">
              <w:rPr>
                <w:sz w:val="22"/>
                <w:szCs w:val="22"/>
                <w:lang w:val="sr-Latn-ME" w:eastAsia="sr-Latn-CS"/>
              </w:rPr>
              <w:t>hiperglikemija</w:t>
            </w:r>
          </w:p>
        </w:tc>
        <w:tc>
          <w:tcPr>
            <w:tcW w:w="2126" w:type="dxa"/>
          </w:tcPr>
          <w:p w14:paraId="17166043" w14:textId="31580089" w:rsidR="008B0AD6" w:rsidRPr="00C0654D" w:rsidRDefault="00E96481">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2441689E" w14:textId="77777777" w:rsidTr="00D85C58">
        <w:tc>
          <w:tcPr>
            <w:tcW w:w="1951" w:type="dxa"/>
          </w:tcPr>
          <w:p w14:paraId="17CBAE27" w14:textId="77777777" w:rsidR="008B0AD6" w:rsidRPr="00C0654D" w:rsidRDefault="008B0AD6" w:rsidP="0066437B">
            <w:pPr>
              <w:autoSpaceDE w:val="0"/>
              <w:autoSpaceDN w:val="0"/>
              <w:adjustRightInd w:val="0"/>
              <w:rPr>
                <w:i/>
                <w:sz w:val="22"/>
                <w:szCs w:val="22"/>
                <w:lang w:val="sr-Latn-ME"/>
              </w:rPr>
            </w:pPr>
            <w:r w:rsidRPr="00C0654D">
              <w:rPr>
                <w:i/>
                <w:sz w:val="22"/>
                <w:szCs w:val="22"/>
                <w:lang w:val="sr-Latn-ME"/>
              </w:rPr>
              <w:t>Psihijatrijski poremećaji</w:t>
            </w:r>
          </w:p>
        </w:tc>
        <w:tc>
          <w:tcPr>
            <w:tcW w:w="2268" w:type="dxa"/>
          </w:tcPr>
          <w:p w14:paraId="7BE4CC48"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2977" w:type="dxa"/>
          </w:tcPr>
          <w:p w14:paraId="137DD641" w14:textId="042539DD" w:rsidR="008B0AD6" w:rsidRPr="00C0654D" w:rsidRDefault="008B0AD6" w:rsidP="0066437B">
            <w:pPr>
              <w:autoSpaceDE w:val="0"/>
              <w:autoSpaceDN w:val="0"/>
              <w:adjustRightInd w:val="0"/>
              <w:rPr>
                <w:sz w:val="22"/>
                <w:szCs w:val="22"/>
                <w:lang w:val="sr-Latn-ME"/>
              </w:rPr>
            </w:pPr>
            <w:r w:rsidRPr="00C0654D">
              <w:rPr>
                <w:sz w:val="22"/>
                <w:szCs w:val="22"/>
                <w:lang w:val="sr-Latn-ME"/>
              </w:rPr>
              <w:t>poremećaj</w:t>
            </w:r>
            <w:r w:rsidR="00E96481">
              <w:rPr>
                <w:sz w:val="22"/>
                <w:szCs w:val="22"/>
                <w:lang w:val="sr-Latn-ME"/>
              </w:rPr>
              <w:t xml:space="preserve"> </w:t>
            </w:r>
            <w:r w:rsidRPr="00C0654D">
              <w:rPr>
                <w:sz w:val="22"/>
                <w:szCs w:val="22"/>
                <w:lang w:val="sr-Latn-ME"/>
              </w:rPr>
              <w:t>spavanja, anksioznost</w:t>
            </w:r>
          </w:p>
        </w:tc>
        <w:tc>
          <w:tcPr>
            <w:tcW w:w="2126" w:type="dxa"/>
          </w:tcPr>
          <w:p w14:paraId="5D9124E6" w14:textId="18194331" w:rsidR="008B0AD6" w:rsidRPr="00C0654D" w:rsidRDefault="00E96481" w:rsidP="00DF6F46">
            <w:pPr>
              <w:autoSpaceDE w:val="0"/>
              <w:autoSpaceDN w:val="0"/>
              <w:adjustRightInd w:val="0"/>
              <w:jc w:val="both"/>
              <w:rPr>
                <w:sz w:val="22"/>
                <w:szCs w:val="22"/>
                <w:lang w:val="sr-Latn-ME"/>
              </w:rPr>
            </w:pPr>
            <w:r>
              <w:rPr>
                <w:sz w:val="22"/>
                <w:szCs w:val="22"/>
                <w:lang w:val="sr-Latn-ME"/>
              </w:rPr>
              <w:t>-</w:t>
            </w:r>
          </w:p>
        </w:tc>
      </w:tr>
      <w:tr w:rsidR="008B0AD6" w:rsidRPr="00C0654D" w14:paraId="30D12660" w14:textId="77777777" w:rsidTr="00D85C58">
        <w:tc>
          <w:tcPr>
            <w:tcW w:w="1951" w:type="dxa"/>
          </w:tcPr>
          <w:p w14:paraId="7C573FCD" w14:textId="77777777" w:rsidR="008B0AD6" w:rsidRPr="00C0654D" w:rsidRDefault="008B0AD6" w:rsidP="0066437B">
            <w:pPr>
              <w:autoSpaceDE w:val="0"/>
              <w:autoSpaceDN w:val="0"/>
              <w:adjustRightInd w:val="0"/>
              <w:rPr>
                <w:i/>
                <w:sz w:val="22"/>
                <w:szCs w:val="22"/>
                <w:lang w:val="sr-Latn-ME"/>
              </w:rPr>
            </w:pPr>
            <w:r w:rsidRPr="00C0654D">
              <w:rPr>
                <w:i/>
                <w:sz w:val="22"/>
                <w:szCs w:val="22"/>
                <w:lang w:val="sr-Latn-ME"/>
              </w:rPr>
              <w:t>Poremećaji nervnog sistema</w:t>
            </w:r>
          </w:p>
        </w:tc>
        <w:tc>
          <w:tcPr>
            <w:tcW w:w="2268" w:type="dxa"/>
          </w:tcPr>
          <w:p w14:paraId="3A378379" w14:textId="77777777" w:rsidR="008B0AD6" w:rsidRPr="00C0654D" w:rsidRDefault="008B0AD6" w:rsidP="00DF6F46">
            <w:pPr>
              <w:autoSpaceDE w:val="0"/>
              <w:autoSpaceDN w:val="0"/>
              <w:adjustRightInd w:val="0"/>
              <w:rPr>
                <w:sz w:val="22"/>
                <w:szCs w:val="22"/>
                <w:lang w:val="sr-Latn-ME" w:eastAsia="sr-Latn-CS"/>
              </w:rPr>
            </w:pPr>
            <w:r w:rsidRPr="00C0654D">
              <w:rPr>
                <w:sz w:val="22"/>
                <w:szCs w:val="22"/>
                <w:lang w:val="sr-Latn-ME" w:eastAsia="sr-Latn-CS"/>
              </w:rPr>
              <w:t xml:space="preserve">parestezija, dizestezija, </w:t>
            </w:r>
          </w:p>
          <w:p w14:paraId="7EBB974A"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 xml:space="preserve">periferna neuropatija, </w:t>
            </w:r>
          </w:p>
          <w:p w14:paraId="7DA7E605"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periferna senzorna neuropatija,</w:t>
            </w:r>
          </w:p>
          <w:p w14:paraId="2D303CA3" w14:textId="77777777" w:rsidR="008B0AD6" w:rsidRPr="00C0654D" w:rsidRDefault="008B0AD6">
            <w:pPr>
              <w:autoSpaceDE w:val="0"/>
              <w:autoSpaceDN w:val="0"/>
              <w:adjustRightInd w:val="0"/>
              <w:rPr>
                <w:sz w:val="22"/>
                <w:szCs w:val="22"/>
                <w:lang w:val="sr-Latn-ME"/>
              </w:rPr>
            </w:pPr>
            <w:r w:rsidRPr="00C0654D">
              <w:rPr>
                <w:sz w:val="22"/>
                <w:szCs w:val="22"/>
                <w:lang w:val="sr-Latn-ME" w:eastAsia="sr-Latn-CS"/>
              </w:rPr>
              <w:t>disgeuzija, glavobolja</w:t>
            </w:r>
          </w:p>
        </w:tc>
        <w:tc>
          <w:tcPr>
            <w:tcW w:w="2977" w:type="dxa"/>
          </w:tcPr>
          <w:p w14:paraId="2E930591" w14:textId="23298E8E"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neurotoksi</w:t>
            </w:r>
            <w:r w:rsidRPr="00C0654D">
              <w:rPr>
                <w:rFonts w:eastAsia="TimesNewRoman"/>
                <w:sz w:val="22"/>
                <w:szCs w:val="22"/>
                <w:lang w:val="sr-Latn-ME" w:eastAsia="sr-Latn-CS"/>
              </w:rPr>
              <w:t>č</w:t>
            </w:r>
            <w:r w:rsidRPr="00C0654D">
              <w:rPr>
                <w:sz w:val="22"/>
                <w:szCs w:val="22"/>
                <w:lang w:val="sr-Latn-ME" w:eastAsia="sr-Latn-CS"/>
              </w:rPr>
              <w:t>nost,</w:t>
            </w:r>
            <w:r w:rsidR="00E96481">
              <w:rPr>
                <w:sz w:val="22"/>
                <w:szCs w:val="22"/>
                <w:lang w:val="sr-Latn-ME" w:eastAsia="sr-Latn-CS"/>
              </w:rPr>
              <w:t xml:space="preserve"> </w:t>
            </w:r>
            <w:r w:rsidRPr="00C0654D">
              <w:rPr>
                <w:sz w:val="22"/>
                <w:szCs w:val="22"/>
                <w:lang w:val="sr-Latn-ME" w:eastAsia="sr-Latn-CS"/>
              </w:rPr>
              <w:t xml:space="preserve">tremor, neuralgija, </w:t>
            </w:r>
          </w:p>
          <w:p w14:paraId="59496909" w14:textId="77777777" w:rsidR="008B0AD6" w:rsidRPr="00C0654D" w:rsidRDefault="008B0AD6">
            <w:pPr>
              <w:autoSpaceDE w:val="0"/>
              <w:autoSpaceDN w:val="0"/>
              <w:adjustRightInd w:val="0"/>
              <w:rPr>
                <w:sz w:val="22"/>
                <w:szCs w:val="22"/>
                <w:lang w:val="sr-Latn-ME"/>
              </w:rPr>
            </w:pPr>
            <w:r w:rsidRPr="00C0654D">
              <w:rPr>
                <w:sz w:val="22"/>
                <w:szCs w:val="22"/>
                <w:lang w:val="sr-Latn-ME" w:eastAsia="sr-Latn-CS"/>
              </w:rPr>
              <w:t>reakcija preosjetljivosti, hipoestezija</w:t>
            </w:r>
          </w:p>
        </w:tc>
        <w:tc>
          <w:tcPr>
            <w:tcW w:w="2126" w:type="dxa"/>
          </w:tcPr>
          <w:p w14:paraId="704F648B" w14:textId="1C3363DA" w:rsidR="008B0AD6" w:rsidRPr="00C0654D" w:rsidRDefault="00E96481" w:rsidP="00D85C5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0129FCA0" w14:textId="77777777" w:rsidTr="00D85C58">
        <w:tc>
          <w:tcPr>
            <w:tcW w:w="1951" w:type="dxa"/>
          </w:tcPr>
          <w:p w14:paraId="62BA10B5" w14:textId="5746366D" w:rsidR="008B0AD6" w:rsidRPr="00C0654D" w:rsidRDefault="008B0AD6" w:rsidP="0066437B">
            <w:pPr>
              <w:autoSpaceDE w:val="0"/>
              <w:autoSpaceDN w:val="0"/>
              <w:adjustRightInd w:val="0"/>
              <w:rPr>
                <w:i/>
                <w:sz w:val="22"/>
                <w:szCs w:val="22"/>
                <w:lang w:val="sr-Latn-ME"/>
              </w:rPr>
            </w:pPr>
            <w:r w:rsidRPr="00C0654D">
              <w:rPr>
                <w:i/>
                <w:sz w:val="22"/>
                <w:szCs w:val="22"/>
                <w:lang w:val="sr-Latn-ME"/>
              </w:rPr>
              <w:t>Poremećaji oka</w:t>
            </w:r>
          </w:p>
        </w:tc>
        <w:tc>
          <w:tcPr>
            <w:tcW w:w="2268" w:type="dxa"/>
          </w:tcPr>
          <w:p w14:paraId="171FD5CF"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eastAsia="sr-Latn-CS"/>
              </w:rPr>
              <w:t>poja</w:t>
            </w:r>
            <w:r w:rsidRPr="00C0654D">
              <w:rPr>
                <w:rFonts w:eastAsia="TimesNewRoman"/>
                <w:sz w:val="22"/>
                <w:szCs w:val="22"/>
                <w:lang w:val="sr-Latn-ME" w:eastAsia="sr-Latn-CS"/>
              </w:rPr>
              <w:t>č</w:t>
            </w:r>
            <w:r w:rsidRPr="00C0654D">
              <w:rPr>
                <w:sz w:val="22"/>
                <w:szCs w:val="22"/>
                <w:lang w:val="sr-Latn-ME" w:eastAsia="sr-Latn-CS"/>
              </w:rPr>
              <w:t>ano suzenje</w:t>
            </w:r>
          </w:p>
        </w:tc>
        <w:tc>
          <w:tcPr>
            <w:tcW w:w="2977" w:type="dxa"/>
          </w:tcPr>
          <w:p w14:paraId="3B5A28D0" w14:textId="77777777" w:rsidR="008B0AD6" w:rsidRPr="00C0654D" w:rsidRDefault="008B0AD6" w:rsidP="00DF6F46">
            <w:pPr>
              <w:autoSpaceDE w:val="0"/>
              <w:autoSpaceDN w:val="0"/>
              <w:adjustRightInd w:val="0"/>
              <w:rPr>
                <w:sz w:val="22"/>
                <w:szCs w:val="22"/>
                <w:lang w:val="sr-Latn-ME"/>
              </w:rPr>
            </w:pPr>
            <w:r w:rsidRPr="00C0654D">
              <w:rPr>
                <w:sz w:val="22"/>
                <w:szCs w:val="22"/>
                <w:lang w:val="sr-Latn-ME" w:eastAsia="sr-Latn-CS"/>
              </w:rPr>
              <w:t>poreme</w:t>
            </w:r>
            <w:r w:rsidRPr="00C0654D">
              <w:rPr>
                <w:rFonts w:eastAsia="TimesNewRoman"/>
                <w:sz w:val="22"/>
                <w:szCs w:val="22"/>
                <w:lang w:val="sr-Latn-ME" w:eastAsia="sr-Latn-CS"/>
              </w:rPr>
              <w:t>ć</w:t>
            </w:r>
            <w:r w:rsidRPr="00C0654D">
              <w:rPr>
                <w:sz w:val="22"/>
                <w:szCs w:val="22"/>
                <w:lang w:val="sr-Latn-ME" w:eastAsia="sr-Latn-CS"/>
              </w:rPr>
              <w:t>aji vida, suvo</w:t>
            </w:r>
            <w:r w:rsidRPr="00C0654D">
              <w:rPr>
                <w:rFonts w:eastAsia="TimesNewRoman"/>
                <w:sz w:val="22"/>
                <w:szCs w:val="22"/>
                <w:lang w:val="sr-Latn-ME" w:eastAsia="sr-Latn-CS"/>
              </w:rPr>
              <w:t>ć</w:t>
            </w:r>
            <w:r w:rsidRPr="00C0654D">
              <w:rPr>
                <w:sz w:val="22"/>
                <w:szCs w:val="22"/>
                <w:lang w:val="sr-Latn-ME" w:eastAsia="sr-Latn-CS"/>
              </w:rPr>
              <w:t>a oka, bol u oku, oštećenje vida, zamagljen vid</w:t>
            </w:r>
          </w:p>
        </w:tc>
        <w:tc>
          <w:tcPr>
            <w:tcW w:w="2126" w:type="dxa"/>
          </w:tcPr>
          <w:p w14:paraId="0CDC7966" w14:textId="569F4565" w:rsidR="008B0AD6" w:rsidRPr="00C0654D" w:rsidRDefault="00E96481" w:rsidP="00D85C5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34346756" w14:textId="77777777" w:rsidTr="00D85C58">
        <w:tc>
          <w:tcPr>
            <w:tcW w:w="1951" w:type="dxa"/>
          </w:tcPr>
          <w:p w14:paraId="42CD2CF0" w14:textId="661D6DEF" w:rsidR="008B0AD6" w:rsidRPr="00C0654D" w:rsidRDefault="008B0AD6" w:rsidP="0066437B">
            <w:pPr>
              <w:autoSpaceDE w:val="0"/>
              <w:autoSpaceDN w:val="0"/>
              <w:adjustRightInd w:val="0"/>
              <w:rPr>
                <w:i/>
                <w:sz w:val="22"/>
                <w:szCs w:val="22"/>
                <w:lang w:val="sr-Latn-ME"/>
              </w:rPr>
            </w:pPr>
            <w:r w:rsidRPr="00C0654D">
              <w:rPr>
                <w:i/>
                <w:sz w:val="22"/>
                <w:szCs w:val="22"/>
                <w:lang w:val="sr-Latn-ME"/>
              </w:rPr>
              <w:t>Poremećaji uha i labirinta</w:t>
            </w:r>
          </w:p>
        </w:tc>
        <w:tc>
          <w:tcPr>
            <w:tcW w:w="2268" w:type="dxa"/>
          </w:tcPr>
          <w:p w14:paraId="5441D079"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2977" w:type="dxa"/>
          </w:tcPr>
          <w:p w14:paraId="7BE79CBA"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tinitus, hipoakuzija</w:t>
            </w:r>
          </w:p>
        </w:tc>
        <w:tc>
          <w:tcPr>
            <w:tcW w:w="2126" w:type="dxa"/>
          </w:tcPr>
          <w:p w14:paraId="7F74858D" w14:textId="77777777" w:rsidR="008B0AD6" w:rsidRPr="00C0654D" w:rsidRDefault="008B0AD6">
            <w:pPr>
              <w:autoSpaceDE w:val="0"/>
              <w:autoSpaceDN w:val="0"/>
              <w:adjustRightInd w:val="0"/>
              <w:jc w:val="both"/>
              <w:rPr>
                <w:sz w:val="22"/>
                <w:szCs w:val="22"/>
                <w:lang w:val="sr-Latn-ME"/>
              </w:rPr>
            </w:pPr>
          </w:p>
        </w:tc>
      </w:tr>
      <w:tr w:rsidR="008B0AD6" w:rsidRPr="00C0654D" w14:paraId="548A1921" w14:textId="77777777" w:rsidTr="00D85C58">
        <w:tc>
          <w:tcPr>
            <w:tcW w:w="1951" w:type="dxa"/>
          </w:tcPr>
          <w:p w14:paraId="596D247C" w14:textId="77777777" w:rsidR="008B0AD6" w:rsidRPr="00C0654D" w:rsidRDefault="008B0AD6" w:rsidP="0066437B">
            <w:pPr>
              <w:autoSpaceDE w:val="0"/>
              <w:autoSpaceDN w:val="0"/>
              <w:adjustRightInd w:val="0"/>
              <w:rPr>
                <w:i/>
                <w:sz w:val="22"/>
                <w:szCs w:val="22"/>
                <w:lang w:val="sr-Latn-ME"/>
              </w:rPr>
            </w:pPr>
            <w:r w:rsidRPr="00C0654D">
              <w:rPr>
                <w:i/>
                <w:sz w:val="22"/>
                <w:szCs w:val="22"/>
                <w:lang w:val="sr-Latn-ME"/>
              </w:rPr>
              <w:t>Kardiološki poremećaji</w:t>
            </w:r>
          </w:p>
        </w:tc>
        <w:tc>
          <w:tcPr>
            <w:tcW w:w="2268" w:type="dxa"/>
          </w:tcPr>
          <w:p w14:paraId="4B1D8582" w14:textId="77777777" w:rsidR="008B0AD6" w:rsidRPr="00C0654D" w:rsidRDefault="008B0AD6" w:rsidP="00CA1BE0">
            <w:pPr>
              <w:autoSpaceDE w:val="0"/>
              <w:autoSpaceDN w:val="0"/>
              <w:adjustRightInd w:val="0"/>
              <w:jc w:val="both"/>
              <w:rPr>
                <w:sz w:val="22"/>
                <w:szCs w:val="22"/>
                <w:lang w:val="sr-Latn-ME"/>
              </w:rPr>
            </w:pPr>
            <w:r w:rsidRPr="00C0654D">
              <w:rPr>
                <w:sz w:val="22"/>
                <w:szCs w:val="22"/>
                <w:lang w:val="sr-Latn-ME"/>
              </w:rPr>
              <w:t>-</w:t>
            </w:r>
          </w:p>
        </w:tc>
        <w:tc>
          <w:tcPr>
            <w:tcW w:w="2977" w:type="dxa"/>
          </w:tcPr>
          <w:p w14:paraId="4697AB9C"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atrijalna fibrilacija, sr</w:t>
            </w:r>
            <w:r w:rsidRPr="00C0654D">
              <w:rPr>
                <w:rFonts w:eastAsia="TimesNewRoman"/>
                <w:sz w:val="22"/>
                <w:szCs w:val="22"/>
                <w:lang w:val="sr-Latn-ME" w:eastAsia="sr-Latn-CS"/>
              </w:rPr>
              <w:t>č</w:t>
            </w:r>
            <w:r w:rsidRPr="00C0654D">
              <w:rPr>
                <w:sz w:val="22"/>
                <w:szCs w:val="22"/>
                <w:lang w:val="sr-Latn-ME" w:eastAsia="sr-Latn-CS"/>
              </w:rPr>
              <w:t>ana ishemija/infarkt</w:t>
            </w:r>
          </w:p>
        </w:tc>
        <w:tc>
          <w:tcPr>
            <w:tcW w:w="2126" w:type="dxa"/>
          </w:tcPr>
          <w:p w14:paraId="439F6247" w14:textId="21BD3366" w:rsidR="008B0AD6" w:rsidRPr="00C0654D" w:rsidRDefault="00E96481" w:rsidP="00D85C5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1D4BFA28" w14:textId="77777777" w:rsidTr="00D85C58">
        <w:tc>
          <w:tcPr>
            <w:tcW w:w="1951" w:type="dxa"/>
          </w:tcPr>
          <w:p w14:paraId="50F2F0F0" w14:textId="77777777" w:rsidR="008B0AD6" w:rsidRPr="00C0654D" w:rsidRDefault="008B0AD6" w:rsidP="0066437B">
            <w:pPr>
              <w:autoSpaceDE w:val="0"/>
              <w:autoSpaceDN w:val="0"/>
              <w:adjustRightInd w:val="0"/>
              <w:rPr>
                <w:i/>
                <w:sz w:val="22"/>
                <w:szCs w:val="22"/>
                <w:lang w:val="sr-Latn-ME"/>
              </w:rPr>
            </w:pPr>
            <w:r w:rsidRPr="00C0654D">
              <w:rPr>
                <w:i/>
                <w:sz w:val="22"/>
                <w:szCs w:val="22"/>
                <w:lang w:val="sr-Latn-ME"/>
              </w:rPr>
              <w:t>Vaskularni poremećaji</w:t>
            </w:r>
          </w:p>
        </w:tc>
        <w:tc>
          <w:tcPr>
            <w:tcW w:w="2268" w:type="dxa"/>
          </w:tcPr>
          <w:p w14:paraId="1311FAE3" w14:textId="77777777" w:rsidR="008B0AD6" w:rsidRPr="00C0654D" w:rsidRDefault="008B0AD6" w:rsidP="00DF6F46">
            <w:pPr>
              <w:autoSpaceDE w:val="0"/>
              <w:autoSpaceDN w:val="0"/>
              <w:adjustRightInd w:val="0"/>
              <w:rPr>
                <w:sz w:val="22"/>
                <w:szCs w:val="22"/>
                <w:lang w:val="sr-Latn-ME" w:eastAsia="sr-Latn-CS"/>
              </w:rPr>
            </w:pPr>
            <w:r w:rsidRPr="00C0654D">
              <w:rPr>
                <w:sz w:val="22"/>
                <w:szCs w:val="22"/>
                <w:lang w:val="sr-Latn-ME" w:eastAsia="sr-Latn-CS"/>
              </w:rPr>
              <w:t>edem donjih ekstremiteta,</w:t>
            </w:r>
          </w:p>
          <w:p w14:paraId="33D285D2"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eastAsia="sr-Latn-CS"/>
              </w:rPr>
              <w:t xml:space="preserve">hipertenzija,  </w:t>
            </w:r>
            <w:r w:rsidRPr="00C0654D">
              <w:rPr>
                <w:sz w:val="22"/>
                <w:szCs w:val="22"/>
                <w:vertAlign w:val="superscript"/>
                <w:lang w:val="sr-Latn-ME" w:eastAsia="sr-Latn-CS"/>
              </w:rPr>
              <w:t>+</w:t>
            </w:r>
            <w:r w:rsidRPr="00C0654D">
              <w:rPr>
                <w:sz w:val="22"/>
                <w:szCs w:val="22"/>
                <w:lang w:val="sr-Latn-ME" w:eastAsia="sr-Latn-CS"/>
              </w:rPr>
              <w:t>embolija i tromboza</w:t>
            </w:r>
          </w:p>
        </w:tc>
        <w:tc>
          <w:tcPr>
            <w:tcW w:w="2977" w:type="dxa"/>
          </w:tcPr>
          <w:p w14:paraId="2E649B56" w14:textId="77777777" w:rsidR="008B0AD6" w:rsidRPr="00C0654D" w:rsidRDefault="008B0AD6">
            <w:pPr>
              <w:autoSpaceDE w:val="0"/>
              <w:autoSpaceDN w:val="0"/>
              <w:adjustRightInd w:val="0"/>
              <w:rPr>
                <w:sz w:val="22"/>
                <w:szCs w:val="22"/>
                <w:lang w:val="sr-Latn-ME"/>
              </w:rPr>
            </w:pPr>
            <w:r w:rsidRPr="00C0654D">
              <w:rPr>
                <w:sz w:val="22"/>
                <w:szCs w:val="22"/>
                <w:lang w:val="sr-Latn-ME" w:eastAsia="sr-Latn-CS"/>
              </w:rPr>
              <w:t>crvenilo, hipotenzija, hipertenzivna kriza, naleti vrućine, flebitis</w:t>
            </w:r>
          </w:p>
        </w:tc>
        <w:tc>
          <w:tcPr>
            <w:tcW w:w="2126" w:type="dxa"/>
          </w:tcPr>
          <w:p w14:paraId="64A8081C" w14:textId="0EEA9520" w:rsidR="008B0AD6" w:rsidRPr="00C0654D" w:rsidRDefault="00E96481" w:rsidP="00D85C5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54B4D934" w14:textId="77777777" w:rsidTr="00D85C58">
        <w:tc>
          <w:tcPr>
            <w:tcW w:w="1951" w:type="dxa"/>
          </w:tcPr>
          <w:p w14:paraId="06C89E29" w14:textId="77777777" w:rsidR="008B0AD6" w:rsidRPr="00C0654D" w:rsidRDefault="008B0AD6" w:rsidP="0066437B">
            <w:pPr>
              <w:autoSpaceDE w:val="0"/>
              <w:autoSpaceDN w:val="0"/>
              <w:adjustRightInd w:val="0"/>
              <w:jc w:val="both"/>
              <w:rPr>
                <w:i/>
                <w:sz w:val="22"/>
                <w:szCs w:val="22"/>
                <w:lang w:val="sr-Latn-ME"/>
              </w:rPr>
            </w:pPr>
            <w:r w:rsidRPr="00C0654D">
              <w:rPr>
                <w:i/>
                <w:sz w:val="22"/>
                <w:szCs w:val="22"/>
                <w:lang w:val="sr-Latn-ME"/>
              </w:rPr>
              <w:t>Respiratorni, torakalni i medijastinalni poremećaji</w:t>
            </w:r>
          </w:p>
        </w:tc>
        <w:tc>
          <w:tcPr>
            <w:tcW w:w="2268" w:type="dxa"/>
          </w:tcPr>
          <w:p w14:paraId="59684543" w14:textId="77777777" w:rsidR="008B0AD6" w:rsidRPr="00C0654D" w:rsidRDefault="008B0AD6" w:rsidP="00DF6F46">
            <w:pPr>
              <w:autoSpaceDE w:val="0"/>
              <w:autoSpaceDN w:val="0"/>
              <w:adjustRightInd w:val="0"/>
              <w:rPr>
                <w:sz w:val="22"/>
                <w:szCs w:val="22"/>
                <w:lang w:val="sr-Latn-ME"/>
              </w:rPr>
            </w:pPr>
            <w:r w:rsidRPr="00C0654D">
              <w:rPr>
                <w:sz w:val="22"/>
                <w:szCs w:val="22"/>
                <w:lang w:val="sr-Latn-ME"/>
              </w:rPr>
              <w:t>bolovi u grlu, dizestezija ždrijela</w:t>
            </w:r>
          </w:p>
        </w:tc>
        <w:tc>
          <w:tcPr>
            <w:tcW w:w="2977" w:type="dxa"/>
          </w:tcPr>
          <w:p w14:paraId="1036084A" w14:textId="77777777" w:rsidR="008B0AD6" w:rsidRPr="00C0654D" w:rsidRDefault="008B0AD6">
            <w:pPr>
              <w:autoSpaceDE w:val="0"/>
              <w:autoSpaceDN w:val="0"/>
              <w:adjustRightInd w:val="0"/>
              <w:rPr>
                <w:sz w:val="22"/>
                <w:szCs w:val="22"/>
                <w:lang w:val="sr-Latn-ME" w:eastAsia="sr-Latn-CS"/>
              </w:rPr>
            </w:pPr>
            <w:r w:rsidRPr="00C0654D">
              <w:rPr>
                <w:sz w:val="22"/>
                <w:szCs w:val="22"/>
                <w:lang w:val="sr-Latn-ME"/>
              </w:rPr>
              <w:t xml:space="preserve">štucanje, </w:t>
            </w:r>
            <w:r w:rsidRPr="00C0654D">
              <w:rPr>
                <w:sz w:val="22"/>
                <w:szCs w:val="22"/>
                <w:lang w:val="sr-Latn-ME" w:eastAsia="sr-Latn-CS"/>
              </w:rPr>
              <w:t xml:space="preserve">faringolaringealni bol, </w:t>
            </w:r>
          </w:p>
          <w:p w14:paraId="03E8B669" w14:textId="77777777" w:rsidR="008B0AD6" w:rsidRPr="00C0654D" w:rsidRDefault="008B0AD6">
            <w:pPr>
              <w:autoSpaceDE w:val="0"/>
              <w:autoSpaceDN w:val="0"/>
              <w:adjustRightInd w:val="0"/>
              <w:rPr>
                <w:sz w:val="22"/>
                <w:szCs w:val="22"/>
                <w:lang w:val="sr-Latn-ME"/>
              </w:rPr>
            </w:pPr>
            <w:r w:rsidRPr="00C0654D">
              <w:rPr>
                <w:sz w:val="22"/>
                <w:szCs w:val="22"/>
                <w:lang w:val="sr-Latn-ME" w:eastAsia="sr-Latn-CS"/>
              </w:rPr>
              <w:t>disfonija</w:t>
            </w:r>
          </w:p>
        </w:tc>
        <w:tc>
          <w:tcPr>
            <w:tcW w:w="2126" w:type="dxa"/>
          </w:tcPr>
          <w:p w14:paraId="11AA7E1D" w14:textId="6EE0B4E7" w:rsidR="008B0AD6" w:rsidRPr="00C0654D" w:rsidRDefault="00E96481" w:rsidP="00D85C58">
            <w:pPr>
              <w:autoSpaceDE w:val="0"/>
              <w:autoSpaceDN w:val="0"/>
              <w:adjustRightInd w:val="0"/>
              <w:jc w:val="both"/>
              <w:rPr>
                <w:sz w:val="22"/>
                <w:szCs w:val="22"/>
                <w:lang w:val="sr-Latn-ME"/>
              </w:rPr>
            </w:pPr>
            <w:r>
              <w:rPr>
                <w:sz w:val="22"/>
                <w:szCs w:val="22"/>
                <w:lang w:val="sr-Latn-ME"/>
              </w:rPr>
              <w:t>-</w:t>
            </w:r>
          </w:p>
        </w:tc>
      </w:tr>
      <w:tr w:rsidR="008B0AD6" w:rsidRPr="00C0654D" w14:paraId="5FEA750B" w14:textId="77777777" w:rsidTr="00D85C58">
        <w:tc>
          <w:tcPr>
            <w:tcW w:w="1951" w:type="dxa"/>
          </w:tcPr>
          <w:p w14:paraId="38FD8259" w14:textId="77777777" w:rsidR="008B0AD6" w:rsidRPr="00C0654D" w:rsidRDefault="008B0AD6" w:rsidP="00BA7E76">
            <w:pPr>
              <w:autoSpaceDE w:val="0"/>
              <w:autoSpaceDN w:val="0"/>
              <w:adjustRightInd w:val="0"/>
              <w:jc w:val="both"/>
              <w:rPr>
                <w:i/>
                <w:sz w:val="22"/>
                <w:szCs w:val="22"/>
                <w:lang w:val="sr-Latn-ME"/>
              </w:rPr>
            </w:pPr>
            <w:r w:rsidRPr="00C0654D">
              <w:rPr>
                <w:i/>
                <w:sz w:val="22"/>
                <w:szCs w:val="22"/>
                <w:lang w:val="sr-Latn-ME"/>
              </w:rPr>
              <w:t>Gastrointestinalni poremećaji</w:t>
            </w:r>
          </w:p>
        </w:tc>
        <w:tc>
          <w:tcPr>
            <w:tcW w:w="2268" w:type="dxa"/>
          </w:tcPr>
          <w:p w14:paraId="707E5DBB"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opstipacija, dispepsija</w:t>
            </w:r>
          </w:p>
        </w:tc>
        <w:tc>
          <w:tcPr>
            <w:tcW w:w="2977" w:type="dxa"/>
          </w:tcPr>
          <w:p w14:paraId="3ADEC120"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hemoragija u gornjem dijelu</w:t>
            </w:r>
          </w:p>
          <w:p w14:paraId="0EA3BB93"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gastrointestinalnog trakta,</w:t>
            </w:r>
          </w:p>
          <w:p w14:paraId="3A5FACCD"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 xml:space="preserve">ulceracija usta, gastritis, </w:t>
            </w:r>
          </w:p>
          <w:p w14:paraId="0375095F"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lastRenderedPageBreak/>
              <w:t xml:space="preserve">abdominalna distenzija, gastroezofagealni refluks, </w:t>
            </w:r>
          </w:p>
          <w:p w14:paraId="3BF52D45"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 xml:space="preserve">bol u ustima, disfagija, </w:t>
            </w:r>
          </w:p>
          <w:p w14:paraId="482FA7A8" w14:textId="3CCE652D"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rektalna hemoragija,  bol u donjem</w:t>
            </w:r>
            <w:r w:rsidR="000D3B8C">
              <w:rPr>
                <w:sz w:val="22"/>
                <w:szCs w:val="22"/>
                <w:lang w:val="sr-Latn-ME" w:eastAsia="sr-Latn-CS"/>
              </w:rPr>
              <w:t xml:space="preserve"> </w:t>
            </w:r>
            <w:r w:rsidRPr="00C0654D">
              <w:rPr>
                <w:sz w:val="22"/>
                <w:szCs w:val="22"/>
                <w:lang w:val="sr-Latn-ME" w:eastAsia="sr-Latn-CS"/>
              </w:rPr>
              <w:t>dijelu abdomena, oralna dizestezija,</w:t>
            </w:r>
            <w:r w:rsidR="000D3B8C">
              <w:rPr>
                <w:sz w:val="22"/>
                <w:szCs w:val="22"/>
                <w:lang w:val="sr-Latn-ME" w:eastAsia="sr-Latn-CS"/>
              </w:rPr>
              <w:t xml:space="preserve"> </w:t>
            </w:r>
            <w:r w:rsidRPr="00C0654D">
              <w:rPr>
                <w:sz w:val="22"/>
                <w:szCs w:val="22"/>
                <w:lang w:val="sr-Latn-ME" w:eastAsia="sr-Latn-CS"/>
              </w:rPr>
              <w:t>oralna parestezija, oralna hipoestezija,</w:t>
            </w:r>
          </w:p>
          <w:p w14:paraId="673FB53D" w14:textId="77777777" w:rsidR="008B0AD6" w:rsidRPr="00C0654D" w:rsidRDefault="008B0AD6" w:rsidP="0066437B">
            <w:pPr>
              <w:autoSpaceDE w:val="0"/>
              <w:autoSpaceDN w:val="0"/>
              <w:adjustRightInd w:val="0"/>
              <w:jc w:val="both"/>
              <w:rPr>
                <w:sz w:val="22"/>
                <w:szCs w:val="22"/>
                <w:lang w:val="sr-Latn-ME"/>
              </w:rPr>
            </w:pPr>
            <w:r w:rsidRPr="00C0654D">
              <w:rPr>
                <w:sz w:val="22"/>
                <w:szCs w:val="22"/>
                <w:lang w:val="sr-Latn-ME" w:eastAsia="sr-Latn-CS"/>
              </w:rPr>
              <w:t>osjećaj nelagodnosti u abdomenu</w:t>
            </w:r>
          </w:p>
        </w:tc>
        <w:tc>
          <w:tcPr>
            <w:tcW w:w="2126" w:type="dxa"/>
          </w:tcPr>
          <w:p w14:paraId="1218E3DE" w14:textId="3D88E439" w:rsidR="008B0AD6" w:rsidRPr="00C0654D" w:rsidRDefault="00E96481" w:rsidP="00D85C58">
            <w:pPr>
              <w:autoSpaceDE w:val="0"/>
              <w:autoSpaceDN w:val="0"/>
              <w:adjustRightInd w:val="0"/>
              <w:jc w:val="both"/>
              <w:rPr>
                <w:sz w:val="22"/>
                <w:szCs w:val="22"/>
                <w:lang w:val="sr-Latn-ME" w:eastAsia="sr-Latn-CS"/>
              </w:rPr>
            </w:pPr>
            <w:r>
              <w:rPr>
                <w:sz w:val="22"/>
                <w:szCs w:val="22"/>
                <w:lang w:val="sr-Latn-ME" w:eastAsia="sr-Latn-CS"/>
              </w:rPr>
              <w:lastRenderedPageBreak/>
              <w:t>-</w:t>
            </w:r>
          </w:p>
        </w:tc>
      </w:tr>
      <w:tr w:rsidR="008B0AD6" w:rsidRPr="00C0654D" w14:paraId="524EFB63" w14:textId="77777777" w:rsidTr="00D85C58">
        <w:tc>
          <w:tcPr>
            <w:tcW w:w="1951" w:type="dxa"/>
          </w:tcPr>
          <w:p w14:paraId="40990615" w14:textId="77777777" w:rsidR="008B0AD6" w:rsidRPr="00C0654D" w:rsidRDefault="008B0AD6" w:rsidP="00BA7E76">
            <w:pPr>
              <w:autoSpaceDE w:val="0"/>
              <w:autoSpaceDN w:val="0"/>
              <w:adjustRightInd w:val="0"/>
              <w:jc w:val="both"/>
              <w:rPr>
                <w:i/>
                <w:sz w:val="22"/>
                <w:szCs w:val="22"/>
                <w:lang w:val="sr-Latn-ME"/>
              </w:rPr>
            </w:pPr>
            <w:r w:rsidRPr="00C0654D">
              <w:rPr>
                <w:i/>
                <w:sz w:val="22"/>
                <w:szCs w:val="22"/>
                <w:lang w:val="sr-Latn-ME"/>
              </w:rPr>
              <w:t>Hepatobilijarni poremećaji</w:t>
            </w:r>
          </w:p>
        </w:tc>
        <w:tc>
          <w:tcPr>
            <w:tcW w:w="2268" w:type="dxa"/>
          </w:tcPr>
          <w:p w14:paraId="498B1A5C" w14:textId="77777777" w:rsidR="008B0AD6" w:rsidRPr="00C0654D" w:rsidRDefault="008B0AD6">
            <w:pPr>
              <w:autoSpaceDE w:val="0"/>
              <w:autoSpaceDN w:val="0"/>
              <w:adjustRightInd w:val="0"/>
              <w:jc w:val="both"/>
              <w:rPr>
                <w:sz w:val="22"/>
                <w:szCs w:val="22"/>
                <w:lang w:val="sr-Latn-ME"/>
              </w:rPr>
            </w:pPr>
            <w:r w:rsidRPr="00C0654D">
              <w:rPr>
                <w:sz w:val="22"/>
                <w:szCs w:val="22"/>
                <w:lang w:val="sr-Latn-ME"/>
              </w:rPr>
              <w:t>-</w:t>
            </w:r>
          </w:p>
        </w:tc>
        <w:tc>
          <w:tcPr>
            <w:tcW w:w="2977" w:type="dxa"/>
          </w:tcPr>
          <w:p w14:paraId="787F273E"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poremećaj funkcije jetre</w:t>
            </w:r>
          </w:p>
        </w:tc>
        <w:tc>
          <w:tcPr>
            <w:tcW w:w="2126" w:type="dxa"/>
          </w:tcPr>
          <w:p w14:paraId="41115DF9" w14:textId="47A84489" w:rsidR="008B0AD6" w:rsidRPr="00C0654D" w:rsidRDefault="00E96481">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3E739B59" w14:textId="77777777" w:rsidTr="00D85C58">
        <w:tc>
          <w:tcPr>
            <w:tcW w:w="1951" w:type="dxa"/>
          </w:tcPr>
          <w:p w14:paraId="3B0EEE51" w14:textId="350C0D15" w:rsidR="008B0AD6" w:rsidRPr="00C0654D" w:rsidRDefault="008B0AD6" w:rsidP="0066437B">
            <w:pPr>
              <w:autoSpaceDE w:val="0"/>
              <w:autoSpaceDN w:val="0"/>
              <w:adjustRightInd w:val="0"/>
              <w:jc w:val="both"/>
              <w:rPr>
                <w:i/>
                <w:sz w:val="22"/>
                <w:szCs w:val="22"/>
                <w:lang w:val="sr-Latn-ME"/>
              </w:rPr>
            </w:pPr>
            <w:r w:rsidRPr="00C0654D">
              <w:rPr>
                <w:i/>
                <w:sz w:val="22"/>
                <w:szCs w:val="22"/>
                <w:lang w:val="sr-Latn-ME"/>
              </w:rPr>
              <w:t>Poremećaji kože i potkožnog tkiva</w:t>
            </w:r>
          </w:p>
        </w:tc>
        <w:tc>
          <w:tcPr>
            <w:tcW w:w="2268" w:type="dxa"/>
          </w:tcPr>
          <w:p w14:paraId="46D95BBD" w14:textId="77777777" w:rsidR="008B0AD6" w:rsidRPr="00C0654D" w:rsidRDefault="008B0AD6" w:rsidP="0066437B">
            <w:pPr>
              <w:autoSpaceDE w:val="0"/>
              <w:autoSpaceDN w:val="0"/>
              <w:adjustRightInd w:val="0"/>
              <w:jc w:val="both"/>
              <w:rPr>
                <w:sz w:val="22"/>
                <w:szCs w:val="22"/>
                <w:lang w:val="sr-Latn-ME"/>
              </w:rPr>
            </w:pPr>
            <w:r w:rsidRPr="00C0654D">
              <w:rPr>
                <w:sz w:val="22"/>
                <w:szCs w:val="22"/>
                <w:lang w:val="sr-Latn-ME"/>
              </w:rPr>
              <w:t>alopecija, poremećaj noktiju</w:t>
            </w:r>
          </w:p>
        </w:tc>
        <w:tc>
          <w:tcPr>
            <w:tcW w:w="2977" w:type="dxa"/>
          </w:tcPr>
          <w:p w14:paraId="12075F99" w14:textId="642FA5E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hiperhidroza, eritematozni osip, urtikarija, noćno znojenje</w:t>
            </w:r>
          </w:p>
        </w:tc>
        <w:tc>
          <w:tcPr>
            <w:tcW w:w="2126" w:type="dxa"/>
          </w:tcPr>
          <w:p w14:paraId="3FEB3C43" w14:textId="1D5A0FD7" w:rsidR="008B0AD6" w:rsidRPr="00C0654D" w:rsidRDefault="00E96481" w:rsidP="00D85C5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4EEE4200" w14:textId="77777777" w:rsidTr="00D85C58">
        <w:tc>
          <w:tcPr>
            <w:tcW w:w="1951" w:type="dxa"/>
          </w:tcPr>
          <w:p w14:paraId="741B8A55" w14:textId="6BBB2D0D" w:rsidR="008B0AD6" w:rsidRPr="00C0654D" w:rsidRDefault="00E211FC" w:rsidP="0066437B">
            <w:pPr>
              <w:autoSpaceDE w:val="0"/>
              <w:autoSpaceDN w:val="0"/>
              <w:adjustRightInd w:val="0"/>
              <w:jc w:val="both"/>
              <w:rPr>
                <w:i/>
                <w:sz w:val="22"/>
                <w:szCs w:val="22"/>
                <w:lang w:val="sr-Latn-ME"/>
              </w:rPr>
            </w:pPr>
            <w:r w:rsidRPr="00E211FC">
              <w:rPr>
                <w:i/>
                <w:sz w:val="22"/>
                <w:szCs w:val="22"/>
                <w:lang w:val="sr-Latn-ME"/>
              </w:rPr>
              <w:t>Poremećaji mišićno-koštanog sistema i vezivnog tkiva</w:t>
            </w:r>
          </w:p>
        </w:tc>
        <w:tc>
          <w:tcPr>
            <w:tcW w:w="2268" w:type="dxa"/>
          </w:tcPr>
          <w:p w14:paraId="5F96D963" w14:textId="77777777" w:rsidR="008B0AD6" w:rsidRPr="00C0654D" w:rsidRDefault="008B0AD6" w:rsidP="00BA7E76">
            <w:pPr>
              <w:autoSpaceDE w:val="0"/>
              <w:autoSpaceDN w:val="0"/>
              <w:adjustRightInd w:val="0"/>
              <w:jc w:val="both"/>
              <w:rPr>
                <w:sz w:val="22"/>
                <w:szCs w:val="22"/>
                <w:lang w:val="sr-Latn-ME" w:eastAsia="sr-Latn-CS"/>
              </w:rPr>
            </w:pPr>
            <w:r w:rsidRPr="00C0654D">
              <w:rPr>
                <w:sz w:val="22"/>
                <w:szCs w:val="22"/>
                <w:lang w:val="sr-Latn-ME" w:eastAsia="sr-Latn-CS"/>
              </w:rPr>
              <w:t>mialgija, artralgija, bol u ekstremitetima</w:t>
            </w:r>
          </w:p>
        </w:tc>
        <w:tc>
          <w:tcPr>
            <w:tcW w:w="2977" w:type="dxa"/>
          </w:tcPr>
          <w:p w14:paraId="391E8435"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bol u vilici, gr</w:t>
            </w:r>
            <w:r w:rsidRPr="00C0654D">
              <w:rPr>
                <w:rFonts w:eastAsia="TimesNewRoman"/>
                <w:sz w:val="22"/>
                <w:szCs w:val="22"/>
                <w:lang w:val="sr-Latn-ME" w:eastAsia="sr-Latn-CS"/>
              </w:rPr>
              <w:t>č</w:t>
            </w:r>
            <w:r w:rsidRPr="00C0654D">
              <w:rPr>
                <w:sz w:val="22"/>
                <w:szCs w:val="22"/>
                <w:lang w:val="sr-Latn-ME" w:eastAsia="sr-Latn-CS"/>
              </w:rPr>
              <w:t>evi u miši</w:t>
            </w:r>
            <w:r w:rsidRPr="00C0654D">
              <w:rPr>
                <w:rFonts w:eastAsia="TimesNewRoman"/>
                <w:sz w:val="22"/>
                <w:szCs w:val="22"/>
                <w:lang w:val="sr-Latn-ME" w:eastAsia="sr-Latn-CS"/>
              </w:rPr>
              <w:t>ć</w:t>
            </w:r>
            <w:r w:rsidRPr="00C0654D">
              <w:rPr>
                <w:sz w:val="22"/>
                <w:szCs w:val="22"/>
                <w:lang w:val="sr-Latn-ME" w:eastAsia="sr-Latn-CS"/>
              </w:rPr>
              <w:t xml:space="preserve">ima, </w:t>
            </w:r>
          </w:p>
          <w:p w14:paraId="62C2A58A"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trizmus, slabost miši</w:t>
            </w:r>
            <w:r w:rsidRPr="00C0654D">
              <w:rPr>
                <w:rFonts w:eastAsia="TimesNewRoman"/>
                <w:sz w:val="22"/>
                <w:szCs w:val="22"/>
                <w:lang w:val="sr-Latn-ME" w:eastAsia="sr-Latn-CS"/>
              </w:rPr>
              <w:t>ć</w:t>
            </w:r>
            <w:r w:rsidRPr="00C0654D">
              <w:rPr>
                <w:sz w:val="22"/>
                <w:szCs w:val="22"/>
                <w:lang w:val="sr-Latn-ME" w:eastAsia="sr-Latn-CS"/>
              </w:rPr>
              <w:t>a</w:t>
            </w:r>
          </w:p>
        </w:tc>
        <w:tc>
          <w:tcPr>
            <w:tcW w:w="2126" w:type="dxa"/>
          </w:tcPr>
          <w:p w14:paraId="6055997D" w14:textId="53704338" w:rsidR="008B0AD6" w:rsidRPr="00C0654D" w:rsidRDefault="006E16D5" w:rsidP="00DF6F46">
            <w:pPr>
              <w:autoSpaceDE w:val="0"/>
              <w:autoSpaceDN w:val="0"/>
              <w:adjustRightInd w:val="0"/>
              <w:jc w:val="both"/>
              <w:rPr>
                <w:sz w:val="22"/>
                <w:szCs w:val="22"/>
                <w:lang w:val="sr-Latn-ME" w:eastAsia="sr-Latn-CS"/>
              </w:rPr>
            </w:pPr>
            <w:r>
              <w:rPr>
                <w:sz w:val="22"/>
                <w:szCs w:val="22"/>
                <w:lang w:val="sr-Latn-ME" w:eastAsia="sr-Latn-CS"/>
              </w:rPr>
              <w:t>-</w:t>
            </w:r>
          </w:p>
        </w:tc>
      </w:tr>
      <w:tr w:rsidR="008B0AD6" w:rsidRPr="006E16D5" w14:paraId="7503CB77" w14:textId="77777777" w:rsidTr="00D85C58">
        <w:tc>
          <w:tcPr>
            <w:tcW w:w="1951" w:type="dxa"/>
          </w:tcPr>
          <w:p w14:paraId="2566E1ED" w14:textId="26EC07B0" w:rsidR="008B0AD6" w:rsidRPr="00C0654D" w:rsidRDefault="008B0AD6" w:rsidP="0066437B">
            <w:pPr>
              <w:autoSpaceDE w:val="0"/>
              <w:autoSpaceDN w:val="0"/>
              <w:adjustRightInd w:val="0"/>
              <w:jc w:val="both"/>
              <w:rPr>
                <w:i/>
                <w:sz w:val="22"/>
                <w:szCs w:val="22"/>
                <w:highlight w:val="yellow"/>
                <w:lang w:val="sr-Latn-ME"/>
              </w:rPr>
            </w:pPr>
            <w:r w:rsidRPr="00C0654D">
              <w:rPr>
                <w:i/>
                <w:sz w:val="22"/>
                <w:szCs w:val="22"/>
                <w:lang w:val="sr-Latn-ME"/>
              </w:rPr>
              <w:t>Poremećaji bubrega i urinarnog sistema</w:t>
            </w:r>
          </w:p>
        </w:tc>
        <w:tc>
          <w:tcPr>
            <w:tcW w:w="2268" w:type="dxa"/>
          </w:tcPr>
          <w:p w14:paraId="76F61876" w14:textId="77777777" w:rsidR="008B0AD6" w:rsidRPr="00C0654D" w:rsidRDefault="008B0AD6" w:rsidP="00BA7E76">
            <w:pPr>
              <w:autoSpaceDE w:val="0"/>
              <w:autoSpaceDN w:val="0"/>
              <w:adjustRightInd w:val="0"/>
              <w:jc w:val="both"/>
              <w:rPr>
                <w:sz w:val="22"/>
                <w:szCs w:val="22"/>
                <w:lang w:val="sr-Latn-ME" w:eastAsia="sr-Latn-CS"/>
              </w:rPr>
            </w:pPr>
            <w:r w:rsidRPr="00C0654D">
              <w:rPr>
                <w:sz w:val="22"/>
                <w:szCs w:val="22"/>
                <w:lang w:val="sr-Latn-ME" w:eastAsia="sr-Latn-CS"/>
              </w:rPr>
              <w:t>-</w:t>
            </w:r>
          </w:p>
        </w:tc>
        <w:tc>
          <w:tcPr>
            <w:tcW w:w="2977" w:type="dxa"/>
          </w:tcPr>
          <w:p w14:paraId="5A155F20"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hematurija, proteinurija, smanjenje renalnog klirensa kreatinina, disurija</w:t>
            </w:r>
          </w:p>
        </w:tc>
        <w:tc>
          <w:tcPr>
            <w:tcW w:w="2126" w:type="dxa"/>
          </w:tcPr>
          <w:p w14:paraId="00EF3D00" w14:textId="77777777" w:rsidR="008B0AD6" w:rsidRPr="00C0654D" w:rsidRDefault="008B0AD6" w:rsidP="00DF6F46">
            <w:pPr>
              <w:autoSpaceDE w:val="0"/>
              <w:autoSpaceDN w:val="0"/>
              <w:adjustRightInd w:val="0"/>
              <w:rPr>
                <w:sz w:val="22"/>
                <w:szCs w:val="22"/>
                <w:lang w:val="sr-Latn-ME" w:eastAsia="sr-Latn-CS"/>
              </w:rPr>
            </w:pPr>
            <w:r w:rsidRPr="00C0654D">
              <w:rPr>
                <w:sz w:val="22"/>
                <w:szCs w:val="22"/>
                <w:lang w:val="sr-Latn-ME" w:eastAsia="sr-Latn-CS"/>
              </w:rPr>
              <w:t>akutna bubrežna insuficijencija kao posljedica dehidratacije (rijetko)</w:t>
            </w:r>
          </w:p>
        </w:tc>
      </w:tr>
      <w:tr w:rsidR="008B0AD6" w:rsidRPr="00C0654D" w14:paraId="324F165E" w14:textId="77777777" w:rsidTr="00D85C58">
        <w:tc>
          <w:tcPr>
            <w:tcW w:w="1951" w:type="dxa"/>
          </w:tcPr>
          <w:p w14:paraId="2DA1835A" w14:textId="77777777" w:rsidR="008B0AD6" w:rsidRPr="00C0654D" w:rsidRDefault="008B0AD6" w:rsidP="00BA7E76">
            <w:pPr>
              <w:autoSpaceDE w:val="0"/>
              <w:autoSpaceDN w:val="0"/>
              <w:adjustRightInd w:val="0"/>
              <w:jc w:val="both"/>
              <w:rPr>
                <w:i/>
                <w:sz w:val="22"/>
                <w:szCs w:val="22"/>
                <w:lang w:val="sr-Latn-ME"/>
              </w:rPr>
            </w:pPr>
            <w:r w:rsidRPr="00C0654D">
              <w:rPr>
                <w:i/>
                <w:sz w:val="22"/>
                <w:szCs w:val="22"/>
                <w:lang w:val="sr-Latn-ME"/>
              </w:rPr>
              <w:t>Opšti poremećaji i reakcije na mjestu primjene</w:t>
            </w:r>
          </w:p>
        </w:tc>
        <w:tc>
          <w:tcPr>
            <w:tcW w:w="2268" w:type="dxa"/>
          </w:tcPr>
          <w:p w14:paraId="2838E119"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 xml:space="preserve">pireksija, slabost, </w:t>
            </w:r>
            <w:r w:rsidRPr="00C0654D">
              <w:rPr>
                <w:sz w:val="22"/>
                <w:szCs w:val="22"/>
                <w:vertAlign w:val="superscript"/>
                <w:lang w:val="sr-Latn-ME" w:eastAsia="sr-Latn-CS"/>
              </w:rPr>
              <w:t>+</w:t>
            </w:r>
            <w:r w:rsidRPr="00C0654D">
              <w:rPr>
                <w:sz w:val="22"/>
                <w:szCs w:val="22"/>
                <w:lang w:val="sr-Latn-ME" w:eastAsia="sr-Latn-CS"/>
              </w:rPr>
              <w:t>letargija,</w:t>
            </w:r>
          </w:p>
          <w:p w14:paraId="292047E9" w14:textId="094E9344" w:rsidR="008B0AD6" w:rsidRPr="00C0654D" w:rsidRDefault="0002629C" w:rsidP="0066437B">
            <w:pPr>
              <w:autoSpaceDE w:val="0"/>
              <w:autoSpaceDN w:val="0"/>
              <w:adjustRightInd w:val="0"/>
              <w:jc w:val="both"/>
              <w:rPr>
                <w:sz w:val="22"/>
                <w:szCs w:val="22"/>
                <w:lang w:val="sr-Latn-ME" w:eastAsia="sr-Latn-CS"/>
              </w:rPr>
            </w:pPr>
            <w:r>
              <w:rPr>
                <w:sz w:val="22"/>
                <w:szCs w:val="22"/>
                <w:lang w:val="sr-Latn-ME" w:eastAsia="sr-Latn-CS"/>
              </w:rPr>
              <w:t>os</w:t>
            </w:r>
            <w:r w:rsidR="00191075">
              <w:rPr>
                <w:sz w:val="22"/>
                <w:szCs w:val="22"/>
                <w:lang w:val="sr-Latn-ME" w:eastAsia="sr-Latn-CS"/>
              </w:rPr>
              <w:t>j</w:t>
            </w:r>
            <w:r>
              <w:rPr>
                <w:sz w:val="22"/>
                <w:szCs w:val="22"/>
                <w:lang w:val="sr-Latn-ME" w:eastAsia="sr-Latn-CS"/>
              </w:rPr>
              <w:t>etljivost na prom</w:t>
            </w:r>
            <w:r w:rsidR="00191075">
              <w:rPr>
                <w:sz w:val="22"/>
                <w:szCs w:val="22"/>
                <w:lang w:val="sr-Latn-ME" w:eastAsia="sr-Latn-CS"/>
              </w:rPr>
              <w:t>j</w:t>
            </w:r>
            <w:r>
              <w:rPr>
                <w:sz w:val="22"/>
                <w:szCs w:val="22"/>
                <w:lang w:val="sr-Latn-ME" w:eastAsia="sr-Latn-CS"/>
              </w:rPr>
              <w:t xml:space="preserve">ene </w:t>
            </w:r>
            <w:r w:rsidR="008B0AD6" w:rsidRPr="00C0654D">
              <w:rPr>
                <w:sz w:val="22"/>
                <w:szCs w:val="22"/>
                <w:lang w:val="sr-Latn-ME" w:eastAsia="sr-Latn-CS"/>
              </w:rPr>
              <w:t>temperature</w:t>
            </w:r>
            <w:r>
              <w:rPr>
                <w:sz w:val="22"/>
                <w:szCs w:val="22"/>
                <w:lang w:val="sr-Latn-ME" w:eastAsia="sr-Latn-CS"/>
              </w:rPr>
              <w:t xml:space="preserve"> u spoljašnjoj sredini</w:t>
            </w:r>
          </w:p>
        </w:tc>
        <w:tc>
          <w:tcPr>
            <w:tcW w:w="2977" w:type="dxa"/>
          </w:tcPr>
          <w:p w14:paraId="56738897"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upala sluznice, bol u ekstremitetima,</w:t>
            </w:r>
          </w:p>
          <w:p w14:paraId="294BE59E" w14:textId="77777777" w:rsidR="008B0AD6" w:rsidRPr="00C0654D" w:rsidRDefault="008B0AD6" w:rsidP="0066437B">
            <w:pPr>
              <w:autoSpaceDE w:val="0"/>
              <w:autoSpaceDN w:val="0"/>
              <w:adjustRightInd w:val="0"/>
              <w:jc w:val="both"/>
              <w:rPr>
                <w:sz w:val="22"/>
                <w:szCs w:val="22"/>
                <w:lang w:val="sr-Latn-ME" w:eastAsia="sr-Latn-CS"/>
              </w:rPr>
            </w:pPr>
            <w:r w:rsidRPr="00C0654D">
              <w:rPr>
                <w:sz w:val="22"/>
                <w:szCs w:val="22"/>
                <w:lang w:val="sr-Latn-ME" w:eastAsia="sr-Latn-CS"/>
              </w:rPr>
              <w:t>bol, jeza, bol u grudima, simptomi sli</w:t>
            </w:r>
            <w:r w:rsidRPr="00C0654D">
              <w:rPr>
                <w:rFonts w:eastAsia="TimesNewRoman"/>
                <w:sz w:val="22"/>
                <w:szCs w:val="22"/>
                <w:lang w:val="sr-Latn-ME" w:eastAsia="sr-Latn-CS"/>
              </w:rPr>
              <w:t>č</w:t>
            </w:r>
            <w:r w:rsidRPr="00C0654D">
              <w:rPr>
                <w:sz w:val="22"/>
                <w:szCs w:val="22"/>
                <w:lang w:val="sr-Latn-ME" w:eastAsia="sr-Latn-CS"/>
              </w:rPr>
              <w:t>ni gripu,</w:t>
            </w:r>
            <w:r w:rsidRPr="00C0654D">
              <w:rPr>
                <w:sz w:val="22"/>
                <w:szCs w:val="22"/>
                <w:vertAlign w:val="superscript"/>
                <w:lang w:val="sr-Latn-ME" w:eastAsia="sr-Latn-CS"/>
              </w:rPr>
              <w:t>+</w:t>
            </w:r>
            <w:r w:rsidRPr="00C0654D">
              <w:rPr>
                <w:sz w:val="22"/>
                <w:szCs w:val="22"/>
                <w:lang w:val="sr-Latn-ME" w:eastAsia="sr-Latn-CS"/>
              </w:rPr>
              <w:t>groznica, reakcija na mjestu primjene infuzije, reakcija na mjestu primjene injekcije, bol na mjestu primjene infuzije, bol na mjestu primjene injekcije</w:t>
            </w:r>
          </w:p>
        </w:tc>
        <w:tc>
          <w:tcPr>
            <w:tcW w:w="2126" w:type="dxa"/>
          </w:tcPr>
          <w:p w14:paraId="5FB4B34A" w14:textId="231E7D4E" w:rsidR="008B0AD6" w:rsidRPr="00C0654D" w:rsidRDefault="00E96481" w:rsidP="00D85C58">
            <w:pPr>
              <w:autoSpaceDE w:val="0"/>
              <w:autoSpaceDN w:val="0"/>
              <w:adjustRightInd w:val="0"/>
              <w:jc w:val="both"/>
              <w:rPr>
                <w:sz w:val="22"/>
                <w:szCs w:val="22"/>
                <w:lang w:val="sr-Latn-ME" w:eastAsia="sr-Latn-CS"/>
              </w:rPr>
            </w:pPr>
            <w:r>
              <w:rPr>
                <w:sz w:val="22"/>
                <w:szCs w:val="22"/>
                <w:lang w:val="sr-Latn-ME" w:eastAsia="sr-Latn-CS"/>
              </w:rPr>
              <w:t>-</w:t>
            </w:r>
          </w:p>
        </w:tc>
      </w:tr>
      <w:tr w:rsidR="008B0AD6" w:rsidRPr="00C0654D" w14:paraId="72820C01" w14:textId="77777777" w:rsidTr="00D85C58">
        <w:tc>
          <w:tcPr>
            <w:tcW w:w="1951" w:type="dxa"/>
          </w:tcPr>
          <w:p w14:paraId="1F19F0FD" w14:textId="77777777" w:rsidR="008B0AD6" w:rsidRPr="00C0654D" w:rsidRDefault="008B0AD6" w:rsidP="00BA7E76">
            <w:pPr>
              <w:autoSpaceDE w:val="0"/>
              <w:autoSpaceDN w:val="0"/>
              <w:adjustRightInd w:val="0"/>
              <w:jc w:val="both"/>
              <w:rPr>
                <w:i/>
                <w:sz w:val="22"/>
                <w:szCs w:val="22"/>
                <w:lang w:val="sr-Latn-ME"/>
              </w:rPr>
            </w:pPr>
            <w:r w:rsidRPr="00C0654D">
              <w:rPr>
                <w:i/>
                <w:sz w:val="22"/>
                <w:szCs w:val="22"/>
                <w:lang w:val="sr-Latn-ME" w:eastAsia="en-GB"/>
              </w:rPr>
              <w:t>Povrede, trovanje i proceduralne komplikacije</w:t>
            </w:r>
          </w:p>
        </w:tc>
        <w:tc>
          <w:tcPr>
            <w:tcW w:w="2268" w:type="dxa"/>
          </w:tcPr>
          <w:p w14:paraId="413ECF69"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w:t>
            </w:r>
          </w:p>
        </w:tc>
        <w:tc>
          <w:tcPr>
            <w:tcW w:w="2977" w:type="dxa"/>
          </w:tcPr>
          <w:p w14:paraId="21A7BD26"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kontuzija</w:t>
            </w:r>
          </w:p>
        </w:tc>
        <w:tc>
          <w:tcPr>
            <w:tcW w:w="2126" w:type="dxa"/>
          </w:tcPr>
          <w:p w14:paraId="3B1011A7" w14:textId="14CF91D0" w:rsidR="008B0AD6" w:rsidRPr="00C0654D" w:rsidRDefault="006E16D5">
            <w:pPr>
              <w:autoSpaceDE w:val="0"/>
              <w:autoSpaceDN w:val="0"/>
              <w:adjustRightInd w:val="0"/>
              <w:jc w:val="both"/>
              <w:rPr>
                <w:sz w:val="22"/>
                <w:szCs w:val="22"/>
                <w:lang w:val="sr-Latn-ME" w:eastAsia="sr-Latn-CS"/>
              </w:rPr>
            </w:pPr>
            <w:r>
              <w:rPr>
                <w:sz w:val="22"/>
                <w:szCs w:val="22"/>
                <w:lang w:val="sr-Latn-ME" w:eastAsia="sr-Latn-CS"/>
              </w:rPr>
              <w:t>-</w:t>
            </w:r>
          </w:p>
        </w:tc>
      </w:tr>
    </w:tbl>
    <w:p w14:paraId="0213887D" w14:textId="77777777" w:rsidR="008B0AD6" w:rsidRPr="00C0654D" w:rsidRDefault="008B0AD6" w:rsidP="00D85C58">
      <w:pPr>
        <w:autoSpaceDE w:val="0"/>
        <w:autoSpaceDN w:val="0"/>
        <w:adjustRightInd w:val="0"/>
        <w:jc w:val="both"/>
        <w:rPr>
          <w:sz w:val="22"/>
          <w:szCs w:val="22"/>
          <w:lang w:val="sr-Latn-ME" w:eastAsia="sr-Latn-CS"/>
        </w:rPr>
      </w:pPr>
      <w:r w:rsidRPr="00C0654D">
        <w:rPr>
          <w:sz w:val="22"/>
          <w:szCs w:val="22"/>
          <w:vertAlign w:val="superscript"/>
          <w:lang w:val="sr-Latn-ME" w:eastAsia="sr-Latn-CS"/>
        </w:rPr>
        <w:t>+</w:t>
      </w:r>
      <w:r w:rsidRPr="00C0654D">
        <w:rPr>
          <w:sz w:val="22"/>
          <w:szCs w:val="22"/>
          <w:lang w:val="sr-Latn-ME" w:eastAsia="sr-Latn-CS"/>
        </w:rPr>
        <w:t>Za svaki poreme</w:t>
      </w:r>
      <w:r w:rsidRPr="00C0654D">
        <w:rPr>
          <w:rFonts w:eastAsia="TimesNewRoman"/>
          <w:sz w:val="22"/>
          <w:szCs w:val="22"/>
          <w:lang w:val="sr-Latn-ME" w:eastAsia="sr-Latn-CS"/>
        </w:rPr>
        <w:t>ć</w:t>
      </w:r>
      <w:r w:rsidRPr="00C0654D">
        <w:rPr>
          <w:sz w:val="22"/>
          <w:szCs w:val="22"/>
          <w:lang w:val="sr-Latn-ME" w:eastAsia="sr-Latn-CS"/>
        </w:rPr>
        <w:t>aj, u</w:t>
      </w:r>
      <w:r w:rsidRPr="00C0654D">
        <w:rPr>
          <w:rFonts w:eastAsia="TimesNewRoman"/>
          <w:sz w:val="22"/>
          <w:szCs w:val="22"/>
          <w:lang w:val="sr-Latn-ME" w:eastAsia="sr-Latn-CS"/>
        </w:rPr>
        <w:t>č</w:t>
      </w:r>
      <w:r w:rsidRPr="00C0654D">
        <w:rPr>
          <w:sz w:val="22"/>
          <w:szCs w:val="22"/>
          <w:lang w:val="sr-Latn-ME" w:eastAsia="sr-Latn-CS"/>
        </w:rPr>
        <w:t>estalost javljanja procijenjena je na osnovu prijavljenih neželjenih reakcija svih stepena. Za poreme</w:t>
      </w:r>
      <w:r w:rsidRPr="00C0654D">
        <w:rPr>
          <w:rFonts w:eastAsia="TimesNewRoman"/>
          <w:sz w:val="22"/>
          <w:szCs w:val="22"/>
          <w:lang w:val="sr-Latn-ME" w:eastAsia="sr-Latn-CS"/>
        </w:rPr>
        <w:t>ć</w:t>
      </w:r>
      <w:r w:rsidRPr="00C0654D">
        <w:rPr>
          <w:sz w:val="22"/>
          <w:szCs w:val="22"/>
          <w:lang w:val="sr-Latn-ME" w:eastAsia="sr-Latn-CS"/>
        </w:rPr>
        <w:t>aje ozna</w:t>
      </w:r>
      <w:r w:rsidRPr="00C0654D">
        <w:rPr>
          <w:rFonts w:eastAsia="TimesNewRoman"/>
          <w:sz w:val="22"/>
          <w:szCs w:val="22"/>
          <w:lang w:val="sr-Latn-ME" w:eastAsia="sr-Latn-CS"/>
        </w:rPr>
        <w:t>č</w:t>
      </w:r>
      <w:r w:rsidRPr="00C0654D">
        <w:rPr>
          <w:sz w:val="22"/>
          <w:szCs w:val="22"/>
          <w:lang w:val="sr-Latn-ME" w:eastAsia="sr-Latn-CS"/>
        </w:rPr>
        <w:t>ene sa “</w:t>
      </w:r>
      <w:r w:rsidRPr="00C0654D">
        <w:rPr>
          <w:sz w:val="22"/>
          <w:szCs w:val="22"/>
          <w:vertAlign w:val="superscript"/>
          <w:lang w:val="sr-Latn-ME" w:eastAsia="sr-Latn-CS"/>
        </w:rPr>
        <w:t>+</w:t>
      </w:r>
      <w:r w:rsidRPr="00C0654D">
        <w:rPr>
          <w:sz w:val="22"/>
          <w:szCs w:val="22"/>
          <w:lang w:val="sr-Latn-ME" w:eastAsia="sr-Latn-CS"/>
        </w:rPr>
        <w:t>”, u</w:t>
      </w:r>
      <w:r w:rsidRPr="00C0654D">
        <w:rPr>
          <w:rFonts w:eastAsia="TimesNewRoman"/>
          <w:sz w:val="22"/>
          <w:szCs w:val="22"/>
          <w:lang w:val="sr-Latn-ME" w:eastAsia="sr-Latn-CS"/>
        </w:rPr>
        <w:t>č</w:t>
      </w:r>
      <w:r w:rsidRPr="00C0654D">
        <w:rPr>
          <w:sz w:val="22"/>
          <w:szCs w:val="22"/>
          <w:lang w:val="sr-Latn-ME" w:eastAsia="sr-Latn-CS"/>
        </w:rPr>
        <w:t>estalost javljanja procijenjena je na osnovu neželjenih reakcija gradusa 3-4. Neželjene reakcije bilježene su na osnovu najviše incidence prijavljene u bilo kojoj od velikih kombinovanih studija.</w:t>
      </w:r>
    </w:p>
    <w:p w14:paraId="4267DC48" w14:textId="77777777" w:rsidR="008B0AD6" w:rsidRPr="00C0654D" w:rsidRDefault="008B0AD6" w:rsidP="00CA1BE0">
      <w:pPr>
        <w:autoSpaceDE w:val="0"/>
        <w:autoSpaceDN w:val="0"/>
        <w:adjustRightInd w:val="0"/>
        <w:jc w:val="both"/>
        <w:rPr>
          <w:sz w:val="22"/>
          <w:szCs w:val="22"/>
          <w:lang w:val="sr-Latn-ME" w:eastAsia="sr-Latn-CS"/>
        </w:rPr>
      </w:pPr>
    </w:p>
    <w:p w14:paraId="257A8AD4" w14:textId="77777777" w:rsidR="008B0AD6" w:rsidRPr="00C0654D" w:rsidRDefault="008B0AD6">
      <w:pPr>
        <w:autoSpaceDE w:val="0"/>
        <w:autoSpaceDN w:val="0"/>
        <w:adjustRightInd w:val="0"/>
        <w:jc w:val="both"/>
        <w:rPr>
          <w:iCs/>
          <w:sz w:val="22"/>
          <w:szCs w:val="22"/>
          <w:u w:val="single"/>
          <w:lang w:val="sr-Latn-ME" w:eastAsia="sr-Latn-CS"/>
        </w:rPr>
      </w:pPr>
      <w:r w:rsidRPr="00C0654D">
        <w:rPr>
          <w:iCs/>
          <w:sz w:val="22"/>
          <w:szCs w:val="22"/>
          <w:u w:val="single"/>
          <w:lang w:val="sr-Latn-ME" w:eastAsia="sr-Latn-CS"/>
        </w:rPr>
        <w:t>Opis odabranih neželjenih reakcija</w:t>
      </w:r>
    </w:p>
    <w:p w14:paraId="692CBB3C" w14:textId="77777777" w:rsidR="008B0AD6" w:rsidRPr="00C0654D" w:rsidRDefault="008B0AD6">
      <w:pPr>
        <w:autoSpaceDE w:val="0"/>
        <w:autoSpaceDN w:val="0"/>
        <w:adjustRightInd w:val="0"/>
        <w:jc w:val="both"/>
        <w:rPr>
          <w:iCs/>
          <w:sz w:val="22"/>
          <w:szCs w:val="22"/>
          <w:u w:val="single"/>
          <w:lang w:val="sr-Latn-ME" w:eastAsia="sr-Latn-CS"/>
        </w:rPr>
      </w:pPr>
    </w:p>
    <w:p w14:paraId="7417CCED" w14:textId="18CEBB73" w:rsidR="008B0AD6" w:rsidRPr="00C0654D" w:rsidRDefault="008B0AD6">
      <w:pPr>
        <w:autoSpaceDE w:val="0"/>
        <w:autoSpaceDN w:val="0"/>
        <w:adjustRightInd w:val="0"/>
        <w:jc w:val="both"/>
        <w:rPr>
          <w:i/>
          <w:iCs/>
          <w:sz w:val="22"/>
          <w:szCs w:val="22"/>
          <w:u w:val="single"/>
          <w:lang w:val="sr-Latn-ME" w:eastAsia="sr-Latn-CS"/>
        </w:rPr>
      </w:pPr>
      <w:r w:rsidRPr="00C0654D">
        <w:rPr>
          <w:i/>
          <w:iCs/>
          <w:sz w:val="22"/>
          <w:szCs w:val="22"/>
          <w:u w:val="single"/>
          <w:lang w:val="sr-Latn-ME" w:eastAsia="sr-Latn-CS"/>
        </w:rPr>
        <w:t xml:space="preserve">Sindrom šaka-stopalo (vidjeti </w:t>
      </w:r>
      <w:r w:rsidR="00BA7E76">
        <w:rPr>
          <w:i/>
          <w:iCs/>
          <w:sz w:val="22"/>
          <w:szCs w:val="22"/>
          <w:u w:val="single"/>
          <w:lang w:val="sr-Latn-ME" w:eastAsia="sr-Latn-CS"/>
        </w:rPr>
        <w:t xml:space="preserve">dio </w:t>
      </w:r>
      <w:r w:rsidRPr="00C0654D">
        <w:rPr>
          <w:i/>
          <w:iCs/>
          <w:sz w:val="22"/>
          <w:szCs w:val="22"/>
          <w:u w:val="single"/>
          <w:lang w:val="sr-Latn-ME" w:eastAsia="sr-Latn-CS"/>
        </w:rPr>
        <w:t>4.4):</w:t>
      </w:r>
    </w:p>
    <w:p w14:paraId="501DA206"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Pri primjeni kapecitabina u dozi od 1250 mg/m</w:t>
      </w:r>
      <w:r w:rsidRPr="00C0654D">
        <w:rPr>
          <w:sz w:val="22"/>
          <w:szCs w:val="22"/>
          <w:vertAlign w:val="superscript"/>
          <w:lang w:val="sr-Latn-ME" w:eastAsia="sr-Latn-CS"/>
        </w:rPr>
        <w:t>2</w:t>
      </w:r>
      <w:r w:rsidRPr="00C0654D">
        <w:rPr>
          <w:sz w:val="22"/>
          <w:szCs w:val="22"/>
          <w:lang w:val="sr-Latn-ME" w:eastAsia="sr-Latn-CS"/>
        </w:rPr>
        <w:t xml:space="preserve"> dva puta dnevno od prvog do 14. dana svake 3 nedjelje, u</w:t>
      </w:r>
      <w:r w:rsidRPr="00C0654D">
        <w:rPr>
          <w:rFonts w:eastAsia="TimesNewRoman"/>
          <w:sz w:val="22"/>
          <w:szCs w:val="22"/>
          <w:lang w:val="sr-Latn-ME" w:eastAsia="sr-Latn-CS"/>
        </w:rPr>
        <w:t>č</w:t>
      </w:r>
      <w:r w:rsidRPr="00C0654D">
        <w:rPr>
          <w:sz w:val="22"/>
          <w:szCs w:val="22"/>
          <w:lang w:val="sr-Latn-ME" w:eastAsia="sr-Latn-CS"/>
        </w:rPr>
        <w:t>estalost od 53% do 60% sindroma šaka-stopalo svih stepena prijavljena je u klini</w:t>
      </w:r>
      <w:r w:rsidRPr="00C0654D">
        <w:rPr>
          <w:rFonts w:eastAsia="TimesNewRoman"/>
          <w:sz w:val="22"/>
          <w:szCs w:val="22"/>
          <w:lang w:val="sr-Latn-ME" w:eastAsia="sr-Latn-CS"/>
        </w:rPr>
        <w:t>č</w:t>
      </w:r>
      <w:r w:rsidRPr="00C0654D">
        <w:rPr>
          <w:sz w:val="22"/>
          <w:szCs w:val="22"/>
          <w:lang w:val="sr-Latn-ME" w:eastAsia="sr-Latn-CS"/>
        </w:rPr>
        <w:t>kim studijama monoterapije kapecitabinom (obuhva</w:t>
      </w:r>
      <w:r w:rsidRPr="00C0654D">
        <w:rPr>
          <w:rFonts w:eastAsia="TimesNewRoman"/>
          <w:sz w:val="22"/>
          <w:szCs w:val="22"/>
          <w:lang w:val="sr-Latn-ME" w:eastAsia="sr-Latn-CS"/>
        </w:rPr>
        <w:t>ć</w:t>
      </w:r>
      <w:r w:rsidRPr="00C0654D">
        <w:rPr>
          <w:sz w:val="22"/>
          <w:szCs w:val="22"/>
          <w:lang w:val="sr-Latn-ME" w:eastAsia="sr-Latn-CS"/>
        </w:rPr>
        <w:t>ene su studije adjuvantne terapije karcinoma kolona, lije</w:t>
      </w:r>
      <w:r w:rsidRPr="00C0654D">
        <w:rPr>
          <w:rFonts w:eastAsia="TimesNewRoman"/>
          <w:sz w:val="22"/>
          <w:szCs w:val="22"/>
          <w:lang w:val="sr-Latn-ME" w:eastAsia="sr-Latn-CS"/>
        </w:rPr>
        <w:t>č</w:t>
      </w:r>
      <w:r w:rsidRPr="00C0654D">
        <w:rPr>
          <w:sz w:val="22"/>
          <w:szCs w:val="22"/>
          <w:lang w:val="sr-Latn-ME" w:eastAsia="sr-Latn-CS"/>
        </w:rPr>
        <w:t>enja metastatskog kolorektalnog karcinoma i karcinoma dojke), a u</w:t>
      </w:r>
      <w:r w:rsidRPr="00C0654D">
        <w:rPr>
          <w:rFonts w:eastAsia="TimesNewRoman"/>
          <w:sz w:val="22"/>
          <w:szCs w:val="22"/>
          <w:lang w:val="sr-Latn-ME" w:eastAsia="sr-Latn-CS"/>
        </w:rPr>
        <w:t>č</w:t>
      </w:r>
      <w:r w:rsidRPr="00C0654D">
        <w:rPr>
          <w:sz w:val="22"/>
          <w:szCs w:val="22"/>
          <w:lang w:val="sr-Latn-ME" w:eastAsia="sr-Latn-CS"/>
        </w:rPr>
        <w:t>estalost od 63% prijavljena je kod pacijenata sa metastatskim karcinomom dojke lije</w:t>
      </w:r>
      <w:r w:rsidRPr="00C0654D">
        <w:rPr>
          <w:rFonts w:eastAsia="TimesNewRoman"/>
          <w:sz w:val="22"/>
          <w:szCs w:val="22"/>
          <w:lang w:val="sr-Latn-ME" w:eastAsia="sr-Latn-CS"/>
        </w:rPr>
        <w:t>č</w:t>
      </w:r>
      <w:r w:rsidRPr="00C0654D">
        <w:rPr>
          <w:sz w:val="22"/>
          <w:szCs w:val="22"/>
          <w:lang w:val="sr-Latn-ME" w:eastAsia="sr-Latn-CS"/>
        </w:rPr>
        <w:t>enih kombinovanom terapijom kapecitabin/docetaksel. Pri primjeni kapecitabina u dozi od 1000 mg/m</w:t>
      </w:r>
      <w:r w:rsidRPr="00C0654D">
        <w:rPr>
          <w:sz w:val="22"/>
          <w:szCs w:val="22"/>
          <w:vertAlign w:val="superscript"/>
          <w:lang w:val="sr-Latn-ME" w:eastAsia="sr-Latn-CS"/>
        </w:rPr>
        <w:t>2</w:t>
      </w:r>
      <w:r w:rsidRPr="00C0654D">
        <w:rPr>
          <w:sz w:val="22"/>
          <w:szCs w:val="22"/>
          <w:lang w:val="sr-Latn-ME" w:eastAsia="sr-Latn-CS"/>
        </w:rPr>
        <w:t xml:space="preserve"> dva puta dnevno od prvog do 14. dana svake 3 nedjelje, u</w:t>
      </w:r>
      <w:r w:rsidRPr="00C0654D">
        <w:rPr>
          <w:rFonts w:eastAsia="TimesNewRoman"/>
          <w:sz w:val="22"/>
          <w:szCs w:val="22"/>
          <w:lang w:val="sr-Latn-ME" w:eastAsia="sr-Latn-CS"/>
        </w:rPr>
        <w:t>č</w:t>
      </w:r>
      <w:r w:rsidRPr="00C0654D">
        <w:rPr>
          <w:sz w:val="22"/>
          <w:szCs w:val="22"/>
          <w:lang w:val="sr-Latn-ME" w:eastAsia="sr-Latn-CS"/>
        </w:rPr>
        <w:t>estalost od 22% do 30% sindroma šaka-stopalo svih gradusa prijavljena je pri primjeni kapecitabina u kombinovanoj terapiji.</w:t>
      </w:r>
    </w:p>
    <w:p w14:paraId="1BDD98D3" w14:textId="77777777" w:rsidR="008B0AD6" w:rsidRPr="00C0654D" w:rsidRDefault="008B0AD6">
      <w:pPr>
        <w:autoSpaceDE w:val="0"/>
        <w:autoSpaceDN w:val="0"/>
        <w:adjustRightInd w:val="0"/>
        <w:jc w:val="both"/>
        <w:rPr>
          <w:sz w:val="22"/>
          <w:szCs w:val="22"/>
          <w:lang w:val="sr-Latn-ME" w:eastAsia="sr-Latn-CS"/>
        </w:rPr>
      </w:pPr>
    </w:p>
    <w:p w14:paraId="1F3C858F"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Meta-analiza podataka iz 14 klini</w:t>
      </w:r>
      <w:r w:rsidRPr="00C0654D">
        <w:rPr>
          <w:rFonts w:eastAsia="TimesNewRoman"/>
          <w:sz w:val="22"/>
          <w:szCs w:val="22"/>
          <w:lang w:val="sr-Latn-ME" w:eastAsia="sr-Latn-CS"/>
        </w:rPr>
        <w:t>č</w:t>
      </w:r>
      <w:r w:rsidRPr="00C0654D">
        <w:rPr>
          <w:sz w:val="22"/>
          <w:szCs w:val="22"/>
          <w:lang w:val="sr-Latn-ME" w:eastAsia="sr-Latn-CS"/>
        </w:rPr>
        <w:t>kih studija sa preko 4700 pacijenata lije</w:t>
      </w:r>
      <w:r w:rsidRPr="00C0654D">
        <w:rPr>
          <w:rFonts w:eastAsia="TimesNewRoman"/>
          <w:sz w:val="22"/>
          <w:szCs w:val="22"/>
          <w:lang w:val="sr-Latn-ME" w:eastAsia="sr-Latn-CS"/>
        </w:rPr>
        <w:t>č</w:t>
      </w:r>
      <w:r w:rsidRPr="00C0654D">
        <w:rPr>
          <w:sz w:val="22"/>
          <w:szCs w:val="22"/>
          <w:lang w:val="sr-Latn-ME" w:eastAsia="sr-Latn-CS"/>
        </w:rPr>
        <w:t>enih kapecitabin monoterapijom ili kapecitabinom u kombinaciji sa razli</w:t>
      </w:r>
      <w:r w:rsidRPr="00C0654D">
        <w:rPr>
          <w:rFonts w:eastAsia="TimesNewRoman"/>
          <w:sz w:val="22"/>
          <w:szCs w:val="22"/>
          <w:lang w:val="sr-Latn-ME" w:eastAsia="sr-Latn-CS"/>
        </w:rPr>
        <w:t>č</w:t>
      </w:r>
      <w:r w:rsidRPr="00C0654D">
        <w:rPr>
          <w:sz w:val="22"/>
          <w:szCs w:val="22"/>
          <w:lang w:val="sr-Latn-ME" w:eastAsia="sr-Latn-CS"/>
        </w:rPr>
        <w:t>itim hemoterapijskim režimima u razli</w:t>
      </w:r>
      <w:r w:rsidRPr="00C0654D">
        <w:rPr>
          <w:rFonts w:eastAsia="TimesNewRoman"/>
          <w:sz w:val="22"/>
          <w:szCs w:val="22"/>
          <w:lang w:val="sr-Latn-ME" w:eastAsia="sr-Latn-CS"/>
        </w:rPr>
        <w:t>č</w:t>
      </w:r>
      <w:r w:rsidRPr="00C0654D">
        <w:rPr>
          <w:sz w:val="22"/>
          <w:szCs w:val="22"/>
          <w:lang w:val="sr-Latn-ME" w:eastAsia="sr-Latn-CS"/>
        </w:rPr>
        <w:t>itim indikacijama (karcinom kolona, kolorektuma, želuca i dojke) pokazala je da se sindrom šaka-stopalo (svih stepena) javio kod 2066 (43%) pacijenata nakon srednjeg vremena od 239 dana [95% CI 201, 288] nakon po</w:t>
      </w:r>
      <w:r w:rsidRPr="00C0654D">
        <w:rPr>
          <w:rFonts w:eastAsia="TimesNewRoman"/>
          <w:sz w:val="22"/>
          <w:szCs w:val="22"/>
          <w:lang w:val="sr-Latn-ME" w:eastAsia="sr-Latn-CS"/>
        </w:rPr>
        <w:t>č</w:t>
      </w:r>
      <w:r w:rsidRPr="00C0654D">
        <w:rPr>
          <w:sz w:val="22"/>
          <w:szCs w:val="22"/>
          <w:lang w:val="sr-Latn-ME" w:eastAsia="sr-Latn-CS"/>
        </w:rPr>
        <w:t>etka terapije kapecitabinom. U svim analiziranim studijama, sljede</w:t>
      </w:r>
      <w:r w:rsidRPr="00C0654D">
        <w:rPr>
          <w:rFonts w:eastAsia="TimesNewRoman"/>
          <w:sz w:val="22"/>
          <w:szCs w:val="22"/>
          <w:lang w:val="sr-Latn-ME" w:eastAsia="sr-Latn-CS"/>
        </w:rPr>
        <w:t>ć</w:t>
      </w:r>
      <w:r w:rsidRPr="00C0654D">
        <w:rPr>
          <w:sz w:val="22"/>
          <w:szCs w:val="22"/>
          <w:lang w:val="sr-Latn-ME" w:eastAsia="sr-Latn-CS"/>
        </w:rPr>
        <w:t xml:space="preserve">i parametri bili su </w:t>
      </w:r>
      <w:r w:rsidRPr="00C0654D">
        <w:rPr>
          <w:sz w:val="22"/>
          <w:szCs w:val="22"/>
          <w:lang w:val="sr-Latn-ME" w:eastAsia="sr-Latn-CS"/>
        </w:rPr>
        <w:lastRenderedPageBreak/>
        <w:t>statisti</w:t>
      </w:r>
      <w:r w:rsidRPr="00C0654D">
        <w:rPr>
          <w:rFonts w:eastAsia="TimesNewRoman"/>
          <w:sz w:val="22"/>
          <w:szCs w:val="22"/>
          <w:lang w:val="sr-Latn-ME" w:eastAsia="sr-Latn-CS"/>
        </w:rPr>
        <w:t>č</w:t>
      </w:r>
      <w:r w:rsidRPr="00C0654D">
        <w:rPr>
          <w:sz w:val="22"/>
          <w:szCs w:val="22"/>
          <w:lang w:val="sr-Latn-ME" w:eastAsia="sr-Latn-CS"/>
        </w:rPr>
        <w:t>ki zna</w:t>
      </w:r>
      <w:r w:rsidRPr="00C0654D">
        <w:rPr>
          <w:rFonts w:eastAsia="TimesNewRoman"/>
          <w:sz w:val="22"/>
          <w:szCs w:val="22"/>
          <w:lang w:val="sr-Latn-ME" w:eastAsia="sr-Latn-CS"/>
        </w:rPr>
        <w:t>č</w:t>
      </w:r>
      <w:r w:rsidRPr="00C0654D">
        <w:rPr>
          <w:sz w:val="22"/>
          <w:szCs w:val="22"/>
          <w:lang w:val="sr-Latn-ME" w:eastAsia="sr-Latn-CS"/>
        </w:rPr>
        <w:t>ajno povezani sa pove</w:t>
      </w:r>
      <w:r w:rsidRPr="00C0654D">
        <w:rPr>
          <w:rFonts w:eastAsia="TimesNewRoman"/>
          <w:sz w:val="22"/>
          <w:szCs w:val="22"/>
          <w:lang w:val="sr-Latn-ME" w:eastAsia="sr-Latn-CS"/>
        </w:rPr>
        <w:t>ć</w:t>
      </w:r>
      <w:r w:rsidRPr="00C0654D">
        <w:rPr>
          <w:sz w:val="22"/>
          <w:szCs w:val="22"/>
          <w:lang w:val="sr-Latn-ME" w:eastAsia="sr-Latn-CS"/>
        </w:rPr>
        <w:t>anim rizikom od nastanka sindroma šaka-stopalo: pove</w:t>
      </w:r>
      <w:r w:rsidRPr="00C0654D">
        <w:rPr>
          <w:rFonts w:eastAsia="TimesNewRoman"/>
          <w:sz w:val="22"/>
          <w:szCs w:val="22"/>
          <w:lang w:val="sr-Latn-ME" w:eastAsia="sr-Latn-CS"/>
        </w:rPr>
        <w:t>ć</w:t>
      </w:r>
      <w:r w:rsidRPr="00C0654D">
        <w:rPr>
          <w:sz w:val="22"/>
          <w:szCs w:val="22"/>
          <w:lang w:val="sr-Latn-ME" w:eastAsia="sr-Latn-CS"/>
        </w:rPr>
        <w:t>anje po</w:t>
      </w:r>
      <w:r w:rsidRPr="00C0654D">
        <w:rPr>
          <w:rFonts w:eastAsia="TimesNewRoman"/>
          <w:sz w:val="22"/>
          <w:szCs w:val="22"/>
          <w:lang w:val="sr-Latn-ME" w:eastAsia="sr-Latn-CS"/>
        </w:rPr>
        <w:t>č</w:t>
      </w:r>
      <w:r w:rsidRPr="00C0654D">
        <w:rPr>
          <w:sz w:val="22"/>
          <w:szCs w:val="22"/>
          <w:lang w:val="sr-Latn-ME" w:eastAsia="sr-Latn-CS"/>
        </w:rPr>
        <w:t>etne doza kapecitabina (gram), smanjenje kumulativne doze kapecitabina (0.1*kg), pove</w:t>
      </w:r>
      <w:r w:rsidRPr="00C0654D">
        <w:rPr>
          <w:rFonts w:eastAsia="TimesNewRoman"/>
          <w:sz w:val="22"/>
          <w:szCs w:val="22"/>
          <w:lang w:val="sr-Latn-ME" w:eastAsia="sr-Latn-CS"/>
        </w:rPr>
        <w:t>ć</w:t>
      </w:r>
      <w:r w:rsidRPr="00C0654D">
        <w:rPr>
          <w:sz w:val="22"/>
          <w:szCs w:val="22"/>
          <w:lang w:val="sr-Latn-ME" w:eastAsia="sr-Latn-CS"/>
        </w:rPr>
        <w:t>anje intenziteta relativne doze tokom prvih šest nedjelja, produženo trajanje lije</w:t>
      </w:r>
      <w:r w:rsidRPr="00C0654D">
        <w:rPr>
          <w:rFonts w:eastAsia="TimesNewRoman"/>
          <w:sz w:val="22"/>
          <w:szCs w:val="22"/>
          <w:lang w:val="sr-Latn-ME" w:eastAsia="sr-Latn-CS"/>
        </w:rPr>
        <w:t>č</w:t>
      </w:r>
      <w:r w:rsidRPr="00C0654D">
        <w:rPr>
          <w:sz w:val="22"/>
          <w:szCs w:val="22"/>
          <w:lang w:val="sr-Latn-ME" w:eastAsia="sr-Latn-CS"/>
        </w:rPr>
        <w:t>enja u studiji (nedjelje), pove</w:t>
      </w:r>
      <w:r w:rsidRPr="00C0654D">
        <w:rPr>
          <w:rFonts w:eastAsia="TimesNewRoman"/>
          <w:sz w:val="22"/>
          <w:szCs w:val="22"/>
          <w:lang w:val="sr-Latn-ME" w:eastAsia="sr-Latn-CS"/>
        </w:rPr>
        <w:t>ć</w:t>
      </w:r>
      <w:r w:rsidRPr="00C0654D">
        <w:rPr>
          <w:sz w:val="22"/>
          <w:szCs w:val="22"/>
          <w:lang w:val="sr-Latn-ME" w:eastAsia="sr-Latn-CS"/>
        </w:rPr>
        <w:t>anje godina starosti (za po 10 godina), ženski pol, dobar ECOG status na početku studije (0 prema ≥1).</w:t>
      </w:r>
    </w:p>
    <w:p w14:paraId="6FDC8D8C" w14:textId="77777777" w:rsidR="008B0AD6" w:rsidRPr="00C0654D" w:rsidRDefault="008B0AD6">
      <w:pPr>
        <w:autoSpaceDE w:val="0"/>
        <w:autoSpaceDN w:val="0"/>
        <w:adjustRightInd w:val="0"/>
        <w:jc w:val="both"/>
        <w:rPr>
          <w:sz w:val="22"/>
          <w:szCs w:val="22"/>
          <w:lang w:val="sr-Latn-ME" w:eastAsia="sr-Latn-CS"/>
        </w:rPr>
      </w:pPr>
    </w:p>
    <w:p w14:paraId="7B2F2273" w14:textId="0E767A8D" w:rsidR="008B0AD6" w:rsidRPr="00C0654D" w:rsidRDefault="008B0AD6">
      <w:pPr>
        <w:autoSpaceDE w:val="0"/>
        <w:autoSpaceDN w:val="0"/>
        <w:adjustRightInd w:val="0"/>
        <w:jc w:val="both"/>
        <w:rPr>
          <w:i/>
          <w:iCs/>
          <w:sz w:val="22"/>
          <w:szCs w:val="22"/>
          <w:u w:val="single"/>
          <w:lang w:val="sr-Latn-ME" w:eastAsia="sr-Latn-CS"/>
        </w:rPr>
      </w:pPr>
      <w:r w:rsidRPr="00C0654D">
        <w:rPr>
          <w:i/>
          <w:iCs/>
          <w:sz w:val="22"/>
          <w:szCs w:val="22"/>
          <w:u w:val="single"/>
          <w:lang w:val="sr-Latn-ME" w:eastAsia="sr-Latn-CS"/>
        </w:rPr>
        <w:t xml:space="preserve">Dijareja (vidjeti </w:t>
      </w:r>
      <w:r w:rsidR="00BA7E76">
        <w:rPr>
          <w:i/>
          <w:iCs/>
          <w:sz w:val="22"/>
          <w:szCs w:val="22"/>
          <w:u w:val="single"/>
          <w:lang w:val="sr-Latn-ME" w:eastAsia="sr-Latn-CS"/>
        </w:rPr>
        <w:t xml:space="preserve">dio </w:t>
      </w:r>
      <w:r w:rsidRPr="00C0654D">
        <w:rPr>
          <w:i/>
          <w:iCs/>
          <w:sz w:val="22"/>
          <w:szCs w:val="22"/>
          <w:u w:val="single"/>
          <w:lang w:val="sr-Latn-ME" w:eastAsia="sr-Latn-CS"/>
        </w:rPr>
        <w:t>4.4):</w:t>
      </w:r>
    </w:p>
    <w:p w14:paraId="5A4999E0"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Primjena kapecitabina može da izazove pojavu dijareje, koja je zabilježena kod najviše 50% pacijenata.</w:t>
      </w:r>
    </w:p>
    <w:p w14:paraId="54A10934"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Rezultati meta-analize podataka iz 14 klini</w:t>
      </w:r>
      <w:r w:rsidRPr="00C0654D">
        <w:rPr>
          <w:rFonts w:eastAsia="TimesNewRoman"/>
          <w:sz w:val="22"/>
          <w:szCs w:val="22"/>
          <w:lang w:val="sr-Latn-ME" w:eastAsia="sr-Latn-CS"/>
        </w:rPr>
        <w:t>č</w:t>
      </w:r>
      <w:r w:rsidRPr="00C0654D">
        <w:rPr>
          <w:sz w:val="22"/>
          <w:szCs w:val="22"/>
          <w:lang w:val="sr-Latn-ME" w:eastAsia="sr-Latn-CS"/>
        </w:rPr>
        <w:t>kih studija sa preko 4700 pacijenata lije</w:t>
      </w:r>
      <w:r w:rsidRPr="00C0654D">
        <w:rPr>
          <w:rFonts w:eastAsia="TimesNewRoman"/>
          <w:sz w:val="22"/>
          <w:szCs w:val="22"/>
          <w:lang w:val="sr-Latn-ME" w:eastAsia="sr-Latn-CS"/>
        </w:rPr>
        <w:t>č</w:t>
      </w:r>
      <w:r w:rsidRPr="00C0654D">
        <w:rPr>
          <w:sz w:val="22"/>
          <w:szCs w:val="22"/>
          <w:lang w:val="sr-Latn-ME" w:eastAsia="sr-Latn-CS"/>
        </w:rPr>
        <w:t>enih kapecitabinom pokazali su da su u svim analiziranim studijama sljede</w:t>
      </w:r>
      <w:r w:rsidRPr="00C0654D">
        <w:rPr>
          <w:rFonts w:eastAsia="TimesNewRoman"/>
          <w:sz w:val="22"/>
          <w:szCs w:val="22"/>
          <w:lang w:val="sr-Latn-ME" w:eastAsia="sr-Latn-CS"/>
        </w:rPr>
        <w:t>ć</w:t>
      </w:r>
      <w:r w:rsidRPr="00C0654D">
        <w:rPr>
          <w:sz w:val="22"/>
          <w:szCs w:val="22"/>
          <w:lang w:val="sr-Latn-ME" w:eastAsia="sr-Latn-CS"/>
        </w:rPr>
        <w:t>i parametri statisti</w:t>
      </w:r>
      <w:r w:rsidRPr="00C0654D">
        <w:rPr>
          <w:rFonts w:eastAsia="TimesNewRoman"/>
          <w:sz w:val="22"/>
          <w:szCs w:val="22"/>
          <w:lang w:val="sr-Latn-ME" w:eastAsia="sr-Latn-CS"/>
        </w:rPr>
        <w:t>č</w:t>
      </w:r>
      <w:r w:rsidRPr="00C0654D">
        <w:rPr>
          <w:sz w:val="22"/>
          <w:szCs w:val="22"/>
          <w:lang w:val="sr-Latn-ME" w:eastAsia="sr-Latn-CS"/>
        </w:rPr>
        <w:t>ki zna</w:t>
      </w:r>
      <w:r w:rsidRPr="00C0654D">
        <w:rPr>
          <w:rFonts w:eastAsia="TimesNewRoman"/>
          <w:sz w:val="22"/>
          <w:szCs w:val="22"/>
          <w:lang w:val="sr-Latn-ME" w:eastAsia="sr-Latn-CS"/>
        </w:rPr>
        <w:t>č</w:t>
      </w:r>
      <w:r w:rsidRPr="00C0654D">
        <w:rPr>
          <w:sz w:val="22"/>
          <w:szCs w:val="22"/>
          <w:lang w:val="sr-Latn-ME" w:eastAsia="sr-Latn-CS"/>
        </w:rPr>
        <w:t>ajno povezani sa pove</w:t>
      </w:r>
      <w:r w:rsidRPr="00C0654D">
        <w:rPr>
          <w:rFonts w:eastAsia="TimesNewRoman"/>
          <w:sz w:val="22"/>
          <w:szCs w:val="22"/>
          <w:lang w:val="sr-Latn-ME" w:eastAsia="sr-Latn-CS"/>
        </w:rPr>
        <w:t>ć</w:t>
      </w:r>
      <w:r w:rsidRPr="00C0654D">
        <w:rPr>
          <w:sz w:val="22"/>
          <w:szCs w:val="22"/>
          <w:lang w:val="sr-Latn-ME" w:eastAsia="sr-Latn-CS"/>
        </w:rPr>
        <w:t>anim rizikom od nastanka dijareje: pove</w:t>
      </w:r>
      <w:r w:rsidRPr="00C0654D">
        <w:rPr>
          <w:rFonts w:eastAsia="TimesNewRoman"/>
          <w:sz w:val="22"/>
          <w:szCs w:val="22"/>
          <w:lang w:val="sr-Latn-ME" w:eastAsia="sr-Latn-CS"/>
        </w:rPr>
        <w:t>ć</w:t>
      </w:r>
      <w:r w:rsidRPr="00C0654D">
        <w:rPr>
          <w:sz w:val="22"/>
          <w:szCs w:val="22"/>
          <w:lang w:val="sr-Latn-ME" w:eastAsia="sr-Latn-CS"/>
        </w:rPr>
        <w:t>anje po</w:t>
      </w:r>
      <w:r w:rsidRPr="00C0654D">
        <w:rPr>
          <w:rFonts w:eastAsia="TimesNewRoman"/>
          <w:sz w:val="22"/>
          <w:szCs w:val="22"/>
          <w:lang w:val="sr-Latn-ME" w:eastAsia="sr-Latn-CS"/>
        </w:rPr>
        <w:t>č</w:t>
      </w:r>
      <w:r w:rsidRPr="00C0654D">
        <w:rPr>
          <w:sz w:val="22"/>
          <w:szCs w:val="22"/>
          <w:lang w:val="sr-Latn-ME" w:eastAsia="sr-Latn-CS"/>
        </w:rPr>
        <w:t>etne doze kapecitabina (gram), produženo trajanje lije</w:t>
      </w:r>
      <w:r w:rsidRPr="00C0654D">
        <w:rPr>
          <w:rFonts w:eastAsia="TimesNewRoman"/>
          <w:sz w:val="22"/>
          <w:szCs w:val="22"/>
          <w:lang w:val="sr-Latn-ME" w:eastAsia="sr-Latn-CS"/>
        </w:rPr>
        <w:t>č</w:t>
      </w:r>
      <w:r w:rsidRPr="00C0654D">
        <w:rPr>
          <w:sz w:val="22"/>
          <w:szCs w:val="22"/>
          <w:lang w:val="sr-Latn-ME" w:eastAsia="sr-Latn-CS"/>
        </w:rPr>
        <w:t>enja u studiji (nedjelje), pove</w:t>
      </w:r>
      <w:r w:rsidRPr="00C0654D">
        <w:rPr>
          <w:rFonts w:eastAsia="TimesNewRoman"/>
          <w:sz w:val="22"/>
          <w:szCs w:val="22"/>
          <w:lang w:val="sr-Latn-ME" w:eastAsia="sr-Latn-CS"/>
        </w:rPr>
        <w:t>ć</w:t>
      </w:r>
      <w:r w:rsidRPr="00C0654D">
        <w:rPr>
          <w:sz w:val="22"/>
          <w:szCs w:val="22"/>
          <w:lang w:val="sr-Latn-ME" w:eastAsia="sr-Latn-CS"/>
        </w:rPr>
        <w:t>anje godina starosti (za po 10 godina) i ženski pol. Sljede</w:t>
      </w:r>
      <w:r w:rsidRPr="00C0654D">
        <w:rPr>
          <w:rFonts w:eastAsia="TimesNewRoman"/>
          <w:sz w:val="22"/>
          <w:szCs w:val="22"/>
          <w:lang w:val="sr-Latn-ME" w:eastAsia="sr-Latn-CS"/>
        </w:rPr>
        <w:t>ć</w:t>
      </w:r>
      <w:r w:rsidRPr="00C0654D">
        <w:rPr>
          <w:sz w:val="22"/>
          <w:szCs w:val="22"/>
          <w:lang w:val="sr-Latn-ME" w:eastAsia="sr-Latn-CS"/>
        </w:rPr>
        <w:t>i parametri bili su statisti</w:t>
      </w:r>
      <w:r w:rsidRPr="00C0654D">
        <w:rPr>
          <w:rFonts w:eastAsia="TimesNewRoman"/>
          <w:sz w:val="22"/>
          <w:szCs w:val="22"/>
          <w:lang w:val="sr-Latn-ME" w:eastAsia="sr-Latn-CS"/>
        </w:rPr>
        <w:t>č</w:t>
      </w:r>
      <w:r w:rsidRPr="00C0654D">
        <w:rPr>
          <w:sz w:val="22"/>
          <w:szCs w:val="22"/>
          <w:lang w:val="sr-Latn-ME" w:eastAsia="sr-Latn-CS"/>
        </w:rPr>
        <w:t>ki zna</w:t>
      </w:r>
      <w:r w:rsidRPr="00C0654D">
        <w:rPr>
          <w:rFonts w:eastAsia="TimesNewRoman"/>
          <w:sz w:val="22"/>
          <w:szCs w:val="22"/>
          <w:lang w:val="sr-Latn-ME" w:eastAsia="sr-Latn-CS"/>
        </w:rPr>
        <w:t>č</w:t>
      </w:r>
      <w:r w:rsidRPr="00C0654D">
        <w:rPr>
          <w:sz w:val="22"/>
          <w:szCs w:val="22"/>
          <w:lang w:val="sr-Latn-ME" w:eastAsia="sr-Latn-CS"/>
        </w:rPr>
        <w:t>ajno povezani sa smanjenjem rizika od nastanka dijareje: pove</w:t>
      </w:r>
      <w:r w:rsidRPr="00C0654D">
        <w:rPr>
          <w:rFonts w:eastAsia="TimesNewRoman"/>
          <w:sz w:val="22"/>
          <w:szCs w:val="22"/>
          <w:lang w:val="sr-Latn-ME" w:eastAsia="sr-Latn-CS"/>
        </w:rPr>
        <w:t>ć</w:t>
      </w:r>
      <w:r w:rsidRPr="00C0654D">
        <w:rPr>
          <w:sz w:val="22"/>
          <w:szCs w:val="22"/>
          <w:lang w:val="sr-Latn-ME" w:eastAsia="sr-Latn-CS"/>
        </w:rPr>
        <w:t>anje kumulativne doze kapecitabina (0.1*kg) i pove</w:t>
      </w:r>
      <w:r w:rsidRPr="00C0654D">
        <w:rPr>
          <w:rFonts w:eastAsia="TimesNewRoman"/>
          <w:sz w:val="22"/>
          <w:szCs w:val="22"/>
          <w:lang w:val="sr-Latn-ME" w:eastAsia="sr-Latn-CS"/>
        </w:rPr>
        <w:t>ć</w:t>
      </w:r>
      <w:r w:rsidRPr="00C0654D">
        <w:rPr>
          <w:sz w:val="22"/>
          <w:szCs w:val="22"/>
          <w:lang w:val="sr-Latn-ME" w:eastAsia="sr-Latn-CS"/>
        </w:rPr>
        <w:t>anje intenziteta relativne doze tokom prvih šest nedjelja.</w:t>
      </w:r>
    </w:p>
    <w:p w14:paraId="40EB0022" w14:textId="77777777" w:rsidR="008B0AD6" w:rsidRPr="00C0654D" w:rsidRDefault="008B0AD6">
      <w:pPr>
        <w:autoSpaceDE w:val="0"/>
        <w:autoSpaceDN w:val="0"/>
        <w:adjustRightInd w:val="0"/>
        <w:jc w:val="both"/>
        <w:rPr>
          <w:sz w:val="22"/>
          <w:szCs w:val="22"/>
          <w:lang w:val="sr-Latn-ME" w:eastAsia="sr-Latn-CS"/>
        </w:rPr>
      </w:pPr>
    </w:p>
    <w:p w14:paraId="1270F5F1" w14:textId="7A163D91" w:rsidR="008B0AD6" w:rsidRPr="00C0654D" w:rsidRDefault="008B0AD6">
      <w:pPr>
        <w:autoSpaceDE w:val="0"/>
        <w:autoSpaceDN w:val="0"/>
        <w:adjustRightInd w:val="0"/>
        <w:jc w:val="both"/>
        <w:rPr>
          <w:i/>
          <w:iCs/>
          <w:sz w:val="22"/>
          <w:szCs w:val="22"/>
          <w:u w:val="single"/>
          <w:lang w:val="sr-Latn-ME" w:eastAsia="sr-Latn-CS"/>
        </w:rPr>
      </w:pPr>
      <w:r w:rsidRPr="00C0654D">
        <w:rPr>
          <w:i/>
          <w:iCs/>
          <w:sz w:val="22"/>
          <w:szCs w:val="22"/>
          <w:u w:val="single"/>
          <w:lang w:val="sr-Latn-ME" w:eastAsia="sr-Latn-CS"/>
        </w:rPr>
        <w:t>Kardiotoksi</w:t>
      </w:r>
      <w:r w:rsidRPr="00C0654D">
        <w:rPr>
          <w:rFonts w:eastAsia="TimesNewRoman,Italic"/>
          <w:i/>
          <w:iCs/>
          <w:sz w:val="22"/>
          <w:szCs w:val="22"/>
          <w:u w:val="single"/>
          <w:lang w:val="sr-Latn-ME" w:eastAsia="sr-Latn-CS"/>
        </w:rPr>
        <w:t>č</w:t>
      </w:r>
      <w:r w:rsidRPr="00C0654D">
        <w:rPr>
          <w:i/>
          <w:iCs/>
          <w:sz w:val="22"/>
          <w:szCs w:val="22"/>
          <w:u w:val="single"/>
          <w:lang w:val="sr-Latn-ME" w:eastAsia="sr-Latn-CS"/>
        </w:rPr>
        <w:t xml:space="preserve">nost (vidjeti </w:t>
      </w:r>
      <w:r w:rsidR="00BA7E76">
        <w:rPr>
          <w:i/>
          <w:iCs/>
          <w:sz w:val="22"/>
          <w:szCs w:val="22"/>
          <w:u w:val="single"/>
          <w:lang w:val="sr-Latn-ME" w:eastAsia="sr-Latn-CS"/>
        </w:rPr>
        <w:t xml:space="preserve">dio </w:t>
      </w:r>
      <w:r w:rsidRPr="00C0654D">
        <w:rPr>
          <w:i/>
          <w:iCs/>
          <w:sz w:val="22"/>
          <w:szCs w:val="22"/>
          <w:u w:val="single"/>
          <w:lang w:val="sr-Latn-ME" w:eastAsia="sr-Latn-CS"/>
        </w:rPr>
        <w:t>4.4):</w:t>
      </w:r>
    </w:p>
    <w:p w14:paraId="1297CD02"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Osim neželjenih reakcija opisanih u tabelama 4. i 5., sljede</w:t>
      </w:r>
      <w:r w:rsidRPr="00C0654D">
        <w:rPr>
          <w:rFonts w:eastAsia="TimesNewRoman"/>
          <w:sz w:val="22"/>
          <w:szCs w:val="22"/>
          <w:lang w:val="sr-Latn-ME" w:eastAsia="sr-Latn-CS"/>
        </w:rPr>
        <w:t>ć</w:t>
      </w:r>
      <w:r w:rsidRPr="00C0654D">
        <w:rPr>
          <w:sz w:val="22"/>
          <w:szCs w:val="22"/>
          <w:lang w:val="sr-Latn-ME" w:eastAsia="sr-Latn-CS"/>
        </w:rPr>
        <w:t>e neželjene reakcije sa incidencom manjom od 0.1% se povezuju sa kapecitabin monoterapijom, na osnovu zbirne analize podataka o klini</w:t>
      </w:r>
      <w:r w:rsidRPr="00C0654D">
        <w:rPr>
          <w:rFonts w:eastAsia="TimesNewRoman"/>
          <w:sz w:val="22"/>
          <w:szCs w:val="22"/>
          <w:lang w:val="sr-Latn-ME" w:eastAsia="sr-Latn-CS"/>
        </w:rPr>
        <w:t>č</w:t>
      </w:r>
      <w:r w:rsidRPr="00C0654D">
        <w:rPr>
          <w:sz w:val="22"/>
          <w:szCs w:val="22"/>
          <w:lang w:val="sr-Latn-ME" w:eastAsia="sr-Latn-CS"/>
        </w:rPr>
        <w:t>koj bezbjednosti iz 7 klini</w:t>
      </w:r>
      <w:r w:rsidRPr="00C0654D">
        <w:rPr>
          <w:rFonts w:eastAsia="TimesNewRoman"/>
          <w:sz w:val="22"/>
          <w:szCs w:val="22"/>
          <w:lang w:val="sr-Latn-ME" w:eastAsia="sr-Latn-CS"/>
        </w:rPr>
        <w:t>č</w:t>
      </w:r>
      <w:r w:rsidRPr="00C0654D">
        <w:rPr>
          <w:sz w:val="22"/>
          <w:szCs w:val="22"/>
          <w:lang w:val="sr-Latn-ME" w:eastAsia="sr-Latn-CS"/>
        </w:rPr>
        <w:t>kih studija sa 949 pacijenata (2 klini</w:t>
      </w:r>
      <w:r w:rsidRPr="00C0654D">
        <w:rPr>
          <w:rFonts w:eastAsia="TimesNewRoman"/>
          <w:sz w:val="22"/>
          <w:szCs w:val="22"/>
          <w:lang w:val="sr-Latn-ME" w:eastAsia="sr-Latn-CS"/>
        </w:rPr>
        <w:t>č</w:t>
      </w:r>
      <w:r w:rsidRPr="00C0654D">
        <w:rPr>
          <w:sz w:val="22"/>
          <w:szCs w:val="22"/>
          <w:lang w:val="sr-Latn-ME" w:eastAsia="sr-Latn-CS"/>
        </w:rPr>
        <w:t>ke studije faze III i 5 studija faze II  metastatskog kolorektalnog i metastatskog karcinoma dojke): kardiomiopatija, sr</w:t>
      </w:r>
      <w:r w:rsidRPr="00C0654D">
        <w:rPr>
          <w:rFonts w:eastAsia="TimesNewRoman"/>
          <w:sz w:val="22"/>
          <w:szCs w:val="22"/>
          <w:lang w:val="sr-Latn-ME" w:eastAsia="sr-Latn-CS"/>
        </w:rPr>
        <w:t>č</w:t>
      </w:r>
      <w:r w:rsidRPr="00C0654D">
        <w:rPr>
          <w:sz w:val="22"/>
          <w:szCs w:val="22"/>
          <w:lang w:val="sr-Latn-ME" w:eastAsia="sr-Latn-CS"/>
        </w:rPr>
        <w:t>ana insuficijencija, iznenadna smrt i ventrikularne ekstrasistole.</w:t>
      </w:r>
    </w:p>
    <w:p w14:paraId="64A090E1" w14:textId="77777777" w:rsidR="008B0AD6" w:rsidRPr="00C0654D" w:rsidRDefault="008B0AD6">
      <w:pPr>
        <w:autoSpaceDE w:val="0"/>
        <w:autoSpaceDN w:val="0"/>
        <w:adjustRightInd w:val="0"/>
        <w:jc w:val="both"/>
        <w:rPr>
          <w:i/>
          <w:iCs/>
          <w:sz w:val="22"/>
          <w:szCs w:val="22"/>
          <w:u w:val="single"/>
          <w:lang w:val="sr-Latn-ME" w:eastAsia="sr-Latn-CS"/>
        </w:rPr>
      </w:pPr>
    </w:p>
    <w:p w14:paraId="7EE2E8B1" w14:textId="77777777" w:rsidR="008B0AD6" w:rsidRPr="00C0654D" w:rsidRDefault="008B0AD6">
      <w:pPr>
        <w:autoSpaceDE w:val="0"/>
        <w:autoSpaceDN w:val="0"/>
        <w:adjustRightInd w:val="0"/>
        <w:jc w:val="both"/>
        <w:rPr>
          <w:i/>
          <w:iCs/>
          <w:sz w:val="22"/>
          <w:szCs w:val="22"/>
          <w:u w:val="single"/>
          <w:lang w:val="sr-Latn-ME" w:eastAsia="sr-Latn-CS"/>
        </w:rPr>
      </w:pPr>
      <w:r w:rsidRPr="00C0654D">
        <w:rPr>
          <w:i/>
          <w:iCs/>
          <w:sz w:val="22"/>
          <w:szCs w:val="22"/>
          <w:u w:val="single"/>
          <w:lang w:val="sr-Latn-ME" w:eastAsia="sr-Latn-CS"/>
        </w:rPr>
        <w:t>Encefalopatija:</w:t>
      </w:r>
    </w:p>
    <w:p w14:paraId="6205D026" w14:textId="6CCD0D92" w:rsidR="008B0AD6" w:rsidRDefault="008B0AD6">
      <w:pPr>
        <w:autoSpaceDE w:val="0"/>
        <w:autoSpaceDN w:val="0"/>
        <w:adjustRightInd w:val="0"/>
        <w:jc w:val="both"/>
        <w:rPr>
          <w:sz w:val="22"/>
          <w:szCs w:val="22"/>
          <w:lang w:val="sr-Latn-ME" w:eastAsia="sr-Latn-CS"/>
        </w:rPr>
      </w:pPr>
      <w:r w:rsidRPr="00C0654D">
        <w:rPr>
          <w:sz w:val="22"/>
          <w:szCs w:val="22"/>
          <w:lang w:val="sr-Latn-ME" w:eastAsia="sr-Latn-CS"/>
        </w:rPr>
        <w:t>Osim neželjenih reakcija opisanih u tabelama 4. i 5., a na osnovu gore navedene zbirne analize podataka o klini</w:t>
      </w:r>
      <w:r w:rsidRPr="00C0654D">
        <w:rPr>
          <w:rFonts w:eastAsia="TimesNewRoman"/>
          <w:sz w:val="22"/>
          <w:szCs w:val="22"/>
          <w:lang w:val="sr-Latn-ME" w:eastAsia="sr-Latn-CS"/>
        </w:rPr>
        <w:t>č</w:t>
      </w:r>
      <w:r w:rsidRPr="00C0654D">
        <w:rPr>
          <w:sz w:val="22"/>
          <w:szCs w:val="22"/>
          <w:lang w:val="sr-Latn-ME" w:eastAsia="sr-Latn-CS"/>
        </w:rPr>
        <w:t>koj bezbjednosti iz 7 klini</w:t>
      </w:r>
      <w:r w:rsidRPr="00C0654D">
        <w:rPr>
          <w:rFonts w:eastAsia="TimesNewRoman"/>
          <w:sz w:val="22"/>
          <w:szCs w:val="22"/>
          <w:lang w:val="sr-Latn-ME" w:eastAsia="sr-Latn-CS"/>
        </w:rPr>
        <w:t>č</w:t>
      </w:r>
      <w:r w:rsidRPr="00C0654D">
        <w:rPr>
          <w:sz w:val="22"/>
          <w:szCs w:val="22"/>
          <w:lang w:val="sr-Latn-ME" w:eastAsia="sr-Latn-CS"/>
        </w:rPr>
        <w:t>kih studija, encefalopatija se tako</w:t>
      </w:r>
      <w:r w:rsidRPr="00C0654D">
        <w:rPr>
          <w:rFonts w:eastAsia="TimesNewRoman"/>
          <w:sz w:val="22"/>
          <w:szCs w:val="22"/>
          <w:lang w:val="sr-Latn-ME" w:eastAsia="sr-Latn-CS"/>
        </w:rPr>
        <w:t>đ</w:t>
      </w:r>
      <w:r w:rsidRPr="00C0654D">
        <w:rPr>
          <w:sz w:val="22"/>
          <w:szCs w:val="22"/>
          <w:lang w:val="sr-Latn-ME" w:eastAsia="sr-Latn-CS"/>
        </w:rPr>
        <w:t>e povezuje sa monoterapijom kapecitabinom sa incidencom manjom od 0.1%.</w:t>
      </w:r>
    </w:p>
    <w:p w14:paraId="118E9081" w14:textId="6A57F17B" w:rsidR="0002629C" w:rsidRDefault="0002629C">
      <w:pPr>
        <w:autoSpaceDE w:val="0"/>
        <w:autoSpaceDN w:val="0"/>
        <w:adjustRightInd w:val="0"/>
        <w:jc w:val="both"/>
        <w:rPr>
          <w:sz w:val="22"/>
          <w:szCs w:val="22"/>
          <w:lang w:val="sr-Latn-ME" w:eastAsia="sr-Latn-CS"/>
        </w:rPr>
      </w:pPr>
    </w:p>
    <w:p w14:paraId="1E04F62F" w14:textId="77777777" w:rsidR="0002629C" w:rsidRDefault="0002629C">
      <w:pPr>
        <w:tabs>
          <w:tab w:val="left" w:pos="720"/>
        </w:tabs>
        <w:autoSpaceDE w:val="0"/>
        <w:autoSpaceDN w:val="0"/>
        <w:adjustRightInd w:val="0"/>
        <w:jc w:val="both"/>
        <w:rPr>
          <w:i/>
          <w:iCs/>
          <w:sz w:val="22"/>
          <w:szCs w:val="22"/>
          <w:u w:val="single"/>
          <w:lang w:val="sr-Latn-RS" w:eastAsia="sr-Latn-CS"/>
        </w:rPr>
      </w:pPr>
      <w:r>
        <w:rPr>
          <w:i/>
          <w:iCs/>
          <w:sz w:val="22"/>
          <w:szCs w:val="22"/>
          <w:u w:val="single"/>
          <w:lang w:val="sr-Latn-RS" w:eastAsia="sr-Latn-CS"/>
        </w:rPr>
        <w:t>Izlaganje zdrobljenim ili prelomljenim tabletama kapecitabina:</w:t>
      </w:r>
    </w:p>
    <w:p w14:paraId="4AD7DB4B" w14:textId="7C6726C3" w:rsidR="0002629C" w:rsidRPr="003250C0" w:rsidRDefault="0002629C">
      <w:pPr>
        <w:tabs>
          <w:tab w:val="left" w:pos="720"/>
        </w:tabs>
        <w:autoSpaceDE w:val="0"/>
        <w:autoSpaceDN w:val="0"/>
        <w:adjustRightInd w:val="0"/>
        <w:jc w:val="both"/>
        <w:rPr>
          <w:sz w:val="22"/>
          <w:szCs w:val="22"/>
          <w:lang w:val="sr-Latn-RS" w:eastAsia="sr-Latn-CS"/>
        </w:rPr>
      </w:pPr>
      <w:r>
        <w:rPr>
          <w:sz w:val="22"/>
          <w:szCs w:val="22"/>
          <w:lang w:val="sr-Latn-RS" w:eastAsia="sr-Latn-CS"/>
        </w:rPr>
        <w:t>Prilikom izlaganja zdrobljenim ili prelomljenim tabletama kapecitabina prijavljene su sl</w:t>
      </w:r>
      <w:r w:rsidR="00191075">
        <w:rPr>
          <w:sz w:val="22"/>
          <w:szCs w:val="22"/>
          <w:lang w:val="sr-Latn-RS" w:eastAsia="sr-Latn-CS"/>
        </w:rPr>
        <w:t>j</w:t>
      </w:r>
      <w:r>
        <w:rPr>
          <w:sz w:val="22"/>
          <w:szCs w:val="22"/>
          <w:lang w:val="sr-Latn-RS" w:eastAsia="sr-Latn-CS"/>
        </w:rPr>
        <w:t>edeće neželjene reakcije: iritacija oka, oticanje oka, osip na koži, glavobolja, parestezija, proliv, mučnina, iritacija želuca i povraćanje.</w:t>
      </w:r>
    </w:p>
    <w:p w14:paraId="140F39C5" w14:textId="77777777" w:rsidR="008B0AD6" w:rsidRPr="00C0654D" w:rsidRDefault="008B0AD6">
      <w:pPr>
        <w:autoSpaceDE w:val="0"/>
        <w:autoSpaceDN w:val="0"/>
        <w:adjustRightInd w:val="0"/>
        <w:jc w:val="both"/>
        <w:rPr>
          <w:i/>
          <w:iCs/>
          <w:sz w:val="22"/>
          <w:szCs w:val="22"/>
          <w:lang w:val="sr-Latn-ME" w:eastAsia="sr-Latn-CS"/>
        </w:rPr>
      </w:pPr>
    </w:p>
    <w:p w14:paraId="2727E6A0" w14:textId="77777777" w:rsidR="008B0AD6" w:rsidRPr="00C0654D" w:rsidRDefault="008B0AD6">
      <w:pPr>
        <w:autoSpaceDE w:val="0"/>
        <w:autoSpaceDN w:val="0"/>
        <w:adjustRightInd w:val="0"/>
        <w:jc w:val="both"/>
        <w:rPr>
          <w:iCs/>
          <w:sz w:val="22"/>
          <w:szCs w:val="22"/>
          <w:u w:val="single"/>
          <w:lang w:val="sr-Latn-ME" w:eastAsia="sr-Latn-CS"/>
        </w:rPr>
      </w:pPr>
      <w:r w:rsidRPr="00C0654D">
        <w:rPr>
          <w:iCs/>
          <w:sz w:val="22"/>
          <w:szCs w:val="22"/>
          <w:u w:val="single"/>
          <w:lang w:val="sr-Latn-ME" w:eastAsia="sr-Latn-CS"/>
        </w:rPr>
        <w:t>Posebne grupe pacijenata</w:t>
      </w:r>
    </w:p>
    <w:p w14:paraId="40C75A79" w14:textId="77777777" w:rsidR="008B0AD6" w:rsidRPr="00C0654D" w:rsidRDefault="008B0AD6">
      <w:pPr>
        <w:autoSpaceDE w:val="0"/>
        <w:autoSpaceDN w:val="0"/>
        <w:adjustRightInd w:val="0"/>
        <w:jc w:val="both"/>
        <w:rPr>
          <w:iCs/>
          <w:sz w:val="22"/>
          <w:szCs w:val="22"/>
          <w:u w:val="single"/>
          <w:lang w:val="sr-Latn-ME" w:eastAsia="sr-Latn-CS"/>
        </w:rPr>
      </w:pPr>
    </w:p>
    <w:p w14:paraId="3AE69F56" w14:textId="04E72BB9" w:rsidR="008B0AD6" w:rsidRPr="00C0654D" w:rsidRDefault="008B0AD6">
      <w:pPr>
        <w:autoSpaceDE w:val="0"/>
        <w:autoSpaceDN w:val="0"/>
        <w:adjustRightInd w:val="0"/>
        <w:jc w:val="both"/>
        <w:rPr>
          <w:i/>
          <w:iCs/>
          <w:sz w:val="22"/>
          <w:szCs w:val="22"/>
          <w:u w:val="single"/>
          <w:lang w:val="sr-Latn-ME" w:eastAsia="sr-Latn-CS"/>
        </w:rPr>
      </w:pPr>
      <w:r w:rsidRPr="00C0654D">
        <w:rPr>
          <w:i/>
          <w:iCs/>
          <w:sz w:val="22"/>
          <w:szCs w:val="22"/>
          <w:u w:val="single"/>
          <w:lang w:val="sr-Latn-ME" w:eastAsia="sr-Latn-CS"/>
        </w:rPr>
        <w:t xml:space="preserve">Stariji pacijenti (vidjeti </w:t>
      </w:r>
      <w:r w:rsidR="00BA7E76">
        <w:rPr>
          <w:i/>
          <w:iCs/>
          <w:sz w:val="22"/>
          <w:szCs w:val="22"/>
          <w:u w:val="single"/>
          <w:lang w:val="sr-Latn-ME" w:eastAsia="sr-Latn-CS"/>
        </w:rPr>
        <w:t xml:space="preserve">dio </w:t>
      </w:r>
      <w:r w:rsidRPr="00C0654D">
        <w:rPr>
          <w:i/>
          <w:iCs/>
          <w:sz w:val="22"/>
          <w:szCs w:val="22"/>
          <w:u w:val="single"/>
          <w:lang w:val="sr-Latn-ME" w:eastAsia="sr-Latn-CS"/>
        </w:rPr>
        <w:t>4.2):</w:t>
      </w:r>
    </w:p>
    <w:p w14:paraId="3C7B75BE" w14:textId="03351450"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Analiza bezbjednosnih podataka kod pacijenata starosti ≥60 godina lije</w:t>
      </w:r>
      <w:r w:rsidRPr="00C0654D">
        <w:rPr>
          <w:rFonts w:eastAsia="TimesNewRoman"/>
          <w:sz w:val="22"/>
          <w:szCs w:val="22"/>
          <w:lang w:val="sr-Latn-ME" w:eastAsia="sr-Latn-CS"/>
        </w:rPr>
        <w:t>č</w:t>
      </w:r>
      <w:r w:rsidRPr="00C0654D">
        <w:rPr>
          <w:sz w:val="22"/>
          <w:szCs w:val="22"/>
          <w:lang w:val="sr-Latn-ME" w:eastAsia="sr-Latn-CS"/>
        </w:rPr>
        <w:t>enih kapecitabin monoterapijom</w:t>
      </w:r>
      <w:r w:rsidRPr="00C0654D">
        <w:rPr>
          <w:sz w:val="22"/>
          <w:szCs w:val="22"/>
          <w:lang w:val="sr-Latn-ME"/>
        </w:rPr>
        <w:t xml:space="preserve"> </w:t>
      </w:r>
      <w:r w:rsidRPr="00C0654D">
        <w:rPr>
          <w:sz w:val="22"/>
          <w:szCs w:val="22"/>
          <w:lang w:val="sr-Latn-ME" w:eastAsia="sr-Latn-CS"/>
        </w:rPr>
        <w:t>i analiza podataka kod pacijenata lje</w:t>
      </w:r>
      <w:r w:rsidRPr="00C0654D">
        <w:rPr>
          <w:rFonts w:eastAsia="TimesNewRoman"/>
          <w:sz w:val="22"/>
          <w:szCs w:val="22"/>
          <w:lang w:val="sr-Latn-ME" w:eastAsia="sr-Latn-CS"/>
        </w:rPr>
        <w:t>č</w:t>
      </w:r>
      <w:r w:rsidRPr="00C0654D">
        <w:rPr>
          <w:sz w:val="22"/>
          <w:szCs w:val="22"/>
          <w:lang w:val="sr-Latn-ME" w:eastAsia="sr-Latn-CS"/>
        </w:rPr>
        <w:t>enih kombinovanom terapijom kapecitabina i docetaksela pokazala je pove</w:t>
      </w:r>
      <w:r w:rsidRPr="00C0654D">
        <w:rPr>
          <w:rFonts w:eastAsia="TimesNewRoman"/>
          <w:sz w:val="22"/>
          <w:szCs w:val="22"/>
          <w:lang w:val="sr-Latn-ME" w:eastAsia="sr-Latn-CS"/>
        </w:rPr>
        <w:t>ć</w:t>
      </w:r>
      <w:r w:rsidRPr="00C0654D">
        <w:rPr>
          <w:sz w:val="22"/>
          <w:szCs w:val="22"/>
          <w:lang w:val="sr-Latn-ME" w:eastAsia="sr-Latn-CS"/>
        </w:rPr>
        <w:t>anje incidence neželjenih reakcija na terapiju stepena 3 i 4, i ozbiljnih neželjenih reakcija na terapiju u pore</w:t>
      </w:r>
      <w:r w:rsidRPr="00C0654D">
        <w:rPr>
          <w:rFonts w:eastAsia="TimesNewRoman"/>
          <w:sz w:val="22"/>
          <w:szCs w:val="22"/>
          <w:lang w:val="sr-Latn-ME" w:eastAsia="sr-Latn-CS"/>
        </w:rPr>
        <w:t>đ</w:t>
      </w:r>
      <w:r w:rsidRPr="00C0654D">
        <w:rPr>
          <w:sz w:val="22"/>
          <w:szCs w:val="22"/>
          <w:lang w:val="sr-Latn-ME" w:eastAsia="sr-Latn-CS"/>
        </w:rPr>
        <w:t>enju sa pacijentima &lt;60 godina. Pacijenti ≥60 godina lje</w:t>
      </w:r>
      <w:r w:rsidRPr="00C0654D">
        <w:rPr>
          <w:rFonts w:eastAsia="TimesNewRoman"/>
          <w:sz w:val="22"/>
          <w:szCs w:val="22"/>
          <w:lang w:val="sr-Latn-ME" w:eastAsia="sr-Latn-CS"/>
        </w:rPr>
        <w:t>č</w:t>
      </w:r>
      <w:r w:rsidRPr="00C0654D">
        <w:rPr>
          <w:sz w:val="22"/>
          <w:szCs w:val="22"/>
          <w:lang w:val="sr-Latn-ME" w:eastAsia="sr-Latn-CS"/>
        </w:rPr>
        <w:t>eni kombinovanom terapijom kapecitabina i docetaksela imali su tako</w:t>
      </w:r>
      <w:r w:rsidRPr="00C0654D">
        <w:rPr>
          <w:rFonts w:eastAsia="TimesNewRoman"/>
          <w:sz w:val="22"/>
          <w:szCs w:val="22"/>
          <w:lang w:val="sr-Latn-ME" w:eastAsia="sr-Latn-CS"/>
        </w:rPr>
        <w:t>đ</w:t>
      </w:r>
      <w:r w:rsidRPr="00C0654D">
        <w:rPr>
          <w:sz w:val="22"/>
          <w:szCs w:val="22"/>
          <w:lang w:val="sr-Latn-ME" w:eastAsia="sr-Latn-CS"/>
        </w:rPr>
        <w:t>e i više ranijih prekida terapije zbog neželjenih reakcija u pore</w:t>
      </w:r>
      <w:r w:rsidRPr="00C0654D">
        <w:rPr>
          <w:rFonts w:eastAsia="TimesNewRoman"/>
          <w:sz w:val="22"/>
          <w:szCs w:val="22"/>
          <w:lang w:val="sr-Latn-ME" w:eastAsia="sr-Latn-CS"/>
        </w:rPr>
        <w:t>đ</w:t>
      </w:r>
      <w:r w:rsidRPr="00C0654D">
        <w:rPr>
          <w:sz w:val="22"/>
          <w:szCs w:val="22"/>
          <w:lang w:val="sr-Latn-ME" w:eastAsia="sr-Latn-CS"/>
        </w:rPr>
        <w:t>enju sa pacijentima starosti &lt;60 godina.</w:t>
      </w:r>
    </w:p>
    <w:p w14:paraId="6760C925" w14:textId="77777777" w:rsidR="008B0AD6" w:rsidRPr="00C0654D" w:rsidRDefault="008B0AD6">
      <w:pPr>
        <w:autoSpaceDE w:val="0"/>
        <w:autoSpaceDN w:val="0"/>
        <w:adjustRightInd w:val="0"/>
        <w:jc w:val="both"/>
        <w:rPr>
          <w:sz w:val="22"/>
          <w:szCs w:val="22"/>
          <w:lang w:val="sr-Latn-ME" w:eastAsia="sr-Latn-CS"/>
        </w:rPr>
      </w:pPr>
    </w:p>
    <w:p w14:paraId="07118974"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Rezultati meta-analize podataka iz 14 klini</w:t>
      </w:r>
      <w:r w:rsidRPr="00C0654D">
        <w:rPr>
          <w:rFonts w:eastAsia="TimesNewRoman"/>
          <w:sz w:val="22"/>
          <w:szCs w:val="22"/>
          <w:lang w:val="sr-Latn-ME" w:eastAsia="sr-Latn-CS"/>
        </w:rPr>
        <w:t>č</w:t>
      </w:r>
      <w:r w:rsidRPr="00C0654D">
        <w:rPr>
          <w:sz w:val="22"/>
          <w:szCs w:val="22"/>
          <w:lang w:val="sr-Latn-ME" w:eastAsia="sr-Latn-CS"/>
        </w:rPr>
        <w:t>kih studija sa preko 4700 pacijenata lije</w:t>
      </w:r>
      <w:r w:rsidRPr="00C0654D">
        <w:rPr>
          <w:rFonts w:eastAsia="TimesNewRoman"/>
          <w:sz w:val="22"/>
          <w:szCs w:val="22"/>
          <w:lang w:val="sr-Latn-ME" w:eastAsia="sr-Latn-CS"/>
        </w:rPr>
        <w:t>č</w:t>
      </w:r>
      <w:r w:rsidRPr="00C0654D">
        <w:rPr>
          <w:sz w:val="22"/>
          <w:szCs w:val="22"/>
          <w:lang w:val="sr-Latn-ME" w:eastAsia="sr-Latn-CS"/>
        </w:rPr>
        <w:t>enih kapecitabinom pokazali su da je u svim analiziranim studijama pove</w:t>
      </w:r>
      <w:r w:rsidRPr="00C0654D">
        <w:rPr>
          <w:rFonts w:eastAsia="TimesNewRoman"/>
          <w:sz w:val="22"/>
          <w:szCs w:val="22"/>
          <w:lang w:val="sr-Latn-ME" w:eastAsia="sr-Latn-CS"/>
        </w:rPr>
        <w:t>ć</w:t>
      </w:r>
      <w:r w:rsidRPr="00C0654D">
        <w:rPr>
          <w:sz w:val="22"/>
          <w:szCs w:val="22"/>
          <w:lang w:val="sr-Latn-ME" w:eastAsia="sr-Latn-CS"/>
        </w:rPr>
        <w:t>anje godina starosti (za po 10 godina) bilo statisti</w:t>
      </w:r>
      <w:r w:rsidRPr="00C0654D">
        <w:rPr>
          <w:rFonts w:eastAsia="TimesNewRoman"/>
          <w:sz w:val="22"/>
          <w:szCs w:val="22"/>
          <w:lang w:val="sr-Latn-ME" w:eastAsia="sr-Latn-CS"/>
        </w:rPr>
        <w:t>č</w:t>
      </w:r>
      <w:r w:rsidRPr="00C0654D">
        <w:rPr>
          <w:sz w:val="22"/>
          <w:szCs w:val="22"/>
          <w:lang w:val="sr-Latn-ME" w:eastAsia="sr-Latn-CS"/>
        </w:rPr>
        <w:t>ki zna</w:t>
      </w:r>
      <w:r w:rsidRPr="00C0654D">
        <w:rPr>
          <w:rFonts w:eastAsia="TimesNewRoman"/>
          <w:sz w:val="22"/>
          <w:szCs w:val="22"/>
          <w:lang w:val="sr-Latn-ME" w:eastAsia="sr-Latn-CS"/>
        </w:rPr>
        <w:t>č</w:t>
      </w:r>
      <w:r w:rsidRPr="00C0654D">
        <w:rPr>
          <w:sz w:val="22"/>
          <w:szCs w:val="22"/>
          <w:lang w:val="sr-Latn-ME" w:eastAsia="sr-Latn-CS"/>
        </w:rPr>
        <w:t>ajno povezano sa pove</w:t>
      </w:r>
      <w:r w:rsidRPr="00C0654D">
        <w:rPr>
          <w:rFonts w:eastAsia="TimesNewRoman"/>
          <w:sz w:val="22"/>
          <w:szCs w:val="22"/>
          <w:lang w:val="sr-Latn-ME" w:eastAsia="sr-Latn-CS"/>
        </w:rPr>
        <w:t>ć</w:t>
      </w:r>
      <w:r w:rsidRPr="00C0654D">
        <w:rPr>
          <w:sz w:val="22"/>
          <w:szCs w:val="22"/>
          <w:lang w:val="sr-Latn-ME" w:eastAsia="sr-Latn-CS"/>
        </w:rPr>
        <w:t>anim rizikom od nastanka sindroma šaka-stopalo i dijareje, i sa smanjenim rizikom od nastanka neutropenije.</w:t>
      </w:r>
    </w:p>
    <w:p w14:paraId="46D2E807" w14:textId="77777777" w:rsidR="008B0AD6" w:rsidRPr="00C0654D" w:rsidRDefault="008B0AD6">
      <w:pPr>
        <w:autoSpaceDE w:val="0"/>
        <w:autoSpaceDN w:val="0"/>
        <w:adjustRightInd w:val="0"/>
        <w:jc w:val="both"/>
        <w:rPr>
          <w:i/>
          <w:iCs/>
          <w:sz w:val="22"/>
          <w:szCs w:val="22"/>
          <w:lang w:val="sr-Latn-ME" w:eastAsia="sr-Latn-CS"/>
        </w:rPr>
      </w:pPr>
    </w:p>
    <w:p w14:paraId="241C39EC" w14:textId="77777777" w:rsidR="008B0AD6" w:rsidRPr="00C0654D" w:rsidRDefault="008B0AD6">
      <w:pPr>
        <w:autoSpaceDE w:val="0"/>
        <w:autoSpaceDN w:val="0"/>
        <w:adjustRightInd w:val="0"/>
        <w:jc w:val="both"/>
        <w:rPr>
          <w:i/>
          <w:iCs/>
          <w:sz w:val="22"/>
          <w:szCs w:val="22"/>
          <w:u w:val="single"/>
          <w:lang w:val="sr-Latn-ME" w:eastAsia="sr-Latn-CS"/>
        </w:rPr>
      </w:pPr>
      <w:r w:rsidRPr="00C0654D">
        <w:rPr>
          <w:i/>
          <w:iCs/>
          <w:sz w:val="22"/>
          <w:szCs w:val="22"/>
          <w:u w:val="single"/>
          <w:lang w:val="sr-Latn-ME" w:eastAsia="sr-Latn-CS"/>
        </w:rPr>
        <w:t>Pol</w:t>
      </w:r>
    </w:p>
    <w:p w14:paraId="69E6E35B" w14:textId="7777777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Rezultati meta-analize podataka iz 14 klini</w:t>
      </w:r>
      <w:r w:rsidRPr="00C0654D">
        <w:rPr>
          <w:rFonts w:eastAsia="TimesNewRoman"/>
          <w:sz w:val="22"/>
          <w:szCs w:val="22"/>
          <w:lang w:val="sr-Latn-ME" w:eastAsia="sr-Latn-CS"/>
        </w:rPr>
        <w:t>č</w:t>
      </w:r>
      <w:r w:rsidRPr="00C0654D">
        <w:rPr>
          <w:sz w:val="22"/>
          <w:szCs w:val="22"/>
          <w:lang w:val="sr-Latn-ME" w:eastAsia="sr-Latn-CS"/>
        </w:rPr>
        <w:t>kih studija sa preko 4700 pacijenata lije</w:t>
      </w:r>
      <w:r w:rsidRPr="00C0654D">
        <w:rPr>
          <w:rFonts w:eastAsia="TimesNewRoman"/>
          <w:sz w:val="22"/>
          <w:szCs w:val="22"/>
          <w:lang w:val="sr-Latn-ME" w:eastAsia="sr-Latn-CS"/>
        </w:rPr>
        <w:t>č</w:t>
      </w:r>
      <w:r w:rsidRPr="00C0654D">
        <w:rPr>
          <w:sz w:val="22"/>
          <w:szCs w:val="22"/>
          <w:lang w:val="sr-Latn-ME" w:eastAsia="sr-Latn-CS"/>
        </w:rPr>
        <w:t>enih kapecitabinom pokazali su da je u svim analiziranim studijama ženski pol bio statisti</w:t>
      </w:r>
      <w:r w:rsidRPr="00C0654D">
        <w:rPr>
          <w:rFonts w:eastAsia="TimesNewRoman"/>
          <w:sz w:val="22"/>
          <w:szCs w:val="22"/>
          <w:lang w:val="sr-Latn-ME" w:eastAsia="sr-Latn-CS"/>
        </w:rPr>
        <w:t>č</w:t>
      </w:r>
      <w:r w:rsidRPr="00C0654D">
        <w:rPr>
          <w:sz w:val="22"/>
          <w:szCs w:val="22"/>
          <w:lang w:val="sr-Latn-ME" w:eastAsia="sr-Latn-CS"/>
        </w:rPr>
        <w:t>ki zna</w:t>
      </w:r>
      <w:r w:rsidRPr="00C0654D">
        <w:rPr>
          <w:rFonts w:eastAsia="TimesNewRoman"/>
          <w:sz w:val="22"/>
          <w:szCs w:val="22"/>
          <w:lang w:val="sr-Latn-ME" w:eastAsia="sr-Latn-CS"/>
        </w:rPr>
        <w:t>č</w:t>
      </w:r>
      <w:r w:rsidRPr="00C0654D">
        <w:rPr>
          <w:sz w:val="22"/>
          <w:szCs w:val="22"/>
          <w:lang w:val="sr-Latn-ME" w:eastAsia="sr-Latn-CS"/>
        </w:rPr>
        <w:t>ajno povezan sa pove</w:t>
      </w:r>
      <w:r w:rsidRPr="00C0654D">
        <w:rPr>
          <w:rFonts w:eastAsia="TimesNewRoman"/>
          <w:sz w:val="22"/>
          <w:szCs w:val="22"/>
          <w:lang w:val="sr-Latn-ME" w:eastAsia="sr-Latn-CS"/>
        </w:rPr>
        <w:t>ć</w:t>
      </w:r>
      <w:r w:rsidRPr="00C0654D">
        <w:rPr>
          <w:sz w:val="22"/>
          <w:szCs w:val="22"/>
          <w:lang w:val="sr-Latn-ME" w:eastAsia="sr-Latn-CS"/>
        </w:rPr>
        <w:t>anim rizikom od nastanka sindroma šaka-stopalo i dijareje, i sa smanjenim rizikom od nastanka neutropenije.</w:t>
      </w:r>
    </w:p>
    <w:p w14:paraId="59AD04FB" w14:textId="77777777" w:rsidR="008B0AD6" w:rsidRPr="00C0654D" w:rsidRDefault="008B0AD6">
      <w:pPr>
        <w:autoSpaceDE w:val="0"/>
        <w:autoSpaceDN w:val="0"/>
        <w:adjustRightInd w:val="0"/>
        <w:jc w:val="both"/>
        <w:rPr>
          <w:iCs/>
          <w:sz w:val="22"/>
          <w:szCs w:val="22"/>
          <w:u w:val="single"/>
          <w:lang w:val="sr-Latn-ME" w:eastAsia="sr-Latn-CS"/>
        </w:rPr>
      </w:pPr>
    </w:p>
    <w:p w14:paraId="5DA4F2BD" w14:textId="110ABBE6" w:rsidR="008B0AD6" w:rsidRPr="00C0654D" w:rsidRDefault="008B0AD6">
      <w:pPr>
        <w:autoSpaceDE w:val="0"/>
        <w:autoSpaceDN w:val="0"/>
        <w:adjustRightInd w:val="0"/>
        <w:jc w:val="both"/>
        <w:rPr>
          <w:i/>
          <w:iCs/>
          <w:sz w:val="22"/>
          <w:szCs w:val="22"/>
          <w:u w:val="single"/>
          <w:lang w:val="sr-Latn-ME" w:eastAsia="sr-Latn-CS"/>
        </w:rPr>
      </w:pPr>
      <w:r w:rsidRPr="00C0654D">
        <w:rPr>
          <w:i/>
          <w:iCs/>
          <w:sz w:val="22"/>
          <w:szCs w:val="22"/>
          <w:u w:val="single"/>
          <w:lang w:val="sr-Latn-ME" w:eastAsia="sr-Latn-CS"/>
        </w:rPr>
        <w:t>Pacijenti sa ošte</w:t>
      </w:r>
      <w:r w:rsidRPr="00C0654D">
        <w:rPr>
          <w:rFonts w:eastAsia="TimesNewRoman,Italic"/>
          <w:i/>
          <w:iCs/>
          <w:sz w:val="22"/>
          <w:szCs w:val="22"/>
          <w:u w:val="single"/>
          <w:lang w:val="sr-Latn-ME" w:eastAsia="sr-Latn-CS"/>
        </w:rPr>
        <w:t>ć</w:t>
      </w:r>
      <w:r w:rsidRPr="00C0654D">
        <w:rPr>
          <w:i/>
          <w:iCs/>
          <w:sz w:val="22"/>
          <w:szCs w:val="22"/>
          <w:u w:val="single"/>
          <w:lang w:val="sr-Latn-ME" w:eastAsia="sr-Latn-CS"/>
        </w:rPr>
        <w:t xml:space="preserve">enjem bubrega (vidjeti </w:t>
      </w:r>
      <w:r w:rsidR="00BA7E76">
        <w:rPr>
          <w:i/>
          <w:iCs/>
          <w:sz w:val="22"/>
          <w:szCs w:val="22"/>
          <w:u w:val="single"/>
          <w:lang w:val="sr-Latn-ME" w:eastAsia="sr-Latn-CS"/>
        </w:rPr>
        <w:t xml:space="preserve">dijelove </w:t>
      </w:r>
      <w:r w:rsidRPr="00C0654D">
        <w:rPr>
          <w:i/>
          <w:iCs/>
          <w:sz w:val="22"/>
          <w:szCs w:val="22"/>
          <w:u w:val="single"/>
          <w:lang w:val="sr-Latn-ME" w:eastAsia="sr-Latn-CS"/>
        </w:rPr>
        <w:t>4.2, 4.4 i 5.2):</w:t>
      </w:r>
    </w:p>
    <w:p w14:paraId="1C012989" w14:textId="06037057" w:rsidR="008B0AD6" w:rsidRPr="00C0654D" w:rsidRDefault="008B0AD6">
      <w:pPr>
        <w:autoSpaceDE w:val="0"/>
        <w:autoSpaceDN w:val="0"/>
        <w:adjustRightInd w:val="0"/>
        <w:jc w:val="both"/>
        <w:rPr>
          <w:sz w:val="22"/>
          <w:szCs w:val="22"/>
          <w:lang w:val="sr-Latn-ME" w:eastAsia="sr-Latn-CS"/>
        </w:rPr>
      </w:pPr>
      <w:r w:rsidRPr="00C0654D">
        <w:rPr>
          <w:sz w:val="22"/>
          <w:szCs w:val="22"/>
          <w:lang w:val="sr-Latn-ME" w:eastAsia="sr-Latn-CS"/>
        </w:rPr>
        <w:t>Analiza bezbjednosnih podataka kod pacijenata l</w:t>
      </w:r>
      <w:r w:rsidR="00BA7E76">
        <w:rPr>
          <w:sz w:val="22"/>
          <w:szCs w:val="22"/>
          <w:lang w:val="sr-Latn-ME" w:eastAsia="sr-Latn-CS"/>
        </w:rPr>
        <w:t>i</w:t>
      </w:r>
      <w:r w:rsidRPr="00C0654D">
        <w:rPr>
          <w:sz w:val="22"/>
          <w:szCs w:val="22"/>
          <w:lang w:val="sr-Latn-ME" w:eastAsia="sr-Latn-CS"/>
        </w:rPr>
        <w:t>je</w:t>
      </w:r>
      <w:r w:rsidRPr="00C0654D">
        <w:rPr>
          <w:rFonts w:eastAsia="TimesNewRoman"/>
          <w:sz w:val="22"/>
          <w:szCs w:val="22"/>
          <w:lang w:val="sr-Latn-ME" w:eastAsia="sr-Latn-CS"/>
        </w:rPr>
        <w:t>č</w:t>
      </w:r>
      <w:r w:rsidRPr="00C0654D">
        <w:rPr>
          <w:sz w:val="22"/>
          <w:szCs w:val="22"/>
          <w:lang w:val="sr-Latn-ME" w:eastAsia="sr-Latn-CS"/>
        </w:rPr>
        <w:t>enih monoterapijom kapecitabinom</w:t>
      </w:r>
      <w:r w:rsidRPr="00C0654D">
        <w:rPr>
          <w:sz w:val="22"/>
          <w:szCs w:val="22"/>
          <w:lang w:val="sr-Latn-ME"/>
        </w:rPr>
        <w:t xml:space="preserve"> </w:t>
      </w:r>
      <w:r w:rsidRPr="00C0654D">
        <w:rPr>
          <w:sz w:val="22"/>
          <w:szCs w:val="22"/>
          <w:lang w:val="sr-Latn-ME" w:eastAsia="sr-Latn-CS"/>
        </w:rPr>
        <w:t>(kolorektalni karcinom), koji su imali ošte</w:t>
      </w:r>
      <w:r w:rsidRPr="00C0654D">
        <w:rPr>
          <w:rFonts w:eastAsia="TimesNewRoman"/>
          <w:sz w:val="22"/>
          <w:szCs w:val="22"/>
          <w:lang w:val="sr-Latn-ME" w:eastAsia="sr-Latn-CS"/>
        </w:rPr>
        <w:t>ć</w:t>
      </w:r>
      <w:r w:rsidRPr="00C0654D">
        <w:rPr>
          <w:sz w:val="22"/>
          <w:szCs w:val="22"/>
          <w:lang w:val="sr-Latn-ME" w:eastAsia="sr-Latn-CS"/>
        </w:rPr>
        <w:t>enje bubrega na uključenju, pokazala je pove</w:t>
      </w:r>
      <w:r w:rsidRPr="00C0654D">
        <w:rPr>
          <w:rFonts w:eastAsia="TimesNewRoman"/>
          <w:sz w:val="22"/>
          <w:szCs w:val="22"/>
          <w:lang w:val="sr-Latn-ME" w:eastAsia="sr-Latn-CS"/>
        </w:rPr>
        <w:t>ć</w:t>
      </w:r>
      <w:r w:rsidRPr="00C0654D">
        <w:rPr>
          <w:sz w:val="22"/>
          <w:szCs w:val="22"/>
          <w:lang w:val="sr-Latn-ME" w:eastAsia="sr-Latn-CS"/>
        </w:rPr>
        <w:t>anje incidence nastanka neželjenih reakcija na terapiju gradusa 3 i 4, u pore</w:t>
      </w:r>
      <w:r w:rsidRPr="00C0654D">
        <w:rPr>
          <w:rFonts w:eastAsia="TimesNewRoman"/>
          <w:sz w:val="22"/>
          <w:szCs w:val="22"/>
          <w:lang w:val="sr-Latn-ME" w:eastAsia="sr-Latn-CS"/>
        </w:rPr>
        <w:t>đ</w:t>
      </w:r>
      <w:r w:rsidRPr="00C0654D">
        <w:rPr>
          <w:sz w:val="22"/>
          <w:szCs w:val="22"/>
          <w:lang w:val="sr-Latn-ME" w:eastAsia="sr-Latn-CS"/>
        </w:rPr>
        <w:t>enju sa pacijentima sa normalnom funkcijom bubrega (36% kod pacijenata bez ošte</w:t>
      </w:r>
      <w:r w:rsidRPr="00C0654D">
        <w:rPr>
          <w:rFonts w:eastAsia="TimesNewRoman"/>
          <w:sz w:val="22"/>
          <w:szCs w:val="22"/>
          <w:lang w:val="sr-Latn-ME" w:eastAsia="sr-Latn-CS"/>
        </w:rPr>
        <w:t>ć</w:t>
      </w:r>
      <w:r w:rsidRPr="00C0654D">
        <w:rPr>
          <w:sz w:val="22"/>
          <w:szCs w:val="22"/>
          <w:lang w:val="sr-Latn-ME" w:eastAsia="sr-Latn-CS"/>
        </w:rPr>
        <w:t xml:space="preserve">enja bubrega n=268, u odnosu na 41% kod pacijenata sa blagim </w:t>
      </w:r>
      <w:r w:rsidRPr="00C0654D">
        <w:rPr>
          <w:sz w:val="22"/>
          <w:szCs w:val="22"/>
          <w:lang w:val="sr-Latn-ME" w:eastAsia="sr-Latn-CS"/>
        </w:rPr>
        <w:lastRenderedPageBreak/>
        <w:t>ošte</w:t>
      </w:r>
      <w:r w:rsidRPr="00C0654D">
        <w:rPr>
          <w:rFonts w:eastAsia="TimesNewRoman"/>
          <w:sz w:val="22"/>
          <w:szCs w:val="22"/>
          <w:lang w:val="sr-Latn-ME" w:eastAsia="sr-Latn-CS"/>
        </w:rPr>
        <w:t>ć</w:t>
      </w:r>
      <w:r w:rsidRPr="00C0654D">
        <w:rPr>
          <w:sz w:val="22"/>
          <w:szCs w:val="22"/>
          <w:lang w:val="sr-Latn-ME" w:eastAsia="sr-Latn-CS"/>
        </w:rPr>
        <w:t>enjem n=257 i 54% kod pacijenata sa umjerenim ošte</w:t>
      </w:r>
      <w:r w:rsidRPr="00C0654D">
        <w:rPr>
          <w:rFonts w:eastAsia="TimesNewRoman"/>
          <w:sz w:val="22"/>
          <w:szCs w:val="22"/>
          <w:lang w:val="sr-Latn-ME" w:eastAsia="sr-Latn-CS"/>
        </w:rPr>
        <w:t>ć</w:t>
      </w:r>
      <w:r w:rsidRPr="00C0654D">
        <w:rPr>
          <w:sz w:val="22"/>
          <w:szCs w:val="22"/>
          <w:lang w:val="sr-Latn-ME" w:eastAsia="sr-Latn-CS"/>
        </w:rPr>
        <w:t xml:space="preserve">enjem n=59) (vidjeti </w:t>
      </w:r>
      <w:r w:rsidR="00BA7E76">
        <w:rPr>
          <w:sz w:val="22"/>
          <w:szCs w:val="22"/>
          <w:lang w:val="sr-Latn-ME" w:eastAsia="sr-Latn-CS"/>
        </w:rPr>
        <w:t xml:space="preserve">dio </w:t>
      </w:r>
      <w:r w:rsidRPr="00C0654D">
        <w:rPr>
          <w:sz w:val="22"/>
          <w:szCs w:val="22"/>
          <w:lang w:val="sr-Latn-ME" w:eastAsia="sr-Latn-CS"/>
        </w:rPr>
        <w:t>5.2). Pacijenti sa umjerenim ošte</w:t>
      </w:r>
      <w:r w:rsidRPr="00C0654D">
        <w:rPr>
          <w:rFonts w:eastAsia="TimesNewRoman"/>
          <w:sz w:val="22"/>
          <w:szCs w:val="22"/>
          <w:lang w:val="sr-Latn-ME" w:eastAsia="sr-Latn-CS"/>
        </w:rPr>
        <w:t>ć</w:t>
      </w:r>
      <w:r w:rsidRPr="00C0654D">
        <w:rPr>
          <w:sz w:val="22"/>
          <w:szCs w:val="22"/>
          <w:lang w:val="sr-Latn-ME" w:eastAsia="sr-Latn-CS"/>
        </w:rPr>
        <w:t>enjem bubrega ispoljili su pove</w:t>
      </w:r>
      <w:r w:rsidRPr="00C0654D">
        <w:rPr>
          <w:rFonts w:eastAsia="TimesNewRoman"/>
          <w:sz w:val="22"/>
          <w:szCs w:val="22"/>
          <w:lang w:val="sr-Latn-ME" w:eastAsia="sr-Latn-CS"/>
        </w:rPr>
        <w:t>ć</w:t>
      </w:r>
      <w:r w:rsidRPr="00C0654D">
        <w:rPr>
          <w:sz w:val="22"/>
          <w:szCs w:val="22"/>
          <w:lang w:val="sr-Latn-ME" w:eastAsia="sr-Latn-CS"/>
        </w:rPr>
        <w:t>an stepen smanjenja doze (44%) u odnosu na 33% i 32% kod pacijenata bez, ili sa blagim ošte</w:t>
      </w:r>
      <w:r w:rsidRPr="00C0654D">
        <w:rPr>
          <w:rFonts w:eastAsia="TimesNewRoman"/>
          <w:sz w:val="22"/>
          <w:szCs w:val="22"/>
          <w:lang w:val="sr-Latn-ME" w:eastAsia="sr-Latn-CS"/>
        </w:rPr>
        <w:t>ć</w:t>
      </w:r>
      <w:r w:rsidRPr="00C0654D">
        <w:rPr>
          <w:sz w:val="22"/>
          <w:szCs w:val="22"/>
          <w:lang w:val="sr-Latn-ME" w:eastAsia="sr-Latn-CS"/>
        </w:rPr>
        <w:t>enjem bubrega, kao i pove</w:t>
      </w:r>
      <w:r w:rsidRPr="00C0654D">
        <w:rPr>
          <w:rFonts w:eastAsia="TimesNewRoman"/>
          <w:sz w:val="22"/>
          <w:szCs w:val="22"/>
          <w:lang w:val="sr-Latn-ME" w:eastAsia="sr-Latn-CS"/>
        </w:rPr>
        <w:t>ć</w:t>
      </w:r>
      <w:r w:rsidRPr="00C0654D">
        <w:rPr>
          <w:sz w:val="22"/>
          <w:szCs w:val="22"/>
          <w:lang w:val="sr-Latn-ME" w:eastAsia="sr-Latn-CS"/>
        </w:rPr>
        <w:t>anu incidencu ranijeg prekida terapije (21% prekida terapije tokom prva dva ciklusa) u odnosu na 5% i 8% kod pacijenata bez, ili sa blagim ošte</w:t>
      </w:r>
      <w:r w:rsidRPr="00C0654D">
        <w:rPr>
          <w:rFonts w:eastAsia="TimesNewRoman"/>
          <w:sz w:val="22"/>
          <w:szCs w:val="22"/>
          <w:lang w:val="sr-Latn-ME" w:eastAsia="sr-Latn-CS"/>
        </w:rPr>
        <w:t>ć</w:t>
      </w:r>
      <w:r w:rsidRPr="00C0654D">
        <w:rPr>
          <w:sz w:val="22"/>
          <w:szCs w:val="22"/>
          <w:lang w:val="sr-Latn-ME" w:eastAsia="sr-Latn-CS"/>
        </w:rPr>
        <w:t>enjem bubrega.</w:t>
      </w:r>
    </w:p>
    <w:p w14:paraId="7076A6D2" w14:textId="77777777" w:rsidR="00DB4F7D" w:rsidRPr="00C0654D" w:rsidRDefault="00DB4F7D">
      <w:pPr>
        <w:autoSpaceDE w:val="0"/>
        <w:autoSpaceDN w:val="0"/>
        <w:adjustRightInd w:val="0"/>
        <w:jc w:val="both"/>
        <w:rPr>
          <w:sz w:val="22"/>
          <w:szCs w:val="22"/>
          <w:lang w:val="sr-Latn-ME" w:eastAsia="sr-Latn-CS"/>
        </w:rPr>
      </w:pPr>
    </w:p>
    <w:p w14:paraId="5FA99B24" w14:textId="77777777" w:rsidR="005A23D2" w:rsidRPr="00C0654D" w:rsidRDefault="005A23D2" w:rsidP="0066437B">
      <w:pPr>
        <w:spacing w:after="200" w:line="276" w:lineRule="auto"/>
        <w:jc w:val="both"/>
        <w:rPr>
          <w:rFonts w:eastAsia="Calibri"/>
          <w:sz w:val="22"/>
          <w:szCs w:val="22"/>
          <w:u w:val="single"/>
          <w:lang w:val="sr-Latn-ME"/>
        </w:rPr>
      </w:pPr>
      <w:r w:rsidRPr="00C0654D">
        <w:rPr>
          <w:rFonts w:eastAsia="Calibri"/>
          <w:sz w:val="22"/>
          <w:szCs w:val="22"/>
          <w:u w:val="single"/>
          <w:lang w:val="sr-Latn-ME"/>
        </w:rPr>
        <w:t>Prijavljivanje sumnji na neželjena dejstva</w:t>
      </w:r>
    </w:p>
    <w:p w14:paraId="5FA99B25" w14:textId="6321B2F3" w:rsidR="005A23D2" w:rsidRPr="00C0654D" w:rsidRDefault="005A23D2" w:rsidP="00D85C58">
      <w:pPr>
        <w:spacing w:after="200"/>
        <w:jc w:val="both"/>
        <w:rPr>
          <w:rFonts w:eastAsia="Calibri"/>
          <w:sz w:val="22"/>
          <w:szCs w:val="22"/>
          <w:lang w:val="sr-Latn-ME"/>
        </w:rPr>
      </w:pPr>
      <w:r w:rsidRPr="00C0654D">
        <w:rPr>
          <w:rFonts w:eastAsia="Calibri"/>
          <w:sz w:val="22"/>
          <w:szCs w:val="22"/>
          <w:lang w:val="sr-Latn-ME"/>
        </w:rPr>
        <w:t>Prijavljivanje neželjenih dejstava nakon dobijanja dozvole</w:t>
      </w:r>
      <w:r w:rsidR="00BA7E76">
        <w:rPr>
          <w:rFonts w:eastAsia="Calibri"/>
          <w:sz w:val="22"/>
          <w:szCs w:val="22"/>
          <w:lang w:val="sr-Latn-ME"/>
        </w:rPr>
        <w:t xml:space="preserve"> za lijek </w:t>
      </w:r>
      <w:r w:rsidRPr="00C0654D">
        <w:rPr>
          <w:rFonts w:eastAsia="Calibri"/>
          <w:sz w:val="22"/>
          <w:szCs w:val="22"/>
          <w:lang w:val="sr-Latn-ME"/>
        </w:rPr>
        <w:t xml:space="preserve"> je od velikog značaja jer obezbjeđuje kont</w:t>
      </w:r>
      <w:r w:rsidR="00EA5765" w:rsidRPr="00C0654D">
        <w:rPr>
          <w:rFonts w:eastAsia="Calibri"/>
          <w:sz w:val="22"/>
          <w:szCs w:val="22"/>
          <w:lang w:val="sr-Latn-ME"/>
        </w:rPr>
        <w:t>inuirano praćenje odnosa korist</w:t>
      </w:r>
      <w:r w:rsidRPr="00C0654D">
        <w:rPr>
          <w:rFonts w:eastAsia="Calibri"/>
          <w:sz w:val="22"/>
          <w:szCs w:val="22"/>
          <w:lang w:val="sr-Latn-ME"/>
        </w:rPr>
        <w:t>/rizik primjene lijeka. Zdravstveni radnici treba da prijave svaku sumnju na neželjeno</w:t>
      </w:r>
      <w:r w:rsidR="009B062A" w:rsidRPr="00C0654D">
        <w:rPr>
          <w:rFonts w:eastAsia="Calibri"/>
          <w:sz w:val="22"/>
          <w:szCs w:val="22"/>
          <w:lang w:val="sr-Latn-ME"/>
        </w:rPr>
        <w:t xml:space="preserve"> </w:t>
      </w:r>
      <w:r w:rsidRPr="00C0654D">
        <w:rPr>
          <w:rFonts w:eastAsia="Calibri"/>
          <w:sz w:val="22"/>
          <w:szCs w:val="22"/>
          <w:lang w:val="sr-Latn-ME"/>
        </w:rPr>
        <w:t xml:space="preserve">dejstvo ovog lijeka </w:t>
      </w:r>
      <w:r w:rsidR="00077C99" w:rsidRPr="00C0654D">
        <w:rPr>
          <w:rFonts w:eastAsia="Calibri"/>
          <w:sz w:val="22"/>
          <w:szCs w:val="22"/>
          <w:lang w:val="sr-Latn-ME"/>
        </w:rPr>
        <w:t>Institutu</w:t>
      </w:r>
      <w:r w:rsidRPr="00C0654D">
        <w:rPr>
          <w:rFonts w:eastAsia="Calibri"/>
          <w:sz w:val="22"/>
          <w:szCs w:val="22"/>
          <w:lang w:val="sr-Latn-ME"/>
        </w:rPr>
        <w:t xml:space="preserve"> za ljekove i medicinska sredstva Crne Gore (</w:t>
      </w:r>
      <w:r w:rsidR="00077C99" w:rsidRPr="00C0654D">
        <w:rPr>
          <w:rFonts w:eastAsia="Calibri"/>
          <w:sz w:val="22"/>
          <w:szCs w:val="22"/>
          <w:lang w:val="sr-Latn-ME"/>
        </w:rPr>
        <w:t>CInMED</w:t>
      </w:r>
      <w:r w:rsidRPr="00C0654D">
        <w:rPr>
          <w:rFonts w:eastAsia="Calibri"/>
          <w:sz w:val="22"/>
          <w:szCs w:val="22"/>
          <w:lang w:val="sr-Latn-ME"/>
        </w:rPr>
        <w:t>):</w:t>
      </w:r>
    </w:p>
    <w:p w14:paraId="5FA99B26" w14:textId="22CF9AF9" w:rsidR="005A23D2" w:rsidRPr="00C0654D" w:rsidRDefault="00077C99" w:rsidP="00CA1BE0">
      <w:pPr>
        <w:pStyle w:val="NoSpacing"/>
        <w:jc w:val="both"/>
        <w:rPr>
          <w:rFonts w:eastAsia="Calibri"/>
          <w:sz w:val="22"/>
          <w:szCs w:val="22"/>
          <w:lang w:val="sr-Latn-ME"/>
        </w:rPr>
      </w:pPr>
      <w:r w:rsidRPr="00C0654D">
        <w:rPr>
          <w:rFonts w:eastAsia="Calibri"/>
          <w:sz w:val="22"/>
          <w:szCs w:val="22"/>
          <w:lang w:val="sr-Latn-ME"/>
        </w:rPr>
        <w:t>Institut</w:t>
      </w:r>
      <w:r w:rsidR="005A23D2" w:rsidRPr="00C0654D">
        <w:rPr>
          <w:rFonts w:eastAsia="Calibri"/>
          <w:sz w:val="22"/>
          <w:szCs w:val="22"/>
          <w:lang w:val="sr-Latn-ME"/>
        </w:rPr>
        <w:t xml:space="preserve"> za ljekove i medicinska sredstva Crne Gore</w:t>
      </w:r>
    </w:p>
    <w:p w14:paraId="5FA99B27" w14:textId="77777777" w:rsidR="005A23D2" w:rsidRPr="00C0654D" w:rsidRDefault="005A23D2">
      <w:pPr>
        <w:pStyle w:val="NoSpacing"/>
        <w:jc w:val="both"/>
        <w:rPr>
          <w:rFonts w:eastAsia="Calibri"/>
          <w:sz w:val="22"/>
          <w:szCs w:val="22"/>
          <w:lang w:val="sr-Latn-ME"/>
        </w:rPr>
      </w:pPr>
      <w:r w:rsidRPr="00C0654D">
        <w:rPr>
          <w:rFonts w:eastAsia="Calibri"/>
          <w:sz w:val="22"/>
          <w:szCs w:val="22"/>
          <w:lang w:val="sr-Latn-ME"/>
        </w:rPr>
        <w:t>Odjeljenje za farmakovigilancu</w:t>
      </w:r>
    </w:p>
    <w:p w14:paraId="5FA99B28" w14:textId="77777777" w:rsidR="00EA5765" w:rsidRPr="00C0654D" w:rsidRDefault="005A23D2">
      <w:pPr>
        <w:pStyle w:val="NoSpacing"/>
        <w:jc w:val="both"/>
        <w:rPr>
          <w:rFonts w:eastAsia="Calibri"/>
          <w:sz w:val="22"/>
          <w:szCs w:val="22"/>
          <w:lang w:val="sr-Latn-ME"/>
        </w:rPr>
      </w:pPr>
      <w:r w:rsidRPr="00C0654D">
        <w:rPr>
          <w:rFonts w:eastAsia="Calibri"/>
          <w:sz w:val="22"/>
          <w:szCs w:val="22"/>
          <w:lang w:val="sr-Latn-ME"/>
        </w:rPr>
        <w:t>Bulevar Ivana Crnojevića 64a, 81000 Podgorica</w:t>
      </w:r>
    </w:p>
    <w:p w14:paraId="5FA99B29" w14:textId="77777777" w:rsidR="00EA5765" w:rsidRPr="00C0654D" w:rsidRDefault="00EA5765" w:rsidP="0066437B">
      <w:pPr>
        <w:pStyle w:val="NoSpacing"/>
        <w:jc w:val="both"/>
        <w:rPr>
          <w:rFonts w:eastAsia="Calibri"/>
          <w:sz w:val="22"/>
          <w:szCs w:val="22"/>
          <w:lang w:val="sr-Latn-ME"/>
        </w:rPr>
      </w:pPr>
    </w:p>
    <w:p w14:paraId="5FA99B2A" w14:textId="77777777" w:rsidR="005A23D2" w:rsidRPr="00C0654D" w:rsidRDefault="005A23D2" w:rsidP="00D85C58">
      <w:pPr>
        <w:pStyle w:val="NoSpacing"/>
        <w:jc w:val="both"/>
        <w:rPr>
          <w:rFonts w:eastAsia="Calibri"/>
          <w:sz w:val="22"/>
          <w:szCs w:val="22"/>
          <w:lang w:val="sr-Latn-ME"/>
        </w:rPr>
      </w:pPr>
      <w:r w:rsidRPr="00C0654D">
        <w:rPr>
          <w:rFonts w:eastAsia="Calibri"/>
          <w:sz w:val="22"/>
          <w:szCs w:val="22"/>
          <w:lang w:val="sr-Latn-ME"/>
        </w:rPr>
        <w:t>tel: +382 (0) 20 310 280</w:t>
      </w:r>
    </w:p>
    <w:p w14:paraId="5FA99B2B" w14:textId="77777777" w:rsidR="00EA5765" w:rsidRPr="00C0654D" w:rsidRDefault="005A23D2" w:rsidP="00CA1BE0">
      <w:pPr>
        <w:pStyle w:val="NoSpacing"/>
        <w:jc w:val="both"/>
        <w:rPr>
          <w:rFonts w:eastAsia="Calibri"/>
          <w:sz w:val="22"/>
          <w:szCs w:val="22"/>
          <w:lang w:val="sr-Latn-ME"/>
        </w:rPr>
      </w:pPr>
      <w:r w:rsidRPr="00C0654D">
        <w:rPr>
          <w:rFonts w:eastAsia="Calibri"/>
          <w:sz w:val="22"/>
          <w:szCs w:val="22"/>
          <w:lang w:val="sr-Latn-ME"/>
        </w:rPr>
        <w:t>fax:</w:t>
      </w:r>
      <w:r w:rsidR="00EA5765" w:rsidRPr="00C0654D">
        <w:rPr>
          <w:rFonts w:eastAsia="Calibri"/>
          <w:sz w:val="22"/>
          <w:szCs w:val="22"/>
          <w:lang w:val="sr-Latn-ME"/>
        </w:rPr>
        <w:t xml:space="preserve"> </w:t>
      </w:r>
      <w:r w:rsidRPr="00C0654D">
        <w:rPr>
          <w:rFonts w:eastAsia="Calibri"/>
          <w:sz w:val="22"/>
          <w:szCs w:val="22"/>
          <w:lang w:val="sr-Latn-ME"/>
        </w:rPr>
        <w:t>+382 (0) 20 310 581</w:t>
      </w:r>
    </w:p>
    <w:p w14:paraId="5FA99B2C" w14:textId="1BCE0D00" w:rsidR="005A23D2" w:rsidRPr="00C0654D" w:rsidRDefault="00292474">
      <w:pPr>
        <w:pStyle w:val="NoSpacing"/>
        <w:jc w:val="both"/>
        <w:rPr>
          <w:rFonts w:eastAsia="Calibri"/>
          <w:sz w:val="22"/>
          <w:szCs w:val="22"/>
          <w:lang w:val="sr-Latn-ME"/>
        </w:rPr>
      </w:pPr>
      <w:hyperlink r:id="rId8" w:history="1">
        <w:r w:rsidR="005A23D2" w:rsidRPr="00C0654D">
          <w:rPr>
            <w:rFonts w:eastAsia="Calibri"/>
            <w:color w:val="0000FF"/>
            <w:sz w:val="22"/>
            <w:szCs w:val="22"/>
            <w:u w:val="single"/>
            <w:lang w:val="sr-Latn-ME"/>
          </w:rPr>
          <w:t>www.c</w:t>
        </w:r>
        <w:r w:rsidR="00077C99" w:rsidRPr="00C0654D">
          <w:rPr>
            <w:rFonts w:eastAsia="Calibri"/>
            <w:color w:val="0000FF"/>
            <w:sz w:val="22"/>
            <w:szCs w:val="22"/>
            <w:u w:val="single"/>
            <w:lang w:val="sr-Latn-ME"/>
          </w:rPr>
          <w:t>inmed</w:t>
        </w:r>
        <w:r w:rsidR="005A23D2" w:rsidRPr="00C0654D">
          <w:rPr>
            <w:rFonts w:eastAsia="Calibri"/>
            <w:color w:val="0000FF"/>
            <w:sz w:val="22"/>
            <w:szCs w:val="22"/>
            <w:u w:val="single"/>
            <w:lang w:val="sr-Latn-ME"/>
          </w:rPr>
          <w:t>.me</w:t>
        </w:r>
      </w:hyperlink>
    </w:p>
    <w:p w14:paraId="5FA99B2D" w14:textId="0235640D" w:rsidR="00EA5765" w:rsidRPr="00C0654D" w:rsidRDefault="00292474">
      <w:pPr>
        <w:pStyle w:val="NoSpacing"/>
        <w:jc w:val="both"/>
        <w:rPr>
          <w:rFonts w:eastAsia="Calibri"/>
          <w:color w:val="0000FF"/>
          <w:sz w:val="22"/>
          <w:szCs w:val="22"/>
          <w:u w:val="single"/>
          <w:lang w:val="sr-Latn-ME"/>
        </w:rPr>
      </w:pPr>
      <w:hyperlink r:id="rId9" w:history="1">
        <w:r w:rsidR="00077C99" w:rsidRPr="00C0654D">
          <w:rPr>
            <w:rStyle w:val="Hyperlink"/>
            <w:rFonts w:eastAsia="Calibri"/>
            <w:sz w:val="22"/>
            <w:szCs w:val="22"/>
            <w:lang w:val="sr-Latn-ME"/>
          </w:rPr>
          <w:t>nezeljenadejstva@cinmed.me</w:t>
        </w:r>
      </w:hyperlink>
    </w:p>
    <w:p w14:paraId="5FA99B2E" w14:textId="40AB3FA8" w:rsidR="005A23D2" w:rsidRDefault="005A23D2">
      <w:pPr>
        <w:pStyle w:val="NoSpacing"/>
        <w:jc w:val="both"/>
        <w:rPr>
          <w:rFonts w:eastAsia="Calibri"/>
          <w:sz w:val="22"/>
          <w:szCs w:val="22"/>
          <w:lang w:val="sr-Latn-ME"/>
        </w:rPr>
      </w:pPr>
      <w:r w:rsidRPr="00C0654D">
        <w:rPr>
          <w:rFonts w:eastAsia="Calibri"/>
          <w:sz w:val="22"/>
          <w:szCs w:val="22"/>
          <w:lang w:val="sr-Latn-ME"/>
        </w:rPr>
        <w:t>putem IS zdravstvene zaštite</w:t>
      </w:r>
    </w:p>
    <w:p w14:paraId="10D05859" w14:textId="77777777" w:rsidR="0062385F" w:rsidRDefault="0062385F" w:rsidP="0062385F">
      <w:pPr>
        <w:pStyle w:val="NoSpacing"/>
        <w:jc w:val="both"/>
        <w:rPr>
          <w:rFonts w:eastAsia="Calibri"/>
          <w:sz w:val="22"/>
          <w:szCs w:val="22"/>
          <w:lang w:val="sr-Latn-RS"/>
        </w:rPr>
      </w:pPr>
      <w:r>
        <w:rPr>
          <w:rFonts w:eastAsia="Calibri"/>
          <w:sz w:val="22"/>
          <w:szCs w:val="22"/>
          <w:lang w:val="sr-Latn-RS"/>
        </w:rPr>
        <w:t>QR kod za online prijavu sumnje na neželjeno dejstvo lijeka:</w:t>
      </w:r>
    </w:p>
    <w:p w14:paraId="23DA046F" w14:textId="77777777" w:rsidR="0062385F" w:rsidRDefault="0062385F" w:rsidP="0062385F">
      <w:pPr>
        <w:pStyle w:val="NoSpacing"/>
        <w:jc w:val="both"/>
        <w:rPr>
          <w:rFonts w:eastAsia="Calibri"/>
          <w:sz w:val="22"/>
          <w:szCs w:val="22"/>
          <w:lang w:val="sr-Latn-RS"/>
        </w:rPr>
      </w:pPr>
    </w:p>
    <w:p w14:paraId="7DE8CF57" w14:textId="55A05952" w:rsidR="0062385F" w:rsidRPr="00786071" w:rsidRDefault="000D3B8C" w:rsidP="0062385F">
      <w:pPr>
        <w:pStyle w:val="NoSpacing"/>
        <w:rPr>
          <w:rFonts w:eastAsia="Calibri"/>
          <w:sz w:val="22"/>
          <w:szCs w:val="22"/>
          <w:lang w:val="sr-Latn-RS"/>
        </w:rPr>
      </w:pPr>
      <w:r>
        <w:rPr>
          <w:noProof/>
        </w:rPr>
        <w:drawing>
          <wp:inline distT="0" distB="0" distL="0" distR="0" wp14:anchorId="75DDA709" wp14:editId="7ECFFFCA">
            <wp:extent cx="980440" cy="971550"/>
            <wp:effectExtent l="0" t="0" r="0" b="0"/>
            <wp:docPr id="10"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0"/>
                    </pic:cNvPr>
                    <pic:cNvPicPr>
                      <a:picLocks noChangeAspect="1"/>
                    </pic:cNvPicPr>
                  </pic:nvPicPr>
                  <pic:blipFill rotWithShape="1">
                    <a:blip r:embed="rId11" cstate="print">
                      <a:extLst>
                        <a:ext uri="{28A0092B-C50C-407E-A947-70E740481C1C}">
                          <a14:useLocalDpi xmlns:a14="http://schemas.microsoft.com/office/drawing/2010/main" val="0"/>
                        </a:ext>
                      </a:extLst>
                    </a:blip>
                    <a:srcRect l="10118" t="9757" r="9299" b="10383"/>
                    <a:stretch/>
                  </pic:blipFill>
                  <pic:spPr bwMode="auto">
                    <a:xfrm>
                      <a:off x="0" y="0"/>
                      <a:ext cx="980440" cy="971550"/>
                    </a:xfrm>
                    <a:prstGeom prst="rect">
                      <a:avLst/>
                    </a:prstGeom>
                    <a:ln>
                      <a:noFill/>
                    </a:ln>
                    <a:extLst>
                      <a:ext uri="{53640926-AAD7-44D8-BBD7-CCE9431645EC}">
                        <a14:shadowObscured xmlns:a14="http://schemas.microsoft.com/office/drawing/2010/main"/>
                      </a:ext>
                    </a:extLst>
                  </pic:spPr>
                </pic:pic>
              </a:graphicData>
            </a:graphic>
          </wp:inline>
        </w:drawing>
      </w:r>
    </w:p>
    <w:p w14:paraId="04B5F543" w14:textId="77777777" w:rsidR="0062385F" w:rsidRPr="00C0654D" w:rsidRDefault="0062385F">
      <w:pPr>
        <w:pStyle w:val="NoSpacing"/>
        <w:jc w:val="both"/>
        <w:rPr>
          <w:rFonts w:eastAsia="Calibri"/>
          <w:sz w:val="22"/>
          <w:szCs w:val="22"/>
          <w:lang w:val="sr-Latn-ME"/>
        </w:rPr>
      </w:pPr>
    </w:p>
    <w:p w14:paraId="5FA99B2F" w14:textId="554BE6B7" w:rsidR="00836B35" w:rsidRPr="00C0654D" w:rsidRDefault="00836B35" w:rsidP="0066437B">
      <w:pPr>
        <w:tabs>
          <w:tab w:val="left" w:pos="540"/>
          <w:tab w:val="left" w:pos="569"/>
        </w:tabs>
        <w:jc w:val="both"/>
        <w:rPr>
          <w:b/>
          <w:bCs/>
          <w:sz w:val="22"/>
          <w:szCs w:val="22"/>
          <w:lang w:val="sr-Latn-ME"/>
        </w:rPr>
      </w:pPr>
    </w:p>
    <w:p w14:paraId="5FA99B30" w14:textId="77777777" w:rsidR="00CD6F02" w:rsidRPr="00C0654D" w:rsidRDefault="0072020E" w:rsidP="0066437B">
      <w:pPr>
        <w:tabs>
          <w:tab w:val="left" w:pos="540"/>
          <w:tab w:val="left" w:pos="569"/>
        </w:tabs>
        <w:jc w:val="both"/>
        <w:rPr>
          <w:b/>
          <w:bCs/>
          <w:sz w:val="22"/>
          <w:szCs w:val="22"/>
          <w:lang w:val="sr-Latn-ME"/>
        </w:rPr>
      </w:pPr>
      <w:r w:rsidRPr="00C0654D">
        <w:rPr>
          <w:b/>
          <w:bCs/>
          <w:sz w:val="22"/>
          <w:szCs w:val="22"/>
          <w:lang w:val="sr-Latn-ME"/>
        </w:rPr>
        <w:t xml:space="preserve">4.9. </w:t>
      </w:r>
      <w:r w:rsidR="00480FB1" w:rsidRPr="00C0654D">
        <w:rPr>
          <w:b/>
          <w:bCs/>
          <w:sz w:val="22"/>
          <w:szCs w:val="22"/>
          <w:lang w:val="sr-Latn-ME"/>
        </w:rPr>
        <w:tab/>
      </w:r>
      <w:r w:rsidRPr="00C0654D">
        <w:rPr>
          <w:b/>
          <w:bCs/>
          <w:sz w:val="22"/>
          <w:szCs w:val="22"/>
          <w:lang w:val="sr-Latn-ME"/>
        </w:rPr>
        <w:t>Predoziranje</w:t>
      </w:r>
      <w:r w:rsidR="002846DB" w:rsidRPr="00C0654D">
        <w:rPr>
          <w:b/>
          <w:bCs/>
          <w:sz w:val="22"/>
          <w:szCs w:val="22"/>
          <w:lang w:val="sr-Latn-ME"/>
        </w:rPr>
        <w:t xml:space="preserve"> </w:t>
      </w:r>
    </w:p>
    <w:p w14:paraId="44F7A15C" w14:textId="77777777" w:rsidR="009D2DD4" w:rsidRPr="00C0654D" w:rsidRDefault="009D2DD4" w:rsidP="00D85C58">
      <w:pPr>
        <w:tabs>
          <w:tab w:val="left" w:pos="284"/>
        </w:tabs>
        <w:jc w:val="both"/>
        <w:rPr>
          <w:sz w:val="22"/>
          <w:szCs w:val="22"/>
          <w:lang w:val="sr-Latn-ME"/>
        </w:rPr>
      </w:pPr>
    </w:p>
    <w:p w14:paraId="4E277E7B" w14:textId="04798533" w:rsidR="009D2DD4" w:rsidRPr="00C0654D" w:rsidRDefault="009D2DD4" w:rsidP="003B667B">
      <w:pPr>
        <w:tabs>
          <w:tab w:val="left" w:pos="284"/>
        </w:tabs>
        <w:jc w:val="both"/>
        <w:rPr>
          <w:sz w:val="22"/>
          <w:szCs w:val="22"/>
          <w:lang w:val="sr-Latn-ME"/>
        </w:rPr>
      </w:pPr>
      <w:r w:rsidRPr="00C0654D">
        <w:rPr>
          <w:sz w:val="22"/>
          <w:szCs w:val="22"/>
          <w:lang w:val="sr-Latn-ME"/>
        </w:rPr>
        <w:t>Manifestacije akutnog predoziranja uključuju: mučninu, povraćanje, dijareju, mukozitis, gastrointestinalnu iritaciju i krvarenje, i depresiju kostne srži. Liječenje predoziranja treba da obuhvati uobičajene terapijske i potporne medicinske intervencije, sa ciljem da se koriguju kliničke manifestacije i spriječe njihove eventualne komplikacije.</w:t>
      </w:r>
    </w:p>
    <w:p w14:paraId="5FA99B31" w14:textId="77777777" w:rsidR="00CD6F02" w:rsidRPr="00C0654D" w:rsidRDefault="00CD6F02" w:rsidP="0066437B">
      <w:pPr>
        <w:tabs>
          <w:tab w:val="left" w:pos="540"/>
          <w:tab w:val="left" w:pos="569"/>
        </w:tabs>
        <w:jc w:val="both"/>
        <w:rPr>
          <w:b/>
          <w:bCs/>
          <w:sz w:val="22"/>
          <w:szCs w:val="22"/>
          <w:lang w:val="sr-Latn-ME"/>
        </w:rPr>
      </w:pPr>
    </w:p>
    <w:p w14:paraId="5FA99B32" w14:textId="77777777" w:rsidR="00227BDB" w:rsidRPr="00C0654D" w:rsidRDefault="00227BDB" w:rsidP="0066437B">
      <w:pPr>
        <w:tabs>
          <w:tab w:val="left" w:pos="540"/>
          <w:tab w:val="left" w:pos="569"/>
        </w:tabs>
        <w:jc w:val="both"/>
        <w:rPr>
          <w:b/>
          <w:bCs/>
          <w:sz w:val="22"/>
          <w:szCs w:val="22"/>
          <w:lang w:val="sr-Latn-ME"/>
        </w:rPr>
      </w:pPr>
    </w:p>
    <w:p w14:paraId="5FA99B33" w14:textId="77777777" w:rsidR="0072020E" w:rsidRPr="00C0654D" w:rsidRDefault="0072020E" w:rsidP="0066437B">
      <w:pPr>
        <w:tabs>
          <w:tab w:val="left" w:pos="540"/>
          <w:tab w:val="left" w:pos="569"/>
        </w:tabs>
        <w:jc w:val="both"/>
        <w:rPr>
          <w:b/>
          <w:bCs/>
          <w:sz w:val="22"/>
          <w:szCs w:val="22"/>
          <w:lang w:val="sr-Latn-ME"/>
        </w:rPr>
      </w:pPr>
      <w:r w:rsidRPr="00C0654D">
        <w:rPr>
          <w:b/>
          <w:bCs/>
          <w:sz w:val="22"/>
          <w:szCs w:val="22"/>
          <w:lang w:val="sr-Latn-ME"/>
        </w:rPr>
        <w:t xml:space="preserve">5. </w:t>
      </w:r>
      <w:r w:rsidR="00480FB1" w:rsidRPr="00C0654D">
        <w:rPr>
          <w:b/>
          <w:bCs/>
          <w:sz w:val="22"/>
          <w:szCs w:val="22"/>
          <w:lang w:val="sr-Latn-ME"/>
        </w:rPr>
        <w:tab/>
      </w:r>
      <w:r w:rsidRPr="00C0654D">
        <w:rPr>
          <w:b/>
          <w:bCs/>
          <w:sz w:val="22"/>
          <w:szCs w:val="22"/>
          <w:lang w:val="sr-Latn-ME"/>
        </w:rPr>
        <w:t>FARMAKOLOŠK</w:t>
      </w:r>
      <w:r w:rsidR="000D425A" w:rsidRPr="00C0654D">
        <w:rPr>
          <w:b/>
          <w:bCs/>
          <w:sz w:val="22"/>
          <w:szCs w:val="22"/>
          <w:lang w:val="sr-Latn-ME"/>
        </w:rPr>
        <w:t>I</w:t>
      </w:r>
      <w:r w:rsidRPr="00C0654D">
        <w:rPr>
          <w:b/>
          <w:bCs/>
          <w:sz w:val="22"/>
          <w:szCs w:val="22"/>
          <w:lang w:val="sr-Latn-ME"/>
        </w:rPr>
        <w:t xml:space="preserve"> PODACI</w:t>
      </w:r>
    </w:p>
    <w:p w14:paraId="5FA99B34" w14:textId="77777777" w:rsidR="0072020E" w:rsidRPr="00C0654D" w:rsidRDefault="0072020E" w:rsidP="0066437B">
      <w:pPr>
        <w:tabs>
          <w:tab w:val="left" w:pos="540"/>
          <w:tab w:val="left" w:pos="569"/>
        </w:tabs>
        <w:jc w:val="both"/>
        <w:rPr>
          <w:b/>
          <w:bCs/>
          <w:sz w:val="22"/>
          <w:szCs w:val="22"/>
          <w:lang w:val="sr-Latn-ME"/>
        </w:rPr>
      </w:pPr>
    </w:p>
    <w:p w14:paraId="5FA99B35" w14:textId="77777777" w:rsidR="0072020E" w:rsidRPr="00C0654D" w:rsidRDefault="0072020E" w:rsidP="0066437B">
      <w:pPr>
        <w:tabs>
          <w:tab w:val="left" w:pos="540"/>
          <w:tab w:val="left" w:pos="569"/>
        </w:tabs>
        <w:jc w:val="both"/>
        <w:rPr>
          <w:b/>
          <w:bCs/>
          <w:sz w:val="22"/>
          <w:szCs w:val="22"/>
          <w:lang w:val="sr-Latn-ME"/>
        </w:rPr>
      </w:pPr>
      <w:r w:rsidRPr="00C0654D">
        <w:rPr>
          <w:b/>
          <w:bCs/>
          <w:sz w:val="22"/>
          <w:szCs w:val="22"/>
          <w:lang w:val="sr-Latn-ME"/>
        </w:rPr>
        <w:t xml:space="preserve">5.1. </w:t>
      </w:r>
      <w:r w:rsidR="00480FB1" w:rsidRPr="00C0654D">
        <w:rPr>
          <w:b/>
          <w:bCs/>
          <w:sz w:val="22"/>
          <w:szCs w:val="22"/>
          <w:lang w:val="sr-Latn-ME"/>
        </w:rPr>
        <w:tab/>
      </w:r>
      <w:r w:rsidRPr="00C0654D">
        <w:rPr>
          <w:b/>
          <w:bCs/>
          <w:sz w:val="22"/>
          <w:szCs w:val="22"/>
          <w:lang w:val="sr-Latn-ME"/>
        </w:rPr>
        <w:t>Farmakodinamski podaci</w:t>
      </w:r>
      <w:r w:rsidR="003A7059" w:rsidRPr="00C0654D">
        <w:rPr>
          <w:b/>
          <w:bCs/>
          <w:sz w:val="22"/>
          <w:szCs w:val="22"/>
          <w:lang w:val="sr-Latn-ME"/>
        </w:rPr>
        <w:t xml:space="preserve"> </w:t>
      </w:r>
    </w:p>
    <w:p w14:paraId="5FA99B36" w14:textId="77777777" w:rsidR="00F45F77" w:rsidRPr="00C0654D" w:rsidRDefault="00F45F77" w:rsidP="0066437B">
      <w:pPr>
        <w:tabs>
          <w:tab w:val="left" w:pos="540"/>
          <w:tab w:val="left" w:pos="569"/>
        </w:tabs>
        <w:jc w:val="both"/>
        <w:rPr>
          <w:b/>
          <w:bCs/>
          <w:sz w:val="22"/>
          <w:szCs w:val="22"/>
          <w:lang w:val="sr-Latn-ME"/>
        </w:rPr>
      </w:pPr>
    </w:p>
    <w:p w14:paraId="5FA99B37" w14:textId="7B58A125" w:rsidR="0072020E" w:rsidRPr="00C0654D" w:rsidRDefault="0072020E" w:rsidP="0066437B">
      <w:pPr>
        <w:tabs>
          <w:tab w:val="left" w:pos="540"/>
          <w:tab w:val="left" w:pos="569"/>
        </w:tabs>
        <w:jc w:val="both"/>
        <w:rPr>
          <w:bCs/>
          <w:sz w:val="22"/>
          <w:szCs w:val="22"/>
          <w:lang w:val="sr-Latn-ME"/>
        </w:rPr>
      </w:pPr>
      <w:r w:rsidRPr="00C0654D">
        <w:rPr>
          <w:bCs/>
          <w:sz w:val="22"/>
          <w:szCs w:val="22"/>
          <w:lang w:val="sr-Latn-ME"/>
        </w:rPr>
        <w:t>Farmakoterapijska grupa:</w:t>
      </w:r>
      <w:r w:rsidR="003330F7" w:rsidRPr="00C0654D">
        <w:rPr>
          <w:lang w:val="sr-Latn-ME"/>
        </w:rPr>
        <w:t xml:space="preserve"> </w:t>
      </w:r>
      <w:r w:rsidR="003330F7" w:rsidRPr="00C0654D">
        <w:rPr>
          <w:bCs/>
          <w:sz w:val="22"/>
          <w:szCs w:val="22"/>
          <w:lang w:val="sr-Latn-ME"/>
        </w:rPr>
        <w:t>Citostatici (Antimetaboliti), analozi pirimidina</w:t>
      </w:r>
    </w:p>
    <w:p w14:paraId="5FA99B38" w14:textId="77777777" w:rsidR="0072020E" w:rsidRPr="00C0654D" w:rsidRDefault="0072020E" w:rsidP="0066437B">
      <w:pPr>
        <w:tabs>
          <w:tab w:val="left" w:pos="540"/>
          <w:tab w:val="left" w:pos="569"/>
        </w:tabs>
        <w:jc w:val="both"/>
        <w:rPr>
          <w:bCs/>
          <w:sz w:val="22"/>
          <w:szCs w:val="22"/>
          <w:lang w:val="sr-Latn-ME"/>
        </w:rPr>
      </w:pPr>
    </w:p>
    <w:p w14:paraId="5FA99B39" w14:textId="37EB760C" w:rsidR="0072020E" w:rsidRPr="00C0654D" w:rsidRDefault="0072020E" w:rsidP="0066437B">
      <w:pPr>
        <w:tabs>
          <w:tab w:val="left" w:pos="540"/>
          <w:tab w:val="left" w:pos="569"/>
        </w:tabs>
        <w:jc w:val="both"/>
        <w:rPr>
          <w:bCs/>
          <w:sz w:val="22"/>
          <w:szCs w:val="22"/>
          <w:lang w:val="sr-Latn-ME"/>
        </w:rPr>
      </w:pPr>
      <w:r w:rsidRPr="00C0654D">
        <w:rPr>
          <w:bCs/>
          <w:sz w:val="22"/>
          <w:szCs w:val="22"/>
          <w:lang w:val="sr-Latn-ME"/>
        </w:rPr>
        <w:t>ATC kod:</w:t>
      </w:r>
      <w:r w:rsidR="003C453A" w:rsidRPr="00C0654D">
        <w:rPr>
          <w:lang w:val="sr-Latn-ME"/>
        </w:rPr>
        <w:t xml:space="preserve"> </w:t>
      </w:r>
      <w:r w:rsidR="003C453A" w:rsidRPr="00C0654D">
        <w:rPr>
          <w:bCs/>
          <w:sz w:val="22"/>
          <w:szCs w:val="22"/>
          <w:lang w:val="sr-Latn-ME"/>
        </w:rPr>
        <w:t>L01BC06</w:t>
      </w:r>
    </w:p>
    <w:p w14:paraId="5FA99B3A" w14:textId="4E799E36" w:rsidR="002E37A5" w:rsidRPr="00C0654D" w:rsidRDefault="002E37A5" w:rsidP="0066437B">
      <w:pPr>
        <w:tabs>
          <w:tab w:val="left" w:pos="540"/>
          <w:tab w:val="left" w:pos="569"/>
        </w:tabs>
        <w:jc w:val="both"/>
        <w:rPr>
          <w:b/>
          <w:bCs/>
          <w:sz w:val="22"/>
          <w:szCs w:val="22"/>
          <w:lang w:val="sr-Latn-ME"/>
        </w:rPr>
      </w:pPr>
    </w:p>
    <w:p w14:paraId="56AB94C9" w14:textId="4A5BC42E"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t>Kapecitabin je necitotoksi</w:t>
      </w:r>
      <w:r w:rsidRPr="00C0654D">
        <w:rPr>
          <w:rFonts w:eastAsia="TimesNewRoman"/>
          <w:sz w:val="22"/>
          <w:szCs w:val="22"/>
          <w:lang w:val="sr-Latn-ME" w:eastAsia="sr-Latn-CS"/>
        </w:rPr>
        <w:t>č</w:t>
      </w:r>
      <w:r w:rsidRPr="00C0654D">
        <w:rPr>
          <w:sz w:val="22"/>
          <w:szCs w:val="22"/>
          <w:lang w:val="sr-Latn-ME" w:eastAsia="sr-Latn-CS"/>
        </w:rPr>
        <w:t>ni fluoropirimidin karbamat, koji funkcioniše kao oralno primijenjeni prekursor citotoksi</w:t>
      </w:r>
      <w:r w:rsidRPr="00C0654D">
        <w:rPr>
          <w:rFonts w:eastAsia="TimesNewRoman"/>
          <w:sz w:val="22"/>
          <w:szCs w:val="22"/>
          <w:lang w:val="sr-Latn-ME" w:eastAsia="sr-Latn-CS"/>
        </w:rPr>
        <w:t>č</w:t>
      </w:r>
      <w:r w:rsidRPr="00C0654D">
        <w:rPr>
          <w:sz w:val="22"/>
          <w:szCs w:val="22"/>
          <w:lang w:val="sr-Latn-ME" w:eastAsia="sr-Latn-CS"/>
        </w:rPr>
        <w:t xml:space="preserve">nog  5-fluorouracila (5-FU). Kapecitabin se aktivira preko nekoliko enzimskih koraka (vidjeti </w:t>
      </w:r>
      <w:r w:rsidR="00BA7E76">
        <w:rPr>
          <w:sz w:val="22"/>
          <w:szCs w:val="22"/>
          <w:lang w:val="sr-Latn-ME" w:eastAsia="sr-Latn-CS"/>
        </w:rPr>
        <w:t xml:space="preserve">dio </w:t>
      </w:r>
      <w:r w:rsidRPr="00C0654D">
        <w:rPr>
          <w:sz w:val="22"/>
          <w:szCs w:val="22"/>
          <w:lang w:val="sr-Latn-ME" w:eastAsia="sr-Latn-CS"/>
        </w:rPr>
        <w:t>5.2). Enzim koji je uklju</w:t>
      </w:r>
      <w:r w:rsidRPr="00C0654D">
        <w:rPr>
          <w:rFonts w:eastAsia="TimesNewRoman"/>
          <w:sz w:val="22"/>
          <w:szCs w:val="22"/>
          <w:lang w:val="sr-Latn-ME" w:eastAsia="sr-Latn-CS"/>
        </w:rPr>
        <w:t>č</w:t>
      </w:r>
      <w:r w:rsidRPr="00C0654D">
        <w:rPr>
          <w:sz w:val="22"/>
          <w:szCs w:val="22"/>
          <w:lang w:val="sr-Latn-ME" w:eastAsia="sr-Latn-CS"/>
        </w:rPr>
        <w:t>en u finalnu konverziju do 5-FU, timidin fosforilaza (ThyPase), nalazi se u tumorskim tkivima, ali i u normalnim tkivima, iako u nižim nivoima. U ksenograft modelu humanog karcinoma, kapecitabin je pokazao sinergisti</w:t>
      </w:r>
      <w:r w:rsidRPr="00C0654D">
        <w:rPr>
          <w:rFonts w:eastAsia="TimesNewRoman"/>
          <w:sz w:val="22"/>
          <w:szCs w:val="22"/>
          <w:lang w:val="sr-Latn-ME" w:eastAsia="sr-Latn-CS"/>
        </w:rPr>
        <w:t>č</w:t>
      </w:r>
      <w:r w:rsidRPr="00C0654D">
        <w:rPr>
          <w:sz w:val="22"/>
          <w:szCs w:val="22"/>
          <w:lang w:val="sr-Latn-ME" w:eastAsia="sr-Latn-CS"/>
        </w:rPr>
        <w:t>ko dejstvo u kombinaciji sa docetakselom, što može biti posljedica ushodne regulacije timidin fosforilaze docetakselom.</w:t>
      </w:r>
    </w:p>
    <w:p w14:paraId="0F77D66A" w14:textId="77777777" w:rsidR="002D6375" w:rsidRPr="00C0654D" w:rsidRDefault="002D6375" w:rsidP="00CA1BE0">
      <w:pPr>
        <w:autoSpaceDE w:val="0"/>
        <w:autoSpaceDN w:val="0"/>
        <w:adjustRightInd w:val="0"/>
        <w:jc w:val="both"/>
        <w:rPr>
          <w:sz w:val="22"/>
          <w:szCs w:val="22"/>
          <w:lang w:val="sr-Latn-ME" w:eastAsia="sr-Latn-CS"/>
        </w:rPr>
      </w:pPr>
    </w:p>
    <w:p w14:paraId="0369497F"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Postoje dokazi da metabolizam 5-FU u anaboli</w:t>
      </w:r>
      <w:r w:rsidRPr="00C0654D">
        <w:rPr>
          <w:rFonts w:eastAsia="TimesNewRoman"/>
          <w:sz w:val="22"/>
          <w:szCs w:val="22"/>
          <w:lang w:val="sr-Latn-ME" w:eastAsia="sr-Latn-CS"/>
        </w:rPr>
        <w:t>č</w:t>
      </w:r>
      <w:r w:rsidRPr="00C0654D">
        <w:rPr>
          <w:sz w:val="22"/>
          <w:szCs w:val="22"/>
          <w:lang w:val="sr-Latn-ME" w:eastAsia="sr-Latn-CS"/>
        </w:rPr>
        <w:t>kom putu blokira metilacionu reakciju dezoksiuridili</w:t>
      </w:r>
      <w:r w:rsidRPr="00C0654D">
        <w:rPr>
          <w:rFonts w:eastAsia="TimesNewRoman"/>
          <w:sz w:val="22"/>
          <w:szCs w:val="22"/>
          <w:lang w:val="sr-Latn-ME" w:eastAsia="sr-Latn-CS"/>
        </w:rPr>
        <w:t>č</w:t>
      </w:r>
      <w:r w:rsidRPr="00C0654D">
        <w:rPr>
          <w:sz w:val="22"/>
          <w:szCs w:val="22"/>
          <w:lang w:val="sr-Latn-ME" w:eastAsia="sr-Latn-CS"/>
        </w:rPr>
        <w:t>ne kiseline u timidili</w:t>
      </w:r>
      <w:r w:rsidRPr="00C0654D">
        <w:rPr>
          <w:rFonts w:eastAsia="TimesNewRoman"/>
          <w:sz w:val="22"/>
          <w:szCs w:val="22"/>
          <w:lang w:val="sr-Latn-ME" w:eastAsia="sr-Latn-CS"/>
        </w:rPr>
        <w:t>č</w:t>
      </w:r>
      <w:r w:rsidRPr="00C0654D">
        <w:rPr>
          <w:sz w:val="22"/>
          <w:szCs w:val="22"/>
          <w:lang w:val="sr-Latn-ME" w:eastAsia="sr-Latn-CS"/>
        </w:rPr>
        <w:t>nu kiselinu, na taj na</w:t>
      </w:r>
      <w:r w:rsidRPr="00C0654D">
        <w:rPr>
          <w:rFonts w:eastAsia="TimesNewRoman"/>
          <w:sz w:val="22"/>
          <w:szCs w:val="22"/>
          <w:lang w:val="sr-Latn-ME" w:eastAsia="sr-Latn-CS"/>
        </w:rPr>
        <w:t>č</w:t>
      </w:r>
      <w:r w:rsidRPr="00C0654D">
        <w:rPr>
          <w:sz w:val="22"/>
          <w:szCs w:val="22"/>
          <w:lang w:val="sr-Latn-ME" w:eastAsia="sr-Latn-CS"/>
        </w:rPr>
        <w:t>in uti</w:t>
      </w:r>
      <w:r w:rsidRPr="00C0654D">
        <w:rPr>
          <w:rFonts w:eastAsia="TimesNewRoman"/>
          <w:sz w:val="22"/>
          <w:szCs w:val="22"/>
          <w:lang w:val="sr-Latn-ME" w:eastAsia="sr-Latn-CS"/>
        </w:rPr>
        <w:t>č</w:t>
      </w:r>
      <w:r w:rsidRPr="00C0654D">
        <w:rPr>
          <w:sz w:val="22"/>
          <w:szCs w:val="22"/>
          <w:lang w:val="sr-Latn-ME" w:eastAsia="sr-Latn-CS"/>
        </w:rPr>
        <w:t>u</w:t>
      </w:r>
      <w:r w:rsidRPr="00C0654D">
        <w:rPr>
          <w:rFonts w:eastAsia="TimesNewRoman"/>
          <w:sz w:val="22"/>
          <w:szCs w:val="22"/>
          <w:lang w:val="sr-Latn-ME" w:eastAsia="sr-Latn-CS"/>
        </w:rPr>
        <w:t>ć</w:t>
      </w:r>
      <w:r w:rsidRPr="00C0654D">
        <w:rPr>
          <w:sz w:val="22"/>
          <w:szCs w:val="22"/>
          <w:lang w:val="sr-Latn-ME" w:eastAsia="sr-Latn-CS"/>
        </w:rPr>
        <w:t xml:space="preserve">i na sintezu dezoksiribonukleinske kiseline (DNK). </w:t>
      </w:r>
      <w:r w:rsidRPr="00C0654D">
        <w:rPr>
          <w:sz w:val="22"/>
          <w:szCs w:val="22"/>
          <w:lang w:val="sr-Latn-ME" w:eastAsia="sr-Latn-CS"/>
        </w:rPr>
        <w:lastRenderedPageBreak/>
        <w:t>Inkorporacija 5-FU dovodi i do inhibicije RNK i sinteze proteina. Budu</w:t>
      </w:r>
      <w:r w:rsidRPr="00C0654D">
        <w:rPr>
          <w:rFonts w:eastAsia="TimesNewRoman"/>
          <w:sz w:val="22"/>
          <w:szCs w:val="22"/>
          <w:lang w:val="sr-Latn-ME" w:eastAsia="sr-Latn-CS"/>
        </w:rPr>
        <w:t>ć</w:t>
      </w:r>
      <w:r w:rsidRPr="00C0654D">
        <w:rPr>
          <w:sz w:val="22"/>
          <w:szCs w:val="22"/>
          <w:lang w:val="sr-Latn-ME" w:eastAsia="sr-Latn-CS"/>
        </w:rPr>
        <w:t xml:space="preserve">i da su DNK i RNK veoma važne za </w:t>
      </w:r>
      <w:r w:rsidRPr="00C0654D">
        <w:rPr>
          <w:rFonts w:eastAsia="TimesNewRoman"/>
          <w:sz w:val="22"/>
          <w:szCs w:val="22"/>
          <w:lang w:val="sr-Latn-ME" w:eastAsia="sr-Latn-CS"/>
        </w:rPr>
        <w:t>ć</w:t>
      </w:r>
      <w:r w:rsidRPr="00C0654D">
        <w:rPr>
          <w:sz w:val="22"/>
          <w:szCs w:val="22"/>
          <w:lang w:val="sr-Latn-ME" w:eastAsia="sr-Latn-CS"/>
        </w:rPr>
        <w:t xml:space="preserve">elijsku diobu i rast, dejstvo 5-FU može da dovede do timidinske deficijencije koja izaziva neuravnoteženi rast i smrt </w:t>
      </w:r>
      <w:r w:rsidRPr="00C0654D">
        <w:rPr>
          <w:rFonts w:eastAsia="TimesNewRoman"/>
          <w:sz w:val="22"/>
          <w:szCs w:val="22"/>
          <w:lang w:val="sr-Latn-ME" w:eastAsia="sr-Latn-CS"/>
        </w:rPr>
        <w:t>ć</w:t>
      </w:r>
      <w:r w:rsidRPr="00C0654D">
        <w:rPr>
          <w:sz w:val="22"/>
          <w:szCs w:val="22"/>
          <w:lang w:val="sr-Latn-ME" w:eastAsia="sr-Latn-CS"/>
        </w:rPr>
        <w:t xml:space="preserve">elija. Dejstvo deprivacije DNK i RNK najizraženije je na onim </w:t>
      </w:r>
      <w:r w:rsidRPr="00C0654D">
        <w:rPr>
          <w:rFonts w:eastAsia="TimesNewRoman"/>
          <w:sz w:val="22"/>
          <w:szCs w:val="22"/>
          <w:lang w:val="sr-Latn-ME" w:eastAsia="sr-Latn-CS"/>
        </w:rPr>
        <w:t>ć</w:t>
      </w:r>
      <w:r w:rsidRPr="00C0654D">
        <w:rPr>
          <w:sz w:val="22"/>
          <w:szCs w:val="22"/>
          <w:lang w:val="sr-Latn-ME" w:eastAsia="sr-Latn-CS"/>
        </w:rPr>
        <w:t>elijama koje brže proliferišu i koje brže metabolizuju 5-FU.</w:t>
      </w:r>
    </w:p>
    <w:p w14:paraId="79354E52" w14:textId="77777777" w:rsidR="002D6375" w:rsidRPr="00C0654D" w:rsidRDefault="002D6375">
      <w:pPr>
        <w:autoSpaceDE w:val="0"/>
        <w:autoSpaceDN w:val="0"/>
        <w:adjustRightInd w:val="0"/>
        <w:jc w:val="both"/>
        <w:rPr>
          <w:b/>
          <w:sz w:val="22"/>
          <w:szCs w:val="22"/>
          <w:lang w:val="sr-Latn-ME" w:eastAsia="sr-Latn-CS"/>
        </w:rPr>
      </w:pPr>
    </w:p>
    <w:p w14:paraId="0D0AA10B" w14:textId="77777777" w:rsidR="002D6375" w:rsidRPr="00C0654D" w:rsidRDefault="002D6375">
      <w:pPr>
        <w:autoSpaceDE w:val="0"/>
        <w:autoSpaceDN w:val="0"/>
        <w:adjustRightInd w:val="0"/>
        <w:jc w:val="both"/>
        <w:rPr>
          <w:b/>
          <w:sz w:val="22"/>
          <w:szCs w:val="22"/>
          <w:lang w:val="sr-Latn-ME" w:eastAsia="sr-Latn-CS"/>
        </w:rPr>
      </w:pPr>
      <w:r w:rsidRPr="00C0654D">
        <w:rPr>
          <w:b/>
          <w:sz w:val="22"/>
          <w:szCs w:val="22"/>
          <w:lang w:val="sr-Latn-ME" w:eastAsia="sr-Latn-CS"/>
        </w:rPr>
        <w:t>Karcinom kolona i kolorektalni karcinom</w:t>
      </w:r>
    </w:p>
    <w:p w14:paraId="6BD0E335" w14:textId="77777777" w:rsidR="002D6375" w:rsidRPr="00813C2B" w:rsidRDefault="002D6375">
      <w:pPr>
        <w:autoSpaceDE w:val="0"/>
        <w:autoSpaceDN w:val="0"/>
        <w:adjustRightInd w:val="0"/>
        <w:jc w:val="both"/>
        <w:rPr>
          <w:i/>
          <w:iCs/>
          <w:sz w:val="22"/>
          <w:szCs w:val="22"/>
          <w:u w:val="single"/>
          <w:lang w:val="sr-Latn-ME" w:eastAsia="sr-Latn-CS"/>
        </w:rPr>
      </w:pPr>
      <w:r w:rsidRPr="00813C2B">
        <w:rPr>
          <w:i/>
          <w:iCs/>
          <w:sz w:val="22"/>
          <w:szCs w:val="22"/>
          <w:u w:val="single"/>
          <w:lang w:val="sr-Latn-ME" w:eastAsia="sr-Latn-CS"/>
        </w:rPr>
        <w:t xml:space="preserve">Adjuvantna monoterapija </w:t>
      </w:r>
      <w:r w:rsidRPr="00813C2B">
        <w:rPr>
          <w:i/>
          <w:sz w:val="22"/>
          <w:szCs w:val="22"/>
          <w:u w:val="single"/>
          <w:lang w:val="sr-Latn-ME" w:eastAsia="sr-Latn-CS"/>
        </w:rPr>
        <w:t>kapecitabinom</w:t>
      </w:r>
      <w:r w:rsidRPr="00813C2B">
        <w:rPr>
          <w:i/>
          <w:iCs/>
          <w:sz w:val="22"/>
          <w:szCs w:val="22"/>
          <w:u w:val="single"/>
          <w:lang w:val="sr-Latn-ME" w:eastAsia="sr-Latn-CS"/>
        </w:rPr>
        <w:t xml:space="preserve"> kod karcinoma kolona</w:t>
      </w:r>
    </w:p>
    <w:p w14:paraId="47A95BA5" w14:textId="6CAFFCCF"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jedne multicentri</w:t>
      </w:r>
      <w:r w:rsidRPr="00C0654D">
        <w:rPr>
          <w:rFonts w:eastAsia="TimesNewRoman"/>
          <w:sz w:val="22"/>
          <w:szCs w:val="22"/>
          <w:lang w:val="sr-Latn-ME" w:eastAsia="sr-Latn-CS"/>
        </w:rPr>
        <w:t>č</w:t>
      </w:r>
      <w:r w:rsidRPr="00C0654D">
        <w:rPr>
          <w:sz w:val="22"/>
          <w:szCs w:val="22"/>
          <w:lang w:val="sr-Latn-ME" w:eastAsia="sr-Latn-CS"/>
        </w:rPr>
        <w:t>ne randomizovane, kontrolisane klini</w:t>
      </w:r>
      <w:r w:rsidRPr="00C0654D">
        <w:rPr>
          <w:rFonts w:eastAsia="TimesNewRoman"/>
          <w:sz w:val="22"/>
          <w:szCs w:val="22"/>
          <w:lang w:val="sr-Latn-ME" w:eastAsia="sr-Latn-CS"/>
        </w:rPr>
        <w:t>č</w:t>
      </w:r>
      <w:r w:rsidRPr="00C0654D">
        <w:rPr>
          <w:sz w:val="22"/>
          <w:szCs w:val="22"/>
          <w:lang w:val="sr-Latn-ME" w:eastAsia="sr-Latn-CS"/>
        </w:rPr>
        <w:t>ke studije faze III kod pacijenata sa stadijumom III (Djuksov stadijum C) karcinoma kolona podržavaju primjenu kapecitabina kao adjuvantne terapije za lije</w:t>
      </w:r>
      <w:r w:rsidRPr="00C0654D">
        <w:rPr>
          <w:rFonts w:eastAsia="TimesNewRoman"/>
          <w:sz w:val="22"/>
          <w:szCs w:val="22"/>
          <w:lang w:val="sr-Latn-ME" w:eastAsia="sr-Latn-CS"/>
        </w:rPr>
        <w:t>č</w:t>
      </w:r>
      <w:r w:rsidRPr="00C0654D">
        <w:rPr>
          <w:sz w:val="22"/>
          <w:szCs w:val="22"/>
          <w:lang w:val="sr-Latn-ME" w:eastAsia="sr-Latn-CS"/>
        </w:rPr>
        <w:t>enje pacijenata sa karcinomom kolona (studija XACT; M66001). U ovom ispitivanju, 1987 pacijenata je randomizovano u grupe, jednu koja je primala kapecitabin (1250 mg/m</w:t>
      </w:r>
      <w:r w:rsidRPr="00C0654D">
        <w:rPr>
          <w:sz w:val="22"/>
          <w:szCs w:val="22"/>
          <w:vertAlign w:val="superscript"/>
          <w:lang w:val="sr-Latn-ME" w:eastAsia="sr-Latn-CS"/>
        </w:rPr>
        <w:t>2</w:t>
      </w:r>
      <w:r w:rsidRPr="00C0654D">
        <w:rPr>
          <w:sz w:val="22"/>
          <w:szCs w:val="22"/>
          <w:lang w:val="sr-Latn-ME" w:eastAsia="sr-Latn-CS"/>
        </w:rPr>
        <w:t xml:space="preserve"> dva puta dnevno u trajanju od 2 nedjelje, poslije </w:t>
      </w:r>
      <w:r w:rsidRPr="00C0654D">
        <w:rPr>
          <w:rFonts w:eastAsia="TimesNewRoman"/>
          <w:sz w:val="22"/>
          <w:szCs w:val="22"/>
          <w:lang w:val="sr-Latn-ME" w:eastAsia="sr-Latn-CS"/>
        </w:rPr>
        <w:t>č</w:t>
      </w:r>
      <w:r w:rsidRPr="00C0654D">
        <w:rPr>
          <w:sz w:val="22"/>
          <w:szCs w:val="22"/>
          <w:lang w:val="sr-Latn-ME" w:eastAsia="sr-Latn-CS"/>
        </w:rPr>
        <w:t>ega slijedi nedjelju dana pauze, što se u vidu tronedjeljnog ciklusa ponavlja tokom 24 nedjelje), ili drugu, koja je primala 5-FU i leukovorin (režim klinike Mejo: 20 mg/m</w:t>
      </w:r>
      <w:r w:rsidRPr="00C0654D">
        <w:rPr>
          <w:sz w:val="22"/>
          <w:szCs w:val="22"/>
          <w:vertAlign w:val="superscript"/>
          <w:lang w:val="sr-Latn-ME" w:eastAsia="sr-Latn-CS"/>
        </w:rPr>
        <w:t>2</w:t>
      </w:r>
      <w:r w:rsidRPr="00C0654D">
        <w:rPr>
          <w:sz w:val="22"/>
          <w:szCs w:val="22"/>
          <w:lang w:val="sr-Latn-ME" w:eastAsia="sr-Latn-CS"/>
        </w:rPr>
        <w:t xml:space="preserve"> leukovorina IV pra</w:t>
      </w:r>
      <w:r w:rsidRPr="00C0654D">
        <w:rPr>
          <w:rFonts w:eastAsia="TimesNewRoman"/>
          <w:sz w:val="22"/>
          <w:szCs w:val="22"/>
          <w:lang w:val="sr-Latn-ME" w:eastAsia="sr-Latn-CS"/>
        </w:rPr>
        <w:t>ć</w:t>
      </w:r>
      <w:r w:rsidRPr="00C0654D">
        <w:rPr>
          <w:sz w:val="22"/>
          <w:szCs w:val="22"/>
          <w:lang w:val="sr-Latn-ME" w:eastAsia="sr-Latn-CS"/>
        </w:rPr>
        <w:t>eno sa 425 mg/m</w:t>
      </w:r>
      <w:r w:rsidRPr="00C0654D">
        <w:rPr>
          <w:sz w:val="22"/>
          <w:szCs w:val="22"/>
          <w:vertAlign w:val="superscript"/>
          <w:lang w:val="sr-Latn-ME" w:eastAsia="sr-Latn-CS"/>
        </w:rPr>
        <w:t>2</w:t>
      </w:r>
      <w:r w:rsidRPr="00C0654D">
        <w:rPr>
          <w:sz w:val="22"/>
          <w:szCs w:val="22"/>
          <w:lang w:val="sr-Latn-ME" w:eastAsia="sr-Latn-CS"/>
        </w:rPr>
        <w:t xml:space="preserve"> IV bolusa 5-FU, od prvog do petog dana, svakih 28 dana u trajanju od 24 nedjelje). Primjena kapecitabina je bila bar ekvivalentna u</w:t>
      </w:r>
      <w:r w:rsidRPr="00C0654D">
        <w:rPr>
          <w:rFonts w:eastAsia="TimesNewRoman"/>
          <w:sz w:val="22"/>
          <w:szCs w:val="22"/>
          <w:lang w:val="sr-Latn-ME" w:eastAsia="sr-Latn-CS"/>
        </w:rPr>
        <w:t>č</w:t>
      </w:r>
      <w:r w:rsidRPr="00C0654D">
        <w:rPr>
          <w:sz w:val="22"/>
          <w:szCs w:val="22"/>
          <w:lang w:val="sr-Latn-ME" w:eastAsia="sr-Latn-CS"/>
        </w:rPr>
        <w:t>inku IV 5-FU/LV u trajanju preživljavanja bez bolesti u populacijama u ovom protokolu (koeficijent rizika 0,92; 95% CI 0,80-1,06). Kod ukupne randomizovane populacije, testiranje za razliku izme</w:t>
      </w:r>
      <w:r w:rsidRPr="00C0654D">
        <w:rPr>
          <w:rFonts w:eastAsia="TimesNewRoman"/>
          <w:sz w:val="22"/>
          <w:szCs w:val="22"/>
          <w:lang w:val="sr-Latn-ME" w:eastAsia="sr-Latn-CS"/>
        </w:rPr>
        <w:t>đ</w:t>
      </w:r>
      <w:r w:rsidRPr="00C0654D">
        <w:rPr>
          <w:sz w:val="22"/>
          <w:szCs w:val="22"/>
          <w:lang w:val="sr-Latn-ME" w:eastAsia="sr-Latn-CS"/>
        </w:rPr>
        <w:t>u kapecitabina i 5-FU/LV kada se radi o preživljavanju bez bolesti i ukupnom preživljavanju pokazalo je koeficijent rizika od 0,88 (95% CI 0,77 – 1,01; p=0,068) odnosno 0,86 (95% CI 0,74 – 1,01; p=0,060). Prosječno trajanje pra</w:t>
      </w:r>
      <w:r w:rsidRPr="00C0654D">
        <w:rPr>
          <w:rFonts w:eastAsia="TimesNewRoman"/>
          <w:sz w:val="22"/>
          <w:szCs w:val="22"/>
          <w:lang w:val="sr-Latn-ME" w:eastAsia="sr-Latn-CS"/>
        </w:rPr>
        <w:t>ć</w:t>
      </w:r>
      <w:r w:rsidRPr="00C0654D">
        <w:rPr>
          <w:sz w:val="22"/>
          <w:szCs w:val="22"/>
          <w:lang w:val="sr-Latn-ME" w:eastAsia="sr-Latn-CS"/>
        </w:rPr>
        <w:t>enja u trenutku analize iznosilo je 6,9 godina. U prethodno planiranoj multivarijantnoj Koks analizi, pokazana je superiornost kapecitabina u pore</w:t>
      </w:r>
      <w:r w:rsidRPr="00C0654D">
        <w:rPr>
          <w:rFonts w:eastAsia="TimesNewRoman"/>
          <w:sz w:val="22"/>
          <w:szCs w:val="22"/>
          <w:lang w:val="sr-Latn-ME" w:eastAsia="sr-Latn-CS"/>
        </w:rPr>
        <w:t>đ</w:t>
      </w:r>
      <w:r w:rsidRPr="00C0654D">
        <w:rPr>
          <w:sz w:val="22"/>
          <w:szCs w:val="22"/>
          <w:lang w:val="sr-Latn-ME" w:eastAsia="sr-Latn-CS"/>
        </w:rPr>
        <w:t>enju sa bolusom 5-FU/LV. Za uklju</w:t>
      </w:r>
      <w:r w:rsidRPr="00C0654D">
        <w:rPr>
          <w:rFonts w:eastAsia="TimesNewRoman"/>
          <w:sz w:val="22"/>
          <w:szCs w:val="22"/>
          <w:lang w:val="sr-Latn-ME" w:eastAsia="sr-Latn-CS"/>
        </w:rPr>
        <w:t>č</w:t>
      </w:r>
      <w:r w:rsidRPr="00C0654D">
        <w:rPr>
          <w:sz w:val="22"/>
          <w:szCs w:val="22"/>
          <w:lang w:val="sr-Latn-ME" w:eastAsia="sr-Latn-CS"/>
        </w:rPr>
        <w:t>ivanje u ovaj model, sljede</w:t>
      </w:r>
      <w:r w:rsidRPr="00C0654D">
        <w:rPr>
          <w:rFonts w:eastAsia="TimesNewRoman"/>
          <w:sz w:val="22"/>
          <w:szCs w:val="22"/>
          <w:lang w:val="sr-Latn-ME" w:eastAsia="sr-Latn-CS"/>
        </w:rPr>
        <w:t>ć</w:t>
      </w:r>
      <w:r w:rsidRPr="00C0654D">
        <w:rPr>
          <w:sz w:val="22"/>
          <w:szCs w:val="22"/>
          <w:lang w:val="sr-Latn-ME" w:eastAsia="sr-Latn-CS"/>
        </w:rPr>
        <w:t>i faktori su bili prethodno odre</w:t>
      </w:r>
      <w:r w:rsidRPr="00C0654D">
        <w:rPr>
          <w:rFonts w:eastAsia="TimesNewRoman"/>
          <w:sz w:val="22"/>
          <w:szCs w:val="22"/>
          <w:lang w:val="sr-Latn-ME" w:eastAsia="sr-Latn-CS"/>
        </w:rPr>
        <w:t>đ</w:t>
      </w:r>
      <w:r w:rsidRPr="00C0654D">
        <w:rPr>
          <w:sz w:val="22"/>
          <w:szCs w:val="22"/>
          <w:lang w:val="sr-Latn-ME" w:eastAsia="sr-Latn-CS"/>
        </w:rPr>
        <w:t>eni za statisti</w:t>
      </w:r>
      <w:r w:rsidRPr="00C0654D">
        <w:rPr>
          <w:rFonts w:eastAsia="TimesNewRoman"/>
          <w:sz w:val="22"/>
          <w:szCs w:val="22"/>
          <w:lang w:val="sr-Latn-ME" w:eastAsia="sr-Latn-CS"/>
        </w:rPr>
        <w:t>č</w:t>
      </w:r>
      <w:r w:rsidRPr="00C0654D">
        <w:rPr>
          <w:sz w:val="22"/>
          <w:szCs w:val="22"/>
          <w:lang w:val="sr-Latn-ME" w:eastAsia="sr-Latn-CS"/>
        </w:rPr>
        <w:t>ku analizu: godine starosti, vrijeme od operacije do randomizacije, pol, nivoi CEA na po</w:t>
      </w:r>
      <w:r w:rsidRPr="00C0654D">
        <w:rPr>
          <w:rFonts w:eastAsia="TimesNewRoman"/>
          <w:sz w:val="22"/>
          <w:szCs w:val="22"/>
          <w:lang w:val="sr-Latn-ME" w:eastAsia="sr-Latn-CS"/>
        </w:rPr>
        <w:t>č</w:t>
      </w:r>
      <w:r w:rsidRPr="00C0654D">
        <w:rPr>
          <w:sz w:val="22"/>
          <w:szCs w:val="22"/>
          <w:lang w:val="sr-Latn-ME" w:eastAsia="sr-Latn-CS"/>
        </w:rPr>
        <w:t xml:space="preserve">etku terapije (bazalni nivo), </w:t>
      </w:r>
      <w:r w:rsidR="00BA7E76">
        <w:rPr>
          <w:sz w:val="22"/>
          <w:szCs w:val="22"/>
          <w:lang w:val="sr-Latn-ME" w:eastAsia="sr-Latn-CS"/>
        </w:rPr>
        <w:t xml:space="preserve">status </w:t>
      </w:r>
      <w:r w:rsidRPr="00C0654D">
        <w:rPr>
          <w:sz w:val="22"/>
          <w:szCs w:val="22"/>
          <w:lang w:val="sr-Latn-ME" w:eastAsia="sr-Latn-CS"/>
        </w:rPr>
        <w:t>limfni</w:t>
      </w:r>
      <w:r w:rsidR="00BA7E76">
        <w:rPr>
          <w:sz w:val="22"/>
          <w:szCs w:val="22"/>
          <w:lang w:val="sr-Latn-ME" w:eastAsia="sr-Latn-CS"/>
        </w:rPr>
        <w:t>h</w:t>
      </w:r>
      <w:r w:rsidRPr="00C0654D">
        <w:rPr>
          <w:sz w:val="22"/>
          <w:szCs w:val="22"/>
          <w:lang w:val="sr-Latn-ME" w:eastAsia="sr-Latn-CS"/>
        </w:rPr>
        <w:t xml:space="preserve"> </w:t>
      </w:r>
      <w:r w:rsidRPr="00C0654D">
        <w:rPr>
          <w:rFonts w:eastAsia="TimesNewRoman"/>
          <w:sz w:val="22"/>
          <w:szCs w:val="22"/>
          <w:lang w:val="sr-Latn-ME" w:eastAsia="sr-Latn-CS"/>
        </w:rPr>
        <w:t>č</w:t>
      </w:r>
      <w:r w:rsidRPr="00C0654D">
        <w:rPr>
          <w:sz w:val="22"/>
          <w:szCs w:val="22"/>
          <w:lang w:val="sr-Latn-ME" w:eastAsia="sr-Latn-CS"/>
        </w:rPr>
        <w:t>vorov</w:t>
      </w:r>
      <w:r w:rsidR="00BA7E76">
        <w:rPr>
          <w:sz w:val="22"/>
          <w:szCs w:val="22"/>
          <w:lang w:val="sr-Latn-ME" w:eastAsia="sr-Latn-CS"/>
        </w:rPr>
        <w:t>a</w:t>
      </w:r>
      <w:r w:rsidRPr="00C0654D">
        <w:rPr>
          <w:sz w:val="22"/>
          <w:szCs w:val="22"/>
          <w:lang w:val="sr-Latn-ME" w:eastAsia="sr-Latn-CS"/>
        </w:rPr>
        <w:t xml:space="preserve"> na početku terapije, i</w:t>
      </w:r>
      <w:r w:rsidR="004801F0">
        <w:rPr>
          <w:sz w:val="22"/>
          <w:szCs w:val="22"/>
          <w:lang w:val="sr-Latn-ME" w:eastAsia="sr-Latn-CS"/>
        </w:rPr>
        <w:t xml:space="preserve"> </w:t>
      </w:r>
      <w:r w:rsidR="00BA7E76">
        <w:rPr>
          <w:sz w:val="22"/>
          <w:szCs w:val="22"/>
          <w:lang w:val="sr-Latn-ME" w:eastAsia="sr-Latn-CS"/>
        </w:rPr>
        <w:t>zemlja porijekla</w:t>
      </w:r>
      <w:r w:rsidRPr="00C0654D">
        <w:rPr>
          <w:sz w:val="22"/>
          <w:szCs w:val="22"/>
          <w:lang w:val="sr-Latn-ME" w:eastAsia="sr-Latn-CS"/>
        </w:rPr>
        <w:t xml:space="preserve">. Kod ukupne randomizovane populacije pokazano je da je kapecitabin superiorniji od 5-FU/LV kada se radi o preživljavanju bez bolesti (koeficijent rizika 0,849; 95% CI 0,739 – 0,976; p=0,0212), kao i za ukupno preživljavanje (koeficijent rizika 0,828; 95% CI 0,705 – 0,971; p=0,0203)]. </w:t>
      </w:r>
    </w:p>
    <w:p w14:paraId="472D984A" w14:textId="77777777" w:rsidR="002D6375" w:rsidRPr="00C0654D" w:rsidRDefault="002D6375">
      <w:pPr>
        <w:autoSpaceDE w:val="0"/>
        <w:autoSpaceDN w:val="0"/>
        <w:adjustRightInd w:val="0"/>
        <w:jc w:val="both"/>
        <w:rPr>
          <w:sz w:val="22"/>
          <w:szCs w:val="22"/>
          <w:lang w:val="sr-Latn-ME" w:eastAsia="sr-Latn-CS"/>
        </w:rPr>
      </w:pPr>
    </w:p>
    <w:p w14:paraId="3B38366F" w14:textId="77777777" w:rsidR="002D6375" w:rsidRPr="00813C2B" w:rsidRDefault="002D6375">
      <w:pPr>
        <w:autoSpaceDE w:val="0"/>
        <w:autoSpaceDN w:val="0"/>
        <w:adjustRightInd w:val="0"/>
        <w:jc w:val="both"/>
        <w:rPr>
          <w:i/>
          <w:sz w:val="22"/>
          <w:szCs w:val="22"/>
          <w:u w:val="single"/>
          <w:lang w:val="sr-Latn-ME" w:eastAsia="sr-Latn-CS"/>
        </w:rPr>
      </w:pPr>
      <w:r w:rsidRPr="00813C2B">
        <w:rPr>
          <w:i/>
          <w:sz w:val="22"/>
          <w:szCs w:val="22"/>
          <w:u w:val="single"/>
          <w:lang w:val="sr-Latn-ME" w:eastAsia="sr-Latn-CS"/>
        </w:rPr>
        <w:t>Kombinovana terapija u adjuvantnom liječenju karcinoma kolona</w:t>
      </w:r>
    </w:p>
    <w:p w14:paraId="768D1B36" w14:textId="36827634"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jedne multicentri</w:t>
      </w:r>
      <w:r w:rsidRPr="00C0654D">
        <w:rPr>
          <w:rFonts w:eastAsia="TimesNewRoman"/>
          <w:sz w:val="22"/>
          <w:szCs w:val="22"/>
          <w:lang w:val="sr-Latn-ME" w:eastAsia="sr-Latn-CS"/>
        </w:rPr>
        <w:t>č</w:t>
      </w:r>
      <w:r w:rsidRPr="00C0654D">
        <w:rPr>
          <w:sz w:val="22"/>
          <w:szCs w:val="22"/>
          <w:lang w:val="sr-Latn-ME" w:eastAsia="sr-Latn-CS"/>
        </w:rPr>
        <w:t>ne randomizovane, kontrolisane klini</w:t>
      </w:r>
      <w:r w:rsidRPr="00C0654D">
        <w:rPr>
          <w:rFonts w:eastAsia="TimesNewRoman"/>
          <w:sz w:val="22"/>
          <w:szCs w:val="22"/>
          <w:lang w:val="sr-Latn-ME" w:eastAsia="sr-Latn-CS"/>
        </w:rPr>
        <w:t>č</w:t>
      </w:r>
      <w:r w:rsidRPr="00C0654D">
        <w:rPr>
          <w:sz w:val="22"/>
          <w:szCs w:val="22"/>
          <w:lang w:val="sr-Latn-ME" w:eastAsia="sr-Latn-CS"/>
        </w:rPr>
        <w:t>ke studije faze III kod pacijenata sa stadijumom III (Djuksov stadijum C) karcinoma kolona podržavaju primjenu kapecitabina u kombinaciji sa oksaliplatinom (XELOX) u adjuvantnom liječenju pacijenata sa karcinomom kolona (studija NO16968). U ovom ispitivanju, 944 pacijenta je randomizovano u grupu koja je primala kapecitabin u tronedjeljnim ciklusima tokom 24 nedjelje (1000 mg/m</w:t>
      </w:r>
      <w:r w:rsidRPr="00C0654D">
        <w:rPr>
          <w:sz w:val="22"/>
          <w:szCs w:val="22"/>
          <w:vertAlign w:val="superscript"/>
          <w:lang w:val="sr-Latn-ME" w:eastAsia="sr-Latn-CS"/>
        </w:rPr>
        <w:t>2</w:t>
      </w:r>
      <w:r w:rsidRPr="00C0654D">
        <w:rPr>
          <w:sz w:val="22"/>
          <w:szCs w:val="22"/>
          <w:lang w:val="sr-Latn-ME" w:eastAsia="sr-Latn-CS"/>
        </w:rPr>
        <w:t xml:space="preserve"> dva puta dnevno tokom 2 nedjelje, nakon čega slijedi jednonedjeljna pauza) u kombinaciji sa oksaliplatinom (130 mg/m</w:t>
      </w:r>
      <w:r w:rsidRPr="00C0654D">
        <w:rPr>
          <w:sz w:val="22"/>
          <w:szCs w:val="22"/>
          <w:vertAlign w:val="superscript"/>
          <w:lang w:val="sr-Latn-ME" w:eastAsia="sr-Latn-CS"/>
        </w:rPr>
        <w:t xml:space="preserve">2 </w:t>
      </w:r>
      <w:r w:rsidRPr="00C0654D">
        <w:rPr>
          <w:sz w:val="22"/>
          <w:szCs w:val="22"/>
          <w:lang w:val="sr-Latn-ME" w:eastAsia="sr-Latn-CS"/>
        </w:rPr>
        <w:t>putem intravenske infuzije u trajanju od 2 sata, prvog dana, na svake 3 nedjelje); 942 pacijenta su randomizovana u grupu koja je dobijala bolus 5-FU i leukovorin. U primarnoj analizi preživljavanja bez bolesti, kod populacije pacijenata predviđenih za liječenje (ITT populacije), pokazano je da je kombinacija kapecitabin</w:t>
      </w:r>
      <w:r w:rsidR="00364C66">
        <w:rPr>
          <w:sz w:val="22"/>
          <w:szCs w:val="22"/>
          <w:lang w:val="sr-Latn-ME" w:eastAsia="sr-Latn-CS"/>
        </w:rPr>
        <w:t xml:space="preserve"> </w:t>
      </w:r>
      <w:r w:rsidRPr="00C0654D">
        <w:rPr>
          <w:sz w:val="22"/>
          <w:szCs w:val="22"/>
          <w:lang w:val="sr-Latn-ME" w:eastAsia="sr-Latn-CS"/>
        </w:rPr>
        <w:t>+</w:t>
      </w:r>
      <w:r w:rsidR="00364C66">
        <w:rPr>
          <w:sz w:val="22"/>
          <w:szCs w:val="22"/>
          <w:lang w:val="sr-Latn-ME" w:eastAsia="sr-Latn-CS"/>
        </w:rPr>
        <w:t xml:space="preserve"> </w:t>
      </w:r>
      <w:r w:rsidRPr="00C0654D">
        <w:rPr>
          <w:sz w:val="22"/>
          <w:szCs w:val="22"/>
          <w:lang w:val="sr-Latn-ME" w:eastAsia="sr-Latn-CS"/>
        </w:rPr>
        <w:t>oksaliplatin superiornija od 5-FU/LV (koeficijent rizika 0,80, 95% CI=[0,69; 0,93]; p=0,0045). Trogodišnja stopa preživljavanja bez bolesti je iznosila 71% u grupi koja je dobijala kombinaciju kapecitabin</w:t>
      </w:r>
      <w:r w:rsidR="00364C66">
        <w:rPr>
          <w:sz w:val="22"/>
          <w:szCs w:val="22"/>
          <w:lang w:val="sr-Latn-ME" w:eastAsia="sr-Latn-CS"/>
        </w:rPr>
        <w:t xml:space="preserve"> </w:t>
      </w:r>
      <w:r w:rsidRPr="00C0654D">
        <w:rPr>
          <w:sz w:val="22"/>
          <w:szCs w:val="22"/>
          <w:lang w:val="sr-Latn-ME" w:eastAsia="sr-Latn-CS"/>
        </w:rPr>
        <w:t>+ oksaliplatin, u odnosu na 67% u grupi koja je dobijala 5-FU/LV. Analiza sekundarnog parametra preživljavanja bez relapsa RFS (</w:t>
      </w:r>
      <w:r w:rsidRPr="00C0654D">
        <w:rPr>
          <w:i/>
          <w:sz w:val="22"/>
          <w:szCs w:val="22"/>
          <w:lang w:val="sr-Latn-ME" w:eastAsia="sr-Latn-CS"/>
        </w:rPr>
        <w:t>relapse free survival</w:t>
      </w:r>
      <w:r w:rsidRPr="00C0654D">
        <w:rPr>
          <w:sz w:val="22"/>
          <w:szCs w:val="22"/>
          <w:lang w:val="sr-Latn-ME" w:eastAsia="sr-Latn-CS"/>
        </w:rPr>
        <w:t>) podržava ove rezultate sa koeficijentom rizika od 0,78 (95 % CI=[0,67; 0,92];p=0,0024) za kombinaciju kapecitabin</w:t>
      </w:r>
      <w:r w:rsidR="00364C66">
        <w:rPr>
          <w:sz w:val="22"/>
          <w:szCs w:val="22"/>
          <w:lang w:val="sr-Latn-ME" w:eastAsia="sr-Latn-CS"/>
        </w:rPr>
        <w:t xml:space="preserve"> </w:t>
      </w:r>
      <w:r w:rsidRPr="00C0654D">
        <w:rPr>
          <w:sz w:val="22"/>
          <w:szCs w:val="22"/>
          <w:lang w:val="sr-Latn-ME" w:eastAsia="sr-Latn-CS"/>
        </w:rPr>
        <w:t>+ oksaliplatin u odnosu na 5-FU/LV. Kombinacija kapecitabin</w:t>
      </w:r>
      <w:r w:rsidR="00364C66">
        <w:rPr>
          <w:sz w:val="22"/>
          <w:szCs w:val="22"/>
          <w:lang w:val="sr-Latn-ME" w:eastAsia="sr-Latn-CS"/>
        </w:rPr>
        <w:t xml:space="preserve"> </w:t>
      </w:r>
      <w:r w:rsidRPr="00C0654D">
        <w:rPr>
          <w:sz w:val="22"/>
          <w:szCs w:val="22"/>
          <w:lang w:val="sr-Latn-ME" w:eastAsia="sr-Latn-CS"/>
        </w:rPr>
        <w:t>+</w:t>
      </w:r>
      <w:r w:rsidR="00364C66">
        <w:rPr>
          <w:sz w:val="22"/>
          <w:szCs w:val="22"/>
          <w:lang w:val="sr-Latn-ME" w:eastAsia="sr-Latn-CS"/>
        </w:rPr>
        <w:t xml:space="preserve"> </w:t>
      </w:r>
      <w:r w:rsidRPr="00C0654D">
        <w:rPr>
          <w:sz w:val="22"/>
          <w:szCs w:val="22"/>
          <w:lang w:val="sr-Latn-ME" w:eastAsia="sr-Latn-CS"/>
        </w:rPr>
        <w:t>oksaliplatin se pokazala superiornijom u pogledu ukupnog preživljavanja sa koeficijentom rizika od 0,87 (95% CI=[0,72;1,05]; p=0,1486), što predstavlja 13% smanjenja rizika od smrti. Petogodišnja stopa ukupnog preživljavanja je iznosila 78% za kombinaciju kapecitabin</w:t>
      </w:r>
      <w:r w:rsidR="00364C66">
        <w:rPr>
          <w:sz w:val="22"/>
          <w:szCs w:val="22"/>
          <w:lang w:val="sr-Latn-ME" w:eastAsia="sr-Latn-CS"/>
        </w:rPr>
        <w:t xml:space="preserve"> </w:t>
      </w:r>
      <w:r w:rsidRPr="00C0654D">
        <w:rPr>
          <w:sz w:val="22"/>
          <w:szCs w:val="22"/>
          <w:lang w:val="sr-Latn-ME" w:eastAsia="sr-Latn-CS"/>
        </w:rPr>
        <w:t>+ oksaliplatin u odnosu na 74% za 5-FU/LV. Podaci o efikasnosti se zasnivaju na prosječnom vremenu posmatranja od 59 mjeseci po pitanju ukupnog preživljavanja i 57 mjeseci preživljavanja bez bolesti. Stopa prekida terapije usljed neželjenih reakcija je bila veća u grupi koja je dobijala kombinaciju kapecitabin</w:t>
      </w:r>
      <w:r w:rsidR="00364C66">
        <w:rPr>
          <w:sz w:val="22"/>
          <w:szCs w:val="22"/>
          <w:lang w:val="sr-Latn-ME" w:eastAsia="sr-Latn-CS"/>
        </w:rPr>
        <w:t xml:space="preserve"> </w:t>
      </w:r>
      <w:r w:rsidRPr="00C0654D">
        <w:rPr>
          <w:sz w:val="22"/>
          <w:szCs w:val="22"/>
          <w:lang w:val="sr-Latn-ME" w:eastAsia="sr-Latn-CS"/>
        </w:rPr>
        <w:t>+</w:t>
      </w:r>
      <w:r w:rsidR="00364C66">
        <w:rPr>
          <w:sz w:val="22"/>
          <w:szCs w:val="22"/>
          <w:lang w:val="sr-Latn-ME" w:eastAsia="sr-Latn-CS"/>
        </w:rPr>
        <w:t xml:space="preserve"> </w:t>
      </w:r>
      <w:r w:rsidRPr="00C0654D">
        <w:rPr>
          <w:sz w:val="22"/>
          <w:szCs w:val="22"/>
          <w:lang w:val="sr-Latn-ME" w:eastAsia="sr-Latn-CS"/>
        </w:rPr>
        <w:t>oksaliplatin (21%), u odnosu na grupu koja je dobijala 5-FU/LV monoterapiju (9%) kod ITT populacije.</w:t>
      </w:r>
    </w:p>
    <w:p w14:paraId="1E59CD1F" w14:textId="77777777" w:rsidR="002D6375" w:rsidRPr="00C0654D" w:rsidRDefault="002D6375">
      <w:pPr>
        <w:autoSpaceDE w:val="0"/>
        <w:autoSpaceDN w:val="0"/>
        <w:adjustRightInd w:val="0"/>
        <w:jc w:val="both"/>
        <w:rPr>
          <w:sz w:val="22"/>
          <w:szCs w:val="22"/>
          <w:lang w:val="sr-Latn-ME" w:eastAsia="sr-Latn-CS"/>
        </w:rPr>
      </w:pPr>
    </w:p>
    <w:p w14:paraId="761EE451" w14:textId="77777777" w:rsidR="002D6375" w:rsidRPr="00813C2B" w:rsidRDefault="002D6375">
      <w:pPr>
        <w:autoSpaceDE w:val="0"/>
        <w:autoSpaceDN w:val="0"/>
        <w:adjustRightInd w:val="0"/>
        <w:jc w:val="both"/>
        <w:rPr>
          <w:i/>
          <w:iCs/>
          <w:sz w:val="22"/>
          <w:szCs w:val="22"/>
          <w:u w:val="single"/>
          <w:lang w:val="sr-Latn-ME" w:eastAsia="sr-Latn-CS"/>
        </w:rPr>
      </w:pPr>
      <w:r w:rsidRPr="00813C2B">
        <w:rPr>
          <w:i/>
          <w:iCs/>
          <w:sz w:val="22"/>
          <w:szCs w:val="22"/>
          <w:u w:val="single"/>
          <w:lang w:val="sr-Latn-ME" w:eastAsia="sr-Latn-CS"/>
        </w:rPr>
        <w:t xml:space="preserve">Monoterapija </w:t>
      </w:r>
      <w:r w:rsidRPr="00813C2B">
        <w:rPr>
          <w:i/>
          <w:sz w:val="22"/>
          <w:szCs w:val="22"/>
          <w:u w:val="single"/>
          <w:lang w:val="sr-Latn-ME" w:eastAsia="sr-Latn-CS"/>
        </w:rPr>
        <w:t>kapecitabinom</w:t>
      </w:r>
      <w:r w:rsidRPr="00813C2B">
        <w:rPr>
          <w:i/>
          <w:iCs/>
          <w:sz w:val="22"/>
          <w:szCs w:val="22"/>
          <w:u w:val="single"/>
          <w:lang w:val="sr-Latn-ME" w:eastAsia="sr-Latn-CS"/>
        </w:rPr>
        <w:t xml:space="preserve"> u liječenju metastatskog kolorektalnog karcinoma</w:t>
      </w:r>
    </w:p>
    <w:p w14:paraId="1A29F143"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dvije identi</w:t>
      </w:r>
      <w:r w:rsidRPr="00C0654D">
        <w:rPr>
          <w:rFonts w:eastAsia="TimesNewRoman"/>
          <w:sz w:val="22"/>
          <w:szCs w:val="22"/>
          <w:lang w:val="sr-Latn-ME" w:eastAsia="sr-Latn-CS"/>
        </w:rPr>
        <w:t>č</w:t>
      </w:r>
      <w:r w:rsidRPr="00C0654D">
        <w:rPr>
          <w:sz w:val="22"/>
          <w:szCs w:val="22"/>
          <w:lang w:val="sr-Latn-ME" w:eastAsia="sr-Latn-CS"/>
        </w:rPr>
        <w:t>no dizajnirane, multicentri</w:t>
      </w:r>
      <w:r w:rsidRPr="00C0654D">
        <w:rPr>
          <w:rFonts w:eastAsia="TimesNewRoman"/>
          <w:sz w:val="22"/>
          <w:szCs w:val="22"/>
          <w:lang w:val="sr-Latn-ME" w:eastAsia="sr-Latn-CS"/>
        </w:rPr>
        <w:t>č</w:t>
      </w:r>
      <w:r w:rsidRPr="00C0654D">
        <w:rPr>
          <w:sz w:val="22"/>
          <w:szCs w:val="22"/>
          <w:lang w:val="sr-Latn-ME" w:eastAsia="sr-Latn-CS"/>
        </w:rPr>
        <w:t>ne, randomizovane, kontrolisane klini</w:t>
      </w:r>
      <w:r w:rsidRPr="00C0654D">
        <w:rPr>
          <w:rFonts w:eastAsia="TimesNewRoman"/>
          <w:sz w:val="22"/>
          <w:szCs w:val="22"/>
          <w:lang w:val="sr-Latn-ME" w:eastAsia="sr-Latn-CS"/>
        </w:rPr>
        <w:t>č</w:t>
      </w:r>
      <w:r w:rsidRPr="00C0654D">
        <w:rPr>
          <w:sz w:val="22"/>
          <w:szCs w:val="22"/>
          <w:lang w:val="sr-Latn-ME" w:eastAsia="sr-Latn-CS"/>
        </w:rPr>
        <w:t>ke studije faze III (SO14695; SO14796) podržavaju primjenu kapecitabina kao terapije prvog reda metastatskog kolorektalnog karcinoma. U ovim ispitivanjima, 603 pacijenta su randomizovana u grupu da primaju terapiju kapecitabinom (1250 mg/m</w:t>
      </w:r>
      <w:r w:rsidRPr="00C0654D">
        <w:rPr>
          <w:sz w:val="22"/>
          <w:szCs w:val="22"/>
          <w:vertAlign w:val="superscript"/>
          <w:lang w:val="sr-Latn-ME" w:eastAsia="sr-Latn-CS"/>
        </w:rPr>
        <w:t>2</w:t>
      </w:r>
      <w:r w:rsidRPr="00C0654D">
        <w:rPr>
          <w:sz w:val="22"/>
          <w:szCs w:val="22"/>
          <w:lang w:val="sr-Latn-ME" w:eastAsia="sr-Latn-CS"/>
        </w:rPr>
        <w:t xml:space="preserve"> dva puta dnevno tokom 2 nedjelje, poslije </w:t>
      </w:r>
      <w:r w:rsidRPr="00C0654D">
        <w:rPr>
          <w:rFonts w:eastAsia="TimesNewRoman"/>
          <w:sz w:val="22"/>
          <w:szCs w:val="22"/>
          <w:lang w:val="sr-Latn-ME" w:eastAsia="sr-Latn-CS"/>
        </w:rPr>
        <w:t>č</w:t>
      </w:r>
      <w:r w:rsidRPr="00C0654D">
        <w:rPr>
          <w:sz w:val="22"/>
          <w:szCs w:val="22"/>
          <w:lang w:val="sr-Latn-ME" w:eastAsia="sr-Latn-CS"/>
        </w:rPr>
        <w:t xml:space="preserve">ega slijedi </w:t>
      </w:r>
      <w:r w:rsidRPr="00C0654D">
        <w:rPr>
          <w:sz w:val="22"/>
          <w:szCs w:val="22"/>
          <w:lang w:val="sr-Latn-ME" w:eastAsia="sr-Latn-CS"/>
        </w:rPr>
        <w:lastRenderedPageBreak/>
        <w:t>jednonedjeljna pauza, u ciklusima od tri nedjelje), a 604 pacijenta u grupu koja je dobijala 5-FU i leukovorin (režim klinike Mejo: 20 mg/m</w:t>
      </w:r>
      <w:r w:rsidRPr="00C0654D">
        <w:rPr>
          <w:sz w:val="22"/>
          <w:szCs w:val="22"/>
          <w:vertAlign w:val="superscript"/>
          <w:lang w:val="sr-Latn-ME" w:eastAsia="sr-Latn-CS"/>
        </w:rPr>
        <w:t>2</w:t>
      </w:r>
      <w:r w:rsidRPr="00C0654D">
        <w:rPr>
          <w:sz w:val="22"/>
          <w:szCs w:val="22"/>
          <w:lang w:val="sr-Latn-ME" w:eastAsia="sr-Latn-CS"/>
        </w:rPr>
        <w:t xml:space="preserve"> leukovorina IV pra</w:t>
      </w:r>
      <w:r w:rsidRPr="00C0654D">
        <w:rPr>
          <w:rFonts w:eastAsia="TimesNewRoman"/>
          <w:sz w:val="22"/>
          <w:szCs w:val="22"/>
          <w:lang w:val="sr-Latn-ME" w:eastAsia="sr-Latn-CS"/>
        </w:rPr>
        <w:t>ć</w:t>
      </w:r>
      <w:r w:rsidRPr="00C0654D">
        <w:rPr>
          <w:sz w:val="22"/>
          <w:szCs w:val="22"/>
          <w:lang w:val="sr-Latn-ME" w:eastAsia="sr-Latn-CS"/>
        </w:rPr>
        <w:t>eno sa 425 mg/m</w:t>
      </w:r>
      <w:r w:rsidRPr="00C0654D">
        <w:rPr>
          <w:sz w:val="22"/>
          <w:szCs w:val="22"/>
          <w:vertAlign w:val="superscript"/>
          <w:lang w:val="sr-Latn-ME" w:eastAsia="sr-Latn-CS"/>
        </w:rPr>
        <w:t>2</w:t>
      </w:r>
      <w:r w:rsidRPr="00C0654D">
        <w:rPr>
          <w:sz w:val="22"/>
          <w:szCs w:val="22"/>
          <w:lang w:val="sr-Latn-ME" w:eastAsia="sr-Latn-CS"/>
        </w:rPr>
        <w:t xml:space="preserve"> IV bolusa 5-FU, od prvog do petog dana, svakih 28 dana). Ukupne objektivne stope odgovora u cjelokupnoj randomizovanoj populaciji (procjena istraživa</w:t>
      </w:r>
      <w:r w:rsidRPr="00C0654D">
        <w:rPr>
          <w:rFonts w:eastAsia="TimesNewRoman"/>
          <w:sz w:val="22"/>
          <w:szCs w:val="22"/>
          <w:lang w:val="sr-Latn-ME" w:eastAsia="sr-Latn-CS"/>
        </w:rPr>
        <w:t>č</w:t>
      </w:r>
      <w:r w:rsidRPr="00C0654D">
        <w:rPr>
          <w:sz w:val="22"/>
          <w:szCs w:val="22"/>
          <w:lang w:val="sr-Latn-ME" w:eastAsia="sr-Latn-CS"/>
        </w:rPr>
        <w:t>a) iznosile su 25,7% (kapecitabin) prema 16,7% (režim klinike Mejo); p&lt;0,0002. Srednje vrijeme do progresije iznosilo je 140 dana (kapecitabin) prema 144 dana (režim klinike Mejo). Srednje preživljavanje iznosilo je 392 dana (kapecitabin) prema 391 dan (režim klinike Mejo). U ovom trenutku nema uporednih podataka o monoterapiji kapecitabinom kod kolorektalnog karcinoma u pore</w:t>
      </w:r>
      <w:r w:rsidRPr="00C0654D">
        <w:rPr>
          <w:rFonts w:eastAsia="TimesNewRoman"/>
          <w:sz w:val="22"/>
          <w:szCs w:val="22"/>
          <w:lang w:val="sr-Latn-ME" w:eastAsia="sr-Latn-CS"/>
        </w:rPr>
        <w:t>đ</w:t>
      </w:r>
      <w:r w:rsidRPr="00C0654D">
        <w:rPr>
          <w:sz w:val="22"/>
          <w:szCs w:val="22"/>
          <w:lang w:val="sr-Latn-ME" w:eastAsia="sr-Latn-CS"/>
        </w:rPr>
        <w:t>enju sa kombinovanim režimom kao terapijom prvog reda.</w:t>
      </w:r>
    </w:p>
    <w:p w14:paraId="5619584D" w14:textId="77777777" w:rsidR="002D6375" w:rsidRPr="00C0654D" w:rsidRDefault="002D6375">
      <w:pPr>
        <w:autoSpaceDE w:val="0"/>
        <w:autoSpaceDN w:val="0"/>
        <w:adjustRightInd w:val="0"/>
        <w:jc w:val="both"/>
        <w:rPr>
          <w:i/>
          <w:iCs/>
          <w:sz w:val="22"/>
          <w:szCs w:val="22"/>
          <w:lang w:val="sr-Latn-ME" w:eastAsia="sr-Latn-CS"/>
        </w:rPr>
      </w:pPr>
    </w:p>
    <w:p w14:paraId="255D6E52" w14:textId="77777777" w:rsidR="002D6375" w:rsidRPr="00813C2B" w:rsidRDefault="002D6375">
      <w:pPr>
        <w:autoSpaceDE w:val="0"/>
        <w:autoSpaceDN w:val="0"/>
        <w:adjustRightInd w:val="0"/>
        <w:jc w:val="both"/>
        <w:rPr>
          <w:i/>
          <w:iCs/>
          <w:sz w:val="22"/>
          <w:szCs w:val="22"/>
          <w:u w:val="single"/>
          <w:lang w:val="sr-Latn-ME" w:eastAsia="sr-Latn-CS"/>
        </w:rPr>
      </w:pPr>
      <w:r w:rsidRPr="00813C2B">
        <w:rPr>
          <w:i/>
          <w:iCs/>
          <w:sz w:val="22"/>
          <w:szCs w:val="22"/>
          <w:u w:val="single"/>
          <w:lang w:val="sr-Latn-ME" w:eastAsia="sr-Latn-CS"/>
        </w:rPr>
        <w:t>Kombinovana terapija u prvoj liniji terapije metastatskog kolorektalnog karcinoma</w:t>
      </w:r>
    </w:p>
    <w:p w14:paraId="0C5E0C4B" w14:textId="6C92D87C"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jedne multicentri</w:t>
      </w:r>
      <w:r w:rsidRPr="00C0654D">
        <w:rPr>
          <w:rFonts w:eastAsia="TimesNewRoman"/>
          <w:sz w:val="22"/>
          <w:szCs w:val="22"/>
          <w:lang w:val="sr-Latn-ME" w:eastAsia="sr-Latn-CS"/>
        </w:rPr>
        <w:t>č</w:t>
      </w:r>
      <w:r w:rsidRPr="00C0654D">
        <w:rPr>
          <w:sz w:val="22"/>
          <w:szCs w:val="22"/>
          <w:lang w:val="sr-Latn-ME" w:eastAsia="sr-Latn-CS"/>
        </w:rPr>
        <w:t>ne, randomizovane, kontrolisane klini</w:t>
      </w:r>
      <w:r w:rsidRPr="00C0654D">
        <w:rPr>
          <w:rFonts w:eastAsia="TimesNewRoman"/>
          <w:sz w:val="22"/>
          <w:szCs w:val="22"/>
          <w:lang w:val="sr-Latn-ME" w:eastAsia="sr-Latn-CS"/>
        </w:rPr>
        <w:t>č</w:t>
      </w:r>
      <w:r w:rsidRPr="00C0654D">
        <w:rPr>
          <w:sz w:val="22"/>
          <w:szCs w:val="22"/>
          <w:lang w:val="sr-Latn-ME" w:eastAsia="sr-Latn-CS"/>
        </w:rPr>
        <w:t>ke studije faze III (NO16966) podržavaju primjenu  kapecitabina u kombinaciji sa oksaliplatinom ili u kombinaciji sa oksaliplatinom i bevacizumabom kao terapije prvog reda metastatskog kolorektalnog karcinoma. Ova studija je imala dva dijela: prvi dio sa dvije grupe, u kome je 634 pacijenata randomizovano u dvije razli</w:t>
      </w:r>
      <w:r w:rsidRPr="00C0654D">
        <w:rPr>
          <w:rFonts w:eastAsia="TimesNewRoman"/>
          <w:sz w:val="22"/>
          <w:szCs w:val="22"/>
          <w:lang w:val="sr-Latn-ME" w:eastAsia="sr-Latn-CS"/>
        </w:rPr>
        <w:t>č</w:t>
      </w:r>
      <w:r w:rsidRPr="00C0654D">
        <w:rPr>
          <w:sz w:val="22"/>
          <w:szCs w:val="22"/>
          <w:lang w:val="sr-Latn-ME" w:eastAsia="sr-Latn-CS"/>
        </w:rPr>
        <w:t>ite terapijske grupe, uklju</w:t>
      </w:r>
      <w:r w:rsidRPr="00C0654D">
        <w:rPr>
          <w:rFonts w:eastAsia="TimesNewRoman"/>
          <w:sz w:val="22"/>
          <w:szCs w:val="22"/>
          <w:lang w:val="sr-Latn-ME" w:eastAsia="sr-Latn-CS"/>
        </w:rPr>
        <w:t>č</w:t>
      </w:r>
      <w:r w:rsidRPr="00C0654D">
        <w:rPr>
          <w:sz w:val="22"/>
          <w:szCs w:val="22"/>
          <w:lang w:val="sr-Latn-ME" w:eastAsia="sr-Latn-CS"/>
        </w:rPr>
        <w:t>uju</w:t>
      </w:r>
      <w:r w:rsidRPr="00C0654D">
        <w:rPr>
          <w:rFonts w:eastAsia="TimesNewRoman"/>
          <w:sz w:val="22"/>
          <w:szCs w:val="22"/>
          <w:lang w:val="sr-Latn-ME" w:eastAsia="sr-Latn-CS"/>
        </w:rPr>
        <w:t>ć</w:t>
      </w:r>
      <w:r w:rsidRPr="00C0654D">
        <w:rPr>
          <w:sz w:val="22"/>
          <w:szCs w:val="22"/>
          <w:lang w:val="sr-Latn-ME" w:eastAsia="sr-Latn-CS"/>
        </w:rPr>
        <w:t>i kombinaciju kapecitabin</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 xml:space="preserve">oksaliplatin (XELOX) ili FOLFOX-4, i potom faktorski dio 2x2 u kome je 1401 pacijenata randomizovano u </w:t>
      </w:r>
      <w:r w:rsidRPr="00C0654D">
        <w:rPr>
          <w:rFonts w:eastAsia="TimesNewRoman"/>
          <w:sz w:val="22"/>
          <w:szCs w:val="22"/>
          <w:lang w:val="sr-Latn-ME" w:eastAsia="sr-Latn-CS"/>
        </w:rPr>
        <w:t>č</w:t>
      </w:r>
      <w:r w:rsidRPr="00C0654D">
        <w:rPr>
          <w:sz w:val="22"/>
          <w:szCs w:val="22"/>
          <w:lang w:val="sr-Latn-ME" w:eastAsia="sr-Latn-CS"/>
        </w:rPr>
        <w:t>etiri razli</w:t>
      </w:r>
      <w:r w:rsidRPr="00C0654D">
        <w:rPr>
          <w:rFonts w:eastAsia="TimesNewRoman"/>
          <w:sz w:val="22"/>
          <w:szCs w:val="22"/>
          <w:lang w:val="sr-Latn-ME" w:eastAsia="sr-Latn-CS"/>
        </w:rPr>
        <w:t>č</w:t>
      </w:r>
      <w:r w:rsidRPr="00C0654D">
        <w:rPr>
          <w:sz w:val="22"/>
          <w:szCs w:val="22"/>
          <w:lang w:val="sr-Latn-ME" w:eastAsia="sr-Latn-CS"/>
        </w:rPr>
        <w:t>ite terapijske grupe, uklju</w:t>
      </w:r>
      <w:r w:rsidRPr="00C0654D">
        <w:rPr>
          <w:rFonts w:eastAsia="TimesNewRoman"/>
          <w:sz w:val="22"/>
          <w:szCs w:val="22"/>
          <w:lang w:val="sr-Latn-ME" w:eastAsia="sr-Latn-CS"/>
        </w:rPr>
        <w:t>č</w:t>
      </w:r>
      <w:r w:rsidRPr="00C0654D">
        <w:rPr>
          <w:sz w:val="22"/>
          <w:szCs w:val="22"/>
          <w:lang w:val="sr-Latn-ME" w:eastAsia="sr-Latn-CS"/>
        </w:rPr>
        <w:t>uju</w:t>
      </w:r>
      <w:r w:rsidRPr="00C0654D">
        <w:rPr>
          <w:rFonts w:eastAsia="TimesNewRoman"/>
          <w:sz w:val="22"/>
          <w:szCs w:val="22"/>
          <w:lang w:val="sr-Latn-ME" w:eastAsia="sr-Latn-CS"/>
        </w:rPr>
        <w:t>ć</w:t>
      </w:r>
      <w:r w:rsidRPr="00C0654D">
        <w:rPr>
          <w:sz w:val="22"/>
          <w:szCs w:val="22"/>
          <w:lang w:val="sr-Latn-ME" w:eastAsia="sr-Latn-CS"/>
        </w:rPr>
        <w:t>i kombinaciju XELOX</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placebo, FOLFOX-4 + placebo, kombinaciju XELOX + bevacizumab, i FOLFOX-4 +</w:t>
      </w:r>
      <w:r w:rsidR="000D3B8C">
        <w:rPr>
          <w:sz w:val="22"/>
          <w:szCs w:val="22"/>
          <w:lang w:val="sr-Latn-ME" w:eastAsia="sr-Latn-CS"/>
        </w:rPr>
        <w:t xml:space="preserve"> </w:t>
      </w:r>
      <w:r w:rsidRPr="00C0654D">
        <w:rPr>
          <w:sz w:val="22"/>
          <w:szCs w:val="22"/>
          <w:lang w:val="sr-Latn-ME" w:eastAsia="sr-Latn-CS"/>
        </w:rPr>
        <w:t>bevacizumab. Terapijski režimi su prikazani u Tabeli 6.</w:t>
      </w:r>
    </w:p>
    <w:p w14:paraId="0F0A5E2F" w14:textId="77777777" w:rsidR="002D6375" w:rsidRPr="00C0654D" w:rsidRDefault="002D6375">
      <w:pPr>
        <w:autoSpaceDE w:val="0"/>
        <w:autoSpaceDN w:val="0"/>
        <w:adjustRightInd w:val="0"/>
        <w:jc w:val="both"/>
        <w:rPr>
          <w:sz w:val="22"/>
          <w:szCs w:val="22"/>
          <w:lang w:val="sr-Latn-ME" w:eastAsia="sr-Latn-CS"/>
        </w:rPr>
      </w:pPr>
    </w:p>
    <w:p w14:paraId="1BCBE8C0"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Tabela 6. Terapijski režimi u studiji NO16966 (mCRC)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485"/>
        <w:gridCol w:w="2486"/>
        <w:gridCol w:w="2178"/>
      </w:tblGrid>
      <w:tr w:rsidR="002D6375" w:rsidRPr="00C0654D" w14:paraId="3E712431" w14:textId="77777777" w:rsidTr="00D85C58">
        <w:tc>
          <w:tcPr>
            <w:tcW w:w="2485" w:type="dxa"/>
          </w:tcPr>
          <w:p w14:paraId="78ACBFA6" w14:textId="77777777" w:rsidR="002D6375" w:rsidRPr="00C0654D" w:rsidRDefault="002D6375">
            <w:pPr>
              <w:autoSpaceDE w:val="0"/>
              <w:autoSpaceDN w:val="0"/>
              <w:adjustRightInd w:val="0"/>
              <w:jc w:val="both"/>
              <w:rPr>
                <w:sz w:val="22"/>
                <w:szCs w:val="22"/>
                <w:lang w:val="sr-Latn-ME" w:eastAsia="sr-Latn-CS"/>
              </w:rPr>
            </w:pPr>
          </w:p>
        </w:tc>
        <w:tc>
          <w:tcPr>
            <w:tcW w:w="2485" w:type="dxa"/>
          </w:tcPr>
          <w:p w14:paraId="16414276"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Terapija</w:t>
            </w:r>
          </w:p>
        </w:tc>
        <w:tc>
          <w:tcPr>
            <w:tcW w:w="2486" w:type="dxa"/>
          </w:tcPr>
          <w:p w14:paraId="609F65C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Početna doza</w:t>
            </w:r>
          </w:p>
        </w:tc>
        <w:tc>
          <w:tcPr>
            <w:tcW w:w="2178" w:type="dxa"/>
          </w:tcPr>
          <w:p w14:paraId="5E109D5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Režim</w:t>
            </w:r>
          </w:p>
        </w:tc>
      </w:tr>
      <w:tr w:rsidR="002D6375" w:rsidRPr="00C0654D" w14:paraId="0C9D40D2" w14:textId="77777777" w:rsidTr="00D85C58">
        <w:trPr>
          <w:trHeight w:val="2550"/>
        </w:trPr>
        <w:tc>
          <w:tcPr>
            <w:tcW w:w="2485" w:type="dxa"/>
            <w:vMerge w:val="restart"/>
          </w:tcPr>
          <w:p w14:paraId="158642DF" w14:textId="77777777" w:rsidR="002D6375" w:rsidRPr="00C0654D" w:rsidRDefault="002D6375" w:rsidP="00D85C58">
            <w:pPr>
              <w:autoSpaceDE w:val="0"/>
              <w:autoSpaceDN w:val="0"/>
              <w:adjustRightInd w:val="0"/>
              <w:jc w:val="both"/>
              <w:rPr>
                <w:sz w:val="22"/>
                <w:szCs w:val="22"/>
                <w:lang w:val="sr-Latn-ME" w:eastAsia="sr-Latn-CS"/>
              </w:rPr>
            </w:pPr>
          </w:p>
          <w:p w14:paraId="5AC01B09" w14:textId="77777777" w:rsidR="002D6375" w:rsidRPr="00C0654D" w:rsidRDefault="002D6375" w:rsidP="00CA1BE0">
            <w:pPr>
              <w:autoSpaceDE w:val="0"/>
              <w:autoSpaceDN w:val="0"/>
              <w:adjustRightInd w:val="0"/>
              <w:jc w:val="both"/>
              <w:rPr>
                <w:sz w:val="22"/>
                <w:szCs w:val="22"/>
                <w:lang w:val="sr-Latn-ME" w:eastAsia="sr-Latn-CS"/>
              </w:rPr>
            </w:pPr>
          </w:p>
          <w:p w14:paraId="16DA00B0" w14:textId="77777777" w:rsidR="002D6375" w:rsidRPr="00C0654D" w:rsidRDefault="002D6375">
            <w:pPr>
              <w:autoSpaceDE w:val="0"/>
              <w:autoSpaceDN w:val="0"/>
              <w:adjustRightInd w:val="0"/>
              <w:jc w:val="both"/>
              <w:rPr>
                <w:sz w:val="22"/>
                <w:szCs w:val="22"/>
                <w:lang w:val="sr-Latn-ME" w:eastAsia="sr-Latn-CS"/>
              </w:rPr>
            </w:pPr>
          </w:p>
          <w:p w14:paraId="4459204D" w14:textId="77777777" w:rsidR="002D6375" w:rsidRPr="00C0654D" w:rsidRDefault="002D6375">
            <w:pPr>
              <w:autoSpaceDE w:val="0"/>
              <w:autoSpaceDN w:val="0"/>
              <w:adjustRightInd w:val="0"/>
              <w:jc w:val="both"/>
              <w:rPr>
                <w:sz w:val="22"/>
                <w:szCs w:val="22"/>
                <w:lang w:val="sr-Latn-ME" w:eastAsia="sr-Latn-CS"/>
              </w:rPr>
            </w:pPr>
          </w:p>
          <w:p w14:paraId="2A3904F0" w14:textId="77777777" w:rsidR="002D6375" w:rsidRPr="00C0654D" w:rsidRDefault="002D6375">
            <w:pPr>
              <w:autoSpaceDE w:val="0"/>
              <w:autoSpaceDN w:val="0"/>
              <w:adjustRightInd w:val="0"/>
              <w:jc w:val="both"/>
              <w:rPr>
                <w:sz w:val="22"/>
                <w:szCs w:val="22"/>
                <w:lang w:val="sr-Latn-ME" w:eastAsia="sr-Latn-CS"/>
              </w:rPr>
            </w:pPr>
          </w:p>
          <w:p w14:paraId="687F324B"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FOLFOX-4</w:t>
            </w:r>
          </w:p>
          <w:p w14:paraId="72B94F8B"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ili</w:t>
            </w:r>
          </w:p>
          <w:p w14:paraId="4A2D81B4"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FOLFOX-4+</w:t>
            </w:r>
          </w:p>
          <w:p w14:paraId="4ED5BA1F"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bevacizumab</w:t>
            </w:r>
          </w:p>
        </w:tc>
        <w:tc>
          <w:tcPr>
            <w:tcW w:w="2485" w:type="dxa"/>
          </w:tcPr>
          <w:p w14:paraId="7852080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oksaliplatin</w:t>
            </w:r>
          </w:p>
          <w:p w14:paraId="7E0B13C3" w14:textId="77777777" w:rsidR="002D6375" w:rsidRPr="00C0654D" w:rsidRDefault="002D6375">
            <w:pPr>
              <w:autoSpaceDE w:val="0"/>
              <w:autoSpaceDN w:val="0"/>
              <w:adjustRightInd w:val="0"/>
              <w:jc w:val="both"/>
              <w:rPr>
                <w:sz w:val="22"/>
                <w:szCs w:val="22"/>
                <w:lang w:val="sr-Latn-ME" w:eastAsia="sr-Latn-CS"/>
              </w:rPr>
            </w:pPr>
          </w:p>
          <w:p w14:paraId="0A021F99" w14:textId="77777777" w:rsidR="002D6375" w:rsidRPr="00C0654D" w:rsidRDefault="002D6375">
            <w:pPr>
              <w:autoSpaceDE w:val="0"/>
              <w:autoSpaceDN w:val="0"/>
              <w:adjustRightInd w:val="0"/>
              <w:jc w:val="both"/>
              <w:rPr>
                <w:sz w:val="22"/>
                <w:szCs w:val="22"/>
                <w:lang w:val="sr-Latn-ME" w:eastAsia="sr-Latn-CS"/>
              </w:rPr>
            </w:pPr>
          </w:p>
          <w:p w14:paraId="0E82D886"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leukovorin</w:t>
            </w:r>
          </w:p>
          <w:p w14:paraId="4CB93909" w14:textId="77777777" w:rsidR="002D6375" w:rsidRPr="00C0654D" w:rsidRDefault="002D6375">
            <w:pPr>
              <w:autoSpaceDE w:val="0"/>
              <w:autoSpaceDN w:val="0"/>
              <w:adjustRightInd w:val="0"/>
              <w:jc w:val="both"/>
              <w:rPr>
                <w:sz w:val="22"/>
                <w:szCs w:val="22"/>
                <w:lang w:val="sr-Latn-ME" w:eastAsia="sr-Latn-CS"/>
              </w:rPr>
            </w:pPr>
          </w:p>
          <w:p w14:paraId="78CDFC7C" w14:textId="77777777" w:rsidR="002D6375" w:rsidRPr="00C0654D" w:rsidRDefault="002D6375">
            <w:pPr>
              <w:autoSpaceDE w:val="0"/>
              <w:autoSpaceDN w:val="0"/>
              <w:adjustRightInd w:val="0"/>
              <w:jc w:val="both"/>
              <w:rPr>
                <w:sz w:val="22"/>
                <w:szCs w:val="22"/>
                <w:lang w:val="sr-Latn-ME" w:eastAsia="sr-Latn-CS"/>
              </w:rPr>
            </w:pPr>
          </w:p>
          <w:p w14:paraId="115C28AC" w14:textId="77777777" w:rsidR="002D6375" w:rsidRPr="00C0654D" w:rsidRDefault="002D6375">
            <w:pPr>
              <w:tabs>
                <w:tab w:val="left" w:pos="284"/>
              </w:tabs>
              <w:autoSpaceDE w:val="0"/>
              <w:autoSpaceDN w:val="0"/>
              <w:adjustRightInd w:val="0"/>
              <w:jc w:val="both"/>
              <w:rPr>
                <w:sz w:val="22"/>
                <w:szCs w:val="22"/>
                <w:lang w:val="sr-Latn-ME" w:eastAsia="sr-Latn-CS"/>
              </w:rPr>
            </w:pPr>
          </w:p>
          <w:p w14:paraId="1790F945" w14:textId="77777777" w:rsidR="002D6375" w:rsidRPr="00C0654D" w:rsidRDefault="002D6375">
            <w:pPr>
              <w:tabs>
                <w:tab w:val="left" w:pos="284"/>
              </w:tabs>
              <w:autoSpaceDE w:val="0"/>
              <w:autoSpaceDN w:val="0"/>
              <w:adjustRightInd w:val="0"/>
              <w:jc w:val="both"/>
              <w:rPr>
                <w:sz w:val="22"/>
                <w:szCs w:val="22"/>
                <w:lang w:val="sr-Latn-ME" w:eastAsia="sr-Latn-CS"/>
              </w:rPr>
            </w:pPr>
            <w:r w:rsidRPr="00C0654D">
              <w:rPr>
                <w:sz w:val="22"/>
                <w:szCs w:val="22"/>
                <w:lang w:val="sr-Latn-ME" w:eastAsia="sr-Latn-CS"/>
              </w:rPr>
              <w:t>5-fluorouracil</w:t>
            </w:r>
          </w:p>
        </w:tc>
        <w:tc>
          <w:tcPr>
            <w:tcW w:w="2486" w:type="dxa"/>
          </w:tcPr>
          <w:p w14:paraId="2FB79B0B"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85 mg/m</w:t>
            </w:r>
            <w:r w:rsidRPr="00C0654D">
              <w:rPr>
                <w:sz w:val="22"/>
                <w:szCs w:val="22"/>
                <w:vertAlign w:val="superscript"/>
                <w:lang w:val="sr-Latn-ME" w:eastAsia="sr-Latn-CS"/>
              </w:rPr>
              <w:t>2</w:t>
            </w:r>
            <w:r w:rsidRPr="00C0654D">
              <w:rPr>
                <w:sz w:val="22"/>
                <w:szCs w:val="22"/>
                <w:lang w:val="sr-Latn-ME" w:eastAsia="sr-Latn-CS"/>
              </w:rPr>
              <w:t xml:space="preserve"> IV 2 h</w:t>
            </w:r>
          </w:p>
          <w:p w14:paraId="31C3B9B5" w14:textId="77777777" w:rsidR="002D6375" w:rsidRPr="00C0654D" w:rsidRDefault="002D6375" w:rsidP="00813C2B">
            <w:pPr>
              <w:autoSpaceDE w:val="0"/>
              <w:autoSpaceDN w:val="0"/>
              <w:adjustRightInd w:val="0"/>
              <w:jc w:val="both"/>
              <w:rPr>
                <w:sz w:val="22"/>
                <w:szCs w:val="22"/>
                <w:lang w:val="sr-Latn-ME" w:eastAsia="sr-Latn-CS"/>
              </w:rPr>
            </w:pPr>
          </w:p>
          <w:p w14:paraId="3CB81DE2" w14:textId="77777777" w:rsidR="002D6375" w:rsidRPr="00C0654D" w:rsidRDefault="002D6375" w:rsidP="00813C2B">
            <w:pPr>
              <w:autoSpaceDE w:val="0"/>
              <w:autoSpaceDN w:val="0"/>
              <w:adjustRightInd w:val="0"/>
              <w:jc w:val="both"/>
              <w:rPr>
                <w:sz w:val="22"/>
                <w:szCs w:val="22"/>
                <w:lang w:val="sr-Latn-ME" w:eastAsia="sr-Latn-CS"/>
              </w:rPr>
            </w:pPr>
          </w:p>
          <w:p w14:paraId="7E5F4BBA"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200 mg/m</w:t>
            </w:r>
            <w:r w:rsidRPr="00C0654D">
              <w:rPr>
                <w:sz w:val="22"/>
                <w:szCs w:val="22"/>
                <w:vertAlign w:val="superscript"/>
                <w:lang w:val="sr-Latn-ME" w:eastAsia="sr-Latn-CS"/>
              </w:rPr>
              <w:t>2</w:t>
            </w:r>
            <w:r w:rsidRPr="00C0654D">
              <w:rPr>
                <w:sz w:val="22"/>
                <w:szCs w:val="22"/>
                <w:lang w:val="sr-Latn-ME" w:eastAsia="sr-Latn-CS"/>
              </w:rPr>
              <w:t xml:space="preserve"> IV 2 h</w:t>
            </w:r>
          </w:p>
          <w:p w14:paraId="28E91C9A" w14:textId="77777777" w:rsidR="002D6375" w:rsidRPr="00C0654D" w:rsidRDefault="002D6375" w:rsidP="00813C2B">
            <w:pPr>
              <w:autoSpaceDE w:val="0"/>
              <w:autoSpaceDN w:val="0"/>
              <w:adjustRightInd w:val="0"/>
              <w:jc w:val="both"/>
              <w:rPr>
                <w:sz w:val="22"/>
                <w:szCs w:val="22"/>
                <w:lang w:val="sr-Latn-ME" w:eastAsia="sr-Latn-CS"/>
              </w:rPr>
            </w:pPr>
          </w:p>
          <w:p w14:paraId="11FB0781" w14:textId="77777777" w:rsidR="002D6375" w:rsidRPr="00C0654D" w:rsidRDefault="002D6375" w:rsidP="00813C2B">
            <w:pPr>
              <w:autoSpaceDE w:val="0"/>
              <w:autoSpaceDN w:val="0"/>
              <w:adjustRightInd w:val="0"/>
              <w:jc w:val="both"/>
              <w:rPr>
                <w:sz w:val="22"/>
                <w:szCs w:val="22"/>
                <w:lang w:val="sr-Latn-ME" w:eastAsia="sr-Latn-CS"/>
              </w:rPr>
            </w:pPr>
          </w:p>
          <w:p w14:paraId="665BA53F" w14:textId="77777777" w:rsidR="002D6375" w:rsidRPr="00C0654D" w:rsidRDefault="002D6375" w:rsidP="00813C2B">
            <w:pPr>
              <w:autoSpaceDE w:val="0"/>
              <w:autoSpaceDN w:val="0"/>
              <w:adjustRightInd w:val="0"/>
              <w:jc w:val="both"/>
              <w:rPr>
                <w:sz w:val="22"/>
                <w:szCs w:val="22"/>
                <w:lang w:val="sr-Latn-ME" w:eastAsia="sr-Latn-CS"/>
              </w:rPr>
            </w:pPr>
          </w:p>
          <w:p w14:paraId="64DF435E" w14:textId="77777777" w:rsidR="002D6375" w:rsidRPr="00C0654D" w:rsidRDefault="002D6375" w:rsidP="00813C2B">
            <w:pPr>
              <w:tabs>
                <w:tab w:val="left" w:pos="284"/>
              </w:tabs>
              <w:autoSpaceDE w:val="0"/>
              <w:autoSpaceDN w:val="0"/>
              <w:adjustRightInd w:val="0"/>
              <w:jc w:val="both"/>
              <w:rPr>
                <w:sz w:val="22"/>
                <w:szCs w:val="22"/>
                <w:lang w:val="sr-Latn-ME" w:eastAsia="sr-Latn-CS"/>
              </w:rPr>
            </w:pPr>
            <w:r w:rsidRPr="00C0654D">
              <w:rPr>
                <w:sz w:val="22"/>
                <w:szCs w:val="22"/>
                <w:lang w:val="sr-Latn-ME" w:eastAsia="sr-Latn-CS"/>
              </w:rPr>
              <w:t>400 mg/m</w:t>
            </w:r>
            <w:r w:rsidRPr="00C0654D">
              <w:rPr>
                <w:sz w:val="22"/>
                <w:szCs w:val="22"/>
                <w:vertAlign w:val="superscript"/>
                <w:lang w:val="sr-Latn-ME" w:eastAsia="sr-Latn-CS"/>
              </w:rPr>
              <w:t>2</w:t>
            </w:r>
            <w:r w:rsidRPr="00C0654D">
              <w:rPr>
                <w:sz w:val="22"/>
                <w:szCs w:val="22"/>
                <w:lang w:val="sr-Latn-ME" w:eastAsia="sr-Latn-CS"/>
              </w:rPr>
              <w:t xml:space="preserve"> IV bolus, nakon čega slijedi 600 mg/m</w:t>
            </w:r>
            <w:r w:rsidRPr="00C0654D">
              <w:rPr>
                <w:sz w:val="22"/>
                <w:szCs w:val="22"/>
                <w:vertAlign w:val="superscript"/>
                <w:lang w:val="sr-Latn-ME" w:eastAsia="sr-Latn-CS"/>
              </w:rPr>
              <w:t>2</w:t>
            </w:r>
            <w:r w:rsidRPr="00C0654D">
              <w:rPr>
                <w:sz w:val="22"/>
                <w:szCs w:val="22"/>
                <w:lang w:val="sr-Latn-ME" w:eastAsia="sr-Latn-CS"/>
              </w:rPr>
              <w:t xml:space="preserve"> IV 22 h</w:t>
            </w:r>
          </w:p>
        </w:tc>
        <w:tc>
          <w:tcPr>
            <w:tcW w:w="2178" w:type="dxa"/>
          </w:tcPr>
          <w:p w14:paraId="6428530D"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oksaliplatin prvog dana, svake 2 nedjelje</w:t>
            </w:r>
          </w:p>
          <w:p w14:paraId="7A06F4C2" w14:textId="77777777" w:rsidR="002D6375" w:rsidRPr="00C0654D" w:rsidRDefault="002D6375" w:rsidP="00813C2B">
            <w:pPr>
              <w:autoSpaceDE w:val="0"/>
              <w:autoSpaceDN w:val="0"/>
              <w:adjustRightInd w:val="0"/>
              <w:jc w:val="both"/>
              <w:rPr>
                <w:sz w:val="22"/>
                <w:szCs w:val="22"/>
                <w:lang w:val="sr-Latn-ME" w:eastAsia="sr-Latn-CS"/>
              </w:rPr>
            </w:pPr>
          </w:p>
          <w:p w14:paraId="77E8AAE9"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leukovorin prvog i drugog dana, svake 2 nedjelje</w:t>
            </w:r>
          </w:p>
          <w:p w14:paraId="33F1B756" w14:textId="77777777" w:rsidR="002D6375" w:rsidRPr="00C0654D" w:rsidRDefault="002D6375" w:rsidP="00813C2B">
            <w:pPr>
              <w:autoSpaceDE w:val="0"/>
              <w:autoSpaceDN w:val="0"/>
              <w:adjustRightInd w:val="0"/>
              <w:jc w:val="both"/>
              <w:rPr>
                <w:b/>
                <w:sz w:val="22"/>
                <w:szCs w:val="22"/>
                <w:lang w:val="sr-Latn-ME" w:eastAsia="sr-Latn-CS"/>
              </w:rPr>
            </w:pPr>
          </w:p>
          <w:p w14:paraId="5B134079" w14:textId="77777777" w:rsidR="002D6375" w:rsidRPr="00C0654D" w:rsidRDefault="002D6375" w:rsidP="00813C2B">
            <w:pPr>
              <w:tabs>
                <w:tab w:val="left" w:pos="284"/>
              </w:tabs>
              <w:autoSpaceDE w:val="0"/>
              <w:autoSpaceDN w:val="0"/>
              <w:adjustRightInd w:val="0"/>
              <w:jc w:val="both"/>
              <w:rPr>
                <w:sz w:val="22"/>
                <w:szCs w:val="22"/>
                <w:lang w:val="sr-Latn-ME" w:eastAsia="sr-Latn-CS"/>
              </w:rPr>
            </w:pPr>
            <w:r w:rsidRPr="00C0654D">
              <w:rPr>
                <w:sz w:val="22"/>
                <w:szCs w:val="22"/>
                <w:lang w:val="sr-Latn-ME" w:eastAsia="sr-Latn-CS"/>
              </w:rPr>
              <w:t>5-fluorouracil IV bolus/infuzija, oba i prvog i drugog dana, svake dvije nedjelje</w:t>
            </w:r>
          </w:p>
        </w:tc>
      </w:tr>
      <w:tr w:rsidR="002D6375" w:rsidRPr="00C0654D" w14:paraId="53E40E11" w14:textId="77777777" w:rsidTr="00D85C58">
        <w:tc>
          <w:tcPr>
            <w:tcW w:w="2485" w:type="dxa"/>
            <w:vMerge/>
          </w:tcPr>
          <w:p w14:paraId="07CC6A1F" w14:textId="77777777" w:rsidR="002D6375" w:rsidRPr="00C0654D" w:rsidRDefault="002D6375">
            <w:pPr>
              <w:autoSpaceDE w:val="0"/>
              <w:autoSpaceDN w:val="0"/>
              <w:adjustRightInd w:val="0"/>
              <w:jc w:val="both"/>
              <w:rPr>
                <w:sz w:val="22"/>
                <w:szCs w:val="22"/>
                <w:lang w:val="sr-Latn-ME" w:eastAsia="sr-Latn-CS"/>
              </w:rPr>
            </w:pPr>
          </w:p>
        </w:tc>
        <w:tc>
          <w:tcPr>
            <w:tcW w:w="2485" w:type="dxa"/>
          </w:tcPr>
          <w:p w14:paraId="480FD2B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placebo ili</w:t>
            </w:r>
          </w:p>
          <w:p w14:paraId="2213C42C"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bevacizumab</w:t>
            </w:r>
          </w:p>
        </w:tc>
        <w:tc>
          <w:tcPr>
            <w:tcW w:w="2486" w:type="dxa"/>
          </w:tcPr>
          <w:p w14:paraId="6B5991F7"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5 mg/kg IV 30-90</w:t>
            </w:r>
          </w:p>
          <w:p w14:paraId="6641A39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min</w:t>
            </w:r>
          </w:p>
        </w:tc>
        <w:tc>
          <w:tcPr>
            <w:tcW w:w="2178" w:type="dxa"/>
          </w:tcPr>
          <w:p w14:paraId="7F2DE996"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prvog dana, pred FOLFOX-4, na</w:t>
            </w:r>
          </w:p>
          <w:p w14:paraId="1F672ADC"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svake 2 nedjelje</w:t>
            </w:r>
          </w:p>
        </w:tc>
      </w:tr>
      <w:tr w:rsidR="002D6375" w:rsidRPr="006E16D5" w14:paraId="66F3AAA9" w14:textId="77777777" w:rsidTr="00D85C58">
        <w:trPr>
          <w:trHeight w:val="2034"/>
        </w:trPr>
        <w:tc>
          <w:tcPr>
            <w:tcW w:w="2485" w:type="dxa"/>
            <w:vMerge w:val="restart"/>
          </w:tcPr>
          <w:p w14:paraId="6EFC7B57" w14:textId="77777777" w:rsidR="002D6375" w:rsidRPr="00C0654D" w:rsidRDefault="002D6375" w:rsidP="00D85C58">
            <w:pPr>
              <w:autoSpaceDE w:val="0"/>
              <w:autoSpaceDN w:val="0"/>
              <w:adjustRightInd w:val="0"/>
              <w:jc w:val="both"/>
              <w:rPr>
                <w:sz w:val="22"/>
                <w:szCs w:val="22"/>
                <w:lang w:val="sr-Latn-ME" w:eastAsia="sr-Latn-CS"/>
              </w:rPr>
            </w:pPr>
          </w:p>
          <w:p w14:paraId="67149849" w14:textId="77777777" w:rsidR="002D6375" w:rsidRPr="00C0654D" w:rsidRDefault="002D6375" w:rsidP="00CA1BE0">
            <w:pPr>
              <w:autoSpaceDE w:val="0"/>
              <w:autoSpaceDN w:val="0"/>
              <w:adjustRightInd w:val="0"/>
              <w:jc w:val="both"/>
              <w:rPr>
                <w:sz w:val="22"/>
                <w:szCs w:val="22"/>
                <w:lang w:val="sr-Latn-ME" w:eastAsia="sr-Latn-CS"/>
              </w:rPr>
            </w:pPr>
          </w:p>
          <w:p w14:paraId="1C232713" w14:textId="77777777" w:rsidR="002D6375" w:rsidRPr="00C0654D" w:rsidRDefault="002D6375">
            <w:pPr>
              <w:autoSpaceDE w:val="0"/>
              <w:autoSpaceDN w:val="0"/>
              <w:adjustRightInd w:val="0"/>
              <w:jc w:val="both"/>
              <w:rPr>
                <w:sz w:val="22"/>
                <w:szCs w:val="22"/>
                <w:lang w:val="sr-Latn-ME" w:eastAsia="sr-Latn-CS"/>
              </w:rPr>
            </w:pPr>
          </w:p>
          <w:p w14:paraId="0B9ED5BA"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XELOX</w:t>
            </w:r>
          </w:p>
          <w:p w14:paraId="677A018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ili</w:t>
            </w:r>
          </w:p>
          <w:p w14:paraId="4E99AAC1"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XELOX +</w:t>
            </w:r>
          </w:p>
          <w:p w14:paraId="78387A9D"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bevacizumab</w:t>
            </w:r>
          </w:p>
        </w:tc>
        <w:tc>
          <w:tcPr>
            <w:tcW w:w="2485" w:type="dxa"/>
          </w:tcPr>
          <w:p w14:paraId="29C4C456"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oksaliplatin</w:t>
            </w:r>
          </w:p>
          <w:p w14:paraId="7CACCEE9" w14:textId="77777777" w:rsidR="002D6375" w:rsidRPr="00C0654D" w:rsidRDefault="002D6375">
            <w:pPr>
              <w:autoSpaceDE w:val="0"/>
              <w:autoSpaceDN w:val="0"/>
              <w:adjustRightInd w:val="0"/>
              <w:jc w:val="both"/>
              <w:rPr>
                <w:sz w:val="22"/>
                <w:szCs w:val="22"/>
                <w:lang w:val="sr-Latn-ME" w:eastAsia="sr-Latn-CS"/>
              </w:rPr>
            </w:pPr>
          </w:p>
          <w:p w14:paraId="0C8ABF47" w14:textId="77777777" w:rsidR="002D6375" w:rsidRPr="00C0654D" w:rsidRDefault="002D6375">
            <w:pPr>
              <w:autoSpaceDE w:val="0"/>
              <w:autoSpaceDN w:val="0"/>
              <w:adjustRightInd w:val="0"/>
              <w:jc w:val="both"/>
              <w:rPr>
                <w:sz w:val="22"/>
                <w:szCs w:val="22"/>
                <w:lang w:val="sr-Latn-ME" w:eastAsia="sr-Latn-CS"/>
              </w:rPr>
            </w:pPr>
          </w:p>
          <w:p w14:paraId="41D8B95F" w14:textId="77777777" w:rsidR="002D6375" w:rsidRPr="00C0654D" w:rsidRDefault="002D6375">
            <w:pPr>
              <w:tabs>
                <w:tab w:val="left" w:pos="284"/>
              </w:tabs>
              <w:autoSpaceDE w:val="0"/>
              <w:autoSpaceDN w:val="0"/>
              <w:adjustRightInd w:val="0"/>
              <w:jc w:val="both"/>
              <w:rPr>
                <w:sz w:val="22"/>
                <w:szCs w:val="22"/>
                <w:lang w:val="sr-Latn-ME" w:eastAsia="sr-Latn-CS"/>
              </w:rPr>
            </w:pPr>
            <w:r w:rsidRPr="00C0654D">
              <w:rPr>
                <w:sz w:val="22"/>
                <w:szCs w:val="22"/>
                <w:lang w:val="sr-Latn-ME" w:eastAsia="sr-Latn-CS"/>
              </w:rPr>
              <w:t>kapecitabin</w:t>
            </w:r>
          </w:p>
        </w:tc>
        <w:tc>
          <w:tcPr>
            <w:tcW w:w="2486" w:type="dxa"/>
          </w:tcPr>
          <w:p w14:paraId="324C3C4B"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130 mg/m</w:t>
            </w:r>
            <w:r w:rsidRPr="00C0654D">
              <w:rPr>
                <w:sz w:val="22"/>
                <w:szCs w:val="22"/>
                <w:vertAlign w:val="superscript"/>
                <w:lang w:val="sr-Latn-ME" w:eastAsia="sr-Latn-CS"/>
              </w:rPr>
              <w:t>2</w:t>
            </w:r>
            <w:r w:rsidRPr="00C0654D">
              <w:rPr>
                <w:sz w:val="22"/>
                <w:szCs w:val="22"/>
                <w:lang w:val="sr-Latn-ME" w:eastAsia="sr-Latn-CS"/>
              </w:rPr>
              <w:t xml:space="preserve"> IV 2 h</w:t>
            </w:r>
          </w:p>
          <w:p w14:paraId="31B1C75D" w14:textId="77777777" w:rsidR="002D6375" w:rsidRPr="00C0654D" w:rsidRDefault="002D6375">
            <w:pPr>
              <w:autoSpaceDE w:val="0"/>
              <w:autoSpaceDN w:val="0"/>
              <w:adjustRightInd w:val="0"/>
              <w:jc w:val="both"/>
              <w:rPr>
                <w:sz w:val="22"/>
                <w:szCs w:val="22"/>
                <w:lang w:val="sr-Latn-ME" w:eastAsia="sr-Latn-CS"/>
              </w:rPr>
            </w:pPr>
          </w:p>
          <w:p w14:paraId="0C3A0485" w14:textId="77777777" w:rsidR="002D6375" w:rsidRPr="00C0654D" w:rsidRDefault="002D6375">
            <w:pPr>
              <w:autoSpaceDE w:val="0"/>
              <w:autoSpaceDN w:val="0"/>
              <w:adjustRightInd w:val="0"/>
              <w:jc w:val="both"/>
              <w:rPr>
                <w:sz w:val="22"/>
                <w:szCs w:val="22"/>
                <w:lang w:val="sr-Latn-ME" w:eastAsia="sr-Latn-CS"/>
              </w:rPr>
            </w:pPr>
          </w:p>
          <w:p w14:paraId="28CC0B9B"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1000 mg/m</w:t>
            </w:r>
            <w:r w:rsidRPr="00C0654D">
              <w:rPr>
                <w:sz w:val="22"/>
                <w:szCs w:val="22"/>
                <w:vertAlign w:val="superscript"/>
                <w:lang w:val="sr-Latn-ME" w:eastAsia="sr-Latn-CS"/>
              </w:rPr>
              <w:t>2</w:t>
            </w:r>
            <w:r w:rsidRPr="00C0654D">
              <w:rPr>
                <w:sz w:val="22"/>
                <w:szCs w:val="22"/>
                <w:lang w:val="sr-Latn-ME" w:eastAsia="sr-Latn-CS"/>
              </w:rPr>
              <w:t xml:space="preserve"> oralno,</w:t>
            </w:r>
          </w:p>
          <w:p w14:paraId="36E5F002" w14:textId="77777777" w:rsidR="002D6375" w:rsidRPr="00C0654D" w:rsidRDefault="002D6375">
            <w:pPr>
              <w:tabs>
                <w:tab w:val="left" w:pos="284"/>
              </w:tabs>
              <w:autoSpaceDE w:val="0"/>
              <w:autoSpaceDN w:val="0"/>
              <w:adjustRightInd w:val="0"/>
              <w:jc w:val="both"/>
              <w:rPr>
                <w:sz w:val="22"/>
                <w:szCs w:val="22"/>
                <w:lang w:val="sr-Latn-ME" w:eastAsia="sr-Latn-CS"/>
              </w:rPr>
            </w:pPr>
            <w:r w:rsidRPr="00C0654D">
              <w:rPr>
                <w:sz w:val="22"/>
                <w:szCs w:val="22"/>
                <w:lang w:val="sr-Latn-ME" w:eastAsia="sr-Latn-CS"/>
              </w:rPr>
              <w:t>dva puta dnevno</w:t>
            </w:r>
          </w:p>
        </w:tc>
        <w:tc>
          <w:tcPr>
            <w:tcW w:w="2178" w:type="dxa"/>
          </w:tcPr>
          <w:p w14:paraId="2E354722"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oksaliplatin prvog dana na svake 3 nedjelje</w:t>
            </w:r>
          </w:p>
          <w:p w14:paraId="4CF6A4FD" w14:textId="77777777" w:rsidR="002D6375" w:rsidRPr="00C0654D" w:rsidRDefault="002D6375" w:rsidP="00813C2B">
            <w:pPr>
              <w:autoSpaceDE w:val="0"/>
              <w:autoSpaceDN w:val="0"/>
              <w:adjustRightInd w:val="0"/>
              <w:jc w:val="both"/>
              <w:rPr>
                <w:sz w:val="22"/>
                <w:szCs w:val="22"/>
                <w:lang w:val="sr-Latn-ME" w:eastAsia="sr-Latn-CS"/>
              </w:rPr>
            </w:pPr>
          </w:p>
          <w:p w14:paraId="2D245C3F"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 xml:space="preserve">kapecitabin oralno, dva puta dnevno tokom 2 nedjelje, poslije </w:t>
            </w:r>
            <w:r w:rsidRPr="00C0654D">
              <w:rPr>
                <w:rFonts w:eastAsia="TimesNewRoman"/>
                <w:sz w:val="22"/>
                <w:szCs w:val="22"/>
                <w:lang w:val="sr-Latn-ME" w:eastAsia="sr-Latn-CS"/>
              </w:rPr>
              <w:t>č</w:t>
            </w:r>
            <w:r w:rsidRPr="00C0654D">
              <w:rPr>
                <w:sz w:val="22"/>
                <w:szCs w:val="22"/>
                <w:lang w:val="sr-Latn-ME" w:eastAsia="sr-Latn-CS"/>
              </w:rPr>
              <w:t>ega slijedi 1 nedjelja bez terapije</w:t>
            </w:r>
          </w:p>
        </w:tc>
      </w:tr>
      <w:tr w:rsidR="002D6375" w:rsidRPr="006E16D5" w14:paraId="7586B83F" w14:textId="77777777" w:rsidTr="00D85C58">
        <w:tc>
          <w:tcPr>
            <w:tcW w:w="2485" w:type="dxa"/>
            <w:vMerge/>
          </w:tcPr>
          <w:p w14:paraId="2CE70411" w14:textId="77777777" w:rsidR="002D6375" w:rsidRPr="00C0654D" w:rsidRDefault="002D6375">
            <w:pPr>
              <w:autoSpaceDE w:val="0"/>
              <w:autoSpaceDN w:val="0"/>
              <w:adjustRightInd w:val="0"/>
              <w:jc w:val="both"/>
              <w:rPr>
                <w:sz w:val="22"/>
                <w:szCs w:val="22"/>
                <w:lang w:val="sr-Latn-ME" w:eastAsia="sr-Latn-CS"/>
              </w:rPr>
            </w:pPr>
          </w:p>
        </w:tc>
        <w:tc>
          <w:tcPr>
            <w:tcW w:w="2485" w:type="dxa"/>
          </w:tcPr>
          <w:p w14:paraId="3593BE84"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placebo ili</w:t>
            </w:r>
          </w:p>
          <w:p w14:paraId="0000AC97"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bevacizumab</w:t>
            </w:r>
          </w:p>
        </w:tc>
        <w:tc>
          <w:tcPr>
            <w:tcW w:w="2486" w:type="dxa"/>
          </w:tcPr>
          <w:p w14:paraId="34E9E024"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7,5 mg/kg IV 30-90</w:t>
            </w:r>
          </w:p>
          <w:p w14:paraId="0B48A345"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min</w:t>
            </w:r>
          </w:p>
        </w:tc>
        <w:tc>
          <w:tcPr>
            <w:tcW w:w="2178" w:type="dxa"/>
          </w:tcPr>
          <w:p w14:paraId="7CAC3553" w14:textId="77777777" w:rsidR="002D6375" w:rsidRPr="00C0654D" w:rsidRDefault="002D6375" w:rsidP="00813C2B">
            <w:pPr>
              <w:autoSpaceDE w:val="0"/>
              <w:autoSpaceDN w:val="0"/>
              <w:adjustRightInd w:val="0"/>
              <w:jc w:val="both"/>
              <w:rPr>
                <w:sz w:val="22"/>
                <w:szCs w:val="22"/>
                <w:lang w:val="sr-Latn-ME" w:eastAsia="sr-Latn-CS"/>
              </w:rPr>
            </w:pPr>
            <w:r w:rsidRPr="00C0654D">
              <w:rPr>
                <w:sz w:val="22"/>
                <w:szCs w:val="22"/>
                <w:lang w:val="sr-Latn-ME" w:eastAsia="sr-Latn-CS"/>
              </w:rPr>
              <w:t>prvog dana, prije primjene XELOX, na svake 3 nedjelje</w:t>
            </w:r>
          </w:p>
        </w:tc>
      </w:tr>
      <w:tr w:rsidR="002D6375" w:rsidRPr="00C0654D" w14:paraId="48BBEA36" w14:textId="77777777" w:rsidTr="00D85C58">
        <w:tc>
          <w:tcPr>
            <w:tcW w:w="9634" w:type="dxa"/>
            <w:gridSpan w:val="4"/>
          </w:tcPr>
          <w:p w14:paraId="4C5735E8"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t>5-fluorouracil: IV bolus injekcija odmah nakon leukovorina</w:t>
            </w:r>
          </w:p>
        </w:tc>
      </w:tr>
    </w:tbl>
    <w:p w14:paraId="6C14E6CA" w14:textId="77777777" w:rsidR="002D6375" w:rsidRPr="00C0654D" w:rsidRDefault="002D6375" w:rsidP="00D85C58">
      <w:pPr>
        <w:autoSpaceDE w:val="0"/>
        <w:autoSpaceDN w:val="0"/>
        <w:adjustRightInd w:val="0"/>
        <w:jc w:val="both"/>
        <w:rPr>
          <w:sz w:val="22"/>
          <w:szCs w:val="22"/>
          <w:lang w:val="sr-Latn-ME" w:eastAsia="sr-Latn-CS"/>
        </w:rPr>
      </w:pPr>
    </w:p>
    <w:p w14:paraId="78E6D707" w14:textId="759F895B" w:rsidR="002D6375" w:rsidRPr="00C0654D" w:rsidRDefault="002D6375" w:rsidP="00CA1BE0">
      <w:pPr>
        <w:autoSpaceDE w:val="0"/>
        <w:autoSpaceDN w:val="0"/>
        <w:adjustRightInd w:val="0"/>
        <w:jc w:val="both"/>
        <w:rPr>
          <w:sz w:val="22"/>
          <w:szCs w:val="22"/>
          <w:lang w:val="sr-Latn-ME" w:eastAsia="sr-Latn-CS"/>
        </w:rPr>
      </w:pPr>
      <w:r w:rsidRPr="00C0654D">
        <w:rPr>
          <w:sz w:val="22"/>
          <w:szCs w:val="22"/>
          <w:lang w:val="sr-Latn-ME" w:eastAsia="sr-Latn-CS"/>
        </w:rPr>
        <w:t>Neinferiornost u grupama koje su primale XELOX u pore</w:t>
      </w:r>
      <w:r w:rsidRPr="00C0654D">
        <w:rPr>
          <w:rFonts w:eastAsia="TimesNewRoman"/>
          <w:sz w:val="22"/>
          <w:szCs w:val="22"/>
          <w:lang w:val="sr-Latn-ME" w:eastAsia="sr-Latn-CS"/>
        </w:rPr>
        <w:t>đ</w:t>
      </w:r>
      <w:r w:rsidRPr="00C0654D">
        <w:rPr>
          <w:sz w:val="22"/>
          <w:szCs w:val="22"/>
          <w:lang w:val="sr-Latn-ME" w:eastAsia="sr-Latn-CS"/>
        </w:rPr>
        <w:t>enju sa onima koji su primali FOLFOX-4 u ukupnom pore</w:t>
      </w:r>
      <w:r w:rsidRPr="00C0654D">
        <w:rPr>
          <w:rFonts w:eastAsia="TimesNewRoman"/>
          <w:sz w:val="22"/>
          <w:szCs w:val="22"/>
          <w:lang w:val="sr-Latn-ME" w:eastAsia="sr-Latn-CS"/>
        </w:rPr>
        <w:t>đ</w:t>
      </w:r>
      <w:r w:rsidRPr="00C0654D">
        <w:rPr>
          <w:sz w:val="22"/>
          <w:szCs w:val="22"/>
          <w:lang w:val="sr-Latn-ME" w:eastAsia="sr-Latn-CS"/>
        </w:rPr>
        <w:t>enju pokazana je u smislu preživljavanja bez progresije kod pacijenata koji su ispunjavali kriterijume i u ITT populaciji (vidjeti Tabelu 7.). Rezultati pokazuju ekvivalenciju terapija XELOX i FOLFOX-4 u smislu ukupnog preživljavanja (vidjeti Tabelu 7.). Pore</w:t>
      </w:r>
      <w:r w:rsidRPr="00C0654D">
        <w:rPr>
          <w:rFonts w:eastAsia="TimesNewRoman"/>
          <w:sz w:val="22"/>
          <w:szCs w:val="22"/>
          <w:lang w:val="sr-Latn-ME" w:eastAsia="sr-Latn-CS"/>
        </w:rPr>
        <w:t>đ</w:t>
      </w:r>
      <w:r w:rsidRPr="00C0654D">
        <w:rPr>
          <w:sz w:val="22"/>
          <w:szCs w:val="22"/>
          <w:lang w:val="sr-Latn-ME" w:eastAsia="sr-Latn-CS"/>
        </w:rPr>
        <w:t>enje XELOX</w:t>
      </w:r>
      <w:r w:rsidR="000D3B8C">
        <w:rPr>
          <w:sz w:val="22"/>
          <w:szCs w:val="22"/>
          <w:lang w:val="sr-Latn-ME" w:eastAsia="sr-Latn-CS"/>
        </w:rPr>
        <w:t xml:space="preserve"> </w:t>
      </w:r>
      <w:r w:rsidRPr="00C0654D">
        <w:rPr>
          <w:sz w:val="22"/>
          <w:szCs w:val="22"/>
          <w:lang w:val="sr-Latn-ME" w:eastAsia="sr-Latn-CS"/>
        </w:rPr>
        <w:t>+ bevacizumab sa jedne strane i FOLFOX-4 +</w:t>
      </w:r>
      <w:r w:rsidR="000D3B8C">
        <w:rPr>
          <w:sz w:val="22"/>
          <w:szCs w:val="22"/>
          <w:lang w:val="sr-Latn-ME" w:eastAsia="sr-Latn-CS"/>
        </w:rPr>
        <w:t xml:space="preserve"> </w:t>
      </w:r>
      <w:r w:rsidRPr="00C0654D">
        <w:rPr>
          <w:sz w:val="22"/>
          <w:szCs w:val="22"/>
          <w:lang w:val="sr-Latn-ME" w:eastAsia="sr-Latn-CS"/>
        </w:rPr>
        <w:t>bevacizumab sa druge strane bila je prethodno definisana eksploratorna analiza. U pore</w:t>
      </w:r>
      <w:r w:rsidRPr="00C0654D">
        <w:rPr>
          <w:rFonts w:eastAsia="TimesNewRoman"/>
          <w:sz w:val="22"/>
          <w:szCs w:val="22"/>
          <w:lang w:val="sr-Latn-ME" w:eastAsia="sr-Latn-CS"/>
        </w:rPr>
        <w:t>đ</w:t>
      </w:r>
      <w:r w:rsidRPr="00C0654D">
        <w:rPr>
          <w:sz w:val="22"/>
          <w:szCs w:val="22"/>
          <w:lang w:val="sr-Latn-ME" w:eastAsia="sr-Latn-CS"/>
        </w:rPr>
        <w:t>enju ovih terapijskih podgrupa, XELOX</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bevacizumab je bila slična kombinaciji  FOLFOX-4</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bevacizumab u smislu preživljavanja bez progresije bolesti (koeficijent rizika 1,01; 97,5% CI 0,84-1,22). Srednje trajanje pra</w:t>
      </w:r>
      <w:r w:rsidRPr="00C0654D">
        <w:rPr>
          <w:rFonts w:eastAsia="TimesNewRoman"/>
          <w:sz w:val="22"/>
          <w:szCs w:val="22"/>
          <w:lang w:val="sr-Latn-ME" w:eastAsia="sr-Latn-CS"/>
        </w:rPr>
        <w:t>ć</w:t>
      </w:r>
      <w:r w:rsidRPr="00C0654D">
        <w:rPr>
          <w:sz w:val="22"/>
          <w:szCs w:val="22"/>
          <w:lang w:val="sr-Latn-ME" w:eastAsia="sr-Latn-CS"/>
        </w:rPr>
        <w:t xml:space="preserve">enja u trenutku primarne analize u ITT populaciji iznosilo je 1,5 </w:t>
      </w:r>
      <w:r w:rsidRPr="00C0654D">
        <w:rPr>
          <w:sz w:val="22"/>
          <w:szCs w:val="22"/>
          <w:lang w:val="sr-Latn-ME" w:eastAsia="sr-Latn-CS"/>
        </w:rPr>
        <w:lastRenderedPageBreak/>
        <w:t>godina; podaci iz analiza poslije još jedne godine pra</w:t>
      </w:r>
      <w:r w:rsidRPr="00C0654D">
        <w:rPr>
          <w:rFonts w:eastAsia="TimesNewRoman"/>
          <w:sz w:val="22"/>
          <w:szCs w:val="22"/>
          <w:lang w:val="sr-Latn-ME" w:eastAsia="sr-Latn-CS"/>
        </w:rPr>
        <w:t>ć</w:t>
      </w:r>
      <w:r w:rsidRPr="00C0654D">
        <w:rPr>
          <w:sz w:val="22"/>
          <w:szCs w:val="22"/>
          <w:lang w:val="sr-Latn-ME" w:eastAsia="sr-Latn-CS"/>
        </w:rPr>
        <w:t>enja tako</w:t>
      </w:r>
      <w:r w:rsidRPr="00C0654D">
        <w:rPr>
          <w:rFonts w:eastAsia="TimesNewRoman"/>
          <w:sz w:val="22"/>
          <w:szCs w:val="22"/>
          <w:lang w:val="sr-Latn-ME" w:eastAsia="sr-Latn-CS"/>
        </w:rPr>
        <w:t>đ</w:t>
      </w:r>
      <w:r w:rsidRPr="00C0654D">
        <w:rPr>
          <w:sz w:val="22"/>
          <w:szCs w:val="22"/>
          <w:lang w:val="sr-Latn-ME" w:eastAsia="sr-Latn-CS"/>
        </w:rPr>
        <w:t>e su uklju</w:t>
      </w:r>
      <w:r w:rsidRPr="00C0654D">
        <w:rPr>
          <w:rFonts w:eastAsia="TimesNewRoman"/>
          <w:sz w:val="22"/>
          <w:szCs w:val="22"/>
          <w:lang w:val="sr-Latn-ME" w:eastAsia="sr-Latn-CS"/>
        </w:rPr>
        <w:t>č</w:t>
      </w:r>
      <w:r w:rsidRPr="00C0654D">
        <w:rPr>
          <w:sz w:val="22"/>
          <w:szCs w:val="22"/>
          <w:lang w:val="sr-Latn-ME" w:eastAsia="sr-Latn-CS"/>
        </w:rPr>
        <w:t>eni u Tabelu 7. Me</w:t>
      </w:r>
      <w:r w:rsidRPr="00C0654D">
        <w:rPr>
          <w:rFonts w:eastAsia="TimesNewRoman"/>
          <w:sz w:val="22"/>
          <w:szCs w:val="22"/>
          <w:lang w:val="sr-Latn-ME" w:eastAsia="sr-Latn-CS"/>
        </w:rPr>
        <w:t>đ</w:t>
      </w:r>
      <w:r w:rsidRPr="00C0654D">
        <w:rPr>
          <w:sz w:val="22"/>
          <w:szCs w:val="22"/>
          <w:lang w:val="sr-Latn-ME" w:eastAsia="sr-Latn-CS"/>
        </w:rPr>
        <w:t>utim analiza preživljavanja bez progresije (PFS) tokom terapije nije potvrdila rezultate opšte analize preživljavanja bez progresije i ukupnog preživljavanja: koeficijent rizika za XELOX u pore</w:t>
      </w:r>
      <w:r w:rsidRPr="00C0654D">
        <w:rPr>
          <w:rFonts w:eastAsia="TimesNewRoman"/>
          <w:sz w:val="22"/>
          <w:szCs w:val="22"/>
          <w:lang w:val="sr-Latn-ME" w:eastAsia="sr-Latn-CS"/>
        </w:rPr>
        <w:t>đ</w:t>
      </w:r>
      <w:r w:rsidRPr="00C0654D">
        <w:rPr>
          <w:sz w:val="22"/>
          <w:szCs w:val="22"/>
          <w:lang w:val="sr-Latn-ME" w:eastAsia="sr-Latn-CS"/>
        </w:rPr>
        <w:t>enju sa terapijom FOLFOX-4 iznosio je 1,24, gdje je 97,5% CI: 1,07- 1,44. Iako analiza osjetljivosti pokazuje da razlika u režimima doziranja i vremenu procjene tumora imaju uticaja na analizu PFS tokom terapije, nije na</w:t>
      </w:r>
      <w:r w:rsidRPr="00C0654D">
        <w:rPr>
          <w:rFonts w:eastAsia="TimesNewRoman"/>
          <w:sz w:val="22"/>
          <w:szCs w:val="22"/>
          <w:lang w:val="sr-Latn-ME" w:eastAsia="sr-Latn-CS"/>
        </w:rPr>
        <w:t>đ</w:t>
      </w:r>
      <w:r w:rsidRPr="00C0654D">
        <w:rPr>
          <w:sz w:val="22"/>
          <w:szCs w:val="22"/>
          <w:lang w:val="sr-Latn-ME" w:eastAsia="sr-Latn-CS"/>
        </w:rPr>
        <w:t>eno puno objašnjenje ovog rezultata.</w:t>
      </w:r>
    </w:p>
    <w:p w14:paraId="4AD42D4A" w14:textId="77777777" w:rsidR="002D6375" w:rsidRPr="00C0654D" w:rsidRDefault="002D6375">
      <w:pPr>
        <w:autoSpaceDE w:val="0"/>
        <w:autoSpaceDN w:val="0"/>
        <w:adjustRightInd w:val="0"/>
        <w:jc w:val="both"/>
        <w:rPr>
          <w:sz w:val="22"/>
          <w:szCs w:val="22"/>
          <w:lang w:val="sr-Latn-ME"/>
        </w:rPr>
      </w:pPr>
    </w:p>
    <w:p w14:paraId="48DA5290"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Tabela 7. Klju</w:t>
      </w:r>
      <w:r w:rsidRPr="00C0654D">
        <w:rPr>
          <w:rFonts w:eastAsia="TimesNewRoman"/>
          <w:sz w:val="22"/>
          <w:szCs w:val="22"/>
          <w:lang w:val="sr-Latn-ME" w:eastAsia="sr-Latn-CS"/>
        </w:rPr>
        <w:t>č</w:t>
      </w:r>
      <w:r w:rsidRPr="00C0654D">
        <w:rPr>
          <w:sz w:val="22"/>
          <w:szCs w:val="22"/>
          <w:lang w:val="sr-Latn-ME" w:eastAsia="sr-Latn-CS"/>
        </w:rPr>
        <w:t>ni rezultati procjene efikasnosti u analizi neinferiornosti u studiji NO 16966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485"/>
        <w:gridCol w:w="2486"/>
        <w:gridCol w:w="2178"/>
      </w:tblGrid>
      <w:tr w:rsidR="002D6375" w:rsidRPr="00C0654D" w14:paraId="2421D33A" w14:textId="77777777" w:rsidTr="00D85C58">
        <w:tc>
          <w:tcPr>
            <w:tcW w:w="9634" w:type="dxa"/>
            <w:gridSpan w:val="4"/>
          </w:tcPr>
          <w:p w14:paraId="7A9E409D"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PRIMARNA ANALIZA</w:t>
            </w:r>
          </w:p>
        </w:tc>
      </w:tr>
      <w:tr w:rsidR="002D6375" w:rsidRPr="00C0654D" w14:paraId="05922C44" w14:textId="77777777" w:rsidTr="00D85C58">
        <w:tc>
          <w:tcPr>
            <w:tcW w:w="4970" w:type="dxa"/>
            <w:gridSpan w:val="2"/>
          </w:tcPr>
          <w:p w14:paraId="40B12C37"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t xml:space="preserve">XELOX </w:t>
            </w:r>
            <w:r w:rsidRPr="00C0654D">
              <w:rPr>
                <w:bCs/>
                <w:sz w:val="22"/>
                <w:szCs w:val="22"/>
                <w:lang w:val="sr-Latn-ME" w:eastAsia="sr-Latn-CS"/>
              </w:rPr>
              <w:t>/</w:t>
            </w:r>
            <w:r w:rsidRPr="00C0654D">
              <w:rPr>
                <w:sz w:val="22"/>
                <w:szCs w:val="22"/>
                <w:lang w:val="sr-Latn-ME" w:eastAsia="sr-Latn-CS"/>
              </w:rPr>
              <w:t xml:space="preserve"> </w:t>
            </w:r>
          </w:p>
          <w:p w14:paraId="67FA1325" w14:textId="77777777" w:rsidR="002D6375" w:rsidRPr="00C0654D" w:rsidRDefault="002D6375" w:rsidP="00CA1BE0">
            <w:pPr>
              <w:autoSpaceDE w:val="0"/>
              <w:autoSpaceDN w:val="0"/>
              <w:adjustRightInd w:val="0"/>
              <w:jc w:val="both"/>
              <w:rPr>
                <w:bCs/>
                <w:sz w:val="22"/>
                <w:szCs w:val="22"/>
                <w:lang w:val="sr-Latn-ME" w:eastAsia="sr-Latn-CS"/>
              </w:rPr>
            </w:pPr>
            <w:r w:rsidRPr="00C0654D">
              <w:rPr>
                <w:sz w:val="22"/>
                <w:szCs w:val="22"/>
                <w:lang w:val="sr-Latn-ME" w:eastAsia="sr-Latn-CS"/>
              </w:rPr>
              <w:t>XELOX</w:t>
            </w:r>
            <w:r w:rsidRPr="00C0654D">
              <w:rPr>
                <w:bCs/>
                <w:sz w:val="22"/>
                <w:szCs w:val="22"/>
                <w:lang w:val="sr-Latn-ME" w:eastAsia="sr-Latn-CS"/>
              </w:rPr>
              <w:t>+P/</w:t>
            </w:r>
          </w:p>
          <w:p w14:paraId="7FBD521F" w14:textId="77777777" w:rsidR="002D6375" w:rsidRPr="00C0654D" w:rsidRDefault="002D6375">
            <w:pPr>
              <w:autoSpaceDE w:val="0"/>
              <w:autoSpaceDN w:val="0"/>
              <w:adjustRightInd w:val="0"/>
              <w:jc w:val="both"/>
              <w:rPr>
                <w:bCs/>
                <w:sz w:val="22"/>
                <w:szCs w:val="22"/>
                <w:lang w:val="sr-Latn-ME" w:eastAsia="sr-Latn-CS"/>
              </w:rPr>
            </w:pPr>
            <w:r w:rsidRPr="00C0654D">
              <w:rPr>
                <w:sz w:val="22"/>
                <w:szCs w:val="22"/>
                <w:lang w:val="sr-Latn-ME" w:eastAsia="sr-Latn-CS"/>
              </w:rPr>
              <w:t>XELOX</w:t>
            </w:r>
            <w:r w:rsidRPr="00C0654D">
              <w:rPr>
                <w:bCs/>
                <w:sz w:val="22"/>
                <w:szCs w:val="22"/>
                <w:lang w:val="sr-Latn-ME" w:eastAsia="sr-Latn-CS"/>
              </w:rPr>
              <w:t>+BV</w:t>
            </w:r>
          </w:p>
          <w:p w14:paraId="1D046DBE" w14:textId="77777777" w:rsidR="002D6375" w:rsidRPr="00C0654D" w:rsidRDefault="002D6375">
            <w:pPr>
              <w:autoSpaceDE w:val="0"/>
              <w:autoSpaceDN w:val="0"/>
              <w:adjustRightInd w:val="0"/>
              <w:jc w:val="both"/>
              <w:rPr>
                <w:sz w:val="22"/>
                <w:szCs w:val="22"/>
                <w:lang w:val="sr-Latn-ME"/>
              </w:rPr>
            </w:pPr>
            <w:r w:rsidRPr="00C0654D">
              <w:rPr>
                <w:bCs/>
                <w:sz w:val="22"/>
                <w:szCs w:val="22"/>
                <w:lang w:val="sr-Latn-ME" w:eastAsia="sr-Latn-CS"/>
              </w:rPr>
              <w:t>(EPP*: N=967; ITT**: N=1017)</w:t>
            </w:r>
          </w:p>
        </w:tc>
        <w:tc>
          <w:tcPr>
            <w:tcW w:w="4664" w:type="dxa"/>
            <w:gridSpan w:val="2"/>
          </w:tcPr>
          <w:p w14:paraId="4DF2DCE0" w14:textId="77777777" w:rsidR="002D6375" w:rsidRPr="00C0654D" w:rsidRDefault="002D6375">
            <w:pPr>
              <w:autoSpaceDE w:val="0"/>
              <w:autoSpaceDN w:val="0"/>
              <w:adjustRightInd w:val="0"/>
              <w:jc w:val="both"/>
              <w:rPr>
                <w:bCs/>
                <w:sz w:val="22"/>
                <w:szCs w:val="22"/>
                <w:lang w:val="sr-Latn-ME" w:eastAsia="sr-Latn-CS"/>
              </w:rPr>
            </w:pPr>
            <w:r w:rsidRPr="00C0654D">
              <w:rPr>
                <w:bCs/>
                <w:sz w:val="22"/>
                <w:szCs w:val="22"/>
                <w:lang w:val="sr-Latn-ME" w:eastAsia="sr-Latn-CS"/>
              </w:rPr>
              <w:t>FOLFOX-4/FOLFOX-4+P/ FOLFOX-4+BV</w:t>
            </w:r>
          </w:p>
          <w:p w14:paraId="791068D2" w14:textId="77777777" w:rsidR="002D6375" w:rsidRPr="00C0654D" w:rsidRDefault="002D6375">
            <w:pPr>
              <w:autoSpaceDE w:val="0"/>
              <w:autoSpaceDN w:val="0"/>
              <w:adjustRightInd w:val="0"/>
              <w:jc w:val="both"/>
              <w:rPr>
                <w:sz w:val="22"/>
                <w:szCs w:val="22"/>
                <w:lang w:val="sr-Latn-ME"/>
              </w:rPr>
            </w:pPr>
            <w:r w:rsidRPr="00C0654D">
              <w:rPr>
                <w:bCs/>
                <w:sz w:val="22"/>
                <w:szCs w:val="22"/>
                <w:lang w:val="sr-Latn-ME" w:eastAsia="sr-Latn-CS"/>
              </w:rPr>
              <w:t>(EPP*: N = 937; ITT**: N=1017)</w:t>
            </w:r>
          </w:p>
        </w:tc>
      </w:tr>
      <w:tr w:rsidR="002D6375" w:rsidRPr="00C0654D" w14:paraId="6B8B5827" w14:textId="77777777" w:rsidTr="00D85C58">
        <w:tc>
          <w:tcPr>
            <w:tcW w:w="2485" w:type="dxa"/>
          </w:tcPr>
          <w:p w14:paraId="53B8D670"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Populacija</w:t>
            </w:r>
          </w:p>
        </w:tc>
        <w:tc>
          <w:tcPr>
            <w:tcW w:w="4971" w:type="dxa"/>
            <w:gridSpan w:val="2"/>
          </w:tcPr>
          <w:p w14:paraId="75076731" w14:textId="77777777" w:rsidR="002D6375" w:rsidRPr="00C0654D" w:rsidRDefault="002D6375" w:rsidP="00CA1BE0">
            <w:pPr>
              <w:autoSpaceDE w:val="0"/>
              <w:autoSpaceDN w:val="0"/>
              <w:adjustRightInd w:val="0"/>
              <w:jc w:val="both"/>
              <w:rPr>
                <w:b/>
                <w:sz w:val="22"/>
                <w:szCs w:val="22"/>
                <w:lang w:val="sr-Latn-ME"/>
              </w:rPr>
            </w:pPr>
            <w:r w:rsidRPr="00C0654D">
              <w:rPr>
                <w:b/>
                <w:sz w:val="22"/>
                <w:szCs w:val="22"/>
                <w:lang w:val="sr-Latn-ME"/>
              </w:rPr>
              <w:t>Srednje vrijeme do događaja (u danima)</w:t>
            </w:r>
          </w:p>
        </w:tc>
        <w:tc>
          <w:tcPr>
            <w:tcW w:w="2178" w:type="dxa"/>
          </w:tcPr>
          <w:p w14:paraId="380EC135"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Koeficijent rizika</w:t>
            </w:r>
          </w:p>
          <w:p w14:paraId="2916D237"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(97,5% CI)</w:t>
            </w:r>
          </w:p>
        </w:tc>
      </w:tr>
      <w:tr w:rsidR="002D6375" w:rsidRPr="00C0654D" w14:paraId="31AF08F0" w14:textId="77777777" w:rsidTr="00D85C58">
        <w:tc>
          <w:tcPr>
            <w:tcW w:w="9634" w:type="dxa"/>
            <w:gridSpan w:val="4"/>
          </w:tcPr>
          <w:p w14:paraId="5BC1B7A4"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Preživljavanje bez progresije</w:t>
            </w:r>
          </w:p>
        </w:tc>
      </w:tr>
      <w:tr w:rsidR="002D6375" w:rsidRPr="00C0654D" w14:paraId="3014E133" w14:textId="77777777" w:rsidTr="00D85C58">
        <w:tc>
          <w:tcPr>
            <w:tcW w:w="2485" w:type="dxa"/>
          </w:tcPr>
          <w:p w14:paraId="22F6AA6B"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EPP</w:t>
            </w:r>
          </w:p>
        </w:tc>
        <w:tc>
          <w:tcPr>
            <w:tcW w:w="2485" w:type="dxa"/>
          </w:tcPr>
          <w:p w14:paraId="6BF48C6E"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241</w:t>
            </w:r>
          </w:p>
        </w:tc>
        <w:tc>
          <w:tcPr>
            <w:tcW w:w="2486" w:type="dxa"/>
          </w:tcPr>
          <w:p w14:paraId="1FBC55B1"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259</w:t>
            </w:r>
          </w:p>
        </w:tc>
        <w:tc>
          <w:tcPr>
            <w:tcW w:w="2178" w:type="dxa"/>
          </w:tcPr>
          <w:p w14:paraId="1730395A"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1,05 (0,94; 1,18)</w:t>
            </w:r>
          </w:p>
        </w:tc>
      </w:tr>
      <w:tr w:rsidR="002D6375" w:rsidRPr="00C0654D" w14:paraId="2BBC94B3" w14:textId="77777777" w:rsidTr="00D85C58">
        <w:tc>
          <w:tcPr>
            <w:tcW w:w="2485" w:type="dxa"/>
          </w:tcPr>
          <w:p w14:paraId="2C104183"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06AE0C38"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244</w:t>
            </w:r>
          </w:p>
        </w:tc>
        <w:tc>
          <w:tcPr>
            <w:tcW w:w="2486" w:type="dxa"/>
          </w:tcPr>
          <w:p w14:paraId="5E177AB6"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259</w:t>
            </w:r>
          </w:p>
        </w:tc>
        <w:tc>
          <w:tcPr>
            <w:tcW w:w="2178" w:type="dxa"/>
          </w:tcPr>
          <w:p w14:paraId="45CB8510"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1,04 (0,93; 1,16)</w:t>
            </w:r>
          </w:p>
        </w:tc>
      </w:tr>
      <w:tr w:rsidR="002D6375" w:rsidRPr="00C0654D" w14:paraId="5620C117" w14:textId="77777777" w:rsidTr="00D85C58">
        <w:tc>
          <w:tcPr>
            <w:tcW w:w="9634" w:type="dxa"/>
            <w:gridSpan w:val="4"/>
          </w:tcPr>
          <w:p w14:paraId="7CA1615A"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Ukupno preživljavanje</w:t>
            </w:r>
          </w:p>
        </w:tc>
      </w:tr>
      <w:tr w:rsidR="002D6375" w:rsidRPr="00C0654D" w14:paraId="0F7AE553" w14:textId="77777777" w:rsidTr="00D85C58">
        <w:tc>
          <w:tcPr>
            <w:tcW w:w="2485" w:type="dxa"/>
          </w:tcPr>
          <w:p w14:paraId="419C71E3"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EPP</w:t>
            </w:r>
          </w:p>
        </w:tc>
        <w:tc>
          <w:tcPr>
            <w:tcW w:w="2485" w:type="dxa"/>
          </w:tcPr>
          <w:p w14:paraId="29C9E5D6"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577</w:t>
            </w:r>
          </w:p>
        </w:tc>
        <w:tc>
          <w:tcPr>
            <w:tcW w:w="2486" w:type="dxa"/>
          </w:tcPr>
          <w:p w14:paraId="41830A73"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549</w:t>
            </w:r>
          </w:p>
        </w:tc>
        <w:tc>
          <w:tcPr>
            <w:tcW w:w="2178" w:type="dxa"/>
          </w:tcPr>
          <w:p w14:paraId="5B34B119"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0,97 (0,84; 1,14)</w:t>
            </w:r>
          </w:p>
        </w:tc>
      </w:tr>
      <w:tr w:rsidR="002D6375" w:rsidRPr="00C0654D" w14:paraId="507B5300" w14:textId="77777777" w:rsidTr="00D85C58">
        <w:tc>
          <w:tcPr>
            <w:tcW w:w="2485" w:type="dxa"/>
          </w:tcPr>
          <w:p w14:paraId="78BC6170"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6DF3000B"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581</w:t>
            </w:r>
          </w:p>
        </w:tc>
        <w:tc>
          <w:tcPr>
            <w:tcW w:w="2486" w:type="dxa"/>
          </w:tcPr>
          <w:p w14:paraId="1E5597AA"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553</w:t>
            </w:r>
          </w:p>
        </w:tc>
        <w:tc>
          <w:tcPr>
            <w:tcW w:w="2178" w:type="dxa"/>
          </w:tcPr>
          <w:p w14:paraId="54A81D5D"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0,96 (0,83; 1,12)</w:t>
            </w:r>
          </w:p>
        </w:tc>
      </w:tr>
      <w:tr w:rsidR="002D6375" w:rsidRPr="00C0654D" w14:paraId="7F689DF3" w14:textId="77777777" w:rsidTr="00D85C58">
        <w:tc>
          <w:tcPr>
            <w:tcW w:w="9634" w:type="dxa"/>
            <w:gridSpan w:val="4"/>
          </w:tcPr>
          <w:p w14:paraId="262BF527"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DODATNA GODINA PRAĆENJA</w:t>
            </w:r>
          </w:p>
        </w:tc>
      </w:tr>
      <w:tr w:rsidR="002D6375" w:rsidRPr="00C0654D" w14:paraId="5B6E6F3D" w14:textId="77777777" w:rsidTr="00D85C58">
        <w:tc>
          <w:tcPr>
            <w:tcW w:w="2485" w:type="dxa"/>
          </w:tcPr>
          <w:p w14:paraId="6B8069BD"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Populacija</w:t>
            </w:r>
          </w:p>
        </w:tc>
        <w:tc>
          <w:tcPr>
            <w:tcW w:w="4971" w:type="dxa"/>
            <w:gridSpan w:val="2"/>
          </w:tcPr>
          <w:p w14:paraId="3865583E" w14:textId="77777777" w:rsidR="002D6375" w:rsidRPr="00C0654D" w:rsidRDefault="002D6375" w:rsidP="00CA1BE0">
            <w:pPr>
              <w:autoSpaceDE w:val="0"/>
              <w:autoSpaceDN w:val="0"/>
              <w:adjustRightInd w:val="0"/>
              <w:jc w:val="both"/>
              <w:rPr>
                <w:b/>
                <w:sz w:val="22"/>
                <w:szCs w:val="22"/>
                <w:lang w:val="sr-Latn-ME"/>
              </w:rPr>
            </w:pPr>
            <w:r w:rsidRPr="00C0654D">
              <w:rPr>
                <w:b/>
                <w:sz w:val="22"/>
                <w:szCs w:val="22"/>
                <w:lang w:val="sr-Latn-ME"/>
              </w:rPr>
              <w:t>Srednje vrijeme do događaja (u danima)</w:t>
            </w:r>
          </w:p>
        </w:tc>
        <w:tc>
          <w:tcPr>
            <w:tcW w:w="2178" w:type="dxa"/>
          </w:tcPr>
          <w:p w14:paraId="22F7219C"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Koeficijent rizika</w:t>
            </w:r>
          </w:p>
          <w:p w14:paraId="7DD12467"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(97,5% CI)</w:t>
            </w:r>
          </w:p>
        </w:tc>
      </w:tr>
      <w:tr w:rsidR="002D6375" w:rsidRPr="00C0654D" w14:paraId="5A99A553" w14:textId="77777777" w:rsidTr="00D85C58">
        <w:tc>
          <w:tcPr>
            <w:tcW w:w="9634" w:type="dxa"/>
            <w:gridSpan w:val="4"/>
          </w:tcPr>
          <w:p w14:paraId="36AE5FB0"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Preživljavanje bez progresije</w:t>
            </w:r>
          </w:p>
        </w:tc>
      </w:tr>
      <w:tr w:rsidR="002D6375" w:rsidRPr="00C0654D" w14:paraId="758C0F84" w14:textId="77777777" w:rsidTr="00D85C58">
        <w:tc>
          <w:tcPr>
            <w:tcW w:w="2485" w:type="dxa"/>
          </w:tcPr>
          <w:p w14:paraId="53683871"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EPP</w:t>
            </w:r>
          </w:p>
        </w:tc>
        <w:tc>
          <w:tcPr>
            <w:tcW w:w="2485" w:type="dxa"/>
          </w:tcPr>
          <w:p w14:paraId="604A3857"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242</w:t>
            </w:r>
          </w:p>
        </w:tc>
        <w:tc>
          <w:tcPr>
            <w:tcW w:w="2486" w:type="dxa"/>
          </w:tcPr>
          <w:p w14:paraId="1A605406"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259</w:t>
            </w:r>
          </w:p>
        </w:tc>
        <w:tc>
          <w:tcPr>
            <w:tcW w:w="2178" w:type="dxa"/>
          </w:tcPr>
          <w:p w14:paraId="7C842BAA"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1,02 (0,92; 1,14)</w:t>
            </w:r>
          </w:p>
        </w:tc>
      </w:tr>
      <w:tr w:rsidR="002D6375" w:rsidRPr="00C0654D" w14:paraId="672FF22E" w14:textId="77777777" w:rsidTr="00D85C58">
        <w:tc>
          <w:tcPr>
            <w:tcW w:w="2485" w:type="dxa"/>
          </w:tcPr>
          <w:p w14:paraId="193C3769"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362685BF"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244</w:t>
            </w:r>
          </w:p>
        </w:tc>
        <w:tc>
          <w:tcPr>
            <w:tcW w:w="2486" w:type="dxa"/>
          </w:tcPr>
          <w:p w14:paraId="7EE5B89D"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259</w:t>
            </w:r>
          </w:p>
        </w:tc>
        <w:tc>
          <w:tcPr>
            <w:tcW w:w="2178" w:type="dxa"/>
          </w:tcPr>
          <w:p w14:paraId="4DE86322"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1,01 (0,91; 1,12)</w:t>
            </w:r>
          </w:p>
        </w:tc>
      </w:tr>
      <w:tr w:rsidR="002D6375" w:rsidRPr="00C0654D" w14:paraId="5B2C743A" w14:textId="77777777" w:rsidTr="00D85C58">
        <w:tc>
          <w:tcPr>
            <w:tcW w:w="9634" w:type="dxa"/>
            <w:gridSpan w:val="4"/>
          </w:tcPr>
          <w:p w14:paraId="356ABEF4"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Ukupno preživljavanje</w:t>
            </w:r>
          </w:p>
        </w:tc>
      </w:tr>
      <w:tr w:rsidR="002D6375" w:rsidRPr="00C0654D" w14:paraId="3AAD7C46" w14:textId="77777777" w:rsidTr="00D85C58">
        <w:tc>
          <w:tcPr>
            <w:tcW w:w="2485" w:type="dxa"/>
          </w:tcPr>
          <w:p w14:paraId="5373A9E3"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EPP</w:t>
            </w:r>
          </w:p>
        </w:tc>
        <w:tc>
          <w:tcPr>
            <w:tcW w:w="2485" w:type="dxa"/>
          </w:tcPr>
          <w:p w14:paraId="17495AFC"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600</w:t>
            </w:r>
          </w:p>
        </w:tc>
        <w:tc>
          <w:tcPr>
            <w:tcW w:w="2486" w:type="dxa"/>
          </w:tcPr>
          <w:p w14:paraId="74343023"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594</w:t>
            </w:r>
          </w:p>
        </w:tc>
        <w:tc>
          <w:tcPr>
            <w:tcW w:w="2178" w:type="dxa"/>
          </w:tcPr>
          <w:p w14:paraId="1127B092"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1,00 (0,88; 1,13)</w:t>
            </w:r>
          </w:p>
        </w:tc>
      </w:tr>
      <w:tr w:rsidR="002D6375" w:rsidRPr="00C0654D" w14:paraId="1717D381" w14:textId="77777777" w:rsidTr="00D85C58">
        <w:tc>
          <w:tcPr>
            <w:tcW w:w="2485" w:type="dxa"/>
          </w:tcPr>
          <w:p w14:paraId="2C855BDA"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13218C8B"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602</w:t>
            </w:r>
          </w:p>
        </w:tc>
        <w:tc>
          <w:tcPr>
            <w:tcW w:w="2486" w:type="dxa"/>
          </w:tcPr>
          <w:p w14:paraId="09197BE1"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596</w:t>
            </w:r>
          </w:p>
        </w:tc>
        <w:tc>
          <w:tcPr>
            <w:tcW w:w="2178" w:type="dxa"/>
          </w:tcPr>
          <w:p w14:paraId="31B20FE0"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0,99 (0,88; 1,12)</w:t>
            </w:r>
          </w:p>
        </w:tc>
      </w:tr>
    </w:tbl>
    <w:p w14:paraId="0819A826"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rPr>
        <w:t>*</w:t>
      </w:r>
      <w:r w:rsidRPr="00C0654D">
        <w:rPr>
          <w:sz w:val="22"/>
          <w:szCs w:val="22"/>
          <w:lang w:val="sr-Latn-ME" w:eastAsia="sr-Latn-CS"/>
        </w:rPr>
        <w:t xml:space="preserve">EPP= populacija pacijenata koji ispunjavaju kriterijume ; **ITT = populacija pacijenata koji su predviđeni za liječenje  </w:t>
      </w:r>
    </w:p>
    <w:p w14:paraId="5B547AB1" w14:textId="77777777" w:rsidR="002D6375" w:rsidRPr="00C0654D" w:rsidRDefault="002D6375" w:rsidP="00CA1BE0">
      <w:pPr>
        <w:autoSpaceDE w:val="0"/>
        <w:autoSpaceDN w:val="0"/>
        <w:adjustRightInd w:val="0"/>
        <w:jc w:val="both"/>
        <w:rPr>
          <w:sz w:val="22"/>
          <w:szCs w:val="22"/>
          <w:lang w:val="sr-Latn-ME" w:eastAsia="sr-Latn-CS"/>
        </w:rPr>
      </w:pPr>
    </w:p>
    <w:p w14:paraId="52F3BDAE"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U randomizovanoj, kontrolisanoj studiji faze III (CAIRO) proučavan je efekat upotrebe kapecitabina u početnoj dozi od 1000 mg/m</w:t>
      </w:r>
      <w:r w:rsidRPr="00C0654D">
        <w:rPr>
          <w:sz w:val="22"/>
          <w:szCs w:val="22"/>
          <w:vertAlign w:val="superscript"/>
          <w:lang w:val="sr-Latn-ME" w:eastAsia="sr-Latn-CS"/>
        </w:rPr>
        <w:t>2</w:t>
      </w:r>
      <w:r w:rsidRPr="00C0654D">
        <w:rPr>
          <w:sz w:val="22"/>
          <w:szCs w:val="22"/>
          <w:lang w:val="sr-Latn-ME" w:eastAsia="sr-Latn-CS"/>
        </w:rPr>
        <w:t xml:space="preserve"> tokom 2 nedjelje na svake 3 nedjelje u kombinaciji sa irinotekanom u prvoj liniji liječenja pacijenata sa metastatskim kolorektalnim karcinomom. Randomizovano je 820 pacijenata da prima ili sekvencijalnu terapiju (n=410) ili kombinovanu terapiju (n=410). Sekvencijalna terapija se sastojala od prve linije terapije kapecitabinom (1250 mg/m</w:t>
      </w:r>
      <w:r w:rsidRPr="00C0654D">
        <w:rPr>
          <w:sz w:val="22"/>
          <w:szCs w:val="22"/>
          <w:vertAlign w:val="superscript"/>
          <w:lang w:val="sr-Latn-ME" w:eastAsia="sr-Latn-CS"/>
        </w:rPr>
        <w:t>2</w:t>
      </w:r>
      <w:r w:rsidRPr="00C0654D">
        <w:rPr>
          <w:sz w:val="22"/>
          <w:szCs w:val="22"/>
          <w:lang w:val="sr-Latn-ME" w:eastAsia="sr-Latn-CS"/>
        </w:rPr>
        <w:t xml:space="preserve"> dva puta na dan tokom 14 dana), druge linije terapije irinotekanom (350 mg/m</w:t>
      </w:r>
      <w:r w:rsidRPr="00C0654D">
        <w:rPr>
          <w:sz w:val="22"/>
          <w:szCs w:val="22"/>
          <w:vertAlign w:val="superscript"/>
          <w:lang w:val="sr-Latn-ME" w:eastAsia="sr-Latn-CS"/>
        </w:rPr>
        <w:t>2</w:t>
      </w:r>
      <w:r w:rsidRPr="00C0654D">
        <w:rPr>
          <w:sz w:val="22"/>
          <w:szCs w:val="22"/>
          <w:lang w:val="sr-Latn-ME" w:eastAsia="sr-Latn-CS"/>
        </w:rPr>
        <w:t xml:space="preserve"> prvog dana), i treće linije kombinacije kapecitabina (1000 mg/m</w:t>
      </w:r>
      <w:r w:rsidRPr="00C0654D">
        <w:rPr>
          <w:sz w:val="22"/>
          <w:szCs w:val="22"/>
          <w:vertAlign w:val="superscript"/>
          <w:lang w:val="sr-Latn-ME" w:eastAsia="sr-Latn-CS"/>
        </w:rPr>
        <w:t>2</w:t>
      </w:r>
      <w:r w:rsidRPr="00C0654D">
        <w:rPr>
          <w:sz w:val="22"/>
          <w:szCs w:val="22"/>
          <w:lang w:val="sr-Latn-ME" w:eastAsia="sr-Latn-CS"/>
        </w:rPr>
        <w:t xml:space="preserve"> dva puta na dan tokom 14 dana) sa oksaliplatinom (130 mg/m</w:t>
      </w:r>
      <w:r w:rsidRPr="00C0654D">
        <w:rPr>
          <w:sz w:val="22"/>
          <w:szCs w:val="22"/>
          <w:vertAlign w:val="superscript"/>
          <w:lang w:val="sr-Latn-ME" w:eastAsia="sr-Latn-CS"/>
        </w:rPr>
        <w:t>2</w:t>
      </w:r>
      <w:r w:rsidRPr="00C0654D">
        <w:rPr>
          <w:sz w:val="22"/>
          <w:szCs w:val="22"/>
          <w:lang w:val="sr-Latn-ME" w:eastAsia="sr-Latn-CS"/>
        </w:rPr>
        <w:t xml:space="preserve"> prvog dana). Kombinovana terapija se sastojala od prve linije terapije kapecitabinom (1000 mg/m</w:t>
      </w:r>
      <w:r w:rsidRPr="00C0654D">
        <w:rPr>
          <w:sz w:val="22"/>
          <w:szCs w:val="22"/>
          <w:vertAlign w:val="superscript"/>
          <w:lang w:val="sr-Latn-ME" w:eastAsia="sr-Latn-CS"/>
        </w:rPr>
        <w:t>2</w:t>
      </w:r>
      <w:r w:rsidRPr="00C0654D">
        <w:rPr>
          <w:sz w:val="22"/>
          <w:szCs w:val="22"/>
          <w:lang w:val="sr-Latn-ME" w:eastAsia="sr-Latn-CS"/>
        </w:rPr>
        <w:t xml:space="preserve"> dva puta na dan tokom 14 dana) u kombinaciji sa irinotekanom (250 mg/m</w:t>
      </w:r>
      <w:r w:rsidRPr="00C0654D">
        <w:rPr>
          <w:sz w:val="22"/>
          <w:szCs w:val="22"/>
          <w:vertAlign w:val="superscript"/>
          <w:lang w:val="sr-Latn-ME" w:eastAsia="sr-Latn-CS"/>
        </w:rPr>
        <w:t>2</w:t>
      </w:r>
      <w:r w:rsidRPr="00C0654D">
        <w:rPr>
          <w:sz w:val="22"/>
          <w:szCs w:val="22"/>
          <w:lang w:val="sr-Latn-ME" w:eastAsia="sr-Latn-CS"/>
        </w:rPr>
        <w:t xml:space="preserve"> prvog dana) (XELIRI) i druge linije terapije kapecitabinom (1000 mg/m</w:t>
      </w:r>
      <w:r w:rsidRPr="00C0654D">
        <w:rPr>
          <w:sz w:val="22"/>
          <w:szCs w:val="22"/>
          <w:vertAlign w:val="superscript"/>
          <w:lang w:val="sr-Latn-ME" w:eastAsia="sr-Latn-CS"/>
        </w:rPr>
        <w:t>2</w:t>
      </w:r>
      <w:r w:rsidRPr="00C0654D">
        <w:rPr>
          <w:sz w:val="22"/>
          <w:szCs w:val="22"/>
          <w:lang w:val="sr-Latn-ME" w:eastAsia="sr-Latn-CS"/>
        </w:rPr>
        <w:t xml:space="preserve"> dva puta na dan tokom 14 dana) plus oksaliplatin (130 mg/m</w:t>
      </w:r>
      <w:r w:rsidRPr="00C0654D">
        <w:rPr>
          <w:sz w:val="22"/>
          <w:szCs w:val="22"/>
          <w:vertAlign w:val="superscript"/>
          <w:lang w:val="sr-Latn-ME" w:eastAsia="sr-Latn-CS"/>
        </w:rPr>
        <w:t>2</w:t>
      </w:r>
      <w:r w:rsidRPr="00C0654D">
        <w:rPr>
          <w:sz w:val="22"/>
          <w:szCs w:val="22"/>
          <w:lang w:val="sr-Latn-ME" w:eastAsia="sr-Latn-CS"/>
        </w:rPr>
        <w:t xml:space="preserve"> prvog dana). Svi terapijski ciklusi su davani u intervalima od 3 nedjelje. U prvoj liniji terapije medijana preživljavanja bez progresije u populaciji predviđenoj za liječenje iznosilo je 5,8 mjeseci (95% CI, 5,1 -6,2 mjeseci) za kapecitabin monoterapiju i 7,8 mjeseci (95% CI, 7,0-8,3 mjeseci; p=0,0002) za XELIRI. Međutim, to je bilo povezano sa povećanom incidencom nastanka gastrointestinalne toksičnosti i neutropenije tokom prve linije terapije sa XELIRI (26% i 11% za XELIRI i prvu liniju terapije kapecitabinom, redom).</w:t>
      </w:r>
    </w:p>
    <w:p w14:paraId="6BC08CD5" w14:textId="77777777" w:rsidR="002D6375" w:rsidRPr="00C0654D" w:rsidRDefault="002D6375">
      <w:pPr>
        <w:autoSpaceDE w:val="0"/>
        <w:autoSpaceDN w:val="0"/>
        <w:adjustRightInd w:val="0"/>
        <w:jc w:val="both"/>
        <w:rPr>
          <w:sz w:val="22"/>
          <w:szCs w:val="22"/>
          <w:lang w:val="sr-Latn-ME" w:eastAsia="sr-Latn-CS"/>
        </w:rPr>
      </w:pPr>
    </w:p>
    <w:p w14:paraId="54E7B24D"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XELIRI je upoređivan sa terapijom 5-FU + irinotekan (FOLFIRI) u tri randomizovane studije kod pacijenata sa metastatskim kolorektalnim karcinomom. XELIRI režim doziranja je uključivao kapecitabin 1000 mg/m</w:t>
      </w:r>
      <w:r w:rsidRPr="00C0654D">
        <w:rPr>
          <w:sz w:val="22"/>
          <w:szCs w:val="22"/>
          <w:vertAlign w:val="superscript"/>
          <w:lang w:val="sr-Latn-ME" w:eastAsia="sr-Latn-CS"/>
        </w:rPr>
        <w:t>2</w:t>
      </w:r>
      <w:r w:rsidRPr="00C0654D">
        <w:rPr>
          <w:sz w:val="22"/>
          <w:szCs w:val="22"/>
          <w:lang w:val="sr-Latn-ME" w:eastAsia="sr-Latn-CS"/>
        </w:rPr>
        <w:t xml:space="preserve"> dva puta dnevno od 1. do 14. dana tronedjeljnog ciklusa u kombinaciji sa irinotekanom 250 mg/m</w:t>
      </w:r>
      <w:r w:rsidRPr="00C0654D">
        <w:rPr>
          <w:sz w:val="22"/>
          <w:szCs w:val="22"/>
          <w:vertAlign w:val="superscript"/>
          <w:lang w:val="sr-Latn-ME" w:eastAsia="sr-Latn-CS"/>
        </w:rPr>
        <w:t>2</w:t>
      </w:r>
      <w:r w:rsidRPr="00C0654D">
        <w:rPr>
          <w:sz w:val="22"/>
          <w:szCs w:val="22"/>
          <w:lang w:val="sr-Latn-ME" w:eastAsia="sr-Latn-CS"/>
        </w:rPr>
        <w:t xml:space="preserve"> prvog dana. U najvećoj studiji (BICC-C), pacijenti su randomizovani da primaju ili otvorenu terapiju FOLFIRI (n=144), bolus 5-FU (mIFL) (n=145) ili XELIRI (n=141) i dodatno su randomizovani da primaju ili dvostruko slijepu terapiju celekoksibom ili placebo. Medijana preživljavanja bez progresije bolesti iznosila je 7,6 mjeseci za FOLFIRI, 5,9 mjeseci za mIFL (p=0,004) </w:t>
      </w:r>
      <w:r w:rsidRPr="00C0654D">
        <w:rPr>
          <w:sz w:val="22"/>
          <w:szCs w:val="22"/>
          <w:lang w:val="sr-Latn-ME" w:eastAsia="sr-Latn-CS"/>
        </w:rPr>
        <w:lastRenderedPageBreak/>
        <w:t>(za poređenje sa FOLFIRI), i 5,8 mjeseci za XELIRI (p=0,015). Medijana ukupnog preživljavanja iznosila je 23,1 mjesec za FOLFIRI, 17,6 mjeseci za mIFL (p=0,09), i 18,9 mjeseci za XELIRI (p=0,27). Kod pacijenata tretiranih sa XELIRI javila se previsoka gastrointestinalna toksičnost u poređenju sa pacijentima tretiranim sa FOLFIRI (dijareja 48% i 14% za XELIRI i FOLFIRI, redom).</w:t>
      </w:r>
    </w:p>
    <w:p w14:paraId="57B0159A" w14:textId="77777777" w:rsidR="002D6375" w:rsidRPr="00C0654D" w:rsidRDefault="002D6375">
      <w:pPr>
        <w:autoSpaceDE w:val="0"/>
        <w:autoSpaceDN w:val="0"/>
        <w:adjustRightInd w:val="0"/>
        <w:jc w:val="both"/>
        <w:rPr>
          <w:sz w:val="22"/>
          <w:szCs w:val="22"/>
          <w:lang w:val="sr-Latn-ME" w:eastAsia="sr-Latn-CS"/>
        </w:rPr>
      </w:pPr>
    </w:p>
    <w:p w14:paraId="1939A8CA"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U EORTC studiji, pacijenti su bili randomizovani da primaju ili otvorenu terapiju FOLFIRI (n=41) ili XELIRI (n=44) i dodatno randomizovani ili na duplo slijepu terapiju celekoksibom ili na placebo. Medijana preživljavanja bez progresije bolesti i medijana ukupnog preživljavanja je bila kraća za XELIRI u poređenju sa FOLFIRI (preživljavanje bez progresije 5,9 mjeseci u poređenju sa 9,6 mjeseci, i ukupno preživljavanje 14,8 mjeseci u poređenju sa 19,9 mjeseci), i pritom je prijavljen prekomjeran stepen pojave dijareje kod pacijenata koji su primali XELIRI terapiju (41% XELIRI, 5,1% FOLFIRI).</w:t>
      </w:r>
    </w:p>
    <w:p w14:paraId="540CF9D0" w14:textId="77777777" w:rsidR="002D6375" w:rsidRPr="00C0654D" w:rsidRDefault="002D6375">
      <w:pPr>
        <w:autoSpaceDE w:val="0"/>
        <w:autoSpaceDN w:val="0"/>
        <w:adjustRightInd w:val="0"/>
        <w:jc w:val="both"/>
        <w:rPr>
          <w:sz w:val="22"/>
          <w:szCs w:val="22"/>
          <w:lang w:val="sr-Latn-ME" w:eastAsia="sr-Latn-CS"/>
        </w:rPr>
      </w:pPr>
    </w:p>
    <w:p w14:paraId="10D895C1"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U studiji koju su objavili Skof i saradnici, pacijenti su randomizovani da primaju ili FOLFIRI ili XELIRI. Stopa ukupnog odgovora iznosila je 49% u grani koja je primala XELIRI, i 48% u grani koja je primala FOLFIRI (p=0,76). Na kraju terapije, 37% pacijenata iz grane koja je primala XELIRI i 26% pacijenata iz grane koja je primala FOLFIRI je bilo bez prisustva bolesti (p=0,56). Toksičnost između terapija je bila slična, sa izuzetkom neutropenije koja je češće prijavljivana kod pacijenata koji su primali FOLFIRI.</w:t>
      </w:r>
    </w:p>
    <w:p w14:paraId="5FF5C3E2" w14:textId="77777777" w:rsidR="002D6375" w:rsidRPr="00C0654D" w:rsidRDefault="002D6375">
      <w:pPr>
        <w:autoSpaceDE w:val="0"/>
        <w:autoSpaceDN w:val="0"/>
        <w:adjustRightInd w:val="0"/>
        <w:jc w:val="both"/>
        <w:rPr>
          <w:sz w:val="22"/>
          <w:szCs w:val="22"/>
          <w:lang w:val="sr-Latn-ME" w:eastAsia="sr-Latn-CS"/>
        </w:rPr>
      </w:pPr>
    </w:p>
    <w:p w14:paraId="7268ACD6"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Montanjani i saradnici su iskoristili rezultate tri gore pomenute studije kako bi sproveli sveukupnu analizu randomizovanih studija koje porede FOLFIRI i XELIRI terapijske režime u liječenju metastatskog kolorektalnog karcinoma. Značajno smanjenje rizika od progresije povezano je sa primjenom FOLFIRI (HR, 0,76; 95% CI, 0,62-0,95; P&lt;0,01), djelimično usljed slabe tolerancije na korišćeni XELIRI režim.</w:t>
      </w:r>
    </w:p>
    <w:p w14:paraId="34BB719F" w14:textId="77777777" w:rsidR="002D6375" w:rsidRPr="00C0654D" w:rsidRDefault="002D6375">
      <w:pPr>
        <w:autoSpaceDE w:val="0"/>
        <w:autoSpaceDN w:val="0"/>
        <w:adjustRightInd w:val="0"/>
        <w:jc w:val="both"/>
        <w:rPr>
          <w:sz w:val="22"/>
          <w:szCs w:val="22"/>
          <w:lang w:val="sr-Latn-ME" w:eastAsia="sr-Latn-CS"/>
        </w:rPr>
      </w:pPr>
    </w:p>
    <w:p w14:paraId="1602BF8D" w14:textId="7E32ECFD"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randomizovane kliničke studije (Suglakos i saradnici, 2012.) koja poredi FOLFIRI + bevacizumab sa XELIRI + bevacizumab ni</w:t>
      </w:r>
      <w:r w:rsidR="00BA7E76">
        <w:rPr>
          <w:sz w:val="22"/>
          <w:szCs w:val="22"/>
          <w:lang w:val="sr-Latn-ME" w:eastAsia="sr-Latn-CS"/>
        </w:rPr>
        <w:t>je</w:t>
      </w:r>
      <w:r w:rsidRPr="00C0654D">
        <w:rPr>
          <w:sz w:val="22"/>
          <w:szCs w:val="22"/>
          <w:lang w:val="sr-Latn-ME" w:eastAsia="sr-Latn-CS"/>
        </w:rPr>
        <w:t>su pokazali značajne razlike u preživljavanju bez progresije bolesti ili ukupnom preživljavanju između ovih terapija. Pacijenti su randomizovani da primaju ili FOLFIRI plus bevacizumab (grana-A, n=167) ili XELIRI plus bevacizumab (grana-B, n=166). U grani B, XELIRI režim koristi kapecitabin 1000 mg/m</w:t>
      </w:r>
      <w:r w:rsidRPr="00C0654D">
        <w:rPr>
          <w:sz w:val="22"/>
          <w:szCs w:val="22"/>
          <w:vertAlign w:val="superscript"/>
          <w:lang w:val="sr-Latn-ME" w:eastAsia="sr-Latn-CS"/>
        </w:rPr>
        <w:t>2</w:t>
      </w:r>
      <w:r w:rsidRPr="00C0654D">
        <w:rPr>
          <w:sz w:val="22"/>
          <w:szCs w:val="22"/>
          <w:lang w:val="sr-Latn-ME" w:eastAsia="sr-Latn-CS"/>
        </w:rPr>
        <w:t xml:space="preserve"> dva puta dnevno tokom 14 dana + irinotekan 250 mg/m</w:t>
      </w:r>
      <w:r w:rsidRPr="00C0654D">
        <w:rPr>
          <w:sz w:val="22"/>
          <w:szCs w:val="22"/>
          <w:vertAlign w:val="superscript"/>
          <w:lang w:val="sr-Latn-ME" w:eastAsia="sr-Latn-CS"/>
        </w:rPr>
        <w:t>2</w:t>
      </w:r>
      <w:r w:rsidRPr="00C0654D">
        <w:rPr>
          <w:sz w:val="22"/>
          <w:szCs w:val="22"/>
          <w:lang w:val="sr-Latn-ME" w:eastAsia="sr-Latn-CS"/>
        </w:rPr>
        <w:t xml:space="preserve"> prvog dana. Medijana preživljavanja bez progresije bolesti iznosila je 10,0 i 8,9 mjeseci; p=0,64, ukupno preživljavanje 25,7 i 27,5 mjeseci; p=0,55 i stopa odgovora 45,5 i 39,8%; p=0,32 za FOLFIRI-bevacizumab i XELIRI-bevacizumab, redom. Pacijenti na terapiji XELIRI + bevacizumab prijavili su značajno veću incidencu pojave dijareje, febrilne neutropenije i šaka-stopalo kožnih reakcija, nego pacijenti na terapiji FOLFIRI + bevacizumab, sa značajno povećanim odlaganjima terapije, smanjenjima doze i prekidima terapije.</w:t>
      </w:r>
    </w:p>
    <w:p w14:paraId="027B2F16" w14:textId="77777777" w:rsidR="002D6375" w:rsidRPr="00C0654D" w:rsidRDefault="002D6375">
      <w:pPr>
        <w:autoSpaceDE w:val="0"/>
        <w:autoSpaceDN w:val="0"/>
        <w:adjustRightInd w:val="0"/>
        <w:jc w:val="both"/>
        <w:rPr>
          <w:sz w:val="22"/>
          <w:szCs w:val="22"/>
          <w:lang w:val="sr-Latn-ME" w:eastAsia="sr-Latn-CS"/>
        </w:rPr>
      </w:pPr>
    </w:p>
    <w:p w14:paraId="4ACA0E92" w14:textId="57AECEFF"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multicentrične, randomizovane, kontrolisane studije faze II (AIO KRK 0604) podržavaju primjenu kapecitabina u početnoj dozi od 800 mg/m</w:t>
      </w:r>
      <w:r w:rsidRPr="00C0654D">
        <w:rPr>
          <w:sz w:val="22"/>
          <w:szCs w:val="22"/>
          <w:vertAlign w:val="superscript"/>
          <w:lang w:val="sr-Latn-ME" w:eastAsia="sr-Latn-CS"/>
        </w:rPr>
        <w:t>2</w:t>
      </w:r>
      <w:r w:rsidRPr="00C0654D">
        <w:rPr>
          <w:sz w:val="22"/>
          <w:szCs w:val="22"/>
          <w:lang w:val="sr-Latn-ME" w:eastAsia="sr-Latn-CS"/>
        </w:rPr>
        <w:t xml:space="preserve"> tokom 2 nedjelje na svake 3 nedjelje u kombinaciji sa irinotekanom i bevacizumabom kao prvu liniju terapije pacijenata sa metastatskim kolorektalnim karcinomom. 120 pacijenata je randomizovano da prima izmijenjeni XELIRI režim sa kapecitabinom (800 mg/m</w:t>
      </w:r>
      <w:r w:rsidRPr="00C0654D">
        <w:rPr>
          <w:sz w:val="22"/>
          <w:szCs w:val="22"/>
          <w:vertAlign w:val="superscript"/>
          <w:lang w:val="sr-Latn-ME" w:eastAsia="sr-Latn-CS"/>
        </w:rPr>
        <w:t>2</w:t>
      </w:r>
      <w:r w:rsidRPr="00C0654D">
        <w:rPr>
          <w:sz w:val="22"/>
          <w:szCs w:val="22"/>
          <w:lang w:val="sr-Latn-ME" w:eastAsia="sr-Latn-CS"/>
        </w:rPr>
        <w:t xml:space="preserve"> dva puta na dan tokom dv</w:t>
      </w:r>
      <w:r w:rsidR="000D3B8C">
        <w:rPr>
          <w:sz w:val="22"/>
          <w:szCs w:val="22"/>
          <w:lang w:val="sr-Latn-ME" w:eastAsia="sr-Latn-CS"/>
        </w:rPr>
        <w:t>ij</w:t>
      </w:r>
      <w:r w:rsidRPr="00C0654D">
        <w:rPr>
          <w:sz w:val="22"/>
          <w:szCs w:val="22"/>
          <w:lang w:val="sr-Latn-ME" w:eastAsia="sr-Latn-CS"/>
        </w:rPr>
        <w:t>e nedjelje, poslije čega slijedi period odmora od 7 dana ), irinotekanom (200 mg/m</w:t>
      </w:r>
      <w:r w:rsidRPr="00C0654D">
        <w:rPr>
          <w:sz w:val="22"/>
          <w:szCs w:val="22"/>
          <w:vertAlign w:val="superscript"/>
          <w:lang w:val="sr-Latn-ME" w:eastAsia="sr-Latn-CS"/>
        </w:rPr>
        <w:t>2</w:t>
      </w:r>
      <w:r w:rsidRPr="00C0654D">
        <w:rPr>
          <w:sz w:val="22"/>
          <w:szCs w:val="22"/>
          <w:lang w:val="sr-Latn-ME" w:eastAsia="sr-Latn-CS"/>
        </w:rPr>
        <w:t xml:space="preserve"> u vidu 30-minutne infuzije prvog dana svake 3 nedjelje), i bevacizumabom (7,5 mg/kg u vidu 30- do 90-minutne infuzije prvog dana svake 3 nedjelje); 127 pacijenata randomizovano je da prima kapecitabin (1000 mg/m</w:t>
      </w:r>
      <w:r w:rsidRPr="00C0654D">
        <w:rPr>
          <w:sz w:val="22"/>
          <w:szCs w:val="22"/>
          <w:vertAlign w:val="superscript"/>
          <w:lang w:val="sr-Latn-ME" w:eastAsia="sr-Latn-CS"/>
        </w:rPr>
        <w:t>2</w:t>
      </w:r>
      <w:r w:rsidRPr="00C0654D">
        <w:rPr>
          <w:sz w:val="22"/>
          <w:szCs w:val="22"/>
          <w:lang w:val="sr-Latn-ME" w:eastAsia="sr-Latn-CS"/>
        </w:rPr>
        <w:t xml:space="preserve"> dva puta na dan tokom dvije nedjelje, poslije čega slijedi period odmora od 7 dana), oksaliplatin (130 mg/m</w:t>
      </w:r>
      <w:r w:rsidRPr="00C0654D">
        <w:rPr>
          <w:sz w:val="22"/>
          <w:szCs w:val="22"/>
          <w:vertAlign w:val="superscript"/>
          <w:lang w:val="sr-Latn-ME" w:eastAsia="sr-Latn-CS"/>
        </w:rPr>
        <w:t>2</w:t>
      </w:r>
      <w:r w:rsidRPr="00C0654D">
        <w:rPr>
          <w:sz w:val="22"/>
          <w:szCs w:val="22"/>
          <w:lang w:val="sr-Latn-ME" w:eastAsia="sr-Latn-CS"/>
        </w:rPr>
        <w:t xml:space="preserve"> u vidu dvočasovne infuzije prvog dana svake 3 nedjelje), i bevacizumab (7,5 mg/kg u vidu 30- do 90-minutne infuzije prvog dana svake 3 nedjelje). Po završetku praćenja studijske populacije u srednjem trajanju od 26,2 mjeseca, odgovori na terapiju su bili kao što je prikazano u tabeli ispod:</w:t>
      </w:r>
      <w:r w:rsidRPr="00C0654D">
        <w:rPr>
          <w:sz w:val="22"/>
          <w:szCs w:val="22"/>
          <w:lang w:val="sr-Latn-ME" w:eastAsia="sr-Latn-CS"/>
        </w:rPr>
        <w:cr/>
      </w:r>
    </w:p>
    <w:p w14:paraId="449DDDFE"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Tabela 8. Ključni rezultati AIO KRK studije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gridCol w:w="3066"/>
        <w:gridCol w:w="2178"/>
      </w:tblGrid>
      <w:tr w:rsidR="002D6375" w:rsidRPr="006E16D5" w14:paraId="3C95A013" w14:textId="77777777" w:rsidTr="00D85C58">
        <w:tc>
          <w:tcPr>
            <w:tcW w:w="1413" w:type="dxa"/>
            <w:shd w:val="clear" w:color="auto" w:fill="auto"/>
          </w:tcPr>
          <w:p w14:paraId="775A39C7" w14:textId="77777777" w:rsidR="002D6375" w:rsidRPr="00C0654D" w:rsidRDefault="002D6375">
            <w:pPr>
              <w:autoSpaceDE w:val="0"/>
              <w:autoSpaceDN w:val="0"/>
              <w:adjustRightInd w:val="0"/>
              <w:jc w:val="both"/>
              <w:rPr>
                <w:sz w:val="22"/>
                <w:szCs w:val="22"/>
                <w:lang w:val="sr-Latn-ME" w:eastAsia="sr-Latn-CS"/>
              </w:rPr>
            </w:pPr>
          </w:p>
        </w:tc>
        <w:tc>
          <w:tcPr>
            <w:tcW w:w="2977" w:type="dxa"/>
            <w:shd w:val="clear" w:color="auto" w:fill="auto"/>
          </w:tcPr>
          <w:p w14:paraId="5B6785B2"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XELOX + bevacizumab</w:t>
            </w:r>
          </w:p>
          <w:p w14:paraId="2D80E7FD" w14:textId="77777777" w:rsidR="002D6375" w:rsidRPr="00C0654D" w:rsidRDefault="002D6375">
            <w:pPr>
              <w:autoSpaceDE w:val="0"/>
              <w:autoSpaceDN w:val="0"/>
              <w:adjustRightInd w:val="0"/>
              <w:jc w:val="both"/>
              <w:rPr>
                <w:sz w:val="22"/>
                <w:szCs w:val="22"/>
                <w:lang w:val="sr-Latn-ME" w:eastAsia="sr-Latn-CS"/>
              </w:rPr>
            </w:pPr>
          </w:p>
          <w:p w14:paraId="4550A515"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(ITT: N=127)</w:t>
            </w:r>
          </w:p>
        </w:tc>
        <w:tc>
          <w:tcPr>
            <w:tcW w:w="3066" w:type="dxa"/>
            <w:shd w:val="clear" w:color="auto" w:fill="auto"/>
          </w:tcPr>
          <w:p w14:paraId="41D9FE1B"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Izmijenjeni XELIRI+</w:t>
            </w:r>
          </w:p>
          <w:p w14:paraId="62F625BA"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bevacizumab</w:t>
            </w:r>
          </w:p>
          <w:p w14:paraId="18123B32"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(ITT: N= 120)</w:t>
            </w:r>
          </w:p>
        </w:tc>
        <w:tc>
          <w:tcPr>
            <w:tcW w:w="2178" w:type="dxa"/>
            <w:shd w:val="clear" w:color="auto" w:fill="auto"/>
          </w:tcPr>
          <w:p w14:paraId="0E75B2DA"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Koeficijent  -rizika</w:t>
            </w:r>
          </w:p>
          <w:p w14:paraId="545B05D3"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95% CI</w:t>
            </w:r>
          </w:p>
          <w:p w14:paraId="42FB4512"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 vrijednost</w:t>
            </w:r>
          </w:p>
        </w:tc>
      </w:tr>
      <w:tr w:rsidR="002D6375" w:rsidRPr="006E16D5" w14:paraId="2EC39F19" w14:textId="77777777" w:rsidTr="00D85C58">
        <w:tc>
          <w:tcPr>
            <w:tcW w:w="9634" w:type="dxa"/>
            <w:gridSpan w:val="4"/>
            <w:shd w:val="clear" w:color="auto" w:fill="auto"/>
          </w:tcPr>
          <w:p w14:paraId="532ADF41"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t>Preživljavanje bez progresije bolesti nakon 6 mjeseci</w:t>
            </w:r>
          </w:p>
        </w:tc>
      </w:tr>
      <w:tr w:rsidR="002D6375" w:rsidRPr="00C0654D" w14:paraId="06346ED9" w14:textId="77777777" w:rsidTr="00D85C58">
        <w:tc>
          <w:tcPr>
            <w:tcW w:w="1413" w:type="dxa"/>
            <w:shd w:val="clear" w:color="auto" w:fill="auto"/>
          </w:tcPr>
          <w:p w14:paraId="21BB5DCC"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p w14:paraId="2C0A1B2D" w14:textId="77777777" w:rsidR="002D6375" w:rsidRPr="00C0654D" w:rsidRDefault="002D6375" w:rsidP="00CA1BE0">
            <w:pPr>
              <w:autoSpaceDE w:val="0"/>
              <w:autoSpaceDN w:val="0"/>
              <w:adjustRightInd w:val="0"/>
              <w:jc w:val="both"/>
              <w:rPr>
                <w:sz w:val="22"/>
                <w:szCs w:val="22"/>
                <w:lang w:val="sr-Latn-ME" w:eastAsia="sr-Latn-CS"/>
              </w:rPr>
            </w:pPr>
            <w:r w:rsidRPr="00C0654D">
              <w:rPr>
                <w:sz w:val="22"/>
                <w:szCs w:val="22"/>
                <w:lang w:val="sr-Latn-ME"/>
              </w:rPr>
              <w:t>95% CI</w:t>
            </w:r>
          </w:p>
        </w:tc>
        <w:tc>
          <w:tcPr>
            <w:tcW w:w="2977" w:type="dxa"/>
            <w:shd w:val="clear" w:color="auto" w:fill="auto"/>
          </w:tcPr>
          <w:p w14:paraId="1AC14C71"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76%</w:t>
            </w:r>
          </w:p>
          <w:p w14:paraId="049E3C4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rPr>
              <w:t>69 - 84%</w:t>
            </w:r>
          </w:p>
        </w:tc>
        <w:tc>
          <w:tcPr>
            <w:tcW w:w="3066" w:type="dxa"/>
            <w:shd w:val="clear" w:color="auto" w:fill="auto"/>
          </w:tcPr>
          <w:p w14:paraId="457B569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 xml:space="preserve">84% </w:t>
            </w:r>
          </w:p>
          <w:p w14:paraId="27B5E727"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77 - 90%</w:t>
            </w:r>
          </w:p>
        </w:tc>
        <w:tc>
          <w:tcPr>
            <w:tcW w:w="2178" w:type="dxa"/>
            <w:shd w:val="clear" w:color="auto" w:fill="auto"/>
          </w:tcPr>
          <w:p w14:paraId="0871862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w:t>
            </w:r>
          </w:p>
        </w:tc>
      </w:tr>
      <w:tr w:rsidR="002D6375" w:rsidRPr="00C0654D" w14:paraId="55C94ECB" w14:textId="77777777" w:rsidTr="00D85C58">
        <w:tc>
          <w:tcPr>
            <w:tcW w:w="9634" w:type="dxa"/>
            <w:gridSpan w:val="4"/>
            <w:shd w:val="clear" w:color="auto" w:fill="auto"/>
          </w:tcPr>
          <w:p w14:paraId="248D24CB"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lastRenderedPageBreak/>
              <w:t>Medijana preživljavanja bez progresije bolesti</w:t>
            </w:r>
          </w:p>
        </w:tc>
      </w:tr>
      <w:tr w:rsidR="002D6375" w:rsidRPr="00C0654D" w14:paraId="3F3E3329" w14:textId="77777777" w:rsidTr="00D85C58">
        <w:tc>
          <w:tcPr>
            <w:tcW w:w="1413" w:type="dxa"/>
            <w:shd w:val="clear" w:color="auto" w:fill="auto"/>
          </w:tcPr>
          <w:p w14:paraId="26E0B3CA"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p w14:paraId="155E1165" w14:textId="77777777" w:rsidR="002D6375" w:rsidRPr="00C0654D" w:rsidRDefault="002D6375" w:rsidP="00CA1BE0">
            <w:pPr>
              <w:autoSpaceDE w:val="0"/>
              <w:autoSpaceDN w:val="0"/>
              <w:adjustRightInd w:val="0"/>
              <w:jc w:val="both"/>
              <w:rPr>
                <w:sz w:val="22"/>
                <w:szCs w:val="22"/>
                <w:lang w:val="sr-Latn-ME" w:eastAsia="sr-Latn-CS"/>
              </w:rPr>
            </w:pPr>
            <w:r w:rsidRPr="00C0654D">
              <w:rPr>
                <w:sz w:val="22"/>
                <w:szCs w:val="22"/>
                <w:lang w:val="sr-Latn-ME"/>
              </w:rPr>
              <w:t>95% CI</w:t>
            </w:r>
          </w:p>
        </w:tc>
        <w:tc>
          <w:tcPr>
            <w:tcW w:w="2977" w:type="dxa"/>
            <w:shd w:val="clear" w:color="auto" w:fill="auto"/>
          </w:tcPr>
          <w:p w14:paraId="54CE0E55"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10,4 mjeseci</w:t>
            </w:r>
          </w:p>
          <w:p w14:paraId="0008A707"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9,0 - 12,0</w:t>
            </w:r>
          </w:p>
        </w:tc>
        <w:tc>
          <w:tcPr>
            <w:tcW w:w="3066" w:type="dxa"/>
            <w:shd w:val="clear" w:color="auto" w:fill="auto"/>
          </w:tcPr>
          <w:p w14:paraId="66FC6A58"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12,1 mjeseci</w:t>
            </w:r>
          </w:p>
          <w:p w14:paraId="7C8891A6"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10,8 - 13,2</w:t>
            </w:r>
          </w:p>
        </w:tc>
        <w:tc>
          <w:tcPr>
            <w:tcW w:w="2178" w:type="dxa"/>
            <w:shd w:val="clear" w:color="auto" w:fill="auto"/>
          </w:tcPr>
          <w:p w14:paraId="1E48996C"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0,93</w:t>
            </w:r>
          </w:p>
          <w:p w14:paraId="6232917C"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0,82 - 1,07</w:t>
            </w:r>
          </w:p>
          <w:p w14:paraId="4904264D"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P=0,30</w:t>
            </w:r>
          </w:p>
        </w:tc>
      </w:tr>
      <w:tr w:rsidR="002D6375" w:rsidRPr="00C0654D" w14:paraId="6393AB37" w14:textId="77777777" w:rsidTr="00D85C58">
        <w:tc>
          <w:tcPr>
            <w:tcW w:w="9634" w:type="dxa"/>
            <w:gridSpan w:val="4"/>
            <w:shd w:val="clear" w:color="auto" w:fill="auto"/>
          </w:tcPr>
          <w:p w14:paraId="503D87E8"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t>Medijana ukupnog preživljavanja</w:t>
            </w:r>
          </w:p>
        </w:tc>
      </w:tr>
      <w:tr w:rsidR="002D6375" w:rsidRPr="00C0654D" w14:paraId="3AC1D1B9" w14:textId="77777777" w:rsidTr="00D85C58">
        <w:tc>
          <w:tcPr>
            <w:tcW w:w="1413" w:type="dxa"/>
            <w:shd w:val="clear" w:color="auto" w:fill="auto"/>
          </w:tcPr>
          <w:p w14:paraId="331C5850"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t>ITT</w:t>
            </w:r>
          </w:p>
          <w:p w14:paraId="6174CE27" w14:textId="77777777" w:rsidR="002D6375" w:rsidRPr="00C0654D" w:rsidRDefault="002D6375" w:rsidP="00CA1BE0">
            <w:pPr>
              <w:autoSpaceDE w:val="0"/>
              <w:autoSpaceDN w:val="0"/>
              <w:adjustRightInd w:val="0"/>
              <w:jc w:val="both"/>
              <w:rPr>
                <w:sz w:val="22"/>
                <w:szCs w:val="22"/>
                <w:lang w:val="sr-Latn-ME" w:eastAsia="sr-Latn-CS"/>
              </w:rPr>
            </w:pPr>
            <w:r w:rsidRPr="00C0654D">
              <w:rPr>
                <w:sz w:val="22"/>
                <w:szCs w:val="22"/>
                <w:lang w:val="sr-Latn-ME" w:eastAsia="sr-Latn-CS"/>
              </w:rPr>
              <w:t>95% CI</w:t>
            </w:r>
          </w:p>
        </w:tc>
        <w:tc>
          <w:tcPr>
            <w:tcW w:w="2977" w:type="dxa"/>
            <w:shd w:val="clear" w:color="auto" w:fill="auto"/>
          </w:tcPr>
          <w:p w14:paraId="591586E2"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24,4 mjeseci</w:t>
            </w:r>
          </w:p>
          <w:p w14:paraId="29E46857"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19,3 - 30,7</w:t>
            </w:r>
          </w:p>
        </w:tc>
        <w:tc>
          <w:tcPr>
            <w:tcW w:w="3066" w:type="dxa"/>
            <w:shd w:val="clear" w:color="auto" w:fill="auto"/>
          </w:tcPr>
          <w:p w14:paraId="3A839C16"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25,5 mjeseci</w:t>
            </w:r>
          </w:p>
          <w:p w14:paraId="6607C099"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21,0 - 31,0</w:t>
            </w:r>
          </w:p>
        </w:tc>
        <w:tc>
          <w:tcPr>
            <w:tcW w:w="2178" w:type="dxa"/>
            <w:shd w:val="clear" w:color="auto" w:fill="auto"/>
          </w:tcPr>
          <w:p w14:paraId="527487CB"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0,90</w:t>
            </w:r>
          </w:p>
          <w:p w14:paraId="5B8A6B42"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0,68 - 1,19</w:t>
            </w:r>
          </w:p>
          <w:p w14:paraId="6841AE1F"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P=0,45</w:t>
            </w:r>
          </w:p>
        </w:tc>
      </w:tr>
    </w:tbl>
    <w:p w14:paraId="389786B7" w14:textId="77777777" w:rsidR="002D6375" w:rsidRPr="00C0654D" w:rsidRDefault="002D6375" w:rsidP="00D85C58">
      <w:pPr>
        <w:autoSpaceDE w:val="0"/>
        <w:autoSpaceDN w:val="0"/>
        <w:adjustRightInd w:val="0"/>
        <w:jc w:val="both"/>
        <w:rPr>
          <w:sz w:val="22"/>
          <w:szCs w:val="22"/>
          <w:lang w:val="sr-Latn-ME" w:eastAsia="sr-Latn-CS"/>
        </w:rPr>
      </w:pPr>
    </w:p>
    <w:p w14:paraId="2817F286" w14:textId="77777777" w:rsidR="002D6375" w:rsidRPr="00813C2B" w:rsidRDefault="002D6375" w:rsidP="00CA1BE0">
      <w:pPr>
        <w:autoSpaceDE w:val="0"/>
        <w:autoSpaceDN w:val="0"/>
        <w:adjustRightInd w:val="0"/>
        <w:jc w:val="both"/>
        <w:rPr>
          <w:i/>
          <w:iCs/>
          <w:sz w:val="22"/>
          <w:szCs w:val="22"/>
          <w:u w:val="single"/>
          <w:lang w:val="sr-Latn-ME" w:eastAsia="sr-Latn-CS"/>
        </w:rPr>
      </w:pPr>
      <w:r w:rsidRPr="00813C2B">
        <w:rPr>
          <w:i/>
          <w:iCs/>
          <w:sz w:val="22"/>
          <w:szCs w:val="22"/>
          <w:u w:val="single"/>
          <w:lang w:val="sr-Latn-ME" w:eastAsia="sr-Latn-CS"/>
        </w:rPr>
        <w:t>Kombinovana terapija u drugoj liniji metastatskog kolorektalnog karcinoma</w:t>
      </w:r>
    </w:p>
    <w:p w14:paraId="39BFC291" w14:textId="45FD7D09"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jedne multicentri</w:t>
      </w:r>
      <w:r w:rsidRPr="00C0654D">
        <w:rPr>
          <w:rFonts w:eastAsia="TimesNewRoman"/>
          <w:sz w:val="22"/>
          <w:szCs w:val="22"/>
          <w:lang w:val="sr-Latn-ME" w:eastAsia="sr-Latn-CS"/>
        </w:rPr>
        <w:t>č</w:t>
      </w:r>
      <w:r w:rsidRPr="00C0654D">
        <w:rPr>
          <w:sz w:val="22"/>
          <w:szCs w:val="22"/>
          <w:lang w:val="sr-Latn-ME" w:eastAsia="sr-Latn-CS"/>
        </w:rPr>
        <w:t>ne, randomizovane kontrolisane studije faze III (NO16967) podržavaju primjenu kapecitabina u kombinaciji sa oksaliplatinom u drugoj liniji terapije metastatskog kolorektalnog karcinoma. U ovom ispitivanju, 627 pacijenata sa metastatskim kolorektalnim karcinomom koji su prethodno primali irinotekan u kombinaciji sa režimom sa fluoropirimidinom kao terapiju prvog reda randomizovani su da primaju XELOX ili FOLFOX-4. U Tabeli 6. prikazani su terapijski režimi XELOX i FOLFOX-4 (bez dodavanja placeba ili bevacizumaba). Pokazano je da XELOX nije inferiornija u odnosu na FOLFOX-4 u smislu preživljavanja bez progresije u populaciji po protokolu i u ITT populaciji (vidjeti Tabelu 9.). Rezultati pokazuju da je XELOX ekvivalentan terapiji FOLFOX-4 u smislu ukupnog preživljavanja (vidjeti Tabelu 9). Srednje pra</w:t>
      </w:r>
      <w:r w:rsidRPr="00C0654D">
        <w:rPr>
          <w:rFonts w:eastAsia="TimesNewRoman"/>
          <w:sz w:val="22"/>
          <w:szCs w:val="22"/>
          <w:lang w:val="sr-Latn-ME" w:eastAsia="sr-Latn-CS"/>
        </w:rPr>
        <w:t>ć</w:t>
      </w:r>
      <w:r w:rsidRPr="00C0654D">
        <w:rPr>
          <w:sz w:val="22"/>
          <w:szCs w:val="22"/>
          <w:lang w:val="sr-Latn-ME" w:eastAsia="sr-Latn-CS"/>
        </w:rPr>
        <w:t>enje u trenutku primarne analize u ITT populaciji iznosilo je 2,1 godinu. Podaci iz analiza poslije dodatnih 6 mjeseci pra</w:t>
      </w:r>
      <w:r w:rsidRPr="00C0654D">
        <w:rPr>
          <w:rFonts w:eastAsia="TimesNewRoman"/>
          <w:sz w:val="22"/>
          <w:szCs w:val="22"/>
          <w:lang w:val="sr-Latn-ME" w:eastAsia="sr-Latn-CS"/>
        </w:rPr>
        <w:t>ć</w:t>
      </w:r>
      <w:r w:rsidRPr="00C0654D">
        <w:rPr>
          <w:sz w:val="22"/>
          <w:szCs w:val="22"/>
          <w:lang w:val="sr-Latn-ME" w:eastAsia="sr-Latn-CS"/>
        </w:rPr>
        <w:t>enja uklju</w:t>
      </w:r>
      <w:r w:rsidRPr="00C0654D">
        <w:rPr>
          <w:rFonts w:eastAsia="TimesNewRoman"/>
          <w:sz w:val="22"/>
          <w:szCs w:val="22"/>
          <w:lang w:val="sr-Latn-ME" w:eastAsia="sr-Latn-CS"/>
        </w:rPr>
        <w:t>č</w:t>
      </w:r>
      <w:r w:rsidRPr="00C0654D">
        <w:rPr>
          <w:sz w:val="22"/>
          <w:szCs w:val="22"/>
          <w:lang w:val="sr-Latn-ME" w:eastAsia="sr-Latn-CS"/>
        </w:rPr>
        <w:t>eni su u Tabelu 9.</w:t>
      </w:r>
    </w:p>
    <w:p w14:paraId="0C97FDE2" w14:textId="77777777" w:rsidR="002D6375" w:rsidRPr="00C0654D" w:rsidRDefault="002D6375">
      <w:pPr>
        <w:autoSpaceDE w:val="0"/>
        <w:autoSpaceDN w:val="0"/>
        <w:adjustRightInd w:val="0"/>
        <w:jc w:val="both"/>
        <w:rPr>
          <w:sz w:val="22"/>
          <w:szCs w:val="22"/>
          <w:lang w:val="sr-Latn-ME" w:eastAsia="sr-Latn-CS"/>
        </w:rPr>
      </w:pPr>
    </w:p>
    <w:p w14:paraId="3DF38C56"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Tabela 9. Klju</w:t>
      </w:r>
      <w:r w:rsidRPr="00C0654D">
        <w:rPr>
          <w:rFonts w:eastAsia="TimesNewRoman"/>
          <w:sz w:val="22"/>
          <w:szCs w:val="22"/>
          <w:lang w:val="sr-Latn-ME" w:eastAsia="sr-Latn-CS"/>
        </w:rPr>
        <w:t>č</w:t>
      </w:r>
      <w:r w:rsidRPr="00C0654D">
        <w:rPr>
          <w:sz w:val="22"/>
          <w:szCs w:val="22"/>
          <w:lang w:val="sr-Latn-ME" w:eastAsia="sr-Latn-CS"/>
        </w:rPr>
        <w:t>ni rezultati efikasnosti u analizi neinferiornosti u studiji NO 16967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485"/>
        <w:gridCol w:w="2486"/>
        <w:gridCol w:w="2178"/>
      </w:tblGrid>
      <w:tr w:rsidR="002D6375" w:rsidRPr="00C0654D" w14:paraId="2B1B172A" w14:textId="77777777" w:rsidTr="00D85C58">
        <w:tc>
          <w:tcPr>
            <w:tcW w:w="9634" w:type="dxa"/>
            <w:gridSpan w:val="4"/>
          </w:tcPr>
          <w:p w14:paraId="435B92CA"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PRIMARNA ANALIZA</w:t>
            </w:r>
          </w:p>
        </w:tc>
      </w:tr>
      <w:tr w:rsidR="002D6375" w:rsidRPr="00C0654D" w14:paraId="0D3FFE7A" w14:textId="77777777" w:rsidTr="00D85C58">
        <w:tc>
          <w:tcPr>
            <w:tcW w:w="4970" w:type="dxa"/>
            <w:gridSpan w:val="2"/>
          </w:tcPr>
          <w:p w14:paraId="4954808C" w14:textId="77777777" w:rsidR="002D6375" w:rsidRPr="00C0654D" w:rsidRDefault="002D6375" w:rsidP="00D85C58">
            <w:pPr>
              <w:autoSpaceDE w:val="0"/>
              <w:autoSpaceDN w:val="0"/>
              <w:adjustRightInd w:val="0"/>
              <w:jc w:val="both"/>
              <w:rPr>
                <w:bCs/>
                <w:sz w:val="22"/>
                <w:szCs w:val="22"/>
                <w:lang w:val="sr-Latn-ME" w:eastAsia="sr-Latn-CS"/>
              </w:rPr>
            </w:pPr>
            <w:r w:rsidRPr="00C0654D">
              <w:rPr>
                <w:sz w:val="22"/>
                <w:szCs w:val="22"/>
                <w:lang w:val="sr-Latn-ME" w:eastAsia="sr-Latn-CS"/>
              </w:rPr>
              <w:t>XELOX</w:t>
            </w:r>
          </w:p>
          <w:p w14:paraId="49D44FFA" w14:textId="77777777" w:rsidR="002D6375" w:rsidRPr="00C0654D" w:rsidRDefault="002D6375" w:rsidP="00CA1BE0">
            <w:pPr>
              <w:autoSpaceDE w:val="0"/>
              <w:autoSpaceDN w:val="0"/>
              <w:adjustRightInd w:val="0"/>
              <w:jc w:val="both"/>
              <w:rPr>
                <w:b/>
                <w:bCs/>
                <w:sz w:val="22"/>
                <w:szCs w:val="22"/>
                <w:lang w:val="sr-Latn-ME" w:eastAsia="sr-Latn-CS"/>
              </w:rPr>
            </w:pPr>
            <w:r w:rsidRPr="00C0654D">
              <w:rPr>
                <w:bCs/>
                <w:sz w:val="22"/>
                <w:szCs w:val="22"/>
                <w:lang w:val="sr-Latn-ME" w:eastAsia="sr-Latn-CS"/>
              </w:rPr>
              <w:t>(PPP*: N=251; ITT**:N=313)</w:t>
            </w:r>
          </w:p>
        </w:tc>
        <w:tc>
          <w:tcPr>
            <w:tcW w:w="4664" w:type="dxa"/>
            <w:gridSpan w:val="2"/>
          </w:tcPr>
          <w:p w14:paraId="710D10D8" w14:textId="77777777" w:rsidR="002D6375" w:rsidRPr="00C0654D" w:rsidRDefault="002D6375">
            <w:pPr>
              <w:autoSpaceDE w:val="0"/>
              <w:autoSpaceDN w:val="0"/>
              <w:adjustRightInd w:val="0"/>
              <w:jc w:val="both"/>
              <w:rPr>
                <w:bCs/>
                <w:sz w:val="22"/>
                <w:szCs w:val="22"/>
                <w:lang w:val="sr-Latn-ME" w:eastAsia="sr-Latn-CS"/>
              </w:rPr>
            </w:pPr>
            <w:r w:rsidRPr="00C0654D">
              <w:rPr>
                <w:bCs/>
                <w:sz w:val="22"/>
                <w:szCs w:val="22"/>
                <w:lang w:val="sr-Latn-ME" w:eastAsia="sr-Latn-CS"/>
              </w:rPr>
              <w:t>FOLFOX-4</w:t>
            </w:r>
          </w:p>
          <w:p w14:paraId="1D4C254F" w14:textId="77777777" w:rsidR="002D6375" w:rsidRPr="00C0654D" w:rsidRDefault="002D6375">
            <w:pPr>
              <w:autoSpaceDE w:val="0"/>
              <w:autoSpaceDN w:val="0"/>
              <w:adjustRightInd w:val="0"/>
              <w:jc w:val="both"/>
              <w:rPr>
                <w:b/>
                <w:bCs/>
                <w:sz w:val="22"/>
                <w:szCs w:val="22"/>
                <w:lang w:val="sr-Latn-ME" w:eastAsia="sr-Latn-CS"/>
              </w:rPr>
            </w:pPr>
            <w:r w:rsidRPr="00C0654D">
              <w:rPr>
                <w:bCs/>
                <w:sz w:val="22"/>
                <w:szCs w:val="22"/>
                <w:lang w:val="sr-Latn-ME" w:eastAsia="sr-Latn-CS"/>
              </w:rPr>
              <w:t>(PPP*: N = 252; ITT**: N=314)</w:t>
            </w:r>
          </w:p>
        </w:tc>
      </w:tr>
      <w:tr w:rsidR="002D6375" w:rsidRPr="00C0654D" w14:paraId="237C7371" w14:textId="77777777" w:rsidTr="00D85C58">
        <w:tc>
          <w:tcPr>
            <w:tcW w:w="2485" w:type="dxa"/>
          </w:tcPr>
          <w:p w14:paraId="6B123954"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Populacija</w:t>
            </w:r>
          </w:p>
        </w:tc>
        <w:tc>
          <w:tcPr>
            <w:tcW w:w="4971" w:type="dxa"/>
            <w:gridSpan w:val="2"/>
          </w:tcPr>
          <w:p w14:paraId="352E2F65" w14:textId="77777777" w:rsidR="002D6375" w:rsidRPr="00C0654D" w:rsidRDefault="002D6375" w:rsidP="00CA1BE0">
            <w:pPr>
              <w:autoSpaceDE w:val="0"/>
              <w:autoSpaceDN w:val="0"/>
              <w:adjustRightInd w:val="0"/>
              <w:jc w:val="both"/>
              <w:rPr>
                <w:b/>
                <w:sz w:val="22"/>
                <w:szCs w:val="22"/>
                <w:lang w:val="sr-Latn-ME"/>
              </w:rPr>
            </w:pPr>
            <w:r w:rsidRPr="00C0654D">
              <w:rPr>
                <w:b/>
                <w:sz w:val="22"/>
                <w:szCs w:val="22"/>
                <w:lang w:val="sr-Latn-ME"/>
              </w:rPr>
              <w:t>Srednje vrijeme do događaja (u danima)</w:t>
            </w:r>
          </w:p>
        </w:tc>
        <w:tc>
          <w:tcPr>
            <w:tcW w:w="2178" w:type="dxa"/>
          </w:tcPr>
          <w:p w14:paraId="47DD147A"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Koeficijent rizika</w:t>
            </w:r>
          </w:p>
          <w:p w14:paraId="07675D8C"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 xml:space="preserve"> HR (95% CI)</w:t>
            </w:r>
          </w:p>
        </w:tc>
      </w:tr>
      <w:tr w:rsidR="002D6375" w:rsidRPr="00C0654D" w14:paraId="67853B15" w14:textId="77777777" w:rsidTr="00D85C58">
        <w:tc>
          <w:tcPr>
            <w:tcW w:w="9634" w:type="dxa"/>
            <w:gridSpan w:val="4"/>
          </w:tcPr>
          <w:p w14:paraId="786576A3"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Preživljavanje bez progresije</w:t>
            </w:r>
          </w:p>
        </w:tc>
      </w:tr>
      <w:tr w:rsidR="002D6375" w:rsidRPr="00C0654D" w14:paraId="646E18B2" w14:textId="77777777" w:rsidTr="00D85C58">
        <w:tc>
          <w:tcPr>
            <w:tcW w:w="2485" w:type="dxa"/>
          </w:tcPr>
          <w:p w14:paraId="7D3875CF"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PPP</w:t>
            </w:r>
          </w:p>
        </w:tc>
        <w:tc>
          <w:tcPr>
            <w:tcW w:w="2485" w:type="dxa"/>
          </w:tcPr>
          <w:p w14:paraId="7A0C7697"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154</w:t>
            </w:r>
          </w:p>
        </w:tc>
        <w:tc>
          <w:tcPr>
            <w:tcW w:w="2486" w:type="dxa"/>
          </w:tcPr>
          <w:p w14:paraId="4B2E6A61"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168</w:t>
            </w:r>
          </w:p>
        </w:tc>
        <w:tc>
          <w:tcPr>
            <w:tcW w:w="2178" w:type="dxa"/>
          </w:tcPr>
          <w:p w14:paraId="4EB3D7E4"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1,03 (0,87; 1,24)</w:t>
            </w:r>
          </w:p>
        </w:tc>
      </w:tr>
      <w:tr w:rsidR="002D6375" w:rsidRPr="00C0654D" w14:paraId="5AA48C03" w14:textId="77777777" w:rsidTr="00D85C58">
        <w:tc>
          <w:tcPr>
            <w:tcW w:w="2485" w:type="dxa"/>
          </w:tcPr>
          <w:p w14:paraId="6EB660D1"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65AD314D"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144</w:t>
            </w:r>
          </w:p>
        </w:tc>
        <w:tc>
          <w:tcPr>
            <w:tcW w:w="2486" w:type="dxa"/>
          </w:tcPr>
          <w:p w14:paraId="40494F15"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146</w:t>
            </w:r>
          </w:p>
        </w:tc>
        <w:tc>
          <w:tcPr>
            <w:tcW w:w="2178" w:type="dxa"/>
          </w:tcPr>
          <w:p w14:paraId="576BB8FC"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0,97 (0,83; 1,14)</w:t>
            </w:r>
          </w:p>
        </w:tc>
      </w:tr>
      <w:tr w:rsidR="002D6375" w:rsidRPr="00C0654D" w14:paraId="068CB997" w14:textId="77777777" w:rsidTr="00D85C58">
        <w:tc>
          <w:tcPr>
            <w:tcW w:w="9634" w:type="dxa"/>
            <w:gridSpan w:val="4"/>
          </w:tcPr>
          <w:p w14:paraId="759C4194"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Ukupno preživljavanje</w:t>
            </w:r>
          </w:p>
        </w:tc>
      </w:tr>
      <w:tr w:rsidR="002D6375" w:rsidRPr="00C0654D" w14:paraId="294631AD" w14:textId="77777777" w:rsidTr="00D85C58">
        <w:tc>
          <w:tcPr>
            <w:tcW w:w="2485" w:type="dxa"/>
          </w:tcPr>
          <w:p w14:paraId="5FB87BD8"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PPP</w:t>
            </w:r>
          </w:p>
        </w:tc>
        <w:tc>
          <w:tcPr>
            <w:tcW w:w="2485" w:type="dxa"/>
          </w:tcPr>
          <w:p w14:paraId="4373EAD4"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388</w:t>
            </w:r>
          </w:p>
        </w:tc>
        <w:tc>
          <w:tcPr>
            <w:tcW w:w="2486" w:type="dxa"/>
          </w:tcPr>
          <w:p w14:paraId="5104AD4B"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401</w:t>
            </w:r>
          </w:p>
        </w:tc>
        <w:tc>
          <w:tcPr>
            <w:tcW w:w="2178" w:type="dxa"/>
          </w:tcPr>
          <w:p w14:paraId="3B78EDC3"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1,07 (0,88; 1,31)</w:t>
            </w:r>
          </w:p>
        </w:tc>
      </w:tr>
      <w:tr w:rsidR="002D6375" w:rsidRPr="00C0654D" w14:paraId="199F159C" w14:textId="77777777" w:rsidTr="00D85C58">
        <w:tc>
          <w:tcPr>
            <w:tcW w:w="2485" w:type="dxa"/>
          </w:tcPr>
          <w:p w14:paraId="04EC798A"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7EFF65BE"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363</w:t>
            </w:r>
          </w:p>
        </w:tc>
        <w:tc>
          <w:tcPr>
            <w:tcW w:w="2486" w:type="dxa"/>
          </w:tcPr>
          <w:p w14:paraId="26EF1639"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382</w:t>
            </w:r>
          </w:p>
        </w:tc>
        <w:tc>
          <w:tcPr>
            <w:tcW w:w="2178" w:type="dxa"/>
          </w:tcPr>
          <w:p w14:paraId="3D344746"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1,03 (0,87; 1,23)</w:t>
            </w:r>
          </w:p>
        </w:tc>
      </w:tr>
      <w:tr w:rsidR="002D6375" w:rsidRPr="00C0654D" w14:paraId="0E127E88" w14:textId="77777777" w:rsidTr="00D85C58">
        <w:tc>
          <w:tcPr>
            <w:tcW w:w="9634" w:type="dxa"/>
            <w:gridSpan w:val="4"/>
          </w:tcPr>
          <w:p w14:paraId="070CB899"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DODATNIH 6 MJESECI PRAĆENJA</w:t>
            </w:r>
          </w:p>
        </w:tc>
      </w:tr>
      <w:tr w:rsidR="002D6375" w:rsidRPr="00C0654D" w14:paraId="0E44F3FF" w14:textId="77777777" w:rsidTr="00D85C58">
        <w:tc>
          <w:tcPr>
            <w:tcW w:w="2485" w:type="dxa"/>
          </w:tcPr>
          <w:p w14:paraId="768CDCAD"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Populacija</w:t>
            </w:r>
          </w:p>
        </w:tc>
        <w:tc>
          <w:tcPr>
            <w:tcW w:w="4971" w:type="dxa"/>
            <w:gridSpan w:val="2"/>
          </w:tcPr>
          <w:p w14:paraId="14FADEAC" w14:textId="77777777" w:rsidR="002D6375" w:rsidRPr="00C0654D" w:rsidRDefault="002D6375" w:rsidP="00CA1BE0">
            <w:pPr>
              <w:autoSpaceDE w:val="0"/>
              <w:autoSpaceDN w:val="0"/>
              <w:adjustRightInd w:val="0"/>
              <w:jc w:val="both"/>
              <w:rPr>
                <w:b/>
                <w:sz w:val="22"/>
                <w:szCs w:val="22"/>
                <w:lang w:val="sr-Latn-ME"/>
              </w:rPr>
            </w:pPr>
            <w:r w:rsidRPr="00C0654D">
              <w:rPr>
                <w:b/>
                <w:sz w:val="22"/>
                <w:szCs w:val="22"/>
                <w:lang w:val="sr-Latn-ME"/>
              </w:rPr>
              <w:t>Srednje vrijeme do događaja (u danima)</w:t>
            </w:r>
          </w:p>
        </w:tc>
        <w:tc>
          <w:tcPr>
            <w:tcW w:w="2178" w:type="dxa"/>
          </w:tcPr>
          <w:p w14:paraId="773D2FD8"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Koeficijent rizika</w:t>
            </w:r>
          </w:p>
          <w:p w14:paraId="016156A0" w14:textId="77777777" w:rsidR="002D6375" w:rsidRPr="00C0654D" w:rsidRDefault="002D6375">
            <w:pPr>
              <w:autoSpaceDE w:val="0"/>
              <w:autoSpaceDN w:val="0"/>
              <w:adjustRightInd w:val="0"/>
              <w:jc w:val="both"/>
              <w:rPr>
                <w:b/>
                <w:sz w:val="22"/>
                <w:szCs w:val="22"/>
                <w:lang w:val="sr-Latn-ME"/>
              </w:rPr>
            </w:pPr>
            <w:r w:rsidRPr="00C0654D">
              <w:rPr>
                <w:b/>
                <w:sz w:val="22"/>
                <w:szCs w:val="22"/>
                <w:lang w:val="sr-Latn-ME"/>
              </w:rPr>
              <w:t xml:space="preserve"> HR (95% CI)</w:t>
            </w:r>
          </w:p>
        </w:tc>
      </w:tr>
      <w:tr w:rsidR="002D6375" w:rsidRPr="00C0654D" w14:paraId="74969A0A" w14:textId="77777777" w:rsidTr="00D85C58">
        <w:tc>
          <w:tcPr>
            <w:tcW w:w="9634" w:type="dxa"/>
            <w:gridSpan w:val="4"/>
          </w:tcPr>
          <w:p w14:paraId="06513623"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Preživljavanje bez progresije</w:t>
            </w:r>
          </w:p>
        </w:tc>
      </w:tr>
      <w:tr w:rsidR="002D6375" w:rsidRPr="00C0654D" w14:paraId="431EF4AB" w14:textId="77777777" w:rsidTr="00D85C58">
        <w:tc>
          <w:tcPr>
            <w:tcW w:w="2485" w:type="dxa"/>
          </w:tcPr>
          <w:p w14:paraId="50A07877"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PPP</w:t>
            </w:r>
          </w:p>
        </w:tc>
        <w:tc>
          <w:tcPr>
            <w:tcW w:w="2485" w:type="dxa"/>
          </w:tcPr>
          <w:p w14:paraId="373A5502"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154</w:t>
            </w:r>
          </w:p>
        </w:tc>
        <w:tc>
          <w:tcPr>
            <w:tcW w:w="2486" w:type="dxa"/>
          </w:tcPr>
          <w:p w14:paraId="53DBF728"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166</w:t>
            </w:r>
          </w:p>
        </w:tc>
        <w:tc>
          <w:tcPr>
            <w:tcW w:w="2178" w:type="dxa"/>
          </w:tcPr>
          <w:p w14:paraId="38A593AC"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1,04 (0,87; 1,24)</w:t>
            </w:r>
          </w:p>
        </w:tc>
      </w:tr>
      <w:tr w:rsidR="002D6375" w:rsidRPr="00C0654D" w14:paraId="6C699D23" w14:textId="77777777" w:rsidTr="00D85C58">
        <w:tc>
          <w:tcPr>
            <w:tcW w:w="2485" w:type="dxa"/>
          </w:tcPr>
          <w:p w14:paraId="159D0D07"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45099544"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143</w:t>
            </w:r>
          </w:p>
        </w:tc>
        <w:tc>
          <w:tcPr>
            <w:tcW w:w="2486" w:type="dxa"/>
          </w:tcPr>
          <w:p w14:paraId="1BB035BC"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146</w:t>
            </w:r>
          </w:p>
        </w:tc>
        <w:tc>
          <w:tcPr>
            <w:tcW w:w="2178" w:type="dxa"/>
          </w:tcPr>
          <w:p w14:paraId="520A3394"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0,97 (0,83; 1,14)</w:t>
            </w:r>
          </w:p>
        </w:tc>
      </w:tr>
      <w:tr w:rsidR="002D6375" w:rsidRPr="00C0654D" w14:paraId="60FF325C" w14:textId="77777777" w:rsidTr="00D85C58">
        <w:tc>
          <w:tcPr>
            <w:tcW w:w="9634" w:type="dxa"/>
            <w:gridSpan w:val="4"/>
          </w:tcPr>
          <w:p w14:paraId="2ABE48E5" w14:textId="77777777" w:rsidR="002D6375" w:rsidRPr="00C0654D" w:rsidRDefault="002D6375" w:rsidP="00D85C58">
            <w:pPr>
              <w:autoSpaceDE w:val="0"/>
              <w:autoSpaceDN w:val="0"/>
              <w:adjustRightInd w:val="0"/>
              <w:jc w:val="both"/>
              <w:rPr>
                <w:b/>
                <w:sz w:val="22"/>
                <w:szCs w:val="22"/>
                <w:lang w:val="sr-Latn-ME"/>
              </w:rPr>
            </w:pPr>
            <w:r w:rsidRPr="00C0654D">
              <w:rPr>
                <w:b/>
                <w:sz w:val="22"/>
                <w:szCs w:val="22"/>
                <w:lang w:val="sr-Latn-ME"/>
              </w:rPr>
              <w:t>Parametar: Ukupno preživljavanje</w:t>
            </w:r>
          </w:p>
        </w:tc>
      </w:tr>
      <w:tr w:rsidR="002D6375" w:rsidRPr="00C0654D" w14:paraId="53FBC034" w14:textId="77777777" w:rsidTr="00D85C58">
        <w:tc>
          <w:tcPr>
            <w:tcW w:w="2485" w:type="dxa"/>
          </w:tcPr>
          <w:p w14:paraId="393BE3F7"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PPP</w:t>
            </w:r>
          </w:p>
        </w:tc>
        <w:tc>
          <w:tcPr>
            <w:tcW w:w="2485" w:type="dxa"/>
          </w:tcPr>
          <w:p w14:paraId="49A54DD3"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393</w:t>
            </w:r>
          </w:p>
        </w:tc>
        <w:tc>
          <w:tcPr>
            <w:tcW w:w="2486" w:type="dxa"/>
          </w:tcPr>
          <w:p w14:paraId="65A78259"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402</w:t>
            </w:r>
          </w:p>
        </w:tc>
        <w:tc>
          <w:tcPr>
            <w:tcW w:w="2178" w:type="dxa"/>
          </w:tcPr>
          <w:p w14:paraId="66408358"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1,05 (0,88; 1,27)</w:t>
            </w:r>
          </w:p>
        </w:tc>
      </w:tr>
      <w:tr w:rsidR="002D6375" w:rsidRPr="00C0654D" w14:paraId="42795A71" w14:textId="77777777" w:rsidTr="00D85C58">
        <w:tc>
          <w:tcPr>
            <w:tcW w:w="2485" w:type="dxa"/>
          </w:tcPr>
          <w:p w14:paraId="7C0960AE" w14:textId="77777777" w:rsidR="002D6375" w:rsidRPr="00C0654D" w:rsidRDefault="002D6375" w:rsidP="00D85C58">
            <w:pPr>
              <w:autoSpaceDE w:val="0"/>
              <w:autoSpaceDN w:val="0"/>
              <w:adjustRightInd w:val="0"/>
              <w:jc w:val="both"/>
              <w:rPr>
                <w:sz w:val="22"/>
                <w:szCs w:val="22"/>
                <w:lang w:val="sr-Latn-ME"/>
              </w:rPr>
            </w:pPr>
            <w:r w:rsidRPr="00C0654D">
              <w:rPr>
                <w:sz w:val="22"/>
                <w:szCs w:val="22"/>
                <w:lang w:val="sr-Latn-ME"/>
              </w:rPr>
              <w:t>ITT</w:t>
            </w:r>
          </w:p>
        </w:tc>
        <w:tc>
          <w:tcPr>
            <w:tcW w:w="2485" w:type="dxa"/>
          </w:tcPr>
          <w:p w14:paraId="0ECEF298" w14:textId="77777777" w:rsidR="002D6375" w:rsidRPr="00C0654D" w:rsidRDefault="002D6375" w:rsidP="00CA1BE0">
            <w:pPr>
              <w:autoSpaceDE w:val="0"/>
              <w:autoSpaceDN w:val="0"/>
              <w:adjustRightInd w:val="0"/>
              <w:jc w:val="both"/>
              <w:rPr>
                <w:sz w:val="22"/>
                <w:szCs w:val="22"/>
                <w:lang w:val="sr-Latn-ME"/>
              </w:rPr>
            </w:pPr>
            <w:r w:rsidRPr="00C0654D">
              <w:rPr>
                <w:sz w:val="22"/>
                <w:szCs w:val="22"/>
                <w:lang w:val="sr-Latn-ME"/>
              </w:rPr>
              <w:t>363</w:t>
            </w:r>
          </w:p>
        </w:tc>
        <w:tc>
          <w:tcPr>
            <w:tcW w:w="2486" w:type="dxa"/>
          </w:tcPr>
          <w:p w14:paraId="343D5C9A"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382</w:t>
            </w:r>
          </w:p>
        </w:tc>
        <w:tc>
          <w:tcPr>
            <w:tcW w:w="2178" w:type="dxa"/>
          </w:tcPr>
          <w:p w14:paraId="3116604E" w14:textId="77777777" w:rsidR="002D6375" w:rsidRPr="00C0654D" w:rsidRDefault="002D6375">
            <w:pPr>
              <w:autoSpaceDE w:val="0"/>
              <w:autoSpaceDN w:val="0"/>
              <w:adjustRightInd w:val="0"/>
              <w:jc w:val="both"/>
              <w:rPr>
                <w:sz w:val="22"/>
                <w:szCs w:val="22"/>
                <w:lang w:val="sr-Latn-ME"/>
              </w:rPr>
            </w:pPr>
            <w:r w:rsidRPr="00C0654D">
              <w:rPr>
                <w:sz w:val="22"/>
                <w:szCs w:val="22"/>
                <w:lang w:val="sr-Latn-ME"/>
              </w:rPr>
              <w:t>1,02 (0,86; 1,21)</w:t>
            </w:r>
          </w:p>
        </w:tc>
      </w:tr>
    </w:tbl>
    <w:p w14:paraId="448F6D2E" w14:textId="77777777" w:rsidR="002D6375" w:rsidRPr="00C0654D" w:rsidRDefault="002D6375" w:rsidP="00D85C58">
      <w:pPr>
        <w:autoSpaceDE w:val="0"/>
        <w:autoSpaceDN w:val="0"/>
        <w:adjustRightInd w:val="0"/>
        <w:jc w:val="both"/>
        <w:rPr>
          <w:sz w:val="22"/>
          <w:szCs w:val="22"/>
          <w:lang w:val="sr-Latn-ME" w:eastAsia="sr-Latn-CS"/>
        </w:rPr>
      </w:pPr>
      <w:r w:rsidRPr="00C0654D">
        <w:rPr>
          <w:sz w:val="22"/>
          <w:szCs w:val="22"/>
          <w:lang w:val="sr-Latn-ME" w:eastAsia="sr-Latn-CS"/>
        </w:rPr>
        <w:t xml:space="preserve">*PPP=populacija po protokolu; **ITT= pacijenti predviđeni za liječenje </w:t>
      </w:r>
    </w:p>
    <w:p w14:paraId="4D5C462B" w14:textId="77777777" w:rsidR="002D6375" w:rsidRPr="00C0654D" w:rsidRDefault="002D6375" w:rsidP="00CA1BE0">
      <w:pPr>
        <w:autoSpaceDE w:val="0"/>
        <w:autoSpaceDN w:val="0"/>
        <w:adjustRightInd w:val="0"/>
        <w:jc w:val="both"/>
        <w:rPr>
          <w:sz w:val="22"/>
          <w:szCs w:val="22"/>
          <w:lang w:val="sr-Latn-ME" w:eastAsia="sr-Latn-CS"/>
        </w:rPr>
      </w:pPr>
    </w:p>
    <w:p w14:paraId="67FCABE5" w14:textId="77777777" w:rsidR="002D6375" w:rsidRPr="00C0654D" w:rsidRDefault="002D6375">
      <w:pPr>
        <w:autoSpaceDE w:val="0"/>
        <w:autoSpaceDN w:val="0"/>
        <w:adjustRightInd w:val="0"/>
        <w:jc w:val="both"/>
        <w:rPr>
          <w:b/>
          <w:sz w:val="22"/>
          <w:szCs w:val="22"/>
          <w:lang w:val="sr-Latn-ME" w:eastAsia="sr-Latn-CS"/>
        </w:rPr>
      </w:pPr>
      <w:r w:rsidRPr="00C0654D">
        <w:rPr>
          <w:b/>
          <w:sz w:val="22"/>
          <w:szCs w:val="22"/>
          <w:lang w:val="sr-Latn-ME" w:eastAsia="sr-Latn-CS"/>
        </w:rPr>
        <w:t>Uznapredovali karcinom želuca</w:t>
      </w:r>
    </w:p>
    <w:p w14:paraId="635B6CF2" w14:textId="28B29B70"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jednog multicentri</w:t>
      </w:r>
      <w:r w:rsidRPr="00C0654D">
        <w:rPr>
          <w:rFonts w:eastAsia="TimesNewRoman"/>
          <w:sz w:val="22"/>
          <w:szCs w:val="22"/>
          <w:lang w:val="sr-Latn-ME" w:eastAsia="sr-Latn-CS"/>
        </w:rPr>
        <w:t>č</w:t>
      </w:r>
      <w:r w:rsidRPr="00C0654D">
        <w:rPr>
          <w:sz w:val="22"/>
          <w:szCs w:val="22"/>
          <w:lang w:val="sr-Latn-ME" w:eastAsia="sr-Latn-CS"/>
        </w:rPr>
        <w:t>nog, randomizovanog, kontrolisanog klini</w:t>
      </w:r>
      <w:r w:rsidRPr="00C0654D">
        <w:rPr>
          <w:rFonts w:eastAsia="TimesNewRoman"/>
          <w:sz w:val="22"/>
          <w:szCs w:val="22"/>
          <w:lang w:val="sr-Latn-ME" w:eastAsia="sr-Latn-CS"/>
        </w:rPr>
        <w:t>č</w:t>
      </w:r>
      <w:r w:rsidRPr="00C0654D">
        <w:rPr>
          <w:sz w:val="22"/>
          <w:szCs w:val="22"/>
          <w:lang w:val="sr-Latn-ME" w:eastAsia="sr-Latn-CS"/>
        </w:rPr>
        <w:t>kog ispitivanja treće faze kod pacijenata sa uznapredovalim karcinomom želuca podržavaju primjenu kapecitabina kao terapije prve linije uznapredovalog karcinoma želuca (ML17032). U ovom ispitivanju, 160 pacijenata je randomizovano da prima terapiju kapecitabin (1000 mg/m</w:t>
      </w:r>
      <w:r w:rsidRPr="00C0654D">
        <w:rPr>
          <w:sz w:val="22"/>
          <w:szCs w:val="22"/>
          <w:vertAlign w:val="superscript"/>
          <w:lang w:val="sr-Latn-ME" w:eastAsia="sr-Latn-CS"/>
        </w:rPr>
        <w:t xml:space="preserve">2 </w:t>
      </w:r>
      <w:r w:rsidRPr="00C0654D">
        <w:rPr>
          <w:sz w:val="22"/>
          <w:szCs w:val="22"/>
          <w:lang w:val="sr-Latn-ME" w:eastAsia="sr-Latn-CS"/>
        </w:rPr>
        <w:t xml:space="preserve">dva puta dnevno tokom 2 nedjelje, poslije </w:t>
      </w:r>
      <w:r w:rsidRPr="00C0654D">
        <w:rPr>
          <w:rFonts w:eastAsia="TimesNewRoman"/>
          <w:sz w:val="22"/>
          <w:szCs w:val="22"/>
          <w:lang w:val="sr-Latn-ME" w:eastAsia="sr-Latn-CS"/>
        </w:rPr>
        <w:t>č</w:t>
      </w:r>
      <w:r w:rsidRPr="00C0654D">
        <w:rPr>
          <w:sz w:val="22"/>
          <w:szCs w:val="22"/>
          <w:lang w:val="sr-Latn-ME" w:eastAsia="sr-Latn-CS"/>
        </w:rPr>
        <w:t>ega slijedi sedmodnevna pauza) i cisplatin (80 mg/m</w:t>
      </w:r>
      <w:r w:rsidRPr="00C0654D">
        <w:rPr>
          <w:sz w:val="22"/>
          <w:szCs w:val="22"/>
          <w:vertAlign w:val="superscript"/>
          <w:lang w:val="sr-Latn-ME" w:eastAsia="sr-Latn-CS"/>
        </w:rPr>
        <w:t>2</w:t>
      </w:r>
      <w:r w:rsidRPr="00C0654D">
        <w:rPr>
          <w:sz w:val="22"/>
          <w:szCs w:val="22"/>
          <w:lang w:val="sr-Latn-ME" w:eastAsia="sr-Latn-CS"/>
        </w:rPr>
        <w:t xml:space="preserve"> u vidu dvo</w:t>
      </w:r>
      <w:r w:rsidRPr="00C0654D">
        <w:rPr>
          <w:rFonts w:eastAsia="TimesNewRoman"/>
          <w:sz w:val="22"/>
          <w:szCs w:val="22"/>
          <w:lang w:val="sr-Latn-ME" w:eastAsia="sr-Latn-CS"/>
        </w:rPr>
        <w:t>č</w:t>
      </w:r>
      <w:r w:rsidRPr="00C0654D">
        <w:rPr>
          <w:sz w:val="22"/>
          <w:szCs w:val="22"/>
          <w:lang w:val="sr-Latn-ME" w:eastAsia="sr-Latn-CS"/>
        </w:rPr>
        <w:t>asovne infuzije svake tri nedjelje). Ukupno je 156 pacijenata randomizovano da prima terapiju 5-FU (800 mg/m</w:t>
      </w:r>
      <w:r w:rsidRPr="00C0654D">
        <w:rPr>
          <w:sz w:val="22"/>
          <w:szCs w:val="22"/>
          <w:vertAlign w:val="superscript"/>
          <w:lang w:val="sr-Latn-ME" w:eastAsia="sr-Latn-CS"/>
        </w:rPr>
        <w:t>2</w:t>
      </w:r>
      <w:r w:rsidRPr="00C0654D">
        <w:rPr>
          <w:sz w:val="22"/>
          <w:szCs w:val="22"/>
          <w:lang w:val="sr-Latn-ME" w:eastAsia="sr-Latn-CS"/>
        </w:rPr>
        <w:t xml:space="preserve"> dnevno, kontinuirana infuzija od prvog do petog dana svake tri nedjelje) i cisplatin (80 mg/m</w:t>
      </w:r>
      <w:r w:rsidRPr="00C0654D">
        <w:rPr>
          <w:sz w:val="22"/>
          <w:szCs w:val="22"/>
          <w:vertAlign w:val="superscript"/>
          <w:lang w:val="sr-Latn-ME" w:eastAsia="sr-Latn-CS"/>
        </w:rPr>
        <w:t>2</w:t>
      </w:r>
      <w:r w:rsidRPr="00C0654D">
        <w:rPr>
          <w:sz w:val="22"/>
          <w:szCs w:val="22"/>
          <w:lang w:val="sr-Latn-ME" w:eastAsia="sr-Latn-CS"/>
        </w:rPr>
        <w:t xml:space="preserve"> u vidu dvo</w:t>
      </w:r>
      <w:r w:rsidRPr="00C0654D">
        <w:rPr>
          <w:rFonts w:eastAsia="TimesNewRoman"/>
          <w:sz w:val="22"/>
          <w:szCs w:val="22"/>
          <w:lang w:val="sr-Latn-ME" w:eastAsia="sr-Latn-CS"/>
        </w:rPr>
        <w:t>č</w:t>
      </w:r>
      <w:r w:rsidRPr="00C0654D">
        <w:rPr>
          <w:sz w:val="22"/>
          <w:szCs w:val="22"/>
          <w:lang w:val="sr-Latn-ME" w:eastAsia="sr-Latn-CS"/>
        </w:rPr>
        <w:t>asovne infuzije prvog dana svake tri nedjelje). Kombinacija kapecitabin</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cisplatin nije bila inferiornija od kombinacije 5-FU</w:t>
      </w:r>
      <w:r w:rsidR="000D3B8C">
        <w:rPr>
          <w:sz w:val="22"/>
          <w:szCs w:val="22"/>
          <w:lang w:val="sr-Latn-ME" w:eastAsia="sr-Latn-CS"/>
        </w:rPr>
        <w:t xml:space="preserve"> </w:t>
      </w:r>
      <w:r w:rsidRPr="00C0654D">
        <w:rPr>
          <w:sz w:val="22"/>
          <w:szCs w:val="22"/>
          <w:lang w:val="sr-Latn-ME" w:eastAsia="sr-Latn-CS"/>
        </w:rPr>
        <w:t xml:space="preserve">+ cisplatin u smislu preživljavanja bez progresije bolesti u analizi po protokolu (koeficijent rizika 0,81; 95% CI 0,63-1,04). Srednje preživljavanje bez progresije bolesti iznosilo je 5,6 mjeseci </w:t>
      </w:r>
      <w:r w:rsidRPr="00C0654D">
        <w:rPr>
          <w:sz w:val="22"/>
          <w:szCs w:val="22"/>
          <w:lang w:val="sr-Latn-ME" w:eastAsia="sr-Latn-CS"/>
        </w:rPr>
        <w:lastRenderedPageBreak/>
        <w:t>(kapecitabin</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cisplatin) u pore</w:t>
      </w:r>
      <w:r w:rsidRPr="00C0654D">
        <w:rPr>
          <w:rFonts w:eastAsia="TimesNewRoman"/>
          <w:sz w:val="22"/>
          <w:szCs w:val="22"/>
          <w:lang w:val="sr-Latn-ME" w:eastAsia="sr-Latn-CS"/>
        </w:rPr>
        <w:t>đ</w:t>
      </w:r>
      <w:r w:rsidRPr="00C0654D">
        <w:rPr>
          <w:sz w:val="22"/>
          <w:szCs w:val="22"/>
          <w:lang w:val="sr-Latn-ME" w:eastAsia="sr-Latn-CS"/>
        </w:rPr>
        <w:t>enju sa 5,0 mjeseci (5-FU</w:t>
      </w:r>
      <w:r w:rsidR="000D3B8C">
        <w:rPr>
          <w:sz w:val="22"/>
          <w:szCs w:val="22"/>
          <w:lang w:val="sr-Latn-ME" w:eastAsia="sr-Latn-CS"/>
        </w:rPr>
        <w:t xml:space="preserve"> </w:t>
      </w:r>
      <w:r w:rsidRPr="00C0654D">
        <w:rPr>
          <w:sz w:val="22"/>
          <w:szCs w:val="22"/>
          <w:lang w:val="sr-Latn-ME" w:eastAsia="sr-Latn-CS"/>
        </w:rPr>
        <w:t>+ cisplatin). Koeficijent rizika za trajanje preživljavanja (ukupno preživljavanje) bio je sli</w:t>
      </w:r>
      <w:r w:rsidRPr="00C0654D">
        <w:rPr>
          <w:rFonts w:eastAsia="TimesNewRoman"/>
          <w:sz w:val="22"/>
          <w:szCs w:val="22"/>
          <w:lang w:val="sr-Latn-ME" w:eastAsia="sr-Latn-CS"/>
        </w:rPr>
        <w:t>č</w:t>
      </w:r>
      <w:r w:rsidRPr="00C0654D">
        <w:rPr>
          <w:sz w:val="22"/>
          <w:szCs w:val="22"/>
          <w:lang w:val="sr-Latn-ME" w:eastAsia="sr-Latn-CS"/>
        </w:rPr>
        <w:t>an koeficijentu rizika za preživljavanje bez progresije bolesti (koeficijent rizika 0,85; 95% CI 0,64-1,13). Srednje trajanje preživljavanja iznosilo je 10,5 mjeseci (kapecitabin</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cisplatin) u pore</w:t>
      </w:r>
      <w:r w:rsidRPr="00C0654D">
        <w:rPr>
          <w:rFonts w:eastAsia="TimesNewRoman"/>
          <w:sz w:val="22"/>
          <w:szCs w:val="22"/>
          <w:lang w:val="sr-Latn-ME" w:eastAsia="sr-Latn-CS"/>
        </w:rPr>
        <w:t>đ</w:t>
      </w:r>
      <w:r w:rsidRPr="00C0654D">
        <w:rPr>
          <w:sz w:val="22"/>
          <w:szCs w:val="22"/>
          <w:lang w:val="sr-Latn-ME" w:eastAsia="sr-Latn-CS"/>
        </w:rPr>
        <w:t>enju sa 9,3 mjeseca (5-FU</w:t>
      </w:r>
      <w:r w:rsidR="000D3B8C">
        <w:rPr>
          <w:sz w:val="22"/>
          <w:szCs w:val="22"/>
          <w:lang w:val="sr-Latn-ME" w:eastAsia="sr-Latn-CS"/>
        </w:rPr>
        <w:t xml:space="preserve"> </w:t>
      </w:r>
      <w:r w:rsidRPr="00C0654D">
        <w:rPr>
          <w:sz w:val="22"/>
          <w:szCs w:val="22"/>
          <w:lang w:val="sr-Latn-ME" w:eastAsia="sr-Latn-CS"/>
        </w:rPr>
        <w:t>+</w:t>
      </w:r>
      <w:r w:rsidR="000D3B8C">
        <w:rPr>
          <w:sz w:val="22"/>
          <w:szCs w:val="22"/>
          <w:lang w:val="sr-Latn-ME" w:eastAsia="sr-Latn-CS"/>
        </w:rPr>
        <w:t xml:space="preserve"> </w:t>
      </w:r>
      <w:r w:rsidRPr="00C0654D">
        <w:rPr>
          <w:sz w:val="22"/>
          <w:szCs w:val="22"/>
          <w:lang w:val="sr-Latn-ME" w:eastAsia="sr-Latn-CS"/>
        </w:rPr>
        <w:t>cisplatin).</w:t>
      </w:r>
    </w:p>
    <w:p w14:paraId="456F6A50" w14:textId="77777777" w:rsidR="002D6375" w:rsidRPr="00C0654D" w:rsidRDefault="002D6375">
      <w:pPr>
        <w:autoSpaceDE w:val="0"/>
        <w:autoSpaceDN w:val="0"/>
        <w:adjustRightInd w:val="0"/>
        <w:jc w:val="both"/>
        <w:rPr>
          <w:sz w:val="22"/>
          <w:szCs w:val="22"/>
          <w:lang w:val="sr-Latn-ME" w:eastAsia="sr-Latn-CS"/>
        </w:rPr>
      </w:pPr>
    </w:p>
    <w:p w14:paraId="5E4E5634"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jedne randomizovane, multicentri</w:t>
      </w:r>
      <w:r w:rsidRPr="00C0654D">
        <w:rPr>
          <w:rFonts w:eastAsia="TimesNewRoman"/>
          <w:sz w:val="22"/>
          <w:szCs w:val="22"/>
          <w:lang w:val="sr-Latn-ME" w:eastAsia="sr-Latn-CS"/>
        </w:rPr>
        <w:t>č</w:t>
      </w:r>
      <w:r w:rsidRPr="00C0654D">
        <w:rPr>
          <w:sz w:val="22"/>
          <w:szCs w:val="22"/>
          <w:lang w:val="sr-Latn-ME" w:eastAsia="sr-Latn-CS"/>
        </w:rPr>
        <w:t>ne studije treće faze u kojoj je upore</w:t>
      </w:r>
      <w:r w:rsidRPr="00C0654D">
        <w:rPr>
          <w:rFonts w:eastAsia="TimesNewRoman"/>
          <w:sz w:val="22"/>
          <w:szCs w:val="22"/>
          <w:lang w:val="sr-Latn-ME" w:eastAsia="sr-Latn-CS"/>
        </w:rPr>
        <w:t>đ</w:t>
      </w:r>
      <w:r w:rsidRPr="00C0654D">
        <w:rPr>
          <w:sz w:val="22"/>
          <w:szCs w:val="22"/>
          <w:lang w:val="sr-Latn-ME" w:eastAsia="sr-Latn-CS"/>
        </w:rPr>
        <w:t>en kapecitabin sa 5-FU i oksaliplatin sa cisplatinom kod pacijenata sa uznapredovalim karcinomom želuca podržavaju primjenu kapecitabina kao terapije prve linije uznapredovalog karcinoma želuca (REAL-2). U ovom ispitivanju, 1002 pacijenata je randomizovano u 2x2 faktorskom dizajnu u jednu od sljede</w:t>
      </w:r>
      <w:r w:rsidRPr="00C0654D">
        <w:rPr>
          <w:rFonts w:eastAsia="TimesNewRoman"/>
          <w:sz w:val="22"/>
          <w:szCs w:val="22"/>
          <w:lang w:val="sr-Latn-ME" w:eastAsia="sr-Latn-CS"/>
        </w:rPr>
        <w:t>ć</w:t>
      </w:r>
      <w:r w:rsidRPr="00C0654D">
        <w:rPr>
          <w:sz w:val="22"/>
          <w:szCs w:val="22"/>
          <w:lang w:val="sr-Latn-ME" w:eastAsia="sr-Latn-CS"/>
        </w:rPr>
        <w:t xml:space="preserve">e </w:t>
      </w:r>
      <w:r w:rsidRPr="00C0654D">
        <w:rPr>
          <w:rFonts w:eastAsia="TimesNewRoman"/>
          <w:sz w:val="22"/>
          <w:szCs w:val="22"/>
          <w:lang w:val="sr-Latn-ME" w:eastAsia="sr-Latn-CS"/>
        </w:rPr>
        <w:t>č</w:t>
      </w:r>
      <w:r w:rsidRPr="00C0654D">
        <w:rPr>
          <w:sz w:val="22"/>
          <w:szCs w:val="22"/>
          <w:lang w:val="sr-Latn-ME" w:eastAsia="sr-Latn-CS"/>
        </w:rPr>
        <w:t>etiri grupe:</w:t>
      </w:r>
    </w:p>
    <w:p w14:paraId="7E4DEC3E"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 ECF: epirubicin (50 mg/m</w:t>
      </w:r>
      <w:r w:rsidRPr="00C0654D">
        <w:rPr>
          <w:sz w:val="22"/>
          <w:szCs w:val="22"/>
          <w:vertAlign w:val="superscript"/>
          <w:lang w:val="sr-Latn-ME" w:eastAsia="sr-Latn-CS"/>
        </w:rPr>
        <w:t>2</w:t>
      </w:r>
      <w:r w:rsidRPr="00C0654D">
        <w:rPr>
          <w:sz w:val="22"/>
          <w:szCs w:val="22"/>
          <w:lang w:val="sr-Latn-ME" w:eastAsia="sr-Latn-CS"/>
        </w:rPr>
        <w:t xml:space="preserve"> kao bolus prvog dana svake 3 nedjelje), cisplatin (60 mg/m</w:t>
      </w:r>
      <w:r w:rsidRPr="00C0654D">
        <w:rPr>
          <w:sz w:val="22"/>
          <w:szCs w:val="22"/>
          <w:vertAlign w:val="superscript"/>
          <w:lang w:val="sr-Latn-ME" w:eastAsia="sr-Latn-CS"/>
        </w:rPr>
        <w:t>2</w:t>
      </w:r>
      <w:r w:rsidRPr="00C0654D">
        <w:rPr>
          <w:sz w:val="22"/>
          <w:szCs w:val="22"/>
          <w:lang w:val="sr-Latn-ME" w:eastAsia="sr-Latn-CS"/>
        </w:rPr>
        <w:t xml:space="preserve"> u vidu dvo</w:t>
      </w:r>
      <w:r w:rsidRPr="00C0654D">
        <w:rPr>
          <w:rFonts w:eastAsia="TimesNewRoman"/>
          <w:sz w:val="22"/>
          <w:szCs w:val="22"/>
          <w:lang w:val="sr-Latn-ME" w:eastAsia="sr-Latn-CS"/>
        </w:rPr>
        <w:t>č</w:t>
      </w:r>
      <w:r w:rsidRPr="00C0654D">
        <w:rPr>
          <w:sz w:val="22"/>
          <w:szCs w:val="22"/>
          <w:lang w:val="sr-Latn-ME" w:eastAsia="sr-Latn-CS"/>
        </w:rPr>
        <w:t>asovne infuzije prvog dana svake 3 nedjelje) i 5-FU (200 mg/m</w:t>
      </w:r>
      <w:r w:rsidRPr="00C0654D">
        <w:rPr>
          <w:sz w:val="22"/>
          <w:szCs w:val="22"/>
          <w:vertAlign w:val="superscript"/>
          <w:lang w:val="sr-Latn-ME" w:eastAsia="sr-Latn-CS"/>
        </w:rPr>
        <w:t xml:space="preserve">2 </w:t>
      </w:r>
      <w:r w:rsidRPr="00C0654D">
        <w:rPr>
          <w:sz w:val="22"/>
          <w:szCs w:val="22"/>
          <w:lang w:val="sr-Latn-ME" w:eastAsia="sr-Latn-CS"/>
        </w:rPr>
        <w:t xml:space="preserve">dnevno u kontinuiranoj infuziji preko centralne linije), </w:t>
      </w:r>
    </w:p>
    <w:p w14:paraId="0E6D012F"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 ECX: epirubicin (50 mg/m</w:t>
      </w:r>
      <w:r w:rsidRPr="00C0654D">
        <w:rPr>
          <w:sz w:val="22"/>
          <w:szCs w:val="22"/>
          <w:vertAlign w:val="superscript"/>
          <w:lang w:val="sr-Latn-ME" w:eastAsia="sr-Latn-CS"/>
        </w:rPr>
        <w:t>2</w:t>
      </w:r>
      <w:r w:rsidRPr="00C0654D">
        <w:rPr>
          <w:sz w:val="22"/>
          <w:szCs w:val="22"/>
          <w:lang w:val="sr-Latn-ME" w:eastAsia="sr-Latn-CS"/>
        </w:rPr>
        <w:t xml:space="preserve"> kao bolus prvog dana svake 3 nedjelje), cisplatin (60 mg/m</w:t>
      </w:r>
      <w:r w:rsidRPr="00C0654D">
        <w:rPr>
          <w:sz w:val="22"/>
          <w:szCs w:val="22"/>
          <w:vertAlign w:val="superscript"/>
          <w:lang w:val="sr-Latn-ME" w:eastAsia="sr-Latn-CS"/>
        </w:rPr>
        <w:t xml:space="preserve">2 </w:t>
      </w:r>
      <w:r w:rsidRPr="00C0654D">
        <w:rPr>
          <w:sz w:val="22"/>
          <w:szCs w:val="22"/>
          <w:lang w:val="sr-Latn-ME" w:eastAsia="sr-Latn-CS"/>
        </w:rPr>
        <w:t>u vidu dvo</w:t>
      </w:r>
      <w:r w:rsidRPr="00C0654D">
        <w:rPr>
          <w:rFonts w:eastAsia="TimesNewRoman"/>
          <w:sz w:val="22"/>
          <w:szCs w:val="22"/>
          <w:lang w:val="sr-Latn-ME" w:eastAsia="sr-Latn-CS"/>
        </w:rPr>
        <w:t>č</w:t>
      </w:r>
      <w:r w:rsidRPr="00C0654D">
        <w:rPr>
          <w:sz w:val="22"/>
          <w:szCs w:val="22"/>
          <w:lang w:val="sr-Latn-ME" w:eastAsia="sr-Latn-CS"/>
        </w:rPr>
        <w:t>asovne infuzije prvog dana svake 3 nedjelje) i kapecitabin (625 mg/m</w:t>
      </w:r>
      <w:r w:rsidRPr="00C0654D">
        <w:rPr>
          <w:sz w:val="22"/>
          <w:szCs w:val="22"/>
          <w:vertAlign w:val="superscript"/>
          <w:lang w:val="sr-Latn-ME" w:eastAsia="sr-Latn-CS"/>
        </w:rPr>
        <w:t>2</w:t>
      </w:r>
      <w:r w:rsidRPr="00C0654D">
        <w:rPr>
          <w:sz w:val="22"/>
          <w:szCs w:val="22"/>
          <w:lang w:val="sr-Latn-ME" w:eastAsia="sr-Latn-CS"/>
        </w:rPr>
        <w:t xml:space="preserve"> dva puta dnevno, kontinuirano); </w:t>
      </w:r>
    </w:p>
    <w:p w14:paraId="06D328E4"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-EOF: epirubicin (50 mg/m</w:t>
      </w:r>
      <w:r w:rsidRPr="00C0654D">
        <w:rPr>
          <w:sz w:val="22"/>
          <w:szCs w:val="22"/>
          <w:vertAlign w:val="superscript"/>
          <w:lang w:val="sr-Latn-ME" w:eastAsia="sr-Latn-CS"/>
        </w:rPr>
        <w:t>2</w:t>
      </w:r>
      <w:r w:rsidRPr="00C0654D">
        <w:rPr>
          <w:sz w:val="22"/>
          <w:szCs w:val="22"/>
          <w:lang w:val="sr-Latn-ME" w:eastAsia="sr-Latn-CS"/>
        </w:rPr>
        <w:t xml:space="preserve"> kao bolus prvog dana svake 3 nedjelje), oksaliplatin (130 mg/m</w:t>
      </w:r>
      <w:r w:rsidRPr="00C0654D">
        <w:rPr>
          <w:sz w:val="22"/>
          <w:szCs w:val="22"/>
          <w:vertAlign w:val="superscript"/>
          <w:lang w:val="sr-Latn-ME" w:eastAsia="sr-Latn-CS"/>
        </w:rPr>
        <w:t>2</w:t>
      </w:r>
      <w:r w:rsidRPr="00C0654D">
        <w:rPr>
          <w:sz w:val="22"/>
          <w:szCs w:val="22"/>
          <w:lang w:val="sr-Latn-ME" w:eastAsia="sr-Latn-CS"/>
        </w:rPr>
        <w:t xml:space="preserve"> u vidu dvo</w:t>
      </w:r>
      <w:r w:rsidRPr="00C0654D">
        <w:rPr>
          <w:rFonts w:eastAsia="TimesNewRoman"/>
          <w:sz w:val="22"/>
          <w:szCs w:val="22"/>
          <w:lang w:val="sr-Latn-ME" w:eastAsia="sr-Latn-CS"/>
        </w:rPr>
        <w:t>č</w:t>
      </w:r>
      <w:r w:rsidRPr="00C0654D">
        <w:rPr>
          <w:sz w:val="22"/>
          <w:szCs w:val="22"/>
          <w:lang w:val="sr-Latn-ME" w:eastAsia="sr-Latn-CS"/>
        </w:rPr>
        <w:t>asovne infuzije prvog dana svake 3 nedjelje) i 5-FU (200 mg/m</w:t>
      </w:r>
      <w:r w:rsidRPr="00C0654D">
        <w:rPr>
          <w:sz w:val="22"/>
          <w:szCs w:val="22"/>
          <w:vertAlign w:val="superscript"/>
          <w:lang w:val="sr-Latn-ME" w:eastAsia="sr-Latn-CS"/>
        </w:rPr>
        <w:t>2</w:t>
      </w:r>
      <w:r w:rsidRPr="00C0654D">
        <w:rPr>
          <w:sz w:val="22"/>
          <w:szCs w:val="22"/>
          <w:lang w:val="sr-Latn-ME" w:eastAsia="sr-Latn-CS"/>
        </w:rPr>
        <w:t xml:space="preserve"> dnevno u kontinuiranoj infuziji preko centralne linije),</w:t>
      </w:r>
    </w:p>
    <w:p w14:paraId="6DD46ADF"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 EOX: epirubicin (50 mg/m</w:t>
      </w:r>
      <w:r w:rsidRPr="00C0654D">
        <w:rPr>
          <w:sz w:val="22"/>
          <w:szCs w:val="22"/>
          <w:vertAlign w:val="superscript"/>
          <w:lang w:val="sr-Latn-ME" w:eastAsia="sr-Latn-CS"/>
        </w:rPr>
        <w:t>2</w:t>
      </w:r>
      <w:r w:rsidRPr="00C0654D">
        <w:rPr>
          <w:sz w:val="22"/>
          <w:szCs w:val="22"/>
          <w:lang w:val="sr-Latn-ME" w:eastAsia="sr-Latn-CS"/>
        </w:rPr>
        <w:t xml:space="preserve"> kao bolus prvog dana svake 3 nedjelje), oksaliplatin (130 mg/m</w:t>
      </w:r>
      <w:r w:rsidRPr="00C0654D">
        <w:rPr>
          <w:sz w:val="22"/>
          <w:szCs w:val="22"/>
          <w:vertAlign w:val="superscript"/>
          <w:lang w:val="sr-Latn-ME" w:eastAsia="sr-Latn-CS"/>
        </w:rPr>
        <w:t>2</w:t>
      </w:r>
      <w:r w:rsidRPr="00C0654D">
        <w:rPr>
          <w:sz w:val="22"/>
          <w:szCs w:val="22"/>
          <w:lang w:val="sr-Latn-ME" w:eastAsia="sr-Latn-CS"/>
        </w:rPr>
        <w:t xml:space="preserve"> u vidu dvo</w:t>
      </w:r>
      <w:r w:rsidRPr="00C0654D">
        <w:rPr>
          <w:rFonts w:eastAsia="TimesNewRoman"/>
          <w:sz w:val="22"/>
          <w:szCs w:val="22"/>
          <w:lang w:val="sr-Latn-ME" w:eastAsia="sr-Latn-CS"/>
        </w:rPr>
        <w:t>č</w:t>
      </w:r>
      <w:r w:rsidRPr="00C0654D">
        <w:rPr>
          <w:sz w:val="22"/>
          <w:szCs w:val="22"/>
          <w:lang w:val="sr-Latn-ME" w:eastAsia="sr-Latn-CS"/>
        </w:rPr>
        <w:t>asovne infuzije prvog dana svake 3 nedjelje) i kapecitabin (625 mg/m</w:t>
      </w:r>
      <w:r w:rsidRPr="00C0654D">
        <w:rPr>
          <w:sz w:val="22"/>
          <w:szCs w:val="22"/>
          <w:vertAlign w:val="superscript"/>
          <w:lang w:val="sr-Latn-ME" w:eastAsia="sr-Latn-CS"/>
        </w:rPr>
        <w:t>2</w:t>
      </w:r>
      <w:r w:rsidRPr="00C0654D">
        <w:rPr>
          <w:sz w:val="22"/>
          <w:szCs w:val="22"/>
          <w:lang w:val="sr-Latn-ME" w:eastAsia="sr-Latn-CS"/>
        </w:rPr>
        <w:t xml:space="preserve"> dva puta dnevno, kontinuirano).</w:t>
      </w:r>
    </w:p>
    <w:p w14:paraId="0914E81F" w14:textId="77777777" w:rsidR="002D6375" w:rsidRPr="00C0654D" w:rsidRDefault="002D6375">
      <w:pPr>
        <w:autoSpaceDE w:val="0"/>
        <w:autoSpaceDN w:val="0"/>
        <w:adjustRightInd w:val="0"/>
        <w:jc w:val="both"/>
        <w:rPr>
          <w:sz w:val="22"/>
          <w:szCs w:val="22"/>
          <w:lang w:val="sr-Latn-ME" w:eastAsia="sr-Latn-CS"/>
        </w:rPr>
      </w:pPr>
    </w:p>
    <w:p w14:paraId="0219B187"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Primarne analize efikasnosti u populaciji po protokolu pokazale su da u ukupnom preživljavanju nijesu inferiorniji režimi bazirani na kapecitabinu u pore</w:t>
      </w:r>
      <w:r w:rsidRPr="00C0654D">
        <w:rPr>
          <w:rFonts w:eastAsia="TimesNewRoman"/>
          <w:sz w:val="22"/>
          <w:szCs w:val="22"/>
          <w:lang w:val="sr-Latn-ME" w:eastAsia="sr-Latn-CS"/>
        </w:rPr>
        <w:t>đ</w:t>
      </w:r>
      <w:r w:rsidRPr="00C0654D">
        <w:rPr>
          <w:sz w:val="22"/>
          <w:szCs w:val="22"/>
          <w:lang w:val="sr-Latn-ME" w:eastAsia="sr-Latn-CS"/>
        </w:rPr>
        <w:t>enju sa 5-FU (koeficijent rizika 0,86; 95% CI 0,8 -0,99), kao ni režimi bazirani na oksaliplatinu u pore</w:t>
      </w:r>
      <w:r w:rsidRPr="00C0654D">
        <w:rPr>
          <w:rFonts w:eastAsia="TimesNewRoman"/>
          <w:sz w:val="22"/>
          <w:szCs w:val="22"/>
          <w:lang w:val="sr-Latn-ME" w:eastAsia="sr-Latn-CS"/>
        </w:rPr>
        <w:t>đ</w:t>
      </w:r>
      <w:r w:rsidRPr="00C0654D">
        <w:rPr>
          <w:sz w:val="22"/>
          <w:szCs w:val="22"/>
          <w:lang w:val="sr-Latn-ME" w:eastAsia="sr-Latn-CS"/>
        </w:rPr>
        <w:t>enju sa cisplatinom (koeficijent rizika 0,92; 95% CI 0,80 -1,1). Srednje ukupno preživljavanje iznosilo je 10,9 mjeseci u režimima baziranim na kapecitabinu, a 9,6 mjeseci u režimima baziranim na 5-FU. Srednje ukupno preživljavanje iznosilo je 10,0 mjeseci u režimima baziranim na cisplatinu, a 10,4 mjeseci u režimima baziranim na oksaliplatinu.</w:t>
      </w:r>
    </w:p>
    <w:p w14:paraId="2EBC275D"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Kapecitabin je koriš</w:t>
      </w:r>
      <w:r w:rsidRPr="00C0654D">
        <w:rPr>
          <w:rFonts w:eastAsia="TimesNewRoman"/>
          <w:sz w:val="22"/>
          <w:szCs w:val="22"/>
          <w:lang w:val="sr-Latn-ME" w:eastAsia="sr-Latn-CS"/>
        </w:rPr>
        <w:t>ć</w:t>
      </w:r>
      <w:r w:rsidRPr="00C0654D">
        <w:rPr>
          <w:sz w:val="22"/>
          <w:szCs w:val="22"/>
          <w:lang w:val="sr-Latn-ME" w:eastAsia="sr-Latn-CS"/>
        </w:rPr>
        <w:t>en i u kombinaciji sa oksaliplatinom za lije</w:t>
      </w:r>
      <w:r w:rsidRPr="00C0654D">
        <w:rPr>
          <w:rFonts w:eastAsia="TimesNewRoman"/>
          <w:sz w:val="22"/>
          <w:szCs w:val="22"/>
          <w:lang w:val="sr-Latn-ME" w:eastAsia="sr-Latn-CS"/>
        </w:rPr>
        <w:t>č</w:t>
      </w:r>
      <w:r w:rsidRPr="00C0654D">
        <w:rPr>
          <w:sz w:val="22"/>
          <w:szCs w:val="22"/>
          <w:lang w:val="sr-Latn-ME" w:eastAsia="sr-Latn-CS"/>
        </w:rPr>
        <w:t>enje uznapredovalog karcinoma želuca. Studije sa kapecitabin monoterapijom ukazuju na to da kapecitabin ima dejstvo kod uznapredovalog karcinoma želuca.</w:t>
      </w:r>
    </w:p>
    <w:p w14:paraId="033EF1C9" w14:textId="77777777" w:rsidR="002D6375" w:rsidRPr="00C0654D" w:rsidRDefault="002D6375">
      <w:pPr>
        <w:autoSpaceDE w:val="0"/>
        <w:autoSpaceDN w:val="0"/>
        <w:adjustRightInd w:val="0"/>
        <w:jc w:val="both"/>
        <w:rPr>
          <w:sz w:val="22"/>
          <w:szCs w:val="22"/>
          <w:lang w:val="sr-Latn-ME" w:eastAsia="sr-Latn-CS"/>
        </w:rPr>
      </w:pPr>
    </w:p>
    <w:p w14:paraId="20CE4BB7" w14:textId="77777777" w:rsidR="002D6375" w:rsidRPr="00C0654D" w:rsidRDefault="002D6375">
      <w:pPr>
        <w:autoSpaceDE w:val="0"/>
        <w:autoSpaceDN w:val="0"/>
        <w:adjustRightInd w:val="0"/>
        <w:jc w:val="both"/>
        <w:rPr>
          <w:b/>
          <w:sz w:val="22"/>
          <w:szCs w:val="22"/>
          <w:u w:val="single"/>
          <w:lang w:val="sr-Latn-ME" w:eastAsia="sr-Latn-CS"/>
        </w:rPr>
      </w:pPr>
      <w:r w:rsidRPr="00C0654D">
        <w:rPr>
          <w:b/>
          <w:sz w:val="22"/>
          <w:szCs w:val="22"/>
          <w:lang w:val="sr-Latn-ME" w:eastAsia="sr-Latn-CS"/>
        </w:rPr>
        <w:t>Karcinom kolona, kolorektalni karcinom i uznapredovali karcinom želuca: meta-analiza</w:t>
      </w:r>
      <w:r w:rsidRPr="00C0654D">
        <w:rPr>
          <w:b/>
          <w:sz w:val="22"/>
          <w:szCs w:val="22"/>
          <w:u w:val="single"/>
          <w:lang w:val="sr-Latn-ME" w:eastAsia="sr-Latn-CS"/>
        </w:rPr>
        <w:t xml:space="preserve"> </w:t>
      </w:r>
    </w:p>
    <w:p w14:paraId="253B7EF4"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 xml:space="preserve">Jedna meta-analiza šest kliničkih ispitivanja (studije SO14695, SO14796, M66001, NO16966, NO16967, M17032) podržava zamjenu 5-FU kapecitabinom u monoterapiji i  kombinovanoj terapiji gastrointestinalnih karcinoma. Ova objedinjena analiza uključuje 3097 pacijenata koji su primali režime koji sadrže kapecitabin  i 3074 pacijenata koji su primali režime koji sadrže  5-FU. Srednje ukupno vrijeme preživljavanja  iznosilo je 703 dana (95% CI: 671; 745) kod pacijenata koji su primali režime koji sadrže kapecitabin , odnosno  683 dana (95% CI: 646; 715) kod pacijenata koji su primali režime koji sadrže 5-FU. Koeficijent rizika za ukupno preživljavanje iznosio je  0,94 (95% CI: 0,89; 1,00, p=0,0489), što govori da su režimi koji sadrže kapecitabin superiorni u odnosu na one koji sadrže 5-FU. </w:t>
      </w:r>
    </w:p>
    <w:p w14:paraId="76822E74" w14:textId="77777777" w:rsidR="002D6375" w:rsidRPr="00C0654D" w:rsidRDefault="002D6375">
      <w:pPr>
        <w:autoSpaceDE w:val="0"/>
        <w:autoSpaceDN w:val="0"/>
        <w:adjustRightInd w:val="0"/>
        <w:jc w:val="both"/>
        <w:rPr>
          <w:sz w:val="22"/>
          <w:szCs w:val="22"/>
          <w:lang w:val="sr-Latn-ME" w:eastAsia="sr-Latn-CS"/>
        </w:rPr>
      </w:pPr>
    </w:p>
    <w:p w14:paraId="7B3D13D8" w14:textId="77777777" w:rsidR="002D6375" w:rsidRPr="00C0654D" w:rsidRDefault="002D6375">
      <w:pPr>
        <w:autoSpaceDE w:val="0"/>
        <w:autoSpaceDN w:val="0"/>
        <w:adjustRightInd w:val="0"/>
        <w:jc w:val="both"/>
        <w:rPr>
          <w:b/>
          <w:sz w:val="22"/>
          <w:szCs w:val="22"/>
          <w:lang w:val="sr-Latn-ME" w:eastAsia="sr-Latn-CS"/>
        </w:rPr>
      </w:pPr>
      <w:r w:rsidRPr="00C0654D">
        <w:rPr>
          <w:b/>
          <w:sz w:val="22"/>
          <w:szCs w:val="22"/>
          <w:lang w:val="sr-Latn-ME" w:eastAsia="sr-Latn-CS"/>
        </w:rPr>
        <w:t>Karcinom dojke:</w:t>
      </w:r>
    </w:p>
    <w:p w14:paraId="712F4179" w14:textId="77777777" w:rsidR="002D6375" w:rsidRPr="00C0654D" w:rsidRDefault="002D6375">
      <w:pPr>
        <w:autoSpaceDE w:val="0"/>
        <w:autoSpaceDN w:val="0"/>
        <w:adjustRightInd w:val="0"/>
        <w:jc w:val="both"/>
        <w:rPr>
          <w:i/>
          <w:sz w:val="22"/>
          <w:szCs w:val="22"/>
          <w:lang w:val="sr-Latn-ME" w:eastAsia="sr-Latn-CS"/>
        </w:rPr>
      </w:pPr>
      <w:r w:rsidRPr="00C0654D">
        <w:rPr>
          <w:i/>
          <w:sz w:val="22"/>
          <w:szCs w:val="22"/>
          <w:lang w:val="sr-Latn-ME" w:eastAsia="sr-Latn-CS"/>
        </w:rPr>
        <w:t xml:space="preserve">Kombinovana terapija kapecitabinom i docetakselom kod lokalno uznapredovalog ili metastatskog karcinoma dojke </w:t>
      </w:r>
    </w:p>
    <w:p w14:paraId="3CEFB079" w14:textId="6701D101"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jedne multicentrične, randomizovane, kontrolisane kliničke studije faze III podržavaju primjenu kapecitabina u kombinaciji sa docetakselom za liječenje pacijenata sa lokalno uznapredovalim ili metastatskim karcinomom dojke nakon neuspjeha citotoksične hemoterapije, uključujući antraciklin. U ovom ispitivanju, 255 pacijenata je randomizovano da prima kapecitabin (1250 mg/m</w:t>
      </w:r>
      <w:r w:rsidRPr="00C0654D">
        <w:rPr>
          <w:sz w:val="22"/>
          <w:szCs w:val="22"/>
          <w:vertAlign w:val="superscript"/>
          <w:lang w:val="sr-Latn-ME" w:eastAsia="sr-Latn-CS"/>
        </w:rPr>
        <w:t>2</w:t>
      </w:r>
      <w:r w:rsidRPr="00C0654D">
        <w:rPr>
          <w:sz w:val="22"/>
          <w:szCs w:val="22"/>
          <w:lang w:val="sr-Latn-ME" w:eastAsia="sr-Latn-CS"/>
        </w:rPr>
        <w:t xml:space="preserve"> dva puta dnevno u trajanju od dvije nedjelje, poslije čega slijedi jednonedjeljna pauza i docetaksel 75 mg/m</w:t>
      </w:r>
      <w:r w:rsidRPr="00C0654D">
        <w:rPr>
          <w:sz w:val="22"/>
          <w:szCs w:val="22"/>
          <w:vertAlign w:val="superscript"/>
          <w:lang w:val="sr-Latn-ME" w:eastAsia="sr-Latn-CS"/>
        </w:rPr>
        <w:t>2</w:t>
      </w:r>
      <w:r w:rsidRPr="00C0654D">
        <w:rPr>
          <w:sz w:val="22"/>
          <w:szCs w:val="22"/>
          <w:lang w:val="sr-Latn-ME" w:eastAsia="sr-Latn-CS"/>
        </w:rPr>
        <w:t xml:space="preserve"> kao jednočasovna intravenska infuzija svake tri nedjelje), a 256 pacijenata je randomizovano da prima samo docetaksel (100 mg/m</w:t>
      </w:r>
      <w:r w:rsidRPr="00C0654D">
        <w:rPr>
          <w:sz w:val="22"/>
          <w:szCs w:val="22"/>
          <w:vertAlign w:val="superscript"/>
          <w:lang w:val="sr-Latn-ME" w:eastAsia="sr-Latn-CS"/>
        </w:rPr>
        <w:t>2</w:t>
      </w:r>
      <w:r w:rsidRPr="00C0654D">
        <w:rPr>
          <w:sz w:val="22"/>
          <w:szCs w:val="22"/>
          <w:lang w:val="sr-Latn-ME" w:eastAsia="sr-Latn-CS"/>
        </w:rPr>
        <w:t xml:space="preserve"> kao jednočasovnu intravensku infuziju svake tri nedjelje). Preživljavanje je superiornije u grupi koja je primala kombinaciju kapecitabin</w:t>
      </w:r>
      <w:r w:rsidR="0029648E">
        <w:rPr>
          <w:sz w:val="22"/>
          <w:szCs w:val="22"/>
          <w:lang w:val="sr-Latn-ME" w:eastAsia="sr-Latn-CS"/>
        </w:rPr>
        <w:t xml:space="preserve"> </w:t>
      </w:r>
      <w:r w:rsidRPr="00C0654D">
        <w:rPr>
          <w:sz w:val="22"/>
          <w:szCs w:val="22"/>
          <w:lang w:val="sr-Latn-ME" w:eastAsia="sr-Latn-CS"/>
        </w:rPr>
        <w:t>+</w:t>
      </w:r>
      <w:r w:rsidR="0029648E">
        <w:rPr>
          <w:sz w:val="22"/>
          <w:szCs w:val="22"/>
          <w:lang w:val="sr-Latn-ME" w:eastAsia="sr-Latn-CS"/>
        </w:rPr>
        <w:t xml:space="preserve"> </w:t>
      </w:r>
      <w:r w:rsidRPr="00C0654D">
        <w:rPr>
          <w:sz w:val="22"/>
          <w:szCs w:val="22"/>
          <w:lang w:val="sr-Latn-ME" w:eastAsia="sr-Latn-CS"/>
        </w:rPr>
        <w:t>docetaksel (p=0,0126). Srednje preživljavanje iznosilo je 442 dana (kapecitabin + docetaksel) u odnosu na 352 dana (samo docetaksel). Ukupne objektivne stope preživljavanja u cjelokupnoj randomizovanoj populaciji (procjena istraživača) iznosile su 41,6% (kapecitabin + docetaksel) prema 29,7% (samo docetaksel ); p = 0,0058. Vrijeme do progresije bolesti je bilo superiornije u grupi koja je primala kombinaciju kapecitabin</w:t>
      </w:r>
      <w:r w:rsidR="0029648E">
        <w:rPr>
          <w:sz w:val="22"/>
          <w:szCs w:val="22"/>
          <w:lang w:val="sr-Latn-ME" w:eastAsia="sr-Latn-CS"/>
        </w:rPr>
        <w:t xml:space="preserve"> </w:t>
      </w:r>
      <w:r w:rsidRPr="00C0654D">
        <w:rPr>
          <w:sz w:val="22"/>
          <w:szCs w:val="22"/>
          <w:lang w:val="sr-Latn-ME" w:eastAsia="sr-Latn-CS"/>
        </w:rPr>
        <w:t>+</w:t>
      </w:r>
      <w:r w:rsidR="0029648E">
        <w:rPr>
          <w:sz w:val="22"/>
          <w:szCs w:val="22"/>
          <w:lang w:val="sr-Latn-ME" w:eastAsia="sr-Latn-CS"/>
        </w:rPr>
        <w:t xml:space="preserve"> </w:t>
      </w:r>
      <w:r w:rsidRPr="00C0654D">
        <w:rPr>
          <w:sz w:val="22"/>
          <w:szCs w:val="22"/>
          <w:lang w:val="sr-Latn-ME" w:eastAsia="sr-Latn-CS"/>
        </w:rPr>
        <w:t xml:space="preserve">docetaksel </w:t>
      </w:r>
      <w:r w:rsidRPr="00C0654D">
        <w:rPr>
          <w:sz w:val="22"/>
          <w:szCs w:val="22"/>
          <w:lang w:val="sr-Latn-ME" w:eastAsia="sr-Latn-CS"/>
        </w:rPr>
        <w:lastRenderedPageBreak/>
        <w:t xml:space="preserve">(p&lt;0,0001). Srednje vrijeme do progresije iznosilo je 186 dana (kapecitabin + docetaksel) prema 128 dana (samo docetaksel). </w:t>
      </w:r>
    </w:p>
    <w:p w14:paraId="5251F2FD" w14:textId="77777777" w:rsidR="002D6375" w:rsidRPr="00C0654D" w:rsidRDefault="002D6375">
      <w:pPr>
        <w:autoSpaceDE w:val="0"/>
        <w:autoSpaceDN w:val="0"/>
        <w:adjustRightInd w:val="0"/>
        <w:jc w:val="both"/>
        <w:rPr>
          <w:sz w:val="22"/>
          <w:szCs w:val="22"/>
          <w:lang w:val="sr-Latn-ME" w:eastAsia="sr-Latn-CS"/>
        </w:rPr>
      </w:pPr>
    </w:p>
    <w:p w14:paraId="2CE3B65E" w14:textId="77777777" w:rsidR="002D6375" w:rsidRPr="00C0654D" w:rsidRDefault="002D6375">
      <w:pPr>
        <w:autoSpaceDE w:val="0"/>
        <w:autoSpaceDN w:val="0"/>
        <w:adjustRightInd w:val="0"/>
        <w:jc w:val="both"/>
        <w:rPr>
          <w:i/>
          <w:sz w:val="22"/>
          <w:szCs w:val="22"/>
          <w:lang w:val="sr-Latn-ME" w:eastAsia="sr-Latn-CS"/>
        </w:rPr>
      </w:pPr>
      <w:r w:rsidRPr="00C0654D">
        <w:rPr>
          <w:i/>
          <w:sz w:val="22"/>
          <w:szCs w:val="22"/>
          <w:lang w:val="sr-Latn-ME" w:eastAsia="sr-Latn-CS"/>
        </w:rPr>
        <w:t xml:space="preserve">Monoterapija kapecitabinom poslije neuspjeha terapije taksanima, hemoterapije koja sadrži antraciklin, i kod pacijenata kod kojih antraciklinska terapija nije indikovana </w:t>
      </w:r>
    </w:p>
    <w:p w14:paraId="36D8018D"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Podaci iz dvije multicentrične kliničke studije faze II podržavaju primjenu kapecitabin monoterapije za liječenje pacijenata nakon neuspjeha taksana i hemoterapije koja sadrži antraciklin ili za koje dalja antraciklinska terapija nije indikovana. U ovim ispitivanjima, ukupno 236 pacijenata dobijalo je kapecitabin (1250 mg/m</w:t>
      </w:r>
      <w:r w:rsidRPr="00C0654D">
        <w:rPr>
          <w:sz w:val="22"/>
          <w:szCs w:val="22"/>
          <w:vertAlign w:val="superscript"/>
          <w:lang w:val="sr-Latn-ME" w:eastAsia="sr-Latn-CS"/>
        </w:rPr>
        <w:t>2</w:t>
      </w:r>
      <w:r w:rsidRPr="00C0654D">
        <w:rPr>
          <w:sz w:val="22"/>
          <w:szCs w:val="22"/>
          <w:lang w:val="sr-Latn-ME" w:eastAsia="sr-Latn-CS"/>
        </w:rPr>
        <w:t xml:space="preserve"> dva puta dnevno u trajanju od dvije nedjelje, poslije čega slijedi jednonedjeljna pauza). Ukupne objektivne stope preživljavanja (procjena istraživača) iznosile su 20% (prva studija) i 25% (druga studija). Srednje vrijeme do progresije bolesti iznosilo je 93, odnosno 98 dana. Srednje preživljavanje iznosilo je 384 i 373 dana. </w:t>
      </w:r>
    </w:p>
    <w:p w14:paraId="735E27E1" w14:textId="77777777" w:rsidR="002D6375" w:rsidRPr="00C0654D" w:rsidRDefault="002D6375">
      <w:pPr>
        <w:autoSpaceDE w:val="0"/>
        <w:autoSpaceDN w:val="0"/>
        <w:adjustRightInd w:val="0"/>
        <w:jc w:val="both"/>
        <w:rPr>
          <w:b/>
          <w:sz w:val="22"/>
          <w:szCs w:val="22"/>
          <w:lang w:val="sr-Latn-ME" w:eastAsia="sr-Latn-CS"/>
        </w:rPr>
      </w:pPr>
    </w:p>
    <w:p w14:paraId="7E2CDDFE" w14:textId="77777777" w:rsidR="002D6375" w:rsidRPr="00C0654D" w:rsidRDefault="002D6375">
      <w:pPr>
        <w:autoSpaceDE w:val="0"/>
        <w:autoSpaceDN w:val="0"/>
        <w:adjustRightInd w:val="0"/>
        <w:jc w:val="both"/>
        <w:rPr>
          <w:b/>
          <w:sz w:val="22"/>
          <w:szCs w:val="22"/>
          <w:lang w:val="sr-Latn-ME" w:eastAsia="sr-Latn-CS"/>
        </w:rPr>
      </w:pPr>
      <w:r w:rsidRPr="00C0654D">
        <w:rPr>
          <w:b/>
          <w:sz w:val="22"/>
          <w:szCs w:val="22"/>
          <w:lang w:val="sr-Latn-ME" w:eastAsia="sr-Latn-CS"/>
        </w:rPr>
        <w:t>Sve indikacije</w:t>
      </w:r>
    </w:p>
    <w:p w14:paraId="1A4D51D6" w14:textId="09055653"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Meta-analiza 14 kliničkih studija sa podacima preko 4700 pacijenata liječenih kapecitabinom u monoterapiji ili u kombinaciji sa različitim hemoterapijskim režimima u više indikacija (karcinom kolona, kolorektuma, želuca i dojke) pokazala je da pacijenti liječeni kapecitabinom koji razviju sindrom šaka-stopalo imaju duže ukupno preživljavanje u poređenju sa pacijentima koji ni</w:t>
      </w:r>
      <w:r w:rsidR="00BA7E76">
        <w:rPr>
          <w:sz w:val="22"/>
          <w:szCs w:val="22"/>
          <w:lang w:val="sr-Latn-ME" w:eastAsia="sr-Latn-CS"/>
        </w:rPr>
        <w:t>je</w:t>
      </w:r>
      <w:r w:rsidRPr="00C0654D">
        <w:rPr>
          <w:sz w:val="22"/>
          <w:szCs w:val="22"/>
          <w:lang w:val="sr-Latn-ME" w:eastAsia="sr-Latn-CS"/>
        </w:rPr>
        <w:t xml:space="preserve">su razvili sindrom šaka-stopalo: srednje ukupno preživljavanje 1100 dana (95%  CI 1007;1200) u odnosu na 691 dan (95% CI 638; 754) uz koeficijent rizika od 0,61 (95% CI 0,56; 0,66).  </w:t>
      </w:r>
    </w:p>
    <w:p w14:paraId="23493C43" w14:textId="77777777" w:rsidR="002D6375" w:rsidRPr="00C0654D" w:rsidRDefault="002D6375">
      <w:pPr>
        <w:autoSpaceDE w:val="0"/>
        <w:autoSpaceDN w:val="0"/>
        <w:adjustRightInd w:val="0"/>
        <w:jc w:val="both"/>
        <w:rPr>
          <w:sz w:val="22"/>
          <w:szCs w:val="22"/>
          <w:lang w:val="sr-Latn-ME" w:eastAsia="sr-Latn-CS"/>
        </w:rPr>
      </w:pPr>
    </w:p>
    <w:p w14:paraId="4B998EAF" w14:textId="77777777" w:rsidR="002D6375" w:rsidRPr="00C0654D" w:rsidRDefault="002D6375">
      <w:pPr>
        <w:autoSpaceDE w:val="0"/>
        <w:autoSpaceDN w:val="0"/>
        <w:adjustRightInd w:val="0"/>
        <w:jc w:val="both"/>
        <w:rPr>
          <w:sz w:val="22"/>
          <w:szCs w:val="22"/>
          <w:lang w:val="sr-Latn-ME" w:eastAsia="sr-Latn-CS"/>
        </w:rPr>
      </w:pPr>
      <w:r w:rsidRPr="00C0654D">
        <w:rPr>
          <w:sz w:val="22"/>
          <w:szCs w:val="22"/>
          <w:lang w:val="sr-Latn-ME" w:eastAsia="sr-Latn-CS"/>
        </w:rPr>
        <w:t>Pedijatrijska populacija:</w:t>
      </w:r>
    </w:p>
    <w:p w14:paraId="5D03C031" w14:textId="18E2DE60" w:rsidR="002D6375" w:rsidRPr="00C0654D" w:rsidRDefault="002D6375">
      <w:pPr>
        <w:tabs>
          <w:tab w:val="left" w:pos="284"/>
        </w:tabs>
        <w:jc w:val="both"/>
        <w:rPr>
          <w:b/>
          <w:bCs/>
          <w:sz w:val="22"/>
          <w:szCs w:val="22"/>
          <w:lang w:val="sr-Latn-ME"/>
        </w:rPr>
      </w:pPr>
      <w:r w:rsidRPr="00C0654D">
        <w:rPr>
          <w:sz w:val="22"/>
          <w:szCs w:val="22"/>
          <w:lang w:val="sr-Latn-ME" w:eastAsia="sr-Latn-CS"/>
        </w:rPr>
        <w:t xml:space="preserve">Evropska agencija za ljekove je odustala od obaveze da se sprovedu studije sa kapecitabinom u svim podgrupama pedijatrijske populacije sa adenokarcinomom kolona i rektuma, adenokarcinomom želuca i karcinomom dojke (vidjeti </w:t>
      </w:r>
      <w:r w:rsidR="00BA7E76">
        <w:rPr>
          <w:sz w:val="22"/>
          <w:szCs w:val="22"/>
          <w:lang w:val="sr-Latn-ME" w:eastAsia="sr-Latn-CS"/>
        </w:rPr>
        <w:t xml:space="preserve">dio </w:t>
      </w:r>
      <w:r w:rsidRPr="00C0654D">
        <w:rPr>
          <w:sz w:val="22"/>
          <w:szCs w:val="22"/>
          <w:lang w:val="sr-Latn-ME" w:eastAsia="sr-Latn-CS"/>
        </w:rPr>
        <w:t>4.2 za informacije o primjeni kod pedijatrijske populacije).</w:t>
      </w:r>
    </w:p>
    <w:p w14:paraId="2AB757AF" w14:textId="77777777" w:rsidR="002D6375" w:rsidRPr="00C0654D" w:rsidRDefault="002D6375" w:rsidP="00813C2B">
      <w:pPr>
        <w:tabs>
          <w:tab w:val="left" w:pos="540"/>
          <w:tab w:val="left" w:pos="569"/>
        </w:tabs>
        <w:jc w:val="both"/>
        <w:rPr>
          <w:b/>
          <w:bCs/>
          <w:sz w:val="22"/>
          <w:szCs w:val="22"/>
          <w:lang w:val="sr-Latn-ME"/>
        </w:rPr>
      </w:pPr>
    </w:p>
    <w:p w14:paraId="5FA99B3B" w14:textId="77777777" w:rsidR="0072020E" w:rsidRPr="00C0654D" w:rsidRDefault="0072020E" w:rsidP="00813C2B">
      <w:pPr>
        <w:tabs>
          <w:tab w:val="left" w:pos="540"/>
          <w:tab w:val="left" w:pos="569"/>
        </w:tabs>
        <w:jc w:val="both"/>
        <w:rPr>
          <w:b/>
          <w:bCs/>
          <w:sz w:val="22"/>
          <w:szCs w:val="22"/>
          <w:lang w:val="sr-Latn-ME"/>
        </w:rPr>
      </w:pPr>
      <w:r w:rsidRPr="00C0654D">
        <w:rPr>
          <w:b/>
          <w:bCs/>
          <w:sz w:val="22"/>
          <w:szCs w:val="22"/>
          <w:lang w:val="sr-Latn-ME"/>
        </w:rPr>
        <w:t xml:space="preserve">5.2. </w:t>
      </w:r>
      <w:r w:rsidR="00480FB1" w:rsidRPr="00C0654D">
        <w:rPr>
          <w:b/>
          <w:bCs/>
          <w:sz w:val="22"/>
          <w:szCs w:val="22"/>
          <w:lang w:val="sr-Latn-ME"/>
        </w:rPr>
        <w:tab/>
      </w:r>
      <w:r w:rsidRPr="00C0654D">
        <w:rPr>
          <w:b/>
          <w:bCs/>
          <w:sz w:val="22"/>
          <w:szCs w:val="22"/>
          <w:lang w:val="sr-Latn-ME"/>
        </w:rPr>
        <w:t>Farmakokinetički podaci</w:t>
      </w:r>
      <w:r w:rsidR="003A7059" w:rsidRPr="00C0654D">
        <w:rPr>
          <w:b/>
          <w:bCs/>
          <w:sz w:val="22"/>
          <w:szCs w:val="22"/>
          <w:lang w:val="sr-Latn-ME"/>
        </w:rPr>
        <w:t xml:space="preserve"> </w:t>
      </w:r>
    </w:p>
    <w:p w14:paraId="5FA99B3C" w14:textId="2509BB83" w:rsidR="0072020E" w:rsidRPr="00C0654D" w:rsidRDefault="0072020E" w:rsidP="00813C2B">
      <w:pPr>
        <w:tabs>
          <w:tab w:val="left" w:pos="540"/>
          <w:tab w:val="left" w:pos="569"/>
        </w:tabs>
        <w:jc w:val="both"/>
        <w:rPr>
          <w:bCs/>
          <w:sz w:val="22"/>
          <w:szCs w:val="22"/>
          <w:lang w:val="sr-Latn-ME"/>
        </w:rPr>
      </w:pPr>
    </w:p>
    <w:p w14:paraId="100A1935" w14:textId="77777777" w:rsidR="002E48BC" w:rsidRPr="00C0654D" w:rsidRDefault="002E48BC" w:rsidP="00D85C58">
      <w:pPr>
        <w:tabs>
          <w:tab w:val="center" w:pos="4536"/>
          <w:tab w:val="right" w:pos="9072"/>
          <w:tab w:val="left" w:pos="9270"/>
        </w:tabs>
        <w:ind w:right="36"/>
        <w:jc w:val="both"/>
        <w:rPr>
          <w:bCs/>
          <w:sz w:val="22"/>
          <w:szCs w:val="22"/>
          <w:lang w:val="sr-Latn-ME"/>
        </w:rPr>
      </w:pPr>
      <w:r w:rsidRPr="00C0654D">
        <w:rPr>
          <w:bCs/>
          <w:sz w:val="22"/>
          <w:szCs w:val="22"/>
          <w:lang w:val="sr-Latn-ME"/>
        </w:rPr>
        <w:t>Farmakokinetika kapecitabina procjenjivana je u doznom rasponu od 502 – 3514 mg/m</w:t>
      </w:r>
      <w:r w:rsidRPr="00C0654D">
        <w:rPr>
          <w:bCs/>
          <w:sz w:val="22"/>
          <w:szCs w:val="22"/>
          <w:vertAlign w:val="superscript"/>
          <w:lang w:val="sr-Latn-ME"/>
        </w:rPr>
        <w:t>2</w:t>
      </w:r>
      <w:r w:rsidRPr="00C0654D">
        <w:rPr>
          <w:bCs/>
          <w:sz w:val="22"/>
          <w:szCs w:val="22"/>
          <w:lang w:val="sr-Latn-ME"/>
        </w:rPr>
        <w:t xml:space="preserve"> dnevno. Parametri kapecitabina, 5'-deoksi-5-fluorocitidina (5'-DFCR) i 5'-deoksi-5-fluorouridina (5'-DFUR) mjereni 1. i 14. dana bili su slični. PIK vrijednost 5-FU bila je 30-35% veća 14.-og dana. Smanjenje doze kapecitabina smanjuje sistemsku izloženost 5-FU više nego srazmjerno dozi, zbog nelinearne farmakokinetike ovog aktivnog metabolita.  </w:t>
      </w:r>
    </w:p>
    <w:p w14:paraId="4F09813A" w14:textId="77777777" w:rsidR="00047B78" w:rsidRDefault="00047B78" w:rsidP="00CA1BE0">
      <w:pPr>
        <w:tabs>
          <w:tab w:val="center" w:pos="4536"/>
          <w:tab w:val="right" w:pos="9072"/>
          <w:tab w:val="left" w:pos="9270"/>
        </w:tabs>
        <w:ind w:right="36"/>
        <w:jc w:val="both"/>
        <w:rPr>
          <w:bCs/>
          <w:i/>
          <w:sz w:val="22"/>
          <w:szCs w:val="22"/>
          <w:u w:val="single"/>
          <w:lang w:val="sr-Latn-ME"/>
        </w:rPr>
      </w:pPr>
    </w:p>
    <w:p w14:paraId="6E75B755" w14:textId="3E86A8E0" w:rsidR="002E48BC" w:rsidRPr="00C0654D" w:rsidRDefault="002E48BC">
      <w:pPr>
        <w:tabs>
          <w:tab w:val="center" w:pos="4536"/>
          <w:tab w:val="right" w:pos="9072"/>
          <w:tab w:val="left" w:pos="9270"/>
        </w:tabs>
        <w:ind w:right="36"/>
        <w:jc w:val="both"/>
        <w:rPr>
          <w:bCs/>
          <w:sz w:val="22"/>
          <w:szCs w:val="22"/>
          <w:u w:val="single"/>
          <w:lang w:val="sr-Latn-ME"/>
        </w:rPr>
      </w:pPr>
      <w:r w:rsidRPr="00C0654D">
        <w:rPr>
          <w:bCs/>
          <w:i/>
          <w:sz w:val="22"/>
          <w:szCs w:val="22"/>
          <w:u w:val="single"/>
          <w:lang w:val="sr-Latn-ME"/>
        </w:rPr>
        <w:t>Resorpcija:</w:t>
      </w:r>
      <w:r w:rsidRPr="00C0654D">
        <w:rPr>
          <w:bCs/>
          <w:sz w:val="22"/>
          <w:szCs w:val="22"/>
          <w:u w:val="single"/>
          <w:lang w:val="sr-Latn-ME"/>
        </w:rPr>
        <w:t xml:space="preserve"> </w:t>
      </w:r>
    </w:p>
    <w:p w14:paraId="35071C3F"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sz w:val="22"/>
          <w:szCs w:val="22"/>
          <w:lang w:val="sr-Latn-ME"/>
        </w:rPr>
        <w:t>Nakon oralne primjene, kapecitabin se brzo i u velikoj mjeri resorbuje, poslije čega slijedi ekstenzivna konverzija u metabolite, 5'-DFCR i 5'-DFUR. Primjena sa hranom smanjuje brzinu resorpcije kapecitabina, ali to ima samo malo dejstvo na PIK vrijednost 5'-DFUR, kao i na PIK narednog metabolita, 5-FU. Pri dozi od 1250 mg/m</w:t>
      </w:r>
      <w:r w:rsidRPr="00C0654D">
        <w:rPr>
          <w:bCs/>
          <w:sz w:val="22"/>
          <w:szCs w:val="22"/>
          <w:vertAlign w:val="superscript"/>
          <w:lang w:val="sr-Latn-ME"/>
        </w:rPr>
        <w:t>2</w:t>
      </w:r>
      <w:r w:rsidRPr="00C0654D">
        <w:rPr>
          <w:bCs/>
          <w:sz w:val="22"/>
          <w:szCs w:val="22"/>
          <w:lang w:val="sr-Latn-ME"/>
        </w:rPr>
        <w:t xml:space="preserve"> 14. dana  po unosu hrane, maksimalne koncentracije u plazmi (C</w:t>
      </w:r>
      <w:r w:rsidRPr="00C0654D">
        <w:rPr>
          <w:bCs/>
          <w:sz w:val="22"/>
          <w:szCs w:val="22"/>
          <w:vertAlign w:val="subscript"/>
          <w:lang w:val="sr-Latn-ME"/>
        </w:rPr>
        <w:t>max</w:t>
      </w:r>
      <w:r w:rsidRPr="00C0654D">
        <w:rPr>
          <w:bCs/>
          <w:sz w:val="22"/>
          <w:szCs w:val="22"/>
          <w:lang w:val="sr-Latn-ME"/>
        </w:rPr>
        <w:t xml:space="preserve"> u µg/ml) kapecitabina, 5'-DFCR, 5'-DFUR, 5-FU i FBAL iznosile su 4,67; 3,05; 12,1; 0,95, odnosno 5,46. Vrijeme do maksimalne koncentracije u plazmi (T</w:t>
      </w:r>
      <w:r w:rsidRPr="00C0654D">
        <w:rPr>
          <w:bCs/>
          <w:sz w:val="22"/>
          <w:szCs w:val="22"/>
          <w:vertAlign w:val="subscript"/>
          <w:lang w:val="sr-Latn-ME"/>
        </w:rPr>
        <w:t>max</w:t>
      </w:r>
      <w:r w:rsidRPr="00C0654D">
        <w:rPr>
          <w:bCs/>
          <w:sz w:val="22"/>
          <w:szCs w:val="22"/>
          <w:lang w:val="sr-Latn-ME"/>
        </w:rPr>
        <w:t xml:space="preserve"> u satima)  iznosilo je 1,50; 2,00; 2,00; 2,00, odnosno 3,34 sati. Vrijednosti PIK</w:t>
      </w:r>
      <w:r w:rsidRPr="00C0654D">
        <w:rPr>
          <w:bCs/>
          <w:sz w:val="22"/>
          <w:szCs w:val="22"/>
          <w:vertAlign w:val="subscript"/>
          <w:lang w:val="sr-Latn-ME"/>
        </w:rPr>
        <w:t>0</w:t>
      </w:r>
      <w:r w:rsidRPr="00C0654D">
        <w:rPr>
          <w:bCs/>
          <w:sz w:val="22"/>
          <w:szCs w:val="22"/>
          <w:lang w:val="sr-Latn-ME"/>
        </w:rPr>
        <w:t xml:space="preserve">-͚ u µgh/ml iznosile su 7,75; 7,24; 24,6; 2,03, odnosno 36,3.  </w:t>
      </w:r>
    </w:p>
    <w:p w14:paraId="25B57CEF" w14:textId="77777777" w:rsidR="00047B78" w:rsidRDefault="00047B78">
      <w:pPr>
        <w:tabs>
          <w:tab w:val="center" w:pos="4536"/>
          <w:tab w:val="right" w:pos="9072"/>
          <w:tab w:val="left" w:pos="9270"/>
        </w:tabs>
        <w:ind w:right="36"/>
        <w:jc w:val="both"/>
        <w:rPr>
          <w:bCs/>
          <w:i/>
          <w:sz w:val="22"/>
          <w:szCs w:val="22"/>
          <w:u w:val="single"/>
          <w:lang w:val="sr-Latn-ME"/>
        </w:rPr>
      </w:pPr>
    </w:p>
    <w:p w14:paraId="6CD36F61" w14:textId="77D44705" w:rsidR="002E48BC" w:rsidRPr="00C0654D" w:rsidRDefault="002E48BC">
      <w:pPr>
        <w:tabs>
          <w:tab w:val="center" w:pos="4536"/>
          <w:tab w:val="right" w:pos="9072"/>
          <w:tab w:val="left" w:pos="9270"/>
        </w:tabs>
        <w:ind w:right="36"/>
        <w:jc w:val="both"/>
        <w:rPr>
          <w:bCs/>
          <w:i/>
          <w:sz w:val="22"/>
          <w:szCs w:val="22"/>
          <w:lang w:val="sr-Latn-ME"/>
        </w:rPr>
      </w:pPr>
      <w:r w:rsidRPr="00C0654D">
        <w:rPr>
          <w:bCs/>
          <w:i/>
          <w:sz w:val="22"/>
          <w:szCs w:val="22"/>
          <w:u w:val="single"/>
          <w:lang w:val="sr-Latn-ME"/>
        </w:rPr>
        <w:t>Distribucija:</w:t>
      </w:r>
    </w:p>
    <w:p w14:paraId="0664DBEC" w14:textId="2CCD733D" w:rsidR="002E48BC" w:rsidRPr="00C0654D" w:rsidRDefault="002E48BC">
      <w:pPr>
        <w:tabs>
          <w:tab w:val="center" w:pos="4536"/>
          <w:tab w:val="right" w:pos="9072"/>
          <w:tab w:val="left" w:pos="9270"/>
        </w:tabs>
        <w:ind w:right="36"/>
        <w:jc w:val="both"/>
        <w:rPr>
          <w:bCs/>
          <w:sz w:val="22"/>
          <w:szCs w:val="22"/>
          <w:lang w:val="sr-Latn-ME"/>
        </w:rPr>
      </w:pPr>
      <w:r w:rsidRPr="00C0654D">
        <w:rPr>
          <w:bCs/>
          <w:i/>
          <w:sz w:val="22"/>
          <w:szCs w:val="22"/>
          <w:lang w:val="sr-Latn-ME"/>
        </w:rPr>
        <w:t>In vitro</w:t>
      </w:r>
      <w:r w:rsidRPr="00C0654D">
        <w:rPr>
          <w:bCs/>
          <w:sz w:val="22"/>
          <w:szCs w:val="22"/>
          <w:lang w:val="sr-Latn-ME"/>
        </w:rPr>
        <w:t xml:space="preserve"> ispitivanja humane plazme pokazala su da se kapecitabin, 5'-DFCR, 5'-DFUR i 5-FU vezuju za proteine plazme 54%, 10%, 62% odnosno 10%, i to uglavnom za albumin. </w:t>
      </w:r>
    </w:p>
    <w:p w14:paraId="4D7AB73C" w14:textId="77777777" w:rsidR="00047B78" w:rsidRDefault="00047B78">
      <w:pPr>
        <w:tabs>
          <w:tab w:val="center" w:pos="4536"/>
          <w:tab w:val="right" w:pos="9072"/>
          <w:tab w:val="left" w:pos="9270"/>
        </w:tabs>
        <w:ind w:right="36"/>
        <w:jc w:val="both"/>
        <w:rPr>
          <w:bCs/>
          <w:i/>
          <w:sz w:val="22"/>
          <w:szCs w:val="22"/>
          <w:u w:val="single"/>
          <w:lang w:val="sr-Latn-ME"/>
        </w:rPr>
      </w:pPr>
    </w:p>
    <w:p w14:paraId="66558DA0" w14:textId="1E80C7B9" w:rsidR="002E48BC" w:rsidRPr="00C0654D" w:rsidRDefault="002E48BC">
      <w:pPr>
        <w:tabs>
          <w:tab w:val="center" w:pos="4536"/>
          <w:tab w:val="right" w:pos="9072"/>
          <w:tab w:val="left" w:pos="9270"/>
        </w:tabs>
        <w:ind w:right="36"/>
        <w:jc w:val="both"/>
        <w:rPr>
          <w:bCs/>
          <w:sz w:val="22"/>
          <w:szCs w:val="22"/>
          <w:u w:val="single"/>
          <w:lang w:val="sr-Latn-ME"/>
        </w:rPr>
      </w:pPr>
      <w:r w:rsidRPr="00C0654D">
        <w:rPr>
          <w:bCs/>
          <w:i/>
          <w:sz w:val="22"/>
          <w:szCs w:val="22"/>
          <w:u w:val="single"/>
          <w:lang w:val="sr-Latn-ME"/>
        </w:rPr>
        <w:t>Biotransformacija:</w:t>
      </w:r>
    </w:p>
    <w:p w14:paraId="7B27295C"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sz w:val="22"/>
          <w:szCs w:val="22"/>
          <w:lang w:val="sr-Latn-ME"/>
        </w:rPr>
        <w:t xml:space="preserve">Kapecitabin se prvo metabolizuje hepatičnom karboksilesterazom u 5'-DFCR koji se onda konvertuje u 5'-DFUR citidin deaminazom, koja je uglavnom locirana u jetri i tumorskom tkivu. Dalja katalitička aktivacija 5'-DFUR se onda odvija pomoću timidin fosforilaze (ThyPase). Enzimi koji su uključeni u katalitičku aktivaciju nalaze se u tumorskom tkivu, ali i u normalnim tkivima, iako obično u nižim nivoima. Sekvencijalna enzimska biotransformacija kapecitabina u 5-FU dovodi do većih koncentracija u tumorskim tkivima. U slučaju kolorektalnih tumora, generisanje 5-FU je izgleda u velikoj mjeri lokalizovano u stromalnim tumorskim ćelijama. Po oralnom davanju kapecitabina pacijentima sa kolorektalnim karcinomom, odnos koncentracije 5-FU u kolorektalnom tumoru i onoga u okolnom tkivu </w:t>
      </w:r>
      <w:r w:rsidRPr="00C0654D">
        <w:rPr>
          <w:bCs/>
          <w:sz w:val="22"/>
          <w:szCs w:val="22"/>
          <w:lang w:val="sr-Latn-ME"/>
        </w:rPr>
        <w:lastRenderedPageBreak/>
        <w:t xml:space="preserve">iznosio je 3,2 (u rasponu od 0,9 do 8,0). Odnos koncentracije 5-FU u tumoru i plazmi iznosio je 21,4 (raspon 3,9 do 59,9, n=8), dok je odnos u zdravim tkivima prema plazmi bio 8,9 (raspon od 3,0 do 25,8, n=8). Aktivnost timidin fosforilaze je mjerena i pokazala se 4 puta većom u primarnom kolorektalnom tumoru nego u okolnom normalnom tkivu. Po imunohistohemijskim ispitivanjima, izgleda da je timidin fosforilaza u velikoj mjeri lokalizovana u tumorskim stromalnim ćelijama. </w:t>
      </w:r>
    </w:p>
    <w:p w14:paraId="286AA064" w14:textId="60CAB0C4" w:rsidR="002E48BC" w:rsidRPr="00C0654D" w:rsidRDefault="002E48BC">
      <w:pPr>
        <w:tabs>
          <w:tab w:val="center" w:pos="4536"/>
          <w:tab w:val="right" w:pos="9072"/>
          <w:tab w:val="left" w:pos="9270"/>
        </w:tabs>
        <w:ind w:right="36"/>
        <w:jc w:val="both"/>
        <w:rPr>
          <w:bCs/>
          <w:sz w:val="22"/>
          <w:szCs w:val="22"/>
          <w:lang w:val="sr-Latn-ME"/>
        </w:rPr>
      </w:pPr>
      <w:r w:rsidRPr="00C0654D">
        <w:rPr>
          <w:bCs/>
          <w:sz w:val="22"/>
          <w:szCs w:val="22"/>
          <w:lang w:val="sr-Latn-ME"/>
        </w:rPr>
        <w:t>5-FU se dalje katabolizuje enzimom dihidropirimidin dehidrogenaza (DPD) u daleko manje toksični dihidro-5-fluorouracil (FUH</w:t>
      </w:r>
      <w:r w:rsidRPr="00C0654D">
        <w:rPr>
          <w:bCs/>
          <w:sz w:val="22"/>
          <w:szCs w:val="22"/>
          <w:vertAlign w:val="subscript"/>
          <w:lang w:val="sr-Latn-ME"/>
        </w:rPr>
        <w:t>2</w:t>
      </w:r>
      <w:r w:rsidRPr="00C0654D">
        <w:rPr>
          <w:bCs/>
          <w:sz w:val="22"/>
          <w:szCs w:val="22"/>
          <w:lang w:val="sr-Latn-ME"/>
        </w:rPr>
        <w:t xml:space="preserve">). Dihidropirimidinaza cijepa pirimidinski prsten i dobija se 5-fluoro-ureidopropionska kiselina (FUPA). Konačno, beta-ureido-propionaza cijepa FUPA u alfa-fluoro-beta-alanin (FBAL) koji se izbacuje urinom. Aktivnost dihidropirimidin dehidrogenaze (DPD) je korak koji ograničava brzinu. Deficijencija DPD može da dovede do pojačane toksičnosti kapecitabina (vidjeti </w:t>
      </w:r>
      <w:r w:rsidR="00BA7E76">
        <w:rPr>
          <w:bCs/>
          <w:sz w:val="22"/>
          <w:szCs w:val="22"/>
          <w:lang w:val="sr-Latn-ME"/>
        </w:rPr>
        <w:t xml:space="preserve">dijelove </w:t>
      </w:r>
      <w:r w:rsidRPr="00C0654D">
        <w:rPr>
          <w:bCs/>
          <w:sz w:val="22"/>
          <w:szCs w:val="22"/>
          <w:lang w:val="sr-Latn-ME"/>
        </w:rPr>
        <w:t xml:space="preserve">4.3 i 4.4).  </w:t>
      </w:r>
    </w:p>
    <w:p w14:paraId="1D97DA72" w14:textId="77777777" w:rsidR="002E48BC" w:rsidRPr="00C0654D" w:rsidRDefault="002E48BC">
      <w:pPr>
        <w:tabs>
          <w:tab w:val="center" w:pos="4536"/>
          <w:tab w:val="right" w:pos="9072"/>
          <w:tab w:val="left" w:pos="9270"/>
        </w:tabs>
        <w:ind w:right="36"/>
        <w:jc w:val="both"/>
        <w:rPr>
          <w:bCs/>
          <w:sz w:val="22"/>
          <w:szCs w:val="22"/>
          <w:lang w:val="sr-Latn-ME"/>
        </w:rPr>
      </w:pPr>
    </w:p>
    <w:p w14:paraId="65A41124" w14:textId="77777777" w:rsidR="002E48BC" w:rsidRPr="00C0654D" w:rsidRDefault="002E48BC">
      <w:pPr>
        <w:tabs>
          <w:tab w:val="center" w:pos="4536"/>
          <w:tab w:val="right" w:pos="9072"/>
          <w:tab w:val="left" w:pos="9270"/>
        </w:tabs>
        <w:ind w:right="36"/>
        <w:jc w:val="both"/>
        <w:rPr>
          <w:bCs/>
          <w:i/>
          <w:sz w:val="22"/>
          <w:szCs w:val="22"/>
          <w:lang w:val="sr-Latn-ME"/>
        </w:rPr>
      </w:pPr>
      <w:r w:rsidRPr="00C0654D">
        <w:rPr>
          <w:bCs/>
          <w:i/>
          <w:sz w:val="22"/>
          <w:szCs w:val="22"/>
          <w:u w:val="single"/>
          <w:lang w:val="sr-Latn-ME"/>
        </w:rPr>
        <w:t>Eliminacija:</w:t>
      </w:r>
    </w:p>
    <w:p w14:paraId="62328817"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sz w:val="22"/>
          <w:szCs w:val="22"/>
          <w:lang w:val="sr-Latn-ME"/>
        </w:rPr>
        <w:t>Poluvrijeme eliminacije (t</w:t>
      </w:r>
      <w:r w:rsidRPr="00C0654D">
        <w:rPr>
          <w:bCs/>
          <w:sz w:val="22"/>
          <w:szCs w:val="22"/>
          <w:vertAlign w:val="subscript"/>
          <w:lang w:val="sr-Latn-ME"/>
        </w:rPr>
        <w:t>½</w:t>
      </w:r>
      <w:r w:rsidRPr="00C0654D">
        <w:rPr>
          <w:bCs/>
          <w:sz w:val="22"/>
          <w:szCs w:val="22"/>
          <w:lang w:val="sr-Latn-ME"/>
        </w:rPr>
        <w:t xml:space="preserve"> u satima) kapecitabina, 5'-DFCR, 5'-DFUR, 5-FU i FBAL iznosi 0,85; 1,11; 0,66; 0,76, odnosno 3,23. Kapecitabin i njegovi metaboliti se pretežno izlučuju urinom: 95,5% unijete doze kapecitabina izluči se urinom. Izlučivanje putem fecesa je minimalno (2,6%). Glavni metabolit koji se izlučuje urinom je FBAL, koji čini 57% unijete doze. Oko 3% unijete doze se izlučuje urinom u nepromijenjenom obliku.</w:t>
      </w:r>
    </w:p>
    <w:p w14:paraId="479BB76B"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sz w:val="22"/>
          <w:szCs w:val="22"/>
          <w:lang w:val="sr-Latn-ME"/>
        </w:rPr>
        <w:t xml:space="preserve"> </w:t>
      </w:r>
    </w:p>
    <w:p w14:paraId="3BD84E47" w14:textId="77777777" w:rsidR="002E48BC" w:rsidRPr="00C0654D" w:rsidRDefault="002E48BC">
      <w:pPr>
        <w:tabs>
          <w:tab w:val="center" w:pos="4536"/>
          <w:tab w:val="right" w:pos="9072"/>
          <w:tab w:val="left" w:pos="9270"/>
        </w:tabs>
        <w:ind w:right="36"/>
        <w:jc w:val="both"/>
        <w:rPr>
          <w:bCs/>
          <w:sz w:val="22"/>
          <w:szCs w:val="22"/>
          <w:u w:val="single"/>
          <w:lang w:val="sr-Latn-ME"/>
        </w:rPr>
      </w:pPr>
      <w:r w:rsidRPr="00C0654D">
        <w:rPr>
          <w:bCs/>
          <w:i/>
          <w:sz w:val="22"/>
          <w:szCs w:val="22"/>
          <w:u w:val="single"/>
          <w:lang w:val="sr-Latn-ME"/>
        </w:rPr>
        <w:t>Kombinovana terapija:</w:t>
      </w:r>
      <w:r w:rsidRPr="00C0654D">
        <w:rPr>
          <w:bCs/>
          <w:sz w:val="22"/>
          <w:szCs w:val="22"/>
          <w:u w:val="single"/>
          <w:lang w:val="sr-Latn-ME"/>
        </w:rPr>
        <w:t xml:space="preserve"> </w:t>
      </w:r>
    </w:p>
    <w:p w14:paraId="743FBB6D"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sz w:val="22"/>
          <w:szCs w:val="22"/>
          <w:lang w:val="sr-Latn-ME"/>
        </w:rPr>
        <w:t>Ispitivanja faze I kojima se procjenjuje dejstvo kapecitabina na farmakokinetiku docetaksela ili paklitaksela i obrnuto, nijesu pokazala dejstvo kapecitabina na farmakokinetiku docetaksela ili paklitaksela (C</w:t>
      </w:r>
      <w:r w:rsidRPr="00C0654D">
        <w:rPr>
          <w:bCs/>
          <w:sz w:val="22"/>
          <w:szCs w:val="22"/>
          <w:vertAlign w:val="subscript"/>
          <w:lang w:val="sr-Latn-ME"/>
        </w:rPr>
        <w:t>max</w:t>
      </w:r>
      <w:r w:rsidRPr="00C0654D">
        <w:rPr>
          <w:bCs/>
          <w:sz w:val="22"/>
          <w:szCs w:val="22"/>
          <w:lang w:val="sr-Latn-ME"/>
        </w:rPr>
        <w:t xml:space="preserve"> i PIK), niti su docetaksel ili paklitaksel uticali na farmakokinetiku 5'-DFUR.  </w:t>
      </w:r>
    </w:p>
    <w:p w14:paraId="4C06494C" w14:textId="77777777" w:rsidR="002E48BC" w:rsidRPr="00C0654D" w:rsidRDefault="002E48BC">
      <w:pPr>
        <w:tabs>
          <w:tab w:val="center" w:pos="4536"/>
          <w:tab w:val="right" w:pos="9072"/>
          <w:tab w:val="left" w:pos="9270"/>
        </w:tabs>
        <w:ind w:right="36"/>
        <w:jc w:val="both"/>
        <w:rPr>
          <w:bCs/>
          <w:i/>
          <w:sz w:val="22"/>
          <w:szCs w:val="22"/>
          <w:lang w:val="sr-Latn-ME"/>
        </w:rPr>
      </w:pPr>
    </w:p>
    <w:p w14:paraId="2836B676" w14:textId="77777777" w:rsidR="002E48BC" w:rsidRPr="00C0654D" w:rsidRDefault="002E48BC">
      <w:pPr>
        <w:tabs>
          <w:tab w:val="center" w:pos="4536"/>
          <w:tab w:val="right" w:pos="9072"/>
          <w:tab w:val="left" w:pos="9270"/>
        </w:tabs>
        <w:ind w:right="36"/>
        <w:jc w:val="both"/>
        <w:rPr>
          <w:bCs/>
          <w:sz w:val="22"/>
          <w:szCs w:val="22"/>
          <w:u w:val="single"/>
          <w:lang w:val="sr-Latn-ME"/>
        </w:rPr>
      </w:pPr>
      <w:r w:rsidRPr="00C0654D">
        <w:rPr>
          <w:bCs/>
          <w:sz w:val="22"/>
          <w:szCs w:val="22"/>
          <w:u w:val="single"/>
          <w:lang w:val="sr-Latn-ME"/>
        </w:rPr>
        <w:t xml:space="preserve">Farmakokinetika kod posebnih grupa pacijenata: </w:t>
      </w:r>
    </w:p>
    <w:p w14:paraId="56029C24"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sz w:val="22"/>
          <w:szCs w:val="22"/>
          <w:lang w:val="sr-Latn-ME"/>
        </w:rPr>
        <w:t>Populaciona farmakokinetička analiza obavljena je nakon terapije kapecitabinom kod 505 pacijenata sa kolorektalnim karcinomom u dozi od 1250 mg/m</w:t>
      </w:r>
      <w:r w:rsidRPr="00C0654D">
        <w:rPr>
          <w:bCs/>
          <w:sz w:val="22"/>
          <w:szCs w:val="22"/>
          <w:vertAlign w:val="superscript"/>
          <w:lang w:val="sr-Latn-ME"/>
        </w:rPr>
        <w:t>2</w:t>
      </w:r>
      <w:r w:rsidRPr="00C0654D">
        <w:rPr>
          <w:bCs/>
          <w:sz w:val="22"/>
          <w:szCs w:val="22"/>
          <w:lang w:val="sr-Latn-ME"/>
        </w:rPr>
        <w:t xml:space="preserve"> dva puta dnevno. Pol, prisustvo ili odsustvo metastaza na jetri na početku terapije, Karnofski performans status, ukupni bilirubin, albumin u serumu, ASAT i ALAT nijesu imali statistički značajno dejstvo na farmakokinetiku 5'-DFUR, 5-FU i FBAL.  </w:t>
      </w:r>
    </w:p>
    <w:p w14:paraId="3D2CF1A9" w14:textId="77777777" w:rsidR="002E48BC" w:rsidRPr="00C0654D" w:rsidRDefault="002E48BC">
      <w:pPr>
        <w:tabs>
          <w:tab w:val="center" w:pos="4536"/>
          <w:tab w:val="right" w:pos="9072"/>
          <w:tab w:val="left" w:pos="9270"/>
        </w:tabs>
        <w:ind w:right="36"/>
        <w:jc w:val="both"/>
        <w:rPr>
          <w:bCs/>
          <w:i/>
          <w:sz w:val="22"/>
          <w:szCs w:val="22"/>
          <w:lang w:val="sr-Latn-ME"/>
        </w:rPr>
      </w:pPr>
    </w:p>
    <w:p w14:paraId="003FBF68"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i/>
          <w:sz w:val="22"/>
          <w:szCs w:val="22"/>
          <w:lang w:val="sr-Latn-ME"/>
        </w:rPr>
        <w:t>Pacijenti sa oštećenjem jetre zbog metastaza na jetri:</w:t>
      </w:r>
      <w:r w:rsidRPr="00C0654D">
        <w:rPr>
          <w:bCs/>
          <w:sz w:val="22"/>
          <w:szCs w:val="22"/>
          <w:lang w:val="sr-Latn-ME"/>
        </w:rPr>
        <w:t xml:space="preserve"> Na osnovu farmakokinetičkih studija kod pacijenata oboljelih od karcinoma sa blagim do umjerenim oštećenjem jetre zbog metastaza na jetri, pokazalo se da se bioraspoloživost kapecitabina i izloženost 5-FU mogu povećati u poređenju sa pacijentima koji nemaju oštećenje jetre. Nema farmakokinetičkih podataka o pacijentima sa teškim oštećenjem jetre.  </w:t>
      </w:r>
    </w:p>
    <w:p w14:paraId="289EB88C" w14:textId="77777777" w:rsidR="002E48BC" w:rsidRPr="00C0654D" w:rsidRDefault="002E48BC">
      <w:pPr>
        <w:tabs>
          <w:tab w:val="center" w:pos="4536"/>
          <w:tab w:val="right" w:pos="9072"/>
          <w:tab w:val="left" w:pos="9270"/>
        </w:tabs>
        <w:ind w:right="36"/>
        <w:jc w:val="both"/>
        <w:rPr>
          <w:bCs/>
          <w:sz w:val="22"/>
          <w:szCs w:val="22"/>
          <w:lang w:val="sr-Latn-ME"/>
        </w:rPr>
      </w:pPr>
    </w:p>
    <w:p w14:paraId="6C1A9C70"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i/>
          <w:sz w:val="22"/>
          <w:szCs w:val="22"/>
          <w:lang w:val="sr-Latn-ME"/>
        </w:rPr>
        <w:t>Pacijenti sa oštećenjem bubrega:</w:t>
      </w:r>
      <w:r w:rsidRPr="00C0654D">
        <w:rPr>
          <w:bCs/>
          <w:sz w:val="22"/>
          <w:szCs w:val="22"/>
          <w:lang w:val="sr-Latn-ME"/>
        </w:rPr>
        <w:t xml:space="preserve"> Na osnovu farmakokinetičkih studija kod pacijenata oboljelih od karcinoma sa umjerenim do teškim oštećenjem bubrega, nema dokaza o uticaju klirensa kreatinina na farmakokinetiku intaktnog lijeka i 5-FU. Pokazano je da klirens kreatinina utiče na sistemsku izloženost 5'-DFUR (35% povećanje PIK vrijednosti kada se klirens kreatinina smanji za 50%) i FBAL (114% povećanje PIK vrijednosti kada se klirens kreatinina smanji za 50%). FBAL je metabolit bez antiproliferativnog dejstva. </w:t>
      </w:r>
    </w:p>
    <w:p w14:paraId="53F06B26" w14:textId="77777777" w:rsidR="002E48BC" w:rsidRPr="00C0654D" w:rsidRDefault="002E48BC">
      <w:pPr>
        <w:tabs>
          <w:tab w:val="center" w:pos="4536"/>
          <w:tab w:val="right" w:pos="9072"/>
          <w:tab w:val="left" w:pos="9270"/>
        </w:tabs>
        <w:ind w:right="36"/>
        <w:jc w:val="both"/>
        <w:rPr>
          <w:bCs/>
          <w:sz w:val="22"/>
          <w:szCs w:val="22"/>
          <w:lang w:val="sr-Latn-ME"/>
        </w:rPr>
      </w:pPr>
    </w:p>
    <w:p w14:paraId="494B7163" w14:textId="77777777" w:rsidR="002E48BC" w:rsidRPr="00C0654D" w:rsidRDefault="002E48BC">
      <w:pPr>
        <w:tabs>
          <w:tab w:val="center" w:pos="4536"/>
          <w:tab w:val="right" w:pos="9072"/>
          <w:tab w:val="left" w:pos="9270"/>
        </w:tabs>
        <w:ind w:right="36"/>
        <w:jc w:val="both"/>
        <w:rPr>
          <w:bCs/>
          <w:sz w:val="22"/>
          <w:szCs w:val="22"/>
          <w:lang w:val="sr-Latn-ME"/>
        </w:rPr>
      </w:pPr>
      <w:r w:rsidRPr="00C0654D">
        <w:rPr>
          <w:bCs/>
          <w:i/>
          <w:sz w:val="22"/>
          <w:szCs w:val="22"/>
          <w:lang w:val="sr-Latn-ME"/>
        </w:rPr>
        <w:t>Pacijenti starijeg životnog doba:</w:t>
      </w:r>
      <w:r w:rsidRPr="00C0654D">
        <w:rPr>
          <w:bCs/>
          <w:sz w:val="22"/>
          <w:szCs w:val="22"/>
          <w:lang w:val="sr-Latn-ME"/>
        </w:rPr>
        <w:t xml:space="preserve"> Na osnovu populacione farmakokinetičke analize koja je uključila pacijente različite starosti (od 27 do 86 godina) i obuhvatila 234 pacijenta (46%) ≥65 godina, starosno doba nema uticaja na  farmakokinetiku 5'-DFUR i 5-FU. PIK vrijednost FBAL povećava se sa starenjem (20% povećanje starosnog doba dovodi do 15% povećanja PIK vrijednosti FBAL). Ova promjena je vjerovatno uzrokovana promjenama bubrežne funkcije.  </w:t>
      </w:r>
    </w:p>
    <w:p w14:paraId="6E49C1F9" w14:textId="77777777" w:rsidR="002E48BC" w:rsidRPr="00C0654D" w:rsidRDefault="002E48BC">
      <w:pPr>
        <w:tabs>
          <w:tab w:val="center" w:pos="4536"/>
          <w:tab w:val="right" w:pos="9072"/>
          <w:tab w:val="left" w:pos="9270"/>
        </w:tabs>
        <w:ind w:right="36"/>
        <w:jc w:val="both"/>
        <w:rPr>
          <w:bCs/>
          <w:sz w:val="22"/>
          <w:szCs w:val="22"/>
          <w:lang w:val="sr-Latn-ME"/>
        </w:rPr>
      </w:pPr>
    </w:p>
    <w:p w14:paraId="1EA35396" w14:textId="501DF65C" w:rsidR="002E48BC" w:rsidRDefault="002E48BC">
      <w:pPr>
        <w:tabs>
          <w:tab w:val="center" w:pos="4536"/>
          <w:tab w:val="right" w:pos="9072"/>
          <w:tab w:val="left" w:pos="9270"/>
        </w:tabs>
        <w:ind w:right="36"/>
        <w:jc w:val="both"/>
        <w:rPr>
          <w:bCs/>
          <w:sz w:val="22"/>
          <w:szCs w:val="22"/>
          <w:lang w:val="sr-Latn-ME"/>
        </w:rPr>
      </w:pPr>
      <w:r w:rsidRPr="00C0654D">
        <w:rPr>
          <w:bCs/>
          <w:i/>
          <w:sz w:val="22"/>
          <w:szCs w:val="22"/>
          <w:lang w:val="sr-Latn-ME"/>
        </w:rPr>
        <w:t xml:space="preserve">Etnički faktori: </w:t>
      </w:r>
      <w:r w:rsidRPr="00C0654D">
        <w:rPr>
          <w:bCs/>
          <w:sz w:val="22"/>
          <w:szCs w:val="22"/>
          <w:lang w:val="sr-Latn-ME"/>
        </w:rPr>
        <w:t>nakon oralne primjene 825 mg/m</w:t>
      </w:r>
      <w:r w:rsidRPr="00C0654D">
        <w:rPr>
          <w:bCs/>
          <w:sz w:val="22"/>
          <w:szCs w:val="22"/>
          <w:vertAlign w:val="superscript"/>
          <w:lang w:val="sr-Latn-ME"/>
        </w:rPr>
        <w:t>2</w:t>
      </w:r>
      <w:r w:rsidRPr="00C0654D">
        <w:rPr>
          <w:bCs/>
          <w:sz w:val="22"/>
          <w:szCs w:val="22"/>
          <w:lang w:val="sr-Latn-ME"/>
        </w:rPr>
        <w:t xml:space="preserve"> kapecitabina dva puta dnevno u trajanju od 14 dana, japanski pacijenti (n=18) su imali oko 36% niži C</w:t>
      </w:r>
      <w:r w:rsidRPr="00C0654D">
        <w:rPr>
          <w:bCs/>
          <w:sz w:val="22"/>
          <w:szCs w:val="22"/>
          <w:vertAlign w:val="subscript"/>
          <w:lang w:val="sr-Latn-ME"/>
        </w:rPr>
        <w:t>max</w:t>
      </w:r>
      <w:r w:rsidRPr="00C0654D">
        <w:rPr>
          <w:bCs/>
          <w:sz w:val="22"/>
          <w:szCs w:val="22"/>
          <w:lang w:val="sr-Latn-ME"/>
        </w:rPr>
        <w:t xml:space="preserve"> i 24% nižu PIK vrijednost za kapecitabin od pacijenata bijele rase (n=22). Japanski pacijenti su imali oko 25% niži C</w:t>
      </w:r>
      <w:r w:rsidRPr="00C0654D">
        <w:rPr>
          <w:bCs/>
          <w:sz w:val="22"/>
          <w:szCs w:val="22"/>
          <w:vertAlign w:val="subscript"/>
          <w:lang w:val="sr-Latn-ME"/>
        </w:rPr>
        <w:t>max</w:t>
      </w:r>
      <w:r w:rsidRPr="00C0654D">
        <w:rPr>
          <w:bCs/>
          <w:sz w:val="22"/>
          <w:szCs w:val="22"/>
          <w:lang w:val="sr-Latn-ME"/>
        </w:rPr>
        <w:t xml:space="preserve"> i 34% nižu PIK vrijednost za FBAL od pacijenata bijele rase. Klinički značaj ovih razlika nije poznat. U izloženosti drugim metabolitima (5'-DFCR, 5'-DFUR i 5-FU) nema značajnih razlika.</w:t>
      </w:r>
    </w:p>
    <w:p w14:paraId="288108FB" w14:textId="3E5426D4" w:rsidR="00B37D95" w:rsidRDefault="00B37D95">
      <w:pPr>
        <w:tabs>
          <w:tab w:val="center" w:pos="4536"/>
          <w:tab w:val="right" w:pos="9072"/>
          <w:tab w:val="left" w:pos="9270"/>
        </w:tabs>
        <w:ind w:right="36"/>
        <w:jc w:val="both"/>
        <w:rPr>
          <w:bCs/>
          <w:sz w:val="22"/>
          <w:szCs w:val="22"/>
          <w:lang w:val="sr-Latn-ME"/>
        </w:rPr>
      </w:pPr>
    </w:p>
    <w:p w14:paraId="3D627998" w14:textId="77777777" w:rsidR="00B37D95" w:rsidRPr="00C0654D" w:rsidRDefault="00B37D95">
      <w:pPr>
        <w:tabs>
          <w:tab w:val="center" w:pos="4536"/>
          <w:tab w:val="right" w:pos="9072"/>
          <w:tab w:val="left" w:pos="9270"/>
        </w:tabs>
        <w:ind w:right="36"/>
        <w:jc w:val="both"/>
        <w:rPr>
          <w:bCs/>
          <w:sz w:val="22"/>
          <w:szCs w:val="22"/>
          <w:lang w:val="sr-Latn-ME"/>
        </w:rPr>
      </w:pPr>
    </w:p>
    <w:p w14:paraId="7ACA6B25" w14:textId="77777777" w:rsidR="002E48BC" w:rsidRPr="00C0654D" w:rsidRDefault="002E48BC">
      <w:pPr>
        <w:tabs>
          <w:tab w:val="left" w:pos="284"/>
        </w:tabs>
        <w:jc w:val="both"/>
        <w:rPr>
          <w:sz w:val="22"/>
          <w:szCs w:val="22"/>
          <w:lang w:val="sr-Latn-ME"/>
        </w:rPr>
      </w:pPr>
    </w:p>
    <w:p w14:paraId="5FA99B3D" w14:textId="77777777" w:rsidR="0072020E" w:rsidRPr="00C0654D" w:rsidRDefault="0072020E" w:rsidP="00813C2B">
      <w:pPr>
        <w:tabs>
          <w:tab w:val="left" w:pos="540"/>
          <w:tab w:val="left" w:pos="569"/>
        </w:tabs>
        <w:jc w:val="both"/>
        <w:rPr>
          <w:b/>
          <w:bCs/>
          <w:sz w:val="22"/>
          <w:szCs w:val="22"/>
          <w:lang w:val="sr-Latn-ME"/>
        </w:rPr>
      </w:pPr>
      <w:r w:rsidRPr="00C0654D">
        <w:rPr>
          <w:b/>
          <w:bCs/>
          <w:sz w:val="22"/>
          <w:szCs w:val="22"/>
          <w:lang w:val="sr-Latn-ME"/>
        </w:rPr>
        <w:lastRenderedPageBreak/>
        <w:t xml:space="preserve">5.3. </w:t>
      </w:r>
      <w:r w:rsidR="00480FB1" w:rsidRPr="00C0654D">
        <w:rPr>
          <w:b/>
          <w:bCs/>
          <w:sz w:val="22"/>
          <w:szCs w:val="22"/>
          <w:lang w:val="sr-Latn-ME"/>
        </w:rPr>
        <w:tab/>
      </w:r>
      <w:r w:rsidRPr="00C0654D">
        <w:rPr>
          <w:b/>
          <w:bCs/>
          <w:sz w:val="22"/>
          <w:szCs w:val="22"/>
          <w:lang w:val="sr-Latn-ME"/>
        </w:rPr>
        <w:t xml:space="preserve">Pretklinički podaci o bezbjednosti </w:t>
      </w:r>
    </w:p>
    <w:p w14:paraId="5FA99B3E" w14:textId="77777777" w:rsidR="00836B35" w:rsidRPr="00C0654D" w:rsidRDefault="00836B35" w:rsidP="00813C2B">
      <w:pPr>
        <w:tabs>
          <w:tab w:val="left" w:pos="540"/>
          <w:tab w:val="left" w:pos="569"/>
        </w:tabs>
        <w:jc w:val="both"/>
        <w:rPr>
          <w:bCs/>
          <w:sz w:val="22"/>
          <w:szCs w:val="22"/>
          <w:lang w:val="sr-Latn-ME"/>
        </w:rPr>
      </w:pPr>
    </w:p>
    <w:p w14:paraId="268C7A6C" w14:textId="77777777" w:rsidR="00EB7F47" w:rsidRPr="00C0654D" w:rsidRDefault="00EB7F47" w:rsidP="00D85C58">
      <w:pPr>
        <w:shd w:val="clear" w:color="auto" w:fill="FFFFFF"/>
        <w:tabs>
          <w:tab w:val="left" w:pos="284"/>
          <w:tab w:val="left" w:pos="9270"/>
        </w:tabs>
        <w:ind w:right="36"/>
        <w:jc w:val="both"/>
        <w:rPr>
          <w:bCs/>
          <w:sz w:val="22"/>
          <w:szCs w:val="22"/>
          <w:lang w:val="sr-Latn-ME"/>
        </w:rPr>
      </w:pPr>
      <w:r w:rsidRPr="00C0654D">
        <w:rPr>
          <w:bCs/>
          <w:sz w:val="22"/>
          <w:szCs w:val="22"/>
          <w:lang w:val="sr-Latn-ME"/>
        </w:rPr>
        <w:t>U ispitivanjima toksičnosti nakon ponovljenih doza, dnevna oralna primjena kapecitabina cinomolgus majmunima i miševima dovela je do toksičnog dejstva na gastrointestinalni, limfoidini i hematopoetski sistem, tipično za fluoropirimidine. Ove toksičnosti su bile reverzibilne. Toksičnost kože, koja se odlikuje degenerativnim/regresivnim promjenama, zabilježena je pri primjeni kapecitabina. Kapecitabin nije imao toksično dejstvo na jetru i CNS. Kardiovaskularna toksičnost (npr. produženje intervala PR- i QT) bila je uočena kod cinomolgus majmuna nakon intravenske primjene (100 mg/kg), ali ne i nakon ponovljene oralne doze (1379 mg/m</w:t>
      </w:r>
      <w:r w:rsidRPr="00C0654D">
        <w:rPr>
          <w:bCs/>
          <w:sz w:val="22"/>
          <w:szCs w:val="22"/>
          <w:vertAlign w:val="superscript"/>
          <w:lang w:val="sr-Latn-ME"/>
        </w:rPr>
        <w:t>2</w:t>
      </w:r>
      <w:r w:rsidRPr="00C0654D">
        <w:rPr>
          <w:bCs/>
          <w:sz w:val="22"/>
          <w:szCs w:val="22"/>
          <w:lang w:val="sr-Latn-ME"/>
        </w:rPr>
        <w:t xml:space="preserve"> dnevno).  </w:t>
      </w:r>
    </w:p>
    <w:p w14:paraId="76413B73" w14:textId="77777777" w:rsidR="00EB7F47" w:rsidRPr="00C0654D" w:rsidRDefault="00EB7F47" w:rsidP="00CA1BE0">
      <w:pPr>
        <w:shd w:val="clear" w:color="auto" w:fill="FFFFFF"/>
        <w:tabs>
          <w:tab w:val="left" w:pos="284"/>
          <w:tab w:val="left" w:pos="9270"/>
        </w:tabs>
        <w:ind w:right="36"/>
        <w:jc w:val="both"/>
        <w:rPr>
          <w:bCs/>
          <w:sz w:val="22"/>
          <w:szCs w:val="22"/>
          <w:lang w:val="sr-Latn-ME"/>
        </w:rPr>
      </w:pPr>
    </w:p>
    <w:p w14:paraId="3F92B026" w14:textId="77777777" w:rsidR="00EB7F47" w:rsidRPr="00C0654D" w:rsidRDefault="00EB7F47">
      <w:pPr>
        <w:shd w:val="clear" w:color="auto" w:fill="FFFFFF"/>
        <w:tabs>
          <w:tab w:val="left" w:pos="284"/>
          <w:tab w:val="left" w:pos="9270"/>
        </w:tabs>
        <w:ind w:right="36"/>
        <w:jc w:val="both"/>
        <w:rPr>
          <w:bCs/>
          <w:sz w:val="22"/>
          <w:szCs w:val="22"/>
          <w:lang w:val="sr-Latn-ME"/>
        </w:rPr>
      </w:pPr>
      <w:r w:rsidRPr="00C0654D">
        <w:rPr>
          <w:bCs/>
          <w:sz w:val="22"/>
          <w:szCs w:val="22"/>
          <w:lang w:val="sr-Latn-ME"/>
        </w:rPr>
        <w:t xml:space="preserve">Dvogodišnje ispitivanje karcinogenosti na miševima nije dalo nikakve dokaze o karcinogenosti kapecitabina.  </w:t>
      </w:r>
    </w:p>
    <w:p w14:paraId="797C87EE" w14:textId="00E52D4A" w:rsidR="00EB7F47" w:rsidRPr="00C0654D" w:rsidRDefault="00EB7F47">
      <w:pPr>
        <w:shd w:val="clear" w:color="auto" w:fill="FFFFFF"/>
        <w:tabs>
          <w:tab w:val="left" w:pos="284"/>
          <w:tab w:val="left" w:pos="9270"/>
        </w:tabs>
        <w:ind w:right="36"/>
        <w:jc w:val="both"/>
        <w:rPr>
          <w:bCs/>
          <w:sz w:val="22"/>
          <w:szCs w:val="22"/>
          <w:lang w:val="sr-Latn-ME"/>
        </w:rPr>
      </w:pPr>
      <w:r w:rsidRPr="00C0654D">
        <w:rPr>
          <w:bCs/>
          <w:sz w:val="22"/>
          <w:szCs w:val="22"/>
          <w:lang w:val="sr-Latn-ME"/>
        </w:rPr>
        <w:t xml:space="preserve">Tokom standardnog ispitivanja dejstva na fertilnost, primijećena je smanjena fertilnost ženki miševa koje su primale kapecitabin. Međutim, ovo dejstvo je bilo reverzibilno nakon perioda bez primanja lijeka. Pored toga, tokom ispitivanja koje je trajalo 13 nedjelja, atrofične i degenerativne promjene pojavile su se na reproduktivnim organima mužjaka miševa. Međutim, ovi efekti su bili reverzibilni nakon perioda bez primanja lijeka (vidjeti </w:t>
      </w:r>
      <w:r w:rsidR="00BA7E76">
        <w:rPr>
          <w:bCs/>
          <w:sz w:val="22"/>
          <w:szCs w:val="22"/>
          <w:lang w:val="sr-Latn-ME"/>
        </w:rPr>
        <w:t xml:space="preserve">dio </w:t>
      </w:r>
      <w:r w:rsidRPr="00C0654D">
        <w:rPr>
          <w:bCs/>
          <w:sz w:val="22"/>
          <w:szCs w:val="22"/>
          <w:lang w:val="sr-Latn-ME"/>
        </w:rPr>
        <w:t xml:space="preserve">4.6.). </w:t>
      </w:r>
    </w:p>
    <w:p w14:paraId="3977A568" w14:textId="77777777" w:rsidR="00EB7F47" w:rsidRPr="00C0654D" w:rsidRDefault="00EB7F47">
      <w:pPr>
        <w:shd w:val="clear" w:color="auto" w:fill="FFFFFF"/>
        <w:tabs>
          <w:tab w:val="left" w:pos="284"/>
          <w:tab w:val="left" w:pos="9270"/>
        </w:tabs>
        <w:ind w:right="36"/>
        <w:jc w:val="both"/>
        <w:rPr>
          <w:bCs/>
          <w:sz w:val="22"/>
          <w:szCs w:val="22"/>
          <w:lang w:val="sr-Latn-ME"/>
        </w:rPr>
      </w:pPr>
      <w:r w:rsidRPr="00C0654D">
        <w:rPr>
          <w:bCs/>
          <w:sz w:val="22"/>
          <w:szCs w:val="22"/>
          <w:lang w:val="sr-Latn-ME"/>
        </w:rPr>
        <w:t xml:space="preserve">U ispitivanjima embriotoksičnosti i teratogenosti kod miševa, primijećeno je dozno srazmjerno povećanje fetalne resorpcije i teratogenosti. Kod majmuna, pobačaji i embrioletalnost zabilježeni su pri korišćenju visokih doza, ali nije bilo dokaza o teratogenosti.  </w:t>
      </w:r>
    </w:p>
    <w:p w14:paraId="3E1148A5" w14:textId="77777777" w:rsidR="00EB7F47" w:rsidRPr="00C0654D" w:rsidRDefault="00EB7F47">
      <w:pPr>
        <w:shd w:val="clear" w:color="auto" w:fill="FFFFFF"/>
        <w:tabs>
          <w:tab w:val="left" w:pos="284"/>
          <w:tab w:val="left" w:pos="9270"/>
        </w:tabs>
        <w:ind w:right="36"/>
        <w:jc w:val="both"/>
        <w:rPr>
          <w:bCs/>
          <w:sz w:val="22"/>
          <w:szCs w:val="22"/>
          <w:lang w:val="sr-Latn-ME"/>
        </w:rPr>
      </w:pPr>
    </w:p>
    <w:p w14:paraId="381CAED2" w14:textId="77777777" w:rsidR="00EB7F47" w:rsidRPr="00C0654D" w:rsidRDefault="00EB7F47">
      <w:pPr>
        <w:shd w:val="clear" w:color="auto" w:fill="FFFFFF"/>
        <w:tabs>
          <w:tab w:val="left" w:pos="284"/>
          <w:tab w:val="left" w:pos="9270"/>
        </w:tabs>
        <w:ind w:right="36"/>
        <w:jc w:val="both"/>
        <w:rPr>
          <w:bCs/>
          <w:sz w:val="22"/>
          <w:szCs w:val="22"/>
          <w:lang w:val="sr-Latn-ME"/>
        </w:rPr>
      </w:pPr>
      <w:r w:rsidRPr="00C0654D">
        <w:rPr>
          <w:bCs/>
          <w:sz w:val="22"/>
          <w:szCs w:val="22"/>
          <w:lang w:val="sr-Latn-ME"/>
        </w:rPr>
        <w:t xml:space="preserve">Kapecitabin nije imao mutageno dejstvo na bakterije </w:t>
      </w:r>
      <w:r w:rsidRPr="00C0654D">
        <w:rPr>
          <w:bCs/>
          <w:i/>
          <w:sz w:val="22"/>
          <w:szCs w:val="22"/>
          <w:lang w:val="sr-Latn-ME"/>
        </w:rPr>
        <w:t>in vitro</w:t>
      </w:r>
      <w:r w:rsidRPr="00C0654D">
        <w:rPr>
          <w:bCs/>
          <w:sz w:val="22"/>
          <w:szCs w:val="22"/>
          <w:lang w:val="sr-Latn-ME"/>
        </w:rPr>
        <w:t xml:space="preserve"> (Ames test) ili ćelije sisara (test genske mutacije V79/HPRT kineskog hrčka). Međutim, slično drugim analozima nukleozida (t.j. 5-FU), kapecitabin je imao klastogeno dejstvo na humane limfocite (</w:t>
      </w:r>
      <w:r w:rsidRPr="00C0654D">
        <w:rPr>
          <w:bCs/>
          <w:i/>
          <w:sz w:val="22"/>
          <w:szCs w:val="22"/>
          <w:lang w:val="sr-Latn-ME"/>
        </w:rPr>
        <w:t>in vitro</w:t>
      </w:r>
      <w:r w:rsidRPr="00C0654D">
        <w:rPr>
          <w:bCs/>
          <w:sz w:val="22"/>
          <w:szCs w:val="22"/>
          <w:lang w:val="sr-Latn-ME"/>
        </w:rPr>
        <w:t>), a pozitivan trend je zabilježen i u mikronukleusnom testu kostne srži kod miševa (</w:t>
      </w:r>
      <w:r w:rsidRPr="00C0654D">
        <w:rPr>
          <w:bCs/>
          <w:i/>
          <w:sz w:val="22"/>
          <w:szCs w:val="22"/>
          <w:lang w:val="sr-Latn-ME"/>
        </w:rPr>
        <w:t>in vivo</w:t>
      </w:r>
      <w:r w:rsidRPr="00C0654D">
        <w:rPr>
          <w:bCs/>
          <w:sz w:val="22"/>
          <w:szCs w:val="22"/>
          <w:lang w:val="sr-Latn-ME"/>
        </w:rPr>
        <w:t xml:space="preserve">).  </w:t>
      </w:r>
    </w:p>
    <w:p w14:paraId="5FA99B3F" w14:textId="004E522F" w:rsidR="00396DFD" w:rsidRPr="00C0654D" w:rsidRDefault="00396DFD" w:rsidP="00813C2B">
      <w:pPr>
        <w:tabs>
          <w:tab w:val="left" w:pos="540"/>
          <w:tab w:val="left" w:pos="569"/>
        </w:tabs>
        <w:jc w:val="both"/>
        <w:rPr>
          <w:b/>
          <w:bCs/>
          <w:sz w:val="22"/>
          <w:szCs w:val="22"/>
          <w:lang w:val="sr-Latn-ME"/>
        </w:rPr>
      </w:pPr>
    </w:p>
    <w:p w14:paraId="57B39716" w14:textId="77777777" w:rsidR="00EB7F47" w:rsidRPr="00C0654D" w:rsidRDefault="00EB7F47" w:rsidP="00813C2B">
      <w:pPr>
        <w:tabs>
          <w:tab w:val="left" w:pos="540"/>
          <w:tab w:val="left" w:pos="569"/>
        </w:tabs>
        <w:jc w:val="both"/>
        <w:rPr>
          <w:b/>
          <w:bCs/>
          <w:sz w:val="22"/>
          <w:szCs w:val="22"/>
          <w:lang w:val="sr-Latn-ME"/>
        </w:rPr>
      </w:pPr>
    </w:p>
    <w:p w14:paraId="5FA99B40" w14:textId="77777777" w:rsidR="0072020E" w:rsidRPr="00C0654D" w:rsidRDefault="0072020E" w:rsidP="00813C2B">
      <w:pPr>
        <w:tabs>
          <w:tab w:val="left" w:pos="540"/>
          <w:tab w:val="left" w:pos="569"/>
        </w:tabs>
        <w:jc w:val="both"/>
        <w:rPr>
          <w:b/>
          <w:bCs/>
          <w:sz w:val="22"/>
          <w:szCs w:val="22"/>
          <w:lang w:val="sr-Latn-ME"/>
        </w:rPr>
      </w:pPr>
      <w:r w:rsidRPr="00C0654D">
        <w:rPr>
          <w:b/>
          <w:bCs/>
          <w:sz w:val="22"/>
          <w:szCs w:val="22"/>
          <w:lang w:val="sr-Latn-ME"/>
        </w:rPr>
        <w:t xml:space="preserve">6. </w:t>
      </w:r>
      <w:r w:rsidR="00480FB1" w:rsidRPr="00C0654D">
        <w:rPr>
          <w:b/>
          <w:bCs/>
          <w:sz w:val="22"/>
          <w:szCs w:val="22"/>
          <w:lang w:val="sr-Latn-ME"/>
        </w:rPr>
        <w:tab/>
      </w:r>
      <w:r w:rsidRPr="00C0654D">
        <w:rPr>
          <w:b/>
          <w:bCs/>
          <w:sz w:val="22"/>
          <w:szCs w:val="22"/>
          <w:lang w:val="sr-Latn-ME"/>
        </w:rPr>
        <w:t>FARMACEUTSKI PODACI</w:t>
      </w:r>
    </w:p>
    <w:p w14:paraId="5FA99B41" w14:textId="77777777" w:rsidR="00836B35" w:rsidRPr="00C0654D" w:rsidRDefault="00836B35" w:rsidP="00813C2B">
      <w:pPr>
        <w:tabs>
          <w:tab w:val="left" w:pos="540"/>
          <w:tab w:val="left" w:pos="569"/>
        </w:tabs>
        <w:jc w:val="both"/>
        <w:rPr>
          <w:bCs/>
          <w:sz w:val="22"/>
          <w:szCs w:val="22"/>
          <w:lang w:val="sr-Latn-ME"/>
        </w:rPr>
      </w:pPr>
    </w:p>
    <w:p w14:paraId="5FA99B42" w14:textId="77777777" w:rsidR="0072020E" w:rsidRPr="00C0654D" w:rsidRDefault="0072020E" w:rsidP="00813C2B">
      <w:pPr>
        <w:tabs>
          <w:tab w:val="left" w:pos="540"/>
          <w:tab w:val="left" w:pos="569"/>
        </w:tabs>
        <w:jc w:val="both"/>
        <w:rPr>
          <w:b/>
          <w:bCs/>
          <w:sz w:val="22"/>
          <w:szCs w:val="22"/>
          <w:lang w:val="sr-Latn-ME"/>
        </w:rPr>
      </w:pPr>
      <w:r w:rsidRPr="00C0654D">
        <w:rPr>
          <w:b/>
          <w:bCs/>
          <w:sz w:val="22"/>
          <w:szCs w:val="22"/>
          <w:lang w:val="sr-Latn-ME"/>
        </w:rPr>
        <w:t xml:space="preserve">6.1. </w:t>
      </w:r>
      <w:r w:rsidR="00480FB1" w:rsidRPr="00C0654D">
        <w:rPr>
          <w:b/>
          <w:bCs/>
          <w:sz w:val="22"/>
          <w:szCs w:val="22"/>
          <w:lang w:val="sr-Latn-ME"/>
        </w:rPr>
        <w:tab/>
      </w:r>
      <w:r w:rsidRPr="00C0654D">
        <w:rPr>
          <w:b/>
          <w:bCs/>
          <w:sz w:val="22"/>
          <w:szCs w:val="22"/>
          <w:lang w:val="sr-Latn-ME"/>
        </w:rPr>
        <w:t>Lista pomoćnih supstanci</w:t>
      </w:r>
      <w:r w:rsidR="002E0135" w:rsidRPr="00C0654D">
        <w:rPr>
          <w:b/>
          <w:bCs/>
          <w:sz w:val="22"/>
          <w:szCs w:val="22"/>
          <w:lang w:val="sr-Latn-ME"/>
        </w:rPr>
        <w:t xml:space="preserve"> (ekscipijenasa)</w:t>
      </w:r>
    </w:p>
    <w:p w14:paraId="5FA99B43" w14:textId="1ED5150C" w:rsidR="0072020E" w:rsidRPr="00C0654D" w:rsidRDefault="0072020E" w:rsidP="00813C2B">
      <w:pPr>
        <w:tabs>
          <w:tab w:val="left" w:pos="540"/>
          <w:tab w:val="left" w:pos="569"/>
        </w:tabs>
        <w:jc w:val="both"/>
        <w:rPr>
          <w:bCs/>
          <w:sz w:val="22"/>
          <w:szCs w:val="22"/>
          <w:lang w:val="sr-Latn-ME"/>
        </w:rPr>
      </w:pPr>
    </w:p>
    <w:p w14:paraId="48FF4D8F" w14:textId="77777777" w:rsidR="00240DFC" w:rsidRPr="00C0654D" w:rsidRDefault="00240DFC" w:rsidP="00D85C58">
      <w:pPr>
        <w:tabs>
          <w:tab w:val="left" w:pos="284"/>
        </w:tabs>
        <w:jc w:val="both"/>
        <w:rPr>
          <w:i/>
          <w:sz w:val="22"/>
          <w:szCs w:val="22"/>
          <w:lang w:val="sr-Latn-ME"/>
        </w:rPr>
      </w:pPr>
      <w:r w:rsidRPr="00C0654D">
        <w:rPr>
          <w:i/>
          <w:sz w:val="22"/>
          <w:szCs w:val="22"/>
          <w:lang w:val="sr-Latn-ME"/>
        </w:rPr>
        <w:t>U sastavu jezgra tablete:</w:t>
      </w:r>
    </w:p>
    <w:p w14:paraId="054F3A80" w14:textId="2AAB5B86" w:rsidR="00240DFC" w:rsidRPr="00C0654D" w:rsidRDefault="00240DFC" w:rsidP="00CA1BE0">
      <w:pPr>
        <w:tabs>
          <w:tab w:val="left" w:pos="284"/>
        </w:tabs>
        <w:jc w:val="both"/>
        <w:rPr>
          <w:sz w:val="22"/>
          <w:szCs w:val="22"/>
          <w:lang w:val="sr-Latn-ME"/>
        </w:rPr>
      </w:pPr>
      <w:r w:rsidRPr="00C0654D">
        <w:rPr>
          <w:sz w:val="22"/>
          <w:szCs w:val="22"/>
          <w:lang w:val="sr-Latn-ME"/>
        </w:rPr>
        <w:t xml:space="preserve">Laktoza bezvodna </w:t>
      </w:r>
    </w:p>
    <w:p w14:paraId="4B83E1EB" w14:textId="5B67FF5D" w:rsidR="00240DFC" w:rsidRPr="00C0654D" w:rsidRDefault="00240DFC">
      <w:pPr>
        <w:tabs>
          <w:tab w:val="left" w:pos="284"/>
        </w:tabs>
        <w:jc w:val="both"/>
        <w:rPr>
          <w:sz w:val="22"/>
          <w:szCs w:val="22"/>
          <w:lang w:val="sr-Latn-ME"/>
        </w:rPr>
      </w:pPr>
      <w:r w:rsidRPr="00C0654D">
        <w:rPr>
          <w:sz w:val="22"/>
          <w:szCs w:val="22"/>
          <w:lang w:val="sr-Latn-ME"/>
        </w:rPr>
        <w:t xml:space="preserve">Celuloza mikrokristalna </w:t>
      </w:r>
    </w:p>
    <w:p w14:paraId="1D7ECEAA" w14:textId="1BA907CC" w:rsidR="00240DFC" w:rsidRPr="00C0654D" w:rsidRDefault="00240DFC">
      <w:pPr>
        <w:tabs>
          <w:tab w:val="left" w:pos="284"/>
        </w:tabs>
        <w:jc w:val="both"/>
        <w:rPr>
          <w:sz w:val="22"/>
          <w:szCs w:val="22"/>
          <w:lang w:val="sr-Latn-ME"/>
        </w:rPr>
      </w:pPr>
      <w:r w:rsidRPr="00C0654D">
        <w:rPr>
          <w:sz w:val="22"/>
          <w:szCs w:val="22"/>
          <w:lang w:val="sr-Latn-ME"/>
        </w:rPr>
        <w:t>Kroskarmeloza natrijum</w:t>
      </w:r>
    </w:p>
    <w:p w14:paraId="24CAFE84" w14:textId="2276E268" w:rsidR="00240DFC" w:rsidRPr="00C0654D" w:rsidRDefault="00240DFC">
      <w:pPr>
        <w:tabs>
          <w:tab w:val="left" w:pos="284"/>
        </w:tabs>
        <w:jc w:val="both"/>
        <w:rPr>
          <w:sz w:val="22"/>
          <w:szCs w:val="22"/>
          <w:lang w:val="sr-Latn-ME"/>
        </w:rPr>
      </w:pPr>
      <w:r w:rsidRPr="00C0654D">
        <w:rPr>
          <w:sz w:val="22"/>
          <w:szCs w:val="22"/>
          <w:lang w:val="sr-Latn-ME"/>
        </w:rPr>
        <w:t>Hipromeloza</w:t>
      </w:r>
    </w:p>
    <w:p w14:paraId="1A92CE9E" w14:textId="5C50C3CB" w:rsidR="00240DFC" w:rsidRPr="00C0654D" w:rsidRDefault="00240DFC">
      <w:pPr>
        <w:tabs>
          <w:tab w:val="left" w:pos="284"/>
        </w:tabs>
        <w:jc w:val="both"/>
        <w:rPr>
          <w:sz w:val="22"/>
          <w:szCs w:val="22"/>
          <w:lang w:val="sr-Latn-ME"/>
        </w:rPr>
      </w:pPr>
      <w:r w:rsidRPr="00C0654D">
        <w:rPr>
          <w:sz w:val="22"/>
          <w:szCs w:val="22"/>
          <w:lang w:val="sr-Latn-ME"/>
        </w:rPr>
        <w:t>Magnezijum stearat</w:t>
      </w:r>
    </w:p>
    <w:p w14:paraId="0D0D53E0" w14:textId="77777777" w:rsidR="00240DFC" w:rsidRPr="00C0654D" w:rsidRDefault="00240DFC">
      <w:pPr>
        <w:tabs>
          <w:tab w:val="left" w:pos="284"/>
        </w:tabs>
        <w:jc w:val="both"/>
        <w:rPr>
          <w:i/>
          <w:sz w:val="22"/>
          <w:szCs w:val="22"/>
          <w:lang w:val="sr-Latn-ME"/>
        </w:rPr>
      </w:pPr>
    </w:p>
    <w:p w14:paraId="53576EFF" w14:textId="77777777" w:rsidR="00240DFC" w:rsidRPr="00C0654D" w:rsidRDefault="00240DFC">
      <w:pPr>
        <w:tabs>
          <w:tab w:val="left" w:pos="284"/>
        </w:tabs>
        <w:jc w:val="both"/>
        <w:rPr>
          <w:i/>
          <w:sz w:val="22"/>
          <w:szCs w:val="22"/>
          <w:lang w:val="sr-Latn-ME"/>
        </w:rPr>
      </w:pPr>
      <w:r w:rsidRPr="00C0654D">
        <w:rPr>
          <w:i/>
          <w:sz w:val="22"/>
          <w:szCs w:val="22"/>
          <w:lang w:val="sr-Latn-ME"/>
        </w:rPr>
        <w:t xml:space="preserve">U sastavu film omotača: </w:t>
      </w:r>
    </w:p>
    <w:p w14:paraId="5C4A166F" w14:textId="22BD78CE" w:rsidR="00240DFC" w:rsidRPr="00C0654D" w:rsidRDefault="00240DFC">
      <w:pPr>
        <w:tabs>
          <w:tab w:val="left" w:pos="284"/>
        </w:tabs>
        <w:jc w:val="both"/>
        <w:rPr>
          <w:sz w:val="22"/>
          <w:szCs w:val="22"/>
          <w:lang w:val="sr-Latn-ME"/>
        </w:rPr>
      </w:pPr>
      <w:r w:rsidRPr="00C0654D">
        <w:rPr>
          <w:sz w:val="22"/>
          <w:szCs w:val="22"/>
          <w:lang w:val="sr-Latn-ME"/>
        </w:rPr>
        <w:t xml:space="preserve">Hipromeloza </w:t>
      </w:r>
    </w:p>
    <w:p w14:paraId="214B8C73" w14:textId="47FC5CDA" w:rsidR="00240DFC" w:rsidRPr="00C0654D" w:rsidRDefault="00240DFC">
      <w:pPr>
        <w:tabs>
          <w:tab w:val="left" w:pos="284"/>
        </w:tabs>
        <w:jc w:val="both"/>
        <w:rPr>
          <w:sz w:val="22"/>
          <w:szCs w:val="22"/>
          <w:lang w:val="sr-Latn-ME"/>
        </w:rPr>
      </w:pPr>
      <w:r w:rsidRPr="00C0654D">
        <w:rPr>
          <w:sz w:val="22"/>
          <w:szCs w:val="22"/>
          <w:lang w:val="sr-Latn-ME"/>
        </w:rPr>
        <w:t>Talk</w:t>
      </w:r>
    </w:p>
    <w:p w14:paraId="6A57CF5F" w14:textId="0E605FC3" w:rsidR="00240DFC" w:rsidRPr="00C0654D" w:rsidRDefault="00240DFC">
      <w:pPr>
        <w:tabs>
          <w:tab w:val="left" w:pos="284"/>
        </w:tabs>
        <w:jc w:val="both"/>
        <w:rPr>
          <w:sz w:val="22"/>
          <w:szCs w:val="22"/>
          <w:lang w:val="sr-Latn-ME"/>
        </w:rPr>
      </w:pPr>
      <w:r w:rsidRPr="00C0654D">
        <w:rPr>
          <w:sz w:val="22"/>
          <w:szCs w:val="22"/>
          <w:lang w:val="sr-Latn-ME"/>
        </w:rPr>
        <w:t xml:space="preserve">Titan dioksid (E 171) </w:t>
      </w:r>
    </w:p>
    <w:p w14:paraId="45BB672C" w14:textId="36581048" w:rsidR="00240DFC" w:rsidRPr="00C0654D" w:rsidRDefault="00240DFC">
      <w:pPr>
        <w:tabs>
          <w:tab w:val="left" w:pos="284"/>
        </w:tabs>
        <w:jc w:val="both"/>
        <w:rPr>
          <w:sz w:val="22"/>
          <w:szCs w:val="22"/>
          <w:lang w:val="sr-Latn-ME"/>
        </w:rPr>
      </w:pPr>
      <w:r w:rsidRPr="00C0654D">
        <w:rPr>
          <w:sz w:val="22"/>
          <w:szCs w:val="22"/>
          <w:lang w:val="sr-Latn-ME"/>
        </w:rPr>
        <w:t xml:space="preserve">Gvožđe (III) oksid, crveni (E 172) </w:t>
      </w:r>
    </w:p>
    <w:p w14:paraId="4171DFE5" w14:textId="5C9D81DD" w:rsidR="00240DFC" w:rsidRPr="00C0654D" w:rsidRDefault="00240DFC">
      <w:pPr>
        <w:tabs>
          <w:tab w:val="left" w:pos="284"/>
        </w:tabs>
        <w:jc w:val="both"/>
        <w:rPr>
          <w:sz w:val="22"/>
          <w:szCs w:val="22"/>
          <w:lang w:val="sr-Latn-ME"/>
        </w:rPr>
      </w:pPr>
      <w:r w:rsidRPr="00C0654D">
        <w:rPr>
          <w:sz w:val="22"/>
          <w:szCs w:val="22"/>
          <w:lang w:val="sr-Latn-ME"/>
        </w:rPr>
        <w:t>Gvožđe (III) oksid, žuti (E 172)</w:t>
      </w:r>
    </w:p>
    <w:p w14:paraId="6F952D7F" w14:textId="77777777" w:rsidR="00240DFC" w:rsidRPr="00C0654D" w:rsidRDefault="00240DFC" w:rsidP="00813C2B">
      <w:pPr>
        <w:tabs>
          <w:tab w:val="left" w:pos="540"/>
          <w:tab w:val="left" w:pos="569"/>
        </w:tabs>
        <w:jc w:val="both"/>
        <w:rPr>
          <w:bCs/>
          <w:sz w:val="22"/>
          <w:szCs w:val="22"/>
          <w:lang w:val="sr-Latn-ME"/>
        </w:rPr>
      </w:pPr>
    </w:p>
    <w:p w14:paraId="5FA99B44" w14:textId="77777777" w:rsidR="0072020E" w:rsidRPr="00C0654D" w:rsidRDefault="0072020E" w:rsidP="00813C2B">
      <w:pPr>
        <w:tabs>
          <w:tab w:val="left" w:pos="540"/>
          <w:tab w:val="left" w:pos="569"/>
        </w:tabs>
        <w:jc w:val="both"/>
        <w:rPr>
          <w:b/>
          <w:bCs/>
          <w:sz w:val="22"/>
          <w:szCs w:val="22"/>
          <w:lang w:val="sr-Latn-ME"/>
        </w:rPr>
      </w:pPr>
      <w:r w:rsidRPr="00C0654D">
        <w:rPr>
          <w:b/>
          <w:bCs/>
          <w:sz w:val="22"/>
          <w:szCs w:val="22"/>
          <w:lang w:val="sr-Latn-ME"/>
        </w:rPr>
        <w:t xml:space="preserve">6.2. </w:t>
      </w:r>
      <w:r w:rsidR="00480FB1" w:rsidRPr="00C0654D">
        <w:rPr>
          <w:b/>
          <w:bCs/>
          <w:sz w:val="22"/>
          <w:szCs w:val="22"/>
          <w:lang w:val="sr-Latn-ME"/>
        </w:rPr>
        <w:tab/>
      </w:r>
      <w:r w:rsidRPr="00C0654D">
        <w:rPr>
          <w:b/>
          <w:bCs/>
          <w:sz w:val="22"/>
          <w:szCs w:val="22"/>
          <w:lang w:val="sr-Latn-ME"/>
        </w:rPr>
        <w:t>Inkompatibilnost</w:t>
      </w:r>
      <w:r w:rsidR="002846DB" w:rsidRPr="00C0654D">
        <w:rPr>
          <w:b/>
          <w:bCs/>
          <w:sz w:val="22"/>
          <w:szCs w:val="22"/>
          <w:lang w:val="sr-Latn-ME"/>
        </w:rPr>
        <w:t>i</w:t>
      </w:r>
    </w:p>
    <w:p w14:paraId="5FA99B45" w14:textId="1D683EC0" w:rsidR="0072020E" w:rsidRPr="00C0654D" w:rsidRDefault="0072020E" w:rsidP="00813C2B">
      <w:pPr>
        <w:tabs>
          <w:tab w:val="left" w:pos="540"/>
          <w:tab w:val="left" w:pos="569"/>
        </w:tabs>
        <w:jc w:val="both"/>
        <w:rPr>
          <w:bCs/>
          <w:sz w:val="22"/>
          <w:szCs w:val="22"/>
          <w:lang w:val="sr-Latn-ME"/>
        </w:rPr>
      </w:pPr>
    </w:p>
    <w:p w14:paraId="71C92E13" w14:textId="45A9BD07" w:rsidR="00DF2B52" w:rsidRPr="00C0654D" w:rsidRDefault="00DF2B52" w:rsidP="00D85C58">
      <w:pPr>
        <w:tabs>
          <w:tab w:val="left" w:pos="284"/>
        </w:tabs>
        <w:jc w:val="both"/>
        <w:rPr>
          <w:sz w:val="22"/>
          <w:szCs w:val="22"/>
          <w:lang w:val="sr-Latn-ME"/>
        </w:rPr>
      </w:pPr>
      <w:r w:rsidRPr="00C0654D">
        <w:rPr>
          <w:sz w:val="22"/>
          <w:szCs w:val="22"/>
          <w:lang w:val="sr-Latn-ME"/>
        </w:rPr>
        <w:t xml:space="preserve">Nije </w:t>
      </w:r>
      <w:r w:rsidR="003661EF" w:rsidRPr="003661EF">
        <w:rPr>
          <w:sz w:val="22"/>
          <w:szCs w:val="22"/>
          <w:lang w:val="sr-Latn-ME"/>
        </w:rPr>
        <w:t>prim</w:t>
      </w:r>
      <w:r w:rsidR="00C41DD2">
        <w:rPr>
          <w:sz w:val="22"/>
          <w:szCs w:val="22"/>
          <w:lang w:val="sr-Latn-ME"/>
        </w:rPr>
        <w:t>j</w:t>
      </w:r>
      <w:r w:rsidR="003661EF" w:rsidRPr="003661EF">
        <w:rPr>
          <w:sz w:val="22"/>
          <w:szCs w:val="22"/>
          <w:lang w:val="sr-Latn-ME"/>
        </w:rPr>
        <w:t>enljivo</w:t>
      </w:r>
      <w:r w:rsidRPr="00C0654D">
        <w:rPr>
          <w:sz w:val="22"/>
          <w:szCs w:val="22"/>
          <w:lang w:val="sr-Latn-ME"/>
        </w:rPr>
        <w:t>.</w:t>
      </w:r>
    </w:p>
    <w:p w14:paraId="433C0CF0" w14:textId="77777777" w:rsidR="00DF2B52" w:rsidRPr="00C0654D" w:rsidRDefault="00DF2B52" w:rsidP="00813C2B">
      <w:pPr>
        <w:tabs>
          <w:tab w:val="left" w:pos="540"/>
          <w:tab w:val="left" w:pos="569"/>
        </w:tabs>
        <w:jc w:val="both"/>
        <w:rPr>
          <w:bCs/>
          <w:sz w:val="22"/>
          <w:szCs w:val="22"/>
          <w:lang w:val="sr-Latn-ME"/>
        </w:rPr>
      </w:pPr>
    </w:p>
    <w:p w14:paraId="5FA99B46" w14:textId="77777777" w:rsidR="0072020E" w:rsidRPr="00C0654D" w:rsidRDefault="0072020E" w:rsidP="00813C2B">
      <w:pPr>
        <w:tabs>
          <w:tab w:val="left" w:pos="540"/>
          <w:tab w:val="left" w:pos="569"/>
        </w:tabs>
        <w:jc w:val="both"/>
        <w:rPr>
          <w:b/>
          <w:bCs/>
          <w:sz w:val="22"/>
          <w:szCs w:val="22"/>
          <w:lang w:val="sr-Latn-ME"/>
        </w:rPr>
      </w:pPr>
      <w:r w:rsidRPr="00C0654D">
        <w:rPr>
          <w:b/>
          <w:bCs/>
          <w:sz w:val="22"/>
          <w:szCs w:val="22"/>
          <w:lang w:val="sr-Latn-ME"/>
        </w:rPr>
        <w:t>6.3.</w:t>
      </w:r>
      <w:r w:rsidR="00C05DF8" w:rsidRPr="00C0654D">
        <w:rPr>
          <w:b/>
          <w:bCs/>
          <w:sz w:val="22"/>
          <w:szCs w:val="22"/>
          <w:lang w:val="sr-Latn-ME"/>
        </w:rPr>
        <w:t xml:space="preserve"> </w:t>
      </w:r>
      <w:r w:rsidR="00480FB1" w:rsidRPr="00C0654D">
        <w:rPr>
          <w:b/>
          <w:bCs/>
          <w:sz w:val="22"/>
          <w:szCs w:val="22"/>
          <w:lang w:val="sr-Latn-ME"/>
        </w:rPr>
        <w:tab/>
      </w:r>
      <w:r w:rsidRPr="00C0654D">
        <w:rPr>
          <w:b/>
          <w:bCs/>
          <w:sz w:val="22"/>
          <w:szCs w:val="22"/>
          <w:lang w:val="sr-Latn-ME"/>
        </w:rPr>
        <w:t>Rok upotrebe</w:t>
      </w:r>
    </w:p>
    <w:p w14:paraId="5FA99B47" w14:textId="7AB33691" w:rsidR="0072020E" w:rsidRPr="00C0654D" w:rsidRDefault="0072020E" w:rsidP="00813C2B">
      <w:pPr>
        <w:tabs>
          <w:tab w:val="left" w:pos="540"/>
          <w:tab w:val="left" w:pos="569"/>
        </w:tabs>
        <w:jc w:val="both"/>
        <w:rPr>
          <w:bCs/>
          <w:sz w:val="22"/>
          <w:szCs w:val="22"/>
          <w:lang w:val="sr-Latn-ME"/>
        </w:rPr>
      </w:pPr>
    </w:p>
    <w:p w14:paraId="0B693F2E" w14:textId="77777777" w:rsidR="00A64DF5" w:rsidRPr="00C0654D" w:rsidRDefault="00A64DF5" w:rsidP="00D85C58">
      <w:pPr>
        <w:tabs>
          <w:tab w:val="left" w:pos="284"/>
        </w:tabs>
        <w:jc w:val="both"/>
        <w:rPr>
          <w:sz w:val="22"/>
          <w:szCs w:val="22"/>
          <w:lang w:val="sr-Latn-ME"/>
        </w:rPr>
      </w:pPr>
      <w:r w:rsidRPr="00C0654D">
        <w:rPr>
          <w:sz w:val="22"/>
          <w:szCs w:val="22"/>
          <w:lang w:val="sr-Latn-ME"/>
        </w:rPr>
        <w:t>3 godine</w:t>
      </w:r>
    </w:p>
    <w:p w14:paraId="484147B8" w14:textId="77777777" w:rsidR="00A64DF5" w:rsidRPr="00C0654D" w:rsidRDefault="00A64DF5" w:rsidP="00813C2B">
      <w:pPr>
        <w:tabs>
          <w:tab w:val="left" w:pos="540"/>
          <w:tab w:val="left" w:pos="569"/>
        </w:tabs>
        <w:jc w:val="both"/>
        <w:rPr>
          <w:bCs/>
          <w:sz w:val="22"/>
          <w:szCs w:val="22"/>
          <w:lang w:val="sr-Latn-ME"/>
        </w:rPr>
      </w:pPr>
    </w:p>
    <w:p w14:paraId="5FA99B48" w14:textId="77777777" w:rsidR="0072020E" w:rsidRPr="00C0654D" w:rsidRDefault="0072020E" w:rsidP="00813C2B">
      <w:pPr>
        <w:tabs>
          <w:tab w:val="left" w:pos="540"/>
          <w:tab w:val="left" w:pos="569"/>
        </w:tabs>
        <w:jc w:val="both"/>
        <w:rPr>
          <w:b/>
          <w:bCs/>
          <w:sz w:val="22"/>
          <w:szCs w:val="22"/>
          <w:lang w:val="sr-Latn-ME"/>
        </w:rPr>
      </w:pPr>
      <w:r w:rsidRPr="00C0654D">
        <w:rPr>
          <w:b/>
          <w:bCs/>
          <w:sz w:val="22"/>
          <w:szCs w:val="22"/>
          <w:lang w:val="sr-Latn-ME"/>
        </w:rPr>
        <w:t xml:space="preserve">6.4. </w:t>
      </w:r>
      <w:r w:rsidR="00480FB1" w:rsidRPr="00C0654D">
        <w:rPr>
          <w:b/>
          <w:bCs/>
          <w:sz w:val="22"/>
          <w:szCs w:val="22"/>
          <w:lang w:val="sr-Latn-ME"/>
        </w:rPr>
        <w:tab/>
      </w:r>
      <w:r w:rsidRPr="00C0654D">
        <w:rPr>
          <w:b/>
          <w:bCs/>
          <w:sz w:val="22"/>
          <w:szCs w:val="22"/>
          <w:lang w:val="sr-Latn-ME"/>
        </w:rPr>
        <w:t>Posebne mjere upozorenja pri čuvanju</w:t>
      </w:r>
      <w:r w:rsidR="00F8570A" w:rsidRPr="00C0654D">
        <w:rPr>
          <w:b/>
          <w:bCs/>
          <w:sz w:val="22"/>
          <w:szCs w:val="22"/>
          <w:lang w:val="sr-Latn-ME"/>
        </w:rPr>
        <w:t xml:space="preserve"> lijeka</w:t>
      </w:r>
    </w:p>
    <w:p w14:paraId="5FA99B49" w14:textId="1D3151A7" w:rsidR="00EC2532" w:rsidRPr="00C0654D" w:rsidRDefault="00EC2532" w:rsidP="00813C2B">
      <w:pPr>
        <w:tabs>
          <w:tab w:val="left" w:pos="540"/>
          <w:tab w:val="left" w:pos="569"/>
        </w:tabs>
        <w:jc w:val="both"/>
        <w:rPr>
          <w:bCs/>
          <w:sz w:val="22"/>
          <w:szCs w:val="22"/>
          <w:lang w:val="sr-Latn-ME"/>
        </w:rPr>
      </w:pPr>
    </w:p>
    <w:p w14:paraId="563E98B9" w14:textId="77777777" w:rsidR="00FC7A94" w:rsidRPr="00C0654D" w:rsidRDefault="00FC7A94" w:rsidP="00D85C58">
      <w:pPr>
        <w:tabs>
          <w:tab w:val="left" w:pos="284"/>
        </w:tabs>
        <w:jc w:val="both"/>
        <w:rPr>
          <w:sz w:val="22"/>
          <w:szCs w:val="22"/>
          <w:lang w:val="sr-Latn-ME"/>
        </w:rPr>
      </w:pPr>
      <w:r w:rsidRPr="00C0654D">
        <w:rPr>
          <w:sz w:val="22"/>
          <w:szCs w:val="22"/>
          <w:lang w:val="sr-Latn-ME"/>
        </w:rPr>
        <w:t>Čuvati na temperaturi do 30°C.</w:t>
      </w:r>
    </w:p>
    <w:p w14:paraId="08163010" w14:textId="77777777" w:rsidR="00FC7A94" w:rsidRPr="00C0654D" w:rsidRDefault="00FC7A94" w:rsidP="00813C2B">
      <w:pPr>
        <w:tabs>
          <w:tab w:val="left" w:pos="540"/>
          <w:tab w:val="left" w:pos="569"/>
        </w:tabs>
        <w:jc w:val="both"/>
        <w:rPr>
          <w:bCs/>
          <w:sz w:val="22"/>
          <w:szCs w:val="22"/>
          <w:lang w:val="sr-Latn-ME"/>
        </w:rPr>
      </w:pPr>
    </w:p>
    <w:p w14:paraId="5FA99B4A" w14:textId="77777777" w:rsidR="0072020E" w:rsidRPr="006266C5" w:rsidRDefault="0072020E" w:rsidP="00813C2B">
      <w:pPr>
        <w:tabs>
          <w:tab w:val="left" w:pos="540"/>
          <w:tab w:val="left" w:pos="569"/>
        </w:tabs>
        <w:jc w:val="both"/>
        <w:rPr>
          <w:b/>
          <w:bCs/>
          <w:sz w:val="22"/>
          <w:szCs w:val="22"/>
          <w:lang w:val="sr-Latn-ME"/>
        </w:rPr>
      </w:pPr>
      <w:r w:rsidRPr="006266C5">
        <w:rPr>
          <w:b/>
          <w:bCs/>
          <w:sz w:val="22"/>
          <w:szCs w:val="22"/>
          <w:lang w:val="sr-Latn-ME"/>
        </w:rPr>
        <w:lastRenderedPageBreak/>
        <w:t xml:space="preserve">6.5. </w:t>
      </w:r>
      <w:r w:rsidR="00480FB1" w:rsidRPr="006266C5">
        <w:rPr>
          <w:b/>
          <w:bCs/>
          <w:sz w:val="22"/>
          <w:szCs w:val="22"/>
          <w:lang w:val="sr-Latn-ME"/>
        </w:rPr>
        <w:tab/>
      </w:r>
      <w:r w:rsidR="002846DB" w:rsidRPr="006266C5">
        <w:rPr>
          <w:b/>
          <w:bCs/>
          <w:sz w:val="22"/>
          <w:szCs w:val="22"/>
          <w:lang w:val="sr-Latn-ME"/>
        </w:rPr>
        <w:t xml:space="preserve">Vrsta i sadržaj </w:t>
      </w:r>
      <w:r w:rsidR="00F8570A" w:rsidRPr="006266C5">
        <w:rPr>
          <w:b/>
          <w:bCs/>
          <w:sz w:val="22"/>
          <w:szCs w:val="22"/>
          <w:lang w:val="sr-Latn-ME"/>
        </w:rPr>
        <w:t>pakovanja</w:t>
      </w:r>
      <w:r w:rsidR="00C06864" w:rsidRPr="006266C5">
        <w:rPr>
          <w:b/>
          <w:bCs/>
          <w:sz w:val="22"/>
          <w:szCs w:val="22"/>
          <w:lang w:val="sr-Latn-ME"/>
        </w:rPr>
        <w:t xml:space="preserve"> </w:t>
      </w:r>
    </w:p>
    <w:p w14:paraId="6E38B24F" w14:textId="77777777" w:rsidR="0002629C" w:rsidRPr="006266C5" w:rsidRDefault="0002629C" w:rsidP="00813C2B">
      <w:pPr>
        <w:tabs>
          <w:tab w:val="left" w:pos="540"/>
          <w:tab w:val="left" w:pos="569"/>
        </w:tabs>
        <w:jc w:val="both"/>
        <w:rPr>
          <w:bCs/>
          <w:sz w:val="22"/>
          <w:szCs w:val="22"/>
          <w:lang w:val="sr-Latn-ME"/>
        </w:rPr>
      </w:pPr>
    </w:p>
    <w:p w14:paraId="7CFD3B7B" w14:textId="14A2A93C" w:rsidR="002827B5" w:rsidRPr="006266C5" w:rsidRDefault="002827B5" w:rsidP="00D85C58">
      <w:pPr>
        <w:tabs>
          <w:tab w:val="left" w:pos="284"/>
        </w:tabs>
        <w:jc w:val="both"/>
        <w:rPr>
          <w:sz w:val="22"/>
          <w:szCs w:val="22"/>
          <w:lang w:val="sr-Latn-ME"/>
        </w:rPr>
      </w:pPr>
      <w:r w:rsidRPr="006266C5">
        <w:rPr>
          <w:sz w:val="22"/>
          <w:szCs w:val="22"/>
          <w:lang w:val="sr-Latn-ME"/>
        </w:rPr>
        <w:t>Unutrašnje pakovanje je</w:t>
      </w:r>
      <w:r w:rsidR="00C70C1E" w:rsidRPr="006266C5">
        <w:rPr>
          <w:sz w:val="22"/>
          <w:szCs w:val="22"/>
          <w:lang w:val="sr-Latn-ME"/>
        </w:rPr>
        <w:t xml:space="preserve"> PVC/PVdC-Alu blister ili Alu/Alu blister </w:t>
      </w:r>
      <w:r w:rsidRPr="006266C5">
        <w:rPr>
          <w:sz w:val="22"/>
          <w:szCs w:val="22"/>
          <w:lang w:val="sr-Latn-ME"/>
        </w:rPr>
        <w:t>koji sadrži</w:t>
      </w:r>
      <w:r w:rsidR="00C70C1E" w:rsidRPr="006266C5">
        <w:rPr>
          <w:sz w:val="22"/>
          <w:szCs w:val="22"/>
          <w:lang w:val="sr-Latn-ME"/>
        </w:rPr>
        <w:t xml:space="preserve"> 10 film tableta</w:t>
      </w:r>
      <w:r w:rsidRPr="006266C5">
        <w:rPr>
          <w:sz w:val="22"/>
          <w:szCs w:val="22"/>
          <w:lang w:val="sr-Latn-ME"/>
        </w:rPr>
        <w:t>.</w:t>
      </w:r>
    </w:p>
    <w:p w14:paraId="15EB9F25" w14:textId="2ADE451D" w:rsidR="00C70C1E" w:rsidRPr="006266C5" w:rsidRDefault="002827B5" w:rsidP="00D85C58">
      <w:pPr>
        <w:tabs>
          <w:tab w:val="left" w:pos="284"/>
        </w:tabs>
        <w:jc w:val="both"/>
        <w:rPr>
          <w:sz w:val="22"/>
          <w:szCs w:val="22"/>
          <w:lang w:val="sr-Latn-ME"/>
        </w:rPr>
      </w:pPr>
      <w:r w:rsidRPr="006266C5">
        <w:rPr>
          <w:sz w:val="22"/>
          <w:szCs w:val="22"/>
          <w:lang w:val="sr-Latn-ME"/>
        </w:rPr>
        <w:t>Spoljnje pakovanje je složiva kartonska kutija koja sadrži 12 blistera (120 film tableta) i Uputstvo za lijek.</w:t>
      </w:r>
    </w:p>
    <w:p w14:paraId="2CC17D2B" w14:textId="77777777" w:rsidR="00C70C1E" w:rsidRPr="006266C5" w:rsidRDefault="00C70C1E" w:rsidP="00813C2B">
      <w:pPr>
        <w:tabs>
          <w:tab w:val="left" w:pos="540"/>
          <w:tab w:val="left" w:pos="569"/>
        </w:tabs>
        <w:jc w:val="both"/>
        <w:rPr>
          <w:bCs/>
          <w:sz w:val="22"/>
          <w:szCs w:val="22"/>
          <w:lang w:val="sr-Latn-ME"/>
        </w:rPr>
      </w:pPr>
    </w:p>
    <w:p w14:paraId="5FA99B4C" w14:textId="77777777" w:rsidR="002846DB" w:rsidRPr="006266C5" w:rsidRDefault="0072020E" w:rsidP="00813C2B">
      <w:pPr>
        <w:tabs>
          <w:tab w:val="left" w:pos="540"/>
          <w:tab w:val="left" w:pos="569"/>
        </w:tabs>
        <w:jc w:val="both"/>
        <w:rPr>
          <w:b/>
          <w:bCs/>
          <w:sz w:val="22"/>
          <w:szCs w:val="22"/>
          <w:lang w:val="sr-Latn-ME"/>
        </w:rPr>
      </w:pPr>
      <w:r w:rsidRPr="006266C5">
        <w:rPr>
          <w:b/>
          <w:bCs/>
          <w:sz w:val="22"/>
          <w:szCs w:val="22"/>
          <w:lang w:val="sr-Latn-ME"/>
        </w:rPr>
        <w:t xml:space="preserve">6.6. </w:t>
      </w:r>
      <w:r w:rsidR="00480FB1" w:rsidRPr="006266C5">
        <w:rPr>
          <w:b/>
          <w:bCs/>
          <w:sz w:val="22"/>
          <w:szCs w:val="22"/>
          <w:lang w:val="sr-Latn-ME"/>
        </w:rPr>
        <w:tab/>
      </w:r>
      <w:r w:rsidRPr="006266C5">
        <w:rPr>
          <w:b/>
          <w:bCs/>
          <w:color w:val="000000"/>
          <w:sz w:val="22"/>
          <w:szCs w:val="22"/>
          <w:lang w:val="sr-Latn-ME"/>
        </w:rPr>
        <w:t>Posebne mjere opreza pri odlaganju materijala koji treba odbaciti nakon primjene lijeka</w:t>
      </w:r>
      <w:r w:rsidRPr="006266C5">
        <w:rPr>
          <w:b/>
          <w:bCs/>
          <w:sz w:val="22"/>
          <w:szCs w:val="22"/>
          <w:lang w:val="sr-Latn-ME"/>
        </w:rPr>
        <w:t xml:space="preserve"> </w:t>
      </w:r>
      <w:r w:rsidR="00310F03" w:rsidRPr="006266C5">
        <w:rPr>
          <w:b/>
          <w:bCs/>
          <w:sz w:val="22"/>
          <w:szCs w:val="22"/>
          <w:lang w:val="sr-Latn-ME"/>
        </w:rPr>
        <w:t xml:space="preserve">(i druga uputsva za rukovanje lijekom) </w:t>
      </w:r>
    </w:p>
    <w:p w14:paraId="5FA99B4D" w14:textId="73AB365D" w:rsidR="00B66A70" w:rsidRPr="006266C5" w:rsidRDefault="00B66A70" w:rsidP="00813C2B">
      <w:pPr>
        <w:tabs>
          <w:tab w:val="left" w:pos="540"/>
          <w:tab w:val="left" w:pos="569"/>
        </w:tabs>
        <w:jc w:val="both"/>
        <w:rPr>
          <w:b/>
          <w:bCs/>
          <w:sz w:val="22"/>
          <w:szCs w:val="22"/>
          <w:lang w:val="sr-Latn-ME"/>
        </w:rPr>
      </w:pPr>
    </w:p>
    <w:p w14:paraId="730953F3" w14:textId="77777777" w:rsidR="00AC584B" w:rsidRPr="006266C5" w:rsidRDefault="00AC584B" w:rsidP="00D85C58">
      <w:pPr>
        <w:tabs>
          <w:tab w:val="left" w:pos="284"/>
          <w:tab w:val="center" w:pos="4536"/>
          <w:tab w:val="right" w:pos="9072"/>
        </w:tabs>
        <w:jc w:val="both"/>
        <w:rPr>
          <w:sz w:val="22"/>
          <w:szCs w:val="22"/>
          <w:lang w:val="sr-Latn-ME"/>
        </w:rPr>
      </w:pPr>
      <w:r w:rsidRPr="006266C5">
        <w:rPr>
          <w:sz w:val="22"/>
          <w:szCs w:val="22"/>
          <w:lang w:val="sr-Latn-ME"/>
        </w:rPr>
        <w:t>Neupotrijebljeni lijek ili ostatak lijeka se odlaže i uništava u skladu sa važećim propisima.</w:t>
      </w:r>
    </w:p>
    <w:p w14:paraId="0A517BDC" w14:textId="77777777" w:rsidR="00AC584B" w:rsidRPr="006266C5" w:rsidRDefault="00AC584B" w:rsidP="00813C2B">
      <w:pPr>
        <w:tabs>
          <w:tab w:val="left" w:pos="540"/>
          <w:tab w:val="left" w:pos="569"/>
        </w:tabs>
        <w:jc w:val="both"/>
        <w:rPr>
          <w:b/>
          <w:bCs/>
          <w:sz w:val="22"/>
          <w:szCs w:val="22"/>
          <w:lang w:val="sr-Latn-ME"/>
        </w:rPr>
      </w:pPr>
    </w:p>
    <w:p w14:paraId="5FA99B4E" w14:textId="77777777" w:rsidR="0072020E" w:rsidRPr="006266C5" w:rsidRDefault="0072020E" w:rsidP="00813C2B">
      <w:pPr>
        <w:tabs>
          <w:tab w:val="left" w:pos="540"/>
          <w:tab w:val="left" w:pos="569"/>
        </w:tabs>
        <w:jc w:val="both"/>
        <w:rPr>
          <w:bCs/>
          <w:sz w:val="22"/>
          <w:szCs w:val="22"/>
          <w:lang w:val="sr-Latn-ME"/>
        </w:rPr>
      </w:pPr>
    </w:p>
    <w:p w14:paraId="5FA99B4F" w14:textId="77777777" w:rsidR="00F8570A" w:rsidRPr="006266C5" w:rsidRDefault="0072020E" w:rsidP="00813C2B">
      <w:pPr>
        <w:tabs>
          <w:tab w:val="left" w:pos="540"/>
          <w:tab w:val="left" w:pos="569"/>
        </w:tabs>
        <w:jc w:val="both"/>
        <w:rPr>
          <w:b/>
          <w:bCs/>
          <w:sz w:val="22"/>
          <w:szCs w:val="22"/>
          <w:lang w:val="sr-Latn-ME"/>
        </w:rPr>
      </w:pPr>
      <w:r w:rsidRPr="006266C5">
        <w:rPr>
          <w:b/>
          <w:bCs/>
          <w:sz w:val="22"/>
          <w:szCs w:val="22"/>
          <w:lang w:val="sr-Latn-ME"/>
        </w:rPr>
        <w:t xml:space="preserve">7. </w:t>
      </w:r>
      <w:r w:rsidR="00480FB1" w:rsidRPr="006266C5">
        <w:rPr>
          <w:b/>
          <w:bCs/>
          <w:sz w:val="22"/>
          <w:szCs w:val="22"/>
          <w:lang w:val="sr-Latn-ME"/>
        </w:rPr>
        <w:tab/>
      </w:r>
      <w:r w:rsidRPr="006266C5">
        <w:rPr>
          <w:b/>
          <w:bCs/>
          <w:sz w:val="22"/>
          <w:szCs w:val="22"/>
          <w:lang w:val="sr-Latn-ME"/>
        </w:rPr>
        <w:t>NOSILAC DOZVOLE</w:t>
      </w:r>
      <w:r w:rsidR="00483928" w:rsidRPr="006266C5">
        <w:rPr>
          <w:b/>
          <w:bCs/>
          <w:sz w:val="22"/>
          <w:szCs w:val="22"/>
          <w:lang w:val="sr-Latn-ME"/>
        </w:rPr>
        <w:t xml:space="preserve"> </w:t>
      </w:r>
    </w:p>
    <w:p w14:paraId="5FA99B50" w14:textId="77777777" w:rsidR="00C61BE0" w:rsidRPr="006266C5" w:rsidRDefault="00C61BE0" w:rsidP="00813C2B">
      <w:pPr>
        <w:tabs>
          <w:tab w:val="left" w:pos="540"/>
          <w:tab w:val="left" w:pos="569"/>
        </w:tabs>
        <w:jc w:val="both"/>
        <w:rPr>
          <w:bCs/>
          <w:sz w:val="22"/>
          <w:szCs w:val="22"/>
          <w:lang w:val="sr-Latn-ME"/>
        </w:rPr>
      </w:pPr>
    </w:p>
    <w:p w14:paraId="302FDA46" w14:textId="75F387D7" w:rsidR="005D65AB" w:rsidRPr="000D3B8C" w:rsidRDefault="005D65AB" w:rsidP="00D85C58">
      <w:pPr>
        <w:tabs>
          <w:tab w:val="left" w:pos="284"/>
          <w:tab w:val="left" w:pos="540"/>
          <w:tab w:val="left" w:pos="569"/>
        </w:tabs>
        <w:jc w:val="both"/>
        <w:rPr>
          <w:sz w:val="22"/>
          <w:szCs w:val="22"/>
          <w:lang w:val="sr-Latn-ME"/>
        </w:rPr>
      </w:pPr>
      <w:r w:rsidRPr="000D3B8C">
        <w:rPr>
          <w:sz w:val="22"/>
          <w:szCs w:val="22"/>
          <w:lang w:val="sr-Latn-ME"/>
        </w:rPr>
        <w:t>PharmaSwiss - Montenegro, PharmaSwiss d</w:t>
      </w:r>
      <w:r w:rsidR="006266C5" w:rsidRPr="000D3B8C">
        <w:rPr>
          <w:sz w:val="22"/>
          <w:szCs w:val="22"/>
          <w:lang w:val="sr-Latn-ME"/>
        </w:rPr>
        <w:t>.</w:t>
      </w:r>
      <w:r w:rsidRPr="000D3B8C">
        <w:rPr>
          <w:sz w:val="22"/>
          <w:szCs w:val="22"/>
          <w:lang w:val="sr-Latn-ME"/>
        </w:rPr>
        <w:t>o</w:t>
      </w:r>
      <w:r w:rsidR="006266C5" w:rsidRPr="000D3B8C">
        <w:rPr>
          <w:sz w:val="22"/>
          <w:szCs w:val="22"/>
          <w:lang w:val="sr-Latn-ME"/>
        </w:rPr>
        <w:t>.</w:t>
      </w:r>
      <w:r w:rsidRPr="000D3B8C">
        <w:rPr>
          <w:sz w:val="22"/>
          <w:szCs w:val="22"/>
          <w:lang w:val="sr-Latn-ME"/>
        </w:rPr>
        <w:t>o</w:t>
      </w:r>
      <w:r w:rsidR="006266C5" w:rsidRPr="000D3B8C">
        <w:rPr>
          <w:sz w:val="22"/>
          <w:szCs w:val="22"/>
          <w:lang w:val="sr-Latn-ME"/>
        </w:rPr>
        <w:t>.</w:t>
      </w:r>
      <w:r w:rsidRPr="000D3B8C">
        <w:rPr>
          <w:sz w:val="22"/>
          <w:szCs w:val="22"/>
          <w:lang w:val="sr-Latn-ME"/>
        </w:rPr>
        <w:t xml:space="preserve"> Beograd, dio stranog društva u Podgorici</w:t>
      </w:r>
    </w:p>
    <w:p w14:paraId="36D5763D" w14:textId="77777777" w:rsidR="005D65AB" w:rsidRPr="000D3B8C" w:rsidRDefault="005D65AB" w:rsidP="00CA1BE0">
      <w:pPr>
        <w:tabs>
          <w:tab w:val="left" w:pos="284"/>
          <w:tab w:val="left" w:pos="540"/>
          <w:tab w:val="left" w:pos="569"/>
        </w:tabs>
        <w:jc w:val="both"/>
        <w:rPr>
          <w:sz w:val="22"/>
          <w:szCs w:val="22"/>
          <w:lang w:val="sr-Latn-ME"/>
        </w:rPr>
      </w:pPr>
      <w:r w:rsidRPr="000D3B8C">
        <w:rPr>
          <w:sz w:val="22"/>
          <w:szCs w:val="22"/>
          <w:lang w:val="sr-Latn-ME"/>
        </w:rPr>
        <w:t>Rimski trg br. 16, Podgorica, Crna Gora</w:t>
      </w:r>
    </w:p>
    <w:p w14:paraId="5FA99B51" w14:textId="7DFC300A" w:rsidR="00C37FD7" w:rsidRPr="006266C5" w:rsidRDefault="00C37FD7" w:rsidP="00813C2B">
      <w:pPr>
        <w:tabs>
          <w:tab w:val="left" w:pos="540"/>
          <w:tab w:val="left" w:pos="569"/>
        </w:tabs>
        <w:jc w:val="both"/>
        <w:rPr>
          <w:bCs/>
          <w:sz w:val="22"/>
          <w:szCs w:val="22"/>
          <w:lang w:val="sr-Latn-ME"/>
        </w:rPr>
      </w:pPr>
    </w:p>
    <w:p w14:paraId="4ECBDCA7" w14:textId="77777777" w:rsidR="005D65AB" w:rsidRPr="006266C5" w:rsidRDefault="005D65AB" w:rsidP="00813C2B">
      <w:pPr>
        <w:tabs>
          <w:tab w:val="left" w:pos="540"/>
          <w:tab w:val="left" w:pos="569"/>
        </w:tabs>
        <w:jc w:val="both"/>
        <w:rPr>
          <w:bCs/>
          <w:sz w:val="22"/>
          <w:szCs w:val="22"/>
          <w:lang w:val="sr-Latn-ME"/>
        </w:rPr>
      </w:pPr>
    </w:p>
    <w:p w14:paraId="5FA99B52" w14:textId="77777777" w:rsidR="0072020E" w:rsidRPr="006266C5" w:rsidRDefault="0072020E" w:rsidP="00813C2B">
      <w:pPr>
        <w:tabs>
          <w:tab w:val="left" w:pos="540"/>
          <w:tab w:val="left" w:pos="569"/>
        </w:tabs>
        <w:jc w:val="both"/>
        <w:rPr>
          <w:b/>
          <w:bCs/>
          <w:sz w:val="22"/>
          <w:szCs w:val="22"/>
          <w:lang w:val="sr-Latn-ME"/>
        </w:rPr>
      </w:pPr>
      <w:r w:rsidRPr="006266C5">
        <w:rPr>
          <w:b/>
          <w:bCs/>
          <w:sz w:val="22"/>
          <w:szCs w:val="22"/>
          <w:lang w:val="sr-Latn-ME"/>
        </w:rPr>
        <w:t xml:space="preserve">8. </w:t>
      </w:r>
      <w:r w:rsidR="00480FB1" w:rsidRPr="006266C5">
        <w:rPr>
          <w:b/>
          <w:bCs/>
          <w:sz w:val="22"/>
          <w:szCs w:val="22"/>
          <w:lang w:val="sr-Latn-ME"/>
        </w:rPr>
        <w:tab/>
      </w:r>
      <w:r w:rsidRPr="006266C5">
        <w:rPr>
          <w:b/>
          <w:bCs/>
          <w:sz w:val="22"/>
          <w:szCs w:val="22"/>
          <w:lang w:val="sr-Latn-ME"/>
        </w:rPr>
        <w:t>BROJ DOZVOLE</w:t>
      </w:r>
      <w:r w:rsidR="008A6D43" w:rsidRPr="006266C5">
        <w:rPr>
          <w:b/>
          <w:bCs/>
          <w:sz w:val="22"/>
          <w:szCs w:val="22"/>
          <w:lang w:val="sr-Latn-ME"/>
        </w:rPr>
        <w:t xml:space="preserve"> ZA STAVLJANJE LIJEKA U PROMET</w:t>
      </w:r>
    </w:p>
    <w:p w14:paraId="5FA99B53" w14:textId="77777777" w:rsidR="0072020E" w:rsidRPr="006266C5" w:rsidRDefault="0072020E" w:rsidP="00813C2B">
      <w:pPr>
        <w:tabs>
          <w:tab w:val="left" w:pos="540"/>
          <w:tab w:val="left" w:pos="569"/>
        </w:tabs>
        <w:jc w:val="both"/>
        <w:rPr>
          <w:bCs/>
          <w:sz w:val="22"/>
          <w:szCs w:val="22"/>
          <w:lang w:val="sr-Latn-ME"/>
        </w:rPr>
      </w:pPr>
    </w:p>
    <w:p w14:paraId="5FA99B54" w14:textId="7286806C" w:rsidR="00F45F77" w:rsidRPr="006266C5" w:rsidRDefault="00B37D95" w:rsidP="00813C2B">
      <w:pPr>
        <w:tabs>
          <w:tab w:val="left" w:pos="540"/>
          <w:tab w:val="left" w:pos="569"/>
        </w:tabs>
        <w:jc w:val="both"/>
        <w:rPr>
          <w:bCs/>
          <w:sz w:val="22"/>
          <w:szCs w:val="22"/>
          <w:lang w:val="sr-Latn-ME"/>
        </w:rPr>
      </w:pPr>
      <w:r w:rsidRPr="00B37D95">
        <w:rPr>
          <w:bCs/>
          <w:sz w:val="22"/>
          <w:szCs w:val="22"/>
          <w:lang w:val="sr-Latn-ME"/>
        </w:rPr>
        <w:t>2030/25/663 - 2827</w:t>
      </w:r>
    </w:p>
    <w:p w14:paraId="6D8913AD" w14:textId="3EC4B388" w:rsidR="008531AF" w:rsidRPr="006266C5" w:rsidRDefault="008531AF" w:rsidP="00813C2B">
      <w:pPr>
        <w:tabs>
          <w:tab w:val="left" w:pos="540"/>
          <w:tab w:val="left" w:pos="569"/>
        </w:tabs>
        <w:jc w:val="both"/>
        <w:rPr>
          <w:bCs/>
          <w:sz w:val="22"/>
          <w:szCs w:val="22"/>
          <w:lang w:val="sr-Latn-ME"/>
        </w:rPr>
      </w:pPr>
    </w:p>
    <w:p w14:paraId="5FA99B55" w14:textId="77777777" w:rsidR="0072020E" w:rsidRPr="006266C5" w:rsidRDefault="0072020E" w:rsidP="00813C2B">
      <w:pPr>
        <w:tabs>
          <w:tab w:val="left" w:pos="540"/>
          <w:tab w:val="left" w:pos="569"/>
        </w:tabs>
        <w:jc w:val="both"/>
        <w:rPr>
          <w:b/>
          <w:bCs/>
          <w:sz w:val="22"/>
          <w:szCs w:val="22"/>
          <w:lang w:val="sr-Latn-ME"/>
        </w:rPr>
      </w:pPr>
      <w:r w:rsidRPr="006266C5">
        <w:rPr>
          <w:b/>
          <w:bCs/>
          <w:sz w:val="22"/>
          <w:szCs w:val="22"/>
          <w:lang w:val="sr-Latn-ME"/>
        </w:rPr>
        <w:t xml:space="preserve">9. </w:t>
      </w:r>
      <w:r w:rsidR="00480FB1" w:rsidRPr="006266C5">
        <w:rPr>
          <w:b/>
          <w:bCs/>
          <w:sz w:val="22"/>
          <w:szCs w:val="22"/>
          <w:lang w:val="sr-Latn-ME"/>
        </w:rPr>
        <w:tab/>
      </w:r>
      <w:r w:rsidRPr="006266C5">
        <w:rPr>
          <w:b/>
          <w:bCs/>
          <w:sz w:val="22"/>
          <w:szCs w:val="22"/>
          <w:lang w:val="sr-Latn-ME"/>
        </w:rPr>
        <w:t xml:space="preserve">DATUM </w:t>
      </w:r>
      <w:r w:rsidR="00C05DF8" w:rsidRPr="006266C5">
        <w:rPr>
          <w:b/>
          <w:bCs/>
          <w:sz w:val="22"/>
          <w:szCs w:val="22"/>
          <w:lang w:val="sr-Latn-ME"/>
        </w:rPr>
        <w:t xml:space="preserve">PRVE </w:t>
      </w:r>
      <w:r w:rsidR="008A6D43" w:rsidRPr="006266C5">
        <w:rPr>
          <w:b/>
          <w:bCs/>
          <w:sz w:val="22"/>
          <w:szCs w:val="22"/>
          <w:lang w:val="sr-Latn-ME"/>
        </w:rPr>
        <w:t>DOZVOLE</w:t>
      </w:r>
      <w:r w:rsidR="00C05DF8" w:rsidRPr="006266C5">
        <w:rPr>
          <w:b/>
          <w:bCs/>
          <w:sz w:val="22"/>
          <w:szCs w:val="22"/>
          <w:lang w:val="sr-Latn-ME"/>
        </w:rPr>
        <w:t>/OBNOVE DOZVOLE</w:t>
      </w:r>
      <w:r w:rsidR="008A6D43" w:rsidRPr="006266C5">
        <w:rPr>
          <w:b/>
          <w:bCs/>
          <w:sz w:val="22"/>
          <w:szCs w:val="22"/>
          <w:lang w:val="sr-Latn-ME"/>
        </w:rPr>
        <w:t xml:space="preserve"> ZA STAVLJANJE LIJEKA U PROMET</w:t>
      </w:r>
    </w:p>
    <w:p w14:paraId="5FA99B56" w14:textId="77777777" w:rsidR="0072020E" w:rsidRPr="006266C5" w:rsidRDefault="0072020E" w:rsidP="00813C2B">
      <w:pPr>
        <w:tabs>
          <w:tab w:val="left" w:pos="540"/>
          <w:tab w:val="left" w:pos="569"/>
        </w:tabs>
        <w:jc w:val="both"/>
        <w:rPr>
          <w:bCs/>
          <w:sz w:val="22"/>
          <w:szCs w:val="22"/>
          <w:lang w:val="sr-Latn-ME"/>
        </w:rPr>
      </w:pPr>
    </w:p>
    <w:p w14:paraId="5BBF34C2" w14:textId="36D769CE" w:rsidR="00CA798D" w:rsidRPr="000D3B8C" w:rsidRDefault="006266C5" w:rsidP="00D85C58">
      <w:pPr>
        <w:tabs>
          <w:tab w:val="left" w:pos="284"/>
          <w:tab w:val="left" w:pos="540"/>
          <w:tab w:val="left" w:pos="569"/>
        </w:tabs>
        <w:jc w:val="both"/>
        <w:rPr>
          <w:bCs/>
          <w:sz w:val="22"/>
          <w:szCs w:val="22"/>
          <w:lang w:val="sr-Latn-ME"/>
        </w:rPr>
      </w:pPr>
      <w:r w:rsidRPr="000D3B8C">
        <w:rPr>
          <w:sz w:val="22"/>
          <w:szCs w:val="22"/>
          <w:lang w:val="sr-Latn-ME"/>
        </w:rPr>
        <w:t xml:space="preserve">Datum prve dozvole: </w:t>
      </w:r>
      <w:r w:rsidR="00CA798D" w:rsidRPr="000D3B8C">
        <w:rPr>
          <w:sz w:val="22"/>
          <w:szCs w:val="22"/>
          <w:lang w:val="sr-Latn-ME"/>
        </w:rPr>
        <w:t>15.01.2018</w:t>
      </w:r>
      <w:r w:rsidRPr="000D3B8C">
        <w:rPr>
          <w:sz w:val="22"/>
          <w:szCs w:val="22"/>
          <w:lang w:val="sr-Latn-ME"/>
        </w:rPr>
        <w:t>. godine</w:t>
      </w:r>
    </w:p>
    <w:p w14:paraId="5FA99B57" w14:textId="209153E6" w:rsidR="00836B35" w:rsidRPr="006266C5" w:rsidRDefault="006266C5" w:rsidP="00813C2B">
      <w:pPr>
        <w:tabs>
          <w:tab w:val="left" w:pos="540"/>
          <w:tab w:val="left" w:pos="569"/>
        </w:tabs>
        <w:jc w:val="both"/>
        <w:rPr>
          <w:bCs/>
          <w:sz w:val="22"/>
          <w:szCs w:val="22"/>
          <w:lang w:val="sr-Latn-ME"/>
        </w:rPr>
      </w:pPr>
      <w:r w:rsidRPr="006266C5">
        <w:rPr>
          <w:bCs/>
          <w:sz w:val="22"/>
          <w:szCs w:val="22"/>
          <w:lang w:val="sr-Latn-ME"/>
        </w:rPr>
        <w:t>Datum posljednje obnove dozvole:</w:t>
      </w:r>
      <w:r w:rsidR="00B37D95" w:rsidRPr="00B37D95">
        <w:t xml:space="preserve"> </w:t>
      </w:r>
      <w:r w:rsidR="00B37D95" w:rsidRPr="00B37D95">
        <w:rPr>
          <w:bCs/>
          <w:sz w:val="22"/>
          <w:szCs w:val="22"/>
          <w:lang w:val="sr-Latn-ME"/>
        </w:rPr>
        <w:t>10.02.2025. godine</w:t>
      </w:r>
    </w:p>
    <w:p w14:paraId="7E49F9D0" w14:textId="5240121D" w:rsidR="00CA798D" w:rsidRDefault="00CA798D" w:rsidP="00813C2B">
      <w:pPr>
        <w:tabs>
          <w:tab w:val="left" w:pos="540"/>
          <w:tab w:val="left" w:pos="569"/>
        </w:tabs>
        <w:jc w:val="both"/>
        <w:rPr>
          <w:bCs/>
          <w:sz w:val="22"/>
          <w:szCs w:val="22"/>
          <w:lang w:val="sr-Latn-ME"/>
        </w:rPr>
      </w:pPr>
    </w:p>
    <w:p w14:paraId="7F03C4C3" w14:textId="77777777" w:rsidR="006266C5" w:rsidRPr="006266C5" w:rsidRDefault="006266C5" w:rsidP="00813C2B">
      <w:pPr>
        <w:tabs>
          <w:tab w:val="left" w:pos="540"/>
          <w:tab w:val="left" w:pos="569"/>
        </w:tabs>
        <w:jc w:val="both"/>
        <w:rPr>
          <w:bCs/>
          <w:sz w:val="22"/>
          <w:szCs w:val="22"/>
          <w:lang w:val="sr-Latn-ME"/>
        </w:rPr>
      </w:pPr>
    </w:p>
    <w:p w14:paraId="5FA99B58" w14:textId="01A9A507" w:rsidR="003F6A59" w:rsidRDefault="0072020E" w:rsidP="00813C2B">
      <w:pPr>
        <w:tabs>
          <w:tab w:val="left" w:pos="540"/>
          <w:tab w:val="left" w:pos="569"/>
        </w:tabs>
        <w:ind w:left="540" w:hanging="540"/>
        <w:jc w:val="both"/>
        <w:rPr>
          <w:b/>
          <w:bCs/>
          <w:sz w:val="22"/>
          <w:szCs w:val="22"/>
          <w:lang w:val="sr-Latn-ME"/>
        </w:rPr>
      </w:pPr>
      <w:r w:rsidRPr="006266C5">
        <w:rPr>
          <w:b/>
          <w:bCs/>
          <w:sz w:val="22"/>
          <w:szCs w:val="22"/>
          <w:lang w:val="sr-Latn-ME"/>
        </w:rPr>
        <w:t xml:space="preserve">10. </w:t>
      </w:r>
      <w:r w:rsidR="00480FB1" w:rsidRPr="006266C5">
        <w:rPr>
          <w:b/>
          <w:bCs/>
          <w:sz w:val="22"/>
          <w:szCs w:val="22"/>
          <w:lang w:val="sr-Latn-ME"/>
        </w:rPr>
        <w:tab/>
      </w:r>
      <w:r w:rsidR="002846DB" w:rsidRPr="006266C5">
        <w:rPr>
          <w:b/>
          <w:bCs/>
          <w:sz w:val="22"/>
          <w:szCs w:val="22"/>
          <w:lang w:val="sr-Latn-ME"/>
        </w:rPr>
        <w:t>D</w:t>
      </w:r>
      <w:r w:rsidR="00EC2532" w:rsidRPr="006266C5">
        <w:rPr>
          <w:b/>
          <w:bCs/>
          <w:sz w:val="22"/>
          <w:szCs w:val="22"/>
          <w:lang w:val="sr-Latn-ME"/>
        </w:rPr>
        <w:t xml:space="preserve">ATUM REVIZIJE TEKSTA </w:t>
      </w:r>
    </w:p>
    <w:p w14:paraId="642CB4EA" w14:textId="31FE628E" w:rsidR="00B37D95" w:rsidRDefault="00B37D95" w:rsidP="00813C2B">
      <w:pPr>
        <w:tabs>
          <w:tab w:val="left" w:pos="540"/>
          <w:tab w:val="left" w:pos="569"/>
        </w:tabs>
        <w:ind w:left="540" w:hanging="540"/>
        <w:jc w:val="both"/>
        <w:rPr>
          <w:bCs/>
          <w:sz w:val="22"/>
          <w:szCs w:val="22"/>
          <w:lang w:val="sr-Latn-ME"/>
        </w:rPr>
      </w:pPr>
    </w:p>
    <w:p w14:paraId="0717AF37" w14:textId="670A487D" w:rsidR="00B37D95" w:rsidRPr="006266C5" w:rsidRDefault="00B37D95" w:rsidP="00813C2B">
      <w:pPr>
        <w:tabs>
          <w:tab w:val="left" w:pos="540"/>
          <w:tab w:val="left" w:pos="569"/>
        </w:tabs>
        <w:ind w:left="540" w:hanging="540"/>
        <w:jc w:val="both"/>
        <w:rPr>
          <w:bCs/>
          <w:sz w:val="22"/>
          <w:szCs w:val="22"/>
          <w:lang w:val="sr-Latn-ME"/>
        </w:rPr>
      </w:pPr>
      <w:r>
        <w:rPr>
          <w:bCs/>
          <w:sz w:val="22"/>
          <w:szCs w:val="22"/>
          <w:lang w:val="sr-Latn-ME"/>
        </w:rPr>
        <w:t>Februar, 2025. godine</w:t>
      </w:r>
      <w:bookmarkStart w:id="0" w:name="_GoBack"/>
      <w:bookmarkEnd w:id="0"/>
    </w:p>
    <w:p w14:paraId="5FA99B59" w14:textId="48C76C70" w:rsidR="003F6A59" w:rsidRPr="006266C5" w:rsidRDefault="003F6A59" w:rsidP="00813C2B">
      <w:pPr>
        <w:tabs>
          <w:tab w:val="left" w:pos="540"/>
          <w:tab w:val="left" w:pos="569"/>
        </w:tabs>
        <w:jc w:val="both"/>
        <w:rPr>
          <w:bCs/>
          <w:sz w:val="22"/>
          <w:szCs w:val="22"/>
          <w:lang w:val="sr-Latn-ME"/>
        </w:rPr>
      </w:pPr>
    </w:p>
    <w:p w14:paraId="5FA99B5A" w14:textId="77777777" w:rsidR="008A6D43" w:rsidRPr="006266C5" w:rsidRDefault="008A6D43" w:rsidP="00813C2B">
      <w:pPr>
        <w:tabs>
          <w:tab w:val="left" w:pos="540"/>
          <w:tab w:val="left" w:pos="569"/>
        </w:tabs>
        <w:jc w:val="both"/>
        <w:rPr>
          <w:bCs/>
          <w:sz w:val="22"/>
          <w:szCs w:val="22"/>
          <w:lang w:val="sr-Latn-ME"/>
        </w:rPr>
      </w:pPr>
    </w:p>
    <w:p w14:paraId="5FA99B61" w14:textId="31601C9A" w:rsidR="003F6A59" w:rsidRPr="006266C5" w:rsidRDefault="003F6A59" w:rsidP="00813C2B">
      <w:pPr>
        <w:jc w:val="both"/>
        <w:rPr>
          <w:sz w:val="22"/>
          <w:szCs w:val="22"/>
          <w:lang w:val="sr-Latn-ME"/>
        </w:rPr>
      </w:pPr>
    </w:p>
    <w:sectPr w:rsidR="003F6A59" w:rsidRPr="006266C5" w:rsidSect="00EF3B86">
      <w:footerReference w:type="default" r:id="rId12"/>
      <w:pgSz w:w="11909" w:h="16834" w:code="9"/>
      <w:pgMar w:top="1140" w:right="1412" w:bottom="1140" w:left="1412"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BF880" w14:textId="77777777" w:rsidR="00292474" w:rsidRDefault="00292474">
      <w:r>
        <w:separator/>
      </w:r>
    </w:p>
  </w:endnote>
  <w:endnote w:type="continuationSeparator" w:id="0">
    <w:p w14:paraId="2C5C3B35" w14:textId="77777777" w:rsidR="00292474" w:rsidRDefault="0029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205" w:usb1="08070000" w:usb2="00000010" w:usb3="00000000" w:csb0="00020006" w:csb1="00000000"/>
  </w:font>
  <w:font w:name="TimesNewRoman,Bold">
    <w:altName w:val="MS Mincho"/>
    <w:panose1 w:val="00000000000000000000"/>
    <w:charset w:val="EE"/>
    <w:family w:val="auto"/>
    <w:notTrueType/>
    <w:pitch w:val="default"/>
    <w:sig w:usb0="00000005" w:usb1="08070000" w:usb2="00000010" w:usb3="00000000" w:csb0="00020002" w:csb1="00000000"/>
  </w:font>
  <w:font w:name="TimesNewRoman,Italic">
    <w:altName w:val="MS Mincho"/>
    <w:panose1 w:val="00000000000000000000"/>
    <w:charset w:val="00"/>
    <w:family w:val="auto"/>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9B68" w14:textId="353CD5F1" w:rsidR="00DC3DB2" w:rsidRPr="00B23F69" w:rsidRDefault="00DC3DB2" w:rsidP="00B23F69">
    <w:pPr>
      <w:pStyle w:val="Footer"/>
      <w:jc w:val="center"/>
      <w:rPr>
        <w:sz w:val="22"/>
        <w:szCs w:val="22"/>
      </w:rPr>
    </w:pPr>
    <w:r w:rsidRPr="00B23F69">
      <w:rPr>
        <w:sz w:val="22"/>
        <w:szCs w:val="22"/>
      </w:rPr>
      <w:fldChar w:fldCharType="begin"/>
    </w:r>
    <w:r w:rsidRPr="00B23F69">
      <w:rPr>
        <w:sz w:val="22"/>
        <w:szCs w:val="22"/>
      </w:rPr>
      <w:instrText xml:space="preserve"> PAGE </w:instrText>
    </w:r>
    <w:r w:rsidRPr="00B23F69">
      <w:rPr>
        <w:sz w:val="22"/>
        <w:szCs w:val="22"/>
      </w:rPr>
      <w:fldChar w:fldCharType="separate"/>
    </w:r>
    <w:r w:rsidR="00B37D95">
      <w:rPr>
        <w:noProof/>
        <w:sz w:val="22"/>
        <w:szCs w:val="22"/>
      </w:rPr>
      <w:t>25</w:t>
    </w:r>
    <w:r w:rsidRPr="00B23F69">
      <w:rPr>
        <w:sz w:val="22"/>
        <w:szCs w:val="22"/>
      </w:rPr>
      <w:fldChar w:fldCharType="end"/>
    </w:r>
    <w:r w:rsidRPr="00B23F69">
      <w:rPr>
        <w:sz w:val="22"/>
        <w:szCs w:val="22"/>
      </w:rPr>
      <w:t xml:space="preserve"> / </w:t>
    </w:r>
    <w:r w:rsidRPr="00B23F69">
      <w:rPr>
        <w:sz w:val="22"/>
        <w:szCs w:val="22"/>
      </w:rPr>
      <w:fldChar w:fldCharType="begin"/>
    </w:r>
    <w:r w:rsidRPr="00B23F69">
      <w:rPr>
        <w:sz w:val="22"/>
        <w:szCs w:val="22"/>
      </w:rPr>
      <w:instrText xml:space="preserve"> NUMPAGES </w:instrText>
    </w:r>
    <w:r w:rsidRPr="00B23F69">
      <w:rPr>
        <w:sz w:val="22"/>
        <w:szCs w:val="22"/>
      </w:rPr>
      <w:fldChar w:fldCharType="separate"/>
    </w:r>
    <w:r w:rsidR="00B37D95">
      <w:rPr>
        <w:noProof/>
        <w:sz w:val="22"/>
        <w:szCs w:val="22"/>
      </w:rPr>
      <w:t>27</w:t>
    </w:r>
    <w:r w:rsidRPr="00B23F69">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46BB" w14:textId="77777777" w:rsidR="00292474" w:rsidRDefault="00292474">
      <w:r>
        <w:separator/>
      </w:r>
    </w:p>
  </w:footnote>
  <w:footnote w:type="continuationSeparator" w:id="0">
    <w:p w14:paraId="59321A4B" w14:textId="77777777" w:rsidR="00292474" w:rsidRDefault="0029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5pt;height:13.75pt;visibility:visible" o:bullet="t">
        <v:imagedata r:id="rId1" o:title="BT_1000x858px"/>
      </v:shape>
    </w:pict>
  </w:numPicBullet>
  <w:abstractNum w:abstractNumId="0" w15:restartNumberingAfterBreak="0">
    <w:nsid w:val="0C10687C"/>
    <w:multiLevelType w:val="multilevel"/>
    <w:tmpl w:val="0409001F"/>
    <w:styleLink w:val="111111"/>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F475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3B7527E"/>
    <w:multiLevelType w:val="hybridMultilevel"/>
    <w:tmpl w:val="8D6E2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FA57B4"/>
    <w:multiLevelType w:val="hybridMultilevel"/>
    <w:tmpl w:val="4E9C3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E8136F"/>
    <w:multiLevelType w:val="multilevel"/>
    <w:tmpl w:val="C5B2E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DB49BF"/>
    <w:multiLevelType w:val="hybridMultilevel"/>
    <w:tmpl w:val="F5D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09DD"/>
    <w:multiLevelType w:val="multilevel"/>
    <w:tmpl w:val="BBBCBE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78D2C0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555671D"/>
    <w:multiLevelType w:val="multilevel"/>
    <w:tmpl w:val="04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31197F"/>
    <w:multiLevelType w:val="hybridMultilevel"/>
    <w:tmpl w:val="C5B2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7B2DFD"/>
    <w:multiLevelType w:val="hybridMultilevel"/>
    <w:tmpl w:val="B6FA448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749724F4"/>
    <w:multiLevelType w:val="hybridMultilevel"/>
    <w:tmpl w:val="1386514C"/>
    <w:lvl w:ilvl="0" w:tplc="BF803B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6"/>
    <w:rsid w:val="00000528"/>
    <w:rsid w:val="000176CA"/>
    <w:rsid w:val="0002629C"/>
    <w:rsid w:val="00036FA0"/>
    <w:rsid w:val="0003793F"/>
    <w:rsid w:val="00047B78"/>
    <w:rsid w:val="00057E35"/>
    <w:rsid w:val="00076726"/>
    <w:rsid w:val="00077C99"/>
    <w:rsid w:val="00080303"/>
    <w:rsid w:val="000832D3"/>
    <w:rsid w:val="000A3F58"/>
    <w:rsid w:val="000D2343"/>
    <w:rsid w:val="000D3449"/>
    <w:rsid w:val="000D3B8C"/>
    <w:rsid w:val="000D425A"/>
    <w:rsid w:val="000D60CC"/>
    <w:rsid w:val="000E2084"/>
    <w:rsid w:val="000E2AD5"/>
    <w:rsid w:val="000E6F55"/>
    <w:rsid w:val="000F2EA2"/>
    <w:rsid w:val="000F77FA"/>
    <w:rsid w:val="00107BF7"/>
    <w:rsid w:val="00126F53"/>
    <w:rsid w:val="00141772"/>
    <w:rsid w:val="00145C95"/>
    <w:rsid w:val="0014766D"/>
    <w:rsid w:val="001536CC"/>
    <w:rsid w:val="00191075"/>
    <w:rsid w:val="001A3FBA"/>
    <w:rsid w:val="001A5518"/>
    <w:rsid w:val="001B1C6A"/>
    <w:rsid w:val="001C1263"/>
    <w:rsid w:val="001C1417"/>
    <w:rsid w:val="001D6753"/>
    <w:rsid w:val="001E390B"/>
    <w:rsid w:val="001F42FB"/>
    <w:rsid w:val="001F719A"/>
    <w:rsid w:val="002031B3"/>
    <w:rsid w:val="00215931"/>
    <w:rsid w:val="00227BDB"/>
    <w:rsid w:val="00234CB1"/>
    <w:rsid w:val="002352F8"/>
    <w:rsid w:val="0024013B"/>
    <w:rsid w:val="00240DFC"/>
    <w:rsid w:val="002510A5"/>
    <w:rsid w:val="00252A28"/>
    <w:rsid w:val="00254A0A"/>
    <w:rsid w:val="00254AF4"/>
    <w:rsid w:val="00264F65"/>
    <w:rsid w:val="00266046"/>
    <w:rsid w:val="002737A6"/>
    <w:rsid w:val="002827B5"/>
    <w:rsid w:val="002846DB"/>
    <w:rsid w:val="00284CCD"/>
    <w:rsid w:val="00292474"/>
    <w:rsid w:val="0029648E"/>
    <w:rsid w:val="002C3E28"/>
    <w:rsid w:val="002C6637"/>
    <w:rsid w:val="002D6375"/>
    <w:rsid w:val="002E0135"/>
    <w:rsid w:val="002E17D5"/>
    <w:rsid w:val="002E37A5"/>
    <w:rsid w:val="002E48BC"/>
    <w:rsid w:val="002F3EB5"/>
    <w:rsid w:val="002F4E87"/>
    <w:rsid w:val="00310F03"/>
    <w:rsid w:val="00311A55"/>
    <w:rsid w:val="003247D2"/>
    <w:rsid w:val="003250C0"/>
    <w:rsid w:val="003330F7"/>
    <w:rsid w:val="003445C1"/>
    <w:rsid w:val="0035261D"/>
    <w:rsid w:val="00355B61"/>
    <w:rsid w:val="00362686"/>
    <w:rsid w:val="00364C66"/>
    <w:rsid w:val="003661EF"/>
    <w:rsid w:val="00371510"/>
    <w:rsid w:val="003825E0"/>
    <w:rsid w:val="00396DFD"/>
    <w:rsid w:val="003A7059"/>
    <w:rsid w:val="003B667B"/>
    <w:rsid w:val="003B7A36"/>
    <w:rsid w:val="003C17AB"/>
    <w:rsid w:val="003C453A"/>
    <w:rsid w:val="003C7823"/>
    <w:rsid w:val="003D6492"/>
    <w:rsid w:val="003E1DCC"/>
    <w:rsid w:val="003F6A59"/>
    <w:rsid w:val="004065C8"/>
    <w:rsid w:val="00411B4B"/>
    <w:rsid w:val="00415BEE"/>
    <w:rsid w:val="00426E98"/>
    <w:rsid w:val="00427F85"/>
    <w:rsid w:val="00436F42"/>
    <w:rsid w:val="004378B4"/>
    <w:rsid w:val="00451314"/>
    <w:rsid w:val="00452E9D"/>
    <w:rsid w:val="004534C7"/>
    <w:rsid w:val="00455ABF"/>
    <w:rsid w:val="004671AA"/>
    <w:rsid w:val="004801F0"/>
    <w:rsid w:val="00480FB1"/>
    <w:rsid w:val="00483928"/>
    <w:rsid w:val="004D0B86"/>
    <w:rsid w:val="004D6103"/>
    <w:rsid w:val="004E015E"/>
    <w:rsid w:val="004E3B34"/>
    <w:rsid w:val="004E3BCE"/>
    <w:rsid w:val="004F0E97"/>
    <w:rsid w:val="004F15C2"/>
    <w:rsid w:val="00501DD1"/>
    <w:rsid w:val="00515C21"/>
    <w:rsid w:val="00530BD7"/>
    <w:rsid w:val="00545CD2"/>
    <w:rsid w:val="005476F3"/>
    <w:rsid w:val="00572527"/>
    <w:rsid w:val="00573E40"/>
    <w:rsid w:val="00576348"/>
    <w:rsid w:val="00583A23"/>
    <w:rsid w:val="00593CB3"/>
    <w:rsid w:val="005A0B2E"/>
    <w:rsid w:val="005A23D2"/>
    <w:rsid w:val="005A36CB"/>
    <w:rsid w:val="005B1EE9"/>
    <w:rsid w:val="005B49B8"/>
    <w:rsid w:val="005C0741"/>
    <w:rsid w:val="005C5EF4"/>
    <w:rsid w:val="005D65AB"/>
    <w:rsid w:val="005E2E0B"/>
    <w:rsid w:val="005E7A7D"/>
    <w:rsid w:val="00616735"/>
    <w:rsid w:val="006232C5"/>
    <w:rsid w:val="0062385F"/>
    <w:rsid w:val="00624430"/>
    <w:rsid w:val="006266C5"/>
    <w:rsid w:val="00646BD1"/>
    <w:rsid w:val="00655746"/>
    <w:rsid w:val="006561C2"/>
    <w:rsid w:val="00660627"/>
    <w:rsid w:val="0066437B"/>
    <w:rsid w:val="00671CB3"/>
    <w:rsid w:val="00674BAF"/>
    <w:rsid w:val="00682200"/>
    <w:rsid w:val="006A1497"/>
    <w:rsid w:val="006A4B91"/>
    <w:rsid w:val="006A6CCA"/>
    <w:rsid w:val="006B0BD1"/>
    <w:rsid w:val="006D20A5"/>
    <w:rsid w:val="006D37BF"/>
    <w:rsid w:val="006E16D5"/>
    <w:rsid w:val="00702E22"/>
    <w:rsid w:val="0072020E"/>
    <w:rsid w:val="00724CAE"/>
    <w:rsid w:val="00732FC6"/>
    <w:rsid w:val="00786071"/>
    <w:rsid w:val="007A3141"/>
    <w:rsid w:val="007A3ECB"/>
    <w:rsid w:val="007B5B4B"/>
    <w:rsid w:val="007D0C80"/>
    <w:rsid w:val="007F357C"/>
    <w:rsid w:val="007F5610"/>
    <w:rsid w:val="00813C2B"/>
    <w:rsid w:val="00814AC9"/>
    <w:rsid w:val="00824AB9"/>
    <w:rsid w:val="00836B35"/>
    <w:rsid w:val="00837EE7"/>
    <w:rsid w:val="00843BDE"/>
    <w:rsid w:val="008531AF"/>
    <w:rsid w:val="00881B53"/>
    <w:rsid w:val="0089705C"/>
    <w:rsid w:val="008A5406"/>
    <w:rsid w:val="008A6D43"/>
    <w:rsid w:val="008B0AD6"/>
    <w:rsid w:val="008B491E"/>
    <w:rsid w:val="008C13AD"/>
    <w:rsid w:val="008C1A28"/>
    <w:rsid w:val="008C2E98"/>
    <w:rsid w:val="008E49BD"/>
    <w:rsid w:val="008E53E9"/>
    <w:rsid w:val="008E5771"/>
    <w:rsid w:val="00940B9B"/>
    <w:rsid w:val="009547E3"/>
    <w:rsid w:val="00954A50"/>
    <w:rsid w:val="0095676E"/>
    <w:rsid w:val="00956983"/>
    <w:rsid w:val="00963CF0"/>
    <w:rsid w:val="00964BB1"/>
    <w:rsid w:val="009754EB"/>
    <w:rsid w:val="009775D9"/>
    <w:rsid w:val="00997175"/>
    <w:rsid w:val="009A1847"/>
    <w:rsid w:val="009B062A"/>
    <w:rsid w:val="009D2DD4"/>
    <w:rsid w:val="009D71F8"/>
    <w:rsid w:val="009E7C6F"/>
    <w:rsid w:val="009F1793"/>
    <w:rsid w:val="009F2D23"/>
    <w:rsid w:val="009F4102"/>
    <w:rsid w:val="00A01D69"/>
    <w:rsid w:val="00A02335"/>
    <w:rsid w:val="00A46C9A"/>
    <w:rsid w:val="00A55D98"/>
    <w:rsid w:val="00A5679E"/>
    <w:rsid w:val="00A619F3"/>
    <w:rsid w:val="00A62A73"/>
    <w:rsid w:val="00A64DF5"/>
    <w:rsid w:val="00A70418"/>
    <w:rsid w:val="00A87FF6"/>
    <w:rsid w:val="00A9015A"/>
    <w:rsid w:val="00AA0A3B"/>
    <w:rsid w:val="00AA2763"/>
    <w:rsid w:val="00AA33B6"/>
    <w:rsid w:val="00AB4190"/>
    <w:rsid w:val="00AB50CA"/>
    <w:rsid w:val="00AB6D64"/>
    <w:rsid w:val="00AC3072"/>
    <w:rsid w:val="00AC3B6A"/>
    <w:rsid w:val="00AC53CE"/>
    <w:rsid w:val="00AC584B"/>
    <w:rsid w:val="00AD2193"/>
    <w:rsid w:val="00AF1EB8"/>
    <w:rsid w:val="00AF2791"/>
    <w:rsid w:val="00AF2AC7"/>
    <w:rsid w:val="00AF74CE"/>
    <w:rsid w:val="00B208DB"/>
    <w:rsid w:val="00B23F69"/>
    <w:rsid w:val="00B250BB"/>
    <w:rsid w:val="00B37D95"/>
    <w:rsid w:val="00B530A8"/>
    <w:rsid w:val="00B60619"/>
    <w:rsid w:val="00B60BDA"/>
    <w:rsid w:val="00B66A70"/>
    <w:rsid w:val="00B67366"/>
    <w:rsid w:val="00B80EE1"/>
    <w:rsid w:val="00B84135"/>
    <w:rsid w:val="00BA7E76"/>
    <w:rsid w:val="00BB2131"/>
    <w:rsid w:val="00BB7508"/>
    <w:rsid w:val="00C04D34"/>
    <w:rsid w:val="00C05DF8"/>
    <w:rsid w:val="00C0654D"/>
    <w:rsid w:val="00C06864"/>
    <w:rsid w:val="00C06B8A"/>
    <w:rsid w:val="00C10F54"/>
    <w:rsid w:val="00C22FF8"/>
    <w:rsid w:val="00C23D8D"/>
    <w:rsid w:val="00C37AA3"/>
    <w:rsid w:val="00C37FD7"/>
    <w:rsid w:val="00C41DD2"/>
    <w:rsid w:val="00C43419"/>
    <w:rsid w:val="00C44CF3"/>
    <w:rsid w:val="00C61BE0"/>
    <w:rsid w:val="00C66769"/>
    <w:rsid w:val="00C70B0E"/>
    <w:rsid w:val="00C70C1E"/>
    <w:rsid w:val="00C773CA"/>
    <w:rsid w:val="00C83785"/>
    <w:rsid w:val="00C94C0D"/>
    <w:rsid w:val="00CA1BE0"/>
    <w:rsid w:val="00CA1FEB"/>
    <w:rsid w:val="00CA798D"/>
    <w:rsid w:val="00CB49D5"/>
    <w:rsid w:val="00CD4F85"/>
    <w:rsid w:val="00CD6F02"/>
    <w:rsid w:val="00CE246D"/>
    <w:rsid w:val="00CF03B8"/>
    <w:rsid w:val="00CF07A0"/>
    <w:rsid w:val="00CF3E03"/>
    <w:rsid w:val="00CF6F2D"/>
    <w:rsid w:val="00D0082A"/>
    <w:rsid w:val="00D21455"/>
    <w:rsid w:val="00D47634"/>
    <w:rsid w:val="00D57F99"/>
    <w:rsid w:val="00D605F5"/>
    <w:rsid w:val="00D636AB"/>
    <w:rsid w:val="00D6505B"/>
    <w:rsid w:val="00D709B3"/>
    <w:rsid w:val="00D85C58"/>
    <w:rsid w:val="00DA2ED6"/>
    <w:rsid w:val="00DA7E19"/>
    <w:rsid w:val="00DB4F7D"/>
    <w:rsid w:val="00DB76B8"/>
    <w:rsid w:val="00DC2EA1"/>
    <w:rsid w:val="00DC3DB2"/>
    <w:rsid w:val="00DD6AAF"/>
    <w:rsid w:val="00DE275B"/>
    <w:rsid w:val="00DE3F5C"/>
    <w:rsid w:val="00DF1D20"/>
    <w:rsid w:val="00DF2B52"/>
    <w:rsid w:val="00DF6F46"/>
    <w:rsid w:val="00E10CE0"/>
    <w:rsid w:val="00E211FC"/>
    <w:rsid w:val="00E21324"/>
    <w:rsid w:val="00E246B9"/>
    <w:rsid w:val="00E31FEA"/>
    <w:rsid w:val="00E3381C"/>
    <w:rsid w:val="00E45169"/>
    <w:rsid w:val="00E4562D"/>
    <w:rsid w:val="00E47787"/>
    <w:rsid w:val="00E51C30"/>
    <w:rsid w:val="00E64180"/>
    <w:rsid w:val="00E74AEE"/>
    <w:rsid w:val="00E868E5"/>
    <w:rsid w:val="00E9237A"/>
    <w:rsid w:val="00E939FA"/>
    <w:rsid w:val="00E96481"/>
    <w:rsid w:val="00EA5765"/>
    <w:rsid w:val="00EA7E29"/>
    <w:rsid w:val="00EB69AA"/>
    <w:rsid w:val="00EB7F47"/>
    <w:rsid w:val="00EC2532"/>
    <w:rsid w:val="00EC71E8"/>
    <w:rsid w:val="00ED7812"/>
    <w:rsid w:val="00EE3779"/>
    <w:rsid w:val="00EF3B86"/>
    <w:rsid w:val="00F10513"/>
    <w:rsid w:val="00F317E9"/>
    <w:rsid w:val="00F34554"/>
    <w:rsid w:val="00F45F77"/>
    <w:rsid w:val="00F5167F"/>
    <w:rsid w:val="00F52258"/>
    <w:rsid w:val="00F8570A"/>
    <w:rsid w:val="00F91C7B"/>
    <w:rsid w:val="00FA5682"/>
    <w:rsid w:val="00FB65F2"/>
    <w:rsid w:val="00FC0C32"/>
    <w:rsid w:val="00FC7A94"/>
    <w:rsid w:val="00FF5F8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99AF0"/>
  <w15:chartTrackingRefBased/>
  <w15:docId w15:val="{72686179-00AE-4FF5-9B6D-A3DA2EF3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qFormat/>
    <w:rsid w:val="005A0B2E"/>
    <w:pPr>
      <w:keepNext/>
      <w:tabs>
        <w:tab w:val="left" w:pos="284"/>
      </w:tabs>
      <w:jc w:val="center"/>
      <w:outlineLvl w:val="1"/>
    </w:pPr>
    <w:rPr>
      <w:rFonts w:ascii="Arial" w:hAnsi="Arial" w:cs="Arial"/>
      <w:i/>
      <w:iCs/>
      <w:color w:val="9999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6B9"/>
    <w:pPr>
      <w:tabs>
        <w:tab w:val="center" w:pos="4320"/>
        <w:tab w:val="right" w:pos="8640"/>
      </w:tabs>
    </w:pPr>
  </w:style>
  <w:style w:type="paragraph" w:styleId="Footer">
    <w:name w:val="footer"/>
    <w:basedOn w:val="Normal"/>
    <w:rsid w:val="00E246B9"/>
    <w:pPr>
      <w:tabs>
        <w:tab w:val="center" w:pos="4320"/>
        <w:tab w:val="right" w:pos="8640"/>
      </w:tabs>
    </w:pPr>
  </w:style>
  <w:style w:type="character" w:styleId="PageNumber">
    <w:name w:val="page number"/>
    <w:basedOn w:val="DefaultParagraphFont"/>
    <w:rsid w:val="00E246B9"/>
  </w:style>
  <w:style w:type="numbering" w:styleId="111111">
    <w:name w:val="Outline List 2"/>
    <w:basedOn w:val="NoList"/>
    <w:rsid w:val="00E246B9"/>
    <w:pPr>
      <w:numPr>
        <w:numId w:val="3"/>
      </w:numPr>
    </w:pPr>
  </w:style>
  <w:style w:type="character" w:styleId="CommentReference">
    <w:name w:val="annotation reference"/>
    <w:rsid w:val="005A0B2E"/>
    <w:rPr>
      <w:sz w:val="16"/>
      <w:szCs w:val="16"/>
    </w:rPr>
  </w:style>
  <w:style w:type="paragraph" w:styleId="CommentText">
    <w:name w:val="annotation text"/>
    <w:basedOn w:val="Normal"/>
    <w:link w:val="CommentTextChar"/>
    <w:semiHidden/>
    <w:rsid w:val="005A0B2E"/>
    <w:rPr>
      <w:sz w:val="20"/>
      <w:szCs w:val="20"/>
    </w:rPr>
  </w:style>
  <w:style w:type="paragraph" w:styleId="CommentSubject">
    <w:name w:val="annotation subject"/>
    <w:basedOn w:val="CommentText"/>
    <w:next w:val="CommentText"/>
    <w:semiHidden/>
    <w:rsid w:val="005A0B2E"/>
    <w:rPr>
      <w:b/>
      <w:bCs/>
    </w:rPr>
  </w:style>
  <w:style w:type="paragraph" w:styleId="BalloonText">
    <w:name w:val="Balloon Text"/>
    <w:basedOn w:val="Normal"/>
    <w:semiHidden/>
    <w:rsid w:val="005A0B2E"/>
    <w:rPr>
      <w:rFonts w:ascii="Tahoma" w:hAnsi="Tahoma" w:cs="Tahoma"/>
      <w:sz w:val="16"/>
      <w:szCs w:val="16"/>
    </w:rPr>
  </w:style>
  <w:style w:type="paragraph" w:styleId="NoSpacing">
    <w:name w:val="No Spacing"/>
    <w:uiPriority w:val="1"/>
    <w:qFormat/>
    <w:rsid w:val="00EA5765"/>
    <w:rPr>
      <w:sz w:val="24"/>
      <w:szCs w:val="24"/>
      <w:lang w:val="en-US" w:eastAsia="en-US"/>
    </w:rPr>
  </w:style>
  <w:style w:type="character" w:customStyle="1" w:styleId="CommentTextChar">
    <w:name w:val="Comment Text Char"/>
    <w:link w:val="CommentText"/>
    <w:semiHidden/>
    <w:rsid w:val="008A6D43"/>
    <w:rPr>
      <w:lang w:val="en-US" w:eastAsia="en-US"/>
    </w:rPr>
  </w:style>
  <w:style w:type="character" w:styleId="Hyperlink">
    <w:name w:val="Hyperlink"/>
    <w:basedOn w:val="DefaultParagraphFont"/>
    <w:rsid w:val="00077C99"/>
    <w:rPr>
      <w:color w:val="0563C1" w:themeColor="hyperlink"/>
      <w:u w:val="single"/>
    </w:rPr>
  </w:style>
  <w:style w:type="character" w:customStyle="1" w:styleId="UnresolvedMention1">
    <w:name w:val="Unresolved Mention1"/>
    <w:basedOn w:val="DefaultParagraphFont"/>
    <w:uiPriority w:val="99"/>
    <w:semiHidden/>
    <w:unhideWhenUsed/>
    <w:rsid w:val="00077C99"/>
    <w:rPr>
      <w:color w:val="605E5C"/>
      <w:shd w:val="clear" w:color="auto" w:fill="E1DFDD"/>
    </w:rPr>
  </w:style>
  <w:style w:type="paragraph" w:styleId="Revision">
    <w:name w:val="Revision"/>
    <w:hidden/>
    <w:uiPriority w:val="99"/>
    <w:semiHidden/>
    <w:rsid w:val="009547E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69591">
      <w:bodyDiv w:val="1"/>
      <w:marLeft w:val="0"/>
      <w:marRight w:val="0"/>
      <w:marTop w:val="0"/>
      <w:marBottom w:val="0"/>
      <w:divBdr>
        <w:top w:val="none" w:sz="0" w:space="0" w:color="auto"/>
        <w:left w:val="none" w:sz="0" w:space="0" w:color="auto"/>
        <w:bottom w:val="none" w:sz="0" w:space="0" w:color="auto"/>
        <w:right w:val="none" w:sz="0" w:space="0" w:color="auto"/>
      </w:divBdr>
    </w:div>
    <w:div w:id="1190988045">
      <w:bodyDiv w:val="1"/>
      <w:marLeft w:val="0"/>
      <w:marRight w:val="0"/>
      <w:marTop w:val="0"/>
      <w:marBottom w:val="0"/>
      <w:divBdr>
        <w:top w:val="none" w:sz="0" w:space="0" w:color="auto"/>
        <w:left w:val="none" w:sz="0" w:space="0" w:color="auto"/>
        <w:bottom w:val="none" w:sz="0" w:space="0" w:color="auto"/>
        <w:right w:val="none" w:sz="0" w:space="0" w:color="auto"/>
      </w:divBdr>
    </w:div>
    <w:div w:id="1506672993">
      <w:bodyDiv w:val="1"/>
      <w:marLeft w:val="0"/>
      <w:marRight w:val="0"/>
      <w:marTop w:val="0"/>
      <w:marBottom w:val="0"/>
      <w:divBdr>
        <w:top w:val="none" w:sz="0" w:space="0" w:color="auto"/>
        <w:left w:val="none" w:sz="0" w:space="0" w:color="auto"/>
        <w:bottom w:val="none" w:sz="0" w:space="0" w:color="auto"/>
        <w:right w:val="none" w:sz="0" w:space="0" w:color="auto"/>
      </w:divBdr>
    </w:div>
    <w:div w:id="1576889947">
      <w:bodyDiv w:val="1"/>
      <w:marLeft w:val="0"/>
      <w:marRight w:val="0"/>
      <w:marTop w:val="0"/>
      <w:marBottom w:val="0"/>
      <w:divBdr>
        <w:top w:val="none" w:sz="0" w:space="0" w:color="auto"/>
        <w:left w:val="none" w:sz="0" w:space="0" w:color="auto"/>
        <w:bottom w:val="none" w:sz="0" w:space="0" w:color="auto"/>
        <w:right w:val="none" w:sz="0" w:space="0" w:color="auto"/>
      </w:divBdr>
    </w:div>
    <w:div w:id="1758790017">
      <w:bodyDiv w:val="1"/>
      <w:marLeft w:val="0"/>
      <w:marRight w:val="0"/>
      <w:marTop w:val="0"/>
      <w:marBottom w:val="0"/>
      <w:divBdr>
        <w:top w:val="none" w:sz="0" w:space="0" w:color="auto"/>
        <w:left w:val="none" w:sz="0" w:space="0" w:color="auto"/>
        <w:bottom w:val="none" w:sz="0" w:space="0" w:color="auto"/>
        <w:right w:val="none" w:sz="0" w:space="0" w:color="auto"/>
      </w:divBdr>
    </w:div>
    <w:div w:id="19333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ms.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vigiflow-eforms.who-umc.org/me/meadr" TargetMode="External"/><Relationship Id="rId4" Type="http://schemas.openxmlformats.org/officeDocument/2006/relationships/settings" Target="settings.xml"/><Relationship Id="rId9" Type="http://schemas.openxmlformats.org/officeDocument/2006/relationships/hyperlink" Target="mailto:nezeljenadejstva@cinmed.m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3E69-06E6-4159-AC5C-90127E1287CD}">
  <ds:schemaRefs>
    <ds:schemaRef ds:uri="http://schemas.openxmlformats.org/officeDocument/2006/bibliography"/>
  </ds:schemaRefs>
</ds:datastoreItem>
</file>

<file path=docMetadata/LabelInfo.xml><?xml version="1.0" encoding="utf-8"?>
<clbl:labelList xmlns:clbl="http://schemas.microsoft.com/office/2020/mipLabelMetadata">
  <clbl:label id="{4c4f55c2-b9e5-4e04-bcc7-ae1efcea4b57}" enabled="1" method="Standard" siteId="{a72dda32-ee80-4da8-a3ac-ec0e9e41a50a}" contentBits="0" removed="0"/>
</clbl:labelList>
</file>

<file path=docProps/app.xml><?xml version="1.0" encoding="utf-8"?>
<Properties xmlns="http://schemas.openxmlformats.org/officeDocument/2006/extended-properties" xmlns:vt="http://schemas.openxmlformats.org/officeDocument/2006/docPropsVTypes">
  <Template>Normal</Template>
  <TotalTime>84</TotalTime>
  <Pages>27</Pages>
  <Words>13040</Words>
  <Characters>74332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SAŽETAK KARAKTERISTIKA LIJEKA</vt:lpstr>
    </vt:vector>
  </TitlesOfParts>
  <Company>CALIMS</Company>
  <LinksUpToDate>false</LinksUpToDate>
  <CharactersWithSpaces>87198</CharactersWithSpaces>
  <SharedDoc>false</SharedDoc>
  <HLinks>
    <vt:vector size="12" baseType="variant">
      <vt:variant>
        <vt:i4>2621465</vt:i4>
      </vt:variant>
      <vt:variant>
        <vt:i4>3</vt:i4>
      </vt:variant>
      <vt:variant>
        <vt:i4>0</vt:i4>
      </vt:variant>
      <vt:variant>
        <vt:i4>5</vt:i4>
      </vt:variant>
      <vt:variant>
        <vt:lpwstr>mailto:nezeljenadejstva@calims.me</vt:lpwstr>
      </vt:variant>
      <vt:variant>
        <vt:lpwstr/>
      </vt:variant>
      <vt:variant>
        <vt:i4>131142</vt:i4>
      </vt:variant>
      <vt:variant>
        <vt:i4>0</vt:i4>
      </vt:variant>
      <vt:variant>
        <vt:i4>0</vt:i4>
      </vt:variant>
      <vt:variant>
        <vt:i4>5</vt:i4>
      </vt:variant>
      <vt:variant>
        <vt:lpwstr>http://www.calims.me/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SAŽETAK KARAKTERISTIKA LIJEKA</dc:title>
  <dc:subject/>
  <dc:creator>tatjana.bankovic</dc:creator>
  <cp:keywords/>
  <cp:lastModifiedBy>Aleksandra Marijanović</cp:lastModifiedBy>
  <cp:revision>5</cp:revision>
  <dcterms:created xsi:type="dcterms:W3CDTF">2025-01-27T14:41:00Z</dcterms:created>
  <dcterms:modified xsi:type="dcterms:W3CDTF">2025-02-10T07:32:00Z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c4f55c2-b9e5-4e04-bcc7-ae1efcea4b57_Enabled">
    <vt:lpwstr>true</vt:lpwstr>
  </property>
  <property fmtid="{D5CDD505-2E9C-101B-9397-08002B2CF9AE}" pid="4" name="MSIP_Label_4c4f55c2-b9e5-4e04-bcc7-ae1efcea4b57_SetDate">
    <vt:lpwstr>2022-09-28T01:20:47Z</vt:lpwstr>
  </property>
  <property fmtid="{D5CDD505-2E9C-101B-9397-08002B2CF9AE}" pid="5" name="MSIP_Label_4c4f55c2-b9e5-4e04-bcc7-ae1efcea4b57_Method">
    <vt:lpwstr>Standard</vt:lpwstr>
  </property>
  <property fmtid="{D5CDD505-2E9C-101B-9397-08002B2CF9AE}" pid="6" name="MSIP_Label_4c4f55c2-b9e5-4e04-bcc7-ae1efcea4b57_Name">
    <vt:lpwstr>CORP Projects Information Label</vt:lpwstr>
  </property>
  <property fmtid="{D5CDD505-2E9C-101B-9397-08002B2CF9AE}" pid="7" name="MSIP_Label_4c4f55c2-b9e5-4e04-bcc7-ae1efcea4b57_SiteId">
    <vt:lpwstr>a72dda32-ee80-4da8-a3ac-ec0e9e41a50a</vt:lpwstr>
  </property>
  <property fmtid="{D5CDD505-2E9C-101B-9397-08002B2CF9AE}" pid="8" name="MSIP_Label_4c4f55c2-b9e5-4e04-bcc7-ae1efcea4b57_ActionId">
    <vt:lpwstr>480912e0-57a4-4f41-ab12-c98f6ab3d8a1</vt:lpwstr>
  </property>
  <property fmtid="{D5CDD505-2E9C-101B-9397-08002B2CF9AE}" pid="9" name="MSIP_Label_4c4f55c2-b9e5-4e04-bcc7-ae1efcea4b57_ContentBits">
    <vt:lpwstr>0</vt:lpwstr>
  </property>
</Properties>
</file>