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1668" w14:textId="77777777" w:rsidR="002510A5" w:rsidRPr="00C144C0" w:rsidRDefault="002510A5" w:rsidP="006B2E2C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144C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B4C1669" w14:textId="77777777" w:rsidR="002510A5" w:rsidRPr="00C144C0" w:rsidRDefault="002510A5" w:rsidP="006B2E2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B4C166A" w14:textId="77777777" w:rsidR="003C17AB" w:rsidRPr="00C144C0" w:rsidRDefault="003C17AB" w:rsidP="006B2E2C">
      <w:pPr>
        <w:jc w:val="both"/>
        <w:rPr>
          <w:sz w:val="22"/>
          <w:szCs w:val="22"/>
          <w:lang w:val="sr-Latn-ME"/>
        </w:rPr>
      </w:pPr>
    </w:p>
    <w:p w14:paraId="3B4C166E" w14:textId="77777777" w:rsidR="00411B4B" w:rsidRPr="00C144C0" w:rsidRDefault="00411B4B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>1.</w:t>
      </w:r>
      <w:r w:rsidR="00F5167F" w:rsidRPr="00C144C0">
        <w:rPr>
          <w:b/>
          <w:bCs/>
          <w:sz w:val="22"/>
          <w:szCs w:val="22"/>
          <w:lang w:val="sr-Latn-ME"/>
        </w:rPr>
        <w:tab/>
      </w:r>
      <w:r w:rsidR="002846DB" w:rsidRPr="00C144C0">
        <w:rPr>
          <w:b/>
          <w:bCs/>
          <w:sz w:val="22"/>
          <w:szCs w:val="22"/>
          <w:lang w:val="sr-Latn-ME"/>
        </w:rPr>
        <w:t xml:space="preserve">NAZIV </w:t>
      </w:r>
      <w:r w:rsidRPr="00C144C0">
        <w:rPr>
          <w:b/>
          <w:bCs/>
          <w:sz w:val="22"/>
          <w:szCs w:val="22"/>
          <w:lang w:val="sr-Latn-ME"/>
        </w:rPr>
        <w:t>LIJEKA</w:t>
      </w:r>
    </w:p>
    <w:p w14:paraId="3B4C166F" w14:textId="77777777" w:rsidR="00EC2532" w:rsidRPr="00C144C0" w:rsidRDefault="00EC2532" w:rsidP="006B2E2C">
      <w:pPr>
        <w:jc w:val="both"/>
        <w:rPr>
          <w:sz w:val="22"/>
          <w:szCs w:val="22"/>
          <w:lang w:val="sr-Latn-ME"/>
        </w:rPr>
      </w:pPr>
    </w:p>
    <w:p w14:paraId="3B4C1671" w14:textId="10E3BF49" w:rsidR="000D425A" w:rsidRPr="00C144C0" w:rsidRDefault="00E6465D" w:rsidP="006B2E2C">
      <w:pPr>
        <w:jc w:val="both"/>
        <w:rPr>
          <w:bCs/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Natrii chloridi infundibile cum glucoso </w:t>
      </w:r>
      <w:r w:rsidR="006B2E2C" w:rsidRPr="00C144C0">
        <w:rPr>
          <w:sz w:val="22"/>
          <w:szCs w:val="22"/>
          <w:lang w:val="sr-Latn-ME"/>
        </w:rPr>
        <w:t>5</w:t>
      </w:r>
      <w:r w:rsidR="00931DDC" w:rsidRPr="00C144C0">
        <w:rPr>
          <w:sz w:val="22"/>
          <w:szCs w:val="22"/>
          <w:lang w:val="sr-Latn-ME"/>
        </w:rPr>
        <w:t>%</w:t>
      </w:r>
      <w:r w:rsidR="006B2E2C" w:rsidRPr="00C144C0">
        <w:rPr>
          <w:sz w:val="22"/>
          <w:szCs w:val="22"/>
          <w:lang w:val="sr-Latn-ME"/>
        </w:rPr>
        <w:t xml:space="preserve">, </w:t>
      </w:r>
      <w:r w:rsidR="00343AC7" w:rsidRPr="00C144C0">
        <w:rPr>
          <w:sz w:val="22"/>
          <w:szCs w:val="22"/>
          <w:lang w:val="sr-Latn-ME"/>
        </w:rPr>
        <w:t xml:space="preserve"> </w:t>
      </w:r>
      <w:r w:rsidR="00621FC3" w:rsidRPr="00C144C0">
        <w:rPr>
          <w:sz w:val="22"/>
          <w:szCs w:val="22"/>
          <w:lang w:val="sr-Latn-ME"/>
        </w:rPr>
        <w:t>9</w:t>
      </w:r>
      <w:r w:rsidR="00ED33E9" w:rsidRPr="00C144C0">
        <w:rPr>
          <w:sz w:val="22"/>
          <w:szCs w:val="22"/>
          <w:lang w:val="sr-Latn-ME"/>
        </w:rPr>
        <w:t xml:space="preserve"> </w:t>
      </w:r>
      <w:r w:rsidR="00143FE0" w:rsidRPr="00C144C0">
        <w:rPr>
          <w:sz w:val="22"/>
          <w:szCs w:val="22"/>
          <w:lang w:val="sr-Latn-ME"/>
        </w:rPr>
        <w:t xml:space="preserve">g/l </w:t>
      </w:r>
      <w:r w:rsidR="00621FC3" w:rsidRPr="00C144C0">
        <w:rPr>
          <w:sz w:val="22"/>
          <w:szCs w:val="22"/>
          <w:lang w:val="sr-Latn-ME"/>
        </w:rPr>
        <w:t>+</w:t>
      </w:r>
      <w:r w:rsidR="00143FE0" w:rsidRPr="00C144C0">
        <w:rPr>
          <w:sz w:val="22"/>
          <w:szCs w:val="22"/>
          <w:lang w:val="sr-Latn-ME"/>
        </w:rPr>
        <w:t xml:space="preserve"> </w:t>
      </w:r>
      <w:r w:rsidR="00621FC3" w:rsidRPr="00C144C0">
        <w:rPr>
          <w:sz w:val="22"/>
          <w:szCs w:val="22"/>
          <w:lang w:val="sr-Latn-ME"/>
        </w:rPr>
        <w:t>5</w:t>
      </w:r>
      <w:r w:rsidR="00143FE0" w:rsidRPr="00C144C0">
        <w:rPr>
          <w:sz w:val="22"/>
          <w:szCs w:val="22"/>
          <w:lang w:val="sr-Latn-ME"/>
        </w:rPr>
        <w:t>0</w:t>
      </w:r>
      <w:r w:rsidR="00ED33E9" w:rsidRPr="00C144C0">
        <w:rPr>
          <w:sz w:val="22"/>
          <w:szCs w:val="22"/>
          <w:lang w:val="sr-Latn-ME"/>
        </w:rPr>
        <w:t xml:space="preserve"> </w:t>
      </w:r>
      <w:r w:rsidR="00143FE0" w:rsidRPr="00C144C0">
        <w:rPr>
          <w:sz w:val="22"/>
          <w:szCs w:val="22"/>
          <w:lang w:val="sr-Latn-ME"/>
        </w:rPr>
        <w:t>g/l</w:t>
      </w:r>
      <w:r w:rsidR="00621FC3" w:rsidRPr="00C144C0">
        <w:rPr>
          <w:sz w:val="22"/>
          <w:szCs w:val="22"/>
          <w:lang w:val="sr-Latn-ME"/>
        </w:rPr>
        <w:t xml:space="preserve">, </w:t>
      </w:r>
      <w:r w:rsidR="006B2E2C" w:rsidRPr="00C144C0">
        <w:rPr>
          <w:sz w:val="22"/>
          <w:szCs w:val="22"/>
          <w:lang w:val="sr-Latn-ME"/>
        </w:rPr>
        <w:t>rastvor za infuziju</w:t>
      </w:r>
    </w:p>
    <w:p w14:paraId="6E34F158" w14:textId="77777777" w:rsidR="006B2E2C" w:rsidRPr="00C144C0" w:rsidRDefault="006B2E2C" w:rsidP="006B2E2C">
      <w:pPr>
        <w:jc w:val="both"/>
        <w:rPr>
          <w:sz w:val="22"/>
          <w:szCs w:val="22"/>
          <w:lang w:val="sr-Latn-ME"/>
        </w:rPr>
      </w:pPr>
    </w:p>
    <w:p w14:paraId="3B4C1672" w14:textId="4342F607" w:rsidR="006D20A5" w:rsidRPr="00C144C0" w:rsidRDefault="006D20A5" w:rsidP="006B2E2C">
      <w:pPr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INN:</w:t>
      </w:r>
      <w:r w:rsidR="00C1794A" w:rsidRPr="00C144C0">
        <w:rPr>
          <w:sz w:val="22"/>
          <w:szCs w:val="22"/>
          <w:lang w:val="sr-Latn-ME"/>
        </w:rPr>
        <w:t xml:space="preserve"> natrijum</w:t>
      </w:r>
      <w:r w:rsidR="00374049" w:rsidRPr="00C144C0">
        <w:rPr>
          <w:sz w:val="22"/>
          <w:szCs w:val="22"/>
          <w:lang w:val="sr-Latn-ME"/>
        </w:rPr>
        <w:t xml:space="preserve"> </w:t>
      </w:r>
      <w:r w:rsidR="00C1794A" w:rsidRPr="00C144C0">
        <w:rPr>
          <w:sz w:val="22"/>
          <w:szCs w:val="22"/>
          <w:lang w:val="sr-Latn-ME"/>
        </w:rPr>
        <w:t>hlorid, glukoza</w:t>
      </w:r>
    </w:p>
    <w:p w14:paraId="3B4C1673" w14:textId="77777777" w:rsidR="006D20A5" w:rsidRPr="00C144C0" w:rsidRDefault="006D20A5" w:rsidP="006B2E2C">
      <w:pPr>
        <w:jc w:val="both"/>
        <w:rPr>
          <w:bCs/>
          <w:sz w:val="22"/>
          <w:szCs w:val="22"/>
          <w:lang w:val="sr-Latn-ME"/>
        </w:rPr>
      </w:pPr>
    </w:p>
    <w:p w14:paraId="3B4C1674" w14:textId="77777777" w:rsidR="00530BD7" w:rsidRPr="00C144C0" w:rsidRDefault="00530BD7" w:rsidP="006B2E2C">
      <w:pPr>
        <w:jc w:val="both"/>
        <w:rPr>
          <w:bCs/>
          <w:sz w:val="22"/>
          <w:szCs w:val="22"/>
          <w:lang w:val="sr-Latn-ME"/>
        </w:rPr>
      </w:pPr>
    </w:p>
    <w:p w14:paraId="3B4C1675" w14:textId="77777777" w:rsidR="00411B4B" w:rsidRPr="00C144C0" w:rsidRDefault="00411B4B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2. </w:t>
      </w:r>
      <w:r w:rsidR="00F5167F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KVALITATIVNI I KVANTITATIVNI SASTAV</w:t>
      </w:r>
    </w:p>
    <w:p w14:paraId="3B4C1676" w14:textId="77777777" w:rsidR="005A0B2E" w:rsidRPr="00C144C0" w:rsidRDefault="005A0B2E" w:rsidP="006B2E2C">
      <w:pPr>
        <w:jc w:val="both"/>
        <w:rPr>
          <w:sz w:val="22"/>
          <w:szCs w:val="22"/>
          <w:lang w:val="sr-Latn-ME"/>
        </w:rPr>
      </w:pPr>
    </w:p>
    <w:p w14:paraId="42579C96" w14:textId="77777777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1000 ml rastvora sadrži:</w:t>
      </w:r>
    </w:p>
    <w:p w14:paraId="32E3DF9C" w14:textId="4749A31C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Natrijum</w:t>
      </w:r>
      <w:r w:rsidR="00374049" w:rsidRPr="00C144C0">
        <w:rPr>
          <w:sz w:val="22"/>
          <w:szCs w:val="22"/>
          <w:lang w:val="sr-Latn-ME"/>
        </w:rPr>
        <w:t xml:space="preserve"> </w:t>
      </w:r>
      <w:r w:rsidRPr="00C144C0">
        <w:rPr>
          <w:sz w:val="22"/>
          <w:szCs w:val="22"/>
          <w:lang w:val="sr-Latn-ME"/>
        </w:rPr>
        <w:t>hlorid</w:t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143FE0" w:rsidRPr="00C144C0">
        <w:rPr>
          <w:sz w:val="22"/>
          <w:szCs w:val="22"/>
          <w:lang w:val="sr-Latn-ME"/>
        </w:rPr>
        <w:t xml:space="preserve">              </w:t>
      </w:r>
      <w:r w:rsidRPr="00C144C0">
        <w:rPr>
          <w:sz w:val="22"/>
          <w:szCs w:val="22"/>
          <w:lang w:val="sr-Latn-ME"/>
        </w:rPr>
        <w:t>9 g</w:t>
      </w:r>
    </w:p>
    <w:p w14:paraId="6E1677C0" w14:textId="6F035597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Glukoza, bezvodna</w:t>
      </w:r>
      <w:r w:rsidR="006D37E4" w:rsidRPr="00C144C0">
        <w:rPr>
          <w:sz w:val="22"/>
          <w:szCs w:val="22"/>
          <w:lang w:val="sr-Latn-ME"/>
        </w:rPr>
        <w:t xml:space="preserve"> (u obliku glukoza monohidrata)</w:t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  <w:t>50 g</w:t>
      </w:r>
    </w:p>
    <w:p w14:paraId="451FA627" w14:textId="087EBB58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Voda za injekcije do</w:t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>1000 ml</w:t>
      </w:r>
    </w:p>
    <w:p w14:paraId="6A35F0F2" w14:textId="77777777" w:rsidR="00D925C1" w:rsidRPr="00C144C0" w:rsidRDefault="00D925C1" w:rsidP="00D925C1">
      <w:pPr>
        <w:rPr>
          <w:sz w:val="22"/>
          <w:szCs w:val="22"/>
          <w:lang w:val="sr-Latn-ME"/>
        </w:rPr>
      </w:pPr>
    </w:p>
    <w:p w14:paraId="32695865" w14:textId="4CB03840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Na</w:t>
      </w:r>
      <w:r w:rsidRPr="00C144C0">
        <w:rPr>
          <w:sz w:val="22"/>
          <w:szCs w:val="22"/>
          <w:vertAlign w:val="superscript"/>
          <w:lang w:val="sr-Latn-ME"/>
        </w:rPr>
        <w:t>+</w:t>
      </w:r>
      <w:r w:rsidRPr="00C144C0">
        <w:rPr>
          <w:sz w:val="22"/>
          <w:szCs w:val="22"/>
          <w:vertAlign w:val="superscript"/>
          <w:lang w:val="sr-Latn-ME"/>
        </w:rPr>
        <w:tab/>
      </w:r>
      <w:r w:rsidRPr="00C144C0">
        <w:rPr>
          <w:sz w:val="22"/>
          <w:szCs w:val="22"/>
          <w:vertAlign w:val="superscript"/>
          <w:lang w:val="sr-Latn-ME"/>
        </w:rPr>
        <w:tab/>
      </w:r>
      <w:r w:rsidRPr="00C144C0">
        <w:rPr>
          <w:sz w:val="22"/>
          <w:szCs w:val="22"/>
          <w:vertAlign w:val="superscript"/>
          <w:lang w:val="sr-Latn-ME"/>
        </w:rPr>
        <w:tab/>
      </w:r>
      <w:r w:rsidRPr="00C144C0">
        <w:rPr>
          <w:sz w:val="22"/>
          <w:szCs w:val="22"/>
          <w:vertAlign w:val="superscript"/>
          <w:lang w:val="sr-Latn-ME"/>
        </w:rPr>
        <w:tab/>
      </w:r>
      <w:r w:rsidRPr="00C144C0">
        <w:rPr>
          <w:sz w:val="22"/>
          <w:szCs w:val="22"/>
          <w:vertAlign w:val="superscript"/>
          <w:lang w:val="sr-Latn-ME"/>
        </w:rPr>
        <w:tab/>
      </w:r>
      <w:r w:rsidRPr="00C144C0">
        <w:rPr>
          <w:sz w:val="22"/>
          <w:szCs w:val="22"/>
          <w:vertAlign w:val="superscript"/>
          <w:lang w:val="sr-Latn-ME"/>
        </w:rPr>
        <w:tab/>
      </w:r>
      <w:r w:rsidR="006D37E4" w:rsidRPr="00C144C0">
        <w:rPr>
          <w:sz w:val="22"/>
          <w:szCs w:val="22"/>
          <w:vertAlign w:val="superscript"/>
          <w:lang w:val="sr-Latn-ME"/>
        </w:rPr>
        <w:tab/>
      </w:r>
      <w:r w:rsidR="006D37E4" w:rsidRPr="00C144C0">
        <w:rPr>
          <w:sz w:val="22"/>
          <w:szCs w:val="22"/>
          <w:vertAlign w:val="superscript"/>
          <w:lang w:val="sr-Latn-ME"/>
        </w:rPr>
        <w:tab/>
      </w:r>
      <w:r w:rsidR="006D37E4" w:rsidRPr="00C144C0">
        <w:rPr>
          <w:sz w:val="22"/>
          <w:szCs w:val="22"/>
          <w:vertAlign w:val="superscript"/>
          <w:lang w:val="sr-Latn-ME"/>
        </w:rPr>
        <w:tab/>
      </w:r>
      <w:r w:rsidRPr="00C144C0">
        <w:rPr>
          <w:sz w:val="22"/>
          <w:szCs w:val="22"/>
          <w:lang w:val="sr-Latn-ME"/>
        </w:rPr>
        <w:t>154 mmol</w:t>
      </w:r>
    </w:p>
    <w:p w14:paraId="0E70E46D" w14:textId="037A498B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Cl</w:t>
      </w:r>
      <w:r w:rsidRPr="00C144C0">
        <w:rPr>
          <w:sz w:val="22"/>
          <w:szCs w:val="22"/>
          <w:vertAlign w:val="superscript"/>
          <w:lang w:val="sr-Latn-ME"/>
        </w:rPr>
        <w:t>-</w:t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>154 mmol</w:t>
      </w:r>
    </w:p>
    <w:p w14:paraId="1BF7D2E3" w14:textId="3D337902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Glukoza</w:t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="006D37E4" w:rsidRPr="00C144C0">
        <w:rPr>
          <w:sz w:val="22"/>
          <w:szCs w:val="22"/>
          <w:lang w:val="sr-Latn-ME"/>
        </w:rPr>
        <w:tab/>
      </w:r>
      <w:r w:rsidRPr="00C144C0">
        <w:rPr>
          <w:sz w:val="22"/>
          <w:szCs w:val="22"/>
          <w:lang w:val="sr-Latn-ME"/>
        </w:rPr>
        <w:t>278 mmol</w:t>
      </w:r>
    </w:p>
    <w:p w14:paraId="0D62052A" w14:textId="77777777" w:rsidR="00D925C1" w:rsidRPr="00C144C0" w:rsidRDefault="00D925C1" w:rsidP="00D925C1">
      <w:pPr>
        <w:rPr>
          <w:sz w:val="22"/>
          <w:szCs w:val="22"/>
          <w:lang w:val="sr-Latn-ME"/>
        </w:rPr>
      </w:pPr>
    </w:p>
    <w:p w14:paraId="046CE6AA" w14:textId="64B22CC7" w:rsidR="00D925C1" w:rsidRPr="00C144C0" w:rsidRDefault="00D925C1" w:rsidP="00D925C1">
      <w:pPr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Teoretski osmolaritet = 585,4 m</w:t>
      </w:r>
      <w:r w:rsidR="006F3FFD" w:rsidRPr="00C144C0">
        <w:rPr>
          <w:sz w:val="22"/>
          <w:szCs w:val="22"/>
          <w:lang w:val="sr-Latn-ME"/>
        </w:rPr>
        <w:t>O</w:t>
      </w:r>
      <w:r w:rsidRPr="00C144C0">
        <w:rPr>
          <w:sz w:val="22"/>
          <w:szCs w:val="22"/>
          <w:lang w:val="sr-Latn-ME"/>
        </w:rPr>
        <w:t>smol/l</w:t>
      </w:r>
    </w:p>
    <w:p w14:paraId="2A35F984" w14:textId="77777777" w:rsidR="00811CB0" w:rsidRPr="00C144C0" w:rsidRDefault="00811CB0" w:rsidP="00811CB0">
      <w:pPr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pH = 3,2-6,5 </w:t>
      </w:r>
    </w:p>
    <w:p w14:paraId="6F144DE9" w14:textId="77777777" w:rsidR="00D925C1" w:rsidRPr="00C144C0" w:rsidRDefault="00D925C1" w:rsidP="006B2E2C">
      <w:pPr>
        <w:jc w:val="both"/>
        <w:rPr>
          <w:sz w:val="22"/>
          <w:szCs w:val="22"/>
          <w:lang w:val="sr-Latn-ME"/>
        </w:rPr>
      </w:pPr>
    </w:p>
    <w:p w14:paraId="3B4C1677" w14:textId="1BED0638" w:rsidR="0003793F" w:rsidRPr="00C144C0" w:rsidRDefault="0003793F" w:rsidP="006B2E2C">
      <w:pPr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Za spisak svih ekscipijenasa, pogledati dio 6.1.</w:t>
      </w:r>
    </w:p>
    <w:p w14:paraId="3B4C1678" w14:textId="77777777" w:rsidR="0003793F" w:rsidRPr="00C144C0" w:rsidRDefault="0003793F" w:rsidP="006B2E2C">
      <w:pPr>
        <w:jc w:val="both"/>
        <w:rPr>
          <w:sz w:val="22"/>
          <w:szCs w:val="22"/>
          <w:lang w:val="sr-Latn-ME"/>
        </w:rPr>
      </w:pPr>
    </w:p>
    <w:p w14:paraId="3B4C1679" w14:textId="77777777" w:rsidR="00C37FD7" w:rsidRPr="00C144C0" w:rsidRDefault="00C37FD7" w:rsidP="006B2E2C">
      <w:pPr>
        <w:jc w:val="both"/>
        <w:rPr>
          <w:sz w:val="22"/>
          <w:szCs w:val="22"/>
          <w:lang w:val="sr-Latn-ME"/>
        </w:rPr>
      </w:pPr>
    </w:p>
    <w:p w14:paraId="3B4C167A" w14:textId="77777777" w:rsidR="00411B4B" w:rsidRPr="00C144C0" w:rsidRDefault="00411B4B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3. </w:t>
      </w:r>
      <w:r w:rsidR="00F5167F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FARMACEUTSKI OBLIK</w:t>
      </w:r>
      <w:r w:rsidR="009F2D23" w:rsidRPr="00C144C0">
        <w:rPr>
          <w:b/>
          <w:bCs/>
          <w:sz w:val="22"/>
          <w:szCs w:val="22"/>
          <w:lang w:val="sr-Latn-ME"/>
        </w:rPr>
        <w:t xml:space="preserve"> </w:t>
      </w:r>
    </w:p>
    <w:p w14:paraId="3B4C167B" w14:textId="77777777" w:rsidR="00411B4B" w:rsidRPr="00C144C0" w:rsidRDefault="00411B4B" w:rsidP="006B2E2C">
      <w:pPr>
        <w:jc w:val="both"/>
        <w:rPr>
          <w:bCs/>
          <w:sz w:val="22"/>
          <w:szCs w:val="22"/>
          <w:lang w:val="sr-Latn-ME"/>
        </w:rPr>
      </w:pPr>
    </w:p>
    <w:p w14:paraId="3B4C167C" w14:textId="48958219" w:rsidR="00EC2532" w:rsidRPr="00C144C0" w:rsidRDefault="004506F7" w:rsidP="006B2E2C">
      <w:p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 za infuziju.</w:t>
      </w:r>
    </w:p>
    <w:p w14:paraId="42CB5D6A" w14:textId="071E79D8" w:rsidR="004506F7" w:rsidRPr="00C144C0" w:rsidRDefault="004506F7" w:rsidP="006B2E2C">
      <w:p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Bistar, bezbojan do slabo žućkast</w:t>
      </w:r>
      <w:r w:rsidR="007212D7" w:rsidRPr="00C144C0">
        <w:rPr>
          <w:bCs/>
          <w:sz w:val="22"/>
          <w:szCs w:val="22"/>
          <w:lang w:val="sr-Latn-ME"/>
        </w:rPr>
        <w:t>o</w:t>
      </w:r>
      <w:r w:rsidRPr="00C144C0">
        <w:rPr>
          <w:bCs/>
          <w:sz w:val="22"/>
          <w:szCs w:val="22"/>
          <w:lang w:val="sr-Latn-ME"/>
        </w:rPr>
        <w:t xml:space="preserve"> obojen rastvor.</w:t>
      </w:r>
    </w:p>
    <w:p w14:paraId="339185D5" w14:textId="77777777" w:rsidR="004506F7" w:rsidRPr="00C144C0" w:rsidRDefault="004506F7" w:rsidP="006B2E2C">
      <w:pPr>
        <w:jc w:val="both"/>
        <w:rPr>
          <w:bCs/>
          <w:sz w:val="22"/>
          <w:szCs w:val="22"/>
          <w:lang w:val="sr-Latn-ME"/>
        </w:rPr>
      </w:pPr>
    </w:p>
    <w:p w14:paraId="4476F1A2" w14:textId="77777777" w:rsidR="004506F7" w:rsidRPr="00C144C0" w:rsidRDefault="004506F7" w:rsidP="006B2E2C">
      <w:pPr>
        <w:jc w:val="both"/>
        <w:rPr>
          <w:bCs/>
          <w:sz w:val="22"/>
          <w:szCs w:val="22"/>
          <w:lang w:val="sr-Latn-ME"/>
        </w:rPr>
      </w:pPr>
    </w:p>
    <w:p w14:paraId="3B4C167D" w14:textId="77777777" w:rsidR="00411B4B" w:rsidRPr="00C144C0" w:rsidRDefault="00411B4B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4.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KLINIČKI PODACI</w:t>
      </w:r>
    </w:p>
    <w:p w14:paraId="3B4C167E" w14:textId="77777777" w:rsidR="00CD6F02" w:rsidRPr="00C144C0" w:rsidRDefault="00CD6F0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7F" w14:textId="77777777" w:rsidR="00411B4B" w:rsidRPr="00C144C0" w:rsidRDefault="00411B4B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4.1.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Terapijske indikacije</w:t>
      </w:r>
    </w:p>
    <w:p w14:paraId="3B4C1680" w14:textId="77777777" w:rsidR="00411B4B" w:rsidRPr="00C144C0" w:rsidRDefault="00411B4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80CEAE" w14:textId="0C2DFBE9" w:rsidR="00E6465D" w:rsidRPr="00C144C0" w:rsidRDefault="00E6465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Natrii chloridi infundibile cum glucoso 5%, rastvor za infuziju</w:t>
      </w:r>
      <w:r w:rsidR="004532E6" w:rsidRPr="00C144C0">
        <w:rPr>
          <w:bCs/>
          <w:sz w:val="22"/>
          <w:szCs w:val="22"/>
          <w:lang w:val="sr-Latn-ME"/>
        </w:rPr>
        <w:t>,</w:t>
      </w:r>
      <w:r w:rsidRPr="00C144C0">
        <w:rPr>
          <w:bCs/>
          <w:sz w:val="22"/>
          <w:szCs w:val="22"/>
          <w:lang w:val="sr-Latn-ME"/>
        </w:rPr>
        <w:t xml:space="preserve"> je indikovan</w:t>
      </w:r>
      <w:r w:rsidR="00AA1148" w:rsidRPr="00C144C0">
        <w:rPr>
          <w:bCs/>
          <w:sz w:val="22"/>
          <w:szCs w:val="22"/>
          <w:lang w:val="sr-Latn-ME"/>
        </w:rPr>
        <w:t xml:space="preserve"> u:</w:t>
      </w:r>
    </w:p>
    <w:p w14:paraId="2C223B14" w14:textId="3A4BA818" w:rsidR="00AA2EAB" w:rsidRPr="00C144C0" w:rsidRDefault="00AA1148" w:rsidP="0057768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terapiji nadoknade </w:t>
      </w:r>
      <w:r w:rsidR="0075563A" w:rsidRPr="00C144C0">
        <w:rPr>
          <w:sz w:val="22"/>
          <w:szCs w:val="22"/>
          <w:lang w:val="sr-Latn-ME"/>
        </w:rPr>
        <w:t xml:space="preserve">gubitka natrijuma, </w:t>
      </w:r>
      <w:r w:rsidR="00333954" w:rsidRPr="00C144C0">
        <w:rPr>
          <w:sz w:val="22"/>
          <w:szCs w:val="22"/>
          <w:lang w:val="sr-Latn-ME"/>
        </w:rPr>
        <w:t xml:space="preserve">ekstracelularne dehidratacije ili hipovolemije </w:t>
      </w:r>
      <w:r w:rsidR="001A0FC2" w:rsidRPr="00C144C0">
        <w:rPr>
          <w:sz w:val="22"/>
          <w:szCs w:val="22"/>
          <w:lang w:val="sr-Latn-ME"/>
        </w:rPr>
        <w:t>u slučajevima kada je neophodna nadoknada vo</w:t>
      </w:r>
      <w:r w:rsidR="00F356CC" w:rsidRPr="00C144C0">
        <w:rPr>
          <w:sz w:val="22"/>
          <w:szCs w:val="22"/>
          <w:lang w:val="sr-Latn-ME"/>
        </w:rPr>
        <w:t>d</w:t>
      </w:r>
      <w:r w:rsidR="001A0FC2" w:rsidRPr="00C144C0">
        <w:rPr>
          <w:sz w:val="22"/>
          <w:szCs w:val="22"/>
          <w:lang w:val="sr-Latn-ME"/>
        </w:rPr>
        <w:t>e i ugljenih hidrata</w:t>
      </w:r>
      <w:r w:rsidR="00F356CC" w:rsidRPr="00C144C0">
        <w:rPr>
          <w:sz w:val="22"/>
          <w:szCs w:val="22"/>
          <w:lang w:val="sr-Latn-ME"/>
        </w:rPr>
        <w:t xml:space="preserve"> usl</w:t>
      </w:r>
      <w:r w:rsidR="00FA7C4A" w:rsidRPr="00C144C0">
        <w:rPr>
          <w:sz w:val="22"/>
          <w:szCs w:val="22"/>
          <w:lang w:val="sr-Latn-ME"/>
        </w:rPr>
        <w:t>j</w:t>
      </w:r>
      <w:r w:rsidR="00F356CC" w:rsidRPr="00C144C0">
        <w:rPr>
          <w:sz w:val="22"/>
          <w:szCs w:val="22"/>
          <w:lang w:val="sr-Latn-ME"/>
        </w:rPr>
        <w:t xml:space="preserve">ed restrikcije unosa </w:t>
      </w:r>
      <w:r w:rsidR="00EB6A4B" w:rsidRPr="00C144C0">
        <w:rPr>
          <w:sz w:val="22"/>
          <w:szCs w:val="22"/>
          <w:lang w:val="sr-Latn-ME"/>
        </w:rPr>
        <w:t>tečnosti i elektrolita normalnim putevima.</w:t>
      </w:r>
    </w:p>
    <w:p w14:paraId="77FC3D6A" w14:textId="77777777" w:rsidR="00AA2EAB" w:rsidRPr="00C144C0" w:rsidRDefault="00AA2EA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1" w14:textId="77777777" w:rsidR="00411B4B" w:rsidRPr="00C144C0" w:rsidRDefault="00411B4B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4.2.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Doziranje i način primjene</w:t>
      </w:r>
    </w:p>
    <w:p w14:paraId="3B4C1682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92746C" w14:textId="358BDCC1" w:rsidR="00AC45FC" w:rsidRPr="00C144C0" w:rsidRDefault="00AC45F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Izbor </w:t>
      </w:r>
      <w:r w:rsidR="00956D0B" w:rsidRPr="00C144C0">
        <w:rPr>
          <w:bCs/>
          <w:sz w:val="22"/>
          <w:szCs w:val="22"/>
          <w:lang w:val="sr-Latn-ME"/>
        </w:rPr>
        <w:t>određene koncentracije natrijum</w:t>
      </w:r>
      <w:r w:rsidR="00577682" w:rsidRPr="00C144C0">
        <w:rPr>
          <w:bCs/>
          <w:sz w:val="22"/>
          <w:szCs w:val="22"/>
          <w:lang w:val="sr-Latn-ME"/>
        </w:rPr>
        <w:t xml:space="preserve"> </w:t>
      </w:r>
      <w:r w:rsidR="00956D0B" w:rsidRPr="00C144C0">
        <w:rPr>
          <w:bCs/>
          <w:sz w:val="22"/>
          <w:szCs w:val="22"/>
          <w:lang w:val="sr-Latn-ME"/>
        </w:rPr>
        <w:t>hlorida i glukoze, doza, zapremina, brzina infuzija i dužina primjene zavisi od uzrasta</w:t>
      </w:r>
      <w:r w:rsidR="00CE404E" w:rsidRPr="00C144C0">
        <w:rPr>
          <w:bCs/>
          <w:sz w:val="22"/>
          <w:szCs w:val="22"/>
          <w:lang w:val="sr-Latn-ME"/>
        </w:rPr>
        <w:t xml:space="preserve">, tjelesne </w:t>
      </w:r>
      <w:r w:rsidR="001718D5" w:rsidRPr="00C144C0">
        <w:rPr>
          <w:bCs/>
          <w:sz w:val="22"/>
          <w:szCs w:val="22"/>
          <w:lang w:val="sr-Latn-ME"/>
        </w:rPr>
        <w:t>mase</w:t>
      </w:r>
      <w:r w:rsidR="00CE404E" w:rsidRPr="00C144C0">
        <w:rPr>
          <w:bCs/>
          <w:sz w:val="22"/>
          <w:szCs w:val="22"/>
          <w:lang w:val="sr-Latn-ME"/>
        </w:rPr>
        <w:t xml:space="preserve">, kliničkog stanja </w:t>
      </w:r>
      <w:r w:rsidR="00B64144" w:rsidRPr="00C144C0">
        <w:rPr>
          <w:bCs/>
          <w:sz w:val="22"/>
          <w:szCs w:val="22"/>
          <w:lang w:val="sr-Latn-ME"/>
        </w:rPr>
        <w:t xml:space="preserve">pacijenta </w:t>
      </w:r>
      <w:r w:rsidR="00CE404E" w:rsidRPr="00C144C0">
        <w:rPr>
          <w:bCs/>
          <w:sz w:val="22"/>
          <w:szCs w:val="22"/>
          <w:lang w:val="sr-Latn-ME"/>
        </w:rPr>
        <w:t>i istovremeno primijenjene terapije</w:t>
      </w:r>
      <w:r w:rsidR="0043331B" w:rsidRPr="00C144C0">
        <w:rPr>
          <w:bCs/>
          <w:sz w:val="22"/>
          <w:szCs w:val="22"/>
          <w:lang w:val="sr-Latn-ME"/>
        </w:rPr>
        <w:t xml:space="preserve"> i određuje je ljekar. Konsultovati ljekara sa iskustvom u primjeni terapije intravenskim tečnostima</w:t>
      </w:r>
      <w:r w:rsidR="003F60A8" w:rsidRPr="00C144C0">
        <w:rPr>
          <w:bCs/>
          <w:sz w:val="22"/>
          <w:szCs w:val="22"/>
          <w:lang w:val="sr-Latn-ME"/>
        </w:rPr>
        <w:t xml:space="preserve"> za primjenu kod pacijenata sa poremećajima elektrolita i glukoze, </w:t>
      </w:r>
      <w:r w:rsidR="00A40818" w:rsidRPr="00C144C0">
        <w:rPr>
          <w:bCs/>
          <w:sz w:val="22"/>
          <w:szCs w:val="22"/>
          <w:lang w:val="sr-Latn-ME"/>
        </w:rPr>
        <w:t>kao i kod pedijatrijskih pacijenata</w:t>
      </w:r>
      <w:r w:rsidR="0043331B" w:rsidRPr="00C144C0">
        <w:rPr>
          <w:bCs/>
          <w:sz w:val="22"/>
          <w:szCs w:val="22"/>
          <w:lang w:val="sr-Latn-ME"/>
        </w:rPr>
        <w:t>.</w:t>
      </w:r>
    </w:p>
    <w:p w14:paraId="5A3F0EAD" w14:textId="77777777" w:rsidR="0043331B" w:rsidRPr="00C144C0" w:rsidRDefault="0043331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8C10FF" w14:textId="5B25C973" w:rsidR="004A494A" w:rsidRPr="00C144C0" w:rsidRDefault="0097507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Možda će biti potrebno pratiti ravnotežu tečnosti, </w:t>
      </w:r>
      <w:r w:rsidR="00FA75D8" w:rsidRPr="00C144C0">
        <w:rPr>
          <w:bCs/>
          <w:sz w:val="22"/>
          <w:szCs w:val="22"/>
          <w:lang w:val="sr-Latn-ME"/>
        </w:rPr>
        <w:t xml:space="preserve">koncentraciju </w:t>
      </w:r>
      <w:r w:rsidRPr="00C144C0">
        <w:rPr>
          <w:bCs/>
          <w:sz w:val="22"/>
          <w:szCs w:val="22"/>
          <w:lang w:val="sr-Latn-ME"/>
        </w:rPr>
        <w:t>glukoz</w:t>
      </w:r>
      <w:r w:rsidR="00FA75D8" w:rsidRPr="00C144C0">
        <w:rPr>
          <w:bCs/>
          <w:sz w:val="22"/>
          <w:szCs w:val="22"/>
          <w:lang w:val="sr-Latn-ME"/>
        </w:rPr>
        <w:t>e</w:t>
      </w:r>
      <w:r w:rsidRPr="00C144C0">
        <w:rPr>
          <w:bCs/>
          <w:sz w:val="22"/>
          <w:szCs w:val="22"/>
          <w:lang w:val="sr-Latn-ME"/>
        </w:rPr>
        <w:t xml:space="preserve"> u serumu, </w:t>
      </w:r>
      <w:r w:rsidR="00FA75D8" w:rsidRPr="00C144C0">
        <w:rPr>
          <w:bCs/>
          <w:sz w:val="22"/>
          <w:szCs w:val="22"/>
          <w:lang w:val="sr-Latn-ME"/>
        </w:rPr>
        <w:t xml:space="preserve">koncentraciju </w:t>
      </w:r>
      <w:r w:rsidRPr="00C144C0">
        <w:rPr>
          <w:bCs/>
          <w:sz w:val="22"/>
          <w:szCs w:val="22"/>
          <w:lang w:val="sr-Latn-ME"/>
        </w:rPr>
        <w:t>natrijum</w:t>
      </w:r>
      <w:r w:rsidR="00FA75D8" w:rsidRPr="00C144C0">
        <w:rPr>
          <w:bCs/>
          <w:sz w:val="22"/>
          <w:szCs w:val="22"/>
          <w:lang w:val="sr-Latn-ME"/>
        </w:rPr>
        <w:t>a</w:t>
      </w:r>
      <w:r w:rsidRPr="00C144C0">
        <w:rPr>
          <w:bCs/>
          <w:sz w:val="22"/>
          <w:szCs w:val="22"/>
          <w:lang w:val="sr-Latn-ME"/>
        </w:rPr>
        <w:t xml:space="preserve"> u serumu i druge elektrolite</w:t>
      </w:r>
      <w:r w:rsidR="006A4113" w:rsidRPr="00C144C0">
        <w:rPr>
          <w:bCs/>
          <w:sz w:val="22"/>
          <w:szCs w:val="22"/>
          <w:lang w:val="sr-Latn-ME"/>
        </w:rPr>
        <w:t>,</w:t>
      </w:r>
      <w:r w:rsidRPr="00C144C0">
        <w:rPr>
          <w:bCs/>
          <w:sz w:val="22"/>
          <w:szCs w:val="22"/>
          <w:lang w:val="sr-Latn-ME"/>
        </w:rPr>
        <w:t xml:space="preserve"> pr</w:t>
      </w:r>
      <w:r w:rsidR="006A4113" w:rsidRPr="00C144C0">
        <w:rPr>
          <w:bCs/>
          <w:sz w:val="22"/>
          <w:szCs w:val="22"/>
          <w:lang w:val="sr-Latn-ME"/>
        </w:rPr>
        <w:t>ij</w:t>
      </w:r>
      <w:r w:rsidRPr="00C144C0">
        <w:rPr>
          <w:bCs/>
          <w:sz w:val="22"/>
          <w:szCs w:val="22"/>
          <w:lang w:val="sr-Latn-ME"/>
        </w:rPr>
        <w:t>e i tokom prim</w:t>
      </w:r>
      <w:r w:rsidR="006A4113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ene, posebno kod pacijenata sa povećanim neosmotskim oslobađanjem vazopresina (sindrom neadekvatne sekrecije antidiuretskog hormona, SIADH) i kod pacijenata koji se l</w:t>
      </w:r>
      <w:r w:rsidR="006A4113" w:rsidRPr="00C144C0">
        <w:rPr>
          <w:bCs/>
          <w:sz w:val="22"/>
          <w:szCs w:val="22"/>
          <w:lang w:val="sr-Latn-ME"/>
        </w:rPr>
        <w:t>ij</w:t>
      </w:r>
      <w:r w:rsidRPr="00C144C0">
        <w:rPr>
          <w:bCs/>
          <w:sz w:val="22"/>
          <w:szCs w:val="22"/>
          <w:lang w:val="sr-Latn-ME"/>
        </w:rPr>
        <w:t xml:space="preserve">eče agonistima vazopresina zbog rizika od hiponatremije. Praćenje koncentracije natrijuma u serumu je posebno važno za </w:t>
      </w:r>
      <w:r w:rsidR="0092192F" w:rsidRPr="00C144C0">
        <w:rPr>
          <w:bCs/>
          <w:sz w:val="22"/>
          <w:szCs w:val="22"/>
          <w:lang w:val="sr-Latn-ME"/>
        </w:rPr>
        <w:t>fiziološki hipoton</w:t>
      </w:r>
      <w:r w:rsidR="00CE31A4" w:rsidRPr="00C144C0">
        <w:rPr>
          <w:bCs/>
          <w:sz w:val="22"/>
          <w:szCs w:val="22"/>
          <w:lang w:val="sr-Latn-ME"/>
        </w:rPr>
        <w:t>ičn</w:t>
      </w:r>
      <w:r w:rsidR="0092192F" w:rsidRPr="00C144C0">
        <w:rPr>
          <w:bCs/>
          <w:sz w:val="22"/>
          <w:szCs w:val="22"/>
          <w:lang w:val="sr-Latn-ME"/>
        </w:rPr>
        <w:t>e tečnosti</w:t>
      </w:r>
      <w:r w:rsidR="004A494A" w:rsidRPr="00C144C0">
        <w:rPr>
          <w:bCs/>
          <w:sz w:val="22"/>
          <w:szCs w:val="22"/>
          <w:lang w:val="sr-Latn-ME"/>
        </w:rPr>
        <w:t xml:space="preserve">. </w:t>
      </w:r>
      <w:r w:rsidR="00F51E50" w:rsidRPr="00C144C0">
        <w:rPr>
          <w:bCs/>
          <w:sz w:val="22"/>
          <w:szCs w:val="22"/>
          <w:lang w:val="sr-Latn-ME"/>
        </w:rPr>
        <w:t xml:space="preserve">Lijek </w:t>
      </w:r>
      <w:r w:rsidR="004A494A" w:rsidRPr="00C144C0">
        <w:rPr>
          <w:bCs/>
          <w:sz w:val="22"/>
          <w:szCs w:val="22"/>
          <w:lang w:val="sr-Latn-ME"/>
        </w:rPr>
        <w:t xml:space="preserve">Natrii chloridi infundibile cum glucoso 5% može postati izrazito hipotoničan nakon primjene </w:t>
      </w:r>
      <w:r w:rsidR="00E34909" w:rsidRPr="00C144C0">
        <w:rPr>
          <w:bCs/>
          <w:sz w:val="22"/>
          <w:szCs w:val="22"/>
          <w:lang w:val="sr-Latn-ME"/>
        </w:rPr>
        <w:t>zbog</w:t>
      </w:r>
      <w:r w:rsidR="004A494A" w:rsidRPr="00C144C0">
        <w:rPr>
          <w:bCs/>
          <w:sz w:val="22"/>
          <w:szCs w:val="22"/>
          <w:lang w:val="sr-Latn-ME"/>
        </w:rPr>
        <w:t xml:space="preserve"> metabolizma glukoze</w:t>
      </w:r>
      <w:r w:rsidR="00E34909" w:rsidRPr="00C144C0">
        <w:rPr>
          <w:bCs/>
          <w:sz w:val="22"/>
          <w:szCs w:val="22"/>
          <w:lang w:val="sr-Latn-ME"/>
        </w:rPr>
        <w:t xml:space="preserve"> u organizmu (pogledati </w:t>
      </w:r>
      <w:r w:rsidR="00ED758D" w:rsidRPr="00C144C0">
        <w:rPr>
          <w:bCs/>
          <w:sz w:val="22"/>
          <w:szCs w:val="22"/>
          <w:lang w:val="sr-Latn-ME"/>
        </w:rPr>
        <w:t>djel</w:t>
      </w:r>
      <w:r w:rsidR="00E34909" w:rsidRPr="00C144C0">
        <w:rPr>
          <w:bCs/>
          <w:sz w:val="22"/>
          <w:szCs w:val="22"/>
          <w:lang w:val="sr-Latn-ME"/>
        </w:rPr>
        <w:t>ove 4.4, 4.5 i 4.8).</w:t>
      </w:r>
    </w:p>
    <w:p w14:paraId="5EF08AA8" w14:textId="77777777" w:rsidR="004A494A" w:rsidRPr="00C144C0" w:rsidRDefault="004A494A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B803BF" w14:textId="01C94789" w:rsidR="0043331B" w:rsidRPr="00C144C0" w:rsidRDefault="00E34909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lastRenderedPageBreak/>
        <w:t xml:space="preserve">Brza korekcija hiponatremije i hipernatremije </w:t>
      </w:r>
      <w:r w:rsidR="00622CF9" w:rsidRPr="00C144C0">
        <w:rPr>
          <w:bCs/>
          <w:sz w:val="22"/>
          <w:szCs w:val="22"/>
          <w:lang w:val="sr-Latn-ME"/>
        </w:rPr>
        <w:t xml:space="preserve">je potencijalno opasna rizik od ozbiljnih neuroloških komplikacija). </w:t>
      </w:r>
      <w:r w:rsidR="001A1994" w:rsidRPr="00C144C0">
        <w:rPr>
          <w:bCs/>
          <w:sz w:val="22"/>
          <w:szCs w:val="22"/>
          <w:lang w:val="sr-Latn-ME"/>
        </w:rPr>
        <w:t>Suplementacija elektrolitima može da bude indikovana u zavisnosti od kliničkih potreba pacijenta.</w:t>
      </w:r>
    </w:p>
    <w:p w14:paraId="215A0C6C" w14:textId="77777777" w:rsidR="001A1994" w:rsidRPr="00C144C0" w:rsidRDefault="001A1994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3" w14:textId="77777777" w:rsidR="00452E9D" w:rsidRPr="00C144C0" w:rsidRDefault="00452E9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144C0">
        <w:rPr>
          <w:bCs/>
          <w:sz w:val="22"/>
          <w:szCs w:val="22"/>
          <w:u w:val="single"/>
          <w:lang w:val="sr-Latn-ME"/>
        </w:rPr>
        <w:t>Doziranje</w:t>
      </w:r>
    </w:p>
    <w:p w14:paraId="1C962221" w14:textId="77777777" w:rsidR="00D47AC3" w:rsidRPr="00C144C0" w:rsidRDefault="00D47AC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4" w14:textId="655C2F79" w:rsidR="00452E9D" w:rsidRPr="00C144C0" w:rsidRDefault="008E3CF8" w:rsidP="0057768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144C0">
        <w:rPr>
          <w:b/>
          <w:sz w:val="22"/>
          <w:szCs w:val="22"/>
          <w:lang w:val="sr-Latn-ME"/>
        </w:rPr>
        <w:t>Odrasli</w:t>
      </w:r>
      <w:r w:rsidR="003B1B29" w:rsidRPr="00C144C0">
        <w:rPr>
          <w:b/>
          <w:sz w:val="22"/>
          <w:szCs w:val="22"/>
          <w:lang w:val="sr-Latn-ME"/>
        </w:rPr>
        <w:t>, stariji pacijenti i adolescent (od 12 godina i stariji):</w:t>
      </w:r>
    </w:p>
    <w:p w14:paraId="7F1A070E" w14:textId="60B0B110" w:rsidR="003B1B29" w:rsidRPr="00C144C0" w:rsidRDefault="003B1B29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Preporučeno doziranje je: </w:t>
      </w:r>
      <w:r w:rsidR="00D47AC3" w:rsidRPr="00C144C0">
        <w:rPr>
          <w:bCs/>
          <w:sz w:val="22"/>
          <w:szCs w:val="22"/>
          <w:lang w:val="sr-Latn-ME"/>
        </w:rPr>
        <w:t xml:space="preserve">od </w:t>
      </w:r>
      <w:r w:rsidRPr="00C144C0">
        <w:rPr>
          <w:bCs/>
          <w:sz w:val="22"/>
          <w:szCs w:val="22"/>
          <w:lang w:val="sr-Latn-ME"/>
        </w:rPr>
        <w:t xml:space="preserve">500 ml do </w:t>
      </w:r>
      <w:r w:rsidR="00D47AC3" w:rsidRPr="00C144C0">
        <w:rPr>
          <w:bCs/>
          <w:sz w:val="22"/>
          <w:szCs w:val="22"/>
          <w:lang w:val="sr-Latn-ME"/>
        </w:rPr>
        <w:t>3 l/24h.</w:t>
      </w:r>
    </w:p>
    <w:p w14:paraId="200FCD3B" w14:textId="77777777" w:rsidR="00D47AC3" w:rsidRPr="00C144C0" w:rsidRDefault="00D47AC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B88DE2" w14:textId="0FCC5002" w:rsidR="00D47AC3" w:rsidRPr="00C144C0" w:rsidRDefault="00D47AC3" w:rsidP="0057768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144C0">
        <w:rPr>
          <w:b/>
          <w:sz w:val="22"/>
          <w:szCs w:val="22"/>
          <w:lang w:val="sr-Latn-ME"/>
        </w:rPr>
        <w:t>Brzina primjene:</w:t>
      </w:r>
    </w:p>
    <w:p w14:paraId="4D5C34A3" w14:textId="40460352" w:rsidR="00D47AC3" w:rsidRPr="00C144C0" w:rsidRDefault="00B4274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Brzina primjene infuzije je obično 40 ml/kg/24h i ne smiju se prekoračiti </w:t>
      </w:r>
      <w:r w:rsidR="005975ED" w:rsidRPr="00C144C0">
        <w:rPr>
          <w:bCs/>
          <w:sz w:val="22"/>
          <w:szCs w:val="22"/>
          <w:lang w:val="sr-Latn-ME"/>
        </w:rPr>
        <w:t>kapaciteti pacijenta za oksidacij</w:t>
      </w:r>
      <w:r w:rsidR="001718D5" w:rsidRPr="00C144C0">
        <w:rPr>
          <w:bCs/>
          <w:sz w:val="22"/>
          <w:szCs w:val="22"/>
          <w:lang w:val="sr-Latn-ME"/>
        </w:rPr>
        <w:t>u</w:t>
      </w:r>
      <w:r w:rsidR="005975ED" w:rsidRPr="00C144C0">
        <w:rPr>
          <w:bCs/>
          <w:sz w:val="22"/>
          <w:szCs w:val="22"/>
          <w:lang w:val="sr-Latn-ME"/>
        </w:rPr>
        <w:t xml:space="preserve"> glukoze kako bi se izbjegla hiperglikemija. Stoga je maksimalna akutna brzina primjene 5 mg/kg/min.</w:t>
      </w:r>
    </w:p>
    <w:p w14:paraId="2F405ED3" w14:textId="77777777" w:rsidR="00435E32" w:rsidRPr="00C144C0" w:rsidRDefault="00435E3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745488" w14:textId="18503B5C" w:rsidR="00435E32" w:rsidRPr="00C144C0" w:rsidRDefault="00435E32" w:rsidP="00577682">
      <w:pPr>
        <w:tabs>
          <w:tab w:val="left" w:pos="540"/>
          <w:tab w:val="left" w:pos="569"/>
        </w:tabs>
        <w:jc w:val="both"/>
        <w:rPr>
          <w:b/>
          <w:i/>
          <w:iCs/>
          <w:sz w:val="22"/>
          <w:szCs w:val="22"/>
          <w:lang w:val="sr-Latn-ME"/>
        </w:rPr>
      </w:pPr>
      <w:r w:rsidRPr="00C144C0">
        <w:rPr>
          <w:b/>
          <w:i/>
          <w:iCs/>
          <w:sz w:val="22"/>
          <w:szCs w:val="22"/>
          <w:lang w:val="sr-Latn-ME"/>
        </w:rPr>
        <w:t>Pedijatrijska populacija</w:t>
      </w:r>
    </w:p>
    <w:p w14:paraId="3C8108AC" w14:textId="73081B49" w:rsidR="00435E32" w:rsidRPr="00C144C0" w:rsidRDefault="00435E3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Doziranje zavisi od tjelesne </w:t>
      </w:r>
      <w:r w:rsidR="001718D5" w:rsidRPr="00C144C0">
        <w:rPr>
          <w:bCs/>
          <w:sz w:val="22"/>
          <w:szCs w:val="22"/>
          <w:lang w:val="sr-Latn-ME"/>
        </w:rPr>
        <w:t>mase</w:t>
      </w:r>
      <w:r w:rsidRPr="00C144C0">
        <w:rPr>
          <w:bCs/>
          <w:sz w:val="22"/>
          <w:szCs w:val="22"/>
          <w:lang w:val="sr-Latn-ME"/>
        </w:rPr>
        <w:t>:</w:t>
      </w:r>
    </w:p>
    <w:p w14:paraId="3625C501" w14:textId="3E10F6D3" w:rsidR="00435E32" w:rsidRPr="00C144C0" w:rsidRDefault="001718D5" w:rsidP="0057768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0-10 kg tjelesne mase</w:t>
      </w:r>
      <w:r w:rsidRPr="00C144C0">
        <w:rPr>
          <w:bCs/>
          <w:sz w:val="22"/>
          <w:szCs w:val="22"/>
          <w:lang w:val="sr-Latn-ME"/>
        </w:rPr>
        <w:tab/>
      </w:r>
      <w:r w:rsidRPr="00C144C0">
        <w:rPr>
          <w:bCs/>
          <w:sz w:val="22"/>
          <w:szCs w:val="22"/>
          <w:lang w:val="sr-Latn-ME"/>
        </w:rPr>
        <w:tab/>
        <w:t>100 ml/kg/24h</w:t>
      </w:r>
    </w:p>
    <w:p w14:paraId="5BD3364D" w14:textId="5F31A72D" w:rsidR="001718D5" w:rsidRPr="00C144C0" w:rsidRDefault="001718D5" w:rsidP="0057768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10-20 kg tjelesne mase</w:t>
      </w:r>
      <w:r w:rsidRPr="00C144C0">
        <w:rPr>
          <w:bCs/>
          <w:sz w:val="22"/>
          <w:szCs w:val="22"/>
          <w:lang w:val="sr-Latn-ME"/>
        </w:rPr>
        <w:tab/>
      </w:r>
      <w:r w:rsidRPr="00C144C0">
        <w:rPr>
          <w:bCs/>
          <w:sz w:val="22"/>
          <w:szCs w:val="22"/>
          <w:lang w:val="sr-Latn-ME"/>
        </w:rPr>
        <w:tab/>
        <w:t>1000 ml + (50 ml</w:t>
      </w:r>
      <w:r w:rsidR="003D01EE" w:rsidRPr="00C144C0">
        <w:rPr>
          <w:bCs/>
          <w:sz w:val="22"/>
          <w:szCs w:val="22"/>
          <w:lang w:val="sr-Latn-ME"/>
        </w:rPr>
        <w:t>/kg prijeko 10 kg)/24h</w:t>
      </w:r>
    </w:p>
    <w:p w14:paraId="5D592872" w14:textId="00DD883C" w:rsidR="003D01EE" w:rsidRPr="00C144C0" w:rsidRDefault="003D01EE" w:rsidP="0057768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sym w:font="Symbol" w:char="F03E"/>
      </w:r>
      <w:r w:rsidRPr="00C144C0">
        <w:rPr>
          <w:bCs/>
          <w:sz w:val="22"/>
          <w:szCs w:val="22"/>
          <w:lang w:val="sr-Latn-ME"/>
        </w:rPr>
        <w:t>20 kg tjelesne mase</w:t>
      </w:r>
      <w:r w:rsidRPr="00C144C0">
        <w:rPr>
          <w:bCs/>
          <w:sz w:val="22"/>
          <w:szCs w:val="22"/>
          <w:lang w:val="sr-Latn-ME"/>
        </w:rPr>
        <w:tab/>
      </w:r>
      <w:r w:rsidRPr="00C144C0">
        <w:rPr>
          <w:bCs/>
          <w:sz w:val="22"/>
          <w:szCs w:val="22"/>
          <w:lang w:val="sr-Latn-ME"/>
        </w:rPr>
        <w:tab/>
        <w:t>1500 ml + (20 ml/kg prijeko 20 kg)/24h</w:t>
      </w:r>
    </w:p>
    <w:p w14:paraId="39BD7ED6" w14:textId="77777777" w:rsidR="00D47AC3" w:rsidRPr="00C144C0" w:rsidRDefault="00D47AC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6B8406" w14:textId="20F91ECE" w:rsidR="00555C84" w:rsidRPr="00C144C0" w:rsidRDefault="003D01E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Brzina pri</w:t>
      </w:r>
      <w:r w:rsidR="000B4938" w:rsidRPr="00C144C0">
        <w:rPr>
          <w:bCs/>
          <w:sz w:val="22"/>
          <w:szCs w:val="22"/>
          <w:lang w:val="sr-Latn-ME"/>
        </w:rPr>
        <w:t>m</w:t>
      </w:r>
      <w:r w:rsidRPr="00C144C0">
        <w:rPr>
          <w:bCs/>
          <w:sz w:val="22"/>
          <w:szCs w:val="22"/>
          <w:lang w:val="sr-Latn-ME"/>
        </w:rPr>
        <w:t xml:space="preserve">jene </w:t>
      </w:r>
      <w:r w:rsidR="00555C84" w:rsidRPr="00C144C0">
        <w:rPr>
          <w:bCs/>
          <w:sz w:val="22"/>
          <w:szCs w:val="22"/>
          <w:lang w:val="sr-Latn-ME"/>
        </w:rPr>
        <w:t>zavisi od tjelesne mase:</w:t>
      </w:r>
    </w:p>
    <w:p w14:paraId="2789447E" w14:textId="728ACF0B" w:rsidR="00555C84" w:rsidRPr="00C144C0" w:rsidRDefault="00555C84" w:rsidP="0057768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0-10 kg tjelesne mase</w:t>
      </w:r>
      <w:r w:rsidRPr="00C144C0">
        <w:rPr>
          <w:bCs/>
          <w:sz w:val="22"/>
          <w:szCs w:val="22"/>
          <w:lang w:val="sr-Latn-ME"/>
        </w:rPr>
        <w:tab/>
      </w:r>
      <w:r w:rsidRPr="00C144C0">
        <w:rPr>
          <w:bCs/>
          <w:sz w:val="22"/>
          <w:szCs w:val="22"/>
          <w:lang w:val="sr-Latn-ME"/>
        </w:rPr>
        <w:tab/>
        <w:t>6-8 ml/kg/h</w:t>
      </w:r>
    </w:p>
    <w:p w14:paraId="58156772" w14:textId="7FEAD85B" w:rsidR="00555C84" w:rsidRPr="00C144C0" w:rsidRDefault="00555C84" w:rsidP="0057768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10-20 kg tjelesne mase</w:t>
      </w:r>
      <w:r w:rsidRPr="00C144C0">
        <w:rPr>
          <w:bCs/>
          <w:sz w:val="22"/>
          <w:szCs w:val="22"/>
          <w:lang w:val="sr-Latn-ME"/>
        </w:rPr>
        <w:tab/>
      </w:r>
      <w:r w:rsidRPr="00C144C0">
        <w:rPr>
          <w:bCs/>
          <w:sz w:val="22"/>
          <w:szCs w:val="22"/>
          <w:lang w:val="sr-Latn-ME"/>
        </w:rPr>
        <w:tab/>
        <w:t>4-6 ml/kg/h</w:t>
      </w:r>
    </w:p>
    <w:p w14:paraId="5E0C3ECC" w14:textId="0EB5B01B" w:rsidR="003D01EE" w:rsidRPr="00C144C0" w:rsidRDefault="00555C84" w:rsidP="0057768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sym w:font="Symbol" w:char="F03E"/>
      </w:r>
      <w:r w:rsidRPr="00C144C0">
        <w:rPr>
          <w:bCs/>
          <w:sz w:val="22"/>
          <w:szCs w:val="22"/>
          <w:lang w:val="sr-Latn-ME"/>
        </w:rPr>
        <w:t>20 kg tjelesne mase</w:t>
      </w:r>
      <w:r w:rsidRPr="00C144C0">
        <w:rPr>
          <w:bCs/>
          <w:sz w:val="22"/>
          <w:szCs w:val="22"/>
          <w:lang w:val="sr-Latn-ME"/>
        </w:rPr>
        <w:tab/>
      </w:r>
      <w:r w:rsidRPr="00C144C0">
        <w:rPr>
          <w:bCs/>
          <w:sz w:val="22"/>
          <w:szCs w:val="22"/>
          <w:lang w:val="sr-Latn-ME"/>
        </w:rPr>
        <w:tab/>
        <w:t>2-4 ml/kg/h</w:t>
      </w:r>
    </w:p>
    <w:p w14:paraId="6DADE336" w14:textId="77777777" w:rsidR="000B4938" w:rsidRPr="00C144C0" w:rsidRDefault="000B493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7C624C" w14:textId="45883872" w:rsidR="000B4938" w:rsidRPr="00C144C0" w:rsidRDefault="000B493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Brzina primjene infuzije </w:t>
      </w:r>
      <w:r w:rsidR="001E1A79" w:rsidRPr="00C144C0">
        <w:rPr>
          <w:bCs/>
          <w:sz w:val="22"/>
          <w:szCs w:val="22"/>
          <w:lang w:val="sr-Latn-ME"/>
        </w:rPr>
        <w:t>ne smije prekoračiti kapacitete pacijenta za oksidaciju glukoze kako bi se izbjegla hiperglikemija. Stoga je maksimalna akutna brzina primjene 10-18 mg/kg/min</w:t>
      </w:r>
      <w:r w:rsidR="003F78E3" w:rsidRPr="00C144C0">
        <w:rPr>
          <w:bCs/>
          <w:sz w:val="22"/>
          <w:szCs w:val="22"/>
          <w:lang w:val="sr-Latn-ME"/>
        </w:rPr>
        <w:t xml:space="preserve"> u z</w:t>
      </w:r>
      <w:r w:rsidR="0022792F" w:rsidRPr="00C144C0">
        <w:rPr>
          <w:bCs/>
          <w:sz w:val="22"/>
          <w:szCs w:val="22"/>
          <w:lang w:val="sr-Latn-ME"/>
        </w:rPr>
        <w:t>a</w:t>
      </w:r>
      <w:r w:rsidR="003F78E3" w:rsidRPr="00C144C0">
        <w:rPr>
          <w:bCs/>
          <w:sz w:val="22"/>
          <w:szCs w:val="22"/>
          <w:lang w:val="sr-Latn-ME"/>
        </w:rPr>
        <w:t>visnosti od ukupne tjelesne mase</w:t>
      </w:r>
      <w:r w:rsidR="001E1A79" w:rsidRPr="00C144C0">
        <w:rPr>
          <w:bCs/>
          <w:sz w:val="22"/>
          <w:szCs w:val="22"/>
          <w:lang w:val="sr-Latn-ME"/>
        </w:rPr>
        <w:t>.</w:t>
      </w:r>
    </w:p>
    <w:p w14:paraId="74252808" w14:textId="77777777" w:rsidR="003F78E3" w:rsidRPr="00C144C0" w:rsidRDefault="003F78E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DC45CE" w14:textId="43078D30" w:rsidR="003F78E3" w:rsidRPr="00C144C0" w:rsidRDefault="00CA440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Postepeno povećanje brzine protoka</w:t>
      </w:r>
      <w:r w:rsidR="00F142CA" w:rsidRPr="00C144C0">
        <w:rPr>
          <w:bCs/>
          <w:sz w:val="22"/>
          <w:szCs w:val="22"/>
          <w:lang w:val="sr-Latn-ME"/>
        </w:rPr>
        <w:t xml:space="preserve"> infuzije</w:t>
      </w:r>
      <w:r w:rsidRPr="00C144C0">
        <w:rPr>
          <w:bCs/>
          <w:sz w:val="22"/>
          <w:szCs w:val="22"/>
          <w:lang w:val="sr-Latn-ME"/>
        </w:rPr>
        <w:t xml:space="preserve"> </w:t>
      </w:r>
      <w:r w:rsidR="00F142CA" w:rsidRPr="00C144C0">
        <w:rPr>
          <w:bCs/>
          <w:sz w:val="22"/>
          <w:szCs w:val="22"/>
          <w:lang w:val="sr-Latn-ME"/>
        </w:rPr>
        <w:t>treba razmotriti prilikom početka primjene ljekova koji sadrže glukozu kod svih pacijenata.</w:t>
      </w:r>
    </w:p>
    <w:p w14:paraId="6B237A8D" w14:textId="77777777" w:rsidR="00F142CA" w:rsidRPr="00C144C0" w:rsidRDefault="00F142CA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5" w14:textId="77777777" w:rsidR="00452E9D" w:rsidRPr="00C144C0" w:rsidRDefault="00452E9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144C0">
        <w:rPr>
          <w:bCs/>
          <w:sz w:val="22"/>
          <w:szCs w:val="22"/>
          <w:u w:val="single"/>
          <w:lang w:val="sr-Latn-ME"/>
        </w:rPr>
        <w:t>Način primjene</w:t>
      </w:r>
    </w:p>
    <w:p w14:paraId="3B4C1686" w14:textId="688CFAC6" w:rsidR="00452E9D" w:rsidRPr="00C144C0" w:rsidRDefault="001A24E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Lijek se primjenjuje intravenskom infuzijom.</w:t>
      </w:r>
    </w:p>
    <w:p w14:paraId="02D720E3" w14:textId="77777777" w:rsidR="001A24EE" w:rsidRPr="00C144C0" w:rsidRDefault="001A24E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DE6A18" w14:textId="53AE1645" w:rsidR="001A24EE" w:rsidRPr="00C144C0" w:rsidRDefault="001A24E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Natrii chlorid</w:t>
      </w:r>
      <w:r w:rsidR="00895927" w:rsidRPr="00C144C0">
        <w:rPr>
          <w:bCs/>
          <w:sz w:val="22"/>
          <w:szCs w:val="22"/>
          <w:lang w:val="sr-Latn-ME"/>
        </w:rPr>
        <w:t>i</w:t>
      </w:r>
      <w:r w:rsidRPr="00C144C0">
        <w:rPr>
          <w:bCs/>
          <w:sz w:val="22"/>
          <w:szCs w:val="22"/>
          <w:lang w:val="sr-Latn-ME"/>
        </w:rPr>
        <w:t xml:space="preserve"> infundibile cum glucose 5%</w:t>
      </w:r>
      <w:r w:rsidR="008545D1" w:rsidRPr="00C144C0">
        <w:rPr>
          <w:bCs/>
          <w:sz w:val="22"/>
          <w:szCs w:val="22"/>
          <w:lang w:val="sr-Latn-ME"/>
        </w:rPr>
        <w:t>, rastvor za infuziju, je izotoničan i hiperosmolaran, zbog sadržaja glukoze. Ima približnu osmolarnosti od 585,4 mOsmol/l.</w:t>
      </w:r>
    </w:p>
    <w:p w14:paraId="23BA588E" w14:textId="77777777" w:rsidR="008545D1" w:rsidRPr="00C144C0" w:rsidRDefault="008545D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5A90CC" w14:textId="3C1309EF" w:rsidR="008545D1" w:rsidRPr="00C144C0" w:rsidRDefault="008545D1" w:rsidP="0057768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144C0">
        <w:rPr>
          <w:b/>
          <w:sz w:val="22"/>
          <w:szCs w:val="22"/>
          <w:lang w:val="sr-Latn-ME"/>
        </w:rPr>
        <w:t>Mjere opreza koje je potrebno preduzeti pr</w:t>
      </w:r>
      <w:r w:rsidR="0022792F" w:rsidRPr="00C144C0">
        <w:rPr>
          <w:b/>
          <w:sz w:val="22"/>
          <w:szCs w:val="22"/>
          <w:lang w:val="sr-Latn-ME"/>
        </w:rPr>
        <w:t>ij</w:t>
      </w:r>
      <w:r w:rsidRPr="00C144C0">
        <w:rPr>
          <w:b/>
          <w:sz w:val="22"/>
          <w:szCs w:val="22"/>
          <w:lang w:val="sr-Latn-ME"/>
        </w:rPr>
        <w:t>e rukovanja ili primjene l</w:t>
      </w:r>
      <w:r w:rsidR="0022792F" w:rsidRPr="00C144C0">
        <w:rPr>
          <w:b/>
          <w:sz w:val="22"/>
          <w:szCs w:val="22"/>
          <w:lang w:val="sr-Latn-ME"/>
        </w:rPr>
        <w:t>i</w:t>
      </w:r>
      <w:r w:rsidRPr="00C144C0">
        <w:rPr>
          <w:b/>
          <w:sz w:val="22"/>
          <w:szCs w:val="22"/>
          <w:lang w:val="sr-Latn-ME"/>
        </w:rPr>
        <w:t>jeka</w:t>
      </w:r>
    </w:p>
    <w:p w14:paraId="6061948B" w14:textId="457720AE" w:rsidR="006F4E1A" w:rsidRPr="00C144C0" w:rsidRDefault="00B83329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Prije primjene, rastvor</w:t>
      </w:r>
      <w:r w:rsidR="00EF1BD0" w:rsidRPr="00C144C0">
        <w:rPr>
          <w:bCs/>
          <w:sz w:val="22"/>
          <w:szCs w:val="22"/>
          <w:lang w:val="sr-Latn-ME"/>
        </w:rPr>
        <w:t xml:space="preserve"> za parenteralnu primjenu treba vizuelno </w:t>
      </w:r>
      <w:r w:rsidRPr="00C144C0">
        <w:rPr>
          <w:bCs/>
          <w:sz w:val="22"/>
          <w:szCs w:val="22"/>
          <w:lang w:val="sr-Latn-ME"/>
        </w:rPr>
        <w:t>pregledati</w:t>
      </w:r>
      <w:r w:rsidR="00EF1BD0" w:rsidRPr="00C144C0">
        <w:rPr>
          <w:bCs/>
          <w:sz w:val="22"/>
          <w:szCs w:val="22"/>
          <w:lang w:val="sr-Latn-ME"/>
        </w:rPr>
        <w:t xml:space="preserve"> na prisustvo čestica i </w:t>
      </w:r>
      <w:r w:rsidRPr="00C144C0">
        <w:rPr>
          <w:bCs/>
          <w:sz w:val="22"/>
          <w:szCs w:val="22"/>
          <w:lang w:val="sr-Latn-ME"/>
        </w:rPr>
        <w:t>promjenu boje</w:t>
      </w:r>
      <w:r w:rsidR="00EF1BD0" w:rsidRPr="00C144C0">
        <w:rPr>
          <w:bCs/>
          <w:sz w:val="22"/>
          <w:szCs w:val="22"/>
          <w:lang w:val="sr-Latn-ME"/>
        </w:rPr>
        <w:t>.</w:t>
      </w:r>
      <w:r w:rsidR="00A50761" w:rsidRPr="00C144C0">
        <w:rPr>
          <w:bCs/>
          <w:sz w:val="22"/>
          <w:szCs w:val="22"/>
          <w:lang w:val="sr-Latn-ME"/>
        </w:rPr>
        <w:t xml:space="preserve"> </w:t>
      </w:r>
      <w:r w:rsidR="00A97ABB" w:rsidRPr="00C144C0">
        <w:rPr>
          <w:bCs/>
          <w:sz w:val="22"/>
          <w:szCs w:val="22"/>
          <w:lang w:val="sr-Latn-ME"/>
        </w:rPr>
        <w:t>Prim</w:t>
      </w:r>
      <w:r w:rsidR="00952DE5" w:rsidRPr="00C144C0">
        <w:rPr>
          <w:bCs/>
          <w:sz w:val="22"/>
          <w:szCs w:val="22"/>
          <w:lang w:val="sr-Latn-ME"/>
        </w:rPr>
        <w:t>i</w:t>
      </w:r>
      <w:r w:rsidR="00A97ABB" w:rsidRPr="00C144C0">
        <w:rPr>
          <w:bCs/>
          <w:sz w:val="22"/>
          <w:szCs w:val="22"/>
          <w:lang w:val="sr-Latn-ME"/>
        </w:rPr>
        <w:t>jeniti</w:t>
      </w:r>
      <w:r w:rsidR="00FA7905" w:rsidRPr="00C144C0">
        <w:rPr>
          <w:bCs/>
          <w:sz w:val="22"/>
          <w:szCs w:val="22"/>
          <w:lang w:val="sr-Latn-ME"/>
        </w:rPr>
        <w:t xml:space="preserve"> samo ako je rastvor bistar,</w:t>
      </w:r>
      <w:r w:rsidR="00A97ABB" w:rsidRPr="00C144C0">
        <w:rPr>
          <w:bCs/>
          <w:sz w:val="22"/>
          <w:szCs w:val="22"/>
          <w:lang w:val="sr-Latn-ME"/>
        </w:rPr>
        <w:t xml:space="preserve"> bez vidljivih čestica, i </w:t>
      </w:r>
      <w:r w:rsidR="00FA7905" w:rsidRPr="00C144C0">
        <w:rPr>
          <w:bCs/>
          <w:sz w:val="22"/>
          <w:szCs w:val="22"/>
          <w:lang w:val="sr-Latn-ME"/>
        </w:rPr>
        <w:t>a</w:t>
      </w:r>
      <w:r w:rsidR="00A97ABB" w:rsidRPr="00C144C0">
        <w:rPr>
          <w:bCs/>
          <w:sz w:val="22"/>
          <w:szCs w:val="22"/>
          <w:lang w:val="sr-Latn-ME"/>
        </w:rPr>
        <w:t>ko je</w:t>
      </w:r>
      <w:r w:rsidR="00FA7905" w:rsidRPr="00C144C0">
        <w:rPr>
          <w:bCs/>
          <w:sz w:val="22"/>
          <w:szCs w:val="22"/>
          <w:lang w:val="sr-Latn-ME"/>
        </w:rPr>
        <w:t xml:space="preserve"> pakovanje neoštećeno</w:t>
      </w:r>
      <w:r w:rsidR="00A50761" w:rsidRPr="00C144C0">
        <w:rPr>
          <w:bCs/>
          <w:sz w:val="22"/>
          <w:szCs w:val="22"/>
          <w:lang w:val="sr-Latn-ME"/>
        </w:rPr>
        <w:t xml:space="preserve">. </w:t>
      </w:r>
      <w:r w:rsidR="0003716E" w:rsidRPr="00C144C0">
        <w:rPr>
          <w:bCs/>
          <w:sz w:val="22"/>
          <w:szCs w:val="22"/>
          <w:lang w:val="sr-Latn-ME"/>
        </w:rPr>
        <w:t>P</w:t>
      </w:r>
      <w:r w:rsidR="00C3564D" w:rsidRPr="00C144C0">
        <w:rPr>
          <w:bCs/>
          <w:sz w:val="22"/>
          <w:szCs w:val="22"/>
          <w:lang w:val="sr-Latn-ME"/>
        </w:rPr>
        <w:t>rim</w:t>
      </w:r>
      <w:r w:rsidR="00952DE5" w:rsidRPr="00C144C0">
        <w:rPr>
          <w:bCs/>
          <w:sz w:val="22"/>
          <w:szCs w:val="22"/>
          <w:lang w:val="sr-Latn-ME"/>
        </w:rPr>
        <w:t>i</w:t>
      </w:r>
      <w:r w:rsidR="00C3564D" w:rsidRPr="00C144C0">
        <w:rPr>
          <w:bCs/>
          <w:sz w:val="22"/>
          <w:szCs w:val="22"/>
          <w:lang w:val="sr-Latn-ME"/>
        </w:rPr>
        <w:t>jeniti odmah</w:t>
      </w:r>
      <w:r w:rsidR="0003716E" w:rsidRPr="00C144C0">
        <w:rPr>
          <w:bCs/>
          <w:sz w:val="22"/>
          <w:szCs w:val="22"/>
          <w:lang w:val="sr-Latn-ME"/>
        </w:rPr>
        <w:t xml:space="preserve"> po povezivanju sa setom za infuziju</w:t>
      </w:r>
      <w:r w:rsidR="00C3564D" w:rsidRPr="00C144C0">
        <w:rPr>
          <w:bCs/>
          <w:sz w:val="22"/>
          <w:szCs w:val="22"/>
          <w:lang w:val="sr-Latn-ME"/>
        </w:rPr>
        <w:t xml:space="preserve">. </w:t>
      </w:r>
    </w:p>
    <w:p w14:paraId="3417B32F" w14:textId="77777777" w:rsidR="006F4E1A" w:rsidRPr="00C144C0" w:rsidRDefault="006F4E1A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8C9029" w14:textId="3688E77F" w:rsidR="006F4E1A" w:rsidRPr="00C144C0" w:rsidRDefault="0039277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 treba prim</w:t>
      </w:r>
      <w:r w:rsidR="00952DE5" w:rsidRPr="00C144C0">
        <w:rPr>
          <w:bCs/>
          <w:sz w:val="22"/>
          <w:szCs w:val="22"/>
          <w:lang w:val="sr-Latn-ME"/>
        </w:rPr>
        <w:t>i</w:t>
      </w:r>
      <w:r w:rsidRPr="00C144C0">
        <w:rPr>
          <w:bCs/>
          <w:sz w:val="22"/>
          <w:szCs w:val="22"/>
          <w:lang w:val="sr-Latn-ME"/>
        </w:rPr>
        <w:t xml:space="preserve">jeniti </w:t>
      </w:r>
      <w:r w:rsidR="00542D2C" w:rsidRPr="00C144C0">
        <w:rPr>
          <w:bCs/>
          <w:sz w:val="22"/>
          <w:szCs w:val="22"/>
          <w:lang w:val="sr-Latn-ME"/>
        </w:rPr>
        <w:t xml:space="preserve">pomoću sterilnog seta za infuziju </w:t>
      </w:r>
      <w:r w:rsidR="007B7CF5" w:rsidRPr="00C144C0">
        <w:rPr>
          <w:bCs/>
          <w:sz w:val="22"/>
          <w:szCs w:val="22"/>
          <w:lang w:val="sr-Latn-ME"/>
        </w:rPr>
        <w:t>korišćenjem aseptične tehnike</w:t>
      </w:r>
      <w:r w:rsidR="000E6F2E" w:rsidRPr="00C144C0">
        <w:rPr>
          <w:bCs/>
          <w:sz w:val="22"/>
          <w:szCs w:val="22"/>
          <w:lang w:val="sr-Latn-ME"/>
        </w:rPr>
        <w:t>.</w:t>
      </w:r>
    </w:p>
    <w:p w14:paraId="2CA9D9C8" w14:textId="77777777" w:rsidR="009466E8" w:rsidRPr="00C144C0" w:rsidRDefault="009466E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7A630B" w14:textId="656CD28E" w:rsidR="006F4E1A" w:rsidRPr="00C144C0" w:rsidRDefault="00B83329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Set za infuziju treba prethodno isprati rastvorom kako bi se spriječio ulazak vazduha u sistem (za infuziju).</w:t>
      </w:r>
    </w:p>
    <w:p w14:paraId="53C55813" w14:textId="77777777" w:rsidR="00B83329" w:rsidRPr="00C144C0" w:rsidRDefault="00B83329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CF3F57" w14:textId="5BEA9A8E" w:rsidR="008972FF" w:rsidRPr="00C144C0" w:rsidRDefault="002C4C0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Drugi ljekovi</w:t>
      </w:r>
      <w:r w:rsidR="008972FF" w:rsidRPr="00C144C0">
        <w:rPr>
          <w:bCs/>
          <w:sz w:val="22"/>
          <w:szCs w:val="22"/>
          <w:lang w:val="sr-Latn-ME"/>
        </w:rPr>
        <w:t xml:space="preserve"> se mogu </w:t>
      </w:r>
      <w:r w:rsidRPr="00C144C0">
        <w:rPr>
          <w:bCs/>
          <w:sz w:val="22"/>
          <w:szCs w:val="22"/>
          <w:lang w:val="sr-Latn-ME"/>
        </w:rPr>
        <w:t>dodati</w:t>
      </w:r>
      <w:r w:rsidR="008972FF" w:rsidRPr="00C144C0">
        <w:rPr>
          <w:bCs/>
          <w:sz w:val="22"/>
          <w:szCs w:val="22"/>
          <w:lang w:val="sr-Latn-ME"/>
        </w:rPr>
        <w:t xml:space="preserve"> prije ili tokom</w:t>
      </w:r>
      <w:r w:rsidRPr="00C144C0">
        <w:rPr>
          <w:bCs/>
          <w:sz w:val="22"/>
          <w:szCs w:val="22"/>
          <w:lang w:val="sr-Latn-ME"/>
        </w:rPr>
        <w:t xml:space="preserve"> primjene</w:t>
      </w:r>
      <w:r w:rsidR="008972FF" w:rsidRPr="00C144C0">
        <w:rPr>
          <w:bCs/>
          <w:sz w:val="22"/>
          <w:szCs w:val="22"/>
          <w:lang w:val="sr-Latn-ME"/>
        </w:rPr>
        <w:t xml:space="preserve"> infuzije </w:t>
      </w:r>
      <w:r w:rsidRPr="00C144C0">
        <w:rPr>
          <w:bCs/>
          <w:sz w:val="22"/>
          <w:szCs w:val="22"/>
          <w:lang w:val="sr-Latn-ME"/>
        </w:rPr>
        <w:t>preko venske linije</w:t>
      </w:r>
      <w:r w:rsidR="00EC407A" w:rsidRPr="00C144C0">
        <w:rPr>
          <w:bCs/>
          <w:sz w:val="22"/>
          <w:szCs w:val="22"/>
          <w:lang w:val="sr-Latn-ME"/>
        </w:rPr>
        <w:t xml:space="preserve"> koja se može ponovo zatvoriti</w:t>
      </w:r>
      <w:r w:rsidR="008972FF" w:rsidRPr="00C144C0">
        <w:rPr>
          <w:bCs/>
          <w:sz w:val="22"/>
          <w:szCs w:val="22"/>
          <w:lang w:val="sr-Latn-ME"/>
        </w:rPr>
        <w:t xml:space="preserve">. </w:t>
      </w:r>
      <w:r w:rsidR="0022792F" w:rsidRPr="00C144C0">
        <w:rPr>
          <w:bCs/>
          <w:sz w:val="22"/>
          <w:szCs w:val="22"/>
          <w:lang w:val="sr-Latn-ME"/>
        </w:rPr>
        <w:t>Provjeriti</w:t>
      </w:r>
      <w:r w:rsidR="00140FC1" w:rsidRPr="00C144C0">
        <w:rPr>
          <w:bCs/>
          <w:sz w:val="22"/>
          <w:szCs w:val="22"/>
          <w:lang w:val="sr-Latn-ME"/>
        </w:rPr>
        <w:t xml:space="preserve"> toničnost</w:t>
      </w:r>
      <w:r w:rsidR="008972FF" w:rsidRPr="00C144C0">
        <w:rPr>
          <w:bCs/>
          <w:sz w:val="22"/>
          <w:szCs w:val="22"/>
          <w:lang w:val="sr-Latn-ME"/>
        </w:rPr>
        <w:t xml:space="preserve"> pr</w:t>
      </w:r>
      <w:r w:rsidR="00140FC1" w:rsidRPr="00C144C0">
        <w:rPr>
          <w:bCs/>
          <w:sz w:val="22"/>
          <w:szCs w:val="22"/>
          <w:lang w:val="sr-Latn-ME"/>
        </w:rPr>
        <w:t>ij</w:t>
      </w:r>
      <w:r w:rsidR="008972FF" w:rsidRPr="00C144C0">
        <w:rPr>
          <w:bCs/>
          <w:sz w:val="22"/>
          <w:szCs w:val="22"/>
          <w:lang w:val="sr-Latn-ME"/>
        </w:rPr>
        <w:t>e parenteralne prim</w:t>
      </w:r>
      <w:r w:rsidR="00140FC1" w:rsidRPr="00C144C0">
        <w:rPr>
          <w:bCs/>
          <w:sz w:val="22"/>
          <w:szCs w:val="22"/>
          <w:lang w:val="sr-Latn-ME"/>
        </w:rPr>
        <w:t>j</w:t>
      </w:r>
      <w:r w:rsidR="008972FF" w:rsidRPr="00C144C0">
        <w:rPr>
          <w:bCs/>
          <w:sz w:val="22"/>
          <w:szCs w:val="22"/>
          <w:lang w:val="sr-Latn-ME"/>
        </w:rPr>
        <w:t>ene</w:t>
      </w:r>
      <w:r w:rsidR="00306721" w:rsidRPr="00C144C0">
        <w:rPr>
          <w:bCs/>
          <w:sz w:val="22"/>
          <w:szCs w:val="22"/>
          <w:lang w:val="sr-Latn-ME"/>
        </w:rPr>
        <w:t>, kada se dodaje drugi l</w:t>
      </w:r>
      <w:r w:rsidR="00A60334" w:rsidRPr="00C144C0">
        <w:rPr>
          <w:bCs/>
          <w:sz w:val="22"/>
          <w:szCs w:val="22"/>
          <w:lang w:val="sr-Latn-ME"/>
        </w:rPr>
        <w:t>i</w:t>
      </w:r>
      <w:r w:rsidR="00306721" w:rsidRPr="00C144C0">
        <w:rPr>
          <w:bCs/>
          <w:sz w:val="22"/>
          <w:szCs w:val="22"/>
          <w:lang w:val="sr-Latn-ME"/>
        </w:rPr>
        <w:t>jek</w:t>
      </w:r>
      <w:r w:rsidR="008972FF" w:rsidRPr="00C144C0">
        <w:rPr>
          <w:bCs/>
          <w:sz w:val="22"/>
          <w:szCs w:val="22"/>
          <w:lang w:val="sr-Latn-ME"/>
        </w:rPr>
        <w:t xml:space="preserve">. Hiperosmolarni rastvori mogu izazvati vensku iritaciju i flebitis. </w:t>
      </w:r>
      <w:r w:rsidR="000A13BE" w:rsidRPr="00C144C0">
        <w:rPr>
          <w:bCs/>
          <w:sz w:val="22"/>
          <w:szCs w:val="22"/>
          <w:lang w:val="sr-Latn-ME"/>
        </w:rPr>
        <w:t>Stoga se</w:t>
      </w:r>
      <w:r w:rsidR="008972FF" w:rsidRPr="00C144C0">
        <w:rPr>
          <w:bCs/>
          <w:sz w:val="22"/>
          <w:szCs w:val="22"/>
          <w:lang w:val="sr-Latn-ME"/>
        </w:rPr>
        <w:t xml:space="preserve"> preporučuje da se </w:t>
      </w:r>
      <w:r w:rsidR="000A13BE" w:rsidRPr="00C144C0">
        <w:rPr>
          <w:bCs/>
          <w:sz w:val="22"/>
          <w:szCs w:val="22"/>
          <w:lang w:val="sr-Latn-ME"/>
        </w:rPr>
        <w:t xml:space="preserve">hipersmolarni rastvori </w:t>
      </w:r>
      <w:r w:rsidR="008972FF" w:rsidRPr="00C144C0">
        <w:rPr>
          <w:bCs/>
          <w:sz w:val="22"/>
          <w:szCs w:val="22"/>
          <w:lang w:val="sr-Latn-ME"/>
        </w:rPr>
        <w:t>prim</w:t>
      </w:r>
      <w:r w:rsidR="000A13BE" w:rsidRPr="00C144C0">
        <w:rPr>
          <w:bCs/>
          <w:sz w:val="22"/>
          <w:szCs w:val="22"/>
          <w:lang w:val="sr-Latn-ME"/>
        </w:rPr>
        <w:t>ij</w:t>
      </w:r>
      <w:r w:rsidR="008972FF" w:rsidRPr="00C144C0">
        <w:rPr>
          <w:bCs/>
          <w:sz w:val="22"/>
          <w:szCs w:val="22"/>
          <w:lang w:val="sr-Latn-ME"/>
        </w:rPr>
        <w:t>enjuj</w:t>
      </w:r>
      <w:r w:rsidR="000A13BE" w:rsidRPr="00C144C0">
        <w:rPr>
          <w:bCs/>
          <w:sz w:val="22"/>
          <w:szCs w:val="22"/>
          <w:lang w:val="sr-Latn-ME"/>
        </w:rPr>
        <w:t>u</w:t>
      </w:r>
      <w:r w:rsidR="008972FF" w:rsidRPr="00C144C0">
        <w:rPr>
          <w:bCs/>
          <w:sz w:val="22"/>
          <w:szCs w:val="22"/>
          <w:lang w:val="sr-Latn-ME"/>
        </w:rPr>
        <w:t xml:space="preserve"> kroz veliku centralnu venu, za brzo razblaživanje hiperosmo</w:t>
      </w:r>
      <w:r w:rsidR="002F077C" w:rsidRPr="00C144C0">
        <w:rPr>
          <w:bCs/>
          <w:sz w:val="22"/>
          <w:szCs w:val="22"/>
          <w:lang w:val="sr-Latn-ME"/>
        </w:rPr>
        <w:t>larn</w:t>
      </w:r>
      <w:r w:rsidR="008972FF" w:rsidRPr="00C144C0">
        <w:rPr>
          <w:bCs/>
          <w:sz w:val="22"/>
          <w:szCs w:val="22"/>
          <w:lang w:val="sr-Latn-ME"/>
        </w:rPr>
        <w:t>og rastvora.</w:t>
      </w:r>
    </w:p>
    <w:p w14:paraId="7FBDBE93" w14:textId="77777777" w:rsidR="008972FF" w:rsidRPr="00C144C0" w:rsidRDefault="008972F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F01087" w14:textId="2CC6BD2E" w:rsidR="008972FF" w:rsidRPr="00C144C0" w:rsidRDefault="008972F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Za više informacija o </w:t>
      </w:r>
      <w:r w:rsidR="00A60334" w:rsidRPr="00C144C0">
        <w:rPr>
          <w:bCs/>
          <w:sz w:val="22"/>
          <w:szCs w:val="22"/>
          <w:lang w:val="sr-Latn-ME"/>
        </w:rPr>
        <w:t>dodavanju drugih ljekova u rastvor</w:t>
      </w:r>
      <w:r w:rsidRPr="00C144C0">
        <w:rPr>
          <w:bCs/>
          <w:sz w:val="22"/>
          <w:szCs w:val="22"/>
          <w:lang w:val="sr-Latn-ME"/>
        </w:rPr>
        <w:t>, pogledat</w:t>
      </w:r>
      <w:r w:rsidR="002F077C" w:rsidRPr="00C144C0">
        <w:rPr>
          <w:bCs/>
          <w:sz w:val="22"/>
          <w:szCs w:val="22"/>
          <w:lang w:val="sr-Latn-ME"/>
        </w:rPr>
        <w:t>i</w:t>
      </w:r>
      <w:r w:rsidRPr="00C144C0">
        <w:rPr>
          <w:bCs/>
          <w:sz w:val="22"/>
          <w:szCs w:val="22"/>
          <w:lang w:val="sr-Latn-ME"/>
        </w:rPr>
        <w:t xml:space="preserve"> </w:t>
      </w:r>
      <w:r w:rsidR="001E2766" w:rsidRPr="00C144C0">
        <w:rPr>
          <w:bCs/>
          <w:sz w:val="22"/>
          <w:szCs w:val="22"/>
          <w:lang w:val="sr-Latn-ME"/>
        </w:rPr>
        <w:t>dio</w:t>
      </w:r>
      <w:r w:rsidRPr="00C144C0">
        <w:rPr>
          <w:bCs/>
          <w:sz w:val="22"/>
          <w:szCs w:val="22"/>
          <w:lang w:val="sr-Latn-ME"/>
        </w:rPr>
        <w:t xml:space="preserve"> 6.2.</w:t>
      </w:r>
    </w:p>
    <w:p w14:paraId="2C714181" w14:textId="77777777" w:rsidR="008972FF" w:rsidRPr="00C144C0" w:rsidRDefault="008972F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5761BF" w14:textId="77777777" w:rsidR="00C144C0" w:rsidRPr="00C144C0" w:rsidRDefault="00C144C0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A57A5" w14:textId="77777777" w:rsidR="00C144C0" w:rsidRPr="00C144C0" w:rsidRDefault="00C144C0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4C1687" w14:textId="09ED3797" w:rsidR="00411B4B" w:rsidRPr="00C144C0" w:rsidRDefault="00411B4B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Kontraindikacije</w:t>
      </w:r>
    </w:p>
    <w:p w14:paraId="3B4C1688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FC496C" w14:textId="58993892" w:rsidR="00982CA6" w:rsidRPr="00C144C0" w:rsidRDefault="003A645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Natrii chloridi infundibile cum glucoso 5%</w:t>
      </w:r>
      <w:r w:rsidR="0096161F" w:rsidRPr="00C144C0">
        <w:rPr>
          <w:bCs/>
          <w:sz w:val="22"/>
          <w:szCs w:val="22"/>
          <w:lang w:val="sr-Latn-ME"/>
        </w:rPr>
        <w:t>,</w:t>
      </w:r>
      <w:r w:rsidRPr="00C144C0">
        <w:rPr>
          <w:bCs/>
          <w:sz w:val="22"/>
          <w:szCs w:val="22"/>
          <w:lang w:val="sr-Latn-ME"/>
        </w:rPr>
        <w:t xml:space="preserve"> rastvor za infuziju</w:t>
      </w:r>
      <w:r w:rsidR="0096161F" w:rsidRPr="00C144C0">
        <w:rPr>
          <w:bCs/>
          <w:sz w:val="22"/>
          <w:szCs w:val="22"/>
          <w:lang w:val="sr-Latn-ME"/>
        </w:rPr>
        <w:t>,</w:t>
      </w:r>
      <w:r w:rsidRPr="00C144C0">
        <w:rPr>
          <w:bCs/>
          <w:sz w:val="22"/>
          <w:szCs w:val="22"/>
          <w:lang w:val="sr-Latn-ME"/>
        </w:rPr>
        <w:t xml:space="preserve"> je kontraindikovan kod pacijenata sa</w:t>
      </w:r>
      <w:r w:rsidR="00982CA6" w:rsidRPr="00C144C0">
        <w:rPr>
          <w:bCs/>
          <w:sz w:val="22"/>
          <w:szCs w:val="22"/>
          <w:lang w:val="sr-Latn-ME"/>
        </w:rPr>
        <w:t>:</w:t>
      </w:r>
    </w:p>
    <w:p w14:paraId="3CC6A983" w14:textId="6C6BD4AC" w:rsidR="003329EF" w:rsidRPr="00C144C0" w:rsidRDefault="003329EF" w:rsidP="00577682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poznatom</w:t>
      </w:r>
      <w:r w:rsidR="00982CA6" w:rsidRPr="00C144C0">
        <w:rPr>
          <w:bCs/>
          <w:sz w:val="22"/>
          <w:szCs w:val="22"/>
          <w:lang w:val="sr-Latn-ME"/>
        </w:rPr>
        <w:t xml:space="preserve"> preosjetljivošću na </w:t>
      </w:r>
      <w:r w:rsidR="00DF4016" w:rsidRPr="00C144C0">
        <w:rPr>
          <w:bCs/>
          <w:sz w:val="22"/>
          <w:szCs w:val="22"/>
          <w:lang w:val="sr-Latn-ME"/>
        </w:rPr>
        <w:t>lijek</w:t>
      </w:r>
      <w:r w:rsidRPr="00C144C0">
        <w:rPr>
          <w:bCs/>
          <w:sz w:val="22"/>
          <w:szCs w:val="22"/>
          <w:lang w:val="sr-Latn-ME"/>
        </w:rPr>
        <w:t>,</w:t>
      </w:r>
    </w:p>
    <w:p w14:paraId="5943B0C8" w14:textId="77777777" w:rsidR="00F74D8D" w:rsidRPr="00C144C0" w:rsidRDefault="00F74D8D" w:rsidP="00577682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ekstracelularnom hiperhidratacijom ili hipervolemijom,</w:t>
      </w:r>
    </w:p>
    <w:p w14:paraId="7A5AA8B8" w14:textId="77777777" w:rsidR="005A7DEF" w:rsidRPr="00C144C0" w:rsidRDefault="005A7DEF" w:rsidP="00577682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retencijom tečnosti i natrijuma,</w:t>
      </w:r>
    </w:p>
    <w:p w14:paraId="06651E29" w14:textId="53FAFF0E" w:rsidR="005A7DEF" w:rsidRPr="00C144C0" w:rsidRDefault="003A6453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teškim oštećenjem bubrežne funkcije</w:t>
      </w:r>
      <w:r w:rsidR="005A7DEF" w:rsidRPr="00C144C0">
        <w:rPr>
          <w:bCs/>
          <w:sz w:val="22"/>
          <w:szCs w:val="22"/>
          <w:lang w:val="sr-Latn-ME"/>
        </w:rPr>
        <w:t xml:space="preserve"> (sa oligurijom/anurijom)</w:t>
      </w:r>
      <w:r w:rsidR="005236F3" w:rsidRPr="00C144C0">
        <w:rPr>
          <w:bCs/>
          <w:sz w:val="22"/>
          <w:szCs w:val="22"/>
          <w:lang w:val="sr-Latn-ME"/>
        </w:rPr>
        <w:t>,</w:t>
      </w:r>
    </w:p>
    <w:p w14:paraId="5F264EB1" w14:textId="0DD89094" w:rsidR="005236F3" w:rsidRPr="00C144C0" w:rsidRDefault="00972027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d</w:t>
      </w:r>
      <w:r w:rsidR="00E90E02" w:rsidRPr="00C144C0">
        <w:rPr>
          <w:bCs/>
          <w:sz w:val="22"/>
          <w:szCs w:val="22"/>
          <w:lang w:val="sr-Latn-ME"/>
        </w:rPr>
        <w:t>ekompenzovanom</w:t>
      </w:r>
      <w:r w:rsidR="005236F3" w:rsidRPr="00C144C0">
        <w:rPr>
          <w:bCs/>
          <w:sz w:val="22"/>
          <w:szCs w:val="22"/>
          <w:lang w:val="sr-Latn-ME"/>
        </w:rPr>
        <w:t xml:space="preserve"> srčanom insuficijencijom,</w:t>
      </w:r>
    </w:p>
    <w:p w14:paraId="5A69DEC3" w14:textId="77777777" w:rsidR="005236F3" w:rsidRPr="00C144C0" w:rsidRDefault="005236F3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hipernatremijom ili hiperhloremijom,</w:t>
      </w:r>
    </w:p>
    <w:p w14:paraId="71D4A7F5" w14:textId="492CC8E8" w:rsidR="00B34BEA" w:rsidRPr="00C144C0" w:rsidRDefault="005236F3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generalizovanim edemima i cirozom jetre</w:t>
      </w:r>
      <w:r w:rsidR="003735A6" w:rsidRPr="00C144C0">
        <w:rPr>
          <w:bCs/>
          <w:sz w:val="22"/>
          <w:szCs w:val="22"/>
          <w:lang w:val="sr-Latn-ME"/>
        </w:rPr>
        <w:t xml:space="preserve"> sa ascitesom</w:t>
      </w:r>
      <w:r w:rsidR="00B34BEA" w:rsidRPr="00C144C0">
        <w:rPr>
          <w:bCs/>
          <w:sz w:val="22"/>
          <w:szCs w:val="22"/>
          <w:lang w:val="sr-Latn-ME"/>
        </w:rPr>
        <w:t>,</w:t>
      </w:r>
    </w:p>
    <w:p w14:paraId="652646B2" w14:textId="77777777" w:rsidR="002D5FB0" w:rsidRPr="00C144C0" w:rsidRDefault="002D5FB0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klinički značajnom hiperglikemijom.</w:t>
      </w:r>
    </w:p>
    <w:p w14:paraId="7AD1CB6C" w14:textId="12391212" w:rsidR="003A6453" w:rsidRPr="00C144C0" w:rsidRDefault="002D5FB0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 je takođe k</w:t>
      </w:r>
      <w:r w:rsidR="003A6453" w:rsidRPr="00C144C0">
        <w:rPr>
          <w:bCs/>
          <w:sz w:val="22"/>
          <w:szCs w:val="22"/>
          <w:lang w:val="sr-Latn-ME"/>
        </w:rPr>
        <w:t xml:space="preserve">ontraindikovan i </w:t>
      </w:r>
      <w:r w:rsidRPr="00C144C0">
        <w:rPr>
          <w:bCs/>
          <w:sz w:val="22"/>
          <w:szCs w:val="22"/>
          <w:lang w:val="sr-Latn-ME"/>
        </w:rPr>
        <w:t>u slučaju dekompenzovanog dijabetesa</w:t>
      </w:r>
      <w:r w:rsidR="00360FF8" w:rsidRPr="00C144C0">
        <w:rPr>
          <w:bCs/>
          <w:sz w:val="22"/>
          <w:szCs w:val="22"/>
          <w:lang w:val="sr-Latn-ME"/>
        </w:rPr>
        <w:t xml:space="preserve">, drugih poznatih intolerancija na glukozu (kao što je metabolički stres sindrom), hiperosmolarne kome ili hiperlaktatemije. </w:t>
      </w:r>
    </w:p>
    <w:p w14:paraId="0F68DA86" w14:textId="77777777" w:rsidR="003A6453" w:rsidRPr="00C144C0" w:rsidRDefault="003A645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9" w14:textId="77777777" w:rsidR="00411B4B" w:rsidRPr="00C144C0" w:rsidRDefault="00411B4B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4.4.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B4C168A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9F5625" w14:textId="279A66B9" w:rsidR="00DC783C" w:rsidRPr="00C144C0" w:rsidRDefault="00DC783C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Hipokalemija</w:t>
      </w:r>
    </w:p>
    <w:p w14:paraId="2D1DA6EE" w14:textId="091C1B46" w:rsidR="00DC783C" w:rsidRPr="00C144C0" w:rsidRDefault="00DC783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Prilikom primjene infuzije lijeka Natrii chloridi infundibile cum glucoso 5%</w:t>
      </w:r>
      <w:r w:rsidR="00B74773" w:rsidRPr="00C144C0">
        <w:rPr>
          <w:bCs/>
          <w:sz w:val="22"/>
          <w:szCs w:val="22"/>
          <w:lang w:val="sr-Latn-ME"/>
        </w:rPr>
        <w:t xml:space="preserve"> može doći do pojave hipokalemije. Pažljiv klinički monitoring može biti neophodan kod pacijenata koji imaju ili su u riziku od pojave hipokalemije, na prim</w:t>
      </w:r>
      <w:r w:rsidR="00E74FD9" w:rsidRPr="00C144C0">
        <w:rPr>
          <w:bCs/>
          <w:sz w:val="22"/>
          <w:szCs w:val="22"/>
          <w:lang w:val="sr-Latn-ME"/>
        </w:rPr>
        <w:t>j</w:t>
      </w:r>
      <w:r w:rsidR="00B74773" w:rsidRPr="00C144C0">
        <w:rPr>
          <w:bCs/>
          <w:sz w:val="22"/>
          <w:szCs w:val="22"/>
          <w:lang w:val="sr-Latn-ME"/>
        </w:rPr>
        <w:t>er:</w:t>
      </w:r>
    </w:p>
    <w:p w14:paraId="5C6EC4D9" w14:textId="4C3C71F2" w:rsidR="00B74773" w:rsidRPr="00C144C0" w:rsidRDefault="00E74FD9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metabolička alkaloza,</w:t>
      </w:r>
    </w:p>
    <w:p w14:paraId="0E11B83B" w14:textId="32D220F6" w:rsidR="00E74FD9" w:rsidRPr="00C144C0" w:rsidRDefault="00E74FD9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tirotoksična periodična paraliza</w:t>
      </w:r>
      <w:r w:rsidR="00E53FFE" w:rsidRPr="00C144C0">
        <w:rPr>
          <w:bCs/>
          <w:sz w:val="22"/>
          <w:szCs w:val="22"/>
          <w:lang w:val="sr-Latn-ME"/>
        </w:rPr>
        <w:t>. Primjena glukoze intravenski je bila povezana sa pogoršanjem hipokalemije,</w:t>
      </w:r>
    </w:p>
    <w:p w14:paraId="453725F2" w14:textId="3DD54FEB" w:rsidR="00E53FFE" w:rsidRPr="00C144C0" w:rsidRDefault="007E3ACE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povećani gubiti putem gastrointestinalnog sistema (npr. dijareja, povraćanje),</w:t>
      </w:r>
    </w:p>
    <w:p w14:paraId="189FA01F" w14:textId="109F480D" w:rsidR="007E3ACE" w:rsidRPr="00C144C0" w:rsidRDefault="0049771F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produžena ishrana siromašna kalijumom,</w:t>
      </w:r>
    </w:p>
    <w:p w14:paraId="7981895A" w14:textId="7305EFAB" w:rsidR="0049771F" w:rsidRPr="00C144C0" w:rsidRDefault="0049771F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primarni hiperaldosteronizam,</w:t>
      </w:r>
    </w:p>
    <w:p w14:paraId="3242B3D6" w14:textId="21D5A404" w:rsidR="0049771F" w:rsidRPr="00C144C0" w:rsidRDefault="0049771F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terapija ljekovima koji povećavaju rizik od hipokalemije (npr. diuretici, beta-2 agonisti ili insulin).</w:t>
      </w:r>
    </w:p>
    <w:p w14:paraId="12019AE6" w14:textId="77777777" w:rsidR="0049771F" w:rsidRPr="00C144C0" w:rsidRDefault="0049771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02BC27" w14:textId="0BEF5513" w:rsidR="0049771F" w:rsidRPr="00C144C0" w:rsidRDefault="0049771F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Retencija natrijuma, preopterećenost tečnošću i edemi</w:t>
      </w:r>
    </w:p>
    <w:p w14:paraId="3B02EA99" w14:textId="164F04EE" w:rsidR="0049771F" w:rsidRPr="00C144C0" w:rsidRDefault="00B10DB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Natrii chloridi infundibile cum glucoso 5% treba primjenjivati sa posebnim oprezom kod:</w:t>
      </w:r>
    </w:p>
    <w:p w14:paraId="68C0CB71" w14:textId="00A0CC45" w:rsidR="00B10DB1" w:rsidRPr="00C144C0" w:rsidRDefault="00B10DB1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pacijenata sa metaboličkom acidozom,</w:t>
      </w:r>
    </w:p>
    <w:p w14:paraId="4468C73B" w14:textId="3DF37869" w:rsidR="00B10DB1" w:rsidRPr="00C144C0" w:rsidRDefault="00B10DB1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pacijenata koji su u riziku od:</w:t>
      </w:r>
    </w:p>
    <w:p w14:paraId="1F0687A0" w14:textId="61BBF5F1" w:rsidR="00B10DB1" w:rsidRPr="00C144C0" w:rsidRDefault="00B10DB1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hipernatremije,</w:t>
      </w:r>
    </w:p>
    <w:p w14:paraId="0F84BDA7" w14:textId="181B7797" w:rsidR="00B10DB1" w:rsidRPr="00C144C0" w:rsidRDefault="00B10DB1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hiperhloremije,</w:t>
      </w:r>
    </w:p>
    <w:p w14:paraId="3578E308" w14:textId="24E266CE" w:rsidR="00B10DB1" w:rsidRPr="00C144C0" w:rsidRDefault="00B10DB1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</w:t>
      </w:r>
      <w:r w:rsidR="00FC3CB1" w:rsidRPr="00C144C0">
        <w:rPr>
          <w:bCs/>
          <w:sz w:val="22"/>
          <w:szCs w:val="22"/>
          <w:lang w:val="sr-Latn-ME"/>
        </w:rPr>
        <w:t>volemije.</w:t>
      </w:r>
    </w:p>
    <w:p w14:paraId="27D1016A" w14:textId="14BFA2FE" w:rsidR="00FC3CB1" w:rsidRPr="00C144C0" w:rsidRDefault="00987ED5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</w:t>
      </w:r>
      <w:r w:rsidR="00FC3CB1" w:rsidRPr="00C144C0">
        <w:rPr>
          <w:bCs/>
          <w:sz w:val="22"/>
          <w:szCs w:val="22"/>
          <w:lang w:val="sr-Latn-ME"/>
        </w:rPr>
        <w:t>acijenata koji imaju stanja koja mogu da dovedu do retencije natrijuma, preopterećenosti tečnošću i edem (centralnih i perifernih)</w:t>
      </w:r>
      <w:r w:rsidR="00C62DFC" w:rsidRPr="00C144C0">
        <w:rPr>
          <w:bCs/>
          <w:sz w:val="22"/>
          <w:szCs w:val="22"/>
          <w:lang w:val="sr-Latn-ME"/>
        </w:rPr>
        <w:t>, kao što su:</w:t>
      </w:r>
    </w:p>
    <w:p w14:paraId="4E1E5E15" w14:textId="4308E06A" w:rsidR="00C62DFC" w:rsidRPr="00C144C0" w:rsidRDefault="00C62DFC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primarni hiperaldosteronizam,</w:t>
      </w:r>
    </w:p>
    <w:p w14:paraId="092EC3F9" w14:textId="69C8F03B" w:rsidR="00C62DFC" w:rsidRPr="00C144C0" w:rsidRDefault="00C62DFC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sekundarni hiperaldosteronizam povezan sa npr. </w:t>
      </w:r>
    </w:p>
    <w:p w14:paraId="13081AF7" w14:textId="3246A00B" w:rsidR="005A5207" w:rsidRPr="00C144C0" w:rsidRDefault="005A5207" w:rsidP="00577682">
      <w:pPr>
        <w:pStyle w:val="ListParagraph"/>
        <w:numPr>
          <w:ilvl w:val="2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hipertenzijom,</w:t>
      </w:r>
    </w:p>
    <w:p w14:paraId="13B3885B" w14:textId="6E8D93B4" w:rsidR="005A5207" w:rsidRPr="00C144C0" w:rsidRDefault="005A5207" w:rsidP="00577682">
      <w:pPr>
        <w:pStyle w:val="ListParagraph"/>
        <w:numPr>
          <w:ilvl w:val="2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kongestivnom srčanom insuficijencijom</w:t>
      </w:r>
      <w:r w:rsidR="00FF55D4" w:rsidRPr="00C144C0">
        <w:rPr>
          <w:bCs/>
          <w:sz w:val="22"/>
          <w:szCs w:val="22"/>
          <w:lang w:val="sr-Latn-ME"/>
        </w:rPr>
        <w:t>,</w:t>
      </w:r>
    </w:p>
    <w:p w14:paraId="6285F00E" w14:textId="36EE6C6A" w:rsidR="00FF55D4" w:rsidRPr="00C144C0" w:rsidRDefault="00FF55D4" w:rsidP="00577682">
      <w:pPr>
        <w:pStyle w:val="ListParagraph"/>
        <w:numPr>
          <w:ilvl w:val="2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oboljenjem jetre (uključujući cirozu),</w:t>
      </w:r>
    </w:p>
    <w:p w14:paraId="7E62FF70" w14:textId="255E3D36" w:rsidR="00FF55D4" w:rsidRPr="00C144C0" w:rsidRDefault="00FF55D4" w:rsidP="00577682">
      <w:pPr>
        <w:pStyle w:val="ListParagraph"/>
        <w:numPr>
          <w:ilvl w:val="2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oboljenjem bubrega (uključujući </w:t>
      </w:r>
      <w:r w:rsidR="00CB6E3A" w:rsidRPr="00C144C0">
        <w:rPr>
          <w:bCs/>
          <w:sz w:val="22"/>
          <w:szCs w:val="22"/>
          <w:lang w:val="sr-Latn-ME"/>
        </w:rPr>
        <w:t>stenozu</w:t>
      </w:r>
      <w:r w:rsidRPr="00C144C0">
        <w:rPr>
          <w:bCs/>
          <w:sz w:val="22"/>
          <w:szCs w:val="22"/>
          <w:lang w:val="sr-Latn-ME"/>
        </w:rPr>
        <w:t xml:space="preserve"> </w:t>
      </w:r>
      <w:r w:rsidR="00CB6E3A" w:rsidRPr="00C144C0">
        <w:rPr>
          <w:bCs/>
          <w:sz w:val="22"/>
          <w:szCs w:val="22"/>
          <w:lang w:val="sr-Latn-ME"/>
        </w:rPr>
        <w:t xml:space="preserve">renalne </w:t>
      </w:r>
      <w:r w:rsidRPr="00C144C0">
        <w:rPr>
          <w:bCs/>
          <w:sz w:val="22"/>
          <w:szCs w:val="22"/>
          <w:lang w:val="sr-Latn-ME"/>
        </w:rPr>
        <w:t>arterije</w:t>
      </w:r>
      <w:r w:rsidR="00CC601A" w:rsidRPr="00C144C0">
        <w:rPr>
          <w:bCs/>
          <w:sz w:val="22"/>
          <w:szCs w:val="22"/>
          <w:lang w:val="sr-Latn-ME"/>
        </w:rPr>
        <w:t>, nefrosklerozu),</w:t>
      </w:r>
    </w:p>
    <w:p w14:paraId="71F9C032" w14:textId="5790D9C9" w:rsidR="00CC601A" w:rsidRPr="00C144C0" w:rsidRDefault="00CC601A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preeklampsija.</w:t>
      </w:r>
    </w:p>
    <w:p w14:paraId="764F1723" w14:textId="4AA4E954" w:rsidR="00CC601A" w:rsidRPr="00C144C0" w:rsidRDefault="00987ED5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pacijenata koji uzimaju ljekove koji mogu da povećaju rizik od </w:t>
      </w:r>
      <w:r w:rsidR="00D60BEB" w:rsidRPr="00C144C0">
        <w:rPr>
          <w:bCs/>
          <w:sz w:val="22"/>
          <w:szCs w:val="22"/>
          <w:lang w:val="sr-Latn-ME"/>
        </w:rPr>
        <w:t>retencije natrijuma i tečnosti, kao što su kortikosteroidi.</w:t>
      </w:r>
    </w:p>
    <w:p w14:paraId="6BCB9D7D" w14:textId="77777777" w:rsidR="00D60BEB" w:rsidRPr="00C144C0" w:rsidRDefault="00D60BE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993936" w14:textId="01915C95" w:rsidR="00D60BEB" w:rsidRPr="00C144C0" w:rsidRDefault="00877DAD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 xml:space="preserve">Hiperosmolatnost, serumski elektroliti i </w:t>
      </w:r>
      <w:r w:rsidR="005841A5" w:rsidRPr="00C144C0">
        <w:rPr>
          <w:bCs/>
          <w:i/>
          <w:iCs/>
          <w:sz w:val="22"/>
          <w:szCs w:val="22"/>
          <w:lang w:val="sr-Latn-ME"/>
        </w:rPr>
        <w:t>disbalans vode</w:t>
      </w:r>
    </w:p>
    <w:p w14:paraId="5A426F7D" w14:textId="707CD049" w:rsidR="005841A5" w:rsidRPr="00C144C0" w:rsidRDefault="005841A5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Primjena rastvora za infuziju Natrii chloridi infundiible cum glucoso 5%</w:t>
      </w:r>
      <w:r w:rsidR="001F17CF" w:rsidRPr="00C144C0">
        <w:rPr>
          <w:bCs/>
          <w:sz w:val="22"/>
          <w:szCs w:val="22"/>
          <w:lang w:val="sr-Latn-ME"/>
        </w:rPr>
        <w:t xml:space="preserve"> može, u zavisnosti od zapremine, brzine primjene infuzije, osnovnih kliničkih stanja pacijenta i kapaciteta za metaboli</w:t>
      </w:r>
      <w:r w:rsidR="00072A4A" w:rsidRPr="00C144C0">
        <w:rPr>
          <w:bCs/>
          <w:sz w:val="22"/>
          <w:szCs w:val="22"/>
          <w:lang w:val="sr-Latn-ME"/>
        </w:rPr>
        <w:t>sanje glukoze da dovede do:</w:t>
      </w:r>
    </w:p>
    <w:p w14:paraId="681925A8" w14:textId="1AD1E0A8" w:rsidR="00072A4A" w:rsidRPr="00C144C0" w:rsidRDefault="00072A4A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hiperosmolarnosti</w:t>
      </w:r>
      <w:r w:rsidR="00162859" w:rsidRPr="00C144C0">
        <w:rPr>
          <w:bCs/>
          <w:sz w:val="22"/>
          <w:szCs w:val="22"/>
          <w:lang w:val="sr-Latn-ME"/>
        </w:rPr>
        <w:t>, osmotske diureze i dehi</w:t>
      </w:r>
      <w:r w:rsidR="00E57710" w:rsidRPr="00C144C0">
        <w:rPr>
          <w:bCs/>
          <w:sz w:val="22"/>
          <w:szCs w:val="22"/>
          <w:lang w:val="sr-Latn-ME"/>
        </w:rPr>
        <w:t>d</w:t>
      </w:r>
      <w:r w:rsidR="00162859" w:rsidRPr="00C144C0">
        <w:rPr>
          <w:bCs/>
          <w:sz w:val="22"/>
          <w:szCs w:val="22"/>
          <w:lang w:val="sr-Latn-ME"/>
        </w:rPr>
        <w:t>ratacije,</w:t>
      </w:r>
    </w:p>
    <w:p w14:paraId="773FBDD2" w14:textId="71CDCD22" w:rsidR="00162859" w:rsidRPr="00C144C0" w:rsidRDefault="00041381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poremećaja elektrolita</w:t>
      </w:r>
      <w:r w:rsidR="00162859" w:rsidRPr="00C144C0">
        <w:rPr>
          <w:bCs/>
          <w:sz w:val="22"/>
          <w:szCs w:val="22"/>
          <w:lang w:val="sr-Latn-ME"/>
        </w:rPr>
        <w:t xml:space="preserve"> poput:</w:t>
      </w:r>
    </w:p>
    <w:p w14:paraId="303B6D31" w14:textId="4DA86C8D" w:rsidR="00162859" w:rsidRPr="00C144C0" w:rsidRDefault="00223298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hiponatremije</w:t>
      </w:r>
      <w:r w:rsidR="00162859" w:rsidRPr="00C144C0">
        <w:rPr>
          <w:bCs/>
          <w:sz w:val="22"/>
          <w:szCs w:val="22"/>
          <w:lang w:val="sr-Latn-ME"/>
        </w:rPr>
        <w:t xml:space="preserve"> (pogledati „</w:t>
      </w:r>
      <w:r w:rsidR="00553807" w:rsidRPr="00C144C0">
        <w:rPr>
          <w:bCs/>
          <w:sz w:val="22"/>
          <w:szCs w:val="22"/>
          <w:lang w:val="sr-Latn-ME"/>
        </w:rPr>
        <w:t>Hiponatremija</w:t>
      </w:r>
      <w:r w:rsidR="00162859" w:rsidRPr="00C144C0">
        <w:rPr>
          <w:bCs/>
          <w:sz w:val="22"/>
          <w:szCs w:val="22"/>
          <w:lang w:val="sr-Latn-ME"/>
        </w:rPr>
        <w:t xml:space="preserve">“ </w:t>
      </w:r>
      <w:r w:rsidR="00553807" w:rsidRPr="00C144C0">
        <w:rPr>
          <w:bCs/>
          <w:sz w:val="22"/>
          <w:szCs w:val="22"/>
          <w:lang w:val="sr-Latn-ME"/>
        </w:rPr>
        <w:t>ispod</w:t>
      </w:r>
      <w:r w:rsidR="00162859" w:rsidRPr="00C144C0">
        <w:rPr>
          <w:bCs/>
          <w:sz w:val="22"/>
          <w:szCs w:val="22"/>
          <w:lang w:val="sr-Latn-ME"/>
        </w:rPr>
        <w:t>),</w:t>
      </w:r>
    </w:p>
    <w:p w14:paraId="2759C6FB" w14:textId="73513716" w:rsidR="00162859" w:rsidRPr="00C144C0" w:rsidRDefault="00162859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hipokalemije (pogledati iznad),</w:t>
      </w:r>
    </w:p>
    <w:p w14:paraId="64062227" w14:textId="54323F7D" w:rsidR="00162859" w:rsidRPr="00C144C0" w:rsidRDefault="00162859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lastRenderedPageBreak/>
        <w:t>hipofosfa</w:t>
      </w:r>
      <w:r w:rsidR="00041381" w:rsidRPr="00C144C0">
        <w:rPr>
          <w:bCs/>
          <w:sz w:val="22"/>
          <w:szCs w:val="22"/>
          <w:lang w:val="sr-Latn-ME"/>
        </w:rPr>
        <w:t>temije,</w:t>
      </w:r>
    </w:p>
    <w:p w14:paraId="5CA689C5" w14:textId="3D09DA3A" w:rsidR="00041381" w:rsidRPr="00C144C0" w:rsidRDefault="00041381" w:rsidP="00577682">
      <w:pPr>
        <w:pStyle w:val="ListParagraph"/>
        <w:numPr>
          <w:ilvl w:val="1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hipomagnezijemije,</w:t>
      </w:r>
    </w:p>
    <w:p w14:paraId="799AF170" w14:textId="08A29170" w:rsidR="00041381" w:rsidRPr="00C144C0" w:rsidRDefault="00041381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poremećaja acido-bazne ravnoteže</w:t>
      </w:r>
      <w:r w:rsidR="00893CF3" w:rsidRPr="00C144C0">
        <w:rPr>
          <w:bCs/>
          <w:sz w:val="22"/>
          <w:szCs w:val="22"/>
          <w:lang w:val="sr-Latn-ME"/>
        </w:rPr>
        <w:t>,</w:t>
      </w:r>
    </w:p>
    <w:p w14:paraId="53F2BE9F" w14:textId="6265DE17" w:rsidR="00893CF3" w:rsidRPr="00C144C0" w:rsidRDefault="00893CF3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hiperhidratacije</w:t>
      </w:r>
      <w:r w:rsidR="00897516" w:rsidRPr="00C144C0">
        <w:rPr>
          <w:bCs/>
          <w:sz w:val="22"/>
          <w:szCs w:val="22"/>
          <w:lang w:val="sr-Latn-ME"/>
        </w:rPr>
        <w:t>/hipervolemije</w:t>
      </w:r>
      <w:r w:rsidRPr="00C144C0">
        <w:rPr>
          <w:bCs/>
          <w:sz w:val="22"/>
          <w:szCs w:val="22"/>
          <w:lang w:val="sr-Latn-ME"/>
        </w:rPr>
        <w:t xml:space="preserve"> i, npr. stanja kongestije</w:t>
      </w:r>
      <w:r w:rsidR="00D84FA5" w:rsidRPr="00C144C0">
        <w:rPr>
          <w:bCs/>
          <w:sz w:val="22"/>
          <w:szCs w:val="22"/>
          <w:lang w:val="sr-Latn-ME"/>
        </w:rPr>
        <w:t>, uključujuću centralne (npr. pulmonarna kongestija) i periferne edeme</w:t>
      </w:r>
      <w:r w:rsidR="0075425D" w:rsidRPr="00C144C0">
        <w:rPr>
          <w:bCs/>
          <w:sz w:val="22"/>
          <w:szCs w:val="22"/>
          <w:lang w:val="sr-Latn-ME"/>
        </w:rPr>
        <w:t>,</w:t>
      </w:r>
    </w:p>
    <w:p w14:paraId="6000E88D" w14:textId="329E1321" w:rsidR="0075425D" w:rsidRPr="00C144C0" w:rsidRDefault="00C64ABF" w:rsidP="0057768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povećanje koncentracije glukoze u serumu je povezano sa </w:t>
      </w:r>
      <w:r w:rsidR="00CD14E6" w:rsidRPr="00C144C0">
        <w:rPr>
          <w:bCs/>
          <w:sz w:val="22"/>
          <w:szCs w:val="22"/>
          <w:lang w:val="sr-Latn-ME"/>
        </w:rPr>
        <w:t>povećanjem osmolarnosti seruma. Osmotska diureza povezana sa hiperglikemijom</w:t>
      </w:r>
      <w:r w:rsidR="000E490E" w:rsidRPr="00C144C0">
        <w:rPr>
          <w:bCs/>
          <w:sz w:val="22"/>
          <w:szCs w:val="22"/>
          <w:lang w:val="sr-Latn-ME"/>
        </w:rPr>
        <w:t xml:space="preserve"> može da dovede ili da doprinese dehidrataciji i gubitku elektrolita.</w:t>
      </w:r>
    </w:p>
    <w:p w14:paraId="3253F2EC" w14:textId="77777777" w:rsidR="000E490E" w:rsidRPr="00C144C0" w:rsidRDefault="000E49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4C4A6A" w14:textId="06012440" w:rsidR="000E490E" w:rsidRPr="00C144C0" w:rsidRDefault="00C506FF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Balans elektrolita</w:t>
      </w:r>
      <w:r w:rsidR="006947F1" w:rsidRPr="00C144C0">
        <w:rPr>
          <w:bCs/>
          <w:i/>
          <w:iCs/>
          <w:sz w:val="22"/>
          <w:szCs w:val="22"/>
          <w:lang w:val="sr-Latn-ME"/>
        </w:rPr>
        <w:t xml:space="preserve"> (</w:t>
      </w:r>
      <w:r w:rsidR="00695DEC" w:rsidRPr="00C144C0">
        <w:rPr>
          <w:bCs/>
          <w:i/>
          <w:iCs/>
          <w:sz w:val="22"/>
          <w:szCs w:val="22"/>
          <w:lang w:val="sr-Latn-ME"/>
        </w:rPr>
        <w:t>pogledati</w:t>
      </w:r>
      <w:r w:rsidR="00EB27FF" w:rsidRPr="00C144C0">
        <w:rPr>
          <w:bCs/>
          <w:i/>
          <w:iCs/>
          <w:sz w:val="22"/>
          <w:szCs w:val="22"/>
          <w:lang w:val="sr-Latn-ME"/>
        </w:rPr>
        <w:t xml:space="preserve"> „Hiponatremija“ u tekstu ispod)</w:t>
      </w:r>
      <w:r w:rsidR="006947F1" w:rsidRPr="00C144C0">
        <w:rPr>
          <w:bCs/>
          <w:i/>
          <w:iCs/>
          <w:sz w:val="22"/>
          <w:szCs w:val="22"/>
          <w:lang w:val="sr-Latn-ME"/>
        </w:rPr>
        <w:t xml:space="preserve"> </w:t>
      </w:r>
    </w:p>
    <w:p w14:paraId="1399DE28" w14:textId="377B03CC" w:rsidR="00DC783C" w:rsidRPr="00C144C0" w:rsidRDefault="009F6234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Intravenske infuzije glukoze su uobičajeno i</w:t>
      </w:r>
      <w:r w:rsidR="00B800B3" w:rsidRPr="00C144C0">
        <w:rPr>
          <w:bCs/>
          <w:sz w:val="22"/>
          <w:szCs w:val="22"/>
          <w:lang w:val="sr-Latn-ME"/>
        </w:rPr>
        <w:t>z</w:t>
      </w:r>
      <w:r w:rsidRPr="00C144C0">
        <w:rPr>
          <w:bCs/>
          <w:sz w:val="22"/>
          <w:szCs w:val="22"/>
          <w:lang w:val="sr-Latn-ME"/>
        </w:rPr>
        <w:t>otonični rastvori</w:t>
      </w:r>
      <w:r w:rsidR="00B800B3" w:rsidRPr="00C144C0">
        <w:rPr>
          <w:bCs/>
          <w:sz w:val="22"/>
          <w:szCs w:val="22"/>
          <w:lang w:val="sr-Latn-ME"/>
        </w:rPr>
        <w:t>. Međutim, u organizmu, tečnosti koje sadrže glukozu mogu da postanu izrazito fiziološki hipotone zbog brzog metabolizma glukoze (pogledati dio 4.2).</w:t>
      </w:r>
    </w:p>
    <w:p w14:paraId="6072F79F" w14:textId="5749563C" w:rsidR="005A5BC9" w:rsidRPr="00C144C0" w:rsidRDefault="008B492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Intravenska p</w:t>
      </w:r>
      <w:r w:rsidR="005A5BC9" w:rsidRPr="00C144C0">
        <w:rPr>
          <w:bCs/>
          <w:sz w:val="22"/>
          <w:szCs w:val="22"/>
          <w:lang w:val="sr-Latn-ME"/>
        </w:rPr>
        <w:t xml:space="preserve">rimjena </w:t>
      </w:r>
      <w:r w:rsidRPr="00C144C0">
        <w:rPr>
          <w:bCs/>
          <w:sz w:val="22"/>
          <w:szCs w:val="22"/>
          <w:lang w:val="sr-Latn-ME"/>
        </w:rPr>
        <w:t>rastvora glukoze</w:t>
      </w:r>
      <w:r w:rsidR="005A5BC9" w:rsidRPr="00C144C0">
        <w:rPr>
          <w:bCs/>
          <w:sz w:val="22"/>
          <w:szCs w:val="22"/>
          <w:lang w:val="sr-Latn-ME"/>
        </w:rPr>
        <w:t xml:space="preserve"> može, u zavisnosti od </w:t>
      </w:r>
      <w:r w:rsidR="000D0703" w:rsidRPr="00C144C0">
        <w:rPr>
          <w:bCs/>
          <w:sz w:val="22"/>
          <w:szCs w:val="22"/>
          <w:lang w:val="sr-Latn-ME"/>
        </w:rPr>
        <w:t xml:space="preserve">toničnosti rastvora, </w:t>
      </w:r>
      <w:r w:rsidR="005A5BC9" w:rsidRPr="00C144C0">
        <w:rPr>
          <w:bCs/>
          <w:sz w:val="22"/>
          <w:szCs w:val="22"/>
          <w:lang w:val="sr-Latn-ME"/>
        </w:rPr>
        <w:t>zapremine</w:t>
      </w:r>
      <w:r w:rsidR="000D0703" w:rsidRPr="00C144C0">
        <w:rPr>
          <w:bCs/>
          <w:sz w:val="22"/>
          <w:szCs w:val="22"/>
          <w:lang w:val="sr-Latn-ME"/>
        </w:rPr>
        <w:t xml:space="preserve"> i</w:t>
      </w:r>
      <w:r w:rsidR="005A5BC9" w:rsidRPr="00C144C0">
        <w:rPr>
          <w:bCs/>
          <w:sz w:val="22"/>
          <w:szCs w:val="22"/>
          <w:lang w:val="sr-Latn-ME"/>
        </w:rPr>
        <w:t xml:space="preserve"> brzine primjene infuzije, osnovnih kliničkih stanja pacijenta i kapaciteta za metabolisanje glukoze da dovede do</w:t>
      </w:r>
      <w:r w:rsidR="000D0703" w:rsidRPr="00C144C0">
        <w:rPr>
          <w:bCs/>
          <w:sz w:val="22"/>
          <w:szCs w:val="22"/>
          <w:lang w:val="sr-Latn-ME"/>
        </w:rPr>
        <w:t xml:space="preserve"> poremećaja </w:t>
      </w:r>
      <w:r w:rsidR="002D6A3F" w:rsidRPr="00C144C0">
        <w:rPr>
          <w:bCs/>
          <w:sz w:val="22"/>
          <w:szCs w:val="22"/>
          <w:lang w:val="sr-Latn-ME"/>
        </w:rPr>
        <w:t>elektrolita, najvažnije do hipo- i hiper-osmotske hiponatremije.</w:t>
      </w:r>
    </w:p>
    <w:p w14:paraId="0B2FD06D" w14:textId="77777777" w:rsidR="002D6A3F" w:rsidRPr="00C144C0" w:rsidRDefault="002D6A3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4AFA34" w14:textId="3AD75873" w:rsidR="002D6A3F" w:rsidRPr="00C144C0" w:rsidRDefault="002D6A3F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Hiponatremija</w:t>
      </w:r>
    </w:p>
    <w:p w14:paraId="7D5D5E9A" w14:textId="70ED1177" w:rsidR="002C7DD4" w:rsidRPr="00C144C0" w:rsidRDefault="006A7C9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Pacijenti sa neosmotskim oslobađanjem vazopresina (npr. kod akutne bolesti, bola, postoperativnog stresa, infekcija, opekotina i bolesti CNS-a), pacijenti sa bolestima srca, jetre i bubrega i pacijenti izloženi agonistima vazopresina (</w:t>
      </w:r>
      <w:r w:rsidR="002C7DD4" w:rsidRPr="00C144C0">
        <w:rPr>
          <w:bCs/>
          <w:sz w:val="22"/>
          <w:szCs w:val="22"/>
          <w:lang w:val="sr-Latn-ME"/>
        </w:rPr>
        <w:t>pogledati dio</w:t>
      </w:r>
      <w:r w:rsidRPr="00C144C0">
        <w:rPr>
          <w:bCs/>
          <w:sz w:val="22"/>
          <w:szCs w:val="22"/>
          <w:lang w:val="sr-Latn-ME"/>
        </w:rPr>
        <w:t xml:space="preserve"> 4.5) posebno su izloženi riziku od akutne hiponatremije nakon infuzije hipotoničnih tečnosti. </w:t>
      </w:r>
    </w:p>
    <w:p w14:paraId="31B21F28" w14:textId="77777777" w:rsidR="00343D9D" w:rsidRPr="00C144C0" w:rsidRDefault="00343D9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D7CE98" w14:textId="0918F5A5" w:rsidR="006A7C9E" w:rsidRPr="00C144C0" w:rsidRDefault="006A7C9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Akutna hiponatremija može dovesti do akutne hiponatrem</w:t>
      </w:r>
      <w:r w:rsidR="007103D0" w:rsidRPr="00C144C0">
        <w:rPr>
          <w:bCs/>
          <w:sz w:val="22"/>
          <w:szCs w:val="22"/>
          <w:lang w:val="sr-Latn-ME"/>
        </w:rPr>
        <w:t>ij</w:t>
      </w:r>
      <w:r w:rsidRPr="00C144C0">
        <w:rPr>
          <w:bCs/>
          <w:sz w:val="22"/>
          <w:szCs w:val="22"/>
          <w:lang w:val="sr-Latn-ME"/>
        </w:rPr>
        <w:t xml:space="preserve">ske encefalopatije (edema mozga) koju karakterišu glavobolja, mučnina, napadi, letargija i povraćanje. Pacijenti sa edemom mozga izloženi su posebnom riziku od teških, ireverzibilnih i životno ugrožavajućih povreda mozga. </w:t>
      </w:r>
    </w:p>
    <w:p w14:paraId="321D7F60" w14:textId="77777777" w:rsidR="006A7C9E" w:rsidRPr="00C144C0" w:rsidRDefault="006A7C9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3F9A79" w14:textId="667B2B66" w:rsidR="002D6A3F" w:rsidRPr="00C144C0" w:rsidRDefault="006A7C9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Djeca, žene u reproduktivnom periodu i pacijenti sa smanjenim cerebralnim popuštanjem (npr. meningitisom, intrakranijalnim krvarenjem i cerebralnom kontuzijom) posebno su izloženi riziku od ozbiljnog i životno ugrožavajućeg </w:t>
      </w:r>
      <w:r w:rsidR="00290032" w:rsidRPr="00C144C0">
        <w:rPr>
          <w:bCs/>
          <w:sz w:val="22"/>
          <w:szCs w:val="22"/>
          <w:lang w:val="sr-Latn-ME"/>
        </w:rPr>
        <w:t>edema</w:t>
      </w:r>
      <w:r w:rsidRPr="00C144C0">
        <w:rPr>
          <w:bCs/>
          <w:sz w:val="22"/>
          <w:szCs w:val="22"/>
          <w:lang w:val="sr-Latn-ME"/>
        </w:rPr>
        <w:t xml:space="preserve"> mozga izazvanog akutnom hiponatremijom.</w:t>
      </w:r>
    </w:p>
    <w:p w14:paraId="213122F4" w14:textId="77777777" w:rsidR="00290032" w:rsidRPr="00C144C0" w:rsidRDefault="0029003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FE7C94" w14:textId="1C04695E" w:rsidR="00290032" w:rsidRPr="00C144C0" w:rsidRDefault="00D57246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Klinička evaluacija i periodične provjere laboratorijskih parametara mogu biti neophodni kako bi se pratile promjene u </w:t>
      </w:r>
      <w:r w:rsidR="00AE0549" w:rsidRPr="00C144C0">
        <w:rPr>
          <w:bCs/>
          <w:sz w:val="22"/>
          <w:szCs w:val="22"/>
          <w:lang w:val="sr-Latn-ME"/>
        </w:rPr>
        <w:t>ravnoteži tečnosti, koncentraciji elektrolita i acido-baznoj ravnoteži tokom produžene pri</w:t>
      </w:r>
      <w:r w:rsidR="00325C2E" w:rsidRPr="00C144C0">
        <w:rPr>
          <w:bCs/>
          <w:sz w:val="22"/>
          <w:szCs w:val="22"/>
          <w:lang w:val="sr-Latn-ME"/>
        </w:rPr>
        <w:t>mjene parenteralne terapije ili kad god stanje pacijenta ili brzina primjene rastvora zaht</w:t>
      </w:r>
      <w:r w:rsidR="001F4443" w:rsidRPr="00C144C0">
        <w:rPr>
          <w:bCs/>
          <w:sz w:val="22"/>
          <w:szCs w:val="22"/>
          <w:lang w:val="sr-Latn-ME"/>
        </w:rPr>
        <w:t>i</w:t>
      </w:r>
      <w:r w:rsidR="00325C2E" w:rsidRPr="00C144C0">
        <w:rPr>
          <w:bCs/>
          <w:sz w:val="22"/>
          <w:szCs w:val="22"/>
          <w:lang w:val="sr-Latn-ME"/>
        </w:rPr>
        <w:t>jeva te provjere.</w:t>
      </w:r>
    </w:p>
    <w:p w14:paraId="1DEA7D20" w14:textId="77777777" w:rsidR="00325C2E" w:rsidRPr="00C144C0" w:rsidRDefault="00325C2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7D012F" w14:textId="79A22A49" w:rsidR="00325C2E" w:rsidRPr="00C144C0" w:rsidRDefault="00325C2E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Hiperglikemija</w:t>
      </w:r>
    </w:p>
    <w:p w14:paraId="54A88A13" w14:textId="59CEBC27" w:rsidR="008F1D2B" w:rsidRPr="00C144C0" w:rsidRDefault="008F1D2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Brza primjena rastvora glukoze može dovesti do značajne hiperglikemije i hiperosmolarnog sindroma. Da bi se izb</w:t>
      </w:r>
      <w:r w:rsidR="00C00571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 xml:space="preserve">egla hiperglikemija, </w:t>
      </w:r>
      <w:r w:rsidR="00C00571" w:rsidRPr="00C144C0">
        <w:rPr>
          <w:bCs/>
          <w:sz w:val="22"/>
          <w:szCs w:val="22"/>
          <w:lang w:val="sr-Latn-ME"/>
        </w:rPr>
        <w:t>brzina</w:t>
      </w:r>
      <w:r w:rsidRPr="00C144C0">
        <w:rPr>
          <w:bCs/>
          <w:sz w:val="22"/>
          <w:szCs w:val="22"/>
          <w:lang w:val="sr-Latn-ME"/>
        </w:rPr>
        <w:t xml:space="preserve"> infuzije ne bi trebalo da </w:t>
      </w:r>
      <w:r w:rsidR="00C00571" w:rsidRPr="00C144C0">
        <w:rPr>
          <w:bCs/>
          <w:sz w:val="22"/>
          <w:szCs w:val="22"/>
          <w:lang w:val="sr-Latn-ME"/>
        </w:rPr>
        <w:t>prevazilazi</w:t>
      </w:r>
      <w:r w:rsidRPr="00C144C0">
        <w:rPr>
          <w:bCs/>
          <w:sz w:val="22"/>
          <w:szCs w:val="22"/>
          <w:lang w:val="sr-Latn-ME"/>
        </w:rPr>
        <w:t xml:space="preserve"> sposobnost pacijenta da koristi glukozu. Da bi se smanjio rizik od komplikacija povezanih sa hiperglikemijom, brzina infuzije mora biti </w:t>
      </w:r>
      <w:r w:rsidR="00FE1894" w:rsidRPr="00C144C0">
        <w:rPr>
          <w:bCs/>
          <w:sz w:val="22"/>
          <w:szCs w:val="22"/>
          <w:lang w:val="sr-Latn-ME"/>
        </w:rPr>
        <w:t>prilagođena</w:t>
      </w:r>
      <w:r w:rsidRPr="00C144C0">
        <w:rPr>
          <w:bCs/>
          <w:sz w:val="22"/>
          <w:szCs w:val="22"/>
          <w:lang w:val="sr-Latn-ME"/>
        </w:rPr>
        <w:t xml:space="preserve"> i/ili insulin </w:t>
      </w:r>
      <w:r w:rsidR="00FE1894" w:rsidRPr="00C144C0">
        <w:rPr>
          <w:bCs/>
          <w:sz w:val="22"/>
          <w:szCs w:val="22"/>
          <w:lang w:val="sr-Latn-ME"/>
        </w:rPr>
        <w:t xml:space="preserve">se </w:t>
      </w:r>
      <w:r w:rsidRPr="00C144C0">
        <w:rPr>
          <w:bCs/>
          <w:sz w:val="22"/>
          <w:szCs w:val="22"/>
          <w:lang w:val="sr-Latn-ME"/>
        </w:rPr>
        <w:t>prim</w:t>
      </w:r>
      <w:r w:rsidR="00FE1894" w:rsidRPr="00C144C0">
        <w:rPr>
          <w:bCs/>
          <w:sz w:val="22"/>
          <w:szCs w:val="22"/>
          <w:lang w:val="sr-Latn-ME"/>
        </w:rPr>
        <w:t>ij</w:t>
      </w:r>
      <w:r w:rsidRPr="00C144C0">
        <w:rPr>
          <w:bCs/>
          <w:sz w:val="22"/>
          <w:szCs w:val="22"/>
          <w:lang w:val="sr-Latn-ME"/>
        </w:rPr>
        <w:t xml:space="preserve">enjuje </w:t>
      </w:r>
      <w:r w:rsidR="00FE1894" w:rsidRPr="00C144C0">
        <w:rPr>
          <w:bCs/>
          <w:sz w:val="22"/>
          <w:szCs w:val="22"/>
          <w:lang w:val="sr-Latn-ME"/>
        </w:rPr>
        <w:t>ukoliko</w:t>
      </w:r>
      <w:r w:rsidRPr="00C144C0">
        <w:rPr>
          <w:bCs/>
          <w:sz w:val="22"/>
          <w:szCs w:val="22"/>
          <w:lang w:val="sr-Latn-ME"/>
        </w:rPr>
        <w:t xml:space="preserve"> </w:t>
      </w:r>
      <w:r w:rsidR="00C6771F" w:rsidRPr="00C144C0">
        <w:rPr>
          <w:bCs/>
          <w:sz w:val="22"/>
          <w:szCs w:val="22"/>
          <w:lang w:val="sr-Latn-ME"/>
        </w:rPr>
        <w:t>koncentracija</w:t>
      </w:r>
      <w:r w:rsidRPr="00C144C0">
        <w:rPr>
          <w:bCs/>
          <w:sz w:val="22"/>
          <w:szCs w:val="22"/>
          <w:lang w:val="sr-Latn-ME"/>
        </w:rPr>
        <w:t xml:space="preserve"> glukoze u krvi prelazi nivoe koji se smatraju prihvatljivim za pojedinačnog pacijenta</w:t>
      </w:r>
      <w:r w:rsidR="00192AAD" w:rsidRPr="00C144C0">
        <w:rPr>
          <w:bCs/>
          <w:sz w:val="22"/>
          <w:szCs w:val="22"/>
          <w:lang w:val="sr-Latn-ME"/>
        </w:rPr>
        <w:t>.</w:t>
      </w:r>
    </w:p>
    <w:p w14:paraId="1E646FC8" w14:textId="77777777" w:rsidR="00192AAD" w:rsidRPr="00C144C0" w:rsidRDefault="00192AA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C5EAF5" w14:textId="0A82B3F3" w:rsidR="008F1D2B" w:rsidRPr="00C144C0" w:rsidRDefault="00192AA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G</w:t>
      </w:r>
      <w:r w:rsidR="008F1D2B" w:rsidRPr="00C144C0">
        <w:rPr>
          <w:bCs/>
          <w:sz w:val="22"/>
          <w:szCs w:val="22"/>
          <w:lang w:val="sr-Latn-ME"/>
        </w:rPr>
        <w:t>lukozu treba prim</w:t>
      </w:r>
      <w:r w:rsidRPr="00C144C0">
        <w:rPr>
          <w:bCs/>
          <w:sz w:val="22"/>
          <w:szCs w:val="22"/>
          <w:lang w:val="sr-Latn-ME"/>
        </w:rPr>
        <w:t>j</w:t>
      </w:r>
      <w:r w:rsidR="008F1D2B" w:rsidRPr="00C144C0">
        <w:rPr>
          <w:bCs/>
          <w:sz w:val="22"/>
          <w:szCs w:val="22"/>
          <w:lang w:val="sr-Latn-ME"/>
        </w:rPr>
        <w:t xml:space="preserve">enjivati </w:t>
      </w:r>
      <w:r w:rsidRPr="00C144C0">
        <w:rPr>
          <w:bCs/>
          <w:sz w:val="22"/>
          <w:szCs w:val="22"/>
          <w:lang w:val="sr-Latn-ME"/>
        </w:rPr>
        <w:t xml:space="preserve">intravenski </w:t>
      </w:r>
      <w:r w:rsidR="008F1D2B" w:rsidRPr="00C144C0">
        <w:rPr>
          <w:bCs/>
          <w:sz w:val="22"/>
          <w:szCs w:val="22"/>
          <w:lang w:val="sr-Latn-ME"/>
        </w:rPr>
        <w:t>sa oprezom kod pacijenata sa, na prim</w:t>
      </w:r>
      <w:r w:rsidR="006F468E" w:rsidRPr="00C144C0">
        <w:rPr>
          <w:bCs/>
          <w:sz w:val="22"/>
          <w:szCs w:val="22"/>
          <w:lang w:val="sr-Latn-ME"/>
        </w:rPr>
        <w:t>j</w:t>
      </w:r>
      <w:r w:rsidR="008F1D2B" w:rsidRPr="00C144C0">
        <w:rPr>
          <w:bCs/>
          <w:sz w:val="22"/>
          <w:szCs w:val="22"/>
          <w:lang w:val="sr-Latn-ME"/>
        </w:rPr>
        <w:t>er:</w:t>
      </w:r>
    </w:p>
    <w:p w14:paraId="23D39851" w14:textId="77C09FA4" w:rsidR="008F1D2B" w:rsidRPr="00C144C0" w:rsidRDefault="006F468E" w:rsidP="00577682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poremećen</w:t>
      </w:r>
      <w:r w:rsidR="00567DF0" w:rsidRPr="00C144C0">
        <w:rPr>
          <w:bCs/>
          <w:sz w:val="22"/>
          <w:szCs w:val="22"/>
          <w:lang w:val="sr-Latn-ME"/>
        </w:rPr>
        <w:t>om</w:t>
      </w:r>
      <w:r w:rsidRPr="00C144C0">
        <w:rPr>
          <w:bCs/>
          <w:sz w:val="22"/>
          <w:szCs w:val="22"/>
          <w:lang w:val="sr-Latn-ME"/>
        </w:rPr>
        <w:t xml:space="preserve"> tolerancij</w:t>
      </w:r>
      <w:r w:rsidR="00567DF0" w:rsidRPr="00C144C0">
        <w:rPr>
          <w:bCs/>
          <w:sz w:val="22"/>
          <w:szCs w:val="22"/>
          <w:lang w:val="sr-Latn-ME"/>
        </w:rPr>
        <w:t>om</w:t>
      </w:r>
      <w:r w:rsidRPr="00C144C0">
        <w:rPr>
          <w:bCs/>
          <w:sz w:val="22"/>
          <w:szCs w:val="22"/>
          <w:lang w:val="sr-Latn-ME"/>
        </w:rPr>
        <w:t xml:space="preserve"> glukoze (kao što je dijabetes melitus, oštećenje bubrega ili u prisustvu sepse, traume ili šoka),</w:t>
      </w:r>
    </w:p>
    <w:p w14:paraId="078710B4" w14:textId="7F798BD5" w:rsidR="008F1D2B" w:rsidRPr="00C144C0" w:rsidRDefault="006F468E" w:rsidP="00577682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tešk</w:t>
      </w:r>
      <w:r w:rsidR="00272714" w:rsidRPr="00C144C0">
        <w:rPr>
          <w:bCs/>
          <w:sz w:val="22"/>
          <w:szCs w:val="22"/>
          <w:lang w:val="sr-Latn-ME"/>
        </w:rPr>
        <w:t>om</w:t>
      </w:r>
      <w:r w:rsidRPr="00C144C0">
        <w:rPr>
          <w:bCs/>
          <w:sz w:val="22"/>
          <w:szCs w:val="22"/>
          <w:lang w:val="sr-Latn-ME"/>
        </w:rPr>
        <w:t xml:space="preserve"> neuhranjeno</w:t>
      </w:r>
      <w:r w:rsidR="00272714" w:rsidRPr="00C144C0">
        <w:rPr>
          <w:bCs/>
          <w:sz w:val="22"/>
          <w:szCs w:val="22"/>
          <w:lang w:val="sr-Latn-ME"/>
        </w:rPr>
        <w:t>šću</w:t>
      </w:r>
      <w:r w:rsidRPr="00C144C0">
        <w:rPr>
          <w:bCs/>
          <w:sz w:val="22"/>
          <w:szCs w:val="22"/>
          <w:lang w:val="sr-Latn-ME"/>
        </w:rPr>
        <w:t xml:space="preserve"> (rizik od precipitacije sindroma ponovnog hranjenja, </w:t>
      </w:r>
      <w:r w:rsidR="00553807" w:rsidRPr="00C144C0">
        <w:rPr>
          <w:bCs/>
          <w:sz w:val="22"/>
          <w:szCs w:val="22"/>
          <w:lang w:val="sr-Latn-ME"/>
        </w:rPr>
        <w:t>pogledati ispod</w:t>
      </w:r>
      <w:r w:rsidRPr="00C144C0">
        <w:rPr>
          <w:bCs/>
          <w:sz w:val="22"/>
          <w:szCs w:val="22"/>
          <w:lang w:val="sr-Latn-ME"/>
        </w:rPr>
        <w:t>),</w:t>
      </w:r>
    </w:p>
    <w:p w14:paraId="6398827C" w14:textId="4F0F9D49" w:rsidR="008F1D2B" w:rsidRPr="00C144C0" w:rsidRDefault="006F468E" w:rsidP="00577682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nedostatk</w:t>
      </w:r>
      <w:r w:rsidR="00272714" w:rsidRPr="00C144C0">
        <w:rPr>
          <w:bCs/>
          <w:sz w:val="22"/>
          <w:szCs w:val="22"/>
          <w:lang w:val="sr-Latn-ME"/>
        </w:rPr>
        <w:t>om</w:t>
      </w:r>
      <w:r w:rsidRPr="00C144C0">
        <w:rPr>
          <w:bCs/>
          <w:sz w:val="22"/>
          <w:szCs w:val="22"/>
          <w:lang w:val="sr-Latn-ME"/>
        </w:rPr>
        <w:t xml:space="preserve"> tiamina, npr. kod pacijenata sa hroničnim alkoholizmom (rizik od teške lakt</w:t>
      </w:r>
      <w:r w:rsidR="00F9022F" w:rsidRPr="00C144C0">
        <w:rPr>
          <w:bCs/>
          <w:sz w:val="22"/>
          <w:szCs w:val="22"/>
          <w:lang w:val="sr-Latn-ME"/>
        </w:rPr>
        <w:t>atn</w:t>
      </w:r>
      <w:r w:rsidR="00DF723F" w:rsidRPr="00C144C0">
        <w:rPr>
          <w:bCs/>
          <w:sz w:val="22"/>
          <w:szCs w:val="22"/>
          <w:lang w:val="sr-Latn-ME"/>
        </w:rPr>
        <w:t>e a</w:t>
      </w:r>
      <w:r w:rsidRPr="00C144C0">
        <w:rPr>
          <w:bCs/>
          <w:sz w:val="22"/>
          <w:szCs w:val="22"/>
          <w:lang w:val="sr-Latn-ME"/>
        </w:rPr>
        <w:t>cidoze usl</w:t>
      </w:r>
      <w:r w:rsidR="00F9022F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ed poremećenog oksidativnog metabolizma piruvata),</w:t>
      </w:r>
    </w:p>
    <w:p w14:paraId="6CD2B89E" w14:textId="191DA37C" w:rsidR="008F1D2B" w:rsidRPr="00C144C0" w:rsidRDefault="006F468E" w:rsidP="00577682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poremećaj</w:t>
      </w:r>
      <w:r w:rsidR="00272714" w:rsidRPr="00C144C0">
        <w:rPr>
          <w:bCs/>
          <w:sz w:val="22"/>
          <w:szCs w:val="22"/>
          <w:lang w:val="sr-Latn-ME"/>
        </w:rPr>
        <w:t>em</w:t>
      </w:r>
      <w:r w:rsidRPr="00C144C0">
        <w:rPr>
          <w:bCs/>
          <w:sz w:val="22"/>
          <w:szCs w:val="22"/>
          <w:lang w:val="sr-Latn-ME"/>
        </w:rPr>
        <w:t xml:space="preserve"> vode </w:t>
      </w:r>
      <w:r w:rsidR="008F1D2B" w:rsidRPr="00C144C0">
        <w:rPr>
          <w:bCs/>
          <w:sz w:val="22"/>
          <w:szCs w:val="22"/>
          <w:lang w:val="sr-Latn-ME"/>
        </w:rPr>
        <w:t>i elektrolita koji bi mogli biti pogoršani povećanom glukozom i/</w:t>
      </w:r>
      <w:r w:rsidR="00831941" w:rsidRPr="00C144C0">
        <w:rPr>
          <w:bCs/>
          <w:sz w:val="22"/>
          <w:szCs w:val="22"/>
          <w:lang w:val="sr-Latn-ME"/>
        </w:rPr>
        <w:t>i</w:t>
      </w:r>
      <w:r w:rsidR="008F1D2B" w:rsidRPr="00C144C0">
        <w:rPr>
          <w:bCs/>
          <w:sz w:val="22"/>
          <w:szCs w:val="22"/>
          <w:lang w:val="sr-Latn-ME"/>
        </w:rPr>
        <w:t xml:space="preserve">li opterećenjem </w:t>
      </w:r>
      <w:r w:rsidR="007D0880" w:rsidRPr="00C144C0">
        <w:rPr>
          <w:bCs/>
          <w:sz w:val="22"/>
          <w:szCs w:val="22"/>
          <w:lang w:val="sr-Latn-ME"/>
        </w:rPr>
        <w:t xml:space="preserve">slobodnom </w:t>
      </w:r>
      <w:r w:rsidR="008F1D2B" w:rsidRPr="00C144C0">
        <w:rPr>
          <w:bCs/>
          <w:sz w:val="22"/>
          <w:szCs w:val="22"/>
          <w:lang w:val="sr-Latn-ME"/>
        </w:rPr>
        <w:t>vodom</w:t>
      </w:r>
      <w:r w:rsidR="007D0880" w:rsidRPr="00C144C0">
        <w:rPr>
          <w:bCs/>
          <w:sz w:val="22"/>
          <w:szCs w:val="22"/>
          <w:lang w:val="sr-Latn-ME"/>
        </w:rPr>
        <w:t>.</w:t>
      </w:r>
    </w:p>
    <w:p w14:paraId="6BF7CF16" w14:textId="77777777" w:rsidR="00C7108D" w:rsidRPr="00C144C0" w:rsidRDefault="00C7108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0FABB1" w14:textId="7F4F78B3" w:rsidR="00325C2E" w:rsidRPr="00C144C0" w:rsidRDefault="008F1D2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Ostale grupe pacijenata </w:t>
      </w:r>
      <w:r w:rsidR="007D0880" w:rsidRPr="00C144C0">
        <w:rPr>
          <w:bCs/>
          <w:sz w:val="22"/>
          <w:szCs w:val="22"/>
          <w:lang w:val="sr-Latn-ME"/>
        </w:rPr>
        <w:t>kod kojih rastvor za infuziju Natrii chloridi infundibile cum glucoso 5%</w:t>
      </w:r>
      <w:r w:rsidR="005759A6" w:rsidRPr="00C144C0">
        <w:rPr>
          <w:bCs/>
          <w:sz w:val="22"/>
          <w:szCs w:val="22"/>
          <w:lang w:val="sr-Latn-ME"/>
        </w:rPr>
        <w:t xml:space="preserve"> treba primjenjivati sa oprezom uključuju:</w:t>
      </w:r>
    </w:p>
    <w:p w14:paraId="6AC5E33C" w14:textId="6588B886" w:rsidR="005759A6" w:rsidRPr="00C144C0" w:rsidRDefault="00C871DC" w:rsidP="00577682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pacijenti sa ishemijskim moždanim udarom</w:t>
      </w:r>
      <w:r w:rsidR="0053597B" w:rsidRPr="00C144C0">
        <w:rPr>
          <w:bCs/>
          <w:sz w:val="22"/>
          <w:szCs w:val="22"/>
          <w:lang w:val="sr-Latn-ME"/>
        </w:rPr>
        <w:t>. Hipergli</w:t>
      </w:r>
      <w:r w:rsidR="001F501B" w:rsidRPr="00C144C0">
        <w:rPr>
          <w:bCs/>
          <w:sz w:val="22"/>
          <w:szCs w:val="22"/>
          <w:lang w:val="sr-Latn-ME"/>
        </w:rPr>
        <w:t>k</w:t>
      </w:r>
      <w:r w:rsidR="0053597B" w:rsidRPr="00C144C0">
        <w:rPr>
          <w:bCs/>
          <w:sz w:val="22"/>
          <w:szCs w:val="22"/>
          <w:lang w:val="sr-Latn-ME"/>
        </w:rPr>
        <w:t xml:space="preserve">emija </w:t>
      </w:r>
      <w:r w:rsidR="003C68AC" w:rsidRPr="00C144C0">
        <w:rPr>
          <w:bCs/>
          <w:sz w:val="22"/>
          <w:szCs w:val="22"/>
          <w:lang w:val="sr-Latn-ME"/>
        </w:rPr>
        <w:t>može doprin</w:t>
      </w:r>
      <w:r w:rsidR="001F4443" w:rsidRPr="00C144C0">
        <w:rPr>
          <w:bCs/>
          <w:sz w:val="22"/>
          <w:szCs w:val="22"/>
          <w:lang w:val="sr-Latn-ME"/>
        </w:rPr>
        <w:t>ij</w:t>
      </w:r>
      <w:r w:rsidR="003C68AC" w:rsidRPr="00C144C0">
        <w:rPr>
          <w:bCs/>
          <w:sz w:val="22"/>
          <w:szCs w:val="22"/>
          <w:lang w:val="sr-Latn-ME"/>
        </w:rPr>
        <w:t>eti povećanju cerebralnog ishemijs</w:t>
      </w:r>
      <w:r w:rsidR="00175EF9" w:rsidRPr="00C144C0">
        <w:rPr>
          <w:bCs/>
          <w:sz w:val="22"/>
          <w:szCs w:val="22"/>
          <w:lang w:val="sr-Latn-ME"/>
        </w:rPr>
        <w:t>kog oštećenja mozga i usporenom oporavku nakon akutnog ishemijskog moždanog udara</w:t>
      </w:r>
      <w:r w:rsidR="004C258B" w:rsidRPr="00C144C0">
        <w:rPr>
          <w:bCs/>
          <w:sz w:val="22"/>
          <w:szCs w:val="22"/>
          <w:lang w:val="sr-Latn-ME"/>
        </w:rPr>
        <w:t>,</w:t>
      </w:r>
    </w:p>
    <w:p w14:paraId="7498C11D" w14:textId="36B251BA" w:rsidR="00A8740D" w:rsidRPr="00C144C0" w:rsidRDefault="004C258B" w:rsidP="00577682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lastRenderedPageBreak/>
        <w:t>pacijenti sa teškim traumatskim povredama mo</w:t>
      </w:r>
      <w:r w:rsidR="00A8740D" w:rsidRPr="00C144C0">
        <w:rPr>
          <w:bCs/>
          <w:sz w:val="22"/>
          <w:szCs w:val="22"/>
          <w:lang w:val="sr-Latn-ME"/>
        </w:rPr>
        <w:t>z</w:t>
      </w:r>
      <w:r w:rsidRPr="00C144C0">
        <w:rPr>
          <w:bCs/>
          <w:sz w:val="22"/>
          <w:szCs w:val="22"/>
          <w:lang w:val="sr-Latn-ME"/>
        </w:rPr>
        <w:t xml:space="preserve">ga (posebno tokom </w:t>
      </w:r>
      <w:r w:rsidR="00784B46" w:rsidRPr="00C144C0">
        <w:rPr>
          <w:bCs/>
          <w:sz w:val="22"/>
          <w:szCs w:val="22"/>
          <w:lang w:val="sr-Latn-ME"/>
        </w:rPr>
        <w:t xml:space="preserve">prva 24 sata nakon povrede). Rana hiperglikemija je povezana sa lošijim ishodima kod pacijenata sa teškim </w:t>
      </w:r>
      <w:r w:rsidR="00A8740D" w:rsidRPr="00C144C0">
        <w:rPr>
          <w:bCs/>
          <w:sz w:val="22"/>
          <w:szCs w:val="22"/>
          <w:lang w:val="sr-Latn-ME"/>
        </w:rPr>
        <w:t>traumatskim povredama mozga,</w:t>
      </w:r>
    </w:p>
    <w:p w14:paraId="643AF95C" w14:textId="5B045C7E" w:rsidR="00A8740D" w:rsidRPr="00C144C0" w:rsidRDefault="00A8740D" w:rsidP="00577682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novorođenčad (pogledati </w:t>
      </w:r>
      <w:r w:rsidR="007B3DC3" w:rsidRPr="00C144C0">
        <w:rPr>
          <w:bCs/>
          <w:sz w:val="22"/>
          <w:szCs w:val="22"/>
          <w:lang w:val="sr-Latn-ME"/>
        </w:rPr>
        <w:t xml:space="preserve">„Problemi povezani sa </w:t>
      </w:r>
      <w:r w:rsidR="0032637C" w:rsidRPr="00C144C0">
        <w:rPr>
          <w:bCs/>
          <w:sz w:val="22"/>
          <w:szCs w:val="22"/>
          <w:lang w:val="sr-Latn-ME"/>
        </w:rPr>
        <w:t>glikemijom u pedijatrijskoj populaciji“</w:t>
      </w:r>
      <w:r w:rsidR="00893B5B" w:rsidRPr="00C144C0">
        <w:rPr>
          <w:bCs/>
          <w:sz w:val="22"/>
          <w:szCs w:val="22"/>
          <w:lang w:val="sr-Latn-ME"/>
        </w:rPr>
        <w:t>)</w:t>
      </w:r>
      <w:r w:rsidR="0032637C" w:rsidRPr="00C144C0">
        <w:rPr>
          <w:bCs/>
          <w:sz w:val="22"/>
          <w:szCs w:val="22"/>
          <w:lang w:val="sr-Latn-ME"/>
        </w:rPr>
        <w:t>.</w:t>
      </w:r>
    </w:p>
    <w:p w14:paraId="029BB64C" w14:textId="77777777" w:rsidR="00C7108D" w:rsidRPr="00C144C0" w:rsidRDefault="00C7108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A0E325" w14:textId="1CD06ABE" w:rsidR="0032637C" w:rsidRPr="00C144C0" w:rsidRDefault="0032637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Produžena intravenska primjena rastvora glukoze</w:t>
      </w:r>
      <w:r w:rsidR="005F04B4" w:rsidRPr="00C144C0">
        <w:rPr>
          <w:bCs/>
          <w:sz w:val="22"/>
          <w:szCs w:val="22"/>
          <w:lang w:val="sr-Latn-ME"/>
        </w:rPr>
        <w:t xml:space="preserve"> i povezana hiperglikemija mogu dovesti do smanjenja brzine sekrecije insulina stimulisanom glukozom.</w:t>
      </w:r>
    </w:p>
    <w:p w14:paraId="55D3B814" w14:textId="77777777" w:rsidR="00DC783C" w:rsidRPr="00C144C0" w:rsidRDefault="00DC783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9321E7" w14:textId="3C8D4E17" w:rsidR="005F04B4" w:rsidRPr="00C144C0" w:rsidRDefault="005F04B4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Reakcije preosjetljivosti</w:t>
      </w:r>
    </w:p>
    <w:p w14:paraId="69185D9F" w14:textId="1546360C" w:rsidR="005F04B4" w:rsidRPr="00C144C0" w:rsidRDefault="00C9630E" w:rsidP="00577682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prijavljen</w:t>
      </w:r>
      <w:r w:rsidR="002B1AD5" w:rsidRPr="00C144C0">
        <w:rPr>
          <w:bCs/>
          <w:sz w:val="22"/>
          <w:szCs w:val="22"/>
          <w:lang w:val="sr-Latn-ME"/>
        </w:rPr>
        <w:t>i</w:t>
      </w:r>
      <w:r w:rsidRPr="00C144C0">
        <w:rPr>
          <w:bCs/>
          <w:sz w:val="22"/>
          <w:szCs w:val="22"/>
          <w:lang w:val="sr-Latn-ME"/>
        </w:rPr>
        <w:t xml:space="preserve"> su preosjetljivost/reakcije na infuzij</w:t>
      </w:r>
      <w:r w:rsidR="002B1AD5" w:rsidRPr="00C144C0">
        <w:rPr>
          <w:bCs/>
          <w:sz w:val="22"/>
          <w:szCs w:val="22"/>
          <w:lang w:val="sr-Latn-ME"/>
        </w:rPr>
        <w:t>u</w:t>
      </w:r>
      <w:r w:rsidRPr="00C144C0">
        <w:rPr>
          <w:bCs/>
          <w:sz w:val="22"/>
          <w:szCs w:val="22"/>
          <w:lang w:val="sr-Latn-ME"/>
        </w:rPr>
        <w:t>, uključujući anafilaksu (pogledati dio 4.8)</w:t>
      </w:r>
      <w:r w:rsidR="00BD06B8" w:rsidRPr="00C144C0">
        <w:rPr>
          <w:bCs/>
          <w:sz w:val="22"/>
          <w:szCs w:val="22"/>
          <w:lang w:val="sr-Latn-ME"/>
        </w:rPr>
        <w:t>,</w:t>
      </w:r>
    </w:p>
    <w:p w14:paraId="2A067F29" w14:textId="3FFD10C5" w:rsidR="00BD06B8" w:rsidRPr="00C144C0" w:rsidRDefault="00BD06B8" w:rsidP="00577682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odmah prekinuti sa primjenom ukoliko se razviju znaci ili simptomi preosjetljivosti/reakcije na infuziju</w:t>
      </w:r>
      <w:r w:rsidR="00DE5831" w:rsidRPr="00C144C0">
        <w:rPr>
          <w:bCs/>
          <w:sz w:val="22"/>
          <w:szCs w:val="22"/>
          <w:lang w:val="sr-Latn-ME"/>
        </w:rPr>
        <w:t>. Treba sprovesti odgovarajuće terapijske mjere prema kliničkoj potrebi.</w:t>
      </w:r>
    </w:p>
    <w:p w14:paraId="1C0A2676" w14:textId="6EB4DEF8" w:rsidR="00EE14A7" w:rsidRPr="00C144C0" w:rsidRDefault="00EE14A7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Rastvore koji sadrže glukozu treba primjenjivati sa oprezom kod pacijenata sa poznatom alergijom na kukuruz ili proizvode od kukuruza.</w:t>
      </w:r>
    </w:p>
    <w:p w14:paraId="50001401" w14:textId="77777777" w:rsidR="00C7108D" w:rsidRPr="00C144C0" w:rsidRDefault="00C7108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6D3BDF" w14:textId="01CA90CF" w:rsidR="00C7108D" w:rsidRPr="00C144C0" w:rsidRDefault="00C7108D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Sindrom ponovnog hranjenja</w:t>
      </w:r>
    </w:p>
    <w:p w14:paraId="50295301" w14:textId="10AE2570" w:rsidR="00A93BAD" w:rsidRPr="00C144C0" w:rsidRDefault="00A93BA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Ponovno hranjenje ozbiljno pothranjenih pacijenata može dovesti do sindroma ponovnog hranjenja koji se karakteriše </w:t>
      </w:r>
      <w:r w:rsidR="00C86652" w:rsidRPr="00C144C0">
        <w:rPr>
          <w:bCs/>
          <w:sz w:val="22"/>
          <w:szCs w:val="22"/>
          <w:lang w:val="sr-Latn-ME"/>
        </w:rPr>
        <w:t>prelaskom</w:t>
      </w:r>
      <w:r w:rsidRPr="00C144C0">
        <w:rPr>
          <w:bCs/>
          <w:sz w:val="22"/>
          <w:szCs w:val="22"/>
          <w:lang w:val="sr-Latn-ME"/>
        </w:rPr>
        <w:t xml:space="preserve"> kalijuma, fosfora i magnezijuma</w:t>
      </w:r>
      <w:r w:rsidR="00C67F66" w:rsidRPr="00C144C0">
        <w:rPr>
          <w:bCs/>
          <w:sz w:val="22"/>
          <w:szCs w:val="22"/>
          <w:lang w:val="sr-Latn-ME"/>
        </w:rPr>
        <w:t xml:space="preserve"> u</w:t>
      </w:r>
      <w:r w:rsidRPr="00C144C0">
        <w:rPr>
          <w:bCs/>
          <w:sz w:val="22"/>
          <w:szCs w:val="22"/>
          <w:lang w:val="sr-Latn-ME"/>
        </w:rPr>
        <w:t xml:space="preserve"> intracelularn</w:t>
      </w:r>
      <w:r w:rsidR="00C10082" w:rsidRPr="00C144C0">
        <w:rPr>
          <w:bCs/>
          <w:sz w:val="22"/>
          <w:szCs w:val="22"/>
          <w:lang w:val="sr-Latn-ME"/>
        </w:rPr>
        <w:t>i prostor,</w:t>
      </w:r>
      <w:r w:rsidRPr="00C144C0">
        <w:rPr>
          <w:bCs/>
          <w:sz w:val="22"/>
          <w:szCs w:val="22"/>
          <w:lang w:val="sr-Latn-ME"/>
        </w:rPr>
        <w:t xml:space="preserve"> dok pacijent </w:t>
      </w:r>
      <w:r w:rsidR="00E6030C" w:rsidRPr="00C144C0">
        <w:rPr>
          <w:bCs/>
          <w:sz w:val="22"/>
          <w:szCs w:val="22"/>
          <w:lang w:val="sr-Latn-ME"/>
        </w:rPr>
        <w:t>uvodi u</w:t>
      </w:r>
      <w:r w:rsidRPr="00C144C0">
        <w:rPr>
          <w:bCs/>
          <w:sz w:val="22"/>
          <w:szCs w:val="22"/>
          <w:lang w:val="sr-Latn-ME"/>
        </w:rPr>
        <w:t xml:space="preserve"> anaboli</w:t>
      </w:r>
      <w:r w:rsidR="00212690" w:rsidRPr="00C144C0">
        <w:rPr>
          <w:bCs/>
          <w:sz w:val="22"/>
          <w:szCs w:val="22"/>
          <w:lang w:val="sr-Latn-ME"/>
        </w:rPr>
        <w:t>čko stanje</w:t>
      </w:r>
      <w:r w:rsidRPr="00C144C0">
        <w:rPr>
          <w:bCs/>
          <w:sz w:val="22"/>
          <w:szCs w:val="22"/>
          <w:lang w:val="sr-Latn-ME"/>
        </w:rPr>
        <w:t xml:space="preserve">. Može se razviti i nedostatak tiamina i </w:t>
      </w:r>
      <w:r w:rsidR="008C2573" w:rsidRPr="00C144C0">
        <w:rPr>
          <w:bCs/>
          <w:sz w:val="22"/>
          <w:szCs w:val="22"/>
          <w:lang w:val="sr-Latn-ME"/>
        </w:rPr>
        <w:t>retencija</w:t>
      </w:r>
      <w:r w:rsidRPr="00C144C0">
        <w:rPr>
          <w:bCs/>
          <w:sz w:val="22"/>
          <w:szCs w:val="22"/>
          <w:lang w:val="sr-Latn-ME"/>
        </w:rPr>
        <w:t xml:space="preserve"> tečnosti. Pažljivo praćenje i polako povećanje unosa hranljivih materija uz izb</w:t>
      </w:r>
      <w:r w:rsidR="007828DA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egavanje prejedanja može spr</w:t>
      </w:r>
      <w:r w:rsidR="007828DA" w:rsidRPr="00C144C0">
        <w:rPr>
          <w:bCs/>
          <w:sz w:val="22"/>
          <w:szCs w:val="22"/>
          <w:lang w:val="sr-Latn-ME"/>
        </w:rPr>
        <w:t>ij</w:t>
      </w:r>
      <w:r w:rsidRPr="00C144C0">
        <w:rPr>
          <w:bCs/>
          <w:sz w:val="22"/>
          <w:szCs w:val="22"/>
          <w:lang w:val="sr-Latn-ME"/>
        </w:rPr>
        <w:t>ečiti ove komplikacije</w:t>
      </w:r>
      <w:r w:rsidR="007828DA" w:rsidRPr="00C144C0">
        <w:rPr>
          <w:bCs/>
          <w:sz w:val="22"/>
          <w:szCs w:val="22"/>
          <w:lang w:val="sr-Latn-ME"/>
        </w:rPr>
        <w:t>.</w:t>
      </w:r>
    </w:p>
    <w:p w14:paraId="67A024D7" w14:textId="77777777" w:rsidR="00E6030C" w:rsidRPr="00C144C0" w:rsidRDefault="00E6030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43B11F" w14:textId="4A1860C6" w:rsidR="00E6030C" w:rsidRPr="00C144C0" w:rsidRDefault="00E6030C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Teško oštećenje funkcije bubrega</w:t>
      </w:r>
    </w:p>
    <w:p w14:paraId="13938CD5" w14:textId="26D678B8" w:rsidR="00E6030C" w:rsidRPr="00C144C0" w:rsidRDefault="00E6030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 za infuziju Natrii chloridi infundiible cum glucoso 5%</w:t>
      </w:r>
      <w:r w:rsidR="000A1B84" w:rsidRPr="00C144C0">
        <w:rPr>
          <w:bCs/>
          <w:sz w:val="22"/>
          <w:szCs w:val="22"/>
          <w:lang w:val="sr-Latn-ME"/>
        </w:rPr>
        <w:t xml:space="preserve"> može da se primjeni sa posebnim oprezom kod pacijenata koji su u riziku od (teškog) oštećenja funkcije bubrega. Kod ovih pacijenata</w:t>
      </w:r>
      <w:r w:rsidR="00AE6DA9" w:rsidRPr="00C144C0">
        <w:rPr>
          <w:bCs/>
          <w:sz w:val="22"/>
          <w:szCs w:val="22"/>
          <w:lang w:val="sr-Latn-ME"/>
        </w:rPr>
        <w:t xml:space="preserve"> primjena može da dovede do retencije natrijuma i/ili preopterećenja tečnošću.</w:t>
      </w:r>
    </w:p>
    <w:p w14:paraId="46527101" w14:textId="77777777" w:rsidR="00DC783C" w:rsidRPr="00C144C0" w:rsidRDefault="00DC783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B" w14:textId="04C562EB" w:rsidR="00057E35" w:rsidRPr="00C144C0" w:rsidRDefault="00C7108D" w:rsidP="0057768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C144C0">
        <w:rPr>
          <w:i/>
          <w:iCs/>
          <w:sz w:val="22"/>
          <w:szCs w:val="22"/>
          <w:lang w:val="sr-Latn-ME"/>
        </w:rPr>
        <w:t>Primjena u pedijatrijskoj populaciji</w:t>
      </w:r>
    </w:p>
    <w:p w14:paraId="3B4C168C" w14:textId="76F67CF8" w:rsidR="00057E35" w:rsidRPr="00C144C0" w:rsidRDefault="00933F77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L</w:t>
      </w:r>
      <w:r w:rsidR="0090569C" w:rsidRPr="00C144C0">
        <w:rPr>
          <w:bCs/>
          <w:sz w:val="22"/>
          <w:szCs w:val="22"/>
          <w:lang w:val="sr-Latn-ME"/>
        </w:rPr>
        <w:t xml:space="preserve">jekar sa iskustvom u primjeni terapije intravenskim tečnostima u pedijatriji </w:t>
      </w:r>
      <w:r w:rsidR="003D2E80" w:rsidRPr="00C144C0">
        <w:rPr>
          <w:bCs/>
          <w:sz w:val="22"/>
          <w:szCs w:val="22"/>
          <w:lang w:val="sr-Latn-ME"/>
        </w:rPr>
        <w:t>određ</w:t>
      </w:r>
      <w:r w:rsidR="002B71BB" w:rsidRPr="00C144C0">
        <w:rPr>
          <w:bCs/>
          <w:sz w:val="22"/>
          <w:szCs w:val="22"/>
          <w:lang w:val="sr-Latn-ME"/>
        </w:rPr>
        <w:t>uje</w:t>
      </w:r>
      <w:r w:rsidR="003D2E80" w:rsidRPr="00C144C0">
        <w:rPr>
          <w:bCs/>
          <w:sz w:val="22"/>
          <w:szCs w:val="22"/>
          <w:lang w:val="sr-Latn-ME"/>
        </w:rPr>
        <w:t xml:space="preserve"> brzin</w:t>
      </w:r>
      <w:r w:rsidR="002B71BB" w:rsidRPr="00C144C0">
        <w:rPr>
          <w:bCs/>
          <w:sz w:val="22"/>
          <w:szCs w:val="22"/>
          <w:lang w:val="sr-Latn-ME"/>
        </w:rPr>
        <w:t>u</w:t>
      </w:r>
      <w:r w:rsidR="003D2E80" w:rsidRPr="00C144C0">
        <w:rPr>
          <w:bCs/>
          <w:sz w:val="22"/>
          <w:szCs w:val="22"/>
          <w:lang w:val="sr-Latn-ME"/>
        </w:rPr>
        <w:t xml:space="preserve"> infuzij</w:t>
      </w:r>
      <w:r w:rsidR="002B71BB" w:rsidRPr="00C144C0">
        <w:rPr>
          <w:bCs/>
          <w:sz w:val="22"/>
          <w:szCs w:val="22"/>
          <w:lang w:val="sr-Latn-ME"/>
        </w:rPr>
        <w:t>e</w:t>
      </w:r>
      <w:r w:rsidR="0028764E" w:rsidRPr="00C144C0">
        <w:rPr>
          <w:bCs/>
          <w:sz w:val="22"/>
          <w:szCs w:val="22"/>
          <w:lang w:val="sr-Latn-ME"/>
        </w:rPr>
        <w:t xml:space="preserve"> i zapreminu u</w:t>
      </w:r>
      <w:r w:rsidR="003D2E80" w:rsidRPr="00C144C0">
        <w:rPr>
          <w:bCs/>
          <w:sz w:val="22"/>
          <w:szCs w:val="22"/>
          <w:lang w:val="sr-Latn-ME"/>
        </w:rPr>
        <w:t xml:space="preserve"> zavis</w:t>
      </w:r>
      <w:r w:rsidR="0028764E" w:rsidRPr="00C144C0">
        <w:rPr>
          <w:bCs/>
          <w:sz w:val="22"/>
          <w:szCs w:val="22"/>
          <w:lang w:val="sr-Latn-ME"/>
        </w:rPr>
        <w:t>nosti</w:t>
      </w:r>
      <w:r w:rsidR="003D2E80" w:rsidRPr="00C144C0">
        <w:rPr>
          <w:bCs/>
          <w:sz w:val="22"/>
          <w:szCs w:val="22"/>
          <w:lang w:val="sr-Latn-ME"/>
        </w:rPr>
        <w:t xml:space="preserve"> od uzrasta, tjelesne mase, kliničkog </w:t>
      </w:r>
      <w:r w:rsidR="0028764E" w:rsidRPr="00C144C0">
        <w:rPr>
          <w:bCs/>
          <w:sz w:val="22"/>
          <w:szCs w:val="22"/>
          <w:lang w:val="sr-Latn-ME"/>
        </w:rPr>
        <w:t xml:space="preserve">i metaboličkog </w:t>
      </w:r>
      <w:r w:rsidR="003D2E80" w:rsidRPr="00C144C0">
        <w:rPr>
          <w:bCs/>
          <w:sz w:val="22"/>
          <w:szCs w:val="22"/>
          <w:lang w:val="sr-Latn-ME"/>
        </w:rPr>
        <w:t>stanja</w:t>
      </w:r>
      <w:r w:rsidR="0028764E" w:rsidRPr="00C144C0">
        <w:rPr>
          <w:bCs/>
          <w:sz w:val="22"/>
          <w:szCs w:val="22"/>
          <w:lang w:val="sr-Latn-ME"/>
        </w:rPr>
        <w:t xml:space="preserve"> pacijenta</w:t>
      </w:r>
      <w:r w:rsidR="003D2E80" w:rsidRPr="00C144C0">
        <w:rPr>
          <w:bCs/>
          <w:sz w:val="22"/>
          <w:szCs w:val="22"/>
          <w:lang w:val="sr-Latn-ME"/>
        </w:rPr>
        <w:t xml:space="preserve"> i istovremeno primijenjene terapije.</w:t>
      </w:r>
    </w:p>
    <w:p w14:paraId="0FDF4D4C" w14:textId="77777777" w:rsidR="00C7108D" w:rsidRPr="00C144C0" w:rsidRDefault="00C7108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EAA52F" w14:textId="6A047313" w:rsidR="00C7108D" w:rsidRPr="00C144C0" w:rsidRDefault="00110F5E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Problemi povezani sa glikemijom u pedijatrijskoj populaciji</w:t>
      </w:r>
    </w:p>
    <w:p w14:paraId="68D11342" w14:textId="1A53B77F" w:rsidR="00AB6F9B" w:rsidRPr="00C144C0" w:rsidRDefault="00AB6F9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Novorođenčad, posebno ona rođena </w:t>
      </w:r>
      <w:r w:rsidR="00774169" w:rsidRPr="00C144C0">
        <w:rPr>
          <w:bCs/>
          <w:sz w:val="22"/>
          <w:szCs w:val="22"/>
          <w:lang w:val="sr-Latn-ME"/>
        </w:rPr>
        <w:t>prije termina</w:t>
      </w:r>
      <w:r w:rsidRPr="00C144C0">
        <w:rPr>
          <w:bCs/>
          <w:sz w:val="22"/>
          <w:szCs w:val="22"/>
          <w:lang w:val="sr-Latn-ME"/>
        </w:rPr>
        <w:t xml:space="preserve"> i sa niskom tjelesnom masom na porođaju, imaju povećan rizik od razvoja hipo- ili</w:t>
      </w:r>
      <w:r w:rsidR="00094531" w:rsidRPr="00C144C0">
        <w:rPr>
          <w:bCs/>
          <w:sz w:val="22"/>
          <w:szCs w:val="22"/>
          <w:lang w:val="sr-Latn-ME"/>
        </w:rPr>
        <w:t xml:space="preserve"> </w:t>
      </w:r>
      <w:r w:rsidRPr="00C144C0">
        <w:rPr>
          <w:bCs/>
          <w:sz w:val="22"/>
          <w:szCs w:val="22"/>
          <w:lang w:val="sr-Latn-ME"/>
        </w:rPr>
        <w:t xml:space="preserve">hiperglikemije. Pažljivo praćenje tokom </w:t>
      </w:r>
      <w:r w:rsidR="00383B8B" w:rsidRPr="00C144C0">
        <w:rPr>
          <w:bCs/>
          <w:sz w:val="22"/>
          <w:szCs w:val="22"/>
          <w:lang w:val="sr-Latn-ME"/>
        </w:rPr>
        <w:t>terapije</w:t>
      </w:r>
      <w:r w:rsidRPr="00C144C0">
        <w:rPr>
          <w:bCs/>
          <w:sz w:val="22"/>
          <w:szCs w:val="22"/>
          <w:lang w:val="sr-Latn-ME"/>
        </w:rPr>
        <w:t xml:space="preserve"> sa intravenskim rastvorima glukoze je potrebno kako bi se osigurala adekvatna glikemijska kontrola, kako bi se izb</w:t>
      </w:r>
      <w:r w:rsidR="00FD2618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egli potencijalni dugoročni neželjeni efekti.</w:t>
      </w:r>
    </w:p>
    <w:p w14:paraId="3067FE02" w14:textId="77777777" w:rsidR="00FD2618" w:rsidRPr="00C144C0" w:rsidRDefault="00FD261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DCC5A3" w14:textId="14576F64" w:rsidR="00AB6F9B" w:rsidRPr="00C144C0" w:rsidRDefault="00AB6F9B" w:rsidP="00577682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Hipoglikemija kod novorođenčeta može izazvati, n</w:t>
      </w:r>
      <w:r w:rsidR="00E725DE" w:rsidRPr="00C144C0">
        <w:rPr>
          <w:bCs/>
          <w:sz w:val="22"/>
          <w:szCs w:val="22"/>
          <w:lang w:val="sr-Latn-ME"/>
        </w:rPr>
        <w:t>pr.</w:t>
      </w:r>
      <w:r w:rsidRPr="00C144C0">
        <w:rPr>
          <w:bCs/>
          <w:sz w:val="22"/>
          <w:szCs w:val="22"/>
          <w:lang w:val="sr-Latn-ME"/>
        </w:rPr>
        <w:t xml:space="preserve"> produžene </w:t>
      </w:r>
      <w:r w:rsidR="00E725DE" w:rsidRPr="00C144C0">
        <w:rPr>
          <w:bCs/>
          <w:sz w:val="22"/>
          <w:szCs w:val="22"/>
          <w:lang w:val="sr-Latn-ME"/>
        </w:rPr>
        <w:t xml:space="preserve">epileptične </w:t>
      </w:r>
      <w:r w:rsidRPr="00C144C0">
        <w:rPr>
          <w:bCs/>
          <w:sz w:val="22"/>
          <w:szCs w:val="22"/>
          <w:lang w:val="sr-Latn-ME"/>
        </w:rPr>
        <w:t xml:space="preserve">napade, komu i </w:t>
      </w:r>
      <w:r w:rsidR="00E725DE" w:rsidRPr="00C144C0">
        <w:rPr>
          <w:bCs/>
          <w:sz w:val="22"/>
          <w:szCs w:val="22"/>
          <w:lang w:val="sr-Latn-ME"/>
        </w:rPr>
        <w:t>povredu mozga.</w:t>
      </w:r>
    </w:p>
    <w:p w14:paraId="1B9F324E" w14:textId="77E8CBB0" w:rsidR="00110F5E" w:rsidRPr="00C144C0" w:rsidRDefault="00AB6F9B" w:rsidP="00577682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Hiperglikemija je povezana sa povredom</w:t>
      </w:r>
      <w:r w:rsidR="00E725DE" w:rsidRPr="00C144C0">
        <w:rPr>
          <w:bCs/>
          <w:sz w:val="22"/>
          <w:szCs w:val="22"/>
          <w:lang w:val="sr-Latn-ME"/>
        </w:rPr>
        <w:t xml:space="preserve"> mozga</w:t>
      </w:r>
      <w:r w:rsidRPr="00C144C0">
        <w:rPr>
          <w:bCs/>
          <w:sz w:val="22"/>
          <w:szCs w:val="22"/>
          <w:lang w:val="sr-Latn-ME"/>
        </w:rPr>
        <w:t>, uključujući intraventrikularno krvarenje, kasni početak bakterijske i gljivične infekcije, retinopatiju nedonoščadi, nekrotizirajući enterokolitis, povećane potrebe za kiseonikom, produženo trajanje boravka u bolnici i smrt.</w:t>
      </w:r>
    </w:p>
    <w:p w14:paraId="3467CB7F" w14:textId="77777777" w:rsidR="00C7108D" w:rsidRPr="00C144C0" w:rsidRDefault="00C7108D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AA3BA5" w14:textId="49B058DB" w:rsidR="00230DE8" w:rsidRPr="00C144C0" w:rsidRDefault="00230DE8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Problemi povezani sa hiponatremijom u pedijatrijskoj populaciji</w:t>
      </w:r>
    </w:p>
    <w:p w14:paraId="3D490667" w14:textId="248C2C5F" w:rsidR="00EE5051" w:rsidRPr="00C144C0" w:rsidRDefault="00EE505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D</w:t>
      </w:r>
      <w:r w:rsidR="00B9761F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 xml:space="preserve">eca (uključujući novorođenčad i stariju </w:t>
      </w:r>
      <w:r w:rsidR="00AE7CA9" w:rsidRPr="00C144C0">
        <w:rPr>
          <w:bCs/>
          <w:sz w:val="22"/>
          <w:szCs w:val="22"/>
          <w:lang w:val="sr-Latn-ME"/>
        </w:rPr>
        <w:t>dj</w:t>
      </w:r>
      <w:r w:rsidRPr="00C144C0">
        <w:rPr>
          <w:bCs/>
          <w:sz w:val="22"/>
          <w:szCs w:val="22"/>
          <w:lang w:val="sr-Latn-ME"/>
        </w:rPr>
        <w:t>ecu) imaju povećan rizik od razvoja hiponatremije, kao i hiponatremi</w:t>
      </w:r>
      <w:r w:rsidR="00AE7CA9" w:rsidRPr="00C144C0">
        <w:rPr>
          <w:bCs/>
          <w:sz w:val="22"/>
          <w:szCs w:val="22"/>
          <w:lang w:val="sr-Latn-ME"/>
        </w:rPr>
        <w:t>jsk</w:t>
      </w:r>
      <w:r w:rsidRPr="00C144C0">
        <w:rPr>
          <w:bCs/>
          <w:sz w:val="22"/>
          <w:szCs w:val="22"/>
          <w:lang w:val="sr-Latn-ME"/>
        </w:rPr>
        <w:t>e encefalopatije.</w:t>
      </w:r>
    </w:p>
    <w:p w14:paraId="3587832C" w14:textId="0C8D0046" w:rsidR="00EE5051" w:rsidRPr="00C144C0" w:rsidRDefault="00EE5051" w:rsidP="00577682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Hiponatremija može dovesti do glavobolje, mučnine, </w:t>
      </w:r>
      <w:r w:rsidR="00AE7CA9" w:rsidRPr="00C144C0">
        <w:rPr>
          <w:bCs/>
          <w:sz w:val="22"/>
          <w:szCs w:val="22"/>
          <w:lang w:val="sr-Latn-ME"/>
        </w:rPr>
        <w:t xml:space="preserve">epileptičkih </w:t>
      </w:r>
      <w:r w:rsidRPr="00C144C0">
        <w:rPr>
          <w:bCs/>
          <w:sz w:val="22"/>
          <w:szCs w:val="22"/>
          <w:lang w:val="sr-Latn-ME"/>
        </w:rPr>
        <w:t xml:space="preserve">napada, letargije, kome, cerebralnog edema i smrti; </w:t>
      </w:r>
      <w:r w:rsidR="00DF2B4D" w:rsidRPr="00C144C0">
        <w:rPr>
          <w:bCs/>
          <w:sz w:val="22"/>
          <w:szCs w:val="22"/>
          <w:lang w:val="sr-Latn-ME"/>
        </w:rPr>
        <w:t>s</w:t>
      </w:r>
      <w:r w:rsidRPr="00C144C0">
        <w:rPr>
          <w:bCs/>
          <w:sz w:val="22"/>
          <w:szCs w:val="22"/>
          <w:lang w:val="sr-Latn-ME"/>
        </w:rPr>
        <w:t>toga</w:t>
      </w:r>
      <w:r w:rsidR="008A595A" w:rsidRPr="00C144C0">
        <w:rPr>
          <w:bCs/>
          <w:sz w:val="22"/>
          <w:szCs w:val="22"/>
          <w:lang w:val="sr-Latn-ME"/>
        </w:rPr>
        <w:t xml:space="preserve"> se</w:t>
      </w:r>
      <w:r w:rsidRPr="00C144C0">
        <w:rPr>
          <w:bCs/>
          <w:sz w:val="22"/>
          <w:szCs w:val="22"/>
          <w:lang w:val="sr-Latn-ME"/>
        </w:rPr>
        <w:t xml:space="preserve"> akutna simptomatska hiponatremi</w:t>
      </w:r>
      <w:r w:rsidR="00DF2B4D" w:rsidRPr="00C144C0">
        <w:rPr>
          <w:bCs/>
          <w:sz w:val="22"/>
          <w:szCs w:val="22"/>
          <w:lang w:val="sr-Latn-ME"/>
        </w:rPr>
        <w:t>jsk</w:t>
      </w:r>
      <w:r w:rsidRPr="00C144C0">
        <w:rPr>
          <w:bCs/>
          <w:sz w:val="22"/>
          <w:szCs w:val="22"/>
          <w:lang w:val="sr-Latn-ME"/>
        </w:rPr>
        <w:t>a encefalopatija smatra hitn</w:t>
      </w:r>
      <w:r w:rsidR="00DF2B4D" w:rsidRPr="00C144C0">
        <w:rPr>
          <w:bCs/>
          <w:sz w:val="22"/>
          <w:szCs w:val="22"/>
          <w:lang w:val="sr-Latn-ME"/>
        </w:rPr>
        <w:t>i</w:t>
      </w:r>
      <w:r w:rsidRPr="00C144C0">
        <w:rPr>
          <w:bCs/>
          <w:sz w:val="22"/>
          <w:szCs w:val="22"/>
          <w:lang w:val="sr-Latn-ME"/>
        </w:rPr>
        <w:t>m medicinsk</w:t>
      </w:r>
      <w:r w:rsidR="00DF2B4D" w:rsidRPr="00C144C0">
        <w:rPr>
          <w:bCs/>
          <w:sz w:val="22"/>
          <w:szCs w:val="22"/>
          <w:lang w:val="sr-Latn-ME"/>
        </w:rPr>
        <w:t>i</w:t>
      </w:r>
      <w:r w:rsidRPr="00C144C0">
        <w:rPr>
          <w:bCs/>
          <w:sz w:val="22"/>
          <w:szCs w:val="22"/>
          <w:lang w:val="sr-Latn-ME"/>
        </w:rPr>
        <w:t xml:space="preserve">m </w:t>
      </w:r>
      <w:r w:rsidR="00DF2B4D" w:rsidRPr="00C144C0">
        <w:rPr>
          <w:bCs/>
          <w:sz w:val="22"/>
          <w:szCs w:val="22"/>
          <w:lang w:val="sr-Latn-ME"/>
        </w:rPr>
        <w:t>stanjem</w:t>
      </w:r>
      <w:r w:rsidRPr="00C144C0">
        <w:rPr>
          <w:bCs/>
          <w:sz w:val="22"/>
          <w:szCs w:val="22"/>
          <w:lang w:val="sr-Latn-ME"/>
        </w:rPr>
        <w:t>.</w:t>
      </w:r>
    </w:p>
    <w:p w14:paraId="2ABFFC16" w14:textId="693D516D" w:rsidR="00EE5051" w:rsidRPr="00C144C0" w:rsidRDefault="00EE5051" w:rsidP="00577682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Koncentracije elektrolita u plazmi treba pažljivo pratiti u pedijatrijskoj populaciji</w:t>
      </w:r>
      <w:r w:rsidR="005B165F" w:rsidRPr="00C144C0">
        <w:rPr>
          <w:bCs/>
          <w:sz w:val="22"/>
          <w:szCs w:val="22"/>
          <w:lang w:val="sr-Latn-ME"/>
        </w:rPr>
        <w:t>.</w:t>
      </w:r>
    </w:p>
    <w:p w14:paraId="28435F42" w14:textId="7CBD607F" w:rsidR="00230DE8" w:rsidRPr="00C144C0" w:rsidRDefault="00EE5051" w:rsidP="00577682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Brza korekcija hiponatremije je potencijalno opasna (rizik od ozbiljnih neuroloških komplikacija). Doziranje, </w:t>
      </w:r>
      <w:r w:rsidR="005B165F" w:rsidRPr="00C144C0">
        <w:rPr>
          <w:bCs/>
          <w:sz w:val="22"/>
          <w:szCs w:val="22"/>
          <w:lang w:val="sr-Latn-ME"/>
        </w:rPr>
        <w:t>brzin</w:t>
      </w:r>
      <w:r w:rsidR="006673B6" w:rsidRPr="00C144C0">
        <w:rPr>
          <w:bCs/>
          <w:sz w:val="22"/>
          <w:szCs w:val="22"/>
          <w:lang w:val="sr-Latn-ME"/>
        </w:rPr>
        <w:t>u</w:t>
      </w:r>
      <w:r w:rsidR="005B165F" w:rsidRPr="00C144C0">
        <w:rPr>
          <w:bCs/>
          <w:sz w:val="22"/>
          <w:szCs w:val="22"/>
          <w:lang w:val="sr-Latn-ME"/>
        </w:rPr>
        <w:t xml:space="preserve"> </w:t>
      </w:r>
      <w:r w:rsidRPr="00C144C0">
        <w:rPr>
          <w:bCs/>
          <w:sz w:val="22"/>
          <w:szCs w:val="22"/>
          <w:lang w:val="sr-Latn-ME"/>
        </w:rPr>
        <w:t>i</w:t>
      </w:r>
      <w:r w:rsidR="005B165F" w:rsidRPr="00C144C0">
        <w:rPr>
          <w:bCs/>
          <w:sz w:val="22"/>
          <w:szCs w:val="22"/>
          <w:lang w:val="sr-Latn-ME"/>
        </w:rPr>
        <w:t xml:space="preserve"> dužin</w:t>
      </w:r>
      <w:r w:rsidR="006673B6" w:rsidRPr="00C144C0">
        <w:rPr>
          <w:bCs/>
          <w:sz w:val="22"/>
          <w:szCs w:val="22"/>
          <w:lang w:val="sr-Latn-ME"/>
        </w:rPr>
        <w:t>u</w:t>
      </w:r>
      <w:r w:rsidRPr="00C144C0">
        <w:rPr>
          <w:bCs/>
          <w:sz w:val="22"/>
          <w:szCs w:val="22"/>
          <w:lang w:val="sr-Latn-ME"/>
        </w:rPr>
        <w:t xml:space="preserve"> prim</w:t>
      </w:r>
      <w:r w:rsidR="005B165F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ene treba da odredi l</w:t>
      </w:r>
      <w:r w:rsidR="006673B6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 xml:space="preserve">ekar sa iskustvom u </w:t>
      </w:r>
      <w:r w:rsidR="006673B6" w:rsidRPr="00C144C0">
        <w:rPr>
          <w:bCs/>
          <w:sz w:val="22"/>
          <w:szCs w:val="22"/>
          <w:lang w:val="sr-Latn-ME"/>
        </w:rPr>
        <w:t>primjeni terapije intravenskim tečnostima u pedijatriji</w:t>
      </w:r>
      <w:r w:rsidR="00B73B9C" w:rsidRPr="00C144C0">
        <w:rPr>
          <w:bCs/>
          <w:sz w:val="22"/>
          <w:szCs w:val="22"/>
          <w:lang w:val="sr-Latn-ME"/>
        </w:rPr>
        <w:t>.</w:t>
      </w:r>
    </w:p>
    <w:p w14:paraId="40BBB5AE" w14:textId="77777777" w:rsidR="00230DE8" w:rsidRPr="00C144C0" w:rsidRDefault="00230DE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6B9A02" w14:textId="23779250" w:rsidR="00230DE8" w:rsidRPr="00C144C0" w:rsidRDefault="00230DE8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Krv</w:t>
      </w:r>
    </w:p>
    <w:p w14:paraId="2B1BAF59" w14:textId="0CE1F0E8" w:rsidR="00230DE8" w:rsidRPr="00C144C0" w:rsidRDefault="00B9761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Rastvor za infuziju Natrii chloridi infundiible cum glucoso 5% ne treba </w:t>
      </w:r>
      <w:r w:rsidR="001768F6" w:rsidRPr="00C144C0">
        <w:rPr>
          <w:bCs/>
          <w:sz w:val="22"/>
          <w:szCs w:val="22"/>
          <w:lang w:val="sr-Latn-ME"/>
        </w:rPr>
        <w:t>se primjenjivati istovremeno sa krvlju kroz isti set za primjenu infuzije zbog moguć</w:t>
      </w:r>
      <w:r w:rsidR="00AE7CA9" w:rsidRPr="00C144C0">
        <w:rPr>
          <w:bCs/>
          <w:sz w:val="22"/>
          <w:szCs w:val="22"/>
          <w:lang w:val="sr-Latn-ME"/>
        </w:rPr>
        <w:t>nosti pseudoaglutinacije ili hemolize.</w:t>
      </w:r>
    </w:p>
    <w:p w14:paraId="3058A426" w14:textId="77777777" w:rsidR="00230DE8" w:rsidRPr="00C144C0" w:rsidRDefault="00230DE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FDE645" w14:textId="564108D2" w:rsidR="00230DE8" w:rsidRPr="00C144C0" w:rsidRDefault="00EB13CB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 xml:space="preserve">Primjena kod </w:t>
      </w:r>
      <w:r w:rsidR="00B77A48" w:rsidRPr="00C144C0">
        <w:rPr>
          <w:bCs/>
          <w:i/>
          <w:iCs/>
          <w:sz w:val="22"/>
          <w:szCs w:val="22"/>
          <w:lang w:val="sr-Latn-ME"/>
        </w:rPr>
        <w:t>gerijatrijske populacije</w:t>
      </w:r>
    </w:p>
    <w:p w14:paraId="6C4A2E26" w14:textId="36ACC546" w:rsidR="00EB13CB" w:rsidRPr="00C144C0" w:rsidRDefault="00B73B9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Prilikom odabira zapremine/</w:t>
      </w:r>
      <w:r w:rsidR="00B77A48" w:rsidRPr="00C144C0">
        <w:rPr>
          <w:bCs/>
          <w:sz w:val="22"/>
          <w:szCs w:val="22"/>
          <w:lang w:val="sr-Latn-ME"/>
        </w:rPr>
        <w:t>brzine</w:t>
      </w:r>
      <w:r w:rsidRPr="00C144C0">
        <w:rPr>
          <w:bCs/>
          <w:sz w:val="22"/>
          <w:szCs w:val="22"/>
          <w:lang w:val="sr-Latn-ME"/>
        </w:rPr>
        <w:t xml:space="preserve"> infuzije za gerijatrijskog pacijenta, uz</w:t>
      </w:r>
      <w:r w:rsidR="00876AC8" w:rsidRPr="00C144C0">
        <w:rPr>
          <w:bCs/>
          <w:sz w:val="22"/>
          <w:szCs w:val="22"/>
          <w:lang w:val="sr-Latn-ME"/>
        </w:rPr>
        <w:t>i</w:t>
      </w:r>
      <w:r w:rsidRPr="00C144C0">
        <w:rPr>
          <w:bCs/>
          <w:sz w:val="22"/>
          <w:szCs w:val="22"/>
          <w:lang w:val="sr-Latn-ME"/>
        </w:rPr>
        <w:t>m</w:t>
      </w:r>
      <w:r w:rsidR="00876AC8" w:rsidRPr="00C144C0">
        <w:rPr>
          <w:bCs/>
          <w:sz w:val="22"/>
          <w:szCs w:val="22"/>
          <w:lang w:val="sr-Latn-ME"/>
        </w:rPr>
        <w:t>a se</w:t>
      </w:r>
      <w:r w:rsidRPr="00C144C0">
        <w:rPr>
          <w:bCs/>
          <w:sz w:val="22"/>
          <w:szCs w:val="22"/>
          <w:lang w:val="sr-Latn-ME"/>
        </w:rPr>
        <w:t xml:space="preserve"> u obzir da </w:t>
      </w:r>
      <w:r w:rsidR="00876AC8" w:rsidRPr="00C144C0">
        <w:rPr>
          <w:bCs/>
          <w:sz w:val="22"/>
          <w:szCs w:val="22"/>
          <w:lang w:val="sr-Latn-ME"/>
        </w:rPr>
        <w:t>će</w:t>
      </w:r>
      <w:r w:rsidRPr="00C144C0">
        <w:rPr>
          <w:bCs/>
          <w:sz w:val="22"/>
          <w:szCs w:val="22"/>
          <w:lang w:val="sr-Latn-ME"/>
        </w:rPr>
        <w:t xml:space="preserve"> gerijatrijski pacijenti </w:t>
      </w:r>
      <w:r w:rsidR="00876AC8" w:rsidRPr="00C144C0">
        <w:rPr>
          <w:bCs/>
          <w:sz w:val="22"/>
          <w:szCs w:val="22"/>
          <w:lang w:val="sr-Latn-ME"/>
        </w:rPr>
        <w:t>vjerovatnije</w:t>
      </w:r>
      <w:r w:rsidRPr="00C144C0">
        <w:rPr>
          <w:bCs/>
          <w:sz w:val="22"/>
          <w:szCs w:val="22"/>
          <w:lang w:val="sr-Latn-ME"/>
        </w:rPr>
        <w:t xml:space="preserve"> imati </w:t>
      </w:r>
      <w:r w:rsidR="00C667FF" w:rsidRPr="00C144C0">
        <w:rPr>
          <w:bCs/>
          <w:sz w:val="22"/>
          <w:szCs w:val="22"/>
          <w:lang w:val="sr-Latn-ME"/>
        </w:rPr>
        <w:t xml:space="preserve">bolesti </w:t>
      </w:r>
      <w:r w:rsidRPr="00C144C0">
        <w:rPr>
          <w:bCs/>
          <w:sz w:val="22"/>
          <w:szCs w:val="22"/>
          <w:lang w:val="sr-Latn-ME"/>
        </w:rPr>
        <w:t>sr</w:t>
      </w:r>
      <w:r w:rsidR="00C667FF" w:rsidRPr="00C144C0">
        <w:rPr>
          <w:bCs/>
          <w:sz w:val="22"/>
          <w:szCs w:val="22"/>
          <w:lang w:val="sr-Latn-ME"/>
        </w:rPr>
        <w:t>ca</w:t>
      </w:r>
      <w:r w:rsidRPr="00C144C0">
        <w:rPr>
          <w:bCs/>
          <w:sz w:val="22"/>
          <w:szCs w:val="22"/>
          <w:lang w:val="sr-Latn-ME"/>
        </w:rPr>
        <w:t>, bubre</w:t>
      </w:r>
      <w:r w:rsidR="00C667FF" w:rsidRPr="00C144C0">
        <w:rPr>
          <w:bCs/>
          <w:sz w:val="22"/>
          <w:szCs w:val="22"/>
          <w:lang w:val="sr-Latn-ME"/>
        </w:rPr>
        <w:t>ga</w:t>
      </w:r>
      <w:r w:rsidRPr="00C144C0">
        <w:rPr>
          <w:bCs/>
          <w:sz w:val="22"/>
          <w:szCs w:val="22"/>
          <w:lang w:val="sr-Latn-ME"/>
        </w:rPr>
        <w:t xml:space="preserve">, jetre i druge bolesti ili </w:t>
      </w:r>
      <w:r w:rsidR="00C667FF" w:rsidRPr="00C144C0">
        <w:rPr>
          <w:bCs/>
          <w:sz w:val="22"/>
          <w:szCs w:val="22"/>
          <w:lang w:val="sr-Latn-ME"/>
        </w:rPr>
        <w:t>istovremenu</w:t>
      </w:r>
      <w:r w:rsidRPr="00C144C0">
        <w:rPr>
          <w:bCs/>
          <w:sz w:val="22"/>
          <w:szCs w:val="22"/>
          <w:lang w:val="sr-Latn-ME"/>
        </w:rPr>
        <w:t xml:space="preserve"> terapiju</w:t>
      </w:r>
      <w:r w:rsidR="00C667FF" w:rsidRPr="00C144C0">
        <w:rPr>
          <w:bCs/>
          <w:sz w:val="22"/>
          <w:szCs w:val="22"/>
          <w:lang w:val="sr-Latn-ME"/>
        </w:rPr>
        <w:t xml:space="preserve"> drugim</w:t>
      </w:r>
      <w:r w:rsidRPr="00C144C0">
        <w:rPr>
          <w:bCs/>
          <w:sz w:val="22"/>
          <w:szCs w:val="22"/>
          <w:lang w:val="sr-Latn-ME"/>
        </w:rPr>
        <w:t xml:space="preserve"> l</w:t>
      </w:r>
      <w:r w:rsidR="00C667FF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ekovima.</w:t>
      </w:r>
    </w:p>
    <w:p w14:paraId="7C8E7B19" w14:textId="77777777" w:rsidR="00B73B9C" w:rsidRPr="00C144C0" w:rsidRDefault="00B73B9C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D" w14:textId="77777777" w:rsidR="00411B4B" w:rsidRPr="00C144C0" w:rsidRDefault="00411B4B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>4.5.</w:t>
      </w:r>
      <w:r w:rsidR="000D60CC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B4C168E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7B1F3A" w14:textId="318C7A48" w:rsidR="003D2E80" w:rsidRPr="00C144C0" w:rsidRDefault="00E8128A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Ni</w:t>
      </w:r>
      <w:r w:rsidR="008A595A" w:rsidRPr="00C144C0">
        <w:rPr>
          <w:bCs/>
          <w:sz w:val="22"/>
          <w:szCs w:val="22"/>
          <w:lang w:val="sr-Latn-ME"/>
        </w:rPr>
        <w:t>je</w:t>
      </w:r>
      <w:r w:rsidRPr="00C144C0">
        <w:rPr>
          <w:bCs/>
          <w:sz w:val="22"/>
          <w:szCs w:val="22"/>
          <w:lang w:val="sr-Latn-ME"/>
        </w:rPr>
        <w:t>su sprovedene studije interakcija</w:t>
      </w:r>
      <w:r w:rsidR="00386BB3" w:rsidRPr="00C144C0">
        <w:rPr>
          <w:bCs/>
          <w:sz w:val="22"/>
          <w:szCs w:val="22"/>
          <w:lang w:val="sr-Latn-ME"/>
        </w:rPr>
        <w:t>.</w:t>
      </w:r>
    </w:p>
    <w:p w14:paraId="3FFD91C5" w14:textId="77777777" w:rsidR="00386BB3" w:rsidRPr="00C144C0" w:rsidRDefault="00386BB3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DE51F5" w14:textId="52E3A163" w:rsidR="002E5F3F" w:rsidRPr="00C144C0" w:rsidRDefault="00BB0F4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Prilikom primjene rastvora za infuziju Natrii chloridi infundibile cum glucoso 5% </w:t>
      </w:r>
      <w:r w:rsidR="00EE47E1" w:rsidRPr="00C144C0">
        <w:rPr>
          <w:bCs/>
          <w:sz w:val="22"/>
          <w:szCs w:val="22"/>
          <w:lang w:val="sr-Latn-ME"/>
        </w:rPr>
        <w:t xml:space="preserve">kod pacijenata koji se liječe i drugim ljekovima koji utiču na kontrolu glikemije </w:t>
      </w:r>
      <w:r w:rsidR="00D52C1A" w:rsidRPr="00C144C0">
        <w:rPr>
          <w:bCs/>
          <w:sz w:val="22"/>
          <w:szCs w:val="22"/>
          <w:lang w:val="sr-Latn-ME"/>
        </w:rPr>
        <w:t xml:space="preserve">ili tečnosti i/ili balans elektrolita </w:t>
      </w:r>
      <w:r w:rsidR="00EE47E1" w:rsidRPr="00C144C0">
        <w:rPr>
          <w:bCs/>
          <w:sz w:val="22"/>
          <w:szCs w:val="22"/>
          <w:lang w:val="sr-Latn-ME"/>
        </w:rPr>
        <w:t>treba razmotriti i g</w:t>
      </w:r>
      <w:r w:rsidR="002E5F3F" w:rsidRPr="00C144C0">
        <w:rPr>
          <w:bCs/>
          <w:sz w:val="22"/>
          <w:szCs w:val="22"/>
          <w:lang w:val="sr-Latn-ME"/>
        </w:rPr>
        <w:t>likemijsk</w:t>
      </w:r>
      <w:r w:rsidR="00EE47E1" w:rsidRPr="00C144C0">
        <w:rPr>
          <w:bCs/>
          <w:sz w:val="22"/>
          <w:szCs w:val="22"/>
          <w:lang w:val="sr-Latn-ME"/>
        </w:rPr>
        <w:t>e</w:t>
      </w:r>
      <w:r w:rsidR="002E5F3F" w:rsidRPr="00C144C0">
        <w:rPr>
          <w:bCs/>
          <w:sz w:val="22"/>
          <w:szCs w:val="22"/>
          <w:lang w:val="sr-Latn-ME"/>
        </w:rPr>
        <w:t xml:space="preserve"> i efekt</w:t>
      </w:r>
      <w:r w:rsidR="00EE47E1" w:rsidRPr="00C144C0">
        <w:rPr>
          <w:bCs/>
          <w:sz w:val="22"/>
          <w:szCs w:val="22"/>
          <w:lang w:val="sr-Latn-ME"/>
        </w:rPr>
        <w:t>e</w:t>
      </w:r>
      <w:r w:rsidR="002E5F3F" w:rsidRPr="00C144C0">
        <w:rPr>
          <w:bCs/>
          <w:sz w:val="22"/>
          <w:szCs w:val="22"/>
          <w:lang w:val="sr-Latn-ME"/>
        </w:rPr>
        <w:t xml:space="preserve"> na balans vode i ele</w:t>
      </w:r>
      <w:r w:rsidRPr="00C144C0">
        <w:rPr>
          <w:bCs/>
          <w:sz w:val="22"/>
          <w:szCs w:val="22"/>
          <w:lang w:val="sr-Latn-ME"/>
        </w:rPr>
        <w:t>k</w:t>
      </w:r>
      <w:r w:rsidR="002E5F3F" w:rsidRPr="00C144C0">
        <w:rPr>
          <w:bCs/>
          <w:sz w:val="22"/>
          <w:szCs w:val="22"/>
          <w:lang w:val="sr-Latn-ME"/>
        </w:rPr>
        <w:t>trolita</w:t>
      </w:r>
      <w:r w:rsidR="00D52C1A" w:rsidRPr="00C144C0">
        <w:rPr>
          <w:bCs/>
          <w:sz w:val="22"/>
          <w:szCs w:val="22"/>
          <w:lang w:val="sr-Latn-ME"/>
        </w:rPr>
        <w:t>.</w:t>
      </w:r>
    </w:p>
    <w:p w14:paraId="12358C1F" w14:textId="77777777" w:rsidR="002E5F3F" w:rsidRPr="00C144C0" w:rsidRDefault="002E5F3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CAB9C5" w14:textId="77777777" w:rsidR="00386BB3" w:rsidRPr="00C144C0" w:rsidRDefault="00386BB3" w:rsidP="0057768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C144C0">
        <w:rPr>
          <w:bCs/>
          <w:i/>
          <w:iCs/>
          <w:sz w:val="22"/>
          <w:szCs w:val="22"/>
          <w:lang w:val="sr-Latn-ME"/>
        </w:rPr>
        <w:t>Ljekovi koji pojačavaju efekat vazopresina</w:t>
      </w:r>
    </w:p>
    <w:p w14:paraId="5A789C50" w14:textId="41BA68AE" w:rsidR="005A76D1" w:rsidRPr="00C144C0" w:rsidRDefault="005A76D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Dolje navedeni ljekovi pojačavaju efekat vazopresina, što dovodi do smanjenog renalnog izlučivanja vode bez elektrolita i </w:t>
      </w:r>
      <w:r w:rsidR="00A5386C" w:rsidRPr="00C144C0">
        <w:rPr>
          <w:bCs/>
          <w:sz w:val="22"/>
          <w:szCs w:val="22"/>
          <w:lang w:val="sr-Latn-ME"/>
        </w:rPr>
        <w:t xml:space="preserve">može </w:t>
      </w:r>
      <w:r w:rsidRPr="00C144C0">
        <w:rPr>
          <w:bCs/>
          <w:sz w:val="22"/>
          <w:szCs w:val="22"/>
          <w:lang w:val="sr-Latn-ME"/>
        </w:rPr>
        <w:t>poveća</w:t>
      </w:r>
      <w:r w:rsidR="00A5386C" w:rsidRPr="00C144C0">
        <w:rPr>
          <w:bCs/>
          <w:sz w:val="22"/>
          <w:szCs w:val="22"/>
          <w:lang w:val="sr-Latn-ME"/>
        </w:rPr>
        <w:t>ti</w:t>
      </w:r>
      <w:r w:rsidRPr="00C144C0">
        <w:rPr>
          <w:bCs/>
          <w:sz w:val="22"/>
          <w:szCs w:val="22"/>
          <w:lang w:val="sr-Latn-ME"/>
        </w:rPr>
        <w:t xml:space="preserve"> rizik od </w:t>
      </w:r>
      <w:r w:rsidR="00A5386C" w:rsidRPr="00C144C0">
        <w:rPr>
          <w:bCs/>
          <w:sz w:val="22"/>
          <w:szCs w:val="22"/>
          <w:lang w:val="sr-Latn-ME"/>
        </w:rPr>
        <w:t>pojave intra</w:t>
      </w:r>
      <w:r w:rsidR="000707A7" w:rsidRPr="00C144C0">
        <w:rPr>
          <w:bCs/>
          <w:sz w:val="22"/>
          <w:szCs w:val="22"/>
          <w:lang w:val="sr-Latn-ME"/>
        </w:rPr>
        <w:t>-</w:t>
      </w:r>
      <w:r w:rsidR="00A5386C" w:rsidRPr="00C144C0">
        <w:rPr>
          <w:bCs/>
          <w:sz w:val="22"/>
          <w:szCs w:val="22"/>
          <w:lang w:val="sr-Latn-ME"/>
        </w:rPr>
        <w:t xml:space="preserve">hospitalne </w:t>
      </w:r>
      <w:r w:rsidRPr="00C144C0">
        <w:rPr>
          <w:bCs/>
          <w:sz w:val="22"/>
          <w:szCs w:val="22"/>
          <w:lang w:val="sr-Latn-ME"/>
        </w:rPr>
        <w:t xml:space="preserve">hiponatremije nakon neadekvatno </w:t>
      </w:r>
      <w:r w:rsidR="00A5386C" w:rsidRPr="00C144C0">
        <w:rPr>
          <w:bCs/>
          <w:sz w:val="22"/>
          <w:szCs w:val="22"/>
          <w:lang w:val="sr-Latn-ME"/>
        </w:rPr>
        <w:t>uravnoteženog</w:t>
      </w:r>
      <w:r w:rsidRPr="00C144C0">
        <w:rPr>
          <w:bCs/>
          <w:sz w:val="22"/>
          <w:szCs w:val="22"/>
          <w:lang w:val="sr-Latn-ME"/>
        </w:rPr>
        <w:t xml:space="preserve"> liječenja</w:t>
      </w:r>
      <w:r w:rsidR="00A5386C" w:rsidRPr="00C144C0">
        <w:rPr>
          <w:bCs/>
          <w:sz w:val="22"/>
          <w:szCs w:val="22"/>
          <w:lang w:val="sr-Latn-ME"/>
        </w:rPr>
        <w:t xml:space="preserve"> sa</w:t>
      </w:r>
      <w:r w:rsidRPr="00C144C0">
        <w:rPr>
          <w:bCs/>
          <w:sz w:val="22"/>
          <w:szCs w:val="22"/>
          <w:lang w:val="sr-Latn-ME"/>
        </w:rPr>
        <w:t xml:space="preserve"> i.v. tečno</w:t>
      </w:r>
      <w:r w:rsidR="00A5386C" w:rsidRPr="00C144C0">
        <w:rPr>
          <w:bCs/>
          <w:sz w:val="22"/>
          <w:szCs w:val="22"/>
          <w:lang w:val="sr-Latn-ME"/>
        </w:rPr>
        <w:t>stima</w:t>
      </w:r>
      <w:r w:rsidRPr="00C144C0">
        <w:rPr>
          <w:bCs/>
          <w:sz w:val="22"/>
          <w:szCs w:val="22"/>
          <w:lang w:val="sr-Latn-ME"/>
        </w:rPr>
        <w:t xml:space="preserve"> (</w:t>
      </w:r>
      <w:r w:rsidR="007C5738" w:rsidRPr="00C144C0">
        <w:rPr>
          <w:bCs/>
          <w:sz w:val="22"/>
          <w:szCs w:val="22"/>
          <w:lang w:val="sr-Latn-ME"/>
        </w:rPr>
        <w:t xml:space="preserve">pogledati </w:t>
      </w:r>
      <w:r w:rsidR="00ED758D" w:rsidRPr="00C144C0">
        <w:rPr>
          <w:bCs/>
          <w:sz w:val="22"/>
          <w:szCs w:val="22"/>
          <w:lang w:val="sr-Latn-ME"/>
        </w:rPr>
        <w:t>djel</w:t>
      </w:r>
      <w:r w:rsidR="007C5738" w:rsidRPr="00C144C0">
        <w:rPr>
          <w:bCs/>
          <w:sz w:val="22"/>
          <w:szCs w:val="22"/>
          <w:lang w:val="sr-Latn-ME"/>
        </w:rPr>
        <w:t>ove</w:t>
      </w:r>
      <w:r w:rsidRPr="00C144C0">
        <w:rPr>
          <w:bCs/>
          <w:sz w:val="22"/>
          <w:szCs w:val="22"/>
          <w:lang w:val="sr-Latn-ME"/>
        </w:rPr>
        <w:t xml:space="preserve"> 4.2, 4.4 i 4.8).</w:t>
      </w:r>
    </w:p>
    <w:p w14:paraId="60118B97" w14:textId="4308EDA1" w:rsidR="005A76D1" w:rsidRPr="00C144C0" w:rsidRDefault="005A76D1" w:rsidP="00577682">
      <w:pPr>
        <w:pStyle w:val="ListParagraph"/>
        <w:numPr>
          <w:ilvl w:val="0"/>
          <w:numId w:val="23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Ljekovi koji stimulišu oslobađanje vazopresina, npr</w:t>
      </w:r>
      <w:r w:rsidR="007C5738" w:rsidRPr="00C144C0">
        <w:rPr>
          <w:bCs/>
          <w:sz w:val="22"/>
          <w:szCs w:val="22"/>
          <w:lang w:val="sr-Latn-ME"/>
        </w:rPr>
        <w:t>.</w:t>
      </w:r>
      <w:r w:rsidRPr="00C144C0">
        <w:rPr>
          <w:bCs/>
          <w:sz w:val="22"/>
          <w:szCs w:val="22"/>
          <w:lang w:val="sr-Latn-ME"/>
        </w:rPr>
        <w:t xml:space="preserve"> hlorpropamid, klofibrat, karbamazepin, vinkristin, selektivni inhibitori preuzimanja serotonina, 3,4-metilendioksi-N-metamfetamin, ifosfamid, antipsihotici, narkotici</w:t>
      </w:r>
      <w:r w:rsidR="003A28F1" w:rsidRPr="00C144C0">
        <w:rPr>
          <w:bCs/>
          <w:sz w:val="22"/>
          <w:szCs w:val="22"/>
          <w:lang w:val="sr-Latn-ME"/>
        </w:rPr>
        <w:t>.</w:t>
      </w:r>
    </w:p>
    <w:p w14:paraId="1C251A97" w14:textId="78641134" w:rsidR="005A76D1" w:rsidRPr="00C144C0" w:rsidRDefault="005A76D1" w:rsidP="00577682">
      <w:pPr>
        <w:pStyle w:val="ListParagraph"/>
        <w:numPr>
          <w:ilvl w:val="0"/>
          <w:numId w:val="23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Ljekovi koji potenciraju d</w:t>
      </w:r>
      <w:r w:rsidR="003A28F1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elovanje vazopresina, npr</w:t>
      </w:r>
      <w:r w:rsidR="003A28F1" w:rsidRPr="00C144C0">
        <w:rPr>
          <w:bCs/>
          <w:sz w:val="22"/>
          <w:szCs w:val="22"/>
          <w:lang w:val="sr-Latn-ME"/>
        </w:rPr>
        <w:t>.</w:t>
      </w:r>
      <w:r w:rsidRPr="00C144C0">
        <w:rPr>
          <w:bCs/>
          <w:sz w:val="22"/>
          <w:szCs w:val="22"/>
          <w:lang w:val="sr-Latn-ME"/>
        </w:rPr>
        <w:t xml:space="preserve"> hlorpropamid, NSAIL, ciklofosfamid</w:t>
      </w:r>
      <w:r w:rsidR="003A28F1" w:rsidRPr="00C144C0">
        <w:rPr>
          <w:bCs/>
          <w:sz w:val="22"/>
          <w:szCs w:val="22"/>
          <w:lang w:val="sr-Latn-ME"/>
        </w:rPr>
        <w:t>.</w:t>
      </w:r>
    </w:p>
    <w:p w14:paraId="5679DA90" w14:textId="1A18ADEC" w:rsidR="005A76D1" w:rsidRPr="00C144C0" w:rsidRDefault="005A76D1" w:rsidP="00577682">
      <w:pPr>
        <w:pStyle w:val="ListParagraph"/>
        <w:numPr>
          <w:ilvl w:val="0"/>
          <w:numId w:val="23"/>
        </w:num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Analozi vazopresina, npr</w:t>
      </w:r>
      <w:r w:rsidR="003A28F1" w:rsidRPr="00C144C0">
        <w:rPr>
          <w:bCs/>
          <w:sz w:val="22"/>
          <w:szCs w:val="22"/>
          <w:lang w:val="sr-Latn-ME"/>
        </w:rPr>
        <w:t>.</w:t>
      </w:r>
      <w:r w:rsidRPr="00C144C0">
        <w:rPr>
          <w:bCs/>
          <w:sz w:val="22"/>
          <w:szCs w:val="22"/>
          <w:lang w:val="sr-Latn-ME"/>
        </w:rPr>
        <w:t xml:space="preserve"> desmopresin, oksitocin, vazopresin, terlipresin.</w:t>
      </w:r>
    </w:p>
    <w:p w14:paraId="1BC299A3" w14:textId="77777777" w:rsidR="005A76D1" w:rsidRPr="00C144C0" w:rsidRDefault="005A76D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8CB518" w14:textId="146A50D3" w:rsidR="005A76D1" w:rsidRPr="00C144C0" w:rsidRDefault="001E1766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Drugi </w:t>
      </w:r>
      <w:r w:rsidR="005A76D1" w:rsidRPr="00C144C0">
        <w:rPr>
          <w:bCs/>
          <w:sz w:val="22"/>
          <w:szCs w:val="22"/>
          <w:lang w:val="sr-Latn-ME"/>
        </w:rPr>
        <w:t>ljekovi koji povećavaju rizik od hiponatremije uključuju</w:t>
      </w:r>
      <w:r w:rsidRPr="00C144C0">
        <w:rPr>
          <w:bCs/>
          <w:sz w:val="22"/>
          <w:szCs w:val="22"/>
          <w:lang w:val="sr-Latn-ME"/>
        </w:rPr>
        <w:t xml:space="preserve"> i</w:t>
      </w:r>
      <w:r w:rsidR="005A76D1" w:rsidRPr="00C144C0">
        <w:rPr>
          <w:bCs/>
          <w:sz w:val="22"/>
          <w:szCs w:val="22"/>
          <w:lang w:val="sr-Latn-ME"/>
        </w:rPr>
        <w:t xml:space="preserve"> diuretike i antiepileptike kao što je okskarbazepin.</w:t>
      </w:r>
    </w:p>
    <w:p w14:paraId="180C1A03" w14:textId="77777777" w:rsidR="005A76D1" w:rsidRPr="00C144C0" w:rsidRDefault="005A76D1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92B2D6" w14:textId="77777777" w:rsidR="00CE6D7A" w:rsidRPr="00C144C0" w:rsidRDefault="00CE6D7A" w:rsidP="00577682">
      <w:p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Preporučuje se oprez kod pacijenata liječenih sa:</w:t>
      </w:r>
    </w:p>
    <w:p w14:paraId="5C1FE6F0" w14:textId="20B0A3E2" w:rsidR="004561B9" w:rsidRPr="00C144C0" w:rsidRDefault="00CE6D7A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litijumom</w:t>
      </w:r>
      <w:r w:rsidR="005A76D1" w:rsidRPr="00C144C0">
        <w:rPr>
          <w:bCs/>
          <w:sz w:val="22"/>
          <w:szCs w:val="22"/>
          <w:lang w:val="sr-Latn-ME"/>
        </w:rPr>
        <w:t>.</w:t>
      </w:r>
      <w:r w:rsidR="00286653" w:rsidRPr="00C144C0">
        <w:rPr>
          <w:bCs/>
          <w:sz w:val="22"/>
          <w:szCs w:val="22"/>
          <w:lang w:val="sr-Latn-ME"/>
        </w:rPr>
        <w:t xml:space="preserve"> Renalni klirens natrijuma i litijuma može</w:t>
      </w:r>
      <w:r w:rsidR="00BE21F4" w:rsidRPr="00C144C0">
        <w:rPr>
          <w:bCs/>
          <w:sz w:val="22"/>
          <w:szCs w:val="22"/>
          <w:lang w:val="sr-Latn-ME"/>
        </w:rPr>
        <w:t xml:space="preserve"> biti</w:t>
      </w:r>
      <w:r w:rsidR="00286653" w:rsidRPr="00C144C0">
        <w:rPr>
          <w:bCs/>
          <w:sz w:val="22"/>
          <w:szCs w:val="22"/>
          <w:lang w:val="sr-Latn-ME"/>
        </w:rPr>
        <w:t xml:space="preserve"> poveća</w:t>
      </w:r>
      <w:r w:rsidR="00BE21F4" w:rsidRPr="00C144C0">
        <w:rPr>
          <w:bCs/>
          <w:sz w:val="22"/>
          <w:szCs w:val="22"/>
          <w:lang w:val="sr-Latn-ME"/>
        </w:rPr>
        <w:t>n</w:t>
      </w:r>
      <w:r w:rsidR="004561B9" w:rsidRPr="00C144C0">
        <w:rPr>
          <w:bCs/>
          <w:sz w:val="22"/>
          <w:szCs w:val="22"/>
          <w:lang w:val="sr-Latn-ME"/>
        </w:rPr>
        <w:t xml:space="preserve"> tokom primjene i može dovesti do smanjenja koncentracije litijuma,</w:t>
      </w:r>
    </w:p>
    <w:p w14:paraId="4E693329" w14:textId="6544E9F2" w:rsidR="004561B9" w:rsidRPr="00C144C0" w:rsidRDefault="004561B9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kortikosteroidima</w:t>
      </w:r>
      <w:r w:rsidR="00452095" w:rsidRPr="00C144C0">
        <w:rPr>
          <w:bCs/>
          <w:sz w:val="22"/>
          <w:szCs w:val="22"/>
          <w:lang w:val="sr-Latn-ME"/>
        </w:rPr>
        <w:t>, koji su povezani sa retencijom natrijuma i vode (sa edemima i hipertenzijom),</w:t>
      </w:r>
    </w:p>
    <w:p w14:paraId="05A21BE9" w14:textId="7F4D0C92" w:rsidR="00452095" w:rsidRPr="00C144C0" w:rsidRDefault="00452095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diureticima, beta-2 agonistima ili insulinom, koji </w:t>
      </w:r>
      <w:r w:rsidR="002E5F3F" w:rsidRPr="00C144C0">
        <w:rPr>
          <w:bCs/>
          <w:sz w:val="22"/>
          <w:szCs w:val="22"/>
          <w:lang w:val="sr-Latn-ME"/>
        </w:rPr>
        <w:t>povećavaju rizik od hipokalemije.</w:t>
      </w:r>
    </w:p>
    <w:p w14:paraId="4A9F5EEF" w14:textId="77777777" w:rsidR="003D2E80" w:rsidRPr="00C144C0" w:rsidRDefault="003D2E80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8F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4.6.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="006D20A5" w:rsidRPr="00C144C0">
        <w:rPr>
          <w:b/>
          <w:sz w:val="22"/>
          <w:szCs w:val="22"/>
          <w:lang w:val="sr-Latn-ME"/>
        </w:rPr>
        <w:t>Plodnost, trudnoća i dojenje</w:t>
      </w:r>
    </w:p>
    <w:p w14:paraId="3B4C1690" w14:textId="77777777" w:rsidR="002031B3" w:rsidRPr="00C144C0" w:rsidRDefault="002031B3" w:rsidP="0057768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E3AD51F" w14:textId="77777777" w:rsidR="00BA664F" w:rsidRPr="00C144C0" w:rsidRDefault="00BA664F" w:rsidP="0057768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144C0">
        <w:rPr>
          <w:sz w:val="22"/>
          <w:szCs w:val="22"/>
          <w:u w:val="single"/>
          <w:lang w:val="sr-Latn-ME"/>
        </w:rPr>
        <w:t>Trudnoća</w:t>
      </w:r>
    </w:p>
    <w:p w14:paraId="720EEBF0" w14:textId="77777777" w:rsidR="00BA664F" w:rsidRPr="00C144C0" w:rsidRDefault="00BA664F" w:rsidP="00577682">
      <w:p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Intrapartalna maternalna intravenska infuzija glukoze može dovesti do fetalne hiperglikemije i metaboličke acidoze, kao i do povratne neonatalne hipoglikemije zbog fetalne proizvodnje insulina.</w:t>
      </w:r>
    </w:p>
    <w:p w14:paraId="7C7DD04A" w14:textId="77777777" w:rsidR="00BA664F" w:rsidRPr="00C144C0" w:rsidRDefault="00BA664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DBDF33" w14:textId="01B33A25" w:rsidR="00EB6A88" w:rsidRPr="00C144C0" w:rsidRDefault="00EB6A8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 za infuziju Natrii chloridi infundibile cum glucoso 5% treba primjenjivati sa posebnom pažnjom kod trudnica tokom porođaja, naročito ako se prim</w:t>
      </w:r>
      <w:r w:rsidR="00C70B81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enjuje u kombinaciji sa</w:t>
      </w:r>
      <w:r w:rsidR="00C70B81" w:rsidRPr="00C144C0">
        <w:rPr>
          <w:bCs/>
          <w:sz w:val="22"/>
          <w:szCs w:val="22"/>
          <w:lang w:val="sr-Latn-ME"/>
        </w:rPr>
        <w:t xml:space="preserve"> </w:t>
      </w:r>
      <w:r w:rsidRPr="00C144C0">
        <w:rPr>
          <w:bCs/>
          <w:sz w:val="22"/>
          <w:szCs w:val="22"/>
          <w:lang w:val="sr-Latn-ME"/>
        </w:rPr>
        <w:t xml:space="preserve">oksitocinom </w:t>
      </w:r>
      <w:r w:rsidR="00CF746F" w:rsidRPr="00C144C0">
        <w:rPr>
          <w:bCs/>
          <w:sz w:val="22"/>
          <w:szCs w:val="22"/>
          <w:lang w:val="sr-Latn-ME"/>
        </w:rPr>
        <w:t xml:space="preserve">zbog rizika od hiponatremije </w:t>
      </w:r>
      <w:r w:rsidRPr="00C144C0">
        <w:rPr>
          <w:bCs/>
          <w:sz w:val="22"/>
          <w:szCs w:val="22"/>
          <w:lang w:val="sr-Latn-ME"/>
        </w:rPr>
        <w:t>(</w:t>
      </w:r>
      <w:r w:rsidR="00C70B81" w:rsidRPr="00C144C0">
        <w:rPr>
          <w:bCs/>
          <w:sz w:val="22"/>
          <w:szCs w:val="22"/>
          <w:lang w:val="sr-Latn-ME"/>
        </w:rPr>
        <w:t xml:space="preserve">pogledati </w:t>
      </w:r>
      <w:r w:rsidR="00ED758D" w:rsidRPr="00C144C0">
        <w:rPr>
          <w:bCs/>
          <w:sz w:val="22"/>
          <w:szCs w:val="22"/>
          <w:lang w:val="sr-Latn-ME"/>
        </w:rPr>
        <w:t>djel</w:t>
      </w:r>
      <w:r w:rsidR="00C70B81" w:rsidRPr="00C144C0">
        <w:rPr>
          <w:bCs/>
          <w:sz w:val="22"/>
          <w:szCs w:val="22"/>
          <w:lang w:val="sr-Latn-ME"/>
        </w:rPr>
        <w:t>ove</w:t>
      </w:r>
      <w:r w:rsidRPr="00C144C0">
        <w:rPr>
          <w:bCs/>
          <w:sz w:val="22"/>
          <w:szCs w:val="22"/>
          <w:lang w:val="sr-Latn-ME"/>
        </w:rPr>
        <w:t xml:space="preserve"> 4.4, 4.5 i 4.8).</w:t>
      </w:r>
    </w:p>
    <w:p w14:paraId="2107CD0B" w14:textId="77777777" w:rsidR="00EB6A88" w:rsidRPr="00C144C0" w:rsidRDefault="00EB6A88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91" w14:textId="5228A63A" w:rsidR="002031B3" w:rsidRPr="00C144C0" w:rsidRDefault="002031B3" w:rsidP="0057768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144C0">
        <w:rPr>
          <w:sz w:val="22"/>
          <w:szCs w:val="22"/>
          <w:u w:val="single"/>
          <w:lang w:val="sr-Latn-ME"/>
        </w:rPr>
        <w:t>Plodnost</w:t>
      </w:r>
    </w:p>
    <w:p w14:paraId="7BA8FC25" w14:textId="53CA557D" w:rsidR="00BA664F" w:rsidRPr="00C144C0" w:rsidRDefault="00BA664F" w:rsidP="00577682">
      <w:p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Ne postoje podaci o uticaju lijeka Natrii chloridi infundibile cum glucoso 5% na plodnost.</w:t>
      </w:r>
    </w:p>
    <w:p w14:paraId="694F56CD" w14:textId="77777777" w:rsidR="001C08CE" w:rsidRPr="00C144C0" w:rsidRDefault="001C08CE" w:rsidP="00577682">
      <w:pPr>
        <w:jc w:val="both"/>
        <w:rPr>
          <w:bCs/>
          <w:sz w:val="22"/>
          <w:szCs w:val="22"/>
          <w:lang w:val="sr-Latn-ME"/>
        </w:rPr>
      </w:pPr>
    </w:p>
    <w:p w14:paraId="3B4C1695" w14:textId="77777777" w:rsidR="0072020E" w:rsidRPr="00C144C0" w:rsidRDefault="007A3ECB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sz w:val="22"/>
          <w:szCs w:val="22"/>
          <w:u w:val="single"/>
          <w:lang w:val="sr-Latn-ME"/>
        </w:rPr>
        <w:t xml:space="preserve">Dojenje </w:t>
      </w:r>
    </w:p>
    <w:p w14:paraId="3B4C1696" w14:textId="143E7129" w:rsidR="00227BDB" w:rsidRPr="00C144C0" w:rsidRDefault="00BA664F" w:rsidP="00577682">
      <w:p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Lijek Natrii chloridi infundibile cum glucoso 5% se može primjenjivati </w:t>
      </w:r>
      <w:r w:rsidR="009144EC" w:rsidRPr="00C144C0">
        <w:rPr>
          <w:bCs/>
          <w:sz w:val="22"/>
          <w:szCs w:val="22"/>
          <w:lang w:val="sr-Latn-ME"/>
        </w:rPr>
        <w:t>t</w:t>
      </w:r>
      <w:r w:rsidRPr="00C144C0">
        <w:rPr>
          <w:bCs/>
          <w:sz w:val="22"/>
          <w:szCs w:val="22"/>
          <w:lang w:val="sr-Latn-ME"/>
        </w:rPr>
        <w:t>okom dojenja.</w:t>
      </w:r>
    </w:p>
    <w:p w14:paraId="35573D48" w14:textId="77777777" w:rsidR="00BA664F" w:rsidRPr="00C144C0" w:rsidRDefault="00BA664F" w:rsidP="00577682">
      <w:pPr>
        <w:jc w:val="both"/>
        <w:rPr>
          <w:bCs/>
          <w:sz w:val="22"/>
          <w:szCs w:val="22"/>
          <w:lang w:val="sr-Latn-ME"/>
        </w:rPr>
      </w:pPr>
    </w:p>
    <w:p w14:paraId="6F7E3790" w14:textId="0D26106F" w:rsidR="00BA664F" w:rsidRPr="00C144C0" w:rsidRDefault="00BA664F" w:rsidP="00577682">
      <w:pPr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Potencijalni rizici i koristi po svakog </w:t>
      </w:r>
      <w:r w:rsidR="009A0286" w:rsidRPr="00C144C0">
        <w:rPr>
          <w:bCs/>
          <w:sz w:val="22"/>
          <w:szCs w:val="22"/>
          <w:lang w:val="sr-Latn-ME"/>
        </w:rPr>
        <w:t xml:space="preserve">pojedinačnog </w:t>
      </w:r>
      <w:r w:rsidRPr="00C144C0">
        <w:rPr>
          <w:bCs/>
          <w:sz w:val="22"/>
          <w:szCs w:val="22"/>
          <w:lang w:val="sr-Latn-ME"/>
        </w:rPr>
        <w:t xml:space="preserve">pacijenta </w:t>
      </w:r>
      <w:r w:rsidR="009A0286" w:rsidRPr="00C144C0">
        <w:rPr>
          <w:bCs/>
          <w:sz w:val="22"/>
          <w:szCs w:val="22"/>
          <w:lang w:val="sr-Latn-ME"/>
        </w:rPr>
        <w:t>se trebaju pažljivo razmotriti prije primjene</w:t>
      </w:r>
      <w:r w:rsidR="0040464A" w:rsidRPr="00C144C0">
        <w:rPr>
          <w:bCs/>
          <w:sz w:val="22"/>
          <w:szCs w:val="22"/>
          <w:lang w:val="sr-Latn-ME"/>
        </w:rPr>
        <w:t xml:space="preserve"> lijeka</w:t>
      </w:r>
      <w:r w:rsidR="009A0286" w:rsidRPr="00C144C0">
        <w:rPr>
          <w:bCs/>
          <w:sz w:val="22"/>
          <w:szCs w:val="22"/>
          <w:lang w:val="sr-Latn-ME"/>
        </w:rPr>
        <w:t>.</w:t>
      </w:r>
    </w:p>
    <w:p w14:paraId="41B1223D" w14:textId="77777777" w:rsidR="00BA664F" w:rsidRPr="00C144C0" w:rsidRDefault="00BA664F" w:rsidP="00577682">
      <w:pPr>
        <w:jc w:val="both"/>
        <w:rPr>
          <w:bCs/>
          <w:sz w:val="22"/>
          <w:szCs w:val="22"/>
          <w:lang w:val="sr-Latn-ME"/>
        </w:rPr>
      </w:pPr>
    </w:p>
    <w:p w14:paraId="3B4C1697" w14:textId="77777777" w:rsidR="0072020E" w:rsidRPr="00C144C0" w:rsidRDefault="0072020E" w:rsidP="0057768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4.7.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 xml:space="preserve">Uticaj na </w:t>
      </w:r>
      <w:r w:rsidR="002031B3" w:rsidRPr="00C144C0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144C0">
        <w:rPr>
          <w:b/>
          <w:bCs/>
          <w:sz w:val="22"/>
          <w:szCs w:val="22"/>
          <w:lang w:val="sr-Latn-ME"/>
        </w:rPr>
        <w:t>upravljanja vozili</w:t>
      </w:r>
      <w:r w:rsidRPr="00C144C0">
        <w:rPr>
          <w:b/>
          <w:bCs/>
          <w:sz w:val="22"/>
          <w:szCs w:val="22"/>
          <w:lang w:val="sr-Latn-ME"/>
        </w:rPr>
        <w:t>m</w:t>
      </w:r>
      <w:r w:rsidR="00F34554" w:rsidRPr="00C144C0">
        <w:rPr>
          <w:b/>
          <w:bCs/>
          <w:sz w:val="22"/>
          <w:szCs w:val="22"/>
          <w:lang w:val="sr-Latn-ME"/>
        </w:rPr>
        <w:t>a</w:t>
      </w:r>
      <w:r w:rsidRPr="00C144C0">
        <w:rPr>
          <w:b/>
          <w:bCs/>
          <w:sz w:val="22"/>
          <w:szCs w:val="22"/>
          <w:lang w:val="sr-Latn-ME"/>
        </w:rPr>
        <w:t xml:space="preserve"> i </w:t>
      </w:r>
      <w:r w:rsidR="000D3449" w:rsidRPr="00C144C0">
        <w:rPr>
          <w:b/>
          <w:bCs/>
          <w:sz w:val="22"/>
          <w:szCs w:val="22"/>
          <w:lang w:val="sr-Latn-ME"/>
        </w:rPr>
        <w:t xml:space="preserve">rukovanje </w:t>
      </w:r>
      <w:r w:rsidRPr="00C144C0">
        <w:rPr>
          <w:b/>
          <w:bCs/>
          <w:sz w:val="22"/>
          <w:szCs w:val="22"/>
          <w:lang w:val="sr-Latn-ME"/>
        </w:rPr>
        <w:t>mašinama</w:t>
      </w:r>
    </w:p>
    <w:p w14:paraId="3B4C1698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DC730E9" w14:textId="3A87E6B8" w:rsidR="0040464A" w:rsidRPr="00C144C0" w:rsidRDefault="0040464A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Ne postoje studije o uticaju lijeka </w:t>
      </w:r>
      <w:r w:rsidRPr="00C144C0">
        <w:rPr>
          <w:bCs/>
          <w:sz w:val="22"/>
          <w:szCs w:val="22"/>
          <w:lang w:val="sr-Latn-ME"/>
        </w:rPr>
        <w:t xml:space="preserve">Natrii chloridi infundibile cum glucoso 5% </w:t>
      </w:r>
      <w:r w:rsidRPr="00C144C0">
        <w:rPr>
          <w:sz w:val="22"/>
          <w:szCs w:val="22"/>
          <w:lang w:val="sr-Latn-ME"/>
        </w:rPr>
        <w:t>na sposobnost upravljanja vozilima ili rukovanja mašinama.</w:t>
      </w:r>
    </w:p>
    <w:p w14:paraId="132F81AB" w14:textId="77777777" w:rsidR="0040464A" w:rsidRPr="00C144C0" w:rsidRDefault="0040464A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4C1699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Neželjena dejstva</w:t>
      </w:r>
    </w:p>
    <w:p w14:paraId="3B4C169A" w14:textId="77777777" w:rsidR="004E70AD" w:rsidRPr="00C144C0" w:rsidRDefault="004E70AD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89B25EB" w14:textId="7C47AF54" w:rsidR="00B84966" w:rsidRPr="00C144C0" w:rsidRDefault="001A3BAA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S</w:t>
      </w:r>
      <w:r w:rsidR="008A595A" w:rsidRPr="00C144C0">
        <w:rPr>
          <w:sz w:val="22"/>
          <w:szCs w:val="22"/>
          <w:lang w:val="sr-Latn-ME"/>
        </w:rPr>
        <w:t>j</w:t>
      </w:r>
      <w:r w:rsidRPr="00C144C0">
        <w:rPr>
          <w:sz w:val="22"/>
          <w:szCs w:val="22"/>
          <w:lang w:val="sr-Latn-ME"/>
        </w:rPr>
        <w:t>ledeće neželjene reakcije su prijavljene iz postmarketinškog iskustva</w:t>
      </w:r>
      <w:r w:rsidR="003C4493" w:rsidRPr="00C144C0">
        <w:rPr>
          <w:sz w:val="22"/>
          <w:szCs w:val="22"/>
          <w:lang w:val="sr-Latn-ME"/>
        </w:rPr>
        <w:t xml:space="preserve">, </w:t>
      </w:r>
      <w:r w:rsidR="0072658C" w:rsidRPr="00C144C0">
        <w:rPr>
          <w:sz w:val="22"/>
          <w:szCs w:val="22"/>
          <w:lang w:val="sr-Latn-ME"/>
        </w:rPr>
        <w:t>izlistane</w:t>
      </w:r>
      <w:r w:rsidR="000351EA" w:rsidRPr="00C144C0">
        <w:rPr>
          <w:sz w:val="22"/>
          <w:szCs w:val="22"/>
          <w:lang w:val="sr-Latn-ME"/>
        </w:rPr>
        <w:t xml:space="preserve"> prema </w:t>
      </w:r>
      <w:r w:rsidR="00104D68" w:rsidRPr="00C144C0">
        <w:rPr>
          <w:sz w:val="22"/>
          <w:szCs w:val="22"/>
          <w:lang w:val="sr-Latn-ME"/>
        </w:rPr>
        <w:t xml:space="preserve">MedDRA klasifikaciji sistema organa, prema </w:t>
      </w:r>
      <w:r w:rsidR="00DC44C7" w:rsidRPr="00C144C0">
        <w:rPr>
          <w:sz w:val="22"/>
          <w:szCs w:val="22"/>
          <w:lang w:val="sr-Latn-ME"/>
        </w:rPr>
        <w:t xml:space="preserve">kriterijumu opadajuće </w:t>
      </w:r>
      <w:r w:rsidR="008A595A" w:rsidRPr="00C144C0">
        <w:rPr>
          <w:sz w:val="22"/>
          <w:szCs w:val="22"/>
          <w:lang w:val="sr-Latn-ME"/>
        </w:rPr>
        <w:t>ozbiljnosti gdje je primjenljivo</w:t>
      </w:r>
      <w:r w:rsidRPr="00C144C0">
        <w:rPr>
          <w:sz w:val="22"/>
          <w:szCs w:val="22"/>
          <w:lang w:val="sr-Latn-ME"/>
        </w:rPr>
        <w:t xml:space="preserve">. </w:t>
      </w:r>
    </w:p>
    <w:p w14:paraId="44BC4897" w14:textId="77777777" w:rsidR="00B84966" w:rsidRPr="00C144C0" w:rsidRDefault="00B84966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02CDC37" w14:textId="4C767FD0" w:rsidR="00F14128" w:rsidRPr="00C144C0" w:rsidRDefault="001A3BAA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Učestalost neželjenih reakcija na l</w:t>
      </w:r>
      <w:r w:rsidR="006A1EBC" w:rsidRPr="00C144C0">
        <w:rPr>
          <w:sz w:val="22"/>
          <w:szCs w:val="22"/>
          <w:lang w:val="sr-Latn-ME"/>
        </w:rPr>
        <w:t>ij</w:t>
      </w:r>
      <w:r w:rsidRPr="00C144C0">
        <w:rPr>
          <w:sz w:val="22"/>
          <w:szCs w:val="22"/>
          <w:lang w:val="sr-Latn-ME"/>
        </w:rPr>
        <w:t>ek ne može da se proc</w:t>
      </w:r>
      <w:r w:rsidR="006A1EBC" w:rsidRPr="00C144C0">
        <w:rPr>
          <w:sz w:val="22"/>
          <w:szCs w:val="22"/>
          <w:lang w:val="sr-Latn-ME"/>
        </w:rPr>
        <w:t>j</w:t>
      </w:r>
      <w:r w:rsidRPr="00C144C0">
        <w:rPr>
          <w:sz w:val="22"/>
          <w:szCs w:val="22"/>
          <w:lang w:val="sr-Latn-ME"/>
        </w:rPr>
        <w:t>eni iz dostupnih podataka</w:t>
      </w:r>
      <w:r w:rsidR="00B84966" w:rsidRPr="00C144C0">
        <w:rPr>
          <w:sz w:val="22"/>
          <w:szCs w:val="22"/>
          <w:lang w:val="sr-Latn-ME"/>
        </w:rPr>
        <w:t xml:space="preserve">, jer su sve neželjene reakcije </w:t>
      </w:r>
      <w:r w:rsidR="009244B3" w:rsidRPr="00C144C0">
        <w:rPr>
          <w:sz w:val="22"/>
          <w:szCs w:val="22"/>
          <w:lang w:val="sr-Latn-ME"/>
        </w:rPr>
        <w:t>prijavljene spontano</w:t>
      </w:r>
      <w:r w:rsidR="006A1EBC" w:rsidRPr="00C144C0">
        <w:rPr>
          <w:sz w:val="22"/>
          <w:szCs w:val="22"/>
          <w:lang w:val="sr-Latn-ME"/>
        </w:rPr>
        <w:t>.</w:t>
      </w:r>
    </w:p>
    <w:p w14:paraId="5920BE3E" w14:textId="77777777" w:rsidR="00F14128" w:rsidRPr="00C144C0" w:rsidRDefault="00F14128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70"/>
        <w:gridCol w:w="4557"/>
        <w:gridCol w:w="1230"/>
      </w:tblGrid>
      <w:tr w:rsidR="00690E36" w:rsidRPr="00C144C0" w14:paraId="0136DC3B" w14:textId="77777777" w:rsidTr="00690E36">
        <w:trPr>
          <w:trHeight w:val="20"/>
        </w:trPr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F2D2B" w14:textId="002EE405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i/>
                <w:iCs/>
                <w:sz w:val="22"/>
                <w:szCs w:val="22"/>
                <w:lang w:val="sr-Latn-ME"/>
              </w:rPr>
              <w:t>Klasifikacija sistema organa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94106" w14:textId="36B04665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i/>
                <w:iCs/>
                <w:sz w:val="22"/>
                <w:szCs w:val="22"/>
                <w:lang w:val="sr-Latn-ME"/>
              </w:rPr>
              <w:t>Neželjene reakcije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08122" w14:textId="21EE3E4E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i/>
                <w:iCs/>
                <w:sz w:val="22"/>
                <w:szCs w:val="22"/>
                <w:lang w:val="sr-Latn-ME"/>
              </w:rPr>
              <w:t>Učestalost</w:t>
            </w:r>
          </w:p>
        </w:tc>
      </w:tr>
      <w:tr w:rsidR="00690E36" w:rsidRPr="00C144C0" w14:paraId="2E339116" w14:textId="77777777" w:rsidTr="00690E36">
        <w:trPr>
          <w:trHeight w:val="20"/>
        </w:trPr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B85F9" w14:textId="428FC254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BCB05" w14:textId="081567BF" w:rsidR="001760C6" w:rsidRPr="00C144C0" w:rsidRDefault="00625A4C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a</w:t>
            </w:r>
            <w:r w:rsidR="001760C6" w:rsidRPr="00C144C0">
              <w:rPr>
                <w:sz w:val="22"/>
                <w:szCs w:val="22"/>
                <w:lang w:val="sr-Latn-ME"/>
              </w:rPr>
              <w:t>nafilaktička reakcija*</w:t>
            </w:r>
            <w:r w:rsidRPr="00C144C0">
              <w:rPr>
                <w:sz w:val="22"/>
                <w:szCs w:val="22"/>
                <w:lang w:val="sr-Latn-ME"/>
              </w:rPr>
              <w:t xml:space="preserve">, </w:t>
            </w:r>
            <w:r w:rsidR="00137617" w:rsidRPr="00C144C0">
              <w:rPr>
                <w:sz w:val="22"/>
                <w:szCs w:val="22"/>
                <w:lang w:val="sr-Latn-ME"/>
              </w:rPr>
              <w:t>preosjetljivost</w:t>
            </w:r>
            <w:r w:rsidR="001760C6" w:rsidRPr="00C144C0">
              <w:rPr>
                <w:sz w:val="22"/>
                <w:szCs w:val="22"/>
                <w:lang w:val="sr-Latn-ME"/>
              </w:rPr>
              <w:t>*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8495E" w14:textId="43F66916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690E36" w:rsidRPr="00C144C0" w14:paraId="7138C96B" w14:textId="77777777" w:rsidTr="00690E36">
        <w:trPr>
          <w:trHeight w:val="20"/>
        </w:trPr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1CF17" w14:textId="2C2B360F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F8EA6" w14:textId="6EF1E8B6" w:rsidR="001760C6" w:rsidRPr="00C144C0" w:rsidRDefault="00137617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hiponatremija, hiperglikemija, intra-hospitalna hiponatremija**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5064D3" w14:textId="77777777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Nepoznato </w:t>
            </w:r>
          </w:p>
        </w:tc>
      </w:tr>
      <w:tr w:rsidR="00690E36" w:rsidRPr="00C144C0" w14:paraId="673DDF53" w14:textId="77777777" w:rsidTr="00690E36">
        <w:trPr>
          <w:trHeight w:val="20"/>
        </w:trPr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3F4C0" w14:textId="3AE6327A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12C5D" w14:textId="50507D5D" w:rsidR="001760C6" w:rsidRPr="00C144C0" w:rsidRDefault="00137617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hiponatremijska encefalopatija**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FB19E" w14:textId="77777777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 </w:t>
            </w:r>
          </w:p>
        </w:tc>
      </w:tr>
      <w:tr w:rsidR="00690E36" w:rsidRPr="00C144C0" w14:paraId="3EEAB2B5" w14:textId="77777777" w:rsidTr="00690E36">
        <w:trPr>
          <w:trHeight w:val="20"/>
        </w:trPr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AEBA1" w14:textId="6B605495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A4485" w14:textId="659F1995" w:rsidR="001760C6" w:rsidRPr="00C144C0" w:rsidRDefault="00137617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flebitis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36F1E" w14:textId="77777777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Nepoznato </w:t>
            </w:r>
          </w:p>
        </w:tc>
      </w:tr>
      <w:tr w:rsidR="00344FE4" w:rsidRPr="00C144C0" w14:paraId="7A186004" w14:textId="77777777" w:rsidTr="00690E36">
        <w:trPr>
          <w:trHeight w:val="20"/>
        </w:trPr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9A2CA" w14:textId="77777777" w:rsidR="00344FE4" w:rsidRPr="00C144C0" w:rsidRDefault="00344FE4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6DACE" w14:textId="152FF699" w:rsidR="00344FE4" w:rsidRPr="00C144C0" w:rsidRDefault="00344FE4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osip, pruritus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4C5E2" w14:textId="77777777" w:rsidR="00344FE4" w:rsidRPr="00C144C0" w:rsidRDefault="00344FE4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Nepoznato </w:t>
            </w:r>
          </w:p>
        </w:tc>
      </w:tr>
      <w:tr w:rsidR="00690E36" w:rsidRPr="00C144C0" w14:paraId="0CBEFCC8" w14:textId="77777777" w:rsidTr="00690E36">
        <w:trPr>
          <w:trHeight w:val="20"/>
        </w:trPr>
        <w:tc>
          <w:tcPr>
            <w:tcW w:w="1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024313" w14:textId="64930FD7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Opšti poremećaji i reakcije na m</w:t>
            </w:r>
            <w:r w:rsidR="000B651C" w:rsidRPr="00C144C0">
              <w:rPr>
                <w:sz w:val="22"/>
                <w:szCs w:val="22"/>
                <w:lang w:val="sr-Latn-ME"/>
              </w:rPr>
              <w:t>j</w:t>
            </w:r>
            <w:r w:rsidRPr="00C144C0">
              <w:rPr>
                <w:sz w:val="22"/>
                <w:szCs w:val="22"/>
                <w:lang w:val="sr-Latn-ME"/>
              </w:rPr>
              <w:t>estu prim</w:t>
            </w:r>
            <w:r w:rsidR="000B651C" w:rsidRPr="00C144C0">
              <w:rPr>
                <w:sz w:val="22"/>
                <w:szCs w:val="22"/>
                <w:lang w:val="sr-Latn-ME"/>
              </w:rPr>
              <w:t>j</w:t>
            </w:r>
            <w:r w:rsidRPr="00C144C0">
              <w:rPr>
                <w:sz w:val="22"/>
                <w:szCs w:val="22"/>
                <w:lang w:val="sr-Latn-ME"/>
              </w:rPr>
              <w:t>en</w:t>
            </w:r>
            <w:r w:rsidR="00137617" w:rsidRPr="00C144C0">
              <w:rPr>
                <w:sz w:val="22"/>
                <w:szCs w:val="22"/>
                <w:lang w:val="sr-Latn-ME"/>
              </w:rPr>
              <w:t>e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67FAC" w14:textId="23896B35" w:rsidR="001760C6" w:rsidRPr="00C144C0" w:rsidRDefault="000B651C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reakcije</w:t>
            </w:r>
            <w:r w:rsidR="00137617" w:rsidRPr="00C144C0">
              <w:rPr>
                <w:sz w:val="22"/>
                <w:szCs w:val="22"/>
                <w:lang w:val="sr-Latn-ME"/>
              </w:rPr>
              <w:t xml:space="preserve"> na m</w:t>
            </w:r>
            <w:r w:rsidRPr="00C144C0">
              <w:rPr>
                <w:sz w:val="22"/>
                <w:szCs w:val="22"/>
                <w:lang w:val="sr-Latn-ME"/>
              </w:rPr>
              <w:t>j</w:t>
            </w:r>
            <w:r w:rsidR="00137617" w:rsidRPr="00C144C0">
              <w:rPr>
                <w:sz w:val="22"/>
                <w:szCs w:val="22"/>
                <w:lang w:val="sr-Latn-ME"/>
              </w:rPr>
              <w:t>estu prim</w:t>
            </w:r>
            <w:r w:rsidRPr="00C144C0">
              <w:rPr>
                <w:sz w:val="22"/>
                <w:szCs w:val="22"/>
                <w:lang w:val="sr-Latn-ME"/>
              </w:rPr>
              <w:t>j</w:t>
            </w:r>
            <w:r w:rsidR="00137617" w:rsidRPr="00C144C0">
              <w:rPr>
                <w:sz w:val="22"/>
                <w:szCs w:val="22"/>
                <w:lang w:val="sr-Latn-ME"/>
              </w:rPr>
              <w:t xml:space="preserve">ene infuzije, </w:t>
            </w:r>
            <w:r w:rsidRPr="00C144C0">
              <w:rPr>
                <w:sz w:val="22"/>
                <w:szCs w:val="22"/>
                <w:lang w:val="sr-Latn-ME"/>
              </w:rPr>
              <w:t xml:space="preserve">uključujući: </w:t>
            </w:r>
            <w:r w:rsidR="001E37E9" w:rsidRPr="00C144C0">
              <w:rPr>
                <w:sz w:val="22"/>
                <w:szCs w:val="22"/>
                <w:lang w:val="sr-Latn-ME"/>
              </w:rPr>
              <w:t>pireksiju, jezu, bol na mjestu primjene infuzije, vezikule na</w:t>
            </w:r>
            <w:r w:rsidR="00137617" w:rsidRPr="00C144C0">
              <w:rPr>
                <w:sz w:val="22"/>
                <w:szCs w:val="22"/>
                <w:lang w:val="sr-Latn-ME"/>
              </w:rPr>
              <w:t> </w:t>
            </w:r>
            <w:r w:rsidR="001E37E9" w:rsidRPr="00C144C0">
              <w:rPr>
                <w:sz w:val="22"/>
                <w:szCs w:val="22"/>
                <w:lang w:val="sr-Latn-ME"/>
              </w:rPr>
              <w:t>mjestu primjene infuzije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CAE7F" w14:textId="77777777" w:rsidR="001760C6" w:rsidRPr="00C144C0" w:rsidRDefault="001760C6" w:rsidP="00577682">
            <w:pPr>
              <w:tabs>
                <w:tab w:val="left" w:pos="540"/>
                <w:tab w:val="left" w:pos="569"/>
              </w:tabs>
              <w:jc w:val="both"/>
              <w:rPr>
                <w:sz w:val="22"/>
                <w:szCs w:val="22"/>
                <w:lang w:val="sr-Latn-ME"/>
              </w:rPr>
            </w:pPr>
            <w:r w:rsidRPr="00C144C0">
              <w:rPr>
                <w:sz w:val="22"/>
                <w:szCs w:val="22"/>
                <w:lang w:val="sr-Latn-ME"/>
              </w:rPr>
              <w:t>Nepoznato </w:t>
            </w:r>
          </w:p>
        </w:tc>
      </w:tr>
    </w:tbl>
    <w:p w14:paraId="0A8EC98F" w14:textId="1854E240" w:rsidR="00690E36" w:rsidRPr="00C144C0" w:rsidRDefault="008A595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* </w:t>
      </w:r>
      <w:r w:rsidR="00690E36" w:rsidRPr="00C144C0">
        <w:rPr>
          <w:sz w:val="22"/>
          <w:szCs w:val="22"/>
          <w:lang w:val="sr-Latn-ME"/>
        </w:rPr>
        <w:t>moguća manifestacija kod pacijenata sa alergijom na kukuruz, pogledati dio 4.4</w:t>
      </w:r>
    </w:p>
    <w:p w14:paraId="1015FEE7" w14:textId="3E595B16" w:rsidR="004901B0" w:rsidRPr="00C144C0" w:rsidRDefault="004901B0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*</w:t>
      </w:r>
      <w:r w:rsidR="008A595A" w:rsidRPr="00C144C0">
        <w:rPr>
          <w:sz w:val="22"/>
          <w:szCs w:val="22"/>
          <w:lang w:val="sr-Latn-ME"/>
        </w:rPr>
        <w:t xml:space="preserve">* </w:t>
      </w:r>
      <w:r w:rsidRPr="00C144C0">
        <w:rPr>
          <w:sz w:val="22"/>
          <w:szCs w:val="22"/>
          <w:lang w:val="sr-Latn-ME"/>
        </w:rPr>
        <w:t>intra-hospitalna</w:t>
      </w:r>
      <w:r w:rsidR="00A43CAD" w:rsidRPr="00C144C0">
        <w:rPr>
          <w:sz w:val="22"/>
          <w:szCs w:val="22"/>
          <w:lang w:val="sr-Latn-ME"/>
        </w:rPr>
        <w:t xml:space="preserve"> hiponatremija</w:t>
      </w:r>
      <w:r w:rsidR="00A224DA" w:rsidRPr="00C144C0">
        <w:rPr>
          <w:sz w:val="22"/>
          <w:szCs w:val="22"/>
          <w:lang w:val="sr-Latn-ME"/>
        </w:rPr>
        <w:t xml:space="preserve"> može izazvati ireverzibilno oštećenje mozga i smrt usl</w:t>
      </w:r>
      <w:r w:rsidR="000A573E" w:rsidRPr="00C144C0">
        <w:rPr>
          <w:sz w:val="22"/>
          <w:szCs w:val="22"/>
          <w:lang w:val="sr-Latn-ME"/>
        </w:rPr>
        <w:t>j</w:t>
      </w:r>
      <w:r w:rsidR="00A224DA" w:rsidRPr="00C144C0">
        <w:rPr>
          <w:sz w:val="22"/>
          <w:szCs w:val="22"/>
          <w:lang w:val="sr-Latn-ME"/>
        </w:rPr>
        <w:t>ed razvoja akutne hiponatremijske encefalopatije (</w:t>
      </w:r>
      <w:r w:rsidR="000A573E" w:rsidRPr="00C144C0">
        <w:rPr>
          <w:sz w:val="22"/>
          <w:szCs w:val="22"/>
          <w:lang w:val="sr-Latn-ME"/>
        </w:rPr>
        <w:t xml:space="preserve">pogledati </w:t>
      </w:r>
      <w:r w:rsidR="00ED758D" w:rsidRPr="00C144C0">
        <w:rPr>
          <w:sz w:val="22"/>
          <w:szCs w:val="22"/>
          <w:lang w:val="sr-Latn-ME"/>
        </w:rPr>
        <w:t>djel</w:t>
      </w:r>
      <w:r w:rsidR="000A573E" w:rsidRPr="00C144C0">
        <w:rPr>
          <w:sz w:val="22"/>
          <w:szCs w:val="22"/>
          <w:lang w:val="sr-Latn-ME"/>
        </w:rPr>
        <w:t>ove</w:t>
      </w:r>
      <w:r w:rsidR="00A224DA" w:rsidRPr="00C144C0">
        <w:rPr>
          <w:sz w:val="22"/>
          <w:szCs w:val="22"/>
          <w:lang w:val="sr-Latn-ME"/>
        </w:rPr>
        <w:t xml:space="preserve"> 4.2 i 4.4).</w:t>
      </w:r>
    </w:p>
    <w:p w14:paraId="7EFEE2F3" w14:textId="77777777" w:rsidR="00690E36" w:rsidRPr="00C144C0" w:rsidRDefault="00690E36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E92C718" w14:textId="32D4DAEB" w:rsidR="00FD19EF" w:rsidRPr="00C144C0" w:rsidRDefault="00FD19EF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Ostale neželjene reakcije koje su prijavljene prilikom primjene infuzije fiziološkog rastvora i glukoze uključuju:</w:t>
      </w:r>
    </w:p>
    <w:p w14:paraId="4E456CC7" w14:textId="1308953E" w:rsidR="00FD19EF" w:rsidRPr="00C144C0" w:rsidRDefault="00FD19EF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hiponatremiju, koja može biti simptomatska,</w:t>
      </w:r>
    </w:p>
    <w:p w14:paraId="2AE05921" w14:textId="1D547535" w:rsidR="00FD19EF" w:rsidRPr="00C144C0" w:rsidRDefault="00FD19EF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hiperhloremijsku acidozu</w:t>
      </w:r>
      <w:r w:rsidR="000B7502" w:rsidRPr="00C144C0">
        <w:rPr>
          <w:sz w:val="22"/>
          <w:szCs w:val="22"/>
          <w:lang w:val="sr-Latn-ME"/>
        </w:rPr>
        <w:t>.</w:t>
      </w:r>
    </w:p>
    <w:p w14:paraId="32EFD7B9" w14:textId="77777777" w:rsidR="000B7502" w:rsidRPr="00C144C0" w:rsidRDefault="000B7502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633E6D1" w14:textId="6B5A61B6" w:rsidR="000B7502" w:rsidRPr="00C144C0" w:rsidRDefault="000B7502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Neželjene reakcije mogu biti povezane sa ljekovima koji se dodaju u rastvor; priroda dodatog lijeka </w:t>
      </w:r>
      <w:r w:rsidR="00870DE7" w:rsidRPr="00C144C0">
        <w:rPr>
          <w:sz w:val="22"/>
          <w:szCs w:val="22"/>
          <w:lang w:val="sr-Latn-ME"/>
        </w:rPr>
        <w:t xml:space="preserve">će odrediti vjerovatnoću </w:t>
      </w:r>
      <w:r w:rsidR="001E4FEF" w:rsidRPr="00C144C0">
        <w:rPr>
          <w:sz w:val="22"/>
          <w:szCs w:val="22"/>
          <w:lang w:val="sr-Latn-ME"/>
        </w:rPr>
        <w:t>pojave bilo kojih drugih</w:t>
      </w:r>
      <w:r w:rsidR="00870DE7" w:rsidRPr="00C144C0">
        <w:rPr>
          <w:sz w:val="22"/>
          <w:szCs w:val="22"/>
          <w:lang w:val="sr-Latn-ME"/>
        </w:rPr>
        <w:t xml:space="preserve"> neželjenih reakcija.</w:t>
      </w:r>
    </w:p>
    <w:p w14:paraId="50C2CBB5" w14:textId="77777777" w:rsidR="00690E36" w:rsidRPr="00C144C0" w:rsidRDefault="00690E36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A597820" w14:textId="3072040F" w:rsidR="00137617" w:rsidRPr="00C144C0" w:rsidRDefault="005A23D2" w:rsidP="00577682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144C0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71028BD" w14:textId="77777777" w:rsidR="00690E36" w:rsidRPr="00C144C0" w:rsidRDefault="00690E36" w:rsidP="00577682">
      <w:pPr>
        <w:jc w:val="both"/>
        <w:rPr>
          <w:rFonts w:eastAsia="Calibri"/>
          <w:sz w:val="22"/>
          <w:szCs w:val="22"/>
          <w:lang w:val="sr-Latn-ME"/>
        </w:rPr>
      </w:pPr>
    </w:p>
    <w:p w14:paraId="3B4C169C" w14:textId="194F0219" w:rsidR="005A23D2" w:rsidRPr="00C144C0" w:rsidRDefault="005A23D2" w:rsidP="00577682">
      <w:pPr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C144C0">
        <w:rPr>
          <w:rFonts w:eastAsia="Calibri"/>
          <w:sz w:val="22"/>
          <w:szCs w:val="22"/>
          <w:lang w:val="sr-Latn-ME"/>
        </w:rPr>
        <w:t>inuirano praćenje odnosa korist</w:t>
      </w:r>
      <w:r w:rsidRPr="00C144C0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144C0">
        <w:rPr>
          <w:rFonts w:eastAsia="Calibri"/>
          <w:sz w:val="22"/>
          <w:szCs w:val="22"/>
          <w:lang w:val="sr-Latn-ME"/>
        </w:rPr>
        <w:t xml:space="preserve"> </w:t>
      </w:r>
      <w:r w:rsidRPr="00C144C0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C144C0">
        <w:rPr>
          <w:rFonts w:eastAsia="Calibri"/>
          <w:sz w:val="22"/>
          <w:szCs w:val="22"/>
          <w:lang w:val="sr-Latn-ME"/>
        </w:rPr>
        <w:t>Institutu</w:t>
      </w:r>
      <w:r w:rsidRPr="00C144C0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C144C0">
        <w:rPr>
          <w:rFonts w:eastAsia="Calibri"/>
          <w:sz w:val="22"/>
          <w:szCs w:val="22"/>
          <w:lang w:val="sr-Latn-ME"/>
        </w:rPr>
        <w:t xml:space="preserve"> </w:t>
      </w:r>
      <w:r w:rsidRPr="00C144C0">
        <w:rPr>
          <w:rFonts w:eastAsia="Calibri"/>
          <w:sz w:val="22"/>
          <w:szCs w:val="22"/>
          <w:lang w:val="sr-Latn-ME"/>
        </w:rPr>
        <w:t>(</w:t>
      </w:r>
      <w:r w:rsidR="004E70AD" w:rsidRPr="00C144C0">
        <w:rPr>
          <w:rFonts w:eastAsia="Calibri"/>
          <w:sz w:val="22"/>
          <w:szCs w:val="22"/>
          <w:lang w:val="sr-Latn-ME"/>
        </w:rPr>
        <w:t>CInMED</w:t>
      </w:r>
      <w:r w:rsidRPr="00C144C0">
        <w:rPr>
          <w:rFonts w:eastAsia="Calibri"/>
          <w:sz w:val="22"/>
          <w:szCs w:val="22"/>
          <w:lang w:val="sr-Latn-ME"/>
        </w:rPr>
        <w:t>):</w:t>
      </w:r>
    </w:p>
    <w:p w14:paraId="3B4C169D" w14:textId="77777777" w:rsidR="005A23D2" w:rsidRPr="00C144C0" w:rsidRDefault="004E70AD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C144C0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B4C169E" w14:textId="77777777" w:rsidR="005A23D2" w:rsidRPr="00C144C0" w:rsidRDefault="005A23D2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>Odjeljenje za farmakovigilancu</w:t>
      </w:r>
    </w:p>
    <w:p w14:paraId="3B4C169F" w14:textId="77777777" w:rsidR="00EA5765" w:rsidRPr="00C144C0" w:rsidRDefault="005A23D2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B4C16A0" w14:textId="77777777" w:rsidR="00EA5765" w:rsidRPr="00C144C0" w:rsidRDefault="00EA5765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B4C16A1" w14:textId="77777777" w:rsidR="005A23D2" w:rsidRPr="00C144C0" w:rsidRDefault="005A23D2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>tel: +382 (0) 20 310 280</w:t>
      </w:r>
    </w:p>
    <w:p w14:paraId="3B4C16A2" w14:textId="77777777" w:rsidR="00EA5765" w:rsidRPr="00C144C0" w:rsidRDefault="005A23D2" w:rsidP="0057768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>fax:</w:t>
      </w:r>
      <w:r w:rsidR="00EA5765" w:rsidRPr="00C144C0">
        <w:rPr>
          <w:rFonts w:eastAsia="Calibri"/>
          <w:sz w:val="22"/>
          <w:szCs w:val="22"/>
          <w:lang w:val="sr-Latn-ME"/>
        </w:rPr>
        <w:t xml:space="preserve"> </w:t>
      </w:r>
      <w:r w:rsidRPr="00C144C0">
        <w:rPr>
          <w:rFonts w:eastAsia="Calibri"/>
          <w:sz w:val="22"/>
          <w:szCs w:val="22"/>
          <w:lang w:val="sr-Latn-ME"/>
        </w:rPr>
        <w:t>+382 (0) 20 310 581</w:t>
      </w:r>
      <w:r w:rsidR="00FF3EDF" w:rsidRPr="00C144C0">
        <w:rPr>
          <w:rFonts w:eastAsia="Calibri"/>
          <w:sz w:val="22"/>
          <w:szCs w:val="22"/>
          <w:lang w:val="sr-Latn-ME"/>
        </w:rPr>
        <w:tab/>
      </w:r>
    </w:p>
    <w:p w14:paraId="3B4C16A3" w14:textId="77777777" w:rsidR="005A23D2" w:rsidRPr="00C144C0" w:rsidRDefault="00C47A3B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C144C0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B4C16A4" w14:textId="77777777" w:rsidR="00EA5765" w:rsidRPr="00C144C0" w:rsidRDefault="00C47A3B" w:rsidP="0057768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C144C0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B4C16A5" w14:textId="77777777" w:rsidR="005A23D2" w:rsidRPr="00C144C0" w:rsidRDefault="005A23D2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>putem IS zdravstvene zaštite</w:t>
      </w:r>
    </w:p>
    <w:p w14:paraId="3B4C16A6" w14:textId="77777777" w:rsidR="007E31E9" w:rsidRPr="00C144C0" w:rsidRDefault="007E31E9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rFonts w:eastAsia="Calibri"/>
          <w:sz w:val="22"/>
          <w:szCs w:val="22"/>
          <w:lang w:val="sr-Latn-ME"/>
        </w:rPr>
        <w:t>QR kod za online prijavu</w:t>
      </w:r>
      <w:r w:rsidR="00D74CD2" w:rsidRPr="00C144C0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C144C0">
        <w:rPr>
          <w:rFonts w:eastAsia="Calibri"/>
          <w:sz w:val="22"/>
          <w:szCs w:val="22"/>
          <w:lang w:val="sr-Latn-ME"/>
        </w:rPr>
        <w:t>:</w:t>
      </w:r>
    </w:p>
    <w:p w14:paraId="3B4C16A7" w14:textId="77777777" w:rsidR="007E31E9" w:rsidRPr="00C144C0" w:rsidRDefault="007E31E9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B4C16A8" w14:textId="4CBA434A" w:rsidR="004F17E2" w:rsidRPr="00C144C0" w:rsidRDefault="007E31E9" w:rsidP="0057768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144C0">
        <w:rPr>
          <w:noProof/>
          <w:sz w:val="22"/>
          <w:szCs w:val="22"/>
        </w:rPr>
        <w:drawing>
          <wp:inline distT="0" distB="0" distL="0" distR="0" wp14:anchorId="3B4C16DE" wp14:editId="3B4C16D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16A9" w14:textId="5EFAC225" w:rsidR="00836B35" w:rsidRDefault="00836B35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F6ECD7" w14:textId="7B1E5087" w:rsidR="00C144C0" w:rsidRDefault="00C144C0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044600" w14:textId="10306193" w:rsidR="00C144C0" w:rsidRDefault="00C144C0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1BFCC0" w14:textId="77777777" w:rsidR="00C144C0" w:rsidRPr="00C144C0" w:rsidRDefault="00C144C0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4C16AA" w14:textId="77777777" w:rsidR="00CD6F02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Predoziranje</w:t>
      </w:r>
      <w:r w:rsidR="002846DB" w:rsidRPr="00C144C0">
        <w:rPr>
          <w:b/>
          <w:bCs/>
          <w:sz w:val="22"/>
          <w:szCs w:val="22"/>
          <w:lang w:val="sr-Latn-ME"/>
        </w:rPr>
        <w:t xml:space="preserve"> </w:t>
      </w:r>
    </w:p>
    <w:p w14:paraId="3B4C16AB" w14:textId="77777777" w:rsidR="00CD6F02" w:rsidRPr="00C144C0" w:rsidRDefault="00CD6F02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4C16AC" w14:textId="0AAAFCDC" w:rsidR="00227BDB" w:rsidRPr="00C144C0" w:rsidRDefault="004C6D4B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Prim</w:t>
      </w:r>
      <w:r w:rsidR="00FA16F5" w:rsidRPr="00C144C0">
        <w:rPr>
          <w:sz w:val="22"/>
          <w:szCs w:val="22"/>
          <w:lang w:val="sr-Latn-ME"/>
        </w:rPr>
        <w:t>j</w:t>
      </w:r>
      <w:r w:rsidRPr="00C144C0">
        <w:rPr>
          <w:sz w:val="22"/>
          <w:szCs w:val="22"/>
          <w:lang w:val="sr-Latn-ME"/>
        </w:rPr>
        <w:t xml:space="preserve">ena prevelike zapremine </w:t>
      </w:r>
      <w:r w:rsidR="00832B3F" w:rsidRPr="00C144C0">
        <w:rPr>
          <w:sz w:val="22"/>
          <w:szCs w:val="22"/>
          <w:lang w:val="sr-Latn-ME"/>
        </w:rPr>
        <w:t xml:space="preserve">rastvora </w:t>
      </w:r>
      <w:r w:rsidR="00DE2CB8" w:rsidRPr="00C144C0">
        <w:rPr>
          <w:bCs/>
          <w:sz w:val="22"/>
          <w:szCs w:val="22"/>
          <w:lang w:val="sr-Latn-ME"/>
        </w:rPr>
        <w:t>Natrii chloridi infundibile cum glucoso 5%</w:t>
      </w:r>
      <w:r w:rsidR="00832B3F" w:rsidRPr="00C144C0">
        <w:rPr>
          <w:bCs/>
          <w:sz w:val="22"/>
          <w:szCs w:val="22"/>
          <w:lang w:val="sr-Latn-ME"/>
        </w:rPr>
        <w:t xml:space="preserve"> može izazvati:</w:t>
      </w:r>
    </w:p>
    <w:p w14:paraId="5A0B3F39" w14:textId="5336992B" w:rsidR="006E1F14" w:rsidRPr="00C144C0" w:rsidRDefault="000617C6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H</w:t>
      </w:r>
      <w:r w:rsidR="00EC5F05" w:rsidRPr="00C144C0">
        <w:rPr>
          <w:sz w:val="22"/>
          <w:szCs w:val="22"/>
          <w:lang w:val="sr-Latn-ME"/>
        </w:rPr>
        <w:t>iperglikemij</w:t>
      </w:r>
      <w:r w:rsidR="008A595A" w:rsidRPr="00C144C0">
        <w:rPr>
          <w:sz w:val="22"/>
          <w:szCs w:val="22"/>
          <w:lang w:val="sr-Latn-ME"/>
        </w:rPr>
        <w:t>u</w:t>
      </w:r>
      <w:r w:rsidR="00EC5F05" w:rsidRPr="00C144C0">
        <w:rPr>
          <w:sz w:val="22"/>
          <w:szCs w:val="22"/>
          <w:lang w:val="sr-Latn-ME"/>
        </w:rPr>
        <w:t>, neželjene reakcije na balans vode i elektrolita i posljedične komplikacije, Na primjer, teška hiperglikemija i teška diluciona hiponatremija</w:t>
      </w:r>
      <w:r w:rsidRPr="00C144C0">
        <w:rPr>
          <w:sz w:val="22"/>
          <w:szCs w:val="22"/>
          <w:lang w:val="sr-Latn-ME"/>
        </w:rPr>
        <w:t xml:space="preserve"> i njihove komplikacije, mogu biti fatalne.</w:t>
      </w:r>
    </w:p>
    <w:p w14:paraId="4927CCD5" w14:textId="2F8488B0" w:rsidR="000617C6" w:rsidRPr="00C144C0" w:rsidRDefault="000617C6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Hiponatremij</w:t>
      </w:r>
      <w:r w:rsidR="008A595A" w:rsidRPr="00C144C0">
        <w:rPr>
          <w:sz w:val="22"/>
          <w:szCs w:val="22"/>
          <w:lang w:val="sr-Latn-ME"/>
        </w:rPr>
        <w:t>u</w:t>
      </w:r>
      <w:r w:rsidR="00612382" w:rsidRPr="00C144C0">
        <w:rPr>
          <w:sz w:val="22"/>
          <w:szCs w:val="22"/>
          <w:lang w:val="sr-Latn-ME"/>
        </w:rPr>
        <w:t xml:space="preserve"> (koja može </w:t>
      </w:r>
      <w:r w:rsidR="002D5E77" w:rsidRPr="00C144C0">
        <w:rPr>
          <w:sz w:val="22"/>
          <w:szCs w:val="22"/>
          <w:lang w:val="sr-Latn-ME"/>
        </w:rPr>
        <w:t xml:space="preserve">dovesti do manifestacija na CNS, uključujući epileptične napade, komu, </w:t>
      </w:r>
      <w:r w:rsidR="008627F4" w:rsidRPr="00C144C0">
        <w:rPr>
          <w:sz w:val="22"/>
          <w:szCs w:val="22"/>
          <w:lang w:val="sr-Latn-ME"/>
        </w:rPr>
        <w:t xml:space="preserve">cerebralni </w:t>
      </w:r>
      <w:r w:rsidR="002D5E77" w:rsidRPr="00C144C0">
        <w:rPr>
          <w:sz w:val="22"/>
          <w:szCs w:val="22"/>
          <w:lang w:val="sr-Latn-ME"/>
        </w:rPr>
        <w:t>edem i smrt)</w:t>
      </w:r>
      <w:r w:rsidR="00540886" w:rsidRPr="00C144C0">
        <w:rPr>
          <w:sz w:val="22"/>
          <w:szCs w:val="22"/>
          <w:lang w:val="sr-Latn-ME"/>
        </w:rPr>
        <w:t>.</w:t>
      </w:r>
    </w:p>
    <w:p w14:paraId="1B535B6A" w14:textId="255A0151" w:rsidR="00540886" w:rsidRPr="00C144C0" w:rsidRDefault="00540886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Hipernatremij</w:t>
      </w:r>
      <w:r w:rsidR="008A595A" w:rsidRPr="00C144C0">
        <w:rPr>
          <w:sz w:val="22"/>
          <w:szCs w:val="22"/>
          <w:lang w:val="sr-Latn-ME"/>
        </w:rPr>
        <w:t>u</w:t>
      </w:r>
      <w:r w:rsidRPr="00C144C0">
        <w:rPr>
          <w:sz w:val="22"/>
          <w:szCs w:val="22"/>
          <w:lang w:val="sr-Latn-ME"/>
        </w:rPr>
        <w:t>, posebno kod pacijenata sa oštećenjem funkcije bubrega.</w:t>
      </w:r>
    </w:p>
    <w:p w14:paraId="222A25A1" w14:textId="677F4A10" w:rsidR="00540886" w:rsidRPr="00C144C0" w:rsidRDefault="00540886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Preopterećenje tečnošću (koje može dovesti do </w:t>
      </w:r>
      <w:r w:rsidR="00317609" w:rsidRPr="00C144C0">
        <w:rPr>
          <w:sz w:val="22"/>
          <w:szCs w:val="22"/>
          <w:lang w:val="sr-Latn-ME"/>
        </w:rPr>
        <w:t>centralnog i/ili perifernog edema</w:t>
      </w:r>
      <w:r w:rsidR="00FD6407" w:rsidRPr="00C144C0">
        <w:rPr>
          <w:sz w:val="22"/>
          <w:szCs w:val="22"/>
          <w:lang w:val="sr-Latn-ME"/>
        </w:rPr>
        <w:t>).</w:t>
      </w:r>
    </w:p>
    <w:p w14:paraId="2A7C5D37" w14:textId="768CE2FF" w:rsidR="00FD6407" w:rsidRPr="00C144C0" w:rsidRDefault="00FD6407" w:rsidP="00577682">
      <w:pPr>
        <w:pStyle w:val="ListParagraph"/>
        <w:numPr>
          <w:ilvl w:val="0"/>
          <w:numId w:val="2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Pogledati</w:t>
      </w:r>
      <w:r w:rsidR="00227C3F" w:rsidRPr="00C144C0">
        <w:rPr>
          <w:sz w:val="22"/>
          <w:szCs w:val="22"/>
          <w:lang w:val="sr-Latn-ME"/>
        </w:rPr>
        <w:t xml:space="preserve"> takođe </w:t>
      </w:r>
      <w:r w:rsidR="00ED758D" w:rsidRPr="00C144C0">
        <w:rPr>
          <w:sz w:val="22"/>
          <w:szCs w:val="22"/>
          <w:lang w:val="sr-Latn-ME"/>
        </w:rPr>
        <w:t>djel</w:t>
      </w:r>
      <w:r w:rsidR="00227C3F" w:rsidRPr="00C144C0">
        <w:rPr>
          <w:sz w:val="22"/>
          <w:szCs w:val="22"/>
          <w:lang w:val="sr-Latn-ME"/>
        </w:rPr>
        <w:t>ove 4.4 i 4.8.</w:t>
      </w:r>
    </w:p>
    <w:p w14:paraId="7D3FF0D4" w14:textId="77777777" w:rsidR="00227C3F" w:rsidRPr="00C144C0" w:rsidRDefault="00227C3F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D9CD165" w14:textId="5CB3397F" w:rsidR="00227C3F" w:rsidRPr="00C144C0" w:rsidRDefault="00227C3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Klinički značajno </w:t>
      </w:r>
      <w:r w:rsidR="00F752D9" w:rsidRPr="00C144C0">
        <w:rPr>
          <w:sz w:val="22"/>
          <w:szCs w:val="22"/>
          <w:lang w:val="sr-Latn-ME"/>
        </w:rPr>
        <w:t xml:space="preserve">predoziranje </w:t>
      </w:r>
      <w:r w:rsidR="00D504B3" w:rsidRPr="00C144C0">
        <w:rPr>
          <w:sz w:val="22"/>
          <w:szCs w:val="22"/>
          <w:lang w:val="sr-Latn-ME"/>
        </w:rPr>
        <w:t>rastvorom</w:t>
      </w:r>
      <w:r w:rsidR="00F752D9" w:rsidRPr="00C144C0">
        <w:rPr>
          <w:sz w:val="22"/>
          <w:szCs w:val="22"/>
          <w:lang w:val="sr-Latn-ME"/>
        </w:rPr>
        <w:t xml:space="preserve"> </w:t>
      </w:r>
      <w:r w:rsidR="00F752D9" w:rsidRPr="00C144C0">
        <w:rPr>
          <w:bCs/>
          <w:sz w:val="22"/>
          <w:szCs w:val="22"/>
          <w:lang w:val="sr-Latn-ME"/>
        </w:rPr>
        <w:t>Natrii chloridi infundibile cum glucoso 5%</w:t>
      </w:r>
      <w:r w:rsidR="00354BD4" w:rsidRPr="00C144C0">
        <w:rPr>
          <w:bCs/>
          <w:sz w:val="22"/>
          <w:szCs w:val="22"/>
          <w:lang w:val="sr-Latn-ME"/>
        </w:rPr>
        <w:t xml:space="preserve"> se</w:t>
      </w:r>
      <w:r w:rsidR="002E7E02" w:rsidRPr="00C144C0">
        <w:rPr>
          <w:bCs/>
          <w:sz w:val="22"/>
          <w:szCs w:val="22"/>
          <w:lang w:val="sr-Latn-ME"/>
        </w:rPr>
        <w:t xml:space="preserve"> stoga</w:t>
      </w:r>
      <w:r w:rsidR="00354BD4" w:rsidRPr="00C144C0">
        <w:rPr>
          <w:bCs/>
          <w:sz w:val="22"/>
          <w:szCs w:val="22"/>
          <w:lang w:val="sr-Latn-ME"/>
        </w:rPr>
        <w:t xml:space="preserve"> smatra hitnim medicinskim stanjem.</w:t>
      </w:r>
    </w:p>
    <w:p w14:paraId="30FBBD29" w14:textId="77777777" w:rsidR="002E7E02" w:rsidRPr="00C144C0" w:rsidRDefault="002E7E0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897944" w14:textId="520BAF83" w:rsidR="002E7E02" w:rsidRPr="00C144C0" w:rsidRDefault="00253DE0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Ljekovi koji su dodati u rastvor se moraju uzeti u obzir prilikom </w:t>
      </w:r>
      <w:r w:rsidR="005B6D60" w:rsidRPr="00C144C0">
        <w:rPr>
          <w:bCs/>
          <w:sz w:val="22"/>
          <w:szCs w:val="22"/>
          <w:lang w:val="sr-Latn-ME"/>
        </w:rPr>
        <w:t>procjene predoziranja.</w:t>
      </w:r>
    </w:p>
    <w:p w14:paraId="64B96190" w14:textId="77777777" w:rsidR="005B6D60" w:rsidRPr="00C144C0" w:rsidRDefault="005B6D60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9F76FE" w14:textId="62B1921B" w:rsidR="005B6D60" w:rsidRPr="00C144C0" w:rsidRDefault="00DE3047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Intervencije uključuju prekid prim</w:t>
      </w:r>
      <w:r w:rsidR="00E121BE" w:rsidRPr="00C144C0">
        <w:rPr>
          <w:sz w:val="22"/>
          <w:szCs w:val="22"/>
          <w:lang w:val="sr-Latn-ME"/>
        </w:rPr>
        <w:t>j</w:t>
      </w:r>
      <w:r w:rsidRPr="00C144C0">
        <w:rPr>
          <w:sz w:val="22"/>
          <w:szCs w:val="22"/>
          <w:lang w:val="sr-Latn-ME"/>
        </w:rPr>
        <w:t>ene rastvora</w:t>
      </w:r>
      <w:r w:rsidR="00E121BE" w:rsidRPr="00C144C0">
        <w:rPr>
          <w:sz w:val="22"/>
          <w:szCs w:val="22"/>
          <w:lang w:val="sr-Latn-ME"/>
        </w:rPr>
        <w:t xml:space="preserve"> </w:t>
      </w:r>
      <w:r w:rsidR="00E121BE" w:rsidRPr="00C144C0">
        <w:rPr>
          <w:bCs/>
          <w:sz w:val="22"/>
          <w:szCs w:val="22"/>
          <w:lang w:val="sr-Latn-ME"/>
        </w:rPr>
        <w:t>Natrii chloridi infundibile cum glucoso 5%</w:t>
      </w:r>
      <w:r w:rsidRPr="00C144C0">
        <w:rPr>
          <w:sz w:val="22"/>
          <w:szCs w:val="22"/>
          <w:lang w:val="sr-Latn-ME"/>
        </w:rPr>
        <w:t xml:space="preserve">, smanjenje doze, </w:t>
      </w:r>
      <w:r w:rsidR="00E121BE" w:rsidRPr="00C144C0">
        <w:rPr>
          <w:sz w:val="22"/>
          <w:szCs w:val="22"/>
          <w:lang w:val="sr-Latn-ME"/>
        </w:rPr>
        <w:t>primjena</w:t>
      </w:r>
      <w:r w:rsidRPr="00C144C0">
        <w:rPr>
          <w:sz w:val="22"/>
          <w:szCs w:val="22"/>
          <w:lang w:val="sr-Latn-ME"/>
        </w:rPr>
        <w:t xml:space="preserve"> insulina i druge m</w:t>
      </w:r>
      <w:r w:rsidR="00E121BE" w:rsidRPr="00C144C0">
        <w:rPr>
          <w:sz w:val="22"/>
          <w:szCs w:val="22"/>
          <w:lang w:val="sr-Latn-ME"/>
        </w:rPr>
        <w:t>j</w:t>
      </w:r>
      <w:r w:rsidRPr="00C144C0">
        <w:rPr>
          <w:sz w:val="22"/>
          <w:szCs w:val="22"/>
          <w:lang w:val="sr-Latn-ME"/>
        </w:rPr>
        <w:t xml:space="preserve">ere koje su </w:t>
      </w:r>
      <w:r w:rsidR="00E121BE" w:rsidRPr="00C144C0">
        <w:rPr>
          <w:sz w:val="22"/>
          <w:szCs w:val="22"/>
          <w:lang w:val="sr-Latn-ME"/>
        </w:rPr>
        <w:t>indikovane</w:t>
      </w:r>
      <w:r w:rsidRPr="00C144C0">
        <w:rPr>
          <w:sz w:val="22"/>
          <w:szCs w:val="22"/>
          <w:lang w:val="sr-Latn-ME"/>
        </w:rPr>
        <w:t xml:space="preserve"> za specifičn</w:t>
      </w:r>
      <w:r w:rsidR="00197C1D" w:rsidRPr="00C144C0">
        <w:rPr>
          <w:sz w:val="22"/>
          <w:szCs w:val="22"/>
          <w:lang w:val="sr-Latn-ME"/>
        </w:rPr>
        <w:t>a</w:t>
      </w:r>
      <w:r w:rsidRPr="00C144C0">
        <w:rPr>
          <w:sz w:val="22"/>
          <w:szCs w:val="22"/>
          <w:lang w:val="sr-Latn-ME"/>
        </w:rPr>
        <w:t xml:space="preserve"> kliničk</w:t>
      </w:r>
      <w:r w:rsidR="00197C1D" w:rsidRPr="00C144C0">
        <w:rPr>
          <w:sz w:val="22"/>
          <w:szCs w:val="22"/>
          <w:lang w:val="sr-Latn-ME"/>
        </w:rPr>
        <w:t xml:space="preserve">a </w:t>
      </w:r>
      <w:r w:rsidR="00E121BE" w:rsidRPr="00C144C0">
        <w:rPr>
          <w:sz w:val="22"/>
          <w:szCs w:val="22"/>
          <w:lang w:val="sr-Latn-ME"/>
        </w:rPr>
        <w:t>stanj</w:t>
      </w:r>
      <w:r w:rsidR="00197C1D" w:rsidRPr="00C144C0">
        <w:rPr>
          <w:sz w:val="22"/>
          <w:szCs w:val="22"/>
          <w:lang w:val="sr-Latn-ME"/>
        </w:rPr>
        <w:t>a.</w:t>
      </w:r>
    </w:p>
    <w:p w14:paraId="032EFB5A" w14:textId="77777777" w:rsidR="0002010B" w:rsidRPr="00C144C0" w:rsidRDefault="0002010B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8B41612" w14:textId="77777777" w:rsidR="0002010B" w:rsidRPr="00C144C0" w:rsidRDefault="0002010B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4C16AD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5.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FARMAKOLOŠK</w:t>
      </w:r>
      <w:r w:rsidR="000D425A" w:rsidRPr="00C144C0">
        <w:rPr>
          <w:b/>
          <w:bCs/>
          <w:sz w:val="22"/>
          <w:szCs w:val="22"/>
          <w:lang w:val="sr-Latn-ME"/>
        </w:rPr>
        <w:t>I</w:t>
      </w:r>
      <w:r w:rsidRPr="00C144C0">
        <w:rPr>
          <w:b/>
          <w:bCs/>
          <w:sz w:val="22"/>
          <w:szCs w:val="22"/>
          <w:lang w:val="sr-Latn-ME"/>
        </w:rPr>
        <w:t xml:space="preserve"> PODACI</w:t>
      </w:r>
    </w:p>
    <w:p w14:paraId="3B4C16AE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4C16AF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5.1.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Farmakodinamski podaci</w:t>
      </w:r>
      <w:r w:rsidR="003A7059" w:rsidRPr="00C144C0">
        <w:rPr>
          <w:b/>
          <w:bCs/>
          <w:sz w:val="22"/>
          <w:szCs w:val="22"/>
          <w:lang w:val="sr-Latn-ME"/>
        </w:rPr>
        <w:t xml:space="preserve"> </w:t>
      </w:r>
    </w:p>
    <w:p w14:paraId="3B4C16B0" w14:textId="77777777" w:rsidR="00F45F77" w:rsidRPr="00C144C0" w:rsidRDefault="00F45F77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4C16B2" w14:textId="3672E94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/>
          <w:sz w:val="22"/>
          <w:szCs w:val="22"/>
          <w:lang w:val="sr-Latn-ME"/>
        </w:rPr>
        <w:t>Farmakoterapijska grupa</w:t>
      </w:r>
      <w:r w:rsidRPr="00C144C0">
        <w:rPr>
          <w:bCs/>
          <w:sz w:val="22"/>
          <w:szCs w:val="22"/>
          <w:lang w:val="sr-Latn-ME"/>
        </w:rPr>
        <w:t>:</w:t>
      </w:r>
      <w:r w:rsidR="00F36D76" w:rsidRPr="00C144C0">
        <w:rPr>
          <w:bCs/>
          <w:sz w:val="22"/>
          <w:szCs w:val="22"/>
          <w:lang w:val="sr-Latn-ME"/>
        </w:rPr>
        <w:t xml:space="preserve"> elektroliti sa ugljenim hidratima</w:t>
      </w:r>
    </w:p>
    <w:p w14:paraId="3B4C16B3" w14:textId="6AE67FA6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/>
          <w:sz w:val="22"/>
          <w:szCs w:val="22"/>
          <w:lang w:val="sr-Latn-ME"/>
        </w:rPr>
        <w:t>ATC kod</w:t>
      </w:r>
      <w:r w:rsidRPr="00C144C0">
        <w:rPr>
          <w:bCs/>
          <w:sz w:val="22"/>
          <w:szCs w:val="22"/>
          <w:lang w:val="sr-Latn-ME"/>
        </w:rPr>
        <w:t>:</w:t>
      </w:r>
      <w:r w:rsidR="00F36D76" w:rsidRPr="00C144C0">
        <w:rPr>
          <w:bCs/>
          <w:sz w:val="22"/>
          <w:szCs w:val="22"/>
          <w:lang w:val="sr-Latn-ME"/>
        </w:rPr>
        <w:t xml:space="preserve"> B05BB02</w:t>
      </w:r>
    </w:p>
    <w:p w14:paraId="3B4C16B4" w14:textId="77777777" w:rsidR="002E37A5" w:rsidRPr="00C144C0" w:rsidRDefault="002E37A5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5065E5" w14:textId="513EEEE6" w:rsidR="00290D6F" w:rsidRPr="00C144C0" w:rsidRDefault="002A0BA6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Natrii chlorid</w:t>
      </w:r>
      <w:r w:rsidR="00895927" w:rsidRPr="00C144C0">
        <w:rPr>
          <w:sz w:val="22"/>
          <w:szCs w:val="22"/>
          <w:lang w:val="sr-Latn-ME"/>
        </w:rPr>
        <w:t>i</w:t>
      </w:r>
      <w:r w:rsidRPr="00C144C0">
        <w:rPr>
          <w:sz w:val="22"/>
          <w:szCs w:val="22"/>
          <w:lang w:val="sr-Latn-ME"/>
        </w:rPr>
        <w:t xml:space="preserve"> infundibile cum glucose 5%, rastvor za infuziju, je izotoničan i hiperosmolaran</w:t>
      </w:r>
      <w:r w:rsidR="00F82609" w:rsidRPr="00C144C0">
        <w:rPr>
          <w:sz w:val="22"/>
          <w:szCs w:val="22"/>
          <w:lang w:val="sr-Latn-ME"/>
        </w:rPr>
        <w:t xml:space="preserve"> rastvor natrijum</w:t>
      </w:r>
      <w:r w:rsidR="00165086" w:rsidRPr="00C144C0">
        <w:rPr>
          <w:sz w:val="22"/>
          <w:szCs w:val="22"/>
          <w:lang w:val="sr-Latn-ME"/>
        </w:rPr>
        <w:t>-</w:t>
      </w:r>
      <w:r w:rsidR="00F82609" w:rsidRPr="00C144C0">
        <w:rPr>
          <w:sz w:val="22"/>
          <w:szCs w:val="22"/>
          <w:lang w:val="sr-Latn-ME"/>
        </w:rPr>
        <w:t>hlorida i glukoze.</w:t>
      </w:r>
    </w:p>
    <w:p w14:paraId="2CF0D00D" w14:textId="77777777" w:rsidR="00F82609" w:rsidRPr="00C144C0" w:rsidRDefault="00F82609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498F00B" w14:textId="5D2F46D7" w:rsidR="00F82609" w:rsidRPr="00C144C0" w:rsidRDefault="00F82609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Farmakodinamsk</w:t>
      </w:r>
      <w:r w:rsidR="00717366" w:rsidRPr="00C144C0">
        <w:rPr>
          <w:sz w:val="22"/>
          <w:szCs w:val="22"/>
          <w:lang w:val="sr-Latn-ME"/>
        </w:rPr>
        <w:t>e</w:t>
      </w:r>
      <w:r w:rsidRPr="00C144C0">
        <w:rPr>
          <w:sz w:val="22"/>
          <w:szCs w:val="22"/>
          <w:lang w:val="sr-Latn-ME"/>
        </w:rPr>
        <w:t xml:space="preserve"> </w:t>
      </w:r>
      <w:r w:rsidR="00717366" w:rsidRPr="00C144C0">
        <w:rPr>
          <w:sz w:val="22"/>
          <w:szCs w:val="22"/>
          <w:lang w:val="sr-Latn-ME"/>
        </w:rPr>
        <w:t>osobine</w:t>
      </w:r>
      <w:r w:rsidR="001F1050" w:rsidRPr="00C144C0">
        <w:rPr>
          <w:sz w:val="22"/>
          <w:szCs w:val="22"/>
          <w:lang w:val="sr-Latn-ME"/>
        </w:rPr>
        <w:t xml:space="preserve"> rastvora su </w:t>
      </w:r>
      <w:r w:rsidR="00D1409C" w:rsidRPr="00C144C0">
        <w:rPr>
          <w:sz w:val="22"/>
          <w:szCs w:val="22"/>
          <w:lang w:val="sr-Latn-ME"/>
        </w:rPr>
        <w:t>osobine</w:t>
      </w:r>
      <w:r w:rsidR="001F1050" w:rsidRPr="00C144C0">
        <w:rPr>
          <w:sz w:val="22"/>
          <w:szCs w:val="22"/>
          <w:lang w:val="sr-Latn-ME"/>
        </w:rPr>
        <w:t xml:space="preserve"> pojedinačnih komponenti (</w:t>
      </w:r>
      <w:r w:rsidR="00D1409C" w:rsidRPr="00C144C0">
        <w:rPr>
          <w:sz w:val="22"/>
          <w:szCs w:val="22"/>
          <w:lang w:val="sr-Latn-ME"/>
        </w:rPr>
        <w:t>glukoze, natrijuma i hlorida).</w:t>
      </w:r>
    </w:p>
    <w:p w14:paraId="7926B2F3" w14:textId="77777777" w:rsidR="00D1409C" w:rsidRPr="00C144C0" w:rsidRDefault="00D1409C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0DD647" w14:textId="0D47AD4F" w:rsidR="00D1409C" w:rsidRPr="00C144C0" w:rsidRDefault="00D1409C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Joni, kao što je natrijum, </w:t>
      </w:r>
      <w:r w:rsidR="00E9692D" w:rsidRPr="00C144C0">
        <w:rPr>
          <w:sz w:val="22"/>
          <w:szCs w:val="22"/>
          <w:lang w:val="sr-Latn-ME"/>
        </w:rPr>
        <w:t>cirkulišu kroz ćelijsku membranu korišćenjem različitih mehanizama transporta, među kojima je i natrijumska pumpa (Na</w:t>
      </w:r>
      <w:r w:rsidR="00E9692D" w:rsidRPr="00C144C0">
        <w:rPr>
          <w:sz w:val="22"/>
          <w:szCs w:val="22"/>
          <w:vertAlign w:val="superscript"/>
          <w:lang w:val="sr-Latn-ME"/>
        </w:rPr>
        <w:t>+</w:t>
      </w:r>
      <w:r w:rsidR="00852196" w:rsidRPr="00C144C0">
        <w:rPr>
          <w:sz w:val="22"/>
          <w:szCs w:val="22"/>
          <w:lang w:val="sr-Latn-ME"/>
        </w:rPr>
        <w:t>/K</w:t>
      </w:r>
      <w:r w:rsidR="00852196" w:rsidRPr="00C144C0">
        <w:rPr>
          <w:sz w:val="22"/>
          <w:szCs w:val="22"/>
          <w:vertAlign w:val="superscript"/>
          <w:lang w:val="sr-Latn-ME"/>
        </w:rPr>
        <w:t>+</w:t>
      </w:r>
      <w:r w:rsidR="00852196" w:rsidRPr="00C144C0">
        <w:rPr>
          <w:sz w:val="22"/>
          <w:szCs w:val="22"/>
          <w:lang w:val="sr-Latn-ME"/>
        </w:rPr>
        <w:t xml:space="preserve">-ATPaza). Natrijum igra </w:t>
      </w:r>
      <w:r w:rsidR="00CA3719" w:rsidRPr="00C144C0">
        <w:rPr>
          <w:sz w:val="22"/>
          <w:szCs w:val="22"/>
          <w:lang w:val="sr-Latn-ME"/>
        </w:rPr>
        <w:t>važnu ulogu u neurotransmisiji i elektrofiziologiji srca, kao i u metabolizmu bubrega.</w:t>
      </w:r>
    </w:p>
    <w:p w14:paraId="15A6923B" w14:textId="77777777" w:rsidR="00763CA4" w:rsidRPr="00C144C0" w:rsidRDefault="00763CA4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C0600D6" w14:textId="690788CA" w:rsidR="00763CA4" w:rsidRPr="00C144C0" w:rsidRDefault="00763CA4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Hloridni jon je uglavnom ekstracelularni anjon. Intracelularni hlorid se nalazi u v</w:t>
      </w:r>
      <w:r w:rsidR="00730E92" w:rsidRPr="00C144C0">
        <w:rPr>
          <w:sz w:val="22"/>
          <w:szCs w:val="22"/>
          <w:lang w:val="sr-Latn-ME"/>
        </w:rPr>
        <w:t>elikoj koncentraciji u crvenim krvnim ćelijama i gastričnoj mukozi</w:t>
      </w:r>
      <w:r w:rsidR="00D420E5" w:rsidRPr="00C144C0">
        <w:rPr>
          <w:sz w:val="22"/>
          <w:szCs w:val="22"/>
          <w:lang w:val="sr-Latn-ME"/>
        </w:rPr>
        <w:t xml:space="preserve">. Reapsorpcija hlorida je praćena </w:t>
      </w:r>
      <w:r w:rsidR="00ED758D" w:rsidRPr="00C144C0">
        <w:rPr>
          <w:sz w:val="22"/>
          <w:szCs w:val="22"/>
          <w:lang w:val="sr-Latn-ME"/>
        </w:rPr>
        <w:t>reapsorpcijom natrijuma.</w:t>
      </w:r>
    </w:p>
    <w:p w14:paraId="620120F8" w14:textId="77777777" w:rsidR="00ED758D" w:rsidRPr="00C144C0" w:rsidRDefault="00ED758D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8A70BCA" w14:textId="05FB8BF5" w:rsidR="00ED758D" w:rsidRPr="00C144C0" w:rsidRDefault="00ED758D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Glukoza je glavni izvor energije u ćelijskom metabolizmu. Glukoza iz ovog rastvora obezbjeđuje kalorijski unos od 200 kcal/l.</w:t>
      </w:r>
    </w:p>
    <w:p w14:paraId="12B2FAB1" w14:textId="77777777" w:rsidR="00290D6F" w:rsidRPr="00C144C0" w:rsidRDefault="00290D6F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4C16B5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5.2.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Farmakokinetički podaci</w:t>
      </w:r>
      <w:r w:rsidR="003A7059" w:rsidRPr="00C144C0">
        <w:rPr>
          <w:b/>
          <w:bCs/>
          <w:sz w:val="22"/>
          <w:szCs w:val="22"/>
          <w:lang w:val="sr-Latn-ME"/>
        </w:rPr>
        <w:t xml:space="preserve"> </w:t>
      </w:r>
    </w:p>
    <w:p w14:paraId="3B4C16B6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485247" w14:textId="48274347" w:rsidR="00912EA6" w:rsidRPr="00C144C0" w:rsidRDefault="00912EA6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Farmakokinetske osobine</w:t>
      </w:r>
      <w:r w:rsidRPr="00C144C0">
        <w:rPr>
          <w:sz w:val="22"/>
          <w:szCs w:val="22"/>
          <w:lang w:val="sr-Latn-ME"/>
        </w:rPr>
        <w:t xml:space="preserve"> rastvora su osobine pojedinačnih komponenti (glukoze, natrijuma i hlorida).</w:t>
      </w:r>
    </w:p>
    <w:p w14:paraId="71172277" w14:textId="51895531" w:rsidR="00912EA6" w:rsidRPr="00C144C0" w:rsidRDefault="00912EA6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266F2C9" w14:textId="24A722C4" w:rsidR="00912EA6" w:rsidRPr="00C144C0" w:rsidRDefault="000D4A5C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>Nakon ubrizgavanja radio-obilježenog natrijuma (</w:t>
      </w:r>
      <w:r w:rsidRPr="00C144C0">
        <w:rPr>
          <w:sz w:val="22"/>
          <w:szCs w:val="22"/>
          <w:vertAlign w:val="superscript"/>
          <w:lang w:val="sr-Latn-ME"/>
        </w:rPr>
        <w:t>24</w:t>
      </w:r>
      <w:r w:rsidRPr="00C144C0">
        <w:rPr>
          <w:sz w:val="22"/>
          <w:szCs w:val="22"/>
          <w:lang w:val="sr-Latn-ME"/>
        </w:rPr>
        <w:t>Na)</w:t>
      </w:r>
      <w:r w:rsidR="00433815" w:rsidRPr="00C144C0">
        <w:rPr>
          <w:sz w:val="22"/>
          <w:szCs w:val="22"/>
          <w:lang w:val="sr-Latn-ME"/>
        </w:rPr>
        <w:t xml:space="preserve"> </w:t>
      </w:r>
      <w:r w:rsidR="00B358EF" w:rsidRPr="00C144C0">
        <w:rPr>
          <w:sz w:val="22"/>
          <w:szCs w:val="22"/>
          <w:lang w:val="sr-Latn-ME"/>
        </w:rPr>
        <w:t xml:space="preserve">poluvrijeme eliminacije </w:t>
      </w:r>
      <w:r w:rsidR="00380852" w:rsidRPr="00C144C0">
        <w:rPr>
          <w:sz w:val="22"/>
          <w:szCs w:val="22"/>
          <w:lang w:val="sr-Latn-ME"/>
        </w:rPr>
        <w:t>za 99%</w:t>
      </w:r>
      <w:r w:rsidR="00871217" w:rsidRPr="00C144C0">
        <w:rPr>
          <w:sz w:val="22"/>
          <w:szCs w:val="22"/>
          <w:lang w:val="sr-Latn-ME"/>
        </w:rPr>
        <w:t xml:space="preserve"> ubrizganog natrijuma</w:t>
      </w:r>
      <w:r w:rsidR="00380852" w:rsidRPr="00C144C0">
        <w:rPr>
          <w:sz w:val="22"/>
          <w:szCs w:val="22"/>
          <w:lang w:val="sr-Latn-ME"/>
        </w:rPr>
        <w:t xml:space="preserve"> je 11 do 13 dana</w:t>
      </w:r>
      <w:r w:rsidR="004C44B0" w:rsidRPr="00C144C0">
        <w:rPr>
          <w:sz w:val="22"/>
          <w:szCs w:val="22"/>
          <w:lang w:val="sr-Latn-ME"/>
        </w:rPr>
        <w:t>,</w:t>
      </w:r>
      <w:r w:rsidR="00380852" w:rsidRPr="00C144C0">
        <w:rPr>
          <w:sz w:val="22"/>
          <w:szCs w:val="22"/>
          <w:lang w:val="sr-Latn-ME"/>
        </w:rPr>
        <w:t xml:space="preserve"> </w:t>
      </w:r>
      <w:r w:rsidR="00871217" w:rsidRPr="00C144C0">
        <w:rPr>
          <w:sz w:val="22"/>
          <w:szCs w:val="22"/>
          <w:lang w:val="sr-Latn-ME"/>
        </w:rPr>
        <w:t xml:space="preserve">i </w:t>
      </w:r>
      <w:r w:rsidR="00742B5D" w:rsidRPr="00C144C0">
        <w:rPr>
          <w:sz w:val="22"/>
          <w:szCs w:val="22"/>
          <w:lang w:val="sr-Latn-ME"/>
        </w:rPr>
        <w:t xml:space="preserve">za </w:t>
      </w:r>
      <w:r w:rsidR="00871217" w:rsidRPr="00C144C0">
        <w:rPr>
          <w:sz w:val="22"/>
          <w:szCs w:val="22"/>
          <w:lang w:val="sr-Latn-ME"/>
        </w:rPr>
        <w:t>preostalih 1% godinu dana.</w:t>
      </w:r>
      <w:r w:rsidR="004C44B0" w:rsidRPr="00C144C0">
        <w:rPr>
          <w:sz w:val="22"/>
          <w:szCs w:val="22"/>
          <w:lang w:val="sr-Latn-ME"/>
        </w:rPr>
        <w:t xml:space="preserve"> </w:t>
      </w:r>
      <w:r w:rsidR="0023479D" w:rsidRPr="00C144C0">
        <w:rPr>
          <w:sz w:val="22"/>
          <w:szCs w:val="22"/>
          <w:lang w:val="sr-Latn-ME"/>
        </w:rPr>
        <w:t xml:space="preserve">Distribucija varira u zavisnosti od tkiva: brza je u mišićima, jetri, bubrezima, hrskavici i koži; </w:t>
      </w:r>
      <w:r w:rsidR="0079046B" w:rsidRPr="00C144C0">
        <w:rPr>
          <w:sz w:val="22"/>
          <w:szCs w:val="22"/>
          <w:lang w:val="sr-Latn-ME"/>
        </w:rPr>
        <w:t>a</w:t>
      </w:r>
      <w:r w:rsidR="0023479D" w:rsidRPr="00C144C0">
        <w:rPr>
          <w:sz w:val="22"/>
          <w:szCs w:val="22"/>
          <w:lang w:val="sr-Latn-ME"/>
        </w:rPr>
        <w:t xml:space="preserve"> spor</w:t>
      </w:r>
      <w:r w:rsidR="0079046B" w:rsidRPr="00C144C0">
        <w:rPr>
          <w:sz w:val="22"/>
          <w:szCs w:val="22"/>
          <w:lang w:val="sr-Latn-ME"/>
        </w:rPr>
        <w:t>a je</w:t>
      </w:r>
      <w:r w:rsidR="0023479D" w:rsidRPr="00C144C0">
        <w:rPr>
          <w:sz w:val="22"/>
          <w:szCs w:val="22"/>
          <w:lang w:val="sr-Latn-ME"/>
        </w:rPr>
        <w:t xml:space="preserve"> </w:t>
      </w:r>
      <w:r w:rsidR="0079046B" w:rsidRPr="00C144C0">
        <w:rPr>
          <w:sz w:val="22"/>
          <w:szCs w:val="22"/>
          <w:lang w:val="sr-Latn-ME"/>
        </w:rPr>
        <w:t xml:space="preserve">u </w:t>
      </w:r>
      <w:r w:rsidR="0023479D" w:rsidRPr="00C144C0">
        <w:rPr>
          <w:sz w:val="22"/>
          <w:szCs w:val="22"/>
          <w:lang w:val="sr-Latn-ME"/>
        </w:rPr>
        <w:t>er</w:t>
      </w:r>
      <w:r w:rsidR="0079046B" w:rsidRPr="00C144C0">
        <w:rPr>
          <w:sz w:val="22"/>
          <w:szCs w:val="22"/>
          <w:lang w:val="sr-Latn-ME"/>
        </w:rPr>
        <w:t>i</w:t>
      </w:r>
      <w:r w:rsidR="0023479D" w:rsidRPr="00C144C0">
        <w:rPr>
          <w:sz w:val="22"/>
          <w:szCs w:val="22"/>
          <w:lang w:val="sr-Latn-ME"/>
        </w:rPr>
        <w:t>trocit</w:t>
      </w:r>
      <w:r w:rsidR="0079046B" w:rsidRPr="00C144C0">
        <w:rPr>
          <w:sz w:val="22"/>
          <w:szCs w:val="22"/>
          <w:lang w:val="sr-Latn-ME"/>
        </w:rPr>
        <w:t>im</w:t>
      </w:r>
      <w:r w:rsidR="0023479D" w:rsidRPr="00C144C0">
        <w:rPr>
          <w:sz w:val="22"/>
          <w:szCs w:val="22"/>
          <w:lang w:val="sr-Latn-ME"/>
        </w:rPr>
        <w:t>a i neuron</w:t>
      </w:r>
      <w:r w:rsidR="0079046B" w:rsidRPr="00C144C0">
        <w:rPr>
          <w:sz w:val="22"/>
          <w:szCs w:val="22"/>
          <w:lang w:val="sr-Latn-ME"/>
        </w:rPr>
        <w:t>im</w:t>
      </w:r>
      <w:r w:rsidR="0023479D" w:rsidRPr="00C144C0">
        <w:rPr>
          <w:sz w:val="22"/>
          <w:szCs w:val="22"/>
          <w:lang w:val="sr-Latn-ME"/>
        </w:rPr>
        <w:t xml:space="preserve">a; </w:t>
      </w:r>
      <w:r w:rsidR="0079046B" w:rsidRPr="00C144C0">
        <w:rPr>
          <w:sz w:val="22"/>
          <w:szCs w:val="22"/>
          <w:lang w:val="sr-Latn-ME"/>
        </w:rPr>
        <w:t xml:space="preserve">i </w:t>
      </w:r>
      <w:r w:rsidR="0023479D" w:rsidRPr="00C144C0">
        <w:rPr>
          <w:sz w:val="22"/>
          <w:szCs w:val="22"/>
          <w:lang w:val="sr-Latn-ME"/>
        </w:rPr>
        <w:t>veoma je spor</w:t>
      </w:r>
      <w:r w:rsidR="0079046B" w:rsidRPr="00C144C0">
        <w:rPr>
          <w:sz w:val="22"/>
          <w:szCs w:val="22"/>
          <w:lang w:val="sr-Latn-ME"/>
        </w:rPr>
        <w:t>a</w:t>
      </w:r>
      <w:r w:rsidR="0023479D" w:rsidRPr="00C144C0">
        <w:rPr>
          <w:sz w:val="22"/>
          <w:szCs w:val="22"/>
          <w:lang w:val="sr-Latn-ME"/>
        </w:rPr>
        <w:t xml:space="preserve"> u kostima. Natrijum se </w:t>
      </w:r>
      <w:r w:rsidR="00B106CA" w:rsidRPr="00C144C0">
        <w:rPr>
          <w:sz w:val="22"/>
          <w:szCs w:val="22"/>
          <w:lang w:val="sr-Latn-ME"/>
        </w:rPr>
        <w:t>uglavnom</w:t>
      </w:r>
      <w:r w:rsidR="0023479D" w:rsidRPr="00C144C0">
        <w:rPr>
          <w:sz w:val="22"/>
          <w:szCs w:val="22"/>
          <w:lang w:val="sr-Latn-ME"/>
        </w:rPr>
        <w:t xml:space="preserve"> izlučuje </w:t>
      </w:r>
      <w:r w:rsidR="00B106CA" w:rsidRPr="00C144C0">
        <w:rPr>
          <w:sz w:val="22"/>
          <w:szCs w:val="22"/>
          <w:lang w:val="sr-Latn-ME"/>
        </w:rPr>
        <w:t xml:space="preserve">putem </w:t>
      </w:r>
      <w:r w:rsidR="0023479D" w:rsidRPr="00C144C0">
        <w:rPr>
          <w:sz w:val="22"/>
          <w:szCs w:val="22"/>
          <w:lang w:val="sr-Latn-ME"/>
        </w:rPr>
        <w:t>bubre</w:t>
      </w:r>
      <w:r w:rsidR="00B106CA" w:rsidRPr="00C144C0">
        <w:rPr>
          <w:sz w:val="22"/>
          <w:szCs w:val="22"/>
          <w:lang w:val="sr-Latn-ME"/>
        </w:rPr>
        <w:t>ga</w:t>
      </w:r>
      <w:r w:rsidR="0023479D" w:rsidRPr="00C144C0">
        <w:rPr>
          <w:sz w:val="22"/>
          <w:szCs w:val="22"/>
          <w:lang w:val="sr-Latn-ME"/>
        </w:rPr>
        <w:t xml:space="preserve">, ali (kao što je ranije opisano) postoji opsežna bubrežna reapsorpcija. Male količine natrijuma se </w:t>
      </w:r>
      <w:r w:rsidR="00B44C7A" w:rsidRPr="00C144C0">
        <w:rPr>
          <w:sz w:val="22"/>
          <w:szCs w:val="22"/>
          <w:lang w:val="sr-Latn-ME"/>
        </w:rPr>
        <w:t xml:space="preserve">izlučuju putem </w:t>
      </w:r>
      <w:r w:rsidR="006C3217" w:rsidRPr="00C144C0">
        <w:rPr>
          <w:sz w:val="22"/>
          <w:szCs w:val="22"/>
          <w:lang w:val="sr-Latn-ME"/>
        </w:rPr>
        <w:t>fecesa</w:t>
      </w:r>
      <w:r w:rsidR="0023479D" w:rsidRPr="00C144C0">
        <w:rPr>
          <w:sz w:val="22"/>
          <w:szCs w:val="22"/>
          <w:lang w:val="sr-Latn-ME"/>
        </w:rPr>
        <w:t xml:space="preserve"> i znoj</w:t>
      </w:r>
      <w:r w:rsidR="00B44C7A" w:rsidRPr="00C144C0">
        <w:rPr>
          <w:sz w:val="22"/>
          <w:szCs w:val="22"/>
          <w:lang w:val="sr-Latn-ME"/>
        </w:rPr>
        <w:t>a</w:t>
      </w:r>
      <w:r w:rsidR="0023479D" w:rsidRPr="00C144C0">
        <w:rPr>
          <w:sz w:val="22"/>
          <w:szCs w:val="22"/>
          <w:lang w:val="sr-Latn-ME"/>
        </w:rPr>
        <w:t>.</w:t>
      </w:r>
    </w:p>
    <w:p w14:paraId="7B386FE2" w14:textId="77777777" w:rsidR="00B44C7A" w:rsidRPr="00C144C0" w:rsidRDefault="00B44C7A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78DC264" w14:textId="0DE27A77" w:rsidR="0023479D" w:rsidRPr="00C144C0" w:rsidRDefault="00B44C7A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144C0">
        <w:rPr>
          <w:sz w:val="22"/>
          <w:szCs w:val="22"/>
          <w:lang w:val="sr-Latn-ME"/>
        </w:rPr>
        <w:t xml:space="preserve">Dva glavna metabolička puta </w:t>
      </w:r>
      <w:r w:rsidR="001227CB" w:rsidRPr="00C144C0">
        <w:rPr>
          <w:sz w:val="22"/>
          <w:szCs w:val="22"/>
          <w:lang w:val="sr-Latn-ME"/>
        </w:rPr>
        <w:t>glukoze su: glukoneogeneza (skladištenje energije) i glukogenoliza (oslobađanje energije). Metabolizam glukoze se reguliše putem insulina.</w:t>
      </w:r>
    </w:p>
    <w:p w14:paraId="6662227F" w14:textId="7FABF333" w:rsidR="0023479D" w:rsidRDefault="0023479D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29DEF41" w14:textId="77777777" w:rsidR="00C144C0" w:rsidRPr="00C144C0" w:rsidRDefault="00C144C0" w:rsidP="0057768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4C16B7" w14:textId="77777777" w:rsidR="0072020E" w:rsidRPr="00C144C0" w:rsidRDefault="0072020E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lastRenderedPageBreak/>
        <w:t xml:space="preserve">5.3.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3B4C16B8" w14:textId="77777777" w:rsidR="00836B35" w:rsidRPr="00C144C0" w:rsidRDefault="00836B35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D9D442" w14:textId="076145BA" w:rsidR="00235BFF" w:rsidRPr="00C144C0" w:rsidRDefault="00235BF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Pretklinički podaci o bezb</w:t>
      </w:r>
      <w:r w:rsidR="00D83F72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ednosti ovog rastvora za infuziju kod životinja ni</w:t>
      </w:r>
      <w:r w:rsidR="00B358EF" w:rsidRPr="00C144C0">
        <w:rPr>
          <w:bCs/>
          <w:sz w:val="22"/>
          <w:szCs w:val="22"/>
          <w:lang w:val="sr-Latn-ME"/>
        </w:rPr>
        <w:t>je</w:t>
      </w:r>
      <w:r w:rsidRPr="00C144C0">
        <w:rPr>
          <w:bCs/>
          <w:sz w:val="22"/>
          <w:szCs w:val="22"/>
          <w:lang w:val="sr-Latn-ME"/>
        </w:rPr>
        <w:t>su relevantni jer su njegovi sastojci fiziološke komponente životinjske i ljudske plazme.</w:t>
      </w:r>
    </w:p>
    <w:p w14:paraId="157F9FD6" w14:textId="77777777" w:rsidR="00D83F72" w:rsidRPr="00C144C0" w:rsidRDefault="00D83F7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B0CA18" w14:textId="6B29B5BC" w:rsidR="00235BFF" w:rsidRPr="00C144C0" w:rsidRDefault="00235BF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Toksični efekti se ne mogu očekivati pod uslov</w:t>
      </w:r>
      <w:r w:rsidR="00B358EF" w:rsidRPr="00C144C0">
        <w:rPr>
          <w:bCs/>
          <w:sz w:val="22"/>
          <w:szCs w:val="22"/>
          <w:lang w:val="sr-Latn-ME"/>
        </w:rPr>
        <w:t>ima</w:t>
      </w:r>
      <w:r w:rsidRPr="00C144C0">
        <w:rPr>
          <w:bCs/>
          <w:sz w:val="22"/>
          <w:szCs w:val="22"/>
          <w:lang w:val="sr-Latn-ME"/>
        </w:rPr>
        <w:t xml:space="preserve"> kliničke prim</w:t>
      </w:r>
      <w:r w:rsidR="00D83F72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>ene.</w:t>
      </w:r>
    </w:p>
    <w:p w14:paraId="5BCE6B43" w14:textId="77777777" w:rsidR="00D83F72" w:rsidRPr="00C144C0" w:rsidRDefault="00D83F72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186621" w14:textId="6FF4C8F3" w:rsidR="00912EA6" w:rsidRPr="00C144C0" w:rsidRDefault="00235BFF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Bezb</w:t>
      </w:r>
      <w:r w:rsidR="00D83F72" w:rsidRPr="00C144C0">
        <w:rPr>
          <w:bCs/>
          <w:sz w:val="22"/>
          <w:szCs w:val="22"/>
          <w:lang w:val="sr-Latn-ME"/>
        </w:rPr>
        <w:t>j</w:t>
      </w:r>
      <w:r w:rsidRPr="00C144C0">
        <w:rPr>
          <w:bCs/>
          <w:sz w:val="22"/>
          <w:szCs w:val="22"/>
          <w:lang w:val="sr-Latn-ME"/>
        </w:rPr>
        <w:t xml:space="preserve">ednost potencijalnih </w:t>
      </w:r>
      <w:r w:rsidR="00D83F72" w:rsidRPr="00C144C0">
        <w:rPr>
          <w:bCs/>
          <w:sz w:val="22"/>
          <w:szCs w:val="22"/>
          <w:lang w:val="sr-Latn-ME"/>
        </w:rPr>
        <w:t>dodatih ljekova</w:t>
      </w:r>
      <w:r w:rsidRPr="00C144C0">
        <w:rPr>
          <w:bCs/>
          <w:sz w:val="22"/>
          <w:szCs w:val="22"/>
          <w:lang w:val="sr-Latn-ME"/>
        </w:rPr>
        <w:t xml:space="preserve"> treba razmotriti odvojeno.</w:t>
      </w:r>
    </w:p>
    <w:p w14:paraId="4E95FAC0" w14:textId="77777777" w:rsidR="00912EA6" w:rsidRPr="00C144C0" w:rsidRDefault="00912EA6" w:rsidP="0057768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B9" w14:textId="77777777" w:rsidR="00396DFD" w:rsidRPr="00C144C0" w:rsidRDefault="00396DFD" w:rsidP="0057768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4C16BA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6.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FARMACEUTSKI PODACI</w:t>
      </w:r>
    </w:p>
    <w:p w14:paraId="3B4C16BB" w14:textId="77777777" w:rsidR="00836B35" w:rsidRPr="00C144C0" w:rsidRDefault="00836B35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BC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6.1.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Lista pomoćnih supstanci</w:t>
      </w:r>
      <w:r w:rsidR="002E0135" w:rsidRPr="00C144C0">
        <w:rPr>
          <w:b/>
          <w:bCs/>
          <w:sz w:val="22"/>
          <w:szCs w:val="22"/>
          <w:lang w:val="sr-Latn-ME"/>
        </w:rPr>
        <w:t xml:space="preserve"> (ekscipijenasa)</w:t>
      </w:r>
    </w:p>
    <w:p w14:paraId="3B4C16BD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DBF715" w14:textId="7CE92BB7" w:rsidR="00222D5E" w:rsidRPr="00C144C0" w:rsidRDefault="00222D5E" w:rsidP="00222D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Hlorovodonična kiselina, koncentrovana</w:t>
      </w:r>
      <w:r w:rsidR="00114157" w:rsidRPr="00C144C0">
        <w:rPr>
          <w:bCs/>
          <w:sz w:val="22"/>
          <w:szCs w:val="22"/>
          <w:lang w:val="sr-Latn-ME"/>
        </w:rPr>
        <w:t xml:space="preserve"> (za podešavanje pH)</w:t>
      </w:r>
    </w:p>
    <w:p w14:paraId="3FD5A764" w14:textId="1A3773D4" w:rsidR="00222D5E" w:rsidRPr="00C144C0" w:rsidRDefault="00222D5E" w:rsidP="00222D5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Voda za injekcije</w:t>
      </w:r>
    </w:p>
    <w:p w14:paraId="07C5F9E7" w14:textId="77777777" w:rsidR="00222D5E" w:rsidRPr="00C144C0" w:rsidRDefault="00222D5E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BE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6.2.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Inkompatibilnost</w:t>
      </w:r>
      <w:r w:rsidR="002846DB" w:rsidRPr="00C144C0">
        <w:rPr>
          <w:b/>
          <w:bCs/>
          <w:sz w:val="22"/>
          <w:szCs w:val="22"/>
          <w:lang w:val="sr-Latn-ME"/>
        </w:rPr>
        <w:t>i</w:t>
      </w:r>
    </w:p>
    <w:p w14:paraId="3B4C16BF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624D77" w14:textId="2E8ACF51" w:rsidR="00D627F4" w:rsidRPr="00C144C0" w:rsidRDefault="00D627F4" w:rsidP="00D627F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Ovaj rastvor ne smije da se koristi za razblaživanje krvi pošto uzrokuje aglutinaciju eritrocita, a može do</w:t>
      </w:r>
      <w:r w:rsidR="00CE6D7C" w:rsidRPr="00C144C0">
        <w:rPr>
          <w:bCs/>
          <w:sz w:val="22"/>
          <w:szCs w:val="22"/>
          <w:lang w:val="sr-Latn-ME"/>
        </w:rPr>
        <w:t>vesti</w:t>
      </w:r>
      <w:r w:rsidRPr="00C144C0">
        <w:rPr>
          <w:bCs/>
          <w:sz w:val="22"/>
          <w:szCs w:val="22"/>
          <w:lang w:val="sr-Latn-ME"/>
        </w:rPr>
        <w:t xml:space="preserve"> i do hemolize.</w:t>
      </w:r>
    </w:p>
    <w:p w14:paraId="7BE92A6F" w14:textId="77777777" w:rsidR="002D3445" w:rsidRPr="00C144C0" w:rsidRDefault="002D3445" w:rsidP="002D344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 se ne smije primjenjivati sa drugim ljekovima ukoliko nije dokazana kompatibilnost.</w:t>
      </w:r>
    </w:p>
    <w:p w14:paraId="3B0DD278" w14:textId="2AB1CD29" w:rsidR="002D3445" w:rsidRPr="00C144C0" w:rsidRDefault="002D3445" w:rsidP="002D344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Rastvor ima kiseli pH, pa može doći do inkompatibilnosti pri miješanju sa drugim preparatima.</w:t>
      </w:r>
    </w:p>
    <w:p w14:paraId="270AE1DB" w14:textId="77777777" w:rsidR="002D3445" w:rsidRPr="00C144C0" w:rsidRDefault="002D3445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0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>6.3.</w:t>
      </w:r>
      <w:r w:rsidR="00C05DF8" w:rsidRPr="00C144C0">
        <w:rPr>
          <w:b/>
          <w:bCs/>
          <w:sz w:val="22"/>
          <w:szCs w:val="22"/>
          <w:lang w:val="sr-Latn-ME"/>
        </w:rPr>
        <w:t xml:space="preserve">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Rok upotrebe</w:t>
      </w:r>
    </w:p>
    <w:p w14:paraId="3B4C16C1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52AB28" w14:textId="77777777" w:rsidR="00D47EF9" w:rsidRPr="00C144C0" w:rsidRDefault="00BD3D63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3 godine. </w:t>
      </w:r>
    </w:p>
    <w:p w14:paraId="5677F57B" w14:textId="6D018F23" w:rsidR="00BD3D63" w:rsidRPr="00C144C0" w:rsidRDefault="00994C8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Nakon otvaranja, lijek se mora odmah upotr</w:t>
      </w:r>
      <w:r w:rsidR="00543BC6" w:rsidRPr="00C144C0">
        <w:rPr>
          <w:bCs/>
          <w:sz w:val="22"/>
          <w:szCs w:val="22"/>
          <w:lang w:val="sr-Latn-ME"/>
        </w:rPr>
        <w:t>ij</w:t>
      </w:r>
      <w:r w:rsidRPr="00C144C0">
        <w:rPr>
          <w:bCs/>
          <w:sz w:val="22"/>
          <w:szCs w:val="22"/>
          <w:lang w:val="sr-Latn-ME"/>
        </w:rPr>
        <w:t>ebiti</w:t>
      </w:r>
      <w:r w:rsidR="00BD3D63" w:rsidRPr="00C144C0">
        <w:rPr>
          <w:bCs/>
          <w:sz w:val="22"/>
          <w:szCs w:val="22"/>
          <w:lang w:val="sr-Latn-ME"/>
        </w:rPr>
        <w:t>.</w:t>
      </w:r>
    </w:p>
    <w:p w14:paraId="58E26F7D" w14:textId="77777777" w:rsidR="00BD3D63" w:rsidRPr="00C144C0" w:rsidRDefault="00BD3D63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2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6.4.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144C0">
        <w:rPr>
          <w:b/>
          <w:bCs/>
          <w:sz w:val="22"/>
          <w:szCs w:val="22"/>
          <w:lang w:val="sr-Latn-ME"/>
        </w:rPr>
        <w:t xml:space="preserve"> lijeka</w:t>
      </w:r>
    </w:p>
    <w:p w14:paraId="3B4C16C3" w14:textId="77777777" w:rsidR="00EC2532" w:rsidRPr="00C144C0" w:rsidRDefault="00EC2532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073731" w14:textId="0BF7DADE" w:rsidR="00BB322D" w:rsidRPr="00C144C0" w:rsidRDefault="00BB322D" w:rsidP="00BB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Čuvati na temperaturi do 25</w:t>
      </w:r>
      <w:r w:rsidR="00054E45" w:rsidRPr="00C144C0">
        <w:rPr>
          <w:bCs/>
          <w:sz w:val="22"/>
          <w:szCs w:val="22"/>
          <w:lang w:val="sr-Latn-ME"/>
        </w:rPr>
        <w:t>°</w:t>
      </w:r>
      <w:r w:rsidRPr="00C144C0">
        <w:rPr>
          <w:bCs/>
          <w:sz w:val="22"/>
          <w:szCs w:val="22"/>
          <w:lang w:val="sr-Latn-ME"/>
        </w:rPr>
        <w:t>C.</w:t>
      </w:r>
    </w:p>
    <w:p w14:paraId="09FE952B" w14:textId="44DD24D9" w:rsidR="00994C80" w:rsidRPr="00C144C0" w:rsidRDefault="00BB322D" w:rsidP="00BB32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Čuvati van domašaja djece.</w:t>
      </w:r>
    </w:p>
    <w:p w14:paraId="43131FF9" w14:textId="77777777" w:rsidR="00994C80" w:rsidRPr="00C144C0" w:rsidRDefault="00994C8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4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6.5.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="002846DB" w:rsidRPr="00C144C0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144C0">
        <w:rPr>
          <w:b/>
          <w:bCs/>
          <w:sz w:val="22"/>
          <w:szCs w:val="22"/>
          <w:lang w:val="sr-Latn-ME"/>
        </w:rPr>
        <w:t>pakovanja</w:t>
      </w:r>
      <w:r w:rsidR="00C06864" w:rsidRPr="00C144C0">
        <w:rPr>
          <w:b/>
          <w:bCs/>
          <w:sz w:val="22"/>
          <w:szCs w:val="22"/>
          <w:lang w:val="sr-Latn-ME"/>
        </w:rPr>
        <w:t xml:space="preserve"> </w:t>
      </w:r>
    </w:p>
    <w:p w14:paraId="3B4C16C5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52002E" w14:textId="64D06B0F" w:rsidR="00C24479" w:rsidRPr="00C144C0" w:rsidRDefault="00C24479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 xml:space="preserve">Boca od bezbojnog stakla tipa II hidrolitičke grupe, sa 500 ml rastvora za infuziju, zatvorena gumenim čepom i aluminijumskom kapicom sa providnim </w:t>
      </w:r>
      <w:r w:rsidRPr="00C144C0">
        <w:rPr>
          <w:bCs/>
          <w:i/>
          <w:iCs/>
          <w:sz w:val="22"/>
          <w:szCs w:val="22"/>
          <w:lang w:val="sr-Latn-ME"/>
        </w:rPr>
        <w:t>flip</w:t>
      </w:r>
      <w:r w:rsidR="00093832" w:rsidRPr="00C144C0">
        <w:rPr>
          <w:bCs/>
          <w:i/>
          <w:iCs/>
          <w:sz w:val="22"/>
          <w:szCs w:val="22"/>
          <w:lang w:val="sr-Latn-ME"/>
        </w:rPr>
        <w:t xml:space="preserve"> </w:t>
      </w:r>
      <w:r w:rsidRPr="00C144C0">
        <w:rPr>
          <w:bCs/>
          <w:i/>
          <w:iCs/>
          <w:sz w:val="22"/>
          <w:szCs w:val="22"/>
          <w:lang w:val="sr-Latn-ME"/>
        </w:rPr>
        <w:t>off</w:t>
      </w:r>
      <w:r w:rsidRPr="00C144C0">
        <w:rPr>
          <w:bCs/>
          <w:sz w:val="22"/>
          <w:szCs w:val="22"/>
          <w:lang w:val="sr-Latn-ME"/>
        </w:rPr>
        <w:t xml:space="preserve"> plastičnim poklopcem.</w:t>
      </w:r>
    </w:p>
    <w:p w14:paraId="216E49B6" w14:textId="77777777" w:rsidR="00C24479" w:rsidRPr="00C144C0" w:rsidRDefault="00C24479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6" w14:textId="77777777" w:rsidR="002846DB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6.6.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144C0">
        <w:rPr>
          <w:b/>
          <w:bCs/>
          <w:sz w:val="22"/>
          <w:szCs w:val="22"/>
          <w:lang w:val="sr-Latn-ME"/>
        </w:rPr>
        <w:t xml:space="preserve"> </w:t>
      </w:r>
      <w:r w:rsidR="00310F03" w:rsidRPr="00C144C0">
        <w:rPr>
          <w:b/>
          <w:bCs/>
          <w:sz w:val="22"/>
          <w:szCs w:val="22"/>
          <w:lang w:val="sr-Latn-ME"/>
        </w:rPr>
        <w:t>(i druga uputs</w:t>
      </w:r>
      <w:r w:rsidR="004109FA" w:rsidRPr="00C144C0">
        <w:rPr>
          <w:b/>
          <w:bCs/>
          <w:sz w:val="22"/>
          <w:szCs w:val="22"/>
          <w:lang w:val="sr-Latn-ME"/>
        </w:rPr>
        <w:t>t</w:t>
      </w:r>
      <w:r w:rsidR="00310F03" w:rsidRPr="00C144C0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B4C16C7" w14:textId="77777777" w:rsidR="00B66A70" w:rsidRPr="00C144C0" w:rsidRDefault="00B66A70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4C16C8" w14:textId="130CF4FA" w:rsidR="0072020E" w:rsidRPr="00C144C0" w:rsidRDefault="00A753ED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Neupotrijebljeni lijek se uništava prema važećim propisima.</w:t>
      </w:r>
    </w:p>
    <w:p w14:paraId="7DABA427" w14:textId="77777777" w:rsidR="00A753ED" w:rsidRPr="00C144C0" w:rsidRDefault="00A753ED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DDD32E" w14:textId="77777777" w:rsidR="00A753ED" w:rsidRPr="00C144C0" w:rsidRDefault="00A753ED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9" w14:textId="77777777" w:rsidR="00F8570A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7.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NOSILAC DOZVOLE</w:t>
      </w:r>
      <w:r w:rsidR="00483928" w:rsidRPr="00C144C0">
        <w:rPr>
          <w:b/>
          <w:bCs/>
          <w:sz w:val="22"/>
          <w:szCs w:val="22"/>
          <w:lang w:val="sr-Latn-ME"/>
        </w:rPr>
        <w:t xml:space="preserve"> </w:t>
      </w:r>
    </w:p>
    <w:p w14:paraId="3B4C16CA" w14:textId="77777777" w:rsidR="00C61BE0" w:rsidRPr="00C144C0" w:rsidRDefault="00C61BE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36E11D" w14:textId="643F3AE4" w:rsidR="00EE4D28" w:rsidRPr="00C144C0" w:rsidRDefault="00D2200C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Hemomont d.o.o,</w:t>
      </w:r>
    </w:p>
    <w:p w14:paraId="1F970C4E" w14:textId="53DF1205" w:rsidR="00D2200C" w:rsidRPr="00C144C0" w:rsidRDefault="00D2200C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144C0">
        <w:rPr>
          <w:bCs/>
          <w:sz w:val="22"/>
          <w:szCs w:val="22"/>
          <w:lang w:val="sr-Latn-ME"/>
        </w:rPr>
        <w:t>8. marta 55A, Podgorica, Crna Gora</w:t>
      </w:r>
    </w:p>
    <w:p w14:paraId="5B9B5753" w14:textId="77777777" w:rsidR="00EE4D28" w:rsidRPr="00C144C0" w:rsidRDefault="00EE4D28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B" w14:textId="3B821C7F" w:rsidR="00C37FD7" w:rsidRDefault="00C37FD7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8C18FF" w14:textId="170EF332" w:rsidR="00C144C0" w:rsidRDefault="00C144C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94824E" w14:textId="3DC8EE0E" w:rsidR="00C144C0" w:rsidRDefault="00C144C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6160D5" w14:textId="6768D831" w:rsidR="00C144C0" w:rsidRDefault="00C144C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3ABF25" w14:textId="3AB65AFF" w:rsidR="00C144C0" w:rsidRDefault="00C144C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CDC1CE" w14:textId="727CD507" w:rsidR="00C144C0" w:rsidRDefault="00C144C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055266" w14:textId="77777777" w:rsidR="00C144C0" w:rsidRPr="00C144C0" w:rsidRDefault="00C144C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C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>BROJ DOZVOLE</w:t>
      </w:r>
      <w:r w:rsidR="008A6D43" w:rsidRPr="00C144C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B4C16CD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FE3E5D" w14:textId="007F3EF0" w:rsidR="002C0930" w:rsidRPr="00C144C0" w:rsidRDefault="003E6331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6331">
        <w:rPr>
          <w:bCs/>
          <w:sz w:val="22"/>
          <w:szCs w:val="22"/>
          <w:lang w:val="sr-Latn-ME"/>
        </w:rPr>
        <w:t>2030/25/702 - 7753</w:t>
      </w:r>
    </w:p>
    <w:p w14:paraId="44373D81" w14:textId="77777777" w:rsidR="002C0930" w:rsidRPr="00C144C0" w:rsidRDefault="002C093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E" w14:textId="77777777" w:rsidR="00F45F77" w:rsidRPr="00C144C0" w:rsidRDefault="00F45F77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CF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9.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Pr="00C144C0">
        <w:rPr>
          <w:b/>
          <w:bCs/>
          <w:sz w:val="22"/>
          <w:szCs w:val="22"/>
          <w:lang w:val="sr-Latn-ME"/>
        </w:rPr>
        <w:t xml:space="preserve">DATUM </w:t>
      </w:r>
      <w:r w:rsidR="00C05DF8" w:rsidRPr="00C144C0">
        <w:rPr>
          <w:b/>
          <w:bCs/>
          <w:sz w:val="22"/>
          <w:szCs w:val="22"/>
          <w:lang w:val="sr-Latn-ME"/>
        </w:rPr>
        <w:t xml:space="preserve">PRVE </w:t>
      </w:r>
      <w:r w:rsidR="008A6D43" w:rsidRPr="00C144C0">
        <w:rPr>
          <w:b/>
          <w:bCs/>
          <w:sz w:val="22"/>
          <w:szCs w:val="22"/>
          <w:lang w:val="sr-Latn-ME"/>
        </w:rPr>
        <w:t>DOZVOLE</w:t>
      </w:r>
      <w:r w:rsidR="00C05DF8" w:rsidRPr="00C144C0">
        <w:rPr>
          <w:b/>
          <w:bCs/>
          <w:sz w:val="22"/>
          <w:szCs w:val="22"/>
          <w:lang w:val="sr-Latn-ME"/>
        </w:rPr>
        <w:t>/OBNOVE DOZVOLE</w:t>
      </w:r>
      <w:r w:rsidR="008A6D43" w:rsidRPr="00C144C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B4C16D0" w14:textId="77777777" w:rsidR="0072020E" w:rsidRPr="00C144C0" w:rsidRDefault="0072020E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D1" w14:textId="51E4DA4E" w:rsidR="00836B35" w:rsidRPr="003E6331" w:rsidRDefault="00AD7EF6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E6331">
        <w:rPr>
          <w:bCs/>
          <w:sz w:val="22"/>
          <w:szCs w:val="22"/>
          <w:lang w:val="sr-Latn-RS"/>
        </w:rPr>
        <w:t>Datum prve dozvole:</w:t>
      </w:r>
      <w:r w:rsidR="00B56A8E" w:rsidRPr="003E6331">
        <w:rPr>
          <w:bCs/>
          <w:sz w:val="22"/>
          <w:szCs w:val="22"/>
          <w:lang w:val="sr-Latn-RS"/>
        </w:rPr>
        <w:t xml:space="preserve"> 18.03.2009.</w:t>
      </w:r>
      <w:r w:rsidR="003F193B" w:rsidRPr="003E6331">
        <w:rPr>
          <w:bCs/>
          <w:sz w:val="22"/>
          <w:szCs w:val="22"/>
          <w:lang w:val="sr-Latn-RS"/>
        </w:rPr>
        <w:t xml:space="preserve"> godine</w:t>
      </w:r>
    </w:p>
    <w:p w14:paraId="3DA0AA1A" w14:textId="19E6BA9E" w:rsidR="00AD7EF6" w:rsidRPr="003E6331" w:rsidRDefault="00AD7EF6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3E6331">
        <w:rPr>
          <w:bCs/>
          <w:sz w:val="22"/>
          <w:szCs w:val="22"/>
          <w:lang w:val="sr-Latn-RS"/>
        </w:rPr>
        <w:t>Datum obnove dozvole:</w:t>
      </w:r>
      <w:r w:rsidR="00B56A8E" w:rsidRPr="003E6331">
        <w:rPr>
          <w:bCs/>
          <w:sz w:val="22"/>
          <w:szCs w:val="22"/>
          <w:lang w:val="sr-Latn-RS"/>
        </w:rPr>
        <w:t xml:space="preserve"> </w:t>
      </w:r>
      <w:r w:rsidR="00875774">
        <w:rPr>
          <w:rFonts w:ascii="TimesNewRoman" w:hAnsi="TimesNewRoman" w:cs="TimesNewRoman"/>
          <w:sz w:val="22"/>
          <w:szCs w:val="22"/>
          <w:lang w:val="sr-Latn-RS" w:eastAsia="sr-Latn-ME"/>
        </w:rPr>
        <w:t>12</w:t>
      </w:r>
      <w:bookmarkStart w:id="0" w:name="_GoBack"/>
      <w:bookmarkEnd w:id="0"/>
      <w:r w:rsidR="003E6331" w:rsidRPr="003E6331">
        <w:rPr>
          <w:rFonts w:ascii="TimesNewRoman" w:hAnsi="TimesNewRoman" w:cs="TimesNewRoman"/>
          <w:sz w:val="22"/>
          <w:szCs w:val="22"/>
          <w:lang w:val="sr-Latn-RS" w:eastAsia="sr-Latn-ME"/>
        </w:rPr>
        <w:t>.02.2025. godine</w:t>
      </w:r>
    </w:p>
    <w:p w14:paraId="4856A123" w14:textId="77777777" w:rsidR="00AD7EF6" w:rsidRPr="003E6331" w:rsidRDefault="00AD7EF6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2FD798B" w14:textId="77777777" w:rsidR="00AD7EF6" w:rsidRPr="00C144C0" w:rsidRDefault="00AD7EF6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D2" w14:textId="77777777" w:rsidR="003F6A59" w:rsidRPr="00C144C0" w:rsidRDefault="0072020E" w:rsidP="006B2E2C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C144C0">
        <w:rPr>
          <w:b/>
          <w:bCs/>
          <w:sz w:val="22"/>
          <w:szCs w:val="22"/>
          <w:lang w:val="sr-Latn-ME"/>
        </w:rPr>
        <w:t xml:space="preserve">10. </w:t>
      </w:r>
      <w:r w:rsidR="00480FB1" w:rsidRPr="00C144C0">
        <w:rPr>
          <w:b/>
          <w:bCs/>
          <w:sz w:val="22"/>
          <w:szCs w:val="22"/>
          <w:lang w:val="sr-Latn-ME"/>
        </w:rPr>
        <w:tab/>
      </w:r>
      <w:r w:rsidR="002846DB" w:rsidRPr="00C144C0">
        <w:rPr>
          <w:b/>
          <w:bCs/>
          <w:sz w:val="22"/>
          <w:szCs w:val="22"/>
          <w:lang w:val="sr-Latn-ME"/>
        </w:rPr>
        <w:t>D</w:t>
      </w:r>
      <w:r w:rsidR="00EC2532" w:rsidRPr="00C144C0">
        <w:rPr>
          <w:b/>
          <w:bCs/>
          <w:sz w:val="22"/>
          <w:szCs w:val="22"/>
          <w:lang w:val="sr-Latn-ME"/>
        </w:rPr>
        <w:t xml:space="preserve">ATUM REVIZIJE TEKSTA </w:t>
      </w:r>
    </w:p>
    <w:p w14:paraId="3B4C16D3" w14:textId="77777777" w:rsidR="003F6A59" w:rsidRPr="00C144C0" w:rsidRDefault="003F6A59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4C16D4" w14:textId="1A6E186E" w:rsidR="008A6D43" w:rsidRPr="00C144C0" w:rsidRDefault="00C144C0" w:rsidP="006B2E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Februar, 2025. godine</w:t>
      </w:r>
    </w:p>
    <w:sectPr w:rsidR="008A6D43" w:rsidRPr="00C144C0" w:rsidSect="00C25132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4DA275" w16cex:dateUtc="2025-02-05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F65CDC" w16cid:durableId="2B4DA2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5EFE0" w14:textId="77777777" w:rsidR="00C47A3B" w:rsidRDefault="00C47A3B">
      <w:r>
        <w:separator/>
      </w:r>
    </w:p>
  </w:endnote>
  <w:endnote w:type="continuationSeparator" w:id="0">
    <w:p w14:paraId="7668A73D" w14:textId="77777777" w:rsidR="00C47A3B" w:rsidRDefault="00C4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16E4" w14:textId="700FBF96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75774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75774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662B" w14:textId="77777777" w:rsidR="00C47A3B" w:rsidRDefault="00C47A3B">
      <w:r>
        <w:separator/>
      </w:r>
    </w:p>
  </w:footnote>
  <w:footnote w:type="continuationSeparator" w:id="0">
    <w:p w14:paraId="67382FD9" w14:textId="77777777" w:rsidR="00C47A3B" w:rsidRDefault="00C4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D54B06"/>
    <w:multiLevelType w:val="hybridMultilevel"/>
    <w:tmpl w:val="E9E6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B3F74"/>
    <w:multiLevelType w:val="hybridMultilevel"/>
    <w:tmpl w:val="00B44CA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C56562"/>
    <w:multiLevelType w:val="hybridMultilevel"/>
    <w:tmpl w:val="FBA6D240"/>
    <w:lvl w:ilvl="0" w:tplc="B024FE3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02228F"/>
    <w:multiLevelType w:val="hybridMultilevel"/>
    <w:tmpl w:val="17BCD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10B81"/>
    <w:multiLevelType w:val="hybridMultilevel"/>
    <w:tmpl w:val="F69C4144"/>
    <w:lvl w:ilvl="0" w:tplc="2B801E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56C66"/>
    <w:multiLevelType w:val="hybridMultilevel"/>
    <w:tmpl w:val="AB5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70C30"/>
    <w:multiLevelType w:val="hybridMultilevel"/>
    <w:tmpl w:val="6BB8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E6C"/>
    <w:multiLevelType w:val="hybridMultilevel"/>
    <w:tmpl w:val="E8C69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83654"/>
    <w:multiLevelType w:val="hybridMultilevel"/>
    <w:tmpl w:val="AD60EAA0"/>
    <w:lvl w:ilvl="0" w:tplc="2B801E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D756C1"/>
    <w:multiLevelType w:val="hybridMultilevel"/>
    <w:tmpl w:val="7714B0B8"/>
    <w:lvl w:ilvl="0" w:tplc="CD664FD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125E0"/>
    <w:multiLevelType w:val="hybridMultilevel"/>
    <w:tmpl w:val="88B29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7"/>
  </w:num>
  <w:num w:numId="5">
    <w:abstractNumId w:val="7"/>
  </w:num>
  <w:num w:numId="6">
    <w:abstractNumId w:val="1"/>
  </w:num>
  <w:num w:numId="7">
    <w:abstractNumId w:val="16"/>
  </w:num>
  <w:num w:numId="8">
    <w:abstractNumId w:val="5"/>
  </w:num>
  <w:num w:numId="9">
    <w:abstractNumId w:val="9"/>
  </w:num>
  <w:num w:numId="10">
    <w:abstractNumId w:val="20"/>
  </w:num>
  <w:num w:numId="11">
    <w:abstractNumId w:val="8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3"/>
  </w:num>
  <w:num w:numId="17">
    <w:abstractNumId w:val="19"/>
  </w:num>
  <w:num w:numId="18">
    <w:abstractNumId w:val="21"/>
  </w:num>
  <w:num w:numId="19">
    <w:abstractNumId w:val="12"/>
  </w:num>
  <w:num w:numId="20">
    <w:abstractNumId w:val="15"/>
  </w:num>
  <w:num w:numId="21">
    <w:abstractNumId w:val="11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566C"/>
    <w:rsid w:val="000176CA"/>
    <w:rsid w:val="0002010B"/>
    <w:rsid w:val="00033469"/>
    <w:rsid w:val="000351EA"/>
    <w:rsid w:val="00036FA0"/>
    <w:rsid w:val="0003716E"/>
    <w:rsid w:val="0003793F"/>
    <w:rsid w:val="00041381"/>
    <w:rsid w:val="00045130"/>
    <w:rsid w:val="00054E45"/>
    <w:rsid w:val="000559CF"/>
    <w:rsid w:val="00057E35"/>
    <w:rsid w:val="000617C6"/>
    <w:rsid w:val="0006718B"/>
    <w:rsid w:val="000707A7"/>
    <w:rsid w:val="00071B11"/>
    <w:rsid w:val="00072A4A"/>
    <w:rsid w:val="00075E28"/>
    <w:rsid w:val="00076726"/>
    <w:rsid w:val="00080303"/>
    <w:rsid w:val="00083D02"/>
    <w:rsid w:val="00093832"/>
    <w:rsid w:val="00094531"/>
    <w:rsid w:val="000A13BE"/>
    <w:rsid w:val="000A1B84"/>
    <w:rsid w:val="000A3F58"/>
    <w:rsid w:val="000A573E"/>
    <w:rsid w:val="000B4938"/>
    <w:rsid w:val="000B5E2A"/>
    <w:rsid w:val="000B651C"/>
    <w:rsid w:val="000B7502"/>
    <w:rsid w:val="000D0703"/>
    <w:rsid w:val="000D2343"/>
    <w:rsid w:val="000D3449"/>
    <w:rsid w:val="000D425A"/>
    <w:rsid w:val="000D4A5C"/>
    <w:rsid w:val="000D60CC"/>
    <w:rsid w:val="000E2084"/>
    <w:rsid w:val="000E3A03"/>
    <w:rsid w:val="000E490E"/>
    <w:rsid w:val="000E6F2E"/>
    <w:rsid w:val="000E6F55"/>
    <w:rsid w:val="000F77FA"/>
    <w:rsid w:val="00104D68"/>
    <w:rsid w:val="00107BF7"/>
    <w:rsid w:val="00110F5E"/>
    <w:rsid w:val="00114157"/>
    <w:rsid w:val="00120063"/>
    <w:rsid w:val="001227CB"/>
    <w:rsid w:val="00126F53"/>
    <w:rsid w:val="00137617"/>
    <w:rsid w:val="00140FC1"/>
    <w:rsid w:val="00143FE0"/>
    <w:rsid w:val="0014766D"/>
    <w:rsid w:val="001536CC"/>
    <w:rsid w:val="00162859"/>
    <w:rsid w:val="00165086"/>
    <w:rsid w:val="001718D5"/>
    <w:rsid w:val="00175EF9"/>
    <w:rsid w:val="001760C6"/>
    <w:rsid w:val="001768F6"/>
    <w:rsid w:val="00192AAD"/>
    <w:rsid w:val="00197C1D"/>
    <w:rsid w:val="001A0FC2"/>
    <w:rsid w:val="001A1994"/>
    <w:rsid w:val="001A24EE"/>
    <w:rsid w:val="001A3BAA"/>
    <w:rsid w:val="001A3FBA"/>
    <w:rsid w:val="001A5518"/>
    <w:rsid w:val="001A71FC"/>
    <w:rsid w:val="001B1C6A"/>
    <w:rsid w:val="001C08CE"/>
    <w:rsid w:val="001C1263"/>
    <w:rsid w:val="001C1417"/>
    <w:rsid w:val="001E1766"/>
    <w:rsid w:val="001E1A79"/>
    <w:rsid w:val="001E1F0B"/>
    <w:rsid w:val="001E2766"/>
    <w:rsid w:val="001E37E9"/>
    <w:rsid w:val="001E390B"/>
    <w:rsid w:val="001E4FEF"/>
    <w:rsid w:val="001F1050"/>
    <w:rsid w:val="001F17CF"/>
    <w:rsid w:val="001F42FB"/>
    <w:rsid w:val="001F4443"/>
    <w:rsid w:val="001F501B"/>
    <w:rsid w:val="001F719A"/>
    <w:rsid w:val="002031B3"/>
    <w:rsid w:val="00212690"/>
    <w:rsid w:val="00215931"/>
    <w:rsid w:val="00222D5E"/>
    <w:rsid w:val="00223298"/>
    <w:rsid w:val="00224C91"/>
    <w:rsid w:val="0022792F"/>
    <w:rsid w:val="00227BDB"/>
    <w:rsid w:val="00227C3F"/>
    <w:rsid w:val="00230DE8"/>
    <w:rsid w:val="0023479D"/>
    <w:rsid w:val="00234CB1"/>
    <w:rsid w:val="002352F8"/>
    <w:rsid w:val="00235BFF"/>
    <w:rsid w:val="002502A9"/>
    <w:rsid w:val="002510A5"/>
    <w:rsid w:val="00253DE0"/>
    <w:rsid w:val="00254A0A"/>
    <w:rsid w:val="00256BBB"/>
    <w:rsid w:val="00266046"/>
    <w:rsid w:val="00272714"/>
    <w:rsid w:val="002804A5"/>
    <w:rsid w:val="002846DB"/>
    <w:rsid w:val="00284CCD"/>
    <w:rsid w:val="00286653"/>
    <w:rsid w:val="0028764E"/>
    <w:rsid w:val="00290032"/>
    <w:rsid w:val="00290D6F"/>
    <w:rsid w:val="00297422"/>
    <w:rsid w:val="002A0BA6"/>
    <w:rsid w:val="002B1AD5"/>
    <w:rsid w:val="002B71BB"/>
    <w:rsid w:val="002C0930"/>
    <w:rsid w:val="002C4C03"/>
    <w:rsid w:val="002C6637"/>
    <w:rsid w:val="002C7DD4"/>
    <w:rsid w:val="002D3445"/>
    <w:rsid w:val="002D5E77"/>
    <w:rsid w:val="002D5FB0"/>
    <w:rsid w:val="002D6A3F"/>
    <w:rsid w:val="002E0135"/>
    <w:rsid w:val="002E37A5"/>
    <w:rsid w:val="002E5F3F"/>
    <w:rsid w:val="002E7E02"/>
    <w:rsid w:val="002F077C"/>
    <w:rsid w:val="00306721"/>
    <w:rsid w:val="00310F03"/>
    <w:rsid w:val="00317609"/>
    <w:rsid w:val="003247D2"/>
    <w:rsid w:val="00325C2E"/>
    <w:rsid w:val="0032637C"/>
    <w:rsid w:val="003329EF"/>
    <w:rsid w:val="00333954"/>
    <w:rsid w:val="00343AC7"/>
    <w:rsid w:val="00343D9D"/>
    <w:rsid w:val="003445C1"/>
    <w:rsid w:val="00344FE4"/>
    <w:rsid w:val="00354BD4"/>
    <w:rsid w:val="00355B61"/>
    <w:rsid w:val="00360FF8"/>
    <w:rsid w:val="00362686"/>
    <w:rsid w:val="00371510"/>
    <w:rsid w:val="003735A6"/>
    <w:rsid w:val="00374049"/>
    <w:rsid w:val="00380852"/>
    <w:rsid w:val="00383B8B"/>
    <w:rsid w:val="003846EF"/>
    <w:rsid w:val="00386BB3"/>
    <w:rsid w:val="00392778"/>
    <w:rsid w:val="00396DFD"/>
    <w:rsid w:val="003A28F1"/>
    <w:rsid w:val="003A6453"/>
    <w:rsid w:val="003A6DA0"/>
    <w:rsid w:val="003A7059"/>
    <w:rsid w:val="003B1B29"/>
    <w:rsid w:val="003B7A36"/>
    <w:rsid w:val="003B7A98"/>
    <w:rsid w:val="003C17AB"/>
    <w:rsid w:val="003C4493"/>
    <w:rsid w:val="003C68AC"/>
    <w:rsid w:val="003C7823"/>
    <w:rsid w:val="003D01EE"/>
    <w:rsid w:val="003D2E80"/>
    <w:rsid w:val="003E1DCC"/>
    <w:rsid w:val="003E6331"/>
    <w:rsid w:val="003F11A1"/>
    <w:rsid w:val="003F193B"/>
    <w:rsid w:val="003F60A8"/>
    <w:rsid w:val="003F6A59"/>
    <w:rsid w:val="003F78E3"/>
    <w:rsid w:val="0040464A"/>
    <w:rsid w:val="004065C8"/>
    <w:rsid w:val="004109FA"/>
    <w:rsid w:val="00411B4B"/>
    <w:rsid w:val="004125F0"/>
    <w:rsid w:val="00415BEE"/>
    <w:rsid w:val="004254E9"/>
    <w:rsid w:val="00427F85"/>
    <w:rsid w:val="0043330F"/>
    <w:rsid w:val="0043331B"/>
    <w:rsid w:val="00433815"/>
    <w:rsid w:val="00435E32"/>
    <w:rsid w:val="00436F42"/>
    <w:rsid w:val="004378B4"/>
    <w:rsid w:val="00440198"/>
    <w:rsid w:val="004506F7"/>
    <w:rsid w:val="00451314"/>
    <w:rsid w:val="00452095"/>
    <w:rsid w:val="00452E9D"/>
    <w:rsid w:val="004532E6"/>
    <w:rsid w:val="004534C7"/>
    <w:rsid w:val="004561B9"/>
    <w:rsid w:val="004671AA"/>
    <w:rsid w:val="00471DF8"/>
    <w:rsid w:val="00480FB1"/>
    <w:rsid w:val="00483928"/>
    <w:rsid w:val="004901B0"/>
    <w:rsid w:val="0049771F"/>
    <w:rsid w:val="004A0628"/>
    <w:rsid w:val="004A494A"/>
    <w:rsid w:val="004A60D6"/>
    <w:rsid w:val="004C258B"/>
    <w:rsid w:val="004C331F"/>
    <w:rsid w:val="004C44B0"/>
    <w:rsid w:val="004C6D4B"/>
    <w:rsid w:val="004D0085"/>
    <w:rsid w:val="004D6103"/>
    <w:rsid w:val="004E3BCE"/>
    <w:rsid w:val="004E70AD"/>
    <w:rsid w:val="004F0E97"/>
    <w:rsid w:val="004F17E2"/>
    <w:rsid w:val="00501DD1"/>
    <w:rsid w:val="00505AD1"/>
    <w:rsid w:val="005131CF"/>
    <w:rsid w:val="00515C21"/>
    <w:rsid w:val="005236F3"/>
    <w:rsid w:val="00530BD7"/>
    <w:rsid w:val="0053597B"/>
    <w:rsid w:val="00540886"/>
    <w:rsid w:val="00542D2C"/>
    <w:rsid w:val="00543BC6"/>
    <w:rsid w:val="00545CD2"/>
    <w:rsid w:val="00546146"/>
    <w:rsid w:val="005476F3"/>
    <w:rsid w:val="00553807"/>
    <w:rsid w:val="00553C3C"/>
    <w:rsid w:val="00555C84"/>
    <w:rsid w:val="00567DF0"/>
    <w:rsid w:val="00572527"/>
    <w:rsid w:val="00573E40"/>
    <w:rsid w:val="005759A6"/>
    <w:rsid w:val="00576348"/>
    <w:rsid w:val="00577682"/>
    <w:rsid w:val="005841A5"/>
    <w:rsid w:val="005905A5"/>
    <w:rsid w:val="005975ED"/>
    <w:rsid w:val="005A0B2E"/>
    <w:rsid w:val="005A23D2"/>
    <w:rsid w:val="005A36CB"/>
    <w:rsid w:val="005A5207"/>
    <w:rsid w:val="005A5BC9"/>
    <w:rsid w:val="005A76D1"/>
    <w:rsid w:val="005A7DEF"/>
    <w:rsid w:val="005B165F"/>
    <w:rsid w:val="005B49B8"/>
    <w:rsid w:val="005B6D60"/>
    <w:rsid w:val="005C0741"/>
    <w:rsid w:val="005C5EF4"/>
    <w:rsid w:val="005E2E0B"/>
    <w:rsid w:val="005E5C1A"/>
    <w:rsid w:val="005E67AD"/>
    <w:rsid w:val="005E7A7D"/>
    <w:rsid w:val="005F04B4"/>
    <w:rsid w:val="00602457"/>
    <w:rsid w:val="00604DD3"/>
    <w:rsid w:val="00612382"/>
    <w:rsid w:val="00621FC3"/>
    <w:rsid w:val="00622CF9"/>
    <w:rsid w:val="00625A4C"/>
    <w:rsid w:val="00641259"/>
    <w:rsid w:val="00644FC3"/>
    <w:rsid w:val="00646BD1"/>
    <w:rsid w:val="006561C2"/>
    <w:rsid w:val="006673B6"/>
    <w:rsid w:val="00671CB3"/>
    <w:rsid w:val="00674BAF"/>
    <w:rsid w:val="00682200"/>
    <w:rsid w:val="00690E36"/>
    <w:rsid w:val="00692BF6"/>
    <w:rsid w:val="006947F1"/>
    <w:rsid w:val="00695DEC"/>
    <w:rsid w:val="006A1351"/>
    <w:rsid w:val="006A1497"/>
    <w:rsid w:val="006A1EBC"/>
    <w:rsid w:val="006A4113"/>
    <w:rsid w:val="006A5AAA"/>
    <w:rsid w:val="006A7C9E"/>
    <w:rsid w:val="006B0BD1"/>
    <w:rsid w:val="006B2E2C"/>
    <w:rsid w:val="006B5404"/>
    <w:rsid w:val="006C23C6"/>
    <w:rsid w:val="006C3217"/>
    <w:rsid w:val="006D20A5"/>
    <w:rsid w:val="006D3137"/>
    <w:rsid w:val="006D37BF"/>
    <w:rsid w:val="006D37E4"/>
    <w:rsid w:val="006E1F14"/>
    <w:rsid w:val="006F3FFD"/>
    <w:rsid w:val="006F468E"/>
    <w:rsid w:val="006F4E1A"/>
    <w:rsid w:val="00702E22"/>
    <w:rsid w:val="007103D0"/>
    <w:rsid w:val="00717366"/>
    <w:rsid w:val="0072020E"/>
    <w:rsid w:val="007212D7"/>
    <w:rsid w:val="0072658C"/>
    <w:rsid w:val="00727646"/>
    <w:rsid w:val="00730E92"/>
    <w:rsid w:val="00742B5D"/>
    <w:rsid w:val="0075425D"/>
    <w:rsid w:val="00754902"/>
    <w:rsid w:val="0075563A"/>
    <w:rsid w:val="00757AD9"/>
    <w:rsid w:val="00763CA4"/>
    <w:rsid w:val="00774169"/>
    <w:rsid w:val="007752A3"/>
    <w:rsid w:val="007828DA"/>
    <w:rsid w:val="00784B46"/>
    <w:rsid w:val="00786071"/>
    <w:rsid w:val="0079046B"/>
    <w:rsid w:val="007A3ECB"/>
    <w:rsid w:val="007B3DC3"/>
    <w:rsid w:val="007B7CF5"/>
    <w:rsid w:val="007C2FC4"/>
    <w:rsid w:val="007C5738"/>
    <w:rsid w:val="007D0880"/>
    <w:rsid w:val="007D7BB3"/>
    <w:rsid w:val="007E31E9"/>
    <w:rsid w:val="007E3ACE"/>
    <w:rsid w:val="00811CB0"/>
    <w:rsid w:val="00824AB9"/>
    <w:rsid w:val="00831941"/>
    <w:rsid w:val="00832B3F"/>
    <w:rsid w:val="00836B35"/>
    <w:rsid w:val="00843BDE"/>
    <w:rsid w:val="00852196"/>
    <w:rsid w:val="008545D1"/>
    <w:rsid w:val="008627F4"/>
    <w:rsid w:val="008704FC"/>
    <w:rsid w:val="00870DE7"/>
    <w:rsid w:val="00871217"/>
    <w:rsid w:val="00875774"/>
    <w:rsid w:val="0087588C"/>
    <w:rsid w:val="00876AC8"/>
    <w:rsid w:val="00877DAD"/>
    <w:rsid w:val="00893B5B"/>
    <w:rsid w:val="00893CF3"/>
    <w:rsid w:val="00895927"/>
    <w:rsid w:val="0089705C"/>
    <w:rsid w:val="008972FF"/>
    <w:rsid w:val="00897516"/>
    <w:rsid w:val="008A595A"/>
    <w:rsid w:val="008A6D43"/>
    <w:rsid w:val="008B491E"/>
    <w:rsid w:val="008B492B"/>
    <w:rsid w:val="008C1A28"/>
    <w:rsid w:val="008C2573"/>
    <w:rsid w:val="008C2E98"/>
    <w:rsid w:val="008E3CF8"/>
    <w:rsid w:val="008E49BD"/>
    <w:rsid w:val="008E53E9"/>
    <w:rsid w:val="008E5771"/>
    <w:rsid w:val="008F1D2B"/>
    <w:rsid w:val="008F4ACF"/>
    <w:rsid w:val="0090569C"/>
    <w:rsid w:val="00912EA6"/>
    <w:rsid w:val="009144EC"/>
    <w:rsid w:val="0092192F"/>
    <w:rsid w:val="00924166"/>
    <w:rsid w:val="009244B3"/>
    <w:rsid w:val="00931DDC"/>
    <w:rsid w:val="00933F77"/>
    <w:rsid w:val="00940B9B"/>
    <w:rsid w:val="009466E8"/>
    <w:rsid w:val="00952DE5"/>
    <w:rsid w:val="00953573"/>
    <w:rsid w:val="0095676E"/>
    <w:rsid w:val="00956983"/>
    <w:rsid w:val="00956D0B"/>
    <w:rsid w:val="0096161F"/>
    <w:rsid w:val="00963CF0"/>
    <w:rsid w:val="00964BB1"/>
    <w:rsid w:val="00972027"/>
    <w:rsid w:val="00975071"/>
    <w:rsid w:val="009775D9"/>
    <w:rsid w:val="00982CA6"/>
    <w:rsid w:val="00987ED5"/>
    <w:rsid w:val="00994C80"/>
    <w:rsid w:val="00997175"/>
    <w:rsid w:val="009A0286"/>
    <w:rsid w:val="009A1847"/>
    <w:rsid w:val="009B062A"/>
    <w:rsid w:val="009D5A17"/>
    <w:rsid w:val="009E7C6F"/>
    <w:rsid w:val="009F1793"/>
    <w:rsid w:val="009F2D23"/>
    <w:rsid w:val="009F6234"/>
    <w:rsid w:val="00A01D69"/>
    <w:rsid w:val="00A02335"/>
    <w:rsid w:val="00A224DA"/>
    <w:rsid w:val="00A40818"/>
    <w:rsid w:val="00A43CAD"/>
    <w:rsid w:val="00A46C9A"/>
    <w:rsid w:val="00A50761"/>
    <w:rsid w:val="00A5386C"/>
    <w:rsid w:val="00A60334"/>
    <w:rsid w:val="00A603C0"/>
    <w:rsid w:val="00A619F3"/>
    <w:rsid w:val="00A62A73"/>
    <w:rsid w:val="00A753ED"/>
    <w:rsid w:val="00A851E2"/>
    <w:rsid w:val="00A8740D"/>
    <w:rsid w:val="00A87FF6"/>
    <w:rsid w:val="00A93BAD"/>
    <w:rsid w:val="00A97ABB"/>
    <w:rsid w:val="00AA0A3B"/>
    <w:rsid w:val="00AA1148"/>
    <w:rsid w:val="00AA2763"/>
    <w:rsid w:val="00AA2EAB"/>
    <w:rsid w:val="00AA33B6"/>
    <w:rsid w:val="00AB40BA"/>
    <w:rsid w:val="00AB50CA"/>
    <w:rsid w:val="00AB6D64"/>
    <w:rsid w:val="00AB6F9B"/>
    <w:rsid w:val="00AC45FC"/>
    <w:rsid w:val="00AC53CE"/>
    <w:rsid w:val="00AD2193"/>
    <w:rsid w:val="00AD7EF6"/>
    <w:rsid w:val="00AE0549"/>
    <w:rsid w:val="00AE6DA9"/>
    <w:rsid w:val="00AE7CA9"/>
    <w:rsid w:val="00AF19F4"/>
    <w:rsid w:val="00AF2AC7"/>
    <w:rsid w:val="00AF74CE"/>
    <w:rsid w:val="00B106CA"/>
    <w:rsid w:val="00B10DB1"/>
    <w:rsid w:val="00B208DB"/>
    <w:rsid w:val="00B23F69"/>
    <w:rsid w:val="00B34BEA"/>
    <w:rsid w:val="00B358EF"/>
    <w:rsid w:val="00B42743"/>
    <w:rsid w:val="00B44C7A"/>
    <w:rsid w:val="00B51617"/>
    <w:rsid w:val="00B56A8E"/>
    <w:rsid w:val="00B60619"/>
    <w:rsid w:val="00B64144"/>
    <w:rsid w:val="00B66A70"/>
    <w:rsid w:val="00B67366"/>
    <w:rsid w:val="00B73B9C"/>
    <w:rsid w:val="00B74773"/>
    <w:rsid w:val="00B77A48"/>
    <w:rsid w:val="00B800B3"/>
    <w:rsid w:val="00B80EE1"/>
    <w:rsid w:val="00B83329"/>
    <w:rsid w:val="00B84135"/>
    <w:rsid w:val="00B84966"/>
    <w:rsid w:val="00B9761F"/>
    <w:rsid w:val="00BA0C3D"/>
    <w:rsid w:val="00BA664F"/>
    <w:rsid w:val="00BB0F42"/>
    <w:rsid w:val="00BB322D"/>
    <w:rsid w:val="00BD06B8"/>
    <w:rsid w:val="00BD3D63"/>
    <w:rsid w:val="00BE21F4"/>
    <w:rsid w:val="00C00571"/>
    <w:rsid w:val="00C0105D"/>
    <w:rsid w:val="00C04D34"/>
    <w:rsid w:val="00C05DF8"/>
    <w:rsid w:val="00C06864"/>
    <w:rsid w:val="00C10082"/>
    <w:rsid w:val="00C10F54"/>
    <w:rsid w:val="00C12CF7"/>
    <w:rsid w:val="00C144C0"/>
    <w:rsid w:val="00C1794A"/>
    <w:rsid w:val="00C23D8D"/>
    <w:rsid w:val="00C24479"/>
    <w:rsid w:val="00C25132"/>
    <w:rsid w:val="00C3564D"/>
    <w:rsid w:val="00C37AA3"/>
    <w:rsid w:val="00C37FD7"/>
    <w:rsid w:val="00C43419"/>
    <w:rsid w:val="00C44CF3"/>
    <w:rsid w:val="00C47A3B"/>
    <w:rsid w:val="00C506FF"/>
    <w:rsid w:val="00C61BE0"/>
    <w:rsid w:val="00C62AEE"/>
    <w:rsid w:val="00C62DFC"/>
    <w:rsid w:val="00C64ABF"/>
    <w:rsid w:val="00C667FF"/>
    <w:rsid w:val="00C6707E"/>
    <w:rsid w:val="00C6771F"/>
    <w:rsid w:val="00C67F66"/>
    <w:rsid w:val="00C70B0E"/>
    <w:rsid w:val="00C70B81"/>
    <w:rsid w:val="00C7108D"/>
    <w:rsid w:val="00C773CA"/>
    <w:rsid w:val="00C822FD"/>
    <w:rsid w:val="00C83785"/>
    <w:rsid w:val="00C86652"/>
    <w:rsid w:val="00C871DC"/>
    <w:rsid w:val="00C94C0D"/>
    <w:rsid w:val="00C9630E"/>
    <w:rsid w:val="00CA1FEB"/>
    <w:rsid w:val="00CA3719"/>
    <w:rsid w:val="00CA4401"/>
    <w:rsid w:val="00CB01F6"/>
    <w:rsid w:val="00CB2348"/>
    <w:rsid w:val="00CB6E3A"/>
    <w:rsid w:val="00CC601A"/>
    <w:rsid w:val="00CD14E6"/>
    <w:rsid w:val="00CD4F85"/>
    <w:rsid w:val="00CD6F02"/>
    <w:rsid w:val="00CE246D"/>
    <w:rsid w:val="00CE31A4"/>
    <w:rsid w:val="00CE404E"/>
    <w:rsid w:val="00CE6D7A"/>
    <w:rsid w:val="00CE6D7C"/>
    <w:rsid w:val="00CF07A0"/>
    <w:rsid w:val="00CF3E03"/>
    <w:rsid w:val="00CF746F"/>
    <w:rsid w:val="00D0082A"/>
    <w:rsid w:val="00D07916"/>
    <w:rsid w:val="00D1409C"/>
    <w:rsid w:val="00D21455"/>
    <w:rsid w:val="00D2200C"/>
    <w:rsid w:val="00D420E5"/>
    <w:rsid w:val="00D47634"/>
    <w:rsid w:val="00D47AC3"/>
    <w:rsid w:val="00D47EF9"/>
    <w:rsid w:val="00D504B3"/>
    <w:rsid w:val="00D52C1A"/>
    <w:rsid w:val="00D57246"/>
    <w:rsid w:val="00D60BAF"/>
    <w:rsid w:val="00D60BEB"/>
    <w:rsid w:val="00D627F4"/>
    <w:rsid w:val="00D709B3"/>
    <w:rsid w:val="00D74CD2"/>
    <w:rsid w:val="00D83F72"/>
    <w:rsid w:val="00D84FA5"/>
    <w:rsid w:val="00D92385"/>
    <w:rsid w:val="00D925C1"/>
    <w:rsid w:val="00D9321D"/>
    <w:rsid w:val="00DA2ED6"/>
    <w:rsid w:val="00DB1D55"/>
    <w:rsid w:val="00DB76B8"/>
    <w:rsid w:val="00DC2EA1"/>
    <w:rsid w:val="00DC44C7"/>
    <w:rsid w:val="00DC783C"/>
    <w:rsid w:val="00DD2D2C"/>
    <w:rsid w:val="00DD6AAF"/>
    <w:rsid w:val="00DE2CB8"/>
    <w:rsid w:val="00DE3047"/>
    <w:rsid w:val="00DE3F5C"/>
    <w:rsid w:val="00DE5831"/>
    <w:rsid w:val="00DF1D20"/>
    <w:rsid w:val="00DF2B4D"/>
    <w:rsid w:val="00DF4016"/>
    <w:rsid w:val="00DF723F"/>
    <w:rsid w:val="00E121BE"/>
    <w:rsid w:val="00E1454A"/>
    <w:rsid w:val="00E21324"/>
    <w:rsid w:val="00E246B9"/>
    <w:rsid w:val="00E31FEA"/>
    <w:rsid w:val="00E34909"/>
    <w:rsid w:val="00E45169"/>
    <w:rsid w:val="00E47787"/>
    <w:rsid w:val="00E51C30"/>
    <w:rsid w:val="00E52534"/>
    <w:rsid w:val="00E53FFE"/>
    <w:rsid w:val="00E57710"/>
    <w:rsid w:val="00E6030C"/>
    <w:rsid w:val="00E64180"/>
    <w:rsid w:val="00E6465D"/>
    <w:rsid w:val="00E7235D"/>
    <w:rsid w:val="00E725DE"/>
    <w:rsid w:val="00E74AEE"/>
    <w:rsid w:val="00E74FD9"/>
    <w:rsid w:val="00E8128A"/>
    <w:rsid w:val="00E868E5"/>
    <w:rsid w:val="00E90E02"/>
    <w:rsid w:val="00E9237A"/>
    <w:rsid w:val="00E939FA"/>
    <w:rsid w:val="00E9692D"/>
    <w:rsid w:val="00EA5765"/>
    <w:rsid w:val="00EB13CB"/>
    <w:rsid w:val="00EB27FF"/>
    <w:rsid w:val="00EB6A4B"/>
    <w:rsid w:val="00EB6A88"/>
    <w:rsid w:val="00EC2532"/>
    <w:rsid w:val="00EC407A"/>
    <w:rsid w:val="00EC5F05"/>
    <w:rsid w:val="00ED33E9"/>
    <w:rsid w:val="00ED758D"/>
    <w:rsid w:val="00ED7812"/>
    <w:rsid w:val="00EE14A7"/>
    <w:rsid w:val="00EE47E1"/>
    <w:rsid w:val="00EE4D28"/>
    <w:rsid w:val="00EE5051"/>
    <w:rsid w:val="00EE6EB8"/>
    <w:rsid w:val="00EF1BD0"/>
    <w:rsid w:val="00EF3B86"/>
    <w:rsid w:val="00EF7325"/>
    <w:rsid w:val="00F05B77"/>
    <w:rsid w:val="00F14128"/>
    <w:rsid w:val="00F142CA"/>
    <w:rsid w:val="00F317E9"/>
    <w:rsid w:val="00F34554"/>
    <w:rsid w:val="00F356CC"/>
    <w:rsid w:val="00F35B68"/>
    <w:rsid w:val="00F36D76"/>
    <w:rsid w:val="00F45F77"/>
    <w:rsid w:val="00F5167F"/>
    <w:rsid w:val="00F51E50"/>
    <w:rsid w:val="00F52258"/>
    <w:rsid w:val="00F74D8D"/>
    <w:rsid w:val="00F752D9"/>
    <w:rsid w:val="00F82609"/>
    <w:rsid w:val="00F8570A"/>
    <w:rsid w:val="00F9022F"/>
    <w:rsid w:val="00F91C7B"/>
    <w:rsid w:val="00FA16F5"/>
    <w:rsid w:val="00FA75D8"/>
    <w:rsid w:val="00FA7905"/>
    <w:rsid w:val="00FA7C4A"/>
    <w:rsid w:val="00FC3CB1"/>
    <w:rsid w:val="00FD19EF"/>
    <w:rsid w:val="00FD2618"/>
    <w:rsid w:val="00FD6407"/>
    <w:rsid w:val="00FE13C1"/>
    <w:rsid w:val="00FE1894"/>
    <w:rsid w:val="00FF3EDF"/>
    <w:rsid w:val="00FF55D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C166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5E32"/>
    <w:pPr>
      <w:ind w:left="720"/>
      <w:contextualSpacing/>
    </w:pPr>
  </w:style>
  <w:style w:type="paragraph" w:styleId="Revision">
    <w:name w:val="Revision"/>
    <w:hidden/>
    <w:uiPriority w:val="99"/>
    <w:semiHidden/>
    <w:rsid w:val="00E145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FD33-3EF8-40FA-8FB8-BA506977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24093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13</cp:revision>
  <cp:lastPrinted>2023-02-09T08:16:00Z</cp:lastPrinted>
  <dcterms:created xsi:type="dcterms:W3CDTF">2025-02-04T11:12:00Z</dcterms:created>
  <dcterms:modified xsi:type="dcterms:W3CDTF">2025-02-12T10:56:00Z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