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75F2C" w14:textId="77777777" w:rsidR="002510A5" w:rsidRPr="00402700" w:rsidRDefault="002510A5" w:rsidP="007779BA">
      <w:pPr>
        <w:jc w:val="center"/>
        <w:rPr>
          <w:b/>
          <w:bCs/>
          <w:iCs/>
          <w:noProof/>
          <w:sz w:val="22"/>
          <w:szCs w:val="22"/>
          <w:u w:val="single"/>
          <w:lang w:val="sr-Latn-CS"/>
        </w:rPr>
      </w:pPr>
      <w:r w:rsidRPr="00402700">
        <w:rPr>
          <w:b/>
          <w:bCs/>
          <w:iCs/>
          <w:noProof/>
          <w:sz w:val="22"/>
          <w:szCs w:val="22"/>
          <w:u w:val="single"/>
          <w:lang w:val="sr-Latn-CS"/>
        </w:rPr>
        <w:t>SAŽETAK KARAKTERISTIKA LIJEKA</w:t>
      </w:r>
    </w:p>
    <w:p w14:paraId="0291BA09" w14:textId="77777777" w:rsidR="003C17AB" w:rsidRPr="00402700" w:rsidRDefault="003C17AB" w:rsidP="007779BA">
      <w:pPr>
        <w:rPr>
          <w:noProof/>
          <w:sz w:val="22"/>
          <w:szCs w:val="22"/>
          <w:lang w:val="sr-Latn-CS"/>
        </w:rPr>
      </w:pPr>
    </w:p>
    <w:p w14:paraId="5741B713" w14:textId="4A5DEDF2" w:rsidR="00C37FD7" w:rsidRPr="00402700" w:rsidRDefault="003C17AB" w:rsidP="007779BA">
      <w:pPr>
        <w:tabs>
          <w:tab w:val="left" w:pos="540"/>
          <w:tab w:val="left" w:pos="569"/>
        </w:tabs>
        <w:jc w:val="both"/>
        <w:rPr>
          <w:bCs/>
          <w:noProof/>
          <w:sz w:val="22"/>
          <w:szCs w:val="22"/>
          <w:lang w:val="sr-Latn-CS"/>
        </w:rPr>
      </w:pPr>
      <w:r w:rsidRPr="00402700">
        <w:rPr>
          <w:noProof/>
          <w:sz w:val="22"/>
          <w:szCs w:val="22"/>
          <w:lang w:val="sr-Latn-CS"/>
        </w:rPr>
        <w:t xml:space="preserve"> </w:t>
      </w:r>
    </w:p>
    <w:p w14:paraId="0F192A13" w14:textId="77777777" w:rsidR="00411B4B" w:rsidRPr="00402700" w:rsidRDefault="00411B4B" w:rsidP="007779BA">
      <w:pPr>
        <w:tabs>
          <w:tab w:val="left" w:pos="540"/>
          <w:tab w:val="left" w:pos="569"/>
        </w:tabs>
        <w:rPr>
          <w:b/>
          <w:bCs/>
          <w:noProof/>
          <w:sz w:val="22"/>
          <w:szCs w:val="22"/>
          <w:lang w:val="sr-Latn-CS"/>
        </w:rPr>
      </w:pPr>
      <w:r w:rsidRPr="00402700">
        <w:rPr>
          <w:b/>
          <w:bCs/>
          <w:noProof/>
          <w:sz w:val="22"/>
          <w:szCs w:val="22"/>
          <w:lang w:val="sr-Latn-CS"/>
        </w:rPr>
        <w:t>1.</w:t>
      </w:r>
      <w:r w:rsidR="00F5167F" w:rsidRPr="00402700">
        <w:rPr>
          <w:b/>
          <w:bCs/>
          <w:noProof/>
          <w:sz w:val="22"/>
          <w:szCs w:val="22"/>
          <w:lang w:val="sr-Latn-CS"/>
        </w:rPr>
        <w:tab/>
      </w:r>
      <w:r w:rsidR="002846DB" w:rsidRPr="00402700">
        <w:rPr>
          <w:b/>
          <w:bCs/>
          <w:noProof/>
          <w:sz w:val="22"/>
          <w:szCs w:val="22"/>
          <w:lang w:val="sr-Latn-CS"/>
        </w:rPr>
        <w:t xml:space="preserve">NAZIV </w:t>
      </w:r>
      <w:r w:rsidRPr="00402700">
        <w:rPr>
          <w:b/>
          <w:bCs/>
          <w:noProof/>
          <w:sz w:val="22"/>
          <w:szCs w:val="22"/>
          <w:lang w:val="sr-Latn-CS"/>
        </w:rPr>
        <w:t>LIJEKA</w:t>
      </w:r>
    </w:p>
    <w:p w14:paraId="536FCA08" w14:textId="77777777" w:rsidR="00EC2532" w:rsidRPr="00402700" w:rsidRDefault="00EC2532" w:rsidP="007779BA">
      <w:pPr>
        <w:rPr>
          <w:noProof/>
          <w:sz w:val="22"/>
          <w:szCs w:val="22"/>
          <w:lang w:val="sr-Latn-CS"/>
        </w:rPr>
      </w:pPr>
    </w:p>
    <w:p w14:paraId="49CC6508" w14:textId="79B6234C" w:rsidR="0073219F" w:rsidRPr="00402700" w:rsidRDefault="0073219F" w:rsidP="007779BA">
      <w:pPr>
        <w:rPr>
          <w:bCs/>
          <w:noProof/>
          <w:sz w:val="22"/>
          <w:szCs w:val="22"/>
          <w:lang w:val="sr-Latn-CS"/>
        </w:rPr>
      </w:pPr>
      <w:r w:rsidRPr="00402700">
        <w:rPr>
          <w:bCs/>
          <w:noProof/>
          <w:sz w:val="22"/>
          <w:szCs w:val="22"/>
          <w:lang w:val="sr-Latn-CS"/>
        </w:rPr>
        <w:t>Myfortic, 180 mg, gastrorezistentna tableta</w:t>
      </w:r>
    </w:p>
    <w:p w14:paraId="47663660" w14:textId="5B751797" w:rsidR="000D425A" w:rsidRPr="00402700" w:rsidRDefault="0073219F" w:rsidP="007779BA">
      <w:pPr>
        <w:rPr>
          <w:bCs/>
          <w:noProof/>
          <w:sz w:val="22"/>
          <w:szCs w:val="22"/>
          <w:lang w:val="sr-Latn-CS"/>
        </w:rPr>
      </w:pPr>
      <w:r w:rsidRPr="00402700">
        <w:rPr>
          <w:bCs/>
          <w:noProof/>
          <w:sz w:val="22"/>
          <w:szCs w:val="22"/>
          <w:lang w:val="sr-Latn-CS"/>
        </w:rPr>
        <w:t>Myfortic, 360 mg, gastrorezistentna tableta</w:t>
      </w:r>
    </w:p>
    <w:p w14:paraId="524B51FA" w14:textId="77777777" w:rsidR="002147C6" w:rsidRPr="00402700" w:rsidRDefault="002147C6" w:rsidP="007779BA">
      <w:pPr>
        <w:rPr>
          <w:noProof/>
          <w:sz w:val="22"/>
          <w:szCs w:val="22"/>
          <w:lang w:val="sr-Latn-CS"/>
        </w:rPr>
      </w:pPr>
    </w:p>
    <w:p w14:paraId="3740DFBD" w14:textId="622220A5" w:rsidR="006D20A5" w:rsidRPr="00402700" w:rsidRDefault="006D20A5" w:rsidP="007779BA">
      <w:pPr>
        <w:rPr>
          <w:noProof/>
          <w:sz w:val="22"/>
          <w:szCs w:val="22"/>
          <w:lang w:val="sr-Latn-CS"/>
        </w:rPr>
      </w:pPr>
      <w:r w:rsidRPr="00402700">
        <w:rPr>
          <w:noProof/>
          <w:sz w:val="22"/>
          <w:szCs w:val="22"/>
          <w:lang w:val="sr-Latn-CS"/>
        </w:rPr>
        <w:t>INN:</w:t>
      </w:r>
      <w:r w:rsidR="0073219F" w:rsidRPr="00402700">
        <w:rPr>
          <w:noProof/>
          <w:sz w:val="22"/>
          <w:szCs w:val="22"/>
          <w:lang w:val="sr-Latn-CS"/>
        </w:rPr>
        <w:t xml:space="preserve"> mikofenolna kiselina</w:t>
      </w:r>
    </w:p>
    <w:p w14:paraId="4ED41E7D" w14:textId="77777777" w:rsidR="006D20A5" w:rsidRPr="00402700" w:rsidRDefault="006D20A5" w:rsidP="007779BA">
      <w:pPr>
        <w:rPr>
          <w:bCs/>
          <w:noProof/>
          <w:sz w:val="22"/>
          <w:szCs w:val="22"/>
          <w:lang w:val="sr-Latn-CS"/>
        </w:rPr>
      </w:pPr>
    </w:p>
    <w:p w14:paraId="3AA29088" w14:textId="77777777" w:rsidR="00530BD7" w:rsidRPr="00402700" w:rsidRDefault="00530BD7" w:rsidP="007779BA">
      <w:pPr>
        <w:rPr>
          <w:bCs/>
          <w:noProof/>
          <w:sz w:val="22"/>
          <w:szCs w:val="22"/>
          <w:lang w:val="sr-Latn-CS"/>
        </w:rPr>
      </w:pPr>
    </w:p>
    <w:p w14:paraId="098F7332" w14:textId="77777777" w:rsidR="00411B4B" w:rsidRPr="00402700" w:rsidRDefault="00411B4B" w:rsidP="007779BA">
      <w:pPr>
        <w:tabs>
          <w:tab w:val="left" w:pos="540"/>
          <w:tab w:val="left" w:pos="569"/>
        </w:tabs>
        <w:rPr>
          <w:b/>
          <w:bCs/>
          <w:noProof/>
          <w:sz w:val="22"/>
          <w:szCs w:val="22"/>
          <w:lang w:val="sr-Latn-CS"/>
        </w:rPr>
      </w:pPr>
      <w:r w:rsidRPr="00402700">
        <w:rPr>
          <w:b/>
          <w:bCs/>
          <w:noProof/>
          <w:sz w:val="22"/>
          <w:szCs w:val="22"/>
          <w:lang w:val="sr-Latn-CS"/>
        </w:rPr>
        <w:t xml:space="preserve">2. </w:t>
      </w:r>
      <w:r w:rsidR="00F5167F" w:rsidRPr="00402700">
        <w:rPr>
          <w:b/>
          <w:bCs/>
          <w:noProof/>
          <w:sz w:val="22"/>
          <w:szCs w:val="22"/>
          <w:lang w:val="sr-Latn-CS"/>
        </w:rPr>
        <w:tab/>
      </w:r>
      <w:r w:rsidRPr="00402700">
        <w:rPr>
          <w:b/>
          <w:bCs/>
          <w:noProof/>
          <w:sz w:val="22"/>
          <w:szCs w:val="22"/>
          <w:lang w:val="sr-Latn-CS"/>
        </w:rPr>
        <w:t>KVALITATIVNI I KVANTITATIVNI SASTAV</w:t>
      </w:r>
    </w:p>
    <w:p w14:paraId="5F430B12" w14:textId="77777777" w:rsidR="005A0B2E" w:rsidRPr="00402700" w:rsidRDefault="005A0B2E" w:rsidP="007779BA">
      <w:pPr>
        <w:rPr>
          <w:noProof/>
          <w:sz w:val="22"/>
          <w:szCs w:val="22"/>
          <w:lang w:val="sr-Latn-CS"/>
        </w:rPr>
      </w:pPr>
    </w:p>
    <w:p w14:paraId="63653B4B" w14:textId="77777777" w:rsidR="0073219F" w:rsidRPr="00402700" w:rsidRDefault="0073219F" w:rsidP="002C32CA">
      <w:pPr>
        <w:shd w:val="clear" w:color="auto" w:fill="FFFFFF"/>
        <w:jc w:val="both"/>
        <w:rPr>
          <w:noProof/>
          <w:sz w:val="22"/>
          <w:szCs w:val="22"/>
          <w:lang w:val="sr-Latn-CS"/>
        </w:rPr>
      </w:pPr>
      <w:r w:rsidRPr="00402700">
        <w:rPr>
          <w:noProof/>
          <w:sz w:val="22"/>
          <w:szCs w:val="22"/>
          <w:lang w:val="sr-Latn-CS"/>
        </w:rPr>
        <w:t xml:space="preserve">Aktivna supstanca: mikofenolat natrijum. </w:t>
      </w:r>
    </w:p>
    <w:p w14:paraId="3DA0A75B" w14:textId="09FFDBE2" w:rsidR="0073219F" w:rsidRPr="00402700" w:rsidRDefault="002147C6" w:rsidP="002C32CA">
      <w:pPr>
        <w:shd w:val="clear" w:color="auto" w:fill="FFFFFF"/>
        <w:jc w:val="both"/>
        <w:rPr>
          <w:noProof/>
          <w:sz w:val="22"/>
          <w:szCs w:val="22"/>
          <w:lang w:val="sr-Latn-CS"/>
        </w:rPr>
      </w:pPr>
      <w:r w:rsidRPr="00402700">
        <w:rPr>
          <w:i/>
          <w:noProof/>
          <w:sz w:val="22"/>
          <w:szCs w:val="22"/>
          <w:lang w:val="sr-Latn-CS"/>
        </w:rPr>
        <w:t>Myfortic, 180 mg, gastrorezistentna tableta</w:t>
      </w:r>
      <w:r w:rsidRPr="00402700">
        <w:rPr>
          <w:noProof/>
          <w:sz w:val="22"/>
          <w:szCs w:val="22"/>
          <w:lang w:val="sr-Latn-CS"/>
        </w:rPr>
        <w:t>: Jedna tableta</w:t>
      </w:r>
      <w:r w:rsidR="0073219F" w:rsidRPr="00402700">
        <w:rPr>
          <w:noProof/>
          <w:sz w:val="22"/>
          <w:szCs w:val="22"/>
          <w:lang w:val="sr-Latn-CS"/>
        </w:rPr>
        <w:t xml:space="preserve"> sadrži 180 mg mikofenolne kiseline u obliku mikofenolat natrijuma.</w:t>
      </w:r>
    </w:p>
    <w:p w14:paraId="5741123E" w14:textId="37A31CAF" w:rsidR="0073219F" w:rsidRPr="00402700" w:rsidRDefault="002147C6" w:rsidP="002C32CA">
      <w:pPr>
        <w:shd w:val="clear" w:color="auto" w:fill="FFFFFF"/>
        <w:jc w:val="both"/>
        <w:rPr>
          <w:noProof/>
          <w:sz w:val="22"/>
          <w:szCs w:val="22"/>
          <w:lang w:val="sr-Latn-CS"/>
        </w:rPr>
      </w:pPr>
      <w:r w:rsidRPr="00402700">
        <w:rPr>
          <w:i/>
          <w:noProof/>
          <w:sz w:val="22"/>
          <w:szCs w:val="22"/>
          <w:lang w:val="sr-Latn-CS"/>
        </w:rPr>
        <w:t>Myfortic, 360 mg, gastrorezistentna tableta</w:t>
      </w:r>
      <w:r w:rsidRPr="00402700">
        <w:rPr>
          <w:noProof/>
          <w:sz w:val="22"/>
          <w:szCs w:val="22"/>
          <w:lang w:val="sr-Latn-CS"/>
        </w:rPr>
        <w:t xml:space="preserve">: Jedna tableta </w:t>
      </w:r>
      <w:r w:rsidR="0073219F" w:rsidRPr="00402700">
        <w:rPr>
          <w:noProof/>
          <w:sz w:val="22"/>
          <w:szCs w:val="22"/>
          <w:lang w:val="sr-Latn-CS"/>
        </w:rPr>
        <w:t>sadrži 360 mg mikofenolne kiseline u obliku mikofenolat natrijuma.</w:t>
      </w:r>
    </w:p>
    <w:p w14:paraId="286DACF6" w14:textId="77777777" w:rsidR="002147C6" w:rsidRPr="00402700" w:rsidRDefault="002147C6" w:rsidP="002C32CA">
      <w:pPr>
        <w:shd w:val="clear" w:color="auto" w:fill="FFFFFF"/>
        <w:jc w:val="both"/>
        <w:rPr>
          <w:noProof/>
          <w:sz w:val="22"/>
          <w:szCs w:val="22"/>
          <w:lang w:val="sr-Latn-CS"/>
        </w:rPr>
      </w:pPr>
    </w:p>
    <w:p w14:paraId="7665B999" w14:textId="7362F2ED" w:rsidR="0073219F" w:rsidRPr="00402700" w:rsidRDefault="0073219F" w:rsidP="002C32CA">
      <w:pPr>
        <w:shd w:val="clear" w:color="auto" w:fill="FFFFFF"/>
        <w:jc w:val="both"/>
        <w:rPr>
          <w:noProof/>
          <w:sz w:val="22"/>
          <w:szCs w:val="22"/>
          <w:lang w:val="sr-Latn-CS"/>
        </w:rPr>
      </w:pPr>
      <w:r w:rsidRPr="00402700">
        <w:rPr>
          <w:noProof/>
          <w:sz w:val="22"/>
          <w:szCs w:val="22"/>
          <w:lang w:val="sr-Latn-CS"/>
        </w:rPr>
        <w:t>Pomoćn</w:t>
      </w:r>
      <w:r w:rsidR="002147C6" w:rsidRPr="00402700">
        <w:rPr>
          <w:noProof/>
          <w:sz w:val="22"/>
          <w:szCs w:val="22"/>
          <w:lang w:val="sr-Latn-CS"/>
        </w:rPr>
        <w:t>a</w:t>
      </w:r>
      <w:r w:rsidRPr="00402700">
        <w:rPr>
          <w:noProof/>
          <w:sz w:val="22"/>
          <w:szCs w:val="22"/>
          <w:lang w:val="sr-Latn-CS"/>
        </w:rPr>
        <w:t xml:space="preserve"> supstanc</w:t>
      </w:r>
      <w:r w:rsidR="000800C6" w:rsidRPr="00402700">
        <w:rPr>
          <w:noProof/>
          <w:sz w:val="22"/>
          <w:szCs w:val="22"/>
          <w:lang w:val="sr-Latn-CS"/>
        </w:rPr>
        <w:t>a</w:t>
      </w:r>
      <w:r w:rsidR="002147C6" w:rsidRPr="00402700">
        <w:rPr>
          <w:noProof/>
          <w:sz w:val="22"/>
          <w:szCs w:val="22"/>
          <w:lang w:val="sr-Latn-CS"/>
        </w:rPr>
        <w:t xml:space="preserve"> sa poznatim dejstvom</w:t>
      </w:r>
      <w:r w:rsidRPr="00402700">
        <w:rPr>
          <w:noProof/>
          <w:sz w:val="22"/>
          <w:szCs w:val="22"/>
          <w:lang w:val="sr-Latn-CS"/>
        </w:rPr>
        <w:t>:</w:t>
      </w:r>
      <w:r w:rsidR="002147C6" w:rsidRPr="00402700">
        <w:rPr>
          <w:noProof/>
          <w:sz w:val="22"/>
          <w:szCs w:val="22"/>
          <w:lang w:val="sr-Latn-CS"/>
        </w:rPr>
        <w:t xml:space="preserve"> laktoza, bezvodna.</w:t>
      </w:r>
    </w:p>
    <w:p w14:paraId="0AD7766D" w14:textId="7C4C33F2" w:rsidR="002147C6" w:rsidRPr="00402700" w:rsidRDefault="002147C6" w:rsidP="002C32CA">
      <w:pPr>
        <w:shd w:val="clear" w:color="auto" w:fill="FFFFFF"/>
        <w:jc w:val="both"/>
        <w:rPr>
          <w:noProof/>
          <w:sz w:val="22"/>
          <w:szCs w:val="22"/>
          <w:lang w:val="sr-Latn-CS"/>
        </w:rPr>
      </w:pPr>
      <w:r w:rsidRPr="00402700">
        <w:rPr>
          <w:i/>
          <w:noProof/>
          <w:sz w:val="22"/>
          <w:szCs w:val="22"/>
          <w:lang w:val="sr-Latn-CS"/>
        </w:rPr>
        <w:t>Myfortic, 180 mg, gastrorezistentna tableta</w:t>
      </w:r>
      <w:r w:rsidRPr="00402700">
        <w:rPr>
          <w:noProof/>
          <w:sz w:val="22"/>
          <w:szCs w:val="22"/>
          <w:lang w:val="sr-Latn-CS"/>
        </w:rPr>
        <w:t xml:space="preserve">: Jedna tableta sadrži </w:t>
      </w:r>
      <w:r w:rsidR="0073219F" w:rsidRPr="00402700">
        <w:rPr>
          <w:noProof/>
          <w:sz w:val="22"/>
          <w:szCs w:val="22"/>
          <w:lang w:val="sr-Latn-CS"/>
        </w:rPr>
        <w:t xml:space="preserve">45 mg </w:t>
      </w:r>
      <w:r w:rsidRPr="00402700">
        <w:rPr>
          <w:noProof/>
          <w:sz w:val="22"/>
          <w:szCs w:val="22"/>
          <w:lang w:val="sr-Latn-CS"/>
        </w:rPr>
        <w:t>laktoze, bezvodne.</w:t>
      </w:r>
      <w:r w:rsidR="0073219F" w:rsidRPr="00402700">
        <w:rPr>
          <w:noProof/>
          <w:sz w:val="22"/>
          <w:szCs w:val="22"/>
          <w:lang w:val="sr-Latn-CS"/>
        </w:rPr>
        <w:t xml:space="preserve"> </w:t>
      </w:r>
    </w:p>
    <w:p w14:paraId="4A78C6A1" w14:textId="1271B457" w:rsidR="002147C6" w:rsidRPr="00402700" w:rsidRDefault="002147C6" w:rsidP="002147C6">
      <w:pPr>
        <w:shd w:val="clear" w:color="auto" w:fill="FFFFFF"/>
        <w:jc w:val="both"/>
        <w:rPr>
          <w:noProof/>
          <w:sz w:val="22"/>
          <w:szCs w:val="22"/>
          <w:lang w:val="sr-Latn-CS"/>
        </w:rPr>
      </w:pPr>
      <w:r w:rsidRPr="00402700">
        <w:rPr>
          <w:i/>
          <w:noProof/>
          <w:sz w:val="22"/>
          <w:szCs w:val="22"/>
          <w:lang w:val="sr-Latn-CS"/>
        </w:rPr>
        <w:t>Myfortic, 360 mg, gastrorezistentna tableta</w:t>
      </w:r>
      <w:r w:rsidRPr="00402700">
        <w:rPr>
          <w:noProof/>
          <w:sz w:val="22"/>
          <w:szCs w:val="22"/>
          <w:lang w:val="sr-Latn-CS"/>
        </w:rPr>
        <w:t xml:space="preserve">: Jedna tableta sadrži </w:t>
      </w:r>
      <w:r w:rsidR="0073219F" w:rsidRPr="00402700">
        <w:rPr>
          <w:noProof/>
          <w:sz w:val="22"/>
          <w:szCs w:val="22"/>
          <w:lang w:val="sr-Latn-CS"/>
        </w:rPr>
        <w:t xml:space="preserve">90 mg  </w:t>
      </w:r>
      <w:r w:rsidRPr="00402700">
        <w:rPr>
          <w:noProof/>
          <w:sz w:val="22"/>
          <w:szCs w:val="22"/>
          <w:lang w:val="sr-Latn-CS"/>
        </w:rPr>
        <w:t xml:space="preserve">laktoze, bezvodne. </w:t>
      </w:r>
    </w:p>
    <w:p w14:paraId="3C15BD8F" w14:textId="77777777" w:rsidR="0073219F" w:rsidRPr="00402700" w:rsidRDefault="0073219F" w:rsidP="002147C6">
      <w:pPr>
        <w:shd w:val="clear" w:color="auto" w:fill="FFFFFF"/>
        <w:jc w:val="both"/>
        <w:rPr>
          <w:noProof/>
          <w:sz w:val="22"/>
          <w:szCs w:val="22"/>
          <w:lang w:val="sr-Latn-CS"/>
        </w:rPr>
      </w:pPr>
    </w:p>
    <w:p w14:paraId="41009ABE" w14:textId="6D2B4EE6" w:rsidR="0003793F" w:rsidRPr="00402700" w:rsidRDefault="0003793F" w:rsidP="002C32CA">
      <w:pPr>
        <w:jc w:val="both"/>
        <w:rPr>
          <w:noProof/>
          <w:sz w:val="22"/>
          <w:szCs w:val="22"/>
          <w:lang w:val="sr-Latn-CS"/>
        </w:rPr>
      </w:pPr>
      <w:r w:rsidRPr="00402700">
        <w:rPr>
          <w:noProof/>
          <w:sz w:val="22"/>
          <w:szCs w:val="22"/>
          <w:lang w:val="sr-Latn-CS"/>
        </w:rPr>
        <w:t>Za spisak svih ekscipijenasa, pogledati dio 6.1.</w:t>
      </w:r>
    </w:p>
    <w:p w14:paraId="4F3D48AF" w14:textId="445E850E" w:rsidR="00C37FD7" w:rsidRPr="00402700" w:rsidRDefault="00C37FD7" w:rsidP="007779BA">
      <w:pPr>
        <w:rPr>
          <w:noProof/>
          <w:sz w:val="22"/>
          <w:szCs w:val="22"/>
          <w:lang w:val="sr-Latn-CS"/>
        </w:rPr>
      </w:pPr>
    </w:p>
    <w:p w14:paraId="7923560E" w14:textId="77777777" w:rsidR="007779BA" w:rsidRPr="00402700" w:rsidRDefault="007779BA" w:rsidP="007779BA">
      <w:pPr>
        <w:rPr>
          <w:noProof/>
          <w:sz w:val="22"/>
          <w:szCs w:val="22"/>
          <w:lang w:val="sr-Latn-CS"/>
        </w:rPr>
      </w:pPr>
    </w:p>
    <w:p w14:paraId="7D1A3D5C" w14:textId="1F1E2A2E" w:rsidR="00411B4B" w:rsidRPr="00402700" w:rsidRDefault="00411B4B" w:rsidP="007779BA">
      <w:pPr>
        <w:tabs>
          <w:tab w:val="left" w:pos="540"/>
          <w:tab w:val="left" w:pos="569"/>
        </w:tabs>
        <w:rPr>
          <w:b/>
          <w:bCs/>
          <w:noProof/>
          <w:sz w:val="22"/>
          <w:szCs w:val="22"/>
          <w:lang w:val="sr-Latn-CS"/>
        </w:rPr>
      </w:pPr>
      <w:r w:rsidRPr="00402700">
        <w:rPr>
          <w:b/>
          <w:bCs/>
          <w:noProof/>
          <w:sz w:val="22"/>
          <w:szCs w:val="22"/>
          <w:lang w:val="sr-Latn-CS"/>
        </w:rPr>
        <w:t xml:space="preserve">3. </w:t>
      </w:r>
      <w:r w:rsidR="00F5167F" w:rsidRPr="00402700">
        <w:rPr>
          <w:b/>
          <w:bCs/>
          <w:noProof/>
          <w:sz w:val="22"/>
          <w:szCs w:val="22"/>
          <w:lang w:val="sr-Latn-CS"/>
        </w:rPr>
        <w:tab/>
      </w:r>
      <w:r w:rsidRPr="00402700">
        <w:rPr>
          <w:b/>
          <w:bCs/>
          <w:noProof/>
          <w:sz w:val="22"/>
          <w:szCs w:val="22"/>
          <w:lang w:val="sr-Latn-CS"/>
        </w:rPr>
        <w:t>FARMACEUTSKI OBLIK</w:t>
      </w:r>
      <w:r w:rsidR="009F2D23" w:rsidRPr="00402700">
        <w:rPr>
          <w:b/>
          <w:bCs/>
          <w:noProof/>
          <w:sz w:val="22"/>
          <w:szCs w:val="22"/>
          <w:lang w:val="sr-Latn-CS"/>
        </w:rPr>
        <w:t xml:space="preserve"> </w:t>
      </w:r>
    </w:p>
    <w:p w14:paraId="6344F5AF" w14:textId="77777777" w:rsidR="007779BA" w:rsidRPr="00402700" w:rsidRDefault="007779BA" w:rsidP="007779BA">
      <w:pPr>
        <w:tabs>
          <w:tab w:val="left" w:pos="540"/>
          <w:tab w:val="left" w:pos="569"/>
        </w:tabs>
        <w:rPr>
          <w:b/>
          <w:bCs/>
          <w:noProof/>
          <w:sz w:val="22"/>
          <w:szCs w:val="22"/>
          <w:lang w:val="sr-Latn-CS"/>
        </w:rPr>
      </w:pPr>
    </w:p>
    <w:p w14:paraId="4C2667A0" w14:textId="77777777" w:rsidR="0073219F" w:rsidRPr="00402700" w:rsidRDefault="0073219F" w:rsidP="002C32CA">
      <w:pPr>
        <w:shd w:val="clear" w:color="auto" w:fill="FFFFFF"/>
        <w:jc w:val="both"/>
        <w:rPr>
          <w:noProof/>
          <w:sz w:val="22"/>
          <w:szCs w:val="22"/>
          <w:lang w:val="sr-Latn-CS"/>
        </w:rPr>
      </w:pPr>
      <w:r w:rsidRPr="00402700">
        <w:rPr>
          <w:noProof/>
          <w:sz w:val="22"/>
          <w:szCs w:val="22"/>
          <w:lang w:val="sr-Latn-CS"/>
        </w:rPr>
        <w:t>Gastrorezistentna tableta.</w:t>
      </w:r>
    </w:p>
    <w:p w14:paraId="15D4C536" w14:textId="77777777" w:rsidR="002147C6" w:rsidRPr="00402700" w:rsidRDefault="002147C6" w:rsidP="002C32CA">
      <w:pPr>
        <w:shd w:val="clear" w:color="auto" w:fill="FFFFFF"/>
        <w:tabs>
          <w:tab w:val="left" w:pos="965"/>
        </w:tabs>
        <w:jc w:val="both"/>
        <w:rPr>
          <w:bCs/>
          <w:noProof/>
          <w:sz w:val="22"/>
          <w:szCs w:val="22"/>
          <w:lang w:val="sr-Latn-CS"/>
        </w:rPr>
      </w:pPr>
    </w:p>
    <w:p w14:paraId="37F17395" w14:textId="77777777" w:rsidR="002147C6" w:rsidRPr="00402700" w:rsidRDefault="002147C6" w:rsidP="002C32CA">
      <w:pPr>
        <w:shd w:val="clear" w:color="auto" w:fill="FFFFFF"/>
        <w:tabs>
          <w:tab w:val="left" w:pos="965"/>
        </w:tabs>
        <w:jc w:val="both"/>
        <w:rPr>
          <w:noProof/>
          <w:sz w:val="22"/>
          <w:szCs w:val="22"/>
          <w:lang w:val="sr-Latn-CS"/>
        </w:rPr>
      </w:pPr>
      <w:r w:rsidRPr="00402700">
        <w:rPr>
          <w:i/>
          <w:noProof/>
          <w:sz w:val="22"/>
          <w:szCs w:val="22"/>
          <w:lang w:val="sr-Latn-CS"/>
        </w:rPr>
        <w:t>Myfortic, 180 mg, gastrorezistentna tableta</w:t>
      </w:r>
      <w:r w:rsidRPr="00402700">
        <w:rPr>
          <w:noProof/>
          <w:sz w:val="22"/>
          <w:szCs w:val="22"/>
          <w:lang w:val="sr-Latn-CS"/>
        </w:rPr>
        <w:t xml:space="preserve">: </w:t>
      </w:r>
    </w:p>
    <w:p w14:paraId="78624268" w14:textId="62E71B82" w:rsidR="0073219F" w:rsidRPr="00402700" w:rsidRDefault="002147C6" w:rsidP="002C32CA">
      <w:pPr>
        <w:shd w:val="clear" w:color="auto" w:fill="FFFFFF"/>
        <w:tabs>
          <w:tab w:val="left" w:pos="965"/>
        </w:tabs>
        <w:jc w:val="both"/>
        <w:rPr>
          <w:noProof/>
          <w:sz w:val="22"/>
          <w:szCs w:val="22"/>
          <w:lang w:val="sr-Latn-CS"/>
        </w:rPr>
      </w:pPr>
      <w:r w:rsidRPr="00402700">
        <w:rPr>
          <w:noProof/>
          <w:sz w:val="22"/>
          <w:szCs w:val="22"/>
          <w:lang w:val="sr-Latn-CS"/>
        </w:rPr>
        <w:t>O</w:t>
      </w:r>
      <w:r w:rsidR="0073219F" w:rsidRPr="00402700">
        <w:rPr>
          <w:noProof/>
          <w:sz w:val="22"/>
          <w:szCs w:val="22"/>
          <w:lang w:val="sr-Latn-CS"/>
        </w:rPr>
        <w:t>krugle, fasetiranih ivica, svijetlozelene boje, filmom obložene tablete koje na jednoj strani imaju utisnutu oznaku "C".</w:t>
      </w:r>
    </w:p>
    <w:p w14:paraId="44C725A7" w14:textId="307E72F1" w:rsidR="002147C6" w:rsidRPr="00402700" w:rsidRDefault="002147C6" w:rsidP="002C32CA">
      <w:pPr>
        <w:shd w:val="clear" w:color="auto" w:fill="FFFFFF"/>
        <w:tabs>
          <w:tab w:val="left" w:pos="965"/>
        </w:tabs>
        <w:jc w:val="both"/>
        <w:rPr>
          <w:noProof/>
          <w:sz w:val="22"/>
          <w:szCs w:val="22"/>
          <w:lang w:val="sr-Latn-CS"/>
        </w:rPr>
      </w:pPr>
      <w:r w:rsidRPr="00402700">
        <w:rPr>
          <w:i/>
          <w:noProof/>
          <w:sz w:val="22"/>
          <w:szCs w:val="22"/>
          <w:lang w:val="sr-Latn-CS"/>
        </w:rPr>
        <w:t>Myfortic, 360 mg, gastrorezistentna tableta</w:t>
      </w:r>
      <w:r w:rsidRPr="00402700">
        <w:rPr>
          <w:noProof/>
          <w:sz w:val="22"/>
          <w:szCs w:val="22"/>
          <w:lang w:val="sr-Latn-CS"/>
        </w:rPr>
        <w:t xml:space="preserve">: </w:t>
      </w:r>
      <w:r w:rsidR="0073219F" w:rsidRPr="00402700">
        <w:rPr>
          <w:noProof/>
          <w:sz w:val="22"/>
          <w:szCs w:val="22"/>
          <w:lang w:val="sr-Latn-CS"/>
        </w:rPr>
        <w:t xml:space="preserve"> </w:t>
      </w:r>
    </w:p>
    <w:p w14:paraId="72B0DFD0" w14:textId="4D0F1314" w:rsidR="00411B4B" w:rsidRPr="00402700" w:rsidRDefault="002147C6" w:rsidP="002C32CA">
      <w:pPr>
        <w:shd w:val="clear" w:color="auto" w:fill="FFFFFF"/>
        <w:tabs>
          <w:tab w:val="left" w:pos="965"/>
        </w:tabs>
        <w:jc w:val="both"/>
        <w:rPr>
          <w:noProof/>
          <w:sz w:val="22"/>
          <w:szCs w:val="22"/>
          <w:lang w:val="sr-Latn-CS"/>
        </w:rPr>
      </w:pPr>
      <w:r w:rsidRPr="00402700">
        <w:rPr>
          <w:noProof/>
          <w:sz w:val="22"/>
          <w:szCs w:val="22"/>
          <w:lang w:val="sr-Latn-CS"/>
        </w:rPr>
        <w:t>D</w:t>
      </w:r>
      <w:r w:rsidR="0073219F" w:rsidRPr="00402700">
        <w:rPr>
          <w:noProof/>
          <w:sz w:val="22"/>
          <w:szCs w:val="22"/>
          <w:lang w:val="sr-Latn-CS"/>
        </w:rPr>
        <w:t>uguljaste, blijedo narandžastocrvene boje, filmom obložene</w:t>
      </w:r>
      <w:r w:rsidR="00402700">
        <w:rPr>
          <w:noProof/>
          <w:sz w:val="22"/>
          <w:szCs w:val="22"/>
          <w:lang w:val="sr-Latn-CS"/>
        </w:rPr>
        <w:t xml:space="preserve"> tablete</w:t>
      </w:r>
      <w:r w:rsidR="0073219F" w:rsidRPr="00402700">
        <w:rPr>
          <w:noProof/>
          <w:sz w:val="22"/>
          <w:szCs w:val="22"/>
          <w:lang w:val="sr-Latn-CS"/>
        </w:rPr>
        <w:t xml:space="preserve"> koje na jednoj strani imaju utisnutu oznaku"CT".</w:t>
      </w:r>
    </w:p>
    <w:p w14:paraId="06873643" w14:textId="1B9D4BA1" w:rsidR="00EC2532" w:rsidRPr="00402700" w:rsidRDefault="00EC2532" w:rsidP="002C32CA">
      <w:pPr>
        <w:jc w:val="both"/>
        <w:rPr>
          <w:bCs/>
          <w:noProof/>
          <w:sz w:val="22"/>
          <w:szCs w:val="22"/>
          <w:lang w:val="sr-Latn-CS"/>
        </w:rPr>
      </w:pPr>
    </w:p>
    <w:p w14:paraId="7C6B2937" w14:textId="77777777" w:rsidR="007779BA" w:rsidRPr="00402700" w:rsidRDefault="007779BA" w:rsidP="002C32CA">
      <w:pPr>
        <w:jc w:val="both"/>
        <w:rPr>
          <w:bCs/>
          <w:noProof/>
          <w:sz w:val="22"/>
          <w:szCs w:val="22"/>
          <w:lang w:val="sr-Latn-CS"/>
        </w:rPr>
      </w:pPr>
    </w:p>
    <w:p w14:paraId="0C395A05" w14:textId="77777777"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 xml:space="preserve">4. </w:t>
      </w:r>
      <w:r w:rsidR="00480FB1" w:rsidRPr="00402700">
        <w:rPr>
          <w:b/>
          <w:bCs/>
          <w:noProof/>
          <w:sz w:val="22"/>
          <w:szCs w:val="22"/>
          <w:lang w:val="sr-Latn-CS"/>
        </w:rPr>
        <w:tab/>
      </w:r>
      <w:r w:rsidRPr="00402700">
        <w:rPr>
          <w:b/>
          <w:bCs/>
          <w:noProof/>
          <w:sz w:val="22"/>
          <w:szCs w:val="22"/>
          <w:lang w:val="sr-Latn-CS"/>
        </w:rPr>
        <w:t>KLINIČKI PODACI</w:t>
      </w:r>
    </w:p>
    <w:p w14:paraId="0F3F35B4" w14:textId="77777777" w:rsidR="00CD6F02" w:rsidRPr="00402700" w:rsidRDefault="00CD6F02" w:rsidP="002C32CA">
      <w:pPr>
        <w:tabs>
          <w:tab w:val="left" w:pos="540"/>
          <w:tab w:val="left" w:pos="569"/>
        </w:tabs>
        <w:jc w:val="both"/>
        <w:rPr>
          <w:bCs/>
          <w:noProof/>
          <w:sz w:val="22"/>
          <w:szCs w:val="22"/>
          <w:lang w:val="sr-Latn-CS"/>
        </w:rPr>
      </w:pPr>
    </w:p>
    <w:p w14:paraId="06FC0399" w14:textId="0B2369DF"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 xml:space="preserve">4.1. </w:t>
      </w:r>
      <w:r w:rsidR="00480FB1" w:rsidRPr="00402700">
        <w:rPr>
          <w:b/>
          <w:bCs/>
          <w:noProof/>
          <w:sz w:val="22"/>
          <w:szCs w:val="22"/>
          <w:lang w:val="sr-Latn-CS"/>
        </w:rPr>
        <w:tab/>
      </w:r>
      <w:r w:rsidRPr="00402700">
        <w:rPr>
          <w:b/>
          <w:bCs/>
          <w:noProof/>
          <w:sz w:val="22"/>
          <w:szCs w:val="22"/>
          <w:lang w:val="sr-Latn-CS"/>
        </w:rPr>
        <w:t>Terapijske indikacije</w:t>
      </w:r>
    </w:p>
    <w:p w14:paraId="68A14EF3" w14:textId="77777777" w:rsidR="007779BA" w:rsidRPr="00402700" w:rsidRDefault="007779BA" w:rsidP="002C32CA">
      <w:pPr>
        <w:tabs>
          <w:tab w:val="left" w:pos="540"/>
          <w:tab w:val="left" w:pos="569"/>
        </w:tabs>
        <w:jc w:val="both"/>
        <w:rPr>
          <w:b/>
          <w:bCs/>
          <w:noProof/>
          <w:sz w:val="22"/>
          <w:szCs w:val="22"/>
          <w:lang w:val="sr-Latn-CS"/>
        </w:rPr>
      </w:pPr>
    </w:p>
    <w:p w14:paraId="0E288306" w14:textId="77777777" w:rsidR="00305B76" w:rsidRPr="00402700" w:rsidRDefault="00305B76" w:rsidP="002C32CA">
      <w:pPr>
        <w:shd w:val="clear" w:color="auto" w:fill="FFFFFF"/>
        <w:tabs>
          <w:tab w:val="left" w:pos="965"/>
        </w:tabs>
        <w:jc w:val="both"/>
        <w:rPr>
          <w:noProof/>
          <w:sz w:val="22"/>
          <w:szCs w:val="22"/>
          <w:lang w:val="sr-Latn-CS"/>
        </w:rPr>
      </w:pPr>
      <w:r w:rsidRPr="00402700">
        <w:rPr>
          <w:bCs/>
          <w:noProof/>
          <w:sz w:val="22"/>
          <w:szCs w:val="22"/>
          <w:lang w:val="sr-Latn-CS"/>
        </w:rPr>
        <w:t xml:space="preserve">Myfortic </w:t>
      </w:r>
      <w:r w:rsidRPr="00402700">
        <w:rPr>
          <w:noProof/>
          <w:sz w:val="22"/>
          <w:szCs w:val="22"/>
          <w:lang w:val="sr-Latn-CS"/>
        </w:rPr>
        <w:t>je indikovan za profilaksu akutnog odbacivanja transplantata kod pacijenata koji su primili alogeni bubrežni transplantat, a daje se u kombinaciji sa ciklosporinom i kortikosteroidima.</w:t>
      </w:r>
    </w:p>
    <w:p w14:paraId="0D22C9D2" w14:textId="77777777" w:rsidR="00411B4B" w:rsidRPr="00402700" w:rsidRDefault="00411B4B" w:rsidP="002C32CA">
      <w:pPr>
        <w:tabs>
          <w:tab w:val="left" w:pos="540"/>
          <w:tab w:val="left" w:pos="569"/>
        </w:tabs>
        <w:jc w:val="both"/>
        <w:rPr>
          <w:bCs/>
          <w:noProof/>
          <w:sz w:val="22"/>
          <w:szCs w:val="22"/>
          <w:lang w:val="sr-Latn-CS"/>
        </w:rPr>
      </w:pPr>
    </w:p>
    <w:p w14:paraId="0AA52A79" w14:textId="4DBF5FBC"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 xml:space="preserve">4.2. </w:t>
      </w:r>
      <w:r w:rsidR="00480FB1" w:rsidRPr="00402700">
        <w:rPr>
          <w:b/>
          <w:bCs/>
          <w:noProof/>
          <w:sz w:val="22"/>
          <w:szCs w:val="22"/>
          <w:lang w:val="sr-Latn-CS"/>
        </w:rPr>
        <w:tab/>
      </w:r>
      <w:r w:rsidRPr="00402700">
        <w:rPr>
          <w:b/>
          <w:bCs/>
          <w:noProof/>
          <w:sz w:val="22"/>
          <w:szCs w:val="22"/>
          <w:lang w:val="sr-Latn-CS"/>
        </w:rPr>
        <w:t>Doziranje i način primjene</w:t>
      </w:r>
    </w:p>
    <w:p w14:paraId="41C89B1E" w14:textId="77777777" w:rsidR="007779BA" w:rsidRPr="00402700" w:rsidRDefault="007779BA" w:rsidP="002C32CA">
      <w:pPr>
        <w:tabs>
          <w:tab w:val="left" w:pos="540"/>
          <w:tab w:val="left" w:pos="569"/>
        </w:tabs>
        <w:jc w:val="both"/>
        <w:rPr>
          <w:b/>
          <w:bCs/>
          <w:noProof/>
          <w:sz w:val="22"/>
          <w:szCs w:val="22"/>
          <w:lang w:val="sr-Latn-CS"/>
        </w:rPr>
      </w:pPr>
    </w:p>
    <w:p w14:paraId="74E11342" w14:textId="77777777"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 xml:space="preserve">Liječenje lijekom </w:t>
      </w:r>
      <w:r w:rsidRPr="00402700">
        <w:rPr>
          <w:bCs/>
          <w:noProof/>
          <w:sz w:val="22"/>
          <w:szCs w:val="22"/>
          <w:lang w:val="sr-Latn-CS"/>
        </w:rPr>
        <w:t xml:space="preserve">Myfortic moraju započeti i sprovoditi </w:t>
      </w:r>
      <w:r w:rsidRPr="00402700">
        <w:rPr>
          <w:noProof/>
          <w:sz w:val="22"/>
          <w:szCs w:val="22"/>
          <w:lang w:val="sr-Latn-CS"/>
        </w:rPr>
        <w:t>adekvatno obučeni ljekari specijalisti sa iskustvom u transplantaciji organa.</w:t>
      </w:r>
    </w:p>
    <w:p w14:paraId="1B620590" w14:textId="77777777" w:rsidR="007779BA" w:rsidRPr="00402700" w:rsidRDefault="007779BA" w:rsidP="002C32CA">
      <w:pPr>
        <w:shd w:val="clear" w:color="auto" w:fill="FFFFFF"/>
        <w:tabs>
          <w:tab w:val="left" w:pos="965"/>
        </w:tabs>
        <w:jc w:val="both"/>
        <w:rPr>
          <w:noProof/>
          <w:sz w:val="22"/>
          <w:szCs w:val="22"/>
          <w:u w:val="single"/>
          <w:lang w:val="sr-Latn-CS"/>
        </w:rPr>
      </w:pPr>
    </w:p>
    <w:p w14:paraId="79ACBA9E" w14:textId="7560BDE6" w:rsidR="00305B76" w:rsidRPr="00402700" w:rsidRDefault="00305B76" w:rsidP="002C32CA">
      <w:pPr>
        <w:shd w:val="clear" w:color="auto" w:fill="FFFFFF"/>
        <w:tabs>
          <w:tab w:val="left" w:pos="965"/>
        </w:tabs>
        <w:jc w:val="both"/>
        <w:rPr>
          <w:noProof/>
          <w:sz w:val="22"/>
          <w:szCs w:val="22"/>
          <w:u w:val="single"/>
          <w:lang w:val="sr-Latn-CS"/>
        </w:rPr>
      </w:pPr>
      <w:r w:rsidRPr="00402700">
        <w:rPr>
          <w:noProof/>
          <w:sz w:val="22"/>
          <w:szCs w:val="22"/>
          <w:u w:val="single"/>
          <w:lang w:val="sr-Latn-CS"/>
        </w:rPr>
        <w:t>Doziranje</w:t>
      </w:r>
    </w:p>
    <w:p w14:paraId="7280321C" w14:textId="1F3A72C2"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 xml:space="preserve">Preporučena doza je 720 mg dva puta dnevno (dnevna doza 1440 mg ). Po sadržaju mikofenolne kiseline (MFK) ova doza mikofenolat  natrijuma odgovara 1g mikofenolat mofetila dva puta dnevno (dnevna doza 2 g). </w:t>
      </w:r>
    </w:p>
    <w:p w14:paraId="3B0F5FF9" w14:textId="3616D4CC"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 xml:space="preserve">Za dodatne informacije o odgovarajućim terapijskim dozama mikofenolat  natrijuma i mikofenolat mofetila, vidjeti </w:t>
      </w:r>
      <w:r w:rsidR="007779BA" w:rsidRPr="00402700">
        <w:rPr>
          <w:noProof/>
          <w:sz w:val="22"/>
          <w:szCs w:val="22"/>
          <w:lang w:val="sr-Latn-CS"/>
        </w:rPr>
        <w:t>djelove</w:t>
      </w:r>
      <w:r w:rsidRPr="00402700">
        <w:rPr>
          <w:noProof/>
          <w:sz w:val="22"/>
          <w:szCs w:val="22"/>
          <w:lang w:val="sr-Latn-CS"/>
        </w:rPr>
        <w:t xml:space="preserve"> 4.4  i 5.2.</w:t>
      </w:r>
    </w:p>
    <w:p w14:paraId="57E19A6A" w14:textId="0FCC2D5E"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 xml:space="preserve">Kod </w:t>
      </w:r>
      <w:r w:rsidRPr="00402700">
        <w:rPr>
          <w:i/>
          <w:noProof/>
          <w:sz w:val="22"/>
          <w:szCs w:val="22"/>
          <w:lang w:val="sr-Latn-CS"/>
        </w:rPr>
        <w:t xml:space="preserve">de novo </w:t>
      </w:r>
      <w:r w:rsidRPr="00402700">
        <w:rPr>
          <w:noProof/>
          <w:sz w:val="22"/>
          <w:szCs w:val="22"/>
          <w:lang w:val="sr-Latn-CS"/>
        </w:rPr>
        <w:t>pacijenata, primjen</w:t>
      </w:r>
      <w:r w:rsidR="00936D54" w:rsidRPr="00402700">
        <w:rPr>
          <w:noProof/>
          <w:sz w:val="22"/>
          <w:szCs w:val="22"/>
          <w:lang w:val="sr-Latn-CS"/>
        </w:rPr>
        <w:t>u</w:t>
      </w:r>
      <w:r w:rsidRPr="00402700">
        <w:rPr>
          <w:noProof/>
          <w:sz w:val="22"/>
          <w:szCs w:val="22"/>
          <w:lang w:val="sr-Latn-CS"/>
        </w:rPr>
        <w:t xml:space="preserve"> lijeka Myfortic treba započeti u roku od 72 sata nakon transplantacije.</w:t>
      </w:r>
    </w:p>
    <w:p w14:paraId="2D5A7D1A" w14:textId="43B5BE5B"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u w:val="single"/>
          <w:lang w:val="sr-Latn-CS"/>
        </w:rPr>
        <w:lastRenderedPageBreak/>
        <w:t>Posebne populacije</w:t>
      </w:r>
    </w:p>
    <w:p w14:paraId="037E0AFE" w14:textId="77777777" w:rsidR="00305B76" w:rsidRPr="00402700" w:rsidRDefault="00305B76" w:rsidP="002C32CA">
      <w:pPr>
        <w:shd w:val="clear" w:color="auto" w:fill="FFFFFF"/>
        <w:tabs>
          <w:tab w:val="left" w:pos="965"/>
        </w:tabs>
        <w:jc w:val="both"/>
        <w:rPr>
          <w:bCs/>
          <w:i/>
          <w:noProof/>
          <w:sz w:val="22"/>
          <w:szCs w:val="22"/>
          <w:lang w:val="sr-Latn-CS"/>
        </w:rPr>
      </w:pPr>
      <w:r w:rsidRPr="00402700">
        <w:rPr>
          <w:bCs/>
          <w:i/>
          <w:noProof/>
          <w:sz w:val="22"/>
          <w:szCs w:val="22"/>
          <w:lang w:val="sr-Latn-CS"/>
        </w:rPr>
        <w:t>Pedijatrijska populacija</w:t>
      </w:r>
    </w:p>
    <w:p w14:paraId="15785CC3" w14:textId="73BE0DB7"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Dostupni podaci nijesu dovoljni za utvrđivanje bezbjednosti i efikasnost</w:t>
      </w:r>
      <w:r w:rsidR="000800C6" w:rsidRPr="00402700">
        <w:rPr>
          <w:noProof/>
          <w:sz w:val="22"/>
          <w:szCs w:val="22"/>
          <w:lang w:val="sr-Latn-CS"/>
        </w:rPr>
        <w:t>i</w:t>
      </w:r>
      <w:r w:rsidRPr="00402700">
        <w:rPr>
          <w:noProof/>
          <w:sz w:val="22"/>
          <w:szCs w:val="22"/>
          <w:lang w:val="sr-Latn-CS"/>
        </w:rPr>
        <w:t xml:space="preserve"> primjene lijeka Myfortic kod djece i adolescenata. Postoje ograničeni farmakokinetički podaci za pedijatrijske pacijente sa presađenim bubregom (vidjeti </w:t>
      </w:r>
      <w:r w:rsidR="007779BA" w:rsidRPr="00402700">
        <w:rPr>
          <w:noProof/>
          <w:sz w:val="22"/>
          <w:szCs w:val="22"/>
          <w:lang w:val="sr-Latn-CS"/>
        </w:rPr>
        <w:t>dio</w:t>
      </w:r>
      <w:r w:rsidRPr="00402700">
        <w:rPr>
          <w:noProof/>
          <w:sz w:val="22"/>
          <w:szCs w:val="22"/>
          <w:lang w:val="sr-Latn-CS"/>
        </w:rPr>
        <w:t xml:space="preserve"> 5.2).</w:t>
      </w:r>
    </w:p>
    <w:p w14:paraId="72753759" w14:textId="77777777" w:rsidR="007779BA" w:rsidRPr="00402700" w:rsidRDefault="007779BA" w:rsidP="002C32CA">
      <w:pPr>
        <w:shd w:val="clear" w:color="auto" w:fill="FFFFFF"/>
        <w:jc w:val="both"/>
        <w:rPr>
          <w:bCs/>
          <w:i/>
          <w:noProof/>
          <w:sz w:val="22"/>
          <w:szCs w:val="22"/>
          <w:lang w:val="sr-Latn-CS"/>
        </w:rPr>
      </w:pPr>
    </w:p>
    <w:p w14:paraId="458B57F1" w14:textId="364E3C89" w:rsidR="00305B76" w:rsidRPr="00402700" w:rsidRDefault="00305B76" w:rsidP="002C32CA">
      <w:pPr>
        <w:shd w:val="clear" w:color="auto" w:fill="FFFFFF"/>
        <w:jc w:val="both"/>
        <w:rPr>
          <w:i/>
          <w:noProof/>
          <w:sz w:val="22"/>
          <w:szCs w:val="22"/>
          <w:lang w:val="sr-Latn-CS"/>
        </w:rPr>
      </w:pPr>
      <w:r w:rsidRPr="00402700">
        <w:rPr>
          <w:bCs/>
          <w:i/>
          <w:noProof/>
          <w:sz w:val="22"/>
          <w:szCs w:val="22"/>
          <w:lang w:val="sr-Latn-CS"/>
        </w:rPr>
        <w:t>Starije osobe</w:t>
      </w:r>
    </w:p>
    <w:p w14:paraId="0DB98DBF" w14:textId="667171F6"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Preporučena doza kod starijih pacijenata je 720 mg dva puta dnevno.</w:t>
      </w:r>
    </w:p>
    <w:p w14:paraId="1998AA54" w14:textId="77777777" w:rsidR="007779BA" w:rsidRPr="00402700" w:rsidRDefault="007779BA" w:rsidP="002C32CA">
      <w:pPr>
        <w:shd w:val="clear" w:color="auto" w:fill="FFFFFF"/>
        <w:ind w:left="19"/>
        <w:jc w:val="both"/>
        <w:rPr>
          <w:bCs/>
          <w:i/>
          <w:noProof/>
          <w:sz w:val="22"/>
          <w:szCs w:val="22"/>
          <w:lang w:val="sr-Latn-CS"/>
        </w:rPr>
      </w:pPr>
    </w:p>
    <w:p w14:paraId="227FA005" w14:textId="0A41CE6C" w:rsidR="00305B76" w:rsidRPr="00402700" w:rsidRDefault="00305B76" w:rsidP="002C32CA">
      <w:pPr>
        <w:shd w:val="clear" w:color="auto" w:fill="FFFFFF"/>
        <w:ind w:left="19"/>
        <w:jc w:val="both"/>
        <w:rPr>
          <w:bCs/>
          <w:i/>
          <w:noProof/>
          <w:sz w:val="22"/>
          <w:szCs w:val="22"/>
          <w:lang w:val="sr-Latn-CS"/>
        </w:rPr>
      </w:pPr>
      <w:r w:rsidRPr="00402700">
        <w:rPr>
          <w:bCs/>
          <w:i/>
          <w:noProof/>
          <w:sz w:val="22"/>
          <w:szCs w:val="22"/>
          <w:lang w:val="sr-Latn-CS"/>
        </w:rPr>
        <w:t>Pacijenti sa oštećenjem funkcije bubrega</w:t>
      </w:r>
    </w:p>
    <w:p w14:paraId="152AAC2C" w14:textId="33D5CF3B" w:rsidR="00305B76" w:rsidRPr="00402700" w:rsidRDefault="00305B76" w:rsidP="002C32CA">
      <w:pPr>
        <w:shd w:val="clear" w:color="auto" w:fill="FFFFFF"/>
        <w:ind w:left="19"/>
        <w:jc w:val="both"/>
        <w:rPr>
          <w:noProof/>
          <w:sz w:val="22"/>
          <w:szCs w:val="22"/>
          <w:lang w:val="sr-Latn-CS"/>
        </w:rPr>
      </w:pPr>
      <w:r w:rsidRPr="00402700">
        <w:rPr>
          <w:noProof/>
          <w:sz w:val="22"/>
          <w:szCs w:val="22"/>
          <w:lang w:val="sr-Latn-CS"/>
        </w:rPr>
        <w:t xml:space="preserve">Nije potrebno podešavanje doze kod pacijenata koji imaju postoperativno odloženu funkciju bubrežnog grafta (vidjeti </w:t>
      </w:r>
      <w:r w:rsidR="007779BA" w:rsidRPr="00402700">
        <w:rPr>
          <w:noProof/>
          <w:sz w:val="22"/>
          <w:szCs w:val="22"/>
          <w:lang w:val="sr-Latn-CS"/>
        </w:rPr>
        <w:t>dio</w:t>
      </w:r>
      <w:r w:rsidRPr="00402700">
        <w:rPr>
          <w:noProof/>
          <w:sz w:val="22"/>
          <w:szCs w:val="22"/>
          <w:lang w:val="sr-Latn-CS"/>
        </w:rPr>
        <w:t xml:space="preserve"> 5.2).</w:t>
      </w:r>
    </w:p>
    <w:p w14:paraId="211BCAFC" w14:textId="6EE7B489"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 xml:space="preserve">Pacijente sa teškim oštećenjem bubrega (brzina glomerularne filtracije &lt; 25 </w:t>
      </w:r>
      <w:r w:rsidR="007779BA" w:rsidRPr="00402700">
        <w:rPr>
          <w:noProof/>
          <w:sz w:val="22"/>
          <w:szCs w:val="22"/>
          <w:lang w:val="sr-Latn-CS"/>
        </w:rPr>
        <w:t>ml</w:t>
      </w:r>
      <w:r w:rsidRPr="00402700">
        <w:rPr>
          <w:noProof/>
          <w:sz w:val="22"/>
          <w:szCs w:val="22"/>
          <w:lang w:val="sr-Latn-CS"/>
        </w:rPr>
        <w:t>/min</w:t>
      </w:r>
      <w:r w:rsidR="00936D54" w:rsidRPr="00402700">
        <w:rPr>
          <w:noProof/>
          <w:sz w:val="22"/>
          <w:szCs w:val="22"/>
          <w:lang w:val="sr-Latn-CS"/>
        </w:rPr>
        <w:t>•</w:t>
      </w:r>
      <w:r w:rsidR="007779BA" w:rsidRPr="00402700">
        <w:rPr>
          <w:noProof/>
          <w:sz w:val="22"/>
          <w:szCs w:val="22"/>
          <w:lang w:val="sr-Latn-CS"/>
        </w:rPr>
        <w:t>l</w:t>
      </w:r>
      <w:r w:rsidRPr="00402700">
        <w:rPr>
          <w:noProof/>
          <w:sz w:val="22"/>
          <w:szCs w:val="22"/>
          <w:lang w:val="sr-Latn-CS"/>
        </w:rPr>
        <w:t>,73 m</w:t>
      </w:r>
      <w:r w:rsidRPr="00402700">
        <w:rPr>
          <w:noProof/>
          <w:sz w:val="22"/>
          <w:szCs w:val="22"/>
          <w:vertAlign w:val="superscript"/>
          <w:lang w:val="sr-Latn-CS"/>
        </w:rPr>
        <w:t>2</w:t>
      </w:r>
      <w:r w:rsidRPr="00402700">
        <w:rPr>
          <w:noProof/>
          <w:sz w:val="22"/>
          <w:szCs w:val="22"/>
          <w:lang w:val="sr-Latn-CS"/>
        </w:rPr>
        <w:t>) treba pažljivo pratiti i dnevna doza lijeka Myfortic ne treba prelaziti 1440 mg.</w:t>
      </w:r>
    </w:p>
    <w:p w14:paraId="7A46B964" w14:textId="77777777" w:rsidR="007779BA" w:rsidRPr="00402700" w:rsidRDefault="007779BA" w:rsidP="002C32CA">
      <w:pPr>
        <w:shd w:val="clear" w:color="auto" w:fill="FFFFFF"/>
        <w:ind w:left="19"/>
        <w:jc w:val="both"/>
        <w:rPr>
          <w:bCs/>
          <w:i/>
          <w:noProof/>
          <w:sz w:val="22"/>
          <w:szCs w:val="22"/>
          <w:lang w:val="sr-Latn-CS"/>
        </w:rPr>
      </w:pPr>
    </w:p>
    <w:p w14:paraId="4246E576" w14:textId="68C21FB1" w:rsidR="00305B76" w:rsidRPr="00402700" w:rsidRDefault="00305B76" w:rsidP="002C32CA">
      <w:pPr>
        <w:shd w:val="clear" w:color="auto" w:fill="FFFFFF"/>
        <w:ind w:left="19"/>
        <w:jc w:val="both"/>
        <w:rPr>
          <w:bCs/>
          <w:i/>
          <w:noProof/>
          <w:sz w:val="22"/>
          <w:szCs w:val="22"/>
          <w:lang w:val="sr-Latn-CS"/>
        </w:rPr>
      </w:pPr>
      <w:r w:rsidRPr="00402700">
        <w:rPr>
          <w:bCs/>
          <w:i/>
          <w:noProof/>
          <w:sz w:val="22"/>
          <w:szCs w:val="22"/>
          <w:lang w:val="sr-Latn-CS"/>
        </w:rPr>
        <w:t>Pacijenti sa oštećenjem funkcije jetre</w:t>
      </w:r>
    </w:p>
    <w:p w14:paraId="34DDB762" w14:textId="77777777"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Nije potrebno podešavanje doze kod pacijenata sa presađenim bubregom koji imaju teško oštećenje jetre.</w:t>
      </w:r>
    </w:p>
    <w:p w14:paraId="7A752201" w14:textId="77777777" w:rsidR="007779BA" w:rsidRPr="00402700" w:rsidRDefault="007779BA" w:rsidP="002C32CA">
      <w:pPr>
        <w:shd w:val="clear" w:color="auto" w:fill="FFFFFF"/>
        <w:ind w:left="19"/>
        <w:jc w:val="both"/>
        <w:rPr>
          <w:bCs/>
          <w:noProof/>
          <w:sz w:val="22"/>
          <w:szCs w:val="22"/>
          <w:u w:val="single"/>
          <w:lang w:val="sr-Latn-CS"/>
        </w:rPr>
      </w:pPr>
    </w:p>
    <w:p w14:paraId="38D10A70" w14:textId="735AB8EC" w:rsidR="00305B76" w:rsidRPr="00402700" w:rsidRDefault="00305B76" w:rsidP="002C32CA">
      <w:pPr>
        <w:shd w:val="clear" w:color="auto" w:fill="FFFFFF"/>
        <w:ind w:left="19"/>
        <w:jc w:val="both"/>
        <w:rPr>
          <w:bCs/>
          <w:noProof/>
          <w:sz w:val="22"/>
          <w:szCs w:val="22"/>
          <w:u w:val="single"/>
          <w:lang w:val="sr-Latn-CS"/>
        </w:rPr>
      </w:pPr>
      <w:r w:rsidRPr="00402700">
        <w:rPr>
          <w:bCs/>
          <w:noProof/>
          <w:sz w:val="22"/>
          <w:szCs w:val="22"/>
          <w:u w:val="single"/>
          <w:lang w:val="sr-Latn-CS"/>
        </w:rPr>
        <w:t>Liječenje tokom odbacivanja</w:t>
      </w:r>
    </w:p>
    <w:p w14:paraId="503308B6" w14:textId="77777777" w:rsidR="002775BB" w:rsidRPr="00402700" w:rsidRDefault="00305B76" w:rsidP="002775BB">
      <w:pPr>
        <w:pStyle w:val="Header"/>
        <w:tabs>
          <w:tab w:val="left" w:pos="284"/>
        </w:tabs>
        <w:jc w:val="both"/>
        <w:rPr>
          <w:noProof/>
          <w:sz w:val="22"/>
          <w:szCs w:val="22"/>
          <w:lang w:val="sr-Latn-CS"/>
        </w:rPr>
      </w:pPr>
      <w:r w:rsidRPr="00402700">
        <w:rPr>
          <w:noProof/>
          <w:sz w:val="22"/>
          <w:szCs w:val="22"/>
          <w:lang w:val="sr-Latn-CS"/>
        </w:rPr>
        <w:t xml:space="preserve">Odbacivanje bubrežnog transplantata ne dovodi do promjena u farmakokinetici mikofenolne kiseline (MFK); </w:t>
      </w:r>
      <w:r w:rsidR="002775BB" w:rsidRPr="00402700">
        <w:rPr>
          <w:noProof/>
          <w:sz w:val="22"/>
          <w:szCs w:val="22"/>
          <w:lang w:val="sr-Latn-CS"/>
        </w:rPr>
        <w:t>nije potrebno smanjivanje doze ili obustava primjene lijeka Myfortic.</w:t>
      </w:r>
    </w:p>
    <w:p w14:paraId="3AB6AA07" w14:textId="77777777" w:rsidR="00305B76" w:rsidRPr="00402700" w:rsidRDefault="00305B76" w:rsidP="002C32CA">
      <w:pPr>
        <w:pStyle w:val="Header"/>
        <w:tabs>
          <w:tab w:val="left" w:pos="284"/>
        </w:tabs>
        <w:jc w:val="both"/>
        <w:rPr>
          <w:noProof/>
          <w:sz w:val="22"/>
          <w:szCs w:val="22"/>
          <w:lang w:val="sr-Latn-CS"/>
        </w:rPr>
      </w:pPr>
    </w:p>
    <w:p w14:paraId="0CA5B37A" w14:textId="77777777" w:rsidR="00305B76" w:rsidRPr="00402700" w:rsidRDefault="00305B76" w:rsidP="002C32CA">
      <w:pPr>
        <w:jc w:val="both"/>
        <w:rPr>
          <w:noProof/>
          <w:sz w:val="22"/>
          <w:szCs w:val="22"/>
          <w:u w:val="single"/>
          <w:lang w:val="sr-Latn-CS"/>
        </w:rPr>
      </w:pPr>
      <w:r w:rsidRPr="00402700">
        <w:rPr>
          <w:noProof/>
          <w:sz w:val="22"/>
          <w:szCs w:val="22"/>
          <w:u w:val="single"/>
          <w:lang w:val="sr-Latn-CS"/>
        </w:rPr>
        <w:t>Način primjene</w:t>
      </w:r>
    </w:p>
    <w:p w14:paraId="4BE2F622" w14:textId="5648651B" w:rsidR="00305B76" w:rsidRPr="00402700" w:rsidRDefault="00936D54"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w:t>
      </w:r>
      <w:r w:rsidR="00305B76" w:rsidRPr="00402700">
        <w:rPr>
          <w:noProof/>
          <w:sz w:val="22"/>
          <w:szCs w:val="22"/>
          <w:lang w:val="sr-Latn-CS"/>
        </w:rPr>
        <w:t xml:space="preserve">Myfortic se može uzimati sa ili bez hrane. Pacijenti mogu izabrati bilo koju opciju ali treba da se pridržavaju izabrane opcije (vidjeti </w:t>
      </w:r>
      <w:r w:rsidR="007779BA" w:rsidRPr="00402700">
        <w:rPr>
          <w:noProof/>
          <w:sz w:val="22"/>
          <w:szCs w:val="22"/>
          <w:lang w:val="sr-Latn-CS"/>
        </w:rPr>
        <w:t>dio</w:t>
      </w:r>
      <w:r w:rsidR="00305B76" w:rsidRPr="00402700">
        <w:rPr>
          <w:noProof/>
          <w:sz w:val="22"/>
          <w:szCs w:val="22"/>
          <w:lang w:val="sr-Latn-CS"/>
        </w:rPr>
        <w:t xml:space="preserve"> 5.2).</w:t>
      </w:r>
    </w:p>
    <w:p w14:paraId="5D0953A3" w14:textId="77777777"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U svrhu očuvanja gastrorezistentnog sloja, Myfortic tablete se ne smiju lomiti.</w:t>
      </w:r>
    </w:p>
    <w:p w14:paraId="49DA7386" w14:textId="5496E5DA" w:rsidR="00305B76" w:rsidRPr="00402700" w:rsidRDefault="00305B76" w:rsidP="002C32CA">
      <w:pPr>
        <w:shd w:val="clear" w:color="auto" w:fill="FFFFFF"/>
        <w:tabs>
          <w:tab w:val="left" w:pos="965"/>
        </w:tabs>
        <w:jc w:val="both"/>
        <w:rPr>
          <w:noProof/>
          <w:sz w:val="22"/>
          <w:szCs w:val="22"/>
          <w:lang w:val="sr-Latn-CS"/>
        </w:rPr>
      </w:pPr>
      <w:r w:rsidRPr="00402700">
        <w:rPr>
          <w:noProof/>
          <w:sz w:val="22"/>
          <w:szCs w:val="22"/>
          <w:lang w:val="sr-Latn-CS"/>
        </w:rPr>
        <w:t>Kada je neophodno lomiti Myfortic tabletu, potrebno je izbjegavati inhalaciju praha ili direktan kontakt praha sa kožom ili sluzokožom. Ako se ovaj kontakt ipak dogodi, detaljno operite sapunom i vodom; isperite oči sa običnom vodom. Ovo je zbog teratogenog djelovanja mikofenolata.</w:t>
      </w:r>
    </w:p>
    <w:p w14:paraId="1E0A8036" w14:textId="77777777" w:rsidR="00452E9D" w:rsidRPr="00402700" w:rsidRDefault="00452E9D" w:rsidP="002C32CA">
      <w:pPr>
        <w:tabs>
          <w:tab w:val="left" w:pos="540"/>
          <w:tab w:val="left" w:pos="569"/>
        </w:tabs>
        <w:jc w:val="both"/>
        <w:rPr>
          <w:bCs/>
          <w:noProof/>
          <w:sz w:val="22"/>
          <w:szCs w:val="22"/>
          <w:lang w:val="sr-Latn-CS"/>
        </w:rPr>
      </w:pPr>
    </w:p>
    <w:p w14:paraId="13E54EB1" w14:textId="6286494E"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 xml:space="preserve">4.3. </w:t>
      </w:r>
      <w:r w:rsidR="00480FB1" w:rsidRPr="00402700">
        <w:rPr>
          <w:b/>
          <w:bCs/>
          <w:noProof/>
          <w:sz w:val="22"/>
          <w:szCs w:val="22"/>
          <w:lang w:val="sr-Latn-CS"/>
        </w:rPr>
        <w:tab/>
      </w:r>
      <w:r w:rsidRPr="00402700">
        <w:rPr>
          <w:b/>
          <w:bCs/>
          <w:noProof/>
          <w:sz w:val="22"/>
          <w:szCs w:val="22"/>
          <w:lang w:val="sr-Latn-CS"/>
        </w:rPr>
        <w:t>Kontraindikacije</w:t>
      </w:r>
    </w:p>
    <w:p w14:paraId="54B713D2" w14:textId="77777777" w:rsidR="007779BA" w:rsidRPr="00402700" w:rsidRDefault="007779BA" w:rsidP="002C32CA">
      <w:pPr>
        <w:tabs>
          <w:tab w:val="left" w:pos="540"/>
          <w:tab w:val="left" w:pos="569"/>
        </w:tabs>
        <w:jc w:val="both"/>
        <w:rPr>
          <w:b/>
          <w:bCs/>
          <w:noProof/>
          <w:sz w:val="22"/>
          <w:szCs w:val="22"/>
          <w:lang w:val="sr-Latn-CS"/>
        </w:rPr>
      </w:pPr>
    </w:p>
    <w:p w14:paraId="3A23E121" w14:textId="180CFDE9" w:rsidR="00F547EC" w:rsidRPr="00402700" w:rsidRDefault="00936D54"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w:t>
      </w:r>
      <w:r w:rsidR="00F547EC" w:rsidRPr="00402700">
        <w:rPr>
          <w:noProof/>
          <w:sz w:val="22"/>
          <w:szCs w:val="22"/>
          <w:lang w:val="sr-Latn-CS"/>
        </w:rPr>
        <w:t xml:space="preserve">Myfortic ne treba da koriste pacijenti koji pokazuju preosjetljivost na mikofenolat natrijum, mikofenolnu kiselinu ili mikofenolat mofetil ili na bilo koju od pomoćnih supstanci </w:t>
      </w:r>
      <w:r w:rsidR="008A44D9" w:rsidRPr="00402700">
        <w:rPr>
          <w:noProof/>
          <w:sz w:val="22"/>
          <w:szCs w:val="22"/>
          <w:lang w:val="sr-Latn-CS"/>
        </w:rPr>
        <w:t>navedenih u od</w:t>
      </w:r>
      <w:r w:rsidR="000800C6" w:rsidRPr="00402700">
        <w:rPr>
          <w:noProof/>
          <w:sz w:val="22"/>
          <w:szCs w:val="22"/>
          <w:lang w:val="sr-Latn-CS"/>
        </w:rPr>
        <w:t>j</w:t>
      </w:r>
      <w:r w:rsidR="008A44D9" w:rsidRPr="00402700">
        <w:rPr>
          <w:noProof/>
          <w:sz w:val="22"/>
          <w:szCs w:val="22"/>
          <w:lang w:val="sr-Latn-CS"/>
        </w:rPr>
        <w:t>eljku 6.1</w:t>
      </w:r>
      <w:r w:rsidR="00F547EC" w:rsidRPr="00402700">
        <w:rPr>
          <w:noProof/>
          <w:sz w:val="22"/>
          <w:szCs w:val="22"/>
          <w:lang w:val="sr-Latn-CS"/>
        </w:rPr>
        <w:t>.</w:t>
      </w:r>
    </w:p>
    <w:p w14:paraId="0D808250" w14:textId="78DFCF40" w:rsidR="00F547EC" w:rsidRPr="00402700" w:rsidRDefault="00936D54"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w:t>
      </w:r>
      <w:r w:rsidR="00F547EC" w:rsidRPr="00402700">
        <w:rPr>
          <w:noProof/>
          <w:sz w:val="22"/>
          <w:szCs w:val="22"/>
          <w:lang w:val="sr-Latn-CS"/>
        </w:rPr>
        <w:t xml:space="preserve">Myfortic ne treba da koriste žene u reproduktivnom periodu koje ne koriste </w:t>
      </w:r>
      <w:r w:rsidRPr="00402700">
        <w:rPr>
          <w:noProof/>
          <w:sz w:val="22"/>
          <w:szCs w:val="22"/>
          <w:lang w:val="sr-Latn-CS"/>
        </w:rPr>
        <w:t xml:space="preserve">visoko </w:t>
      </w:r>
      <w:r w:rsidR="00F547EC" w:rsidRPr="00402700">
        <w:rPr>
          <w:noProof/>
          <w:sz w:val="22"/>
          <w:szCs w:val="22"/>
          <w:lang w:val="sr-Latn-CS"/>
        </w:rPr>
        <w:t>efikasne metode kontracepcije.</w:t>
      </w:r>
    </w:p>
    <w:p w14:paraId="1613E9F1" w14:textId="65CB8A03"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Terapiju lijekom Myfortic ne treba započeti kod žena u reproduktivnom periodu bez pre</w:t>
      </w:r>
      <w:r w:rsidR="00F07EA5" w:rsidRPr="00402700">
        <w:rPr>
          <w:noProof/>
          <w:sz w:val="22"/>
          <w:szCs w:val="22"/>
          <w:lang w:val="sr-Latn-CS"/>
        </w:rPr>
        <w:t>t</w:t>
      </w:r>
      <w:r w:rsidRPr="00402700">
        <w:rPr>
          <w:noProof/>
          <w:sz w:val="22"/>
          <w:szCs w:val="22"/>
          <w:lang w:val="sr-Latn-CS"/>
        </w:rPr>
        <w:t xml:space="preserve">hodno urađenog testa na trudnoću kako bi se eliminisala nenamerna upotreba u trudnoći (vidjeti </w:t>
      </w:r>
      <w:r w:rsidR="007779BA" w:rsidRPr="00402700">
        <w:rPr>
          <w:noProof/>
          <w:sz w:val="22"/>
          <w:szCs w:val="22"/>
          <w:lang w:val="sr-Latn-CS"/>
        </w:rPr>
        <w:t>dio</w:t>
      </w:r>
      <w:r w:rsidRPr="00402700">
        <w:rPr>
          <w:noProof/>
          <w:sz w:val="22"/>
          <w:szCs w:val="22"/>
          <w:lang w:val="sr-Latn-CS"/>
        </w:rPr>
        <w:t xml:space="preserve"> 4.6).</w:t>
      </w:r>
    </w:p>
    <w:p w14:paraId="150282D8" w14:textId="6DDAA1CB" w:rsidR="00F547EC" w:rsidRPr="00402700" w:rsidRDefault="00F07EA5"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w:t>
      </w:r>
      <w:r w:rsidR="00F547EC" w:rsidRPr="00402700">
        <w:rPr>
          <w:noProof/>
          <w:sz w:val="22"/>
          <w:szCs w:val="22"/>
          <w:lang w:val="sr-Latn-CS"/>
        </w:rPr>
        <w:t>Myfortic ne treba koristiti u trudnoći, osim ako ne postoji odgovarajuća alternativna terapija za spr</w:t>
      </w:r>
      <w:r w:rsidR="00DA4BA6" w:rsidRPr="00402700">
        <w:rPr>
          <w:noProof/>
          <w:sz w:val="22"/>
          <w:szCs w:val="22"/>
          <w:lang w:val="sr-Latn-CS"/>
        </w:rPr>
        <w:t>j</w:t>
      </w:r>
      <w:r w:rsidR="00F547EC" w:rsidRPr="00402700">
        <w:rPr>
          <w:noProof/>
          <w:sz w:val="22"/>
          <w:szCs w:val="22"/>
          <w:lang w:val="sr-Latn-CS"/>
        </w:rPr>
        <w:t xml:space="preserve">ečavanje odbacivanja transplantanta (vidjeti </w:t>
      </w:r>
      <w:r w:rsidR="007779BA" w:rsidRPr="00402700">
        <w:rPr>
          <w:noProof/>
          <w:sz w:val="22"/>
          <w:szCs w:val="22"/>
          <w:lang w:val="sr-Latn-CS"/>
        </w:rPr>
        <w:t>dio</w:t>
      </w:r>
      <w:r w:rsidR="00F547EC" w:rsidRPr="00402700">
        <w:rPr>
          <w:noProof/>
          <w:sz w:val="22"/>
          <w:szCs w:val="22"/>
          <w:lang w:val="sr-Latn-CS"/>
        </w:rPr>
        <w:t xml:space="preserve"> 4.6).</w:t>
      </w:r>
    </w:p>
    <w:p w14:paraId="5F08A32E" w14:textId="37FABB4F" w:rsidR="0072020E" w:rsidRPr="00402700" w:rsidRDefault="00F07EA5" w:rsidP="002C32CA">
      <w:pPr>
        <w:tabs>
          <w:tab w:val="left" w:pos="540"/>
          <w:tab w:val="left" w:pos="569"/>
        </w:tabs>
        <w:jc w:val="both"/>
        <w:rPr>
          <w:noProof/>
          <w:sz w:val="22"/>
          <w:szCs w:val="22"/>
          <w:lang w:val="sr-Latn-CS"/>
        </w:rPr>
      </w:pPr>
      <w:r w:rsidRPr="00402700">
        <w:rPr>
          <w:noProof/>
          <w:sz w:val="22"/>
          <w:szCs w:val="22"/>
          <w:lang w:val="sr-Latn-CS"/>
        </w:rPr>
        <w:t xml:space="preserve">Lijek </w:t>
      </w:r>
      <w:r w:rsidR="00F547EC" w:rsidRPr="00402700">
        <w:rPr>
          <w:noProof/>
          <w:sz w:val="22"/>
          <w:szCs w:val="22"/>
          <w:lang w:val="sr-Latn-CS"/>
        </w:rPr>
        <w:t xml:space="preserve">Myfortic ne treba davati ženama koje doje (vidjeti </w:t>
      </w:r>
      <w:r w:rsidR="007779BA" w:rsidRPr="00402700">
        <w:rPr>
          <w:noProof/>
          <w:sz w:val="22"/>
          <w:szCs w:val="22"/>
          <w:lang w:val="sr-Latn-CS"/>
        </w:rPr>
        <w:t>dio</w:t>
      </w:r>
      <w:r w:rsidR="00F547EC" w:rsidRPr="00402700">
        <w:rPr>
          <w:noProof/>
          <w:sz w:val="22"/>
          <w:szCs w:val="22"/>
          <w:lang w:val="sr-Latn-CS"/>
        </w:rPr>
        <w:t xml:space="preserve"> 4.6).</w:t>
      </w:r>
    </w:p>
    <w:p w14:paraId="0E91382A" w14:textId="77777777" w:rsidR="00F547EC" w:rsidRPr="00402700" w:rsidRDefault="00F547EC" w:rsidP="002C32CA">
      <w:pPr>
        <w:tabs>
          <w:tab w:val="left" w:pos="540"/>
          <w:tab w:val="left" w:pos="569"/>
        </w:tabs>
        <w:jc w:val="both"/>
        <w:rPr>
          <w:bCs/>
          <w:noProof/>
          <w:sz w:val="22"/>
          <w:szCs w:val="22"/>
          <w:lang w:val="sr-Latn-CS"/>
        </w:rPr>
      </w:pPr>
    </w:p>
    <w:p w14:paraId="69691578" w14:textId="7468968A"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 xml:space="preserve">4.4. </w:t>
      </w:r>
      <w:r w:rsidR="00480FB1" w:rsidRPr="00402700">
        <w:rPr>
          <w:b/>
          <w:bCs/>
          <w:noProof/>
          <w:sz w:val="22"/>
          <w:szCs w:val="22"/>
          <w:lang w:val="sr-Latn-CS"/>
        </w:rPr>
        <w:tab/>
      </w:r>
      <w:r w:rsidRPr="00402700">
        <w:rPr>
          <w:b/>
          <w:bCs/>
          <w:noProof/>
          <w:sz w:val="22"/>
          <w:szCs w:val="22"/>
          <w:lang w:val="sr-Latn-CS"/>
        </w:rPr>
        <w:t>Posebna upozorenja i mjere opreza pri upotrebi lijeka</w:t>
      </w:r>
    </w:p>
    <w:p w14:paraId="6B643506" w14:textId="77777777" w:rsidR="007779BA" w:rsidRPr="00402700" w:rsidRDefault="007779BA" w:rsidP="002C32CA">
      <w:pPr>
        <w:tabs>
          <w:tab w:val="left" w:pos="540"/>
          <w:tab w:val="left" w:pos="569"/>
        </w:tabs>
        <w:jc w:val="both"/>
        <w:rPr>
          <w:b/>
          <w:bCs/>
          <w:noProof/>
          <w:sz w:val="22"/>
          <w:szCs w:val="22"/>
          <w:lang w:val="sr-Latn-CS"/>
        </w:rPr>
      </w:pPr>
    </w:p>
    <w:p w14:paraId="2AE04A45" w14:textId="1EF478DF" w:rsidR="00F547EC" w:rsidRPr="00402700" w:rsidRDefault="00F547EC" w:rsidP="002C32CA">
      <w:pPr>
        <w:shd w:val="clear" w:color="auto" w:fill="FFFFFF"/>
        <w:jc w:val="both"/>
        <w:rPr>
          <w:noProof/>
          <w:sz w:val="22"/>
          <w:szCs w:val="22"/>
          <w:lang w:val="sr-Latn-CS"/>
        </w:rPr>
      </w:pPr>
      <w:r w:rsidRPr="00402700">
        <w:rPr>
          <w:noProof/>
          <w:sz w:val="22"/>
          <w:szCs w:val="22"/>
          <w:lang w:val="sr-Latn-CS"/>
        </w:rPr>
        <w:t xml:space="preserve">Pacijenti koji su na imunosupresivnom režimu koji uključuje kombinaciju ljekova, uključujući i </w:t>
      </w:r>
      <w:r w:rsidR="00C9726E" w:rsidRPr="00402700">
        <w:rPr>
          <w:noProof/>
          <w:sz w:val="22"/>
          <w:szCs w:val="22"/>
          <w:lang w:val="sr-Latn-CS"/>
        </w:rPr>
        <w:t xml:space="preserve">lijek </w:t>
      </w:r>
      <w:r w:rsidRPr="00402700">
        <w:rPr>
          <w:noProof/>
          <w:sz w:val="22"/>
          <w:szCs w:val="22"/>
          <w:lang w:val="sr-Latn-CS"/>
        </w:rPr>
        <w:t xml:space="preserve">Myfortic, izloženi su povećanom riziku od razvoja limfoma i drugih maligniteta, posebno na koži (vidjeti </w:t>
      </w:r>
      <w:r w:rsidR="007779BA" w:rsidRPr="00402700">
        <w:rPr>
          <w:noProof/>
          <w:sz w:val="22"/>
          <w:szCs w:val="22"/>
          <w:lang w:val="sr-Latn-CS"/>
        </w:rPr>
        <w:t>dio</w:t>
      </w:r>
      <w:r w:rsidRPr="00402700">
        <w:rPr>
          <w:noProof/>
          <w:sz w:val="22"/>
          <w:szCs w:val="22"/>
          <w:lang w:val="sr-Latn-CS"/>
        </w:rPr>
        <w:t xml:space="preserve"> 4.8). Izgleda da je rizik vezan za intenzitet i trajanje imunosupresije prije nego za primjenu bilo kog specifičnog lijeka. Da bi se smanjio rizik od nastanka karcinoma kože, savjetuje se ograničavanje izlaganja sunčevoj svjetlosti i UV svjetlosti nošenjem zaštitne odjeće i korišćenjem krema za sunčanje sa visokim zaštitnim faktorom.</w:t>
      </w:r>
    </w:p>
    <w:p w14:paraId="798E08C9" w14:textId="188D67D0"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Pacijente koji primaju </w:t>
      </w:r>
      <w:r w:rsidR="002D1FCD" w:rsidRPr="00402700">
        <w:rPr>
          <w:noProof/>
          <w:sz w:val="22"/>
          <w:szCs w:val="22"/>
          <w:lang w:val="sr-Latn-CS"/>
        </w:rPr>
        <w:t xml:space="preserve">lijek </w:t>
      </w:r>
      <w:r w:rsidRPr="00402700">
        <w:rPr>
          <w:noProof/>
          <w:sz w:val="22"/>
          <w:szCs w:val="22"/>
          <w:lang w:val="sr-Latn-CS"/>
        </w:rPr>
        <w:t>Myfortic treba upozoriti da odmah izvijeste svoga ljekara o bilo kakvim znakovima infekcije, neočekivanim modricama, krvarenjima ili bilo kojim drugim manifestacijama depresije kostne srži.</w:t>
      </w:r>
    </w:p>
    <w:p w14:paraId="58F41169" w14:textId="470EC6F5"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Pacijenti koji se liječe imunosupresivima, uključujući i lijek Myfortic, imaju povećan rizik od nastanka oportunističkih infekcija (bakterijskih, gljivičnih, virusnih i protozoalnih), infekcija</w:t>
      </w:r>
      <w:r w:rsidR="002D1FCD" w:rsidRPr="00402700">
        <w:rPr>
          <w:noProof/>
          <w:sz w:val="22"/>
          <w:szCs w:val="22"/>
          <w:lang w:val="sr-Latn-CS"/>
        </w:rPr>
        <w:t xml:space="preserve"> sa smrtni</w:t>
      </w:r>
      <w:r w:rsidR="00C07076" w:rsidRPr="00402700">
        <w:rPr>
          <w:noProof/>
          <w:sz w:val="22"/>
          <w:szCs w:val="22"/>
          <w:lang w:val="sr-Latn-CS"/>
        </w:rPr>
        <w:t>m</w:t>
      </w:r>
      <w:r w:rsidR="002D1FCD" w:rsidRPr="00402700">
        <w:rPr>
          <w:noProof/>
          <w:sz w:val="22"/>
          <w:szCs w:val="22"/>
          <w:lang w:val="sr-Latn-CS"/>
        </w:rPr>
        <w:t xml:space="preserve"> ishodom</w:t>
      </w:r>
      <w:r w:rsidRPr="00402700">
        <w:rPr>
          <w:noProof/>
          <w:sz w:val="22"/>
          <w:szCs w:val="22"/>
          <w:lang w:val="sr-Latn-CS"/>
        </w:rPr>
        <w:t xml:space="preserve"> </w:t>
      </w:r>
      <w:r w:rsidRPr="00402700">
        <w:rPr>
          <w:noProof/>
          <w:sz w:val="22"/>
          <w:szCs w:val="22"/>
          <w:lang w:val="sr-Latn-CS"/>
        </w:rPr>
        <w:lastRenderedPageBreak/>
        <w:t xml:space="preserve">i sepse (vidjeti </w:t>
      </w:r>
      <w:r w:rsidR="007779BA" w:rsidRPr="00402700">
        <w:rPr>
          <w:noProof/>
          <w:sz w:val="22"/>
          <w:szCs w:val="22"/>
          <w:lang w:val="sr-Latn-CS"/>
        </w:rPr>
        <w:t>dio</w:t>
      </w:r>
      <w:r w:rsidRPr="00402700">
        <w:rPr>
          <w:noProof/>
          <w:sz w:val="22"/>
          <w:szCs w:val="22"/>
          <w:lang w:val="sr-Latn-CS"/>
        </w:rPr>
        <w:t xml:space="preserve"> 4.8). Među oportunističkim infekcijama su BK virusna nefropatija i JC virusna progresivna multifokalna leukoencefalopatija (PML). Ove infekcije su često povezane sa visokim ukupnim imunosupresivnim opterećenjem i mogu dovesti do ozbiljnih ili stanja</w:t>
      </w:r>
      <w:r w:rsidR="002D1FCD" w:rsidRPr="00402700">
        <w:rPr>
          <w:noProof/>
          <w:sz w:val="22"/>
          <w:szCs w:val="22"/>
          <w:lang w:val="sr-Latn-CS"/>
        </w:rPr>
        <w:t xml:space="preserve"> sa smrtnim ishodom</w:t>
      </w:r>
      <w:r w:rsidRPr="00402700">
        <w:rPr>
          <w:noProof/>
          <w:sz w:val="22"/>
          <w:szCs w:val="22"/>
          <w:lang w:val="sr-Latn-CS"/>
        </w:rPr>
        <w:t xml:space="preserve"> koje ljekari moraju uzeti u obzir prilikom postavljanja diferencijalne dijagnoze kod imunosupresivnih pacijenata sa pogoršanjem renalne funkcije </w:t>
      </w:r>
      <w:r w:rsidR="002D1FCD" w:rsidRPr="00402700">
        <w:rPr>
          <w:noProof/>
          <w:sz w:val="22"/>
          <w:szCs w:val="22"/>
          <w:lang w:val="sr-Latn-CS"/>
        </w:rPr>
        <w:t>il</w:t>
      </w:r>
      <w:r w:rsidRPr="00402700">
        <w:rPr>
          <w:noProof/>
          <w:sz w:val="22"/>
          <w:szCs w:val="22"/>
          <w:lang w:val="sr-Latn-CS"/>
        </w:rPr>
        <w:t xml:space="preserve">i neurološkim simptomima. </w:t>
      </w:r>
      <w:r w:rsidR="008A44D9" w:rsidRPr="00402700">
        <w:rPr>
          <w:noProof/>
          <w:sz w:val="22"/>
          <w:szCs w:val="22"/>
          <w:lang w:val="sr-Latn-CS"/>
        </w:rPr>
        <w:t>Mikofenolna kiselina ima citostat</w:t>
      </w:r>
      <w:r w:rsidR="008F67CD" w:rsidRPr="00402700">
        <w:rPr>
          <w:noProof/>
          <w:sz w:val="22"/>
          <w:szCs w:val="22"/>
          <w:lang w:val="sr-Latn-CS"/>
        </w:rPr>
        <w:t>ski</w:t>
      </w:r>
      <w:r w:rsidR="008A44D9" w:rsidRPr="00402700">
        <w:rPr>
          <w:noProof/>
          <w:sz w:val="22"/>
          <w:szCs w:val="22"/>
          <w:lang w:val="sr-Latn-CS"/>
        </w:rPr>
        <w:t xml:space="preserve"> efekat na B- i T- limfocite, te stoga može doći do povećanja težine COVID-19 i treba razmotriti odgovarajuću kliničku akciju.</w:t>
      </w:r>
    </w:p>
    <w:p w14:paraId="264CD5DE" w14:textId="77777777" w:rsidR="00F547EC" w:rsidRPr="00402700" w:rsidRDefault="00F547EC" w:rsidP="002C32CA">
      <w:pPr>
        <w:shd w:val="clear" w:color="auto" w:fill="FFFFFF"/>
        <w:tabs>
          <w:tab w:val="left" w:pos="965"/>
        </w:tabs>
        <w:jc w:val="both"/>
        <w:rPr>
          <w:noProof/>
          <w:sz w:val="22"/>
          <w:szCs w:val="22"/>
          <w:lang w:val="sr-Latn-CS"/>
        </w:rPr>
      </w:pPr>
    </w:p>
    <w:p w14:paraId="6CB56EA0" w14:textId="4D4A2B0E" w:rsidR="00F547EC" w:rsidRPr="00402700" w:rsidRDefault="00F547EC" w:rsidP="002C32CA">
      <w:pPr>
        <w:shd w:val="clear" w:color="auto" w:fill="FFFFFF"/>
        <w:jc w:val="both"/>
        <w:rPr>
          <w:noProof/>
          <w:sz w:val="22"/>
          <w:szCs w:val="22"/>
          <w:lang w:val="sr-Latn-CS"/>
        </w:rPr>
      </w:pPr>
      <w:r w:rsidRPr="00402700">
        <w:rPr>
          <w:noProof/>
          <w:sz w:val="22"/>
          <w:szCs w:val="22"/>
          <w:lang w:val="sr-Latn-CS"/>
        </w:rPr>
        <w:t>Postoje izvještaji o hipogamaglobulinemiji povezanoj sa rekurentnim infekcijama koje su se javljale kod pacijenata koji su uzimali lijek Myfortic u kombinaciji sa drugim imunosupresivima. U nekim od ovih slučajeva, prelazak sa MFK derivata na alternativne imunosupresive, doveo je do vraćanja koncentracija Ig</w:t>
      </w:r>
      <w:r w:rsidR="008F67CD" w:rsidRPr="00402700">
        <w:rPr>
          <w:noProof/>
          <w:sz w:val="22"/>
          <w:szCs w:val="22"/>
          <w:lang w:val="sr-Latn-CS"/>
        </w:rPr>
        <w:t>G</w:t>
      </w:r>
      <w:r w:rsidRPr="00402700">
        <w:rPr>
          <w:noProof/>
          <w:sz w:val="22"/>
          <w:szCs w:val="22"/>
          <w:lang w:val="sr-Latn-CS"/>
        </w:rPr>
        <w:t xml:space="preserve"> u serumu na normalu. Pacijentima na terapiji lijekom Myfortic kod kojih se razvila rekurentna infekcija treba izmjeriti serumske imunoglobuline. U slučaju stalno prisutne, klinički značajne hipogamaglobulinemije, treba razmotriti odgovarajuću kliničku terapiju uzimajući u obzir potentni citostatski efekat mikofenolne kiseline na T-i B-limfocite.</w:t>
      </w:r>
    </w:p>
    <w:p w14:paraId="0B39BADA" w14:textId="77777777" w:rsidR="0074220B" w:rsidRPr="00402700" w:rsidRDefault="0074220B" w:rsidP="002C32CA">
      <w:pPr>
        <w:shd w:val="clear" w:color="auto" w:fill="FFFFFF"/>
        <w:jc w:val="both"/>
        <w:rPr>
          <w:noProof/>
          <w:sz w:val="22"/>
          <w:szCs w:val="22"/>
          <w:lang w:val="sr-Latn-CS"/>
        </w:rPr>
      </w:pPr>
    </w:p>
    <w:p w14:paraId="0761ED2F" w14:textId="07FDC865" w:rsidR="00F547EC" w:rsidRPr="00402700" w:rsidRDefault="00F547EC" w:rsidP="002C32CA">
      <w:pPr>
        <w:shd w:val="clear" w:color="auto" w:fill="FFFFFF"/>
        <w:jc w:val="both"/>
        <w:rPr>
          <w:noProof/>
          <w:sz w:val="22"/>
          <w:szCs w:val="22"/>
          <w:lang w:val="sr-Latn-CS"/>
        </w:rPr>
      </w:pPr>
      <w:r w:rsidRPr="00402700">
        <w:rPr>
          <w:noProof/>
          <w:sz w:val="22"/>
          <w:szCs w:val="22"/>
          <w:lang w:val="sr-Latn-CS"/>
        </w:rPr>
        <w:t xml:space="preserve">Postoje izvještaji o bronhiektazijama kod pacijenata koji su uzimali lijek Myfortic u kombinaciji sa drugim imunosupresivima. U nekim od ovih slučajeva, prelazak sa MFK derivata na druge imunosupresive, doveo je </w:t>
      </w:r>
      <w:r w:rsidR="00190AF7" w:rsidRPr="00402700">
        <w:rPr>
          <w:noProof/>
          <w:sz w:val="22"/>
          <w:szCs w:val="22"/>
          <w:lang w:val="sr-Latn-CS"/>
        </w:rPr>
        <w:t xml:space="preserve">do </w:t>
      </w:r>
      <w:r w:rsidRPr="00402700">
        <w:rPr>
          <w:noProof/>
          <w:sz w:val="22"/>
          <w:szCs w:val="22"/>
          <w:lang w:val="sr-Latn-CS"/>
        </w:rPr>
        <w:t>poboljšanja respiratornih simptoma. Rizik od bronhiektazija može biti povezan sa hipogamaglobulinemijom ili sa direktnim efektom na pluća. Takođe postoje pojedinačni izvještaji o intersticij</w:t>
      </w:r>
      <w:r w:rsidR="0074220B" w:rsidRPr="00402700">
        <w:rPr>
          <w:noProof/>
          <w:sz w:val="22"/>
          <w:szCs w:val="22"/>
          <w:lang w:val="sr-Latn-CS"/>
        </w:rPr>
        <w:t>umskoj</w:t>
      </w:r>
      <w:r w:rsidRPr="00402700">
        <w:rPr>
          <w:noProof/>
          <w:sz w:val="22"/>
          <w:szCs w:val="22"/>
          <w:lang w:val="sr-Latn-CS"/>
        </w:rPr>
        <w:t xml:space="preserve"> plućnoj bolesti (vidjeti </w:t>
      </w:r>
      <w:r w:rsidR="007779BA" w:rsidRPr="00402700">
        <w:rPr>
          <w:noProof/>
          <w:sz w:val="22"/>
          <w:szCs w:val="22"/>
          <w:lang w:val="sr-Latn-CS"/>
        </w:rPr>
        <w:t>dio</w:t>
      </w:r>
      <w:r w:rsidRPr="00402700">
        <w:rPr>
          <w:noProof/>
          <w:sz w:val="22"/>
          <w:szCs w:val="22"/>
          <w:lang w:val="sr-Latn-CS"/>
        </w:rPr>
        <w:t xml:space="preserve"> 4.8). Preporučuje se da pacijenti koji  razviju perzistentne plućne simptome, kao što su kašalj i </w:t>
      </w:r>
      <w:r w:rsidR="0074220B" w:rsidRPr="00402700">
        <w:rPr>
          <w:noProof/>
          <w:sz w:val="22"/>
          <w:szCs w:val="22"/>
          <w:lang w:val="sr-Latn-CS"/>
        </w:rPr>
        <w:t>dispne</w:t>
      </w:r>
      <w:r w:rsidR="00076420" w:rsidRPr="00402700">
        <w:rPr>
          <w:noProof/>
          <w:sz w:val="22"/>
          <w:szCs w:val="22"/>
          <w:lang w:val="sr-Latn-CS"/>
        </w:rPr>
        <w:t>j</w:t>
      </w:r>
      <w:r w:rsidR="0074220B" w:rsidRPr="00402700">
        <w:rPr>
          <w:noProof/>
          <w:sz w:val="22"/>
          <w:szCs w:val="22"/>
          <w:lang w:val="sr-Latn-CS"/>
        </w:rPr>
        <w:t>a</w:t>
      </w:r>
      <w:r w:rsidRPr="00402700">
        <w:rPr>
          <w:noProof/>
          <w:sz w:val="22"/>
          <w:szCs w:val="22"/>
          <w:lang w:val="sr-Latn-CS"/>
        </w:rPr>
        <w:t>, budu ispitani radi dokazivanja postojeće intersticij</w:t>
      </w:r>
      <w:r w:rsidR="0074220B" w:rsidRPr="00402700">
        <w:rPr>
          <w:noProof/>
          <w:sz w:val="22"/>
          <w:szCs w:val="22"/>
          <w:lang w:val="sr-Latn-CS"/>
        </w:rPr>
        <w:t>umske</w:t>
      </w:r>
      <w:r w:rsidRPr="00402700">
        <w:rPr>
          <w:noProof/>
          <w:sz w:val="22"/>
          <w:szCs w:val="22"/>
          <w:lang w:val="sr-Latn-CS"/>
        </w:rPr>
        <w:t xml:space="preserve"> plućne bolesti.</w:t>
      </w:r>
    </w:p>
    <w:p w14:paraId="672DB049" w14:textId="77777777" w:rsidR="00BE0E52" w:rsidRPr="00402700" w:rsidRDefault="00BE0E52" w:rsidP="002C32CA">
      <w:pPr>
        <w:shd w:val="clear" w:color="auto" w:fill="FFFFFF"/>
        <w:jc w:val="both"/>
        <w:rPr>
          <w:noProof/>
          <w:sz w:val="22"/>
          <w:szCs w:val="22"/>
          <w:lang w:val="sr-Latn-CS"/>
        </w:rPr>
      </w:pPr>
    </w:p>
    <w:p w14:paraId="52D4DDB1" w14:textId="2A63CDC2" w:rsidR="00F547EC" w:rsidRPr="00402700" w:rsidRDefault="00F547EC" w:rsidP="002C32CA">
      <w:pPr>
        <w:shd w:val="clear" w:color="auto" w:fill="FFFFFF"/>
        <w:jc w:val="both"/>
        <w:rPr>
          <w:noProof/>
          <w:sz w:val="22"/>
          <w:szCs w:val="22"/>
          <w:lang w:val="sr-Latn-CS"/>
        </w:rPr>
      </w:pPr>
      <w:r w:rsidRPr="00402700">
        <w:rPr>
          <w:noProof/>
          <w:sz w:val="22"/>
          <w:szCs w:val="22"/>
          <w:lang w:val="sr-Latn-CS"/>
        </w:rPr>
        <w:t>Prijavljivana je reaktivacija hepatitisa B (HBV) i</w:t>
      </w:r>
      <w:r w:rsidR="00BE0E52" w:rsidRPr="00402700">
        <w:rPr>
          <w:noProof/>
          <w:sz w:val="22"/>
          <w:szCs w:val="22"/>
          <w:lang w:val="sr-Latn-CS"/>
        </w:rPr>
        <w:t>li</w:t>
      </w:r>
      <w:r w:rsidRPr="00402700">
        <w:rPr>
          <w:noProof/>
          <w:sz w:val="22"/>
          <w:szCs w:val="22"/>
          <w:lang w:val="sr-Latn-CS"/>
        </w:rPr>
        <w:t xml:space="preserve"> hepatitisa C (HCV) kod pacijenata koji su na terapiji imunosupresivima, uključujući derivate mikofenolne kiseline (MFK) – lijek Myfortic i mikofenolat mofetil (MFM). Preporučuje se praćenje inficiranih pacijenata zbog kliničkih i laboratorijskih znakova HBV ili HCV infekcija.</w:t>
      </w:r>
    </w:p>
    <w:p w14:paraId="370AFA11" w14:textId="77777777" w:rsidR="00BE0E52" w:rsidRPr="00402700" w:rsidRDefault="00BE0E52" w:rsidP="002C32CA">
      <w:pPr>
        <w:shd w:val="clear" w:color="auto" w:fill="FFFFFF"/>
        <w:tabs>
          <w:tab w:val="left" w:pos="965"/>
        </w:tabs>
        <w:jc w:val="both"/>
        <w:rPr>
          <w:noProof/>
          <w:sz w:val="22"/>
          <w:szCs w:val="22"/>
          <w:lang w:val="sr-Latn-CS"/>
        </w:rPr>
      </w:pPr>
    </w:p>
    <w:p w14:paraId="4B49C34A" w14:textId="394AA378"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Slučajevi izlolovane aplazije crvene loze (PRCA, od eng. </w:t>
      </w:r>
      <w:r w:rsidRPr="00402700">
        <w:rPr>
          <w:i/>
          <w:noProof/>
          <w:sz w:val="22"/>
          <w:szCs w:val="22"/>
          <w:lang w:val="sr-Latn-CS"/>
        </w:rPr>
        <w:t>pure red ce</w:t>
      </w:r>
      <w:r w:rsidR="00BE0E52" w:rsidRPr="00402700">
        <w:rPr>
          <w:i/>
          <w:noProof/>
          <w:sz w:val="22"/>
          <w:szCs w:val="22"/>
          <w:lang w:val="sr-Latn-CS"/>
        </w:rPr>
        <w:t>l</w:t>
      </w:r>
      <w:r w:rsidRPr="00402700">
        <w:rPr>
          <w:i/>
          <w:noProof/>
          <w:sz w:val="22"/>
          <w:szCs w:val="22"/>
          <w:lang w:val="sr-Latn-CS"/>
        </w:rPr>
        <w:t>l aplasia</w:t>
      </w:r>
      <w:r w:rsidRPr="00402700">
        <w:rPr>
          <w:noProof/>
          <w:sz w:val="22"/>
          <w:szCs w:val="22"/>
          <w:lang w:val="sr-Latn-CS"/>
        </w:rPr>
        <w:t xml:space="preserve">) prijavljeni su kod pacijenata liječenih derivatima mikofenolne kiseline (koji uključuju mikofenolat mofetil i mikofenolat natrijum) u kombinaciji sa drugim imunosupresivnim ljekovima. Mehanizam izolovane aplazije crvene loze izazvan derivatima mikofenolne kiseline je nepoznat. Izolovana aplazija crvene loze može </w:t>
      </w:r>
      <w:r w:rsidR="00BE0E52" w:rsidRPr="00402700">
        <w:rPr>
          <w:noProof/>
          <w:sz w:val="22"/>
          <w:szCs w:val="22"/>
          <w:lang w:val="sr-Latn-CS"/>
        </w:rPr>
        <w:t>nestati</w:t>
      </w:r>
      <w:r w:rsidR="00A96B01" w:rsidRPr="00402700">
        <w:rPr>
          <w:noProof/>
          <w:sz w:val="22"/>
          <w:szCs w:val="22"/>
          <w:lang w:val="sr-Latn-CS"/>
        </w:rPr>
        <w:t xml:space="preserve"> sa</w:t>
      </w:r>
      <w:r w:rsidRPr="00402700">
        <w:rPr>
          <w:noProof/>
          <w:sz w:val="22"/>
          <w:szCs w:val="22"/>
          <w:lang w:val="sr-Latn-CS"/>
        </w:rPr>
        <w:t xml:space="preserve"> sniženjem doze ili obustavom terapije. Izmjene terapije lijekom Myfortic treba sprovesti pod adekvatnim nadzorom primaoca transplantata kako bi se smanjio rizik od odbacivanja grafta (vidjeti </w:t>
      </w:r>
      <w:r w:rsidR="007779BA" w:rsidRPr="00402700">
        <w:rPr>
          <w:noProof/>
          <w:sz w:val="22"/>
          <w:szCs w:val="22"/>
          <w:lang w:val="sr-Latn-CS"/>
        </w:rPr>
        <w:t>dio</w:t>
      </w:r>
      <w:r w:rsidRPr="00402700">
        <w:rPr>
          <w:noProof/>
          <w:sz w:val="22"/>
          <w:szCs w:val="22"/>
          <w:lang w:val="sr-Latn-CS"/>
        </w:rPr>
        <w:t xml:space="preserve"> 4.8).</w:t>
      </w:r>
    </w:p>
    <w:p w14:paraId="5D2FDE69" w14:textId="77777777" w:rsidR="002147C6" w:rsidRPr="00402700" w:rsidRDefault="002147C6" w:rsidP="002C32CA">
      <w:pPr>
        <w:shd w:val="clear" w:color="auto" w:fill="FFFFFF"/>
        <w:tabs>
          <w:tab w:val="left" w:pos="965"/>
        </w:tabs>
        <w:jc w:val="both"/>
        <w:rPr>
          <w:noProof/>
          <w:sz w:val="22"/>
          <w:szCs w:val="22"/>
          <w:lang w:val="sr-Latn-CS"/>
        </w:rPr>
      </w:pPr>
    </w:p>
    <w:p w14:paraId="67D5CE9D" w14:textId="1B711B45"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Pacijente koji primaju lijek Myfortic treba pratiti zbog krvnih poremećaja (npr. neutropenije ili anemije- vidjeti </w:t>
      </w:r>
      <w:r w:rsidR="007779BA" w:rsidRPr="00402700">
        <w:rPr>
          <w:noProof/>
          <w:sz w:val="22"/>
          <w:szCs w:val="22"/>
          <w:lang w:val="sr-Latn-CS"/>
        </w:rPr>
        <w:t>dio</w:t>
      </w:r>
      <w:r w:rsidRPr="00402700">
        <w:rPr>
          <w:noProof/>
          <w:sz w:val="22"/>
          <w:szCs w:val="22"/>
          <w:lang w:val="sr-Latn-CS"/>
        </w:rPr>
        <w:t xml:space="preserve"> 4.8), koji mogu biti vezani za primjenu mikofenolne kiseline, ljekova koji se primjenjuju istovremeno, virusnih infekcija ili kombinacije ovih uzroka. </w:t>
      </w:r>
    </w:p>
    <w:p w14:paraId="61055F60" w14:textId="77777777" w:rsidR="00201C20"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Pacijentima koji uzimaju lijek Myfortic treba svake nedjelje tokom prvog mjeseca kontrolisati kompletnu krvnu sliku, dvaput mjesečno tokom drugog i trećeg mjeseca liječenja, potom jednom mjesečno tokom prve godine. </w:t>
      </w:r>
    </w:p>
    <w:p w14:paraId="106449FC" w14:textId="750EAF7E"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U slučaju  razvoja krvnih po</w:t>
      </w:r>
      <w:r w:rsidR="00CA43C1" w:rsidRPr="00402700">
        <w:rPr>
          <w:noProof/>
          <w:sz w:val="22"/>
          <w:szCs w:val="22"/>
          <w:lang w:val="sr-Latn-CS"/>
        </w:rPr>
        <w:t>re</w:t>
      </w:r>
      <w:r w:rsidRPr="00402700">
        <w:rPr>
          <w:noProof/>
          <w:sz w:val="22"/>
          <w:szCs w:val="22"/>
          <w:lang w:val="sr-Latn-CS"/>
        </w:rPr>
        <w:t xml:space="preserve">mećaja (npr. neutropenija </w:t>
      </w:r>
      <w:r w:rsidR="00201C20" w:rsidRPr="00402700">
        <w:rPr>
          <w:noProof/>
          <w:sz w:val="22"/>
          <w:szCs w:val="22"/>
          <w:lang w:val="sr-Latn-CS"/>
        </w:rPr>
        <w:t>sa</w:t>
      </w:r>
      <w:r w:rsidR="001437D0" w:rsidRPr="00402700">
        <w:rPr>
          <w:noProof/>
          <w:sz w:val="22"/>
          <w:szCs w:val="22"/>
          <w:lang w:val="sr-Latn-CS"/>
        </w:rPr>
        <w:t xml:space="preserve"> </w:t>
      </w:r>
      <w:r w:rsidRPr="00402700">
        <w:rPr>
          <w:noProof/>
          <w:sz w:val="22"/>
          <w:szCs w:val="22"/>
          <w:lang w:val="sr-Latn-CS"/>
        </w:rPr>
        <w:t>apsolutni</w:t>
      </w:r>
      <w:r w:rsidR="00201C20" w:rsidRPr="00402700">
        <w:rPr>
          <w:noProof/>
          <w:sz w:val="22"/>
          <w:szCs w:val="22"/>
          <w:lang w:val="sr-Latn-CS"/>
        </w:rPr>
        <w:t>m</w:t>
      </w:r>
      <w:r w:rsidRPr="00402700">
        <w:rPr>
          <w:noProof/>
          <w:sz w:val="22"/>
          <w:szCs w:val="22"/>
          <w:lang w:val="sr-Latn-CS"/>
        </w:rPr>
        <w:t xml:space="preserve"> broj</w:t>
      </w:r>
      <w:r w:rsidR="00201C20" w:rsidRPr="00402700">
        <w:rPr>
          <w:noProof/>
          <w:sz w:val="22"/>
          <w:szCs w:val="22"/>
          <w:lang w:val="sr-Latn-CS"/>
        </w:rPr>
        <w:t>em</w:t>
      </w:r>
      <w:r w:rsidRPr="00402700">
        <w:rPr>
          <w:noProof/>
          <w:sz w:val="22"/>
          <w:szCs w:val="22"/>
          <w:lang w:val="sr-Latn-CS"/>
        </w:rPr>
        <w:t xml:space="preserve"> neutrofila &lt; 1,5 × 10</w:t>
      </w:r>
      <w:r w:rsidRPr="00402700">
        <w:rPr>
          <w:noProof/>
          <w:sz w:val="22"/>
          <w:szCs w:val="22"/>
          <w:vertAlign w:val="superscript"/>
          <w:lang w:val="sr-Latn-CS"/>
        </w:rPr>
        <w:t>3</w:t>
      </w:r>
      <w:r w:rsidRPr="00402700">
        <w:rPr>
          <w:noProof/>
          <w:sz w:val="22"/>
          <w:szCs w:val="22"/>
          <w:lang w:val="sr-Latn-CS"/>
        </w:rPr>
        <w:t>/mikrolitara ili anemija) može biti potreban privremen ili trajni prekid primjene lijeka Myfortic.</w:t>
      </w:r>
    </w:p>
    <w:p w14:paraId="1BCA180E" w14:textId="77777777" w:rsidR="00201C20" w:rsidRPr="00402700" w:rsidRDefault="00201C20" w:rsidP="002C32CA">
      <w:pPr>
        <w:shd w:val="clear" w:color="auto" w:fill="FFFFFF"/>
        <w:tabs>
          <w:tab w:val="left" w:pos="965"/>
        </w:tabs>
        <w:jc w:val="both"/>
        <w:rPr>
          <w:noProof/>
          <w:sz w:val="22"/>
          <w:szCs w:val="22"/>
          <w:lang w:val="sr-Latn-CS"/>
        </w:rPr>
      </w:pPr>
    </w:p>
    <w:p w14:paraId="5A4A7CDE" w14:textId="42889D29"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Pacijente treba upozoriti da tokom liječenja mikofenolnom kiselinom, vakcinacije mogu da budu manje efikasne, a da primjenu živih atenuisanih vakcina treba izbjegavati (vidjeti </w:t>
      </w:r>
      <w:r w:rsidR="007779BA" w:rsidRPr="00402700">
        <w:rPr>
          <w:noProof/>
          <w:sz w:val="22"/>
          <w:szCs w:val="22"/>
          <w:lang w:val="sr-Latn-CS"/>
        </w:rPr>
        <w:t>dio</w:t>
      </w:r>
      <w:r w:rsidRPr="00402700">
        <w:rPr>
          <w:noProof/>
          <w:sz w:val="22"/>
          <w:szCs w:val="22"/>
          <w:lang w:val="sr-Latn-CS"/>
        </w:rPr>
        <w:t xml:space="preserve"> 4.5). </w:t>
      </w:r>
    </w:p>
    <w:p w14:paraId="76A531AD"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Vakcinacija protiv gripa može biti od značaja. Ljekari treba da konsultuju nacionalne vodiče u vezi sa vakcinacijom protiv gripa.</w:t>
      </w:r>
    </w:p>
    <w:p w14:paraId="3A6FC2AB" w14:textId="64156B1A"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Pošto su derivati mikofenolne kiseline dovođeni u vezu sa povećanom incidencom neželjenih </w:t>
      </w:r>
      <w:r w:rsidR="00201C20" w:rsidRPr="00402700">
        <w:rPr>
          <w:noProof/>
          <w:sz w:val="22"/>
          <w:szCs w:val="22"/>
          <w:lang w:val="sr-Latn-CS"/>
        </w:rPr>
        <w:t>događaja u</w:t>
      </w:r>
      <w:r w:rsidRPr="00402700">
        <w:rPr>
          <w:noProof/>
          <w:sz w:val="22"/>
          <w:szCs w:val="22"/>
          <w:lang w:val="sr-Latn-CS"/>
        </w:rPr>
        <w:t xml:space="preserve"> digestivno</w:t>
      </w:r>
      <w:r w:rsidR="00201C20" w:rsidRPr="00402700">
        <w:rPr>
          <w:noProof/>
          <w:sz w:val="22"/>
          <w:szCs w:val="22"/>
          <w:lang w:val="sr-Latn-CS"/>
        </w:rPr>
        <w:t>m</w:t>
      </w:r>
      <w:r w:rsidRPr="00402700">
        <w:rPr>
          <w:noProof/>
          <w:sz w:val="22"/>
          <w:szCs w:val="22"/>
          <w:lang w:val="sr-Latn-CS"/>
        </w:rPr>
        <w:t xml:space="preserve"> sistem</w:t>
      </w:r>
      <w:r w:rsidR="00201C20" w:rsidRPr="00402700">
        <w:rPr>
          <w:noProof/>
          <w:sz w:val="22"/>
          <w:szCs w:val="22"/>
          <w:lang w:val="sr-Latn-CS"/>
        </w:rPr>
        <w:t>u</w:t>
      </w:r>
      <w:r w:rsidRPr="00402700">
        <w:rPr>
          <w:noProof/>
          <w:sz w:val="22"/>
          <w:szCs w:val="22"/>
          <w:lang w:val="sr-Latn-CS"/>
        </w:rPr>
        <w:t>, uključujući i rijetke slučajeve ulceracija, krvavljenja i perforacija u gastrointestinalnom traktu, lijek Myfortic treba oprezno primjenjivati kod pacijenata sa teškom aktivnom bolešću digestivnog sistema.</w:t>
      </w:r>
    </w:p>
    <w:p w14:paraId="7820AB4E" w14:textId="77777777" w:rsidR="00201C20" w:rsidRPr="00402700" w:rsidRDefault="00201C20" w:rsidP="002C32CA">
      <w:pPr>
        <w:shd w:val="clear" w:color="auto" w:fill="FFFFFF"/>
        <w:tabs>
          <w:tab w:val="left" w:pos="965"/>
        </w:tabs>
        <w:jc w:val="both"/>
        <w:rPr>
          <w:noProof/>
          <w:sz w:val="22"/>
          <w:szCs w:val="22"/>
          <w:lang w:val="sr-Latn-CS"/>
        </w:rPr>
      </w:pPr>
    </w:p>
    <w:p w14:paraId="6C8BE7AB" w14:textId="078E4604"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Preporučeno je da se lijek Myfortic ne primjenjuje istovremeno sa azatioprinom, jer istovremena primjena ova dva lijeka nije ispitana.</w:t>
      </w:r>
    </w:p>
    <w:p w14:paraId="3E4FCFA3" w14:textId="77777777" w:rsidR="00201C20" w:rsidRPr="00402700" w:rsidRDefault="00201C20" w:rsidP="002C32CA">
      <w:pPr>
        <w:shd w:val="clear" w:color="auto" w:fill="FFFFFF"/>
        <w:tabs>
          <w:tab w:val="left" w:pos="965"/>
        </w:tabs>
        <w:jc w:val="both"/>
        <w:rPr>
          <w:noProof/>
          <w:sz w:val="22"/>
          <w:szCs w:val="22"/>
          <w:lang w:val="sr-Latn-CS"/>
        </w:rPr>
      </w:pPr>
    </w:p>
    <w:p w14:paraId="4E438B3F" w14:textId="22F8CFFD"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Mikofenolna kiselina (u obliku natrijumove soli) i mikofenolat mofetil se ne smiju bez razloga zamjenjivati ili izmjenjivati s obzirom da imaju različite farmakokinetičke profile.</w:t>
      </w:r>
    </w:p>
    <w:p w14:paraId="1041E11B"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Lijek Myfortic se primjenjuje u kombinaciji sa kortikosteroidima i ciklosporinom.</w:t>
      </w:r>
    </w:p>
    <w:p w14:paraId="1444FA1B" w14:textId="77777777" w:rsidR="00201C20" w:rsidRPr="00402700" w:rsidRDefault="00201C20" w:rsidP="002C32CA">
      <w:pPr>
        <w:shd w:val="clear" w:color="auto" w:fill="FFFFFF"/>
        <w:tabs>
          <w:tab w:val="left" w:pos="965"/>
        </w:tabs>
        <w:jc w:val="both"/>
        <w:rPr>
          <w:noProof/>
          <w:sz w:val="22"/>
          <w:szCs w:val="22"/>
          <w:lang w:val="sr-Latn-CS"/>
        </w:rPr>
      </w:pPr>
    </w:p>
    <w:p w14:paraId="4A658DE4" w14:textId="2C518A22"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Postoji ograničeno iskustvo istovremene primjene sa terapijom indukcije kao što su anti-T-limfocitni globulin ili baziliksimab. Efikasnost i bezbjednost primjene lijeka Myfortic sa drugim imunosupresivnim ljekovima (na primjer, takrolimus) ni</w:t>
      </w:r>
      <w:r w:rsidR="00201C20" w:rsidRPr="00402700">
        <w:rPr>
          <w:noProof/>
          <w:sz w:val="22"/>
          <w:szCs w:val="22"/>
          <w:lang w:val="sr-Latn-CS"/>
        </w:rPr>
        <w:t>su</w:t>
      </w:r>
      <w:r w:rsidRPr="00402700">
        <w:rPr>
          <w:noProof/>
          <w:sz w:val="22"/>
          <w:szCs w:val="22"/>
          <w:lang w:val="sr-Latn-CS"/>
        </w:rPr>
        <w:t xml:space="preserve"> ispitivan</w:t>
      </w:r>
      <w:r w:rsidR="00201C20" w:rsidRPr="00402700">
        <w:rPr>
          <w:noProof/>
          <w:sz w:val="22"/>
          <w:szCs w:val="22"/>
          <w:lang w:val="sr-Latn-CS"/>
        </w:rPr>
        <w:t>e</w:t>
      </w:r>
      <w:r w:rsidRPr="00402700">
        <w:rPr>
          <w:noProof/>
          <w:sz w:val="22"/>
          <w:szCs w:val="22"/>
          <w:lang w:val="sr-Latn-CS"/>
        </w:rPr>
        <w:t>.</w:t>
      </w:r>
    </w:p>
    <w:p w14:paraId="2018DA80" w14:textId="77777777" w:rsidR="0068008B" w:rsidRPr="00402700" w:rsidRDefault="0068008B" w:rsidP="002C32CA">
      <w:pPr>
        <w:shd w:val="clear" w:color="auto" w:fill="FFFFFF"/>
        <w:tabs>
          <w:tab w:val="left" w:pos="965"/>
        </w:tabs>
        <w:jc w:val="both"/>
        <w:rPr>
          <w:noProof/>
          <w:sz w:val="22"/>
          <w:szCs w:val="22"/>
          <w:lang w:val="sr-Latn-CS"/>
        </w:rPr>
      </w:pPr>
    </w:p>
    <w:p w14:paraId="35014FCD" w14:textId="1064B131"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Istovremena primjena lijeka Myfortic sa ljekovima koji utiču na enterohepatičnu cirkulaciju, na primjer holestiramin ili aktivni ugalj, može dovesti do sub-terapijske </w:t>
      </w:r>
      <w:r w:rsidR="0068008B" w:rsidRPr="00402700">
        <w:rPr>
          <w:noProof/>
          <w:sz w:val="22"/>
          <w:szCs w:val="22"/>
          <w:lang w:val="sr-Latn-CS"/>
        </w:rPr>
        <w:t xml:space="preserve">sistemske </w:t>
      </w:r>
      <w:r w:rsidRPr="00402700">
        <w:rPr>
          <w:noProof/>
          <w:sz w:val="22"/>
          <w:szCs w:val="22"/>
          <w:lang w:val="sr-Latn-CS"/>
        </w:rPr>
        <w:t>izloženosti mikofenolnoj kiselini i smanjene efikasnosti.</w:t>
      </w:r>
    </w:p>
    <w:p w14:paraId="14C87689" w14:textId="77777777" w:rsidR="0068008B" w:rsidRPr="00402700" w:rsidRDefault="0068008B" w:rsidP="002C32CA">
      <w:pPr>
        <w:shd w:val="clear" w:color="auto" w:fill="FFFFFF"/>
        <w:tabs>
          <w:tab w:val="left" w:pos="965"/>
        </w:tabs>
        <w:jc w:val="both"/>
        <w:rPr>
          <w:noProof/>
          <w:sz w:val="22"/>
          <w:szCs w:val="22"/>
          <w:lang w:val="sr-Latn-CS"/>
        </w:rPr>
      </w:pPr>
    </w:p>
    <w:p w14:paraId="6A38CE2E" w14:textId="3FF2475A" w:rsidR="0068008B" w:rsidRPr="00402700" w:rsidRDefault="0068008B"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w:t>
      </w:r>
      <w:r w:rsidR="00F547EC" w:rsidRPr="00402700">
        <w:rPr>
          <w:noProof/>
          <w:sz w:val="22"/>
          <w:szCs w:val="22"/>
          <w:lang w:val="sr-Latn-CS"/>
        </w:rPr>
        <w:t xml:space="preserve">Myfortic  je inhibitor IMPDH (inozin- monofosfat- dehidrogenaze). Zbog toga ga treba izbjegavati kod pacijenata sa rijetkim nasljednim nedostatkom hipoksantin-guanin-fosforibozil-transferaze (HGPRT) kao kod Lesch-Nyhan i Kelley-Seegmiller sindroma. </w:t>
      </w:r>
    </w:p>
    <w:p w14:paraId="32FE7EE3" w14:textId="77777777" w:rsidR="0068008B" w:rsidRPr="00402700" w:rsidRDefault="0068008B" w:rsidP="002C32CA">
      <w:pPr>
        <w:shd w:val="clear" w:color="auto" w:fill="FFFFFF"/>
        <w:tabs>
          <w:tab w:val="left" w:pos="965"/>
        </w:tabs>
        <w:jc w:val="both"/>
        <w:rPr>
          <w:noProof/>
          <w:sz w:val="22"/>
          <w:szCs w:val="22"/>
          <w:lang w:val="sr-Latn-CS"/>
        </w:rPr>
      </w:pPr>
    </w:p>
    <w:p w14:paraId="0E5F3B80" w14:textId="18B4BA5B"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Terapija lijekom Myfortic se  ne smije započinjati dok se ne dobije negativan test na trudnoću. Moraju se koristiti efikasne metode kontracepcije prije početka liječenja lijekom Myfortic, tokom liječenja i </w:t>
      </w:r>
      <w:r w:rsidR="0068008B" w:rsidRPr="00402700">
        <w:rPr>
          <w:noProof/>
          <w:sz w:val="22"/>
          <w:szCs w:val="22"/>
          <w:lang w:val="sr-Latn-CS"/>
        </w:rPr>
        <w:t xml:space="preserve">tokom </w:t>
      </w:r>
      <w:r w:rsidRPr="00402700">
        <w:rPr>
          <w:noProof/>
          <w:sz w:val="22"/>
          <w:szCs w:val="22"/>
          <w:lang w:val="sr-Latn-CS"/>
        </w:rPr>
        <w:t xml:space="preserve">šest nedjelja nakon prestanka liječenja (vidjeti </w:t>
      </w:r>
      <w:r w:rsidR="007779BA" w:rsidRPr="00402700">
        <w:rPr>
          <w:noProof/>
          <w:sz w:val="22"/>
          <w:szCs w:val="22"/>
          <w:lang w:val="sr-Latn-CS"/>
        </w:rPr>
        <w:t>dio</w:t>
      </w:r>
      <w:r w:rsidRPr="00402700">
        <w:rPr>
          <w:noProof/>
          <w:sz w:val="22"/>
          <w:szCs w:val="22"/>
          <w:lang w:val="sr-Latn-CS"/>
        </w:rPr>
        <w:t xml:space="preserve"> 4.6).</w:t>
      </w:r>
    </w:p>
    <w:p w14:paraId="767A50AC" w14:textId="77777777" w:rsidR="00F547EC" w:rsidRPr="00402700" w:rsidRDefault="00F547EC" w:rsidP="002C32CA">
      <w:pPr>
        <w:shd w:val="clear" w:color="auto" w:fill="FFFFFF"/>
        <w:tabs>
          <w:tab w:val="left" w:pos="965"/>
        </w:tabs>
        <w:jc w:val="both"/>
        <w:rPr>
          <w:noProof/>
          <w:sz w:val="22"/>
          <w:szCs w:val="22"/>
          <w:lang w:val="sr-Latn-CS"/>
        </w:rPr>
      </w:pPr>
    </w:p>
    <w:p w14:paraId="4D75D902" w14:textId="77777777" w:rsidR="00F547EC" w:rsidRPr="00402700" w:rsidRDefault="00F547EC" w:rsidP="002C32CA">
      <w:pPr>
        <w:pStyle w:val="Header"/>
        <w:jc w:val="both"/>
        <w:rPr>
          <w:noProof/>
          <w:sz w:val="22"/>
          <w:szCs w:val="22"/>
          <w:u w:val="single"/>
          <w:lang w:val="sr-Latn-CS"/>
        </w:rPr>
      </w:pPr>
      <w:r w:rsidRPr="00402700">
        <w:rPr>
          <w:noProof/>
          <w:sz w:val="22"/>
          <w:szCs w:val="22"/>
          <w:u w:val="single"/>
          <w:lang w:val="sr-Latn-CS"/>
        </w:rPr>
        <w:t>Teratogeni efekti</w:t>
      </w:r>
    </w:p>
    <w:p w14:paraId="3D130BC0" w14:textId="76066D73" w:rsidR="00F547EC" w:rsidRPr="00402700" w:rsidRDefault="00F547EC" w:rsidP="002C32CA">
      <w:pPr>
        <w:pStyle w:val="Header"/>
        <w:jc w:val="both"/>
        <w:rPr>
          <w:noProof/>
          <w:sz w:val="22"/>
          <w:szCs w:val="22"/>
          <w:lang w:val="sr-Latn-CS"/>
        </w:rPr>
      </w:pPr>
      <w:r w:rsidRPr="00402700">
        <w:rPr>
          <w:noProof/>
          <w:sz w:val="22"/>
          <w:szCs w:val="22"/>
          <w:lang w:val="sr-Latn-CS"/>
        </w:rPr>
        <w:t>Mikofenolat je snažan humani teratogen. Prijavljeni su slučajevi spontanih pobačaja (stopa od 45 do 49%) i kongenitalnih malformacija (procijenjena stopa od 23 do 27%) zbog primjene mikofenolat mofetila u toku trudnoće. Zbog toga, primjena lijeka Myfortic je kontraindikovana u trudnoći osim ako ne postoji odgovarajuća alternativna terapija koja bi spr</w:t>
      </w:r>
      <w:r w:rsidR="00CA43C1" w:rsidRPr="00402700">
        <w:rPr>
          <w:noProof/>
          <w:sz w:val="22"/>
          <w:szCs w:val="22"/>
          <w:lang w:val="sr-Latn-CS"/>
        </w:rPr>
        <w:t>i</w:t>
      </w:r>
      <w:r w:rsidR="00190AF7" w:rsidRPr="00402700">
        <w:rPr>
          <w:noProof/>
          <w:sz w:val="22"/>
          <w:szCs w:val="22"/>
          <w:lang w:val="sr-Latn-CS"/>
        </w:rPr>
        <w:t>j</w:t>
      </w:r>
      <w:r w:rsidRPr="00402700">
        <w:rPr>
          <w:noProof/>
          <w:sz w:val="22"/>
          <w:szCs w:val="22"/>
          <w:lang w:val="sr-Latn-CS"/>
        </w:rPr>
        <w:t>ečila odbacivanje transplantata. Pacijentkinj</w:t>
      </w:r>
      <w:r w:rsidR="006E2D6C" w:rsidRPr="00402700">
        <w:rPr>
          <w:noProof/>
          <w:sz w:val="22"/>
          <w:szCs w:val="22"/>
          <w:lang w:val="sr-Latn-CS"/>
        </w:rPr>
        <w:t>e</w:t>
      </w:r>
      <w:r w:rsidRPr="00402700">
        <w:rPr>
          <w:noProof/>
          <w:sz w:val="22"/>
          <w:szCs w:val="22"/>
          <w:lang w:val="sr-Latn-CS"/>
        </w:rPr>
        <w:t xml:space="preserve"> sa reproduktivnim potencijalom treba upozoriti na rizike i na preporuke navedene u </w:t>
      </w:r>
      <w:r w:rsidR="007779BA" w:rsidRPr="00402700">
        <w:rPr>
          <w:noProof/>
          <w:sz w:val="22"/>
          <w:szCs w:val="22"/>
          <w:lang w:val="sr-Latn-CS"/>
        </w:rPr>
        <w:t>dijelu</w:t>
      </w:r>
      <w:r w:rsidRPr="00402700">
        <w:rPr>
          <w:noProof/>
          <w:sz w:val="22"/>
          <w:szCs w:val="22"/>
          <w:lang w:val="sr-Latn-CS"/>
        </w:rPr>
        <w:t xml:space="preserve"> 4.6 (npr. metode kontracepcije, testiranje na trudnoću) prije započinjanja terapije, tokom i nakon terapije l</w:t>
      </w:r>
      <w:r w:rsidR="00190AF7" w:rsidRPr="00402700">
        <w:rPr>
          <w:noProof/>
          <w:sz w:val="22"/>
          <w:szCs w:val="22"/>
          <w:lang w:val="sr-Latn-CS"/>
        </w:rPr>
        <w:t>ij</w:t>
      </w:r>
      <w:r w:rsidRPr="00402700">
        <w:rPr>
          <w:noProof/>
          <w:sz w:val="22"/>
          <w:szCs w:val="22"/>
          <w:lang w:val="sr-Latn-CS"/>
        </w:rPr>
        <w:t>ekom Myfortic. Ljekari treba da osiguraju da žene koji uzimaju mikofenolat razumeju rizik štetnosti po dijete, potrebu d</w:t>
      </w:r>
      <w:r w:rsidR="00190AF7" w:rsidRPr="00402700">
        <w:rPr>
          <w:noProof/>
          <w:sz w:val="22"/>
          <w:szCs w:val="22"/>
          <w:lang w:val="sr-Latn-CS"/>
        </w:rPr>
        <w:t>j</w:t>
      </w:r>
      <w:r w:rsidRPr="00402700">
        <w:rPr>
          <w:noProof/>
          <w:sz w:val="22"/>
          <w:szCs w:val="22"/>
          <w:lang w:val="sr-Latn-CS"/>
        </w:rPr>
        <w:t>elotvorne kontracepcije, i potrebu da odmah kontaktiraju ljekara ukoliko postoji mogućnost trudnoće.</w:t>
      </w:r>
    </w:p>
    <w:p w14:paraId="1EB69F6A" w14:textId="77777777" w:rsidR="00F547EC" w:rsidRPr="00402700" w:rsidRDefault="00F547EC" w:rsidP="002C32CA">
      <w:pPr>
        <w:pStyle w:val="Header"/>
        <w:jc w:val="both"/>
        <w:rPr>
          <w:noProof/>
          <w:sz w:val="22"/>
          <w:szCs w:val="22"/>
          <w:lang w:val="sr-Latn-CS"/>
        </w:rPr>
      </w:pPr>
    </w:p>
    <w:p w14:paraId="5F0E771A" w14:textId="60D5AC0E" w:rsidR="00F547EC" w:rsidRPr="00402700" w:rsidRDefault="00F547EC" w:rsidP="002C32CA">
      <w:pPr>
        <w:pStyle w:val="Header"/>
        <w:jc w:val="both"/>
        <w:rPr>
          <w:noProof/>
          <w:sz w:val="22"/>
          <w:szCs w:val="22"/>
          <w:u w:val="single"/>
          <w:lang w:val="sr-Latn-CS"/>
        </w:rPr>
      </w:pPr>
      <w:r w:rsidRPr="00402700">
        <w:rPr>
          <w:noProof/>
          <w:sz w:val="22"/>
          <w:szCs w:val="22"/>
          <w:u w:val="single"/>
          <w:lang w:val="sr-Latn-CS"/>
        </w:rPr>
        <w:t xml:space="preserve">Kontracepcija (vidjeti </w:t>
      </w:r>
      <w:r w:rsidR="007779BA" w:rsidRPr="00402700">
        <w:rPr>
          <w:noProof/>
          <w:sz w:val="22"/>
          <w:szCs w:val="22"/>
          <w:u w:val="single"/>
          <w:lang w:val="sr-Latn-CS"/>
        </w:rPr>
        <w:t>dio</w:t>
      </w:r>
      <w:r w:rsidRPr="00402700">
        <w:rPr>
          <w:noProof/>
          <w:sz w:val="22"/>
          <w:szCs w:val="22"/>
          <w:u w:val="single"/>
          <w:lang w:val="sr-Latn-CS"/>
        </w:rPr>
        <w:t xml:space="preserve"> 4.6)</w:t>
      </w:r>
    </w:p>
    <w:p w14:paraId="48FC193B" w14:textId="1248E67F" w:rsidR="00F547EC" w:rsidRPr="00402700" w:rsidRDefault="00F547EC" w:rsidP="002C32CA">
      <w:pPr>
        <w:pStyle w:val="Header"/>
        <w:jc w:val="both"/>
        <w:rPr>
          <w:noProof/>
          <w:sz w:val="22"/>
          <w:szCs w:val="22"/>
          <w:lang w:val="sr-Latn-CS"/>
        </w:rPr>
      </w:pPr>
      <w:r w:rsidRPr="00402700">
        <w:rPr>
          <w:noProof/>
          <w:sz w:val="22"/>
          <w:szCs w:val="22"/>
          <w:lang w:val="sr-Latn-CS"/>
        </w:rPr>
        <w:t>Zbog robusnosti kliničnih dokaza koji pokazuju visok rizik od pobačaja i kongenitalnih malformacij</w:t>
      </w:r>
      <w:r w:rsidR="00190AF7" w:rsidRPr="00402700">
        <w:rPr>
          <w:noProof/>
          <w:sz w:val="22"/>
          <w:szCs w:val="22"/>
          <w:lang w:val="sr-Latn-CS"/>
        </w:rPr>
        <w:t>a</w:t>
      </w:r>
      <w:r w:rsidRPr="00402700">
        <w:rPr>
          <w:noProof/>
          <w:sz w:val="22"/>
          <w:szCs w:val="22"/>
          <w:lang w:val="sr-Latn-CS"/>
        </w:rPr>
        <w:t xml:space="preserve"> kada se mikofenolat-mofetil primjenjuje tokom trudnoće, potrebno je preduzeti sve mjere kako bi se izbjegla trudnoća tokom terapije. Stoga, žene u reproduktivnom periodu prije započinjanja terapije lijekom Myfortic, tokom terapije i 6 nedjelja nakon završetka terapije moraju da koriste najmanje jedan oblik kontracepcije koj</w:t>
      </w:r>
      <w:r w:rsidR="006E2D6C" w:rsidRPr="00402700">
        <w:rPr>
          <w:noProof/>
          <w:sz w:val="22"/>
          <w:szCs w:val="22"/>
          <w:lang w:val="sr-Latn-CS"/>
        </w:rPr>
        <w:t>i</w:t>
      </w:r>
      <w:r w:rsidRPr="00402700">
        <w:rPr>
          <w:noProof/>
          <w:sz w:val="22"/>
          <w:szCs w:val="22"/>
          <w:lang w:val="sr-Latn-CS"/>
        </w:rPr>
        <w:t xml:space="preserve"> je pouzdan (vidjeti </w:t>
      </w:r>
      <w:r w:rsidR="007779BA" w:rsidRPr="00402700">
        <w:rPr>
          <w:noProof/>
          <w:sz w:val="22"/>
          <w:szCs w:val="22"/>
          <w:lang w:val="sr-Latn-CS"/>
        </w:rPr>
        <w:t>dio</w:t>
      </w:r>
      <w:r w:rsidRPr="00402700">
        <w:rPr>
          <w:noProof/>
          <w:sz w:val="22"/>
          <w:szCs w:val="22"/>
          <w:lang w:val="sr-Latn-CS"/>
        </w:rPr>
        <w:t xml:space="preserve"> 4.3); osim ako je apstinencija odabrana metoda kontracepcije. Preporučuje se istovremena primjena dva međusobno </w:t>
      </w:r>
      <w:r w:rsidR="00DE6399" w:rsidRPr="00402700">
        <w:rPr>
          <w:noProof/>
          <w:sz w:val="22"/>
          <w:szCs w:val="22"/>
          <w:lang w:val="sr-Latn-CS"/>
        </w:rPr>
        <w:t>komplemetarna</w:t>
      </w:r>
      <w:r w:rsidRPr="00402700">
        <w:rPr>
          <w:noProof/>
          <w:sz w:val="22"/>
          <w:szCs w:val="22"/>
          <w:lang w:val="sr-Latn-CS"/>
        </w:rPr>
        <w:t xml:space="preserve"> oblika kontracepcije kako bi se smanjila mogućnost neuspjeha kontracepcije i neželjene trudnoće.</w:t>
      </w:r>
    </w:p>
    <w:p w14:paraId="7610E5FA" w14:textId="77777777" w:rsidR="006E2D6C" w:rsidRPr="00402700" w:rsidRDefault="006E2D6C" w:rsidP="002C32CA">
      <w:pPr>
        <w:pStyle w:val="Header"/>
        <w:jc w:val="both"/>
        <w:rPr>
          <w:noProof/>
          <w:sz w:val="22"/>
          <w:szCs w:val="22"/>
          <w:lang w:val="sr-Latn-CS"/>
        </w:rPr>
      </w:pPr>
    </w:p>
    <w:p w14:paraId="0A60BEC9" w14:textId="729FC336" w:rsidR="00F547EC" w:rsidRPr="00402700" w:rsidRDefault="00F547EC" w:rsidP="002C32CA">
      <w:pPr>
        <w:pStyle w:val="Header"/>
        <w:jc w:val="both"/>
        <w:rPr>
          <w:noProof/>
          <w:sz w:val="22"/>
          <w:szCs w:val="22"/>
          <w:lang w:val="sr-Latn-CS"/>
        </w:rPr>
      </w:pPr>
      <w:r w:rsidRPr="00402700">
        <w:rPr>
          <w:noProof/>
          <w:sz w:val="22"/>
          <w:szCs w:val="22"/>
          <w:lang w:val="sr-Latn-CS"/>
        </w:rPr>
        <w:t xml:space="preserve">Za savjete za kontracepciju kod muškaraca vidjeti </w:t>
      </w:r>
      <w:r w:rsidR="007779BA" w:rsidRPr="00402700">
        <w:rPr>
          <w:noProof/>
          <w:sz w:val="22"/>
          <w:szCs w:val="22"/>
          <w:lang w:val="sr-Latn-CS"/>
        </w:rPr>
        <w:t>dio</w:t>
      </w:r>
      <w:r w:rsidRPr="00402700">
        <w:rPr>
          <w:noProof/>
          <w:sz w:val="22"/>
          <w:szCs w:val="22"/>
          <w:lang w:val="sr-Latn-CS"/>
        </w:rPr>
        <w:t xml:space="preserve"> 4.6.</w:t>
      </w:r>
    </w:p>
    <w:p w14:paraId="3C83CA09" w14:textId="77777777" w:rsidR="00F547EC" w:rsidRPr="00402700" w:rsidRDefault="00F547EC" w:rsidP="002C32CA">
      <w:pPr>
        <w:pStyle w:val="Header"/>
        <w:jc w:val="both"/>
        <w:rPr>
          <w:noProof/>
          <w:sz w:val="22"/>
          <w:szCs w:val="22"/>
          <w:lang w:val="sr-Latn-CS"/>
        </w:rPr>
      </w:pPr>
    </w:p>
    <w:p w14:paraId="26EA8AC5" w14:textId="77777777" w:rsidR="00F547EC" w:rsidRPr="00402700" w:rsidRDefault="00F547EC" w:rsidP="002C32CA">
      <w:pPr>
        <w:pStyle w:val="Header"/>
        <w:jc w:val="both"/>
        <w:rPr>
          <w:noProof/>
          <w:sz w:val="22"/>
          <w:szCs w:val="22"/>
          <w:u w:val="single"/>
          <w:lang w:val="sr-Latn-CS"/>
        </w:rPr>
      </w:pPr>
      <w:r w:rsidRPr="00402700">
        <w:rPr>
          <w:noProof/>
          <w:sz w:val="22"/>
          <w:szCs w:val="22"/>
          <w:u w:val="single"/>
          <w:lang w:val="sr-Latn-CS"/>
        </w:rPr>
        <w:t>Dodatne mjere opreza</w:t>
      </w:r>
    </w:p>
    <w:p w14:paraId="6E0836F2" w14:textId="1A40EB6B" w:rsidR="00F547EC" w:rsidRPr="00402700" w:rsidRDefault="00F547EC" w:rsidP="00C1302B">
      <w:pPr>
        <w:pStyle w:val="Header"/>
        <w:jc w:val="both"/>
        <w:rPr>
          <w:noProof/>
          <w:sz w:val="22"/>
          <w:szCs w:val="22"/>
          <w:lang w:val="sr-Latn-CS"/>
        </w:rPr>
      </w:pPr>
      <w:r w:rsidRPr="00402700">
        <w:rPr>
          <w:noProof/>
          <w:sz w:val="22"/>
          <w:szCs w:val="22"/>
          <w:lang w:val="sr-Latn-CS"/>
        </w:rPr>
        <w:t>Pacijenti ne treba da doniraju krv tokom terapije i najmanje 6 nedjelja nakon prestanka terapije mikofenolatom.</w:t>
      </w:r>
      <w:r w:rsidR="00AC6A89" w:rsidRPr="00402700">
        <w:rPr>
          <w:noProof/>
          <w:sz w:val="22"/>
          <w:szCs w:val="22"/>
          <w:lang w:val="sr-Latn-CS"/>
        </w:rPr>
        <w:t xml:space="preserve"> </w:t>
      </w:r>
      <w:r w:rsidRPr="00402700">
        <w:rPr>
          <w:noProof/>
          <w:sz w:val="22"/>
          <w:szCs w:val="22"/>
          <w:lang w:val="sr-Latn-CS"/>
        </w:rPr>
        <w:t>Muškarci ne treba da doniraju s</w:t>
      </w:r>
      <w:r w:rsidR="00190AF7" w:rsidRPr="00402700">
        <w:rPr>
          <w:noProof/>
          <w:sz w:val="22"/>
          <w:szCs w:val="22"/>
          <w:lang w:val="sr-Latn-CS"/>
        </w:rPr>
        <w:t>j</w:t>
      </w:r>
      <w:r w:rsidRPr="00402700">
        <w:rPr>
          <w:noProof/>
          <w:sz w:val="22"/>
          <w:szCs w:val="22"/>
          <w:lang w:val="sr-Latn-CS"/>
        </w:rPr>
        <w:t>emenu tečnost tokom terapije i najmanje 90 dana nakon prekida terapije mikofenolatom.</w:t>
      </w:r>
    </w:p>
    <w:p w14:paraId="17C72BF6" w14:textId="77777777" w:rsidR="00AC6A89" w:rsidRPr="00402700" w:rsidRDefault="00AC6A89" w:rsidP="002C32CA">
      <w:pPr>
        <w:shd w:val="clear" w:color="auto" w:fill="FFFFFF"/>
        <w:tabs>
          <w:tab w:val="left" w:pos="965"/>
        </w:tabs>
        <w:jc w:val="both"/>
        <w:rPr>
          <w:noProof/>
          <w:sz w:val="22"/>
          <w:szCs w:val="22"/>
          <w:lang w:val="sr-Latn-CS"/>
        </w:rPr>
      </w:pPr>
    </w:p>
    <w:p w14:paraId="4C30C92A" w14:textId="192411AF"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Myfortic sadrži natrijum. </w:t>
      </w:r>
    </w:p>
    <w:p w14:paraId="06A235CA"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Ovaj lijek sadrži 13 mg natrijuma u jednoj tableti lijeka od 180 mg, što je ekvivalentno 0,65% od maksimalne dnevne količine od 2 g natrijuma za odrasle koju preporučuje Svetska zdravstvena organizacija. </w:t>
      </w:r>
    </w:p>
    <w:p w14:paraId="17F63E95"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 xml:space="preserve">Ovaj lijek sadrži 26 mg natrijuma u jednoj tableti lijeka od 360 mg, što je ekvivalentno 1,3% od maksimalne dnevne količine od 2 g natrijuma za odrasle koju preporučuje Svetska zdravstvena organizacija. </w:t>
      </w:r>
    </w:p>
    <w:p w14:paraId="5CCB9672" w14:textId="6E1B4E0A" w:rsidR="00F547EC" w:rsidRDefault="00F547EC" w:rsidP="002C32CA">
      <w:pPr>
        <w:shd w:val="clear" w:color="auto" w:fill="FFFFFF"/>
        <w:tabs>
          <w:tab w:val="left" w:pos="965"/>
        </w:tabs>
        <w:jc w:val="both"/>
        <w:rPr>
          <w:noProof/>
          <w:sz w:val="22"/>
          <w:szCs w:val="22"/>
          <w:lang w:val="sr-Latn-CS"/>
        </w:rPr>
      </w:pPr>
    </w:p>
    <w:p w14:paraId="288DCFC5" w14:textId="77777777" w:rsidR="00402700" w:rsidRPr="00402700" w:rsidRDefault="00402700" w:rsidP="002C32CA">
      <w:pPr>
        <w:shd w:val="clear" w:color="auto" w:fill="FFFFFF"/>
        <w:tabs>
          <w:tab w:val="left" w:pos="965"/>
        </w:tabs>
        <w:jc w:val="both"/>
        <w:rPr>
          <w:noProof/>
          <w:sz w:val="22"/>
          <w:szCs w:val="22"/>
          <w:lang w:val="sr-Latn-CS"/>
        </w:rPr>
      </w:pPr>
    </w:p>
    <w:p w14:paraId="095775B9"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u w:val="single"/>
          <w:lang w:val="sr-Latn-CS"/>
        </w:rPr>
        <w:lastRenderedPageBreak/>
        <w:t>Pomoćne supstance sa poznatim dejstvom</w:t>
      </w:r>
      <w:r w:rsidRPr="00402700">
        <w:rPr>
          <w:noProof/>
          <w:sz w:val="22"/>
          <w:szCs w:val="22"/>
          <w:lang w:val="sr-Latn-CS"/>
        </w:rPr>
        <w:t>:</w:t>
      </w:r>
    </w:p>
    <w:p w14:paraId="7B4BF9AB" w14:textId="77777777" w:rsidR="00F547EC" w:rsidRPr="00402700" w:rsidRDefault="00F547EC" w:rsidP="002C32CA">
      <w:pPr>
        <w:shd w:val="clear" w:color="auto" w:fill="FFFFFF"/>
        <w:tabs>
          <w:tab w:val="left" w:pos="965"/>
        </w:tabs>
        <w:jc w:val="both"/>
        <w:rPr>
          <w:noProof/>
          <w:sz w:val="22"/>
          <w:szCs w:val="22"/>
          <w:lang w:val="sr-Latn-CS"/>
        </w:rPr>
      </w:pPr>
      <w:r w:rsidRPr="00402700">
        <w:rPr>
          <w:noProof/>
          <w:sz w:val="22"/>
          <w:szCs w:val="22"/>
          <w:lang w:val="sr-Latn-CS"/>
        </w:rPr>
        <w:t>Lijek Myfortic sadrži laktozu. Pacijenti sa rijetkim nasljednim oboljenjima intolerancije na galaktozu, potpunim nedostatkom laktaze ili malapsorpcijom glukoze-galaktoze, ne treba da primjenjuju ovaj lijek.</w:t>
      </w:r>
    </w:p>
    <w:p w14:paraId="7F697CCC" w14:textId="77777777" w:rsidR="0072020E" w:rsidRPr="00402700" w:rsidRDefault="0072020E" w:rsidP="002C32CA">
      <w:pPr>
        <w:tabs>
          <w:tab w:val="left" w:pos="540"/>
          <w:tab w:val="left" w:pos="569"/>
        </w:tabs>
        <w:jc w:val="both"/>
        <w:rPr>
          <w:bCs/>
          <w:noProof/>
          <w:sz w:val="22"/>
          <w:szCs w:val="22"/>
          <w:lang w:val="sr-Latn-CS"/>
        </w:rPr>
      </w:pPr>
    </w:p>
    <w:p w14:paraId="2199C4E0" w14:textId="77777777" w:rsidR="00411B4B" w:rsidRPr="00402700" w:rsidRDefault="00411B4B" w:rsidP="002C32CA">
      <w:pPr>
        <w:tabs>
          <w:tab w:val="left" w:pos="540"/>
          <w:tab w:val="left" w:pos="569"/>
        </w:tabs>
        <w:jc w:val="both"/>
        <w:rPr>
          <w:b/>
          <w:bCs/>
          <w:noProof/>
          <w:sz w:val="22"/>
          <w:szCs w:val="22"/>
          <w:lang w:val="sr-Latn-CS"/>
        </w:rPr>
      </w:pPr>
      <w:r w:rsidRPr="00402700">
        <w:rPr>
          <w:b/>
          <w:bCs/>
          <w:noProof/>
          <w:sz w:val="22"/>
          <w:szCs w:val="22"/>
          <w:lang w:val="sr-Latn-CS"/>
        </w:rPr>
        <w:t>4.5.</w:t>
      </w:r>
      <w:r w:rsidR="000D60CC" w:rsidRPr="00402700">
        <w:rPr>
          <w:b/>
          <w:bCs/>
          <w:noProof/>
          <w:sz w:val="22"/>
          <w:szCs w:val="22"/>
          <w:lang w:val="sr-Latn-CS"/>
        </w:rPr>
        <w:tab/>
      </w:r>
      <w:r w:rsidRPr="00402700">
        <w:rPr>
          <w:b/>
          <w:bCs/>
          <w:noProof/>
          <w:sz w:val="22"/>
          <w:szCs w:val="22"/>
          <w:lang w:val="sr-Latn-CS"/>
        </w:rPr>
        <w:t>Interakcije sa drugim ljekovima i druge vrste interakcija</w:t>
      </w:r>
    </w:p>
    <w:p w14:paraId="09566181" w14:textId="77777777" w:rsidR="007779BA" w:rsidRPr="00402700" w:rsidRDefault="007779BA" w:rsidP="002C32CA">
      <w:pPr>
        <w:shd w:val="clear" w:color="auto" w:fill="FFFFFF"/>
        <w:jc w:val="both"/>
        <w:rPr>
          <w:noProof/>
          <w:sz w:val="22"/>
          <w:szCs w:val="22"/>
          <w:lang w:val="sr-Latn-CS"/>
        </w:rPr>
      </w:pPr>
    </w:p>
    <w:p w14:paraId="00F404A5" w14:textId="0FA35DE9" w:rsidR="009F7685" w:rsidRPr="00402700" w:rsidRDefault="009F7685" w:rsidP="002C32CA">
      <w:pPr>
        <w:shd w:val="clear" w:color="auto" w:fill="FFFFFF"/>
        <w:jc w:val="both"/>
        <w:rPr>
          <w:noProof/>
          <w:sz w:val="22"/>
          <w:szCs w:val="22"/>
          <w:lang w:val="sr-Latn-CS"/>
        </w:rPr>
      </w:pPr>
      <w:r w:rsidRPr="00402700">
        <w:rPr>
          <w:noProof/>
          <w:sz w:val="22"/>
          <w:szCs w:val="22"/>
          <w:lang w:val="sr-Latn-CS"/>
        </w:rPr>
        <w:t>Prijavljene su sljedeće interakcije između mikofenolne kiseline i drugih ljekova:</w:t>
      </w:r>
    </w:p>
    <w:p w14:paraId="72C660B7" w14:textId="77777777" w:rsidR="007779BA" w:rsidRPr="00402700" w:rsidRDefault="007779BA" w:rsidP="002C32CA">
      <w:pPr>
        <w:shd w:val="clear" w:color="auto" w:fill="FFFFFF"/>
        <w:ind w:left="19" w:right="19"/>
        <w:jc w:val="both"/>
        <w:rPr>
          <w:iCs/>
          <w:noProof/>
          <w:sz w:val="22"/>
          <w:szCs w:val="22"/>
          <w:u w:val="single"/>
          <w:lang w:val="sr-Latn-CS"/>
        </w:rPr>
      </w:pPr>
    </w:p>
    <w:p w14:paraId="2C62DB6D" w14:textId="0EEB4518" w:rsidR="009F7685" w:rsidRPr="00402700" w:rsidRDefault="009F7685" w:rsidP="002C32CA">
      <w:pPr>
        <w:shd w:val="clear" w:color="auto" w:fill="FFFFFF"/>
        <w:ind w:left="19" w:right="19"/>
        <w:jc w:val="both"/>
        <w:rPr>
          <w:iCs/>
          <w:noProof/>
          <w:sz w:val="22"/>
          <w:szCs w:val="22"/>
          <w:u w:val="single"/>
          <w:lang w:val="sr-Latn-CS"/>
        </w:rPr>
      </w:pPr>
      <w:r w:rsidRPr="00402700">
        <w:rPr>
          <w:iCs/>
          <w:noProof/>
          <w:sz w:val="22"/>
          <w:szCs w:val="22"/>
          <w:u w:val="single"/>
          <w:lang w:val="sr-Latn-CS"/>
        </w:rPr>
        <w:t>Aciklovir i ganciklovir</w:t>
      </w:r>
    </w:p>
    <w:p w14:paraId="6788A1E3" w14:textId="77777777" w:rsidR="009F7685" w:rsidRPr="00402700" w:rsidRDefault="009F7685" w:rsidP="002775BB">
      <w:pPr>
        <w:shd w:val="clear" w:color="auto" w:fill="FFFFFF"/>
        <w:tabs>
          <w:tab w:val="left" w:pos="965"/>
        </w:tabs>
        <w:rPr>
          <w:noProof/>
          <w:sz w:val="22"/>
          <w:szCs w:val="22"/>
          <w:lang w:val="sr-Latn-CS"/>
        </w:rPr>
      </w:pPr>
      <w:r w:rsidRPr="00402700">
        <w:rPr>
          <w:iCs/>
          <w:noProof/>
          <w:sz w:val="22"/>
          <w:szCs w:val="22"/>
          <w:lang w:val="sr-Latn-CS"/>
        </w:rPr>
        <w:t>Nijesu ispitivani potencijalni efekti istovremene primjene lijeka Myfortic i aciklovira ili ganciklovira na supresiju kostne srži</w:t>
      </w:r>
      <w:r w:rsidRPr="00402700">
        <w:rPr>
          <w:noProof/>
          <w:sz w:val="22"/>
          <w:szCs w:val="22"/>
          <w:lang w:val="sr-Latn-CS"/>
        </w:rPr>
        <w:t>. Povišene koncentracije MPAG (glukuronid mikofenolne kiseline) i aciklovira/ganciklovira mogu se očekivati kada se aciklovir/ganciklovir i lijek Myfortic primjenjuju istovremeno, zbog moguće kompeticije za tubularnu sekreciju.</w:t>
      </w:r>
    </w:p>
    <w:p w14:paraId="7FB77D21" w14:textId="176628A8" w:rsidR="009F7685" w:rsidRPr="00402700" w:rsidRDefault="009F7685" w:rsidP="002C32CA">
      <w:pPr>
        <w:shd w:val="clear" w:color="auto" w:fill="FFFFFF"/>
        <w:tabs>
          <w:tab w:val="left" w:pos="965"/>
        </w:tabs>
        <w:jc w:val="both"/>
        <w:rPr>
          <w:noProof/>
          <w:sz w:val="22"/>
          <w:szCs w:val="22"/>
          <w:lang w:val="sr-Latn-CS"/>
        </w:rPr>
      </w:pPr>
      <w:r w:rsidRPr="00402700">
        <w:rPr>
          <w:iCs/>
          <w:noProof/>
          <w:sz w:val="22"/>
          <w:szCs w:val="22"/>
          <w:lang w:val="sr-Latn-CS"/>
        </w:rPr>
        <w:t>Promjene u farmakokinetici glukuronid mikofenolne kiseline su vjerovatno bez kliničkog značaja kod pacijenata sa očuvanom funkcijom bubrega.</w:t>
      </w:r>
      <w:r w:rsidR="00190AF7" w:rsidRPr="00402700">
        <w:rPr>
          <w:iCs/>
          <w:noProof/>
          <w:sz w:val="22"/>
          <w:szCs w:val="22"/>
          <w:lang w:val="sr-Latn-CS"/>
        </w:rPr>
        <w:t xml:space="preserve"> </w:t>
      </w:r>
      <w:r w:rsidRPr="00402700">
        <w:rPr>
          <w:noProof/>
          <w:sz w:val="22"/>
          <w:szCs w:val="22"/>
          <w:lang w:val="sr-Latn-CS"/>
        </w:rPr>
        <w:t>U slučaju oštećenja funkcije bubrega, moguće je povećanje koncentracije u plazmi i glukouronid mikofenolne kiseline i aciklovira/ganciklovira; treba se pridržavati preporuka za doziranje aciklovira/ganciklovira i takve pacijente treba pažljivo pratiti.</w:t>
      </w:r>
    </w:p>
    <w:p w14:paraId="5618A689" w14:textId="77777777" w:rsidR="002147C6" w:rsidRPr="00402700" w:rsidRDefault="002147C6" w:rsidP="002C32CA">
      <w:pPr>
        <w:shd w:val="clear" w:color="auto" w:fill="FFFFFF"/>
        <w:ind w:left="19" w:right="19"/>
        <w:jc w:val="both"/>
        <w:rPr>
          <w:iCs/>
          <w:noProof/>
          <w:sz w:val="22"/>
          <w:szCs w:val="22"/>
          <w:u w:val="single"/>
          <w:lang w:val="sr-Latn-CS"/>
        </w:rPr>
      </w:pPr>
    </w:p>
    <w:p w14:paraId="3D4866A8" w14:textId="4AC080C3" w:rsidR="009F7685" w:rsidRPr="00402700" w:rsidRDefault="009F7685" w:rsidP="002C32CA">
      <w:pPr>
        <w:shd w:val="clear" w:color="auto" w:fill="FFFFFF"/>
        <w:ind w:left="19" w:right="19"/>
        <w:jc w:val="both"/>
        <w:rPr>
          <w:iCs/>
          <w:noProof/>
          <w:sz w:val="22"/>
          <w:szCs w:val="22"/>
          <w:u w:val="single"/>
          <w:lang w:val="sr-Latn-CS"/>
        </w:rPr>
      </w:pPr>
      <w:r w:rsidRPr="00402700">
        <w:rPr>
          <w:iCs/>
          <w:noProof/>
          <w:sz w:val="22"/>
          <w:szCs w:val="22"/>
          <w:u w:val="single"/>
          <w:lang w:val="sr-Latn-CS"/>
        </w:rPr>
        <w:t>Gastroprotektivni ljekovi:</w:t>
      </w:r>
    </w:p>
    <w:p w14:paraId="66F2557E" w14:textId="77777777" w:rsidR="007779BA" w:rsidRPr="00402700" w:rsidRDefault="007779BA" w:rsidP="002C32CA">
      <w:pPr>
        <w:shd w:val="clear" w:color="auto" w:fill="FFFFFF"/>
        <w:ind w:left="19" w:right="19"/>
        <w:jc w:val="both"/>
        <w:rPr>
          <w:noProof/>
          <w:sz w:val="22"/>
          <w:szCs w:val="22"/>
          <w:u w:val="single"/>
          <w:lang w:val="sr-Latn-CS"/>
        </w:rPr>
      </w:pPr>
    </w:p>
    <w:p w14:paraId="1D9704B0" w14:textId="77777777" w:rsidR="009F7685" w:rsidRPr="00402700" w:rsidRDefault="009F7685" w:rsidP="002C32CA">
      <w:pPr>
        <w:shd w:val="clear" w:color="auto" w:fill="FFFFFF"/>
        <w:ind w:left="24"/>
        <w:jc w:val="both"/>
        <w:rPr>
          <w:i/>
          <w:iCs/>
          <w:noProof/>
          <w:sz w:val="22"/>
          <w:szCs w:val="22"/>
          <w:lang w:val="sr-Latn-CS"/>
        </w:rPr>
      </w:pPr>
      <w:r w:rsidRPr="00402700">
        <w:rPr>
          <w:i/>
          <w:iCs/>
          <w:noProof/>
          <w:sz w:val="22"/>
          <w:szCs w:val="22"/>
          <w:lang w:val="sr-Latn-CS"/>
        </w:rPr>
        <w:t>Antacidi koji sadrže magnezijum i aluminijum:</w:t>
      </w:r>
    </w:p>
    <w:p w14:paraId="459B9C9E" w14:textId="4521D33F" w:rsidR="009F7685" w:rsidRPr="00402700" w:rsidRDefault="009F7685" w:rsidP="002C32CA">
      <w:pPr>
        <w:shd w:val="clear" w:color="auto" w:fill="FFFFFF"/>
        <w:ind w:left="24"/>
        <w:jc w:val="both"/>
        <w:rPr>
          <w:noProof/>
          <w:sz w:val="22"/>
          <w:szCs w:val="22"/>
          <w:lang w:val="sr-Latn-CS"/>
        </w:rPr>
      </w:pPr>
      <w:r w:rsidRPr="00402700">
        <w:rPr>
          <w:noProof/>
          <w:sz w:val="22"/>
          <w:szCs w:val="22"/>
          <w:lang w:val="sr-Latn-CS"/>
        </w:rPr>
        <w:t xml:space="preserve">Istovremena primjena lijeka Myfortic i pojedinačne doze antacida koji sadrže magnezijum i aluminijum rezultuje sa smanjenjem </w:t>
      </w:r>
      <w:r w:rsidR="003233FC" w:rsidRPr="00402700">
        <w:rPr>
          <w:noProof/>
          <w:sz w:val="22"/>
          <w:szCs w:val="22"/>
          <w:lang w:val="sr-Latn-CS"/>
        </w:rPr>
        <w:t>PIK</w:t>
      </w:r>
      <w:r w:rsidRPr="00402700">
        <w:rPr>
          <w:noProof/>
          <w:sz w:val="22"/>
          <w:szCs w:val="22"/>
          <w:lang w:val="sr-Latn-CS"/>
        </w:rPr>
        <w:t xml:space="preserve"> za 37% mikofenolne kiseline i smanjenjem maksimalne koncentracije mikofenolne kiseline za 25%. Antacidi koji sadrže magnezijum i aluminijum mogu se primjenjivati </w:t>
      </w:r>
      <w:r w:rsidRPr="00402700">
        <w:rPr>
          <w:noProof/>
          <w:sz w:val="22"/>
          <w:szCs w:val="22"/>
          <w:u w:val="single"/>
          <w:lang w:val="sr-Latn-CS"/>
        </w:rPr>
        <w:t>intermitentno</w:t>
      </w:r>
      <w:r w:rsidRPr="00402700">
        <w:rPr>
          <w:noProof/>
          <w:sz w:val="22"/>
          <w:szCs w:val="22"/>
          <w:lang w:val="sr-Latn-CS"/>
        </w:rPr>
        <w:t xml:space="preserve"> za liječenje povremenih dispepsija. Međutim, hronična svakodnevna primjena antacida koji sadrže magnezijum i aluminijum sa lijekom Myfortic se ne  preporučuje zbog mogućeg smanjenja izloženosti MFK-u i smanjene efikasnosti. </w:t>
      </w:r>
    </w:p>
    <w:p w14:paraId="77A80D9A" w14:textId="77777777" w:rsidR="007779BA" w:rsidRPr="00402700" w:rsidRDefault="007779BA" w:rsidP="002C32CA">
      <w:pPr>
        <w:shd w:val="clear" w:color="auto" w:fill="FFFFFF"/>
        <w:ind w:left="24"/>
        <w:jc w:val="both"/>
        <w:rPr>
          <w:i/>
          <w:noProof/>
          <w:sz w:val="22"/>
          <w:szCs w:val="22"/>
          <w:lang w:val="sr-Latn-CS"/>
        </w:rPr>
      </w:pPr>
    </w:p>
    <w:p w14:paraId="7DD43A94" w14:textId="372092AF" w:rsidR="009F7685" w:rsidRPr="00402700" w:rsidRDefault="009F7685" w:rsidP="002C32CA">
      <w:pPr>
        <w:shd w:val="clear" w:color="auto" w:fill="FFFFFF"/>
        <w:ind w:left="24"/>
        <w:jc w:val="both"/>
        <w:rPr>
          <w:i/>
          <w:noProof/>
          <w:sz w:val="22"/>
          <w:szCs w:val="22"/>
          <w:lang w:val="sr-Latn-CS"/>
        </w:rPr>
      </w:pPr>
      <w:r w:rsidRPr="00402700">
        <w:rPr>
          <w:i/>
          <w:noProof/>
          <w:sz w:val="22"/>
          <w:szCs w:val="22"/>
          <w:lang w:val="sr-Latn-CS"/>
        </w:rPr>
        <w:t>Inhibitori protonske pumpe:</w:t>
      </w:r>
    </w:p>
    <w:p w14:paraId="51D83028" w14:textId="4CC6DEC4" w:rsidR="009F7685" w:rsidRPr="00402700" w:rsidRDefault="009F7685" w:rsidP="002C32CA">
      <w:pPr>
        <w:shd w:val="clear" w:color="auto" w:fill="FFFFFF"/>
        <w:ind w:left="24"/>
        <w:jc w:val="both"/>
        <w:rPr>
          <w:noProof/>
          <w:sz w:val="22"/>
          <w:szCs w:val="22"/>
          <w:lang w:val="sr-Latn-CS"/>
        </w:rPr>
      </w:pPr>
      <w:r w:rsidRPr="00402700">
        <w:rPr>
          <w:noProof/>
          <w:sz w:val="22"/>
          <w:szCs w:val="22"/>
          <w:lang w:val="sr-Latn-CS"/>
        </w:rPr>
        <w:t xml:space="preserve">Kod zdravih </w:t>
      </w:r>
      <w:r w:rsidR="003233FC" w:rsidRPr="00402700">
        <w:rPr>
          <w:noProof/>
          <w:sz w:val="22"/>
          <w:szCs w:val="22"/>
          <w:lang w:val="sr-Latn-CS"/>
        </w:rPr>
        <w:t>ispitanika</w:t>
      </w:r>
      <w:r w:rsidRPr="00402700">
        <w:rPr>
          <w:noProof/>
          <w:sz w:val="22"/>
          <w:szCs w:val="22"/>
          <w:lang w:val="sr-Latn-CS"/>
        </w:rPr>
        <w:t>, nije opažena promjena u farmakokinetici mikofenolne kiseline nakon istovremene primjene lijeka Myfortic i pantoprazola primijenjenog u dozi od 40 mg dva puta dnevno tokom četiri prethodna dana. Nema dostupnih podataka za ostale inhibitore protonske pumpe primijenjene u visokim dozama.</w:t>
      </w:r>
    </w:p>
    <w:p w14:paraId="75B6F04A" w14:textId="77777777" w:rsidR="007779BA" w:rsidRPr="00402700" w:rsidRDefault="007779BA" w:rsidP="002C32CA">
      <w:pPr>
        <w:shd w:val="clear" w:color="auto" w:fill="FFFFFF"/>
        <w:jc w:val="both"/>
        <w:rPr>
          <w:iCs/>
          <w:noProof/>
          <w:sz w:val="22"/>
          <w:szCs w:val="22"/>
          <w:u w:val="single"/>
          <w:lang w:val="sr-Latn-CS"/>
        </w:rPr>
      </w:pPr>
    </w:p>
    <w:p w14:paraId="6DBC5A0D" w14:textId="31AA84D7" w:rsidR="009F7685" w:rsidRPr="00402700" w:rsidRDefault="009F7685" w:rsidP="002C32CA">
      <w:pPr>
        <w:shd w:val="clear" w:color="auto" w:fill="FFFFFF"/>
        <w:jc w:val="both"/>
        <w:rPr>
          <w:iCs/>
          <w:noProof/>
          <w:sz w:val="22"/>
          <w:szCs w:val="22"/>
          <w:u w:val="single"/>
          <w:lang w:val="sr-Latn-CS"/>
        </w:rPr>
      </w:pPr>
      <w:r w:rsidRPr="00402700">
        <w:rPr>
          <w:iCs/>
          <w:noProof/>
          <w:sz w:val="22"/>
          <w:szCs w:val="22"/>
          <w:u w:val="single"/>
          <w:lang w:val="sr-Latn-CS"/>
        </w:rPr>
        <w:t xml:space="preserve">Oralni kontraceptivi: </w:t>
      </w:r>
    </w:p>
    <w:p w14:paraId="6DD797A9" w14:textId="77777777" w:rsidR="009F7685" w:rsidRPr="00402700" w:rsidRDefault="009F7685" w:rsidP="002C32CA">
      <w:pPr>
        <w:shd w:val="clear" w:color="auto" w:fill="FFFFFF"/>
        <w:ind w:left="24"/>
        <w:jc w:val="both"/>
        <w:rPr>
          <w:noProof/>
          <w:sz w:val="22"/>
          <w:szCs w:val="22"/>
          <w:lang w:val="sr-Latn-CS"/>
        </w:rPr>
      </w:pPr>
      <w:r w:rsidRPr="00402700">
        <w:rPr>
          <w:noProof/>
          <w:sz w:val="22"/>
          <w:szCs w:val="22"/>
          <w:lang w:val="sr-Latn-CS"/>
        </w:rPr>
        <w:t>Studije interakcije između mofetilmikofenolata i oralnih kontraceptiva nijesu pokazale interakcije. Uzimajući u obzirom metabolički profil mikofenolne kiseline, ne očekuju se interakcije između lijeka Myfortic i oralnih kontraceptiva.</w:t>
      </w:r>
    </w:p>
    <w:p w14:paraId="0BDD647D" w14:textId="77777777" w:rsidR="007779BA" w:rsidRPr="00402700" w:rsidRDefault="007779BA" w:rsidP="002C32CA">
      <w:pPr>
        <w:shd w:val="clear" w:color="auto" w:fill="FFFFFF"/>
        <w:ind w:left="24"/>
        <w:jc w:val="both"/>
        <w:rPr>
          <w:iCs/>
          <w:noProof/>
          <w:sz w:val="22"/>
          <w:szCs w:val="22"/>
          <w:u w:val="single"/>
          <w:lang w:val="sr-Latn-CS"/>
        </w:rPr>
      </w:pPr>
    </w:p>
    <w:p w14:paraId="02E220D0" w14:textId="3867FBB3" w:rsidR="009F7685" w:rsidRPr="00402700" w:rsidRDefault="009F7685" w:rsidP="002C32CA">
      <w:pPr>
        <w:shd w:val="clear" w:color="auto" w:fill="FFFFFF"/>
        <w:ind w:left="24"/>
        <w:jc w:val="both"/>
        <w:rPr>
          <w:iCs/>
          <w:noProof/>
          <w:sz w:val="22"/>
          <w:szCs w:val="22"/>
          <w:u w:val="single"/>
          <w:lang w:val="sr-Latn-CS"/>
        </w:rPr>
      </w:pPr>
      <w:r w:rsidRPr="00402700">
        <w:rPr>
          <w:iCs/>
          <w:noProof/>
          <w:sz w:val="22"/>
          <w:szCs w:val="22"/>
          <w:u w:val="single"/>
          <w:lang w:val="sr-Latn-CS"/>
        </w:rPr>
        <w:t xml:space="preserve">Holestiramin i ljekovi koji </w:t>
      </w:r>
      <w:r w:rsidR="00674AE4" w:rsidRPr="00402700">
        <w:rPr>
          <w:iCs/>
          <w:noProof/>
          <w:sz w:val="22"/>
          <w:szCs w:val="22"/>
          <w:u w:val="single"/>
          <w:lang w:val="sr-Latn-CS"/>
        </w:rPr>
        <w:t>vezuju</w:t>
      </w:r>
      <w:r w:rsidRPr="00402700">
        <w:rPr>
          <w:iCs/>
          <w:noProof/>
          <w:sz w:val="22"/>
          <w:szCs w:val="22"/>
          <w:u w:val="single"/>
          <w:lang w:val="sr-Latn-CS"/>
        </w:rPr>
        <w:t xml:space="preserve"> žučne kiseline: </w:t>
      </w:r>
    </w:p>
    <w:p w14:paraId="38118D20" w14:textId="318CA53E" w:rsidR="009F7685" w:rsidRPr="00402700" w:rsidRDefault="009F7685" w:rsidP="002C32CA">
      <w:pPr>
        <w:shd w:val="clear" w:color="auto" w:fill="FFFFFF"/>
        <w:ind w:left="24"/>
        <w:jc w:val="both"/>
        <w:rPr>
          <w:noProof/>
          <w:sz w:val="22"/>
          <w:szCs w:val="22"/>
          <w:lang w:val="sr-Latn-CS"/>
        </w:rPr>
      </w:pPr>
      <w:r w:rsidRPr="00402700">
        <w:rPr>
          <w:noProof/>
          <w:sz w:val="22"/>
          <w:szCs w:val="22"/>
          <w:lang w:val="sr-Latn-CS"/>
        </w:rPr>
        <w:t xml:space="preserve">Potreban je oprez prilikom istovremene primjene holestiramina ili ljekova koji </w:t>
      </w:r>
      <w:r w:rsidR="00674AE4" w:rsidRPr="00402700">
        <w:rPr>
          <w:noProof/>
          <w:sz w:val="22"/>
          <w:szCs w:val="22"/>
          <w:lang w:val="sr-Latn-CS"/>
        </w:rPr>
        <w:t>vezuju</w:t>
      </w:r>
      <w:r w:rsidRPr="00402700">
        <w:rPr>
          <w:noProof/>
          <w:sz w:val="22"/>
          <w:szCs w:val="22"/>
          <w:lang w:val="sr-Latn-CS"/>
        </w:rPr>
        <w:t xml:space="preserve"> žučnu kiselinu, na primjer sekvestrati žučne kiseline ili oralni aktivni ugalj, zbog mogućnosti smanjenja izloženosti MKF-u i time umanje</w:t>
      </w:r>
      <w:r w:rsidR="00674AE4" w:rsidRPr="00402700">
        <w:rPr>
          <w:noProof/>
          <w:sz w:val="22"/>
          <w:szCs w:val="22"/>
          <w:lang w:val="sr-Latn-CS"/>
        </w:rPr>
        <w:t>nja</w:t>
      </w:r>
      <w:r w:rsidRPr="00402700">
        <w:rPr>
          <w:noProof/>
          <w:sz w:val="22"/>
          <w:szCs w:val="22"/>
          <w:lang w:val="sr-Latn-CS"/>
        </w:rPr>
        <w:t xml:space="preserve"> efikasnost</w:t>
      </w:r>
      <w:r w:rsidR="00674AE4" w:rsidRPr="00402700">
        <w:rPr>
          <w:noProof/>
          <w:sz w:val="22"/>
          <w:szCs w:val="22"/>
          <w:lang w:val="sr-Latn-CS"/>
        </w:rPr>
        <w:t>i</w:t>
      </w:r>
      <w:r w:rsidRPr="00402700">
        <w:rPr>
          <w:noProof/>
          <w:sz w:val="22"/>
          <w:szCs w:val="22"/>
          <w:lang w:val="sr-Latn-CS"/>
        </w:rPr>
        <w:t xml:space="preserve"> lijeka Myfortic.</w:t>
      </w:r>
    </w:p>
    <w:p w14:paraId="51F06794" w14:textId="77777777" w:rsidR="007779BA" w:rsidRPr="00402700" w:rsidRDefault="007779BA" w:rsidP="002C32CA">
      <w:pPr>
        <w:shd w:val="clear" w:color="auto" w:fill="FFFFFF"/>
        <w:ind w:left="5" w:right="24"/>
        <w:jc w:val="both"/>
        <w:rPr>
          <w:iCs/>
          <w:noProof/>
          <w:sz w:val="22"/>
          <w:szCs w:val="22"/>
          <w:u w:val="single"/>
          <w:lang w:val="sr-Latn-CS"/>
        </w:rPr>
      </w:pPr>
    </w:p>
    <w:p w14:paraId="145FDBFF" w14:textId="3113715A" w:rsidR="009F7685" w:rsidRPr="00402700" w:rsidRDefault="009F7685" w:rsidP="002C32CA">
      <w:pPr>
        <w:shd w:val="clear" w:color="auto" w:fill="FFFFFF"/>
        <w:ind w:left="5" w:right="24"/>
        <w:jc w:val="both"/>
        <w:rPr>
          <w:iCs/>
          <w:noProof/>
          <w:sz w:val="22"/>
          <w:szCs w:val="22"/>
          <w:u w:val="single"/>
          <w:lang w:val="sr-Latn-CS"/>
        </w:rPr>
      </w:pPr>
      <w:r w:rsidRPr="00402700">
        <w:rPr>
          <w:iCs/>
          <w:noProof/>
          <w:sz w:val="22"/>
          <w:szCs w:val="22"/>
          <w:u w:val="single"/>
          <w:lang w:val="sr-Latn-CS"/>
        </w:rPr>
        <w:t xml:space="preserve">Ciklosporin: </w:t>
      </w:r>
    </w:p>
    <w:p w14:paraId="3C87882C" w14:textId="77777777" w:rsidR="009F7685" w:rsidRPr="00402700" w:rsidRDefault="009F7685" w:rsidP="002C32CA">
      <w:pPr>
        <w:shd w:val="clear" w:color="auto" w:fill="FFFFFF"/>
        <w:ind w:left="5" w:right="24"/>
        <w:jc w:val="both"/>
        <w:rPr>
          <w:noProof/>
          <w:sz w:val="22"/>
          <w:szCs w:val="22"/>
          <w:lang w:val="sr-Latn-CS"/>
        </w:rPr>
      </w:pPr>
      <w:r w:rsidRPr="00402700">
        <w:rPr>
          <w:noProof/>
          <w:sz w:val="22"/>
          <w:szCs w:val="22"/>
          <w:lang w:val="sr-Latn-CS"/>
        </w:rPr>
        <w:t>Kad je interakcija proučavana kod stabilnih pacijenata sa bubrežnim transplantatom, na farmakokinetiku ciklosporina  nije uticala koncentracija lijeka Myfortic u stanju ravnoteže. Poznato je da ciklosporin smanjuje izloženost MFK-u kada se isovremeno primjenjuje sa mikofenolat mofetilom. Kada se primjenjuje sa lijekom Myfortic, ciklosporin može da smanji koncentraciju mikofenolne kiseline (za približno 20%, izvedeno iz podataka sa mikofenolat mofetilom), ali pravi obim ovog smanjenja nije poznat jer takve interakcije nijesu ispitivane. Međutim, kako su sprovedene studije efikasnosti u kombinaciji sa ciklosporinom, ova interakcija ne dovodi do promjene preporuka za doziranje lijeka Myfortic. U slučaju prekida ili obustavljanja primjene ciklosporina, doziranje lijeka Myfortic treba ponovo procijeniti u odnosu na imunosupresivni režim.</w:t>
      </w:r>
    </w:p>
    <w:p w14:paraId="702CC6B1" w14:textId="655BEE40" w:rsidR="007779BA" w:rsidRDefault="007779BA" w:rsidP="002C32CA">
      <w:pPr>
        <w:shd w:val="clear" w:color="auto" w:fill="FFFFFF"/>
        <w:ind w:right="24"/>
        <w:jc w:val="both"/>
        <w:rPr>
          <w:iCs/>
          <w:noProof/>
          <w:sz w:val="22"/>
          <w:szCs w:val="22"/>
          <w:u w:val="single"/>
          <w:lang w:val="sr-Latn-CS"/>
        </w:rPr>
      </w:pPr>
    </w:p>
    <w:p w14:paraId="12CFF661" w14:textId="7643412C" w:rsidR="00402700" w:rsidRDefault="00402700" w:rsidP="002C32CA">
      <w:pPr>
        <w:shd w:val="clear" w:color="auto" w:fill="FFFFFF"/>
        <w:ind w:right="24"/>
        <w:jc w:val="both"/>
        <w:rPr>
          <w:iCs/>
          <w:noProof/>
          <w:sz w:val="22"/>
          <w:szCs w:val="22"/>
          <w:u w:val="single"/>
          <w:lang w:val="sr-Latn-CS"/>
        </w:rPr>
      </w:pPr>
    </w:p>
    <w:p w14:paraId="0D281CD7" w14:textId="77777777" w:rsidR="00402700" w:rsidRPr="00402700" w:rsidRDefault="00402700" w:rsidP="002C32CA">
      <w:pPr>
        <w:shd w:val="clear" w:color="auto" w:fill="FFFFFF"/>
        <w:ind w:right="24"/>
        <w:jc w:val="both"/>
        <w:rPr>
          <w:iCs/>
          <w:noProof/>
          <w:sz w:val="22"/>
          <w:szCs w:val="22"/>
          <w:u w:val="single"/>
          <w:lang w:val="sr-Latn-CS"/>
        </w:rPr>
      </w:pPr>
    </w:p>
    <w:p w14:paraId="367FE537" w14:textId="009F0919" w:rsidR="009F7685" w:rsidRPr="00402700" w:rsidRDefault="009F7685" w:rsidP="002C32CA">
      <w:pPr>
        <w:shd w:val="clear" w:color="auto" w:fill="FFFFFF"/>
        <w:ind w:right="24"/>
        <w:jc w:val="both"/>
        <w:rPr>
          <w:iCs/>
          <w:noProof/>
          <w:sz w:val="22"/>
          <w:szCs w:val="22"/>
          <w:u w:val="single"/>
          <w:lang w:val="sr-Latn-CS"/>
        </w:rPr>
      </w:pPr>
      <w:r w:rsidRPr="00402700">
        <w:rPr>
          <w:iCs/>
          <w:noProof/>
          <w:sz w:val="22"/>
          <w:szCs w:val="22"/>
          <w:u w:val="single"/>
          <w:lang w:val="sr-Latn-CS"/>
        </w:rPr>
        <w:lastRenderedPageBreak/>
        <w:t xml:space="preserve">Takrolimus: </w:t>
      </w:r>
    </w:p>
    <w:p w14:paraId="579E2407" w14:textId="25753642" w:rsidR="007779BA" w:rsidRPr="00402700" w:rsidRDefault="009F7685" w:rsidP="00C1302B">
      <w:pPr>
        <w:shd w:val="clear" w:color="auto" w:fill="FFFFFF"/>
        <w:ind w:left="5" w:right="24"/>
        <w:jc w:val="both"/>
        <w:rPr>
          <w:iCs/>
          <w:noProof/>
          <w:sz w:val="22"/>
          <w:szCs w:val="22"/>
          <w:u w:val="single"/>
          <w:lang w:val="sr-Latn-CS"/>
        </w:rPr>
      </w:pPr>
      <w:r w:rsidRPr="00402700">
        <w:rPr>
          <w:noProof/>
          <w:sz w:val="22"/>
          <w:szCs w:val="22"/>
          <w:lang w:val="sr-Latn-CS"/>
        </w:rPr>
        <w:t>U ukrštenoj studiji sa kalcineurinom kod stabilnih pacijenata sa bubrežnim transplantatom, određivana je farmakokinetika lijeka Myfortic u ravnotežnom stanju tokom terapije lijekom Neoral i takrolimusom. Srednja PIK za mikofenolnu kiselinu bila je 19% viša (90% Cl: -3, +47), dok je srednja PIK glukouronida mikofenolne kiseline bila za oko 30% niža (90% Cl: 16, 42) tokom liječenja takrolimusom u poređenju sa liječenjem lijekom Neoral. Dodatno, intraindividualna varijabilnost PIK mikofenolne kiseline među ispitanicima se udvostručila prelaskom sa primjene lijeka Neoral na takrolimus. Kliničari treba da uzmu u obzir ovo povećanje PIK mikofenolne kiseline i intraindividualne varijabilnosti, a podešavanje doziranja lijeka Myfortic treba sprovoditi prema kliničkoj situaciji. Potrebno je vršiti pažljivo kliničko praćenje kada se planira prelazak sa jednog inhibitora kalcineurina na drugi.</w:t>
      </w:r>
    </w:p>
    <w:p w14:paraId="168C7BD7" w14:textId="77777777" w:rsidR="002147C6" w:rsidRPr="00402700" w:rsidRDefault="002147C6" w:rsidP="002C32CA">
      <w:pPr>
        <w:shd w:val="clear" w:color="auto" w:fill="FFFFFF"/>
        <w:ind w:right="24"/>
        <w:jc w:val="both"/>
        <w:rPr>
          <w:iCs/>
          <w:noProof/>
          <w:sz w:val="22"/>
          <w:szCs w:val="22"/>
          <w:u w:val="single"/>
          <w:lang w:val="sr-Latn-CS"/>
        </w:rPr>
      </w:pPr>
    </w:p>
    <w:p w14:paraId="2B11F38B" w14:textId="50974E28" w:rsidR="009F7685" w:rsidRPr="00402700" w:rsidRDefault="009F7685" w:rsidP="002C32CA">
      <w:pPr>
        <w:shd w:val="clear" w:color="auto" w:fill="FFFFFF"/>
        <w:ind w:right="24"/>
        <w:jc w:val="both"/>
        <w:rPr>
          <w:iCs/>
          <w:noProof/>
          <w:sz w:val="22"/>
          <w:szCs w:val="22"/>
          <w:u w:val="single"/>
          <w:lang w:val="sr-Latn-CS"/>
        </w:rPr>
      </w:pPr>
      <w:r w:rsidRPr="00402700">
        <w:rPr>
          <w:iCs/>
          <w:noProof/>
          <w:sz w:val="22"/>
          <w:szCs w:val="22"/>
          <w:u w:val="single"/>
          <w:lang w:val="sr-Latn-CS"/>
        </w:rPr>
        <w:t xml:space="preserve">Žive atenuisane vakcine: </w:t>
      </w:r>
    </w:p>
    <w:p w14:paraId="6AB8E90B" w14:textId="767B084D" w:rsidR="009F7685" w:rsidRPr="00402700" w:rsidRDefault="009F7685" w:rsidP="002C32CA">
      <w:pPr>
        <w:shd w:val="clear" w:color="auto" w:fill="FFFFFF"/>
        <w:ind w:left="24" w:right="24"/>
        <w:jc w:val="both"/>
        <w:rPr>
          <w:noProof/>
          <w:sz w:val="22"/>
          <w:szCs w:val="22"/>
          <w:lang w:val="sr-Latn-CS"/>
        </w:rPr>
      </w:pPr>
      <w:r w:rsidRPr="00402700">
        <w:rPr>
          <w:iCs/>
          <w:noProof/>
          <w:sz w:val="22"/>
          <w:szCs w:val="22"/>
          <w:lang w:val="sr-Latn-CS"/>
        </w:rPr>
        <w:t>Ž</w:t>
      </w:r>
      <w:r w:rsidRPr="00402700">
        <w:rPr>
          <w:noProof/>
          <w:sz w:val="22"/>
          <w:szCs w:val="22"/>
          <w:lang w:val="sr-Latn-CS"/>
        </w:rPr>
        <w:t xml:space="preserve">ive vakcine se ne smiju primjenjivati </w:t>
      </w:r>
      <w:r w:rsidR="00190AF7" w:rsidRPr="00402700">
        <w:rPr>
          <w:noProof/>
          <w:sz w:val="22"/>
          <w:szCs w:val="22"/>
          <w:lang w:val="sr-Latn-CS"/>
        </w:rPr>
        <w:t xml:space="preserve">kod </w:t>
      </w:r>
      <w:r w:rsidRPr="00402700">
        <w:rPr>
          <w:noProof/>
          <w:sz w:val="22"/>
          <w:szCs w:val="22"/>
          <w:lang w:val="sr-Latn-CS"/>
        </w:rPr>
        <w:t>pacijen</w:t>
      </w:r>
      <w:r w:rsidR="00190AF7" w:rsidRPr="00402700">
        <w:rPr>
          <w:noProof/>
          <w:sz w:val="22"/>
          <w:szCs w:val="22"/>
          <w:lang w:val="sr-Latn-CS"/>
        </w:rPr>
        <w:t>ata</w:t>
      </w:r>
      <w:r w:rsidRPr="00402700">
        <w:rPr>
          <w:noProof/>
          <w:sz w:val="22"/>
          <w:szCs w:val="22"/>
          <w:lang w:val="sr-Latn-CS"/>
        </w:rPr>
        <w:t xml:space="preserve"> sa </w:t>
      </w:r>
      <w:r w:rsidR="00DE6399" w:rsidRPr="00402700">
        <w:rPr>
          <w:noProof/>
          <w:sz w:val="22"/>
          <w:szCs w:val="22"/>
          <w:lang w:val="sr-Latn-CS"/>
        </w:rPr>
        <w:t>oštećenim</w:t>
      </w:r>
      <w:r w:rsidRPr="00402700">
        <w:rPr>
          <w:noProof/>
          <w:sz w:val="22"/>
          <w:szCs w:val="22"/>
          <w:lang w:val="sr-Latn-CS"/>
        </w:rPr>
        <w:t xml:space="preserve"> imunim odgovorom. Odgovor antitijela na druge vakcine može biti umanjen.</w:t>
      </w:r>
    </w:p>
    <w:p w14:paraId="23229494" w14:textId="77777777" w:rsidR="0072020E" w:rsidRPr="00402700" w:rsidRDefault="0072020E" w:rsidP="002C32CA">
      <w:pPr>
        <w:tabs>
          <w:tab w:val="left" w:pos="540"/>
          <w:tab w:val="left" w:pos="569"/>
        </w:tabs>
        <w:jc w:val="both"/>
        <w:rPr>
          <w:bCs/>
          <w:noProof/>
          <w:sz w:val="22"/>
          <w:szCs w:val="22"/>
          <w:lang w:val="sr-Latn-CS"/>
        </w:rPr>
      </w:pPr>
    </w:p>
    <w:p w14:paraId="00AAA505" w14:textId="111196D0" w:rsidR="0072020E" w:rsidRPr="00402700" w:rsidRDefault="0072020E" w:rsidP="002C32CA">
      <w:pPr>
        <w:tabs>
          <w:tab w:val="left" w:pos="540"/>
          <w:tab w:val="left" w:pos="569"/>
        </w:tabs>
        <w:jc w:val="both"/>
        <w:rPr>
          <w:b/>
          <w:noProof/>
          <w:sz w:val="22"/>
          <w:szCs w:val="22"/>
          <w:lang w:val="sr-Latn-CS"/>
        </w:rPr>
      </w:pPr>
      <w:r w:rsidRPr="00402700">
        <w:rPr>
          <w:b/>
          <w:bCs/>
          <w:noProof/>
          <w:sz w:val="22"/>
          <w:szCs w:val="22"/>
          <w:lang w:val="sr-Latn-CS"/>
        </w:rPr>
        <w:t xml:space="preserve">4.6. </w:t>
      </w:r>
      <w:r w:rsidR="00480FB1" w:rsidRPr="00402700">
        <w:rPr>
          <w:b/>
          <w:bCs/>
          <w:noProof/>
          <w:sz w:val="22"/>
          <w:szCs w:val="22"/>
          <w:lang w:val="sr-Latn-CS"/>
        </w:rPr>
        <w:tab/>
      </w:r>
      <w:r w:rsidR="006D20A5" w:rsidRPr="00402700">
        <w:rPr>
          <w:b/>
          <w:noProof/>
          <w:sz w:val="22"/>
          <w:szCs w:val="22"/>
          <w:lang w:val="sr-Latn-CS"/>
        </w:rPr>
        <w:t>Plodnost, trudnoća i dojenje</w:t>
      </w:r>
    </w:p>
    <w:p w14:paraId="6AD3516C" w14:textId="77777777" w:rsidR="007779BA" w:rsidRPr="00402700" w:rsidRDefault="007779BA" w:rsidP="002C32CA">
      <w:pPr>
        <w:tabs>
          <w:tab w:val="left" w:pos="540"/>
          <w:tab w:val="left" w:pos="569"/>
        </w:tabs>
        <w:jc w:val="both"/>
        <w:rPr>
          <w:b/>
          <w:noProof/>
          <w:sz w:val="22"/>
          <w:szCs w:val="22"/>
          <w:lang w:val="sr-Latn-CS"/>
        </w:rPr>
      </w:pPr>
    </w:p>
    <w:p w14:paraId="14113B79" w14:textId="77777777" w:rsidR="009F7685" w:rsidRPr="00402700" w:rsidRDefault="009F7685" w:rsidP="002C32CA">
      <w:pPr>
        <w:shd w:val="clear" w:color="auto" w:fill="FFFFFF"/>
        <w:jc w:val="both"/>
        <w:rPr>
          <w:noProof/>
          <w:sz w:val="22"/>
          <w:szCs w:val="22"/>
          <w:u w:val="single"/>
          <w:lang w:val="sr-Latn-CS"/>
        </w:rPr>
      </w:pPr>
      <w:r w:rsidRPr="00402700">
        <w:rPr>
          <w:noProof/>
          <w:sz w:val="22"/>
          <w:szCs w:val="22"/>
          <w:u w:val="single"/>
          <w:lang w:val="sr-Latn-CS"/>
        </w:rPr>
        <w:t>Žene u reproduktivnom dobu</w:t>
      </w:r>
    </w:p>
    <w:p w14:paraId="74235C55" w14:textId="6B3C1AE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Mora se izbjeći trudnoća tokom uzimanja mikofenolata. Stoga, žene sa reproduktivnim potencijalom moraju koristiti najmanje jedan oblik kontracepcije koji je pouzdan (vidjeti </w:t>
      </w:r>
      <w:r w:rsidR="007779BA" w:rsidRPr="00402700">
        <w:rPr>
          <w:noProof/>
          <w:sz w:val="22"/>
          <w:szCs w:val="22"/>
          <w:lang w:val="sr-Latn-CS"/>
        </w:rPr>
        <w:t>dio</w:t>
      </w:r>
      <w:r w:rsidRPr="00402700">
        <w:rPr>
          <w:noProof/>
          <w:sz w:val="22"/>
          <w:szCs w:val="22"/>
          <w:lang w:val="sr-Latn-CS"/>
        </w:rPr>
        <w:t xml:space="preserve"> 4.3) prije početka, tokom i još šest nedjelja nakon terapije lijekom Myfortic; osim ukoliko je apstinencija odabrani metod kontracepcije. Preporučuje se istovremena primjena dva komplementarna oblika kontracepcije.</w:t>
      </w:r>
    </w:p>
    <w:p w14:paraId="0B9A1EBF" w14:textId="77777777" w:rsidR="009F7685" w:rsidRPr="00402700" w:rsidRDefault="009F7685" w:rsidP="002C32CA">
      <w:pPr>
        <w:pStyle w:val="Header"/>
        <w:jc w:val="both"/>
        <w:rPr>
          <w:noProof/>
          <w:sz w:val="22"/>
          <w:szCs w:val="22"/>
          <w:lang w:val="sr-Latn-CS"/>
        </w:rPr>
      </w:pPr>
    </w:p>
    <w:p w14:paraId="329A2E39" w14:textId="77777777" w:rsidR="009F7685" w:rsidRPr="00402700" w:rsidRDefault="009F7685" w:rsidP="002C32CA">
      <w:pPr>
        <w:shd w:val="clear" w:color="auto" w:fill="FFFFFF"/>
        <w:ind w:left="17"/>
        <w:jc w:val="both"/>
        <w:rPr>
          <w:bCs/>
          <w:noProof/>
          <w:sz w:val="22"/>
          <w:szCs w:val="22"/>
          <w:u w:val="single"/>
          <w:lang w:val="sr-Latn-CS"/>
        </w:rPr>
      </w:pPr>
      <w:r w:rsidRPr="00402700">
        <w:rPr>
          <w:bCs/>
          <w:noProof/>
          <w:sz w:val="22"/>
          <w:szCs w:val="22"/>
          <w:u w:val="single"/>
          <w:lang w:val="sr-Latn-CS"/>
        </w:rPr>
        <w:t>Trudnoća</w:t>
      </w:r>
    </w:p>
    <w:p w14:paraId="7FBA9EEA" w14:textId="2D7C429F" w:rsidR="009F7685" w:rsidRPr="00402700" w:rsidRDefault="009F7685" w:rsidP="00C1302B">
      <w:pPr>
        <w:shd w:val="clear" w:color="auto" w:fill="FFFFFF"/>
        <w:jc w:val="both"/>
        <w:rPr>
          <w:noProof/>
          <w:sz w:val="22"/>
          <w:szCs w:val="22"/>
          <w:lang w:val="sr-Latn-CS"/>
        </w:rPr>
      </w:pPr>
      <w:r w:rsidRPr="00402700">
        <w:rPr>
          <w:noProof/>
          <w:sz w:val="22"/>
          <w:szCs w:val="22"/>
          <w:lang w:val="sr-Latn-CS"/>
        </w:rPr>
        <w:t>L</w:t>
      </w:r>
      <w:r w:rsidR="007779BA" w:rsidRPr="00402700">
        <w:rPr>
          <w:noProof/>
          <w:sz w:val="22"/>
          <w:szCs w:val="22"/>
          <w:lang w:val="sr-Latn-CS"/>
        </w:rPr>
        <w:t>ij</w:t>
      </w:r>
      <w:r w:rsidRPr="00402700">
        <w:rPr>
          <w:noProof/>
          <w:sz w:val="22"/>
          <w:szCs w:val="22"/>
          <w:lang w:val="sr-Latn-CS"/>
        </w:rPr>
        <w:t>ek Myfortic je kontraindikovan u trudnoći osim ako ne postoji odgovarajuća alternativna terapija koja bi spr</w:t>
      </w:r>
      <w:r w:rsidR="00CA43C1" w:rsidRPr="00402700">
        <w:rPr>
          <w:noProof/>
          <w:sz w:val="22"/>
          <w:szCs w:val="22"/>
          <w:lang w:val="sr-Latn-CS"/>
        </w:rPr>
        <w:t>i</w:t>
      </w:r>
      <w:r w:rsidR="00DA50CB" w:rsidRPr="00402700">
        <w:rPr>
          <w:noProof/>
          <w:sz w:val="22"/>
          <w:szCs w:val="22"/>
          <w:lang w:val="sr-Latn-CS"/>
        </w:rPr>
        <w:t>j</w:t>
      </w:r>
      <w:r w:rsidRPr="00402700">
        <w:rPr>
          <w:noProof/>
          <w:sz w:val="22"/>
          <w:szCs w:val="22"/>
          <w:lang w:val="sr-Latn-CS"/>
        </w:rPr>
        <w:t>ečila odbacivanje transplantata. Terapiju ne treba započinjati bez potvrde negativanog rezultata testa na trudnoću kako bi se isključila nenam</w:t>
      </w:r>
      <w:r w:rsidR="00DA50CB" w:rsidRPr="00402700">
        <w:rPr>
          <w:noProof/>
          <w:sz w:val="22"/>
          <w:szCs w:val="22"/>
          <w:lang w:val="sr-Latn-CS"/>
        </w:rPr>
        <w:t>j</w:t>
      </w:r>
      <w:r w:rsidRPr="00402700">
        <w:rPr>
          <w:noProof/>
          <w:sz w:val="22"/>
          <w:szCs w:val="22"/>
          <w:lang w:val="sr-Latn-CS"/>
        </w:rPr>
        <w:t>erna upotreba u trudnoći.</w:t>
      </w:r>
    </w:p>
    <w:p w14:paraId="356F8320" w14:textId="7777777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Pacijentkinje sa reproduktivnim potencijalom, na početku terapije, treba upozoriti na povećan rizik od gubitka trudnoće i kongenitalnih malformacija, i savetovati na prevenciju i planiranje trudnoće.</w:t>
      </w:r>
    </w:p>
    <w:p w14:paraId="0008FD82" w14:textId="77777777" w:rsidR="00D4306E" w:rsidRPr="00402700" w:rsidRDefault="00D4306E" w:rsidP="002C32CA">
      <w:pPr>
        <w:shd w:val="clear" w:color="auto" w:fill="FFFFFF"/>
        <w:tabs>
          <w:tab w:val="left" w:pos="965"/>
        </w:tabs>
        <w:jc w:val="both"/>
        <w:rPr>
          <w:noProof/>
          <w:sz w:val="22"/>
          <w:szCs w:val="22"/>
          <w:lang w:val="sr-Latn-CS"/>
        </w:rPr>
      </w:pPr>
    </w:p>
    <w:p w14:paraId="12062FE1" w14:textId="395768AE"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Prije započinjanja terapije lijekom Myfortic, žene u reproduktivnom periodu treba da imaju 2 negativna testa na trudnoću, dobijena iz uzoraka iz seruma ili urina sa osjetljivošću testa od najmanje 25 mili i.j/</w:t>
      </w:r>
      <w:r w:rsidR="007779BA" w:rsidRPr="00402700">
        <w:rPr>
          <w:noProof/>
          <w:sz w:val="22"/>
          <w:szCs w:val="22"/>
          <w:lang w:val="sr-Latn-CS"/>
        </w:rPr>
        <w:t>ml</w:t>
      </w:r>
      <w:r w:rsidRPr="00402700">
        <w:rPr>
          <w:noProof/>
          <w:sz w:val="22"/>
          <w:szCs w:val="22"/>
          <w:lang w:val="sr-Latn-CS"/>
        </w:rPr>
        <w:t xml:space="preserve"> kako bi se isključila nenam</w:t>
      </w:r>
      <w:r w:rsidR="00DA50CB" w:rsidRPr="00402700">
        <w:rPr>
          <w:noProof/>
          <w:sz w:val="22"/>
          <w:szCs w:val="22"/>
          <w:lang w:val="sr-Latn-CS"/>
        </w:rPr>
        <w:t>j</w:t>
      </w:r>
      <w:r w:rsidRPr="00402700">
        <w:rPr>
          <w:noProof/>
          <w:sz w:val="22"/>
          <w:szCs w:val="22"/>
          <w:lang w:val="sr-Latn-CS"/>
        </w:rPr>
        <w:t>erna izloženost embriona mikofenolatu. Preporučuje se da drugi test treba uraditi 8 – 10 dana nakon prvog testa. U slučaju transplantata dobijenih od donora koji su preminuli, ukoliko nije moguće sprovesti dva testiranja u razmaku od 8 do 10 dana prije započinjanja terapije (zbog vremena dostupnosti organa za transplantaciju), test na trudnoću se mora izvesti neposredno prije započinjanja terapije i naredno testiranje izvršiti nakon 8-10 dana. Testove na trudnoću treba ponoviti kada je klinički potrebno (npr. nakon bilo kog nepridržavanja kontracepciji). Rezultate svih testova na trudnoću treba diskutovati sa pacijentom. Ukoliko se desi trudnoća, pacijen</w:t>
      </w:r>
      <w:r w:rsidR="00DA50CB" w:rsidRPr="00402700">
        <w:rPr>
          <w:noProof/>
          <w:sz w:val="22"/>
          <w:szCs w:val="22"/>
          <w:lang w:val="sr-Latn-CS"/>
        </w:rPr>
        <w:t>t</w:t>
      </w:r>
      <w:r w:rsidRPr="00402700">
        <w:rPr>
          <w:noProof/>
          <w:sz w:val="22"/>
          <w:szCs w:val="22"/>
          <w:lang w:val="sr-Latn-CS"/>
        </w:rPr>
        <w:t>ima se savjetuje da se odmah obrate svom ljekaru.</w:t>
      </w:r>
    </w:p>
    <w:p w14:paraId="126788A2" w14:textId="7777777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Mikofenolat je snažan humani teratogen, sa povećanim rizikom od spontanih pobačaja i kongenitalnih malformacija u slučaju izlaganja tokom trudnoće:</w:t>
      </w:r>
    </w:p>
    <w:p w14:paraId="188494A2" w14:textId="5033C921"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Spontani pobačaji su prijavljeni kod 45 do 49 % trudnica koje su bile izložene d</w:t>
      </w:r>
      <w:r w:rsidR="006F105F" w:rsidRPr="00402700">
        <w:rPr>
          <w:noProof/>
          <w:sz w:val="22"/>
          <w:szCs w:val="22"/>
          <w:lang w:val="sr-Latn-CS"/>
        </w:rPr>
        <w:t>j</w:t>
      </w:r>
      <w:r w:rsidRPr="00402700">
        <w:rPr>
          <w:noProof/>
          <w:sz w:val="22"/>
          <w:szCs w:val="22"/>
          <w:lang w:val="sr-Latn-CS"/>
        </w:rPr>
        <w:t>elovanju mikofenolat mofetilu, u poređenju sa prijavljenom incidencom između 12 i 33 % kod pacijentkinja pri transplantaciji organa koje su na terapiji drugim imunosupresivima a ne mikofenolat mofetilom.</w:t>
      </w:r>
    </w:p>
    <w:p w14:paraId="1C5A0DA4" w14:textId="3485F8E2"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Na osnovu literaturnih podataka, kod 23 – 27 % slučajeva došlo je do malformacija kod živorođenih beba kod žena koje su tokom trudnoće bile izložene d</w:t>
      </w:r>
      <w:r w:rsidR="006F105F" w:rsidRPr="00402700">
        <w:rPr>
          <w:noProof/>
          <w:sz w:val="22"/>
          <w:szCs w:val="22"/>
          <w:lang w:val="sr-Latn-CS"/>
        </w:rPr>
        <w:t>j</w:t>
      </w:r>
      <w:r w:rsidRPr="00402700">
        <w:rPr>
          <w:noProof/>
          <w:sz w:val="22"/>
          <w:szCs w:val="22"/>
          <w:lang w:val="sr-Latn-CS"/>
        </w:rPr>
        <w:t>elovanju mikofenolat mofetilu (u poređenju sa 2 do 3 % živorođenih beba u ukupnoj populaciji i približno 4 do 5 % živorođenih beba kod pacijentkinja pri transplantaciji organa koje su na terapiji drugim imunosupresivima a ne mikofenolat mofetilom</w:t>
      </w:r>
      <w:r w:rsidR="00D4306E" w:rsidRPr="00402700">
        <w:rPr>
          <w:noProof/>
          <w:sz w:val="22"/>
          <w:szCs w:val="22"/>
          <w:lang w:val="sr-Latn-CS"/>
        </w:rPr>
        <w:t>)</w:t>
      </w:r>
      <w:r w:rsidRPr="00402700">
        <w:rPr>
          <w:noProof/>
          <w:sz w:val="22"/>
          <w:szCs w:val="22"/>
          <w:lang w:val="sr-Latn-CS"/>
        </w:rPr>
        <w:t>.</w:t>
      </w:r>
    </w:p>
    <w:p w14:paraId="412E72C1" w14:textId="77777777" w:rsidR="00DE43E9" w:rsidRPr="00402700" w:rsidRDefault="00DE43E9" w:rsidP="00DE43E9">
      <w:pPr>
        <w:shd w:val="clear" w:color="auto" w:fill="FFFFFF"/>
        <w:tabs>
          <w:tab w:val="left" w:pos="965"/>
        </w:tabs>
        <w:ind w:left="360"/>
        <w:jc w:val="both"/>
        <w:rPr>
          <w:noProof/>
          <w:sz w:val="22"/>
          <w:szCs w:val="22"/>
          <w:lang w:val="sr-Latn-CS"/>
        </w:rPr>
      </w:pPr>
    </w:p>
    <w:p w14:paraId="729236DB" w14:textId="054E3C75" w:rsidR="009F7685" w:rsidRPr="00402700" w:rsidRDefault="009F7685" w:rsidP="00C1302B">
      <w:pPr>
        <w:shd w:val="clear" w:color="auto" w:fill="FFFFFF"/>
        <w:tabs>
          <w:tab w:val="left" w:pos="965"/>
        </w:tabs>
        <w:ind w:left="360"/>
        <w:jc w:val="both"/>
        <w:rPr>
          <w:noProof/>
          <w:sz w:val="22"/>
          <w:szCs w:val="22"/>
          <w:lang w:val="sr-Latn-CS"/>
        </w:rPr>
      </w:pPr>
      <w:r w:rsidRPr="00402700">
        <w:rPr>
          <w:noProof/>
          <w:sz w:val="22"/>
          <w:szCs w:val="22"/>
          <w:lang w:val="sr-Latn-CS"/>
        </w:rPr>
        <w:t>Kongenitalne malformacije, uključujući prijavljene slučajeve multiplih malformacija, su praćene</w:t>
      </w:r>
      <w:r w:rsidR="00270707" w:rsidRPr="00402700">
        <w:rPr>
          <w:noProof/>
          <w:sz w:val="22"/>
          <w:szCs w:val="22"/>
          <w:lang w:val="sr-Latn-CS"/>
        </w:rPr>
        <w:t xml:space="preserve"> u postmarketinškom periodu</w:t>
      </w:r>
      <w:r w:rsidRPr="00402700">
        <w:rPr>
          <w:noProof/>
          <w:sz w:val="22"/>
          <w:szCs w:val="22"/>
          <w:lang w:val="sr-Latn-CS"/>
        </w:rPr>
        <w:t xml:space="preserve"> kod djece pacijenata koji su koristili l</w:t>
      </w:r>
      <w:r w:rsidR="006F105F" w:rsidRPr="00402700">
        <w:rPr>
          <w:noProof/>
          <w:sz w:val="22"/>
          <w:szCs w:val="22"/>
          <w:lang w:val="sr-Latn-CS"/>
        </w:rPr>
        <w:t>ij</w:t>
      </w:r>
      <w:r w:rsidRPr="00402700">
        <w:rPr>
          <w:noProof/>
          <w:sz w:val="22"/>
          <w:szCs w:val="22"/>
          <w:lang w:val="sr-Latn-CS"/>
        </w:rPr>
        <w:t>ek Myfortic u kombinaciji sa drugim imunosupresivima tokom trudnoće. Najčešće su bile prijavljene sl</w:t>
      </w:r>
      <w:r w:rsidR="006F105F" w:rsidRPr="00402700">
        <w:rPr>
          <w:noProof/>
          <w:sz w:val="22"/>
          <w:szCs w:val="22"/>
          <w:lang w:val="sr-Latn-CS"/>
        </w:rPr>
        <w:t>j</w:t>
      </w:r>
      <w:r w:rsidRPr="00402700">
        <w:rPr>
          <w:noProof/>
          <w:sz w:val="22"/>
          <w:szCs w:val="22"/>
          <w:lang w:val="sr-Latn-CS"/>
        </w:rPr>
        <w:t>edeće malformacije:</w:t>
      </w:r>
    </w:p>
    <w:p w14:paraId="041CBF6B" w14:textId="2802E0F4"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Poremećaji na nivou uha (npr. nepravilno formirano ili potpuno odsustvo spoljnjeg uha), atrezija spolj</w:t>
      </w:r>
      <w:r w:rsidR="004D49B4" w:rsidRPr="00402700">
        <w:rPr>
          <w:noProof/>
          <w:sz w:val="22"/>
          <w:szCs w:val="22"/>
          <w:lang w:val="sr-Latn-CS"/>
        </w:rPr>
        <w:t>aš</w:t>
      </w:r>
      <w:r w:rsidRPr="00402700">
        <w:rPr>
          <w:noProof/>
          <w:sz w:val="22"/>
          <w:szCs w:val="22"/>
          <w:lang w:val="sr-Latn-CS"/>
        </w:rPr>
        <w:t>njeg ušnog kanala (srednje uho);</w:t>
      </w:r>
    </w:p>
    <w:p w14:paraId="62F54E88" w14:textId="4654CAB1"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lastRenderedPageBreak/>
        <w:t>Facijalne malformacije kao što su rasc</w:t>
      </w:r>
      <w:r w:rsidR="006F105F" w:rsidRPr="00402700">
        <w:rPr>
          <w:noProof/>
          <w:sz w:val="22"/>
          <w:szCs w:val="22"/>
          <w:lang w:val="sr-Latn-CS"/>
        </w:rPr>
        <w:t>j</w:t>
      </w:r>
      <w:r w:rsidRPr="00402700">
        <w:rPr>
          <w:noProof/>
          <w:sz w:val="22"/>
          <w:szCs w:val="22"/>
          <w:lang w:val="sr-Latn-CS"/>
        </w:rPr>
        <w:t>ep usne, rasc</w:t>
      </w:r>
      <w:r w:rsidR="006F105F" w:rsidRPr="00402700">
        <w:rPr>
          <w:noProof/>
          <w:sz w:val="22"/>
          <w:szCs w:val="22"/>
          <w:lang w:val="sr-Latn-CS"/>
        </w:rPr>
        <w:t>j</w:t>
      </w:r>
      <w:r w:rsidRPr="00402700">
        <w:rPr>
          <w:noProof/>
          <w:sz w:val="22"/>
          <w:szCs w:val="22"/>
          <w:lang w:val="sr-Latn-CS"/>
        </w:rPr>
        <w:t>ep nepca, mikrognacija i hipertelorizam orbita;</w:t>
      </w:r>
    </w:p>
    <w:p w14:paraId="65459FCE" w14:textId="3596538B"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Poremećaji na nivou oka (npr. coloboma);</w:t>
      </w:r>
    </w:p>
    <w:p w14:paraId="162DEFBD" w14:textId="3C26CA30"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Kongenitalna srčana bolest kao što su atrijalni i ventrikularni septalni defekti;</w:t>
      </w:r>
    </w:p>
    <w:p w14:paraId="1500C109" w14:textId="3D068772"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Malformacije prstiju (npr. polidaktilija, sindaktilija);</w:t>
      </w:r>
    </w:p>
    <w:p w14:paraId="3EE49040" w14:textId="47BA20B3"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Traheo-ezofag</w:t>
      </w:r>
      <w:r w:rsidR="004D49B4" w:rsidRPr="00402700">
        <w:rPr>
          <w:noProof/>
          <w:sz w:val="22"/>
          <w:szCs w:val="22"/>
          <w:lang w:val="sr-Latn-CS"/>
        </w:rPr>
        <w:t>usne</w:t>
      </w:r>
      <w:r w:rsidRPr="00402700">
        <w:rPr>
          <w:noProof/>
          <w:sz w:val="22"/>
          <w:szCs w:val="22"/>
          <w:lang w:val="sr-Latn-CS"/>
        </w:rPr>
        <w:t xml:space="preserve"> malformacije (npr. atrezija ezofagusa);</w:t>
      </w:r>
    </w:p>
    <w:p w14:paraId="3D2FD1B2" w14:textId="6B007632" w:rsidR="007779BA"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Malformacije nervnog sistema kao što je spina bifida;</w:t>
      </w:r>
    </w:p>
    <w:p w14:paraId="761B9A1B" w14:textId="0BC3418C" w:rsidR="009F7685" w:rsidRPr="00402700" w:rsidRDefault="009F7685" w:rsidP="002C32CA">
      <w:pPr>
        <w:pStyle w:val="ListParagraph"/>
        <w:numPr>
          <w:ilvl w:val="0"/>
          <w:numId w:val="12"/>
        </w:numPr>
        <w:shd w:val="clear" w:color="auto" w:fill="FFFFFF"/>
        <w:tabs>
          <w:tab w:val="left" w:pos="965"/>
        </w:tabs>
        <w:jc w:val="both"/>
        <w:rPr>
          <w:noProof/>
          <w:sz w:val="22"/>
          <w:szCs w:val="22"/>
          <w:lang w:val="sr-Latn-CS"/>
        </w:rPr>
      </w:pPr>
      <w:r w:rsidRPr="00402700">
        <w:rPr>
          <w:noProof/>
          <w:sz w:val="22"/>
          <w:szCs w:val="22"/>
          <w:lang w:val="sr-Latn-CS"/>
        </w:rPr>
        <w:t>Bubrežne abnormalnosti.</w:t>
      </w:r>
    </w:p>
    <w:p w14:paraId="1BF3FCAA" w14:textId="148C55B1"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Dodatno, prijavljeni su </w:t>
      </w:r>
      <w:r w:rsidR="004D49B4" w:rsidRPr="00402700">
        <w:rPr>
          <w:noProof/>
          <w:sz w:val="22"/>
          <w:szCs w:val="22"/>
          <w:lang w:val="sr-Latn-CS"/>
        </w:rPr>
        <w:t xml:space="preserve">izolovani </w:t>
      </w:r>
      <w:r w:rsidRPr="00402700">
        <w:rPr>
          <w:noProof/>
          <w:sz w:val="22"/>
          <w:szCs w:val="22"/>
          <w:lang w:val="sr-Latn-CS"/>
        </w:rPr>
        <w:t>slučajevi sledećih malformacija:</w:t>
      </w:r>
    </w:p>
    <w:p w14:paraId="7A30CD29" w14:textId="70410FE3" w:rsidR="009F7685" w:rsidRPr="00402700" w:rsidRDefault="009F7685" w:rsidP="002C32CA">
      <w:pPr>
        <w:pStyle w:val="ListParagraph"/>
        <w:numPr>
          <w:ilvl w:val="0"/>
          <w:numId w:val="13"/>
        </w:numPr>
        <w:shd w:val="clear" w:color="auto" w:fill="FFFFFF"/>
        <w:tabs>
          <w:tab w:val="left" w:pos="965"/>
        </w:tabs>
        <w:jc w:val="both"/>
        <w:rPr>
          <w:noProof/>
          <w:sz w:val="22"/>
          <w:szCs w:val="22"/>
          <w:lang w:val="sr-Latn-CS"/>
        </w:rPr>
      </w:pPr>
      <w:r w:rsidRPr="00402700">
        <w:rPr>
          <w:noProof/>
          <w:sz w:val="22"/>
          <w:szCs w:val="22"/>
          <w:lang w:val="sr-Latn-CS"/>
        </w:rPr>
        <w:t>Mikroftalmija</w:t>
      </w:r>
      <w:r w:rsidR="004D49B4" w:rsidRPr="00402700">
        <w:rPr>
          <w:noProof/>
          <w:sz w:val="22"/>
          <w:szCs w:val="22"/>
          <w:lang w:val="sr-Latn-CS"/>
        </w:rPr>
        <w:t>;</w:t>
      </w:r>
    </w:p>
    <w:p w14:paraId="3D3BA212" w14:textId="571643B1" w:rsidR="009F7685" w:rsidRPr="00402700" w:rsidRDefault="009F7685" w:rsidP="002C32CA">
      <w:pPr>
        <w:pStyle w:val="ListParagraph"/>
        <w:numPr>
          <w:ilvl w:val="0"/>
          <w:numId w:val="13"/>
        </w:numPr>
        <w:shd w:val="clear" w:color="auto" w:fill="FFFFFF"/>
        <w:tabs>
          <w:tab w:val="left" w:pos="965"/>
        </w:tabs>
        <w:jc w:val="both"/>
        <w:rPr>
          <w:noProof/>
          <w:sz w:val="22"/>
          <w:szCs w:val="22"/>
          <w:lang w:val="sr-Latn-CS"/>
        </w:rPr>
      </w:pPr>
      <w:r w:rsidRPr="00402700">
        <w:rPr>
          <w:noProof/>
          <w:sz w:val="22"/>
          <w:szCs w:val="22"/>
          <w:lang w:val="sr-Latn-CS"/>
        </w:rPr>
        <w:t>Kongenitalna cista horoidnog pleksusa;</w:t>
      </w:r>
    </w:p>
    <w:p w14:paraId="33C54FE7" w14:textId="0C2FBABD" w:rsidR="009F7685" w:rsidRPr="00402700" w:rsidRDefault="009F7685" w:rsidP="002C32CA">
      <w:pPr>
        <w:pStyle w:val="ListParagraph"/>
        <w:numPr>
          <w:ilvl w:val="0"/>
          <w:numId w:val="13"/>
        </w:numPr>
        <w:shd w:val="clear" w:color="auto" w:fill="FFFFFF"/>
        <w:tabs>
          <w:tab w:val="left" w:pos="965"/>
        </w:tabs>
        <w:jc w:val="both"/>
        <w:rPr>
          <w:noProof/>
          <w:sz w:val="22"/>
          <w:szCs w:val="22"/>
          <w:lang w:val="sr-Latn-CS"/>
        </w:rPr>
      </w:pPr>
      <w:r w:rsidRPr="00402700">
        <w:rPr>
          <w:noProof/>
          <w:sz w:val="22"/>
          <w:szCs w:val="22"/>
          <w:lang w:val="sr-Latn-CS"/>
        </w:rPr>
        <w:t>Ageneza septum pellucidum-a;</w:t>
      </w:r>
    </w:p>
    <w:p w14:paraId="33970FB5" w14:textId="1E1BAB8B" w:rsidR="009F7685" w:rsidRPr="00402700" w:rsidRDefault="009F7685" w:rsidP="002C32CA">
      <w:pPr>
        <w:pStyle w:val="ListParagraph"/>
        <w:numPr>
          <w:ilvl w:val="0"/>
          <w:numId w:val="13"/>
        </w:numPr>
        <w:shd w:val="clear" w:color="auto" w:fill="FFFFFF"/>
        <w:tabs>
          <w:tab w:val="left" w:pos="965"/>
        </w:tabs>
        <w:jc w:val="both"/>
        <w:rPr>
          <w:noProof/>
          <w:sz w:val="22"/>
          <w:szCs w:val="22"/>
          <w:lang w:val="sr-Latn-CS"/>
        </w:rPr>
      </w:pPr>
      <w:r w:rsidRPr="00402700">
        <w:rPr>
          <w:noProof/>
          <w:sz w:val="22"/>
          <w:szCs w:val="22"/>
          <w:lang w:val="sr-Latn-CS"/>
        </w:rPr>
        <w:t>Ageneza olfaktornog nerva.</w:t>
      </w:r>
    </w:p>
    <w:p w14:paraId="454274D6" w14:textId="2690C6E5" w:rsidR="009F7685" w:rsidRPr="00402700" w:rsidRDefault="009F7685" w:rsidP="002C32CA">
      <w:pPr>
        <w:shd w:val="clear" w:color="auto" w:fill="FFFFFF"/>
        <w:ind w:left="19"/>
        <w:jc w:val="both"/>
        <w:rPr>
          <w:noProof/>
          <w:sz w:val="22"/>
          <w:szCs w:val="22"/>
          <w:lang w:val="sr-Latn-CS"/>
        </w:rPr>
      </w:pPr>
      <w:r w:rsidRPr="00402700">
        <w:rPr>
          <w:noProof/>
          <w:sz w:val="22"/>
          <w:szCs w:val="22"/>
          <w:lang w:val="sr-Latn-CS"/>
        </w:rPr>
        <w:t xml:space="preserve">Ispitivanja na životinjama su pokazala reproduktivnu toksičnost (vidjeti </w:t>
      </w:r>
      <w:r w:rsidR="007779BA" w:rsidRPr="00402700">
        <w:rPr>
          <w:noProof/>
          <w:sz w:val="22"/>
          <w:szCs w:val="22"/>
          <w:lang w:val="sr-Latn-CS"/>
        </w:rPr>
        <w:t>dio</w:t>
      </w:r>
      <w:r w:rsidRPr="00402700">
        <w:rPr>
          <w:noProof/>
          <w:sz w:val="22"/>
          <w:szCs w:val="22"/>
          <w:lang w:val="sr-Latn-CS"/>
        </w:rPr>
        <w:t xml:space="preserve"> 5.3). </w:t>
      </w:r>
    </w:p>
    <w:p w14:paraId="15325C2D" w14:textId="77777777" w:rsidR="007779BA" w:rsidRPr="00402700" w:rsidRDefault="007779BA" w:rsidP="002C32CA">
      <w:pPr>
        <w:shd w:val="clear" w:color="auto" w:fill="FFFFFF"/>
        <w:ind w:left="19"/>
        <w:jc w:val="both"/>
        <w:rPr>
          <w:noProof/>
          <w:sz w:val="22"/>
          <w:szCs w:val="22"/>
          <w:lang w:val="sr-Latn-CS"/>
        </w:rPr>
      </w:pPr>
    </w:p>
    <w:p w14:paraId="218906AB" w14:textId="77777777" w:rsidR="009F7685" w:rsidRPr="00402700" w:rsidRDefault="009F7685" w:rsidP="002C32CA">
      <w:pPr>
        <w:shd w:val="clear" w:color="auto" w:fill="FFFFFF"/>
        <w:jc w:val="both"/>
        <w:rPr>
          <w:bCs/>
          <w:noProof/>
          <w:sz w:val="22"/>
          <w:szCs w:val="22"/>
          <w:u w:val="single"/>
          <w:lang w:val="sr-Latn-CS"/>
        </w:rPr>
      </w:pPr>
      <w:r w:rsidRPr="00402700">
        <w:rPr>
          <w:bCs/>
          <w:noProof/>
          <w:sz w:val="22"/>
          <w:szCs w:val="22"/>
          <w:u w:val="single"/>
          <w:lang w:val="sr-Latn-CS"/>
        </w:rPr>
        <w:t>Muškarci</w:t>
      </w:r>
    </w:p>
    <w:p w14:paraId="20D18831" w14:textId="01728F80" w:rsidR="009F7685" w:rsidRPr="00402700" w:rsidRDefault="009F7685" w:rsidP="002C32CA">
      <w:pPr>
        <w:shd w:val="clear" w:color="auto" w:fill="FFFFFF"/>
        <w:jc w:val="both"/>
        <w:rPr>
          <w:bCs/>
          <w:noProof/>
          <w:sz w:val="22"/>
          <w:szCs w:val="22"/>
          <w:lang w:val="sr-Latn-CS"/>
        </w:rPr>
      </w:pPr>
      <w:r w:rsidRPr="00402700">
        <w:rPr>
          <w:bCs/>
          <w:noProof/>
          <w:sz w:val="22"/>
          <w:szCs w:val="22"/>
          <w:lang w:val="sr-Latn-CS"/>
        </w:rPr>
        <w:t xml:space="preserve">Ograničeni klinički dokazi ne ukazuju na povećani rizik od </w:t>
      </w:r>
      <w:r w:rsidR="004D49B4" w:rsidRPr="00402700">
        <w:rPr>
          <w:bCs/>
          <w:noProof/>
          <w:sz w:val="22"/>
          <w:szCs w:val="22"/>
          <w:lang w:val="sr-Latn-CS"/>
        </w:rPr>
        <w:t>malformacija</w:t>
      </w:r>
      <w:r w:rsidRPr="00402700">
        <w:rPr>
          <w:bCs/>
          <w:noProof/>
          <w:sz w:val="22"/>
          <w:szCs w:val="22"/>
          <w:lang w:val="sr-Latn-CS"/>
        </w:rPr>
        <w:t xml:space="preserve"> ili pobačaja koji prate izloženost mikofenolat-mofetilu</w:t>
      </w:r>
      <w:r w:rsidR="004D49B4" w:rsidRPr="00402700">
        <w:rPr>
          <w:bCs/>
          <w:noProof/>
          <w:sz w:val="22"/>
          <w:szCs w:val="22"/>
          <w:lang w:val="sr-Latn-CS"/>
        </w:rPr>
        <w:t xml:space="preserve"> očeva</w:t>
      </w:r>
      <w:r w:rsidRPr="00402700">
        <w:rPr>
          <w:bCs/>
          <w:noProof/>
          <w:sz w:val="22"/>
          <w:szCs w:val="22"/>
          <w:lang w:val="sr-Latn-CS"/>
        </w:rPr>
        <w:t>.</w:t>
      </w:r>
    </w:p>
    <w:p w14:paraId="216290E0" w14:textId="08F6ED53" w:rsidR="009F7685" w:rsidRPr="00402700" w:rsidRDefault="009F7685" w:rsidP="002C32CA">
      <w:pPr>
        <w:shd w:val="clear" w:color="auto" w:fill="FFFFFF"/>
        <w:jc w:val="both"/>
        <w:rPr>
          <w:bCs/>
          <w:noProof/>
          <w:sz w:val="22"/>
          <w:szCs w:val="22"/>
          <w:lang w:val="sr-Latn-CS"/>
        </w:rPr>
      </w:pPr>
      <w:r w:rsidRPr="00402700">
        <w:rPr>
          <w:bCs/>
          <w:noProof/>
          <w:sz w:val="22"/>
          <w:szCs w:val="22"/>
          <w:lang w:val="sr-Latn-CS"/>
        </w:rPr>
        <w:t xml:space="preserve">Mikofenolna kiselina je snažan teratogen. Nije poznato da li je mikofenolna </w:t>
      </w:r>
      <w:r w:rsidR="004D49B4" w:rsidRPr="00402700">
        <w:rPr>
          <w:bCs/>
          <w:noProof/>
          <w:sz w:val="22"/>
          <w:szCs w:val="22"/>
          <w:lang w:val="sr-Latn-CS"/>
        </w:rPr>
        <w:t xml:space="preserve">kiselina </w:t>
      </w:r>
      <w:r w:rsidRPr="00402700">
        <w:rPr>
          <w:bCs/>
          <w:noProof/>
          <w:sz w:val="22"/>
          <w:szCs w:val="22"/>
          <w:lang w:val="sr-Latn-CS"/>
        </w:rPr>
        <w:t xml:space="preserve">prisutna u sjemenoj tečnosti. Proračuni koji se zasnivaju na podacima dobijenim kod životinja pokazuju da maksimalna količina mikofenolne kiseline koja bi se potencijalno prenosila </w:t>
      </w:r>
      <w:r w:rsidR="004D49B4" w:rsidRPr="00402700">
        <w:rPr>
          <w:bCs/>
          <w:noProof/>
          <w:sz w:val="22"/>
          <w:szCs w:val="22"/>
          <w:lang w:val="sr-Latn-CS"/>
        </w:rPr>
        <w:t>na</w:t>
      </w:r>
      <w:r w:rsidRPr="00402700">
        <w:rPr>
          <w:bCs/>
          <w:noProof/>
          <w:sz w:val="22"/>
          <w:szCs w:val="22"/>
          <w:lang w:val="sr-Latn-CS"/>
        </w:rPr>
        <w:t xml:space="preserve"> žene je toliko niska da je mala vjerovatnoća da bi to imalo efekta. Za mikofenolat je pokazano da je u maloj mjeri genotoksičan u ispitivanjima na životinjama u koncentracijama koje prevazilaze terapijsku izloženost ljudi, tako da se ne može u potpunosti isključiti rizik od genotoksičnog efekta na spermatozoide.</w:t>
      </w:r>
    </w:p>
    <w:p w14:paraId="61558CA2" w14:textId="77777777" w:rsidR="004D49B4" w:rsidRPr="00402700" w:rsidRDefault="004D49B4" w:rsidP="002C32CA">
      <w:pPr>
        <w:shd w:val="clear" w:color="auto" w:fill="FFFFFF"/>
        <w:ind w:left="19"/>
        <w:jc w:val="both"/>
        <w:rPr>
          <w:bCs/>
          <w:noProof/>
          <w:sz w:val="22"/>
          <w:szCs w:val="22"/>
          <w:lang w:val="sr-Latn-CS"/>
        </w:rPr>
      </w:pPr>
    </w:p>
    <w:p w14:paraId="5D5CA961" w14:textId="09B944D6" w:rsidR="009F7685" w:rsidRPr="00402700" w:rsidRDefault="009F7685" w:rsidP="002C32CA">
      <w:pPr>
        <w:shd w:val="clear" w:color="auto" w:fill="FFFFFF"/>
        <w:ind w:left="19"/>
        <w:jc w:val="both"/>
        <w:rPr>
          <w:noProof/>
          <w:sz w:val="22"/>
          <w:szCs w:val="22"/>
          <w:lang w:val="sr-Latn-CS"/>
        </w:rPr>
      </w:pPr>
      <w:r w:rsidRPr="00402700">
        <w:rPr>
          <w:bCs/>
          <w:noProof/>
          <w:sz w:val="22"/>
          <w:szCs w:val="22"/>
          <w:lang w:val="sr-Latn-CS"/>
        </w:rPr>
        <w:t>Stoga se preporučuju sl</w:t>
      </w:r>
      <w:r w:rsidR="006F105F" w:rsidRPr="00402700">
        <w:rPr>
          <w:bCs/>
          <w:noProof/>
          <w:sz w:val="22"/>
          <w:szCs w:val="22"/>
          <w:lang w:val="sr-Latn-CS"/>
        </w:rPr>
        <w:t>j</w:t>
      </w:r>
      <w:r w:rsidRPr="00402700">
        <w:rPr>
          <w:bCs/>
          <w:noProof/>
          <w:sz w:val="22"/>
          <w:szCs w:val="22"/>
          <w:lang w:val="sr-Latn-CS"/>
        </w:rPr>
        <w:t>edeće mjere predostrožnosti: seksualno aktivne muške pacijente ili njihove partnerke savjetovati da koriste pouzdani oblik kontracepcije za vrijeme liječenja muškog pacijenta i još najmanje 90 dana nakon prestanka primjene mikofenolata. Muški pacijenti sa reproduktivnim potencijalom treba da budu svjesni potencijalnog rizika u slučaju da postanu očevi i potrebno je da o tome razgovaraju sa kvalifikovanim zdravstvenim stručnjakom.</w:t>
      </w:r>
    </w:p>
    <w:p w14:paraId="21580F16" w14:textId="77777777" w:rsidR="007779BA" w:rsidRPr="00402700" w:rsidRDefault="007779BA" w:rsidP="002C32CA">
      <w:pPr>
        <w:shd w:val="clear" w:color="auto" w:fill="FFFFFF"/>
        <w:ind w:left="19"/>
        <w:jc w:val="both"/>
        <w:rPr>
          <w:bCs/>
          <w:noProof/>
          <w:sz w:val="22"/>
          <w:szCs w:val="22"/>
          <w:u w:val="single"/>
          <w:lang w:val="sr-Latn-CS"/>
        </w:rPr>
      </w:pPr>
    </w:p>
    <w:p w14:paraId="46DADD6F" w14:textId="2827FE6B" w:rsidR="009F7685" w:rsidRPr="00402700" w:rsidRDefault="009F7685" w:rsidP="002C32CA">
      <w:pPr>
        <w:shd w:val="clear" w:color="auto" w:fill="FFFFFF"/>
        <w:ind w:left="19"/>
        <w:jc w:val="both"/>
        <w:rPr>
          <w:bCs/>
          <w:noProof/>
          <w:sz w:val="22"/>
          <w:szCs w:val="22"/>
          <w:u w:val="single"/>
          <w:lang w:val="sr-Latn-CS"/>
        </w:rPr>
      </w:pPr>
      <w:r w:rsidRPr="00402700">
        <w:rPr>
          <w:bCs/>
          <w:noProof/>
          <w:sz w:val="22"/>
          <w:szCs w:val="22"/>
          <w:u w:val="single"/>
          <w:lang w:val="sr-Latn-CS"/>
        </w:rPr>
        <w:t>Dojenje</w:t>
      </w:r>
    </w:p>
    <w:p w14:paraId="556DB414" w14:textId="4CF7716B" w:rsidR="009F7685" w:rsidRPr="00402700" w:rsidRDefault="00713472" w:rsidP="002C32CA">
      <w:pPr>
        <w:shd w:val="clear" w:color="auto" w:fill="FFFFFF"/>
        <w:tabs>
          <w:tab w:val="left" w:pos="965"/>
        </w:tabs>
        <w:jc w:val="both"/>
        <w:rPr>
          <w:noProof/>
          <w:sz w:val="22"/>
          <w:szCs w:val="22"/>
          <w:lang w:val="sr-Latn-CS"/>
        </w:rPr>
      </w:pPr>
      <w:r w:rsidRPr="00402700">
        <w:rPr>
          <w:noProof/>
          <w:sz w:val="22"/>
          <w:szCs w:val="22"/>
          <w:lang w:val="sr-Latn-CS"/>
        </w:rPr>
        <w:t>Ograničeni podaci pokazuju da se mikofenolna kiselina izlučuje u humano mlijeko</w:t>
      </w:r>
      <w:r w:rsidR="009F7685" w:rsidRPr="00402700">
        <w:rPr>
          <w:noProof/>
          <w:sz w:val="22"/>
          <w:szCs w:val="22"/>
          <w:lang w:val="sr-Latn-CS"/>
        </w:rPr>
        <w:t xml:space="preserve">. Zbog mogućih ozbiljnih štetnih posljedica mikofenolne kiseline kod </w:t>
      </w:r>
      <w:r w:rsidR="004D49B4" w:rsidRPr="00402700">
        <w:rPr>
          <w:noProof/>
          <w:sz w:val="22"/>
          <w:szCs w:val="22"/>
          <w:lang w:val="sr-Latn-CS"/>
        </w:rPr>
        <w:t xml:space="preserve">dojene </w:t>
      </w:r>
      <w:r w:rsidR="009F7685" w:rsidRPr="00402700">
        <w:rPr>
          <w:noProof/>
          <w:sz w:val="22"/>
          <w:szCs w:val="22"/>
          <w:lang w:val="sr-Latn-CS"/>
        </w:rPr>
        <w:t xml:space="preserve">odojčadi, lijek Myfortic je kontraindikovan kod dojilja (vidjeti </w:t>
      </w:r>
      <w:r w:rsidR="007779BA" w:rsidRPr="00402700">
        <w:rPr>
          <w:noProof/>
          <w:sz w:val="22"/>
          <w:szCs w:val="22"/>
          <w:lang w:val="sr-Latn-CS"/>
        </w:rPr>
        <w:t>dio</w:t>
      </w:r>
      <w:r w:rsidR="009F7685" w:rsidRPr="00402700">
        <w:rPr>
          <w:noProof/>
          <w:sz w:val="22"/>
          <w:szCs w:val="22"/>
          <w:lang w:val="sr-Latn-CS"/>
        </w:rPr>
        <w:t xml:space="preserve"> 4.3)</w:t>
      </w:r>
      <w:r w:rsidR="004D49B4" w:rsidRPr="00402700">
        <w:rPr>
          <w:noProof/>
          <w:sz w:val="22"/>
          <w:szCs w:val="22"/>
          <w:lang w:val="sr-Latn-CS"/>
        </w:rPr>
        <w:t>.</w:t>
      </w:r>
    </w:p>
    <w:p w14:paraId="50D614BF" w14:textId="77777777" w:rsidR="007779BA" w:rsidRPr="00402700" w:rsidRDefault="007779BA" w:rsidP="002C32CA">
      <w:pPr>
        <w:shd w:val="clear" w:color="auto" w:fill="FFFFFF"/>
        <w:tabs>
          <w:tab w:val="left" w:pos="965"/>
        </w:tabs>
        <w:jc w:val="both"/>
        <w:rPr>
          <w:noProof/>
          <w:sz w:val="22"/>
          <w:szCs w:val="22"/>
          <w:u w:val="single"/>
          <w:lang w:val="sr-Latn-CS"/>
        </w:rPr>
      </w:pPr>
    </w:p>
    <w:p w14:paraId="6CA24B6A" w14:textId="11C86BA3" w:rsidR="009F7685" w:rsidRPr="00402700" w:rsidRDefault="009F7685" w:rsidP="002C32CA">
      <w:pPr>
        <w:shd w:val="clear" w:color="auto" w:fill="FFFFFF"/>
        <w:tabs>
          <w:tab w:val="left" w:pos="965"/>
        </w:tabs>
        <w:jc w:val="both"/>
        <w:rPr>
          <w:noProof/>
          <w:sz w:val="22"/>
          <w:szCs w:val="22"/>
          <w:u w:val="single"/>
          <w:lang w:val="sr-Latn-CS"/>
        </w:rPr>
      </w:pPr>
      <w:r w:rsidRPr="00402700">
        <w:rPr>
          <w:noProof/>
          <w:sz w:val="22"/>
          <w:szCs w:val="22"/>
          <w:u w:val="single"/>
          <w:lang w:val="sr-Latn-CS"/>
        </w:rPr>
        <w:t>Plodnost</w:t>
      </w:r>
    </w:p>
    <w:p w14:paraId="29340DC8" w14:textId="11D557AC"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Posebne studije koje bi procijenile uticaj lijeka Myfortic na plodnost ljudi nijesu </w:t>
      </w:r>
      <w:r w:rsidR="004D49B4" w:rsidRPr="00402700">
        <w:rPr>
          <w:noProof/>
          <w:sz w:val="22"/>
          <w:szCs w:val="22"/>
          <w:lang w:val="sr-Latn-CS"/>
        </w:rPr>
        <w:t>sprovedene</w:t>
      </w:r>
      <w:r w:rsidRPr="00402700">
        <w:rPr>
          <w:noProof/>
          <w:sz w:val="22"/>
          <w:szCs w:val="22"/>
          <w:lang w:val="sr-Latn-CS"/>
        </w:rPr>
        <w:t>. U studiji plodnosti mužjaka i ženki pacova nijesu primijećeni efekti do doza od 40 mg/kg za mužjake odnosno 20 mg/kg</w:t>
      </w:r>
      <w:r w:rsidRPr="00402700">
        <w:rPr>
          <w:noProof/>
          <w:color w:val="FF0000"/>
          <w:sz w:val="22"/>
          <w:szCs w:val="22"/>
          <w:lang w:val="sr-Latn-CS"/>
        </w:rPr>
        <w:t xml:space="preserve"> </w:t>
      </w:r>
      <w:r w:rsidRPr="00402700">
        <w:rPr>
          <w:noProof/>
          <w:sz w:val="22"/>
          <w:szCs w:val="22"/>
          <w:lang w:val="sr-Latn-CS"/>
        </w:rPr>
        <w:t>za ženke</w:t>
      </w:r>
      <w:r w:rsidR="004D49B4" w:rsidRPr="00402700">
        <w:rPr>
          <w:noProof/>
          <w:sz w:val="22"/>
          <w:szCs w:val="22"/>
          <w:lang w:val="sr-Latn-CS"/>
        </w:rPr>
        <w:t xml:space="preserve"> </w:t>
      </w:r>
      <w:r w:rsidRPr="00402700">
        <w:rPr>
          <w:noProof/>
          <w:sz w:val="22"/>
          <w:szCs w:val="22"/>
          <w:lang w:val="sr-Latn-CS"/>
        </w:rPr>
        <w:t xml:space="preserve">(vidjeti </w:t>
      </w:r>
      <w:r w:rsidR="007779BA" w:rsidRPr="00402700">
        <w:rPr>
          <w:noProof/>
          <w:sz w:val="22"/>
          <w:szCs w:val="22"/>
          <w:lang w:val="sr-Latn-CS"/>
        </w:rPr>
        <w:t>dio</w:t>
      </w:r>
      <w:r w:rsidRPr="00402700">
        <w:rPr>
          <w:noProof/>
          <w:sz w:val="22"/>
          <w:szCs w:val="22"/>
          <w:lang w:val="sr-Latn-CS"/>
        </w:rPr>
        <w:t xml:space="preserve"> 5.3).</w:t>
      </w:r>
    </w:p>
    <w:p w14:paraId="2D896D96" w14:textId="77777777" w:rsidR="002031B3" w:rsidRPr="00402700" w:rsidRDefault="002031B3" w:rsidP="002C32CA">
      <w:pPr>
        <w:tabs>
          <w:tab w:val="left" w:pos="540"/>
          <w:tab w:val="left" w:pos="569"/>
        </w:tabs>
        <w:jc w:val="both"/>
        <w:rPr>
          <w:noProof/>
          <w:sz w:val="22"/>
          <w:szCs w:val="22"/>
          <w:u w:val="single"/>
          <w:lang w:val="sr-Latn-CS"/>
        </w:rPr>
      </w:pPr>
    </w:p>
    <w:p w14:paraId="27EB4536" w14:textId="5D08D852" w:rsidR="0072020E" w:rsidRPr="00402700" w:rsidRDefault="0072020E" w:rsidP="002C32CA">
      <w:pPr>
        <w:tabs>
          <w:tab w:val="left" w:pos="540"/>
          <w:tab w:val="left" w:pos="569"/>
        </w:tabs>
        <w:ind w:left="540" w:hanging="540"/>
        <w:jc w:val="both"/>
        <w:rPr>
          <w:b/>
          <w:bCs/>
          <w:noProof/>
          <w:sz w:val="22"/>
          <w:szCs w:val="22"/>
          <w:lang w:val="sr-Latn-CS"/>
        </w:rPr>
      </w:pPr>
      <w:r w:rsidRPr="00402700">
        <w:rPr>
          <w:b/>
          <w:bCs/>
          <w:noProof/>
          <w:sz w:val="22"/>
          <w:szCs w:val="22"/>
          <w:lang w:val="sr-Latn-CS"/>
        </w:rPr>
        <w:t xml:space="preserve">4.7. </w:t>
      </w:r>
      <w:r w:rsidR="00480FB1" w:rsidRPr="00402700">
        <w:rPr>
          <w:b/>
          <w:bCs/>
          <w:noProof/>
          <w:sz w:val="22"/>
          <w:szCs w:val="22"/>
          <w:lang w:val="sr-Latn-CS"/>
        </w:rPr>
        <w:tab/>
      </w:r>
      <w:r w:rsidRPr="00402700">
        <w:rPr>
          <w:b/>
          <w:bCs/>
          <w:noProof/>
          <w:sz w:val="22"/>
          <w:szCs w:val="22"/>
          <w:lang w:val="sr-Latn-CS"/>
        </w:rPr>
        <w:t xml:space="preserve">Uticaj na </w:t>
      </w:r>
      <w:r w:rsidR="002031B3" w:rsidRPr="00402700">
        <w:rPr>
          <w:b/>
          <w:bCs/>
          <w:noProof/>
          <w:sz w:val="22"/>
          <w:szCs w:val="22"/>
          <w:lang w:val="sr-Latn-CS"/>
        </w:rPr>
        <w:t xml:space="preserve">sposobnost </w:t>
      </w:r>
      <w:r w:rsidR="00F34554" w:rsidRPr="00402700">
        <w:rPr>
          <w:b/>
          <w:bCs/>
          <w:noProof/>
          <w:sz w:val="22"/>
          <w:szCs w:val="22"/>
          <w:lang w:val="sr-Latn-CS"/>
        </w:rPr>
        <w:t>upravljanja vozili</w:t>
      </w:r>
      <w:r w:rsidRPr="00402700">
        <w:rPr>
          <w:b/>
          <w:bCs/>
          <w:noProof/>
          <w:sz w:val="22"/>
          <w:szCs w:val="22"/>
          <w:lang w:val="sr-Latn-CS"/>
        </w:rPr>
        <w:t>m</w:t>
      </w:r>
      <w:r w:rsidR="00F34554" w:rsidRPr="00402700">
        <w:rPr>
          <w:b/>
          <w:bCs/>
          <w:noProof/>
          <w:sz w:val="22"/>
          <w:szCs w:val="22"/>
          <w:lang w:val="sr-Latn-CS"/>
        </w:rPr>
        <w:t>a</w:t>
      </w:r>
      <w:r w:rsidRPr="00402700">
        <w:rPr>
          <w:b/>
          <w:bCs/>
          <w:noProof/>
          <w:sz w:val="22"/>
          <w:szCs w:val="22"/>
          <w:lang w:val="sr-Latn-CS"/>
        </w:rPr>
        <w:t xml:space="preserve"> i </w:t>
      </w:r>
      <w:r w:rsidR="000D3449" w:rsidRPr="00402700">
        <w:rPr>
          <w:b/>
          <w:bCs/>
          <w:noProof/>
          <w:sz w:val="22"/>
          <w:szCs w:val="22"/>
          <w:lang w:val="sr-Latn-CS"/>
        </w:rPr>
        <w:t xml:space="preserve">rukovanje </w:t>
      </w:r>
      <w:r w:rsidRPr="00402700">
        <w:rPr>
          <w:b/>
          <w:bCs/>
          <w:noProof/>
          <w:sz w:val="22"/>
          <w:szCs w:val="22"/>
          <w:lang w:val="sr-Latn-CS"/>
        </w:rPr>
        <w:t>mašinama</w:t>
      </w:r>
    </w:p>
    <w:p w14:paraId="375FA2AC" w14:textId="77777777" w:rsidR="007779BA" w:rsidRPr="00402700" w:rsidRDefault="007779BA" w:rsidP="002C32CA">
      <w:pPr>
        <w:tabs>
          <w:tab w:val="left" w:pos="540"/>
          <w:tab w:val="left" w:pos="569"/>
        </w:tabs>
        <w:ind w:left="540" w:hanging="540"/>
        <w:jc w:val="both"/>
        <w:rPr>
          <w:b/>
          <w:bCs/>
          <w:noProof/>
          <w:sz w:val="22"/>
          <w:szCs w:val="22"/>
          <w:lang w:val="sr-Latn-CS"/>
        </w:rPr>
      </w:pPr>
    </w:p>
    <w:p w14:paraId="4494C855" w14:textId="487B2E5F" w:rsidR="009F7685" w:rsidRPr="00402700" w:rsidRDefault="008C49E3" w:rsidP="002C32CA">
      <w:pPr>
        <w:shd w:val="clear" w:color="auto" w:fill="FFFFFF"/>
        <w:tabs>
          <w:tab w:val="left" w:pos="965"/>
        </w:tabs>
        <w:jc w:val="both"/>
        <w:rPr>
          <w:noProof/>
          <w:sz w:val="22"/>
          <w:szCs w:val="22"/>
          <w:lang w:val="sr-Latn-CS"/>
        </w:rPr>
      </w:pPr>
      <w:r w:rsidRPr="00402700">
        <w:rPr>
          <w:noProof/>
          <w:sz w:val="22"/>
          <w:szCs w:val="22"/>
          <w:lang w:val="sr-Latn-CS"/>
        </w:rPr>
        <w:t xml:space="preserve">Lijek Myfortic ima manji uticaj </w:t>
      </w:r>
      <w:r w:rsidR="009F7685" w:rsidRPr="00402700">
        <w:rPr>
          <w:noProof/>
          <w:sz w:val="22"/>
          <w:szCs w:val="22"/>
          <w:lang w:val="sr-Latn-CS"/>
        </w:rPr>
        <w:t xml:space="preserve">na sposobnost upravljanja vozilima i rada na mašinama. </w:t>
      </w:r>
    </w:p>
    <w:p w14:paraId="07CAFA5E" w14:textId="77777777" w:rsidR="0072020E" w:rsidRPr="00402700" w:rsidRDefault="0072020E" w:rsidP="002C32CA">
      <w:pPr>
        <w:tabs>
          <w:tab w:val="left" w:pos="540"/>
          <w:tab w:val="left" w:pos="569"/>
        </w:tabs>
        <w:jc w:val="both"/>
        <w:rPr>
          <w:b/>
          <w:bCs/>
          <w:noProof/>
          <w:sz w:val="22"/>
          <w:szCs w:val="22"/>
          <w:lang w:val="sr-Latn-CS"/>
        </w:rPr>
      </w:pPr>
    </w:p>
    <w:p w14:paraId="10F3A225" w14:textId="6279028C"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4.8. </w:t>
      </w:r>
      <w:r w:rsidR="00480FB1" w:rsidRPr="00402700">
        <w:rPr>
          <w:b/>
          <w:bCs/>
          <w:noProof/>
          <w:sz w:val="22"/>
          <w:szCs w:val="22"/>
          <w:lang w:val="sr-Latn-CS"/>
        </w:rPr>
        <w:tab/>
      </w:r>
      <w:r w:rsidRPr="00402700">
        <w:rPr>
          <w:b/>
          <w:bCs/>
          <w:noProof/>
          <w:sz w:val="22"/>
          <w:szCs w:val="22"/>
          <w:lang w:val="sr-Latn-CS"/>
        </w:rPr>
        <w:t>Neželjena dejstva</w:t>
      </w:r>
    </w:p>
    <w:p w14:paraId="57639810" w14:textId="77777777" w:rsidR="007779BA" w:rsidRPr="00402700" w:rsidRDefault="007779BA" w:rsidP="002C32CA">
      <w:pPr>
        <w:tabs>
          <w:tab w:val="left" w:pos="540"/>
          <w:tab w:val="left" w:pos="569"/>
        </w:tabs>
        <w:jc w:val="both"/>
        <w:rPr>
          <w:b/>
          <w:bCs/>
          <w:noProof/>
          <w:sz w:val="22"/>
          <w:szCs w:val="22"/>
          <w:lang w:val="sr-Latn-CS"/>
        </w:rPr>
      </w:pPr>
    </w:p>
    <w:p w14:paraId="17AFC628" w14:textId="77777777" w:rsidR="009F7685" w:rsidRPr="00402700" w:rsidRDefault="009F7685" w:rsidP="002C32CA">
      <w:pPr>
        <w:shd w:val="clear" w:color="auto" w:fill="FFFFFF"/>
        <w:tabs>
          <w:tab w:val="left" w:pos="965"/>
        </w:tabs>
        <w:jc w:val="both"/>
        <w:rPr>
          <w:b/>
          <w:bCs/>
          <w:noProof/>
          <w:sz w:val="22"/>
          <w:szCs w:val="22"/>
          <w:lang w:val="sr-Latn-CS"/>
        </w:rPr>
      </w:pPr>
      <w:r w:rsidRPr="00402700">
        <w:rPr>
          <w:noProof/>
          <w:sz w:val="22"/>
          <w:szCs w:val="22"/>
          <w:lang w:val="sr-Latn-CS"/>
        </w:rPr>
        <w:t>Sljedeća neželjena dejstva obuhvataju neželjene reakcije na lijek iz kliničkih studija:</w:t>
      </w:r>
    </w:p>
    <w:p w14:paraId="35B51954" w14:textId="77777777" w:rsidR="002147C6" w:rsidRPr="00402700" w:rsidRDefault="002147C6" w:rsidP="002C32CA">
      <w:pPr>
        <w:shd w:val="clear" w:color="auto" w:fill="FFFFFF"/>
        <w:tabs>
          <w:tab w:val="left" w:pos="965"/>
        </w:tabs>
        <w:jc w:val="both"/>
        <w:rPr>
          <w:bCs/>
          <w:noProof/>
          <w:sz w:val="22"/>
          <w:szCs w:val="22"/>
          <w:u w:val="single"/>
          <w:lang w:val="sr-Latn-CS"/>
        </w:rPr>
      </w:pPr>
    </w:p>
    <w:p w14:paraId="4D519F42" w14:textId="42E3BC21" w:rsidR="009F7685" w:rsidRPr="00402700" w:rsidRDefault="009F7685" w:rsidP="002C32CA">
      <w:pPr>
        <w:shd w:val="clear" w:color="auto" w:fill="FFFFFF"/>
        <w:tabs>
          <w:tab w:val="left" w:pos="965"/>
        </w:tabs>
        <w:jc w:val="both"/>
        <w:rPr>
          <w:b/>
          <w:bCs/>
          <w:noProof/>
          <w:sz w:val="22"/>
          <w:szCs w:val="22"/>
          <w:lang w:val="sr-Latn-CS"/>
        </w:rPr>
      </w:pPr>
      <w:r w:rsidRPr="00402700">
        <w:rPr>
          <w:bCs/>
          <w:noProof/>
          <w:sz w:val="22"/>
          <w:szCs w:val="22"/>
          <w:u w:val="single"/>
          <w:lang w:val="sr-Latn-CS"/>
        </w:rPr>
        <w:t>Maligniteti</w:t>
      </w:r>
    </w:p>
    <w:p w14:paraId="4F577FB1" w14:textId="49D49BEC" w:rsidR="009F7685" w:rsidRPr="00402700" w:rsidRDefault="009F7685" w:rsidP="002C32CA">
      <w:pPr>
        <w:shd w:val="clear" w:color="auto" w:fill="FFFFFF"/>
        <w:tabs>
          <w:tab w:val="left" w:pos="965"/>
        </w:tabs>
        <w:jc w:val="both"/>
        <w:rPr>
          <w:bCs/>
          <w:noProof/>
          <w:sz w:val="22"/>
          <w:szCs w:val="22"/>
          <w:u w:val="single"/>
          <w:lang w:val="sr-Latn-CS"/>
        </w:rPr>
      </w:pPr>
      <w:r w:rsidRPr="00402700">
        <w:rPr>
          <w:noProof/>
          <w:sz w:val="22"/>
          <w:szCs w:val="22"/>
          <w:lang w:val="sr-Latn-CS"/>
        </w:rPr>
        <w:t xml:space="preserve">Pacijenti koji primaju imunosupresivnu terapiju sa kombinacijama ljekova, uključujući mikofenolnu kiselinu, izloženi su povećanom riziku od razvoja limfoma i drugih maligniteta, naročito kože (vidjeti </w:t>
      </w:r>
      <w:r w:rsidR="007779BA" w:rsidRPr="00402700">
        <w:rPr>
          <w:noProof/>
          <w:sz w:val="22"/>
          <w:szCs w:val="22"/>
          <w:lang w:val="sr-Latn-CS"/>
        </w:rPr>
        <w:t>dio</w:t>
      </w:r>
      <w:r w:rsidRPr="00402700">
        <w:rPr>
          <w:noProof/>
          <w:sz w:val="22"/>
          <w:szCs w:val="22"/>
          <w:lang w:val="sr-Latn-CS"/>
        </w:rPr>
        <w:t xml:space="preserve"> 4.4). Limfoproliferativna bolest ili limfom su se razvili kod 2 </w:t>
      </w:r>
      <w:r w:rsidRPr="00402700">
        <w:rPr>
          <w:i/>
          <w:noProof/>
          <w:sz w:val="22"/>
          <w:szCs w:val="22"/>
          <w:lang w:val="sr-Latn-CS"/>
        </w:rPr>
        <w:t>de novo</w:t>
      </w:r>
      <w:r w:rsidRPr="00402700">
        <w:rPr>
          <w:noProof/>
          <w:sz w:val="22"/>
          <w:szCs w:val="22"/>
          <w:lang w:val="sr-Latn-CS"/>
        </w:rPr>
        <w:t xml:space="preserve"> (0,9%) pacijenata i kod 2 pacijenta na terapiji održavanja (1,3%), koji su primali </w:t>
      </w:r>
      <w:r w:rsidR="00D86552" w:rsidRPr="00402700">
        <w:rPr>
          <w:noProof/>
          <w:sz w:val="22"/>
          <w:szCs w:val="22"/>
          <w:lang w:val="sr-Latn-CS"/>
        </w:rPr>
        <w:t xml:space="preserve">lijek </w:t>
      </w:r>
      <w:r w:rsidRPr="00402700">
        <w:rPr>
          <w:noProof/>
          <w:sz w:val="22"/>
          <w:szCs w:val="22"/>
          <w:lang w:val="sr-Latn-CS"/>
        </w:rPr>
        <w:t xml:space="preserve">Myfortic do jedne godine. Nemelanomski karcinomi kože javili su se kod 0,9% </w:t>
      </w:r>
      <w:r w:rsidRPr="00402700">
        <w:rPr>
          <w:i/>
          <w:noProof/>
          <w:sz w:val="22"/>
          <w:szCs w:val="22"/>
          <w:lang w:val="sr-Latn-CS"/>
        </w:rPr>
        <w:t>de novo</w:t>
      </w:r>
      <w:r w:rsidRPr="00402700">
        <w:rPr>
          <w:noProof/>
          <w:sz w:val="22"/>
          <w:szCs w:val="22"/>
          <w:lang w:val="sr-Latn-CS"/>
        </w:rPr>
        <w:t xml:space="preserve"> i 1,8% pacijenata na terapiji održavanja koji su primali </w:t>
      </w:r>
      <w:r w:rsidRPr="00402700">
        <w:rPr>
          <w:noProof/>
          <w:sz w:val="22"/>
          <w:szCs w:val="22"/>
          <w:lang w:val="sr-Latn-CS"/>
        </w:rPr>
        <w:lastRenderedPageBreak/>
        <w:t xml:space="preserve">Myfortic do jedne godine; ostali tipovi maligniteta javili su se kod 0,5% </w:t>
      </w:r>
      <w:r w:rsidRPr="00402700">
        <w:rPr>
          <w:i/>
          <w:noProof/>
          <w:sz w:val="22"/>
          <w:szCs w:val="22"/>
          <w:lang w:val="sr-Latn-CS"/>
        </w:rPr>
        <w:t>de novo</w:t>
      </w:r>
      <w:r w:rsidRPr="00402700">
        <w:rPr>
          <w:noProof/>
          <w:sz w:val="22"/>
          <w:szCs w:val="22"/>
          <w:lang w:val="sr-Latn-CS"/>
        </w:rPr>
        <w:t xml:space="preserve"> i 0,6% pacijenata na terapiji održavanja.</w:t>
      </w:r>
    </w:p>
    <w:p w14:paraId="4B8645E0" w14:textId="77777777" w:rsidR="002147C6" w:rsidRPr="00402700" w:rsidRDefault="002147C6" w:rsidP="002C32CA">
      <w:pPr>
        <w:shd w:val="clear" w:color="auto" w:fill="FFFFFF"/>
        <w:tabs>
          <w:tab w:val="left" w:pos="965"/>
        </w:tabs>
        <w:jc w:val="both"/>
        <w:rPr>
          <w:bCs/>
          <w:noProof/>
          <w:sz w:val="22"/>
          <w:szCs w:val="22"/>
          <w:u w:val="single"/>
          <w:lang w:val="sr-Latn-CS"/>
        </w:rPr>
      </w:pPr>
    </w:p>
    <w:p w14:paraId="6ACA8589" w14:textId="6701CF9A" w:rsidR="009F7685" w:rsidRPr="00402700" w:rsidRDefault="009F7685" w:rsidP="002C32CA">
      <w:pPr>
        <w:shd w:val="clear" w:color="auto" w:fill="FFFFFF"/>
        <w:tabs>
          <w:tab w:val="left" w:pos="965"/>
        </w:tabs>
        <w:jc w:val="both"/>
        <w:rPr>
          <w:noProof/>
          <w:sz w:val="22"/>
          <w:szCs w:val="22"/>
          <w:u w:val="single"/>
          <w:lang w:val="sr-Latn-CS"/>
        </w:rPr>
      </w:pPr>
      <w:r w:rsidRPr="00402700">
        <w:rPr>
          <w:bCs/>
          <w:noProof/>
          <w:sz w:val="22"/>
          <w:szCs w:val="22"/>
          <w:u w:val="single"/>
          <w:lang w:val="sr-Latn-CS"/>
        </w:rPr>
        <w:t>Oportunističke infekcije</w:t>
      </w:r>
    </w:p>
    <w:p w14:paraId="7671C99C" w14:textId="23B238D5"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Svi pacijenti sa transplantom izloženi su povećanom riziku od oportunističkih infekcija; rizik se povećavao sa ukupnim imunosupresivnim opterećenjem (vidjeti </w:t>
      </w:r>
      <w:r w:rsidR="007779BA" w:rsidRPr="00402700">
        <w:rPr>
          <w:noProof/>
          <w:sz w:val="22"/>
          <w:szCs w:val="22"/>
          <w:lang w:val="sr-Latn-CS"/>
        </w:rPr>
        <w:t>dio</w:t>
      </w:r>
      <w:r w:rsidRPr="00402700">
        <w:rPr>
          <w:noProof/>
          <w:sz w:val="22"/>
          <w:szCs w:val="22"/>
          <w:lang w:val="sr-Latn-CS"/>
        </w:rPr>
        <w:t xml:space="preserve"> 4.4). Najčešće oportunističke infekcije kod </w:t>
      </w:r>
      <w:r w:rsidRPr="00402700">
        <w:rPr>
          <w:i/>
          <w:noProof/>
          <w:sz w:val="22"/>
          <w:szCs w:val="22"/>
          <w:lang w:val="sr-Latn-CS"/>
        </w:rPr>
        <w:t xml:space="preserve">de novo </w:t>
      </w:r>
      <w:r w:rsidRPr="00402700">
        <w:rPr>
          <w:noProof/>
          <w:sz w:val="22"/>
          <w:szCs w:val="22"/>
          <w:lang w:val="sr-Latn-CS"/>
        </w:rPr>
        <w:t xml:space="preserve">pacijenata sa bubrežnim transplantom koji su primali </w:t>
      </w:r>
      <w:r w:rsidR="00D86552" w:rsidRPr="00402700">
        <w:rPr>
          <w:noProof/>
          <w:sz w:val="22"/>
          <w:szCs w:val="22"/>
          <w:lang w:val="sr-Latn-CS"/>
        </w:rPr>
        <w:t xml:space="preserve">lijek </w:t>
      </w:r>
      <w:r w:rsidRPr="00402700">
        <w:rPr>
          <w:noProof/>
          <w:sz w:val="22"/>
          <w:szCs w:val="22"/>
          <w:lang w:val="sr-Latn-CS"/>
        </w:rPr>
        <w:t>Myfortic sa drugim imunosupresivima, u kontrolisanim kliničkim studijama sa pacijentima sa bubrežnim transplantom, praćenim</w:t>
      </w:r>
      <w:r w:rsidR="00D86552" w:rsidRPr="00402700">
        <w:rPr>
          <w:noProof/>
          <w:sz w:val="22"/>
          <w:szCs w:val="22"/>
          <w:lang w:val="sr-Latn-CS"/>
        </w:rPr>
        <w:t xml:space="preserve"> jednu</w:t>
      </w:r>
      <w:r w:rsidRPr="00402700">
        <w:rPr>
          <w:noProof/>
          <w:sz w:val="22"/>
          <w:szCs w:val="22"/>
          <w:lang w:val="sr-Latn-CS"/>
        </w:rPr>
        <w:t xml:space="preserve"> godinu, bile su </w:t>
      </w:r>
      <w:r w:rsidR="00D86552" w:rsidRPr="00402700">
        <w:rPr>
          <w:noProof/>
          <w:sz w:val="22"/>
          <w:szCs w:val="22"/>
          <w:lang w:val="sr-Latn-CS"/>
        </w:rPr>
        <w:t>cit</w:t>
      </w:r>
      <w:r w:rsidR="00CA43C1" w:rsidRPr="00402700">
        <w:rPr>
          <w:noProof/>
          <w:sz w:val="22"/>
          <w:szCs w:val="22"/>
          <w:lang w:val="sr-Latn-CS"/>
        </w:rPr>
        <w:t>o</w:t>
      </w:r>
      <w:r w:rsidR="00D86552" w:rsidRPr="00402700">
        <w:rPr>
          <w:noProof/>
          <w:sz w:val="22"/>
          <w:szCs w:val="22"/>
          <w:lang w:val="sr-Latn-CS"/>
        </w:rPr>
        <w:t>megalovirus (</w:t>
      </w:r>
      <w:r w:rsidRPr="00402700">
        <w:rPr>
          <w:noProof/>
          <w:sz w:val="22"/>
          <w:szCs w:val="22"/>
          <w:lang w:val="sr-Latn-CS"/>
        </w:rPr>
        <w:t>CMV</w:t>
      </w:r>
      <w:r w:rsidR="00D86552" w:rsidRPr="00402700">
        <w:rPr>
          <w:noProof/>
          <w:sz w:val="22"/>
          <w:szCs w:val="22"/>
          <w:lang w:val="sr-Latn-CS"/>
        </w:rPr>
        <w:t>)</w:t>
      </w:r>
      <w:r w:rsidRPr="00402700">
        <w:rPr>
          <w:noProof/>
          <w:sz w:val="22"/>
          <w:szCs w:val="22"/>
          <w:lang w:val="sr-Latn-CS"/>
        </w:rPr>
        <w:t xml:space="preserve">, kandidijaza i herpes simpleks. CMV infekcije (serologija, viremija ili bolest) su </w:t>
      </w:r>
      <w:r w:rsidR="00D86552" w:rsidRPr="00402700">
        <w:rPr>
          <w:noProof/>
          <w:sz w:val="22"/>
          <w:szCs w:val="22"/>
          <w:lang w:val="sr-Latn-CS"/>
        </w:rPr>
        <w:t xml:space="preserve">bile </w:t>
      </w:r>
      <w:r w:rsidRPr="00402700">
        <w:rPr>
          <w:noProof/>
          <w:sz w:val="22"/>
          <w:szCs w:val="22"/>
          <w:lang w:val="sr-Latn-CS"/>
        </w:rPr>
        <w:t xml:space="preserve">prijavljene kod 21,6% </w:t>
      </w:r>
      <w:r w:rsidRPr="00402700">
        <w:rPr>
          <w:i/>
          <w:noProof/>
          <w:sz w:val="22"/>
          <w:szCs w:val="22"/>
          <w:lang w:val="sr-Latn-CS"/>
        </w:rPr>
        <w:t>de novo</w:t>
      </w:r>
      <w:r w:rsidRPr="00402700">
        <w:rPr>
          <w:noProof/>
          <w:sz w:val="22"/>
          <w:szCs w:val="22"/>
          <w:lang w:val="sr-Latn-CS"/>
        </w:rPr>
        <w:t xml:space="preserve"> i 1,9% pacijenata sa bubrežnim transplantom na terapiji održavanja.</w:t>
      </w:r>
    </w:p>
    <w:p w14:paraId="093998F2" w14:textId="77777777" w:rsidR="002147C6" w:rsidRPr="00402700" w:rsidRDefault="002147C6" w:rsidP="002C32CA">
      <w:pPr>
        <w:shd w:val="clear" w:color="auto" w:fill="FFFFFF"/>
        <w:tabs>
          <w:tab w:val="left" w:pos="965"/>
        </w:tabs>
        <w:jc w:val="both"/>
        <w:rPr>
          <w:bCs/>
          <w:noProof/>
          <w:sz w:val="22"/>
          <w:szCs w:val="22"/>
          <w:u w:val="single"/>
          <w:lang w:val="sr-Latn-CS"/>
        </w:rPr>
      </w:pPr>
    </w:p>
    <w:p w14:paraId="065054CB" w14:textId="41378016" w:rsidR="009F7685" w:rsidRPr="00402700" w:rsidRDefault="009F7685" w:rsidP="002C32CA">
      <w:pPr>
        <w:shd w:val="clear" w:color="auto" w:fill="FFFFFF"/>
        <w:tabs>
          <w:tab w:val="left" w:pos="965"/>
        </w:tabs>
        <w:jc w:val="both"/>
        <w:rPr>
          <w:noProof/>
          <w:sz w:val="22"/>
          <w:szCs w:val="22"/>
          <w:u w:val="single"/>
          <w:lang w:val="sr-Latn-CS"/>
        </w:rPr>
      </w:pPr>
      <w:r w:rsidRPr="00402700">
        <w:rPr>
          <w:bCs/>
          <w:noProof/>
          <w:sz w:val="22"/>
          <w:szCs w:val="22"/>
          <w:u w:val="single"/>
          <w:lang w:val="sr-Latn-CS"/>
        </w:rPr>
        <w:t>Stariji pacijenti</w:t>
      </w:r>
    </w:p>
    <w:p w14:paraId="52D1B19B" w14:textId="4F05681C"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Stariji pacijenti generalno imaju veći rizik od neželjenih </w:t>
      </w:r>
      <w:r w:rsidR="00D86552" w:rsidRPr="00402700">
        <w:rPr>
          <w:noProof/>
          <w:sz w:val="22"/>
          <w:szCs w:val="22"/>
          <w:lang w:val="sr-Latn-CS"/>
        </w:rPr>
        <w:t>reakcija</w:t>
      </w:r>
      <w:r w:rsidRPr="00402700">
        <w:rPr>
          <w:noProof/>
          <w:sz w:val="22"/>
          <w:szCs w:val="22"/>
          <w:lang w:val="sr-Latn-CS"/>
        </w:rPr>
        <w:t xml:space="preserve"> </w:t>
      </w:r>
      <w:r w:rsidR="006F105F" w:rsidRPr="00402700">
        <w:rPr>
          <w:noProof/>
          <w:sz w:val="22"/>
          <w:szCs w:val="22"/>
          <w:lang w:val="sr-Latn-CS"/>
        </w:rPr>
        <w:t xml:space="preserve">na </w:t>
      </w:r>
      <w:r w:rsidRPr="00402700">
        <w:rPr>
          <w:noProof/>
          <w:sz w:val="22"/>
          <w:szCs w:val="22"/>
          <w:lang w:val="sr-Latn-CS"/>
        </w:rPr>
        <w:t xml:space="preserve">lijek zbog imunosupresije. </w:t>
      </w:r>
    </w:p>
    <w:p w14:paraId="0B94F66D" w14:textId="77777777" w:rsidR="00D86552" w:rsidRPr="00402700" w:rsidRDefault="00D86552" w:rsidP="002C32CA">
      <w:pPr>
        <w:shd w:val="clear" w:color="auto" w:fill="FFFFFF"/>
        <w:tabs>
          <w:tab w:val="left" w:pos="965"/>
        </w:tabs>
        <w:jc w:val="both"/>
        <w:rPr>
          <w:bCs/>
          <w:noProof/>
          <w:sz w:val="22"/>
          <w:szCs w:val="22"/>
          <w:u w:val="single"/>
          <w:lang w:val="sr-Latn-CS"/>
        </w:rPr>
      </w:pPr>
    </w:p>
    <w:p w14:paraId="3B4534A3" w14:textId="5A4B0894" w:rsidR="009F7685" w:rsidRPr="00402700" w:rsidRDefault="009F7685" w:rsidP="002C32CA">
      <w:pPr>
        <w:shd w:val="clear" w:color="auto" w:fill="FFFFFF"/>
        <w:tabs>
          <w:tab w:val="left" w:pos="965"/>
        </w:tabs>
        <w:jc w:val="both"/>
        <w:rPr>
          <w:bCs/>
          <w:noProof/>
          <w:sz w:val="22"/>
          <w:szCs w:val="22"/>
          <w:u w:val="single"/>
          <w:lang w:val="sr-Latn-CS"/>
        </w:rPr>
      </w:pPr>
      <w:r w:rsidRPr="00402700">
        <w:rPr>
          <w:bCs/>
          <w:noProof/>
          <w:sz w:val="22"/>
          <w:szCs w:val="22"/>
          <w:u w:val="single"/>
          <w:lang w:val="sr-Latn-CS"/>
        </w:rPr>
        <w:t>Ostale neželjene reakcije na lijek</w:t>
      </w:r>
    </w:p>
    <w:p w14:paraId="69011AA4" w14:textId="77777777" w:rsidR="009F7685" w:rsidRPr="00402700" w:rsidRDefault="009F7685" w:rsidP="002C32CA">
      <w:pPr>
        <w:shd w:val="clear" w:color="auto" w:fill="FFFFFF"/>
        <w:tabs>
          <w:tab w:val="left" w:pos="965"/>
        </w:tabs>
        <w:jc w:val="both"/>
        <w:rPr>
          <w:bCs/>
          <w:noProof/>
          <w:sz w:val="22"/>
          <w:szCs w:val="22"/>
          <w:u w:val="single"/>
          <w:lang w:val="sr-Latn-CS"/>
        </w:rPr>
      </w:pPr>
    </w:p>
    <w:p w14:paraId="6A680614" w14:textId="51D23729" w:rsidR="009F7685" w:rsidRPr="00402700" w:rsidRDefault="009F7685" w:rsidP="002C32CA">
      <w:pPr>
        <w:shd w:val="clear" w:color="auto" w:fill="FFFFFF"/>
        <w:ind w:left="17"/>
        <w:jc w:val="both"/>
        <w:rPr>
          <w:noProof/>
          <w:sz w:val="22"/>
          <w:szCs w:val="22"/>
          <w:lang w:val="sr-Latn-CS"/>
        </w:rPr>
      </w:pPr>
      <w:r w:rsidRPr="00402700">
        <w:rPr>
          <w:bCs/>
          <w:noProof/>
          <w:sz w:val="22"/>
          <w:szCs w:val="22"/>
          <w:lang w:val="sr-Latn-CS"/>
        </w:rPr>
        <w:t>Tabela 1 sadrži</w:t>
      </w:r>
      <w:r w:rsidRPr="00402700">
        <w:rPr>
          <w:noProof/>
          <w:sz w:val="22"/>
          <w:szCs w:val="22"/>
          <w:lang w:val="sr-Latn-CS"/>
        </w:rPr>
        <w:t xml:space="preserve"> neželjene reakcije za koje se smatra da su moguće ili vjerovatno vezane sa primjenom  lijeka Myfortic, a koje su zabilježene u kontrolisanim kliničkim ispitivanjima, kod pacijenata sa presađenim bubregom, gde je lijek Myfortic primjenjivan u dozi od 1440 mg/dan tokom 12 mjeseci, zajedno sa ciklosporin mikroemulzijom i kortikosteroidima. Sastavljena je prema sistemima organa u skladu sa MedDRA klasifikacijom.</w:t>
      </w:r>
    </w:p>
    <w:p w14:paraId="33BE1AD0" w14:textId="77777777" w:rsidR="009F7685" w:rsidRPr="00402700" w:rsidRDefault="009F7685" w:rsidP="002C32CA">
      <w:pPr>
        <w:shd w:val="clear" w:color="auto" w:fill="FFFFFF"/>
        <w:ind w:left="17"/>
        <w:jc w:val="both"/>
        <w:rPr>
          <w:noProof/>
          <w:sz w:val="22"/>
          <w:szCs w:val="22"/>
          <w:lang w:val="sr-Latn-CS"/>
        </w:rPr>
      </w:pPr>
    </w:p>
    <w:p w14:paraId="1F176678" w14:textId="7777777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Neželjene reakcije su razvrstane prema sljedećim kategorijama:</w:t>
      </w:r>
    </w:p>
    <w:p w14:paraId="5FC2D951" w14:textId="52EBD8F8"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Veoma česte (≥1/10)</w:t>
      </w:r>
    </w:p>
    <w:p w14:paraId="5117DC74" w14:textId="4D0493E1"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Česte</w:t>
      </w:r>
      <w:r w:rsidR="000F7753" w:rsidRPr="00402700">
        <w:rPr>
          <w:noProof/>
          <w:sz w:val="22"/>
          <w:szCs w:val="22"/>
          <w:lang w:val="sr-Latn-CS"/>
        </w:rPr>
        <w:t xml:space="preserve"> </w:t>
      </w:r>
      <w:r w:rsidRPr="00402700">
        <w:rPr>
          <w:noProof/>
          <w:sz w:val="22"/>
          <w:szCs w:val="22"/>
          <w:lang w:val="sr-Latn-CS"/>
        </w:rPr>
        <w:t>(≥ 1/100 i &lt; 1/10)</w:t>
      </w:r>
    </w:p>
    <w:p w14:paraId="1B713ACA" w14:textId="7777777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Povremene (≥ 1/1000 i &lt; 1/100)</w:t>
      </w:r>
    </w:p>
    <w:p w14:paraId="61E91965" w14:textId="6CEE1DB3"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Rijetke</w:t>
      </w:r>
      <w:r w:rsidR="000F7753" w:rsidRPr="00402700">
        <w:rPr>
          <w:noProof/>
          <w:sz w:val="22"/>
          <w:szCs w:val="22"/>
          <w:lang w:val="sr-Latn-CS"/>
        </w:rPr>
        <w:t xml:space="preserve"> </w:t>
      </w:r>
      <w:r w:rsidRPr="00402700">
        <w:rPr>
          <w:noProof/>
          <w:sz w:val="22"/>
          <w:szCs w:val="22"/>
          <w:lang w:val="sr-Latn-CS"/>
        </w:rPr>
        <w:t>(≥1/10 000 i &lt;1/1000)</w:t>
      </w:r>
    </w:p>
    <w:p w14:paraId="3A52BE66" w14:textId="55010ED7"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Veoma rijetke</w:t>
      </w:r>
      <w:r w:rsidR="000F7753" w:rsidRPr="00402700">
        <w:rPr>
          <w:noProof/>
          <w:sz w:val="22"/>
          <w:szCs w:val="22"/>
          <w:lang w:val="sr-Latn-CS"/>
        </w:rPr>
        <w:t xml:space="preserve"> </w:t>
      </w:r>
      <w:r w:rsidRPr="00402700">
        <w:rPr>
          <w:noProof/>
          <w:sz w:val="22"/>
          <w:szCs w:val="22"/>
          <w:lang w:val="sr-Latn-CS"/>
        </w:rPr>
        <w:t>(≥ 1/10 000)</w:t>
      </w:r>
    </w:p>
    <w:p w14:paraId="7DB2E4A8" w14:textId="77777777" w:rsidR="009F7685" w:rsidRPr="00402700" w:rsidRDefault="009F7685" w:rsidP="007779BA">
      <w:pPr>
        <w:shd w:val="clear" w:color="auto" w:fill="FFFFFF"/>
        <w:tabs>
          <w:tab w:val="left" w:pos="965"/>
        </w:tabs>
        <w:rPr>
          <w:noProof/>
          <w:sz w:val="22"/>
          <w:szCs w:val="22"/>
          <w:lang w:val="sr-Latn-CS"/>
        </w:rPr>
      </w:pPr>
    </w:p>
    <w:p w14:paraId="135F193D" w14:textId="77777777" w:rsidR="009F7685" w:rsidRPr="00402700" w:rsidRDefault="009F7685" w:rsidP="007779BA">
      <w:pPr>
        <w:shd w:val="clear" w:color="auto" w:fill="FFFFFF"/>
        <w:tabs>
          <w:tab w:val="left" w:pos="965"/>
        </w:tabs>
        <w:rPr>
          <w:b/>
          <w:noProof/>
          <w:sz w:val="22"/>
          <w:szCs w:val="22"/>
          <w:lang w:val="sr-Latn-CS"/>
        </w:rPr>
      </w:pPr>
      <w:r w:rsidRPr="00402700">
        <w:rPr>
          <w:b/>
          <w:noProof/>
          <w:sz w:val="22"/>
          <w:szCs w:val="22"/>
          <w:lang w:val="sr-Latn-CS"/>
        </w:rPr>
        <w:t>Tabela 1</w:t>
      </w:r>
    </w:p>
    <w:tbl>
      <w:tblPr>
        <w:tblW w:w="5000" w:type="pct"/>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410"/>
        <w:gridCol w:w="7647"/>
      </w:tblGrid>
      <w:tr w:rsidR="009F7685" w:rsidRPr="00402700" w14:paraId="411B4687" w14:textId="77777777" w:rsidTr="002D4B9C">
        <w:trPr>
          <w:tblCellSpacing w:w="0" w:type="dxa"/>
        </w:trPr>
        <w:tc>
          <w:tcPr>
            <w:tcW w:w="9057" w:type="dxa"/>
            <w:gridSpan w:val="2"/>
          </w:tcPr>
          <w:p w14:paraId="4257E5E4" w14:textId="77777777" w:rsidR="009F7685" w:rsidRPr="00402700" w:rsidRDefault="009F7685" w:rsidP="007779BA">
            <w:pPr>
              <w:rPr>
                <w:noProof/>
                <w:color w:val="000000"/>
                <w:sz w:val="22"/>
                <w:szCs w:val="22"/>
                <w:lang w:val="sr-Latn-CS"/>
              </w:rPr>
            </w:pPr>
            <w:r w:rsidRPr="00402700">
              <w:rPr>
                <w:b/>
                <w:bCs/>
                <w:noProof/>
                <w:sz w:val="22"/>
                <w:szCs w:val="22"/>
                <w:lang w:val="sr-Latn-CS"/>
              </w:rPr>
              <w:t>Infekcije i infestacije</w:t>
            </w:r>
          </w:p>
        </w:tc>
      </w:tr>
      <w:tr w:rsidR="009F7685" w:rsidRPr="00402700" w14:paraId="03A65D91" w14:textId="77777777" w:rsidTr="002D4B9C">
        <w:trPr>
          <w:tblCellSpacing w:w="0" w:type="dxa"/>
        </w:trPr>
        <w:tc>
          <w:tcPr>
            <w:tcW w:w="1410" w:type="dxa"/>
          </w:tcPr>
          <w:p w14:paraId="4E6D75B2"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Veoma česte </w:t>
            </w:r>
          </w:p>
        </w:tc>
        <w:tc>
          <w:tcPr>
            <w:tcW w:w="7647" w:type="dxa"/>
          </w:tcPr>
          <w:p w14:paraId="58490089" w14:textId="77777777" w:rsidR="009F7685" w:rsidRPr="00402700" w:rsidRDefault="009F7685" w:rsidP="007779BA">
            <w:pPr>
              <w:rPr>
                <w:noProof/>
                <w:color w:val="000000"/>
                <w:sz w:val="22"/>
                <w:szCs w:val="22"/>
                <w:lang w:val="sr-Latn-CS"/>
              </w:rPr>
            </w:pPr>
            <w:r w:rsidRPr="00402700">
              <w:rPr>
                <w:noProof/>
                <w:sz w:val="22"/>
                <w:szCs w:val="22"/>
                <w:lang w:val="sr-Latn-CS"/>
              </w:rPr>
              <w:t>Virusne, bakterijske i gljivične infekcije</w:t>
            </w:r>
          </w:p>
        </w:tc>
      </w:tr>
      <w:tr w:rsidR="009F7685" w:rsidRPr="00402700" w14:paraId="762A18B2" w14:textId="77777777" w:rsidTr="002D4B9C">
        <w:trPr>
          <w:tblCellSpacing w:w="0" w:type="dxa"/>
        </w:trPr>
        <w:tc>
          <w:tcPr>
            <w:tcW w:w="1410" w:type="dxa"/>
          </w:tcPr>
          <w:p w14:paraId="20603654"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26110644" w14:textId="77777777" w:rsidR="009F7685" w:rsidRPr="00402700" w:rsidRDefault="009F7685" w:rsidP="007779BA">
            <w:pPr>
              <w:rPr>
                <w:noProof/>
                <w:color w:val="000000"/>
                <w:sz w:val="22"/>
                <w:szCs w:val="22"/>
                <w:lang w:val="sr-Latn-CS"/>
              </w:rPr>
            </w:pPr>
            <w:r w:rsidRPr="00402700">
              <w:rPr>
                <w:noProof/>
                <w:sz w:val="22"/>
                <w:szCs w:val="22"/>
                <w:lang w:val="sr-Latn-CS"/>
              </w:rPr>
              <w:t>Infekcije gornjeg respiratornog trakta, pneumonija</w:t>
            </w:r>
          </w:p>
        </w:tc>
      </w:tr>
      <w:tr w:rsidR="009F7685" w:rsidRPr="00402700" w14:paraId="460FA803" w14:textId="77777777" w:rsidTr="002D4B9C">
        <w:trPr>
          <w:tblCellSpacing w:w="0" w:type="dxa"/>
        </w:trPr>
        <w:tc>
          <w:tcPr>
            <w:tcW w:w="1410" w:type="dxa"/>
          </w:tcPr>
          <w:p w14:paraId="48025522"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1C88C58E" w14:textId="77777777" w:rsidR="009F7685" w:rsidRPr="00402700" w:rsidRDefault="009F7685" w:rsidP="007779BA">
            <w:pPr>
              <w:rPr>
                <w:noProof/>
                <w:color w:val="000000"/>
                <w:sz w:val="22"/>
                <w:szCs w:val="22"/>
                <w:lang w:val="sr-Latn-CS"/>
              </w:rPr>
            </w:pPr>
            <w:r w:rsidRPr="00402700">
              <w:rPr>
                <w:noProof/>
                <w:sz w:val="22"/>
                <w:szCs w:val="22"/>
                <w:lang w:val="sr-Latn-CS"/>
              </w:rPr>
              <w:t>Infekcija rane, sepsa*, osteomijelitis*</w:t>
            </w:r>
          </w:p>
        </w:tc>
      </w:tr>
      <w:tr w:rsidR="009F7685" w:rsidRPr="00402700" w14:paraId="4EF99EA7" w14:textId="77777777" w:rsidTr="002D4B9C">
        <w:trPr>
          <w:tblCellSpacing w:w="0" w:type="dxa"/>
        </w:trPr>
        <w:tc>
          <w:tcPr>
            <w:tcW w:w="9057" w:type="dxa"/>
            <w:gridSpan w:val="2"/>
          </w:tcPr>
          <w:p w14:paraId="61AD433E" w14:textId="77777777" w:rsidR="009F7685" w:rsidRPr="00402700" w:rsidRDefault="009F7685" w:rsidP="007779BA">
            <w:pPr>
              <w:rPr>
                <w:noProof/>
                <w:color w:val="000000"/>
                <w:sz w:val="22"/>
                <w:szCs w:val="22"/>
                <w:lang w:val="sr-Latn-CS"/>
              </w:rPr>
            </w:pPr>
            <w:r w:rsidRPr="00402700">
              <w:rPr>
                <w:b/>
                <w:bCs/>
                <w:noProof/>
                <w:sz w:val="22"/>
                <w:szCs w:val="22"/>
                <w:lang w:val="sr-Latn-CS"/>
              </w:rPr>
              <w:t>Neoplazme - benigne, maligne i neodređene (uključujući ciste i polipe)</w:t>
            </w:r>
          </w:p>
        </w:tc>
      </w:tr>
      <w:tr w:rsidR="009F7685" w:rsidRPr="00402700" w14:paraId="647BDBEB" w14:textId="77777777" w:rsidTr="002D4B9C">
        <w:trPr>
          <w:tblCellSpacing w:w="0" w:type="dxa"/>
        </w:trPr>
        <w:tc>
          <w:tcPr>
            <w:tcW w:w="1410" w:type="dxa"/>
          </w:tcPr>
          <w:p w14:paraId="5948538B"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46B9E465" w14:textId="4E8758F7" w:rsidR="009F7685" w:rsidRPr="00402700" w:rsidRDefault="009F7685" w:rsidP="007779BA">
            <w:pPr>
              <w:rPr>
                <w:noProof/>
                <w:color w:val="000000"/>
                <w:sz w:val="22"/>
                <w:szCs w:val="22"/>
                <w:lang w:val="sr-Latn-CS"/>
              </w:rPr>
            </w:pPr>
            <w:r w:rsidRPr="00402700">
              <w:rPr>
                <w:noProof/>
                <w:sz w:val="22"/>
                <w:szCs w:val="22"/>
                <w:lang w:val="sr-Latn-CS"/>
              </w:rPr>
              <w:t>Papilom kože *</w:t>
            </w:r>
            <w:r w:rsidR="00D86552" w:rsidRPr="00402700">
              <w:rPr>
                <w:noProof/>
                <w:sz w:val="22"/>
                <w:szCs w:val="22"/>
                <w:lang w:val="sr-Latn-CS"/>
              </w:rPr>
              <w:t>,</w:t>
            </w:r>
            <w:r w:rsidRPr="00402700">
              <w:rPr>
                <w:noProof/>
                <w:sz w:val="22"/>
                <w:szCs w:val="22"/>
                <w:lang w:val="sr-Latn-CS"/>
              </w:rPr>
              <w:t xml:space="preserve"> bazocelularni karcinom*, Kapošijev sarkom*, limfoproliferativni poremećaj, karcinom skvamoznih ćelija*</w:t>
            </w:r>
          </w:p>
        </w:tc>
      </w:tr>
      <w:tr w:rsidR="009F7685" w:rsidRPr="00402700" w14:paraId="5B468F09" w14:textId="77777777" w:rsidTr="002D4B9C">
        <w:trPr>
          <w:tblCellSpacing w:w="0" w:type="dxa"/>
        </w:trPr>
        <w:tc>
          <w:tcPr>
            <w:tcW w:w="9057" w:type="dxa"/>
            <w:gridSpan w:val="2"/>
          </w:tcPr>
          <w:p w14:paraId="7EB0AF6B"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krvi i limfnog sistema</w:t>
            </w:r>
          </w:p>
        </w:tc>
      </w:tr>
      <w:tr w:rsidR="009F7685" w:rsidRPr="00402700" w14:paraId="008E0696" w14:textId="77777777" w:rsidTr="002D4B9C">
        <w:trPr>
          <w:tblCellSpacing w:w="0" w:type="dxa"/>
        </w:trPr>
        <w:tc>
          <w:tcPr>
            <w:tcW w:w="1410" w:type="dxa"/>
          </w:tcPr>
          <w:p w14:paraId="3CEA2D27"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Veoma česte</w:t>
            </w:r>
          </w:p>
        </w:tc>
        <w:tc>
          <w:tcPr>
            <w:tcW w:w="7647" w:type="dxa"/>
          </w:tcPr>
          <w:p w14:paraId="7ED305AF" w14:textId="77777777" w:rsidR="009F7685" w:rsidRPr="00402700" w:rsidRDefault="009F7685" w:rsidP="007779BA">
            <w:pPr>
              <w:rPr>
                <w:noProof/>
                <w:color w:val="000000"/>
                <w:sz w:val="22"/>
                <w:szCs w:val="22"/>
                <w:lang w:val="sr-Latn-CS"/>
              </w:rPr>
            </w:pPr>
            <w:r w:rsidRPr="00402700">
              <w:rPr>
                <w:noProof/>
                <w:sz w:val="22"/>
                <w:szCs w:val="22"/>
                <w:lang w:val="sr-Latn-CS"/>
              </w:rPr>
              <w:t>Leukopenija</w:t>
            </w:r>
          </w:p>
        </w:tc>
      </w:tr>
      <w:tr w:rsidR="009F7685" w:rsidRPr="00402700" w14:paraId="3CF8D37D" w14:textId="77777777" w:rsidTr="002D4B9C">
        <w:trPr>
          <w:tblCellSpacing w:w="0" w:type="dxa"/>
        </w:trPr>
        <w:tc>
          <w:tcPr>
            <w:tcW w:w="1410" w:type="dxa"/>
          </w:tcPr>
          <w:p w14:paraId="639F4D48"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7164A41D" w14:textId="77777777" w:rsidR="009F7685" w:rsidRPr="00402700" w:rsidRDefault="009F7685" w:rsidP="007779BA">
            <w:pPr>
              <w:rPr>
                <w:noProof/>
                <w:color w:val="000000"/>
                <w:sz w:val="22"/>
                <w:szCs w:val="22"/>
                <w:lang w:val="sr-Latn-CS"/>
              </w:rPr>
            </w:pPr>
            <w:r w:rsidRPr="00402700">
              <w:rPr>
                <w:noProof/>
                <w:sz w:val="22"/>
                <w:szCs w:val="22"/>
                <w:lang w:val="sr-Latn-CS"/>
              </w:rPr>
              <w:t>Anemija, trombocitopenija</w:t>
            </w:r>
          </w:p>
        </w:tc>
      </w:tr>
      <w:tr w:rsidR="009F7685" w:rsidRPr="00402700" w14:paraId="00DBC2BF" w14:textId="77777777" w:rsidTr="002D4B9C">
        <w:trPr>
          <w:tblCellSpacing w:w="0" w:type="dxa"/>
        </w:trPr>
        <w:tc>
          <w:tcPr>
            <w:tcW w:w="1410" w:type="dxa"/>
          </w:tcPr>
          <w:p w14:paraId="30D62C11"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236550DC" w14:textId="77777777" w:rsidR="009F7685" w:rsidRPr="00402700" w:rsidRDefault="009F7685" w:rsidP="007779BA">
            <w:pPr>
              <w:rPr>
                <w:noProof/>
                <w:color w:val="000000"/>
                <w:sz w:val="22"/>
                <w:szCs w:val="22"/>
                <w:lang w:val="sr-Latn-CS"/>
              </w:rPr>
            </w:pPr>
            <w:r w:rsidRPr="00402700">
              <w:rPr>
                <w:noProof/>
                <w:sz w:val="22"/>
                <w:szCs w:val="22"/>
                <w:lang w:val="sr-Latn-CS"/>
              </w:rPr>
              <w:t>Limfopenija*, neutropenija*, limfadenopatija*</w:t>
            </w:r>
          </w:p>
        </w:tc>
      </w:tr>
      <w:tr w:rsidR="009F7685" w:rsidRPr="00402700" w14:paraId="41C3873F" w14:textId="77777777" w:rsidTr="002D4B9C">
        <w:trPr>
          <w:tblCellSpacing w:w="0" w:type="dxa"/>
        </w:trPr>
        <w:tc>
          <w:tcPr>
            <w:tcW w:w="9057" w:type="dxa"/>
            <w:gridSpan w:val="2"/>
          </w:tcPr>
          <w:p w14:paraId="09CABD0E"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metabolizma i ishrane</w:t>
            </w:r>
          </w:p>
        </w:tc>
      </w:tr>
      <w:tr w:rsidR="009F7685" w:rsidRPr="00402700" w14:paraId="2218058D" w14:textId="77777777" w:rsidTr="002D4B9C">
        <w:trPr>
          <w:tblCellSpacing w:w="0" w:type="dxa"/>
        </w:trPr>
        <w:tc>
          <w:tcPr>
            <w:tcW w:w="1410" w:type="dxa"/>
          </w:tcPr>
          <w:p w14:paraId="052853F8" w14:textId="77777777" w:rsidR="009F7685" w:rsidRPr="00402700" w:rsidRDefault="009F7685" w:rsidP="007779BA">
            <w:pPr>
              <w:rPr>
                <w:b/>
                <w:bCs/>
                <w:noProof/>
                <w:sz w:val="22"/>
                <w:szCs w:val="22"/>
                <w:lang w:val="sr-Latn-CS"/>
              </w:rPr>
            </w:pPr>
            <w:r w:rsidRPr="00402700">
              <w:rPr>
                <w:bCs/>
                <w:noProof/>
                <w:sz w:val="22"/>
                <w:szCs w:val="22"/>
                <w:lang w:val="sr-Latn-CS"/>
              </w:rPr>
              <w:t>Veoma česte</w:t>
            </w:r>
          </w:p>
        </w:tc>
        <w:tc>
          <w:tcPr>
            <w:tcW w:w="7647" w:type="dxa"/>
          </w:tcPr>
          <w:p w14:paraId="772A053E" w14:textId="06A1EB24" w:rsidR="009F7685" w:rsidRPr="00402700" w:rsidRDefault="009F7685" w:rsidP="007779BA">
            <w:pPr>
              <w:rPr>
                <w:b/>
                <w:bCs/>
                <w:noProof/>
                <w:sz w:val="22"/>
                <w:szCs w:val="22"/>
                <w:lang w:val="sr-Latn-CS"/>
              </w:rPr>
            </w:pPr>
            <w:r w:rsidRPr="00402700">
              <w:rPr>
                <w:bCs/>
                <w:noProof/>
                <w:sz w:val="22"/>
                <w:szCs w:val="22"/>
                <w:lang w:val="sr-Latn-CS"/>
              </w:rPr>
              <w:t xml:space="preserve">Hipoklacemija, hipokalemija, hiperurikemija </w:t>
            </w:r>
          </w:p>
        </w:tc>
      </w:tr>
      <w:tr w:rsidR="009F7685" w:rsidRPr="00402700" w14:paraId="06A6C41C" w14:textId="77777777" w:rsidTr="002D4B9C">
        <w:trPr>
          <w:tblCellSpacing w:w="0" w:type="dxa"/>
        </w:trPr>
        <w:tc>
          <w:tcPr>
            <w:tcW w:w="1410" w:type="dxa"/>
          </w:tcPr>
          <w:p w14:paraId="0E99A69A" w14:textId="77777777" w:rsidR="009F7685" w:rsidRPr="00402700" w:rsidRDefault="009F7685" w:rsidP="007779BA">
            <w:pPr>
              <w:rPr>
                <w:b/>
                <w:bCs/>
                <w:noProof/>
                <w:sz w:val="22"/>
                <w:szCs w:val="22"/>
                <w:lang w:val="sr-Latn-CS"/>
              </w:rPr>
            </w:pPr>
            <w:r w:rsidRPr="00402700">
              <w:rPr>
                <w:bCs/>
                <w:noProof/>
                <w:sz w:val="22"/>
                <w:szCs w:val="22"/>
                <w:lang w:val="sr-Latn-CS"/>
              </w:rPr>
              <w:t xml:space="preserve">Česte </w:t>
            </w:r>
          </w:p>
        </w:tc>
        <w:tc>
          <w:tcPr>
            <w:tcW w:w="7647" w:type="dxa"/>
          </w:tcPr>
          <w:p w14:paraId="37991426" w14:textId="3A9E861A" w:rsidR="009F7685" w:rsidRPr="00402700" w:rsidRDefault="009F7685" w:rsidP="007779BA">
            <w:pPr>
              <w:rPr>
                <w:b/>
                <w:bCs/>
                <w:noProof/>
                <w:sz w:val="22"/>
                <w:szCs w:val="22"/>
                <w:lang w:val="sr-Latn-CS"/>
              </w:rPr>
            </w:pPr>
            <w:r w:rsidRPr="00402700">
              <w:rPr>
                <w:bCs/>
                <w:noProof/>
                <w:sz w:val="22"/>
                <w:szCs w:val="22"/>
                <w:lang w:val="sr-Latn-CS"/>
              </w:rPr>
              <w:t xml:space="preserve">Hiperkalemija, hipomagnezemija </w:t>
            </w:r>
          </w:p>
        </w:tc>
      </w:tr>
      <w:tr w:rsidR="009F7685" w:rsidRPr="00402700" w14:paraId="2EBEF299" w14:textId="77777777" w:rsidTr="002D4B9C">
        <w:trPr>
          <w:tblCellSpacing w:w="0" w:type="dxa"/>
        </w:trPr>
        <w:tc>
          <w:tcPr>
            <w:tcW w:w="1410" w:type="dxa"/>
          </w:tcPr>
          <w:p w14:paraId="46BE1288"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04D9B344" w14:textId="77777777" w:rsidR="009F7685" w:rsidRPr="00402700" w:rsidRDefault="009F7685" w:rsidP="007779BA">
            <w:pPr>
              <w:rPr>
                <w:noProof/>
                <w:color w:val="000000"/>
                <w:sz w:val="22"/>
                <w:szCs w:val="22"/>
                <w:lang w:val="sr-Latn-CS"/>
              </w:rPr>
            </w:pPr>
            <w:r w:rsidRPr="00402700">
              <w:rPr>
                <w:noProof/>
                <w:sz w:val="22"/>
                <w:szCs w:val="22"/>
                <w:lang w:val="sr-Latn-CS"/>
              </w:rPr>
              <w:t>Anoreksija, hiperlipidemija, dijabetes melitus*, hiperholesterolemija*, hipofosfatemija</w:t>
            </w:r>
          </w:p>
        </w:tc>
      </w:tr>
      <w:tr w:rsidR="009F7685" w:rsidRPr="00402700" w14:paraId="7FE91D2A" w14:textId="77777777" w:rsidTr="002D4B9C">
        <w:trPr>
          <w:tblCellSpacing w:w="0" w:type="dxa"/>
        </w:trPr>
        <w:tc>
          <w:tcPr>
            <w:tcW w:w="9057" w:type="dxa"/>
            <w:gridSpan w:val="2"/>
          </w:tcPr>
          <w:p w14:paraId="6E6DA894" w14:textId="77777777" w:rsidR="009F7685" w:rsidRPr="00402700" w:rsidRDefault="009F7685" w:rsidP="007779BA">
            <w:pPr>
              <w:shd w:val="clear" w:color="auto" w:fill="FFFFFF"/>
              <w:ind w:right="-873"/>
              <w:rPr>
                <w:b/>
                <w:bCs/>
                <w:noProof/>
                <w:sz w:val="22"/>
                <w:szCs w:val="22"/>
                <w:lang w:val="sr-Latn-CS"/>
              </w:rPr>
            </w:pPr>
            <w:r w:rsidRPr="00402700">
              <w:rPr>
                <w:b/>
                <w:bCs/>
                <w:noProof/>
                <w:sz w:val="22"/>
                <w:szCs w:val="22"/>
                <w:lang w:val="sr-Latn-CS"/>
              </w:rPr>
              <w:t xml:space="preserve">Psihijatrijski poremećaji </w:t>
            </w:r>
          </w:p>
        </w:tc>
      </w:tr>
      <w:tr w:rsidR="009F7685" w:rsidRPr="00402700" w14:paraId="5FA43633" w14:textId="77777777" w:rsidTr="002D4B9C">
        <w:trPr>
          <w:tblCellSpacing w:w="0" w:type="dxa"/>
        </w:trPr>
        <w:tc>
          <w:tcPr>
            <w:tcW w:w="1410" w:type="dxa"/>
          </w:tcPr>
          <w:p w14:paraId="2D10C793" w14:textId="77777777" w:rsidR="009F7685" w:rsidRPr="00402700" w:rsidRDefault="009F7685" w:rsidP="007779BA">
            <w:pPr>
              <w:shd w:val="clear" w:color="auto" w:fill="FFFFFF"/>
              <w:ind w:right="-873"/>
              <w:rPr>
                <w:b/>
                <w:bCs/>
                <w:noProof/>
                <w:sz w:val="22"/>
                <w:szCs w:val="22"/>
                <w:lang w:val="sr-Latn-CS"/>
              </w:rPr>
            </w:pPr>
            <w:r w:rsidRPr="00402700">
              <w:rPr>
                <w:bCs/>
                <w:noProof/>
                <w:sz w:val="22"/>
                <w:szCs w:val="22"/>
                <w:lang w:val="sr-Latn-CS"/>
              </w:rPr>
              <w:lastRenderedPageBreak/>
              <w:t>Veoma česte</w:t>
            </w:r>
          </w:p>
        </w:tc>
        <w:tc>
          <w:tcPr>
            <w:tcW w:w="7647" w:type="dxa"/>
          </w:tcPr>
          <w:p w14:paraId="77C51ADB" w14:textId="77777777" w:rsidR="009F7685" w:rsidRPr="00402700" w:rsidRDefault="009F7685" w:rsidP="007779BA">
            <w:pPr>
              <w:shd w:val="clear" w:color="auto" w:fill="FFFFFF"/>
              <w:ind w:right="-873"/>
              <w:rPr>
                <w:b/>
                <w:bCs/>
                <w:noProof/>
                <w:sz w:val="22"/>
                <w:szCs w:val="22"/>
                <w:lang w:val="sr-Latn-CS"/>
              </w:rPr>
            </w:pPr>
            <w:r w:rsidRPr="00402700">
              <w:rPr>
                <w:bCs/>
                <w:noProof/>
                <w:sz w:val="22"/>
                <w:szCs w:val="22"/>
                <w:lang w:val="sr-Latn-CS"/>
              </w:rPr>
              <w:t xml:space="preserve">Anksioznost </w:t>
            </w:r>
          </w:p>
        </w:tc>
      </w:tr>
      <w:tr w:rsidR="009F7685" w:rsidRPr="00402700" w14:paraId="0EA4057E" w14:textId="77777777" w:rsidTr="002D4B9C">
        <w:trPr>
          <w:tblCellSpacing w:w="0" w:type="dxa"/>
        </w:trPr>
        <w:tc>
          <w:tcPr>
            <w:tcW w:w="1410" w:type="dxa"/>
          </w:tcPr>
          <w:p w14:paraId="39C01912"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Povremene</w:t>
            </w:r>
          </w:p>
        </w:tc>
        <w:tc>
          <w:tcPr>
            <w:tcW w:w="7647" w:type="dxa"/>
          </w:tcPr>
          <w:p w14:paraId="198E9983" w14:textId="5286396F" w:rsidR="009F7685" w:rsidRPr="00402700" w:rsidRDefault="009F7685" w:rsidP="007779BA">
            <w:pPr>
              <w:shd w:val="clear" w:color="auto" w:fill="FFFFFF"/>
              <w:rPr>
                <w:noProof/>
                <w:sz w:val="22"/>
                <w:szCs w:val="22"/>
                <w:lang w:val="sr-Latn-CS"/>
              </w:rPr>
            </w:pPr>
            <w:r w:rsidRPr="00402700">
              <w:rPr>
                <w:noProof/>
                <w:sz w:val="22"/>
                <w:szCs w:val="22"/>
                <w:lang w:val="sr-Latn-CS"/>
              </w:rPr>
              <w:t xml:space="preserve">Abnormalni snovi*, </w:t>
            </w:r>
            <w:r w:rsidR="00D86552" w:rsidRPr="00402700">
              <w:rPr>
                <w:noProof/>
                <w:sz w:val="22"/>
                <w:szCs w:val="22"/>
                <w:lang w:val="sr-Latn-CS"/>
              </w:rPr>
              <w:t>poremećena</w:t>
            </w:r>
            <w:r w:rsidRPr="00402700">
              <w:rPr>
                <w:noProof/>
                <w:sz w:val="22"/>
                <w:szCs w:val="22"/>
                <w:lang w:val="sr-Latn-CS"/>
              </w:rPr>
              <w:t xml:space="preserve"> percepcija stvarnosti*, nesanica*</w:t>
            </w:r>
          </w:p>
        </w:tc>
      </w:tr>
      <w:tr w:rsidR="009F7685" w:rsidRPr="00402700" w14:paraId="78B04533" w14:textId="77777777" w:rsidTr="002D4B9C">
        <w:trPr>
          <w:tblCellSpacing w:w="0" w:type="dxa"/>
        </w:trPr>
        <w:tc>
          <w:tcPr>
            <w:tcW w:w="9057" w:type="dxa"/>
            <w:gridSpan w:val="2"/>
          </w:tcPr>
          <w:p w14:paraId="45737084"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nervnog sistema</w:t>
            </w:r>
          </w:p>
        </w:tc>
      </w:tr>
      <w:tr w:rsidR="009F7685" w:rsidRPr="00402700" w14:paraId="35C78A3E" w14:textId="77777777" w:rsidTr="002D4B9C">
        <w:trPr>
          <w:tblCellSpacing w:w="0" w:type="dxa"/>
        </w:trPr>
        <w:tc>
          <w:tcPr>
            <w:tcW w:w="1410" w:type="dxa"/>
          </w:tcPr>
          <w:p w14:paraId="1D5BC026"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63E726C7" w14:textId="77777777" w:rsidR="009F7685" w:rsidRPr="00402700" w:rsidRDefault="009F7685" w:rsidP="007779BA">
            <w:pPr>
              <w:rPr>
                <w:noProof/>
                <w:color w:val="000000"/>
                <w:sz w:val="22"/>
                <w:szCs w:val="22"/>
                <w:lang w:val="sr-Latn-CS"/>
              </w:rPr>
            </w:pPr>
            <w:r w:rsidRPr="00402700">
              <w:rPr>
                <w:noProof/>
                <w:sz w:val="22"/>
                <w:szCs w:val="22"/>
                <w:lang w:val="sr-Latn-CS"/>
              </w:rPr>
              <w:t>Vrtoglavica , glavobolja</w:t>
            </w:r>
          </w:p>
        </w:tc>
      </w:tr>
      <w:tr w:rsidR="009F7685" w:rsidRPr="00402700" w14:paraId="419A89DC" w14:textId="77777777" w:rsidTr="002D4B9C">
        <w:trPr>
          <w:tblCellSpacing w:w="0" w:type="dxa"/>
        </w:trPr>
        <w:tc>
          <w:tcPr>
            <w:tcW w:w="1410" w:type="dxa"/>
          </w:tcPr>
          <w:p w14:paraId="430F4038"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3B1F7A10"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Tremor </w:t>
            </w:r>
          </w:p>
        </w:tc>
      </w:tr>
      <w:tr w:rsidR="009F7685" w:rsidRPr="00402700" w14:paraId="17B72F5E" w14:textId="77777777" w:rsidTr="002D4B9C">
        <w:trPr>
          <w:tblCellSpacing w:w="0" w:type="dxa"/>
        </w:trPr>
        <w:tc>
          <w:tcPr>
            <w:tcW w:w="9057" w:type="dxa"/>
            <w:gridSpan w:val="2"/>
          </w:tcPr>
          <w:p w14:paraId="60A792CA"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oka</w:t>
            </w:r>
          </w:p>
        </w:tc>
      </w:tr>
      <w:tr w:rsidR="009F7685" w:rsidRPr="00402700" w14:paraId="19624258" w14:textId="77777777" w:rsidTr="002D4B9C">
        <w:trPr>
          <w:tblCellSpacing w:w="0" w:type="dxa"/>
        </w:trPr>
        <w:tc>
          <w:tcPr>
            <w:tcW w:w="1410" w:type="dxa"/>
          </w:tcPr>
          <w:p w14:paraId="69A0F6C6"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5F27EAA9" w14:textId="3503BBF4" w:rsidR="009F7685" w:rsidRPr="00402700" w:rsidRDefault="009F7685" w:rsidP="007779BA">
            <w:pPr>
              <w:shd w:val="clear" w:color="auto" w:fill="FFFFFF"/>
              <w:rPr>
                <w:noProof/>
                <w:sz w:val="22"/>
                <w:szCs w:val="22"/>
                <w:lang w:val="sr-Latn-CS"/>
              </w:rPr>
            </w:pPr>
            <w:r w:rsidRPr="00402700">
              <w:rPr>
                <w:noProof/>
                <w:sz w:val="22"/>
                <w:szCs w:val="22"/>
                <w:lang w:val="sr-Latn-CS"/>
              </w:rPr>
              <w:t>Konju</w:t>
            </w:r>
            <w:r w:rsidR="00D86552" w:rsidRPr="00402700">
              <w:rPr>
                <w:noProof/>
                <w:sz w:val="22"/>
                <w:szCs w:val="22"/>
                <w:lang w:val="sr-Latn-CS"/>
              </w:rPr>
              <w:t>n</w:t>
            </w:r>
            <w:r w:rsidRPr="00402700">
              <w:rPr>
                <w:noProof/>
                <w:sz w:val="22"/>
                <w:szCs w:val="22"/>
                <w:lang w:val="sr-Latn-CS"/>
              </w:rPr>
              <w:t xml:space="preserve">ktivitis*, </w:t>
            </w:r>
            <w:r w:rsidR="00D86552" w:rsidRPr="00402700">
              <w:rPr>
                <w:noProof/>
                <w:sz w:val="22"/>
                <w:szCs w:val="22"/>
                <w:lang w:val="sr-Latn-CS"/>
              </w:rPr>
              <w:t>zamućen</w:t>
            </w:r>
            <w:r w:rsidRPr="00402700">
              <w:rPr>
                <w:noProof/>
                <w:sz w:val="22"/>
                <w:szCs w:val="22"/>
                <w:lang w:val="sr-Latn-CS"/>
              </w:rPr>
              <w:t xml:space="preserve"> vid* </w:t>
            </w:r>
          </w:p>
        </w:tc>
      </w:tr>
      <w:tr w:rsidR="009F7685" w:rsidRPr="00402700" w14:paraId="02B2691B" w14:textId="77777777" w:rsidTr="002D4B9C">
        <w:trPr>
          <w:tblCellSpacing w:w="0" w:type="dxa"/>
        </w:trPr>
        <w:tc>
          <w:tcPr>
            <w:tcW w:w="9057" w:type="dxa"/>
            <w:gridSpan w:val="2"/>
          </w:tcPr>
          <w:p w14:paraId="6997E17D" w14:textId="77777777" w:rsidR="009F7685" w:rsidRPr="00402700" w:rsidRDefault="009F7685" w:rsidP="007779BA">
            <w:pPr>
              <w:rPr>
                <w:noProof/>
                <w:color w:val="000000"/>
                <w:sz w:val="22"/>
                <w:szCs w:val="22"/>
                <w:lang w:val="sr-Latn-CS"/>
              </w:rPr>
            </w:pPr>
            <w:r w:rsidRPr="00402700">
              <w:rPr>
                <w:b/>
                <w:bCs/>
                <w:noProof/>
                <w:sz w:val="22"/>
                <w:szCs w:val="22"/>
                <w:lang w:val="sr-Latn-CS"/>
              </w:rPr>
              <w:t>Kardiološki poremećaji</w:t>
            </w:r>
          </w:p>
        </w:tc>
      </w:tr>
      <w:tr w:rsidR="009F7685" w:rsidRPr="00402700" w14:paraId="6C967BB2" w14:textId="77777777" w:rsidTr="002D4B9C">
        <w:trPr>
          <w:tblCellSpacing w:w="0" w:type="dxa"/>
        </w:trPr>
        <w:tc>
          <w:tcPr>
            <w:tcW w:w="1410" w:type="dxa"/>
          </w:tcPr>
          <w:p w14:paraId="1176EB7B"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Povremene</w:t>
            </w:r>
          </w:p>
        </w:tc>
        <w:tc>
          <w:tcPr>
            <w:tcW w:w="7647" w:type="dxa"/>
          </w:tcPr>
          <w:p w14:paraId="1A3489C8" w14:textId="77777777" w:rsidR="009F7685" w:rsidRPr="00402700" w:rsidRDefault="009F7685" w:rsidP="007779BA">
            <w:pPr>
              <w:shd w:val="clear" w:color="auto" w:fill="FFFFFF"/>
              <w:rPr>
                <w:noProof/>
                <w:sz w:val="22"/>
                <w:szCs w:val="22"/>
                <w:lang w:val="sr-Latn-CS"/>
              </w:rPr>
            </w:pPr>
            <w:r w:rsidRPr="00402700">
              <w:rPr>
                <w:noProof/>
                <w:sz w:val="22"/>
                <w:szCs w:val="22"/>
                <w:lang w:val="sr-Latn-CS"/>
              </w:rPr>
              <w:t>Tahikardija, ventrikularne ekstrasistole</w:t>
            </w:r>
          </w:p>
        </w:tc>
      </w:tr>
      <w:tr w:rsidR="009F7685" w:rsidRPr="00402700" w14:paraId="789FCD39" w14:textId="77777777" w:rsidTr="002D4B9C">
        <w:trPr>
          <w:tblCellSpacing w:w="0" w:type="dxa"/>
        </w:trPr>
        <w:tc>
          <w:tcPr>
            <w:tcW w:w="9057" w:type="dxa"/>
            <w:gridSpan w:val="2"/>
          </w:tcPr>
          <w:p w14:paraId="641444C9" w14:textId="77777777" w:rsidR="009F7685" w:rsidRPr="00402700" w:rsidRDefault="009F7685" w:rsidP="007779BA">
            <w:pPr>
              <w:rPr>
                <w:noProof/>
                <w:color w:val="000000"/>
                <w:sz w:val="22"/>
                <w:szCs w:val="22"/>
                <w:lang w:val="sr-Latn-CS"/>
              </w:rPr>
            </w:pPr>
            <w:r w:rsidRPr="00402700">
              <w:rPr>
                <w:b/>
                <w:bCs/>
                <w:noProof/>
                <w:sz w:val="22"/>
                <w:szCs w:val="22"/>
                <w:lang w:val="sr-Latn-CS"/>
              </w:rPr>
              <w:t>Vaskularni poremećaji</w:t>
            </w:r>
          </w:p>
        </w:tc>
      </w:tr>
      <w:tr w:rsidR="009F7685" w:rsidRPr="00402700" w14:paraId="4A78933C" w14:textId="77777777" w:rsidTr="002D4B9C">
        <w:trPr>
          <w:tblCellSpacing w:w="0" w:type="dxa"/>
        </w:trPr>
        <w:tc>
          <w:tcPr>
            <w:tcW w:w="1410" w:type="dxa"/>
          </w:tcPr>
          <w:p w14:paraId="25910DBA" w14:textId="77777777" w:rsidR="009F7685" w:rsidRPr="00402700" w:rsidRDefault="009F7685" w:rsidP="007779BA">
            <w:pPr>
              <w:rPr>
                <w:b/>
                <w:bCs/>
                <w:noProof/>
                <w:sz w:val="22"/>
                <w:szCs w:val="22"/>
                <w:lang w:val="sr-Latn-CS"/>
              </w:rPr>
            </w:pPr>
            <w:r w:rsidRPr="00402700">
              <w:rPr>
                <w:bCs/>
                <w:noProof/>
                <w:sz w:val="22"/>
                <w:szCs w:val="22"/>
                <w:lang w:val="sr-Latn-CS"/>
              </w:rPr>
              <w:t xml:space="preserve">Veoma česte </w:t>
            </w:r>
          </w:p>
        </w:tc>
        <w:tc>
          <w:tcPr>
            <w:tcW w:w="7647" w:type="dxa"/>
          </w:tcPr>
          <w:p w14:paraId="48C86286" w14:textId="77777777" w:rsidR="009F7685" w:rsidRPr="00402700" w:rsidRDefault="009F7685" w:rsidP="007779BA">
            <w:pPr>
              <w:rPr>
                <w:b/>
                <w:bCs/>
                <w:noProof/>
                <w:sz w:val="22"/>
                <w:szCs w:val="22"/>
                <w:lang w:val="sr-Latn-CS"/>
              </w:rPr>
            </w:pPr>
            <w:r w:rsidRPr="00402700">
              <w:rPr>
                <w:bCs/>
                <w:noProof/>
                <w:sz w:val="22"/>
                <w:szCs w:val="22"/>
                <w:lang w:val="sr-Latn-CS"/>
              </w:rPr>
              <w:t xml:space="preserve">Hipertenzija </w:t>
            </w:r>
          </w:p>
        </w:tc>
      </w:tr>
      <w:tr w:rsidR="009F7685" w:rsidRPr="00402700" w14:paraId="0E6F9B32" w14:textId="77777777" w:rsidTr="002D4B9C">
        <w:trPr>
          <w:tblCellSpacing w:w="0" w:type="dxa"/>
        </w:trPr>
        <w:tc>
          <w:tcPr>
            <w:tcW w:w="1410" w:type="dxa"/>
          </w:tcPr>
          <w:p w14:paraId="0EB5357F" w14:textId="77777777" w:rsidR="009F7685" w:rsidRPr="00402700" w:rsidRDefault="009F7685" w:rsidP="007779BA">
            <w:pPr>
              <w:rPr>
                <w:b/>
                <w:bCs/>
                <w:noProof/>
                <w:sz w:val="22"/>
                <w:szCs w:val="22"/>
                <w:lang w:val="sr-Latn-CS"/>
              </w:rPr>
            </w:pPr>
            <w:r w:rsidRPr="00402700">
              <w:rPr>
                <w:bCs/>
                <w:noProof/>
                <w:sz w:val="22"/>
                <w:szCs w:val="22"/>
                <w:lang w:val="sr-Latn-CS"/>
              </w:rPr>
              <w:t xml:space="preserve">Česte </w:t>
            </w:r>
          </w:p>
        </w:tc>
        <w:tc>
          <w:tcPr>
            <w:tcW w:w="7647" w:type="dxa"/>
          </w:tcPr>
          <w:p w14:paraId="58D214AA" w14:textId="77777777" w:rsidR="009F7685" w:rsidRPr="00402700" w:rsidRDefault="009F7685" w:rsidP="007779BA">
            <w:pPr>
              <w:rPr>
                <w:b/>
                <w:bCs/>
                <w:noProof/>
                <w:sz w:val="22"/>
                <w:szCs w:val="22"/>
                <w:lang w:val="sr-Latn-CS"/>
              </w:rPr>
            </w:pPr>
            <w:r w:rsidRPr="00402700">
              <w:rPr>
                <w:bCs/>
                <w:noProof/>
                <w:sz w:val="22"/>
                <w:szCs w:val="22"/>
                <w:lang w:val="sr-Latn-CS"/>
              </w:rPr>
              <w:t xml:space="preserve">Hipotenzija </w:t>
            </w:r>
          </w:p>
        </w:tc>
      </w:tr>
      <w:tr w:rsidR="009F7685" w:rsidRPr="00402700" w14:paraId="0A34C353" w14:textId="77777777" w:rsidTr="002D4B9C">
        <w:trPr>
          <w:tblCellSpacing w:w="0" w:type="dxa"/>
        </w:trPr>
        <w:tc>
          <w:tcPr>
            <w:tcW w:w="1410" w:type="dxa"/>
          </w:tcPr>
          <w:p w14:paraId="6AA1940B"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53B963C1" w14:textId="77777777" w:rsidR="009F7685" w:rsidRPr="00402700" w:rsidRDefault="009F7685" w:rsidP="007779BA">
            <w:pPr>
              <w:shd w:val="clear" w:color="auto" w:fill="FFFFFF"/>
              <w:rPr>
                <w:noProof/>
                <w:sz w:val="22"/>
                <w:szCs w:val="22"/>
                <w:lang w:val="sr-Latn-CS"/>
              </w:rPr>
            </w:pPr>
            <w:r w:rsidRPr="00402700">
              <w:rPr>
                <w:noProof/>
                <w:sz w:val="22"/>
                <w:szCs w:val="22"/>
                <w:lang w:val="sr-Latn-CS"/>
              </w:rPr>
              <w:t>Limfocele*</w:t>
            </w:r>
          </w:p>
        </w:tc>
      </w:tr>
      <w:tr w:rsidR="009F7685" w:rsidRPr="00402700" w14:paraId="242A3529" w14:textId="77777777" w:rsidTr="002D4B9C">
        <w:trPr>
          <w:tblCellSpacing w:w="0" w:type="dxa"/>
        </w:trPr>
        <w:tc>
          <w:tcPr>
            <w:tcW w:w="9057" w:type="dxa"/>
            <w:gridSpan w:val="2"/>
          </w:tcPr>
          <w:p w14:paraId="25360352" w14:textId="77777777" w:rsidR="009F7685" w:rsidRPr="00402700" w:rsidRDefault="009F7685" w:rsidP="007779BA">
            <w:pPr>
              <w:rPr>
                <w:noProof/>
                <w:color w:val="000000"/>
                <w:sz w:val="22"/>
                <w:szCs w:val="22"/>
                <w:lang w:val="sr-Latn-CS"/>
              </w:rPr>
            </w:pPr>
            <w:r w:rsidRPr="00402700">
              <w:rPr>
                <w:b/>
                <w:bCs/>
                <w:noProof/>
                <w:sz w:val="22"/>
                <w:szCs w:val="22"/>
                <w:lang w:val="sr-Latn-CS"/>
              </w:rPr>
              <w:t>Respiratorni, torakalni i medijastinalni poremećaji</w:t>
            </w:r>
          </w:p>
        </w:tc>
      </w:tr>
      <w:tr w:rsidR="009F7685" w:rsidRPr="00402700" w14:paraId="76BE49F1" w14:textId="77777777" w:rsidTr="002D4B9C">
        <w:trPr>
          <w:tblCellSpacing w:w="0" w:type="dxa"/>
        </w:trPr>
        <w:tc>
          <w:tcPr>
            <w:tcW w:w="1410" w:type="dxa"/>
          </w:tcPr>
          <w:p w14:paraId="02462D9B"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59504044" w14:textId="77777777" w:rsidR="009F7685" w:rsidRPr="00402700" w:rsidRDefault="009F7685" w:rsidP="007779BA">
            <w:pPr>
              <w:rPr>
                <w:noProof/>
                <w:color w:val="000000"/>
                <w:sz w:val="22"/>
                <w:szCs w:val="22"/>
                <w:lang w:val="sr-Latn-CS"/>
              </w:rPr>
            </w:pPr>
            <w:r w:rsidRPr="00402700">
              <w:rPr>
                <w:noProof/>
                <w:sz w:val="22"/>
                <w:szCs w:val="22"/>
                <w:lang w:val="sr-Latn-CS"/>
              </w:rPr>
              <w:t>Kašalj, dispneja</w:t>
            </w:r>
          </w:p>
        </w:tc>
      </w:tr>
      <w:tr w:rsidR="009F7685" w:rsidRPr="00402700" w14:paraId="6AC3A312" w14:textId="77777777" w:rsidTr="002D4B9C">
        <w:trPr>
          <w:tblCellSpacing w:w="0" w:type="dxa"/>
        </w:trPr>
        <w:tc>
          <w:tcPr>
            <w:tcW w:w="1410" w:type="dxa"/>
          </w:tcPr>
          <w:p w14:paraId="7D27A034"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7439DC41" w14:textId="71729094" w:rsidR="009F7685" w:rsidRPr="00402700" w:rsidRDefault="009F7685" w:rsidP="007779BA">
            <w:pPr>
              <w:shd w:val="clear" w:color="auto" w:fill="FFFFFF"/>
              <w:rPr>
                <w:noProof/>
                <w:sz w:val="22"/>
                <w:szCs w:val="22"/>
                <w:lang w:val="sr-Latn-CS"/>
              </w:rPr>
            </w:pPr>
            <w:r w:rsidRPr="00402700">
              <w:rPr>
                <w:noProof/>
                <w:sz w:val="22"/>
                <w:szCs w:val="22"/>
                <w:lang w:val="sr-Latn-CS"/>
              </w:rPr>
              <w:t>Intersticij</w:t>
            </w:r>
            <w:r w:rsidR="00076420" w:rsidRPr="00402700">
              <w:rPr>
                <w:noProof/>
                <w:sz w:val="22"/>
                <w:szCs w:val="22"/>
                <w:lang w:val="sr-Latn-CS"/>
              </w:rPr>
              <w:t>umska</w:t>
            </w:r>
            <w:r w:rsidRPr="00402700">
              <w:rPr>
                <w:noProof/>
                <w:sz w:val="22"/>
                <w:szCs w:val="22"/>
                <w:lang w:val="sr-Latn-CS"/>
              </w:rPr>
              <w:t xml:space="preserve"> plućna bolest, plućna kongestija*, šištanje</w:t>
            </w:r>
            <w:r w:rsidR="00FD3EF5" w:rsidRPr="00402700">
              <w:rPr>
                <w:noProof/>
                <w:sz w:val="22"/>
                <w:szCs w:val="22"/>
                <w:lang w:val="sr-Latn-CS"/>
              </w:rPr>
              <w:t xml:space="preserve"> pri disanju</w:t>
            </w:r>
            <w:r w:rsidRPr="00402700">
              <w:rPr>
                <w:noProof/>
                <w:sz w:val="22"/>
                <w:szCs w:val="22"/>
                <w:lang w:val="sr-Latn-CS"/>
              </w:rPr>
              <w:t>*, plućni edem*</w:t>
            </w:r>
          </w:p>
        </w:tc>
      </w:tr>
      <w:tr w:rsidR="009F7685" w:rsidRPr="00402700" w14:paraId="2104D4AF" w14:textId="77777777" w:rsidTr="002D4B9C">
        <w:trPr>
          <w:tblCellSpacing w:w="0" w:type="dxa"/>
        </w:trPr>
        <w:tc>
          <w:tcPr>
            <w:tcW w:w="9057" w:type="dxa"/>
            <w:gridSpan w:val="2"/>
          </w:tcPr>
          <w:p w14:paraId="6E53D44F" w14:textId="77777777" w:rsidR="009F7685" w:rsidRPr="00402700" w:rsidRDefault="009F7685" w:rsidP="007779BA">
            <w:pPr>
              <w:rPr>
                <w:noProof/>
                <w:color w:val="000000"/>
                <w:sz w:val="22"/>
                <w:szCs w:val="22"/>
                <w:lang w:val="sr-Latn-CS"/>
              </w:rPr>
            </w:pPr>
            <w:r w:rsidRPr="00402700">
              <w:rPr>
                <w:b/>
                <w:bCs/>
                <w:noProof/>
                <w:sz w:val="22"/>
                <w:szCs w:val="22"/>
                <w:lang w:val="sr-Latn-CS"/>
              </w:rPr>
              <w:t>Gastrointestinalni poremećaji</w:t>
            </w:r>
          </w:p>
        </w:tc>
      </w:tr>
      <w:tr w:rsidR="009F7685" w:rsidRPr="00402700" w14:paraId="74F0F948" w14:textId="77777777" w:rsidTr="002D4B9C">
        <w:trPr>
          <w:tblCellSpacing w:w="0" w:type="dxa"/>
        </w:trPr>
        <w:tc>
          <w:tcPr>
            <w:tcW w:w="1410" w:type="dxa"/>
          </w:tcPr>
          <w:p w14:paraId="51600C53"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Veoma česte</w:t>
            </w:r>
          </w:p>
        </w:tc>
        <w:tc>
          <w:tcPr>
            <w:tcW w:w="7647" w:type="dxa"/>
          </w:tcPr>
          <w:p w14:paraId="6CC5A251" w14:textId="77777777" w:rsidR="009F7685" w:rsidRPr="00402700" w:rsidRDefault="009F7685" w:rsidP="007779BA">
            <w:pPr>
              <w:rPr>
                <w:noProof/>
                <w:color w:val="000000"/>
                <w:sz w:val="22"/>
                <w:szCs w:val="22"/>
                <w:lang w:val="sr-Latn-CS"/>
              </w:rPr>
            </w:pPr>
            <w:r w:rsidRPr="00402700">
              <w:rPr>
                <w:noProof/>
                <w:sz w:val="22"/>
                <w:szCs w:val="22"/>
                <w:lang w:val="sr-Latn-CS"/>
              </w:rPr>
              <w:t>Dijareja</w:t>
            </w:r>
          </w:p>
        </w:tc>
      </w:tr>
      <w:tr w:rsidR="009F7685" w:rsidRPr="00402700" w14:paraId="2BBA15BF" w14:textId="77777777" w:rsidTr="002D4B9C">
        <w:trPr>
          <w:tblCellSpacing w:w="0" w:type="dxa"/>
        </w:trPr>
        <w:tc>
          <w:tcPr>
            <w:tcW w:w="1410" w:type="dxa"/>
          </w:tcPr>
          <w:p w14:paraId="5B9822BC"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76796F91" w14:textId="77777777" w:rsidR="009F7685" w:rsidRPr="00402700" w:rsidRDefault="009F7685" w:rsidP="007779BA">
            <w:pPr>
              <w:rPr>
                <w:noProof/>
                <w:color w:val="000000"/>
                <w:sz w:val="22"/>
                <w:szCs w:val="22"/>
                <w:lang w:val="sr-Latn-CS"/>
              </w:rPr>
            </w:pPr>
            <w:r w:rsidRPr="00402700">
              <w:rPr>
                <w:noProof/>
                <w:sz w:val="22"/>
                <w:szCs w:val="22"/>
                <w:lang w:val="sr-Latn-CS"/>
              </w:rPr>
              <w:t>Abdominalna distenzija, abdominalni bol, konstipacija, dispepsija, flatulencija, gastritis, mučnina, povraćanje</w:t>
            </w:r>
          </w:p>
        </w:tc>
      </w:tr>
      <w:tr w:rsidR="009F7685" w:rsidRPr="00402700" w14:paraId="62672E49" w14:textId="77777777" w:rsidTr="002D4B9C">
        <w:trPr>
          <w:tblCellSpacing w:w="0" w:type="dxa"/>
        </w:trPr>
        <w:tc>
          <w:tcPr>
            <w:tcW w:w="1410" w:type="dxa"/>
          </w:tcPr>
          <w:p w14:paraId="1CE114D5"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01E8FE0F" w14:textId="3581345E" w:rsidR="009F7685" w:rsidRPr="00402700" w:rsidRDefault="009F7685" w:rsidP="007779BA">
            <w:pPr>
              <w:rPr>
                <w:noProof/>
                <w:color w:val="000000"/>
                <w:sz w:val="22"/>
                <w:szCs w:val="22"/>
                <w:lang w:val="sr-Latn-CS"/>
              </w:rPr>
            </w:pPr>
            <w:r w:rsidRPr="00402700">
              <w:rPr>
                <w:noProof/>
                <w:sz w:val="22"/>
                <w:szCs w:val="22"/>
                <w:lang w:val="sr-Latn-CS"/>
              </w:rPr>
              <w:t>Abdominalna osjetljivost, gastrointestinalna hemoragija , podrigivanje, halitoza*, ileus*, ulceracija usne*, ezofagitis*,  subileus*, promjena boje jezika*, suva usta*, gastroezofag</w:t>
            </w:r>
            <w:r w:rsidR="00076420" w:rsidRPr="00402700">
              <w:rPr>
                <w:noProof/>
                <w:sz w:val="22"/>
                <w:szCs w:val="22"/>
                <w:lang w:val="sr-Latn-CS"/>
              </w:rPr>
              <w:t>usna</w:t>
            </w:r>
            <w:r w:rsidRPr="00402700">
              <w:rPr>
                <w:noProof/>
                <w:sz w:val="22"/>
                <w:szCs w:val="22"/>
                <w:lang w:val="sr-Latn-CS"/>
              </w:rPr>
              <w:t xml:space="preserve"> refluksna bolest*, hiperplazija gingiva*, pankreatitis, opstrukcija izvodnog kanala parotidne žl</w:t>
            </w:r>
            <w:r w:rsidR="00006B27" w:rsidRPr="00402700">
              <w:rPr>
                <w:noProof/>
                <w:sz w:val="22"/>
                <w:szCs w:val="22"/>
                <w:lang w:val="sr-Latn-CS"/>
              </w:rPr>
              <w:t>j</w:t>
            </w:r>
            <w:r w:rsidRPr="00402700">
              <w:rPr>
                <w:noProof/>
                <w:sz w:val="22"/>
                <w:szCs w:val="22"/>
                <w:lang w:val="sr-Latn-CS"/>
              </w:rPr>
              <w:t>ezde*, peptički ulkus</w:t>
            </w:r>
            <w:r w:rsidR="00076420" w:rsidRPr="00402700">
              <w:rPr>
                <w:noProof/>
                <w:sz w:val="22"/>
                <w:szCs w:val="22"/>
                <w:lang w:val="sr-Latn-CS"/>
              </w:rPr>
              <w:t>*</w:t>
            </w:r>
            <w:r w:rsidRPr="00402700">
              <w:rPr>
                <w:noProof/>
                <w:sz w:val="22"/>
                <w:szCs w:val="22"/>
                <w:lang w:val="sr-Latn-CS"/>
              </w:rPr>
              <w:t>, peritonitis*</w:t>
            </w:r>
          </w:p>
        </w:tc>
      </w:tr>
      <w:tr w:rsidR="009F7685" w:rsidRPr="00402700" w14:paraId="3CAB927C" w14:textId="77777777" w:rsidTr="002D4B9C">
        <w:trPr>
          <w:tblCellSpacing w:w="0" w:type="dxa"/>
        </w:trPr>
        <w:tc>
          <w:tcPr>
            <w:tcW w:w="9057" w:type="dxa"/>
            <w:gridSpan w:val="2"/>
          </w:tcPr>
          <w:p w14:paraId="2B678023" w14:textId="77777777" w:rsidR="009F7685" w:rsidRPr="00402700" w:rsidRDefault="009F7685" w:rsidP="007779BA">
            <w:pPr>
              <w:rPr>
                <w:noProof/>
                <w:color w:val="000000"/>
                <w:sz w:val="22"/>
                <w:szCs w:val="22"/>
                <w:lang w:val="sr-Latn-CS"/>
              </w:rPr>
            </w:pPr>
            <w:r w:rsidRPr="00402700">
              <w:rPr>
                <w:b/>
                <w:bCs/>
                <w:noProof/>
                <w:sz w:val="22"/>
                <w:szCs w:val="22"/>
                <w:lang w:val="sr-Latn-CS"/>
              </w:rPr>
              <w:t>Hepatobilijarni poremećaji</w:t>
            </w:r>
          </w:p>
        </w:tc>
      </w:tr>
      <w:tr w:rsidR="009F7685" w:rsidRPr="00402700" w14:paraId="6E9AC5F2" w14:textId="77777777" w:rsidTr="002D4B9C">
        <w:trPr>
          <w:tblCellSpacing w:w="0" w:type="dxa"/>
        </w:trPr>
        <w:tc>
          <w:tcPr>
            <w:tcW w:w="1410" w:type="dxa"/>
          </w:tcPr>
          <w:p w14:paraId="1D1F7BBC"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5BDAA939" w14:textId="77777777" w:rsidR="009F7685" w:rsidRPr="00402700" w:rsidRDefault="009F7685" w:rsidP="007779BA">
            <w:pPr>
              <w:shd w:val="clear" w:color="auto" w:fill="FFFFFF"/>
              <w:rPr>
                <w:noProof/>
                <w:sz w:val="22"/>
                <w:szCs w:val="22"/>
                <w:lang w:val="sr-Latn-CS"/>
              </w:rPr>
            </w:pPr>
            <w:r w:rsidRPr="00402700">
              <w:rPr>
                <w:noProof/>
                <w:sz w:val="22"/>
                <w:szCs w:val="22"/>
                <w:lang w:val="sr-Latn-CS"/>
              </w:rPr>
              <w:t>Abnormalni funkcionalni testovi jetre</w:t>
            </w:r>
          </w:p>
        </w:tc>
      </w:tr>
      <w:tr w:rsidR="009F7685" w:rsidRPr="00402700" w14:paraId="62694D31" w14:textId="77777777" w:rsidTr="002D4B9C">
        <w:trPr>
          <w:tblCellSpacing w:w="0" w:type="dxa"/>
        </w:trPr>
        <w:tc>
          <w:tcPr>
            <w:tcW w:w="9057" w:type="dxa"/>
            <w:gridSpan w:val="2"/>
          </w:tcPr>
          <w:p w14:paraId="42A8D7BD"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kože i potkožnog tkiva</w:t>
            </w:r>
          </w:p>
        </w:tc>
      </w:tr>
      <w:tr w:rsidR="009F7685" w:rsidRPr="00402700" w14:paraId="6B3F7095" w14:textId="77777777" w:rsidTr="002D4B9C">
        <w:trPr>
          <w:tblCellSpacing w:w="0" w:type="dxa"/>
        </w:trPr>
        <w:tc>
          <w:tcPr>
            <w:tcW w:w="1410" w:type="dxa"/>
          </w:tcPr>
          <w:p w14:paraId="7CC34157" w14:textId="77777777" w:rsidR="009F7685" w:rsidRPr="00402700" w:rsidRDefault="009F7685" w:rsidP="007779BA">
            <w:pPr>
              <w:rPr>
                <w:b/>
                <w:bCs/>
                <w:noProof/>
                <w:sz w:val="22"/>
                <w:szCs w:val="22"/>
                <w:lang w:val="sr-Latn-CS"/>
              </w:rPr>
            </w:pPr>
            <w:r w:rsidRPr="00402700">
              <w:rPr>
                <w:bCs/>
                <w:noProof/>
                <w:sz w:val="22"/>
                <w:szCs w:val="22"/>
                <w:lang w:val="sr-Latn-CS"/>
              </w:rPr>
              <w:t xml:space="preserve">Česte </w:t>
            </w:r>
          </w:p>
        </w:tc>
        <w:tc>
          <w:tcPr>
            <w:tcW w:w="7647" w:type="dxa"/>
          </w:tcPr>
          <w:p w14:paraId="69AEA010" w14:textId="77777777" w:rsidR="009F7685" w:rsidRPr="00402700" w:rsidRDefault="009F7685" w:rsidP="007779BA">
            <w:pPr>
              <w:rPr>
                <w:b/>
                <w:bCs/>
                <w:noProof/>
                <w:sz w:val="22"/>
                <w:szCs w:val="22"/>
                <w:lang w:val="sr-Latn-CS"/>
              </w:rPr>
            </w:pPr>
            <w:r w:rsidRPr="00402700">
              <w:rPr>
                <w:bCs/>
                <w:noProof/>
                <w:sz w:val="22"/>
                <w:szCs w:val="22"/>
                <w:lang w:val="sr-Latn-CS"/>
              </w:rPr>
              <w:t>Akne, pruritus</w:t>
            </w:r>
          </w:p>
        </w:tc>
      </w:tr>
      <w:tr w:rsidR="009F7685" w:rsidRPr="00402700" w14:paraId="05285FC4" w14:textId="77777777" w:rsidTr="002D4B9C">
        <w:trPr>
          <w:tblCellSpacing w:w="0" w:type="dxa"/>
        </w:trPr>
        <w:tc>
          <w:tcPr>
            <w:tcW w:w="1410" w:type="dxa"/>
          </w:tcPr>
          <w:p w14:paraId="7BCEFE1C"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4EF76D49"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Alopecija </w:t>
            </w:r>
          </w:p>
        </w:tc>
      </w:tr>
      <w:tr w:rsidR="009F7685" w:rsidRPr="00402700" w14:paraId="7455A15A" w14:textId="77777777" w:rsidTr="002D4B9C">
        <w:trPr>
          <w:tblCellSpacing w:w="0" w:type="dxa"/>
        </w:trPr>
        <w:tc>
          <w:tcPr>
            <w:tcW w:w="9057" w:type="dxa"/>
            <w:gridSpan w:val="2"/>
          </w:tcPr>
          <w:p w14:paraId="78EE984C"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mišićno-koštanog sistema i vezivnog tkiva</w:t>
            </w:r>
          </w:p>
        </w:tc>
      </w:tr>
      <w:tr w:rsidR="009F7685" w:rsidRPr="00402700" w14:paraId="0C5C3F6F" w14:textId="77777777" w:rsidTr="002D4B9C">
        <w:trPr>
          <w:tblCellSpacing w:w="0" w:type="dxa"/>
        </w:trPr>
        <w:tc>
          <w:tcPr>
            <w:tcW w:w="1410" w:type="dxa"/>
          </w:tcPr>
          <w:p w14:paraId="141C02BE" w14:textId="77777777" w:rsidR="009F7685" w:rsidRPr="00402700" w:rsidRDefault="009F7685" w:rsidP="007779BA">
            <w:pPr>
              <w:rPr>
                <w:b/>
                <w:bCs/>
                <w:noProof/>
                <w:sz w:val="22"/>
                <w:szCs w:val="22"/>
                <w:lang w:val="sr-Latn-CS"/>
              </w:rPr>
            </w:pPr>
            <w:r w:rsidRPr="00402700">
              <w:rPr>
                <w:bCs/>
                <w:noProof/>
                <w:sz w:val="22"/>
                <w:szCs w:val="22"/>
                <w:lang w:val="sr-Latn-CS"/>
              </w:rPr>
              <w:t>Veoma česte</w:t>
            </w:r>
          </w:p>
        </w:tc>
        <w:tc>
          <w:tcPr>
            <w:tcW w:w="7647" w:type="dxa"/>
          </w:tcPr>
          <w:p w14:paraId="11A1EF0B" w14:textId="77777777" w:rsidR="009F7685" w:rsidRPr="00402700" w:rsidRDefault="009F7685" w:rsidP="007779BA">
            <w:pPr>
              <w:rPr>
                <w:b/>
                <w:bCs/>
                <w:noProof/>
                <w:sz w:val="22"/>
                <w:szCs w:val="22"/>
                <w:lang w:val="sr-Latn-CS"/>
              </w:rPr>
            </w:pPr>
            <w:r w:rsidRPr="00402700">
              <w:rPr>
                <w:bCs/>
                <w:noProof/>
                <w:sz w:val="22"/>
                <w:szCs w:val="22"/>
                <w:lang w:val="sr-Latn-CS"/>
              </w:rPr>
              <w:t xml:space="preserve">Artralgija </w:t>
            </w:r>
          </w:p>
        </w:tc>
      </w:tr>
      <w:tr w:rsidR="009F7685" w:rsidRPr="00402700" w14:paraId="2CDEE544" w14:textId="77777777" w:rsidTr="002D4B9C">
        <w:trPr>
          <w:tblCellSpacing w:w="0" w:type="dxa"/>
        </w:trPr>
        <w:tc>
          <w:tcPr>
            <w:tcW w:w="1410" w:type="dxa"/>
          </w:tcPr>
          <w:p w14:paraId="49FA2EE9" w14:textId="77777777" w:rsidR="009F7685" w:rsidRPr="00402700" w:rsidRDefault="009F7685" w:rsidP="007779BA">
            <w:pPr>
              <w:rPr>
                <w:b/>
                <w:bCs/>
                <w:noProof/>
                <w:sz w:val="22"/>
                <w:szCs w:val="22"/>
                <w:lang w:val="sr-Latn-CS"/>
              </w:rPr>
            </w:pPr>
            <w:r w:rsidRPr="00402700">
              <w:rPr>
                <w:bCs/>
                <w:noProof/>
                <w:sz w:val="22"/>
                <w:szCs w:val="22"/>
                <w:lang w:val="sr-Latn-CS"/>
              </w:rPr>
              <w:t xml:space="preserve">Česte </w:t>
            </w:r>
          </w:p>
        </w:tc>
        <w:tc>
          <w:tcPr>
            <w:tcW w:w="7647" w:type="dxa"/>
          </w:tcPr>
          <w:p w14:paraId="1DE67338" w14:textId="77777777" w:rsidR="009F7685" w:rsidRPr="00402700" w:rsidRDefault="009F7685" w:rsidP="007779BA">
            <w:pPr>
              <w:rPr>
                <w:b/>
                <w:bCs/>
                <w:noProof/>
                <w:sz w:val="22"/>
                <w:szCs w:val="22"/>
                <w:lang w:val="sr-Latn-CS"/>
              </w:rPr>
            </w:pPr>
            <w:r w:rsidRPr="00402700">
              <w:rPr>
                <w:bCs/>
                <w:noProof/>
                <w:sz w:val="22"/>
                <w:szCs w:val="22"/>
                <w:lang w:val="sr-Latn-CS"/>
              </w:rPr>
              <w:t xml:space="preserve">Mialgija </w:t>
            </w:r>
          </w:p>
        </w:tc>
      </w:tr>
      <w:tr w:rsidR="009F7685" w:rsidRPr="00402700" w14:paraId="6F549736" w14:textId="77777777" w:rsidTr="002D4B9C">
        <w:trPr>
          <w:tblCellSpacing w:w="0" w:type="dxa"/>
        </w:trPr>
        <w:tc>
          <w:tcPr>
            <w:tcW w:w="1410" w:type="dxa"/>
          </w:tcPr>
          <w:p w14:paraId="7E0E24D6"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7FA81C5A" w14:textId="77777777" w:rsidR="009F7685" w:rsidRPr="00402700" w:rsidRDefault="009F7685" w:rsidP="007779BA">
            <w:pPr>
              <w:shd w:val="clear" w:color="auto" w:fill="FFFFFF"/>
              <w:rPr>
                <w:noProof/>
                <w:sz w:val="22"/>
                <w:szCs w:val="22"/>
                <w:lang w:val="sr-Latn-CS"/>
              </w:rPr>
            </w:pPr>
            <w:r w:rsidRPr="00402700">
              <w:rPr>
                <w:noProof/>
                <w:sz w:val="22"/>
                <w:szCs w:val="22"/>
                <w:lang w:val="sr-Latn-CS"/>
              </w:rPr>
              <w:t>Artritis*, bol u leđima*, mišićni grčevi</w:t>
            </w:r>
          </w:p>
        </w:tc>
      </w:tr>
      <w:tr w:rsidR="009F7685" w:rsidRPr="00402700" w14:paraId="18B23936" w14:textId="77777777" w:rsidTr="002D4B9C">
        <w:trPr>
          <w:tblCellSpacing w:w="0" w:type="dxa"/>
        </w:trPr>
        <w:tc>
          <w:tcPr>
            <w:tcW w:w="9057" w:type="dxa"/>
            <w:gridSpan w:val="2"/>
          </w:tcPr>
          <w:p w14:paraId="1B39EFD3" w14:textId="77777777" w:rsidR="009F7685" w:rsidRPr="00402700" w:rsidRDefault="009F7685" w:rsidP="007779BA">
            <w:pPr>
              <w:rPr>
                <w:noProof/>
                <w:color w:val="000000"/>
                <w:sz w:val="22"/>
                <w:szCs w:val="22"/>
                <w:lang w:val="sr-Latn-CS"/>
              </w:rPr>
            </w:pPr>
            <w:r w:rsidRPr="00402700">
              <w:rPr>
                <w:b/>
                <w:bCs/>
                <w:noProof/>
                <w:sz w:val="22"/>
                <w:szCs w:val="22"/>
                <w:lang w:val="sr-Latn-CS"/>
              </w:rPr>
              <w:t>Poremećaji bubrega i uriniarnog sistema</w:t>
            </w:r>
          </w:p>
        </w:tc>
      </w:tr>
      <w:tr w:rsidR="009F7685" w:rsidRPr="00402700" w14:paraId="18C0B397" w14:textId="77777777" w:rsidTr="002D4B9C">
        <w:trPr>
          <w:tblCellSpacing w:w="0" w:type="dxa"/>
        </w:trPr>
        <w:tc>
          <w:tcPr>
            <w:tcW w:w="1410" w:type="dxa"/>
          </w:tcPr>
          <w:p w14:paraId="08499201"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Česte </w:t>
            </w:r>
          </w:p>
        </w:tc>
        <w:tc>
          <w:tcPr>
            <w:tcW w:w="7647" w:type="dxa"/>
          </w:tcPr>
          <w:p w14:paraId="0972EB7C" w14:textId="77777777" w:rsidR="009F7685" w:rsidRPr="00402700" w:rsidRDefault="009F7685" w:rsidP="007779BA">
            <w:pPr>
              <w:rPr>
                <w:noProof/>
                <w:color w:val="000000"/>
                <w:sz w:val="22"/>
                <w:szCs w:val="22"/>
                <w:lang w:val="sr-Latn-CS"/>
              </w:rPr>
            </w:pPr>
            <w:r w:rsidRPr="00402700">
              <w:rPr>
                <w:noProof/>
                <w:sz w:val="22"/>
                <w:szCs w:val="22"/>
                <w:lang w:val="sr-Latn-CS"/>
              </w:rPr>
              <w:t>Povećanje kreatinina u krvi</w:t>
            </w:r>
          </w:p>
        </w:tc>
      </w:tr>
      <w:tr w:rsidR="009F7685" w:rsidRPr="00402700" w14:paraId="4341A1DD" w14:textId="77777777" w:rsidTr="002D4B9C">
        <w:trPr>
          <w:tblCellSpacing w:w="0" w:type="dxa"/>
        </w:trPr>
        <w:tc>
          <w:tcPr>
            <w:tcW w:w="1410" w:type="dxa"/>
          </w:tcPr>
          <w:p w14:paraId="33B65C88"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76089B7B" w14:textId="582A3B4D" w:rsidR="009F7685" w:rsidRPr="00402700" w:rsidRDefault="009F7685" w:rsidP="007779BA">
            <w:pPr>
              <w:shd w:val="clear" w:color="auto" w:fill="FFFFFF"/>
              <w:rPr>
                <w:noProof/>
                <w:sz w:val="22"/>
                <w:szCs w:val="22"/>
                <w:lang w:val="sr-Latn-CS"/>
              </w:rPr>
            </w:pPr>
            <w:r w:rsidRPr="00402700">
              <w:rPr>
                <w:noProof/>
                <w:sz w:val="22"/>
                <w:szCs w:val="22"/>
                <w:lang w:val="sr-Latn-CS"/>
              </w:rPr>
              <w:t>Hematurija*, nekroza bubrežnih tubula*, suženje uretre</w:t>
            </w:r>
          </w:p>
        </w:tc>
      </w:tr>
      <w:tr w:rsidR="009F7685" w:rsidRPr="00402700" w14:paraId="2E2467DE" w14:textId="77777777" w:rsidTr="002D4B9C">
        <w:trPr>
          <w:tblCellSpacing w:w="0" w:type="dxa"/>
        </w:trPr>
        <w:tc>
          <w:tcPr>
            <w:tcW w:w="9057" w:type="dxa"/>
            <w:gridSpan w:val="2"/>
          </w:tcPr>
          <w:p w14:paraId="47EB6F94" w14:textId="77777777" w:rsidR="009F7685" w:rsidRPr="00402700" w:rsidRDefault="009F7685" w:rsidP="007779BA">
            <w:pPr>
              <w:rPr>
                <w:noProof/>
                <w:color w:val="000000"/>
                <w:sz w:val="22"/>
                <w:szCs w:val="22"/>
                <w:lang w:val="sr-Latn-CS"/>
              </w:rPr>
            </w:pPr>
            <w:r w:rsidRPr="00402700">
              <w:rPr>
                <w:b/>
                <w:bCs/>
                <w:noProof/>
                <w:sz w:val="22"/>
                <w:szCs w:val="22"/>
                <w:lang w:val="sr-Latn-CS"/>
              </w:rPr>
              <w:lastRenderedPageBreak/>
              <w:t>Poremećaji reproduktivnog sistema i dojki</w:t>
            </w:r>
          </w:p>
        </w:tc>
      </w:tr>
      <w:tr w:rsidR="009F7685" w:rsidRPr="00402700" w14:paraId="5D308C84" w14:textId="77777777" w:rsidTr="002D4B9C">
        <w:trPr>
          <w:tblCellSpacing w:w="0" w:type="dxa"/>
        </w:trPr>
        <w:tc>
          <w:tcPr>
            <w:tcW w:w="1410" w:type="dxa"/>
          </w:tcPr>
          <w:p w14:paraId="45B18717"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46985638" w14:textId="77777777" w:rsidR="009F7685" w:rsidRPr="00402700" w:rsidRDefault="009F7685" w:rsidP="007779BA">
            <w:pPr>
              <w:rPr>
                <w:noProof/>
                <w:color w:val="000000"/>
                <w:sz w:val="22"/>
                <w:szCs w:val="22"/>
                <w:lang w:val="sr-Latn-CS"/>
              </w:rPr>
            </w:pPr>
            <w:r w:rsidRPr="00402700">
              <w:rPr>
                <w:noProof/>
                <w:sz w:val="22"/>
                <w:szCs w:val="22"/>
                <w:lang w:val="sr-Latn-CS"/>
              </w:rPr>
              <w:t>Impotencija*</w:t>
            </w:r>
          </w:p>
        </w:tc>
      </w:tr>
      <w:tr w:rsidR="009F7685" w:rsidRPr="00402700" w14:paraId="469BECF1" w14:textId="77777777" w:rsidTr="002D4B9C">
        <w:trPr>
          <w:tblCellSpacing w:w="0" w:type="dxa"/>
        </w:trPr>
        <w:tc>
          <w:tcPr>
            <w:tcW w:w="9057" w:type="dxa"/>
            <w:gridSpan w:val="2"/>
          </w:tcPr>
          <w:p w14:paraId="2A8B8C8E" w14:textId="77777777" w:rsidR="009F7685" w:rsidRPr="00402700" w:rsidRDefault="009F7685" w:rsidP="007779BA">
            <w:pPr>
              <w:shd w:val="clear" w:color="auto" w:fill="FFFFFF"/>
              <w:rPr>
                <w:b/>
                <w:bCs/>
                <w:noProof/>
                <w:sz w:val="22"/>
                <w:szCs w:val="22"/>
                <w:lang w:val="sr-Latn-CS"/>
              </w:rPr>
            </w:pPr>
            <w:r w:rsidRPr="00402700">
              <w:rPr>
                <w:b/>
                <w:bCs/>
                <w:noProof/>
                <w:sz w:val="22"/>
                <w:szCs w:val="22"/>
                <w:lang w:val="sr-Latn-CS"/>
              </w:rPr>
              <w:t xml:space="preserve">Opšti poremećaji i reakcije na mjestu primjene </w:t>
            </w:r>
          </w:p>
        </w:tc>
      </w:tr>
      <w:tr w:rsidR="009F7685" w:rsidRPr="00402700" w14:paraId="3C786A1F" w14:textId="77777777" w:rsidTr="002D4B9C">
        <w:trPr>
          <w:tblCellSpacing w:w="0" w:type="dxa"/>
        </w:trPr>
        <w:tc>
          <w:tcPr>
            <w:tcW w:w="1410" w:type="dxa"/>
          </w:tcPr>
          <w:p w14:paraId="66DDACB8"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Česte</w:t>
            </w:r>
          </w:p>
        </w:tc>
        <w:tc>
          <w:tcPr>
            <w:tcW w:w="7647" w:type="dxa"/>
          </w:tcPr>
          <w:p w14:paraId="61380082" w14:textId="332C8C8B" w:rsidR="009F7685" w:rsidRPr="00402700" w:rsidRDefault="009F7685" w:rsidP="007779BA">
            <w:pPr>
              <w:rPr>
                <w:noProof/>
                <w:color w:val="000000"/>
                <w:sz w:val="22"/>
                <w:szCs w:val="22"/>
                <w:lang w:val="sr-Latn-CS"/>
              </w:rPr>
            </w:pPr>
            <w:r w:rsidRPr="00402700">
              <w:rPr>
                <w:noProof/>
                <w:sz w:val="22"/>
                <w:szCs w:val="22"/>
                <w:lang w:val="sr-Latn-CS"/>
              </w:rPr>
              <w:t>Astenija, zamor, periferni edemi, pireksija</w:t>
            </w:r>
          </w:p>
        </w:tc>
      </w:tr>
      <w:tr w:rsidR="009F7685" w:rsidRPr="00402700" w14:paraId="0EC33610" w14:textId="77777777" w:rsidTr="002D4B9C">
        <w:trPr>
          <w:tblCellSpacing w:w="0" w:type="dxa"/>
        </w:trPr>
        <w:tc>
          <w:tcPr>
            <w:tcW w:w="1410" w:type="dxa"/>
          </w:tcPr>
          <w:p w14:paraId="728BFA81"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7F161F7F" w14:textId="6A5F6878" w:rsidR="009F7685" w:rsidRPr="00402700" w:rsidRDefault="009F7685" w:rsidP="007779BA">
            <w:pPr>
              <w:rPr>
                <w:noProof/>
                <w:color w:val="000000"/>
                <w:sz w:val="22"/>
                <w:szCs w:val="22"/>
                <w:lang w:val="sr-Latn-CS"/>
              </w:rPr>
            </w:pPr>
            <w:r w:rsidRPr="00402700">
              <w:rPr>
                <w:noProof/>
                <w:sz w:val="22"/>
                <w:szCs w:val="22"/>
                <w:lang w:val="sr-Latn-CS"/>
              </w:rPr>
              <w:t xml:space="preserve">Bolest slična gripu, edem donjih udova*, bol, </w:t>
            </w:r>
            <w:r w:rsidR="00B33277" w:rsidRPr="00402700">
              <w:rPr>
                <w:noProof/>
                <w:sz w:val="22"/>
                <w:szCs w:val="22"/>
                <w:lang w:val="sr-Latn-CS"/>
              </w:rPr>
              <w:t>ukočenost</w:t>
            </w:r>
            <w:r w:rsidRPr="00402700">
              <w:rPr>
                <w:noProof/>
                <w:sz w:val="22"/>
                <w:szCs w:val="22"/>
                <w:lang w:val="sr-Latn-CS"/>
              </w:rPr>
              <w:t>*, žeđ*, slabost*</w:t>
            </w:r>
          </w:p>
        </w:tc>
      </w:tr>
      <w:tr w:rsidR="009F7685" w:rsidRPr="00402700" w14:paraId="2E98561B" w14:textId="77777777" w:rsidTr="002D4B9C">
        <w:trPr>
          <w:tblCellSpacing w:w="0" w:type="dxa"/>
        </w:trPr>
        <w:tc>
          <w:tcPr>
            <w:tcW w:w="9057" w:type="dxa"/>
            <w:gridSpan w:val="2"/>
          </w:tcPr>
          <w:p w14:paraId="71FDBF14" w14:textId="77777777" w:rsidR="009F7685" w:rsidRPr="00402700" w:rsidRDefault="009F7685" w:rsidP="007779BA">
            <w:pPr>
              <w:rPr>
                <w:noProof/>
                <w:color w:val="000000"/>
                <w:sz w:val="22"/>
                <w:szCs w:val="22"/>
                <w:lang w:val="sr-Latn-CS"/>
              </w:rPr>
            </w:pPr>
            <w:r w:rsidRPr="00402700">
              <w:rPr>
                <w:b/>
                <w:bCs/>
                <w:noProof/>
                <w:sz w:val="22"/>
                <w:szCs w:val="22"/>
                <w:lang w:val="sr-Latn-CS"/>
              </w:rPr>
              <w:t>Povrede, trovanja i proceduralne komplikacije</w:t>
            </w:r>
          </w:p>
        </w:tc>
      </w:tr>
      <w:tr w:rsidR="009F7685" w:rsidRPr="00402700" w14:paraId="515A0A45" w14:textId="77777777" w:rsidTr="002D4B9C">
        <w:trPr>
          <w:tblCellSpacing w:w="0" w:type="dxa"/>
        </w:trPr>
        <w:tc>
          <w:tcPr>
            <w:tcW w:w="1410" w:type="dxa"/>
          </w:tcPr>
          <w:p w14:paraId="252C1CC2" w14:textId="77777777" w:rsidR="009F7685" w:rsidRPr="00402700" w:rsidRDefault="009F7685" w:rsidP="007779BA">
            <w:pPr>
              <w:rPr>
                <w:noProof/>
                <w:color w:val="000000"/>
                <w:sz w:val="22"/>
                <w:szCs w:val="22"/>
                <w:lang w:val="sr-Latn-CS"/>
              </w:rPr>
            </w:pPr>
            <w:r w:rsidRPr="00402700">
              <w:rPr>
                <w:noProof/>
                <w:color w:val="000000"/>
                <w:sz w:val="22"/>
                <w:szCs w:val="22"/>
                <w:lang w:val="sr-Latn-CS"/>
              </w:rPr>
              <w:t xml:space="preserve">Povremene </w:t>
            </w:r>
          </w:p>
        </w:tc>
        <w:tc>
          <w:tcPr>
            <w:tcW w:w="7647" w:type="dxa"/>
          </w:tcPr>
          <w:p w14:paraId="2857F4E0" w14:textId="77777777" w:rsidR="009F7685" w:rsidRPr="00402700" w:rsidRDefault="009F7685" w:rsidP="007779BA">
            <w:pPr>
              <w:rPr>
                <w:noProof/>
                <w:color w:val="000000"/>
                <w:sz w:val="22"/>
                <w:szCs w:val="22"/>
                <w:lang w:val="sr-Latn-CS"/>
              </w:rPr>
            </w:pPr>
            <w:r w:rsidRPr="00402700">
              <w:rPr>
                <w:noProof/>
                <w:sz w:val="22"/>
                <w:szCs w:val="22"/>
                <w:lang w:val="sr-Latn-CS"/>
              </w:rPr>
              <w:t>Kontuzija*</w:t>
            </w:r>
          </w:p>
        </w:tc>
      </w:tr>
    </w:tbl>
    <w:p w14:paraId="0648CB31" w14:textId="77777777" w:rsidR="009F7685" w:rsidRPr="00402700" w:rsidRDefault="009F7685" w:rsidP="002C32CA">
      <w:pPr>
        <w:shd w:val="clear" w:color="auto" w:fill="FFFFFF"/>
        <w:jc w:val="both"/>
        <w:rPr>
          <w:noProof/>
          <w:sz w:val="22"/>
          <w:szCs w:val="22"/>
          <w:lang w:val="sr-Latn-CS"/>
        </w:rPr>
      </w:pPr>
      <w:r w:rsidRPr="00402700">
        <w:rPr>
          <w:noProof/>
          <w:sz w:val="22"/>
          <w:szCs w:val="22"/>
          <w:lang w:val="sr-Latn-CS"/>
        </w:rPr>
        <w:t>* događaj prijavljen samo kod jednog pacijenta (od 372).</w:t>
      </w:r>
    </w:p>
    <w:p w14:paraId="0D7AD24C" w14:textId="44C96DE5"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Napomena: pacijenti sa presađenim bubregom liječeni su sa 1440 mg lijeka Myfortic dnevno do jedne godine. Sličan profil je viđen kod pacijenata </w:t>
      </w:r>
      <w:r w:rsidRPr="00402700">
        <w:rPr>
          <w:i/>
          <w:noProof/>
          <w:sz w:val="22"/>
          <w:szCs w:val="22"/>
          <w:lang w:val="sr-Latn-CS"/>
        </w:rPr>
        <w:t xml:space="preserve">de novo </w:t>
      </w:r>
      <w:r w:rsidRPr="00402700">
        <w:rPr>
          <w:noProof/>
          <w:sz w:val="22"/>
          <w:szCs w:val="22"/>
          <w:lang w:val="sr-Latn-CS"/>
        </w:rPr>
        <w:t xml:space="preserve"> i kod pacijenata na terapiji održavanja, mada je incidenca neželjenih reakcija težila da bude niža kod pacijenata na održavanju.</w:t>
      </w:r>
    </w:p>
    <w:p w14:paraId="145F291A" w14:textId="77777777" w:rsidR="002147C6" w:rsidRPr="00402700" w:rsidRDefault="002147C6" w:rsidP="002C32CA">
      <w:pPr>
        <w:shd w:val="clear" w:color="auto" w:fill="FFFFFF"/>
        <w:tabs>
          <w:tab w:val="left" w:pos="965"/>
        </w:tabs>
        <w:jc w:val="both"/>
        <w:rPr>
          <w:noProof/>
          <w:sz w:val="22"/>
          <w:szCs w:val="22"/>
          <w:lang w:val="sr-Latn-CS"/>
        </w:rPr>
      </w:pPr>
    </w:p>
    <w:p w14:paraId="3BE2553F" w14:textId="77777777" w:rsidR="009F7685" w:rsidRPr="00402700" w:rsidRDefault="009F7685" w:rsidP="002C32CA">
      <w:pPr>
        <w:shd w:val="clear" w:color="auto" w:fill="FFFFFF"/>
        <w:tabs>
          <w:tab w:val="left" w:pos="965"/>
        </w:tabs>
        <w:jc w:val="both"/>
        <w:rPr>
          <w:noProof/>
          <w:sz w:val="22"/>
          <w:szCs w:val="22"/>
          <w:u w:val="single"/>
          <w:lang w:val="sr-Latn-CS"/>
        </w:rPr>
      </w:pPr>
      <w:r w:rsidRPr="00402700">
        <w:rPr>
          <w:noProof/>
          <w:sz w:val="22"/>
          <w:szCs w:val="22"/>
          <w:u w:val="single"/>
          <w:lang w:val="sr-Latn-CS"/>
        </w:rPr>
        <w:t>Neželjene reakcije u periodu nakon stavljanja lijeka u promet:</w:t>
      </w:r>
    </w:p>
    <w:p w14:paraId="5318C14D" w14:textId="77777777" w:rsidR="00076420" w:rsidRPr="00402700" w:rsidRDefault="00076420" w:rsidP="00AE7FEC">
      <w:pPr>
        <w:shd w:val="clear" w:color="auto" w:fill="FFFFFF"/>
        <w:tabs>
          <w:tab w:val="left" w:pos="965"/>
        </w:tabs>
        <w:jc w:val="both"/>
        <w:rPr>
          <w:noProof/>
          <w:sz w:val="22"/>
          <w:szCs w:val="22"/>
          <w:lang w:val="sr-Latn-CS"/>
        </w:rPr>
      </w:pPr>
    </w:p>
    <w:p w14:paraId="76F8E7D1" w14:textId="77777777" w:rsidR="00917AB1" w:rsidRPr="00917AB1" w:rsidRDefault="00917AB1" w:rsidP="00917AB1">
      <w:pPr>
        <w:shd w:val="clear" w:color="auto" w:fill="FFFFFF"/>
        <w:tabs>
          <w:tab w:val="left" w:pos="965"/>
        </w:tabs>
        <w:jc w:val="both"/>
        <w:rPr>
          <w:noProof/>
          <w:sz w:val="22"/>
          <w:szCs w:val="22"/>
          <w:lang w:val="sr-Latn-CS"/>
        </w:rPr>
      </w:pPr>
      <w:r w:rsidRPr="00917AB1">
        <w:rPr>
          <w:noProof/>
          <w:sz w:val="22"/>
          <w:szCs w:val="22"/>
          <w:lang w:val="sr-Latn-CS"/>
        </w:rPr>
        <w:t>Poremećaji krvi i limfnog sistema: Agranulocitoza</w:t>
      </w:r>
    </w:p>
    <w:p w14:paraId="45E223E1" w14:textId="77777777" w:rsidR="00917AB1" w:rsidRPr="00917AB1" w:rsidRDefault="00917AB1" w:rsidP="00917AB1">
      <w:pPr>
        <w:shd w:val="clear" w:color="auto" w:fill="FFFFFF"/>
        <w:tabs>
          <w:tab w:val="left" w:pos="965"/>
        </w:tabs>
        <w:jc w:val="both"/>
        <w:rPr>
          <w:noProof/>
          <w:sz w:val="22"/>
          <w:szCs w:val="22"/>
          <w:lang w:val="sr-Latn-CS"/>
        </w:rPr>
      </w:pPr>
    </w:p>
    <w:p w14:paraId="0F873865" w14:textId="77777777" w:rsidR="00917AB1" w:rsidRPr="00917AB1" w:rsidRDefault="00917AB1" w:rsidP="00917AB1">
      <w:pPr>
        <w:shd w:val="clear" w:color="auto" w:fill="FFFFFF"/>
        <w:tabs>
          <w:tab w:val="left" w:pos="965"/>
        </w:tabs>
        <w:jc w:val="both"/>
        <w:rPr>
          <w:noProof/>
          <w:sz w:val="22"/>
          <w:szCs w:val="22"/>
          <w:lang w:val="sr-Latn-CS"/>
        </w:rPr>
      </w:pPr>
      <w:r w:rsidRPr="00917AB1">
        <w:rPr>
          <w:noProof/>
          <w:sz w:val="22"/>
          <w:szCs w:val="22"/>
          <w:lang w:val="sr-Latn-CS"/>
        </w:rPr>
        <w:t>Poremećaji imunog sistema: Hipersenzitivna reakcija (uključujući anafilaksu)</w:t>
      </w:r>
    </w:p>
    <w:p w14:paraId="518B435F" w14:textId="77777777" w:rsidR="00917AB1" w:rsidRPr="00917AB1" w:rsidRDefault="00917AB1" w:rsidP="00917AB1">
      <w:pPr>
        <w:shd w:val="clear" w:color="auto" w:fill="FFFFFF"/>
        <w:tabs>
          <w:tab w:val="left" w:pos="965"/>
        </w:tabs>
        <w:jc w:val="both"/>
        <w:rPr>
          <w:noProof/>
          <w:sz w:val="22"/>
          <w:szCs w:val="22"/>
          <w:lang w:val="sr-Latn-CS"/>
        </w:rPr>
      </w:pPr>
    </w:p>
    <w:p w14:paraId="4A34AA6C" w14:textId="5E1A60B7" w:rsidR="009F7685" w:rsidRDefault="00917AB1" w:rsidP="00917AB1">
      <w:pPr>
        <w:shd w:val="clear" w:color="auto" w:fill="FFFFFF"/>
        <w:tabs>
          <w:tab w:val="left" w:pos="965"/>
        </w:tabs>
        <w:jc w:val="both"/>
        <w:rPr>
          <w:noProof/>
          <w:sz w:val="22"/>
          <w:szCs w:val="22"/>
          <w:lang w:val="sr-Latn-CS"/>
        </w:rPr>
      </w:pPr>
      <w:r w:rsidRPr="00917AB1">
        <w:rPr>
          <w:noProof/>
          <w:sz w:val="22"/>
          <w:szCs w:val="22"/>
          <w:lang w:val="sr-Latn-CS"/>
        </w:rPr>
        <w:t>Poremećaji kože i potkožnog tkiva: Osip</w:t>
      </w:r>
    </w:p>
    <w:p w14:paraId="34FD4365" w14:textId="77777777" w:rsidR="00917AB1" w:rsidRPr="00402700" w:rsidRDefault="00917AB1" w:rsidP="00917AB1">
      <w:pPr>
        <w:shd w:val="clear" w:color="auto" w:fill="FFFFFF"/>
        <w:tabs>
          <w:tab w:val="left" w:pos="965"/>
        </w:tabs>
        <w:jc w:val="both"/>
        <w:rPr>
          <w:noProof/>
          <w:sz w:val="22"/>
          <w:szCs w:val="22"/>
          <w:lang w:val="sr-Latn-CS"/>
        </w:rPr>
      </w:pPr>
    </w:p>
    <w:p w14:paraId="617AD111" w14:textId="2E46C9A9" w:rsidR="009F7685" w:rsidRPr="00402700" w:rsidRDefault="009F7685" w:rsidP="002C32CA">
      <w:pPr>
        <w:autoSpaceDE w:val="0"/>
        <w:autoSpaceDN w:val="0"/>
        <w:adjustRightInd w:val="0"/>
        <w:jc w:val="both"/>
        <w:rPr>
          <w:noProof/>
          <w:sz w:val="22"/>
          <w:szCs w:val="22"/>
          <w:u w:val="single"/>
          <w:lang w:val="sr-Latn-CS"/>
        </w:rPr>
      </w:pPr>
      <w:r w:rsidRPr="00402700">
        <w:rPr>
          <w:noProof/>
          <w:sz w:val="22"/>
          <w:szCs w:val="22"/>
          <w:lang w:val="sr-Latn-CS"/>
        </w:rPr>
        <w:t>Opšti poremećaji i reakcije na mjestu primjene lijeka: Povremeno se javljao de novo akutni inflamatorni sindrom povezan sa inhibitorima sinteze purina koji je opisan u postmarketinškom iskustvu kao paradoksalna proinflamatorna reakcija povezana sa mikofenolat mofetilom i mikofenolnom kiselinom, koji se karakteriše povišenom tjelesnom temperaturom, artralgijom, artritisom, bolom u mišićima i povišenim zapaljenskim markerima. Izv</w:t>
      </w:r>
      <w:r w:rsidR="00AB76B1" w:rsidRPr="00402700">
        <w:rPr>
          <w:noProof/>
          <w:sz w:val="22"/>
          <w:szCs w:val="22"/>
          <w:lang w:val="sr-Latn-CS"/>
        </w:rPr>
        <w:t>j</w:t>
      </w:r>
      <w:r w:rsidRPr="00402700">
        <w:rPr>
          <w:noProof/>
          <w:sz w:val="22"/>
          <w:szCs w:val="22"/>
          <w:lang w:val="sr-Latn-CS"/>
        </w:rPr>
        <w:t xml:space="preserve">eštaji o slučajevima u literaturi su pokazali brzo poboljšanje koje prati obustavu primjene lijeka. </w:t>
      </w:r>
    </w:p>
    <w:p w14:paraId="03A2C75C" w14:textId="77777777" w:rsidR="00076420" w:rsidRPr="00402700" w:rsidRDefault="00076420" w:rsidP="002C32CA">
      <w:pPr>
        <w:shd w:val="clear" w:color="auto" w:fill="FFFFFF"/>
        <w:tabs>
          <w:tab w:val="left" w:pos="965"/>
        </w:tabs>
        <w:jc w:val="both"/>
        <w:rPr>
          <w:noProof/>
          <w:sz w:val="22"/>
          <w:szCs w:val="22"/>
          <w:lang w:val="sr-Latn-CS"/>
        </w:rPr>
      </w:pPr>
    </w:p>
    <w:p w14:paraId="5F591D0B" w14:textId="359F5F61" w:rsidR="009F7685" w:rsidRPr="00402700" w:rsidRDefault="009F7685" w:rsidP="002C32CA">
      <w:pPr>
        <w:shd w:val="clear" w:color="auto" w:fill="FFFFFF"/>
        <w:tabs>
          <w:tab w:val="left" w:pos="965"/>
        </w:tabs>
        <w:jc w:val="both"/>
        <w:rPr>
          <w:noProof/>
          <w:sz w:val="22"/>
          <w:szCs w:val="22"/>
          <w:lang w:val="sr-Latn-CS"/>
        </w:rPr>
      </w:pPr>
      <w:r w:rsidRPr="00402700">
        <w:rPr>
          <w:noProof/>
          <w:sz w:val="22"/>
          <w:szCs w:val="22"/>
          <w:lang w:val="sr-Latn-CS"/>
        </w:rPr>
        <w:t xml:space="preserve">Sljedeće neželjene reakcije pripisuju se jedinjenjima mikofenolne kiseline kao </w:t>
      </w:r>
      <w:r w:rsidR="00076420" w:rsidRPr="00402700">
        <w:rPr>
          <w:noProof/>
          <w:sz w:val="22"/>
          <w:szCs w:val="22"/>
          <w:lang w:val="sr-Latn-CS"/>
        </w:rPr>
        <w:t xml:space="preserve">klasni </w:t>
      </w:r>
      <w:r w:rsidRPr="00402700">
        <w:rPr>
          <w:noProof/>
          <w:sz w:val="22"/>
          <w:szCs w:val="22"/>
          <w:lang w:val="sr-Latn-CS"/>
        </w:rPr>
        <w:t>efekat:</w:t>
      </w:r>
    </w:p>
    <w:p w14:paraId="66FC9371" w14:textId="77777777" w:rsidR="007779BA" w:rsidRPr="00402700" w:rsidRDefault="007779BA" w:rsidP="002C32CA">
      <w:pPr>
        <w:pStyle w:val="Text"/>
        <w:spacing w:before="0"/>
        <w:rPr>
          <w:rFonts w:ascii="Times New Roman" w:hAnsi="Times New Roman"/>
          <w:bCs/>
          <w:noProof/>
          <w:sz w:val="22"/>
          <w:szCs w:val="22"/>
          <w:u w:val="single"/>
          <w:lang w:val="sr-Latn-CS" w:eastAsia="en-US"/>
        </w:rPr>
      </w:pPr>
    </w:p>
    <w:p w14:paraId="78BC1B30" w14:textId="78657313" w:rsidR="009F7685" w:rsidRPr="00402700" w:rsidRDefault="009F7685" w:rsidP="002C32CA">
      <w:pPr>
        <w:pStyle w:val="Text"/>
        <w:spacing w:before="0"/>
        <w:rPr>
          <w:rFonts w:ascii="Times New Roman" w:hAnsi="Times New Roman"/>
          <w:bCs/>
          <w:noProof/>
          <w:sz w:val="22"/>
          <w:szCs w:val="22"/>
          <w:u w:val="single"/>
          <w:lang w:val="sr-Latn-CS" w:eastAsia="en-US"/>
        </w:rPr>
      </w:pPr>
      <w:r w:rsidRPr="00402700">
        <w:rPr>
          <w:rFonts w:ascii="Times New Roman" w:hAnsi="Times New Roman"/>
          <w:bCs/>
          <w:noProof/>
          <w:sz w:val="22"/>
          <w:szCs w:val="22"/>
          <w:u w:val="single"/>
          <w:lang w:val="sr-Latn-CS" w:eastAsia="en-US"/>
        </w:rPr>
        <w:t xml:space="preserve">Infekcije i infestacije: </w:t>
      </w:r>
    </w:p>
    <w:p w14:paraId="636C0BBA" w14:textId="247D8833" w:rsidR="009F7685" w:rsidRPr="00402700" w:rsidRDefault="009F7685" w:rsidP="002C32CA">
      <w:pPr>
        <w:pStyle w:val="Text"/>
        <w:spacing w:before="0"/>
        <w:rPr>
          <w:rFonts w:ascii="Times New Roman" w:hAnsi="Times New Roman"/>
          <w:noProof/>
          <w:sz w:val="22"/>
          <w:szCs w:val="22"/>
          <w:lang w:val="sr-Latn-CS" w:eastAsia="en-US"/>
        </w:rPr>
      </w:pPr>
      <w:r w:rsidRPr="00402700">
        <w:rPr>
          <w:rFonts w:ascii="Times New Roman" w:hAnsi="Times New Roman"/>
          <w:bCs/>
          <w:noProof/>
          <w:sz w:val="22"/>
          <w:szCs w:val="22"/>
          <w:lang w:val="sr-Latn-CS" w:eastAsia="en-US"/>
        </w:rPr>
        <w:t xml:space="preserve">Ozbiljne, </w:t>
      </w:r>
      <w:r w:rsidR="004804C3" w:rsidRPr="00402700">
        <w:rPr>
          <w:rFonts w:ascii="Times New Roman" w:hAnsi="Times New Roman"/>
          <w:bCs/>
          <w:noProof/>
          <w:sz w:val="22"/>
          <w:szCs w:val="22"/>
          <w:lang w:val="sr-Latn-CS" w:eastAsia="en-US"/>
        </w:rPr>
        <w:t>životno ugrožavajuće</w:t>
      </w:r>
      <w:r w:rsidRPr="00402700">
        <w:rPr>
          <w:rFonts w:ascii="Times New Roman" w:hAnsi="Times New Roman"/>
          <w:noProof/>
          <w:sz w:val="22"/>
          <w:szCs w:val="22"/>
          <w:lang w:val="sr-Latn-CS" w:eastAsia="en-US"/>
        </w:rPr>
        <w:t xml:space="preserve"> infekcije, uključujući meningitis, infektivni endokarditis, tuberkulozu i atipičnu mikobakterijsku infekciju. Kod pacijenata liječenih imunosupresivima, uključujući i lijek Myfortic zabilježeni su</w:t>
      </w:r>
      <w:r w:rsidRPr="00402700">
        <w:rPr>
          <w:rFonts w:ascii="Times New Roman" w:hAnsi="Times New Roman"/>
          <w:noProof/>
          <w:sz w:val="22"/>
          <w:szCs w:val="22"/>
          <w:lang w:val="sr-Latn-CS"/>
        </w:rPr>
        <w:t xml:space="preserve"> </w:t>
      </w:r>
      <w:r w:rsidRPr="00402700">
        <w:rPr>
          <w:rFonts w:ascii="Times New Roman" w:hAnsi="Times New Roman"/>
          <w:noProof/>
          <w:sz w:val="22"/>
          <w:szCs w:val="22"/>
          <w:lang w:val="sr-Latn-CS" w:eastAsia="en-US"/>
        </w:rPr>
        <w:t xml:space="preserve">slučajevi nefropatije povezane sa BK virusom, kao i slučajevi progresivne multifokalne leukoencefalopatije (PML) povezane sa JC virusom (vidjeti </w:t>
      </w:r>
      <w:r w:rsidR="007779BA" w:rsidRPr="00402700">
        <w:rPr>
          <w:rFonts w:ascii="Times New Roman" w:hAnsi="Times New Roman"/>
          <w:noProof/>
          <w:sz w:val="22"/>
          <w:szCs w:val="22"/>
          <w:lang w:val="sr-Latn-CS" w:eastAsia="en-US"/>
        </w:rPr>
        <w:t>dio</w:t>
      </w:r>
      <w:r w:rsidRPr="00402700">
        <w:rPr>
          <w:rFonts w:ascii="Times New Roman" w:hAnsi="Times New Roman"/>
          <w:noProof/>
          <w:sz w:val="22"/>
          <w:szCs w:val="22"/>
          <w:lang w:val="sr-Latn-CS" w:eastAsia="en-US"/>
        </w:rPr>
        <w:t xml:space="preserve"> 4.4).</w:t>
      </w:r>
    </w:p>
    <w:p w14:paraId="1934BEAF" w14:textId="77777777" w:rsidR="007779BA" w:rsidRPr="00402700" w:rsidRDefault="007779BA" w:rsidP="002C32CA">
      <w:pPr>
        <w:shd w:val="clear" w:color="auto" w:fill="FFFFFF"/>
        <w:jc w:val="both"/>
        <w:rPr>
          <w:bCs/>
          <w:noProof/>
          <w:sz w:val="22"/>
          <w:szCs w:val="22"/>
          <w:u w:val="single"/>
          <w:lang w:val="sr-Latn-CS"/>
        </w:rPr>
      </w:pPr>
    </w:p>
    <w:p w14:paraId="430AD22F" w14:textId="28A9E7F7" w:rsidR="009F7685" w:rsidRPr="00402700" w:rsidRDefault="009F7685" w:rsidP="002C32CA">
      <w:pPr>
        <w:shd w:val="clear" w:color="auto" w:fill="FFFFFF"/>
        <w:jc w:val="both"/>
        <w:rPr>
          <w:bCs/>
          <w:noProof/>
          <w:sz w:val="22"/>
          <w:szCs w:val="22"/>
          <w:u w:val="single"/>
          <w:lang w:val="sr-Latn-CS"/>
        </w:rPr>
      </w:pPr>
      <w:r w:rsidRPr="00402700">
        <w:rPr>
          <w:bCs/>
          <w:noProof/>
          <w:sz w:val="22"/>
          <w:szCs w:val="22"/>
          <w:u w:val="single"/>
          <w:lang w:val="sr-Latn-CS"/>
        </w:rPr>
        <w:t xml:space="preserve">Poremećaji krvi i limfnog sistema: </w:t>
      </w:r>
    </w:p>
    <w:p w14:paraId="112E3955" w14:textId="77777777" w:rsidR="009F7685" w:rsidRPr="00402700" w:rsidRDefault="009F7685" w:rsidP="002C32CA">
      <w:pPr>
        <w:shd w:val="clear" w:color="auto" w:fill="FFFFFF"/>
        <w:jc w:val="both"/>
        <w:rPr>
          <w:noProof/>
          <w:sz w:val="22"/>
          <w:szCs w:val="22"/>
          <w:lang w:val="sr-Latn-CS"/>
        </w:rPr>
      </w:pPr>
      <w:r w:rsidRPr="00402700">
        <w:rPr>
          <w:noProof/>
          <w:sz w:val="22"/>
          <w:szCs w:val="22"/>
          <w:lang w:val="sr-Latn-CS"/>
        </w:rPr>
        <w:t xml:space="preserve">Neutropenija, pancitopenija. </w:t>
      </w:r>
    </w:p>
    <w:p w14:paraId="355A26B4" w14:textId="0A3C32C0" w:rsidR="009F7685" w:rsidRPr="00402700" w:rsidRDefault="009F7685" w:rsidP="002C32CA">
      <w:pPr>
        <w:shd w:val="clear" w:color="auto" w:fill="FFFFFF"/>
        <w:jc w:val="both"/>
        <w:rPr>
          <w:noProof/>
          <w:sz w:val="22"/>
          <w:szCs w:val="22"/>
          <w:lang w:val="sr-Latn-CS"/>
        </w:rPr>
      </w:pPr>
      <w:r w:rsidRPr="00402700">
        <w:rPr>
          <w:noProof/>
          <w:sz w:val="22"/>
          <w:szCs w:val="22"/>
          <w:lang w:val="sr-Latn-CS"/>
        </w:rPr>
        <w:t xml:space="preserve">Slučajevi izolovane aplazije crvene loze (PRCA) su prijavljeni kod pacijenata koji su liječeni derivatima mikofenolne kiseline (vidjeti </w:t>
      </w:r>
      <w:r w:rsidR="007779BA" w:rsidRPr="00402700">
        <w:rPr>
          <w:noProof/>
          <w:sz w:val="22"/>
          <w:szCs w:val="22"/>
          <w:lang w:val="sr-Latn-CS"/>
        </w:rPr>
        <w:t>dio</w:t>
      </w:r>
      <w:r w:rsidRPr="00402700">
        <w:rPr>
          <w:noProof/>
          <w:sz w:val="22"/>
          <w:szCs w:val="22"/>
          <w:lang w:val="sr-Latn-CS"/>
        </w:rPr>
        <w:t xml:space="preserve"> 4.4).</w:t>
      </w:r>
    </w:p>
    <w:p w14:paraId="19CFFE52" w14:textId="77777777" w:rsidR="007779BA" w:rsidRPr="00402700" w:rsidRDefault="007779BA" w:rsidP="002C32CA">
      <w:pPr>
        <w:shd w:val="clear" w:color="auto" w:fill="FFFFFF"/>
        <w:jc w:val="both"/>
        <w:rPr>
          <w:noProof/>
          <w:sz w:val="22"/>
          <w:szCs w:val="22"/>
          <w:u w:val="single"/>
          <w:lang w:val="sr-Latn-CS"/>
        </w:rPr>
      </w:pPr>
    </w:p>
    <w:p w14:paraId="5E8BA367" w14:textId="2EC9D84B" w:rsidR="009F7685" w:rsidRPr="00402700" w:rsidRDefault="009F7685" w:rsidP="002C32CA">
      <w:pPr>
        <w:shd w:val="clear" w:color="auto" w:fill="FFFFFF"/>
        <w:jc w:val="both"/>
        <w:rPr>
          <w:noProof/>
          <w:sz w:val="22"/>
          <w:szCs w:val="22"/>
          <w:u w:val="single"/>
          <w:lang w:val="sr-Latn-CS"/>
        </w:rPr>
      </w:pPr>
      <w:r w:rsidRPr="00402700">
        <w:rPr>
          <w:noProof/>
          <w:sz w:val="22"/>
          <w:szCs w:val="22"/>
          <w:u w:val="single"/>
          <w:lang w:val="sr-Latn-CS"/>
        </w:rPr>
        <w:t>Poremećaji imunskog sistema</w:t>
      </w:r>
      <w:r w:rsidR="009C7CC0" w:rsidRPr="00402700">
        <w:rPr>
          <w:noProof/>
          <w:sz w:val="22"/>
          <w:szCs w:val="22"/>
          <w:u w:val="single"/>
          <w:lang w:val="sr-Latn-CS"/>
        </w:rPr>
        <w:t>:</w:t>
      </w:r>
    </w:p>
    <w:p w14:paraId="2E08825B" w14:textId="797DD93F" w:rsidR="009F7685" w:rsidRPr="00402700" w:rsidRDefault="009F7685" w:rsidP="002C32CA">
      <w:pPr>
        <w:shd w:val="clear" w:color="auto" w:fill="FFFFFF"/>
        <w:jc w:val="both"/>
        <w:rPr>
          <w:noProof/>
          <w:sz w:val="22"/>
          <w:szCs w:val="22"/>
          <w:lang w:val="sr-Latn-CS"/>
        </w:rPr>
      </w:pPr>
      <w:r w:rsidRPr="00402700">
        <w:rPr>
          <w:noProof/>
          <w:sz w:val="22"/>
          <w:szCs w:val="22"/>
          <w:lang w:val="sr-Latn-CS"/>
        </w:rPr>
        <w:t xml:space="preserve">Hipogamaglobulinemija je prijavljivana kod pacijenata koji su uzimali </w:t>
      </w:r>
      <w:r w:rsidR="009C7CC0" w:rsidRPr="00402700">
        <w:rPr>
          <w:noProof/>
          <w:sz w:val="22"/>
          <w:szCs w:val="22"/>
          <w:lang w:val="sr-Latn-CS"/>
        </w:rPr>
        <w:t xml:space="preserve">lijek </w:t>
      </w:r>
      <w:r w:rsidRPr="00402700">
        <w:rPr>
          <w:noProof/>
          <w:sz w:val="22"/>
          <w:szCs w:val="22"/>
          <w:lang w:val="sr-Latn-CS"/>
        </w:rPr>
        <w:t>Myfortic u kombinaciji sa drugim imunosupresivima.</w:t>
      </w:r>
    </w:p>
    <w:p w14:paraId="4378A955" w14:textId="77777777" w:rsidR="007779BA" w:rsidRPr="00402700" w:rsidRDefault="007779BA" w:rsidP="002C32CA">
      <w:pPr>
        <w:shd w:val="clear" w:color="auto" w:fill="FFFFFF"/>
        <w:jc w:val="both"/>
        <w:rPr>
          <w:bCs/>
          <w:noProof/>
          <w:sz w:val="22"/>
          <w:szCs w:val="22"/>
          <w:u w:val="single"/>
          <w:lang w:val="sr-Latn-CS"/>
        </w:rPr>
      </w:pPr>
    </w:p>
    <w:p w14:paraId="177DB208" w14:textId="503B4E40" w:rsidR="009F7685" w:rsidRPr="00402700" w:rsidRDefault="009F7685" w:rsidP="002C32CA">
      <w:pPr>
        <w:shd w:val="clear" w:color="auto" w:fill="FFFFFF"/>
        <w:jc w:val="both"/>
        <w:rPr>
          <w:bCs/>
          <w:noProof/>
          <w:sz w:val="22"/>
          <w:szCs w:val="22"/>
          <w:u w:val="single"/>
          <w:lang w:val="sr-Latn-CS"/>
        </w:rPr>
      </w:pPr>
      <w:r w:rsidRPr="00402700">
        <w:rPr>
          <w:bCs/>
          <w:noProof/>
          <w:sz w:val="22"/>
          <w:szCs w:val="22"/>
          <w:u w:val="single"/>
          <w:lang w:val="sr-Latn-CS"/>
        </w:rPr>
        <w:t>Respiratorni, torakalni i medijastinalni poremećaji</w:t>
      </w:r>
      <w:r w:rsidR="009C7CC0" w:rsidRPr="00402700">
        <w:rPr>
          <w:bCs/>
          <w:noProof/>
          <w:sz w:val="22"/>
          <w:szCs w:val="22"/>
          <w:u w:val="single"/>
          <w:lang w:val="sr-Latn-CS"/>
        </w:rPr>
        <w:t>:</w:t>
      </w:r>
    </w:p>
    <w:p w14:paraId="4C238FA2" w14:textId="58C7A2B7" w:rsidR="009F7685" w:rsidRPr="00402700" w:rsidRDefault="009F7685" w:rsidP="002C32CA">
      <w:pPr>
        <w:shd w:val="clear" w:color="auto" w:fill="FFFFFF"/>
        <w:jc w:val="both"/>
        <w:rPr>
          <w:noProof/>
          <w:sz w:val="22"/>
          <w:szCs w:val="22"/>
          <w:lang w:val="sr-Latn-CS"/>
        </w:rPr>
      </w:pPr>
      <w:r w:rsidRPr="00402700">
        <w:rPr>
          <w:noProof/>
          <w:sz w:val="22"/>
          <w:szCs w:val="22"/>
          <w:lang w:val="sr-Latn-CS"/>
        </w:rPr>
        <w:t>Postoje pojedinačni izvještaji o intersticij</w:t>
      </w:r>
      <w:r w:rsidR="009C7CC0" w:rsidRPr="00402700">
        <w:rPr>
          <w:noProof/>
          <w:sz w:val="22"/>
          <w:szCs w:val="22"/>
          <w:lang w:val="sr-Latn-CS"/>
        </w:rPr>
        <w:t>umskoj</w:t>
      </w:r>
      <w:r w:rsidRPr="00402700">
        <w:rPr>
          <w:noProof/>
          <w:sz w:val="22"/>
          <w:szCs w:val="22"/>
          <w:lang w:val="sr-Latn-CS"/>
        </w:rPr>
        <w:t xml:space="preserve"> plućnoj bolesti kod pacijenata na terapiji lijekom Myfortic u kombinaciji sa drugim imunosupresivima. Takođe postoje izvještaji o bronhiektazijama u kombinaciji sa drugim imunosupresivima.</w:t>
      </w:r>
    </w:p>
    <w:p w14:paraId="0B4A1292" w14:textId="77777777" w:rsidR="009F7685" w:rsidRPr="00402700" w:rsidRDefault="009F7685" w:rsidP="002C32CA">
      <w:pPr>
        <w:shd w:val="clear" w:color="auto" w:fill="FFFFFF"/>
        <w:jc w:val="both"/>
        <w:rPr>
          <w:noProof/>
          <w:sz w:val="22"/>
          <w:szCs w:val="22"/>
          <w:lang w:val="sr-Latn-CS"/>
        </w:rPr>
      </w:pPr>
      <w:r w:rsidRPr="00402700">
        <w:rPr>
          <w:noProof/>
          <w:sz w:val="22"/>
          <w:szCs w:val="22"/>
          <w:lang w:val="sr-Latn-CS"/>
        </w:rPr>
        <w:t>Primijećeni su izolovani slučajevi abnormalne morfologije neutrofila, uključujući i stečenu Pelger-Huet anomaliju, kod pacijenata liječenih derivatima mikofenolne kiseline. Ove promjene nijesu povezane sa oštećenom funkcijom neutrofila. Ove promjene mogu navesti na „pomjeranje ulijevo“ u sazrijevanju neutrofila u hematološkim testovima, što se može pogrešno protumačiti kao znak infekcije kod imunosuprimiranih pacijenata,  kao što su oni koji primjenjuju lijek Myfortic.</w:t>
      </w:r>
    </w:p>
    <w:p w14:paraId="4662099A" w14:textId="77777777" w:rsidR="007779BA" w:rsidRPr="00402700" w:rsidRDefault="007779BA" w:rsidP="002C32CA">
      <w:pPr>
        <w:shd w:val="clear" w:color="auto" w:fill="FFFFFF"/>
        <w:ind w:right="29"/>
        <w:jc w:val="both"/>
        <w:rPr>
          <w:bCs/>
          <w:noProof/>
          <w:sz w:val="22"/>
          <w:szCs w:val="22"/>
          <w:u w:val="single"/>
          <w:lang w:val="sr-Latn-CS"/>
        </w:rPr>
      </w:pPr>
    </w:p>
    <w:p w14:paraId="33B720EA" w14:textId="756BDF4A" w:rsidR="009F7685" w:rsidRPr="00402700" w:rsidRDefault="009F7685" w:rsidP="002C32CA">
      <w:pPr>
        <w:shd w:val="clear" w:color="auto" w:fill="FFFFFF"/>
        <w:ind w:right="29"/>
        <w:jc w:val="both"/>
        <w:rPr>
          <w:bCs/>
          <w:noProof/>
          <w:sz w:val="22"/>
          <w:szCs w:val="22"/>
          <w:u w:val="single"/>
          <w:lang w:val="sr-Latn-CS"/>
        </w:rPr>
      </w:pPr>
      <w:r w:rsidRPr="00402700">
        <w:rPr>
          <w:bCs/>
          <w:noProof/>
          <w:sz w:val="22"/>
          <w:szCs w:val="22"/>
          <w:u w:val="single"/>
          <w:lang w:val="sr-Latn-CS"/>
        </w:rPr>
        <w:t xml:space="preserve">Gastrointestinalni poremećaji: </w:t>
      </w:r>
    </w:p>
    <w:p w14:paraId="13767B7D" w14:textId="77777777" w:rsidR="009F7685" w:rsidRPr="00402700" w:rsidRDefault="009F7685" w:rsidP="002C32CA">
      <w:pPr>
        <w:shd w:val="clear" w:color="auto" w:fill="FFFFFF"/>
        <w:ind w:right="29"/>
        <w:jc w:val="both"/>
        <w:rPr>
          <w:noProof/>
          <w:sz w:val="22"/>
          <w:szCs w:val="22"/>
          <w:lang w:val="sr-Latn-CS"/>
        </w:rPr>
      </w:pPr>
      <w:r w:rsidRPr="00402700">
        <w:rPr>
          <w:noProof/>
          <w:sz w:val="22"/>
          <w:szCs w:val="22"/>
          <w:lang w:val="sr-Latn-CS"/>
        </w:rPr>
        <w:t>Kolitis, CMV gastritis, perforacija crijeva, gastrični ulkusi, duodenalni ulkusi.</w:t>
      </w:r>
    </w:p>
    <w:p w14:paraId="4320ADD7" w14:textId="77777777" w:rsidR="007779BA" w:rsidRPr="00402700" w:rsidRDefault="007779BA" w:rsidP="002C32CA">
      <w:pPr>
        <w:autoSpaceDE w:val="0"/>
        <w:autoSpaceDN w:val="0"/>
        <w:adjustRightInd w:val="0"/>
        <w:jc w:val="both"/>
        <w:rPr>
          <w:noProof/>
          <w:sz w:val="22"/>
          <w:szCs w:val="22"/>
          <w:u w:val="single"/>
          <w:lang w:val="sr-Latn-CS"/>
        </w:rPr>
      </w:pPr>
    </w:p>
    <w:p w14:paraId="436C3304" w14:textId="080F90B5" w:rsidR="009F7685" w:rsidRPr="00402700" w:rsidRDefault="009F7685" w:rsidP="002C32CA">
      <w:pPr>
        <w:autoSpaceDE w:val="0"/>
        <w:autoSpaceDN w:val="0"/>
        <w:adjustRightInd w:val="0"/>
        <w:jc w:val="both"/>
        <w:rPr>
          <w:noProof/>
          <w:sz w:val="22"/>
          <w:szCs w:val="22"/>
          <w:u w:val="single"/>
          <w:lang w:val="sr-Latn-CS"/>
        </w:rPr>
      </w:pPr>
      <w:r w:rsidRPr="00402700">
        <w:rPr>
          <w:noProof/>
          <w:sz w:val="22"/>
          <w:szCs w:val="22"/>
          <w:u w:val="single"/>
          <w:lang w:val="sr-Latn-CS"/>
        </w:rPr>
        <w:t>Trudnoća, puerperijum i perinatalna stanja</w:t>
      </w:r>
      <w:r w:rsidR="009C7CC0" w:rsidRPr="00402700">
        <w:rPr>
          <w:noProof/>
          <w:sz w:val="22"/>
          <w:szCs w:val="22"/>
          <w:u w:val="single"/>
          <w:lang w:val="sr-Latn-CS"/>
        </w:rPr>
        <w:t>:</w:t>
      </w:r>
    </w:p>
    <w:p w14:paraId="28EDFAAB" w14:textId="687B383A" w:rsidR="009F7685" w:rsidRPr="00402700" w:rsidRDefault="009F7685" w:rsidP="002C32CA">
      <w:pPr>
        <w:autoSpaceDE w:val="0"/>
        <w:autoSpaceDN w:val="0"/>
        <w:adjustRightInd w:val="0"/>
        <w:jc w:val="both"/>
        <w:rPr>
          <w:noProof/>
          <w:sz w:val="22"/>
          <w:szCs w:val="22"/>
          <w:lang w:val="sr-Latn-CS"/>
        </w:rPr>
      </w:pPr>
      <w:r w:rsidRPr="00402700">
        <w:rPr>
          <w:noProof/>
          <w:sz w:val="22"/>
          <w:szCs w:val="22"/>
          <w:lang w:val="sr-Latn-CS"/>
        </w:rPr>
        <w:t>Prijavljivani su slučajevi spontanih pobačaja kod pacijentkinja koje su bile izložene d</w:t>
      </w:r>
      <w:r w:rsidR="00AB76B1" w:rsidRPr="00402700">
        <w:rPr>
          <w:noProof/>
          <w:sz w:val="22"/>
          <w:szCs w:val="22"/>
          <w:lang w:val="sr-Latn-CS"/>
        </w:rPr>
        <w:t>j</w:t>
      </w:r>
      <w:r w:rsidRPr="00402700">
        <w:rPr>
          <w:noProof/>
          <w:sz w:val="22"/>
          <w:szCs w:val="22"/>
          <w:lang w:val="sr-Latn-CS"/>
        </w:rPr>
        <w:t xml:space="preserve">elovanju mikofenolata, uglavnom u prvom trimestru trudnoće (vidjeti </w:t>
      </w:r>
      <w:r w:rsidR="007779BA" w:rsidRPr="00402700">
        <w:rPr>
          <w:noProof/>
          <w:sz w:val="22"/>
          <w:szCs w:val="22"/>
          <w:lang w:val="sr-Latn-CS"/>
        </w:rPr>
        <w:t>dio</w:t>
      </w:r>
      <w:r w:rsidRPr="00402700">
        <w:rPr>
          <w:noProof/>
          <w:sz w:val="22"/>
          <w:szCs w:val="22"/>
          <w:lang w:val="sr-Latn-CS"/>
        </w:rPr>
        <w:t xml:space="preserve"> 4.6).</w:t>
      </w:r>
    </w:p>
    <w:p w14:paraId="4CB64045" w14:textId="77777777" w:rsidR="009F7685" w:rsidRPr="00402700" w:rsidRDefault="009F7685" w:rsidP="002C32CA">
      <w:pPr>
        <w:autoSpaceDE w:val="0"/>
        <w:autoSpaceDN w:val="0"/>
        <w:adjustRightInd w:val="0"/>
        <w:jc w:val="both"/>
        <w:rPr>
          <w:noProof/>
          <w:sz w:val="22"/>
          <w:szCs w:val="22"/>
          <w:u w:val="single"/>
          <w:lang w:val="sr-Latn-CS"/>
        </w:rPr>
      </w:pPr>
    </w:p>
    <w:p w14:paraId="06CC8238" w14:textId="7D05AA86" w:rsidR="009F7685" w:rsidRPr="00402700" w:rsidRDefault="009F7685" w:rsidP="002C32CA">
      <w:pPr>
        <w:autoSpaceDE w:val="0"/>
        <w:autoSpaceDN w:val="0"/>
        <w:adjustRightInd w:val="0"/>
        <w:jc w:val="both"/>
        <w:rPr>
          <w:noProof/>
          <w:sz w:val="22"/>
          <w:szCs w:val="22"/>
          <w:u w:val="single"/>
          <w:lang w:val="sr-Latn-CS"/>
        </w:rPr>
      </w:pPr>
      <w:r w:rsidRPr="00402700">
        <w:rPr>
          <w:noProof/>
          <w:sz w:val="22"/>
          <w:szCs w:val="22"/>
          <w:u w:val="single"/>
          <w:lang w:val="sr-Latn-CS"/>
        </w:rPr>
        <w:t>Kongenitalni poremećaji</w:t>
      </w:r>
      <w:r w:rsidR="009C7CC0" w:rsidRPr="00402700">
        <w:rPr>
          <w:noProof/>
          <w:sz w:val="22"/>
          <w:szCs w:val="22"/>
          <w:u w:val="single"/>
          <w:lang w:val="sr-Latn-CS"/>
        </w:rPr>
        <w:t>:</w:t>
      </w:r>
    </w:p>
    <w:p w14:paraId="6EAC4814" w14:textId="120550C2" w:rsidR="009F7685" w:rsidRPr="00402700" w:rsidRDefault="009F7685" w:rsidP="002C32CA">
      <w:pPr>
        <w:autoSpaceDE w:val="0"/>
        <w:autoSpaceDN w:val="0"/>
        <w:adjustRightInd w:val="0"/>
        <w:jc w:val="both"/>
        <w:rPr>
          <w:noProof/>
          <w:sz w:val="22"/>
          <w:szCs w:val="22"/>
          <w:lang w:val="sr-Latn-CS"/>
        </w:rPr>
      </w:pPr>
      <w:r w:rsidRPr="00402700">
        <w:rPr>
          <w:noProof/>
          <w:sz w:val="22"/>
          <w:szCs w:val="22"/>
          <w:lang w:val="sr-Latn-CS"/>
        </w:rPr>
        <w:t xml:space="preserve">Kongenitalne malformacije su </w:t>
      </w:r>
      <w:r w:rsidR="009C7CC0" w:rsidRPr="00402700">
        <w:rPr>
          <w:noProof/>
          <w:sz w:val="22"/>
          <w:szCs w:val="22"/>
          <w:lang w:val="sr-Latn-CS"/>
        </w:rPr>
        <w:t>zabilježene</w:t>
      </w:r>
      <w:r w:rsidRPr="00402700">
        <w:rPr>
          <w:noProof/>
          <w:sz w:val="22"/>
          <w:szCs w:val="22"/>
          <w:lang w:val="sr-Latn-CS"/>
        </w:rPr>
        <w:t xml:space="preserve"> kod djece čiji su roditelji bili izloženi d</w:t>
      </w:r>
      <w:r w:rsidR="00AB76B1" w:rsidRPr="00402700">
        <w:rPr>
          <w:noProof/>
          <w:sz w:val="22"/>
          <w:szCs w:val="22"/>
          <w:lang w:val="sr-Latn-CS"/>
        </w:rPr>
        <w:t>j</w:t>
      </w:r>
      <w:r w:rsidRPr="00402700">
        <w:rPr>
          <w:noProof/>
          <w:sz w:val="22"/>
          <w:szCs w:val="22"/>
          <w:lang w:val="sr-Latn-CS"/>
        </w:rPr>
        <w:t xml:space="preserve">elovanju mikofenolata u kombinaciji sa drugim imunosupreisvima (vidjeti </w:t>
      </w:r>
      <w:r w:rsidR="007779BA" w:rsidRPr="00402700">
        <w:rPr>
          <w:noProof/>
          <w:sz w:val="22"/>
          <w:szCs w:val="22"/>
          <w:lang w:val="sr-Latn-CS"/>
        </w:rPr>
        <w:t>dio</w:t>
      </w:r>
      <w:r w:rsidRPr="00402700">
        <w:rPr>
          <w:noProof/>
          <w:sz w:val="22"/>
          <w:szCs w:val="22"/>
          <w:lang w:val="sr-Latn-CS"/>
        </w:rPr>
        <w:t xml:space="preserve"> 4.6). </w:t>
      </w:r>
    </w:p>
    <w:p w14:paraId="6DA02F8B" w14:textId="77777777" w:rsidR="004E70AD" w:rsidRPr="00402700" w:rsidRDefault="004E70AD" w:rsidP="002C32CA">
      <w:pPr>
        <w:tabs>
          <w:tab w:val="left" w:pos="540"/>
          <w:tab w:val="left" w:pos="569"/>
        </w:tabs>
        <w:jc w:val="both"/>
        <w:rPr>
          <w:b/>
          <w:bCs/>
          <w:noProof/>
          <w:sz w:val="22"/>
          <w:szCs w:val="22"/>
          <w:lang w:val="sr-Latn-CS"/>
        </w:rPr>
      </w:pPr>
    </w:p>
    <w:p w14:paraId="354CD9FD" w14:textId="77777777" w:rsidR="005A23D2" w:rsidRPr="00402700" w:rsidRDefault="005A23D2" w:rsidP="002C32CA">
      <w:pPr>
        <w:jc w:val="both"/>
        <w:rPr>
          <w:rFonts w:eastAsia="Calibri"/>
          <w:noProof/>
          <w:sz w:val="22"/>
          <w:szCs w:val="22"/>
          <w:u w:val="single"/>
          <w:lang w:val="sr-Latn-CS"/>
        </w:rPr>
      </w:pPr>
      <w:r w:rsidRPr="00402700">
        <w:rPr>
          <w:rFonts w:eastAsia="Calibri"/>
          <w:noProof/>
          <w:sz w:val="22"/>
          <w:szCs w:val="22"/>
          <w:u w:val="single"/>
          <w:lang w:val="sr-Latn-CS"/>
        </w:rPr>
        <w:t>Prijavljivanje sumnji na neželjena dejstva</w:t>
      </w:r>
    </w:p>
    <w:p w14:paraId="6053875D" w14:textId="77777777" w:rsidR="005A23D2" w:rsidRPr="00402700" w:rsidRDefault="005A23D2">
      <w:pPr>
        <w:jc w:val="both"/>
        <w:rPr>
          <w:rFonts w:eastAsia="Calibri"/>
          <w:noProof/>
          <w:sz w:val="22"/>
          <w:szCs w:val="22"/>
          <w:lang w:val="sr-Latn-CS"/>
        </w:rPr>
      </w:pPr>
      <w:r w:rsidRPr="00402700">
        <w:rPr>
          <w:rFonts w:eastAsia="Calibri"/>
          <w:noProof/>
          <w:sz w:val="22"/>
          <w:szCs w:val="22"/>
          <w:lang w:val="sr-Latn-CS"/>
        </w:rPr>
        <w:t>Prijavljivanje neželjenih dejstava nakon dobijanja dozvole je od velikog značaja jer obezbjeđuje kont</w:t>
      </w:r>
      <w:r w:rsidR="00EA5765" w:rsidRPr="00402700">
        <w:rPr>
          <w:rFonts w:eastAsia="Calibri"/>
          <w:noProof/>
          <w:sz w:val="22"/>
          <w:szCs w:val="22"/>
          <w:lang w:val="sr-Latn-CS"/>
        </w:rPr>
        <w:t>inuirano praćenje odnosa korist</w:t>
      </w:r>
      <w:r w:rsidRPr="00402700">
        <w:rPr>
          <w:rFonts w:eastAsia="Calibri"/>
          <w:noProof/>
          <w:sz w:val="22"/>
          <w:szCs w:val="22"/>
          <w:lang w:val="sr-Latn-CS"/>
        </w:rPr>
        <w:t>/rizik primjene lijeka. Zdravstveni radnici treba da prijave svaku sumnju na neželjeno</w:t>
      </w:r>
      <w:r w:rsidR="009B062A" w:rsidRPr="00402700">
        <w:rPr>
          <w:rFonts w:eastAsia="Calibri"/>
          <w:noProof/>
          <w:sz w:val="22"/>
          <w:szCs w:val="22"/>
          <w:lang w:val="sr-Latn-CS"/>
        </w:rPr>
        <w:t xml:space="preserve"> </w:t>
      </w:r>
      <w:r w:rsidRPr="00402700">
        <w:rPr>
          <w:rFonts w:eastAsia="Calibri"/>
          <w:noProof/>
          <w:sz w:val="22"/>
          <w:szCs w:val="22"/>
          <w:lang w:val="sr-Latn-CS"/>
        </w:rPr>
        <w:t xml:space="preserve">dejstvo ovog lijeka </w:t>
      </w:r>
      <w:r w:rsidR="004E70AD" w:rsidRPr="00402700">
        <w:rPr>
          <w:rFonts w:eastAsia="Calibri"/>
          <w:noProof/>
          <w:sz w:val="22"/>
          <w:szCs w:val="22"/>
          <w:lang w:val="sr-Latn-CS"/>
        </w:rPr>
        <w:t>Institutu</w:t>
      </w:r>
      <w:r w:rsidRPr="00402700">
        <w:rPr>
          <w:rFonts w:eastAsia="Calibri"/>
          <w:noProof/>
          <w:sz w:val="22"/>
          <w:szCs w:val="22"/>
          <w:lang w:val="sr-Latn-CS"/>
        </w:rPr>
        <w:t xml:space="preserve"> za ljekove i medicinska sredstva</w:t>
      </w:r>
      <w:r w:rsidR="004E70AD" w:rsidRPr="00402700">
        <w:rPr>
          <w:rFonts w:eastAsia="Calibri"/>
          <w:noProof/>
          <w:sz w:val="22"/>
          <w:szCs w:val="22"/>
          <w:lang w:val="sr-Latn-CS"/>
        </w:rPr>
        <w:t xml:space="preserve"> </w:t>
      </w:r>
      <w:r w:rsidRPr="00402700">
        <w:rPr>
          <w:rFonts w:eastAsia="Calibri"/>
          <w:noProof/>
          <w:sz w:val="22"/>
          <w:szCs w:val="22"/>
          <w:lang w:val="sr-Latn-CS"/>
        </w:rPr>
        <w:t>(</w:t>
      </w:r>
      <w:r w:rsidR="004E70AD" w:rsidRPr="00402700">
        <w:rPr>
          <w:rFonts w:eastAsia="Calibri"/>
          <w:noProof/>
          <w:sz w:val="22"/>
          <w:szCs w:val="22"/>
          <w:lang w:val="sr-Latn-CS"/>
        </w:rPr>
        <w:t>CInMED</w:t>
      </w:r>
      <w:r w:rsidRPr="00402700">
        <w:rPr>
          <w:rFonts w:eastAsia="Calibri"/>
          <w:noProof/>
          <w:sz w:val="22"/>
          <w:szCs w:val="22"/>
          <w:lang w:val="sr-Latn-CS"/>
        </w:rPr>
        <w:t>):</w:t>
      </w:r>
    </w:p>
    <w:p w14:paraId="3A9E7F8D" w14:textId="77777777" w:rsidR="00D01492" w:rsidRPr="00402700" w:rsidRDefault="00D01492">
      <w:pPr>
        <w:pStyle w:val="NoSpacing"/>
        <w:jc w:val="both"/>
        <w:rPr>
          <w:rFonts w:eastAsia="Calibri"/>
          <w:noProof/>
          <w:sz w:val="22"/>
          <w:szCs w:val="22"/>
          <w:lang w:val="sr-Latn-CS"/>
        </w:rPr>
      </w:pPr>
    </w:p>
    <w:p w14:paraId="7F7CED6C" w14:textId="5046790B" w:rsidR="005A23D2" w:rsidRPr="00402700" w:rsidRDefault="004E70AD">
      <w:pPr>
        <w:pStyle w:val="NoSpacing"/>
        <w:jc w:val="both"/>
        <w:rPr>
          <w:rFonts w:eastAsia="Calibri"/>
          <w:noProof/>
          <w:sz w:val="22"/>
          <w:szCs w:val="22"/>
          <w:lang w:val="sr-Latn-CS"/>
        </w:rPr>
      </w:pPr>
      <w:r w:rsidRPr="00402700">
        <w:rPr>
          <w:rFonts w:eastAsia="Calibri"/>
          <w:noProof/>
          <w:sz w:val="22"/>
          <w:szCs w:val="22"/>
          <w:lang w:val="sr-Latn-CS"/>
        </w:rPr>
        <w:t xml:space="preserve">Institut </w:t>
      </w:r>
      <w:r w:rsidR="005A23D2" w:rsidRPr="00402700">
        <w:rPr>
          <w:rFonts w:eastAsia="Calibri"/>
          <w:noProof/>
          <w:sz w:val="22"/>
          <w:szCs w:val="22"/>
          <w:lang w:val="sr-Latn-CS"/>
        </w:rPr>
        <w:t xml:space="preserve">za ljekove i medicinska sredstva </w:t>
      </w:r>
    </w:p>
    <w:p w14:paraId="76AD44FD" w14:textId="77777777" w:rsidR="005A23D2" w:rsidRPr="00402700" w:rsidRDefault="005A23D2">
      <w:pPr>
        <w:pStyle w:val="NoSpacing"/>
        <w:jc w:val="both"/>
        <w:rPr>
          <w:rFonts w:eastAsia="Calibri"/>
          <w:noProof/>
          <w:sz w:val="22"/>
          <w:szCs w:val="22"/>
          <w:lang w:val="sr-Latn-CS"/>
        </w:rPr>
      </w:pPr>
      <w:r w:rsidRPr="00402700">
        <w:rPr>
          <w:rFonts w:eastAsia="Calibri"/>
          <w:noProof/>
          <w:sz w:val="22"/>
          <w:szCs w:val="22"/>
          <w:lang w:val="sr-Latn-CS"/>
        </w:rPr>
        <w:t>Odjeljenje za farmakovigilancu</w:t>
      </w:r>
    </w:p>
    <w:p w14:paraId="703C8861" w14:textId="77777777" w:rsidR="00EA5765" w:rsidRPr="00402700" w:rsidRDefault="005A23D2">
      <w:pPr>
        <w:pStyle w:val="NoSpacing"/>
        <w:jc w:val="both"/>
        <w:rPr>
          <w:rFonts w:eastAsia="Calibri"/>
          <w:noProof/>
          <w:sz w:val="22"/>
          <w:szCs w:val="22"/>
          <w:lang w:val="sr-Latn-CS"/>
        </w:rPr>
      </w:pPr>
      <w:r w:rsidRPr="00402700">
        <w:rPr>
          <w:rFonts w:eastAsia="Calibri"/>
          <w:noProof/>
          <w:sz w:val="22"/>
          <w:szCs w:val="22"/>
          <w:lang w:val="sr-Latn-CS"/>
        </w:rPr>
        <w:t>Bulevar Ivana Crnojevića 64a, 81000 Podgorica</w:t>
      </w:r>
    </w:p>
    <w:p w14:paraId="5D48F5C9" w14:textId="77777777" w:rsidR="00EA5765" w:rsidRPr="00402700" w:rsidRDefault="00EA5765" w:rsidP="002C32CA">
      <w:pPr>
        <w:pStyle w:val="NoSpacing"/>
        <w:jc w:val="both"/>
        <w:rPr>
          <w:rFonts w:eastAsia="Calibri"/>
          <w:noProof/>
          <w:sz w:val="22"/>
          <w:szCs w:val="22"/>
          <w:lang w:val="sr-Latn-CS"/>
        </w:rPr>
      </w:pPr>
    </w:p>
    <w:p w14:paraId="530A064C" w14:textId="77777777" w:rsidR="005A23D2" w:rsidRPr="00402700" w:rsidRDefault="005A23D2">
      <w:pPr>
        <w:pStyle w:val="NoSpacing"/>
        <w:jc w:val="both"/>
        <w:rPr>
          <w:rFonts w:eastAsia="Calibri"/>
          <w:noProof/>
          <w:sz w:val="22"/>
          <w:szCs w:val="22"/>
          <w:lang w:val="sr-Latn-CS"/>
        </w:rPr>
      </w:pPr>
      <w:r w:rsidRPr="00402700">
        <w:rPr>
          <w:rFonts w:eastAsia="Calibri"/>
          <w:noProof/>
          <w:sz w:val="22"/>
          <w:szCs w:val="22"/>
          <w:lang w:val="sr-Latn-CS"/>
        </w:rPr>
        <w:t>tel: +382 (0) 20 310 280</w:t>
      </w:r>
    </w:p>
    <w:p w14:paraId="42A06920" w14:textId="77777777" w:rsidR="00EA5765" w:rsidRPr="00402700" w:rsidRDefault="005A23D2">
      <w:pPr>
        <w:pStyle w:val="NoSpacing"/>
        <w:tabs>
          <w:tab w:val="left" w:pos="6720"/>
        </w:tabs>
        <w:jc w:val="both"/>
        <w:rPr>
          <w:rFonts w:eastAsia="Calibri"/>
          <w:noProof/>
          <w:sz w:val="22"/>
          <w:szCs w:val="22"/>
          <w:lang w:val="sr-Latn-CS"/>
        </w:rPr>
      </w:pPr>
      <w:r w:rsidRPr="00402700">
        <w:rPr>
          <w:rFonts w:eastAsia="Calibri"/>
          <w:noProof/>
          <w:sz w:val="22"/>
          <w:szCs w:val="22"/>
          <w:lang w:val="sr-Latn-CS"/>
        </w:rPr>
        <w:t>fax:</w:t>
      </w:r>
      <w:r w:rsidR="00EA5765" w:rsidRPr="00402700">
        <w:rPr>
          <w:rFonts w:eastAsia="Calibri"/>
          <w:noProof/>
          <w:sz w:val="22"/>
          <w:szCs w:val="22"/>
          <w:lang w:val="sr-Latn-CS"/>
        </w:rPr>
        <w:t xml:space="preserve"> </w:t>
      </w:r>
      <w:r w:rsidRPr="00402700">
        <w:rPr>
          <w:rFonts w:eastAsia="Calibri"/>
          <w:noProof/>
          <w:sz w:val="22"/>
          <w:szCs w:val="22"/>
          <w:lang w:val="sr-Latn-CS"/>
        </w:rPr>
        <w:t>+382 (0) 20 310 581</w:t>
      </w:r>
      <w:r w:rsidR="00FF3EDF" w:rsidRPr="00402700">
        <w:rPr>
          <w:rFonts w:eastAsia="Calibri"/>
          <w:noProof/>
          <w:sz w:val="22"/>
          <w:szCs w:val="22"/>
          <w:lang w:val="sr-Latn-CS"/>
        </w:rPr>
        <w:tab/>
      </w:r>
    </w:p>
    <w:p w14:paraId="1EEDD076" w14:textId="77777777" w:rsidR="005A23D2" w:rsidRPr="00402700" w:rsidRDefault="0007587E">
      <w:pPr>
        <w:pStyle w:val="NoSpacing"/>
        <w:jc w:val="both"/>
        <w:rPr>
          <w:rFonts w:eastAsia="Calibri"/>
          <w:noProof/>
          <w:sz w:val="22"/>
          <w:szCs w:val="22"/>
          <w:lang w:val="sr-Latn-CS"/>
        </w:rPr>
      </w:pPr>
      <w:hyperlink r:id="rId8" w:history="1">
        <w:r w:rsidR="004E70AD" w:rsidRPr="00402700">
          <w:rPr>
            <w:rStyle w:val="Hyperlink"/>
            <w:rFonts w:eastAsia="Calibri"/>
            <w:noProof/>
            <w:sz w:val="22"/>
            <w:szCs w:val="22"/>
            <w:lang w:val="sr-Latn-CS"/>
          </w:rPr>
          <w:t>www.cinmed.me</w:t>
        </w:r>
      </w:hyperlink>
    </w:p>
    <w:p w14:paraId="2462FE8F" w14:textId="77777777" w:rsidR="00EA5765" w:rsidRPr="00402700" w:rsidRDefault="0007587E">
      <w:pPr>
        <w:pStyle w:val="NoSpacing"/>
        <w:jc w:val="both"/>
        <w:rPr>
          <w:rFonts w:eastAsia="Calibri"/>
          <w:noProof/>
          <w:color w:val="0000FF"/>
          <w:sz w:val="22"/>
          <w:szCs w:val="22"/>
          <w:u w:val="single"/>
          <w:lang w:val="sr-Latn-CS"/>
        </w:rPr>
      </w:pPr>
      <w:hyperlink r:id="rId9" w:history="1">
        <w:r w:rsidR="004E70AD" w:rsidRPr="00402700">
          <w:rPr>
            <w:rStyle w:val="Hyperlink"/>
            <w:rFonts w:eastAsia="Calibri"/>
            <w:noProof/>
            <w:sz w:val="22"/>
            <w:szCs w:val="22"/>
            <w:lang w:val="sr-Latn-CS"/>
          </w:rPr>
          <w:t>nezeljenadejstva@cinmed.me</w:t>
        </w:r>
      </w:hyperlink>
    </w:p>
    <w:p w14:paraId="04CC7690" w14:textId="77777777" w:rsidR="005A23D2" w:rsidRPr="00402700" w:rsidRDefault="005A23D2">
      <w:pPr>
        <w:pStyle w:val="NoSpacing"/>
        <w:jc w:val="both"/>
        <w:rPr>
          <w:rFonts w:eastAsia="Calibri"/>
          <w:noProof/>
          <w:sz w:val="22"/>
          <w:szCs w:val="22"/>
          <w:lang w:val="sr-Latn-CS"/>
        </w:rPr>
      </w:pPr>
      <w:r w:rsidRPr="00402700">
        <w:rPr>
          <w:rFonts w:eastAsia="Calibri"/>
          <w:noProof/>
          <w:sz w:val="22"/>
          <w:szCs w:val="22"/>
          <w:lang w:val="sr-Latn-CS"/>
        </w:rPr>
        <w:t>putem IS zdravstvene zaštite</w:t>
      </w:r>
    </w:p>
    <w:p w14:paraId="591DE7F9" w14:textId="77777777" w:rsidR="00AE7FEC" w:rsidRPr="00402700" w:rsidRDefault="00AE7FEC" w:rsidP="00AE7FEC">
      <w:pPr>
        <w:rPr>
          <w:sz w:val="22"/>
          <w:szCs w:val="22"/>
          <w:lang w:val="pt-PT"/>
        </w:rPr>
      </w:pPr>
      <w:r w:rsidRPr="00402700">
        <w:rPr>
          <w:sz w:val="22"/>
          <w:szCs w:val="22"/>
          <w:lang w:val="pt-PT"/>
        </w:rPr>
        <w:t>QR kod za online prijavu sumnje na neželjeno dejstvo lijeka:</w:t>
      </w:r>
    </w:p>
    <w:p w14:paraId="6B592AA6" w14:textId="77777777" w:rsidR="00AE7FEC" w:rsidRPr="00402700" w:rsidRDefault="00AE7FEC" w:rsidP="00AE7FEC">
      <w:pPr>
        <w:rPr>
          <w:sz w:val="22"/>
          <w:szCs w:val="22"/>
          <w:lang w:val="pt-PT"/>
        </w:rPr>
      </w:pPr>
    </w:p>
    <w:p w14:paraId="56C6116C" w14:textId="77777777" w:rsidR="00AE7FEC" w:rsidRPr="00402700" w:rsidRDefault="00AE7FEC" w:rsidP="00AE7FEC">
      <w:pPr>
        <w:rPr>
          <w:sz w:val="22"/>
          <w:szCs w:val="22"/>
          <w:lang w:val="pt-PT"/>
        </w:rPr>
      </w:pPr>
      <w:r w:rsidRPr="00402700">
        <w:rPr>
          <w:b/>
          <w:bCs/>
          <w:noProof/>
          <w:sz w:val="22"/>
          <w:szCs w:val="22"/>
        </w:rPr>
        <w:drawing>
          <wp:inline distT="0" distB="0" distL="0" distR="0" wp14:anchorId="07974477" wp14:editId="5F42E288">
            <wp:extent cx="980796" cy="972000"/>
            <wp:effectExtent l="0" t="0" r="0" b="0"/>
            <wp:docPr id="1"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0"/>
                    </pic:cNvPr>
                    <pic:cNvPicPr>
                      <a:picLocks noChangeAspect="1"/>
                    </pic:cNvPicPr>
                  </pic:nvPicPr>
                  <pic:blipFill rotWithShape="1">
                    <a:blip r:embed="rId11" cstate="print">
                      <a:extLst>
                        <a:ext uri="{28A0092B-C50C-407E-A947-70E740481C1C}">
                          <a14:useLocalDpi xmlns:a14="http://schemas.microsoft.com/office/drawing/2010/main" val="0"/>
                        </a:ext>
                      </a:extLst>
                    </a:blip>
                    <a:srcRect l="10118" t="9757" r="9299" b="10383"/>
                    <a:stretch/>
                  </pic:blipFill>
                  <pic:spPr bwMode="auto">
                    <a:xfrm>
                      <a:off x="0" y="0"/>
                      <a:ext cx="980796" cy="972000"/>
                    </a:xfrm>
                    <a:prstGeom prst="rect">
                      <a:avLst/>
                    </a:prstGeom>
                    <a:ln>
                      <a:noFill/>
                    </a:ln>
                    <a:extLst>
                      <a:ext uri="{53640926-AAD7-44D8-BBD7-CCE9431645EC}">
                        <a14:shadowObscured xmlns:a14="http://schemas.microsoft.com/office/drawing/2010/main"/>
                      </a:ext>
                    </a:extLst>
                  </pic:spPr>
                </pic:pic>
              </a:graphicData>
            </a:graphic>
          </wp:inline>
        </w:drawing>
      </w:r>
    </w:p>
    <w:p w14:paraId="5FDB8A39" w14:textId="77777777" w:rsidR="00836B35" w:rsidRPr="00402700" w:rsidRDefault="00836B35" w:rsidP="00CA0BA8">
      <w:pPr>
        <w:pStyle w:val="NoSpacing"/>
        <w:jc w:val="both"/>
        <w:rPr>
          <w:b/>
          <w:bCs/>
          <w:noProof/>
          <w:sz w:val="22"/>
          <w:szCs w:val="22"/>
          <w:lang w:val="sr-Latn-CS"/>
        </w:rPr>
      </w:pPr>
    </w:p>
    <w:p w14:paraId="04528C05" w14:textId="7BA46111" w:rsidR="00CD6F02"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4.9. </w:t>
      </w:r>
      <w:r w:rsidR="00480FB1" w:rsidRPr="00402700">
        <w:rPr>
          <w:b/>
          <w:bCs/>
          <w:noProof/>
          <w:sz w:val="22"/>
          <w:szCs w:val="22"/>
          <w:lang w:val="sr-Latn-CS"/>
        </w:rPr>
        <w:tab/>
      </w:r>
      <w:r w:rsidRPr="00402700">
        <w:rPr>
          <w:b/>
          <w:bCs/>
          <w:noProof/>
          <w:sz w:val="22"/>
          <w:szCs w:val="22"/>
          <w:lang w:val="sr-Latn-CS"/>
        </w:rPr>
        <w:t>Predoziranje</w:t>
      </w:r>
      <w:r w:rsidR="002846DB" w:rsidRPr="00402700">
        <w:rPr>
          <w:b/>
          <w:bCs/>
          <w:noProof/>
          <w:sz w:val="22"/>
          <w:szCs w:val="22"/>
          <w:lang w:val="sr-Latn-CS"/>
        </w:rPr>
        <w:t xml:space="preserve"> </w:t>
      </w:r>
    </w:p>
    <w:p w14:paraId="6C2CC2A2" w14:textId="77777777" w:rsidR="007779BA" w:rsidRPr="00402700" w:rsidRDefault="007779BA" w:rsidP="002C32CA">
      <w:pPr>
        <w:tabs>
          <w:tab w:val="left" w:pos="540"/>
          <w:tab w:val="left" w:pos="569"/>
        </w:tabs>
        <w:jc w:val="both"/>
        <w:rPr>
          <w:b/>
          <w:bCs/>
          <w:noProof/>
          <w:sz w:val="22"/>
          <w:szCs w:val="22"/>
          <w:lang w:val="sr-Latn-CS"/>
        </w:rPr>
      </w:pPr>
    </w:p>
    <w:p w14:paraId="1AAB673F" w14:textId="4D450AEA"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Prijavljeni su slučajevi namjernog i</w:t>
      </w:r>
      <w:r w:rsidR="0098616E" w:rsidRPr="00402700">
        <w:rPr>
          <w:noProof/>
          <w:sz w:val="22"/>
          <w:szCs w:val="22"/>
          <w:lang w:val="sr-Latn-CS"/>
        </w:rPr>
        <w:t>li</w:t>
      </w:r>
      <w:r w:rsidRPr="00402700">
        <w:rPr>
          <w:noProof/>
          <w:sz w:val="22"/>
          <w:szCs w:val="22"/>
          <w:lang w:val="sr-Latn-CS"/>
        </w:rPr>
        <w:t xml:space="preserve"> slučajnog  predoziranja lijekom Myfortic, ali nijesu svi pacijenti doživjeli sa time povezane neželjene događaje.</w:t>
      </w:r>
    </w:p>
    <w:p w14:paraId="58887B78" w14:textId="77777777" w:rsidR="0098616E" w:rsidRPr="00402700" w:rsidRDefault="0098616E" w:rsidP="002C32CA">
      <w:pPr>
        <w:shd w:val="clear" w:color="auto" w:fill="FFFFFF"/>
        <w:tabs>
          <w:tab w:val="left" w:pos="965"/>
        </w:tabs>
        <w:jc w:val="both"/>
        <w:rPr>
          <w:noProof/>
          <w:sz w:val="22"/>
          <w:szCs w:val="22"/>
          <w:lang w:val="sr-Latn-CS"/>
        </w:rPr>
      </w:pPr>
    </w:p>
    <w:p w14:paraId="3CA495A8" w14:textId="0FD4247D"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U onim slučajevima predoziranja gdje su prijavljeni neželjeni događaji, ti događaji su spadali u poznati bezbjednosni profil klase (uglavnom krvne diskrazije, sepsa...) (vidjeti </w:t>
      </w:r>
      <w:r w:rsidR="007779BA" w:rsidRPr="00402700">
        <w:rPr>
          <w:noProof/>
          <w:sz w:val="22"/>
          <w:szCs w:val="22"/>
          <w:lang w:val="sr-Latn-CS"/>
        </w:rPr>
        <w:t>djelove</w:t>
      </w:r>
      <w:r w:rsidRPr="00402700">
        <w:rPr>
          <w:noProof/>
          <w:sz w:val="22"/>
          <w:szCs w:val="22"/>
          <w:lang w:val="sr-Latn-CS"/>
        </w:rPr>
        <w:t xml:space="preserve"> 4.4 i 4.8).</w:t>
      </w:r>
    </w:p>
    <w:p w14:paraId="6892DC36" w14:textId="77777777" w:rsidR="0098616E" w:rsidRPr="00402700" w:rsidRDefault="0098616E" w:rsidP="002C32CA">
      <w:pPr>
        <w:shd w:val="clear" w:color="auto" w:fill="FFFFFF"/>
        <w:tabs>
          <w:tab w:val="left" w:pos="965"/>
        </w:tabs>
        <w:jc w:val="both"/>
        <w:rPr>
          <w:noProof/>
          <w:sz w:val="22"/>
          <w:szCs w:val="22"/>
          <w:lang w:val="sr-Latn-CS"/>
        </w:rPr>
      </w:pPr>
    </w:p>
    <w:p w14:paraId="110E2999" w14:textId="4B7EB42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Mada se može primijeniti dijaliza za uklanjanje neaktivnog metabolita glukouronid mikofenolne kiseline, ne može se očekivati da će ona ukloniti klinički značajne količine aktivnog oblika mikofenolne kiseline. To je velikim dijelom usljed vrlo visokog vezivanja mikofenolne kiseline za proteine plazme od 97%. Uticajem enterohepatič</w:t>
      </w:r>
      <w:r w:rsidR="0098616E" w:rsidRPr="00402700">
        <w:rPr>
          <w:noProof/>
          <w:sz w:val="22"/>
          <w:szCs w:val="22"/>
          <w:lang w:val="sr-Latn-CS"/>
        </w:rPr>
        <w:t>k</w:t>
      </w:r>
      <w:r w:rsidRPr="00402700">
        <w:rPr>
          <w:noProof/>
          <w:sz w:val="22"/>
          <w:szCs w:val="22"/>
          <w:lang w:val="sr-Latn-CS"/>
        </w:rPr>
        <w:t xml:space="preserve">e cirkulacije na mikofenolnu kiselinu, sekvestranti žučne kiseline, poput holestiramina, mogu da umanje sistemsku izloženost MFK-u. </w:t>
      </w:r>
    </w:p>
    <w:p w14:paraId="387DBED1" w14:textId="0BB337E2" w:rsidR="00227BDB" w:rsidRPr="00402700" w:rsidRDefault="00227BDB" w:rsidP="002C32CA">
      <w:pPr>
        <w:tabs>
          <w:tab w:val="left" w:pos="540"/>
          <w:tab w:val="left" w:pos="569"/>
        </w:tabs>
        <w:jc w:val="both"/>
        <w:rPr>
          <w:b/>
          <w:bCs/>
          <w:noProof/>
          <w:sz w:val="22"/>
          <w:szCs w:val="22"/>
          <w:lang w:val="sr-Latn-CS"/>
        </w:rPr>
      </w:pPr>
    </w:p>
    <w:p w14:paraId="7573A2E7" w14:textId="77777777" w:rsidR="007779BA" w:rsidRPr="00402700" w:rsidRDefault="007779BA" w:rsidP="002C32CA">
      <w:pPr>
        <w:tabs>
          <w:tab w:val="left" w:pos="540"/>
          <w:tab w:val="left" w:pos="569"/>
        </w:tabs>
        <w:jc w:val="both"/>
        <w:rPr>
          <w:b/>
          <w:bCs/>
          <w:noProof/>
          <w:sz w:val="22"/>
          <w:szCs w:val="22"/>
          <w:lang w:val="sr-Latn-CS"/>
        </w:rPr>
      </w:pPr>
    </w:p>
    <w:p w14:paraId="4B0E1B49" w14:textId="77777777"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5. </w:t>
      </w:r>
      <w:r w:rsidR="00480FB1" w:rsidRPr="00402700">
        <w:rPr>
          <w:b/>
          <w:bCs/>
          <w:noProof/>
          <w:sz w:val="22"/>
          <w:szCs w:val="22"/>
          <w:lang w:val="sr-Latn-CS"/>
        </w:rPr>
        <w:tab/>
      </w:r>
      <w:r w:rsidRPr="00402700">
        <w:rPr>
          <w:b/>
          <w:bCs/>
          <w:noProof/>
          <w:sz w:val="22"/>
          <w:szCs w:val="22"/>
          <w:lang w:val="sr-Latn-CS"/>
        </w:rPr>
        <w:t>FARMAKOLOŠK</w:t>
      </w:r>
      <w:r w:rsidR="000D425A" w:rsidRPr="00402700">
        <w:rPr>
          <w:b/>
          <w:bCs/>
          <w:noProof/>
          <w:sz w:val="22"/>
          <w:szCs w:val="22"/>
          <w:lang w:val="sr-Latn-CS"/>
        </w:rPr>
        <w:t>I</w:t>
      </w:r>
      <w:r w:rsidRPr="00402700">
        <w:rPr>
          <w:b/>
          <w:bCs/>
          <w:noProof/>
          <w:sz w:val="22"/>
          <w:szCs w:val="22"/>
          <w:lang w:val="sr-Latn-CS"/>
        </w:rPr>
        <w:t xml:space="preserve"> PODACI</w:t>
      </w:r>
    </w:p>
    <w:p w14:paraId="7739A4AB" w14:textId="77777777" w:rsidR="0072020E" w:rsidRPr="00402700" w:rsidRDefault="0072020E" w:rsidP="002C32CA">
      <w:pPr>
        <w:tabs>
          <w:tab w:val="left" w:pos="540"/>
          <w:tab w:val="left" w:pos="569"/>
        </w:tabs>
        <w:jc w:val="both"/>
        <w:rPr>
          <w:b/>
          <w:bCs/>
          <w:noProof/>
          <w:sz w:val="22"/>
          <w:szCs w:val="22"/>
          <w:lang w:val="sr-Latn-CS"/>
        </w:rPr>
      </w:pPr>
    </w:p>
    <w:p w14:paraId="796F3C90" w14:textId="77777777"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5.1. </w:t>
      </w:r>
      <w:r w:rsidR="00480FB1" w:rsidRPr="00402700">
        <w:rPr>
          <w:b/>
          <w:bCs/>
          <w:noProof/>
          <w:sz w:val="22"/>
          <w:szCs w:val="22"/>
          <w:lang w:val="sr-Latn-CS"/>
        </w:rPr>
        <w:tab/>
      </w:r>
      <w:r w:rsidRPr="00402700">
        <w:rPr>
          <w:b/>
          <w:bCs/>
          <w:noProof/>
          <w:sz w:val="22"/>
          <w:szCs w:val="22"/>
          <w:lang w:val="sr-Latn-CS"/>
        </w:rPr>
        <w:t>Farmakodinamski podaci</w:t>
      </w:r>
      <w:r w:rsidR="003A7059" w:rsidRPr="00402700">
        <w:rPr>
          <w:b/>
          <w:bCs/>
          <w:noProof/>
          <w:sz w:val="22"/>
          <w:szCs w:val="22"/>
          <w:lang w:val="sr-Latn-CS"/>
        </w:rPr>
        <w:t xml:space="preserve"> </w:t>
      </w:r>
    </w:p>
    <w:p w14:paraId="3B7357AD" w14:textId="77777777" w:rsidR="00F45F77" w:rsidRPr="00402700" w:rsidRDefault="00F45F77" w:rsidP="002C32CA">
      <w:pPr>
        <w:tabs>
          <w:tab w:val="left" w:pos="540"/>
          <w:tab w:val="left" w:pos="569"/>
        </w:tabs>
        <w:jc w:val="both"/>
        <w:rPr>
          <w:b/>
          <w:bCs/>
          <w:noProof/>
          <w:sz w:val="22"/>
          <w:szCs w:val="22"/>
          <w:lang w:val="sr-Latn-CS"/>
        </w:rPr>
      </w:pPr>
    </w:p>
    <w:p w14:paraId="52F748F6" w14:textId="1B810DAF" w:rsidR="0072020E" w:rsidRPr="00402700" w:rsidRDefault="0072020E" w:rsidP="002C32CA">
      <w:pPr>
        <w:tabs>
          <w:tab w:val="left" w:pos="540"/>
          <w:tab w:val="left" w:pos="569"/>
        </w:tabs>
        <w:jc w:val="both"/>
        <w:rPr>
          <w:bCs/>
          <w:noProof/>
          <w:sz w:val="22"/>
          <w:szCs w:val="22"/>
          <w:lang w:val="sr-Latn-CS"/>
        </w:rPr>
      </w:pPr>
      <w:r w:rsidRPr="00402700">
        <w:rPr>
          <w:bCs/>
          <w:noProof/>
          <w:sz w:val="22"/>
          <w:szCs w:val="22"/>
          <w:lang w:val="sr-Latn-CS"/>
        </w:rPr>
        <w:t>Farmakoterapijska grupa:</w:t>
      </w:r>
      <w:r w:rsidR="00C62D57" w:rsidRPr="00402700">
        <w:rPr>
          <w:noProof/>
          <w:sz w:val="22"/>
          <w:szCs w:val="22"/>
          <w:lang w:val="sr-Latn-CS"/>
        </w:rPr>
        <w:t xml:space="preserve"> imunosupresivi</w:t>
      </w:r>
    </w:p>
    <w:p w14:paraId="73B6D949" w14:textId="77777777" w:rsidR="0072020E" w:rsidRPr="00402700" w:rsidRDefault="0072020E" w:rsidP="002C32CA">
      <w:pPr>
        <w:tabs>
          <w:tab w:val="left" w:pos="540"/>
          <w:tab w:val="left" w:pos="569"/>
        </w:tabs>
        <w:jc w:val="both"/>
        <w:rPr>
          <w:bCs/>
          <w:noProof/>
          <w:sz w:val="22"/>
          <w:szCs w:val="22"/>
          <w:lang w:val="sr-Latn-CS"/>
        </w:rPr>
      </w:pPr>
    </w:p>
    <w:p w14:paraId="48BAB024" w14:textId="2268F92D" w:rsidR="0072020E" w:rsidRPr="00402700" w:rsidRDefault="0072020E" w:rsidP="002C32CA">
      <w:pPr>
        <w:shd w:val="clear" w:color="auto" w:fill="FFFFFF"/>
        <w:tabs>
          <w:tab w:val="left" w:pos="965"/>
        </w:tabs>
        <w:jc w:val="both"/>
        <w:rPr>
          <w:noProof/>
          <w:sz w:val="22"/>
          <w:szCs w:val="22"/>
          <w:lang w:val="sr-Latn-CS"/>
        </w:rPr>
      </w:pPr>
      <w:r w:rsidRPr="00402700">
        <w:rPr>
          <w:bCs/>
          <w:noProof/>
          <w:sz w:val="22"/>
          <w:szCs w:val="22"/>
          <w:lang w:val="sr-Latn-CS"/>
        </w:rPr>
        <w:t>ATC kod:</w:t>
      </w:r>
      <w:r w:rsidR="00C62D57" w:rsidRPr="00402700">
        <w:rPr>
          <w:noProof/>
          <w:sz w:val="22"/>
          <w:szCs w:val="22"/>
          <w:lang w:val="sr-Latn-CS"/>
        </w:rPr>
        <w:t xml:space="preserve"> L04AA06</w:t>
      </w:r>
    </w:p>
    <w:p w14:paraId="6AF25901" w14:textId="77777777" w:rsidR="002147C6" w:rsidRPr="00402700" w:rsidRDefault="002147C6" w:rsidP="002C32CA">
      <w:pPr>
        <w:shd w:val="clear" w:color="auto" w:fill="FFFFFF"/>
        <w:tabs>
          <w:tab w:val="left" w:pos="965"/>
        </w:tabs>
        <w:jc w:val="both"/>
        <w:rPr>
          <w:noProof/>
          <w:sz w:val="22"/>
          <w:szCs w:val="22"/>
          <w:lang w:val="sr-Latn-CS"/>
        </w:rPr>
      </w:pPr>
    </w:p>
    <w:p w14:paraId="5812A348" w14:textId="46B9A60F"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Mikofenolna kiselina je potentni, selektivni, nekompetitivni i reve</w:t>
      </w:r>
      <w:r w:rsidR="00E725F7" w:rsidRPr="00402700">
        <w:rPr>
          <w:noProof/>
          <w:sz w:val="22"/>
          <w:szCs w:val="22"/>
          <w:lang w:val="sr-Latn-CS"/>
        </w:rPr>
        <w:t>r</w:t>
      </w:r>
      <w:r w:rsidRPr="00402700">
        <w:rPr>
          <w:noProof/>
          <w:sz w:val="22"/>
          <w:szCs w:val="22"/>
          <w:lang w:val="sr-Latn-CS"/>
        </w:rPr>
        <w:t xml:space="preserve">zibilni inhibitor inozin- monofosfat- dehidrogenaze, koji  inhibiše </w:t>
      </w:r>
      <w:r w:rsidRPr="00402700">
        <w:rPr>
          <w:i/>
          <w:noProof/>
          <w:sz w:val="22"/>
          <w:szCs w:val="22"/>
          <w:lang w:val="sr-Latn-CS"/>
        </w:rPr>
        <w:t>de novo</w:t>
      </w:r>
      <w:r w:rsidRPr="00402700">
        <w:rPr>
          <w:noProof/>
          <w:sz w:val="22"/>
          <w:szCs w:val="22"/>
          <w:lang w:val="sr-Latn-CS"/>
        </w:rPr>
        <w:t xml:space="preserve"> put sinteze guanozin nukleotida bez inkorporacije u DNK. Budući da je proliferacija T- i B- limfocita presudno zavisna od </w:t>
      </w:r>
      <w:r w:rsidRPr="00402700">
        <w:rPr>
          <w:i/>
          <w:noProof/>
          <w:sz w:val="22"/>
          <w:szCs w:val="22"/>
          <w:lang w:val="sr-Latn-CS"/>
        </w:rPr>
        <w:t xml:space="preserve"> de novo</w:t>
      </w:r>
      <w:r w:rsidRPr="00402700">
        <w:rPr>
          <w:noProof/>
          <w:sz w:val="22"/>
          <w:szCs w:val="22"/>
          <w:lang w:val="sr-Latn-CS"/>
        </w:rPr>
        <w:t xml:space="preserve"> sinteze purina, dok druge ćelij</w:t>
      </w:r>
      <w:r w:rsidR="00E725F7" w:rsidRPr="00402700">
        <w:rPr>
          <w:noProof/>
          <w:sz w:val="22"/>
          <w:szCs w:val="22"/>
          <w:lang w:val="sr-Latn-CS"/>
        </w:rPr>
        <w:t>e</w:t>
      </w:r>
      <w:r w:rsidRPr="00402700">
        <w:rPr>
          <w:noProof/>
          <w:sz w:val="22"/>
          <w:szCs w:val="22"/>
          <w:lang w:val="sr-Latn-CS"/>
        </w:rPr>
        <w:t xml:space="preserve"> mogu da koriste alternativne puteve, mikofenolna kiselina ima mnogo potentniji citostatski efekat na limfocite nego na druge ćelije.</w:t>
      </w:r>
    </w:p>
    <w:p w14:paraId="3D044133" w14:textId="77777777" w:rsidR="002E37A5" w:rsidRPr="00402700" w:rsidRDefault="002E37A5" w:rsidP="002C32CA">
      <w:pPr>
        <w:tabs>
          <w:tab w:val="left" w:pos="540"/>
          <w:tab w:val="left" w:pos="569"/>
        </w:tabs>
        <w:jc w:val="both"/>
        <w:rPr>
          <w:b/>
          <w:bCs/>
          <w:noProof/>
          <w:sz w:val="22"/>
          <w:szCs w:val="22"/>
          <w:lang w:val="sr-Latn-CS"/>
        </w:rPr>
      </w:pPr>
    </w:p>
    <w:p w14:paraId="67461F7C" w14:textId="76BC7A6B"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5.2. </w:t>
      </w:r>
      <w:r w:rsidR="00480FB1" w:rsidRPr="00402700">
        <w:rPr>
          <w:b/>
          <w:bCs/>
          <w:noProof/>
          <w:sz w:val="22"/>
          <w:szCs w:val="22"/>
          <w:lang w:val="sr-Latn-CS"/>
        </w:rPr>
        <w:tab/>
      </w:r>
      <w:r w:rsidRPr="00402700">
        <w:rPr>
          <w:b/>
          <w:bCs/>
          <w:noProof/>
          <w:sz w:val="22"/>
          <w:szCs w:val="22"/>
          <w:lang w:val="sr-Latn-CS"/>
        </w:rPr>
        <w:t>Farmakokinetički podaci</w:t>
      </w:r>
      <w:r w:rsidR="003A7059" w:rsidRPr="00402700">
        <w:rPr>
          <w:b/>
          <w:bCs/>
          <w:noProof/>
          <w:sz w:val="22"/>
          <w:szCs w:val="22"/>
          <w:lang w:val="sr-Latn-CS"/>
        </w:rPr>
        <w:t xml:space="preserve"> </w:t>
      </w:r>
    </w:p>
    <w:p w14:paraId="37B15980" w14:textId="77777777" w:rsidR="007779BA" w:rsidRPr="00402700" w:rsidRDefault="007779BA" w:rsidP="002C32CA">
      <w:pPr>
        <w:tabs>
          <w:tab w:val="left" w:pos="540"/>
          <w:tab w:val="left" w:pos="569"/>
        </w:tabs>
        <w:jc w:val="both"/>
        <w:rPr>
          <w:b/>
          <w:bCs/>
          <w:noProof/>
          <w:sz w:val="22"/>
          <w:szCs w:val="22"/>
          <w:lang w:val="sr-Latn-CS"/>
        </w:rPr>
      </w:pPr>
    </w:p>
    <w:p w14:paraId="4D6FA1BF" w14:textId="77777777" w:rsidR="00C62D57" w:rsidRPr="00402700" w:rsidRDefault="00C62D57" w:rsidP="002C32CA">
      <w:pPr>
        <w:shd w:val="clear" w:color="auto" w:fill="FFFFFF"/>
        <w:jc w:val="both"/>
        <w:rPr>
          <w:bCs/>
          <w:noProof/>
          <w:sz w:val="22"/>
          <w:szCs w:val="22"/>
          <w:u w:val="single"/>
          <w:lang w:val="sr-Latn-CS"/>
        </w:rPr>
      </w:pPr>
      <w:r w:rsidRPr="00402700">
        <w:rPr>
          <w:bCs/>
          <w:noProof/>
          <w:sz w:val="22"/>
          <w:szCs w:val="22"/>
          <w:u w:val="single"/>
          <w:lang w:val="sr-Latn-CS"/>
        </w:rPr>
        <w:t>Resorpcija</w:t>
      </w:r>
    </w:p>
    <w:p w14:paraId="4E9CF613" w14:textId="4670D7AE"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Poslije oralne primjene, mikofenolat natrijum se ekstenzivno resorbuje. Vezano za želudačnu otpornost ovojnice tablete, vrijeme do maksimalne koncentracije mikofenolne kiseline</w:t>
      </w:r>
      <w:r w:rsidR="00476F40" w:rsidRPr="00402700">
        <w:rPr>
          <w:noProof/>
          <w:sz w:val="22"/>
          <w:szCs w:val="22"/>
          <w:lang w:val="sr-Latn-CS"/>
        </w:rPr>
        <w:t xml:space="preserve"> (T</w:t>
      </w:r>
      <w:r w:rsidR="00476F40" w:rsidRPr="00402700">
        <w:rPr>
          <w:noProof/>
          <w:sz w:val="22"/>
          <w:szCs w:val="22"/>
          <w:vertAlign w:val="subscript"/>
          <w:lang w:val="sr-Latn-CS"/>
        </w:rPr>
        <w:t>max</w:t>
      </w:r>
      <w:r w:rsidR="00476F40" w:rsidRPr="00402700">
        <w:rPr>
          <w:noProof/>
          <w:sz w:val="22"/>
          <w:szCs w:val="22"/>
          <w:lang w:val="sr-Latn-CS"/>
        </w:rPr>
        <w:t>)</w:t>
      </w:r>
      <w:r w:rsidRPr="00402700">
        <w:rPr>
          <w:noProof/>
          <w:sz w:val="22"/>
          <w:szCs w:val="22"/>
          <w:lang w:val="sr-Latn-CS"/>
        </w:rPr>
        <w:t xml:space="preserve"> bilo je približno 1,5 do 2 sata. Približno 10 % svih jutarnjih farmakokinet</w:t>
      </w:r>
      <w:r w:rsidR="00476F40" w:rsidRPr="00402700">
        <w:rPr>
          <w:noProof/>
          <w:sz w:val="22"/>
          <w:szCs w:val="22"/>
          <w:lang w:val="sr-Latn-CS"/>
        </w:rPr>
        <w:t>ičkih</w:t>
      </w:r>
      <w:r w:rsidRPr="00402700">
        <w:rPr>
          <w:noProof/>
          <w:sz w:val="22"/>
          <w:szCs w:val="22"/>
          <w:lang w:val="sr-Latn-CS"/>
        </w:rPr>
        <w:t xml:space="preserve"> profila je pokazalo odloženi T</w:t>
      </w:r>
      <w:r w:rsidRPr="00402700">
        <w:rPr>
          <w:noProof/>
          <w:sz w:val="22"/>
          <w:szCs w:val="22"/>
          <w:vertAlign w:val="subscript"/>
          <w:lang w:val="sr-Latn-CS"/>
        </w:rPr>
        <w:t>max</w:t>
      </w:r>
      <w:r w:rsidRPr="00402700">
        <w:rPr>
          <w:noProof/>
          <w:sz w:val="22"/>
          <w:szCs w:val="22"/>
          <w:lang w:val="sr-Latn-CS"/>
        </w:rPr>
        <w:t xml:space="preserve"> ponekad i za nekoliko sati, bez očekivanih posljedica na 24 časovnu/dnevnu izloženost mikofenolnoj kiselini.</w:t>
      </w:r>
    </w:p>
    <w:p w14:paraId="620F3524" w14:textId="77777777" w:rsidR="00476F40" w:rsidRPr="00402700" w:rsidRDefault="00476F40" w:rsidP="002C32CA">
      <w:pPr>
        <w:shd w:val="clear" w:color="auto" w:fill="FFFFFF"/>
        <w:tabs>
          <w:tab w:val="left" w:pos="965"/>
        </w:tabs>
        <w:jc w:val="both"/>
        <w:rPr>
          <w:noProof/>
          <w:sz w:val="22"/>
          <w:szCs w:val="22"/>
          <w:lang w:val="sr-Latn-CS"/>
        </w:rPr>
      </w:pPr>
    </w:p>
    <w:p w14:paraId="769920FF" w14:textId="1C48FB9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Kod pacijenata sa stabilnim bubrežnim transplantom na imunosupresiji baziranoj na ciklosporinu, gastrointestinalna resorpcija mikofenolne kiseline bila je 93%, a apsolutna bioraspoloživost 72%. Farmakokinetika lijeka Myfortic je dozno proporcionalna i linearna u ispit</w:t>
      </w:r>
      <w:r w:rsidR="00476F40" w:rsidRPr="00402700">
        <w:rPr>
          <w:noProof/>
          <w:sz w:val="22"/>
          <w:szCs w:val="22"/>
          <w:lang w:val="sr-Latn-CS"/>
        </w:rPr>
        <w:t>iv</w:t>
      </w:r>
      <w:r w:rsidRPr="00402700">
        <w:rPr>
          <w:noProof/>
          <w:sz w:val="22"/>
          <w:szCs w:val="22"/>
          <w:lang w:val="sr-Latn-CS"/>
        </w:rPr>
        <w:t xml:space="preserve">anom doznom rasponu od 180 do 2160 mg. </w:t>
      </w:r>
    </w:p>
    <w:p w14:paraId="3961278D" w14:textId="77777777" w:rsidR="00476F40" w:rsidRPr="00402700" w:rsidRDefault="00476F40" w:rsidP="002C32CA">
      <w:pPr>
        <w:shd w:val="clear" w:color="auto" w:fill="FFFFFF"/>
        <w:tabs>
          <w:tab w:val="left" w:pos="965"/>
        </w:tabs>
        <w:jc w:val="both"/>
        <w:rPr>
          <w:noProof/>
          <w:sz w:val="22"/>
          <w:szCs w:val="22"/>
          <w:lang w:val="sr-Latn-CS"/>
        </w:rPr>
      </w:pPr>
    </w:p>
    <w:p w14:paraId="6B93DEA1" w14:textId="556729AE"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U poređenju sa stanjem natašte, primjena pojedinačne doze od 720 mg lijeka Myfortic sa obrokom bogatim mastima (55 g masti, 1000 kalorija) nije imalo efekta na sistemsku izloženost mikofenolnoj kiselini (PIK), što je najrelevantniji farmakokinetički parametar vezan za efikasnost. Međutim došlo je do smanjenja od 33% u maksimalnoj koncentraciji mikofenolne kiseline (C</w:t>
      </w:r>
      <w:r w:rsidRPr="00402700">
        <w:rPr>
          <w:noProof/>
          <w:sz w:val="22"/>
          <w:szCs w:val="22"/>
          <w:vertAlign w:val="subscript"/>
          <w:lang w:val="sr-Latn-CS"/>
        </w:rPr>
        <w:t>max</w:t>
      </w:r>
      <w:r w:rsidRPr="00402700">
        <w:rPr>
          <w:noProof/>
          <w:sz w:val="22"/>
          <w:szCs w:val="22"/>
          <w:lang w:val="sr-Latn-CS"/>
        </w:rPr>
        <w:t>). Šta više, T</w:t>
      </w:r>
      <w:r w:rsidRPr="00402700">
        <w:rPr>
          <w:noProof/>
          <w:sz w:val="22"/>
          <w:szCs w:val="22"/>
          <w:vertAlign w:val="subscript"/>
          <w:lang w:val="sr-Latn-CS"/>
        </w:rPr>
        <w:t>lag</w:t>
      </w:r>
      <w:r w:rsidRPr="00402700">
        <w:rPr>
          <w:noProof/>
          <w:sz w:val="22"/>
          <w:szCs w:val="22"/>
          <w:lang w:val="sr-Latn-CS"/>
        </w:rPr>
        <w:t xml:space="preserve"> i T</w:t>
      </w:r>
      <w:r w:rsidRPr="00402700">
        <w:rPr>
          <w:noProof/>
          <w:sz w:val="22"/>
          <w:szCs w:val="22"/>
          <w:vertAlign w:val="subscript"/>
          <w:lang w:val="sr-Latn-CS"/>
        </w:rPr>
        <w:t>max</w:t>
      </w:r>
      <w:r w:rsidRPr="00402700">
        <w:rPr>
          <w:noProof/>
          <w:sz w:val="22"/>
          <w:szCs w:val="22"/>
          <w:lang w:val="sr-Latn-CS"/>
        </w:rPr>
        <w:t xml:space="preserve"> bili su odloženi u prosjeku 3-5 sati, a nekoliko pacijenata imalo je T</w:t>
      </w:r>
      <w:r w:rsidRPr="00402700">
        <w:rPr>
          <w:noProof/>
          <w:sz w:val="22"/>
          <w:szCs w:val="22"/>
          <w:vertAlign w:val="subscript"/>
          <w:lang w:val="sr-Latn-CS"/>
        </w:rPr>
        <w:t>max</w:t>
      </w:r>
      <w:r w:rsidRPr="00402700">
        <w:rPr>
          <w:noProof/>
          <w:sz w:val="22"/>
          <w:szCs w:val="22"/>
          <w:lang w:val="sr-Latn-CS"/>
        </w:rPr>
        <w:t xml:space="preserve"> i preko 15h. Uticaj hrane na lijek Myfortic može dovesti do preklapanja resorpcije iz jednog intervala doziranja u drugi. Međutim, ovaj uticaj se nije pokazao klinički značajnim.</w:t>
      </w:r>
    </w:p>
    <w:p w14:paraId="68C12773" w14:textId="77777777" w:rsidR="007779BA" w:rsidRPr="00402700" w:rsidRDefault="007779BA" w:rsidP="002C32CA">
      <w:pPr>
        <w:shd w:val="clear" w:color="auto" w:fill="FFFFFF"/>
        <w:ind w:left="19"/>
        <w:jc w:val="both"/>
        <w:rPr>
          <w:bCs/>
          <w:noProof/>
          <w:sz w:val="22"/>
          <w:szCs w:val="22"/>
          <w:u w:val="single"/>
          <w:lang w:val="sr-Latn-CS"/>
        </w:rPr>
      </w:pPr>
    </w:p>
    <w:p w14:paraId="22D0BA68" w14:textId="07C9EE21"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t>Distribucija</w:t>
      </w:r>
    </w:p>
    <w:p w14:paraId="3C8BDB42" w14:textId="3794EB91"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Volumen distribucije u </w:t>
      </w:r>
      <w:r w:rsidRPr="00402700">
        <w:rPr>
          <w:iCs/>
          <w:noProof/>
          <w:sz w:val="22"/>
          <w:szCs w:val="22"/>
          <w:lang w:val="sr-Latn-CS"/>
        </w:rPr>
        <w:t>s</w:t>
      </w:r>
      <w:r w:rsidRPr="00402700">
        <w:rPr>
          <w:noProof/>
          <w:sz w:val="22"/>
          <w:szCs w:val="22"/>
          <w:lang w:val="sr-Latn-CS"/>
        </w:rPr>
        <w:t>tanju ravnoteže za mikofenolnu kiselinu je 50 litara. I mikofenolna kiselina i glukuronid mikofenolne kiseline se visoko vezuju za proteine plazme, (97%</w:t>
      </w:r>
      <w:r w:rsidR="00C26D36" w:rsidRPr="00402700">
        <w:rPr>
          <w:noProof/>
          <w:sz w:val="22"/>
          <w:szCs w:val="22"/>
          <w:lang w:val="sr-Latn-CS"/>
        </w:rPr>
        <w:t>, odnosno</w:t>
      </w:r>
      <w:r w:rsidRPr="00402700">
        <w:rPr>
          <w:noProof/>
          <w:sz w:val="22"/>
          <w:szCs w:val="22"/>
          <w:lang w:val="sr-Latn-CS"/>
        </w:rPr>
        <w:t xml:space="preserve"> 82%). Koncentracija slobodne mikofenolne kiseline može da se uveća u uslovima smanjenog vezivanja za proteine (uremija, insuficijencija jetre, hipoalbuminemija, istovremena primjena ljekova sa visokim vezivanjem za protein). To kod pacijenata može da dovede do povećanog rizika od neželjenih dejstava vezanih za mikofenolnu kiselinu.</w:t>
      </w:r>
    </w:p>
    <w:p w14:paraId="369D0F17" w14:textId="77777777" w:rsidR="007779BA" w:rsidRPr="00402700" w:rsidRDefault="007779BA" w:rsidP="002C32CA">
      <w:pPr>
        <w:shd w:val="clear" w:color="auto" w:fill="FFFFFF"/>
        <w:tabs>
          <w:tab w:val="left" w:pos="965"/>
        </w:tabs>
        <w:jc w:val="both"/>
        <w:rPr>
          <w:noProof/>
          <w:sz w:val="22"/>
          <w:szCs w:val="22"/>
          <w:u w:val="single"/>
          <w:lang w:val="sr-Latn-CS"/>
        </w:rPr>
      </w:pPr>
    </w:p>
    <w:p w14:paraId="5C6744A6" w14:textId="6C0C8025" w:rsidR="00C62D57" w:rsidRPr="00402700" w:rsidRDefault="00C62D57" w:rsidP="002C32CA">
      <w:pPr>
        <w:shd w:val="clear" w:color="auto" w:fill="FFFFFF"/>
        <w:tabs>
          <w:tab w:val="left" w:pos="965"/>
        </w:tabs>
        <w:jc w:val="both"/>
        <w:rPr>
          <w:noProof/>
          <w:sz w:val="22"/>
          <w:szCs w:val="22"/>
          <w:u w:val="single"/>
          <w:lang w:val="sr-Latn-CS"/>
        </w:rPr>
      </w:pPr>
      <w:r w:rsidRPr="00402700">
        <w:rPr>
          <w:noProof/>
          <w:sz w:val="22"/>
          <w:szCs w:val="22"/>
          <w:u w:val="single"/>
          <w:lang w:val="sr-Latn-CS"/>
        </w:rPr>
        <w:t>Metabolizam</w:t>
      </w:r>
    </w:p>
    <w:p w14:paraId="00C16DB3" w14:textId="6C6660BD" w:rsidR="00C62D57" w:rsidRPr="00402700" w:rsidRDefault="00C62D57" w:rsidP="002C32CA">
      <w:pPr>
        <w:shd w:val="clear" w:color="auto" w:fill="FFFFFF"/>
        <w:tabs>
          <w:tab w:val="left" w:pos="965"/>
        </w:tabs>
        <w:jc w:val="both"/>
        <w:rPr>
          <w:b/>
          <w:bCs/>
          <w:noProof/>
          <w:sz w:val="22"/>
          <w:szCs w:val="22"/>
          <w:lang w:val="sr-Latn-CS"/>
        </w:rPr>
      </w:pPr>
      <w:r w:rsidRPr="00402700">
        <w:rPr>
          <w:noProof/>
          <w:sz w:val="22"/>
          <w:szCs w:val="22"/>
          <w:lang w:val="sr-Latn-CS"/>
        </w:rPr>
        <w:t xml:space="preserve">Mikofenolna kiselina se metaboliše uglavnom preko glukuronil-transferaze stvaranjem fenolskog glukuronida mikofenolne kiseline (MFKG). MFKG je dominantni metabolit mikofenolne kiseline i ne ispoljava biološku aktivnost. Kod pacijenata sa stabilnim bubrežnim transplantom koji su na  imunosupresiji baziranoj  na ciklosporinu, približno 28% oralne doze lijeka Myfortic se konvertuje u MPAG putem presistemskog metabolizma. Poluvrijeme eliminacije MFKG je duže od mikofenolne kiseline, iznosi otprilike 16 sati, a klirens mu je 0,45 </w:t>
      </w:r>
      <w:r w:rsidR="003B5D45" w:rsidRPr="00402700">
        <w:rPr>
          <w:noProof/>
          <w:sz w:val="22"/>
          <w:szCs w:val="22"/>
          <w:lang w:val="sr-Latn-CS"/>
        </w:rPr>
        <w:t>l</w:t>
      </w:r>
      <w:r w:rsidRPr="00402700">
        <w:rPr>
          <w:noProof/>
          <w:sz w:val="22"/>
          <w:szCs w:val="22"/>
          <w:lang w:val="sr-Latn-CS"/>
        </w:rPr>
        <w:t>/h.</w:t>
      </w:r>
    </w:p>
    <w:p w14:paraId="0DD299C7" w14:textId="77777777" w:rsidR="007779BA" w:rsidRPr="00402700" w:rsidRDefault="007779BA" w:rsidP="002C32CA">
      <w:pPr>
        <w:shd w:val="clear" w:color="auto" w:fill="FFFFFF"/>
        <w:ind w:left="19"/>
        <w:jc w:val="both"/>
        <w:rPr>
          <w:bCs/>
          <w:noProof/>
          <w:sz w:val="22"/>
          <w:szCs w:val="22"/>
          <w:u w:val="single"/>
          <w:lang w:val="sr-Latn-CS"/>
        </w:rPr>
      </w:pPr>
    </w:p>
    <w:p w14:paraId="179A13E4" w14:textId="6085F345"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t>Eliminacija</w:t>
      </w:r>
    </w:p>
    <w:p w14:paraId="0CF9DD96" w14:textId="743ADCB5"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Poluvrijeme eliminacije mikofenolne kiseline je približno 12 sati, a klirens je 8,6 </w:t>
      </w:r>
      <w:r w:rsidR="0031086C" w:rsidRPr="00402700">
        <w:rPr>
          <w:noProof/>
          <w:sz w:val="22"/>
          <w:szCs w:val="22"/>
          <w:lang w:val="sr-Latn-CS"/>
        </w:rPr>
        <w:t>l</w:t>
      </w:r>
      <w:r w:rsidRPr="00402700">
        <w:rPr>
          <w:noProof/>
          <w:sz w:val="22"/>
          <w:szCs w:val="22"/>
          <w:lang w:val="sr-Latn-CS"/>
        </w:rPr>
        <w:t xml:space="preserve">/h. Mada su u urinu prisutne zanemarljive količine mikofenolne kiseline (&lt;1,0%), veći dio mikofenolne kiseline se izlučuje urinom kao MFKG. MFKG izlučen u žuč je raspoloživ za dekonjugaciju pomoću crijevne flore. Mikofenolna kiselina nastala iz ove dekonjugacije se potom može </w:t>
      </w:r>
      <w:r w:rsidR="0031086C" w:rsidRPr="00402700">
        <w:rPr>
          <w:noProof/>
          <w:sz w:val="22"/>
          <w:szCs w:val="22"/>
          <w:lang w:val="sr-Latn-CS"/>
        </w:rPr>
        <w:t xml:space="preserve">ponovo </w:t>
      </w:r>
      <w:r w:rsidRPr="00402700">
        <w:rPr>
          <w:noProof/>
          <w:sz w:val="22"/>
          <w:szCs w:val="22"/>
          <w:lang w:val="sr-Latn-CS"/>
        </w:rPr>
        <w:t xml:space="preserve">resorbovati. Približno 6 do 8 sati poslije primjene lijeka Myfortic može se izmjeriti nivo </w:t>
      </w:r>
      <w:r w:rsidR="0031086C" w:rsidRPr="00402700">
        <w:rPr>
          <w:noProof/>
          <w:sz w:val="22"/>
          <w:szCs w:val="22"/>
          <w:lang w:val="sr-Latn-CS"/>
        </w:rPr>
        <w:t xml:space="preserve">druge </w:t>
      </w:r>
      <w:r w:rsidRPr="00402700">
        <w:rPr>
          <w:noProof/>
          <w:sz w:val="22"/>
          <w:szCs w:val="22"/>
          <w:lang w:val="sr-Latn-CS"/>
        </w:rPr>
        <w:t xml:space="preserve">maksimalne koncentracije mikofenolne kiseline, u skladu sa </w:t>
      </w:r>
      <w:r w:rsidR="0031086C" w:rsidRPr="00402700">
        <w:rPr>
          <w:noProof/>
          <w:sz w:val="22"/>
          <w:szCs w:val="22"/>
          <w:lang w:val="sr-Latn-CS"/>
        </w:rPr>
        <w:t xml:space="preserve">ponovnom </w:t>
      </w:r>
      <w:r w:rsidRPr="00402700">
        <w:rPr>
          <w:noProof/>
          <w:sz w:val="22"/>
          <w:szCs w:val="22"/>
          <w:lang w:val="sr-Latn-CS"/>
        </w:rPr>
        <w:t>resorpcijom dekonjugovane mikofenolne kiseline. Postoji velika varijabilnost u najnižim koncentracijama mikofenolne kiseline koja je svojstvena preparatima mikofenolne kiseline, a visoke jutarnje najniže koncentracije lijeka (C</w:t>
      </w:r>
      <w:r w:rsidRPr="00402700">
        <w:rPr>
          <w:noProof/>
          <w:sz w:val="22"/>
          <w:szCs w:val="22"/>
          <w:vertAlign w:val="subscript"/>
          <w:lang w:val="sr-Latn-CS"/>
        </w:rPr>
        <w:t>o</w:t>
      </w:r>
      <w:r w:rsidRPr="00402700">
        <w:rPr>
          <w:noProof/>
          <w:sz w:val="22"/>
          <w:szCs w:val="22"/>
          <w:lang w:val="sr-Latn-CS"/>
        </w:rPr>
        <w:t>&gt; 10 µg/ml) uočene su kod približno 2% pacijenata liječenih lijekom Myfortic. Međutim,u svim studijama</w:t>
      </w:r>
      <w:r w:rsidR="0031086C" w:rsidRPr="00402700">
        <w:rPr>
          <w:noProof/>
          <w:sz w:val="22"/>
          <w:szCs w:val="22"/>
          <w:lang w:val="sr-Latn-CS"/>
        </w:rPr>
        <w:t>,</w:t>
      </w:r>
      <w:r w:rsidRPr="00402700">
        <w:rPr>
          <w:noProof/>
          <w:sz w:val="22"/>
          <w:szCs w:val="22"/>
          <w:lang w:val="sr-Latn-CS"/>
        </w:rPr>
        <w:t xml:space="preserve"> PIK u stanju dinamičke ravnoteže (0-12h), koji je indikativan za ukupnu izloženost, pokazao je manju varijabilnost nego onaj koji odgovara najnižoj koncentraciji lijeka</w:t>
      </w:r>
      <w:r w:rsidR="00013E85" w:rsidRPr="00402700">
        <w:rPr>
          <w:noProof/>
          <w:sz w:val="22"/>
          <w:szCs w:val="22"/>
          <w:lang w:val="sr-Latn-CS"/>
        </w:rPr>
        <w:t xml:space="preserve"> </w:t>
      </w:r>
      <w:r w:rsidR="00013E85" w:rsidRPr="00402700">
        <w:rPr>
          <w:noProof/>
          <w:sz w:val="22"/>
          <w:szCs w:val="22"/>
          <w:lang w:val="en-GB"/>
        </w:rPr>
        <w:t>C</w:t>
      </w:r>
      <w:r w:rsidR="00013E85" w:rsidRPr="00402700">
        <w:rPr>
          <w:noProof/>
          <w:sz w:val="22"/>
          <w:szCs w:val="22"/>
          <w:vertAlign w:val="subscript"/>
          <w:lang w:val="en-GB"/>
        </w:rPr>
        <w:t>trough</w:t>
      </w:r>
      <w:r w:rsidRPr="00402700">
        <w:rPr>
          <w:noProof/>
          <w:sz w:val="22"/>
          <w:szCs w:val="22"/>
          <w:lang w:val="sr-Latn-CS"/>
        </w:rPr>
        <w:t>.</w:t>
      </w:r>
    </w:p>
    <w:p w14:paraId="68B6749B" w14:textId="77777777" w:rsidR="00C62D57" w:rsidRPr="00402700" w:rsidRDefault="00C62D57" w:rsidP="002C32CA">
      <w:pPr>
        <w:jc w:val="both"/>
        <w:rPr>
          <w:noProof/>
          <w:sz w:val="22"/>
          <w:szCs w:val="22"/>
          <w:lang w:val="sr-Latn-CS"/>
        </w:rPr>
      </w:pPr>
    </w:p>
    <w:p w14:paraId="3AA44DD7" w14:textId="77777777"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lastRenderedPageBreak/>
        <w:t>Farmakokinetika kod pacijenata sa presađenim bubregom i imunosupresijom baziranoj na ciklosporinu</w:t>
      </w:r>
    </w:p>
    <w:p w14:paraId="4C4B0613" w14:textId="133059E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U tabeli 2 prikazani su srednji farmakokinetički parametri za mikofenolnu kiselinu nakon primjene lijeka Myfortic. U ranom posttransplantaci</w:t>
      </w:r>
      <w:r w:rsidR="003931D3" w:rsidRPr="00402700">
        <w:rPr>
          <w:noProof/>
          <w:sz w:val="22"/>
          <w:szCs w:val="22"/>
          <w:lang w:val="sr-Latn-CS"/>
        </w:rPr>
        <w:t>onom</w:t>
      </w:r>
      <w:r w:rsidRPr="00402700">
        <w:rPr>
          <w:noProof/>
          <w:sz w:val="22"/>
          <w:szCs w:val="22"/>
          <w:lang w:val="sr-Latn-CS"/>
        </w:rPr>
        <w:t xml:space="preserve"> periodu, srednja PIK mikofenolne kiseline i srednja C</w:t>
      </w:r>
      <w:r w:rsidRPr="00402700">
        <w:rPr>
          <w:noProof/>
          <w:sz w:val="22"/>
          <w:szCs w:val="22"/>
          <w:vertAlign w:val="subscript"/>
          <w:lang w:val="sr-Latn-CS"/>
        </w:rPr>
        <w:t>max</w:t>
      </w:r>
      <w:r w:rsidRPr="00402700">
        <w:rPr>
          <w:noProof/>
          <w:sz w:val="22"/>
          <w:szCs w:val="22"/>
          <w:lang w:val="sr-Latn-CS"/>
        </w:rPr>
        <w:t xml:space="preserve"> mikofenolne kiseline bile su približno upola od onih izmjerenih vr</w:t>
      </w:r>
      <w:r w:rsidR="00E725F7" w:rsidRPr="00402700">
        <w:rPr>
          <w:noProof/>
          <w:sz w:val="22"/>
          <w:szCs w:val="22"/>
          <w:lang w:val="sr-Latn-CS"/>
        </w:rPr>
        <w:t>ij</w:t>
      </w:r>
      <w:r w:rsidRPr="00402700">
        <w:rPr>
          <w:noProof/>
          <w:sz w:val="22"/>
          <w:szCs w:val="22"/>
          <w:lang w:val="sr-Latn-CS"/>
        </w:rPr>
        <w:t>ednosti 6 mjeseci nakon transplantacije.</w:t>
      </w:r>
    </w:p>
    <w:p w14:paraId="7534DFFD" w14:textId="77777777" w:rsidR="00C62D57" w:rsidRPr="00402700" w:rsidRDefault="00C62D57" w:rsidP="002C32CA">
      <w:pPr>
        <w:pStyle w:val="Header"/>
        <w:tabs>
          <w:tab w:val="left" w:pos="284"/>
        </w:tabs>
        <w:jc w:val="both"/>
        <w:rPr>
          <w:noProof/>
          <w:sz w:val="22"/>
          <w:szCs w:val="22"/>
          <w:lang w:val="sr-Latn-CS"/>
        </w:rPr>
      </w:pPr>
    </w:p>
    <w:p w14:paraId="0881EBFE" w14:textId="77777777" w:rsidR="00C62D57" w:rsidRPr="00402700" w:rsidRDefault="00C62D57" w:rsidP="002C32CA">
      <w:pPr>
        <w:shd w:val="clear" w:color="auto" w:fill="FFFFFF"/>
        <w:tabs>
          <w:tab w:val="left" w:pos="965"/>
        </w:tabs>
        <w:jc w:val="both"/>
        <w:rPr>
          <w:b/>
          <w:bCs/>
          <w:noProof/>
          <w:sz w:val="22"/>
          <w:szCs w:val="22"/>
          <w:lang w:val="sr-Latn-CS"/>
        </w:rPr>
      </w:pPr>
      <w:r w:rsidRPr="00402700">
        <w:rPr>
          <w:b/>
          <w:bCs/>
          <w:noProof/>
          <w:sz w:val="22"/>
          <w:szCs w:val="22"/>
          <w:lang w:val="sr-Latn-CS"/>
        </w:rPr>
        <w:t xml:space="preserve">Tabela 2 </w:t>
      </w:r>
    </w:p>
    <w:p w14:paraId="7B472525" w14:textId="7445CEDC" w:rsidR="00C62D57" w:rsidRPr="00402700" w:rsidRDefault="00C62D57" w:rsidP="002C32CA">
      <w:pPr>
        <w:shd w:val="clear" w:color="auto" w:fill="FFFFFF"/>
        <w:tabs>
          <w:tab w:val="left" w:pos="965"/>
        </w:tabs>
        <w:jc w:val="both"/>
        <w:rPr>
          <w:noProof/>
          <w:sz w:val="22"/>
          <w:szCs w:val="22"/>
          <w:lang w:val="sr-Latn-CS"/>
        </w:rPr>
      </w:pPr>
      <w:r w:rsidRPr="00402700">
        <w:rPr>
          <w:b/>
          <w:bCs/>
          <w:noProof/>
          <w:sz w:val="22"/>
          <w:szCs w:val="22"/>
          <w:lang w:val="sr-Latn-CS"/>
        </w:rPr>
        <w:t>Srednji (SD) Farmakokinet</w:t>
      </w:r>
      <w:r w:rsidR="003931D3" w:rsidRPr="00402700">
        <w:rPr>
          <w:b/>
          <w:bCs/>
          <w:noProof/>
          <w:sz w:val="22"/>
          <w:szCs w:val="22"/>
          <w:lang w:val="sr-Latn-CS"/>
        </w:rPr>
        <w:t>ički</w:t>
      </w:r>
      <w:r w:rsidRPr="00402700">
        <w:rPr>
          <w:b/>
          <w:bCs/>
          <w:noProof/>
          <w:sz w:val="22"/>
          <w:szCs w:val="22"/>
          <w:lang w:val="sr-Latn-CS"/>
        </w:rPr>
        <w:t xml:space="preserve"> parametri za mikofenolnu kiselinu (MFK) nakon oralne primjene lijeka </w:t>
      </w:r>
      <w:r w:rsidRPr="00402700">
        <w:rPr>
          <w:b/>
          <w:noProof/>
          <w:sz w:val="22"/>
          <w:szCs w:val="22"/>
          <w:lang w:val="sr-Latn-CS"/>
        </w:rPr>
        <w:t xml:space="preserve">Myfortic </w:t>
      </w:r>
      <w:r w:rsidR="003931D3" w:rsidRPr="00402700">
        <w:rPr>
          <w:b/>
          <w:noProof/>
          <w:sz w:val="22"/>
          <w:szCs w:val="22"/>
          <w:lang w:val="sr-Latn-CS"/>
        </w:rPr>
        <w:t xml:space="preserve">kod </w:t>
      </w:r>
      <w:r w:rsidRPr="00402700">
        <w:rPr>
          <w:b/>
          <w:noProof/>
          <w:sz w:val="22"/>
          <w:szCs w:val="22"/>
          <w:lang w:val="sr-Latn-CS"/>
        </w:rPr>
        <w:t>pacijen</w:t>
      </w:r>
      <w:r w:rsidR="003931D3" w:rsidRPr="00402700">
        <w:rPr>
          <w:b/>
          <w:noProof/>
          <w:sz w:val="22"/>
          <w:szCs w:val="22"/>
          <w:lang w:val="sr-Latn-CS"/>
        </w:rPr>
        <w:t>a</w:t>
      </w:r>
      <w:r w:rsidRPr="00402700">
        <w:rPr>
          <w:b/>
          <w:noProof/>
          <w:sz w:val="22"/>
          <w:szCs w:val="22"/>
          <w:lang w:val="sr-Latn-CS"/>
        </w:rPr>
        <w:t>t</w:t>
      </w:r>
      <w:r w:rsidR="003931D3" w:rsidRPr="00402700">
        <w:rPr>
          <w:b/>
          <w:noProof/>
          <w:sz w:val="22"/>
          <w:szCs w:val="22"/>
          <w:lang w:val="sr-Latn-CS"/>
        </w:rPr>
        <w:t>a</w:t>
      </w:r>
      <w:r w:rsidRPr="00402700">
        <w:rPr>
          <w:b/>
          <w:bCs/>
          <w:noProof/>
          <w:sz w:val="22"/>
          <w:szCs w:val="22"/>
          <w:lang w:val="sr-Latn-CS"/>
        </w:rPr>
        <w:t xml:space="preserve"> sa presađenim bubregom i imunosupresijom baziranoj na ciklosporinu </w:t>
      </w:r>
    </w:p>
    <w:p w14:paraId="7368ED48" w14:textId="77777777" w:rsidR="00C62D57" w:rsidRPr="00402700" w:rsidRDefault="00C62D57" w:rsidP="002C32CA">
      <w:pPr>
        <w:pStyle w:val="Header"/>
        <w:tabs>
          <w:tab w:val="left" w:pos="284"/>
        </w:tabs>
        <w:jc w:val="both"/>
        <w:rPr>
          <w:noProof/>
          <w:sz w:val="22"/>
          <w:szCs w:val="22"/>
          <w:lang w:val="sr-Latn-CS"/>
        </w:rPr>
      </w:pPr>
    </w:p>
    <w:tbl>
      <w:tblPr>
        <w:tblW w:w="5000" w:type="pct"/>
        <w:jc w:val="center"/>
        <w:tblCellMar>
          <w:left w:w="40" w:type="dxa"/>
          <w:right w:w="40" w:type="dxa"/>
        </w:tblCellMar>
        <w:tblLook w:val="0000" w:firstRow="0" w:lastRow="0" w:firstColumn="0" w:lastColumn="0" w:noHBand="0" w:noVBand="0"/>
      </w:tblPr>
      <w:tblGrid>
        <w:gridCol w:w="4423"/>
        <w:gridCol w:w="830"/>
        <w:gridCol w:w="997"/>
        <w:gridCol w:w="1389"/>
        <w:gridCol w:w="1418"/>
      </w:tblGrid>
      <w:tr w:rsidR="00C62D57" w:rsidRPr="00402700" w14:paraId="1A061BED" w14:textId="77777777" w:rsidTr="00213727">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B63D247" w14:textId="77777777" w:rsidR="00C62D57" w:rsidRPr="00402700" w:rsidRDefault="00C62D57" w:rsidP="002C32CA">
            <w:pPr>
              <w:shd w:val="clear" w:color="auto" w:fill="FFFFFF"/>
              <w:ind w:hanging="10"/>
              <w:jc w:val="both"/>
              <w:rPr>
                <w:b/>
                <w:bCs/>
                <w:noProof/>
                <w:sz w:val="22"/>
                <w:szCs w:val="22"/>
                <w:lang w:val="sr-Latn-CS"/>
              </w:rPr>
            </w:pPr>
            <w:r w:rsidRPr="00402700">
              <w:rPr>
                <w:bCs/>
                <w:noProof/>
                <w:sz w:val="22"/>
                <w:szCs w:val="22"/>
                <w:lang w:val="sr-Latn-CS"/>
              </w:rPr>
              <w:t>Odrasle osobe, hronično, višestruko doziranje, 720 mg dva puta dnevno</w:t>
            </w:r>
            <w:r w:rsidRPr="00402700">
              <w:rPr>
                <w:b/>
                <w:bCs/>
                <w:noProof/>
                <w:sz w:val="22"/>
                <w:szCs w:val="22"/>
                <w:lang w:val="sr-Latn-CS"/>
              </w:rPr>
              <w:t xml:space="preserve"> (Studija ERLB 301)</w:t>
            </w:r>
          </w:p>
          <w:p w14:paraId="5F86AFA7" w14:textId="77777777" w:rsidR="00C62D57" w:rsidRPr="00402700" w:rsidRDefault="00C62D57" w:rsidP="002C32CA">
            <w:pPr>
              <w:shd w:val="clear" w:color="auto" w:fill="FFFFFF"/>
              <w:ind w:hanging="10"/>
              <w:jc w:val="both"/>
              <w:rPr>
                <w:noProof/>
                <w:sz w:val="22"/>
                <w:szCs w:val="22"/>
                <w:lang w:val="sr-Latn-CS"/>
              </w:rPr>
            </w:pPr>
            <w:r w:rsidRPr="00402700">
              <w:rPr>
                <w:bCs/>
                <w:noProof/>
                <w:sz w:val="22"/>
                <w:szCs w:val="22"/>
                <w:lang w:val="sr-Latn-CS"/>
              </w:rPr>
              <w:t>n=48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0D8CE8" w14:textId="77777777" w:rsidR="00C62D57" w:rsidRPr="00402700" w:rsidRDefault="00C62D57" w:rsidP="002C32CA">
            <w:pPr>
              <w:shd w:val="clear" w:color="auto" w:fill="FFFFFF"/>
              <w:jc w:val="both"/>
              <w:rPr>
                <w:noProof/>
                <w:sz w:val="22"/>
                <w:szCs w:val="22"/>
                <w:lang w:val="sr-Latn-CS"/>
              </w:rPr>
            </w:pPr>
            <w:r w:rsidRPr="00402700">
              <w:rPr>
                <w:b/>
                <w:bCs/>
                <w:noProof/>
                <w:sz w:val="22"/>
                <w:szCs w:val="22"/>
                <w:lang w:val="sr-Latn-CS"/>
              </w:rPr>
              <w:t>Doza</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E3880F" w14:textId="77777777" w:rsidR="00C62D57" w:rsidRPr="00402700" w:rsidRDefault="00C62D57" w:rsidP="002C32CA">
            <w:pPr>
              <w:shd w:val="clear" w:color="auto" w:fill="FFFFFF"/>
              <w:jc w:val="both"/>
              <w:rPr>
                <w:noProof/>
                <w:sz w:val="22"/>
                <w:szCs w:val="22"/>
                <w:lang w:val="sr-Latn-CS"/>
              </w:rPr>
            </w:pPr>
            <w:r w:rsidRPr="00402700">
              <w:rPr>
                <w:b/>
                <w:bCs/>
                <w:noProof/>
                <w:sz w:val="22"/>
                <w:szCs w:val="22"/>
                <w:lang w:val="sr-Latn-CS"/>
              </w:rPr>
              <w:t>Tmax</w:t>
            </w:r>
            <w:r w:rsidRPr="00402700">
              <w:rPr>
                <w:noProof/>
                <w:sz w:val="22"/>
                <w:szCs w:val="22"/>
                <w:lang w:val="sr-Latn-CS"/>
              </w:rPr>
              <w:t>*</w:t>
            </w:r>
            <w:r w:rsidRPr="00402700">
              <w:rPr>
                <w:bCs/>
                <w:noProof/>
                <w:sz w:val="22"/>
                <w:szCs w:val="22"/>
                <w:lang w:val="sr-Latn-CS"/>
              </w:rPr>
              <w:t>(h)</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E770E2" w14:textId="77777777" w:rsidR="00C62D57" w:rsidRPr="00402700" w:rsidRDefault="00C62D57" w:rsidP="002C32CA">
            <w:pPr>
              <w:shd w:val="clear" w:color="auto" w:fill="FFFFFF"/>
              <w:ind w:left="178" w:right="187"/>
              <w:jc w:val="both"/>
              <w:rPr>
                <w:noProof/>
                <w:sz w:val="22"/>
                <w:szCs w:val="22"/>
                <w:lang w:val="sr-Latn-CS"/>
              </w:rPr>
            </w:pPr>
            <w:r w:rsidRPr="00402700">
              <w:rPr>
                <w:b/>
                <w:bCs/>
                <w:noProof/>
                <w:sz w:val="22"/>
                <w:szCs w:val="22"/>
                <w:lang w:val="sr-Latn-CS"/>
              </w:rPr>
              <w:t xml:space="preserve">Cmax </w:t>
            </w:r>
            <w:r w:rsidRPr="00402700">
              <w:rPr>
                <w:bCs/>
                <w:noProof/>
                <w:sz w:val="22"/>
                <w:szCs w:val="22"/>
                <w:lang w:val="sr-Latn-CS"/>
              </w:rPr>
              <w:t>(µg/ml)</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E241E2" w14:textId="77777777" w:rsidR="00C62D57" w:rsidRPr="00402700" w:rsidRDefault="00C62D57" w:rsidP="002C32CA">
            <w:pPr>
              <w:shd w:val="clear" w:color="auto" w:fill="FFFFFF"/>
              <w:ind w:left="82" w:right="106"/>
              <w:jc w:val="both"/>
              <w:rPr>
                <w:noProof/>
                <w:sz w:val="22"/>
                <w:szCs w:val="22"/>
                <w:lang w:val="sr-Latn-CS"/>
              </w:rPr>
            </w:pPr>
            <w:r w:rsidRPr="00402700">
              <w:rPr>
                <w:b/>
                <w:bCs/>
                <w:noProof/>
                <w:sz w:val="22"/>
                <w:szCs w:val="22"/>
                <w:lang w:val="sr-Latn-CS"/>
              </w:rPr>
              <w:t xml:space="preserve">PIK 0-12 </w:t>
            </w:r>
            <w:r w:rsidRPr="00402700">
              <w:rPr>
                <w:bCs/>
                <w:noProof/>
                <w:sz w:val="22"/>
                <w:szCs w:val="22"/>
                <w:lang w:val="sr-Latn-CS"/>
              </w:rPr>
              <w:t>(µg ×h/ml)</w:t>
            </w:r>
          </w:p>
        </w:tc>
      </w:tr>
      <w:tr w:rsidR="00C62D57" w:rsidRPr="00402700" w14:paraId="740AA52C" w14:textId="77777777" w:rsidTr="00213727">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76A0CA1" w14:textId="77777777" w:rsidR="00C62D57" w:rsidRPr="00402700" w:rsidRDefault="00C62D57" w:rsidP="002C32CA">
            <w:pPr>
              <w:shd w:val="clear" w:color="auto" w:fill="FFFFFF"/>
              <w:ind w:left="10"/>
              <w:jc w:val="both"/>
              <w:rPr>
                <w:noProof/>
                <w:sz w:val="22"/>
                <w:szCs w:val="22"/>
                <w:lang w:val="sr-Latn-CS"/>
              </w:rPr>
            </w:pPr>
            <w:r w:rsidRPr="00402700">
              <w:rPr>
                <w:noProof/>
                <w:sz w:val="22"/>
                <w:szCs w:val="22"/>
                <w:lang w:val="sr-Latn-CS"/>
              </w:rPr>
              <w:t>14 dana poslije transplantacije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7380A0"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 xml:space="preserve">720 </w:t>
            </w:r>
            <w:r w:rsidRPr="00402700">
              <w:rPr>
                <w:bCs/>
                <w:noProof/>
                <w:sz w:val="22"/>
                <w:szCs w:val="22"/>
                <w:lang w:val="sr-Latn-CS"/>
              </w:rPr>
              <w:t>mg</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1A4D38"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11480B"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13,9 (8,6)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059AA5"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29,1 (10,4)</w:t>
            </w:r>
          </w:p>
        </w:tc>
      </w:tr>
      <w:tr w:rsidR="00C62D57" w:rsidRPr="00402700" w14:paraId="680BF0DC" w14:textId="77777777" w:rsidTr="00213727">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76F8524"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3 mjeseca poslije transplantacije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538F2A"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 xml:space="preserve">720 </w:t>
            </w:r>
            <w:r w:rsidRPr="00402700">
              <w:rPr>
                <w:bCs/>
                <w:noProof/>
                <w:sz w:val="22"/>
                <w:szCs w:val="22"/>
                <w:lang w:val="sr-Latn-CS"/>
              </w:rPr>
              <w:t>mg</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A83D56"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45E87B"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24,6 (13,2)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F4812A"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50,7 (17,3)</w:t>
            </w:r>
          </w:p>
        </w:tc>
      </w:tr>
      <w:tr w:rsidR="00C62D57" w:rsidRPr="00402700" w14:paraId="5D97B8A5" w14:textId="77777777" w:rsidTr="00213727">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D242880"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6 mjeseci poslije transplantacije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3284A6"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 xml:space="preserve">720 </w:t>
            </w:r>
            <w:r w:rsidRPr="00402700">
              <w:rPr>
                <w:bCs/>
                <w:noProof/>
                <w:sz w:val="22"/>
                <w:szCs w:val="22"/>
                <w:lang w:val="sr-Latn-CS"/>
              </w:rPr>
              <w:t>mg</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17BF74"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18953E"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 xml:space="preserve">23,0 </w:t>
            </w:r>
            <w:r w:rsidRPr="00402700">
              <w:rPr>
                <w:bCs/>
                <w:noProof/>
                <w:sz w:val="22"/>
                <w:szCs w:val="22"/>
                <w:lang w:val="sr-Latn-CS"/>
              </w:rPr>
              <w:t>(10,1)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FCB425" w14:textId="265E2895" w:rsidR="00C62D57" w:rsidRPr="00402700" w:rsidRDefault="00C62D57" w:rsidP="002C32CA">
            <w:pPr>
              <w:shd w:val="clear" w:color="auto" w:fill="FFFFFF"/>
              <w:jc w:val="both"/>
              <w:rPr>
                <w:bCs/>
                <w:noProof/>
                <w:sz w:val="22"/>
                <w:szCs w:val="22"/>
                <w:lang w:val="sr-Latn-CS"/>
              </w:rPr>
            </w:pPr>
            <w:r w:rsidRPr="00402700">
              <w:rPr>
                <w:noProof/>
                <w:sz w:val="22"/>
                <w:szCs w:val="22"/>
                <w:lang w:val="sr-Latn-CS"/>
              </w:rPr>
              <w:t xml:space="preserve">55,7 </w:t>
            </w:r>
            <w:r w:rsidRPr="00402700">
              <w:rPr>
                <w:bCs/>
                <w:noProof/>
                <w:sz w:val="22"/>
                <w:szCs w:val="22"/>
                <w:lang w:val="sr-Latn-CS"/>
              </w:rPr>
              <w:t>(14,6)</w:t>
            </w:r>
          </w:p>
        </w:tc>
      </w:tr>
      <w:tr w:rsidR="00C62D57" w:rsidRPr="00402700" w14:paraId="6C9507CD" w14:textId="77777777" w:rsidTr="00213727">
        <w:trPr>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14:paraId="20937D8A" w14:textId="77777777" w:rsidR="00C62D57" w:rsidRPr="00402700" w:rsidRDefault="00C62D57" w:rsidP="002C32CA">
            <w:pPr>
              <w:shd w:val="clear" w:color="auto" w:fill="FFFFFF"/>
              <w:jc w:val="both"/>
              <w:rPr>
                <w:b/>
                <w:bCs/>
                <w:noProof/>
                <w:sz w:val="22"/>
                <w:szCs w:val="22"/>
                <w:lang w:val="sr-Latn-CS"/>
              </w:rPr>
            </w:pPr>
            <w:r w:rsidRPr="00402700">
              <w:rPr>
                <w:bCs/>
                <w:noProof/>
                <w:sz w:val="22"/>
                <w:szCs w:val="22"/>
                <w:lang w:val="sr-Latn-CS"/>
              </w:rPr>
              <w:t>Odrasle osobe, hronično, višestruko doziranje, 720 mg dva puta dnevno</w:t>
            </w:r>
          </w:p>
          <w:p w14:paraId="5543EAAD" w14:textId="77777777" w:rsidR="00C62D57" w:rsidRPr="00402700" w:rsidRDefault="00C62D57" w:rsidP="002C32CA">
            <w:pPr>
              <w:shd w:val="clear" w:color="auto" w:fill="FFFFFF"/>
              <w:jc w:val="both"/>
              <w:rPr>
                <w:b/>
                <w:bCs/>
                <w:noProof/>
                <w:sz w:val="22"/>
                <w:szCs w:val="22"/>
                <w:lang w:val="sr-Latn-CS"/>
              </w:rPr>
            </w:pPr>
          </w:p>
          <w:p w14:paraId="298EDCFE"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18 mjeseci poslije</w:t>
            </w:r>
          </w:p>
          <w:p w14:paraId="68C0D68F"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transplantacije</w:t>
            </w:r>
          </w:p>
          <w:p w14:paraId="48F4276E" w14:textId="77777777" w:rsidR="00C62D57" w:rsidRPr="00402700" w:rsidRDefault="00C62D57" w:rsidP="002C32CA">
            <w:pPr>
              <w:shd w:val="clear" w:color="auto" w:fill="FFFFFF"/>
              <w:jc w:val="both"/>
              <w:rPr>
                <w:bCs/>
                <w:noProof/>
                <w:sz w:val="22"/>
                <w:szCs w:val="22"/>
                <w:lang w:val="sr-Latn-CS"/>
              </w:rPr>
            </w:pPr>
          </w:p>
          <w:p w14:paraId="59998DFC" w14:textId="77777777" w:rsidR="00C62D57" w:rsidRPr="00402700" w:rsidRDefault="00C62D57" w:rsidP="002C32CA">
            <w:pPr>
              <w:shd w:val="clear" w:color="auto" w:fill="FFFFFF"/>
              <w:jc w:val="both"/>
              <w:rPr>
                <w:b/>
                <w:bCs/>
                <w:noProof/>
                <w:sz w:val="22"/>
                <w:szCs w:val="22"/>
                <w:lang w:val="sr-Latn-CS"/>
              </w:rPr>
            </w:pPr>
            <w:r w:rsidRPr="00402700">
              <w:rPr>
                <w:b/>
                <w:bCs/>
                <w:noProof/>
                <w:sz w:val="22"/>
                <w:szCs w:val="22"/>
                <w:lang w:val="sr-Latn-CS"/>
              </w:rPr>
              <w:t>(studija ERLB 302)</w:t>
            </w:r>
          </w:p>
          <w:p w14:paraId="72E8F361"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n=18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CDD396" w14:textId="77777777" w:rsidR="00C62D57" w:rsidRPr="00402700" w:rsidRDefault="00C62D57" w:rsidP="002C32CA">
            <w:pPr>
              <w:shd w:val="clear" w:color="auto" w:fill="FFFFFF"/>
              <w:jc w:val="both"/>
              <w:rPr>
                <w:b/>
                <w:bCs/>
                <w:noProof/>
                <w:sz w:val="22"/>
                <w:szCs w:val="22"/>
                <w:lang w:val="sr-Latn-CS"/>
              </w:rPr>
            </w:pPr>
            <w:r w:rsidRPr="00402700">
              <w:rPr>
                <w:b/>
                <w:bCs/>
                <w:noProof/>
                <w:sz w:val="22"/>
                <w:szCs w:val="22"/>
                <w:lang w:val="sr-Latn-CS"/>
              </w:rPr>
              <w:t xml:space="preserve">Doza </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3B0B5F" w14:textId="77777777" w:rsidR="00C62D57" w:rsidRPr="00402700" w:rsidRDefault="00C62D57" w:rsidP="002C32CA">
            <w:pPr>
              <w:shd w:val="clear" w:color="auto" w:fill="FFFFFF"/>
              <w:jc w:val="both"/>
              <w:rPr>
                <w:b/>
                <w:bCs/>
                <w:noProof/>
                <w:sz w:val="22"/>
                <w:szCs w:val="22"/>
                <w:lang w:val="sr-Latn-CS"/>
              </w:rPr>
            </w:pPr>
            <w:r w:rsidRPr="00402700">
              <w:rPr>
                <w:b/>
                <w:bCs/>
                <w:noProof/>
                <w:sz w:val="22"/>
                <w:szCs w:val="22"/>
                <w:lang w:val="sr-Latn-CS"/>
              </w:rPr>
              <w:t>Tmax</w:t>
            </w:r>
            <w:r w:rsidRPr="00402700">
              <w:rPr>
                <w:noProof/>
                <w:sz w:val="22"/>
                <w:szCs w:val="22"/>
                <w:lang w:val="sr-Latn-CS"/>
              </w:rPr>
              <w:t>*</w:t>
            </w:r>
          </w:p>
          <w:p w14:paraId="502FE1F3"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(h)</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FC0815" w14:textId="77777777" w:rsidR="00C62D57" w:rsidRPr="00402700" w:rsidRDefault="00C62D57" w:rsidP="002C32CA">
            <w:pPr>
              <w:shd w:val="clear" w:color="auto" w:fill="FFFFFF"/>
              <w:ind w:left="178" w:right="187"/>
              <w:jc w:val="both"/>
              <w:rPr>
                <w:b/>
                <w:bCs/>
                <w:noProof/>
                <w:sz w:val="22"/>
                <w:szCs w:val="22"/>
                <w:lang w:val="sr-Latn-CS"/>
              </w:rPr>
            </w:pPr>
            <w:r w:rsidRPr="00402700">
              <w:rPr>
                <w:b/>
                <w:bCs/>
                <w:noProof/>
                <w:sz w:val="22"/>
                <w:szCs w:val="22"/>
                <w:lang w:val="sr-Latn-CS"/>
              </w:rPr>
              <w:t>Cmax</w:t>
            </w:r>
          </w:p>
          <w:p w14:paraId="7ACF018A" w14:textId="77777777" w:rsidR="00C62D57" w:rsidRPr="00402700" w:rsidRDefault="00C62D57" w:rsidP="002C32CA">
            <w:pPr>
              <w:shd w:val="clear" w:color="auto" w:fill="FFFFFF"/>
              <w:ind w:left="178" w:right="187"/>
              <w:jc w:val="both"/>
              <w:rPr>
                <w:bCs/>
                <w:noProof/>
                <w:sz w:val="22"/>
                <w:szCs w:val="22"/>
                <w:lang w:val="sr-Latn-CS"/>
              </w:rPr>
            </w:pPr>
            <w:r w:rsidRPr="00402700">
              <w:rPr>
                <w:bCs/>
                <w:noProof/>
                <w:sz w:val="22"/>
                <w:szCs w:val="22"/>
                <w:lang w:val="sr-Latn-CS"/>
              </w:rPr>
              <w:t>(µg/ml)</w:t>
            </w:r>
          </w:p>
          <w:p w14:paraId="727B0B42" w14:textId="77777777" w:rsidR="00C62D57" w:rsidRPr="00402700" w:rsidRDefault="00C62D57" w:rsidP="002C32CA">
            <w:pPr>
              <w:shd w:val="clear" w:color="auto" w:fill="FFFFFF"/>
              <w:ind w:left="178" w:right="187"/>
              <w:jc w:val="both"/>
              <w:rPr>
                <w:b/>
                <w:bCs/>
                <w:noProof/>
                <w:sz w:val="22"/>
                <w:szCs w:val="22"/>
                <w:lang w:val="sr-Latn-C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6BD431" w14:textId="77777777" w:rsidR="00C62D57" w:rsidRPr="00402700" w:rsidRDefault="00C62D57" w:rsidP="002C32CA">
            <w:pPr>
              <w:shd w:val="clear" w:color="auto" w:fill="FFFFFF"/>
              <w:ind w:left="82" w:right="106"/>
              <w:jc w:val="both"/>
              <w:rPr>
                <w:noProof/>
                <w:sz w:val="22"/>
                <w:szCs w:val="22"/>
                <w:lang w:val="sr-Latn-CS"/>
              </w:rPr>
            </w:pPr>
            <w:r w:rsidRPr="00402700">
              <w:rPr>
                <w:b/>
                <w:bCs/>
                <w:noProof/>
                <w:sz w:val="22"/>
                <w:szCs w:val="22"/>
                <w:lang w:val="sr-Latn-CS"/>
              </w:rPr>
              <w:t>PIK 0-12</w:t>
            </w:r>
          </w:p>
          <w:p w14:paraId="44B84753" w14:textId="77777777" w:rsidR="00C62D57" w:rsidRPr="00402700" w:rsidRDefault="00C62D57" w:rsidP="002C32CA">
            <w:pPr>
              <w:shd w:val="clear" w:color="auto" w:fill="FFFFFF"/>
              <w:ind w:left="82" w:right="106"/>
              <w:jc w:val="both"/>
              <w:rPr>
                <w:bCs/>
                <w:noProof/>
                <w:sz w:val="22"/>
                <w:szCs w:val="22"/>
                <w:lang w:val="sr-Latn-CS"/>
              </w:rPr>
            </w:pPr>
            <w:r w:rsidRPr="00402700">
              <w:rPr>
                <w:bCs/>
                <w:noProof/>
                <w:sz w:val="22"/>
                <w:szCs w:val="22"/>
                <w:lang w:val="sr-Latn-CS"/>
              </w:rPr>
              <w:t>(µg ×h/ml)</w:t>
            </w:r>
          </w:p>
        </w:tc>
      </w:tr>
      <w:tr w:rsidR="00C62D57" w:rsidRPr="00402700" w14:paraId="02F0DC8A" w14:textId="77777777" w:rsidTr="00213727">
        <w:trPr>
          <w:jc w:val="center"/>
        </w:trPr>
        <w:tc>
          <w:tcPr>
            <w:tcW w:w="0" w:type="auto"/>
            <w:vMerge/>
            <w:tcBorders>
              <w:top w:val="nil"/>
              <w:left w:val="single" w:sz="6" w:space="0" w:color="auto"/>
              <w:right w:val="single" w:sz="6" w:space="0" w:color="auto"/>
            </w:tcBorders>
            <w:shd w:val="clear" w:color="auto" w:fill="FFFFFF"/>
          </w:tcPr>
          <w:p w14:paraId="2C593CB5" w14:textId="77777777" w:rsidR="00C62D57" w:rsidRPr="00402700" w:rsidRDefault="00C62D57" w:rsidP="002C32CA">
            <w:pPr>
              <w:shd w:val="clear" w:color="auto" w:fill="FFFFFF"/>
              <w:jc w:val="both"/>
              <w:rPr>
                <w:b/>
                <w:bCs/>
                <w:noProof/>
                <w:sz w:val="22"/>
                <w:szCs w:val="22"/>
                <w:lang w:val="sr-Latn-C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7AC1B2"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720 mg</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65B09D"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35670D" w14:textId="77777777" w:rsidR="00C62D57" w:rsidRPr="00402700" w:rsidRDefault="00C62D57" w:rsidP="002C32CA">
            <w:pPr>
              <w:shd w:val="clear" w:color="auto" w:fill="FFFFFF"/>
              <w:ind w:left="178" w:right="187"/>
              <w:jc w:val="both"/>
              <w:rPr>
                <w:bCs/>
                <w:noProof/>
                <w:sz w:val="22"/>
                <w:szCs w:val="22"/>
                <w:lang w:val="sr-Latn-CS"/>
              </w:rPr>
            </w:pPr>
            <w:r w:rsidRPr="00402700">
              <w:rPr>
                <w:bCs/>
                <w:noProof/>
                <w:sz w:val="22"/>
                <w:szCs w:val="22"/>
                <w:lang w:val="sr-Latn-CS"/>
              </w:rPr>
              <w:t>18,9 (7,9)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BF4CC4" w14:textId="77777777" w:rsidR="00C62D57" w:rsidRPr="00402700" w:rsidRDefault="00C62D57" w:rsidP="002C32CA">
            <w:pPr>
              <w:shd w:val="clear" w:color="auto" w:fill="FFFFFF"/>
              <w:ind w:left="82" w:right="106"/>
              <w:jc w:val="both"/>
              <w:rPr>
                <w:bCs/>
                <w:noProof/>
                <w:sz w:val="22"/>
                <w:szCs w:val="22"/>
                <w:lang w:val="sr-Latn-CS"/>
              </w:rPr>
            </w:pPr>
            <w:r w:rsidRPr="00402700">
              <w:rPr>
                <w:bCs/>
                <w:noProof/>
                <w:sz w:val="22"/>
                <w:szCs w:val="22"/>
                <w:lang w:val="sr-Latn-CS"/>
              </w:rPr>
              <w:t>57,4 (15,0)</w:t>
            </w:r>
          </w:p>
        </w:tc>
      </w:tr>
      <w:tr w:rsidR="00C62D57" w:rsidRPr="00402700" w14:paraId="0F3C510F" w14:textId="77777777" w:rsidTr="00213727">
        <w:trPr>
          <w:trHeight w:val="699"/>
          <w:jc w:val="center"/>
        </w:trPr>
        <w:tc>
          <w:tcPr>
            <w:tcW w:w="0" w:type="auto"/>
            <w:tcBorders>
              <w:top w:val="single" w:sz="6" w:space="0" w:color="auto"/>
              <w:left w:val="single" w:sz="6" w:space="0" w:color="auto"/>
              <w:right w:val="single" w:sz="6" w:space="0" w:color="auto"/>
            </w:tcBorders>
            <w:shd w:val="clear" w:color="auto" w:fill="FFFFFF"/>
          </w:tcPr>
          <w:p w14:paraId="2FEB4E95"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 xml:space="preserve">Pedijatrija </w:t>
            </w:r>
          </w:p>
          <w:p w14:paraId="71326818" w14:textId="77777777" w:rsidR="00C62D57" w:rsidRPr="00402700" w:rsidRDefault="00C62D57" w:rsidP="002C32CA">
            <w:pPr>
              <w:shd w:val="clear" w:color="auto" w:fill="FFFFFF"/>
              <w:jc w:val="both"/>
              <w:rPr>
                <w:bCs/>
                <w:noProof/>
                <w:sz w:val="22"/>
                <w:szCs w:val="22"/>
                <w:lang w:val="sr-Latn-CS"/>
              </w:rPr>
            </w:pPr>
            <w:r w:rsidRPr="00402700">
              <w:rPr>
                <w:bCs/>
                <w:noProof/>
                <w:sz w:val="22"/>
                <w:szCs w:val="22"/>
                <w:lang w:val="sr-Latn-CS"/>
              </w:rPr>
              <w:t>450 mg/m</w:t>
            </w:r>
            <w:r w:rsidRPr="00402700">
              <w:rPr>
                <w:bCs/>
                <w:noProof/>
                <w:sz w:val="22"/>
                <w:szCs w:val="22"/>
                <w:vertAlign w:val="superscript"/>
                <w:lang w:val="sr-Latn-CS"/>
              </w:rPr>
              <w:t xml:space="preserve">2  </w:t>
            </w:r>
            <w:r w:rsidRPr="00402700">
              <w:rPr>
                <w:bCs/>
                <w:noProof/>
                <w:sz w:val="22"/>
                <w:szCs w:val="22"/>
                <w:lang w:val="sr-Latn-CS"/>
              </w:rPr>
              <w:t>pojedinačna doza</w:t>
            </w:r>
          </w:p>
          <w:p w14:paraId="35D042E0" w14:textId="77777777" w:rsidR="00C62D57" w:rsidRPr="00402700" w:rsidRDefault="00C62D57" w:rsidP="002C32CA">
            <w:pPr>
              <w:shd w:val="clear" w:color="auto" w:fill="FFFFFF"/>
              <w:jc w:val="both"/>
              <w:rPr>
                <w:b/>
                <w:bCs/>
                <w:noProof/>
                <w:sz w:val="22"/>
                <w:szCs w:val="22"/>
                <w:lang w:val="sr-Latn-CS"/>
              </w:rPr>
            </w:pPr>
            <w:r w:rsidRPr="00402700">
              <w:rPr>
                <w:b/>
                <w:bCs/>
                <w:noProof/>
                <w:sz w:val="22"/>
                <w:szCs w:val="22"/>
                <w:lang w:val="sr-Latn-CS"/>
              </w:rPr>
              <w:t>(Studija ERL 0106)</w:t>
            </w:r>
          </w:p>
          <w:p w14:paraId="11A2636B"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n=16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7EB2AE" w14:textId="77777777" w:rsidR="00C62D57" w:rsidRPr="00402700" w:rsidRDefault="00C62D57" w:rsidP="002C32CA">
            <w:pPr>
              <w:shd w:val="clear" w:color="auto" w:fill="FFFFFF"/>
              <w:jc w:val="both"/>
              <w:rPr>
                <w:noProof/>
                <w:sz w:val="22"/>
                <w:szCs w:val="22"/>
                <w:lang w:val="sr-Latn-CS"/>
              </w:rPr>
            </w:pPr>
            <w:r w:rsidRPr="00402700">
              <w:rPr>
                <w:b/>
                <w:bCs/>
                <w:noProof/>
                <w:sz w:val="22"/>
                <w:szCs w:val="22"/>
                <w:lang w:val="sr-Latn-CS"/>
              </w:rPr>
              <w:t>Doza</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EDE0BF" w14:textId="77777777" w:rsidR="00C62D57" w:rsidRPr="00402700" w:rsidRDefault="00C62D57" w:rsidP="002C32CA">
            <w:pPr>
              <w:shd w:val="clear" w:color="auto" w:fill="FFFFFF"/>
              <w:jc w:val="both"/>
              <w:rPr>
                <w:b/>
                <w:bCs/>
                <w:noProof/>
                <w:sz w:val="22"/>
                <w:szCs w:val="22"/>
                <w:lang w:val="sr-Latn-CS"/>
              </w:rPr>
            </w:pPr>
            <w:r w:rsidRPr="00402700">
              <w:rPr>
                <w:b/>
                <w:bCs/>
                <w:noProof/>
                <w:sz w:val="22"/>
                <w:szCs w:val="22"/>
                <w:lang w:val="sr-Latn-CS"/>
              </w:rPr>
              <w:t>Tmax</w:t>
            </w:r>
            <w:r w:rsidRPr="00402700">
              <w:rPr>
                <w:noProof/>
                <w:sz w:val="22"/>
                <w:szCs w:val="22"/>
                <w:lang w:val="sr-Latn-CS"/>
              </w:rPr>
              <w:t>*</w:t>
            </w:r>
          </w:p>
          <w:p w14:paraId="6BD3C72A"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(h)</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863DD6" w14:textId="77777777" w:rsidR="00C62D57" w:rsidRPr="00402700" w:rsidRDefault="00C62D57" w:rsidP="002C32CA">
            <w:pPr>
              <w:shd w:val="clear" w:color="auto" w:fill="FFFFFF"/>
              <w:ind w:left="178" w:right="187"/>
              <w:jc w:val="both"/>
              <w:rPr>
                <w:noProof/>
                <w:sz w:val="22"/>
                <w:szCs w:val="22"/>
                <w:lang w:val="sr-Latn-CS"/>
              </w:rPr>
            </w:pPr>
            <w:r w:rsidRPr="00402700">
              <w:rPr>
                <w:b/>
                <w:bCs/>
                <w:noProof/>
                <w:sz w:val="22"/>
                <w:szCs w:val="22"/>
                <w:lang w:val="sr-Latn-CS"/>
              </w:rPr>
              <w:t xml:space="preserve">Cmax </w:t>
            </w:r>
            <w:r w:rsidRPr="00402700">
              <w:rPr>
                <w:bCs/>
                <w:noProof/>
                <w:sz w:val="22"/>
                <w:szCs w:val="22"/>
                <w:lang w:val="sr-Latn-CS"/>
              </w:rPr>
              <w:t>(µg/ml)</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CAA703" w14:textId="77777777" w:rsidR="00C62D57" w:rsidRPr="00402700" w:rsidRDefault="00C62D57" w:rsidP="002C32CA">
            <w:pPr>
              <w:shd w:val="clear" w:color="auto" w:fill="FFFFFF"/>
              <w:ind w:left="82" w:right="106"/>
              <w:jc w:val="both"/>
              <w:rPr>
                <w:b/>
                <w:bCs/>
                <w:noProof/>
                <w:sz w:val="22"/>
                <w:szCs w:val="22"/>
                <w:lang w:val="sr-Latn-CS"/>
              </w:rPr>
            </w:pPr>
            <w:r w:rsidRPr="00402700">
              <w:rPr>
                <w:b/>
                <w:bCs/>
                <w:noProof/>
                <w:sz w:val="22"/>
                <w:szCs w:val="22"/>
                <w:lang w:val="sr-Latn-CS"/>
              </w:rPr>
              <w:t>PIK  0-</w:t>
            </w:r>
            <w:r w:rsidRPr="00402700">
              <w:rPr>
                <w:noProof/>
                <w:sz w:val="22"/>
                <w:szCs w:val="22"/>
                <w:lang w:val="sr-Latn-CS"/>
              </w:rPr>
              <w:t>∞</w:t>
            </w:r>
          </w:p>
          <w:p w14:paraId="7E75FB72" w14:textId="77777777" w:rsidR="00C62D57" w:rsidRPr="00402700" w:rsidRDefault="00C62D57" w:rsidP="002C32CA">
            <w:pPr>
              <w:shd w:val="clear" w:color="auto" w:fill="FFFFFF"/>
              <w:ind w:left="82" w:right="106"/>
              <w:jc w:val="both"/>
              <w:rPr>
                <w:noProof/>
                <w:sz w:val="22"/>
                <w:szCs w:val="22"/>
                <w:lang w:val="sr-Latn-CS"/>
              </w:rPr>
            </w:pPr>
            <w:r w:rsidRPr="00402700">
              <w:rPr>
                <w:bCs/>
                <w:noProof/>
                <w:sz w:val="22"/>
                <w:szCs w:val="22"/>
                <w:lang w:val="sr-Latn-CS"/>
              </w:rPr>
              <w:t>(µg ×h/ml)</w:t>
            </w:r>
          </w:p>
        </w:tc>
      </w:tr>
      <w:tr w:rsidR="00C62D57" w:rsidRPr="00402700" w14:paraId="4666F839" w14:textId="77777777" w:rsidTr="00213727">
        <w:trPr>
          <w:jc w:val="center"/>
        </w:trPr>
        <w:tc>
          <w:tcPr>
            <w:tcW w:w="0" w:type="auto"/>
            <w:tcBorders>
              <w:left w:val="single" w:sz="6" w:space="0" w:color="auto"/>
              <w:bottom w:val="single" w:sz="6" w:space="0" w:color="auto"/>
              <w:right w:val="single" w:sz="6" w:space="0" w:color="auto"/>
            </w:tcBorders>
            <w:shd w:val="clear" w:color="auto" w:fill="FFFFFF"/>
          </w:tcPr>
          <w:p w14:paraId="17FE5DAE" w14:textId="77777777" w:rsidR="00C62D57" w:rsidRPr="00402700" w:rsidRDefault="00C62D57" w:rsidP="002C32CA">
            <w:pPr>
              <w:jc w:val="both"/>
              <w:rPr>
                <w:noProof/>
                <w:sz w:val="22"/>
                <w:szCs w:val="22"/>
                <w:lang w:val="sr-Latn-CS"/>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5C9CA7"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450 mg/m</w:t>
            </w:r>
            <w:r w:rsidRPr="00402700">
              <w:rPr>
                <w:bCs/>
                <w:noProof/>
                <w:sz w:val="22"/>
                <w:szCs w:val="22"/>
                <w:vertAlign w:val="superscript"/>
                <w:lang w:val="sr-Latn-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FF26E3C"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BDD25" w14:textId="77777777" w:rsidR="00C62D57" w:rsidRPr="00402700" w:rsidRDefault="00C62D57" w:rsidP="002C32CA">
            <w:pPr>
              <w:shd w:val="clear" w:color="auto" w:fill="FFFFFF"/>
              <w:jc w:val="both"/>
              <w:rPr>
                <w:noProof/>
                <w:sz w:val="22"/>
                <w:szCs w:val="22"/>
                <w:lang w:val="sr-Latn-CS"/>
              </w:rPr>
            </w:pPr>
            <w:r w:rsidRPr="00402700">
              <w:rPr>
                <w:bCs/>
                <w:noProof/>
                <w:sz w:val="22"/>
                <w:szCs w:val="22"/>
                <w:lang w:val="sr-Latn-CS"/>
              </w:rPr>
              <w:t>31,9 (18,2)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DFBD1D"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74,5 (28,3)</w:t>
            </w:r>
          </w:p>
        </w:tc>
      </w:tr>
    </w:tbl>
    <w:p w14:paraId="774D71C1" w14:textId="2109794A" w:rsidR="00C62D57" w:rsidRPr="00402700" w:rsidRDefault="00C62D57" w:rsidP="002C32CA">
      <w:pPr>
        <w:shd w:val="clear" w:color="auto" w:fill="FFFFFF"/>
        <w:jc w:val="both"/>
        <w:rPr>
          <w:b/>
          <w:bCs/>
          <w:noProof/>
          <w:sz w:val="22"/>
          <w:szCs w:val="22"/>
          <w:lang w:val="sr-Latn-CS"/>
        </w:rPr>
      </w:pPr>
      <w:r w:rsidRPr="00402700">
        <w:rPr>
          <w:noProof/>
          <w:sz w:val="22"/>
          <w:szCs w:val="22"/>
          <w:lang w:val="sr-Latn-CS"/>
        </w:rPr>
        <w:t>*srednje vr</w:t>
      </w:r>
      <w:r w:rsidR="00C340F2" w:rsidRPr="00402700">
        <w:rPr>
          <w:noProof/>
          <w:sz w:val="22"/>
          <w:szCs w:val="22"/>
          <w:lang w:val="sr-Latn-CS"/>
        </w:rPr>
        <w:t>ij</w:t>
      </w:r>
      <w:r w:rsidRPr="00402700">
        <w:rPr>
          <w:noProof/>
          <w:sz w:val="22"/>
          <w:szCs w:val="22"/>
          <w:lang w:val="sr-Latn-CS"/>
        </w:rPr>
        <w:t>ednosti</w:t>
      </w:r>
    </w:p>
    <w:p w14:paraId="65677433" w14:textId="77777777" w:rsidR="00C17096" w:rsidRPr="00402700" w:rsidRDefault="00C17096" w:rsidP="002C32CA">
      <w:pPr>
        <w:shd w:val="clear" w:color="auto" w:fill="FFFFFF"/>
        <w:ind w:left="19"/>
        <w:jc w:val="both"/>
        <w:rPr>
          <w:bCs/>
          <w:noProof/>
          <w:sz w:val="22"/>
          <w:szCs w:val="22"/>
          <w:u w:val="single"/>
          <w:lang w:val="sr-Latn-CS"/>
        </w:rPr>
      </w:pPr>
    </w:p>
    <w:p w14:paraId="7111EB27" w14:textId="7356D648"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t>Oštećenje bubrega</w:t>
      </w:r>
    </w:p>
    <w:p w14:paraId="577722B0" w14:textId="7B5DFF5D"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Izgleda da je farmakokinetika mikofenolne kiseline nepromjenjena u rasponu od normalne funkcije do odsutnosti funkcije bubrega. Nasuprot tome, izloženost MFKG se povećala sa smanjenjem bubrežne funkcije; izloženost </w:t>
      </w:r>
      <w:r w:rsidR="003931D3" w:rsidRPr="00402700">
        <w:rPr>
          <w:noProof/>
          <w:sz w:val="22"/>
          <w:szCs w:val="22"/>
          <w:lang w:val="sr-Latn-CS"/>
        </w:rPr>
        <w:t>MFKG</w:t>
      </w:r>
      <w:r w:rsidRPr="00402700">
        <w:rPr>
          <w:noProof/>
          <w:sz w:val="22"/>
          <w:szCs w:val="22"/>
          <w:lang w:val="sr-Latn-CS"/>
        </w:rPr>
        <w:t>-u bila je približno 8 puta veća u stanju anurije. Klirens MFK i</w:t>
      </w:r>
      <w:r w:rsidR="003931D3" w:rsidRPr="00402700">
        <w:rPr>
          <w:noProof/>
          <w:sz w:val="22"/>
          <w:szCs w:val="22"/>
          <w:lang w:val="sr-Latn-CS"/>
        </w:rPr>
        <w:t>li</w:t>
      </w:r>
      <w:r w:rsidRPr="00402700">
        <w:rPr>
          <w:noProof/>
          <w:sz w:val="22"/>
          <w:szCs w:val="22"/>
          <w:lang w:val="sr-Latn-CS"/>
        </w:rPr>
        <w:t xml:space="preserve"> MFKG se nije m</w:t>
      </w:r>
      <w:r w:rsidR="00C340F2" w:rsidRPr="00402700">
        <w:rPr>
          <w:noProof/>
          <w:sz w:val="22"/>
          <w:szCs w:val="22"/>
          <w:lang w:val="sr-Latn-CS"/>
        </w:rPr>
        <w:t>ij</w:t>
      </w:r>
      <w:r w:rsidRPr="00402700">
        <w:rPr>
          <w:noProof/>
          <w:sz w:val="22"/>
          <w:szCs w:val="22"/>
          <w:lang w:val="sr-Latn-CS"/>
        </w:rPr>
        <w:t>enjao hemodijalizom. Slobodna mikofenolna kiselina se takođe može značajno povećati u uslovima insuficijencije bubrega. Ovo može biti uslovljeno smanjenjem vezivanja mikofenolne kiseline za proteine plazme u prisustvu visoke koncentracije uree u krvi.</w:t>
      </w:r>
    </w:p>
    <w:p w14:paraId="0E94B27B" w14:textId="77777777" w:rsidR="00C17096" w:rsidRPr="00402700" w:rsidRDefault="00C17096" w:rsidP="002C32CA">
      <w:pPr>
        <w:shd w:val="clear" w:color="auto" w:fill="FFFFFF"/>
        <w:ind w:left="19"/>
        <w:jc w:val="both"/>
        <w:rPr>
          <w:bCs/>
          <w:noProof/>
          <w:sz w:val="22"/>
          <w:szCs w:val="22"/>
          <w:u w:val="single"/>
          <w:lang w:val="sr-Latn-CS"/>
        </w:rPr>
      </w:pPr>
    </w:p>
    <w:p w14:paraId="107AACF5" w14:textId="38BB901E"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t>Oštećenje jetre</w:t>
      </w:r>
    </w:p>
    <w:p w14:paraId="4D49DF83" w14:textId="2E0858F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Kod </w:t>
      </w:r>
      <w:r w:rsidR="003931D3" w:rsidRPr="00402700">
        <w:rPr>
          <w:noProof/>
          <w:sz w:val="22"/>
          <w:szCs w:val="22"/>
          <w:lang w:val="sr-Latn-CS"/>
        </w:rPr>
        <w:t>ispitanika</w:t>
      </w:r>
      <w:r w:rsidRPr="00402700">
        <w:rPr>
          <w:noProof/>
          <w:sz w:val="22"/>
          <w:szCs w:val="22"/>
          <w:lang w:val="sr-Latn-CS"/>
        </w:rPr>
        <w:t xml:space="preserve"> sa alkoholnom cirozom, bolest parenhima jetre nije imala uticaja na procese glukuronidacije MFK u jetri. Djelovanje bolesti jetre na ovaj proces vjerovatno zavisi od konkretne bolesti. Međutim, bolest jetre sa predominantnim oštećenjem žuči, poput primarne bilijarne ciroze, može da pokaže drugačije efekte.</w:t>
      </w:r>
    </w:p>
    <w:p w14:paraId="7E6A8C89" w14:textId="77777777" w:rsidR="00C17096" w:rsidRPr="00402700" w:rsidRDefault="00C17096" w:rsidP="002C32CA">
      <w:pPr>
        <w:shd w:val="clear" w:color="auto" w:fill="FFFFFF"/>
        <w:jc w:val="both"/>
        <w:rPr>
          <w:bCs/>
          <w:noProof/>
          <w:sz w:val="22"/>
          <w:szCs w:val="22"/>
          <w:u w:val="single"/>
          <w:lang w:val="sr-Latn-CS"/>
        </w:rPr>
      </w:pPr>
    </w:p>
    <w:p w14:paraId="26107A62" w14:textId="645A7C97" w:rsidR="00C62D57" w:rsidRPr="00402700" w:rsidRDefault="00C62D57" w:rsidP="002C32CA">
      <w:pPr>
        <w:shd w:val="clear" w:color="auto" w:fill="FFFFFF"/>
        <w:jc w:val="both"/>
        <w:rPr>
          <w:bCs/>
          <w:noProof/>
          <w:sz w:val="22"/>
          <w:szCs w:val="22"/>
          <w:u w:val="single"/>
          <w:lang w:val="sr-Latn-CS"/>
        </w:rPr>
      </w:pPr>
      <w:r w:rsidRPr="00402700">
        <w:rPr>
          <w:bCs/>
          <w:noProof/>
          <w:sz w:val="22"/>
          <w:szCs w:val="22"/>
          <w:u w:val="single"/>
          <w:lang w:val="sr-Latn-CS"/>
        </w:rPr>
        <w:t>Pedijatrijska populacija  i adolescenti</w:t>
      </w:r>
    </w:p>
    <w:p w14:paraId="6133DA9D" w14:textId="6CE705FB"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Podaci o primjeni lijeka Myfortic kod djece i adolescenata su ograničeni. U gore navedenoj tabeli 2, srednja (SD) farmakokinetika mikofenolne kiseline prikazana je za pedijatrijske pacijente (uzrasta 5-16 godina) sa stabilnim bubrežnim transplantom i imunosupresijom zasnovanom na ciklosporinu. Srednja PIK mikofenolne kiseline pri dozi od 450 mg/m</w:t>
      </w:r>
      <w:r w:rsidRPr="00402700">
        <w:rPr>
          <w:noProof/>
          <w:sz w:val="22"/>
          <w:szCs w:val="22"/>
          <w:vertAlign w:val="superscript"/>
          <w:lang w:val="sr-Latn-CS"/>
        </w:rPr>
        <w:t>2</w:t>
      </w:r>
      <w:r w:rsidRPr="00402700">
        <w:rPr>
          <w:noProof/>
          <w:sz w:val="22"/>
          <w:szCs w:val="22"/>
          <w:lang w:val="sr-Latn-CS"/>
        </w:rPr>
        <w:t xml:space="preserve"> bila je slična kao ona izmjerena kod odraslih koji su primili 720 mg lijeka Myfortic. Srednji prividni klirens mikofenolne kiseline bio je približno 6,7 </w:t>
      </w:r>
      <w:r w:rsidR="00C17096" w:rsidRPr="00402700">
        <w:rPr>
          <w:noProof/>
          <w:sz w:val="22"/>
          <w:szCs w:val="22"/>
          <w:lang w:val="sr-Latn-CS"/>
        </w:rPr>
        <w:t>l</w:t>
      </w:r>
      <w:r w:rsidRPr="00402700">
        <w:rPr>
          <w:noProof/>
          <w:sz w:val="22"/>
          <w:szCs w:val="22"/>
          <w:lang w:val="sr-Latn-CS"/>
        </w:rPr>
        <w:t>/h/m</w:t>
      </w:r>
      <w:r w:rsidRPr="00402700">
        <w:rPr>
          <w:noProof/>
          <w:sz w:val="22"/>
          <w:szCs w:val="22"/>
          <w:vertAlign w:val="superscript"/>
          <w:lang w:val="sr-Latn-CS"/>
        </w:rPr>
        <w:t>2</w:t>
      </w:r>
      <w:r w:rsidRPr="00402700">
        <w:rPr>
          <w:noProof/>
          <w:sz w:val="22"/>
          <w:szCs w:val="22"/>
          <w:lang w:val="sr-Latn-CS"/>
        </w:rPr>
        <w:t xml:space="preserve">. </w:t>
      </w:r>
    </w:p>
    <w:p w14:paraId="0CA61F4E" w14:textId="77777777" w:rsidR="00C17096" w:rsidRPr="00402700" w:rsidRDefault="00C17096" w:rsidP="002C32CA">
      <w:pPr>
        <w:shd w:val="clear" w:color="auto" w:fill="FFFFFF"/>
        <w:ind w:left="19"/>
        <w:jc w:val="both"/>
        <w:rPr>
          <w:bCs/>
          <w:noProof/>
          <w:sz w:val="22"/>
          <w:szCs w:val="22"/>
          <w:u w:val="single"/>
          <w:lang w:val="sr-Latn-CS"/>
        </w:rPr>
      </w:pPr>
    </w:p>
    <w:p w14:paraId="1D56B126" w14:textId="18158543"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t>Pol</w:t>
      </w:r>
    </w:p>
    <w:p w14:paraId="21D6B8CD"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Nema klinički značajnih razlika između polova u farmakokinetici lijeka Myfortic.</w:t>
      </w:r>
    </w:p>
    <w:p w14:paraId="0ADE54CD" w14:textId="77777777" w:rsidR="00C17096" w:rsidRPr="00402700" w:rsidRDefault="00C17096" w:rsidP="002C32CA">
      <w:pPr>
        <w:shd w:val="clear" w:color="auto" w:fill="FFFFFF"/>
        <w:ind w:left="19"/>
        <w:jc w:val="both"/>
        <w:rPr>
          <w:bCs/>
          <w:noProof/>
          <w:sz w:val="22"/>
          <w:szCs w:val="22"/>
          <w:u w:val="single"/>
          <w:lang w:val="sr-Latn-CS"/>
        </w:rPr>
      </w:pPr>
    </w:p>
    <w:p w14:paraId="457C5A94" w14:textId="0EEF3C05" w:rsidR="00C62D57" w:rsidRPr="00402700" w:rsidRDefault="00C62D57" w:rsidP="002C32CA">
      <w:pPr>
        <w:shd w:val="clear" w:color="auto" w:fill="FFFFFF"/>
        <w:ind w:left="19"/>
        <w:jc w:val="both"/>
        <w:rPr>
          <w:bCs/>
          <w:noProof/>
          <w:sz w:val="22"/>
          <w:szCs w:val="22"/>
          <w:u w:val="single"/>
          <w:lang w:val="sr-Latn-CS"/>
        </w:rPr>
      </w:pPr>
      <w:r w:rsidRPr="00402700">
        <w:rPr>
          <w:bCs/>
          <w:noProof/>
          <w:sz w:val="22"/>
          <w:szCs w:val="22"/>
          <w:u w:val="single"/>
          <w:lang w:val="sr-Latn-CS"/>
        </w:rPr>
        <w:lastRenderedPageBreak/>
        <w:t>Starije osobe</w:t>
      </w:r>
    </w:p>
    <w:p w14:paraId="4EABABE4" w14:textId="18604E12" w:rsidR="00C62D57" w:rsidRDefault="00C62D57" w:rsidP="002C32CA">
      <w:pPr>
        <w:shd w:val="clear" w:color="auto" w:fill="FFFFFF"/>
        <w:tabs>
          <w:tab w:val="left" w:pos="965"/>
        </w:tabs>
        <w:jc w:val="both"/>
        <w:rPr>
          <w:noProof/>
          <w:sz w:val="22"/>
          <w:szCs w:val="22"/>
          <w:lang w:val="sr-Latn-CS"/>
        </w:rPr>
      </w:pPr>
      <w:r w:rsidRPr="00402700">
        <w:rPr>
          <w:noProof/>
          <w:sz w:val="22"/>
          <w:szCs w:val="22"/>
          <w:lang w:val="sr-Latn-CS"/>
        </w:rPr>
        <w:t>Farmakokinetika kod starijih osoba nije zvanično ispitivana. Izloženost mikofenolnoj kiselini klinički značajno ne varira u zavisnosti od uzrasta.</w:t>
      </w:r>
    </w:p>
    <w:p w14:paraId="419FC8D4" w14:textId="77777777" w:rsidR="00917AB1" w:rsidRPr="00402700" w:rsidRDefault="00917AB1" w:rsidP="002C32CA">
      <w:pPr>
        <w:shd w:val="clear" w:color="auto" w:fill="FFFFFF"/>
        <w:tabs>
          <w:tab w:val="left" w:pos="965"/>
        </w:tabs>
        <w:jc w:val="both"/>
        <w:rPr>
          <w:noProof/>
          <w:sz w:val="22"/>
          <w:szCs w:val="22"/>
          <w:lang w:val="sr-Latn-CS"/>
        </w:rPr>
      </w:pPr>
    </w:p>
    <w:p w14:paraId="20572FAB" w14:textId="77777777"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5.3. </w:t>
      </w:r>
      <w:r w:rsidR="00480FB1" w:rsidRPr="00402700">
        <w:rPr>
          <w:b/>
          <w:bCs/>
          <w:noProof/>
          <w:sz w:val="22"/>
          <w:szCs w:val="22"/>
          <w:lang w:val="sr-Latn-CS"/>
        </w:rPr>
        <w:tab/>
      </w:r>
      <w:r w:rsidRPr="00402700">
        <w:rPr>
          <w:b/>
          <w:bCs/>
          <w:noProof/>
          <w:sz w:val="22"/>
          <w:szCs w:val="22"/>
          <w:lang w:val="sr-Latn-CS"/>
        </w:rPr>
        <w:t xml:space="preserve">Pretklinički podaci o bezbjednosti </w:t>
      </w:r>
    </w:p>
    <w:p w14:paraId="109BF516" w14:textId="77777777" w:rsidR="00C62D57" w:rsidRPr="00402700" w:rsidRDefault="00C62D57" w:rsidP="002C32CA">
      <w:pPr>
        <w:shd w:val="clear" w:color="auto" w:fill="FFFFFF"/>
        <w:tabs>
          <w:tab w:val="left" w:pos="965"/>
        </w:tabs>
        <w:jc w:val="both"/>
        <w:rPr>
          <w:noProof/>
          <w:sz w:val="22"/>
          <w:szCs w:val="22"/>
          <w:lang w:val="sr-Latn-CS"/>
        </w:rPr>
      </w:pPr>
    </w:p>
    <w:p w14:paraId="614875A7" w14:textId="3FEDC776"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Hematopoezni i limfni sistem su bili primarno zahvaćeni sistemi tokom toksikoloških studija sa ponovljenim dozama sprovedenim sa mikofenolat natrijumom kod pacova i miševa. Aplastična, regenerativna anemija je uočena kao toksičnost koja ograničava dozu za glodare izložene mikofenolnoj kiselini. Procjena mijelograma je pokazala značajno smanjenje broja eritroidnih ćelija (polihromatski eritroblasti i normoblasti) i dozno zavisno uvećanje slezine i povećanje ekstramedularne hematopoeze. Ovi efekti su se javljali pri </w:t>
      </w:r>
      <w:r w:rsidR="00695D6B" w:rsidRPr="00402700">
        <w:rPr>
          <w:noProof/>
          <w:sz w:val="22"/>
          <w:szCs w:val="22"/>
          <w:lang w:val="sr-Latn-CS"/>
        </w:rPr>
        <w:t>nivoima</w:t>
      </w:r>
      <w:r w:rsidRPr="00402700">
        <w:rPr>
          <w:noProof/>
          <w:sz w:val="22"/>
          <w:szCs w:val="22"/>
          <w:lang w:val="sr-Latn-CS"/>
        </w:rPr>
        <w:t xml:space="preserve"> sistemske izloženosti ekvivalentn</w:t>
      </w:r>
      <w:r w:rsidR="00695D6B" w:rsidRPr="00402700">
        <w:rPr>
          <w:noProof/>
          <w:sz w:val="22"/>
          <w:szCs w:val="22"/>
          <w:lang w:val="sr-Latn-CS"/>
        </w:rPr>
        <w:t>im</w:t>
      </w:r>
      <w:r w:rsidRPr="00402700">
        <w:rPr>
          <w:noProof/>
          <w:sz w:val="22"/>
          <w:szCs w:val="22"/>
          <w:lang w:val="sr-Latn-CS"/>
        </w:rPr>
        <w:t xml:space="preserve"> ili manj</w:t>
      </w:r>
      <w:r w:rsidR="00695D6B" w:rsidRPr="00402700">
        <w:rPr>
          <w:noProof/>
          <w:sz w:val="22"/>
          <w:szCs w:val="22"/>
          <w:lang w:val="sr-Latn-CS"/>
        </w:rPr>
        <w:t>im</w:t>
      </w:r>
      <w:r w:rsidRPr="00402700">
        <w:rPr>
          <w:noProof/>
          <w:sz w:val="22"/>
          <w:szCs w:val="22"/>
          <w:lang w:val="sr-Latn-CS"/>
        </w:rPr>
        <w:t xml:space="preserve"> od kliničke izloženosti sa preporučenom dozom lijeka Myfortic od 1,44 g/dan kod pacijenata sa bubrežnim transplantom.</w:t>
      </w:r>
    </w:p>
    <w:p w14:paraId="2BF220A1" w14:textId="77777777" w:rsidR="00695D6B" w:rsidRPr="00402700" w:rsidRDefault="00695D6B" w:rsidP="002C32CA">
      <w:pPr>
        <w:shd w:val="clear" w:color="auto" w:fill="FFFFFF"/>
        <w:tabs>
          <w:tab w:val="left" w:pos="965"/>
        </w:tabs>
        <w:jc w:val="both"/>
        <w:rPr>
          <w:noProof/>
          <w:sz w:val="22"/>
          <w:szCs w:val="22"/>
          <w:lang w:val="sr-Latn-CS"/>
        </w:rPr>
      </w:pPr>
    </w:p>
    <w:p w14:paraId="33D66F98" w14:textId="39E5D968"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Gastrointestinalni efekti zu zapaženi kod pasa kod sistemske izloženosti jednake ili niže od kliničke izloženosti pri preporučenim dozama.</w:t>
      </w:r>
    </w:p>
    <w:p w14:paraId="7D38C692" w14:textId="77777777" w:rsidR="00695D6B" w:rsidRPr="00402700" w:rsidRDefault="00695D6B" w:rsidP="002C32CA">
      <w:pPr>
        <w:shd w:val="clear" w:color="auto" w:fill="FFFFFF"/>
        <w:tabs>
          <w:tab w:val="left" w:pos="965"/>
        </w:tabs>
        <w:jc w:val="both"/>
        <w:rPr>
          <w:noProof/>
          <w:sz w:val="22"/>
          <w:szCs w:val="22"/>
          <w:lang w:val="sr-Latn-CS"/>
        </w:rPr>
      </w:pPr>
    </w:p>
    <w:p w14:paraId="4483F196" w14:textId="4493B72F"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Izgleda da je profil nekliničke toksičnosti mikofenolne kiseline (u obliku soli natrijuma) konzistentan sa neželjenim događajima uočenim kod ljudi u kliničkim studijama, koje sada daju značajnije podatke za  populaciju pacijenata (vidjeti </w:t>
      </w:r>
      <w:r w:rsidR="007779BA" w:rsidRPr="00402700">
        <w:rPr>
          <w:noProof/>
          <w:sz w:val="22"/>
          <w:szCs w:val="22"/>
          <w:lang w:val="sr-Latn-CS"/>
        </w:rPr>
        <w:t>dio</w:t>
      </w:r>
      <w:r w:rsidRPr="00402700">
        <w:rPr>
          <w:noProof/>
          <w:sz w:val="22"/>
          <w:szCs w:val="22"/>
          <w:lang w:val="sr-Latn-CS"/>
        </w:rPr>
        <w:t xml:space="preserve"> 4.8).</w:t>
      </w:r>
    </w:p>
    <w:p w14:paraId="34EE5AA6" w14:textId="77777777" w:rsidR="00695D6B" w:rsidRPr="00402700" w:rsidRDefault="00695D6B" w:rsidP="002C32CA">
      <w:pPr>
        <w:shd w:val="clear" w:color="auto" w:fill="FFFFFF"/>
        <w:tabs>
          <w:tab w:val="left" w:pos="965"/>
        </w:tabs>
        <w:jc w:val="both"/>
        <w:rPr>
          <w:noProof/>
          <w:sz w:val="22"/>
          <w:szCs w:val="22"/>
          <w:lang w:val="sr-Latn-CS"/>
        </w:rPr>
      </w:pPr>
    </w:p>
    <w:p w14:paraId="14D7D964" w14:textId="3681AECC"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Mikofenolna kiselina je u tri genotoksična ispitivanja (</w:t>
      </w:r>
      <w:r w:rsidRPr="00402700">
        <w:rPr>
          <w:i/>
          <w:noProof/>
          <w:sz w:val="22"/>
          <w:szCs w:val="22"/>
          <w:lang w:val="sr-Latn-CS"/>
        </w:rPr>
        <w:t xml:space="preserve">in vitro </w:t>
      </w:r>
      <w:r w:rsidRPr="00402700">
        <w:rPr>
          <w:noProof/>
          <w:sz w:val="22"/>
          <w:szCs w:val="22"/>
          <w:lang w:val="sr-Latn-CS"/>
        </w:rPr>
        <w:t>ispitivanje mišijeg limfoma, mikronukleus</w:t>
      </w:r>
      <w:r w:rsidR="00695D6B" w:rsidRPr="00402700">
        <w:rPr>
          <w:noProof/>
          <w:sz w:val="22"/>
          <w:szCs w:val="22"/>
          <w:lang w:val="sr-Latn-CS"/>
        </w:rPr>
        <w:t>ni</w:t>
      </w:r>
      <w:r w:rsidRPr="00402700">
        <w:rPr>
          <w:noProof/>
          <w:sz w:val="22"/>
          <w:szCs w:val="22"/>
          <w:lang w:val="sr-Latn-CS"/>
        </w:rPr>
        <w:t xml:space="preserve"> test kod V79 ćelija kineskog hrčka i </w:t>
      </w:r>
      <w:r w:rsidRPr="00402700">
        <w:rPr>
          <w:i/>
          <w:noProof/>
          <w:sz w:val="22"/>
          <w:szCs w:val="22"/>
          <w:lang w:val="sr-Latn-CS"/>
        </w:rPr>
        <w:t>in vivo</w:t>
      </w:r>
      <w:r w:rsidRPr="00402700">
        <w:rPr>
          <w:noProof/>
          <w:sz w:val="22"/>
          <w:szCs w:val="22"/>
          <w:lang w:val="sr-Latn-CS"/>
        </w:rPr>
        <w:t xml:space="preserve"> mikronukleus</w:t>
      </w:r>
      <w:r w:rsidR="00695D6B" w:rsidRPr="00402700">
        <w:rPr>
          <w:noProof/>
          <w:sz w:val="22"/>
          <w:szCs w:val="22"/>
          <w:lang w:val="sr-Latn-CS"/>
        </w:rPr>
        <w:t>ni</w:t>
      </w:r>
      <w:r w:rsidRPr="00402700">
        <w:rPr>
          <w:noProof/>
          <w:sz w:val="22"/>
          <w:szCs w:val="22"/>
          <w:lang w:val="sr-Latn-CS"/>
        </w:rPr>
        <w:t xml:space="preserve"> test ko</w:t>
      </w:r>
      <w:r w:rsidR="00695D6B" w:rsidRPr="00402700">
        <w:rPr>
          <w:noProof/>
          <w:sz w:val="22"/>
          <w:szCs w:val="22"/>
          <w:lang w:val="sr-Latn-CS"/>
        </w:rPr>
        <w:t>štane</w:t>
      </w:r>
      <w:r w:rsidRPr="00402700">
        <w:rPr>
          <w:noProof/>
          <w:sz w:val="22"/>
          <w:szCs w:val="22"/>
          <w:lang w:val="sr-Latn-CS"/>
        </w:rPr>
        <w:t xml:space="preserve"> srži miša) pokazala potencijal da izazove hromozomske aberacije. Ova dejstva se dovode u vezu sa farmakodinamskim načinom djelovanja, tj. inhibicija sinteze nukleotida u osjetljivim ćelijama. Ostali </w:t>
      </w:r>
      <w:r w:rsidRPr="00402700">
        <w:rPr>
          <w:i/>
          <w:noProof/>
          <w:sz w:val="22"/>
          <w:szCs w:val="22"/>
          <w:lang w:val="sr-Latn-CS"/>
        </w:rPr>
        <w:t xml:space="preserve">in vitro </w:t>
      </w:r>
      <w:r w:rsidRPr="00402700">
        <w:rPr>
          <w:noProof/>
          <w:sz w:val="22"/>
          <w:szCs w:val="22"/>
          <w:lang w:val="sr-Latn-CS"/>
        </w:rPr>
        <w:t>testovi za otkrivanje genskih mutacija nijesu pokazali genotoksičnu aktivnost.</w:t>
      </w:r>
    </w:p>
    <w:p w14:paraId="58EE5B22" w14:textId="77777777" w:rsidR="00695D6B" w:rsidRPr="00402700" w:rsidRDefault="00695D6B" w:rsidP="002C32CA">
      <w:pPr>
        <w:shd w:val="clear" w:color="auto" w:fill="FFFFFF"/>
        <w:tabs>
          <w:tab w:val="left" w:pos="965"/>
        </w:tabs>
        <w:jc w:val="both"/>
        <w:rPr>
          <w:noProof/>
          <w:sz w:val="22"/>
          <w:szCs w:val="22"/>
          <w:lang w:val="sr-Latn-CS"/>
        </w:rPr>
      </w:pPr>
    </w:p>
    <w:p w14:paraId="37BB9943" w14:textId="7FA247D3"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Mikofenolna kiselina (u vidu soli natrijuma) nije bila tumorogena kod pacova i miševa. Najviša ispitivana doza u studijama karcinogenosti na životinjama dovela je do približno 0,6-5 puta veće sistemske izloženosti (PIK ili C</w:t>
      </w:r>
      <w:r w:rsidRPr="00402700">
        <w:rPr>
          <w:noProof/>
          <w:sz w:val="22"/>
          <w:szCs w:val="22"/>
          <w:vertAlign w:val="subscript"/>
          <w:lang w:val="sr-Latn-CS"/>
        </w:rPr>
        <w:t>max</w:t>
      </w:r>
      <w:r w:rsidRPr="00402700">
        <w:rPr>
          <w:noProof/>
          <w:sz w:val="22"/>
          <w:szCs w:val="22"/>
          <w:lang w:val="sr-Latn-CS"/>
        </w:rPr>
        <w:t>) od one zabilježene kod pacijenata sa transplantacijom bubrega pri preporučenoj kliničkoj dozi od 1,44 g/dan.</w:t>
      </w:r>
    </w:p>
    <w:p w14:paraId="52848E56" w14:textId="77777777" w:rsidR="00695D6B" w:rsidRPr="00402700" w:rsidRDefault="00695D6B" w:rsidP="002C32CA">
      <w:pPr>
        <w:shd w:val="clear" w:color="auto" w:fill="FFFFFF"/>
        <w:tabs>
          <w:tab w:val="left" w:pos="965"/>
        </w:tabs>
        <w:jc w:val="both"/>
        <w:rPr>
          <w:noProof/>
          <w:sz w:val="22"/>
          <w:szCs w:val="22"/>
          <w:lang w:val="sr-Latn-CS"/>
        </w:rPr>
      </w:pPr>
    </w:p>
    <w:p w14:paraId="32F36134" w14:textId="7F9854E4"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Mikofenolna kiselina (u vidu soli natrijuma) nema uticaja na fertilitet mužjaka i ženki do doza pri kojima </w:t>
      </w:r>
      <w:r w:rsidR="00695D6B" w:rsidRPr="00402700">
        <w:rPr>
          <w:noProof/>
          <w:sz w:val="22"/>
          <w:szCs w:val="22"/>
          <w:lang w:val="sr-Latn-CS"/>
        </w:rPr>
        <w:t>je zab</w:t>
      </w:r>
      <w:r w:rsidR="00B26CB7" w:rsidRPr="00402700">
        <w:rPr>
          <w:noProof/>
          <w:sz w:val="22"/>
          <w:szCs w:val="22"/>
          <w:lang w:val="sr-Latn-CS"/>
        </w:rPr>
        <w:t>ilje</w:t>
      </w:r>
      <w:r w:rsidR="00695D6B" w:rsidRPr="00402700">
        <w:rPr>
          <w:noProof/>
          <w:sz w:val="22"/>
          <w:szCs w:val="22"/>
          <w:lang w:val="sr-Latn-CS"/>
        </w:rPr>
        <w:t>žena</w:t>
      </w:r>
      <w:r w:rsidRPr="00402700">
        <w:rPr>
          <w:noProof/>
          <w:sz w:val="22"/>
          <w:szCs w:val="22"/>
          <w:lang w:val="sr-Latn-CS"/>
        </w:rPr>
        <w:t xml:space="preserve"> opšta toksičnost i embriotoksičnost.</w:t>
      </w:r>
    </w:p>
    <w:p w14:paraId="7F7D564A" w14:textId="77777777" w:rsidR="00695D6B" w:rsidRPr="00402700" w:rsidRDefault="00695D6B" w:rsidP="002C32CA">
      <w:pPr>
        <w:shd w:val="clear" w:color="auto" w:fill="FFFFFF"/>
        <w:tabs>
          <w:tab w:val="left" w:pos="965"/>
        </w:tabs>
        <w:jc w:val="both"/>
        <w:rPr>
          <w:noProof/>
          <w:sz w:val="22"/>
          <w:szCs w:val="22"/>
          <w:lang w:val="sr-Latn-CS"/>
        </w:rPr>
      </w:pPr>
    </w:p>
    <w:p w14:paraId="3DE4D4C4" w14:textId="4AF7DF49"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U studiji</w:t>
      </w:r>
      <w:r w:rsidR="00B26CB7" w:rsidRPr="00402700">
        <w:rPr>
          <w:noProof/>
          <w:sz w:val="22"/>
          <w:szCs w:val="22"/>
          <w:lang w:val="sr-Latn-CS"/>
        </w:rPr>
        <w:t xml:space="preserve"> teratogenosti</w:t>
      </w:r>
      <w:r w:rsidRPr="00402700">
        <w:rPr>
          <w:noProof/>
          <w:sz w:val="22"/>
          <w:szCs w:val="22"/>
          <w:lang w:val="sr-Latn-CS"/>
        </w:rPr>
        <w:t xml:space="preserve"> izvedenoj sa mikofenolom kiselinom (u vidu soli natrijuma) kod pacova, već su kod doze od 1 mg/kg, </w:t>
      </w:r>
      <w:r w:rsidR="00B26CB7" w:rsidRPr="00402700">
        <w:rPr>
          <w:noProof/>
          <w:sz w:val="22"/>
          <w:szCs w:val="22"/>
          <w:lang w:val="sr-Latn-CS"/>
        </w:rPr>
        <w:t>zabilježene</w:t>
      </w:r>
      <w:r w:rsidRPr="00402700">
        <w:rPr>
          <w:noProof/>
          <w:sz w:val="22"/>
          <w:szCs w:val="22"/>
          <w:lang w:val="sr-Latn-CS"/>
        </w:rPr>
        <w:t xml:space="preserve"> malformacije potomstva, uključujući anoftalmiju, egzencefaliju i umbilikusnu herniju. Sistemska izloženost pri ovoj dozi je 0,05 puta veća od kliničke izloženosti pri dozi lijeka Myfortic od 1,44 g/dan (vidjeti </w:t>
      </w:r>
      <w:r w:rsidR="007779BA" w:rsidRPr="00402700">
        <w:rPr>
          <w:noProof/>
          <w:sz w:val="22"/>
          <w:szCs w:val="22"/>
          <w:lang w:val="sr-Latn-CS"/>
        </w:rPr>
        <w:t>dio</w:t>
      </w:r>
      <w:r w:rsidRPr="00402700">
        <w:rPr>
          <w:noProof/>
          <w:sz w:val="22"/>
          <w:szCs w:val="22"/>
          <w:lang w:val="sr-Latn-CS"/>
        </w:rPr>
        <w:t xml:space="preserve"> 4.6). </w:t>
      </w:r>
    </w:p>
    <w:p w14:paraId="7BBEB0C4" w14:textId="77777777" w:rsidR="008047AE" w:rsidRPr="00402700" w:rsidRDefault="008047AE" w:rsidP="002C32CA">
      <w:pPr>
        <w:shd w:val="clear" w:color="auto" w:fill="FFFFFF"/>
        <w:tabs>
          <w:tab w:val="left" w:pos="965"/>
        </w:tabs>
        <w:jc w:val="both"/>
        <w:rPr>
          <w:noProof/>
          <w:sz w:val="22"/>
          <w:szCs w:val="22"/>
          <w:lang w:val="sr-Latn-CS"/>
        </w:rPr>
      </w:pPr>
    </w:p>
    <w:p w14:paraId="0EC34AFB"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U studiji pre i postnatalnog razvoja pacova, mikofenolna kiselina (u vidu soli natrijuma) je dovela do zastoja u razvoju (abnormalni pupilarni refleks kod ženki i separacija prepucijuma kod mužjaka) pri najvišim dozama od 3 mg/kg koja je takođe izazvala malformacije.</w:t>
      </w:r>
    </w:p>
    <w:p w14:paraId="77EA88DD" w14:textId="77777777" w:rsidR="008047AE" w:rsidRPr="00402700" w:rsidRDefault="008047AE" w:rsidP="002C32CA">
      <w:pPr>
        <w:shd w:val="clear" w:color="auto" w:fill="FFFFFF"/>
        <w:tabs>
          <w:tab w:val="left" w:pos="965"/>
        </w:tabs>
        <w:jc w:val="both"/>
        <w:rPr>
          <w:noProof/>
          <w:sz w:val="22"/>
          <w:szCs w:val="22"/>
          <w:lang w:val="sr-Latn-CS"/>
        </w:rPr>
      </w:pPr>
    </w:p>
    <w:p w14:paraId="7CE1BDBB" w14:textId="1879B0FA" w:rsidR="00396DFD" w:rsidRPr="00402700" w:rsidRDefault="00C62D57" w:rsidP="00C1302B">
      <w:pPr>
        <w:shd w:val="clear" w:color="auto" w:fill="FFFFFF"/>
        <w:tabs>
          <w:tab w:val="left" w:pos="965"/>
        </w:tabs>
        <w:jc w:val="both"/>
        <w:rPr>
          <w:b/>
          <w:bCs/>
          <w:noProof/>
          <w:sz w:val="22"/>
          <w:szCs w:val="22"/>
          <w:lang w:val="sr-Latn-CS"/>
        </w:rPr>
      </w:pPr>
      <w:r w:rsidRPr="00402700">
        <w:rPr>
          <w:noProof/>
          <w:sz w:val="22"/>
          <w:szCs w:val="22"/>
          <w:lang w:val="sr-Latn-CS"/>
        </w:rPr>
        <w:t xml:space="preserve">Mikofenolna kiselina (u vidu soli natrijuma) je pokazala fototoksični potencijal u </w:t>
      </w:r>
      <w:r w:rsidRPr="00402700">
        <w:rPr>
          <w:i/>
          <w:noProof/>
          <w:sz w:val="22"/>
          <w:szCs w:val="22"/>
          <w:lang w:val="sr-Latn-CS"/>
        </w:rPr>
        <w:t xml:space="preserve">in vitro </w:t>
      </w:r>
      <w:r w:rsidRPr="00402700">
        <w:rPr>
          <w:noProof/>
          <w:sz w:val="22"/>
          <w:szCs w:val="22"/>
          <w:lang w:val="sr-Latn-CS"/>
        </w:rPr>
        <w:t>3T3 NRU analizi fototoksičnosti.</w:t>
      </w:r>
    </w:p>
    <w:p w14:paraId="3EFBE2C2" w14:textId="6447B50F" w:rsidR="007779BA" w:rsidRDefault="007779BA" w:rsidP="002C32CA">
      <w:pPr>
        <w:tabs>
          <w:tab w:val="left" w:pos="540"/>
          <w:tab w:val="left" w:pos="569"/>
        </w:tabs>
        <w:jc w:val="both"/>
        <w:rPr>
          <w:b/>
          <w:bCs/>
          <w:noProof/>
          <w:sz w:val="22"/>
          <w:szCs w:val="22"/>
          <w:lang w:val="sr-Latn-CS"/>
        </w:rPr>
      </w:pPr>
    </w:p>
    <w:p w14:paraId="2DF9E933" w14:textId="77777777" w:rsidR="00402700" w:rsidRPr="00402700" w:rsidRDefault="00402700" w:rsidP="002C32CA">
      <w:pPr>
        <w:tabs>
          <w:tab w:val="left" w:pos="540"/>
          <w:tab w:val="left" w:pos="569"/>
        </w:tabs>
        <w:jc w:val="both"/>
        <w:rPr>
          <w:b/>
          <w:bCs/>
          <w:noProof/>
          <w:sz w:val="22"/>
          <w:szCs w:val="22"/>
          <w:lang w:val="sr-Latn-CS"/>
        </w:rPr>
      </w:pPr>
    </w:p>
    <w:p w14:paraId="7B38B2E1" w14:textId="77777777"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 </w:t>
      </w:r>
      <w:r w:rsidR="00480FB1" w:rsidRPr="00402700">
        <w:rPr>
          <w:b/>
          <w:bCs/>
          <w:noProof/>
          <w:sz w:val="22"/>
          <w:szCs w:val="22"/>
          <w:lang w:val="sr-Latn-CS"/>
        </w:rPr>
        <w:tab/>
      </w:r>
      <w:r w:rsidRPr="00402700">
        <w:rPr>
          <w:b/>
          <w:bCs/>
          <w:noProof/>
          <w:sz w:val="22"/>
          <w:szCs w:val="22"/>
          <w:lang w:val="sr-Latn-CS"/>
        </w:rPr>
        <w:t>FARMACEUTSKI PODACI</w:t>
      </w:r>
    </w:p>
    <w:p w14:paraId="49335CFF" w14:textId="77777777" w:rsidR="00836B35" w:rsidRPr="00402700" w:rsidRDefault="00836B35" w:rsidP="002C32CA">
      <w:pPr>
        <w:tabs>
          <w:tab w:val="left" w:pos="540"/>
          <w:tab w:val="left" w:pos="569"/>
        </w:tabs>
        <w:jc w:val="both"/>
        <w:rPr>
          <w:bCs/>
          <w:noProof/>
          <w:sz w:val="22"/>
          <w:szCs w:val="22"/>
          <w:lang w:val="sr-Latn-CS"/>
        </w:rPr>
      </w:pPr>
    </w:p>
    <w:p w14:paraId="528374D5" w14:textId="53D48A47"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6.1. </w:t>
      </w:r>
      <w:r w:rsidR="00480FB1" w:rsidRPr="00402700">
        <w:rPr>
          <w:b/>
          <w:bCs/>
          <w:noProof/>
          <w:sz w:val="22"/>
          <w:szCs w:val="22"/>
          <w:lang w:val="sr-Latn-CS"/>
        </w:rPr>
        <w:tab/>
      </w:r>
      <w:r w:rsidRPr="00402700">
        <w:rPr>
          <w:b/>
          <w:bCs/>
          <w:noProof/>
          <w:sz w:val="22"/>
          <w:szCs w:val="22"/>
          <w:lang w:val="sr-Latn-CS"/>
        </w:rPr>
        <w:t>Lista pomoćnih supstanci</w:t>
      </w:r>
      <w:r w:rsidR="002E0135" w:rsidRPr="00402700">
        <w:rPr>
          <w:b/>
          <w:bCs/>
          <w:noProof/>
          <w:sz w:val="22"/>
          <w:szCs w:val="22"/>
          <w:lang w:val="sr-Latn-CS"/>
        </w:rPr>
        <w:t xml:space="preserve"> (ekscipijenasa)</w:t>
      </w:r>
    </w:p>
    <w:p w14:paraId="1BC9AB2C" w14:textId="77777777" w:rsidR="007779BA" w:rsidRPr="00402700" w:rsidRDefault="007779BA" w:rsidP="002C32CA">
      <w:pPr>
        <w:tabs>
          <w:tab w:val="left" w:pos="540"/>
          <w:tab w:val="left" w:pos="569"/>
        </w:tabs>
        <w:jc w:val="both"/>
        <w:rPr>
          <w:b/>
          <w:bCs/>
          <w:noProof/>
          <w:sz w:val="22"/>
          <w:szCs w:val="22"/>
          <w:lang w:val="sr-Latn-CS"/>
        </w:rPr>
      </w:pPr>
    </w:p>
    <w:p w14:paraId="54F26EE1" w14:textId="4EEEF552" w:rsidR="00C62D57" w:rsidRPr="00402700" w:rsidRDefault="002147C6" w:rsidP="002C32CA">
      <w:pPr>
        <w:shd w:val="clear" w:color="auto" w:fill="FFFFFF"/>
        <w:tabs>
          <w:tab w:val="left" w:pos="965"/>
        </w:tabs>
        <w:jc w:val="both"/>
        <w:rPr>
          <w:noProof/>
          <w:sz w:val="22"/>
          <w:szCs w:val="22"/>
          <w:u w:val="single"/>
          <w:lang w:val="sr-Latn-CS"/>
        </w:rPr>
      </w:pPr>
      <w:r w:rsidRPr="00402700">
        <w:rPr>
          <w:noProof/>
          <w:sz w:val="22"/>
          <w:szCs w:val="22"/>
          <w:u w:val="single"/>
          <w:lang w:val="sr-Latn-CS"/>
        </w:rPr>
        <w:t>Jezgro tablete</w:t>
      </w:r>
      <w:r w:rsidR="00C62D57" w:rsidRPr="00402700">
        <w:rPr>
          <w:noProof/>
          <w:sz w:val="22"/>
          <w:szCs w:val="22"/>
          <w:lang w:val="sr-Latn-CS"/>
        </w:rPr>
        <w:t xml:space="preserve">: </w:t>
      </w:r>
    </w:p>
    <w:p w14:paraId="73947DAF"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skrob, kukuruzni;</w:t>
      </w:r>
    </w:p>
    <w:p w14:paraId="22A69B83" w14:textId="40463989"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povidon (K</w:t>
      </w:r>
      <w:r w:rsidR="002147C6" w:rsidRPr="00402700">
        <w:rPr>
          <w:noProof/>
          <w:sz w:val="22"/>
          <w:szCs w:val="22"/>
          <w:lang w:val="sr-Latn-CS"/>
        </w:rPr>
        <w:t xml:space="preserve"> </w:t>
      </w:r>
      <w:r w:rsidRPr="00402700">
        <w:rPr>
          <w:noProof/>
          <w:sz w:val="22"/>
          <w:szCs w:val="22"/>
          <w:lang w:val="sr-Latn-CS"/>
        </w:rPr>
        <w:t>30);</w:t>
      </w:r>
    </w:p>
    <w:p w14:paraId="6CA8AAA8"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krospovidon; </w:t>
      </w:r>
    </w:p>
    <w:p w14:paraId="1DA7E678"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lastRenderedPageBreak/>
        <w:t>laktoza, bezvodna;</w:t>
      </w:r>
    </w:p>
    <w:p w14:paraId="4D4151C0"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silicijum dioksid, koloidni, bezvodni;</w:t>
      </w:r>
    </w:p>
    <w:p w14:paraId="5DEA0984"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magnezijum stearat.</w:t>
      </w:r>
    </w:p>
    <w:p w14:paraId="38BCD86C" w14:textId="77777777" w:rsidR="002147C6" w:rsidRPr="00402700" w:rsidRDefault="002147C6" w:rsidP="002C32CA">
      <w:pPr>
        <w:shd w:val="clear" w:color="auto" w:fill="FFFFFF"/>
        <w:tabs>
          <w:tab w:val="left" w:pos="965"/>
        </w:tabs>
        <w:jc w:val="both"/>
        <w:rPr>
          <w:b/>
          <w:noProof/>
          <w:sz w:val="22"/>
          <w:szCs w:val="22"/>
          <w:lang w:val="sr-Latn-CS"/>
        </w:rPr>
      </w:pPr>
    </w:p>
    <w:p w14:paraId="767BF3D4" w14:textId="323B7DEC" w:rsidR="00C62D57" w:rsidRPr="00402700" w:rsidRDefault="002147C6" w:rsidP="002C32CA">
      <w:pPr>
        <w:shd w:val="clear" w:color="auto" w:fill="FFFFFF"/>
        <w:tabs>
          <w:tab w:val="left" w:pos="965"/>
        </w:tabs>
        <w:jc w:val="both"/>
        <w:rPr>
          <w:b/>
          <w:noProof/>
          <w:sz w:val="22"/>
          <w:szCs w:val="22"/>
          <w:lang w:val="sr-Latn-CS"/>
        </w:rPr>
      </w:pPr>
      <w:r w:rsidRPr="00402700">
        <w:rPr>
          <w:noProof/>
          <w:sz w:val="22"/>
          <w:szCs w:val="22"/>
          <w:u w:val="single"/>
          <w:lang w:val="sr-Latn-CS"/>
        </w:rPr>
        <w:t>Film (obloga) tablete</w:t>
      </w:r>
      <w:r w:rsidR="00C62D57" w:rsidRPr="00402700">
        <w:rPr>
          <w:b/>
          <w:noProof/>
          <w:sz w:val="22"/>
          <w:szCs w:val="22"/>
          <w:lang w:val="sr-Latn-CS"/>
        </w:rPr>
        <w:t>:</w:t>
      </w:r>
    </w:p>
    <w:p w14:paraId="5B60F267" w14:textId="77777777" w:rsidR="002147C6" w:rsidRPr="00402700" w:rsidRDefault="002147C6" w:rsidP="002147C6">
      <w:pPr>
        <w:shd w:val="clear" w:color="auto" w:fill="FFFFFF"/>
        <w:tabs>
          <w:tab w:val="left" w:pos="965"/>
        </w:tabs>
        <w:jc w:val="both"/>
        <w:rPr>
          <w:noProof/>
          <w:sz w:val="22"/>
          <w:szCs w:val="22"/>
          <w:lang w:val="sr-Latn-CS"/>
        </w:rPr>
      </w:pPr>
      <w:r w:rsidRPr="00402700">
        <w:rPr>
          <w:i/>
          <w:noProof/>
          <w:sz w:val="22"/>
          <w:szCs w:val="22"/>
          <w:lang w:val="sr-Latn-CS"/>
        </w:rPr>
        <w:t>Myfortic, 180 mg, gastrorezistentna tableta</w:t>
      </w:r>
      <w:r w:rsidRPr="00402700">
        <w:rPr>
          <w:noProof/>
          <w:sz w:val="22"/>
          <w:szCs w:val="22"/>
          <w:lang w:val="sr-Latn-CS"/>
        </w:rPr>
        <w:t xml:space="preserve">: </w:t>
      </w:r>
    </w:p>
    <w:p w14:paraId="0C45F4EB"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hipromeloza ftalat;</w:t>
      </w:r>
    </w:p>
    <w:p w14:paraId="72D19A3C"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titan dioksid (E171);</w:t>
      </w:r>
    </w:p>
    <w:p w14:paraId="6E16D8D8"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gvožđe (III) oksid, žuti (E172);</w:t>
      </w:r>
    </w:p>
    <w:p w14:paraId="7D89C9C8" w14:textId="0753AF25"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indigotin (indigo karmin) (E 132).</w:t>
      </w:r>
    </w:p>
    <w:p w14:paraId="2A0EEC7A" w14:textId="77777777" w:rsidR="00C62D57" w:rsidRPr="00402700" w:rsidRDefault="00C62D57" w:rsidP="002C32CA">
      <w:pPr>
        <w:shd w:val="clear" w:color="auto" w:fill="FFFFFF"/>
        <w:jc w:val="both"/>
        <w:rPr>
          <w:noProof/>
          <w:sz w:val="22"/>
          <w:szCs w:val="22"/>
          <w:lang w:val="sr-Latn-CS"/>
        </w:rPr>
      </w:pPr>
    </w:p>
    <w:p w14:paraId="7D6ABEC8" w14:textId="769CBD22" w:rsidR="002147C6" w:rsidRPr="00402700" w:rsidRDefault="002147C6" w:rsidP="002C32CA">
      <w:pPr>
        <w:shd w:val="clear" w:color="auto" w:fill="FFFFFF"/>
        <w:tabs>
          <w:tab w:val="left" w:pos="965"/>
        </w:tabs>
        <w:jc w:val="both"/>
        <w:rPr>
          <w:noProof/>
          <w:sz w:val="22"/>
          <w:szCs w:val="22"/>
          <w:lang w:val="sr-Latn-CS"/>
        </w:rPr>
      </w:pPr>
      <w:r w:rsidRPr="00402700">
        <w:rPr>
          <w:i/>
          <w:noProof/>
          <w:sz w:val="22"/>
          <w:szCs w:val="22"/>
          <w:lang w:val="sr-Latn-CS"/>
        </w:rPr>
        <w:t>Myfortic, 360 mg, gastrorezistentna tableta</w:t>
      </w:r>
      <w:r w:rsidRPr="00402700">
        <w:rPr>
          <w:noProof/>
          <w:sz w:val="22"/>
          <w:szCs w:val="22"/>
          <w:lang w:val="sr-Latn-CS"/>
        </w:rPr>
        <w:t xml:space="preserve">: </w:t>
      </w:r>
    </w:p>
    <w:p w14:paraId="73B4611E"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hipromeloza ftalat;</w:t>
      </w:r>
    </w:p>
    <w:p w14:paraId="69FEBF8C"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titan dioksid (E171);</w:t>
      </w:r>
    </w:p>
    <w:p w14:paraId="6D0748C8"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gvožđe (III) oksid, žuti (E172);</w:t>
      </w:r>
    </w:p>
    <w:p w14:paraId="4B800236" w14:textId="77777777" w:rsidR="00C62D57" w:rsidRPr="00402700" w:rsidRDefault="00C62D57" w:rsidP="002C32CA">
      <w:pPr>
        <w:shd w:val="clear" w:color="auto" w:fill="FFFFFF"/>
        <w:jc w:val="both"/>
        <w:rPr>
          <w:noProof/>
          <w:sz w:val="22"/>
          <w:szCs w:val="22"/>
          <w:lang w:val="sr-Latn-CS"/>
        </w:rPr>
      </w:pPr>
      <w:r w:rsidRPr="00402700">
        <w:rPr>
          <w:noProof/>
          <w:sz w:val="22"/>
          <w:szCs w:val="22"/>
          <w:lang w:val="sr-Latn-CS"/>
        </w:rPr>
        <w:t xml:space="preserve">gvožđe (III) oksid, crveni (E172). </w:t>
      </w:r>
    </w:p>
    <w:p w14:paraId="1825F330" w14:textId="77777777" w:rsidR="0072020E" w:rsidRPr="00402700" w:rsidRDefault="0072020E" w:rsidP="002C32CA">
      <w:pPr>
        <w:tabs>
          <w:tab w:val="left" w:pos="540"/>
          <w:tab w:val="left" w:pos="569"/>
        </w:tabs>
        <w:jc w:val="both"/>
        <w:rPr>
          <w:bCs/>
          <w:noProof/>
          <w:sz w:val="22"/>
          <w:szCs w:val="22"/>
          <w:lang w:val="sr-Latn-CS"/>
        </w:rPr>
      </w:pPr>
    </w:p>
    <w:p w14:paraId="02EF29D2" w14:textId="79A8CC1C"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6.2. </w:t>
      </w:r>
      <w:r w:rsidR="00480FB1" w:rsidRPr="00402700">
        <w:rPr>
          <w:b/>
          <w:bCs/>
          <w:noProof/>
          <w:sz w:val="22"/>
          <w:szCs w:val="22"/>
          <w:lang w:val="sr-Latn-CS"/>
        </w:rPr>
        <w:tab/>
      </w:r>
      <w:r w:rsidRPr="00402700">
        <w:rPr>
          <w:b/>
          <w:bCs/>
          <w:noProof/>
          <w:sz w:val="22"/>
          <w:szCs w:val="22"/>
          <w:lang w:val="sr-Latn-CS"/>
        </w:rPr>
        <w:t>Inkompatibilnost</w:t>
      </w:r>
      <w:r w:rsidR="002846DB" w:rsidRPr="00402700">
        <w:rPr>
          <w:b/>
          <w:bCs/>
          <w:noProof/>
          <w:sz w:val="22"/>
          <w:szCs w:val="22"/>
          <w:lang w:val="sr-Latn-CS"/>
        </w:rPr>
        <w:t>i</w:t>
      </w:r>
    </w:p>
    <w:p w14:paraId="5BAB3B31" w14:textId="77777777" w:rsidR="007779BA" w:rsidRPr="00402700" w:rsidRDefault="007779BA" w:rsidP="002C32CA">
      <w:pPr>
        <w:tabs>
          <w:tab w:val="left" w:pos="540"/>
          <w:tab w:val="left" w:pos="569"/>
        </w:tabs>
        <w:jc w:val="both"/>
        <w:rPr>
          <w:b/>
          <w:bCs/>
          <w:noProof/>
          <w:sz w:val="22"/>
          <w:szCs w:val="22"/>
          <w:lang w:val="sr-Latn-CS"/>
        </w:rPr>
      </w:pPr>
    </w:p>
    <w:p w14:paraId="316AE945"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Nije primjenljivo.</w:t>
      </w:r>
    </w:p>
    <w:p w14:paraId="2C24054D" w14:textId="77777777" w:rsidR="0072020E" w:rsidRPr="00402700" w:rsidRDefault="0072020E" w:rsidP="002C32CA">
      <w:pPr>
        <w:tabs>
          <w:tab w:val="left" w:pos="540"/>
          <w:tab w:val="left" w:pos="569"/>
        </w:tabs>
        <w:jc w:val="both"/>
        <w:rPr>
          <w:bCs/>
          <w:noProof/>
          <w:sz w:val="22"/>
          <w:szCs w:val="22"/>
          <w:lang w:val="sr-Latn-CS"/>
        </w:rPr>
      </w:pPr>
    </w:p>
    <w:p w14:paraId="7CEC34A9" w14:textId="0761CFCF"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6.3.</w:t>
      </w:r>
      <w:r w:rsidR="00C05DF8" w:rsidRPr="00402700">
        <w:rPr>
          <w:b/>
          <w:bCs/>
          <w:noProof/>
          <w:sz w:val="22"/>
          <w:szCs w:val="22"/>
          <w:lang w:val="sr-Latn-CS"/>
        </w:rPr>
        <w:t xml:space="preserve"> </w:t>
      </w:r>
      <w:r w:rsidR="00480FB1" w:rsidRPr="00402700">
        <w:rPr>
          <w:b/>
          <w:bCs/>
          <w:noProof/>
          <w:sz w:val="22"/>
          <w:szCs w:val="22"/>
          <w:lang w:val="sr-Latn-CS"/>
        </w:rPr>
        <w:tab/>
      </w:r>
      <w:r w:rsidRPr="00402700">
        <w:rPr>
          <w:b/>
          <w:bCs/>
          <w:noProof/>
          <w:sz w:val="22"/>
          <w:szCs w:val="22"/>
          <w:lang w:val="sr-Latn-CS"/>
        </w:rPr>
        <w:t>Rok upotrebe</w:t>
      </w:r>
    </w:p>
    <w:p w14:paraId="4E6DDBCA" w14:textId="77777777" w:rsidR="007779BA" w:rsidRPr="00402700" w:rsidRDefault="007779BA" w:rsidP="002C32CA">
      <w:pPr>
        <w:tabs>
          <w:tab w:val="left" w:pos="540"/>
          <w:tab w:val="left" w:pos="569"/>
        </w:tabs>
        <w:jc w:val="both"/>
        <w:rPr>
          <w:b/>
          <w:bCs/>
          <w:noProof/>
          <w:sz w:val="22"/>
          <w:szCs w:val="22"/>
          <w:lang w:val="sr-Latn-CS"/>
        </w:rPr>
      </w:pPr>
    </w:p>
    <w:p w14:paraId="148AB2C0" w14:textId="77777777"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3 godine.</w:t>
      </w:r>
    </w:p>
    <w:p w14:paraId="44ECE4A2" w14:textId="77777777" w:rsidR="00C62D57" w:rsidRPr="00402700" w:rsidRDefault="00C62D57" w:rsidP="002C32CA">
      <w:pPr>
        <w:tabs>
          <w:tab w:val="left" w:pos="540"/>
          <w:tab w:val="left" w:pos="569"/>
        </w:tabs>
        <w:jc w:val="both"/>
        <w:rPr>
          <w:b/>
          <w:bCs/>
          <w:noProof/>
          <w:sz w:val="22"/>
          <w:szCs w:val="22"/>
          <w:lang w:val="sr-Latn-CS"/>
        </w:rPr>
      </w:pPr>
    </w:p>
    <w:p w14:paraId="6C5D38C6" w14:textId="51D692D1"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6.4. </w:t>
      </w:r>
      <w:r w:rsidR="00480FB1" w:rsidRPr="00402700">
        <w:rPr>
          <w:b/>
          <w:bCs/>
          <w:noProof/>
          <w:sz w:val="22"/>
          <w:szCs w:val="22"/>
          <w:lang w:val="sr-Latn-CS"/>
        </w:rPr>
        <w:tab/>
      </w:r>
      <w:r w:rsidRPr="00402700">
        <w:rPr>
          <w:b/>
          <w:bCs/>
          <w:noProof/>
          <w:sz w:val="22"/>
          <w:szCs w:val="22"/>
          <w:lang w:val="sr-Latn-CS"/>
        </w:rPr>
        <w:t>Posebne mjere upozorenja pri čuvanju</w:t>
      </w:r>
      <w:r w:rsidR="00F8570A" w:rsidRPr="00402700">
        <w:rPr>
          <w:b/>
          <w:bCs/>
          <w:noProof/>
          <w:sz w:val="22"/>
          <w:szCs w:val="22"/>
          <w:lang w:val="sr-Latn-CS"/>
        </w:rPr>
        <w:t xml:space="preserve"> lijeka</w:t>
      </w:r>
    </w:p>
    <w:p w14:paraId="2FCB2B94" w14:textId="77777777" w:rsidR="007779BA" w:rsidRPr="00402700" w:rsidRDefault="007779BA" w:rsidP="002C32CA">
      <w:pPr>
        <w:tabs>
          <w:tab w:val="left" w:pos="540"/>
          <w:tab w:val="left" w:pos="569"/>
        </w:tabs>
        <w:jc w:val="both"/>
        <w:rPr>
          <w:b/>
          <w:bCs/>
          <w:noProof/>
          <w:sz w:val="22"/>
          <w:szCs w:val="22"/>
          <w:lang w:val="sr-Latn-CS"/>
        </w:rPr>
      </w:pPr>
    </w:p>
    <w:p w14:paraId="4D46A227" w14:textId="0ED55FC1"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 xml:space="preserve">Čuvati  na temperaturi do 30°C. </w:t>
      </w:r>
      <w:r w:rsidR="00A53BAF" w:rsidRPr="00402700">
        <w:rPr>
          <w:noProof/>
          <w:sz w:val="22"/>
          <w:szCs w:val="22"/>
          <w:lang w:val="sr-Latn-CS"/>
        </w:rPr>
        <w:t>Čuvati u originalnom pakovanju</w:t>
      </w:r>
      <w:r w:rsidR="005526A8" w:rsidRPr="00402700">
        <w:rPr>
          <w:noProof/>
          <w:sz w:val="22"/>
          <w:szCs w:val="22"/>
          <w:lang w:val="sr-Latn-CS"/>
        </w:rPr>
        <w:t>,</w:t>
      </w:r>
      <w:r w:rsidR="00A53BAF" w:rsidRPr="00402700">
        <w:rPr>
          <w:noProof/>
          <w:sz w:val="22"/>
          <w:szCs w:val="22"/>
          <w:lang w:val="sr-Latn-CS"/>
        </w:rPr>
        <w:t xml:space="preserve"> radi</w:t>
      </w:r>
      <w:r w:rsidRPr="00402700">
        <w:rPr>
          <w:noProof/>
          <w:sz w:val="22"/>
          <w:szCs w:val="22"/>
          <w:lang w:val="sr-Latn-CS"/>
        </w:rPr>
        <w:t xml:space="preserve"> zaštit</w:t>
      </w:r>
      <w:r w:rsidR="00A53BAF" w:rsidRPr="00402700">
        <w:rPr>
          <w:noProof/>
          <w:sz w:val="22"/>
          <w:szCs w:val="22"/>
          <w:lang w:val="sr-Latn-CS"/>
        </w:rPr>
        <w:t>e</w:t>
      </w:r>
      <w:r w:rsidRPr="00402700">
        <w:rPr>
          <w:noProof/>
          <w:sz w:val="22"/>
          <w:szCs w:val="22"/>
          <w:lang w:val="sr-Latn-CS"/>
        </w:rPr>
        <w:t xml:space="preserve"> od vlage. </w:t>
      </w:r>
    </w:p>
    <w:p w14:paraId="383CE1F6" w14:textId="77777777" w:rsidR="005526A8" w:rsidRPr="00402700" w:rsidRDefault="005526A8" w:rsidP="002C32CA">
      <w:pPr>
        <w:shd w:val="clear" w:color="auto" w:fill="FFFFFF"/>
        <w:tabs>
          <w:tab w:val="left" w:pos="965"/>
        </w:tabs>
        <w:jc w:val="both"/>
        <w:rPr>
          <w:noProof/>
          <w:sz w:val="22"/>
          <w:szCs w:val="22"/>
          <w:lang w:val="sr-Latn-CS"/>
        </w:rPr>
      </w:pPr>
    </w:p>
    <w:p w14:paraId="5614E7AC" w14:textId="57263922" w:rsidR="00C62D57" w:rsidRPr="00402700" w:rsidRDefault="00C62D57" w:rsidP="002C32CA">
      <w:pPr>
        <w:shd w:val="clear" w:color="auto" w:fill="FFFFFF"/>
        <w:tabs>
          <w:tab w:val="left" w:pos="965"/>
        </w:tabs>
        <w:jc w:val="both"/>
        <w:rPr>
          <w:noProof/>
          <w:sz w:val="22"/>
          <w:szCs w:val="22"/>
          <w:lang w:val="sr-Latn-CS"/>
        </w:rPr>
      </w:pPr>
      <w:r w:rsidRPr="00402700">
        <w:rPr>
          <w:noProof/>
          <w:sz w:val="22"/>
          <w:szCs w:val="22"/>
          <w:lang w:val="sr-Latn-CS"/>
        </w:rPr>
        <w:t>Myfortic tablete ne treba gnječiti</w:t>
      </w:r>
      <w:r w:rsidR="005526A8" w:rsidRPr="00402700">
        <w:rPr>
          <w:noProof/>
          <w:sz w:val="22"/>
          <w:szCs w:val="22"/>
          <w:lang w:val="sr-Latn-CS"/>
        </w:rPr>
        <w:t>,</w:t>
      </w:r>
      <w:r w:rsidRPr="00402700">
        <w:rPr>
          <w:noProof/>
          <w:sz w:val="22"/>
          <w:szCs w:val="22"/>
          <w:lang w:val="sr-Latn-CS"/>
        </w:rPr>
        <w:t xml:space="preserve"> </w:t>
      </w:r>
      <w:r w:rsidR="005526A8" w:rsidRPr="00402700">
        <w:rPr>
          <w:noProof/>
          <w:sz w:val="22"/>
          <w:szCs w:val="22"/>
          <w:lang w:val="sr-Latn-CS"/>
        </w:rPr>
        <w:t>kako</w:t>
      </w:r>
      <w:r w:rsidRPr="00402700">
        <w:rPr>
          <w:noProof/>
          <w:sz w:val="22"/>
          <w:szCs w:val="22"/>
          <w:lang w:val="sr-Latn-CS"/>
        </w:rPr>
        <w:t xml:space="preserve"> bi se očuvao integritet enterič</w:t>
      </w:r>
      <w:r w:rsidR="005526A8" w:rsidRPr="00402700">
        <w:rPr>
          <w:noProof/>
          <w:sz w:val="22"/>
          <w:szCs w:val="22"/>
          <w:lang w:val="sr-Latn-CS"/>
        </w:rPr>
        <w:t>n</w:t>
      </w:r>
      <w:r w:rsidRPr="00402700">
        <w:rPr>
          <w:noProof/>
          <w:sz w:val="22"/>
          <w:szCs w:val="22"/>
          <w:lang w:val="sr-Latn-CS"/>
        </w:rPr>
        <w:t xml:space="preserve">e obloge (vidjeti </w:t>
      </w:r>
      <w:r w:rsidR="007779BA" w:rsidRPr="00402700">
        <w:rPr>
          <w:noProof/>
          <w:sz w:val="22"/>
          <w:szCs w:val="22"/>
          <w:lang w:val="sr-Latn-CS"/>
        </w:rPr>
        <w:t>dio</w:t>
      </w:r>
      <w:r w:rsidRPr="00402700">
        <w:rPr>
          <w:noProof/>
          <w:sz w:val="22"/>
          <w:szCs w:val="22"/>
          <w:lang w:val="sr-Latn-CS"/>
        </w:rPr>
        <w:t xml:space="preserve"> </w:t>
      </w:r>
      <w:r w:rsidR="00E71B84" w:rsidRPr="00402700">
        <w:rPr>
          <w:noProof/>
          <w:sz w:val="22"/>
          <w:szCs w:val="22"/>
          <w:lang w:val="sr-Latn-CS"/>
        </w:rPr>
        <w:t>4</w:t>
      </w:r>
      <w:r w:rsidRPr="00402700">
        <w:rPr>
          <w:noProof/>
          <w:sz w:val="22"/>
          <w:szCs w:val="22"/>
          <w:lang w:val="sr-Latn-CS"/>
        </w:rPr>
        <w:t>.2).</w:t>
      </w:r>
    </w:p>
    <w:p w14:paraId="7B089F1A" w14:textId="3E13B1D6" w:rsidR="00C62D57" w:rsidRPr="00402700" w:rsidRDefault="00C62D57" w:rsidP="002C32CA">
      <w:pPr>
        <w:pStyle w:val="Header"/>
        <w:tabs>
          <w:tab w:val="left" w:pos="284"/>
        </w:tabs>
        <w:jc w:val="both"/>
        <w:rPr>
          <w:noProof/>
          <w:sz w:val="22"/>
          <w:szCs w:val="22"/>
          <w:lang w:val="sr-Latn-CS"/>
        </w:rPr>
      </w:pPr>
      <w:r w:rsidRPr="00402700">
        <w:rPr>
          <w:noProof/>
          <w:sz w:val="22"/>
          <w:szCs w:val="22"/>
          <w:lang w:val="sr-Latn-CS"/>
        </w:rPr>
        <w:t xml:space="preserve">Mikofenolat natrijum je pokazao teratogene efekte na pacove i kuniće (vidjeti </w:t>
      </w:r>
      <w:r w:rsidR="007779BA" w:rsidRPr="00402700">
        <w:rPr>
          <w:noProof/>
          <w:sz w:val="22"/>
          <w:szCs w:val="22"/>
          <w:lang w:val="sr-Latn-CS"/>
        </w:rPr>
        <w:t>dio</w:t>
      </w:r>
      <w:r w:rsidRPr="00402700">
        <w:rPr>
          <w:noProof/>
          <w:sz w:val="22"/>
          <w:szCs w:val="22"/>
          <w:lang w:val="sr-Latn-CS"/>
        </w:rPr>
        <w:t xml:space="preserve"> 4.6.). Izbjegavati inhalaciju ili direktan kontakt praha sa kožom ili sluznicama, u slučaju da je potrebno mrvljenje tableta.</w:t>
      </w:r>
    </w:p>
    <w:p w14:paraId="4F57FF90" w14:textId="77777777" w:rsidR="00EC2532" w:rsidRPr="00402700" w:rsidRDefault="00EC2532" w:rsidP="002C32CA">
      <w:pPr>
        <w:tabs>
          <w:tab w:val="left" w:pos="540"/>
          <w:tab w:val="left" w:pos="569"/>
        </w:tabs>
        <w:jc w:val="both"/>
        <w:rPr>
          <w:bCs/>
          <w:noProof/>
          <w:sz w:val="22"/>
          <w:szCs w:val="22"/>
          <w:lang w:val="sr-Latn-CS"/>
        </w:rPr>
      </w:pPr>
    </w:p>
    <w:p w14:paraId="7DF4060F" w14:textId="0D8E0D8E"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6.5. </w:t>
      </w:r>
      <w:r w:rsidR="00480FB1" w:rsidRPr="00402700">
        <w:rPr>
          <w:b/>
          <w:bCs/>
          <w:noProof/>
          <w:sz w:val="22"/>
          <w:szCs w:val="22"/>
          <w:lang w:val="sr-Latn-CS"/>
        </w:rPr>
        <w:tab/>
      </w:r>
      <w:r w:rsidR="002846DB" w:rsidRPr="00402700">
        <w:rPr>
          <w:b/>
          <w:bCs/>
          <w:noProof/>
          <w:sz w:val="22"/>
          <w:szCs w:val="22"/>
          <w:lang w:val="sr-Latn-CS"/>
        </w:rPr>
        <w:t xml:space="preserve">Vrsta i sadržaj </w:t>
      </w:r>
      <w:r w:rsidR="00F8570A" w:rsidRPr="00402700">
        <w:rPr>
          <w:b/>
          <w:bCs/>
          <w:noProof/>
          <w:sz w:val="22"/>
          <w:szCs w:val="22"/>
          <w:lang w:val="sr-Latn-CS"/>
        </w:rPr>
        <w:t>pakovanja</w:t>
      </w:r>
      <w:r w:rsidR="00C06864" w:rsidRPr="00402700">
        <w:rPr>
          <w:b/>
          <w:bCs/>
          <w:noProof/>
          <w:sz w:val="22"/>
          <w:szCs w:val="22"/>
          <w:lang w:val="sr-Latn-CS"/>
        </w:rPr>
        <w:t xml:space="preserve"> </w:t>
      </w:r>
    </w:p>
    <w:p w14:paraId="33FFC839" w14:textId="77777777" w:rsidR="00990250" w:rsidRPr="00402700" w:rsidRDefault="00990250" w:rsidP="00990250">
      <w:pPr>
        <w:pStyle w:val="Header"/>
        <w:jc w:val="both"/>
        <w:rPr>
          <w:noProof/>
          <w:sz w:val="22"/>
          <w:szCs w:val="22"/>
          <w:lang w:val="sr-Latn-CS"/>
        </w:rPr>
      </w:pPr>
    </w:p>
    <w:p w14:paraId="0C116683" w14:textId="77777777" w:rsidR="005526A8" w:rsidRPr="00402700" w:rsidRDefault="00990250" w:rsidP="002C32CA">
      <w:pPr>
        <w:pStyle w:val="Header"/>
        <w:jc w:val="both"/>
        <w:rPr>
          <w:noProof/>
          <w:sz w:val="22"/>
          <w:szCs w:val="22"/>
          <w:lang w:val="sr-Latn-CS"/>
        </w:rPr>
      </w:pPr>
      <w:r w:rsidRPr="00402700">
        <w:rPr>
          <w:noProof/>
          <w:sz w:val="22"/>
          <w:szCs w:val="22"/>
          <w:lang w:val="sr-Latn-CS"/>
        </w:rPr>
        <w:t xml:space="preserve">Unutrašnje pakovanje je PA/Al/PVC/Al blister koji sadrži 10 gastrorezistentnih tableta. </w:t>
      </w:r>
    </w:p>
    <w:p w14:paraId="3318CA50" w14:textId="074C75F6" w:rsidR="00C62D57" w:rsidRPr="00402700" w:rsidRDefault="00990250" w:rsidP="002C32CA">
      <w:pPr>
        <w:pStyle w:val="Header"/>
        <w:jc w:val="both"/>
        <w:rPr>
          <w:noProof/>
          <w:sz w:val="22"/>
          <w:szCs w:val="22"/>
          <w:lang w:val="sr-Latn-CS"/>
        </w:rPr>
      </w:pPr>
      <w:r w:rsidRPr="00402700">
        <w:rPr>
          <w:noProof/>
          <w:sz w:val="22"/>
          <w:szCs w:val="22"/>
          <w:lang w:val="sr-Latn-CS"/>
        </w:rPr>
        <w:t xml:space="preserve">Spoljašnje pakovanje je složiva kartonska kutija koja sadrži 12 </w:t>
      </w:r>
      <w:r w:rsidR="00C62D57" w:rsidRPr="00402700">
        <w:rPr>
          <w:noProof/>
          <w:sz w:val="22"/>
          <w:szCs w:val="22"/>
          <w:lang w:val="sr-Latn-CS"/>
        </w:rPr>
        <w:t>blistera sa</w:t>
      </w:r>
      <w:r w:rsidR="005526A8" w:rsidRPr="00402700">
        <w:rPr>
          <w:noProof/>
          <w:sz w:val="22"/>
          <w:szCs w:val="22"/>
          <w:lang w:val="sr-Latn-CS"/>
        </w:rPr>
        <w:t xml:space="preserve"> po</w:t>
      </w:r>
      <w:r w:rsidR="00C62D57" w:rsidRPr="00402700">
        <w:rPr>
          <w:noProof/>
          <w:sz w:val="22"/>
          <w:szCs w:val="22"/>
          <w:lang w:val="sr-Latn-CS"/>
        </w:rPr>
        <w:t xml:space="preserve"> 10 gastrorezistentnih tableta</w:t>
      </w:r>
      <w:r w:rsidRPr="00402700">
        <w:rPr>
          <w:noProof/>
          <w:sz w:val="22"/>
          <w:szCs w:val="22"/>
          <w:lang w:val="sr-Latn-CS"/>
        </w:rPr>
        <w:t xml:space="preserve"> (</w:t>
      </w:r>
      <w:r w:rsidR="005526A8" w:rsidRPr="00402700">
        <w:rPr>
          <w:noProof/>
          <w:sz w:val="22"/>
          <w:szCs w:val="22"/>
          <w:lang w:val="sr-Latn-CS"/>
        </w:rPr>
        <w:t xml:space="preserve">ukupno </w:t>
      </w:r>
      <w:r w:rsidRPr="00402700">
        <w:rPr>
          <w:noProof/>
          <w:sz w:val="22"/>
          <w:szCs w:val="22"/>
          <w:lang w:val="sr-Latn-CS"/>
        </w:rPr>
        <w:t>120</w:t>
      </w:r>
      <w:r w:rsidR="005526A8" w:rsidRPr="00402700">
        <w:rPr>
          <w:noProof/>
          <w:sz w:val="22"/>
          <w:szCs w:val="22"/>
          <w:lang w:val="sr-Latn-CS"/>
        </w:rPr>
        <w:t xml:space="preserve"> gastrorezistentnih tableta</w:t>
      </w:r>
      <w:r w:rsidRPr="00402700">
        <w:rPr>
          <w:noProof/>
          <w:sz w:val="22"/>
          <w:szCs w:val="22"/>
          <w:lang w:val="sr-Latn-CS"/>
        </w:rPr>
        <w:t xml:space="preserve">) i Uputstvo za </w:t>
      </w:r>
      <w:r w:rsidR="005526A8" w:rsidRPr="00402700">
        <w:rPr>
          <w:noProof/>
          <w:sz w:val="22"/>
          <w:szCs w:val="22"/>
          <w:lang w:val="sr-Latn-CS"/>
        </w:rPr>
        <w:t>lijek</w:t>
      </w:r>
      <w:r w:rsidRPr="00402700">
        <w:rPr>
          <w:noProof/>
          <w:sz w:val="22"/>
          <w:szCs w:val="22"/>
          <w:lang w:val="sr-Latn-CS"/>
        </w:rPr>
        <w:t>.</w:t>
      </w:r>
    </w:p>
    <w:p w14:paraId="159969FC" w14:textId="77777777" w:rsidR="0072020E" w:rsidRPr="00402700" w:rsidRDefault="0072020E" w:rsidP="002C32CA">
      <w:pPr>
        <w:shd w:val="clear" w:color="auto" w:fill="FFFFFF"/>
        <w:tabs>
          <w:tab w:val="left" w:pos="965"/>
        </w:tabs>
        <w:jc w:val="both"/>
        <w:rPr>
          <w:bCs/>
          <w:noProof/>
          <w:sz w:val="22"/>
          <w:szCs w:val="22"/>
          <w:lang w:val="sr-Latn-CS"/>
        </w:rPr>
      </w:pPr>
    </w:p>
    <w:p w14:paraId="398397D4" w14:textId="1BE2E1E7" w:rsidR="002846DB"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6.6. </w:t>
      </w:r>
      <w:r w:rsidR="00480FB1" w:rsidRPr="00402700">
        <w:rPr>
          <w:b/>
          <w:bCs/>
          <w:noProof/>
          <w:sz w:val="22"/>
          <w:szCs w:val="22"/>
          <w:lang w:val="sr-Latn-CS"/>
        </w:rPr>
        <w:tab/>
      </w:r>
      <w:r w:rsidRPr="00402700">
        <w:rPr>
          <w:b/>
          <w:bCs/>
          <w:noProof/>
          <w:color w:val="000000"/>
          <w:sz w:val="22"/>
          <w:szCs w:val="22"/>
          <w:lang w:val="sr-Latn-CS"/>
        </w:rPr>
        <w:t>Posebne mjere opreza pri odlaganju materijala koji treba odbaciti nakon primjene lijeka</w:t>
      </w:r>
      <w:r w:rsidRPr="00402700">
        <w:rPr>
          <w:b/>
          <w:bCs/>
          <w:noProof/>
          <w:sz w:val="22"/>
          <w:szCs w:val="22"/>
          <w:lang w:val="sr-Latn-CS"/>
        </w:rPr>
        <w:t xml:space="preserve"> </w:t>
      </w:r>
    </w:p>
    <w:p w14:paraId="6A011343" w14:textId="77777777" w:rsidR="007779BA" w:rsidRPr="00402700" w:rsidRDefault="007779BA" w:rsidP="002C32CA">
      <w:pPr>
        <w:tabs>
          <w:tab w:val="left" w:pos="540"/>
          <w:tab w:val="left" w:pos="569"/>
        </w:tabs>
        <w:jc w:val="both"/>
        <w:rPr>
          <w:b/>
          <w:bCs/>
          <w:noProof/>
          <w:sz w:val="22"/>
          <w:szCs w:val="22"/>
          <w:lang w:val="sr-Latn-CS"/>
        </w:rPr>
      </w:pPr>
    </w:p>
    <w:p w14:paraId="31ADE7AF" w14:textId="0709DE85" w:rsidR="00C62D57" w:rsidRPr="00402700" w:rsidRDefault="005526A8" w:rsidP="002C32CA">
      <w:pPr>
        <w:tabs>
          <w:tab w:val="left" w:pos="540"/>
          <w:tab w:val="left" w:pos="569"/>
        </w:tabs>
        <w:jc w:val="both"/>
        <w:rPr>
          <w:bCs/>
          <w:noProof/>
          <w:sz w:val="22"/>
          <w:szCs w:val="22"/>
          <w:lang w:val="sr-Latn-CS"/>
        </w:rPr>
      </w:pPr>
      <w:r w:rsidRPr="00402700">
        <w:rPr>
          <w:noProof/>
          <w:sz w:val="22"/>
          <w:szCs w:val="22"/>
          <w:lang w:val="sr-Latn-CS"/>
        </w:rPr>
        <w:t>Svu neiskorišćenu količinu lijeka ili otpadnog materijala nakon njegove upotrebe treba ukloniti u skladu sa važećim propisima.</w:t>
      </w:r>
    </w:p>
    <w:p w14:paraId="6040D103" w14:textId="7F3801D2" w:rsidR="007779BA" w:rsidRPr="00402700" w:rsidRDefault="007779BA" w:rsidP="002C32CA">
      <w:pPr>
        <w:tabs>
          <w:tab w:val="left" w:pos="540"/>
          <w:tab w:val="left" w:pos="569"/>
        </w:tabs>
        <w:jc w:val="both"/>
        <w:rPr>
          <w:bCs/>
          <w:noProof/>
          <w:sz w:val="22"/>
          <w:szCs w:val="22"/>
          <w:lang w:val="sr-Latn-CS"/>
        </w:rPr>
      </w:pPr>
    </w:p>
    <w:p w14:paraId="22AAD75E" w14:textId="77777777" w:rsidR="005526A8" w:rsidRPr="00402700" w:rsidRDefault="005526A8" w:rsidP="002C32CA">
      <w:pPr>
        <w:tabs>
          <w:tab w:val="left" w:pos="540"/>
          <w:tab w:val="left" w:pos="569"/>
        </w:tabs>
        <w:jc w:val="both"/>
        <w:rPr>
          <w:bCs/>
          <w:noProof/>
          <w:sz w:val="22"/>
          <w:szCs w:val="22"/>
          <w:lang w:val="sr-Latn-CS"/>
        </w:rPr>
      </w:pPr>
    </w:p>
    <w:p w14:paraId="6FE46C5C" w14:textId="6CF3CC1B" w:rsidR="00F8570A"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7. </w:t>
      </w:r>
      <w:r w:rsidR="00480FB1" w:rsidRPr="00402700">
        <w:rPr>
          <w:b/>
          <w:bCs/>
          <w:noProof/>
          <w:sz w:val="22"/>
          <w:szCs w:val="22"/>
          <w:lang w:val="sr-Latn-CS"/>
        </w:rPr>
        <w:tab/>
      </w:r>
      <w:r w:rsidRPr="00402700">
        <w:rPr>
          <w:b/>
          <w:bCs/>
          <w:noProof/>
          <w:sz w:val="22"/>
          <w:szCs w:val="22"/>
          <w:lang w:val="sr-Latn-CS"/>
        </w:rPr>
        <w:t>NOSILAC DOZVOLE</w:t>
      </w:r>
      <w:r w:rsidR="00483928" w:rsidRPr="00402700">
        <w:rPr>
          <w:b/>
          <w:bCs/>
          <w:noProof/>
          <w:sz w:val="22"/>
          <w:szCs w:val="22"/>
          <w:lang w:val="sr-Latn-CS"/>
        </w:rPr>
        <w:t xml:space="preserve"> </w:t>
      </w:r>
    </w:p>
    <w:p w14:paraId="5FEA1919" w14:textId="77777777" w:rsidR="007779BA" w:rsidRPr="00402700" w:rsidRDefault="007779BA" w:rsidP="002C32CA">
      <w:pPr>
        <w:tabs>
          <w:tab w:val="left" w:pos="540"/>
          <w:tab w:val="left" w:pos="569"/>
        </w:tabs>
        <w:jc w:val="both"/>
        <w:rPr>
          <w:b/>
          <w:bCs/>
          <w:noProof/>
          <w:sz w:val="22"/>
          <w:szCs w:val="22"/>
          <w:lang w:val="sr-Latn-CS"/>
        </w:rPr>
      </w:pPr>
    </w:p>
    <w:p w14:paraId="3BC262C0" w14:textId="77777777" w:rsidR="00C62D57" w:rsidRPr="00402700" w:rsidRDefault="00C62D57" w:rsidP="002C32CA">
      <w:pPr>
        <w:widowControl w:val="0"/>
        <w:autoSpaceDE w:val="0"/>
        <w:autoSpaceDN w:val="0"/>
        <w:jc w:val="both"/>
        <w:rPr>
          <w:bCs/>
          <w:noProof/>
          <w:sz w:val="22"/>
          <w:szCs w:val="22"/>
          <w:lang w:val="sr-Latn-CS"/>
        </w:rPr>
      </w:pPr>
      <w:r w:rsidRPr="00402700">
        <w:rPr>
          <w:bCs/>
          <w:noProof/>
          <w:sz w:val="22"/>
          <w:szCs w:val="22"/>
          <w:lang w:val="sr-Latn-CS"/>
        </w:rPr>
        <w:t xml:space="preserve">“Novartis Pharma Services AG” dio stranog društva Podgorica </w:t>
      </w:r>
    </w:p>
    <w:p w14:paraId="291DFCEF" w14:textId="0B884202" w:rsidR="00C61BE0" w:rsidRPr="00402700" w:rsidRDefault="00C62D57" w:rsidP="002C32CA">
      <w:pPr>
        <w:widowControl w:val="0"/>
        <w:autoSpaceDE w:val="0"/>
        <w:autoSpaceDN w:val="0"/>
        <w:jc w:val="both"/>
        <w:rPr>
          <w:bCs/>
          <w:noProof/>
          <w:sz w:val="22"/>
          <w:szCs w:val="22"/>
          <w:lang w:val="sr-Latn-CS"/>
        </w:rPr>
      </w:pPr>
      <w:r w:rsidRPr="00402700">
        <w:rPr>
          <w:noProof/>
          <w:sz w:val="22"/>
          <w:szCs w:val="22"/>
          <w:lang w:val="sr-Latn-CS"/>
        </w:rPr>
        <w:t>Ul. Svetlane Kane Radović br</w:t>
      </w:r>
      <w:r w:rsidR="005526A8" w:rsidRPr="00402700">
        <w:rPr>
          <w:noProof/>
          <w:sz w:val="22"/>
          <w:szCs w:val="22"/>
          <w:lang w:val="sr-Latn-CS"/>
        </w:rPr>
        <w:t>.</w:t>
      </w:r>
      <w:r w:rsidRPr="00402700">
        <w:rPr>
          <w:noProof/>
          <w:sz w:val="22"/>
          <w:szCs w:val="22"/>
          <w:lang w:val="sr-Latn-CS"/>
        </w:rPr>
        <w:t xml:space="preserve"> 3, Podgorica</w:t>
      </w:r>
      <w:r w:rsidR="005526A8" w:rsidRPr="00402700">
        <w:rPr>
          <w:noProof/>
          <w:sz w:val="22"/>
          <w:szCs w:val="22"/>
          <w:lang w:val="sr-Latn-CS"/>
        </w:rPr>
        <w:t>, Crna Gora</w:t>
      </w:r>
      <w:r w:rsidRPr="00402700">
        <w:rPr>
          <w:bCs/>
          <w:noProof/>
          <w:sz w:val="22"/>
          <w:szCs w:val="22"/>
          <w:lang w:val="sr-Latn-CS"/>
        </w:rPr>
        <w:t xml:space="preserve"> </w:t>
      </w:r>
    </w:p>
    <w:p w14:paraId="7E7D2BDF" w14:textId="5013866D" w:rsidR="00C37FD7" w:rsidRPr="00402700" w:rsidRDefault="00C37FD7" w:rsidP="002C32CA">
      <w:pPr>
        <w:tabs>
          <w:tab w:val="left" w:pos="540"/>
          <w:tab w:val="left" w:pos="569"/>
        </w:tabs>
        <w:jc w:val="both"/>
        <w:rPr>
          <w:bCs/>
          <w:noProof/>
          <w:sz w:val="22"/>
          <w:szCs w:val="22"/>
          <w:lang w:val="sr-Latn-CS"/>
        </w:rPr>
      </w:pPr>
    </w:p>
    <w:p w14:paraId="1818D6C5" w14:textId="77777777" w:rsidR="007779BA" w:rsidRPr="00402700" w:rsidRDefault="007779BA" w:rsidP="002C32CA">
      <w:pPr>
        <w:tabs>
          <w:tab w:val="left" w:pos="540"/>
          <w:tab w:val="left" w:pos="569"/>
        </w:tabs>
        <w:jc w:val="both"/>
        <w:rPr>
          <w:bCs/>
          <w:noProof/>
          <w:sz w:val="22"/>
          <w:szCs w:val="22"/>
          <w:lang w:val="sr-Latn-CS"/>
        </w:rPr>
      </w:pPr>
    </w:p>
    <w:p w14:paraId="2ABA6A3F" w14:textId="5B675E78" w:rsidR="0072020E"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t xml:space="preserve">8. </w:t>
      </w:r>
      <w:r w:rsidR="00480FB1" w:rsidRPr="00402700">
        <w:rPr>
          <w:b/>
          <w:bCs/>
          <w:noProof/>
          <w:sz w:val="22"/>
          <w:szCs w:val="22"/>
          <w:lang w:val="sr-Latn-CS"/>
        </w:rPr>
        <w:tab/>
      </w:r>
      <w:r w:rsidRPr="00402700">
        <w:rPr>
          <w:b/>
          <w:bCs/>
          <w:noProof/>
          <w:sz w:val="22"/>
          <w:szCs w:val="22"/>
          <w:lang w:val="sr-Latn-CS"/>
        </w:rPr>
        <w:t>BROJ DOZVOLE</w:t>
      </w:r>
      <w:r w:rsidR="008A6D43" w:rsidRPr="00402700">
        <w:rPr>
          <w:b/>
          <w:bCs/>
          <w:noProof/>
          <w:sz w:val="22"/>
          <w:szCs w:val="22"/>
          <w:lang w:val="sr-Latn-CS"/>
        </w:rPr>
        <w:t xml:space="preserve"> ZA STAVLJANJE LIJEKA U PROMET</w:t>
      </w:r>
    </w:p>
    <w:p w14:paraId="27A008D9" w14:textId="77777777" w:rsidR="007779BA" w:rsidRPr="00402700" w:rsidRDefault="007779BA" w:rsidP="002C32CA">
      <w:pPr>
        <w:tabs>
          <w:tab w:val="left" w:pos="540"/>
          <w:tab w:val="left" w:pos="569"/>
        </w:tabs>
        <w:jc w:val="both"/>
        <w:rPr>
          <w:bCs/>
          <w:noProof/>
          <w:sz w:val="22"/>
          <w:szCs w:val="22"/>
          <w:lang w:val="sr-Latn-CS"/>
        </w:rPr>
      </w:pPr>
    </w:p>
    <w:p w14:paraId="10078F11" w14:textId="3200A068" w:rsidR="00C62D57" w:rsidRPr="00402700" w:rsidRDefault="00C62D57" w:rsidP="002C32CA">
      <w:pPr>
        <w:pStyle w:val="Header"/>
        <w:tabs>
          <w:tab w:val="left" w:pos="284"/>
        </w:tabs>
        <w:jc w:val="both"/>
        <w:rPr>
          <w:noProof/>
          <w:sz w:val="22"/>
          <w:szCs w:val="22"/>
          <w:lang w:val="sr-Latn-CS"/>
        </w:rPr>
      </w:pPr>
      <w:r w:rsidRPr="00402700">
        <w:rPr>
          <w:noProof/>
          <w:sz w:val="22"/>
          <w:szCs w:val="22"/>
          <w:lang w:val="sr-Latn-CS"/>
        </w:rPr>
        <w:t xml:space="preserve">Myfortic, gastrorezistentna tableta, 180 mg, blister, 120 gastrorezistentnih tableta: </w:t>
      </w:r>
      <w:r w:rsidR="00402700" w:rsidRPr="00402700">
        <w:rPr>
          <w:noProof/>
          <w:sz w:val="22"/>
          <w:szCs w:val="22"/>
        </w:rPr>
        <w:t>2030/25/9 - 9381</w:t>
      </w:r>
    </w:p>
    <w:p w14:paraId="0D083E45" w14:textId="09B8325D" w:rsidR="00C62D57" w:rsidRPr="00402700" w:rsidRDefault="00C62D57" w:rsidP="002C32CA">
      <w:pPr>
        <w:pStyle w:val="Header"/>
        <w:tabs>
          <w:tab w:val="left" w:pos="284"/>
        </w:tabs>
        <w:jc w:val="both"/>
        <w:rPr>
          <w:noProof/>
          <w:sz w:val="22"/>
          <w:szCs w:val="22"/>
          <w:lang w:val="sr-Latn-CS"/>
        </w:rPr>
      </w:pPr>
      <w:r w:rsidRPr="00402700">
        <w:rPr>
          <w:noProof/>
          <w:sz w:val="22"/>
          <w:szCs w:val="22"/>
          <w:lang w:val="sr-Latn-CS"/>
        </w:rPr>
        <w:t xml:space="preserve">Myfortic, gastrorezistentna tableta, 360 mg, blister, 120 gastrorezistentnih tableta: </w:t>
      </w:r>
      <w:r w:rsidR="00402700" w:rsidRPr="00402700">
        <w:rPr>
          <w:noProof/>
          <w:sz w:val="22"/>
          <w:szCs w:val="22"/>
        </w:rPr>
        <w:t>2030/25/10 - 9380</w:t>
      </w:r>
    </w:p>
    <w:p w14:paraId="4C8ABF77" w14:textId="41366B03" w:rsidR="00F45F77" w:rsidRDefault="00F45F77" w:rsidP="002C32CA">
      <w:pPr>
        <w:tabs>
          <w:tab w:val="left" w:pos="540"/>
          <w:tab w:val="left" w:pos="569"/>
        </w:tabs>
        <w:jc w:val="both"/>
        <w:rPr>
          <w:bCs/>
          <w:noProof/>
          <w:sz w:val="22"/>
          <w:szCs w:val="22"/>
          <w:lang w:val="sr-Latn-CS"/>
        </w:rPr>
      </w:pPr>
    </w:p>
    <w:p w14:paraId="5FB4348B" w14:textId="24641A9D" w:rsidR="00402700" w:rsidRDefault="00402700" w:rsidP="002C32CA">
      <w:pPr>
        <w:tabs>
          <w:tab w:val="left" w:pos="540"/>
          <w:tab w:val="left" w:pos="569"/>
        </w:tabs>
        <w:jc w:val="both"/>
        <w:rPr>
          <w:bCs/>
          <w:noProof/>
          <w:sz w:val="22"/>
          <w:szCs w:val="22"/>
          <w:lang w:val="sr-Latn-CS"/>
        </w:rPr>
      </w:pPr>
    </w:p>
    <w:p w14:paraId="35C4A514" w14:textId="45F459F2" w:rsidR="00C62D57" w:rsidRPr="00402700" w:rsidRDefault="0072020E" w:rsidP="002C32CA">
      <w:pPr>
        <w:tabs>
          <w:tab w:val="left" w:pos="540"/>
          <w:tab w:val="left" w:pos="569"/>
        </w:tabs>
        <w:jc w:val="both"/>
        <w:rPr>
          <w:b/>
          <w:bCs/>
          <w:noProof/>
          <w:sz w:val="22"/>
          <w:szCs w:val="22"/>
          <w:lang w:val="sr-Latn-CS"/>
        </w:rPr>
      </w:pPr>
      <w:r w:rsidRPr="00402700">
        <w:rPr>
          <w:b/>
          <w:bCs/>
          <w:noProof/>
          <w:sz w:val="22"/>
          <w:szCs w:val="22"/>
          <w:lang w:val="sr-Latn-CS"/>
        </w:rPr>
        <w:lastRenderedPageBreak/>
        <w:t xml:space="preserve">9. </w:t>
      </w:r>
      <w:r w:rsidR="00480FB1" w:rsidRPr="00402700">
        <w:rPr>
          <w:b/>
          <w:bCs/>
          <w:noProof/>
          <w:sz w:val="22"/>
          <w:szCs w:val="22"/>
          <w:lang w:val="sr-Latn-CS"/>
        </w:rPr>
        <w:tab/>
      </w:r>
      <w:r w:rsidRPr="00402700">
        <w:rPr>
          <w:b/>
          <w:bCs/>
          <w:noProof/>
          <w:sz w:val="22"/>
          <w:szCs w:val="22"/>
          <w:lang w:val="sr-Latn-CS"/>
        </w:rPr>
        <w:t xml:space="preserve">DATUM </w:t>
      </w:r>
      <w:r w:rsidR="00C05DF8" w:rsidRPr="00402700">
        <w:rPr>
          <w:b/>
          <w:bCs/>
          <w:noProof/>
          <w:sz w:val="22"/>
          <w:szCs w:val="22"/>
          <w:lang w:val="sr-Latn-CS"/>
        </w:rPr>
        <w:t xml:space="preserve">PRVE </w:t>
      </w:r>
      <w:r w:rsidR="008A6D43" w:rsidRPr="00402700">
        <w:rPr>
          <w:b/>
          <w:bCs/>
          <w:noProof/>
          <w:sz w:val="22"/>
          <w:szCs w:val="22"/>
          <w:lang w:val="sr-Latn-CS"/>
        </w:rPr>
        <w:t>DOZVOLE</w:t>
      </w:r>
      <w:r w:rsidR="00C05DF8" w:rsidRPr="00402700">
        <w:rPr>
          <w:b/>
          <w:bCs/>
          <w:noProof/>
          <w:sz w:val="22"/>
          <w:szCs w:val="22"/>
          <w:lang w:val="sr-Latn-CS"/>
        </w:rPr>
        <w:t>/OBNOVE DOZVOLE</w:t>
      </w:r>
      <w:r w:rsidR="008A6D43" w:rsidRPr="00402700">
        <w:rPr>
          <w:b/>
          <w:bCs/>
          <w:noProof/>
          <w:sz w:val="22"/>
          <w:szCs w:val="22"/>
          <w:lang w:val="sr-Latn-CS"/>
        </w:rPr>
        <w:t xml:space="preserve"> ZA STAVLJANJE LIJEKA U PROMET</w:t>
      </w:r>
    </w:p>
    <w:p w14:paraId="4A2B82CA" w14:textId="5E10040A" w:rsidR="007779BA" w:rsidRDefault="007779BA" w:rsidP="002C32CA">
      <w:pPr>
        <w:tabs>
          <w:tab w:val="left" w:pos="540"/>
          <w:tab w:val="left" w:pos="569"/>
        </w:tabs>
        <w:jc w:val="both"/>
        <w:rPr>
          <w:b/>
          <w:bCs/>
          <w:noProof/>
          <w:sz w:val="22"/>
          <w:szCs w:val="22"/>
          <w:lang w:val="sr-Latn-CS"/>
        </w:rPr>
      </w:pPr>
    </w:p>
    <w:p w14:paraId="725F1758" w14:textId="249CAFC4" w:rsidR="00836B35" w:rsidRPr="00402700" w:rsidRDefault="005526A8" w:rsidP="002C32CA">
      <w:pPr>
        <w:tabs>
          <w:tab w:val="left" w:pos="540"/>
          <w:tab w:val="left" w:pos="569"/>
        </w:tabs>
        <w:jc w:val="both"/>
        <w:rPr>
          <w:noProof/>
          <w:sz w:val="22"/>
          <w:szCs w:val="22"/>
          <w:lang w:val="sr-Latn-CS"/>
        </w:rPr>
      </w:pPr>
      <w:r w:rsidRPr="00402700">
        <w:rPr>
          <w:noProof/>
          <w:sz w:val="22"/>
          <w:szCs w:val="22"/>
          <w:lang w:val="sr-Latn-CS"/>
        </w:rPr>
        <w:t>Datum prve dozvole</w:t>
      </w:r>
      <w:r w:rsidR="00C62D57" w:rsidRPr="00402700">
        <w:rPr>
          <w:noProof/>
          <w:sz w:val="22"/>
          <w:szCs w:val="22"/>
          <w:lang w:val="sr-Latn-CS"/>
        </w:rPr>
        <w:t>: 19.09.2014. godine</w:t>
      </w:r>
    </w:p>
    <w:p w14:paraId="1FE107E2" w14:textId="2B6E8F3C" w:rsidR="005526A8" w:rsidRPr="00402700" w:rsidRDefault="005526A8" w:rsidP="002C32CA">
      <w:pPr>
        <w:tabs>
          <w:tab w:val="left" w:pos="540"/>
          <w:tab w:val="left" w:pos="569"/>
        </w:tabs>
        <w:jc w:val="both"/>
        <w:rPr>
          <w:noProof/>
          <w:sz w:val="22"/>
          <w:szCs w:val="22"/>
          <w:lang w:val="sr-Latn-CS"/>
        </w:rPr>
      </w:pPr>
      <w:r w:rsidRPr="00402700">
        <w:rPr>
          <w:noProof/>
          <w:sz w:val="22"/>
          <w:szCs w:val="22"/>
          <w:lang w:val="sr-Latn-CS"/>
        </w:rPr>
        <w:t>Datum posl</w:t>
      </w:r>
      <w:r w:rsidR="00E060C8" w:rsidRPr="00402700">
        <w:rPr>
          <w:noProof/>
          <w:sz w:val="22"/>
          <w:szCs w:val="22"/>
          <w:lang w:val="sr-Latn-CS"/>
        </w:rPr>
        <w:t>j</w:t>
      </w:r>
      <w:r w:rsidRPr="00402700">
        <w:rPr>
          <w:noProof/>
          <w:sz w:val="22"/>
          <w:szCs w:val="22"/>
          <w:lang w:val="sr-Latn-CS"/>
        </w:rPr>
        <w:t>ednje obnove dozvole:</w:t>
      </w:r>
      <w:r w:rsidR="00402700">
        <w:rPr>
          <w:noProof/>
          <w:sz w:val="22"/>
          <w:szCs w:val="22"/>
          <w:lang w:val="sr-Latn-CS"/>
        </w:rPr>
        <w:t xml:space="preserve"> </w:t>
      </w:r>
      <w:r w:rsidR="00402700" w:rsidRPr="00402700">
        <w:rPr>
          <w:noProof/>
          <w:sz w:val="22"/>
          <w:szCs w:val="22"/>
        </w:rPr>
        <w:t>10.01.2025. godine</w:t>
      </w:r>
    </w:p>
    <w:p w14:paraId="515B2695" w14:textId="3F30FAC4" w:rsidR="00C62D57" w:rsidRPr="00402700" w:rsidRDefault="00C62D57" w:rsidP="002C32CA">
      <w:pPr>
        <w:tabs>
          <w:tab w:val="left" w:pos="540"/>
          <w:tab w:val="left" w:pos="569"/>
        </w:tabs>
        <w:jc w:val="both"/>
        <w:rPr>
          <w:bCs/>
          <w:noProof/>
          <w:sz w:val="22"/>
          <w:szCs w:val="22"/>
          <w:lang w:val="sr-Latn-CS"/>
        </w:rPr>
      </w:pPr>
    </w:p>
    <w:p w14:paraId="551118FA" w14:textId="77777777" w:rsidR="007779BA" w:rsidRPr="00402700" w:rsidRDefault="007779BA" w:rsidP="002C32CA">
      <w:pPr>
        <w:tabs>
          <w:tab w:val="left" w:pos="540"/>
          <w:tab w:val="left" w:pos="569"/>
        </w:tabs>
        <w:jc w:val="both"/>
        <w:rPr>
          <w:bCs/>
          <w:noProof/>
          <w:sz w:val="22"/>
          <w:szCs w:val="22"/>
          <w:lang w:val="sr-Latn-CS"/>
        </w:rPr>
      </w:pPr>
    </w:p>
    <w:p w14:paraId="450F773B" w14:textId="77777777" w:rsidR="003F6A59" w:rsidRPr="00402700" w:rsidRDefault="0072020E" w:rsidP="002C32CA">
      <w:pPr>
        <w:tabs>
          <w:tab w:val="left" w:pos="540"/>
          <w:tab w:val="left" w:pos="569"/>
        </w:tabs>
        <w:ind w:left="540" w:hanging="540"/>
        <w:jc w:val="both"/>
        <w:rPr>
          <w:bCs/>
          <w:noProof/>
          <w:sz w:val="22"/>
          <w:szCs w:val="22"/>
          <w:lang w:val="sr-Latn-CS"/>
        </w:rPr>
      </w:pPr>
      <w:r w:rsidRPr="00402700">
        <w:rPr>
          <w:b/>
          <w:bCs/>
          <w:noProof/>
          <w:sz w:val="22"/>
          <w:szCs w:val="22"/>
          <w:lang w:val="sr-Latn-CS"/>
        </w:rPr>
        <w:t xml:space="preserve">10. </w:t>
      </w:r>
      <w:r w:rsidR="00480FB1" w:rsidRPr="00402700">
        <w:rPr>
          <w:b/>
          <w:bCs/>
          <w:noProof/>
          <w:sz w:val="22"/>
          <w:szCs w:val="22"/>
          <w:lang w:val="sr-Latn-CS"/>
        </w:rPr>
        <w:tab/>
      </w:r>
      <w:r w:rsidR="002846DB" w:rsidRPr="00402700">
        <w:rPr>
          <w:b/>
          <w:bCs/>
          <w:noProof/>
          <w:sz w:val="22"/>
          <w:szCs w:val="22"/>
          <w:lang w:val="sr-Latn-CS"/>
        </w:rPr>
        <w:t>D</w:t>
      </w:r>
      <w:r w:rsidR="00EC2532" w:rsidRPr="00402700">
        <w:rPr>
          <w:b/>
          <w:bCs/>
          <w:noProof/>
          <w:sz w:val="22"/>
          <w:szCs w:val="22"/>
          <w:lang w:val="sr-Latn-CS"/>
        </w:rPr>
        <w:t xml:space="preserve">ATUM REVIZIJE TEKSTA </w:t>
      </w:r>
    </w:p>
    <w:p w14:paraId="419788C4" w14:textId="6E6115AA" w:rsidR="003F6A59" w:rsidRPr="00402700" w:rsidRDefault="003F6A59" w:rsidP="002C32CA">
      <w:pPr>
        <w:jc w:val="both"/>
        <w:rPr>
          <w:noProof/>
          <w:sz w:val="22"/>
          <w:szCs w:val="22"/>
          <w:lang w:val="sr-Latn-CS"/>
        </w:rPr>
      </w:pPr>
    </w:p>
    <w:p w14:paraId="67459D7D" w14:textId="42CFCDD2" w:rsidR="00EF5412" w:rsidRPr="00641860" w:rsidRDefault="00917AB1" w:rsidP="00EF5412">
      <w:pPr>
        <w:widowControl w:val="0"/>
        <w:jc w:val="both"/>
        <w:rPr>
          <w:bCs/>
          <w:noProof/>
          <w:sz w:val="22"/>
          <w:szCs w:val="22"/>
          <w:lang w:val="sr-Latn-ME"/>
        </w:rPr>
      </w:pPr>
      <w:r>
        <w:rPr>
          <w:bCs/>
          <w:noProof/>
          <w:sz w:val="22"/>
          <w:szCs w:val="22"/>
          <w:lang w:val="sr-Latn-ME"/>
        </w:rPr>
        <w:t>Febr</w:t>
      </w:r>
      <w:bookmarkStart w:id="0" w:name="_GoBack"/>
      <w:bookmarkEnd w:id="0"/>
      <w:r w:rsidR="00EF5412">
        <w:rPr>
          <w:bCs/>
          <w:noProof/>
          <w:sz w:val="22"/>
          <w:szCs w:val="22"/>
          <w:lang w:val="sr-Latn-ME"/>
        </w:rPr>
        <w:t>uar</w:t>
      </w:r>
      <w:r w:rsidR="00EF5412" w:rsidRPr="00641860">
        <w:rPr>
          <w:bCs/>
          <w:noProof/>
          <w:sz w:val="22"/>
          <w:szCs w:val="22"/>
          <w:lang w:val="sr-Latn-ME"/>
        </w:rPr>
        <w:t>, 202</w:t>
      </w:r>
      <w:r w:rsidR="00EF5412">
        <w:rPr>
          <w:bCs/>
          <w:noProof/>
          <w:sz w:val="22"/>
          <w:szCs w:val="22"/>
          <w:lang w:val="sr-Latn-ME"/>
        </w:rPr>
        <w:t>5</w:t>
      </w:r>
      <w:r w:rsidR="00EF5412" w:rsidRPr="00641860">
        <w:rPr>
          <w:bCs/>
          <w:noProof/>
          <w:sz w:val="22"/>
          <w:szCs w:val="22"/>
          <w:lang w:val="sr-Latn-ME"/>
        </w:rPr>
        <w:t>. godine</w:t>
      </w:r>
    </w:p>
    <w:p w14:paraId="1D88FBA4" w14:textId="5E7715A8" w:rsidR="00990250" w:rsidRPr="00402700" w:rsidRDefault="00990250" w:rsidP="00EF5412">
      <w:pPr>
        <w:jc w:val="both"/>
        <w:rPr>
          <w:noProof/>
          <w:sz w:val="22"/>
          <w:szCs w:val="22"/>
          <w:lang w:val="sr-Latn-CS"/>
        </w:rPr>
      </w:pPr>
    </w:p>
    <w:sectPr w:rsidR="00990250" w:rsidRPr="00402700" w:rsidSect="006B5404">
      <w:footerReference w:type="default" r:id="rId12"/>
      <w:pgSz w:w="11909" w:h="16834" w:code="9"/>
      <w:pgMar w:top="1134" w:right="1418" w:bottom="1134" w:left="1418" w:header="737" w:footer="73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B7ED3B" w16cex:dateUtc="2024-12-30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18B699" w16cid:durableId="37B7ED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67D0" w14:textId="77777777" w:rsidR="0007587E" w:rsidRDefault="0007587E">
      <w:r>
        <w:separator/>
      </w:r>
    </w:p>
  </w:endnote>
  <w:endnote w:type="continuationSeparator" w:id="0">
    <w:p w14:paraId="289E24D2" w14:textId="77777777" w:rsidR="0007587E" w:rsidRDefault="0007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777">
    <w:altName w:val="Times New Roman"/>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BABA" w14:textId="7E65F1DA" w:rsidR="00EF5412" w:rsidRPr="00B23F69" w:rsidRDefault="00EF5412" w:rsidP="00B23F69">
    <w:pPr>
      <w:pStyle w:val="Footer"/>
      <w:jc w:val="center"/>
      <w:rPr>
        <w:sz w:val="22"/>
        <w:szCs w:val="22"/>
      </w:rPr>
    </w:pPr>
    <w:r w:rsidRPr="00B23F69">
      <w:rPr>
        <w:sz w:val="22"/>
        <w:szCs w:val="22"/>
      </w:rPr>
      <w:fldChar w:fldCharType="begin"/>
    </w:r>
    <w:r w:rsidRPr="00B23F69">
      <w:rPr>
        <w:sz w:val="22"/>
        <w:szCs w:val="22"/>
      </w:rPr>
      <w:instrText xml:space="preserve"> PAGE </w:instrText>
    </w:r>
    <w:r w:rsidRPr="00B23F69">
      <w:rPr>
        <w:sz w:val="22"/>
        <w:szCs w:val="22"/>
      </w:rPr>
      <w:fldChar w:fldCharType="separate"/>
    </w:r>
    <w:r w:rsidR="00917AB1">
      <w:rPr>
        <w:noProof/>
        <w:sz w:val="22"/>
        <w:szCs w:val="22"/>
      </w:rPr>
      <w:t>15</w:t>
    </w:r>
    <w:r w:rsidRPr="00B23F69">
      <w:rPr>
        <w:sz w:val="22"/>
        <w:szCs w:val="22"/>
      </w:rPr>
      <w:fldChar w:fldCharType="end"/>
    </w:r>
    <w:r w:rsidRPr="00B23F69">
      <w:rPr>
        <w:sz w:val="22"/>
        <w:szCs w:val="22"/>
      </w:rPr>
      <w:t xml:space="preserve"> / </w:t>
    </w:r>
    <w:r w:rsidRPr="00B23F69">
      <w:rPr>
        <w:sz w:val="22"/>
        <w:szCs w:val="22"/>
      </w:rPr>
      <w:fldChar w:fldCharType="begin"/>
    </w:r>
    <w:r w:rsidRPr="00B23F69">
      <w:rPr>
        <w:sz w:val="22"/>
        <w:szCs w:val="22"/>
      </w:rPr>
      <w:instrText xml:space="preserve"> NUMPAGES </w:instrText>
    </w:r>
    <w:r w:rsidRPr="00B23F69">
      <w:rPr>
        <w:sz w:val="22"/>
        <w:szCs w:val="22"/>
      </w:rPr>
      <w:fldChar w:fldCharType="separate"/>
    </w:r>
    <w:r w:rsidR="00917AB1">
      <w:rPr>
        <w:noProof/>
        <w:sz w:val="22"/>
        <w:szCs w:val="22"/>
      </w:rPr>
      <w:t>16</w:t>
    </w:r>
    <w:r w:rsidRPr="00B23F6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516F5" w14:textId="77777777" w:rsidR="0007587E" w:rsidRDefault="0007587E">
      <w:r>
        <w:separator/>
      </w:r>
    </w:p>
  </w:footnote>
  <w:footnote w:type="continuationSeparator" w:id="0">
    <w:p w14:paraId="2A115948" w14:textId="77777777" w:rsidR="0007587E" w:rsidRDefault="0007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3.5pt;visibility:visible" o:bullet="t">
        <v:imagedata r:id="rId1" o:title="BT_1000x858px"/>
      </v:shape>
    </w:pict>
  </w:numPicBullet>
  <w:abstractNum w:abstractNumId="0" w15:restartNumberingAfterBreak="0">
    <w:nsid w:val="0C10687C"/>
    <w:multiLevelType w:val="multilevel"/>
    <w:tmpl w:val="0409001F"/>
    <w:styleLink w:val="111111"/>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F475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3B7527E"/>
    <w:multiLevelType w:val="hybridMultilevel"/>
    <w:tmpl w:val="8D6E2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FA57B4"/>
    <w:multiLevelType w:val="hybridMultilevel"/>
    <w:tmpl w:val="4E9C3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E8136F"/>
    <w:multiLevelType w:val="multilevel"/>
    <w:tmpl w:val="C5B2E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DB49BF"/>
    <w:multiLevelType w:val="hybridMultilevel"/>
    <w:tmpl w:val="F5D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663D"/>
    <w:multiLevelType w:val="hybridMultilevel"/>
    <w:tmpl w:val="DB3E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E09DD"/>
    <w:multiLevelType w:val="multilevel"/>
    <w:tmpl w:val="BBBCBE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78D2C0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FCC7E64"/>
    <w:multiLevelType w:val="hybridMultilevel"/>
    <w:tmpl w:val="0FFC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5671D"/>
    <w:multiLevelType w:val="multilevel"/>
    <w:tmpl w:val="0409001F"/>
    <w:lvl w:ilvl="0">
      <w:start w:val="1"/>
      <w:numFmt w:val="decimal"/>
      <w:lvlText w:val="%1."/>
      <w:lvlJc w:val="left"/>
      <w:pPr>
        <w:tabs>
          <w:tab w:val="num" w:pos="36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A31197F"/>
    <w:multiLevelType w:val="hybridMultilevel"/>
    <w:tmpl w:val="C5B2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9724F4"/>
    <w:multiLevelType w:val="hybridMultilevel"/>
    <w:tmpl w:val="1386514C"/>
    <w:lvl w:ilvl="0" w:tplc="BF803B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0"/>
  </w:num>
  <w:num w:numId="5">
    <w:abstractNumId w:val="4"/>
  </w:num>
  <w:num w:numId="6">
    <w:abstractNumId w:val="1"/>
  </w:num>
  <w:num w:numId="7">
    <w:abstractNumId w:val="8"/>
  </w:num>
  <w:num w:numId="8">
    <w:abstractNumId w:val="3"/>
  </w:num>
  <w:num w:numId="9">
    <w:abstractNumId w:val="7"/>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6"/>
    <w:rsid w:val="00000528"/>
    <w:rsid w:val="00006B27"/>
    <w:rsid w:val="00013E85"/>
    <w:rsid w:val="000176CA"/>
    <w:rsid w:val="00025956"/>
    <w:rsid w:val="00033469"/>
    <w:rsid w:val="00036FA0"/>
    <w:rsid w:val="0003793F"/>
    <w:rsid w:val="00045130"/>
    <w:rsid w:val="00057E35"/>
    <w:rsid w:val="0007587E"/>
    <w:rsid w:val="00075E28"/>
    <w:rsid w:val="00076420"/>
    <w:rsid w:val="00076726"/>
    <w:rsid w:val="000800C6"/>
    <w:rsid w:val="00080303"/>
    <w:rsid w:val="00083D02"/>
    <w:rsid w:val="000A3F58"/>
    <w:rsid w:val="000B5E11"/>
    <w:rsid w:val="000D2256"/>
    <w:rsid w:val="000D2343"/>
    <w:rsid w:val="000D3449"/>
    <w:rsid w:val="000D36E6"/>
    <w:rsid w:val="000D425A"/>
    <w:rsid w:val="000D60CC"/>
    <w:rsid w:val="000E2084"/>
    <w:rsid w:val="000E6F55"/>
    <w:rsid w:val="000F7753"/>
    <w:rsid w:val="000F77FA"/>
    <w:rsid w:val="00107BF7"/>
    <w:rsid w:val="00126F53"/>
    <w:rsid w:val="001437D0"/>
    <w:rsid w:val="00143F1D"/>
    <w:rsid w:val="0014766D"/>
    <w:rsid w:val="001536CC"/>
    <w:rsid w:val="001731C9"/>
    <w:rsid w:val="00190AF7"/>
    <w:rsid w:val="001A3FBA"/>
    <w:rsid w:val="001A5518"/>
    <w:rsid w:val="001B1C6A"/>
    <w:rsid w:val="001C1263"/>
    <w:rsid w:val="001C1417"/>
    <w:rsid w:val="001E390B"/>
    <w:rsid w:val="001F42FB"/>
    <w:rsid w:val="001F719A"/>
    <w:rsid w:val="00201C20"/>
    <w:rsid w:val="002031B3"/>
    <w:rsid w:val="00204C6F"/>
    <w:rsid w:val="00213727"/>
    <w:rsid w:val="002147C6"/>
    <w:rsid w:val="00215931"/>
    <w:rsid w:val="00224C91"/>
    <w:rsid w:val="00225323"/>
    <w:rsid w:val="00227BDB"/>
    <w:rsid w:val="00234CB1"/>
    <w:rsid w:val="002352F8"/>
    <w:rsid w:val="002510A5"/>
    <w:rsid w:val="00254A0A"/>
    <w:rsid w:val="00266046"/>
    <w:rsid w:val="00270707"/>
    <w:rsid w:val="002775BB"/>
    <w:rsid w:val="00280000"/>
    <w:rsid w:val="002846DB"/>
    <w:rsid w:val="00284CCD"/>
    <w:rsid w:val="0029354C"/>
    <w:rsid w:val="002C32CA"/>
    <w:rsid w:val="002C6637"/>
    <w:rsid w:val="002D1FCD"/>
    <w:rsid w:val="002D4B9C"/>
    <w:rsid w:val="002E0135"/>
    <w:rsid w:val="002E37A5"/>
    <w:rsid w:val="002E433B"/>
    <w:rsid w:val="003041E8"/>
    <w:rsid w:val="00305B76"/>
    <w:rsid w:val="0031086C"/>
    <w:rsid w:val="00310F03"/>
    <w:rsid w:val="003233FC"/>
    <w:rsid w:val="003247D2"/>
    <w:rsid w:val="003445C1"/>
    <w:rsid w:val="00347327"/>
    <w:rsid w:val="00355B61"/>
    <w:rsid w:val="00356A9B"/>
    <w:rsid w:val="00362686"/>
    <w:rsid w:val="00371510"/>
    <w:rsid w:val="003931D3"/>
    <w:rsid w:val="00396DFD"/>
    <w:rsid w:val="003A7059"/>
    <w:rsid w:val="003B1EF2"/>
    <w:rsid w:val="003B5D45"/>
    <w:rsid w:val="003B7A36"/>
    <w:rsid w:val="003C17AB"/>
    <w:rsid w:val="003C7823"/>
    <w:rsid w:val="003C7BE9"/>
    <w:rsid w:val="003E1DCC"/>
    <w:rsid w:val="003F11A1"/>
    <w:rsid w:val="003F6A59"/>
    <w:rsid w:val="00402700"/>
    <w:rsid w:val="0040433C"/>
    <w:rsid w:val="004065C8"/>
    <w:rsid w:val="004109FA"/>
    <w:rsid w:val="00411B4B"/>
    <w:rsid w:val="00415BEE"/>
    <w:rsid w:val="0041707B"/>
    <w:rsid w:val="004254E9"/>
    <w:rsid w:val="00427F85"/>
    <w:rsid w:val="00436F42"/>
    <w:rsid w:val="004378B4"/>
    <w:rsid w:val="00451314"/>
    <w:rsid w:val="00452E9D"/>
    <w:rsid w:val="004534C7"/>
    <w:rsid w:val="00466D0F"/>
    <w:rsid w:val="004671AA"/>
    <w:rsid w:val="00471DF8"/>
    <w:rsid w:val="00476F40"/>
    <w:rsid w:val="004804C3"/>
    <w:rsid w:val="00480FB1"/>
    <w:rsid w:val="00483928"/>
    <w:rsid w:val="00494234"/>
    <w:rsid w:val="004968D7"/>
    <w:rsid w:val="004C2406"/>
    <w:rsid w:val="004C331F"/>
    <w:rsid w:val="004D49B4"/>
    <w:rsid w:val="004D6103"/>
    <w:rsid w:val="004E3BCE"/>
    <w:rsid w:val="004E70AD"/>
    <w:rsid w:val="004F0E97"/>
    <w:rsid w:val="004F17E2"/>
    <w:rsid w:val="004F4832"/>
    <w:rsid w:val="00501DD1"/>
    <w:rsid w:val="00515C21"/>
    <w:rsid w:val="00530BD7"/>
    <w:rsid w:val="00545CD2"/>
    <w:rsid w:val="005476F3"/>
    <w:rsid w:val="005526A8"/>
    <w:rsid w:val="00562055"/>
    <w:rsid w:val="00572527"/>
    <w:rsid w:val="00573E40"/>
    <w:rsid w:val="00576348"/>
    <w:rsid w:val="005A0B2E"/>
    <w:rsid w:val="005A23D2"/>
    <w:rsid w:val="005A36CB"/>
    <w:rsid w:val="005B49B8"/>
    <w:rsid w:val="005C0741"/>
    <w:rsid w:val="005C5A3E"/>
    <w:rsid w:val="005C5EF4"/>
    <w:rsid w:val="005D7651"/>
    <w:rsid w:val="005E2E0B"/>
    <w:rsid w:val="005E67AD"/>
    <w:rsid w:val="005E7A7D"/>
    <w:rsid w:val="00602457"/>
    <w:rsid w:val="00627A40"/>
    <w:rsid w:val="00637434"/>
    <w:rsid w:val="006429D6"/>
    <w:rsid w:val="00644FC3"/>
    <w:rsid w:val="00646BD1"/>
    <w:rsid w:val="006561C2"/>
    <w:rsid w:val="00671CB3"/>
    <w:rsid w:val="00674AE4"/>
    <w:rsid w:val="00674BAF"/>
    <w:rsid w:val="0068008B"/>
    <w:rsid w:val="00682200"/>
    <w:rsid w:val="00682B46"/>
    <w:rsid w:val="00692BF6"/>
    <w:rsid w:val="00695D6B"/>
    <w:rsid w:val="006A1351"/>
    <w:rsid w:val="006A1497"/>
    <w:rsid w:val="006B0BD1"/>
    <w:rsid w:val="006B5404"/>
    <w:rsid w:val="006D20A5"/>
    <w:rsid w:val="006D37BF"/>
    <w:rsid w:val="006E2D6C"/>
    <w:rsid w:val="006F105F"/>
    <w:rsid w:val="006F522D"/>
    <w:rsid w:val="00702E22"/>
    <w:rsid w:val="00713472"/>
    <w:rsid w:val="007154D2"/>
    <w:rsid w:val="0072020E"/>
    <w:rsid w:val="0073219F"/>
    <w:rsid w:val="0074220B"/>
    <w:rsid w:val="00754902"/>
    <w:rsid w:val="0077383E"/>
    <w:rsid w:val="007779BA"/>
    <w:rsid w:val="00786071"/>
    <w:rsid w:val="007A1186"/>
    <w:rsid w:val="007A3ECB"/>
    <w:rsid w:val="007D54DC"/>
    <w:rsid w:val="007D7BB3"/>
    <w:rsid w:val="007E31E9"/>
    <w:rsid w:val="007F05E3"/>
    <w:rsid w:val="008036E5"/>
    <w:rsid w:val="008047AE"/>
    <w:rsid w:val="008153C6"/>
    <w:rsid w:val="00824AB9"/>
    <w:rsid w:val="00836B35"/>
    <w:rsid w:val="00843BDE"/>
    <w:rsid w:val="00860D50"/>
    <w:rsid w:val="0086767B"/>
    <w:rsid w:val="0087588C"/>
    <w:rsid w:val="0089705C"/>
    <w:rsid w:val="008A44D9"/>
    <w:rsid w:val="008A6D43"/>
    <w:rsid w:val="008B491E"/>
    <w:rsid w:val="008C1A28"/>
    <w:rsid w:val="008C2E98"/>
    <w:rsid w:val="008C49E3"/>
    <w:rsid w:val="008E21CE"/>
    <w:rsid w:val="008E49BD"/>
    <w:rsid w:val="008E53E9"/>
    <w:rsid w:val="008E5771"/>
    <w:rsid w:val="008F4ACF"/>
    <w:rsid w:val="008F67CD"/>
    <w:rsid w:val="00917AB1"/>
    <w:rsid w:val="00924166"/>
    <w:rsid w:val="00934C65"/>
    <w:rsid w:val="00936D54"/>
    <w:rsid w:val="00940B9B"/>
    <w:rsid w:val="00953573"/>
    <w:rsid w:val="0095676E"/>
    <w:rsid w:val="00956983"/>
    <w:rsid w:val="009621D9"/>
    <w:rsid w:val="00963CF0"/>
    <w:rsid w:val="00964BB1"/>
    <w:rsid w:val="009775D9"/>
    <w:rsid w:val="0098616E"/>
    <w:rsid w:val="00990250"/>
    <w:rsid w:val="00997175"/>
    <w:rsid w:val="009A1847"/>
    <w:rsid w:val="009B062A"/>
    <w:rsid w:val="009C7CC0"/>
    <w:rsid w:val="009E7C6F"/>
    <w:rsid w:val="009F1793"/>
    <w:rsid w:val="009F2D23"/>
    <w:rsid w:val="009F7685"/>
    <w:rsid w:val="00A01D69"/>
    <w:rsid w:val="00A02335"/>
    <w:rsid w:val="00A07B49"/>
    <w:rsid w:val="00A366D2"/>
    <w:rsid w:val="00A46C9A"/>
    <w:rsid w:val="00A53BAF"/>
    <w:rsid w:val="00A619F3"/>
    <w:rsid w:val="00A62A73"/>
    <w:rsid w:val="00A87FF6"/>
    <w:rsid w:val="00A96B01"/>
    <w:rsid w:val="00AA0A3B"/>
    <w:rsid w:val="00AA2763"/>
    <w:rsid w:val="00AA33B6"/>
    <w:rsid w:val="00AB50CA"/>
    <w:rsid w:val="00AB6D64"/>
    <w:rsid w:val="00AB76B1"/>
    <w:rsid w:val="00AC53CE"/>
    <w:rsid w:val="00AC6A89"/>
    <w:rsid w:val="00AD2193"/>
    <w:rsid w:val="00AE7FEC"/>
    <w:rsid w:val="00AF19F4"/>
    <w:rsid w:val="00AF2AC7"/>
    <w:rsid w:val="00AF74CE"/>
    <w:rsid w:val="00B17611"/>
    <w:rsid w:val="00B208DB"/>
    <w:rsid w:val="00B23F69"/>
    <w:rsid w:val="00B26CB7"/>
    <w:rsid w:val="00B33277"/>
    <w:rsid w:val="00B42BA9"/>
    <w:rsid w:val="00B60619"/>
    <w:rsid w:val="00B63F46"/>
    <w:rsid w:val="00B66A70"/>
    <w:rsid w:val="00B67366"/>
    <w:rsid w:val="00B80EE1"/>
    <w:rsid w:val="00B84135"/>
    <w:rsid w:val="00BD5829"/>
    <w:rsid w:val="00BE0E52"/>
    <w:rsid w:val="00C04D34"/>
    <w:rsid w:val="00C05DF8"/>
    <w:rsid w:val="00C06864"/>
    <w:rsid w:val="00C07076"/>
    <w:rsid w:val="00C10F54"/>
    <w:rsid w:val="00C1302B"/>
    <w:rsid w:val="00C17096"/>
    <w:rsid w:val="00C22C33"/>
    <w:rsid w:val="00C23D8D"/>
    <w:rsid w:val="00C26D36"/>
    <w:rsid w:val="00C340F2"/>
    <w:rsid w:val="00C37AA3"/>
    <w:rsid w:val="00C37FD7"/>
    <w:rsid w:val="00C42F22"/>
    <w:rsid w:val="00C43419"/>
    <w:rsid w:val="00C44CF3"/>
    <w:rsid w:val="00C61BE0"/>
    <w:rsid w:val="00C62D57"/>
    <w:rsid w:val="00C6707E"/>
    <w:rsid w:val="00C70B0E"/>
    <w:rsid w:val="00C773CA"/>
    <w:rsid w:val="00C83785"/>
    <w:rsid w:val="00C87FA8"/>
    <w:rsid w:val="00C94C0D"/>
    <w:rsid w:val="00C9726E"/>
    <w:rsid w:val="00CA0BA8"/>
    <w:rsid w:val="00CA1FEB"/>
    <w:rsid w:val="00CA43C1"/>
    <w:rsid w:val="00CD4F85"/>
    <w:rsid w:val="00CD6F02"/>
    <w:rsid w:val="00CE246D"/>
    <w:rsid w:val="00CF07A0"/>
    <w:rsid w:val="00CF3E03"/>
    <w:rsid w:val="00D0082A"/>
    <w:rsid w:val="00D01492"/>
    <w:rsid w:val="00D21455"/>
    <w:rsid w:val="00D4306E"/>
    <w:rsid w:val="00D47634"/>
    <w:rsid w:val="00D709B3"/>
    <w:rsid w:val="00D74CD2"/>
    <w:rsid w:val="00D86552"/>
    <w:rsid w:val="00DA2ED6"/>
    <w:rsid w:val="00DA4BA6"/>
    <w:rsid w:val="00DA50CB"/>
    <w:rsid w:val="00DB1D55"/>
    <w:rsid w:val="00DB47B2"/>
    <w:rsid w:val="00DB76B8"/>
    <w:rsid w:val="00DC2EA1"/>
    <w:rsid w:val="00DD6AAF"/>
    <w:rsid w:val="00DE3F5C"/>
    <w:rsid w:val="00DE43E9"/>
    <w:rsid w:val="00DE6399"/>
    <w:rsid w:val="00DF1D20"/>
    <w:rsid w:val="00E060C8"/>
    <w:rsid w:val="00E21324"/>
    <w:rsid w:val="00E246B9"/>
    <w:rsid w:val="00E30F79"/>
    <w:rsid w:val="00E31FEA"/>
    <w:rsid w:val="00E45169"/>
    <w:rsid w:val="00E47787"/>
    <w:rsid w:val="00E51C30"/>
    <w:rsid w:val="00E621C9"/>
    <w:rsid w:val="00E64180"/>
    <w:rsid w:val="00E71B84"/>
    <w:rsid w:val="00E7235D"/>
    <w:rsid w:val="00E725F7"/>
    <w:rsid w:val="00E74AEE"/>
    <w:rsid w:val="00E868E5"/>
    <w:rsid w:val="00E9237A"/>
    <w:rsid w:val="00E939FA"/>
    <w:rsid w:val="00EA5765"/>
    <w:rsid w:val="00EC2532"/>
    <w:rsid w:val="00EC52BF"/>
    <w:rsid w:val="00ED7812"/>
    <w:rsid w:val="00EF3B86"/>
    <w:rsid w:val="00EF5412"/>
    <w:rsid w:val="00F01F1A"/>
    <w:rsid w:val="00F07EA5"/>
    <w:rsid w:val="00F317E9"/>
    <w:rsid w:val="00F34554"/>
    <w:rsid w:val="00F35B68"/>
    <w:rsid w:val="00F45F77"/>
    <w:rsid w:val="00F5167F"/>
    <w:rsid w:val="00F52258"/>
    <w:rsid w:val="00F547EC"/>
    <w:rsid w:val="00F8570A"/>
    <w:rsid w:val="00F91C7B"/>
    <w:rsid w:val="00FA3E7C"/>
    <w:rsid w:val="00FD3EF5"/>
    <w:rsid w:val="00FF3EDF"/>
    <w:rsid w:val="00FF5F8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A594B"/>
  <w15:chartTrackingRefBased/>
  <w15:docId w15:val="{72686179-00AE-4FF5-9B6D-A3DA2EF3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5A0B2E"/>
    <w:pPr>
      <w:keepNext/>
      <w:tabs>
        <w:tab w:val="left" w:pos="284"/>
      </w:tabs>
      <w:jc w:val="center"/>
      <w:outlineLvl w:val="1"/>
    </w:pPr>
    <w:rPr>
      <w:rFonts w:ascii="Arial" w:hAnsi="Arial" w:cs="Arial"/>
      <w:i/>
      <w:i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46B9"/>
    <w:pPr>
      <w:tabs>
        <w:tab w:val="center" w:pos="4320"/>
        <w:tab w:val="right" w:pos="8640"/>
      </w:tabs>
    </w:pPr>
  </w:style>
  <w:style w:type="paragraph" w:styleId="Footer">
    <w:name w:val="footer"/>
    <w:basedOn w:val="Normal"/>
    <w:rsid w:val="00E246B9"/>
    <w:pPr>
      <w:tabs>
        <w:tab w:val="center" w:pos="4320"/>
        <w:tab w:val="right" w:pos="8640"/>
      </w:tabs>
    </w:pPr>
  </w:style>
  <w:style w:type="character" w:styleId="PageNumber">
    <w:name w:val="page number"/>
    <w:basedOn w:val="DefaultParagraphFont"/>
    <w:rsid w:val="00E246B9"/>
  </w:style>
  <w:style w:type="numbering" w:styleId="111111">
    <w:name w:val="Outline List 2"/>
    <w:basedOn w:val="NoList"/>
    <w:rsid w:val="00E246B9"/>
    <w:pPr>
      <w:numPr>
        <w:numId w:val="3"/>
      </w:numPr>
    </w:pPr>
  </w:style>
  <w:style w:type="character" w:styleId="CommentReference">
    <w:name w:val="annotation reference"/>
    <w:semiHidden/>
    <w:rsid w:val="005A0B2E"/>
    <w:rPr>
      <w:sz w:val="16"/>
      <w:szCs w:val="16"/>
    </w:rPr>
  </w:style>
  <w:style w:type="paragraph" w:styleId="CommentText">
    <w:name w:val="annotation text"/>
    <w:basedOn w:val="Normal"/>
    <w:link w:val="CommentTextChar"/>
    <w:semiHidden/>
    <w:rsid w:val="005A0B2E"/>
    <w:rPr>
      <w:sz w:val="20"/>
      <w:szCs w:val="20"/>
    </w:rPr>
  </w:style>
  <w:style w:type="paragraph" w:styleId="CommentSubject">
    <w:name w:val="annotation subject"/>
    <w:basedOn w:val="CommentText"/>
    <w:next w:val="CommentText"/>
    <w:semiHidden/>
    <w:rsid w:val="005A0B2E"/>
    <w:rPr>
      <w:b/>
      <w:bCs/>
    </w:rPr>
  </w:style>
  <w:style w:type="paragraph" w:styleId="BalloonText">
    <w:name w:val="Balloon Text"/>
    <w:basedOn w:val="Normal"/>
    <w:semiHidden/>
    <w:rsid w:val="005A0B2E"/>
    <w:rPr>
      <w:rFonts w:ascii="Tahoma" w:hAnsi="Tahoma" w:cs="Tahoma"/>
      <w:sz w:val="16"/>
      <w:szCs w:val="16"/>
    </w:rPr>
  </w:style>
  <w:style w:type="paragraph" w:styleId="NoSpacing">
    <w:name w:val="No Spacing"/>
    <w:uiPriority w:val="1"/>
    <w:qFormat/>
    <w:rsid w:val="00EA5765"/>
    <w:rPr>
      <w:sz w:val="24"/>
      <w:szCs w:val="24"/>
      <w:lang w:val="en-US" w:eastAsia="en-US"/>
    </w:rPr>
  </w:style>
  <w:style w:type="character" w:customStyle="1" w:styleId="CommentTextChar">
    <w:name w:val="Comment Text Char"/>
    <w:link w:val="CommentText"/>
    <w:semiHidden/>
    <w:rsid w:val="008A6D43"/>
    <w:rPr>
      <w:lang w:val="en-US" w:eastAsia="en-US"/>
    </w:rPr>
  </w:style>
  <w:style w:type="character" w:styleId="Hyperlink">
    <w:name w:val="Hyperlink"/>
    <w:basedOn w:val="DefaultParagraphFont"/>
    <w:rsid w:val="004E70AD"/>
    <w:rPr>
      <w:color w:val="0563C1" w:themeColor="hyperlink"/>
      <w:u w:val="single"/>
    </w:rPr>
  </w:style>
  <w:style w:type="character" w:customStyle="1" w:styleId="HeaderChar">
    <w:name w:val="Header Char"/>
    <w:basedOn w:val="DefaultParagraphFont"/>
    <w:link w:val="Header"/>
    <w:uiPriority w:val="99"/>
    <w:rsid w:val="00305B76"/>
    <w:rPr>
      <w:sz w:val="24"/>
      <w:szCs w:val="24"/>
      <w:lang w:val="en-US" w:eastAsia="en-US"/>
    </w:rPr>
  </w:style>
  <w:style w:type="paragraph" w:customStyle="1" w:styleId="Text">
    <w:name w:val="Text"/>
    <w:basedOn w:val="Normal"/>
    <w:link w:val="TextChar"/>
    <w:rsid w:val="009F7685"/>
    <w:pPr>
      <w:spacing w:before="120"/>
      <w:jc w:val="both"/>
    </w:pPr>
    <w:rPr>
      <w:rFonts w:ascii="Humanist777" w:hAnsi="Humanist777"/>
      <w:szCs w:val="20"/>
      <w:lang w:val="x-none" w:eastAsia="x-none"/>
    </w:rPr>
  </w:style>
  <w:style w:type="character" w:customStyle="1" w:styleId="TextChar">
    <w:name w:val="Text Char"/>
    <w:link w:val="Text"/>
    <w:locked/>
    <w:rsid w:val="009F7685"/>
    <w:rPr>
      <w:rFonts w:ascii="Humanist777" w:hAnsi="Humanist777"/>
      <w:sz w:val="24"/>
      <w:lang w:val="x-none" w:eastAsia="x-none"/>
    </w:rPr>
  </w:style>
  <w:style w:type="paragraph" w:styleId="Revision">
    <w:name w:val="Revision"/>
    <w:hidden/>
    <w:uiPriority w:val="99"/>
    <w:semiHidden/>
    <w:rsid w:val="008A44D9"/>
    <w:rPr>
      <w:sz w:val="24"/>
      <w:szCs w:val="24"/>
      <w:lang w:val="en-US" w:eastAsia="en-US"/>
    </w:rPr>
  </w:style>
  <w:style w:type="paragraph" w:styleId="ListParagraph">
    <w:name w:val="List Paragraph"/>
    <w:basedOn w:val="Normal"/>
    <w:uiPriority w:val="34"/>
    <w:qFormat/>
    <w:rsid w:val="0077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med.me"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vigiflow-eforms.who-umc.org/me/mead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ezeljenadejstva@cinmed.m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A952-9DF5-4136-9064-E3E4F393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Obrazac za SmPC</vt:lpstr>
    </vt:vector>
  </TitlesOfParts>
  <Company>CInMED</Company>
  <LinksUpToDate>false</LinksUpToDate>
  <CharactersWithSpaces>45521</CharactersWithSpaces>
  <SharedDoc>false</SharedDoc>
  <HLinks>
    <vt:vector size="12" baseType="variant">
      <vt:variant>
        <vt:i4>2621465</vt:i4>
      </vt:variant>
      <vt:variant>
        <vt:i4>3</vt:i4>
      </vt:variant>
      <vt:variant>
        <vt:i4>0</vt:i4>
      </vt:variant>
      <vt:variant>
        <vt:i4>5</vt:i4>
      </vt:variant>
      <vt:variant>
        <vt:lpwstr>mailto:nezeljenadejstva@calims.me</vt:lpwstr>
      </vt:variant>
      <vt:variant>
        <vt:lpwstr/>
      </vt:variant>
      <vt:variant>
        <vt:i4>131142</vt:i4>
      </vt:variant>
      <vt:variant>
        <vt:i4>0</vt:i4>
      </vt:variant>
      <vt:variant>
        <vt:i4>0</vt:i4>
      </vt:variant>
      <vt:variant>
        <vt:i4>5</vt:i4>
      </vt:variant>
      <vt:variant>
        <vt:lpwstr>http://www.calims.me/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SmPC</dc:title>
  <dc:subject/>
  <dc:creator>Tatjana Banković</dc:creator>
  <cp:keywords/>
  <dc:description>Sažetak karakteristika lijeka</dc:description>
  <cp:lastModifiedBy>Jovana Jovanovic</cp:lastModifiedBy>
  <cp:revision>6</cp:revision>
  <cp:lastPrinted>2023-02-09T08:16:00Z</cp:lastPrinted>
  <dcterms:created xsi:type="dcterms:W3CDTF">2025-01-10T06:52:00Z</dcterms:created>
  <dcterms:modified xsi:type="dcterms:W3CDTF">2025-02-12T11:26:00Z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9bec58-8084-492e-8360-0e1cfe36408c_Enabled">
    <vt:lpwstr>true</vt:lpwstr>
  </property>
  <property fmtid="{D5CDD505-2E9C-101B-9397-08002B2CF9AE}" pid="4" name="MSIP_Label_3c9bec58-8084-492e-8360-0e1cfe36408c_SetDate">
    <vt:lpwstr>2024-07-25T13:59:38Z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57c8efd2-55c2-49ed-9edb-42dd984e589a</vt:lpwstr>
  </property>
  <property fmtid="{D5CDD505-2E9C-101B-9397-08002B2CF9AE}" pid="9" name="MSIP_Label_3c9bec58-8084-492e-8360-0e1cfe36408c_ContentBits">
    <vt:lpwstr>0</vt:lpwstr>
  </property>
</Properties>
</file>