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38D77" w14:textId="77777777" w:rsidR="002510A5" w:rsidRPr="00E525FC" w:rsidRDefault="002510A5" w:rsidP="00390072">
      <w:pPr>
        <w:widowControl w:val="0"/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E525FC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9F6C3A8" w14:textId="77777777" w:rsidR="002510A5" w:rsidRPr="00E525FC" w:rsidRDefault="002510A5" w:rsidP="00390072">
      <w:pPr>
        <w:widowControl w:val="0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02E2610" w14:textId="77777777" w:rsidR="00C37FD7" w:rsidRPr="00E525FC" w:rsidRDefault="00C37FD7" w:rsidP="00390072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770124" w14:textId="77777777" w:rsidR="00411B4B" w:rsidRPr="00E525FC" w:rsidRDefault="00411B4B" w:rsidP="00390072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>1.</w:t>
      </w:r>
      <w:r w:rsidR="00F5167F" w:rsidRPr="00E525FC">
        <w:rPr>
          <w:b/>
          <w:bCs/>
          <w:sz w:val="22"/>
          <w:szCs w:val="22"/>
          <w:lang w:val="sr-Latn-ME"/>
        </w:rPr>
        <w:tab/>
      </w:r>
      <w:r w:rsidR="002846DB" w:rsidRPr="00E525FC">
        <w:rPr>
          <w:b/>
          <w:bCs/>
          <w:sz w:val="22"/>
          <w:szCs w:val="22"/>
          <w:lang w:val="sr-Latn-ME"/>
        </w:rPr>
        <w:t xml:space="preserve">NAZIV </w:t>
      </w:r>
      <w:r w:rsidRPr="00E525FC">
        <w:rPr>
          <w:b/>
          <w:bCs/>
          <w:sz w:val="22"/>
          <w:szCs w:val="22"/>
          <w:lang w:val="sr-Latn-ME"/>
        </w:rPr>
        <w:t>LIJEKA</w:t>
      </w:r>
    </w:p>
    <w:p w14:paraId="117386F1" w14:textId="77777777" w:rsidR="00EC2532" w:rsidRPr="00E525FC" w:rsidRDefault="00EC2532" w:rsidP="00390072">
      <w:pPr>
        <w:widowControl w:val="0"/>
        <w:rPr>
          <w:sz w:val="22"/>
          <w:szCs w:val="22"/>
          <w:lang w:val="sr-Latn-ME"/>
        </w:rPr>
      </w:pPr>
    </w:p>
    <w:p w14:paraId="3207A600" w14:textId="5B9B030D" w:rsidR="000D425A" w:rsidRPr="00E525FC" w:rsidRDefault="003E70E6" w:rsidP="00131CE3">
      <w:pPr>
        <w:widowControl w:val="0"/>
        <w:jc w:val="both"/>
        <w:rPr>
          <w:bCs/>
          <w:sz w:val="22"/>
          <w:szCs w:val="22"/>
          <w:lang w:val="sr-Latn-ME"/>
        </w:rPr>
      </w:pPr>
      <w:proofErr w:type="spellStart"/>
      <w:r w:rsidRPr="00E525FC">
        <w:rPr>
          <w:bCs/>
          <w:sz w:val="22"/>
          <w:szCs w:val="22"/>
          <w:lang w:val="sr-Latn-ME"/>
        </w:rPr>
        <w:t>Rilutek</w:t>
      </w:r>
      <w:proofErr w:type="spellEnd"/>
      <w:r w:rsidRPr="00E525FC">
        <w:rPr>
          <w:bCs/>
          <w:sz w:val="22"/>
          <w:szCs w:val="22"/>
          <w:lang w:val="sr-Latn-ME"/>
        </w:rPr>
        <w:t>, 50 mg</w:t>
      </w:r>
      <w:r w:rsidR="00607F0C" w:rsidRPr="00E525FC">
        <w:rPr>
          <w:bCs/>
          <w:sz w:val="22"/>
          <w:szCs w:val="22"/>
          <w:lang w:val="sr-Latn-ME"/>
        </w:rPr>
        <w:t>, film tableta</w:t>
      </w:r>
    </w:p>
    <w:p w14:paraId="093FFE47" w14:textId="77777777" w:rsidR="00FB44CE" w:rsidRPr="00E525FC" w:rsidRDefault="00FB44CE" w:rsidP="00131CE3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A78266A" w14:textId="47C17472" w:rsidR="006D20A5" w:rsidRPr="00E525FC" w:rsidRDefault="006D20A5" w:rsidP="00131CE3">
      <w:pPr>
        <w:widowControl w:val="0"/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INN:</w:t>
      </w:r>
      <w:r w:rsidR="00390072" w:rsidRPr="00E525FC">
        <w:rPr>
          <w:sz w:val="22"/>
          <w:szCs w:val="22"/>
          <w:lang w:val="sr-Latn-ME"/>
        </w:rPr>
        <w:t xml:space="preserve"> </w:t>
      </w:r>
      <w:proofErr w:type="spellStart"/>
      <w:r w:rsidR="003E70E6" w:rsidRPr="00E525FC">
        <w:rPr>
          <w:sz w:val="22"/>
          <w:szCs w:val="22"/>
          <w:lang w:val="sr-Latn-ME"/>
        </w:rPr>
        <w:t>riluzol</w:t>
      </w:r>
      <w:proofErr w:type="spellEnd"/>
    </w:p>
    <w:p w14:paraId="1E66973D" w14:textId="77777777" w:rsidR="006D20A5" w:rsidRPr="00E525FC" w:rsidRDefault="006D20A5" w:rsidP="00131CE3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0C4B3C2" w14:textId="77777777" w:rsidR="00530BD7" w:rsidRPr="00E525FC" w:rsidRDefault="00530BD7" w:rsidP="00131CE3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53106F2" w14:textId="77777777" w:rsidR="00411B4B" w:rsidRPr="00E525FC" w:rsidRDefault="00411B4B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2. </w:t>
      </w:r>
      <w:r w:rsidR="00F5167F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KVALITATIVNI I KVANTITATIVNI SASTAV</w:t>
      </w:r>
    </w:p>
    <w:p w14:paraId="74E45A36" w14:textId="77777777" w:rsidR="005A0B2E" w:rsidRPr="00E525FC" w:rsidRDefault="005A0B2E" w:rsidP="00131CE3">
      <w:pPr>
        <w:widowControl w:val="0"/>
        <w:jc w:val="both"/>
        <w:rPr>
          <w:sz w:val="22"/>
          <w:szCs w:val="22"/>
          <w:lang w:val="sr-Latn-ME"/>
        </w:rPr>
      </w:pPr>
    </w:p>
    <w:p w14:paraId="13BB7A34" w14:textId="64D0F7CA" w:rsidR="006026FB" w:rsidRPr="00E525FC" w:rsidRDefault="004B5281" w:rsidP="00131CE3">
      <w:pPr>
        <w:widowControl w:val="0"/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Jedna </w:t>
      </w:r>
      <w:r w:rsidR="006026FB" w:rsidRPr="00E525FC">
        <w:rPr>
          <w:sz w:val="22"/>
          <w:szCs w:val="22"/>
          <w:lang w:val="sr-Latn-ME"/>
        </w:rPr>
        <w:t xml:space="preserve">film tableta sadrži 50 mg </w:t>
      </w:r>
      <w:proofErr w:type="spellStart"/>
      <w:r w:rsidR="006026FB" w:rsidRPr="00E525FC">
        <w:rPr>
          <w:sz w:val="22"/>
          <w:szCs w:val="22"/>
          <w:lang w:val="sr-Latn-ME"/>
        </w:rPr>
        <w:t>riluzola</w:t>
      </w:r>
      <w:proofErr w:type="spellEnd"/>
      <w:r w:rsidR="006026FB" w:rsidRPr="00E525FC">
        <w:rPr>
          <w:sz w:val="22"/>
          <w:szCs w:val="22"/>
          <w:lang w:val="sr-Latn-ME"/>
        </w:rPr>
        <w:t>.</w:t>
      </w:r>
    </w:p>
    <w:p w14:paraId="764F1800" w14:textId="6D7DDE48" w:rsidR="006026FB" w:rsidRPr="00E525FC" w:rsidRDefault="006026FB" w:rsidP="00131CE3">
      <w:pPr>
        <w:widowControl w:val="0"/>
        <w:jc w:val="both"/>
        <w:rPr>
          <w:sz w:val="22"/>
          <w:szCs w:val="22"/>
          <w:lang w:val="sr-Latn-ME"/>
        </w:rPr>
      </w:pPr>
    </w:p>
    <w:p w14:paraId="7765C3D2" w14:textId="77777777" w:rsidR="0003793F" w:rsidRPr="00E525FC" w:rsidRDefault="0003793F" w:rsidP="00131CE3">
      <w:pPr>
        <w:widowControl w:val="0"/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Za spisak svih </w:t>
      </w:r>
      <w:proofErr w:type="spellStart"/>
      <w:r w:rsidRPr="00E525FC">
        <w:rPr>
          <w:sz w:val="22"/>
          <w:szCs w:val="22"/>
          <w:lang w:val="sr-Latn-ME"/>
        </w:rPr>
        <w:t>ekscipijenasa</w:t>
      </w:r>
      <w:proofErr w:type="spellEnd"/>
      <w:r w:rsidRPr="00E525FC">
        <w:rPr>
          <w:sz w:val="22"/>
          <w:szCs w:val="22"/>
          <w:lang w:val="sr-Latn-ME"/>
        </w:rPr>
        <w:t>, pogledati dio 6.1.</w:t>
      </w:r>
    </w:p>
    <w:p w14:paraId="16165963" w14:textId="77777777" w:rsidR="0003793F" w:rsidRPr="00E525FC" w:rsidRDefault="0003793F" w:rsidP="00131CE3">
      <w:pPr>
        <w:widowControl w:val="0"/>
        <w:jc w:val="both"/>
        <w:rPr>
          <w:sz w:val="22"/>
          <w:szCs w:val="22"/>
          <w:lang w:val="sr-Latn-ME"/>
        </w:rPr>
      </w:pPr>
    </w:p>
    <w:p w14:paraId="726FD572" w14:textId="77777777" w:rsidR="00C37FD7" w:rsidRPr="00E525FC" w:rsidRDefault="00C37FD7" w:rsidP="00131CE3">
      <w:pPr>
        <w:widowControl w:val="0"/>
        <w:jc w:val="both"/>
        <w:rPr>
          <w:sz w:val="22"/>
          <w:szCs w:val="22"/>
          <w:lang w:val="sr-Latn-ME"/>
        </w:rPr>
      </w:pPr>
    </w:p>
    <w:p w14:paraId="475C763E" w14:textId="77777777" w:rsidR="00411B4B" w:rsidRPr="00E525FC" w:rsidRDefault="00411B4B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3. </w:t>
      </w:r>
      <w:r w:rsidR="00F5167F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FARMACEUTSKI OBLIK</w:t>
      </w:r>
      <w:r w:rsidR="009F2D23" w:rsidRPr="00E525FC">
        <w:rPr>
          <w:b/>
          <w:bCs/>
          <w:sz w:val="22"/>
          <w:szCs w:val="22"/>
          <w:lang w:val="sr-Latn-ME"/>
        </w:rPr>
        <w:t xml:space="preserve"> </w:t>
      </w:r>
    </w:p>
    <w:p w14:paraId="4130FDDE" w14:textId="77777777" w:rsidR="00411B4B" w:rsidRPr="00E525FC" w:rsidRDefault="00411B4B" w:rsidP="00131CE3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AA44A97" w14:textId="3E27A122" w:rsidR="002527F5" w:rsidRPr="00E525FC" w:rsidRDefault="006026FB" w:rsidP="00131CE3">
      <w:pPr>
        <w:widowControl w:val="0"/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>Film tableta.</w:t>
      </w:r>
    </w:p>
    <w:p w14:paraId="7E46CFB1" w14:textId="17D4A976" w:rsidR="006026FB" w:rsidRPr="00E525FC" w:rsidRDefault="00985A6D" w:rsidP="00131CE3">
      <w:pPr>
        <w:widowControl w:val="0"/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>Bijela tableta u obliku kapsule</w:t>
      </w:r>
      <w:r w:rsidR="006026FB" w:rsidRPr="00E525FC">
        <w:rPr>
          <w:bCs/>
          <w:sz w:val="22"/>
          <w:szCs w:val="22"/>
          <w:lang w:val="sr-Latn-ME"/>
        </w:rPr>
        <w:t xml:space="preserve">, s utisnutom oznakom </w:t>
      </w:r>
      <w:r w:rsidR="0055541C" w:rsidRPr="00E525FC">
        <w:rPr>
          <w:bCs/>
          <w:sz w:val="22"/>
          <w:szCs w:val="22"/>
          <w:lang w:val="sr-Latn-ME"/>
        </w:rPr>
        <w:t>„</w:t>
      </w:r>
      <w:r w:rsidR="006026FB" w:rsidRPr="00E525FC">
        <w:rPr>
          <w:bCs/>
          <w:sz w:val="22"/>
          <w:szCs w:val="22"/>
          <w:lang w:val="sr-Latn-ME"/>
        </w:rPr>
        <w:t>RPR 202” na jednoj strani.</w:t>
      </w:r>
    </w:p>
    <w:p w14:paraId="0F880338" w14:textId="4721FD5C" w:rsidR="00EC2532" w:rsidRPr="00E525FC" w:rsidRDefault="00EC2532" w:rsidP="00390072">
      <w:pPr>
        <w:widowControl w:val="0"/>
        <w:rPr>
          <w:bCs/>
          <w:sz w:val="22"/>
          <w:szCs w:val="22"/>
          <w:lang w:val="sr-Latn-ME"/>
        </w:rPr>
      </w:pPr>
    </w:p>
    <w:p w14:paraId="7E018630" w14:textId="77777777" w:rsidR="00390072" w:rsidRPr="00E525FC" w:rsidRDefault="00390072" w:rsidP="00390072">
      <w:pPr>
        <w:widowControl w:val="0"/>
        <w:rPr>
          <w:bCs/>
          <w:sz w:val="22"/>
          <w:szCs w:val="22"/>
          <w:lang w:val="sr-Latn-ME"/>
        </w:rPr>
      </w:pPr>
    </w:p>
    <w:p w14:paraId="6FF03F73" w14:textId="77777777" w:rsidR="00411B4B" w:rsidRPr="00E525FC" w:rsidRDefault="00411B4B" w:rsidP="00390072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4.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KLINIČKI PODACI</w:t>
      </w:r>
    </w:p>
    <w:p w14:paraId="6EBF233F" w14:textId="77777777" w:rsidR="00CD6F02" w:rsidRPr="00E525FC" w:rsidRDefault="00CD6F02" w:rsidP="00390072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5B82D7C" w14:textId="77777777" w:rsidR="00411B4B" w:rsidRPr="00E525FC" w:rsidRDefault="00411B4B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4.1.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Terapijske indikacije</w:t>
      </w:r>
    </w:p>
    <w:p w14:paraId="4BF7F61C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2A979E6" w14:textId="2FF67415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E525FC">
        <w:rPr>
          <w:bCs/>
          <w:sz w:val="22"/>
          <w:szCs w:val="22"/>
          <w:lang w:val="sr-Latn-ME"/>
        </w:rPr>
        <w:t>Rilutek</w:t>
      </w:r>
      <w:proofErr w:type="spellEnd"/>
      <w:r w:rsidRPr="00E525FC">
        <w:rPr>
          <w:bCs/>
          <w:sz w:val="22"/>
          <w:szCs w:val="22"/>
          <w:lang w:val="sr-Latn-ME"/>
        </w:rPr>
        <w:t xml:space="preserve"> je </w:t>
      </w:r>
      <w:proofErr w:type="spellStart"/>
      <w:r w:rsidRPr="00E525FC">
        <w:rPr>
          <w:bCs/>
          <w:sz w:val="22"/>
          <w:szCs w:val="22"/>
          <w:lang w:val="sr-Latn-ME"/>
        </w:rPr>
        <w:t>indikovan</w:t>
      </w:r>
      <w:proofErr w:type="spellEnd"/>
      <w:r w:rsidRPr="00E525FC">
        <w:rPr>
          <w:bCs/>
          <w:sz w:val="22"/>
          <w:szCs w:val="22"/>
          <w:lang w:val="sr-Latn-ME"/>
        </w:rPr>
        <w:t xml:space="preserve"> za produžetak života ili </w:t>
      </w:r>
      <w:proofErr w:type="spellStart"/>
      <w:r w:rsidRPr="00E525FC">
        <w:rPr>
          <w:bCs/>
          <w:sz w:val="22"/>
          <w:szCs w:val="22"/>
          <w:lang w:val="sr-Latn-ME"/>
        </w:rPr>
        <w:t>vremena</w:t>
      </w:r>
      <w:proofErr w:type="spellEnd"/>
      <w:r w:rsidRPr="00E525FC">
        <w:rPr>
          <w:bCs/>
          <w:sz w:val="22"/>
          <w:szCs w:val="22"/>
          <w:lang w:val="sr-Latn-ME"/>
        </w:rPr>
        <w:t xml:space="preserve"> do </w:t>
      </w:r>
      <w:r w:rsidR="00BA5E1C" w:rsidRPr="00E525FC">
        <w:rPr>
          <w:bCs/>
          <w:sz w:val="22"/>
          <w:szCs w:val="22"/>
          <w:lang w:val="sr-Latn-ME"/>
        </w:rPr>
        <w:t xml:space="preserve">uvođenja </w:t>
      </w:r>
      <w:r w:rsidRPr="00E525FC">
        <w:rPr>
          <w:bCs/>
          <w:sz w:val="22"/>
          <w:szCs w:val="22"/>
          <w:lang w:val="sr-Latn-ME"/>
        </w:rPr>
        <w:t xml:space="preserve">mehaničke ventilacije kod pacijenata sa </w:t>
      </w:r>
      <w:proofErr w:type="spellStart"/>
      <w:r w:rsidRPr="00E525FC">
        <w:rPr>
          <w:bCs/>
          <w:sz w:val="22"/>
          <w:szCs w:val="22"/>
          <w:lang w:val="sr-Latn-ME"/>
        </w:rPr>
        <w:t>amiotrofičnom</w:t>
      </w:r>
      <w:proofErr w:type="spellEnd"/>
      <w:r w:rsidRPr="00E525FC">
        <w:rPr>
          <w:bCs/>
          <w:sz w:val="22"/>
          <w:szCs w:val="22"/>
          <w:lang w:val="sr-Latn-ME"/>
        </w:rPr>
        <w:t xml:space="preserve"> lateralnom sklerozom (ALS).</w:t>
      </w:r>
    </w:p>
    <w:p w14:paraId="1CD01083" w14:textId="77777777" w:rsidR="00965806" w:rsidRPr="00E525FC" w:rsidRDefault="00965806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B62B58" w14:textId="5475BF66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 xml:space="preserve">Klinička ispitivanja su pokazala da </w:t>
      </w:r>
      <w:proofErr w:type="spellStart"/>
      <w:r w:rsidRPr="00E525FC">
        <w:rPr>
          <w:bCs/>
          <w:sz w:val="22"/>
          <w:szCs w:val="22"/>
          <w:lang w:val="sr-Latn-ME"/>
        </w:rPr>
        <w:t>Rilutek</w:t>
      </w:r>
      <w:proofErr w:type="spellEnd"/>
      <w:r w:rsidRPr="00E525FC">
        <w:rPr>
          <w:bCs/>
          <w:sz w:val="22"/>
          <w:szCs w:val="22"/>
          <w:lang w:val="sr-Latn-ME"/>
        </w:rPr>
        <w:t xml:space="preserve"> produžava preživljavanje pacijenata sa ALS (vidjeti dio 5.1). Preživljavanje je definisano kao </w:t>
      </w:r>
      <w:r w:rsidR="00BC520B" w:rsidRPr="00E525FC">
        <w:rPr>
          <w:bCs/>
          <w:sz w:val="22"/>
          <w:szCs w:val="22"/>
          <w:lang w:val="sr-Latn-ME"/>
        </w:rPr>
        <w:t xml:space="preserve">razdoblje koje su </w:t>
      </w:r>
      <w:r w:rsidRPr="00E525FC">
        <w:rPr>
          <w:bCs/>
          <w:sz w:val="22"/>
          <w:szCs w:val="22"/>
          <w:lang w:val="sr-Latn-ME"/>
        </w:rPr>
        <w:t>pacijent</w:t>
      </w:r>
      <w:r w:rsidR="006F24A5" w:rsidRPr="00E525FC">
        <w:rPr>
          <w:bCs/>
          <w:sz w:val="22"/>
          <w:szCs w:val="22"/>
          <w:lang w:val="sr-Latn-ME"/>
        </w:rPr>
        <w:t>i</w:t>
      </w:r>
      <w:r w:rsidRPr="00E525FC">
        <w:rPr>
          <w:bCs/>
          <w:sz w:val="22"/>
          <w:szCs w:val="22"/>
          <w:lang w:val="sr-Latn-ME"/>
        </w:rPr>
        <w:t xml:space="preserve"> </w:t>
      </w:r>
      <w:r w:rsidR="00BC520B" w:rsidRPr="00E525FC">
        <w:rPr>
          <w:bCs/>
          <w:sz w:val="22"/>
          <w:szCs w:val="22"/>
          <w:lang w:val="sr-Latn-ME"/>
        </w:rPr>
        <w:t>preživjeli</w:t>
      </w:r>
      <w:r w:rsidRPr="00E525FC">
        <w:rPr>
          <w:bCs/>
          <w:sz w:val="22"/>
          <w:szCs w:val="22"/>
          <w:lang w:val="sr-Latn-ME"/>
        </w:rPr>
        <w:t xml:space="preserve">, </w:t>
      </w:r>
      <w:proofErr w:type="spellStart"/>
      <w:r w:rsidRPr="00E525FC">
        <w:rPr>
          <w:bCs/>
          <w:sz w:val="22"/>
          <w:szCs w:val="22"/>
          <w:lang w:val="sr-Latn-ME"/>
        </w:rPr>
        <w:t>neintubirani</w:t>
      </w:r>
      <w:proofErr w:type="spellEnd"/>
      <w:r w:rsidRPr="00E525FC">
        <w:rPr>
          <w:bCs/>
          <w:sz w:val="22"/>
          <w:szCs w:val="22"/>
          <w:lang w:val="sr-Latn-ME"/>
        </w:rPr>
        <w:t xml:space="preserve"> za mehaničku ventilaciju i bez </w:t>
      </w:r>
      <w:proofErr w:type="spellStart"/>
      <w:r w:rsidRPr="00E525FC">
        <w:rPr>
          <w:bCs/>
          <w:sz w:val="22"/>
          <w:szCs w:val="22"/>
          <w:lang w:val="sr-Latn-ME"/>
        </w:rPr>
        <w:t>traheotomije</w:t>
      </w:r>
      <w:proofErr w:type="spellEnd"/>
      <w:r w:rsidRPr="00E525FC">
        <w:rPr>
          <w:bCs/>
          <w:sz w:val="22"/>
          <w:szCs w:val="22"/>
          <w:lang w:val="sr-Latn-ME"/>
        </w:rPr>
        <w:t>.</w:t>
      </w:r>
    </w:p>
    <w:p w14:paraId="79A9B10D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 xml:space="preserve">Nema dokaza da </w:t>
      </w:r>
      <w:proofErr w:type="spellStart"/>
      <w:r w:rsidRPr="00E525FC">
        <w:rPr>
          <w:bCs/>
          <w:sz w:val="22"/>
          <w:szCs w:val="22"/>
          <w:lang w:val="sr-Latn-ME"/>
        </w:rPr>
        <w:t>Rilutek</w:t>
      </w:r>
      <w:proofErr w:type="spellEnd"/>
      <w:r w:rsidRPr="00E525FC">
        <w:rPr>
          <w:bCs/>
          <w:sz w:val="22"/>
          <w:szCs w:val="22"/>
          <w:lang w:val="sr-Latn-ME"/>
        </w:rPr>
        <w:t xml:space="preserve"> ispoljava terapijski efekat na motoričku funkciju, funkciju pluća, </w:t>
      </w:r>
      <w:proofErr w:type="spellStart"/>
      <w:r w:rsidRPr="00E525FC">
        <w:rPr>
          <w:bCs/>
          <w:sz w:val="22"/>
          <w:szCs w:val="22"/>
          <w:lang w:val="sr-Latn-ME"/>
        </w:rPr>
        <w:t>fascikulacije</w:t>
      </w:r>
      <w:proofErr w:type="spellEnd"/>
      <w:r w:rsidRPr="00E525FC">
        <w:rPr>
          <w:bCs/>
          <w:sz w:val="22"/>
          <w:szCs w:val="22"/>
          <w:lang w:val="sr-Latn-ME"/>
        </w:rPr>
        <w:t xml:space="preserve">, mišićnu snagu i motoričke simptome. </w:t>
      </w:r>
      <w:proofErr w:type="spellStart"/>
      <w:r w:rsidRPr="00E525FC">
        <w:rPr>
          <w:bCs/>
          <w:sz w:val="22"/>
          <w:szCs w:val="22"/>
          <w:lang w:val="sr-Latn-ME"/>
        </w:rPr>
        <w:t>Rilutek</w:t>
      </w:r>
      <w:proofErr w:type="spellEnd"/>
      <w:r w:rsidRPr="00E525FC">
        <w:rPr>
          <w:bCs/>
          <w:sz w:val="22"/>
          <w:szCs w:val="22"/>
          <w:lang w:val="sr-Latn-ME"/>
        </w:rPr>
        <w:t xml:space="preserve"> se nije pokazao efikasnim u kasnim fazama ALS.</w:t>
      </w:r>
    </w:p>
    <w:p w14:paraId="7DFA27A5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CFE2C0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 xml:space="preserve">Bezbjednost i efikasnost lijeka </w:t>
      </w:r>
      <w:proofErr w:type="spellStart"/>
      <w:r w:rsidRPr="00E525FC">
        <w:rPr>
          <w:bCs/>
          <w:sz w:val="22"/>
          <w:szCs w:val="22"/>
          <w:lang w:val="sr-Latn-ME"/>
        </w:rPr>
        <w:t>Rilutek</w:t>
      </w:r>
      <w:proofErr w:type="spellEnd"/>
      <w:r w:rsidRPr="00E525FC">
        <w:rPr>
          <w:bCs/>
          <w:sz w:val="22"/>
          <w:szCs w:val="22"/>
          <w:lang w:val="sr-Latn-ME"/>
        </w:rPr>
        <w:t xml:space="preserve"> je ispitivana samo na ALS. Stoga, </w:t>
      </w:r>
      <w:proofErr w:type="spellStart"/>
      <w:r w:rsidRPr="00E525FC">
        <w:rPr>
          <w:bCs/>
          <w:sz w:val="22"/>
          <w:szCs w:val="22"/>
          <w:lang w:val="sr-Latn-ME"/>
        </w:rPr>
        <w:t>Rilutek</w:t>
      </w:r>
      <w:proofErr w:type="spellEnd"/>
      <w:r w:rsidRPr="00E525FC">
        <w:rPr>
          <w:bCs/>
          <w:sz w:val="22"/>
          <w:szCs w:val="22"/>
          <w:lang w:val="sr-Latn-ME"/>
        </w:rPr>
        <w:t xml:space="preserve"> ne treba koristiti kod pacijenata sa bilo kojim drugim oblikom bolesti motornog </w:t>
      </w:r>
      <w:proofErr w:type="spellStart"/>
      <w:r w:rsidRPr="00E525FC">
        <w:rPr>
          <w:bCs/>
          <w:sz w:val="22"/>
          <w:szCs w:val="22"/>
          <w:lang w:val="sr-Latn-ME"/>
        </w:rPr>
        <w:t>neurona</w:t>
      </w:r>
      <w:proofErr w:type="spellEnd"/>
      <w:r w:rsidRPr="00E525FC">
        <w:rPr>
          <w:bCs/>
          <w:sz w:val="22"/>
          <w:szCs w:val="22"/>
          <w:lang w:val="sr-Latn-ME"/>
        </w:rPr>
        <w:t>.</w:t>
      </w:r>
    </w:p>
    <w:p w14:paraId="423A9254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FEA9EE" w14:textId="77777777" w:rsidR="00411B4B" w:rsidRPr="00E525FC" w:rsidRDefault="00411B4B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4.2.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Doziranje i način primjene</w:t>
      </w:r>
    </w:p>
    <w:p w14:paraId="61D692A6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9B7CF9" w14:textId="31E743E0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 xml:space="preserve">Terapija lijekom </w:t>
      </w:r>
      <w:proofErr w:type="spellStart"/>
      <w:r w:rsidRPr="00E525FC">
        <w:rPr>
          <w:bCs/>
          <w:sz w:val="22"/>
          <w:szCs w:val="22"/>
          <w:lang w:val="sr-Latn-ME"/>
        </w:rPr>
        <w:t>Rilutek</w:t>
      </w:r>
      <w:proofErr w:type="spellEnd"/>
      <w:r w:rsidRPr="00E525FC">
        <w:rPr>
          <w:bCs/>
          <w:sz w:val="22"/>
          <w:szCs w:val="22"/>
          <w:lang w:val="sr-Latn-ME"/>
        </w:rPr>
        <w:t xml:space="preserve"> treba da bude </w:t>
      </w:r>
      <w:proofErr w:type="spellStart"/>
      <w:r w:rsidR="00FC3A62" w:rsidRPr="00E525FC">
        <w:rPr>
          <w:bCs/>
          <w:sz w:val="22"/>
          <w:szCs w:val="22"/>
          <w:lang w:val="sr-Latn-ME"/>
        </w:rPr>
        <w:t>indikovana</w:t>
      </w:r>
      <w:proofErr w:type="spellEnd"/>
      <w:r w:rsidR="00FC3A62" w:rsidRPr="00E525FC">
        <w:rPr>
          <w:bCs/>
          <w:sz w:val="22"/>
          <w:szCs w:val="22"/>
          <w:lang w:val="sr-Latn-ME"/>
        </w:rPr>
        <w:t xml:space="preserve"> </w:t>
      </w:r>
      <w:r w:rsidRPr="00E525FC">
        <w:rPr>
          <w:bCs/>
          <w:sz w:val="22"/>
          <w:szCs w:val="22"/>
          <w:lang w:val="sr-Latn-ME"/>
        </w:rPr>
        <w:t>od strane ljekara specijaliste sa iskustvom u l</w:t>
      </w:r>
      <w:r w:rsidR="004D763B" w:rsidRPr="00E525FC">
        <w:rPr>
          <w:bCs/>
          <w:sz w:val="22"/>
          <w:szCs w:val="22"/>
          <w:lang w:val="sr-Latn-ME"/>
        </w:rPr>
        <w:t>i</w:t>
      </w:r>
      <w:r w:rsidRPr="00E525FC">
        <w:rPr>
          <w:bCs/>
          <w:sz w:val="22"/>
          <w:szCs w:val="22"/>
          <w:lang w:val="sr-Latn-ME"/>
        </w:rPr>
        <w:t xml:space="preserve">ječenju bolesti motornog </w:t>
      </w:r>
      <w:proofErr w:type="spellStart"/>
      <w:r w:rsidRPr="00E525FC">
        <w:rPr>
          <w:bCs/>
          <w:sz w:val="22"/>
          <w:szCs w:val="22"/>
          <w:lang w:val="sr-Latn-ME"/>
        </w:rPr>
        <w:t>neurona</w:t>
      </w:r>
      <w:proofErr w:type="spellEnd"/>
      <w:r w:rsidRPr="00E525FC">
        <w:rPr>
          <w:bCs/>
          <w:sz w:val="22"/>
          <w:szCs w:val="22"/>
          <w:lang w:val="sr-Latn-ME"/>
        </w:rPr>
        <w:t>.</w:t>
      </w:r>
    </w:p>
    <w:p w14:paraId="6D162CED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BCECFD" w14:textId="77777777" w:rsidR="00452E9D" w:rsidRPr="00E525FC" w:rsidRDefault="00452E9D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E525FC">
        <w:rPr>
          <w:bCs/>
          <w:sz w:val="22"/>
          <w:szCs w:val="22"/>
          <w:u w:val="single"/>
          <w:lang w:val="sr-Latn-ME"/>
        </w:rPr>
        <w:t>Doziranje</w:t>
      </w:r>
    </w:p>
    <w:p w14:paraId="0E23E0AC" w14:textId="443C9A59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Preporučena dnevna doza za odrasle ili starije pacijente je 100 mg (50 mg svakih 12 sati).</w:t>
      </w:r>
    </w:p>
    <w:p w14:paraId="116EF024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Nema značajnog povećanja koristi od veće dnevne doze.</w:t>
      </w:r>
    </w:p>
    <w:p w14:paraId="67FF5DC2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C28568C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>Posebne populacije:</w:t>
      </w:r>
    </w:p>
    <w:p w14:paraId="528D079C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0769C1D8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E525FC">
        <w:rPr>
          <w:i/>
          <w:sz w:val="22"/>
          <w:szCs w:val="22"/>
          <w:lang w:val="sr-Latn-ME"/>
        </w:rPr>
        <w:t xml:space="preserve">Oštećenje funkcije bubrega: </w:t>
      </w:r>
    </w:p>
    <w:p w14:paraId="7F3E2A98" w14:textId="63FA308E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Lijek </w:t>
      </w:r>
      <w:proofErr w:type="spellStart"/>
      <w:r w:rsidRPr="00E525FC">
        <w:rPr>
          <w:sz w:val="22"/>
          <w:szCs w:val="22"/>
          <w:lang w:val="sr-Latn-ME"/>
        </w:rPr>
        <w:t>Rilutek</w:t>
      </w:r>
      <w:proofErr w:type="spellEnd"/>
      <w:r w:rsidRPr="00E525FC">
        <w:rPr>
          <w:sz w:val="22"/>
          <w:szCs w:val="22"/>
          <w:lang w:val="sr-Latn-ME"/>
        </w:rPr>
        <w:t xml:space="preserve"> se ne preporučuje za upotrebu kod pacijenata sa oštećenom bubrežnom funkcijom, jer studije ponovljene doze n</w:t>
      </w:r>
      <w:r w:rsidR="00BD5055" w:rsidRPr="00E525FC">
        <w:rPr>
          <w:sz w:val="22"/>
          <w:szCs w:val="22"/>
          <w:lang w:val="sr-Latn-ME"/>
        </w:rPr>
        <w:t>ijesu</w:t>
      </w:r>
      <w:r w:rsidRPr="00E525FC">
        <w:rPr>
          <w:sz w:val="22"/>
          <w:szCs w:val="22"/>
          <w:lang w:val="sr-Latn-ME"/>
        </w:rPr>
        <w:t xml:space="preserve"> sprovođene u ovoj populaciji (vidjeti dio 4.4).</w:t>
      </w:r>
    </w:p>
    <w:p w14:paraId="0EF51317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6AEA1539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E525FC">
        <w:rPr>
          <w:i/>
          <w:sz w:val="22"/>
          <w:szCs w:val="22"/>
          <w:lang w:val="sr-Latn-ME"/>
        </w:rPr>
        <w:t xml:space="preserve">Stariji pacijenti: </w:t>
      </w:r>
    </w:p>
    <w:p w14:paraId="313D0A91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Na osnovu </w:t>
      </w:r>
      <w:proofErr w:type="spellStart"/>
      <w:r w:rsidRPr="00E525FC">
        <w:rPr>
          <w:sz w:val="22"/>
          <w:szCs w:val="22"/>
          <w:lang w:val="sr-Latn-ME"/>
        </w:rPr>
        <w:t>farmakokinetičkih</w:t>
      </w:r>
      <w:proofErr w:type="spellEnd"/>
      <w:r w:rsidRPr="00E525FC">
        <w:rPr>
          <w:sz w:val="22"/>
          <w:szCs w:val="22"/>
          <w:lang w:val="sr-Latn-ME"/>
        </w:rPr>
        <w:t xml:space="preserve"> podataka, ne postoje posebne instrukcije za upotrebu lijeka </w:t>
      </w:r>
      <w:proofErr w:type="spellStart"/>
      <w:r w:rsidRPr="00E525FC">
        <w:rPr>
          <w:sz w:val="22"/>
          <w:szCs w:val="22"/>
          <w:lang w:val="sr-Latn-ME"/>
        </w:rPr>
        <w:t>Rilutek</w:t>
      </w:r>
      <w:proofErr w:type="spellEnd"/>
      <w:r w:rsidRPr="00E525FC">
        <w:rPr>
          <w:sz w:val="22"/>
          <w:szCs w:val="22"/>
          <w:lang w:val="sr-Latn-ME"/>
        </w:rPr>
        <w:t xml:space="preserve"> u ovoj populaciji.</w:t>
      </w:r>
    </w:p>
    <w:p w14:paraId="0DCB3505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BDBA36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E525FC">
        <w:rPr>
          <w:i/>
          <w:sz w:val="22"/>
          <w:szCs w:val="22"/>
          <w:lang w:val="sr-Latn-ME"/>
        </w:rPr>
        <w:t>Oštećenje funkcije jetre:</w:t>
      </w:r>
    </w:p>
    <w:p w14:paraId="7DE5CA5C" w14:textId="6EC58E4A" w:rsidR="00FC3A62" w:rsidRPr="00E525FC" w:rsidRDefault="00FC3A62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V</w:t>
      </w:r>
      <w:r w:rsidR="006026FB" w:rsidRPr="00E525FC">
        <w:rPr>
          <w:sz w:val="22"/>
          <w:szCs w:val="22"/>
          <w:lang w:val="sr-Latn-ME"/>
        </w:rPr>
        <w:t>idjeti djelove 4.3, 4.4 i 5.2.</w:t>
      </w:r>
    </w:p>
    <w:p w14:paraId="7C9A5E8A" w14:textId="480F8371" w:rsidR="00443873" w:rsidRPr="00E525FC" w:rsidRDefault="00443873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57D38E6" w14:textId="77777777" w:rsidR="00443873" w:rsidRPr="00E525FC" w:rsidRDefault="00443873" w:rsidP="00443873">
      <w:pPr>
        <w:widowControl w:val="0"/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E525FC">
        <w:rPr>
          <w:i/>
          <w:sz w:val="22"/>
          <w:szCs w:val="22"/>
          <w:lang w:val="sr-Latn-ME"/>
        </w:rPr>
        <w:t>Pedijatrijska populacija</w:t>
      </w:r>
    </w:p>
    <w:p w14:paraId="16325C4C" w14:textId="7B575ED4" w:rsidR="00443873" w:rsidRPr="00E525FC" w:rsidRDefault="00443873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 xml:space="preserve">Zbog nedostatka podataka o bezbjednosti i efikasnosti, lijek </w:t>
      </w:r>
      <w:proofErr w:type="spellStart"/>
      <w:r w:rsidRPr="00E525FC">
        <w:rPr>
          <w:bCs/>
          <w:sz w:val="22"/>
          <w:szCs w:val="22"/>
          <w:lang w:val="sr-Latn-ME"/>
        </w:rPr>
        <w:t>Rilutek</w:t>
      </w:r>
      <w:proofErr w:type="spellEnd"/>
      <w:r w:rsidRPr="00E525FC">
        <w:rPr>
          <w:bCs/>
          <w:sz w:val="22"/>
          <w:szCs w:val="22"/>
          <w:lang w:val="sr-Latn-ME"/>
        </w:rPr>
        <w:t xml:space="preserve"> se ne preporučuje za primjenu kod djece, kod bilo kog </w:t>
      </w:r>
      <w:proofErr w:type="spellStart"/>
      <w:r w:rsidRPr="00E525FC">
        <w:rPr>
          <w:bCs/>
          <w:sz w:val="22"/>
          <w:szCs w:val="22"/>
          <w:lang w:val="sr-Latn-ME"/>
        </w:rPr>
        <w:t>neurodegenerativnog</w:t>
      </w:r>
      <w:proofErr w:type="spellEnd"/>
      <w:r w:rsidRPr="00E525FC">
        <w:rPr>
          <w:bCs/>
          <w:sz w:val="22"/>
          <w:szCs w:val="22"/>
          <w:lang w:val="sr-Latn-ME"/>
        </w:rPr>
        <w:t xml:space="preserve"> oboljenja koje se javlja kod djece i adolescenata.</w:t>
      </w:r>
    </w:p>
    <w:p w14:paraId="3A922820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5A9A1A5" w14:textId="04EE3D1A" w:rsidR="00452E9D" w:rsidRPr="00E525FC" w:rsidRDefault="00452E9D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u w:val="single"/>
          <w:lang w:val="sr-Latn-ME"/>
        </w:rPr>
        <w:t>Način primjene</w:t>
      </w:r>
    </w:p>
    <w:p w14:paraId="1CEEFE34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Peroralna</w:t>
      </w:r>
      <w:proofErr w:type="spellEnd"/>
      <w:r w:rsidRPr="00E525FC">
        <w:rPr>
          <w:sz w:val="22"/>
          <w:szCs w:val="22"/>
          <w:lang w:val="sr-Latn-ME"/>
        </w:rPr>
        <w:t xml:space="preserve"> primjena.</w:t>
      </w:r>
    </w:p>
    <w:p w14:paraId="37952609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AB3713" w14:textId="77777777" w:rsidR="00411B4B" w:rsidRPr="00E525FC" w:rsidRDefault="00411B4B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4.3.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proofErr w:type="spellStart"/>
      <w:r w:rsidRPr="00E525FC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4E6C7864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7B2BEC" w14:textId="2ECF379A" w:rsidR="00D81811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Preosjetljivost na aktivnu supstancu ili bilo koju pomoćnu supstancu koja ulazi u sastav lijeka</w:t>
      </w:r>
      <w:r w:rsidR="00593689" w:rsidRPr="00E525FC">
        <w:rPr>
          <w:sz w:val="22"/>
          <w:szCs w:val="22"/>
          <w:lang w:val="sr-Latn-ME"/>
        </w:rPr>
        <w:t>, navedenih u dijelu 6.1</w:t>
      </w:r>
      <w:r w:rsidRPr="00E525FC">
        <w:rPr>
          <w:sz w:val="22"/>
          <w:szCs w:val="22"/>
          <w:lang w:val="sr-Latn-ME"/>
        </w:rPr>
        <w:t>.</w:t>
      </w:r>
    </w:p>
    <w:p w14:paraId="7FC5164D" w14:textId="6AA06E2F" w:rsidR="00D81811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shd w:val="clear" w:color="auto" w:fill="FFFFFF"/>
          <w:lang w:val="sr-Latn-ME"/>
        </w:rPr>
      </w:pPr>
      <w:r w:rsidRPr="00E525FC">
        <w:rPr>
          <w:sz w:val="22"/>
          <w:szCs w:val="22"/>
          <w:lang w:val="sr-Latn-ME"/>
        </w:rPr>
        <w:t xml:space="preserve">Oboljenje jetre ili vrijednosti </w:t>
      </w:r>
      <w:proofErr w:type="spellStart"/>
      <w:r w:rsidRPr="00E525FC">
        <w:rPr>
          <w:sz w:val="22"/>
          <w:szCs w:val="22"/>
          <w:lang w:val="sr-Latn-ME"/>
        </w:rPr>
        <w:t>transaminaza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r w:rsidRPr="00E525FC">
        <w:rPr>
          <w:sz w:val="22"/>
          <w:szCs w:val="22"/>
          <w:shd w:val="clear" w:color="auto" w:fill="FFFFFF"/>
          <w:lang w:val="sr-Latn-ME"/>
        </w:rPr>
        <w:t>3 puta veće u odnosu na</w:t>
      </w:r>
      <w:r w:rsidR="00593689" w:rsidRPr="00E525FC">
        <w:rPr>
          <w:sz w:val="22"/>
          <w:szCs w:val="22"/>
          <w:shd w:val="clear" w:color="auto" w:fill="FFFFFF"/>
          <w:lang w:val="sr-Latn-ME"/>
        </w:rPr>
        <w:t xml:space="preserve"> gornju granicu</w:t>
      </w:r>
      <w:r w:rsidRPr="00E525FC">
        <w:rPr>
          <w:sz w:val="22"/>
          <w:szCs w:val="22"/>
          <w:shd w:val="clear" w:color="auto" w:fill="FFFFFF"/>
          <w:lang w:val="sr-Latn-ME"/>
        </w:rPr>
        <w:t xml:space="preserve"> normaln</w:t>
      </w:r>
      <w:r w:rsidR="00593689" w:rsidRPr="00E525FC">
        <w:rPr>
          <w:sz w:val="22"/>
          <w:szCs w:val="22"/>
          <w:shd w:val="clear" w:color="auto" w:fill="FFFFFF"/>
          <w:lang w:val="sr-Latn-ME"/>
        </w:rPr>
        <w:t>ih</w:t>
      </w:r>
      <w:r w:rsidRPr="00E525FC">
        <w:rPr>
          <w:sz w:val="22"/>
          <w:szCs w:val="22"/>
          <w:shd w:val="clear" w:color="auto" w:fill="FFFFFF"/>
          <w:lang w:val="sr-Latn-ME"/>
        </w:rPr>
        <w:t xml:space="preserve"> vrijednosti.</w:t>
      </w:r>
    </w:p>
    <w:p w14:paraId="23E11E0A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Trudnoća ili dojenje.</w:t>
      </w:r>
    </w:p>
    <w:p w14:paraId="0E4A34AF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537FC7" w14:textId="77777777" w:rsidR="00411B4B" w:rsidRPr="00E525FC" w:rsidRDefault="00411B4B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4.4.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CB984A8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6CDB0697" w14:textId="314B3192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>Oštećenje jetre</w:t>
      </w:r>
    </w:p>
    <w:p w14:paraId="2998AE17" w14:textId="31DB9EEC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Pr="00E525FC">
        <w:rPr>
          <w:sz w:val="22"/>
          <w:szCs w:val="22"/>
          <w:lang w:val="sr-Latn-ME"/>
        </w:rPr>
        <w:t xml:space="preserve"> treba propisivati uz oprez pacijentima koji su imali poremećaj funkcije jetre ili pacijentima sa blago uvećanim nivoima serumskih </w:t>
      </w:r>
      <w:proofErr w:type="spellStart"/>
      <w:r w:rsidRPr="00E525FC">
        <w:rPr>
          <w:sz w:val="22"/>
          <w:szCs w:val="22"/>
          <w:lang w:val="sr-Latn-ME"/>
        </w:rPr>
        <w:t>transaminaza</w:t>
      </w:r>
      <w:proofErr w:type="spellEnd"/>
      <w:r w:rsidRPr="00E525FC">
        <w:rPr>
          <w:sz w:val="22"/>
          <w:szCs w:val="22"/>
          <w:lang w:val="sr-Latn-ME"/>
        </w:rPr>
        <w:t xml:space="preserve"> (ALT/SGPT; AST/SGOT do 3 puta veće od gornje granice normalne vrijednosti (ULN</w:t>
      </w:r>
      <w:r w:rsidR="00A02578" w:rsidRPr="00E525FC">
        <w:rPr>
          <w:sz w:val="22"/>
          <w:szCs w:val="22"/>
          <w:lang w:val="sr-Latn-ME"/>
        </w:rPr>
        <w:t xml:space="preserve"> – engl. </w:t>
      </w:r>
      <w:proofErr w:type="spellStart"/>
      <w:r w:rsidR="00A02578" w:rsidRPr="00E525FC">
        <w:rPr>
          <w:i/>
          <w:sz w:val="22"/>
          <w:szCs w:val="22"/>
          <w:lang w:val="sr-Latn-ME"/>
        </w:rPr>
        <w:t>upper</w:t>
      </w:r>
      <w:proofErr w:type="spellEnd"/>
      <w:r w:rsidR="00A02578" w:rsidRPr="00E525FC">
        <w:rPr>
          <w:i/>
          <w:sz w:val="22"/>
          <w:szCs w:val="22"/>
          <w:lang w:val="sr-Latn-ME"/>
        </w:rPr>
        <w:t xml:space="preserve"> limit </w:t>
      </w:r>
      <w:proofErr w:type="spellStart"/>
      <w:r w:rsidR="00A02578" w:rsidRPr="00E525FC">
        <w:rPr>
          <w:i/>
          <w:sz w:val="22"/>
          <w:szCs w:val="22"/>
          <w:lang w:val="sr-Latn-ME"/>
        </w:rPr>
        <w:t>of</w:t>
      </w:r>
      <w:proofErr w:type="spellEnd"/>
      <w:r w:rsidR="00A02578" w:rsidRPr="00E525FC">
        <w:rPr>
          <w:i/>
          <w:sz w:val="22"/>
          <w:szCs w:val="22"/>
          <w:lang w:val="sr-Latn-ME"/>
        </w:rPr>
        <w:t xml:space="preserve"> </w:t>
      </w:r>
      <w:proofErr w:type="spellStart"/>
      <w:r w:rsidR="00A02578" w:rsidRPr="00E525FC">
        <w:rPr>
          <w:i/>
          <w:sz w:val="22"/>
          <w:szCs w:val="22"/>
          <w:lang w:val="sr-Latn-ME"/>
        </w:rPr>
        <w:t>the</w:t>
      </w:r>
      <w:proofErr w:type="spellEnd"/>
      <w:r w:rsidR="00A02578" w:rsidRPr="00E525FC">
        <w:rPr>
          <w:i/>
          <w:sz w:val="22"/>
          <w:szCs w:val="22"/>
          <w:lang w:val="sr-Latn-ME"/>
        </w:rPr>
        <w:t xml:space="preserve"> </w:t>
      </w:r>
      <w:proofErr w:type="spellStart"/>
      <w:r w:rsidR="00A02578" w:rsidRPr="00E525FC">
        <w:rPr>
          <w:i/>
          <w:sz w:val="22"/>
          <w:szCs w:val="22"/>
          <w:lang w:val="sr-Latn-ME"/>
        </w:rPr>
        <w:t>normal</w:t>
      </w:r>
      <w:proofErr w:type="spellEnd"/>
      <w:r w:rsidR="00A02578" w:rsidRPr="00E525FC">
        <w:rPr>
          <w:i/>
          <w:sz w:val="22"/>
          <w:szCs w:val="22"/>
          <w:lang w:val="sr-Latn-ME"/>
        </w:rPr>
        <w:t xml:space="preserve"> </w:t>
      </w:r>
      <w:proofErr w:type="spellStart"/>
      <w:r w:rsidR="00A02578" w:rsidRPr="00E525FC">
        <w:rPr>
          <w:i/>
          <w:sz w:val="22"/>
          <w:szCs w:val="22"/>
          <w:lang w:val="sr-Latn-ME"/>
        </w:rPr>
        <w:t>range</w:t>
      </w:r>
      <w:proofErr w:type="spellEnd"/>
      <w:r w:rsidRPr="00E525FC">
        <w:rPr>
          <w:sz w:val="22"/>
          <w:szCs w:val="22"/>
          <w:lang w:val="sr-Latn-ME"/>
        </w:rPr>
        <w:t xml:space="preserve">)), </w:t>
      </w:r>
      <w:proofErr w:type="spellStart"/>
      <w:r w:rsidRPr="00E525FC">
        <w:rPr>
          <w:sz w:val="22"/>
          <w:szCs w:val="22"/>
          <w:lang w:val="sr-Latn-ME"/>
        </w:rPr>
        <w:t>bilirubina</w:t>
      </w:r>
      <w:proofErr w:type="spellEnd"/>
      <w:r w:rsidRPr="00E525FC">
        <w:rPr>
          <w:sz w:val="22"/>
          <w:szCs w:val="22"/>
          <w:lang w:val="sr-Latn-ME"/>
        </w:rPr>
        <w:t xml:space="preserve"> i/ili gama-</w:t>
      </w:r>
      <w:proofErr w:type="spellStart"/>
      <w:r w:rsidRPr="00E525FC">
        <w:rPr>
          <w:sz w:val="22"/>
          <w:szCs w:val="22"/>
          <w:lang w:val="sr-Latn-ME"/>
        </w:rPr>
        <w:t>glutamil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transferaze</w:t>
      </w:r>
      <w:proofErr w:type="spellEnd"/>
      <w:r w:rsidRPr="00E525FC">
        <w:rPr>
          <w:sz w:val="22"/>
          <w:szCs w:val="22"/>
          <w:lang w:val="sr-Latn-ME"/>
        </w:rPr>
        <w:t xml:space="preserve"> (GGT). Povišene vrijednosti više testova funkcije jetre </w:t>
      </w:r>
      <w:r w:rsidR="00EC6848" w:rsidRPr="00E525FC">
        <w:rPr>
          <w:sz w:val="22"/>
          <w:szCs w:val="22"/>
          <w:lang w:val="sr-Latn-ME"/>
        </w:rPr>
        <w:t xml:space="preserve">prije početka liječenja </w:t>
      </w:r>
      <w:r w:rsidRPr="00E525FC">
        <w:rPr>
          <w:sz w:val="22"/>
          <w:szCs w:val="22"/>
          <w:lang w:val="sr-Latn-ME"/>
        </w:rPr>
        <w:t xml:space="preserve">(naročito povišeni </w:t>
      </w:r>
      <w:proofErr w:type="spellStart"/>
      <w:r w:rsidRPr="00E525FC">
        <w:rPr>
          <w:sz w:val="22"/>
          <w:szCs w:val="22"/>
          <w:lang w:val="sr-Latn-ME"/>
        </w:rPr>
        <w:t>bilirubin</w:t>
      </w:r>
      <w:proofErr w:type="spellEnd"/>
      <w:r w:rsidRPr="00E525FC">
        <w:rPr>
          <w:sz w:val="22"/>
          <w:szCs w:val="22"/>
          <w:lang w:val="sr-Latn-ME"/>
        </w:rPr>
        <w:t xml:space="preserve">) treba da isključe korišćenje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(vidjeti dio 4.8).</w:t>
      </w:r>
    </w:p>
    <w:p w14:paraId="615B7D19" w14:textId="211E26BE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Zbog rizika od hepatitisa, serumske </w:t>
      </w:r>
      <w:proofErr w:type="spellStart"/>
      <w:r w:rsidRPr="00E525FC">
        <w:rPr>
          <w:sz w:val="22"/>
          <w:szCs w:val="22"/>
          <w:lang w:val="sr-Latn-ME"/>
        </w:rPr>
        <w:t>transaminaze</w:t>
      </w:r>
      <w:proofErr w:type="spellEnd"/>
      <w:r w:rsidRPr="00E525FC">
        <w:rPr>
          <w:sz w:val="22"/>
          <w:szCs w:val="22"/>
          <w:lang w:val="sr-Latn-ME"/>
        </w:rPr>
        <w:t xml:space="preserve">, uključujući ALT, treba mjeriti prije i za vrijeme terapije </w:t>
      </w:r>
      <w:proofErr w:type="spellStart"/>
      <w:r w:rsidRPr="00E525FC">
        <w:rPr>
          <w:sz w:val="22"/>
          <w:szCs w:val="22"/>
          <w:lang w:val="sr-Latn-ME"/>
        </w:rPr>
        <w:t>riluzolom</w:t>
      </w:r>
      <w:proofErr w:type="spellEnd"/>
      <w:r w:rsidRPr="00E525FC">
        <w:rPr>
          <w:sz w:val="22"/>
          <w:szCs w:val="22"/>
          <w:lang w:val="sr-Latn-ME"/>
        </w:rPr>
        <w:t>. ALT treba mjeriti svakog mjeseca tokom prva 3 mjeseca l</w:t>
      </w:r>
      <w:r w:rsidR="00AC0C8B" w:rsidRPr="00E525FC">
        <w:rPr>
          <w:sz w:val="22"/>
          <w:szCs w:val="22"/>
          <w:lang w:val="sr-Latn-ME"/>
        </w:rPr>
        <w:t>i</w:t>
      </w:r>
      <w:r w:rsidRPr="00E525FC">
        <w:rPr>
          <w:sz w:val="22"/>
          <w:szCs w:val="22"/>
          <w:lang w:val="sr-Latn-ME"/>
        </w:rPr>
        <w:t>ječenja, svaka 3 mjeseca do kraja prve godine, a zatim periodično. ALT t</w:t>
      </w:r>
      <w:r w:rsidR="00AC0C8B" w:rsidRPr="00E525FC">
        <w:rPr>
          <w:sz w:val="22"/>
          <w:szCs w:val="22"/>
          <w:lang w:val="sr-Latn-ME"/>
        </w:rPr>
        <w:t>r</w:t>
      </w:r>
      <w:r w:rsidRPr="00E525FC">
        <w:rPr>
          <w:sz w:val="22"/>
          <w:szCs w:val="22"/>
          <w:lang w:val="sr-Latn-ME"/>
        </w:rPr>
        <w:t>eba mjeriti češće kod pacijenata kod kojih se registruju povišeni nivoi ALT.</w:t>
      </w:r>
    </w:p>
    <w:p w14:paraId="0DDB12A2" w14:textId="7310B53C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Terapiju </w:t>
      </w:r>
      <w:proofErr w:type="spellStart"/>
      <w:r w:rsidRPr="00E525FC">
        <w:rPr>
          <w:sz w:val="22"/>
          <w:szCs w:val="22"/>
          <w:lang w:val="sr-Latn-ME"/>
        </w:rPr>
        <w:t>riluzolom</w:t>
      </w:r>
      <w:proofErr w:type="spellEnd"/>
      <w:r w:rsidRPr="00E525FC">
        <w:rPr>
          <w:sz w:val="22"/>
          <w:szCs w:val="22"/>
          <w:lang w:val="sr-Latn-ME"/>
        </w:rPr>
        <w:t xml:space="preserve"> treba prekinuti ako se nivo ALT poveća 5 puta u odnosu na normalne vrijednosti. Nema iskustava sa smanjenjem ili </w:t>
      </w:r>
      <w:r w:rsidR="006143AE" w:rsidRPr="00E525FC">
        <w:rPr>
          <w:sz w:val="22"/>
          <w:szCs w:val="22"/>
          <w:lang w:val="sr-Latn-ME"/>
        </w:rPr>
        <w:t xml:space="preserve">ponovnim uvođenjem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u terapiji kod pacijenata kod kojih se javilo povećanje ALT-a 5 puta iznad gornje granice normalnih vrijednosti. Ponovn</w:t>
      </w:r>
      <w:r w:rsidR="006143AE" w:rsidRPr="00E525FC">
        <w:rPr>
          <w:sz w:val="22"/>
          <w:szCs w:val="22"/>
          <w:lang w:val="sr-Latn-ME"/>
        </w:rPr>
        <w:t>a</w:t>
      </w:r>
      <w:r w:rsidRPr="00E525FC">
        <w:rPr>
          <w:sz w:val="22"/>
          <w:szCs w:val="22"/>
          <w:lang w:val="sr-Latn-ME"/>
        </w:rPr>
        <w:t xml:space="preserve"> </w:t>
      </w:r>
      <w:r w:rsidR="006143AE" w:rsidRPr="00E525FC">
        <w:rPr>
          <w:sz w:val="22"/>
          <w:szCs w:val="22"/>
          <w:lang w:val="sr-Latn-ME"/>
        </w:rPr>
        <w:t xml:space="preserve">primjena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u terapiju kod pacijenata u ovoj situaciji se ne može preporučiti.</w:t>
      </w:r>
    </w:p>
    <w:p w14:paraId="28668F91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19E88CB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u w:val="single"/>
          <w:lang w:val="sr-Latn-ME"/>
        </w:rPr>
        <w:t>Neutropenija</w:t>
      </w:r>
      <w:proofErr w:type="spellEnd"/>
    </w:p>
    <w:p w14:paraId="39F2826D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Pacijente treba upozoriti da prijave sva febrilna stanja svojim ljekarima. Prijavljivanje povišene temperature treba da bude upozorenje ljekarima da provjere broj bijelih krvnih zrnaca i da prekinu terapiju </w:t>
      </w:r>
      <w:proofErr w:type="spellStart"/>
      <w:r w:rsidRPr="00E525FC">
        <w:rPr>
          <w:sz w:val="22"/>
          <w:szCs w:val="22"/>
          <w:lang w:val="sr-Latn-ME"/>
        </w:rPr>
        <w:t>riluzolom</w:t>
      </w:r>
      <w:proofErr w:type="spellEnd"/>
      <w:r w:rsidRPr="00E525FC">
        <w:rPr>
          <w:sz w:val="22"/>
          <w:szCs w:val="22"/>
          <w:lang w:val="sr-Latn-ME"/>
        </w:rPr>
        <w:t xml:space="preserve"> u slučaju </w:t>
      </w:r>
      <w:proofErr w:type="spellStart"/>
      <w:r w:rsidRPr="00E525FC">
        <w:rPr>
          <w:sz w:val="22"/>
          <w:szCs w:val="22"/>
          <w:lang w:val="sr-Latn-ME"/>
        </w:rPr>
        <w:t>neutropenije</w:t>
      </w:r>
      <w:proofErr w:type="spellEnd"/>
      <w:r w:rsidRPr="00E525FC">
        <w:rPr>
          <w:sz w:val="22"/>
          <w:szCs w:val="22"/>
          <w:lang w:val="sr-Latn-ME"/>
        </w:rPr>
        <w:t xml:space="preserve"> (vidjeti dio 4.8)</w:t>
      </w:r>
    </w:p>
    <w:p w14:paraId="27826FA9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026017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E525FC">
        <w:rPr>
          <w:sz w:val="22"/>
          <w:szCs w:val="22"/>
          <w:u w:val="single"/>
          <w:lang w:val="sr-Latn-ME"/>
        </w:rPr>
        <w:t>Intersticijalna</w:t>
      </w:r>
      <w:proofErr w:type="spellEnd"/>
      <w:r w:rsidRPr="00E525FC">
        <w:rPr>
          <w:sz w:val="22"/>
          <w:szCs w:val="22"/>
          <w:u w:val="single"/>
          <w:lang w:val="sr-Latn-ME"/>
        </w:rPr>
        <w:t xml:space="preserve"> bolest pluća</w:t>
      </w:r>
    </w:p>
    <w:p w14:paraId="402D26F3" w14:textId="1025AAD4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Kod pacijenata koji su l</w:t>
      </w:r>
      <w:r w:rsidR="00D9228B" w:rsidRPr="00E525FC">
        <w:rPr>
          <w:sz w:val="22"/>
          <w:szCs w:val="22"/>
          <w:lang w:val="sr-Latn-ME"/>
        </w:rPr>
        <w:t>i</w:t>
      </w:r>
      <w:r w:rsidRPr="00E525FC">
        <w:rPr>
          <w:sz w:val="22"/>
          <w:szCs w:val="22"/>
          <w:lang w:val="sr-Latn-ME"/>
        </w:rPr>
        <w:t xml:space="preserve">ječeni </w:t>
      </w:r>
      <w:proofErr w:type="spellStart"/>
      <w:r w:rsidRPr="00E525FC">
        <w:rPr>
          <w:sz w:val="22"/>
          <w:szCs w:val="22"/>
          <w:lang w:val="sr-Latn-ME"/>
        </w:rPr>
        <w:t>r</w:t>
      </w:r>
      <w:r w:rsidR="00D9228B" w:rsidRPr="00E525FC">
        <w:rPr>
          <w:sz w:val="22"/>
          <w:szCs w:val="22"/>
          <w:lang w:val="sr-Latn-ME"/>
        </w:rPr>
        <w:t>i</w:t>
      </w:r>
      <w:r w:rsidRPr="00E525FC">
        <w:rPr>
          <w:sz w:val="22"/>
          <w:szCs w:val="22"/>
          <w:lang w:val="sr-Latn-ME"/>
        </w:rPr>
        <w:t>luzolom</w:t>
      </w:r>
      <w:proofErr w:type="spellEnd"/>
      <w:r w:rsidRPr="00E525FC">
        <w:rPr>
          <w:sz w:val="22"/>
          <w:szCs w:val="22"/>
          <w:lang w:val="sr-Latn-ME"/>
        </w:rPr>
        <w:t xml:space="preserve">, prijavljeni su slučajevi </w:t>
      </w:r>
      <w:proofErr w:type="spellStart"/>
      <w:r w:rsidRPr="00E525FC">
        <w:rPr>
          <w:sz w:val="22"/>
          <w:szCs w:val="22"/>
          <w:lang w:val="sr-Latn-ME"/>
        </w:rPr>
        <w:t>intersticijalne</w:t>
      </w:r>
      <w:proofErr w:type="spellEnd"/>
      <w:r w:rsidRPr="00E525FC">
        <w:rPr>
          <w:sz w:val="22"/>
          <w:szCs w:val="22"/>
          <w:lang w:val="sr-Latn-ME"/>
        </w:rPr>
        <w:t xml:space="preserve"> bolesti pluća, od kojih su neki bili ozbiljni (vidjeti dio 4.8). Ukoliko se razviju respiratorni simptomi poput suvog </w:t>
      </w:r>
      <w:proofErr w:type="spellStart"/>
      <w:r w:rsidRPr="00E525FC">
        <w:rPr>
          <w:sz w:val="22"/>
          <w:szCs w:val="22"/>
          <w:lang w:val="sr-Latn-ME"/>
        </w:rPr>
        <w:t>kašlja</w:t>
      </w:r>
      <w:proofErr w:type="spellEnd"/>
      <w:r w:rsidRPr="00E525FC">
        <w:rPr>
          <w:sz w:val="22"/>
          <w:szCs w:val="22"/>
          <w:lang w:val="sr-Latn-ME"/>
        </w:rPr>
        <w:t xml:space="preserve"> i/ili </w:t>
      </w:r>
      <w:proofErr w:type="spellStart"/>
      <w:r w:rsidRPr="00E525FC">
        <w:rPr>
          <w:sz w:val="22"/>
          <w:szCs w:val="22"/>
          <w:lang w:val="sr-Latn-ME"/>
        </w:rPr>
        <w:t>dispneje</w:t>
      </w:r>
      <w:proofErr w:type="spellEnd"/>
      <w:r w:rsidRPr="00E525FC">
        <w:rPr>
          <w:sz w:val="22"/>
          <w:szCs w:val="22"/>
          <w:lang w:val="sr-Latn-ME"/>
        </w:rPr>
        <w:t xml:space="preserve">, treba uraditi </w:t>
      </w:r>
      <w:proofErr w:type="spellStart"/>
      <w:r w:rsidRPr="00E525FC">
        <w:rPr>
          <w:sz w:val="22"/>
          <w:szCs w:val="22"/>
          <w:lang w:val="sr-Latn-ME"/>
        </w:rPr>
        <w:t>radiografiju</w:t>
      </w:r>
      <w:proofErr w:type="spellEnd"/>
      <w:r w:rsidRPr="00E525FC">
        <w:rPr>
          <w:sz w:val="22"/>
          <w:szCs w:val="22"/>
          <w:lang w:val="sr-Latn-ME"/>
        </w:rPr>
        <w:t xml:space="preserve"> grudnog koša i u slučaju da se pronađe nagovještaj </w:t>
      </w:r>
      <w:proofErr w:type="spellStart"/>
      <w:r w:rsidRPr="00E525FC">
        <w:rPr>
          <w:sz w:val="22"/>
          <w:szCs w:val="22"/>
          <w:lang w:val="sr-Latn-ME"/>
        </w:rPr>
        <w:t>intersticijalne</w:t>
      </w:r>
      <w:proofErr w:type="spellEnd"/>
      <w:r w:rsidRPr="00E525FC">
        <w:rPr>
          <w:sz w:val="22"/>
          <w:szCs w:val="22"/>
          <w:lang w:val="sr-Latn-ME"/>
        </w:rPr>
        <w:t xml:space="preserve"> bolesti pluća (npr.  bilateralne difuzne plućne mrlje), potrebno je odmah prekinuti terapiju </w:t>
      </w:r>
      <w:proofErr w:type="spellStart"/>
      <w:r w:rsidRPr="00E525FC">
        <w:rPr>
          <w:sz w:val="22"/>
          <w:szCs w:val="22"/>
          <w:lang w:val="sr-Latn-ME"/>
        </w:rPr>
        <w:t>riluzolom</w:t>
      </w:r>
      <w:proofErr w:type="spellEnd"/>
      <w:r w:rsidRPr="00E525FC">
        <w:rPr>
          <w:sz w:val="22"/>
          <w:szCs w:val="22"/>
          <w:lang w:val="sr-Latn-ME"/>
        </w:rPr>
        <w:t xml:space="preserve">. U većini prijavljenih slučajeva, simptomi su nestali nakon prekida sa uzimanjem lijeka i primjene </w:t>
      </w:r>
      <w:proofErr w:type="spellStart"/>
      <w:r w:rsidRPr="00E525FC">
        <w:rPr>
          <w:sz w:val="22"/>
          <w:szCs w:val="22"/>
          <w:lang w:val="sr-Latn-ME"/>
        </w:rPr>
        <w:t>simptomatske</w:t>
      </w:r>
      <w:proofErr w:type="spellEnd"/>
      <w:r w:rsidRPr="00E525FC">
        <w:rPr>
          <w:sz w:val="22"/>
          <w:szCs w:val="22"/>
          <w:lang w:val="sr-Latn-ME"/>
        </w:rPr>
        <w:t xml:space="preserve"> terapije. </w:t>
      </w:r>
    </w:p>
    <w:p w14:paraId="1F3C14E4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EFA35C9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>Oštećenje bubrega</w:t>
      </w:r>
    </w:p>
    <w:p w14:paraId="3FEE3A62" w14:textId="1017486E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Ispitivanja sa ponovljenim dozama ni</w:t>
      </w:r>
      <w:r w:rsidR="00BD5055" w:rsidRPr="00E525FC">
        <w:rPr>
          <w:sz w:val="22"/>
          <w:szCs w:val="22"/>
          <w:lang w:val="sr-Latn-ME"/>
        </w:rPr>
        <w:t>jesu</w:t>
      </w:r>
      <w:r w:rsidRPr="00E525FC">
        <w:rPr>
          <w:sz w:val="22"/>
          <w:szCs w:val="22"/>
          <w:lang w:val="sr-Latn-ME"/>
        </w:rPr>
        <w:t xml:space="preserve"> bila izvedena kod pacijenata sa oštećenom </w:t>
      </w:r>
      <w:proofErr w:type="spellStart"/>
      <w:r w:rsidRPr="00E525FC">
        <w:rPr>
          <w:sz w:val="22"/>
          <w:szCs w:val="22"/>
          <w:lang w:val="sr-Latn-ME"/>
        </w:rPr>
        <w:t>renalnom</w:t>
      </w:r>
      <w:proofErr w:type="spellEnd"/>
      <w:r w:rsidRPr="00E525FC">
        <w:rPr>
          <w:sz w:val="22"/>
          <w:szCs w:val="22"/>
          <w:lang w:val="sr-Latn-ME"/>
        </w:rPr>
        <w:t xml:space="preserve"> funkcijom (vidjeti dio 4.2).</w:t>
      </w:r>
    </w:p>
    <w:p w14:paraId="17F44381" w14:textId="3293C5B8" w:rsidR="00443873" w:rsidRPr="00E525FC" w:rsidRDefault="00443873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A15046D" w14:textId="7755B79C" w:rsidR="00443873" w:rsidRPr="00E525FC" w:rsidRDefault="00443873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Natrijum</w:t>
      </w:r>
    </w:p>
    <w:p w14:paraId="2E71E312" w14:textId="79DFDA22" w:rsidR="00443873" w:rsidRPr="00E525FC" w:rsidRDefault="00443873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E525FC">
        <w:rPr>
          <w:sz w:val="22"/>
          <w:szCs w:val="22"/>
          <w:lang w:val="sr-Latn-ME"/>
        </w:rPr>
        <w:t>mmol</w:t>
      </w:r>
      <w:proofErr w:type="spellEnd"/>
      <w:r w:rsidRPr="00E525FC">
        <w:rPr>
          <w:sz w:val="22"/>
          <w:szCs w:val="22"/>
          <w:lang w:val="sr-Latn-ME"/>
        </w:rPr>
        <w:t xml:space="preserve"> (23 mg) natrijuma po tableti, tj. zanemarljivu količinu natrijuma.</w:t>
      </w:r>
    </w:p>
    <w:p w14:paraId="24963247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4A4084" w14:textId="77777777" w:rsidR="00411B4B" w:rsidRPr="00E525FC" w:rsidRDefault="00411B4B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>4.5.</w:t>
      </w:r>
      <w:r w:rsidR="000D60CC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7B99F1D3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0C087B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Nije bilo kliničkih studija koje su imale za cilj procjenu interakcija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sa drugim ljekovima.</w:t>
      </w:r>
    </w:p>
    <w:p w14:paraId="12AE1734" w14:textId="203AEB4B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i/>
          <w:sz w:val="22"/>
          <w:szCs w:val="22"/>
          <w:lang w:val="sr-Latn-ME"/>
        </w:rPr>
        <w:t xml:space="preserve">In </w:t>
      </w:r>
      <w:proofErr w:type="spellStart"/>
      <w:r w:rsidRPr="00E525FC">
        <w:rPr>
          <w:i/>
          <w:sz w:val="22"/>
          <w:szCs w:val="22"/>
          <w:lang w:val="sr-Latn-ME"/>
        </w:rPr>
        <w:t>vitro</w:t>
      </w:r>
      <w:proofErr w:type="spellEnd"/>
      <w:r w:rsidRPr="00E525FC">
        <w:rPr>
          <w:sz w:val="22"/>
          <w:szCs w:val="22"/>
          <w:lang w:val="sr-Latn-ME"/>
        </w:rPr>
        <w:t xml:space="preserve"> studije koje koriste </w:t>
      </w:r>
      <w:proofErr w:type="spellStart"/>
      <w:r w:rsidRPr="00E525FC">
        <w:rPr>
          <w:sz w:val="22"/>
          <w:szCs w:val="22"/>
          <w:lang w:val="sr-Latn-ME"/>
        </w:rPr>
        <w:t>mikrozomalne</w:t>
      </w:r>
      <w:proofErr w:type="spellEnd"/>
      <w:r w:rsidRPr="00E525FC">
        <w:rPr>
          <w:sz w:val="22"/>
          <w:szCs w:val="22"/>
          <w:lang w:val="sr-Latn-ME"/>
        </w:rPr>
        <w:t xml:space="preserve"> preparate humane jetre nagovještavaju da je CYP1A2 glavni </w:t>
      </w:r>
      <w:proofErr w:type="spellStart"/>
      <w:r w:rsidRPr="00E525FC">
        <w:rPr>
          <w:sz w:val="22"/>
          <w:szCs w:val="22"/>
          <w:lang w:val="sr-Latn-ME"/>
        </w:rPr>
        <w:t>izoenzim</w:t>
      </w:r>
      <w:proofErr w:type="spellEnd"/>
      <w:r w:rsidRPr="00E525FC">
        <w:rPr>
          <w:sz w:val="22"/>
          <w:szCs w:val="22"/>
          <w:lang w:val="sr-Latn-ME"/>
        </w:rPr>
        <w:t xml:space="preserve"> uključen u početni </w:t>
      </w:r>
      <w:proofErr w:type="spellStart"/>
      <w:r w:rsidRPr="00E525FC">
        <w:rPr>
          <w:sz w:val="22"/>
          <w:szCs w:val="22"/>
          <w:lang w:val="sr-Latn-ME"/>
        </w:rPr>
        <w:t>oksidativni</w:t>
      </w:r>
      <w:proofErr w:type="spellEnd"/>
      <w:r w:rsidRPr="00E525FC">
        <w:rPr>
          <w:sz w:val="22"/>
          <w:szCs w:val="22"/>
          <w:lang w:val="sr-Latn-ME"/>
        </w:rPr>
        <w:t xml:space="preserve"> metabolizam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. </w:t>
      </w:r>
      <w:proofErr w:type="spellStart"/>
      <w:r w:rsidRPr="00E525FC">
        <w:rPr>
          <w:sz w:val="22"/>
          <w:szCs w:val="22"/>
          <w:lang w:val="sr-Latn-ME"/>
        </w:rPr>
        <w:t>Inhibitori</w:t>
      </w:r>
      <w:proofErr w:type="spellEnd"/>
      <w:r w:rsidRPr="00E525FC">
        <w:rPr>
          <w:sz w:val="22"/>
          <w:szCs w:val="22"/>
          <w:lang w:val="sr-Latn-ME"/>
        </w:rPr>
        <w:t xml:space="preserve"> CYP1A2 (npr. kofein, </w:t>
      </w:r>
      <w:proofErr w:type="spellStart"/>
      <w:r w:rsidRPr="00E525FC">
        <w:rPr>
          <w:sz w:val="22"/>
          <w:szCs w:val="22"/>
          <w:lang w:val="sr-Latn-ME"/>
        </w:rPr>
        <w:t>diklofenak</w:t>
      </w:r>
      <w:proofErr w:type="spellEnd"/>
      <w:r w:rsidRPr="00E525FC">
        <w:rPr>
          <w:sz w:val="22"/>
          <w:szCs w:val="22"/>
          <w:lang w:val="sr-Latn-ME"/>
        </w:rPr>
        <w:t xml:space="preserve">, </w:t>
      </w:r>
      <w:proofErr w:type="spellStart"/>
      <w:r w:rsidRPr="00E525FC">
        <w:rPr>
          <w:sz w:val="22"/>
          <w:szCs w:val="22"/>
          <w:lang w:val="sr-Latn-ME"/>
        </w:rPr>
        <w:t>diazepam</w:t>
      </w:r>
      <w:proofErr w:type="spellEnd"/>
      <w:r w:rsidRPr="00E525FC">
        <w:rPr>
          <w:sz w:val="22"/>
          <w:szCs w:val="22"/>
          <w:lang w:val="sr-Latn-ME"/>
        </w:rPr>
        <w:t xml:space="preserve">, </w:t>
      </w:r>
      <w:proofErr w:type="spellStart"/>
      <w:r w:rsidRPr="00E525FC">
        <w:rPr>
          <w:sz w:val="22"/>
          <w:szCs w:val="22"/>
          <w:lang w:val="sr-Latn-ME"/>
        </w:rPr>
        <w:t>nicergolin</w:t>
      </w:r>
      <w:proofErr w:type="spellEnd"/>
      <w:r w:rsidRPr="00E525FC">
        <w:rPr>
          <w:sz w:val="22"/>
          <w:szCs w:val="22"/>
          <w:lang w:val="sr-Latn-ME"/>
        </w:rPr>
        <w:t xml:space="preserve">, </w:t>
      </w:r>
      <w:proofErr w:type="spellStart"/>
      <w:r w:rsidRPr="00E525FC">
        <w:rPr>
          <w:sz w:val="22"/>
          <w:szCs w:val="22"/>
          <w:lang w:val="sr-Latn-ME"/>
        </w:rPr>
        <w:t>klomipramin</w:t>
      </w:r>
      <w:proofErr w:type="spellEnd"/>
      <w:r w:rsidRPr="00E525FC">
        <w:rPr>
          <w:sz w:val="22"/>
          <w:szCs w:val="22"/>
          <w:lang w:val="sr-Latn-ME"/>
        </w:rPr>
        <w:t xml:space="preserve">, </w:t>
      </w:r>
      <w:proofErr w:type="spellStart"/>
      <w:r w:rsidRPr="00E525FC">
        <w:rPr>
          <w:sz w:val="22"/>
          <w:szCs w:val="22"/>
          <w:lang w:val="sr-Latn-ME"/>
        </w:rPr>
        <w:t>imipramin</w:t>
      </w:r>
      <w:proofErr w:type="spellEnd"/>
      <w:r w:rsidRPr="00E525FC">
        <w:rPr>
          <w:sz w:val="22"/>
          <w:szCs w:val="22"/>
          <w:lang w:val="sr-Latn-ME"/>
        </w:rPr>
        <w:t xml:space="preserve">, </w:t>
      </w:r>
      <w:proofErr w:type="spellStart"/>
      <w:r w:rsidRPr="00E525FC">
        <w:rPr>
          <w:sz w:val="22"/>
          <w:szCs w:val="22"/>
          <w:lang w:val="sr-Latn-ME"/>
        </w:rPr>
        <w:t>fluvoksamin</w:t>
      </w:r>
      <w:proofErr w:type="spellEnd"/>
      <w:r w:rsidRPr="00E525FC">
        <w:rPr>
          <w:sz w:val="22"/>
          <w:szCs w:val="22"/>
          <w:lang w:val="sr-Latn-ME"/>
        </w:rPr>
        <w:t xml:space="preserve">, </w:t>
      </w:r>
      <w:proofErr w:type="spellStart"/>
      <w:r w:rsidRPr="00E525FC">
        <w:rPr>
          <w:sz w:val="22"/>
          <w:szCs w:val="22"/>
          <w:lang w:val="sr-Latn-ME"/>
        </w:rPr>
        <w:t>fenacetin</w:t>
      </w:r>
      <w:proofErr w:type="spellEnd"/>
      <w:r w:rsidRPr="00E525FC">
        <w:rPr>
          <w:sz w:val="22"/>
          <w:szCs w:val="22"/>
          <w:lang w:val="sr-Latn-ME"/>
        </w:rPr>
        <w:t xml:space="preserve">, teofilin, </w:t>
      </w:r>
      <w:proofErr w:type="spellStart"/>
      <w:r w:rsidRPr="00E525FC">
        <w:rPr>
          <w:sz w:val="22"/>
          <w:szCs w:val="22"/>
          <w:lang w:val="sr-Latn-ME"/>
        </w:rPr>
        <w:t>amitriptilin</w:t>
      </w:r>
      <w:proofErr w:type="spellEnd"/>
      <w:r w:rsidRPr="00E525FC">
        <w:rPr>
          <w:sz w:val="22"/>
          <w:szCs w:val="22"/>
          <w:lang w:val="sr-Latn-ME"/>
        </w:rPr>
        <w:t xml:space="preserve"> i </w:t>
      </w:r>
      <w:proofErr w:type="spellStart"/>
      <w:r w:rsidRPr="00E525FC">
        <w:rPr>
          <w:sz w:val="22"/>
          <w:szCs w:val="22"/>
          <w:lang w:val="sr-Latn-ME"/>
        </w:rPr>
        <w:t>hinoloni</w:t>
      </w:r>
      <w:proofErr w:type="spellEnd"/>
      <w:r w:rsidRPr="00E525FC">
        <w:rPr>
          <w:sz w:val="22"/>
          <w:szCs w:val="22"/>
          <w:lang w:val="sr-Latn-ME"/>
        </w:rPr>
        <w:t xml:space="preserve">) bi potencijalno mogli da smanje stopu eliminacije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, dok bi induktori CYP1A2 (npr. dim cigarete, hrana spremljena na uglju, </w:t>
      </w:r>
      <w:proofErr w:type="spellStart"/>
      <w:r w:rsidRPr="00E525FC">
        <w:rPr>
          <w:sz w:val="22"/>
          <w:szCs w:val="22"/>
          <w:lang w:val="sr-Latn-ME"/>
        </w:rPr>
        <w:t>rifampicin</w:t>
      </w:r>
      <w:proofErr w:type="spellEnd"/>
      <w:r w:rsidRPr="00E525FC">
        <w:rPr>
          <w:sz w:val="22"/>
          <w:szCs w:val="22"/>
          <w:lang w:val="sr-Latn-ME"/>
        </w:rPr>
        <w:t xml:space="preserve"> i </w:t>
      </w:r>
      <w:proofErr w:type="spellStart"/>
      <w:r w:rsidRPr="00E525FC">
        <w:rPr>
          <w:sz w:val="22"/>
          <w:szCs w:val="22"/>
          <w:lang w:val="sr-Latn-ME"/>
        </w:rPr>
        <w:t>omeprazol</w:t>
      </w:r>
      <w:proofErr w:type="spellEnd"/>
      <w:r w:rsidRPr="00E525FC">
        <w:rPr>
          <w:sz w:val="22"/>
          <w:szCs w:val="22"/>
          <w:lang w:val="sr-Latn-ME"/>
        </w:rPr>
        <w:t>) mogli da je povećaju.</w:t>
      </w:r>
    </w:p>
    <w:p w14:paraId="3BBCD911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BDF1EBE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4.6.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="006D20A5" w:rsidRPr="00E525FC">
        <w:rPr>
          <w:b/>
          <w:sz w:val="22"/>
          <w:szCs w:val="22"/>
          <w:lang w:val="sr-Latn-ME"/>
        </w:rPr>
        <w:t>Plodnost, trudnoća i dojenje</w:t>
      </w:r>
    </w:p>
    <w:p w14:paraId="19AB38DD" w14:textId="77777777" w:rsidR="002031B3" w:rsidRPr="00E525FC" w:rsidRDefault="002031B3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8B147F5" w14:textId="77777777" w:rsidR="002031B3" w:rsidRPr="00E525FC" w:rsidRDefault="002031B3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>Plodnost</w:t>
      </w:r>
    </w:p>
    <w:p w14:paraId="3620C53C" w14:textId="68426D63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Ispitivanja plodnosti na pacovima otkrila su blagi poremećaj reproduktivne sposobnosti i plodnosti pri</w:t>
      </w:r>
      <w:r w:rsidR="0064638D" w:rsidRPr="00E525FC">
        <w:rPr>
          <w:sz w:val="22"/>
          <w:szCs w:val="22"/>
          <w:lang w:val="sr-Latn-ME"/>
        </w:rPr>
        <w:t xml:space="preserve"> </w:t>
      </w:r>
      <w:r w:rsidRPr="00E525FC">
        <w:rPr>
          <w:sz w:val="22"/>
          <w:szCs w:val="22"/>
          <w:lang w:val="sr-Latn-ME"/>
        </w:rPr>
        <w:t xml:space="preserve">dozama od 15 mg/kg na dan (što je više od terapijske doze), vjerovatno zbog </w:t>
      </w:r>
      <w:proofErr w:type="spellStart"/>
      <w:r w:rsidRPr="00E525FC">
        <w:rPr>
          <w:sz w:val="22"/>
          <w:szCs w:val="22"/>
          <w:lang w:val="sr-Latn-ME"/>
        </w:rPr>
        <w:t>sedacije</w:t>
      </w:r>
      <w:proofErr w:type="spellEnd"/>
      <w:r w:rsidRPr="00E525FC">
        <w:rPr>
          <w:sz w:val="22"/>
          <w:szCs w:val="22"/>
          <w:lang w:val="sr-Latn-ME"/>
        </w:rPr>
        <w:t xml:space="preserve"> i letargije.</w:t>
      </w:r>
    </w:p>
    <w:p w14:paraId="31333B3A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518FFEA" w14:textId="56165121" w:rsidR="007A3ECB" w:rsidRPr="00E525FC" w:rsidRDefault="007A3EC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>Trudnoća</w:t>
      </w:r>
    </w:p>
    <w:p w14:paraId="020F9CDC" w14:textId="0F6161DC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Rilutek</w:t>
      </w:r>
      <w:proofErr w:type="spellEnd"/>
      <w:r w:rsidRPr="00E525FC">
        <w:rPr>
          <w:sz w:val="22"/>
          <w:szCs w:val="22"/>
          <w:lang w:val="sr-Latn-ME"/>
        </w:rPr>
        <w:t xml:space="preserve"> je kontraindikovan u trudnoći (vidjeti </w:t>
      </w:r>
      <w:r w:rsidR="00390072" w:rsidRPr="00E525FC">
        <w:rPr>
          <w:sz w:val="22"/>
          <w:szCs w:val="22"/>
          <w:lang w:val="sr-Latn-ME"/>
        </w:rPr>
        <w:t>djel</w:t>
      </w:r>
      <w:r w:rsidRPr="00E525FC">
        <w:rPr>
          <w:sz w:val="22"/>
          <w:szCs w:val="22"/>
          <w:lang w:val="sr-Latn-ME"/>
        </w:rPr>
        <w:t>ove 4.3 i 5.3).</w:t>
      </w:r>
    </w:p>
    <w:p w14:paraId="3B1EA620" w14:textId="25F3DE95" w:rsidR="002031B3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Nema kliničkog iskustva s primjenom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r w:rsidR="00F62300" w:rsidRPr="00E525FC">
        <w:rPr>
          <w:sz w:val="22"/>
          <w:szCs w:val="22"/>
          <w:lang w:val="sr-Latn-ME"/>
        </w:rPr>
        <w:t>kod</w:t>
      </w:r>
      <w:r w:rsidRPr="00E525FC">
        <w:rPr>
          <w:sz w:val="22"/>
          <w:szCs w:val="22"/>
          <w:lang w:val="sr-Latn-ME"/>
        </w:rPr>
        <w:t xml:space="preserve"> trudnica.</w:t>
      </w:r>
    </w:p>
    <w:p w14:paraId="6C167C2B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1D7E59B" w14:textId="77777777" w:rsidR="0072020E" w:rsidRPr="00E525FC" w:rsidRDefault="007A3ECB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 xml:space="preserve">Dojenje </w:t>
      </w:r>
    </w:p>
    <w:p w14:paraId="01422335" w14:textId="28FB2349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Rilutek</w:t>
      </w:r>
      <w:proofErr w:type="spellEnd"/>
      <w:r w:rsidRPr="00E525FC">
        <w:rPr>
          <w:sz w:val="22"/>
          <w:szCs w:val="22"/>
          <w:lang w:val="sr-Latn-ME"/>
        </w:rPr>
        <w:t xml:space="preserve"> je kontraindikovan </w:t>
      </w:r>
      <w:r w:rsidR="00F62300" w:rsidRPr="00E525FC">
        <w:rPr>
          <w:sz w:val="22"/>
          <w:szCs w:val="22"/>
          <w:lang w:val="sr-Latn-ME"/>
        </w:rPr>
        <w:t>kod</w:t>
      </w:r>
      <w:r w:rsidRPr="00E525FC">
        <w:rPr>
          <w:sz w:val="22"/>
          <w:szCs w:val="22"/>
          <w:lang w:val="sr-Latn-ME"/>
        </w:rPr>
        <w:t xml:space="preserve"> dojilja (vidjeti </w:t>
      </w:r>
      <w:r w:rsidR="00390072" w:rsidRPr="00E525FC">
        <w:rPr>
          <w:sz w:val="22"/>
          <w:szCs w:val="22"/>
          <w:lang w:val="sr-Latn-ME"/>
        </w:rPr>
        <w:t>djel</w:t>
      </w:r>
      <w:r w:rsidRPr="00E525FC">
        <w:rPr>
          <w:sz w:val="22"/>
          <w:szCs w:val="22"/>
          <w:lang w:val="sr-Latn-ME"/>
        </w:rPr>
        <w:t>ove 4.3 i 5.3).</w:t>
      </w:r>
    </w:p>
    <w:p w14:paraId="729025D3" w14:textId="45856B08" w:rsidR="00227BDB" w:rsidRPr="00E525FC" w:rsidRDefault="006026FB" w:rsidP="00131CE3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Nije poznato izlučuje li se </w:t>
      </w: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Pr="00E525FC">
        <w:rPr>
          <w:sz w:val="22"/>
          <w:szCs w:val="22"/>
          <w:lang w:val="sr-Latn-ME"/>
        </w:rPr>
        <w:t xml:space="preserve"> u majčino mlijeko </w:t>
      </w:r>
      <w:r w:rsidR="00F62300" w:rsidRPr="00E525FC">
        <w:rPr>
          <w:sz w:val="22"/>
          <w:szCs w:val="22"/>
          <w:lang w:val="sr-Latn-ME"/>
        </w:rPr>
        <w:t>kod</w:t>
      </w:r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ljudi</w:t>
      </w:r>
      <w:proofErr w:type="spellEnd"/>
      <w:r w:rsidRPr="00E525FC">
        <w:rPr>
          <w:sz w:val="22"/>
          <w:szCs w:val="22"/>
          <w:lang w:val="sr-Latn-ME"/>
        </w:rPr>
        <w:t>.</w:t>
      </w:r>
    </w:p>
    <w:p w14:paraId="112BC9BA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1F080A89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4.7.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 xml:space="preserve">Uticaj na </w:t>
      </w:r>
      <w:r w:rsidR="002031B3" w:rsidRPr="00E525FC">
        <w:rPr>
          <w:b/>
          <w:bCs/>
          <w:sz w:val="22"/>
          <w:szCs w:val="22"/>
          <w:lang w:val="sr-Latn-ME"/>
        </w:rPr>
        <w:t xml:space="preserve">sposobnost </w:t>
      </w:r>
      <w:r w:rsidR="00F34554" w:rsidRPr="00E525FC">
        <w:rPr>
          <w:b/>
          <w:bCs/>
          <w:sz w:val="22"/>
          <w:szCs w:val="22"/>
          <w:lang w:val="sr-Latn-ME"/>
        </w:rPr>
        <w:t>upravljanja vozili</w:t>
      </w:r>
      <w:r w:rsidRPr="00E525FC">
        <w:rPr>
          <w:b/>
          <w:bCs/>
          <w:sz w:val="22"/>
          <w:szCs w:val="22"/>
          <w:lang w:val="sr-Latn-ME"/>
        </w:rPr>
        <w:t>m</w:t>
      </w:r>
      <w:r w:rsidR="00F34554" w:rsidRPr="00E525FC">
        <w:rPr>
          <w:b/>
          <w:bCs/>
          <w:sz w:val="22"/>
          <w:szCs w:val="22"/>
          <w:lang w:val="sr-Latn-ME"/>
        </w:rPr>
        <w:t>a</w:t>
      </w:r>
      <w:r w:rsidRPr="00E525FC">
        <w:rPr>
          <w:b/>
          <w:bCs/>
          <w:sz w:val="22"/>
          <w:szCs w:val="22"/>
          <w:lang w:val="sr-Latn-ME"/>
        </w:rPr>
        <w:t xml:space="preserve"> i </w:t>
      </w:r>
      <w:r w:rsidR="000D3449" w:rsidRPr="00E525FC">
        <w:rPr>
          <w:b/>
          <w:bCs/>
          <w:sz w:val="22"/>
          <w:szCs w:val="22"/>
          <w:lang w:val="sr-Latn-ME"/>
        </w:rPr>
        <w:t xml:space="preserve">rukovanje </w:t>
      </w:r>
      <w:r w:rsidRPr="00E525FC">
        <w:rPr>
          <w:b/>
          <w:bCs/>
          <w:sz w:val="22"/>
          <w:szCs w:val="22"/>
          <w:lang w:val="sr-Latn-ME"/>
        </w:rPr>
        <w:t>mašinama</w:t>
      </w:r>
    </w:p>
    <w:p w14:paraId="72B37517" w14:textId="77777777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43688E4" w14:textId="2E6F8832" w:rsidR="006026FB" w:rsidRPr="00E525FC" w:rsidRDefault="006026FB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Pacijente treba upozoriti u vezi sa potencijalnim javljanjem ošamućenosti i </w:t>
      </w:r>
      <w:proofErr w:type="spellStart"/>
      <w:r w:rsidR="00B46827" w:rsidRPr="00E525FC">
        <w:rPr>
          <w:sz w:val="22"/>
          <w:szCs w:val="22"/>
          <w:lang w:val="sr-Latn-ME"/>
        </w:rPr>
        <w:t>vertiga</w:t>
      </w:r>
      <w:proofErr w:type="spellEnd"/>
      <w:r w:rsidR="00B46827" w:rsidRPr="00E525FC">
        <w:rPr>
          <w:sz w:val="22"/>
          <w:szCs w:val="22"/>
          <w:lang w:val="sr-Latn-ME"/>
        </w:rPr>
        <w:t xml:space="preserve"> </w:t>
      </w:r>
      <w:r w:rsidRPr="00E525FC">
        <w:rPr>
          <w:sz w:val="22"/>
          <w:szCs w:val="22"/>
          <w:lang w:val="sr-Latn-ME"/>
        </w:rPr>
        <w:t>i savjetovati ih da ne voze automobil niti da upravljaju mašinama ako se kod njih pojave ovi simptomi.</w:t>
      </w:r>
    </w:p>
    <w:p w14:paraId="07C8B1B2" w14:textId="77777777" w:rsidR="0042760D" w:rsidRPr="00E525FC" w:rsidRDefault="0042760D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B2E4A46" w14:textId="576B6F77" w:rsidR="006026FB" w:rsidRPr="00E525FC" w:rsidRDefault="006026FB" w:rsidP="00131CE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Ni</w:t>
      </w:r>
      <w:r w:rsidR="00D9228B" w:rsidRPr="00E525FC">
        <w:rPr>
          <w:sz w:val="22"/>
          <w:szCs w:val="22"/>
          <w:lang w:val="sr-Latn-ME"/>
        </w:rPr>
        <w:t>jesu</w:t>
      </w:r>
      <w:r w:rsidRPr="00E525FC">
        <w:rPr>
          <w:sz w:val="22"/>
          <w:szCs w:val="22"/>
          <w:lang w:val="sr-Latn-ME"/>
        </w:rPr>
        <w:t xml:space="preserve"> sprovedene kliničke studije o uticaju ovog lijeka na sposobnost upravljanja motornim vozil</w:t>
      </w:r>
      <w:r w:rsidR="00F62300" w:rsidRPr="00E525FC">
        <w:rPr>
          <w:sz w:val="22"/>
          <w:szCs w:val="22"/>
          <w:lang w:val="sr-Latn-ME"/>
        </w:rPr>
        <w:t>i</w:t>
      </w:r>
      <w:r w:rsidRPr="00E525FC">
        <w:rPr>
          <w:sz w:val="22"/>
          <w:szCs w:val="22"/>
          <w:lang w:val="sr-Latn-ME"/>
        </w:rPr>
        <w:t>m</w:t>
      </w:r>
      <w:r w:rsidR="00F62300" w:rsidRPr="00E525FC">
        <w:rPr>
          <w:sz w:val="22"/>
          <w:szCs w:val="22"/>
          <w:lang w:val="sr-Latn-ME"/>
        </w:rPr>
        <w:t>a</w:t>
      </w:r>
      <w:r w:rsidRPr="00E525FC">
        <w:rPr>
          <w:sz w:val="22"/>
          <w:szCs w:val="22"/>
          <w:lang w:val="sr-Latn-ME"/>
        </w:rPr>
        <w:t xml:space="preserve"> i rukovanje mašinama.</w:t>
      </w:r>
    </w:p>
    <w:p w14:paraId="1288FF6A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BB5096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4.8.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Neželjena dejstva</w:t>
      </w:r>
    </w:p>
    <w:p w14:paraId="290F647C" w14:textId="77777777" w:rsidR="004E70AD" w:rsidRPr="00E525FC" w:rsidRDefault="004E70AD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08C279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E525FC">
        <w:rPr>
          <w:bCs/>
          <w:sz w:val="22"/>
          <w:szCs w:val="22"/>
          <w:u w:val="single"/>
          <w:lang w:val="sr-Latn-ME"/>
        </w:rPr>
        <w:t xml:space="preserve">Sažetak </w:t>
      </w:r>
      <w:proofErr w:type="spellStart"/>
      <w:r w:rsidRPr="00E525FC">
        <w:rPr>
          <w:bCs/>
          <w:sz w:val="22"/>
          <w:szCs w:val="22"/>
          <w:u w:val="single"/>
          <w:lang w:val="sr-Latn-ME"/>
        </w:rPr>
        <w:t>bezbjednosnog</w:t>
      </w:r>
      <w:proofErr w:type="spellEnd"/>
      <w:r w:rsidRPr="00E525FC">
        <w:rPr>
          <w:bCs/>
          <w:sz w:val="22"/>
          <w:szCs w:val="22"/>
          <w:u w:val="single"/>
          <w:lang w:val="sr-Latn-ME"/>
        </w:rPr>
        <w:t xml:space="preserve"> profila</w:t>
      </w:r>
    </w:p>
    <w:p w14:paraId="64196802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 xml:space="preserve">U kliničkim ispitivanjima faze III sprovedenim kod pacijenata s ALS-om liječenih </w:t>
      </w:r>
      <w:proofErr w:type="spellStart"/>
      <w:r w:rsidRPr="00E525FC">
        <w:rPr>
          <w:bCs/>
          <w:sz w:val="22"/>
          <w:szCs w:val="22"/>
          <w:lang w:val="sr-Latn-ME"/>
        </w:rPr>
        <w:t>riluzolom</w:t>
      </w:r>
      <w:proofErr w:type="spellEnd"/>
      <w:r w:rsidRPr="00E525FC">
        <w:rPr>
          <w:bCs/>
          <w:sz w:val="22"/>
          <w:szCs w:val="22"/>
          <w:lang w:val="sr-Latn-ME"/>
        </w:rPr>
        <w:t xml:space="preserve"> najčešće prijavljena neželjena dejstva bila su astenija, mučnina i odstupanja od normalnih vrijednosti testova funkcije jetre.</w:t>
      </w:r>
    </w:p>
    <w:p w14:paraId="3DB7FC94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618A2A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E525FC">
        <w:rPr>
          <w:bCs/>
          <w:sz w:val="22"/>
          <w:szCs w:val="22"/>
          <w:u w:val="single"/>
          <w:lang w:val="sr-Latn-ME"/>
        </w:rPr>
        <w:t>Tabelarni prikaz neželjenih dejstava</w:t>
      </w:r>
    </w:p>
    <w:p w14:paraId="76FE4346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E1A0C9E" w14:textId="5BA43AFF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>Neželjena dejstva navedena u nastavku razvrstana su prema učestalosti pojavljivanja u sljedeće kategorije:</w:t>
      </w:r>
      <w:r w:rsidR="00390072" w:rsidRPr="00E525FC">
        <w:rPr>
          <w:bCs/>
          <w:sz w:val="22"/>
          <w:szCs w:val="22"/>
          <w:lang w:val="sr-Latn-ME"/>
        </w:rPr>
        <w:t xml:space="preserve"> </w:t>
      </w:r>
      <w:r w:rsidRPr="00E525FC">
        <w:rPr>
          <w:bCs/>
          <w:sz w:val="22"/>
          <w:szCs w:val="22"/>
          <w:lang w:val="sr-Latn-ME"/>
        </w:rPr>
        <w:t>vrlo često (≥ 1/10), često (≥ 1/100 i &lt; 1/10), povremeno (≥ 1/1000 i &lt; 1/100), rijetko (≥ 1/10 000 i</w:t>
      </w:r>
      <w:r w:rsidR="00390072" w:rsidRPr="00E525FC">
        <w:rPr>
          <w:bCs/>
          <w:sz w:val="22"/>
          <w:szCs w:val="22"/>
          <w:lang w:val="sr-Latn-ME"/>
        </w:rPr>
        <w:t xml:space="preserve"> </w:t>
      </w:r>
      <w:r w:rsidRPr="00E525FC">
        <w:rPr>
          <w:bCs/>
          <w:sz w:val="22"/>
          <w:szCs w:val="22"/>
          <w:lang w:val="sr-Latn-ME"/>
        </w:rPr>
        <w:t>&lt; 1/1000), vrlo rijetko (&lt; 1/10 000), nepoznato (ne može se procijeniti iz dostupnih podataka).</w:t>
      </w:r>
    </w:p>
    <w:p w14:paraId="7862EB2D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769"/>
        <w:gridCol w:w="1790"/>
        <w:gridCol w:w="1808"/>
        <w:gridCol w:w="1781"/>
      </w:tblGrid>
      <w:tr w:rsidR="00F6410E" w:rsidRPr="00E525FC" w14:paraId="366C73DA" w14:textId="77777777" w:rsidTr="00341A5B">
        <w:tc>
          <w:tcPr>
            <w:tcW w:w="1863" w:type="dxa"/>
            <w:shd w:val="clear" w:color="auto" w:fill="auto"/>
          </w:tcPr>
          <w:p w14:paraId="05E51F34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41EAB920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E525FC">
              <w:rPr>
                <w:b/>
                <w:bCs/>
                <w:sz w:val="22"/>
                <w:szCs w:val="22"/>
                <w:lang w:val="sr-Latn-ME"/>
              </w:rPr>
              <w:t>Vrlo često</w:t>
            </w:r>
          </w:p>
        </w:tc>
        <w:tc>
          <w:tcPr>
            <w:tcW w:w="1845" w:type="dxa"/>
            <w:shd w:val="clear" w:color="auto" w:fill="auto"/>
          </w:tcPr>
          <w:p w14:paraId="64CCD30B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E525FC">
              <w:rPr>
                <w:b/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845" w:type="dxa"/>
            <w:shd w:val="clear" w:color="auto" w:fill="auto"/>
          </w:tcPr>
          <w:p w14:paraId="20C945B5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E525FC">
              <w:rPr>
                <w:b/>
                <w:b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45" w:type="dxa"/>
            <w:shd w:val="clear" w:color="auto" w:fill="auto"/>
          </w:tcPr>
          <w:p w14:paraId="6483FC21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E525FC">
              <w:rPr>
                <w:b/>
                <w:bCs/>
                <w:sz w:val="22"/>
                <w:szCs w:val="22"/>
                <w:lang w:val="sr-Latn-ME"/>
              </w:rPr>
              <w:t>Nepoznato</w:t>
            </w:r>
          </w:p>
        </w:tc>
      </w:tr>
      <w:tr w:rsidR="00F6410E" w:rsidRPr="00E525FC" w14:paraId="271ADC0C" w14:textId="77777777" w:rsidTr="00341A5B">
        <w:tc>
          <w:tcPr>
            <w:tcW w:w="1863" w:type="dxa"/>
            <w:shd w:val="clear" w:color="auto" w:fill="auto"/>
          </w:tcPr>
          <w:p w14:paraId="79A54151" w14:textId="77777777" w:rsidR="00F6410E" w:rsidRPr="00E525FC" w:rsidRDefault="00F6410E" w:rsidP="00390072">
            <w:pPr>
              <w:widowControl w:val="0"/>
              <w:autoSpaceDE w:val="0"/>
              <w:autoSpaceDN w:val="0"/>
              <w:adjustRightInd w:val="0"/>
              <w:spacing w:line="246" w:lineRule="auto"/>
              <w:rPr>
                <w:b/>
                <w:sz w:val="22"/>
                <w:szCs w:val="22"/>
                <w:lang w:val="sr-Latn-ME" w:eastAsia="sr-Latn-CS"/>
              </w:rPr>
            </w:pPr>
            <w:r w:rsidRPr="00E525FC">
              <w:rPr>
                <w:b/>
                <w:sz w:val="22"/>
                <w:szCs w:val="22"/>
                <w:lang w:val="sr-Latn-ME" w:eastAsia="sr-Latn-CS"/>
              </w:rPr>
              <w:t>Por</w:t>
            </w:r>
            <w:r w:rsidRPr="00E525FC">
              <w:rPr>
                <w:b/>
                <w:spacing w:val="2"/>
                <w:sz w:val="22"/>
                <w:szCs w:val="22"/>
                <w:lang w:val="sr-Latn-ME" w:eastAsia="sr-Latn-CS"/>
              </w:rPr>
              <w:t>e</w:t>
            </w:r>
            <w:r w:rsidRPr="00E525FC">
              <w:rPr>
                <w:b/>
                <w:spacing w:val="-1"/>
                <w:sz w:val="22"/>
                <w:szCs w:val="22"/>
                <w:lang w:val="sr-Latn-ME" w:eastAsia="sr-Latn-CS"/>
              </w:rPr>
              <w:t>m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e</w:t>
            </w:r>
            <w:r w:rsidRPr="00E525FC">
              <w:rPr>
                <w:b/>
                <w:spacing w:val="1"/>
                <w:sz w:val="22"/>
                <w:szCs w:val="22"/>
                <w:lang w:val="sr-Latn-ME" w:eastAsia="sr-Latn-CS"/>
              </w:rPr>
              <w:t>ć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aji</w:t>
            </w:r>
            <w:r w:rsidRPr="00E525FC">
              <w:rPr>
                <w:b/>
                <w:spacing w:val="30"/>
                <w:sz w:val="22"/>
                <w:szCs w:val="22"/>
                <w:lang w:val="sr-Latn-ME" w:eastAsia="sr-Latn-CS"/>
              </w:rPr>
              <w:t xml:space="preserve"> </w:t>
            </w:r>
            <w:r w:rsidRPr="00E525FC">
              <w:rPr>
                <w:b/>
                <w:spacing w:val="-1"/>
                <w:sz w:val="22"/>
                <w:szCs w:val="22"/>
                <w:lang w:val="sr-Latn-ME" w:eastAsia="sr-Latn-CS"/>
              </w:rPr>
              <w:t>k</w:t>
            </w:r>
            <w:r w:rsidRPr="00E525FC">
              <w:rPr>
                <w:b/>
                <w:spacing w:val="2"/>
                <w:sz w:val="22"/>
                <w:szCs w:val="22"/>
                <w:lang w:val="sr-Latn-ME" w:eastAsia="sr-Latn-CS"/>
              </w:rPr>
              <w:t>r</w:t>
            </w:r>
            <w:r w:rsidRPr="00E525FC">
              <w:rPr>
                <w:b/>
                <w:spacing w:val="-1"/>
                <w:sz w:val="22"/>
                <w:szCs w:val="22"/>
                <w:lang w:val="sr-Latn-ME" w:eastAsia="sr-Latn-CS"/>
              </w:rPr>
              <w:t>v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i</w:t>
            </w:r>
            <w:r w:rsidRPr="00E525FC">
              <w:rPr>
                <w:b/>
                <w:spacing w:val="12"/>
                <w:sz w:val="22"/>
                <w:szCs w:val="22"/>
                <w:lang w:val="sr-Latn-ME" w:eastAsia="sr-Latn-CS"/>
              </w:rPr>
              <w:t xml:space="preserve"> 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i</w:t>
            </w:r>
            <w:r w:rsidRPr="00E525FC">
              <w:rPr>
                <w:b/>
                <w:spacing w:val="3"/>
                <w:sz w:val="22"/>
                <w:szCs w:val="22"/>
                <w:lang w:val="sr-Latn-ME" w:eastAsia="sr-Latn-CS"/>
              </w:rPr>
              <w:t xml:space="preserve"> 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l</w:t>
            </w:r>
            <w:r w:rsidRPr="00E525FC">
              <w:rPr>
                <w:b/>
                <w:spacing w:val="1"/>
                <w:sz w:val="22"/>
                <w:szCs w:val="22"/>
                <w:lang w:val="sr-Latn-ME" w:eastAsia="sr-Latn-CS"/>
              </w:rPr>
              <w:t>i</w:t>
            </w:r>
            <w:r w:rsidRPr="00E525FC">
              <w:rPr>
                <w:b/>
                <w:spacing w:val="-1"/>
                <w:sz w:val="22"/>
                <w:szCs w:val="22"/>
                <w:lang w:val="sr-Latn-ME" w:eastAsia="sr-Latn-CS"/>
              </w:rPr>
              <w:t>m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f</w:t>
            </w:r>
            <w:r w:rsidRPr="00E525FC">
              <w:rPr>
                <w:b/>
                <w:spacing w:val="1"/>
                <w:sz w:val="22"/>
                <w:szCs w:val="22"/>
                <w:lang w:val="sr-Latn-ME" w:eastAsia="sr-Latn-CS"/>
              </w:rPr>
              <w:t>n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og</w:t>
            </w:r>
            <w:r w:rsidRPr="00E525FC">
              <w:rPr>
                <w:b/>
                <w:spacing w:val="21"/>
                <w:sz w:val="22"/>
                <w:szCs w:val="22"/>
                <w:lang w:val="sr-Latn-ME" w:eastAsia="sr-Latn-CS"/>
              </w:rPr>
              <w:t xml:space="preserve"> </w:t>
            </w:r>
            <w:r w:rsidRPr="00E525FC">
              <w:rPr>
                <w:b/>
                <w:w w:val="103"/>
                <w:sz w:val="22"/>
                <w:szCs w:val="22"/>
                <w:lang w:val="sr-Latn-ME" w:eastAsia="sr-Latn-CS"/>
              </w:rPr>
              <w:t>sistema</w:t>
            </w:r>
          </w:p>
        </w:tc>
        <w:tc>
          <w:tcPr>
            <w:tcW w:w="1845" w:type="dxa"/>
            <w:shd w:val="clear" w:color="auto" w:fill="auto"/>
          </w:tcPr>
          <w:p w14:paraId="53C7B96F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3021BEA7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199BD2A7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sz w:val="22"/>
                <w:szCs w:val="22"/>
                <w:lang w:val="sr-Latn-ME" w:eastAsia="sr-Latn-CS"/>
              </w:rPr>
              <w:t>Anemija</w:t>
            </w:r>
          </w:p>
        </w:tc>
        <w:tc>
          <w:tcPr>
            <w:tcW w:w="1845" w:type="dxa"/>
            <w:shd w:val="clear" w:color="auto" w:fill="auto"/>
          </w:tcPr>
          <w:p w14:paraId="09ED1D2C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Teška</w:t>
            </w:r>
          </w:p>
          <w:p w14:paraId="6884E5EB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E525FC">
              <w:rPr>
                <w:bCs/>
                <w:sz w:val="22"/>
                <w:szCs w:val="22"/>
                <w:lang w:val="sr-Latn-ME"/>
              </w:rPr>
              <w:t>neutropenija</w:t>
            </w:r>
            <w:proofErr w:type="spellEnd"/>
          </w:p>
          <w:p w14:paraId="4D754668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(vidjeti dio 4.4)</w:t>
            </w:r>
          </w:p>
        </w:tc>
      </w:tr>
      <w:tr w:rsidR="00F6410E" w:rsidRPr="00E525FC" w14:paraId="052F1413" w14:textId="77777777" w:rsidTr="00341A5B">
        <w:tc>
          <w:tcPr>
            <w:tcW w:w="1863" w:type="dxa"/>
            <w:shd w:val="clear" w:color="auto" w:fill="auto"/>
          </w:tcPr>
          <w:p w14:paraId="4C789126" w14:textId="77777777" w:rsidR="00F6410E" w:rsidRPr="00E525FC" w:rsidRDefault="00F6410E" w:rsidP="00390072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b/>
                <w:sz w:val="22"/>
                <w:szCs w:val="22"/>
                <w:lang w:val="sr-Latn-ME" w:eastAsia="sr-Latn-CS"/>
              </w:rPr>
            </w:pPr>
            <w:r w:rsidRPr="00E525FC">
              <w:rPr>
                <w:b/>
                <w:sz w:val="22"/>
                <w:szCs w:val="22"/>
                <w:lang w:val="sr-Latn-ME" w:eastAsia="sr-Latn-CS"/>
              </w:rPr>
              <w:t>Por</w:t>
            </w:r>
            <w:r w:rsidRPr="00E525FC">
              <w:rPr>
                <w:b/>
                <w:spacing w:val="2"/>
                <w:sz w:val="22"/>
                <w:szCs w:val="22"/>
                <w:lang w:val="sr-Latn-ME" w:eastAsia="sr-Latn-CS"/>
              </w:rPr>
              <w:t>e</w:t>
            </w:r>
            <w:r w:rsidRPr="00E525FC">
              <w:rPr>
                <w:b/>
                <w:spacing w:val="-1"/>
                <w:sz w:val="22"/>
                <w:szCs w:val="22"/>
                <w:lang w:val="sr-Latn-ME" w:eastAsia="sr-Latn-CS"/>
              </w:rPr>
              <w:t>m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e</w:t>
            </w:r>
            <w:r w:rsidRPr="00E525FC">
              <w:rPr>
                <w:b/>
                <w:spacing w:val="1"/>
                <w:sz w:val="22"/>
                <w:szCs w:val="22"/>
                <w:lang w:val="sr-Latn-ME" w:eastAsia="sr-Latn-CS"/>
              </w:rPr>
              <w:t>ć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aji</w:t>
            </w:r>
            <w:r w:rsidRPr="00E525FC">
              <w:rPr>
                <w:b/>
                <w:spacing w:val="28"/>
                <w:sz w:val="22"/>
                <w:szCs w:val="22"/>
                <w:lang w:val="sr-Latn-ME" w:eastAsia="sr-Latn-CS"/>
              </w:rPr>
              <w:t xml:space="preserve"> </w:t>
            </w:r>
            <w:r w:rsidRPr="00E525FC">
              <w:rPr>
                <w:b/>
                <w:spacing w:val="1"/>
                <w:sz w:val="22"/>
                <w:szCs w:val="22"/>
                <w:lang w:val="sr-Latn-ME" w:eastAsia="sr-Latn-CS"/>
              </w:rPr>
              <w:t>i</w:t>
            </w:r>
            <w:r w:rsidRPr="00E525FC">
              <w:rPr>
                <w:b/>
                <w:spacing w:val="-1"/>
                <w:sz w:val="22"/>
                <w:szCs w:val="22"/>
                <w:lang w:val="sr-Latn-ME" w:eastAsia="sr-Latn-CS"/>
              </w:rPr>
              <w:t>m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u</w:t>
            </w:r>
            <w:r w:rsidRPr="00E525FC">
              <w:rPr>
                <w:b/>
                <w:spacing w:val="1"/>
                <w:sz w:val="22"/>
                <w:szCs w:val="22"/>
                <w:lang w:val="sr-Latn-ME" w:eastAsia="sr-Latn-CS"/>
              </w:rPr>
              <w:t>n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og</w:t>
            </w:r>
            <w:r w:rsidRPr="00E525FC">
              <w:rPr>
                <w:b/>
                <w:spacing w:val="34"/>
                <w:sz w:val="22"/>
                <w:szCs w:val="22"/>
                <w:lang w:val="sr-Latn-ME" w:eastAsia="sr-Latn-CS"/>
              </w:rPr>
              <w:t xml:space="preserve"> </w:t>
            </w:r>
            <w:r w:rsidRPr="00E525FC">
              <w:rPr>
                <w:b/>
                <w:w w:val="103"/>
                <w:sz w:val="22"/>
                <w:szCs w:val="22"/>
                <w:lang w:val="sr-Latn-ME" w:eastAsia="sr-Latn-CS"/>
              </w:rPr>
              <w:t>sistema</w:t>
            </w:r>
          </w:p>
        </w:tc>
        <w:tc>
          <w:tcPr>
            <w:tcW w:w="1845" w:type="dxa"/>
            <w:shd w:val="clear" w:color="auto" w:fill="auto"/>
          </w:tcPr>
          <w:p w14:paraId="48654202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6FA23372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3C9C8BC2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E525FC">
              <w:rPr>
                <w:bCs/>
                <w:sz w:val="22"/>
                <w:szCs w:val="22"/>
                <w:lang w:val="sr-Latn-ME"/>
              </w:rPr>
              <w:t>Anafilaktoidna</w:t>
            </w:r>
            <w:proofErr w:type="spellEnd"/>
          </w:p>
          <w:p w14:paraId="5CAA6851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reakcija,</w:t>
            </w:r>
          </w:p>
          <w:p w14:paraId="1070D946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E525FC">
              <w:rPr>
                <w:bCs/>
                <w:sz w:val="22"/>
                <w:szCs w:val="22"/>
                <w:lang w:val="sr-Latn-ME"/>
              </w:rPr>
              <w:t>angioedem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14:paraId="544C10D8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F6410E" w:rsidRPr="00E525FC" w14:paraId="157375DF" w14:textId="77777777" w:rsidTr="00341A5B">
        <w:tc>
          <w:tcPr>
            <w:tcW w:w="1863" w:type="dxa"/>
            <w:shd w:val="clear" w:color="auto" w:fill="auto"/>
          </w:tcPr>
          <w:p w14:paraId="7A21DC10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E525FC">
              <w:rPr>
                <w:b/>
                <w:sz w:val="22"/>
                <w:szCs w:val="22"/>
                <w:lang w:val="sr-Latn-ME" w:eastAsia="sr-Latn-CS"/>
              </w:rPr>
              <w:t>Por</w:t>
            </w:r>
            <w:r w:rsidRPr="00E525FC">
              <w:rPr>
                <w:b/>
                <w:spacing w:val="2"/>
                <w:sz w:val="22"/>
                <w:szCs w:val="22"/>
                <w:lang w:val="sr-Latn-ME" w:eastAsia="sr-Latn-CS"/>
              </w:rPr>
              <w:t>e</w:t>
            </w:r>
            <w:r w:rsidRPr="00E525FC">
              <w:rPr>
                <w:b/>
                <w:spacing w:val="-1"/>
                <w:sz w:val="22"/>
                <w:szCs w:val="22"/>
                <w:lang w:val="sr-Latn-ME" w:eastAsia="sr-Latn-CS"/>
              </w:rPr>
              <w:t>m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e</w:t>
            </w:r>
            <w:r w:rsidRPr="00E525FC">
              <w:rPr>
                <w:b/>
                <w:spacing w:val="1"/>
                <w:sz w:val="22"/>
                <w:szCs w:val="22"/>
                <w:lang w:val="sr-Latn-ME" w:eastAsia="sr-Latn-CS"/>
              </w:rPr>
              <w:t>ć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aji</w:t>
            </w:r>
            <w:r w:rsidRPr="00E525FC">
              <w:rPr>
                <w:b/>
                <w:spacing w:val="30"/>
                <w:sz w:val="22"/>
                <w:szCs w:val="22"/>
                <w:lang w:val="sr-Latn-ME" w:eastAsia="sr-Latn-CS"/>
              </w:rPr>
              <w:t xml:space="preserve"> 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nervnog</w:t>
            </w:r>
            <w:r w:rsidRPr="00E525FC">
              <w:rPr>
                <w:b/>
                <w:spacing w:val="23"/>
                <w:sz w:val="22"/>
                <w:szCs w:val="22"/>
                <w:lang w:val="sr-Latn-ME" w:eastAsia="sr-Latn-CS"/>
              </w:rPr>
              <w:t xml:space="preserve"> </w:t>
            </w:r>
            <w:r w:rsidRPr="00E525FC">
              <w:rPr>
                <w:b/>
                <w:w w:val="103"/>
                <w:sz w:val="22"/>
                <w:szCs w:val="22"/>
                <w:lang w:val="sr-Latn-ME" w:eastAsia="sr-Latn-CS"/>
              </w:rPr>
              <w:t>sistema</w:t>
            </w:r>
          </w:p>
        </w:tc>
        <w:tc>
          <w:tcPr>
            <w:tcW w:w="1845" w:type="dxa"/>
            <w:shd w:val="clear" w:color="auto" w:fill="auto"/>
          </w:tcPr>
          <w:p w14:paraId="000456BD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41804D21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Glavobolja,</w:t>
            </w:r>
          </w:p>
          <w:p w14:paraId="721BB4DE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vrtoglavica,</w:t>
            </w:r>
          </w:p>
          <w:p w14:paraId="2BF69419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E525FC">
              <w:rPr>
                <w:bCs/>
                <w:sz w:val="22"/>
                <w:szCs w:val="22"/>
                <w:lang w:val="sr-Latn-ME"/>
              </w:rPr>
              <w:t>parestezija</w:t>
            </w:r>
            <w:proofErr w:type="spellEnd"/>
            <w:r w:rsidRPr="00E525FC">
              <w:rPr>
                <w:bCs/>
                <w:sz w:val="22"/>
                <w:szCs w:val="22"/>
                <w:lang w:val="sr-Latn-ME"/>
              </w:rPr>
              <w:t xml:space="preserve"> usta i</w:t>
            </w:r>
          </w:p>
          <w:p w14:paraId="2D9C48D7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E525FC">
              <w:rPr>
                <w:bCs/>
                <w:sz w:val="22"/>
                <w:szCs w:val="22"/>
                <w:lang w:val="sr-Latn-ME"/>
              </w:rPr>
              <w:t>somnolencija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14:paraId="5FA33E10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1490E37A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F6410E" w:rsidRPr="00E525FC" w14:paraId="7BADC47F" w14:textId="77777777" w:rsidTr="00341A5B">
        <w:tc>
          <w:tcPr>
            <w:tcW w:w="1863" w:type="dxa"/>
            <w:shd w:val="clear" w:color="auto" w:fill="auto"/>
          </w:tcPr>
          <w:p w14:paraId="097DA87C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E525FC">
              <w:rPr>
                <w:b/>
                <w:sz w:val="22"/>
                <w:szCs w:val="22"/>
                <w:lang w:val="sr-Latn-ME" w:eastAsia="sr-Latn-CS"/>
              </w:rPr>
              <w:t>Kardiološki poremećaji</w:t>
            </w:r>
          </w:p>
        </w:tc>
        <w:tc>
          <w:tcPr>
            <w:tcW w:w="1845" w:type="dxa"/>
            <w:shd w:val="clear" w:color="auto" w:fill="auto"/>
          </w:tcPr>
          <w:p w14:paraId="34B54090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287AB1E6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Tahikardija</w:t>
            </w:r>
          </w:p>
        </w:tc>
        <w:tc>
          <w:tcPr>
            <w:tcW w:w="1845" w:type="dxa"/>
            <w:shd w:val="clear" w:color="auto" w:fill="auto"/>
          </w:tcPr>
          <w:p w14:paraId="06079961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6C93C307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F6410E" w:rsidRPr="00E525FC" w14:paraId="1EDBCFB9" w14:textId="77777777" w:rsidTr="00341A5B">
        <w:tc>
          <w:tcPr>
            <w:tcW w:w="1863" w:type="dxa"/>
            <w:shd w:val="clear" w:color="auto" w:fill="auto"/>
          </w:tcPr>
          <w:p w14:paraId="54583E23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E525FC">
              <w:rPr>
                <w:b/>
                <w:sz w:val="22"/>
                <w:szCs w:val="22"/>
                <w:lang w:val="sr-Latn-ME" w:eastAsia="sr-Latn-CS"/>
              </w:rPr>
              <w:t xml:space="preserve">Respiratorni, 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lastRenderedPageBreak/>
              <w:t xml:space="preserve">torakalni i </w:t>
            </w:r>
            <w:proofErr w:type="spellStart"/>
            <w:r w:rsidRPr="00E525FC">
              <w:rPr>
                <w:b/>
                <w:sz w:val="22"/>
                <w:szCs w:val="22"/>
                <w:lang w:val="sr-Latn-ME" w:eastAsia="sr-Latn-CS"/>
              </w:rPr>
              <w:t>medijastinalni</w:t>
            </w:r>
            <w:proofErr w:type="spellEnd"/>
            <w:r w:rsidRPr="00E525FC">
              <w:rPr>
                <w:b/>
                <w:spacing w:val="18"/>
                <w:sz w:val="22"/>
                <w:szCs w:val="22"/>
                <w:lang w:val="sr-Latn-ME" w:eastAsia="sr-Latn-CS"/>
              </w:rPr>
              <w:t xml:space="preserve"> 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poremećaji</w:t>
            </w:r>
          </w:p>
        </w:tc>
        <w:tc>
          <w:tcPr>
            <w:tcW w:w="1845" w:type="dxa"/>
            <w:shd w:val="clear" w:color="auto" w:fill="auto"/>
          </w:tcPr>
          <w:p w14:paraId="5854A43F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422DF56E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782D500E" w14:textId="467824CC" w:rsidR="00F6410E" w:rsidRPr="00E525FC" w:rsidRDefault="00F6410E" w:rsidP="003900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 w:eastAsia="sr-Latn-CS"/>
              </w:rPr>
            </w:pPr>
            <w:proofErr w:type="spellStart"/>
            <w:r w:rsidRPr="00E525FC">
              <w:rPr>
                <w:sz w:val="22"/>
                <w:szCs w:val="22"/>
                <w:lang w:val="sr-Latn-ME" w:eastAsia="sr-Latn-CS"/>
              </w:rPr>
              <w:t>Intersticij</w:t>
            </w:r>
            <w:r w:rsidR="00FF5D8C" w:rsidRPr="00E525FC">
              <w:rPr>
                <w:sz w:val="22"/>
                <w:szCs w:val="22"/>
                <w:lang w:val="sr-Latn-ME" w:eastAsia="sr-Latn-CS"/>
              </w:rPr>
              <w:t>alna</w:t>
            </w:r>
            <w:proofErr w:type="spellEnd"/>
          </w:p>
          <w:p w14:paraId="7D6513C8" w14:textId="77777777" w:rsidR="00F6410E" w:rsidRPr="00E525FC" w:rsidRDefault="00F6410E" w:rsidP="00390072">
            <w:pPr>
              <w:widowControl w:val="0"/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sr-Latn-ME" w:eastAsia="sr-Latn-CS"/>
              </w:rPr>
            </w:pPr>
            <w:r w:rsidRPr="00E525FC">
              <w:rPr>
                <w:rFonts w:eastAsia="TimesNewRomanPSMT"/>
                <w:sz w:val="22"/>
                <w:szCs w:val="22"/>
                <w:lang w:val="sr-Latn-ME" w:eastAsia="sr-Latn-CS"/>
              </w:rPr>
              <w:lastRenderedPageBreak/>
              <w:t>bolest pluća</w:t>
            </w:r>
          </w:p>
          <w:p w14:paraId="29B4D2AC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sz w:val="22"/>
                <w:szCs w:val="22"/>
                <w:lang w:val="sr-Latn-ME" w:eastAsia="sr-Latn-CS"/>
              </w:rPr>
              <w:t>(vidjeti dio 4.4)</w:t>
            </w:r>
          </w:p>
        </w:tc>
        <w:tc>
          <w:tcPr>
            <w:tcW w:w="1845" w:type="dxa"/>
            <w:shd w:val="clear" w:color="auto" w:fill="auto"/>
          </w:tcPr>
          <w:p w14:paraId="1902E36F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F6410E" w:rsidRPr="00E525FC" w14:paraId="6AAD369D" w14:textId="77777777" w:rsidTr="00341A5B">
        <w:tc>
          <w:tcPr>
            <w:tcW w:w="1863" w:type="dxa"/>
            <w:shd w:val="clear" w:color="auto" w:fill="auto"/>
          </w:tcPr>
          <w:p w14:paraId="71BCC119" w14:textId="77777777" w:rsidR="00F6410E" w:rsidRPr="00E525FC" w:rsidRDefault="00F6410E" w:rsidP="00390072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b/>
                <w:sz w:val="22"/>
                <w:szCs w:val="22"/>
                <w:lang w:val="sr-Latn-ME" w:eastAsia="sr-Latn-CS"/>
              </w:rPr>
            </w:pPr>
            <w:r w:rsidRPr="00E525FC">
              <w:rPr>
                <w:b/>
                <w:sz w:val="22"/>
                <w:szCs w:val="22"/>
                <w:lang w:val="sr-Latn-ME" w:eastAsia="sr-Latn-CS"/>
              </w:rPr>
              <w:t>Gastrointestinalni poremećaji</w:t>
            </w:r>
          </w:p>
        </w:tc>
        <w:tc>
          <w:tcPr>
            <w:tcW w:w="1845" w:type="dxa"/>
            <w:shd w:val="clear" w:color="auto" w:fill="auto"/>
          </w:tcPr>
          <w:p w14:paraId="7148D490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Mučnina</w:t>
            </w:r>
          </w:p>
        </w:tc>
        <w:tc>
          <w:tcPr>
            <w:tcW w:w="1845" w:type="dxa"/>
            <w:shd w:val="clear" w:color="auto" w:fill="auto"/>
          </w:tcPr>
          <w:p w14:paraId="120F9B84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Proliv, bol u</w:t>
            </w:r>
          </w:p>
          <w:p w14:paraId="7BCDCC86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abdomenu,</w:t>
            </w:r>
          </w:p>
          <w:p w14:paraId="212C2C04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povraćanje</w:t>
            </w:r>
          </w:p>
        </w:tc>
        <w:tc>
          <w:tcPr>
            <w:tcW w:w="1845" w:type="dxa"/>
            <w:shd w:val="clear" w:color="auto" w:fill="auto"/>
          </w:tcPr>
          <w:p w14:paraId="36A14855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E525FC">
              <w:rPr>
                <w:bCs/>
                <w:sz w:val="22"/>
                <w:szCs w:val="22"/>
                <w:lang w:val="sr-Latn-ME"/>
              </w:rPr>
              <w:t>Pankreatitis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14:paraId="6460A52A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E73CBC" w:rsidRPr="00E525FC" w14:paraId="3F5D5DB9" w14:textId="77777777" w:rsidTr="00341A5B">
        <w:tc>
          <w:tcPr>
            <w:tcW w:w="1863" w:type="dxa"/>
            <w:shd w:val="clear" w:color="auto" w:fill="auto"/>
          </w:tcPr>
          <w:p w14:paraId="09E79ECA" w14:textId="44E2948B" w:rsidR="00E73CBC" w:rsidRPr="00E525FC" w:rsidRDefault="00E73CBC" w:rsidP="00390072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b/>
                <w:sz w:val="22"/>
                <w:szCs w:val="22"/>
                <w:lang w:val="sr-Latn-ME" w:eastAsia="sr-Latn-CS"/>
              </w:rPr>
            </w:pPr>
            <w:r w:rsidRPr="00E525FC">
              <w:rPr>
                <w:b/>
                <w:sz w:val="22"/>
                <w:szCs w:val="22"/>
                <w:lang w:val="sr-Latn-ME" w:eastAsia="sr-Latn-CS"/>
              </w:rPr>
              <w:t>Poremećaji kože i potkožnog tkiva</w:t>
            </w:r>
          </w:p>
        </w:tc>
        <w:tc>
          <w:tcPr>
            <w:tcW w:w="1845" w:type="dxa"/>
            <w:shd w:val="clear" w:color="auto" w:fill="auto"/>
          </w:tcPr>
          <w:p w14:paraId="15C372A4" w14:textId="77777777" w:rsidR="00E73CBC" w:rsidRPr="00E525FC" w:rsidRDefault="00E73CBC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0611CD75" w14:textId="77777777" w:rsidR="00E73CBC" w:rsidRPr="00E525FC" w:rsidRDefault="00E73CBC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7403A6BE" w14:textId="77777777" w:rsidR="00E73CBC" w:rsidRPr="00E525FC" w:rsidRDefault="00E73CBC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4B20AB6D" w14:textId="0A288FFD" w:rsidR="00E73CBC" w:rsidRPr="00E525FC" w:rsidRDefault="00434DC7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O</w:t>
            </w:r>
            <w:r w:rsidR="00E73CBC" w:rsidRPr="00E525FC">
              <w:rPr>
                <w:bCs/>
                <w:sz w:val="22"/>
                <w:szCs w:val="22"/>
                <w:lang w:val="sr-Latn-ME"/>
              </w:rPr>
              <w:t>sip</w:t>
            </w:r>
          </w:p>
        </w:tc>
      </w:tr>
      <w:tr w:rsidR="00F6410E" w:rsidRPr="00E525FC" w14:paraId="5207DD15" w14:textId="77777777" w:rsidTr="00341A5B">
        <w:tc>
          <w:tcPr>
            <w:tcW w:w="1863" w:type="dxa"/>
            <w:shd w:val="clear" w:color="auto" w:fill="auto"/>
          </w:tcPr>
          <w:p w14:paraId="121516A1" w14:textId="77777777" w:rsidR="00F6410E" w:rsidRPr="00E525FC" w:rsidRDefault="00F6410E" w:rsidP="0039007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 w:eastAsia="sr-Latn-CS"/>
              </w:rPr>
            </w:pPr>
            <w:proofErr w:type="spellStart"/>
            <w:r w:rsidRPr="00E525FC">
              <w:rPr>
                <w:b/>
                <w:sz w:val="22"/>
                <w:szCs w:val="22"/>
                <w:lang w:val="sr-Latn-ME" w:eastAsia="sr-Latn-CS"/>
              </w:rPr>
              <w:t>Hepatobilijarni</w:t>
            </w:r>
            <w:proofErr w:type="spellEnd"/>
            <w:r w:rsidRPr="00E525FC">
              <w:rPr>
                <w:b/>
                <w:sz w:val="22"/>
                <w:szCs w:val="22"/>
                <w:lang w:val="sr-Latn-ME" w:eastAsia="sr-Latn-CS"/>
              </w:rPr>
              <w:t xml:space="preserve"> por</w:t>
            </w:r>
            <w:r w:rsidRPr="00E525FC">
              <w:rPr>
                <w:b/>
                <w:spacing w:val="2"/>
                <w:sz w:val="22"/>
                <w:szCs w:val="22"/>
                <w:lang w:val="sr-Latn-ME" w:eastAsia="sr-Latn-CS"/>
              </w:rPr>
              <w:t>e</w:t>
            </w:r>
            <w:r w:rsidRPr="00E525FC">
              <w:rPr>
                <w:b/>
                <w:spacing w:val="-1"/>
                <w:sz w:val="22"/>
                <w:szCs w:val="22"/>
                <w:lang w:val="sr-Latn-ME" w:eastAsia="sr-Latn-CS"/>
              </w:rPr>
              <w:t>m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e</w:t>
            </w:r>
            <w:r w:rsidRPr="00E525FC">
              <w:rPr>
                <w:b/>
                <w:spacing w:val="1"/>
                <w:sz w:val="22"/>
                <w:szCs w:val="22"/>
                <w:lang w:val="sr-Latn-ME" w:eastAsia="sr-Latn-CS"/>
              </w:rPr>
              <w:t>ć</w:t>
            </w:r>
            <w:r w:rsidRPr="00E525FC">
              <w:rPr>
                <w:b/>
                <w:sz w:val="22"/>
                <w:szCs w:val="22"/>
                <w:lang w:val="sr-Latn-ME" w:eastAsia="sr-Latn-CS"/>
              </w:rPr>
              <w:t>aji</w:t>
            </w:r>
            <w:r w:rsidRPr="00E525FC">
              <w:rPr>
                <w:b/>
                <w:spacing w:val="30"/>
                <w:sz w:val="22"/>
                <w:szCs w:val="22"/>
                <w:lang w:val="sr-Latn-ME" w:eastAsia="sr-Latn-CS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14:paraId="4E11E00D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Odstupanja od normalnih</w:t>
            </w:r>
          </w:p>
          <w:p w14:paraId="1ECD2A17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vrijednosti testova funkcije jetre</w:t>
            </w:r>
          </w:p>
        </w:tc>
        <w:tc>
          <w:tcPr>
            <w:tcW w:w="1845" w:type="dxa"/>
            <w:shd w:val="clear" w:color="auto" w:fill="auto"/>
          </w:tcPr>
          <w:p w14:paraId="3FD48641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572F338B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48D943B9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Hepatitis</w:t>
            </w:r>
          </w:p>
        </w:tc>
      </w:tr>
      <w:tr w:rsidR="00F6410E" w:rsidRPr="00E525FC" w14:paraId="063F3297" w14:textId="77777777" w:rsidTr="00341A5B">
        <w:tc>
          <w:tcPr>
            <w:tcW w:w="1863" w:type="dxa"/>
            <w:shd w:val="clear" w:color="auto" w:fill="auto"/>
          </w:tcPr>
          <w:p w14:paraId="12B95668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E525FC">
              <w:rPr>
                <w:b/>
                <w:bCs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1845" w:type="dxa"/>
            <w:shd w:val="clear" w:color="auto" w:fill="auto"/>
          </w:tcPr>
          <w:p w14:paraId="6B349D35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Astenija</w:t>
            </w:r>
          </w:p>
        </w:tc>
        <w:tc>
          <w:tcPr>
            <w:tcW w:w="1845" w:type="dxa"/>
            <w:shd w:val="clear" w:color="auto" w:fill="auto"/>
          </w:tcPr>
          <w:p w14:paraId="5C7FFAC1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E525FC">
              <w:rPr>
                <w:bCs/>
                <w:sz w:val="22"/>
                <w:szCs w:val="22"/>
                <w:lang w:val="sr-Latn-ME"/>
              </w:rPr>
              <w:t>Bol</w:t>
            </w:r>
          </w:p>
        </w:tc>
        <w:tc>
          <w:tcPr>
            <w:tcW w:w="1845" w:type="dxa"/>
            <w:shd w:val="clear" w:color="auto" w:fill="auto"/>
          </w:tcPr>
          <w:p w14:paraId="34C3ABBC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45" w:type="dxa"/>
            <w:shd w:val="clear" w:color="auto" w:fill="auto"/>
          </w:tcPr>
          <w:p w14:paraId="51A01B2B" w14:textId="77777777" w:rsidR="00F6410E" w:rsidRPr="00E525FC" w:rsidRDefault="00F6410E" w:rsidP="00390072">
            <w:pPr>
              <w:widowControl w:val="0"/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</w:tr>
    </w:tbl>
    <w:p w14:paraId="418488E5" w14:textId="77777777" w:rsidR="00F6410E" w:rsidRPr="00E525FC" w:rsidRDefault="00F6410E" w:rsidP="00390072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1484A252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E525FC">
        <w:rPr>
          <w:bCs/>
          <w:sz w:val="22"/>
          <w:szCs w:val="22"/>
          <w:u w:val="single"/>
          <w:lang w:val="sr-Latn-ME"/>
        </w:rPr>
        <w:t>Opis odabranih neželjenih dejstava</w:t>
      </w:r>
    </w:p>
    <w:p w14:paraId="3F53D132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D8D47DB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E525FC">
        <w:rPr>
          <w:bCs/>
          <w:i/>
          <w:sz w:val="22"/>
          <w:szCs w:val="22"/>
          <w:lang w:val="sr-Latn-ME"/>
        </w:rPr>
        <w:t>Poremećaji jetre i žuči</w:t>
      </w:r>
    </w:p>
    <w:p w14:paraId="24E42F82" w14:textId="4FA015C6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 xml:space="preserve">Povišenje vrijednosti </w:t>
      </w:r>
      <w:proofErr w:type="spellStart"/>
      <w:r w:rsidRPr="00E525FC">
        <w:rPr>
          <w:bCs/>
          <w:sz w:val="22"/>
          <w:szCs w:val="22"/>
          <w:lang w:val="sr-Latn-ME"/>
        </w:rPr>
        <w:t>alanin</w:t>
      </w:r>
      <w:proofErr w:type="spellEnd"/>
      <w:r w:rsidRPr="00E525FC">
        <w:rPr>
          <w:bCs/>
          <w:sz w:val="22"/>
          <w:szCs w:val="22"/>
          <w:lang w:val="sr-Latn-ME"/>
        </w:rPr>
        <w:t xml:space="preserve"> </w:t>
      </w:r>
      <w:proofErr w:type="spellStart"/>
      <w:r w:rsidRPr="00E525FC">
        <w:rPr>
          <w:bCs/>
          <w:sz w:val="22"/>
          <w:szCs w:val="22"/>
          <w:lang w:val="sr-Latn-ME"/>
        </w:rPr>
        <w:t>aminotransferaze</w:t>
      </w:r>
      <w:proofErr w:type="spellEnd"/>
      <w:r w:rsidRPr="00E525FC">
        <w:rPr>
          <w:bCs/>
          <w:sz w:val="22"/>
          <w:szCs w:val="22"/>
          <w:lang w:val="sr-Latn-ME"/>
        </w:rPr>
        <w:t xml:space="preserve"> obično se pojavilo 3 mjeseca od početka terapije</w:t>
      </w:r>
      <w:r w:rsidR="00A03D9E" w:rsidRPr="00E525FC">
        <w:rPr>
          <w:bCs/>
          <w:sz w:val="22"/>
          <w:szCs w:val="22"/>
          <w:lang w:val="sr-Latn-ME"/>
        </w:rPr>
        <w:t xml:space="preserve"> </w:t>
      </w:r>
      <w:proofErr w:type="spellStart"/>
      <w:r w:rsidRPr="00E525FC">
        <w:rPr>
          <w:bCs/>
          <w:sz w:val="22"/>
          <w:szCs w:val="22"/>
          <w:lang w:val="sr-Latn-ME"/>
        </w:rPr>
        <w:t>riluzolom</w:t>
      </w:r>
      <w:proofErr w:type="spellEnd"/>
      <w:r w:rsidRPr="00E525FC">
        <w:rPr>
          <w:bCs/>
          <w:sz w:val="22"/>
          <w:szCs w:val="22"/>
          <w:lang w:val="sr-Latn-ME"/>
        </w:rPr>
        <w:t>; obično je bilo prolazno i vrijednosti su se uz nastavak liječenja vratile na manje od dva puta</w:t>
      </w:r>
    </w:p>
    <w:p w14:paraId="60FF4453" w14:textId="1A40EE45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>iznad gornje granice referentnih vrijednosti,  nakon 2 do 6 mjeseci. Ovo povišenje vrijednosti moglo bi biti povezano sa žuticom. Kod pacijenata (n=20) u kliničkim ispitivanjima kojima je ALT porastao više od 5 puta iznad gornje granice referentnih vrijednosti liječenje je prekinuto, a vrijednosti enzima su se u većini slučajeva vratile na manje od 2 puta iznad gornje granice referentnih vrijednosti, u roku od 2 do 4 mjeseca (vidjeti dio 4.4).</w:t>
      </w:r>
    </w:p>
    <w:p w14:paraId="3BED112C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E6D578" w14:textId="2BC24041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>Podaci iz ispitivanja ukazuju na to da pacijenti azijskog porijekla mogu biti skloniji poremećajima</w:t>
      </w:r>
      <w:r w:rsidR="00E834C9" w:rsidRPr="00E525FC">
        <w:rPr>
          <w:bCs/>
          <w:sz w:val="22"/>
          <w:szCs w:val="22"/>
          <w:lang w:val="sr-Latn-ME"/>
        </w:rPr>
        <w:t xml:space="preserve"> </w:t>
      </w:r>
      <w:r w:rsidRPr="00E525FC">
        <w:rPr>
          <w:bCs/>
          <w:sz w:val="22"/>
          <w:szCs w:val="22"/>
          <w:lang w:val="sr-Latn-ME"/>
        </w:rPr>
        <w:t>vrijednosti testova funkcije jetre - 3,2% (194/5995) pacijenata azijskog porijekla i 1,8% (100/5641)</w:t>
      </w:r>
      <w:r w:rsidR="00E834C9" w:rsidRPr="00E525FC">
        <w:rPr>
          <w:bCs/>
          <w:sz w:val="22"/>
          <w:szCs w:val="22"/>
          <w:lang w:val="sr-Latn-ME"/>
        </w:rPr>
        <w:t xml:space="preserve"> </w:t>
      </w:r>
      <w:r w:rsidRPr="00E525FC">
        <w:rPr>
          <w:bCs/>
          <w:sz w:val="22"/>
          <w:szCs w:val="22"/>
          <w:lang w:val="sr-Latn-ME"/>
        </w:rPr>
        <w:t>bijelaca.</w:t>
      </w:r>
    </w:p>
    <w:p w14:paraId="382D0840" w14:textId="77777777" w:rsidR="006026FB" w:rsidRPr="00E525FC" w:rsidRDefault="006026FB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E8EA24B" w14:textId="77777777" w:rsidR="005A23D2" w:rsidRPr="00E525FC" w:rsidRDefault="005A23D2" w:rsidP="00131CE3">
      <w:pPr>
        <w:widowControl w:val="0"/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E525FC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0F4E865" w14:textId="56EA85B4" w:rsidR="005A23D2" w:rsidRPr="00E525FC" w:rsidRDefault="005A23D2">
      <w:pPr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525FC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E525FC">
        <w:rPr>
          <w:rFonts w:eastAsia="Calibri"/>
          <w:sz w:val="22"/>
          <w:szCs w:val="22"/>
          <w:lang w:val="sr-Latn-ME"/>
        </w:rPr>
        <w:t>inuirano praćenje odnosa korist</w:t>
      </w:r>
      <w:r w:rsidRPr="00E525FC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E525FC">
        <w:rPr>
          <w:rFonts w:eastAsia="Calibri"/>
          <w:sz w:val="22"/>
          <w:szCs w:val="22"/>
          <w:lang w:val="sr-Latn-ME"/>
        </w:rPr>
        <w:t xml:space="preserve"> </w:t>
      </w:r>
      <w:r w:rsidRPr="00E525FC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E525FC">
        <w:rPr>
          <w:rFonts w:eastAsia="Calibri"/>
          <w:sz w:val="22"/>
          <w:szCs w:val="22"/>
          <w:lang w:val="sr-Latn-ME"/>
        </w:rPr>
        <w:t>Institutu</w:t>
      </w:r>
      <w:r w:rsidRPr="00E525FC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E525FC">
        <w:rPr>
          <w:rFonts w:eastAsia="Calibri"/>
          <w:sz w:val="22"/>
          <w:szCs w:val="22"/>
          <w:lang w:val="sr-Latn-ME"/>
        </w:rPr>
        <w:t xml:space="preserve"> </w:t>
      </w:r>
      <w:r w:rsidRPr="00E525FC">
        <w:rPr>
          <w:rFonts w:eastAsia="Calibri"/>
          <w:sz w:val="22"/>
          <w:szCs w:val="22"/>
          <w:lang w:val="sr-Latn-ME"/>
        </w:rPr>
        <w:t>(</w:t>
      </w:r>
      <w:r w:rsidR="004E70AD" w:rsidRPr="00E525FC">
        <w:rPr>
          <w:rFonts w:eastAsia="Calibri"/>
          <w:sz w:val="22"/>
          <w:szCs w:val="22"/>
          <w:lang w:val="sr-Latn-ME"/>
        </w:rPr>
        <w:t>CInMED</w:t>
      </w:r>
      <w:r w:rsidRPr="00E525FC">
        <w:rPr>
          <w:rFonts w:eastAsia="Calibri"/>
          <w:sz w:val="22"/>
          <w:szCs w:val="22"/>
          <w:lang w:val="sr-Latn-ME"/>
        </w:rPr>
        <w:t>):</w:t>
      </w:r>
    </w:p>
    <w:p w14:paraId="7E18323D" w14:textId="77777777" w:rsidR="000054E1" w:rsidRPr="00E525FC" w:rsidRDefault="000054E1">
      <w:pPr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5E8439AA" w14:textId="77777777" w:rsidR="005A23D2" w:rsidRPr="00E525FC" w:rsidRDefault="004E70AD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525FC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E525FC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1A519D5" w14:textId="77777777" w:rsidR="005A23D2" w:rsidRPr="00E525FC" w:rsidRDefault="005A23D2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525FC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E525FC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05DCC983" w14:textId="77777777" w:rsidR="00EA5765" w:rsidRPr="00E525FC" w:rsidRDefault="005A23D2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525F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22B64DC" w14:textId="77777777" w:rsidR="00EA5765" w:rsidRPr="00E525FC" w:rsidRDefault="00EA5765" w:rsidP="00131CE3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55C8FD39" w14:textId="77777777" w:rsidR="005A23D2" w:rsidRPr="00E525FC" w:rsidRDefault="005A23D2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525FC">
        <w:rPr>
          <w:rFonts w:eastAsia="Calibri"/>
          <w:sz w:val="22"/>
          <w:szCs w:val="22"/>
          <w:lang w:val="sr-Latn-ME"/>
        </w:rPr>
        <w:t>tel: +382 (0) 20 310 280</w:t>
      </w:r>
    </w:p>
    <w:p w14:paraId="1AA7617B" w14:textId="77777777" w:rsidR="00EA5765" w:rsidRPr="00E525FC" w:rsidRDefault="005A23D2">
      <w:pPr>
        <w:pStyle w:val="NoSpacing"/>
        <w:widowControl w:val="0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E525FC">
        <w:rPr>
          <w:rFonts w:eastAsia="Calibri"/>
          <w:sz w:val="22"/>
          <w:szCs w:val="22"/>
          <w:lang w:val="sr-Latn-ME"/>
        </w:rPr>
        <w:t>fax</w:t>
      </w:r>
      <w:proofErr w:type="spellEnd"/>
      <w:r w:rsidRPr="00E525FC">
        <w:rPr>
          <w:rFonts w:eastAsia="Calibri"/>
          <w:sz w:val="22"/>
          <w:szCs w:val="22"/>
          <w:lang w:val="sr-Latn-ME"/>
        </w:rPr>
        <w:t>:</w:t>
      </w:r>
      <w:r w:rsidR="00EA5765" w:rsidRPr="00E525FC">
        <w:rPr>
          <w:rFonts w:eastAsia="Calibri"/>
          <w:sz w:val="22"/>
          <w:szCs w:val="22"/>
          <w:lang w:val="sr-Latn-ME"/>
        </w:rPr>
        <w:t xml:space="preserve"> </w:t>
      </w:r>
      <w:r w:rsidRPr="00E525FC">
        <w:rPr>
          <w:rFonts w:eastAsia="Calibri"/>
          <w:sz w:val="22"/>
          <w:szCs w:val="22"/>
          <w:lang w:val="sr-Latn-ME"/>
        </w:rPr>
        <w:t>+382 (0) 20 310 581</w:t>
      </w:r>
      <w:r w:rsidR="00FF3EDF" w:rsidRPr="00E525FC">
        <w:rPr>
          <w:rFonts w:eastAsia="Calibri"/>
          <w:sz w:val="22"/>
          <w:szCs w:val="22"/>
          <w:lang w:val="sr-Latn-ME"/>
        </w:rPr>
        <w:tab/>
      </w:r>
    </w:p>
    <w:p w14:paraId="22537A23" w14:textId="77777777" w:rsidR="005A23D2" w:rsidRPr="00E525FC" w:rsidRDefault="002B2F4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E525F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7814B02" w14:textId="77777777" w:rsidR="00EA5765" w:rsidRPr="00E525FC" w:rsidRDefault="002B2F46">
      <w:pPr>
        <w:pStyle w:val="NoSpacing"/>
        <w:widowControl w:val="0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E525F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62771B4" w14:textId="77777777" w:rsidR="005A23D2" w:rsidRPr="00E525FC" w:rsidRDefault="005A23D2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525FC">
        <w:rPr>
          <w:rFonts w:eastAsia="Calibri"/>
          <w:sz w:val="22"/>
          <w:szCs w:val="22"/>
          <w:lang w:val="sr-Latn-ME"/>
        </w:rPr>
        <w:t>putem IS zdravstvene zaštite</w:t>
      </w:r>
    </w:p>
    <w:p w14:paraId="2241E879" w14:textId="77777777" w:rsidR="007E31E9" w:rsidRPr="00E525FC" w:rsidRDefault="007E31E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525FC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E525FC">
        <w:rPr>
          <w:rFonts w:eastAsia="Calibri"/>
          <w:sz w:val="22"/>
          <w:szCs w:val="22"/>
          <w:lang w:val="sr-Latn-ME"/>
        </w:rPr>
        <w:t>online</w:t>
      </w:r>
      <w:proofErr w:type="spellEnd"/>
      <w:r w:rsidRPr="00E525FC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E525FC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E525FC">
        <w:rPr>
          <w:rFonts w:eastAsia="Calibri"/>
          <w:sz w:val="22"/>
          <w:szCs w:val="22"/>
          <w:lang w:val="sr-Latn-ME"/>
        </w:rPr>
        <w:t>:</w:t>
      </w:r>
    </w:p>
    <w:p w14:paraId="55803AE1" w14:textId="77777777" w:rsidR="004F17E2" w:rsidRPr="00E525FC" w:rsidRDefault="004F17E2" w:rsidP="00131CE3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335FAA2C" w14:textId="77777777" w:rsidR="00836B35" w:rsidRPr="00E525FC" w:rsidRDefault="007F661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30DD35D5" wp14:editId="0E9C5E94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F56AEC" w14:textId="77777777" w:rsidR="00E73CBC" w:rsidRPr="00E525FC" w:rsidRDefault="00E73CBC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F50A675" w14:textId="3800488E" w:rsidR="00CD6F02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4.9.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proofErr w:type="spellStart"/>
      <w:r w:rsidRPr="00E525FC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E525FC">
        <w:rPr>
          <w:b/>
          <w:bCs/>
          <w:sz w:val="22"/>
          <w:szCs w:val="22"/>
          <w:lang w:val="sr-Latn-ME"/>
        </w:rPr>
        <w:t xml:space="preserve"> </w:t>
      </w:r>
    </w:p>
    <w:p w14:paraId="7DEC3CAF" w14:textId="77777777" w:rsidR="00390072" w:rsidRPr="00E525FC" w:rsidRDefault="00390072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3014D82" w14:textId="77777777" w:rsidR="00E73CBC" w:rsidRPr="00E525FC" w:rsidRDefault="00E73CBC" w:rsidP="00131CE3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lastRenderedPageBreak/>
        <w:t xml:space="preserve">U izolovanim slučajevima javili su se neurološki i psihijatrijski simptomi, akutna toksička </w:t>
      </w:r>
      <w:proofErr w:type="spellStart"/>
      <w:r w:rsidRPr="00E525FC">
        <w:rPr>
          <w:sz w:val="22"/>
          <w:szCs w:val="22"/>
          <w:lang w:val="sr-Latn-ME"/>
        </w:rPr>
        <w:t>encefalopatija</w:t>
      </w:r>
      <w:proofErr w:type="spellEnd"/>
      <w:r w:rsidRPr="00E525FC">
        <w:rPr>
          <w:sz w:val="22"/>
          <w:szCs w:val="22"/>
          <w:lang w:val="sr-Latn-ME"/>
        </w:rPr>
        <w:t xml:space="preserve"> sa </w:t>
      </w:r>
      <w:proofErr w:type="spellStart"/>
      <w:r w:rsidRPr="00E525FC">
        <w:rPr>
          <w:sz w:val="22"/>
          <w:szCs w:val="22"/>
          <w:lang w:val="sr-Latn-ME"/>
        </w:rPr>
        <w:t>stuporom</w:t>
      </w:r>
      <w:proofErr w:type="spellEnd"/>
      <w:r w:rsidRPr="00E525FC">
        <w:rPr>
          <w:sz w:val="22"/>
          <w:szCs w:val="22"/>
          <w:lang w:val="sr-Latn-ME"/>
        </w:rPr>
        <w:t xml:space="preserve">, koma i </w:t>
      </w:r>
      <w:proofErr w:type="spellStart"/>
      <w:r w:rsidRPr="00E525FC">
        <w:rPr>
          <w:sz w:val="22"/>
          <w:szCs w:val="22"/>
          <w:lang w:val="sr-Latn-ME"/>
        </w:rPr>
        <w:t>methemoglobinemija</w:t>
      </w:r>
      <w:proofErr w:type="spellEnd"/>
      <w:r w:rsidRPr="00E525FC">
        <w:rPr>
          <w:sz w:val="22"/>
          <w:szCs w:val="22"/>
          <w:lang w:val="sr-Latn-ME"/>
        </w:rPr>
        <w:t>.</w:t>
      </w:r>
    </w:p>
    <w:p w14:paraId="740E9F68" w14:textId="04074441" w:rsidR="00CD6F02" w:rsidRPr="00E525FC" w:rsidRDefault="00E73CBC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U</w:t>
      </w:r>
      <w:r w:rsidRPr="00E525FC">
        <w:rPr>
          <w:spacing w:val="-9"/>
          <w:sz w:val="22"/>
          <w:szCs w:val="22"/>
          <w:lang w:val="sr-Latn-ME"/>
        </w:rPr>
        <w:t xml:space="preserve"> </w:t>
      </w:r>
      <w:r w:rsidRPr="00E525FC">
        <w:rPr>
          <w:sz w:val="22"/>
          <w:szCs w:val="22"/>
          <w:lang w:val="sr-Latn-ME"/>
        </w:rPr>
        <w:t>slučaju</w:t>
      </w:r>
      <w:r w:rsidRPr="00E525FC">
        <w:rPr>
          <w:spacing w:val="-7"/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predoziranja</w:t>
      </w:r>
      <w:proofErr w:type="spellEnd"/>
      <w:r w:rsidRPr="00E525FC">
        <w:rPr>
          <w:sz w:val="22"/>
          <w:szCs w:val="22"/>
          <w:lang w:val="sr-Latn-ME"/>
        </w:rPr>
        <w:t>,</w:t>
      </w:r>
      <w:r w:rsidRPr="00E525FC">
        <w:rPr>
          <w:spacing w:val="-5"/>
          <w:sz w:val="22"/>
          <w:szCs w:val="22"/>
          <w:lang w:val="sr-Latn-ME"/>
        </w:rPr>
        <w:t xml:space="preserve"> </w:t>
      </w:r>
      <w:r w:rsidRPr="00E525FC">
        <w:rPr>
          <w:sz w:val="22"/>
          <w:szCs w:val="22"/>
          <w:lang w:val="sr-Latn-ME"/>
        </w:rPr>
        <w:t>terapija</w:t>
      </w:r>
      <w:r w:rsidRPr="00E525FC">
        <w:rPr>
          <w:spacing w:val="-2"/>
          <w:sz w:val="22"/>
          <w:szCs w:val="22"/>
          <w:lang w:val="sr-Latn-ME"/>
        </w:rPr>
        <w:t xml:space="preserve"> </w:t>
      </w:r>
      <w:r w:rsidRPr="00E525FC">
        <w:rPr>
          <w:sz w:val="22"/>
          <w:szCs w:val="22"/>
          <w:lang w:val="sr-Latn-ME"/>
        </w:rPr>
        <w:t>je</w:t>
      </w:r>
      <w:r w:rsidRPr="00E525FC">
        <w:rPr>
          <w:spacing w:val="-7"/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simptomatska</w:t>
      </w:r>
      <w:proofErr w:type="spellEnd"/>
      <w:r w:rsidRPr="00E525FC">
        <w:rPr>
          <w:spacing w:val="-2"/>
          <w:sz w:val="22"/>
          <w:szCs w:val="22"/>
          <w:lang w:val="sr-Latn-ME"/>
        </w:rPr>
        <w:t xml:space="preserve"> </w:t>
      </w:r>
      <w:r w:rsidRPr="00E525FC">
        <w:rPr>
          <w:sz w:val="22"/>
          <w:szCs w:val="22"/>
          <w:lang w:val="sr-Latn-ME"/>
        </w:rPr>
        <w:t>i</w:t>
      </w:r>
      <w:r w:rsidRPr="00E525FC">
        <w:rPr>
          <w:spacing w:val="-6"/>
          <w:sz w:val="22"/>
          <w:szCs w:val="22"/>
          <w:lang w:val="sr-Latn-ME"/>
        </w:rPr>
        <w:t xml:space="preserve"> </w:t>
      </w:r>
      <w:proofErr w:type="spellStart"/>
      <w:r w:rsidRPr="00E525FC">
        <w:rPr>
          <w:spacing w:val="-2"/>
          <w:sz w:val="22"/>
          <w:szCs w:val="22"/>
          <w:lang w:val="sr-Latn-ME"/>
        </w:rPr>
        <w:t>suportivna</w:t>
      </w:r>
      <w:proofErr w:type="spellEnd"/>
      <w:r w:rsidRPr="00E525FC">
        <w:rPr>
          <w:spacing w:val="-2"/>
          <w:sz w:val="22"/>
          <w:szCs w:val="22"/>
          <w:lang w:val="sr-Latn-ME"/>
        </w:rPr>
        <w:t>.</w:t>
      </w:r>
    </w:p>
    <w:p w14:paraId="70064EDE" w14:textId="51F92271" w:rsidR="00227BDB" w:rsidRPr="00E525FC" w:rsidRDefault="00227BDB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AB2F1A" w14:textId="77777777" w:rsidR="003F1CFE" w:rsidRPr="00E525FC" w:rsidRDefault="003F1CF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D0C7EAE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5.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FARMAKOLOŠK</w:t>
      </w:r>
      <w:r w:rsidR="000D425A" w:rsidRPr="00E525FC">
        <w:rPr>
          <w:b/>
          <w:bCs/>
          <w:sz w:val="22"/>
          <w:szCs w:val="22"/>
          <w:lang w:val="sr-Latn-ME"/>
        </w:rPr>
        <w:t>I</w:t>
      </w:r>
      <w:r w:rsidRPr="00E525FC">
        <w:rPr>
          <w:b/>
          <w:bCs/>
          <w:sz w:val="22"/>
          <w:szCs w:val="22"/>
          <w:lang w:val="sr-Latn-ME"/>
        </w:rPr>
        <w:t xml:space="preserve"> PODACI</w:t>
      </w:r>
    </w:p>
    <w:p w14:paraId="23649F92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64A6D04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5.1.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proofErr w:type="spellStart"/>
      <w:r w:rsidRPr="00E525FC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E525FC">
        <w:rPr>
          <w:b/>
          <w:bCs/>
          <w:sz w:val="22"/>
          <w:szCs w:val="22"/>
          <w:lang w:val="sr-Latn-ME"/>
        </w:rPr>
        <w:t xml:space="preserve"> podaci</w:t>
      </w:r>
      <w:r w:rsidR="003A7059" w:rsidRPr="00E525FC">
        <w:rPr>
          <w:b/>
          <w:bCs/>
          <w:sz w:val="22"/>
          <w:szCs w:val="22"/>
          <w:lang w:val="sr-Latn-ME"/>
        </w:rPr>
        <w:t xml:space="preserve"> </w:t>
      </w:r>
    </w:p>
    <w:p w14:paraId="50452F82" w14:textId="77777777" w:rsidR="00F45F77" w:rsidRPr="00E525FC" w:rsidRDefault="00F45F77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93C6E23" w14:textId="48019EBD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E525FC">
        <w:rPr>
          <w:bCs/>
          <w:sz w:val="22"/>
          <w:szCs w:val="22"/>
          <w:lang w:val="sr-Latn-ME"/>
        </w:rPr>
        <w:t>Farmakoterapijska</w:t>
      </w:r>
      <w:proofErr w:type="spellEnd"/>
      <w:r w:rsidRPr="00E525FC">
        <w:rPr>
          <w:bCs/>
          <w:sz w:val="22"/>
          <w:szCs w:val="22"/>
          <w:lang w:val="sr-Latn-ME"/>
        </w:rPr>
        <w:t xml:space="preserve"> grupa:</w:t>
      </w:r>
      <w:r w:rsidR="00F6410E" w:rsidRPr="00E525FC">
        <w:rPr>
          <w:sz w:val="22"/>
          <w:szCs w:val="22"/>
          <w:lang w:val="sr-Latn-ME" w:eastAsia="sr-Latn-CS"/>
        </w:rPr>
        <w:t xml:space="preserve"> ostali ljekovi koji djeluju na</w:t>
      </w:r>
      <w:r w:rsidR="00434DC7" w:rsidRPr="00E525FC">
        <w:rPr>
          <w:sz w:val="22"/>
          <w:szCs w:val="22"/>
          <w:lang w:val="sr-Latn-ME" w:eastAsia="sr-Latn-CS"/>
        </w:rPr>
        <w:t xml:space="preserve"> </w:t>
      </w:r>
      <w:r w:rsidR="00F6410E" w:rsidRPr="00E525FC">
        <w:rPr>
          <w:sz w:val="22"/>
          <w:szCs w:val="22"/>
          <w:lang w:val="sr-Latn-ME" w:eastAsia="sr-Latn-CS"/>
        </w:rPr>
        <w:t>nervni</w:t>
      </w:r>
      <w:r w:rsidR="00F6410E" w:rsidRPr="00E525FC">
        <w:rPr>
          <w:rFonts w:eastAsia="TimesNewRomanPSMT"/>
          <w:sz w:val="22"/>
          <w:szCs w:val="22"/>
          <w:lang w:val="sr-Latn-ME" w:eastAsia="sr-Latn-CS"/>
        </w:rPr>
        <w:t xml:space="preserve"> sistem</w:t>
      </w:r>
    </w:p>
    <w:p w14:paraId="6E59FB5F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0D505E" w14:textId="7CDA7E4D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>ATC kod:</w:t>
      </w:r>
      <w:r w:rsidR="00F6410E" w:rsidRPr="00E525FC">
        <w:rPr>
          <w:bCs/>
          <w:sz w:val="22"/>
          <w:szCs w:val="22"/>
          <w:lang w:val="sr-Latn-ME"/>
        </w:rPr>
        <w:t xml:space="preserve"> </w:t>
      </w:r>
      <w:r w:rsidR="00F6410E" w:rsidRPr="00E525FC">
        <w:rPr>
          <w:sz w:val="22"/>
          <w:szCs w:val="22"/>
          <w:lang w:val="sr-Latn-ME" w:eastAsia="sr-Latn-CS"/>
        </w:rPr>
        <w:t>N07XX02</w:t>
      </w:r>
    </w:p>
    <w:p w14:paraId="52D0EC81" w14:textId="77777777" w:rsidR="002E37A5" w:rsidRPr="00E525FC" w:rsidRDefault="002E37A5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D076559" w14:textId="77777777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CS"/>
        </w:rPr>
      </w:pPr>
      <w:r w:rsidRPr="00E525FC">
        <w:rPr>
          <w:sz w:val="22"/>
          <w:szCs w:val="22"/>
          <w:u w:val="single"/>
          <w:lang w:val="sr-Latn-ME" w:eastAsia="sr-Latn-CS"/>
        </w:rPr>
        <w:t>Mehanizam djelovanja</w:t>
      </w:r>
    </w:p>
    <w:p w14:paraId="01A60BB4" w14:textId="44D16F24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ME" w:eastAsia="sr-Latn-CS"/>
        </w:rPr>
      </w:pPr>
      <w:r w:rsidRPr="00E525FC">
        <w:rPr>
          <w:sz w:val="22"/>
          <w:szCs w:val="22"/>
          <w:lang w:val="sr-Latn-ME" w:eastAsia="sr-Latn-CS"/>
        </w:rPr>
        <w:t xml:space="preserve">Iako </w:t>
      </w:r>
      <w:proofErr w:type="spellStart"/>
      <w:r w:rsidRPr="00E525FC">
        <w:rPr>
          <w:sz w:val="22"/>
          <w:szCs w:val="22"/>
          <w:lang w:val="sr-Latn-ME" w:eastAsia="sr-Latn-CS"/>
        </w:rPr>
        <w:t>patogeneza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ALS-a nije u potpunosti rasvijetljena, smatra se da </w:t>
      </w:r>
      <w:proofErr w:type="spellStart"/>
      <w:r w:rsidRPr="00E525FC">
        <w:rPr>
          <w:sz w:val="22"/>
          <w:szCs w:val="22"/>
          <w:lang w:val="sr-Latn-ME" w:eastAsia="sr-Latn-CS"/>
        </w:rPr>
        <w:t>glutamat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(primarni </w:t>
      </w:r>
      <w:proofErr w:type="spellStart"/>
      <w:r w:rsidRPr="00E525FC">
        <w:rPr>
          <w:sz w:val="22"/>
          <w:szCs w:val="22"/>
          <w:lang w:val="sr-Latn-ME" w:eastAsia="sr-Latn-CS"/>
        </w:rPr>
        <w:t>ekscitatorni</w:t>
      </w:r>
      <w:proofErr w:type="spellEnd"/>
      <w:r w:rsidR="003F1CFE" w:rsidRPr="00E525FC">
        <w:rPr>
          <w:sz w:val="22"/>
          <w:szCs w:val="22"/>
          <w:lang w:val="sr-Latn-ME" w:eastAsia="sr-Latn-CS"/>
        </w:rPr>
        <w:t xml:space="preserve"> </w:t>
      </w:r>
      <w:proofErr w:type="spellStart"/>
      <w:r w:rsidRPr="00E525FC">
        <w:rPr>
          <w:rFonts w:eastAsia="TimesNewRomanPSMT"/>
          <w:sz w:val="22"/>
          <w:szCs w:val="22"/>
          <w:lang w:val="sr-Latn-ME" w:eastAsia="sr-Latn-CS"/>
        </w:rPr>
        <w:t>neurotransmiter</w:t>
      </w:r>
      <w:proofErr w:type="spellEnd"/>
      <w:r w:rsidRPr="00E525FC">
        <w:rPr>
          <w:rFonts w:eastAsia="TimesNewRomanPSMT"/>
          <w:sz w:val="22"/>
          <w:szCs w:val="22"/>
          <w:lang w:val="sr-Latn-ME" w:eastAsia="sr-Latn-CS"/>
        </w:rPr>
        <w:t xml:space="preserve"> u centralnom nervnom sistemu) ima ulogu u odumiranju ćelija u ovoj bolesti.</w:t>
      </w:r>
    </w:p>
    <w:p w14:paraId="5A1BB2AF" w14:textId="77777777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proofErr w:type="spellStart"/>
      <w:r w:rsidRPr="00E525FC">
        <w:rPr>
          <w:sz w:val="22"/>
          <w:szCs w:val="22"/>
          <w:lang w:val="sr-Latn-ME" w:eastAsia="sr-Latn-CS"/>
        </w:rPr>
        <w:t>Riluzol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vjerovatno djeluje tako što inhibira procese povezane s </w:t>
      </w:r>
      <w:proofErr w:type="spellStart"/>
      <w:r w:rsidRPr="00E525FC">
        <w:rPr>
          <w:sz w:val="22"/>
          <w:szCs w:val="22"/>
          <w:lang w:val="sr-Latn-ME" w:eastAsia="sr-Latn-CS"/>
        </w:rPr>
        <w:t>glutamatom</w:t>
      </w:r>
      <w:proofErr w:type="spellEnd"/>
      <w:r w:rsidRPr="00E525FC">
        <w:rPr>
          <w:sz w:val="22"/>
          <w:szCs w:val="22"/>
          <w:lang w:val="sr-Latn-ME" w:eastAsia="sr-Latn-CS"/>
        </w:rPr>
        <w:t>. Mehanizam djelovanja nije jasan.</w:t>
      </w:r>
    </w:p>
    <w:p w14:paraId="73A2C98D" w14:textId="77777777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u w:val="single"/>
          <w:lang w:val="sr-Latn-ME" w:eastAsia="sr-Latn-CS"/>
        </w:rPr>
      </w:pPr>
    </w:p>
    <w:p w14:paraId="471B13B1" w14:textId="77777777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CS"/>
        </w:rPr>
      </w:pPr>
      <w:r w:rsidRPr="00E525FC">
        <w:rPr>
          <w:rFonts w:eastAsia="TimesNewRomanPSMT"/>
          <w:sz w:val="22"/>
          <w:szCs w:val="22"/>
          <w:u w:val="single"/>
          <w:lang w:val="sr-Latn-ME" w:eastAsia="sr-Latn-CS"/>
        </w:rPr>
        <w:t xml:space="preserve">Klinička </w:t>
      </w:r>
      <w:r w:rsidRPr="00E525FC">
        <w:rPr>
          <w:sz w:val="22"/>
          <w:szCs w:val="22"/>
          <w:u w:val="single"/>
          <w:lang w:val="sr-Latn-ME" w:eastAsia="sr-Latn-CS"/>
        </w:rPr>
        <w:t>efikasnost i bezbjednost primjene</w:t>
      </w:r>
    </w:p>
    <w:p w14:paraId="74CF55AC" w14:textId="77777777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25FC">
        <w:rPr>
          <w:sz w:val="22"/>
          <w:szCs w:val="22"/>
          <w:lang w:val="sr-Latn-ME" w:eastAsia="sr-Latn-CS"/>
        </w:rPr>
        <w:t xml:space="preserve">U jednom ispitivanju 155 pacijenata </w:t>
      </w:r>
      <w:proofErr w:type="spellStart"/>
      <w:r w:rsidRPr="00E525FC">
        <w:rPr>
          <w:sz w:val="22"/>
          <w:szCs w:val="22"/>
          <w:lang w:val="sr-Latn-ME" w:eastAsia="sr-Latn-CS"/>
        </w:rPr>
        <w:t>randomizovano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je u grupu koja je primala </w:t>
      </w:r>
      <w:proofErr w:type="spellStart"/>
      <w:r w:rsidRPr="00E525FC">
        <w:rPr>
          <w:sz w:val="22"/>
          <w:szCs w:val="22"/>
          <w:lang w:val="sr-Latn-ME" w:eastAsia="sr-Latn-CS"/>
        </w:rPr>
        <w:t>riluzol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u dozi od 100 mg na dan (50 mg dva puta dnevno</w:t>
      </w:r>
      <w:r w:rsidRPr="00E525FC">
        <w:rPr>
          <w:rFonts w:eastAsia="TimesNewRomanPSMT"/>
          <w:sz w:val="22"/>
          <w:szCs w:val="22"/>
          <w:lang w:val="sr-Latn-ME" w:eastAsia="sr-Latn-CS"/>
        </w:rPr>
        <w:t xml:space="preserve">) ili </w:t>
      </w:r>
      <w:proofErr w:type="spellStart"/>
      <w:r w:rsidRPr="00E525FC">
        <w:rPr>
          <w:rFonts w:eastAsia="TimesNewRomanPSMT"/>
          <w:sz w:val="22"/>
          <w:szCs w:val="22"/>
          <w:lang w:val="sr-Latn-ME" w:eastAsia="sr-Latn-CS"/>
        </w:rPr>
        <w:t>placebo</w:t>
      </w:r>
      <w:proofErr w:type="spellEnd"/>
      <w:r w:rsidRPr="00E525FC">
        <w:rPr>
          <w:rFonts w:eastAsia="TimesNewRomanPSMT"/>
          <w:sz w:val="22"/>
          <w:szCs w:val="22"/>
          <w:lang w:val="sr-Latn-ME" w:eastAsia="sr-Latn-CS"/>
        </w:rPr>
        <w:t xml:space="preserve"> te su praćeni tokom 12 do 21 </w:t>
      </w:r>
      <w:r w:rsidRPr="00E525FC">
        <w:rPr>
          <w:sz w:val="22"/>
          <w:szCs w:val="22"/>
          <w:lang w:val="sr-Latn-ME" w:eastAsia="sr-Latn-CS"/>
        </w:rPr>
        <w:t>mjeseca.</w:t>
      </w:r>
    </w:p>
    <w:p w14:paraId="5116A8A9" w14:textId="77777777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ME" w:eastAsia="sr-Latn-CS"/>
        </w:rPr>
      </w:pPr>
      <w:r w:rsidRPr="00E525FC">
        <w:rPr>
          <w:sz w:val="22"/>
          <w:szCs w:val="22"/>
          <w:lang w:val="sr-Latn-ME" w:eastAsia="sr-Latn-CS"/>
        </w:rPr>
        <w:t xml:space="preserve">Preživljavanje, kako je definisano u drugom odlomku u dijelu </w:t>
      </w:r>
      <w:r w:rsidRPr="00E525FC">
        <w:rPr>
          <w:rFonts w:eastAsia="TimesNewRomanPSMT"/>
          <w:sz w:val="22"/>
          <w:szCs w:val="22"/>
          <w:lang w:val="sr-Latn-ME" w:eastAsia="sr-Latn-CS"/>
        </w:rPr>
        <w:t xml:space="preserve">4.1, je bilo značajno duže kod pacijenata koji </w:t>
      </w:r>
      <w:r w:rsidRPr="00E525FC">
        <w:rPr>
          <w:sz w:val="22"/>
          <w:szCs w:val="22"/>
          <w:lang w:val="sr-Latn-ME" w:eastAsia="sr-Latn-CS"/>
        </w:rPr>
        <w:t xml:space="preserve">su primali </w:t>
      </w:r>
      <w:proofErr w:type="spellStart"/>
      <w:r w:rsidRPr="00E525FC">
        <w:rPr>
          <w:sz w:val="22"/>
          <w:szCs w:val="22"/>
          <w:lang w:val="sr-Latn-ME" w:eastAsia="sr-Latn-CS"/>
        </w:rPr>
        <w:t>riluzol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u odnosu na pacijente koji su primali </w:t>
      </w:r>
      <w:proofErr w:type="spellStart"/>
      <w:r w:rsidRPr="00E525FC">
        <w:rPr>
          <w:sz w:val="22"/>
          <w:szCs w:val="22"/>
          <w:lang w:val="sr-Latn-ME" w:eastAsia="sr-Latn-CS"/>
        </w:rPr>
        <w:t>placebo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. </w:t>
      </w:r>
      <w:proofErr w:type="spellStart"/>
      <w:r w:rsidRPr="00E525FC">
        <w:rPr>
          <w:sz w:val="22"/>
          <w:szCs w:val="22"/>
          <w:lang w:val="sr-Latn-ME" w:eastAsia="sr-Latn-CS"/>
        </w:rPr>
        <w:t>Medijana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</w:t>
      </w:r>
      <w:proofErr w:type="spellStart"/>
      <w:r w:rsidRPr="00E525FC">
        <w:rPr>
          <w:sz w:val="22"/>
          <w:szCs w:val="22"/>
          <w:lang w:val="sr-Latn-ME" w:eastAsia="sr-Latn-CS"/>
        </w:rPr>
        <w:t>vremena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preživljavanja iznosila</w:t>
      </w:r>
      <w:r w:rsidRPr="00E525FC">
        <w:rPr>
          <w:rFonts w:eastAsia="TimesNewRomanPSMT"/>
          <w:sz w:val="22"/>
          <w:szCs w:val="22"/>
          <w:lang w:val="sr-Latn-ME" w:eastAsia="sr-Latn-CS"/>
        </w:rPr>
        <w:t xml:space="preserve"> </w:t>
      </w:r>
      <w:r w:rsidRPr="00E525FC">
        <w:rPr>
          <w:sz w:val="22"/>
          <w:szCs w:val="22"/>
          <w:lang w:val="sr-Latn-ME" w:eastAsia="sr-Latn-CS"/>
        </w:rPr>
        <w:t xml:space="preserve">je 17,7 mjeseci za </w:t>
      </w:r>
      <w:proofErr w:type="spellStart"/>
      <w:r w:rsidRPr="00E525FC">
        <w:rPr>
          <w:sz w:val="22"/>
          <w:szCs w:val="22"/>
          <w:lang w:val="sr-Latn-ME" w:eastAsia="sr-Latn-CS"/>
        </w:rPr>
        <w:t>riluzol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, a 14,9 mjeseci za </w:t>
      </w:r>
      <w:proofErr w:type="spellStart"/>
      <w:r w:rsidRPr="00E525FC">
        <w:rPr>
          <w:sz w:val="22"/>
          <w:szCs w:val="22"/>
          <w:lang w:val="sr-Latn-ME" w:eastAsia="sr-Latn-CS"/>
        </w:rPr>
        <w:t>placebo</w:t>
      </w:r>
      <w:proofErr w:type="spellEnd"/>
      <w:r w:rsidRPr="00E525FC">
        <w:rPr>
          <w:sz w:val="22"/>
          <w:szCs w:val="22"/>
          <w:lang w:val="sr-Latn-ME" w:eastAsia="sr-Latn-CS"/>
        </w:rPr>
        <w:t>.</w:t>
      </w:r>
    </w:p>
    <w:p w14:paraId="6D513AED" w14:textId="77777777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ME" w:eastAsia="sr-Latn-CS"/>
        </w:rPr>
      </w:pPr>
    </w:p>
    <w:p w14:paraId="3F9014D3" w14:textId="4CB10B0E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E525FC">
        <w:rPr>
          <w:rFonts w:eastAsia="TimesNewRomanPSMT"/>
          <w:sz w:val="22"/>
          <w:szCs w:val="22"/>
          <w:lang w:val="sr-Latn-ME" w:eastAsia="sr-Latn-CS"/>
        </w:rPr>
        <w:t>U ispitivanju za određivanje raspona doza</w:t>
      </w:r>
      <w:r w:rsidRPr="00E525FC">
        <w:rPr>
          <w:sz w:val="22"/>
          <w:szCs w:val="22"/>
          <w:lang w:val="sr-Latn-ME" w:eastAsia="sr-Latn-CS"/>
        </w:rPr>
        <w:t>, 959 pacijenata sa ALS-</w:t>
      </w:r>
      <w:r w:rsidRPr="00E525FC">
        <w:rPr>
          <w:rFonts w:eastAsia="TimesNewRomanPSMT"/>
          <w:sz w:val="22"/>
          <w:szCs w:val="22"/>
          <w:lang w:val="sr-Latn-ME" w:eastAsia="sr-Latn-CS"/>
        </w:rPr>
        <w:t xml:space="preserve">om </w:t>
      </w:r>
      <w:proofErr w:type="spellStart"/>
      <w:r w:rsidRPr="00E525FC">
        <w:rPr>
          <w:rFonts w:eastAsia="TimesNewRomanPSMT"/>
          <w:sz w:val="22"/>
          <w:szCs w:val="22"/>
          <w:lang w:val="sr-Latn-ME" w:eastAsia="sr-Latn-CS"/>
        </w:rPr>
        <w:t>randomizovano</w:t>
      </w:r>
      <w:proofErr w:type="spellEnd"/>
      <w:r w:rsidRPr="00E525FC">
        <w:rPr>
          <w:rFonts w:eastAsia="TimesNewRomanPSMT"/>
          <w:sz w:val="22"/>
          <w:szCs w:val="22"/>
          <w:lang w:val="sr-Latn-ME" w:eastAsia="sr-Latn-CS"/>
        </w:rPr>
        <w:t xml:space="preserve"> je u jednu od četiri </w:t>
      </w:r>
      <w:r w:rsidRPr="00E525FC">
        <w:rPr>
          <w:sz w:val="22"/>
          <w:szCs w:val="22"/>
          <w:lang w:val="sr-Latn-ME" w:eastAsia="sr-Latn-CS"/>
        </w:rPr>
        <w:t xml:space="preserve">terapijske grupe: </w:t>
      </w:r>
      <w:proofErr w:type="spellStart"/>
      <w:r w:rsidRPr="00E525FC">
        <w:rPr>
          <w:sz w:val="22"/>
          <w:szCs w:val="22"/>
          <w:lang w:val="sr-Latn-ME" w:eastAsia="sr-Latn-CS"/>
        </w:rPr>
        <w:t>riluzol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u dozi od 50, 100 ili 200 mg </w:t>
      </w:r>
      <w:r w:rsidRPr="00E525FC">
        <w:rPr>
          <w:rFonts w:eastAsia="TimesNewRomanPSMT"/>
          <w:sz w:val="22"/>
          <w:szCs w:val="22"/>
          <w:lang w:val="sr-Latn-ME" w:eastAsia="sr-Latn-CS"/>
        </w:rPr>
        <w:t xml:space="preserve">na dan ili </w:t>
      </w:r>
      <w:proofErr w:type="spellStart"/>
      <w:r w:rsidRPr="00E525FC">
        <w:rPr>
          <w:rFonts w:eastAsia="TimesNewRomanPSMT"/>
          <w:sz w:val="22"/>
          <w:szCs w:val="22"/>
          <w:lang w:val="sr-Latn-ME" w:eastAsia="sr-Latn-CS"/>
        </w:rPr>
        <w:t>placebo</w:t>
      </w:r>
      <w:proofErr w:type="spellEnd"/>
      <w:r w:rsidR="006F24A5" w:rsidRPr="00E525FC">
        <w:rPr>
          <w:rFonts w:eastAsia="TimesNewRomanPSMT"/>
          <w:sz w:val="22"/>
          <w:szCs w:val="22"/>
          <w:lang w:val="sr-Latn-ME" w:eastAsia="sr-Latn-CS"/>
        </w:rPr>
        <w:t>,</w:t>
      </w:r>
      <w:r w:rsidRPr="00E525FC">
        <w:rPr>
          <w:rFonts w:eastAsia="TimesNewRomanPSMT"/>
          <w:sz w:val="22"/>
          <w:szCs w:val="22"/>
          <w:lang w:val="sr-Latn-ME" w:eastAsia="sr-Latn-CS"/>
        </w:rPr>
        <w:t xml:space="preserve"> te su praćeni tokom </w:t>
      </w:r>
      <w:r w:rsidRPr="00E525FC">
        <w:rPr>
          <w:sz w:val="22"/>
          <w:szCs w:val="22"/>
          <w:lang w:val="sr-Latn-ME" w:eastAsia="sr-Latn-CS"/>
        </w:rPr>
        <w:t>18 mjesec</w:t>
      </w:r>
      <w:r w:rsidRPr="00E525FC">
        <w:rPr>
          <w:rFonts w:eastAsia="TimesNewRomanPSMT"/>
          <w:sz w:val="22"/>
          <w:szCs w:val="22"/>
          <w:lang w:val="sr-Latn-ME" w:eastAsia="sr-Latn-CS"/>
        </w:rPr>
        <w:t>i. Kod pacijenata l</w:t>
      </w:r>
      <w:r w:rsidR="004D763B" w:rsidRPr="00E525FC">
        <w:rPr>
          <w:rFonts w:eastAsia="TimesNewRomanPSMT"/>
          <w:sz w:val="22"/>
          <w:szCs w:val="22"/>
          <w:lang w:val="sr-Latn-ME" w:eastAsia="sr-Latn-CS"/>
        </w:rPr>
        <w:t>i</w:t>
      </w:r>
      <w:r w:rsidRPr="00E525FC">
        <w:rPr>
          <w:rFonts w:eastAsia="TimesNewRomanPSMT"/>
          <w:sz w:val="22"/>
          <w:szCs w:val="22"/>
          <w:lang w:val="sr-Latn-ME" w:eastAsia="sr-Latn-CS"/>
        </w:rPr>
        <w:t xml:space="preserve">ječenih </w:t>
      </w:r>
      <w:proofErr w:type="spellStart"/>
      <w:r w:rsidRPr="00E525FC">
        <w:rPr>
          <w:rFonts w:eastAsia="TimesNewRomanPSMT"/>
          <w:sz w:val="22"/>
          <w:szCs w:val="22"/>
          <w:lang w:val="sr-Latn-ME" w:eastAsia="sr-Latn-CS"/>
        </w:rPr>
        <w:t>riluzol</w:t>
      </w:r>
      <w:r w:rsidRPr="00E525FC">
        <w:rPr>
          <w:sz w:val="22"/>
          <w:szCs w:val="22"/>
          <w:lang w:val="sr-Latn-ME" w:eastAsia="sr-Latn-CS"/>
        </w:rPr>
        <w:t>om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u dozi od 100 mg </w:t>
      </w:r>
      <w:r w:rsidRPr="00E525FC">
        <w:rPr>
          <w:rFonts w:eastAsia="TimesNewRomanPSMT"/>
          <w:sz w:val="22"/>
          <w:szCs w:val="22"/>
          <w:lang w:val="sr-Latn-ME" w:eastAsia="sr-Latn-CS"/>
        </w:rPr>
        <w:t>na dan preživlj</w:t>
      </w:r>
      <w:r w:rsidR="005438D8" w:rsidRPr="00E525FC">
        <w:rPr>
          <w:rFonts w:eastAsia="TimesNewRomanPSMT"/>
          <w:sz w:val="22"/>
          <w:szCs w:val="22"/>
          <w:lang w:val="sr-Latn-ME" w:eastAsia="sr-Latn-CS"/>
        </w:rPr>
        <w:t>ava</w:t>
      </w:r>
      <w:r w:rsidRPr="00E525FC">
        <w:rPr>
          <w:rFonts w:eastAsia="TimesNewRomanPSMT"/>
          <w:sz w:val="22"/>
          <w:szCs w:val="22"/>
          <w:lang w:val="sr-Latn-ME" w:eastAsia="sr-Latn-CS"/>
        </w:rPr>
        <w:t xml:space="preserve">nje je bilo značajno duže </w:t>
      </w:r>
      <w:r w:rsidR="005438D8" w:rsidRPr="00E525FC">
        <w:rPr>
          <w:rFonts w:eastAsia="TimesNewRomanPSMT"/>
          <w:sz w:val="22"/>
          <w:szCs w:val="22"/>
          <w:lang w:val="sr-Latn-ME" w:eastAsia="sr-Latn-CS"/>
        </w:rPr>
        <w:t xml:space="preserve">nego </w:t>
      </w:r>
      <w:r w:rsidRPr="00E525FC">
        <w:rPr>
          <w:rFonts w:eastAsia="TimesNewRomanPSMT"/>
          <w:sz w:val="22"/>
          <w:szCs w:val="22"/>
          <w:lang w:val="sr-Latn-ME" w:eastAsia="sr-Latn-CS"/>
        </w:rPr>
        <w:t>kod pacijenata koji</w:t>
      </w:r>
      <w:r w:rsidR="005438D8" w:rsidRPr="00E525FC">
        <w:rPr>
          <w:rFonts w:eastAsia="TimesNewRomanPSMT"/>
          <w:sz w:val="22"/>
          <w:szCs w:val="22"/>
          <w:lang w:val="sr-Latn-ME" w:eastAsia="sr-Latn-CS"/>
        </w:rPr>
        <w:t xml:space="preserve"> </w:t>
      </w:r>
      <w:r w:rsidRPr="00E525FC">
        <w:rPr>
          <w:rFonts w:eastAsia="TimesNewRomanPSMT"/>
          <w:sz w:val="22"/>
          <w:szCs w:val="22"/>
          <w:lang w:val="sr-Latn-ME" w:eastAsia="sr-Latn-CS"/>
        </w:rPr>
        <w:t xml:space="preserve">su dobijali </w:t>
      </w:r>
      <w:proofErr w:type="spellStart"/>
      <w:r w:rsidRPr="00E525FC">
        <w:rPr>
          <w:rFonts w:eastAsia="TimesNewRomanPSMT"/>
          <w:sz w:val="22"/>
          <w:szCs w:val="22"/>
          <w:lang w:val="sr-Latn-ME" w:eastAsia="sr-Latn-CS"/>
        </w:rPr>
        <w:t>placebo</w:t>
      </w:r>
      <w:proofErr w:type="spellEnd"/>
      <w:r w:rsidRPr="00E525FC">
        <w:rPr>
          <w:rFonts w:eastAsia="TimesNewRomanPSMT"/>
          <w:sz w:val="22"/>
          <w:szCs w:val="22"/>
          <w:lang w:val="sr-Latn-ME" w:eastAsia="sr-Latn-CS"/>
        </w:rPr>
        <w:t xml:space="preserve">. Efekat </w:t>
      </w:r>
      <w:proofErr w:type="spellStart"/>
      <w:r w:rsidRPr="00E525FC">
        <w:rPr>
          <w:rFonts w:eastAsia="TimesNewRomanPSMT"/>
          <w:sz w:val="22"/>
          <w:szCs w:val="22"/>
          <w:lang w:val="sr-Latn-ME" w:eastAsia="sr-Latn-CS"/>
        </w:rPr>
        <w:t>riluzola</w:t>
      </w:r>
      <w:proofErr w:type="spellEnd"/>
      <w:r w:rsidRPr="00E525FC">
        <w:rPr>
          <w:rFonts w:eastAsia="TimesNewRomanPSMT"/>
          <w:sz w:val="22"/>
          <w:szCs w:val="22"/>
          <w:lang w:val="sr-Latn-ME" w:eastAsia="sr-Latn-CS"/>
        </w:rPr>
        <w:t xml:space="preserve"> u dozi od 50 </w:t>
      </w:r>
      <w:r w:rsidRPr="00E525FC">
        <w:rPr>
          <w:sz w:val="22"/>
          <w:szCs w:val="22"/>
          <w:lang w:val="sr-Latn-ME" w:eastAsia="sr-Latn-CS"/>
        </w:rPr>
        <w:t xml:space="preserve">mg na dan nije bio </w:t>
      </w:r>
      <w:r w:rsidRPr="00E525FC">
        <w:rPr>
          <w:rFonts w:eastAsia="TimesNewRomanPSMT"/>
          <w:sz w:val="22"/>
          <w:szCs w:val="22"/>
          <w:lang w:val="sr-Latn-ME" w:eastAsia="sr-Latn-CS"/>
        </w:rPr>
        <w:t xml:space="preserve">statistički značajan u odnosu na </w:t>
      </w:r>
      <w:proofErr w:type="spellStart"/>
      <w:r w:rsidRPr="00E525FC">
        <w:rPr>
          <w:rFonts w:eastAsia="TimesNewRomanPSMT"/>
          <w:sz w:val="22"/>
          <w:szCs w:val="22"/>
          <w:lang w:val="sr-Latn-ME" w:eastAsia="sr-Latn-CS"/>
        </w:rPr>
        <w:t>placebo</w:t>
      </w:r>
      <w:proofErr w:type="spellEnd"/>
      <w:r w:rsidRPr="00E525FC">
        <w:rPr>
          <w:rFonts w:eastAsia="TimesNewRomanPSMT"/>
          <w:sz w:val="22"/>
          <w:szCs w:val="22"/>
          <w:lang w:val="sr-Latn-ME" w:eastAsia="sr-Latn-CS"/>
        </w:rPr>
        <w:t xml:space="preserve">, a efekat doze od 200 </w:t>
      </w:r>
      <w:r w:rsidRPr="00E525FC">
        <w:rPr>
          <w:sz w:val="22"/>
          <w:szCs w:val="22"/>
          <w:lang w:val="sr-Latn-ME" w:eastAsia="sr-Latn-CS"/>
        </w:rPr>
        <w:t xml:space="preserve">mg na dan bio je uporediv sa onim kod doze od 100 mg na dan. </w:t>
      </w:r>
      <w:proofErr w:type="spellStart"/>
      <w:r w:rsidRPr="00E525FC">
        <w:rPr>
          <w:sz w:val="22"/>
          <w:szCs w:val="22"/>
          <w:lang w:val="sr-Latn-ME" w:eastAsia="sr-Latn-CS"/>
        </w:rPr>
        <w:t>Medijana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</w:t>
      </w:r>
      <w:proofErr w:type="spellStart"/>
      <w:r w:rsidRPr="00E525FC">
        <w:rPr>
          <w:sz w:val="22"/>
          <w:szCs w:val="22"/>
          <w:lang w:val="sr-Latn-ME" w:eastAsia="sr-Latn-CS"/>
        </w:rPr>
        <w:t>vremena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preživljavanja iznosila je 16,5 mjeseci za </w:t>
      </w:r>
      <w:proofErr w:type="spellStart"/>
      <w:r w:rsidRPr="00E525FC">
        <w:rPr>
          <w:sz w:val="22"/>
          <w:szCs w:val="22"/>
          <w:lang w:val="sr-Latn-ME" w:eastAsia="sr-Latn-CS"/>
        </w:rPr>
        <w:t>riluzol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100 mg na dan, odnosno 13,5 mjeseci za </w:t>
      </w:r>
      <w:proofErr w:type="spellStart"/>
      <w:r w:rsidRPr="00E525FC">
        <w:rPr>
          <w:sz w:val="22"/>
          <w:szCs w:val="22"/>
          <w:lang w:val="sr-Latn-ME" w:eastAsia="sr-Latn-CS"/>
        </w:rPr>
        <w:t>placebo</w:t>
      </w:r>
      <w:proofErr w:type="spellEnd"/>
      <w:r w:rsidRPr="00E525FC">
        <w:rPr>
          <w:sz w:val="22"/>
          <w:szCs w:val="22"/>
          <w:lang w:val="sr-Latn-ME" w:eastAsia="sr-Latn-CS"/>
        </w:rPr>
        <w:t>.</w:t>
      </w:r>
    </w:p>
    <w:p w14:paraId="157BB4ED" w14:textId="77777777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14:paraId="45D8AC82" w14:textId="4D487F70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CS"/>
        </w:rPr>
      </w:pPr>
      <w:r w:rsidRPr="00E525FC">
        <w:rPr>
          <w:sz w:val="22"/>
          <w:szCs w:val="22"/>
          <w:lang w:val="sr-Latn-ME" w:eastAsia="sr-Latn-CS"/>
        </w:rPr>
        <w:t xml:space="preserve">U ispitivanju sa paralelnim grupama dizajniranom da procijeni efikasnost i bezbjednost primjene </w:t>
      </w:r>
      <w:proofErr w:type="spellStart"/>
      <w:r w:rsidRPr="00E525FC">
        <w:rPr>
          <w:sz w:val="22"/>
          <w:szCs w:val="22"/>
          <w:lang w:val="sr-Latn-ME" w:eastAsia="sr-Latn-CS"/>
        </w:rPr>
        <w:t>riluzola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kod pacijenata u kasnom stadijumu bolesti, vrijeme preživlj</w:t>
      </w:r>
      <w:r w:rsidR="004B5281" w:rsidRPr="00E525FC">
        <w:rPr>
          <w:sz w:val="22"/>
          <w:szCs w:val="22"/>
          <w:lang w:val="sr-Latn-ME" w:eastAsia="sr-Latn-CS"/>
        </w:rPr>
        <w:t>ava</w:t>
      </w:r>
      <w:r w:rsidRPr="00E525FC">
        <w:rPr>
          <w:sz w:val="22"/>
          <w:szCs w:val="22"/>
          <w:lang w:val="sr-Latn-ME" w:eastAsia="sr-Latn-CS"/>
        </w:rPr>
        <w:t xml:space="preserve">nja i motorička funkcija kod primjene </w:t>
      </w:r>
      <w:proofErr w:type="spellStart"/>
      <w:r w:rsidRPr="00E525FC">
        <w:rPr>
          <w:sz w:val="22"/>
          <w:szCs w:val="22"/>
          <w:lang w:val="sr-Latn-ME" w:eastAsia="sr-Latn-CS"/>
        </w:rPr>
        <w:t>riluzola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</w:t>
      </w:r>
      <w:r w:rsidR="00BD5055" w:rsidRPr="00E525FC">
        <w:rPr>
          <w:sz w:val="22"/>
          <w:szCs w:val="22"/>
          <w:lang w:val="sr-Latn-ME" w:eastAsia="sr-Latn-CS"/>
        </w:rPr>
        <w:t xml:space="preserve">nijesu </w:t>
      </w:r>
      <w:r w:rsidRPr="00E525FC">
        <w:rPr>
          <w:sz w:val="22"/>
          <w:szCs w:val="22"/>
          <w:lang w:val="sr-Latn-ME" w:eastAsia="sr-Latn-CS"/>
        </w:rPr>
        <w:t xml:space="preserve">se značajno razlikovale u odnosu na </w:t>
      </w:r>
      <w:proofErr w:type="spellStart"/>
      <w:r w:rsidRPr="00E525FC">
        <w:rPr>
          <w:sz w:val="22"/>
          <w:szCs w:val="22"/>
          <w:lang w:val="sr-Latn-ME" w:eastAsia="sr-Latn-CS"/>
        </w:rPr>
        <w:t>placebo</w:t>
      </w:r>
      <w:proofErr w:type="spellEnd"/>
      <w:r w:rsidRPr="00E525FC">
        <w:rPr>
          <w:sz w:val="22"/>
          <w:szCs w:val="22"/>
          <w:lang w:val="sr-Latn-ME" w:eastAsia="sr-Latn-CS"/>
        </w:rPr>
        <w:t>. U ovom ispitivanju je većina pacijenata imala vitalni kapacitet manji od 60%.</w:t>
      </w:r>
    </w:p>
    <w:p w14:paraId="245ECAD9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CS"/>
        </w:rPr>
      </w:pPr>
    </w:p>
    <w:p w14:paraId="747AEB4B" w14:textId="714DD40F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CS"/>
        </w:rPr>
      </w:pPr>
      <w:r w:rsidRPr="00E525FC">
        <w:rPr>
          <w:sz w:val="22"/>
          <w:szCs w:val="22"/>
          <w:lang w:val="sr-Latn-ME" w:eastAsia="sr-Latn-CS"/>
        </w:rPr>
        <w:t xml:space="preserve">U dvostruko slijepom, </w:t>
      </w:r>
      <w:proofErr w:type="spellStart"/>
      <w:r w:rsidRPr="00E525FC">
        <w:rPr>
          <w:sz w:val="22"/>
          <w:szCs w:val="22"/>
          <w:lang w:val="sr-Latn-ME" w:eastAsia="sr-Latn-CS"/>
        </w:rPr>
        <w:t>placebo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kontrolisanom ispitivanju za procjenu efikasnosti i bezbjednosti primjene </w:t>
      </w:r>
      <w:proofErr w:type="spellStart"/>
      <w:r w:rsidRPr="00E525FC">
        <w:rPr>
          <w:sz w:val="22"/>
          <w:szCs w:val="22"/>
          <w:lang w:val="sr-Latn-ME" w:eastAsia="sr-Latn-CS"/>
        </w:rPr>
        <w:t>riluzola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kod pacijenata japanskog porijekla, 204 pacijenata je </w:t>
      </w:r>
      <w:proofErr w:type="spellStart"/>
      <w:r w:rsidRPr="00E525FC">
        <w:rPr>
          <w:sz w:val="22"/>
          <w:szCs w:val="22"/>
          <w:lang w:val="sr-Latn-ME" w:eastAsia="sr-Latn-CS"/>
        </w:rPr>
        <w:t>randomizovano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u grupu koja je primala </w:t>
      </w:r>
      <w:proofErr w:type="spellStart"/>
      <w:r w:rsidRPr="00E525FC">
        <w:rPr>
          <w:sz w:val="22"/>
          <w:szCs w:val="22"/>
          <w:lang w:val="sr-Latn-ME" w:eastAsia="sr-Latn-CS"/>
        </w:rPr>
        <w:t>riluzol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u dozi od 100 mg na dan (50 mg dva puta na dan) ili u grupu koja je primala </w:t>
      </w:r>
      <w:proofErr w:type="spellStart"/>
      <w:r w:rsidRPr="00E525FC">
        <w:rPr>
          <w:sz w:val="22"/>
          <w:szCs w:val="22"/>
          <w:lang w:val="sr-Latn-ME" w:eastAsia="sr-Latn-CS"/>
        </w:rPr>
        <w:t>placebo</w:t>
      </w:r>
      <w:proofErr w:type="spellEnd"/>
      <w:r w:rsidRPr="00E525FC">
        <w:rPr>
          <w:sz w:val="22"/>
          <w:szCs w:val="22"/>
          <w:lang w:val="sr-Latn-ME" w:eastAsia="sr-Latn-CS"/>
        </w:rPr>
        <w:t>, te su praćeni tokom 18 mjeseci. U ovom je ispitivanju ocijenjena efikasnost lijeka prema nemogućnosti</w:t>
      </w:r>
      <w:r w:rsidR="006C062E" w:rsidRPr="00E525FC">
        <w:rPr>
          <w:sz w:val="22"/>
          <w:szCs w:val="22"/>
          <w:lang w:val="sr-Latn-ME" w:eastAsia="sr-Latn-CS"/>
        </w:rPr>
        <w:t xml:space="preserve"> </w:t>
      </w:r>
      <w:r w:rsidRPr="00E525FC">
        <w:rPr>
          <w:sz w:val="22"/>
          <w:szCs w:val="22"/>
          <w:lang w:val="sr-Latn-ME" w:eastAsia="sr-Latn-CS"/>
        </w:rPr>
        <w:t xml:space="preserve">samostalnog hoda, gubitku funkcije gornjih ekstremiteta, </w:t>
      </w:r>
      <w:proofErr w:type="spellStart"/>
      <w:r w:rsidRPr="00E525FC">
        <w:rPr>
          <w:sz w:val="22"/>
          <w:szCs w:val="22"/>
          <w:lang w:val="sr-Latn-ME" w:eastAsia="sr-Latn-CS"/>
        </w:rPr>
        <w:t>traheotomiji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, potrebi za vještačkom ventilacijom, hranjenju putem želudačne sonde ili smrti. Preživljavanje bez </w:t>
      </w:r>
      <w:proofErr w:type="spellStart"/>
      <w:r w:rsidRPr="00E525FC">
        <w:rPr>
          <w:sz w:val="22"/>
          <w:szCs w:val="22"/>
          <w:lang w:val="sr-Latn-ME" w:eastAsia="sr-Latn-CS"/>
        </w:rPr>
        <w:t>traheotomije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nije se značajno razlikovalo između pacijenata liječenih </w:t>
      </w:r>
      <w:proofErr w:type="spellStart"/>
      <w:r w:rsidRPr="00E525FC">
        <w:rPr>
          <w:sz w:val="22"/>
          <w:szCs w:val="22"/>
          <w:lang w:val="sr-Latn-ME" w:eastAsia="sr-Latn-CS"/>
        </w:rPr>
        <w:t>riluzolom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i pacijenata koji su primali </w:t>
      </w:r>
      <w:proofErr w:type="spellStart"/>
      <w:r w:rsidRPr="00E525FC">
        <w:rPr>
          <w:sz w:val="22"/>
          <w:szCs w:val="22"/>
          <w:lang w:val="sr-Latn-ME" w:eastAsia="sr-Latn-CS"/>
        </w:rPr>
        <w:t>placebo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. Međutim, snaga ovog ispitivanja da otkrije razlike između terapijskih </w:t>
      </w:r>
      <w:r w:rsidR="00EB4EC8" w:rsidRPr="00E525FC">
        <w:rPr>
          <w:sz w:val="22"/>
          <w:szCs w:val="22"/>
          <w:lang w:val="sr-Latn-ME" w:eastAsia="sr-Latn-CS"/>
        </w:rPr>
        <w:t>grup</w:t>
      </w:r>
      <w:r w:rsidR="008A5F58" w:rsidRPr="00E525FC">
        <w:rPr>
          <w:sz w:val="22"/>
          <w:szCs w:val="22"/>
          <w:lang w:val="sr-Latn-ME" w:eastAsia="sr-Latn-CS"/>
        </w:rPr>
        <w:t>a</w:t>
      </w:r>
      <w:r w:rsidR="00EB4EC8" w:rsidRPr="00E525FC">
        <w:rPr>
          <w:sz w:val="22"/>
          <w:szCs w:val="22"/>
          <w:lang w:val="sr-Latn-ME" w:eastAsia="sr-Latn-CS"/>
        </w:rPr>
        <w:t xml:space="preserve"> </w:t>
      </w:r>
      <w:r w:rsidRPr="00E525FC">
        <w:rPr>
          <w:sz w:val="22"/>
          <w:szCs w:val="22"/>
          <w:lang w:val="sr-Latn-ME" w:eastAsia="sr-Latn-CS"/>
        </w:rPr>
        <w:t xml:space="preserve">bila je mala. Meta-analiza u koju je uključeno ovo kao i ranije opisana ispitivanja nije pokazala toliko izrazit efekat </w:t>
      </w:r>
      <w:proofErr w:type="spellStart"/>
      <w:r w:rsidRPr="00E525FC">
        <w:rPr>
          <w:sz w:val="22"/>
          <w:szCs w:val="22"/>
          <w:lang w:val="sr-Latn-ME" w:eastAsia="sr-Latn-CS"/>
        </w:rPr>
        <w:t>riluzola</w:t>
      </w:r>
      <w:proofErr w:type="spellEnd"/>
      <w:r w:rsidRPr="00E525FC">
        <w:rPr>
          <w:sz w:val="22"/>
          <w:szCs w:val="22"/>
          <w:lang w:val="sr-Latn-ME" w:eastAsia="sr-Latn-CS"/>
        </w:rPr>
        <w:t xml:space="preserve"> na preživljav</w:t>
      </w:r>
      <w:r w:rsidR="00123FF6" w:rsidRPr="00E525FC">
        <w:rPr>
          <w:sz w:val="22"/>
          <w:szCs w:val="22"/>
          <w:lang w:val="sr-Latn-ME" w:eastAsia="sr-Latn-CS"/>
        </w:rPr>
        <w:t>a</w:t>
      </w:r>
      <w:r w:rsidRPr="00E525FC">
        <w:rPr>
          <w:sz w:val="22"/>
          <w:szCs w:val="22"/>
          <w:lang w:val="sr-Latn-ME" w:eastAsia="sr-Latn-CS"/>
        </w:rPr>
        <w:t xml:space="preserve">nje u poređenju sa </w:t>
      </w:r>
      <w:proofErr w:type="spellStart"/>
      <w:r w:rsidRPr="00E525FC">
        <w:rPr>
          <w:sz w:val="22"/>
          <w:szCs w:val="22"/>
          <w:lang w:val="sr-Latn-ME" w:eastAsia="sr-Latn-CS"/>
        </w:rPr>
        <w:t>placebom</w:t>
      </w:r>
      <w:proofErr w:type="spellEnd"/>
      <w:r w:rsidRPr="00E525FC">
        <w:rPr>
          <w:sz w:val="22"/>
          <w:szCs w:val="22"/>
          <w:lang w:val="sr-Latn-ME" w:eastAsia="sr-Latn-CS"/>
        </w:rPr>
        <w:t>, iako su razlike i dalje bile statistički značajne.</w:t>
      </w:r>
    </w:p>
    <w:p w14:paraId="03B398C3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0E0035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5.2.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proofErr w:type="spellStart"/>
      <w:r w:rsidRPr="00E525FC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E525FC">
        <w:rPr>
          <w:b/>
          <w:bCs/>
          <w:sz w:val="22"/>
          <w:szCs w:val="22"/>
          <w:lang w:val="sr-Latn-ME"/>
        </w:rPr>
        <w:t xml:space="preserve"> podaci</w:t>
      </w:r>
      <w:r w:rsidR="003A7059" w:rsidRPr="00E525FC">
        <w:rPr>
          <w:b/>
          <w:bCs/>
          <w:sz w:val="22"/>
          <w:szCs w:val="22"/>
          <w:lang w:val="sr-Latn-ME"/>
        </w:rPr>
        <w:t xml:space="preserve"> </w:t>
      </w:r>
    </w:p>
    <w:p w14:paraId="6B5C83EB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C30A5A" w14:textId="51CD44A0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Farmakokinetika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je procjenjivana kod zdravih muških dobrovoljaca poslije pojedinačn</w:t>
      </w:r>
      <w:r w:rsidR="00EB4EC8" w:rsidRPr="00E525FC">
        <w:rPr>
          <w:sz w:val="22"/>
          <w:szCs w:val="22"/>
          <w:lang w:val="sr-Latn-ME"/>
        </w:rPr>
        <w:t>e</w:t>
      </w:r>
      <w:r w:rsidRPr="00E525FC">
        <w:rPr>
          <w:sz w:val="22"/>
          <w:szCs w:val="22"/>
          <w:lang w:val="sr-Latn-ME"/>
        </w:rPr>
        <w:t xml:space="preserve"> oralne primjene 25 do 300 mg i nakon ponovljene oralne primjene doze od 25 do 100 mg dva puta dnevno. Plazma nivoi su se povećavali  linearno sa dozom i </w:t>
      </w:r>
      <w:proofErr w:type="spellStart"/>
      <w:r w:rsidRPr="00E525FC">
        <w:rPr>
          <w:sz w:val="22"/>
          <w:szCs w:val="22"/>
          <w:lang w:val="sr-Latn-ME"/>
        </w:rPr>
        <w:t>farmakokinetički</w:t>
      </w:r>
      <w:proofErr w:type="spellEnd"/>
      <w:r w:rsidRPr="00E525FC">
        <w:rPr>
          <w:sz w:val="22"/>
          <w:szCs w:val="22"/>
          <w:lang w:val="sr-Latn-ME"/>
        </w:rPr>
        <w:t xml:space="preserve"> profil je bio </w:t>
      </w:r>
      <w:proofErr w:type="spellStart"/>
      <w:r w:rsidRPr="00E525FC">
        <w:rPr>
          <w:sz w:val="22"/>
          <w:szCs w:val="22"/>
          <w:lang w:val="sr-Latn-ME"/>
        </w:rPr>
        <w:t>dozno</w:t>
      </w:r>
      <w:proofErr w:type="spellEnd"/>
      <w:r w:rsidRPr="00E525FC">
        <w:rPr>
          <w:sz w:val="22"/>
          <w:szCs w:val="22"/>
          <w:lang w:val="sr-Latn-ME"/>
        </w:rPr>
        <w:t xml:space="preserve"> nezavisan. </w:t>
      </w:r>
    </w:p>
    <w:p w14:paraId="3970E355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Nakon primjene ponavljane doze (u trajanju od 10 dana po 50 mg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dva puta dnevno) </w:t>
      </w:r>
      <w:proofErr w:type="spellStart"/>
      <w:r w:rsidRPr="00E525FC">
        <w:rPr>
          <w:sz w:val="22"/>
          <w:szCs w:val="22"/>
          <w:lang w:val="sr-Latn-ME"/>
        </w:rPr>
        <w:t>nepromijenjeni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Pr="00E525FC">
        <w:rPr>
          <w:sz w:val="22"/>
          <w:szCs w:val="22"/>
          <w:lang w:val="sr-Latn-ME"/>
        </w:rPr>
        <w:t xml:space="preserve"> akumulira se u plazmi oko dva puta više i ravnotežno stanje je bilo postignuto za </w:t>
      </w:r>
      <w:r w:rsidRPr="00E525FC">
        <w:rPr>
          <w:sz w:val="22"/>
          <w:szCs w:val="22"/>
          <w:lang w:val="sr-Latn-ME"/>
        </w:rPr>
        <w:lastRenderedPageBreak/>
        <w:t>manje od 5 dana.</w:t>
      </w:r>
    </w:p>
    <w:p w14:paraId="3ACDF60B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A64C663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>Resorpcija:</w:t>
      </w:r>
    </w:p>
    <w:p w14:paraId="571B74E4" w14:textId="252B5CE1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Pr="00E525FC">
        <w:rPr>
          <w:sz w:val="22"/>
          <w:szCs w:val="22"/>
          <w:lang w:val="sr-Latn-ME"/>
        </w:rPr>
        <w:t xml:space="preserve"> se brzo resorbuje nakon oralne primjene sa maksimalnim koncentracijama u plazmi koje se postižu u roku od 60 do 90 minuta (</w:t>
      </w:r>
      <w:proofErr w:type="spellStart"/>
      <w:r w:rsidRPr="00E525FC">
        <w:rPr>
          <w:sz w:val="22"/>
          <w:szCs w:val="22"/>
          <w:lang w:val="sr-Latn-ME"/>
        </w:rPr>
        <w:t>C</w:t>
      </w:r>
      <w:r w:rsidR="00EB4EC8" w:rsidRPr="00E525FC">
        <w:rPr>
          <w:sz w:val="22"/>
          <w:szCs w:val="22"/>
          <w:vertAlign w:val="subscript"/>
          <w:lang w:val="sr-Latn-ME"/>
        </w:rPr>
        <w:t>max</w:t>
      </w:r>
      <w:proofErr w:type="spellEnd"/>
      <w:r w:rsidRPr="00E525FC">
        <w:rPr>
          <w:sz w:val="22"/>
          <w:szCs w:val="22"/>
          <w:lang w:val="sr-Latn-ME"/>
        </w:rPr>
        <w:t xml:space="preserve"> = 173 ± 72 (</w:t>
      </w:r>
      <w:proofErr w:type="spellStart"/>
      <w:r w:rsidRPr="00E525FC">
        <w:rPr>
          <w:sz w:val="22"/>
          <w:szCs w:val="22"/>
          <w:lang w:val="sr-Latn-ME"/>
        </w:rPr>
        <w:t>sd</w:t>
      </w:r>
      <w:proofErr w:type="spellEnd"/>
      <w:r w:rsidRPr="00E525FC">
        <w:rPr>
          <w:sz w:val="22"/>
          <w:szCs w:val="22"/>
          <w:lang w:val="sr-Latn-ME"/>
        </w:rPr>
        <w:t xml:space="preserve">) </w:t>
      </w:r>
      <w:proofErr w:type="spellStart"/>
      <w:r w:rsidRPr="00E525FC">
        <w:rPr>
          <w:sz w:val="22"/>
          <w:szCs w:val="22"/>
          <w:lang w:val="sr-Latn-ME"/>
        </w:rPr>
        <w:t>ng</w:t>
      </w:r>
      <w:proofErr w:type="spellEnd"/>
      <w:r w:rsidRPr="00E525FC">
        <w:rPr>
          <w:sz w:val="22"/>
          <w:szCs w:val="22"/>
          <w:lang w:val="sr-Latn-ME"/>
        </w:rPr>
        <w:t xml:space="preserve">/ml). Oko 90% doze </w:t>
      </w:r>
      <w:r w:rsidR="00EB4EC8" w:rsidRPr="00E525FC">
        <w:rPr>
          <w:sz w:val="22"/>
          <w:szCs w:val="22"/>
          <w:lang w:val="sr-Latn-ME"/>
        </w:rPr>
        <w:t>s</w:t>
      </w:r>
      <w:r w:rsidRPr="00E525FC">
        <w:rPr>
          <w:sz w:val="22"/>
          <w:szCs w:val="22"/>
          <w:lang w:val="sr-Latn-ME"/>
        </w:rPr>
        <w:t xml:space="preserve">e resorbuje i apsolutna </w:t>
      </w:r>
      <w:proofErr w:type="spellStart"/>
      <w:r w:rsidRPr="00E525FC">
        <w:rPr>
          <w:sz w:val="22"/>
          <w:szCs w:val="22"/>
          <w:lang w:val="sr-Latn-ME"/>
        </w:rPr>
        <w:t>bioraspoloživost</w:t>
      </w:r>
      <w:proofErr w:type="spellEnd"/>
      <w:r w:rsidRPr="00E525FC">
        <w:rPr>
          <w:sz w:val="22"/>
          <w:szCs w:val="22"/>
          <w:lang w:val="sr-Latn-ME"/>
        </w:rPr>
        <w:t xml:space="preserve"> je 60 ± 18%.</w:t>
      </w:r>
    </w:p>
    <w:p w14:paraId="5360401E" w14:textId="4ACE8DA9" w:rsidR="00F6410E" w:rsidRPr="00E525FC" w:rsidRDefault="009C0365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Brzina</w:t>
      </w:r>
      <w:r w:rsidR="00E773E5" w:rsidRPr="00E525FC">
        <w:rPr>
          <w:sz w:val="22"/>
          <w:szCs w:val="22"/>
          <w:lang w:val="sr-Latn-ME"/>
        </w:rPr>
        <w:t xml:space="preserve"> </w:t>
      </w:r>
      <w:r w:rsidR="00F6410E" w:rsidRPr="00E525FC">
        <w:rPr>
          <w:sz w:val="22"/>
          <w:szCs w:val="22"/>
          <w:lang w:val="sr-Latn-ME"/>
        </w:rPr>
        <w:t xml:space="preserve">i stepen resorpcije </w:t>
      </w:r>
      <w:r w:rsidR="005846ED" w:rsidRPr="00E525FC">
        <w:rPr>
          <w:sz w:val="22"/>
          <w:szCs w:val="22"/>
          <w:lang w:val="sr-Latn-ME"/>
        </w:rPr>
        <w:t xml:space="preserve">su </w:t>
      </w:r>
      <w:r w:rsidR="00F6410E" w:rsidRPr="00E525FC">
        <w:rPr>
          <w:sz w:val="22"/>
          <w:szCs w:val="22"/>
          <w:lang w:val="sr-Latn-ME"/>
        </w:rPr>
        <w:t>smanjen</w:t>
      </w:r>
      <w:r w:rsidR="005846ED" w:rsidRPr="00E525FC">
        <w:rPr>
          <w:sz w:val="22"/>
          <w:szCs w:val="22"/>
          <w:lang w:val="sr-Latn-ME"/>
        </w:rPr>
        <w:t>i</w:t>
      </w:r>
      <w:r w:rsidR="00F6410E" w:rsidRPr="00E525FC">
        <w:rPr>
          <w:sz w:val="22"/>
          <w:szCs w:val="22"/>
          <w:lang w:val="sr-Latn-ME"/>
        </w:rPr>
        <w:t xml:space="preserve"> kada se </w:t>
      </w:r>
      <w:proofErr w:type="spellStart"/>
      <w:r w:rsidR="00F6410E" w:rsidRPr="00E525FC">
        <w:rPr>
          <w:sz w:val="22"/>
          <w:szCs w:val="22"/>
          <w:lang w:val="sr-Latn-ME"/>
        </w:rPr>
        <w:t>riluzol</w:t>
      </w:r>
      <w:proofErr w:type="spellEnd"/>
      <w:r w:rsidR="00F6410E" w:rsidRPr="00E525FC">
        <w:rPr>
          <w:sz w:val="22"/>
          <w:szCs w:val="22"/>
          <w:lang w:val="sr-Latn-ME"/>
        </w:rPr>
        <w:t xml:space="preserve"> primjenjuje sa masnom hranom (smanjenje </w:t>
      </w:r>
      <w:proofErr w:type="spellStart"/>
      <w:r w:rsidR="00F6410E" w:rsidRPr="00E525FC">
        <w:rPr>
          <w:sz w:val="22"/>
          <w:szCs w:val="22"/>
          <w:lang w:val="sr-Latn-ME"/>
        </w:rPr>
        <w:t>C</w:t>
      </w:r>
      <w:r w:rsidRPr="00E525FC">
        <w:rPr>
          <w:sz w:val="22"/>
          <w:szCs w:val="22"/>
          <w:vertAlign w:val="subscript"/>
          <w:lang w:val="sr-Latn-ME"/>
        </w:rPr>
        <w:t>max</w:t>
      </w:r>
      <w:proofErr w:type="spellEnd"/>
      <w:r w:rsidR="00F6410E" w:rsidRPr="00E525FC">
        <w:rPr>
          <w:sz w:val="22"/>
          <w:szCs w:val="22"/>
          <w:lang w:val="sr-Latn-ME"/>
        </w:rPr>
        <w:t xml:space="preserve"> 44%, smanjenje PIK 17%).</w:t>
      </w:r>
    </w:p>
    <w:p w14:paraId="2E88B151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D0731EA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>Distribucija:</w:t>
      </w:r>
    </w:p>
    <w:p w14:paraId="2812AE68" w14:textId="3A5FCA61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Pr="00E525FC">
        <w:rPr>
          <w:sz w:val="22"/>
          <w:szCs w:val="22"/>
          <w:lang w:val="sr-Latn-ME"/>
        </w:rPr>
        <w:t xml:space="preserve"> se ekstenzivno distribuira u organizmu i prelazi krvno-moždanu barijeru. Volumen distribucije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je oko 245 ±  69 1 (3</w:t>
      </w:r>
      <w:r w:rsidR="009C0365" w:rsidRPr="00E525FC">
        <w:rPr>
          <w:sz w:val="22"/>
          <w:szCs w:val="22"/>
          <w:lang w:val="sr-Latn-ME"/>
        </w:rPr>
        <w:t>,</w:t>
      </w:r>
      <w:r w:rsidRPr="00E525FC">
        <w:rPr>
          <w:sz w:val="22"/>
          <w:szCs w:val="22"/>
          <w:lang w:val="sr-Latn-ME"/>
        </w:rPr>
        <w:t xml:space="preserve">4 /kg). </w:t>
      </w: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Pr="00E525FC">
        <w:rPr>
          <w:sz w:val="22"/>
          <w:szCs w:val="22"/>
          <w:lang w:val="sr-Latn-ME"/>
        </w:rPr>
        <w:t xml:space="preserve"> je oko 97% vezan za proteine plazme i to uglavnom za serumski albumin i </w:t>
      </w:r>
      <w:proofErr w:type="spellStart"/>
      <w:r w:rsidRPr="00E525FC">
        <w:rPr>
          <w:sz w:val="22"/>
          <w:szCs w:val="22"/>
          <w:lang w:val="sr-Latn-ME"/>
        </w:rPr>
        <w:t>lipoproteine</w:t>
      </w:r>
      <w:proofErr w:type="spellEnd"/>
      <w:r w:rsidRPr="00E525FC">
        <w:rPr>
          <w:sz w:val="22"/>
          <w:szCs w:val="22"/>
          <w:lang w:val="sr-Latn-ME"/>
        </w:rPr>
        <w:t xml:space="preserve">. </w:t>
      </w:r>
    </w:p>
    <w:p w14:paraId="6FB9A1CC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80FD08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>Metabolizam:</w:t>
      </w:r>
    </w:p>
    <w:p w14:paraId="5277E15D" w14:textId="07E3B5B9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Najveća količina lijeka nalazi se u plazmi u </w:t>
      </w:r>
      <w:proofErr w:type="spellStart"/>
      <w:r w:rsidRPr="00E525FC">
        <w:rPr>
          <w:sz w:val="22"/>
          <w:szCs w:val="22"/>
          <w:lang w:val="sr-Latn-ME"/>
        </w:rPr>
        <w:t>neizmijenjenom</w:t>
      </w:r>
      <w:proofErr w:type="spellEnd"/>
      <w:r w:rsidRPr="00E525FC">
        <w:rPr>
          <w:sz w:val="22"/>
          <w:szCs w:val="22"/>
          <w:lang w:val="sr-Latn-ME"/>
        </w:rPr>
        <w:t xml:space="preserve"> obliku. Lijek se intenzivno </w:t>
      </w:r>
      <w:proofErr w:type="spellStart"/>
      <w:r w:rsidRPr="00E525FC">
        <w:rPr>
          <w:sz w:val="22"/>
          <w:szCs w:val="22"/>
          <w:lang w:val="sr-Latn-ME"/>
        </w:rPr>
        <w:t>metaboliše</w:t>
      </w:r>
      <w:proofErr w:type="spellEnd"/>
      <w:r w:rsidRPr="00E525FC">
        <w:rPr>
          <w:sz w:val="22"/>
          <w:szCs w:val="22"/>
          <w:lang w:val="sr-Latn-ME"/>
        </w:rPr>
        <w:t xml:space="preserve"> pomoću </w:t>
      </w:r>
      <w:proofErr w:type="spellStart"/>
      <w:r w:rsidRPr="00E525FC">
        <w:rPr>
          <w:sz w:val="22"/>
          <w:szCs w:val="22"/>
          <w:lang w:val="sr-Latn-ME"/>
        </w:rPr>
        <w:t>citohroma</w:t>
      </w:r>
      <w:proofErr w:type="spellEnd"/>
      <w:r w:rsidRPr="00E525FC">
        <w:rPr>
          <w:sz w:val="22"/>
          <w:szCs w:val="22"/>
          <w:lang w:val="sr-Latn-ME"/>
        </w:rPr>
        <w:t xml:space="preserve"> P450 i naknadnom </w:t>
      </w:r>
      <w:proofErr w:type="spellStart"/>
      <w:r w:rsidRPr="00E525FC">
        <w:rPr>
          <w:sz w:val="22"/>
          <w:szCs w:val="22"/>
          <w:lang w:val="sr-Latn-ME"/>
        </w:rPr>
        <w:t>gluk</w:t>
      </w:r>
      <w:r w:rsidR="009C0365" w:rsidRPr="00E525FC">
        <w:rPr>
          <w:sz w:val="22"/>
          <w:szCs w:val="22"/>
          <w:lang w:val="sr-Latn-ME"/>
        </w:rPr>
        <w:t>u</w:t>
      </w:r>
      <w:r w:rsidRPr="00E525FC">
        <w:rPr>
          <w:sz w:val="22"/>
          <w:szCs w:val="22"/>
          <w:lang w:val="sr-Latn-ME"/>
        </w:rPr>
        <w:t>ronidacijom</w:t>
      </w:r>
      <w:proofErr w:type="spellEnd"/>
      <w:r w:rsidRPr="00E525FC">
        <w:rPr>
          <w:sz w:val="22"/>
          <w:szCs w:val="22"/>
          <w:lang w:val="sr-Latn-ME"/>
        </w:rPr>
        <w:t xml:space="preserve">. </w:t>
      </w:r>
      <w:r w:rsidRPr="00E525FC">
        <w:rPr>
          <w:i/>
          <w:sz w:val="22"/>
          <w:szCs w:val="22"/>
          <w:lang w:val="sr-Latn-ME"/>
        </w:rPr>
        <w:t xml:space="preserve">In </w:t>
      </w:r>
      <w:proofErr w:type="spellStart"/>
      <w:r w:rsidRPr="00E525FC">
        <w:rPr>
          <w:i/>
          <w:sz w:val="22"/>
          <w:szCs w:val="22"/>
          <w:lang w:val="sr-Latn-ME"/>
        </w:rPr>
        <w:t>vitro</w:t>
      </w:r>
      <w:proofErr w:type="spellEnd"/>
      <w:r w:rsidRPr="00E525FC">
        <w:rPr>
          <w:sz w:val="22"/>
          <w:szCs w:val="22"/>
          <w:lang w:val="sr-Latn-ME"/>
        </w:rPr>
        <w:t xml:space="preserve"> studije koje koriste preparate humane jetre su pokazale da je </w:t>
      </w:r>
      <w:proofErr w:type="spellStart"/>
      <w:r w:rsidRPr="00E525FC">
        <w:rPr>
          <w:sz w:val="22"/>
          <w:szCs w:val="22"/>
          <w:lang w:val="sr-Latn-ME"/>
        </w:rPr>
        <w:t>citohrom</w:t>
      </w:r>
      <w:proofErr w:type="spellEnd"/>
      <w:r w:rsidRPr="00E525FC">
        <w:rPr>
          <w:sz w:val="22"/>
          <w:szCs w:val="22"/>
          <w:lang w:val="sr-Latn-ME"/>
        </w:rPr>
        <w:t xml:space="preserve"> P450 1A2 glavni </w:t>
      </w:r>
      <w:proofErr w:type="spellStart"/>
      <w:r w:rsidRPr="00E525FC">
        <w:rPr>
          <w:sz w:val="22"/>
          <w:szCs w:val="22"/>
          <w:lang w:val="sr-Latn-ME"/>
        </w:rPr>
        <w:t>izoenzim</w:t>
      </w:r>
      <w:proofErr w:type="spellEnd"/>
      <w:r w:rsidRPr="00E525FC">
        <w:rPr>
          <w:sz w:val="22"/>
          <w:szCs w:val="22"/>
          <w:lang w:val="sr-Latn-ME"/>
        </w:rPr>
        <w:t xml:space="preserve"> uključen u metabolizam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. </w:t>
      </w:r>
      <w:proofErr w:type="spellStart"/>
      <w:r w:rsidRPr="00E525FC">
        <w:rPr>
          <w:sz w:val="22"/>
          <w:szCs w:val="22"/>
          <w:lang w:val="sr-Latn-ME"/>
        </w:rPr>
        <w:t>Metaboliti</w:t>
      </w:r>
      <w:proofErr w:type="spellEnd"/>
      <w:r w:rsidRPr="00E525FC">
        <w:rPr>
          <w:sz w:val="22"/>
          <w:szCs w:val="22"/>
          <w:lang w:val="sr-Latn-ME"/>
        </w:rPr>
        <w:t xml:space="preserve"> identifikovani u urinu su tri </w:t>
      </w:r>
      <w:proofErr w:type="spellStart"/>
      <w:r w:rsidRPr="00E525FC">
        <w:rPr>
          <w:sz w:val="22"/>
          <w:szCs w:val="22"/>
          <w:lang w:val="sr-Latn-ME"/>
        </w:rPr>
        <w:t>fenolna</w:t>
      </w:r>
      <w:proofErr w:type="spellEnd"/>
      <w:r w:rsidRPr="00E525FC">
        <w:rPr>
          <w:sz w:val="22"/>
          <w:szCs w:val="22"/>
          <w:lang w:val="sr-Latn-ME"/>
        </w:rPr>
        <w:t xml:space="preserve"> derivata, jedan </w:t>
      </w:r>
      <w:proofErr w:type="spellStart"/>
      <w:r w:rsidRPr="00E525FC">
        <w:rPr>
          <w:sz w:val="22"/>
          <w:szCs w:val="22"/>
          <w:lang w:val="sr-Latn-ME"/>
        </w:rPr>
        <w:t>ureido</w:t>
      </w:r>
      <w:proofErr w:type="spellEnd"/>
      <w:r w:rsidRPr="00E525FC">
        <w:rPr>
          <w:sz w:val="22"/>
          <w:szCs w:val="22"/>
          <w:lang w:val="sr-Latn-ME"/>
        </w:rPr>
        <w:t xml:space="preserve">-derivat i </w:t>
      </w:r>
      <w:proofErr w:type="spellStart"/>
      <w:r w:rsidRPr="00E525FC">
        <w:rPr>
          <w:sz w:val="22"/>
          <w:szCs w:val="22"/>
          <w:lang w:val="sr-Latn-ME"/>
        </w:rPr>
        <w:t>nepromijenjeni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Pr="00E525FC">
        <w:rPr>
          <w:sz w:val="22"/>
          <w:szCs w:val="22"/>
          <w:lang w:val="sr-Latn-ME"/>
        </w:rPr>
        <w:t>.</w:t>
      </w:r>
    </w:p>
    <w:p w14:paraId="5C0D953C" w14:textId="711D5692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Primarni </w:t>
      </w:r>
      <w:proofErr w:type="spellStart"/>
      <w:r w:rsidRPr="00E525FC">
        <w:rPr>
          <w:sz w:val="22"/>
          <w:szCs w:val="22"/>
          <w:lang w:val="sr-Latn-ME"/>
        </w:rPr>
        <w:t>metabolički</w:t>
      </w:r>
      <w:proofErr w:type="spellEnd"/>
      <w:r w:rsidRPr="00E525FC">
        <w:rPr>
          <w:sz w:val="22"/>
          <w:szCs w:val="22"/>
          <w:lang w:val="sr-Latn-ME"/>
        </w:rPr>
        <w:t xml:space="preserve"> put za </w:t>
      </w: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Pr="00E525FC">
        <w:rPr>
          <w:sz w:val="22"/>
          <w:szCs w:val="22"/>
          <w:lang w:val="sr-Latn-ME"/>
        </w:rPr>
        <w:t xml:space="preserve"> je početna oksidacija </w:t>
      </w:r>
      <w:proofErr w:type="spellStart"/>
      <w:r w:rsidRPr="00E525FC">
        <w:rPr>
          <w:sz w:val="22"/>
          <w:szCs w:val="22"/>
          <w:lang w:val="sr-Latn-ME"/>
        </w:rPr>
        <w:t>citohromom</w:t>
      </w:r>
      <w:proofErr w:type="spellEnd"/>
      <w:r w:rsidRPr="00E525FC">
        <w:rPr>
          <w:sz w:val="22"/>
          <w:szCs w:val="22"/>
          <w:lang w:val="sr-Latn-ME"/>
        </w:rPr>
        <w:t xml:space="preserve"> P450 1A2 pri čemu nastaje N-</w:t>
      </w:r>
      <w:proofErr w:type="spellStart"/>
      <w:r w:rsidRPr="00E525FC">
        <w:rPr>
          <w:sz w:val="22"/>
          <w:szCs w:val="22"/>
          <w:lang w:val="sr-Latn-ME"/>
        </w:rPr>
        <w:t>hidroksiriluzol</w:t>
      </w:r>
      <w:proofErr w:type="spellEnd"/>
      <w:r w:rsidRPr="00E525FC">
        <w:rPr>
          <w:sz w:val="22"/>
          <w:szCs w:val="22"/>
          <w:lang w:val="sr-Latn-ME"/>
        </w:rPr>
        <w:t xml:space="preserve"> (RPR 112512), glavni aktivni </w:t>
      </w:r>
      <w:proofErr w:type="spellStart"/>
      <w:r w:rsidRPr="00E525FC">
        <w:rPr>
          <w:sz w:val="22"/>
          <w:szCs w:val="22"/>
          <w:lang w:val="sr-Latn-ME"/>
        </w:rPr>
        <w:t>metabolit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. Ovaj </w:t>
      </w:r>
      <w:proofErr w:type="spellStart"/>
      <w:r w:rsidRPr="00E525FC">
        <w:rPr>
          <w:sz w:val="22"/>
          <w:szCs w:val="22"/>
          <w:lang w:val="sr-Latn-ME"/>
        </w:rPr>
        <w:t>metabolit</w:t>
      </w:r>
      <w:proofErr w:type="spellEnd"/>
      <w:r w:rsidRPr="00E525FC">
        <w:rPr>
          <w:sz w:val="22"/>
          <w:szCs w:val="22"/>
          <w:lang w:val="sr-Latn-ME"/>
        </w:rPr>
        <w:t xml:space="preserve"> brzo podliježe </w:t>
      </w:r>
      <w:proofErr w:type="spellStart"/>
      <w:r w:rsidRPr="00E525FC">
        <w:rPr>
          <w:sz w:val="22"/>
          <w:szCs w:val="22"/>
          <w:lang w:val="sr-Latn-ME"/>
        </w:rPr>
        <w:t>glukurono</w:t>
      </w:r>
      <w:proofErr w:type="spellEnd"/>
      <w:r w:rsidRPr="00E525FC">
        <w:rPr>
          <w:sz w:val="22"/>
          <w:szCs w:val="22"/>
          <w:lang w:val="sr-Latn-ME"/>
        </w:rPr>
        <w:t xml:space="preserve">-konjugaciji do O- i N- </w:t>
      </w:r>
      <w:proofErr w:type="spellStart"/>
      <w:r w:rsidRPr="00E525FC">
        <w:rPr>
          <w:sz w:val="22"/>
          <w:szCs w:val="22"/>
          <w:lang w:val="sr-Latn-ME"/>
        </w:rPr>
        <w:t>glukuronida</w:t>
      </w:r>
      <w:proofErr w:type="spellEnd"/>
      <w:r w:rsidRPr="00E525FC">
        <w:rPr>
          <w:sz w:val="22"/>
          <w:szCs w:val="22"/>
          <w:lang w:val="sr-Latn-ME"/>
        </w:rPr>
        <w:t>.</w:t>
      </w:r>
    </w:p>
    <w:p w14:paraId="10230095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9DA092E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>Eliminacija:</w:t>
      </w:r>
    </w:p>
    <w:p w14:paraId="2C9EF444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Poluvrijeme eliminacije iznosi 9 do 15 sati. </w:t>
      </w: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Pr="00E525FC">
        <w:rPr>
          <w:sz w:val="22"/>
          <w:szCs w:val="22"/>
          <w:lang w:val="sr-Latn-ME"/>
        </w:rPr>
        <w:t xml:space="preserve"> se eliminiše uglavnom putem urina. Putem urina se izluči oko 90% </w:t>
      </w:r>
      <w:proofErr w:type="spellStart"/>
      <w:r w:rsidRPr="00E525FC">
        <w:rPr>
          <w:sz w:val="22"/>
          <w:szCs w:val="22"/>
          <w:lang w:val="sr-Latn-ME"/>
        </w:rPr>
        <w:t>unijete</w:t>
      </w:r>
      <w:proofErr w:type="spellEnd"/>
      <w:r w:rsidRPr="00E525FC">
        <w:rPr>
          <w:sz w:val="22"/>
          <w:szCs w:val="22"/>
          <w:lang w:val="sr-Latn-ME"/>
        </w:rPr>
        <w:t xml:space="preserve"> doze. </w:t>
      </w:r>
      <w:proofErr w:type="spellStart"/>
      <w:r w:rsidRPr="00E525FC">
        <w:rPr>
          <w:sz w:val="22"/>
          <w:szCs w:val="22"/>
          <w:lang w:val="sr-Latn-ME"/>
        </w:rPr>
        <w:t>Glukuronidi</w:t>
      </w:r>
      <w:proofErr w:type="spellEnd"/>
      <w:r w:rsidRPr="00E525FC">
        <w:rPr>
          <w:sz w:val="22"/>
          <w:szCs w:val="22"/>
          <w:lang w:val="sr-Latn-ME"/>
        </w:rPr>
        <w:t xml:space="preserve"> predstavljaju više od 85% </w:t>
      </w:r>
      <w:proofErr w:type="spellStart"/>
      <w:r w:rsidRPr="00E525FC">
        <w:rPr>
          <w:sz w:val="22"/>
          <w:szCs w:val="22"/>
          <w:lang w:val="sr-Latn-ME"/>
        </w:rPr>
        <w:t>metabolita</w:t>
      </w:r>
      <w:proofErr w:type="spellEnd"/>
      <w:r w:rsidRPr="00E525FC">
        <w:rPr>
          <w:sz w:val="22"/>
          <w:szCs w:val="22"/>
          <w:lang w:val="sr-Latn-ME"/>
        </w:rPr>
        <w:t xml:space="preserve"> u urinu. Oko 2% doze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je pronađeno u </w:t>
      </w:r>
      <w:proofErr w:type="spellStart"/>
      <w:r w:rsidRPr="00E525FC">
        <w:rPr>
          <w:sz w:val="22"/>
          <w:szCs w:val="22"/>
          <w:lang w:val="sr-Latn-ME"/>
        </w:rPr>
        <w:t>nepromijenjenom</w:t>
      </w:r>
      <w:proofErr w:type="spellEnd"/>
      <w:r w:rsidRPr="00E525FC">
        <w:rPr>
          <w:sz w:val="22"/>
          <w:szCs w:val="22"/>
          <w:lang w:val="sr-Latn-ME"/>
        </w:rPr>
        <w:t xml:space="preserve"> obliku u urinu.</w:t>
      </w:r>
    </w:p>
    <w:p w14:paraId="690DA446" w14:textId="77777777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CS"/>
        </w:rPr>
      </w:pPr>
    </w:p>
    <w:p w14:paraId="4B640DE3" w14:textId="77777777" w:rsidR="00F6410E" w:rsidRPr="00E525FC" w:rsidRDefault="00F6410E" w:rsidP="00131CE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CS"/>
        </w:rPr>
      </w:pPr>
      <w:r w:rsidRPr="00E525FC">
        <w:rPr>
          <w:sz w:val="22"/>
          <w:szCs w:val="22"/>
          <w:u w:val="single"/>
          <w:lang w:val="sr-Latn-ME" w:eastAsia="sr-Latn-CS"/>
        </w:rPr>
        <w:t>Posebne populacije</w:t>
      </w:r>
    </w:p>
    <w:p w14:paraId="58758BFD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i/>
          <w:iCs/>
          <w:sz w:val="22"/>
          <w:szCs w:val="22"/>
          <w:lang w:val="sr-Latn-ME" w:eastAsia="sr-Latn-CS"/>
        </w:rPr>
      </w:pPr>
    </w:p>
    <w:p w14:paraId="3088508A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i/>
          <w:iCs/>
          <w:sz w:val="22"/>
          <w:szCs w:val="22"/>
          <w:lang w:val="sr-Latn-ME" w:eastAsia="sr-Latn-CS"/>
        </w:rPr>
      </w:pPr>
      <w:r w:rsidRPr="00E525FC">
        <w:rPr>
          <w:i/>
          <w:iCs/>
          <w:sz w:val="22"/>
          <w:szCs w:val="22"/>
          <w:lang w:val="sr-Latn-ME" w:eastAsia="sr-Latn-CS"/>
        </w:rPr>
        <w:t>Oštećenje funkcije bubrega</w:t>
      </w:r>
    </w:p>
    <w:p w14:paraId="7886799F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Nema značajne razlike u </w:t>
      </w:r>
      <w:proofErr w:type="spellStart"/>
      <w:r w:rsidRPr="00E525FC">
        <w:rPr>
          <w:sz w:val="22"/>
          <w:szCs w:val="22"/>
          <w:lang w:val="sr-Latn-ME"/>
        </w:rPr>
        <w:t>farmakokinetičkim</w:t>
      </w:r>
      <w:proofErr w:type="spellEnd"/>
      <w:r w:rsidRPr="00E525FC">
        <w:rPr>
          <w:sz w:val="22"/>
          <w:szCs w:val="22"/>
          <w:lang w:val="sr-Latn-ME"/>
        </w:rPr>
        <w:t xml:space="preserve"> parametrima između pacijenata sa umjerenom i ozbiljnom hroničnom </w:t>
      </w:r>
      <w:proofErr w:type="spellStart"/>
      <w:r w:rsidRPr="00E525FC">
        <w:rPr>
          <w:sz w:val="22"/>
          <w:szCs w:val="22"/>
          <w:lang w:val="sr-Latn-ME"/>
        </w:rPr>
        <w:t>renalnom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insuficijencijom</w:t>
      </w:r>
      <w:proofErr w:type="spellEnd"/>
      <w:r w:rsidRPr="00E525FC">
        <w:rPr>
          <w:sz w:val="22"/>
          <w:szCs w:val="22"/>
          <w:lang w:val="sr-Latn-ME"/>
        </w:rPr>
        <w:t xml:space="preserve"> (</w:t>
      </w:r>
      <w:proofErr w:type="spellStart"/>
      <w:r w:rsidRPr="00E525FC">
        <w:rPr>
          <w:sz w:val="22"/>
          <w:szCs w:val="22"/>
          <w:lang w:val="sr-Latn-ME"/>
        </w:rPr>
        <w:t>klirens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kreatinina</w:t>
      </w:r>
      <w:proofErr w:type="spellEnd"/>
      <w:r w:rsidRPr="00E525FC">
        <w:rPr>
          <w:sz w:val="22"/>
          <w:szCs w:val="22"/>
          <w:lang w:val="sr-Latn-ME"/>
        </w:rPr>
        <w:t xml:space="preserve"> između 10 i 50 ml/min) i zdravih dobrovoljaca poslije pojedinačne oralne doze od 50 mg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>.</w:t>
      </w:r>
    </w:p>
    <w:p w14:paraId="59F4D181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0162EBD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E525FC">
        <w:rPr>
          <w:i/>
          <w:sz w:val="22"/>
          <w:szCs w:val="22"/>
          <w:lang w:val="sr-Latn-ME"/>
        </w:rPr>
        <w:t>Starije osobe</w:t>
      </w:r>
    </w:p>
    <w:p w14:paraId="0E0BB938" w14:textId="0D8F1880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Farmakokinetički</w:t>
      </w:r>
      <w:proofErr w:type="spellEnd"/>
      <w:r w:rsidRPr="00E525FC">
        <w:rPr>
          <w:sz w:val="22"/>
          <w:szCs w:val="22"/>
          <w:lang w:val="sr-Latn-ME"/>
        </w:rPr>
        <w:t xml:space="preserve"> parametri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poslije primjene ponovljene doze (4</w:t>
      </w:r>
      <w:r w:rsidR="00113136" w:rsidRPr="00E525FC">
        <w:rPr>
          <w:sz w:val="22"/>
          <w:szCs w:val="22"/>
          <w:lang w:val="sr-Latn-ME"/>
        </w:rPr>
        <w:t>,</w:t>
      </w:r>
      <w:r w:rsidRPr="00E525FC">
        <w:rPr>
          <w:sz w:val="22"/>
          <w:szCs w:val="22"/>
          <w:lang w:val="sr-Latn-ME"/>
        </w:rPr>
        <w:t>5 dana l</w:t>
      </w:r>
      <w:r w:rsidR="004D763B" w:rsidRPr="00E525FC">
        <w:rPr>
          <w:sz w:val="22"/>
          <w:szCs w:val="22"/>
          <w:lang w:val="sr-Latn-ME"/>
        </w:rPr>
        <w:t>i</w:t>
      </w:r>
      <w:r w:rsidRPr="00E525FC">
        <w:rPr>
          <w:sz w:val="22"/>
          <w:szCs w:val="22"/>
          <w:lang w:val="sr-Latn-ME"/>
        </w:rPr>
        <w:t xml:space="preserve">ječenja sa 50 mg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dva puta dnevno) ni</w:t>
      </w:r>
      <w:r w:rsidR="00BD5055" w:rsidRPr="00E525FC">
        <w:rPr>
          <w:sz w:val="22"/>
          <w:szCs w:val="22"/>
          <w:lang w:val="sr-Latn-ME"/>
        </w:rPr>
        <w:t>jesu</w:t>
      </w:r>
      <w:r w:rsidRPr="00E525FC">
        <w:rPr>
          <w:sz w:val="22"/>
          <w:szCs w:val="22"/>
          <w:lang w:val="sr-Latn-ME"/>
        </w:rPr>
        <w:t xml:space="preserve"> bili promijenjeni kod starijih (&gt;70 godina).</w:t>
      </w:r>
    </w:p>
    <w:p w14:paraId="72CD416D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53F99E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E525FC">
        <w:rPr>
          <w:i/>
          <w:sz w:val="22"/>
          <w:szCs w:val="22"/>
          <w:lang w:val="sr-Latn-ME"/>
        </w:rPr>
        <w:t xml:space="preserve">Pacijenti sa oštećenom funkcijom jetre </w:t>
      </w:r>
    </w:p>
    <w:p w14:paraId="7B9C0886" w14:textId="5E33BFAA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PIK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nakon pojedinačne oralne doze od 50 mg se povećava oko 1</w:t>
      </w:r>
      <w:r w:rsidR="00113136" w:rsidRPr="00E525FC">
        <w:rPr>
          <w:sz w:val="22"/>
          <w:szCs w:val="22"/>
          <w:lang w:val="sr-Latn-ME"/>
        </w:rPr>
        <w:t>,</w:t>
      </w:r>
      <w:r w:rsidRPr="00E525FC">
        <w:rPr>
          <w:sz w:val="22"/>
          <w:szCs w:val="22"/>
          <w:lang w:val="sr-Latn-ME"/>
        </w:rPr>
        <w:t xml:space="preserve">7 puta kod pacijenata sa blagom hroničnom </w:t>
      </w:r>
      <w:proofErr w:type="spellStart"/>
      <w:r w:rsidRPr="00E525FC">
        <w:rPr>
          <w:sz w:val="22"/>
          <w:szCs w:val="22"/>
          <w:lang w:val="sr-Latn-ME"/>
        </w:rPr>
        <w:t>insuficijen</w:t>
      </w:r>
      <w:r w:rsidR="005846ED" w:rsidRPr="00E525FC">
        <w:rPr>
          <w:sz w:val="22"/>
          <w:szCs w:val="22"/>
          <w:lang w:val="sr-Latn-ME"/>
        </w:rPr>
        <w:t>c</w:t>
      </w:r>
      <w:r w:rsidRPr="00E525FC">
        <w:rPr>
          <w:sz w:val="22"/>
          <w:szCs w:val="22"/>
          <w:lang w:val="sr-Latn-ME"/>
        </w:rPr>
        <w:t>ijom</w:t>
      </w:r>
      <w:proofErr w:type="spellEnd"/>
      <w:r w:rsidRPr="00E525FC">
        <w:rPr>
          <w:sz w:val="22"/>
          <w:szCs w:val="22"/>
          <w:lang w:val="sr-Latn-ME"/>
        </w:rPr>
        <w:t xml:space="preserve"> jetre i oko 3 puta kod pacijenata sa umjerenom hroničnom </w:t>
      </w:r>
      <w:proofErr w:type="spellStart"/>
      <w:r w:rsidRPr="00E525FC">
        <w:rPr>
          <w:sz w:val="22"/>
          <w:szCs w:val="22"/>
          <w:lang w:val="sr-Latn-ME"/>
        </w:rPr>
        <w:t>insuficijencijom</w:t>
      </w:r>
      <w:proofErr w:type="spellEnd"/>
      <w:r w:rsidRPr="00E525FC">
        <w:rPr>
          <w:sz w:val="22"/>
          <w:szCs w:val="22"/>
          <w:lang w:val="sr-Latn-ME"/>
        </w:rPr>
        <w:t xml:space="preserve"> jetre.</w:t>
      </w:r>
    </w:p>
    <w:p w14:paraId="2BFFECA0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42577FD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E525FC">
        <w:rPr>
          <w:i/>
          <w:sz w:val="22"/>
          <w:szCs w:val="22"/>
          <w:lang w:val="sr-Latn-ME"/>
        </w:rPr>
        <w:t xml:space="preserve">Rasa </w:t>
      </w:r>
    </w:p>
    <w:p w14:paraId="7C78F1C9" w14:textId="3AC56C14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Klinička studija koja je sprovedena da procijeni </w:t>
      </w:r>
      <w:proofErr w:type="spellStart"/>
      <w:r w:rsidRPr="00E525FC">
        <w:rPr>
          <w:sz w:val="22"/>
          <w:szCs w:val="22"/>
          <w:lang w:val="sr-Latn-ME"/>
        </w:rPr>
        <w:t>farmakokinetiku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i njegovog </w:t>
      </w:r>
      <w:proofErr w:type="spellStart"/>
      <w:r w:rsidRPr="00E525FC">
        <w:rPr>
          <w:sz w:val="22"/>
          <w:szCs w:val="22"/>
          <w:lang w:val="sr-Latn-ME"/>
        </w:rPr>
        <w:t>metabolita</w:t>
      </w:r>
      <w:proofErr w:type="spellEnd"/>
      <w:r w:rsidRPr="00E525FC">
        <w:rPr>
          <w:sz w:val="22"/>
          <w:szCs w:val="22"/>
          <w:lang w:val="sr-Latn-ME"/>
        </w:rPr>
        <w:t xml:space="preserve"> N-</w:t>
      </w:r>
      <w:proofErr w:type="spellStart"/>
      <w:r w:rsidRPr="00E525FC">
        <w:rPr>
          <w:sz w:val="22"/>
          <w:szCs w:val="22"/>
          <w:lang w:val="sr-Latn-ME"/>
        </w:rPr>
        <w:t>hidroksiriluzola</w:t>
      </w:r>
      <w:proofErr w:type="spellEnd"/>
      <w:r w:rsidRPr="00E525FC">
        <w:rPr>
          <w:sz w:val="22"/>
          <w:szCs w:val="22"/>
          <w:lang w:val="sr-Latn-ME"/>
        </w:rPr>
        <w:t xml:space="preserve"> nakon ponovljene oralne primjene lijeka dva puta dnevno u periodu od 8 dana kod 16 zdravih </w:t>
      </w:r>
      <w:r w:rsidR="00113136" w:rsidRPr="00E525FC">
        <w:rPr>
          <w:sz w:val="22"/>
          <w:szCs w:val="22"/>
          <w:lang w:val="sr-Latn-ME"/>
        </w:rPr>
        <w:t xml:space="preserve">odraslih </w:t>
      </w:r>
      <w:r w:rsidRPr="00E525FC">
        <w:rPr>
          <w:sz w:val="22"/>
          <w:szCs w:val="22"/>
          <w:lang w:val="sr-Latn-ME"/>
        </w:rPr>
        <w:t xml:space="preserve">Japanaca i 16 odraslih muškaraca bijele rase pokazala je u grupi japanskih dobrovoljaca manju izloženost </w:t>
      </w:r>
      <w:proofErr w:type="spellStart"/>
      <w:r w:rsidRPr="00E525FC">
        <w:rPr>
          <w:sz w:val="22"/>
          <w:szCs w:val="22"/>
          <w:lang w:val="sr-Latn-ME"/>
        </w:rPr>
        <w:t>riluzolu</w:t>
      </w:r>
      <w:proofErr w:type="spellEnd"/>
      <w:r w:rsidRPr="00E525FC">
        <w:rPr>
          <w:sz w:val="22"/>
          <w:szCs w:val="22"/>
          <w:lang w:val="sr-Latn-ME"/>
        </w:rPr>
        <w:t xml:space="preserve"> (</w:t>
      </w:r>
      <w:proofErr w:type="spellStart"/>
      <w:r w:rsidRPr="00E525FC">
        <w:rPr>
          <w:sz w:val="22"/>
          <w:szCs w:val="22"/>
          <w:lang w:val="sr-Latn-ME"/>
        </w:rPr>
        <w:t>C</w:t>
      </w:r>
      <w:r w:rsidRPr="00E525FC">
        <w:rPr>
          <w:sz w:val="22"/>
          <w:szCs w:val="22"/>
          <w:vertAlign w:val="subscript"/>
          <w:lang w:val="sr-Latn-ME"/>
        </w:rPr>
        <w:t>max</w:t>
      </w:r>
      <w:proofErr w:type="spellEnd"/>
      <w:r w:rsidRPr="00E525FC">
        <w:rPr>
          <w:sz w:val="22"/>
          <w:szCs w:val="22"/>
          <w:lang w:val="sr-Latn-ME"/>
        </w:rPr>
        <w:t xml:space="preserve"> 0</w:t>
      </w:r>
      <w:r w:rsidR="00113136" w:rsidRPr="00E525FC">
        <w:rPr>
          <w:sz w:val="22"/>
          <w:szCs w:val="22"/>
          <w:lang w:val="sr-Latn-ME"/>
        </w:rPr>
        <w:t>,</w:t>
      </w:r>
      <w:r w:rsidRPr="00E525FC">
        <w:rPr>
          <w:sz w:val="22"/>
          <w:szCs w:val="22"/>
          <w:lang w:val="sr-Latn-ME"/>
        </w:rPr>
        <w:t>85 (90% Cl 0</w:t>
      </w:r>
      <w:r w:rsidR="00113136" w:rsidRPr="00E525FC">
        <w:rPr>
          <w:sz w:val="22"/>
          <w:szCs w:val="22"/>
          <w:lang w:val="sr-Latn-ME"/>
        </w:rPr>
        <w:t>,</w:t>
      </w:r>
      <w:r w:rsidRPr="00E525FC">
        <w:rPr>
          <w:sz w:val="22"/>
          <w:szCs w:val="22"/>
          <w:lang w:val="sr-Latn-ME"/>
        </w:rPr>
        <w:t>68-1</w:t>
      </w:r>
      <w:r w:rsidR="00113136" w:rsidRPr="00E525FC">
        <w:rPr>
          <w:sz w:val="22"/>
          <w:szCs w:val="22"/>
          <w:lang w:val="sr-Latn-ME"/>
        </w:rPr>
        <w:t>,</w:t>
      </w:r>
      <w:r w:rsidRPr="00E525FC">
        <w:rPr>
          <w:sz w:val="22"/>
          <w:szCs w:val="22"/>
          <w:lang w:val="sr-Latn-ME"/>
        </w:rPr>
        <w:t xml:space="preserve">08) i </w:t>
      </w:r>
      <w:proofErr w:type="spellStart"/>
      <w:r w:rsidRPr="00E525FC">
        <w:rPr>
          <w:sz w:val="22"/>
          <w:szCs w:val="22"/>
          <w:lang w:val="sr-Latn-ME"/>
        </w:rPr>
        <w:t>PIK</w:t>
      </w:r>
      <w:r w:rsidRPr="00E525FC">
        <w:rPr>
          <w:sz w:val="22"/>
          <w:szCs w:val="22"/>
          <w:vertAlign w:val="subscript"/>
          <w:lang w:val="sr-Latn-ME"/>
        </w:rPr>
        <w:t>inf</w:t>
      </w:r>
      <w:proofErr w:type="spellEnd"/>
      <w:r w:rsidRPr="00E525FC">
        <w:rPr>
          <w:sz w:val="22"/>
          <w:szCs w:val="22"/>
          <w:lang w:val="sr-Latn-ME"/>
        </w:rPr>
        <w:t>. 0</w:t>
      </w:r>
      <w:r w:rsidR="00113136" w:rsidRPr="00E525FC">
        <w:rPr>
          <w:sz w:val="22"/>
          <w:szCs w:val="22"/>
          <w:lang w:val="sr-Latn-ME"/>
        </w:rPr>
        <w:t>,</w:t>
      </w:r>
      <w:r w:rsidRPr="00E525FC">
        <w:rPr>
          <w:sz w:val="22"/>
          <w:szCs w:val="22"/>
          <w:lang w:val="sr-Latn-ME"/>
        </w:rPr>
        <w:t>88 (90% Cl 0</w:t>
      </w:r>
      <w:r w:rsidR="00113136" w:rsidRPr="00E525FC">
        <w:rPr>
          <w:sz w:val="22"/>
          <w:szCs w:val="22"/>
          <w:lang w:val="sr-Latn-ME"/>
        </w:rPr>
        <w:t>,</w:t>
      </w:r>
      <w:r w:rsidRPr="00E525FC">
        <w:rPr>
          <w:sz w:val="22"/>
          <w:szCs w:val="22"/>
          <w:lang w:val="sr-Latn-ME"/>
        </w:rPr>
        <w:t>69-1</w:t>
      </w:r>
      <w:r w:rsidR="00113136" w:rsidRPr="00E525FC">
        <w:rPr>
          <w:sz w:val="22"/>
          <w:szCs w:val="22"/>
          <w:lang w:val="sr-Latn-ME"/>
        </w:rPr>
        <w:t>,</w:t>
      </w:r>
      <w:r w:rsidRPr="00E525FC">
        <w:rPr>
          <w:sz w:val="22"/>
          <w:szCs w:val="22"/>
          <w:lang w:val="sr-Latn-ME"/>
        </w:rPr>
        <w:t xml:space="preserve">13)) dok je izloženost </w:t>
      </w:r>
      <w:proofErr w:type="spellStart"/>
      <w:r w:rsidRPr="00E525FC">
        <w:rPr>
          <w:sz w:val="22"/>
          <w:szCs w:val="22"/>
          <w:lang w:val="sr-Latn-ME"/>
        </w:rPr>
        <w:t>metabolitu</w:t>
      </w:r>
      <w:proofErr w:type="spellEnd"/>
      <w:r w:rsidRPr="00E525FC">
        <w:rPr>
          <w:sz w:val="22"/>
          <w:szCs w:val="22"/>
          <w:lang w:val="sr-Latn-ME"/>
        </w:rPr>
        <w:t xml:space="preserve"> slična u obje grupe. Klinički značaj ovih rezultata je nije poznat.</w:t>
      </w:r>
    </w:p>
    <w:p w14:paraId="46E093CC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CS"/>
        </w:rPr>
      </w:pPr>
    </w:p>
    <w:p w14:paraId="3C456ED3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5.3.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proofErr w:type="spellStart"/>
      <w:r w:rsidRPr="00E525FC">
        <w:rPr>
          <w:b/>
          <w:bCs/>
          <w:sz w:val="22"/>
          <w:szCs w:val="22"/>
          <w:lang w:val="sr-Latn-ME"/>
        </w:rPr>
        <w:t>Pretklinički</w:t>
      </w:r>
      <w:proofErr w:type="spellEnd"/>
      <w:r w:rsidRPr="00E525FC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4EB95B4F" w14:textId="77777777" w:rsidR="00836B35" w:rsidRPr="00E525FC" w:rsidRDefault="00836B35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E9132C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Pr="00E525FC">
        <w:rPr>
          <w:sz w:val="22"/>
          <w:szCs w:val="22"/>
          <w:lang w:val="sr-Latn-ME"/>
        </w:rPr>
        <w:t xml:space="preserve"> nije pokazao kancerogeni potencijal ni kod pacova, ni kod miševa.</w:t>
      </w:r>
    </w:p>
    <w:p w14:paraId="3E913C34" w14:textId="57ED7F74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Standardni testovi </w:t>
      </w:r>
      <w:proofErr w:type="spellStart"/>
      <w:r w:rsidRPr="00E525FC">
        <w:rPr>
          <w:sz w:val="22"/>
          <w:szCs w:val="22"/>
          <w:lang w:val="sr-Latn-ME"/>
        </w:rPr>
        <w:t>genotoksičnosti</w:t>
      </w:r>
      <w:proofErr w:type="spellEnd"/>
      <w:r w:rsidRPr="00E525FC">
        <w:rPr>
          <w:sz w:val="22"/>
          <w:szCs w:val="22"/>
          <w:lang w:val="sr-Latn-ME"/>
        </w:rPr>
        <w:t xml:space="preserve"> izvedeni sa </w:t>
      </w:r>
      <w:proofErr w:type="spellStart"/>
      <w:r w:rsidRPr="00E525FC">
        <w:rPr>
          <w:sz w:val="22"/>
          <w:szCs w:val="22"/>
          <w:lang w:val="sr-Latn-ME"/>
        </w:rPr>
        <w:t>riluzolom</w:t>
      </w:r>
      <w:proofErr w:type="spellEnd"/>
      <w:r w:rsidRPr="00E525FC">
        <w:rPr>
          <w:sz w:val="22"/>
          <w:szCs w:val="22"/>
          <w:lang w:val="sr-Latn-ME"/>
        </w:rPr>
        <w:t xml:space="preserve"> su bili negativni. Testovi sa glavnim aktivnim </w:t>
      </w:r>
      <w:proofErr w:type="spellStart"/>
      <w:r w:rsidRPr="00E525FC">
        <w:rPr>
          <w:sz w:val="22"/>
          <w:szCs w:val="22"/>
          <w:lang w:val="sr-Latn-ME"/>
        </w:rPr>
        <w:t>metabolitom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su dali pozitivne rezultate u dva </w:t>
      </w:r>
      <w:r w:rsidRPr="00E525FC">
        <w:rPr>
          <w:i/>
          <w:sz w:val="22"/>
          <w:szCs w:val="22"/>
          <w:lang w:val="sr-Latn-ME"/>
        </w:rPr>
        <w:t xml:space="preserve">in </w:t>
      </w:r>
      <w:proofErr w:type="spellStart"/>
      <w:r w:rsidRPr="00E525FC">
        <w:rPr>
          <w:i/>
          <w:sz w:val="22"/>
          <w:szCs w:val="22"/>
          <w:lang w:val="sr-Latn-ME"/>
        </w:rPr>
        <w:t>vitro</w:t>
      </w:r>
      <w:proofErr w:type="spellEnd"/>
      <w:r w:rsidRPr="00E525FC">
        <w:rPr>
          <w:sz w:val="22"/>
          <w:szCs w:val="22"/>
          <w:lang w:val="sr-Latn-ME"/>
        </w:rPr>
        <w:t xml:space="preserve"> testa. Intenzivno ispitivanje kod sedam drugih standardnih </w:t>
      </w:r>
      <w:r w:rsidRPr="00E525FC">
        <w:rPr>
          <w:i/>
          <w:sz w:val="22"/>
          <w:szCs w:val="22"/>
          <w:lang w:val="sr-Latn-ME"/>
        </w:rPr>
        <w:t xml:space="preserve">in </w:t>
      </w:r>
      <w:proofErr w:type="spellStart"/>
      <w:r w:rsidRPr="00E525FC">
        <w:rPr>
          <w:i/>
          <w:sz w:val="22"/>
          <w:szCs w:val="22"/>
          <w:lang w:val="sr-Latn-ME"/>
        </w:rPr>
        <w:t>vitro</w:t>
      </w:r>
      <w:proofErr w:type="spellEnd"/>
      <w:r w:rsidRPr="00E525FC">
        <w:rPr>
          <w:sz w:val="22"/>
          <w:szCs w:val="22"/>
          <w:lang w:val="sr-Latn-ME"/>
        </w:rPr>
        <w:t xml:space="preserve"> ili </w:t>
      </w:r>
      <w:r w:rsidRPr="00E525FC">
        <w:rPr>
          <w:i/>
          <w:sz w:val="22"/>
          <w:szCs w:val="22"/>
          <w:lang w:val="sr-Latn-ME"/>
        </w:rPr>
        <w:t xml:space="preserve">in </w:t>
      </w:r>
      <w:proofErr w:type="spellStart"/>
      <w:r w:rsidRPr="00E525FC">
        <w:rPr>
          <w:i/>
          <w:sz w:val="22"/>
          <w:szCs w:val="22"/>
          <w:lang w:val="sr-Latn-ME"/>
        </w:rPr>
        <w:t>vivo</w:t>
      </w:r>
      <w:proofErr w:type="spellEnd"/>
      <w:r w:rsidRPr="00E525FC">
        <w:rPr>
          <w:sz w:val="22"/>
          <w:szCs w:val="22"/>
          <w:lang w:val="sr-Latn-ME"/>
        </w:rPr>
        <w:t xml:space="preserve"> analiza nije pokazalo nikakav </w:t>
      </w:r>
      <w:proofErr w:type="spellStart"/>
      <w:r w:rsidRPr="00E525FC">
        <w:rPr>
          <w:sz w:val="22"/>
          <w:szCs w:val="22"/>
          <w:lang w:val="sr-Latn-ME"/>
        </w:rPr>
        <w:t>genotoksični</w:t>
      </w:r>
      <w:proofErr w:type="spellEnd"/>
      <w:r w:rsidRPr="00E525FC">
        <w:rPr>
          <w:sz w:val="22"/>
          <w:szCs w:val="22"/>
          <w:lang w:val="sr-Latn-ME"/>
        </w:rPr>
        <w:t xml:space="preserve"> potencijal </w:t>
      </w:r>
      <w:proofErr w:type="spellStart"/>
      <w:r w:rsidRPr="00E525FC">
        <w:rPr>
          <w:sz w:val="22"/>
          <w:szCs w:val="22"/>
          <w:lang w:val="sr-Latn-ME"/>
        </w:rPr>
        <w:t>metabolita</w:t>
      </w:r>
      <w:proofErr w:type="spellEnd"/>
      <w:r w:rsidRPr="00E525FC">
        <w:rPr>
          <w:sz w:val="22"/>
          <w:szCs w:val="22"/>
          <w:lang w:val="sr-Latn-ME"/>
        </w:rPr>
        <w:t xml:space="preserve">. </w:t>
      </w:r>
      <w:r w:rsidRPr="00E525FC">
        <w:rPr>
          <w:sz w:val="22"/>
          <w:szCs w:val="22"/>
          <w:lang w:val="sr-Latn-ME"/>
        </w:rPr>
        <w:lastRenderedPageBreak/>
        <w:t xml:space="preserve">Na osnovu ovih podataka, i uzimajući u obzir negativne </w:t>
      </w:r>
      <w:r w:rsidR="00113136" w:rsidRPr="00E525FC">
        <w:rPr>
          <w:sz w:val="22"/>
          <w:szCs w:val="22"/>
          <w:lang w:val="sr-Latn-ME"/>
        </w:rPr>
        <w:t xml:space="preserve">rezultate </w:t>
      </w:r>
      <w:r w:rsidRPr="00E525FC">
        <w:rPr>
          <w:sz w:val="22"/>
          <w:szCs w:val="22"/>
          <w:lang w:val="sr-Latn-ME"/>
        </w:rPr>
        <w:t>studij</w:t>
      </w:r>
      <w:r w:rsidR="00113136" w:rsidRPr="00E525FC">
        <w:rPr>
          <w:sz w:val="22"/>
          <w:szCs w:val="22"/>
          <w:lang w:val="sr-Latn-ME"/>
        </w:rPr>
        <w:t>a</w:t>
      </w:r>
      <w:r w:rsidRPr="00E525FC">
        <w:rPr>
          <w:sz w:val="22"/>
          <w:szCs w:val="22"/>
          <w:lang w:val="sr-Latn-ME"/>
        </w:rPr>
        <w:t xml:space="preserve"> </w:t>
      </w:r>
      <w:r w:rsidR="005A7203" w:rsidRPr="00E525FC">
        <w:rPr>
          <w:sz w:val="22"/>
          <w:szCs w:val="22"/>
          <w:lang w:val="sr-Latn-ME"/>
        </w:rPr>
        <w:t xml:space="preserve">kancerogenosti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kod miševa i pacova, </w:t>
      </w:r>
      <w:proofErr w:type="spellStart"/>
      <w:r w:rsidRPr="00E525FC">
        <w:rPr>
          <w:sz w:val="22"/>
          <w:szCs w:val="22"/>
          <w:lang w:val="sr-Latn-ME"/>
        </w:rPr>
        <w:t>genotoksični</w:t>
      </w:r>
      <w:proofErr w:type="spellEnd"/>
      <w:r w:rsidRPr="00E525FC">
        <w:rPr>
          <w:sz w:val="22"/>
          <w:szCs w:val="22"/>
          <w:lang w:val="sr-Latn-ME"/>
        </w:rPr>
        <w:t xml:space="preserve"> efekat ovog </w:t>
      </w:r>
      <w:proofErr w:type="spellStart"/>
      <w:r w:rsidRPr="00E525FC">
        <w:rPr>
          <w:sz w:val="22"/>
          <w:szCs w:val="22"/>
          <w:lang w:val="sr-Latn-ME"/>
        </w:rPr>
        <w:t>metabolita</w:t>
      </w:r>
      <w:proofErr w:type="spellEnd"/>
      <w:r w:rsidRPr="00E525FC">
        <w:rPr>
          <w:sz w:val="22"/>
          <w:szCs w:val="22"/>
          <w:lang w:val="sr-Latn-ME"/>
        </w:rPr>
        <w:t xml:space="preserve"> ne smatra se značajnim za </w:t>
      </w:r>
      <w:proofErr w:type="spellStart"/>
      <w:r w:rsidRPr="00E525FC">
        <w:rPr>
          <w:sz w:val="22"/>
          <w:szCs w:val="22"/>
          <w:lang w:val="sr-Latn-ME"/>
        </w:rPr>
        <w:t>ljude</w:t>
      </w:r>
      <w:proofErr w:type="spellEnd"/>
      <w:r w:rsidRPr="00E525FC">
        <w:rPr>
          <w:sz w:val="22"/>
          <w:szCs w:val="22"/>
          <w:lang w:val="sr-Latn-ME"/>
        </w:rPr>
        <w:t>.</w:t>
      </w:r>
    </w:p>
    <w:p w14:paraId="64BF59BA" w14:textId="4BC8BD0E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Primijećeno je </w:t>
      </w:r>
      <w:proofErr w:type="spellStart"/>
      <w:r w:rsidRPr="00E525FC">
        <w:rPr>
          <w:sz w:val="22"/>
          <w:szCs w:val="22"/>
          <w:lang w:val="sr-Latn-ME"/>
        </w:rPr>
        <w:t>nedosljedno</w:t>
      </w:r>
      <w:proofErr w:type="spellEnd"/>
      <w:r w:rsidRPr="00E525FC">
        <w:rPr>
          <w:sz w:val="22"/>
          <w:szCs w:val="22"/>
          <w:lang w:val="sr-Latn-ME"/>
        </w:rPr>
        <w:t xml:space="preserve"> smanjenje broja crvenih krvnih zrnaca i/ili promjene parametara jetre u studijama </w:t>
      </w:r>
      <w:proofErr w:type="spellStart"/>
      <w:r w:rsidRPr="00E525FC">
        <w:rPr>
          <w:sz w:val="22"/>
          <w:szCs w:val="22"/>
          <w:lang w:val="sr-Latn-ME"/>
        </w:rPr>
        <w:t>subakutne</w:t>
      </w:r>
      <w:proofErr w:type="spellEnd"/>
      <w:r w:rsidRPr="00E525FC">
        <w:rPr>
          <w:sz w:val="22"/>
          <w:szCs w:val="22"/>
          <w:lang w:val="sr-Latn-ME"/>
        </w:rPr>
        <w:t xml:space="preserve"> i hronične toksičnosti kod pacova i majmuna. Kod pasa</w:t>
      </w:r>
      <w:r w:rsidR="00C25D5F" w:rsidRPr="00E525FC">
        <w:rPr>
          <w:sz w:val="22"/>
          <w:szCs w:val="22"/>
          <w:lang w:val="sr-Latn-ME"/>
        </w:rPr>
        <w:t xml:space="preserve"> je</w:t>
      </w:r>
      <w:r w:rsidRPr="00E525FC">
        <w:rPr>
          <w:sz w:val="22"/>
          <w:szCs w:val="22"/>
          <w:lang w:val="sr-Latn-ME"/>
        </w:rPr>
        <w:t xml:space="preserve"> primijećena </w:t>
      </w:r>
      <w:proofErr w:type="spellStart"/>
      <w:r w:rsidRPr="00E525FC">
        <w:rPr>
          <w:sz w:val="22"/>
          <w:szCs w:val="22"/>
          <w:lang w:val="sr-Latn-ME"/>
        </w:rPr>
        <w:t>hemolitička</w:t>
      </w:r>
      <w:proofErr w:type="spellEnd"/>
      <w:r w:rsidRPr="00E525FC">
        <w:rPr>
          <w:sz w:val="22"/>
          <w:szCs w:val="22"/>
          <w:lang w:val="sr-Latn-ME"/>
        </w:rPr>
        <w:t xml:space="preserve"> anemija.</w:t>
      </w:r>
    </w:p>
    <w:p w14:paraId="1BE20F50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722244" w14:textId="5CF1E509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U pojedinačnom ispitivanju toksičnosti, </w:t>
      </w:r>
      <w:r w:rsidR="00C25D5F" w:rsidRPr="00E525FC">
        <w:rPr>
          <w:sz w:val="22"/>
          <w:szCs w:val="22"/>
          <w:lang w:val="sr-Latn-ME"/>
        </w:rPr>
        <w:t xml:space="preserve">primijećena je veća </w:t>
      </w:r>
      <w:proofErr w:type="spellStart"/>
      <w:r w:rsidR="00C25D5F" w:rsidRPr="00E525FC">
        <w:rPr>
          <w:sz w:val="22"/>
          <w:szCs w:val="22"/>
          <w:lang w:val="sr-Latn-ME"/>
        </w:rPr>
        <w:t>incidenca</w:t>
      </w:r>
      <w:proofErr w:type="spellEnd"/>
      <w:r w:rsidR="00C25D5F" w:rsidRPr="00E525FC">
        <w:rPr>
          <w:sz w:val="22"/>
          <w:szCs w:val="22"/>
          <w:lang w:val="sr-Latn-ME"/>
        </w:rPr>
        <w:t xml:space="preserve"> </w:t>
      </w:r>
      <w:r w:rsidRPr="00E525FC">
        <w:rPr>
          <w:sz w:val="22"/>
          <w:szCs w:val="22"/>
          <w:lang w:val="sr-Latn-ME"/>
        </w:rPr>
        <w:t>izostank</w:t>
      </w:r>
      <w:r w:rsidR="00C25D5F" w:rsidRPr="00E525FC">
        <w:rPr>
          <w:sz w:val="22"/>
          <w:szCs w:val="22"/>
          <w:lang w:val="sr-Latn-ME"/>
        </w:rPr>
        <w:t>a</w:t>
      </w:r>
      <w:r w:rsidRPr="00E525FC">
        <w:rPr>
          <w:sz w:val="22"/>
          <w:szCs w:val="22"/>
          <w:lang w:val="sr-Latn-ME"/>
        </w:rPr>
        <w:t xml:space="preserve"> žutog tijela </w:t>
      </w:r>
      <w:r w:rsidR="00C25D5F" w:rsidRPr="00E525FC">
        <w:rPr>
          <w:sz w:val="22"/>
          <w:szCs w:val="22"/>
          <w:lang w:val="sr-Latn-ME"/>
        </w:rPr>
        <w:t>u</w:t>
      </w:r>
      <w:r w:rsidRPr="00E525FC">
        <w:rPr>
          <w:sz w:val="22"/>
          <w:szCs w:val="22"/>
          <w:lang w:val="sr-Latn-ME"/>
        </w:rPr>
        <w:t xml:space="preserve"> jajni</w:t>
      </w:r>
      <w:r w:rsidR="00C25D5F" w:rsidRPr="00E525FC">
        <w:rPr>
          <w:sz w:val="22"/>
          <w:szCs w:val="22"/>
          <w:lang w:val="sr-Latn-ME"/>
        </w:rPr>
        <w:t>cim</w:t>
      </w:r>
      <w:r w:rsidRPr="00E525FC">
        <w:rPr>
          <w:sz w:val="22"/>
          <w:szCs w:val="22"/>
          <w:lang w:val="sr-Latn-ME"/>
        </w:rPr>
        <w:t>a</w:t>
      </w:r>
      <w:r w:rsidR="00C25D5F" w:rsidRPr="00E525FC">
        <w:rPr>
          <w:sz w:val="22"/>
          <w:szCs w:val="22"/>
          <w:lang w:val="sr-Latn-ME"/>
        </w:rPr>
        <w:t xml:space="preserve"> kod ženki pacova liječenih</w:t>
      </w:r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="00C25D5F" w:rsidRPr="00E525FC">
        <w:rPr>
          <w:sz w:val="22"/>
          <w:szCs w:val="22"/>
          <w:lang w:val="sr-Latn-ME"/>
        </w:rPr>
        <w:t>riluzolom</w:t>
      </w:r>
      <w:proofErr w:type="spellEnd"/>
      <w:r w:rsidR="00C25D5F" w:rsidRPr="00E525FC">
        <w:rPr>
          <w:sz w:val="22"/>
          <w:szCs w:val="22"/>
          <w:lang w:val="sr-Latn-ME"/>
        </w:rPr>
        <w:t xml:space="preserve"> </w:t>
      </w:r>
      <w:r w:rsidRPr="00E525FC">
        <w:rPr>
          <w:sz w:val="22"/>
          <w:szCs w:val="22"/>
          <w:lang w:val="sr-Latn-ME"/>
        </w:rPr>
        <w:t>u poređenju sa kontroln</w:t>
      </w:r>
      <w:r w:rsidR="00C25D5F" w:rsidRPr="00E525FC">
        <w:rPr>
          <w:sz w:val="22"/>
          <w:szCs w:val="22"/>
          <w:lang w:val="sr-Latn-ME"/>
        </w:rPr>
        <w:t>o</w:t>
      </w:r>
      <w:r w:rsidRPr="00E525FC">
        <w:rPr>
          <w:sz w:val="22"/>
          <w:szCs w:val="22"/>
          <w:lang w:val="sr-Latn-ME"/>
        </w:rPr>
        <w:t xml:space="preserve">m </w:t>
      </w:r>
      <w:r w:rsidR="00C25D5F" w:rsidRPr="00E525FC">
        <w:rPr>
          <w:sz w:val="22"/>
          <w:szCs w:val="22"/>
          <w:lang w:val="sr-Latn-ME"/>
        </w:rPr>
        <w:t>grupom</w:t>
      </w:r>
      <w:r w:rsidRPr="00E525FC">
        <w:rPr>
          <w:sz w:val="22"/>
          <w:szCs w:val="22"/>
          <w:lang w:val="sr-Latn-ME"/>
        </w:rPr>
        <w:t>. Ovaj izolovani nalaz nije primijećen ni u jednoj drugoj studiji ili vrstama.</w:t>
      </w:r>
    </w:p>
    <w:p w14:paraId="17995902" w14:textId="46EC64B5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Svi ovi nalazi su bili zabilježeni kod doza koje su bile 2-10 puta veće u odnosu na dozu od 100 mg/dan kod </w:t>
      </w:r>
      <w:proofErr w:type="spellStart"/>
      <w:r w:rsidRPr="00E525FC">
        <w:rPr>
          <w:sz w:val="22"/>
          <w:szCs w:val="22"/>
          <w:lang w:val="sr-Latn-ME"/>
        </w:rPr>
        <w:t>ljudi</w:t>
      </w:r>
      <w:proofErr w:type="spellEnd"/>
      <w:r w:rsidRPr="00E525FC">
        <w:rPr>
          <w:sz w:val="22"/>
          <w:szCs w:val="22"/>
          <w:lang w:val="sr-Latn-ME"/>
        </w:rPr>
        <w:t>.</w:t>
      </w:r>
    </w:p>
    <w:p w14:paraId="70F84E15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0D869DA" w14:textId="4D3F5B4F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Kod gravidnih pacova, detektovan je </w:t>
      </w:r>
      <w:proofErr w:type="spellStart"/>
      <w:r w:rsidRPr="00E525FC">
        <w:rPr>
          <w:sz w:val="22"/>
          <w:szCs w:val="22"/>
          <w:lang w:val="sr-Latn-ME"/>
        </w:rPr>
        <w:t>prelaz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r w:rsidRPr="00E525FC">
        <w:rPr>
          <w:sz w:val="22"/>
          <w:szCs w:val="22"/>
          <w:vertAlign w:val="superscript"/>
          <w:lang w:val="sr-Latn-ME"/>
        </w:rPr>
        <w:t>14</w:t>
      </w:r>
      <w:r w:rsidRPr="00E525FC">
        <w:rPr>
          <w:sz w:val="22"/>
          <w:szCs w:val="22"/>
          <w:lang w:val="sr-Latn-ME"/>
        </w:rPr>
        <w:t xml:space="preserve">C – </w:t>
      </w:r>
      <w:proofErr w:type="spellStart"/>
      <w:r w:rsidRPr="00E525FC">
        <w:rPr>
          <w:sz w:val="22"/>
          <w:szCs w:val="22"/>
          <w:lang w:val="sr-Latn-ME"/>
        </w:rPr>
        <w:t>riluzola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proofErr w:type="spellStart"/>
      <w:r w:rsidRPr="00E525FC">
        <w:rPr>
          <w:sz w:val="22"/>
          <w:szCs w:val="22"/>
          <w:lang w:val="sr-Latn-ME"/>
        </w:rPr>
        <w:t>preko</w:t>
      </w:r>
      <w:proofErr w:type="spellEnd"/>
      <w:r w:rsidRPr="00E525FC">
        <w:rPr>
          <w:sz w:val="22"/>
          <w:szCs w:val="22"/>
          <w:lang w:val="sr-Latn-ME"/>
        </w:rPr>
        <w:t xml:space="preserve"> placente do fetusa. Kod pacova je </w:t>
      </w: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="001C1004" w:rsidRPr="00E525FC">
        <w:rPr>
          <w:sz w:val="22"/>
          <w:szCs w:val="22"/>
          <w:lang w:val="sr-Latn-ME"/>
        </w:rPr>
        <w:t xml:space="preserve"> smanjio stopu trudnoća i broj </w:t>
      </w:r>
      <w:proofErr w:type="spellStart"/>
      <w:r w:rsidR="001C1004" w:rsidRPr="00E525FC">
        <w:rPr>
          <w:sz w:val="22"/>
          <w:szCs w:val="22"/>
          <w:lang w:val="sr-Latn-ME"/>
        </w:rPr>
        <w:t>implantacija</w:t>
      </w:r>
      <w:proofErr w:type="spellEnd"/>
      <w:r w:rsidR="001C1004" w:rsidRPr="00E525FC">
        <w:rPr>
          <w:sz w:val="22"/>
          <w:szCs w:val="22"/>
          <w:lang w:val="sr-Latn-ME"/>
        </w:rPr>
        <w:t xml:space="preserve"> pri izloženosti l</w:t>
      </w:r>
      <w:r w:rsidR="00131CE3" w:rsidRPr="00E525FC">
        <w:rPr>
          <w:sz w:val="22"/>
          <w:szCs w:val="22"/>
          <w:lang w:val="sr-Latn-ME"/>
        </w:rPr>
        <w:t>ij</w:t>
      </w:r>
      <w:r w:rsidR="001C1004" w:rsidRPr="00E525FC">
        <w:rPr>
          <w:sz w:val="22"/>
          <w:szCs w:val="22"/>
          <w:lang w:val="sr-Latn-ME"/>
        </w:rPr>
        <w:t xml:space="preserve">eku najmanje dva puta većem od sistemske izloženosti kod </w:t>
      </w:r>
      <w:proofErr w:type="spellStart"/>
      <w:r w:rsidR="001C1004" w:rsidRPr="00E525FC">
        <w:rPr>
          <w:sz w:val="22"/>
          <w:szCs w:val="22"/>
          <w:lang w:val="sr-Latn-ME"/>
        </w:rPr>
        <w:t>ljudi</w:t>
      </w:r>
      <w:proofErr w:type="spellEnd"/>
      <w:r w:rsidR="001C1004" w:rsidRPr="00E525FC">
        <w:rPr>
          <w:sz w:val="22"/>
          <w:szCs w:val="22"/>
          <w:lang w:val="sr-Latn-ME"/>
        </w:rPr>
        <w:t xml:space="preserve"> tokom kliničke terapije</w:t>
      </w:r>
      <w:r w:rsidRPr="00E525FC">
        <w:rPr>
          <w:sz w:val="22"/>
          <w:szCs w:val="22"/>
          <w:lang w:val="sr-Latn-ME"/>
        </w:rPr>
        <w:t xml:space="preserve">. </w:t>
      </w:r>
      <w:r w:rsidR="00BD5055" w:rsidRPr="00E525FC">
        <w:rPr>
          <w:sz w:val="22"/>
          <w:szCs w:val="22"/>
          <w:lang w:val="sr-Latn-ME"/>
        </w:rPr>
        <w:t xml:space="preserve">Nijesu </w:t>
      </w:r>
      <w:r w:rsidRPr="00E525FC">
        <w:rPr>
          <w:sz w:val="22"/>
          <w:szCs w:val="22"/>
          <w:lang w:val="sr-Latn-ME"/>
        </w:rPr>
        <w:t>zabilježeni deformiteti ploda u reproduktivnim studijama na životinjama.</w:t>
      </w:r>
    </w:p>
    <w:p w14:paraId="37F0CA8E" w14:textId="09618B2B" w:rsidR="00396DFD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Kod ženki pacova u periodu </w:t>
      </w:r>
      <w:proofErr w:type="spellStart"/>
      <w:r w:rsidRPr="00E525FC">
        <w:rPr>
          <w:sz w:val="22"/>
          <w:szCs w:val="22"/>
          <w:lang w:val="sr-Latn-ME"/>
        </w:rPr>
        <w:t>laktacije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r w:rsidRPr="00E525FC">
        <w:rPr>
          <w:sz w:val="22"/>
          <w:szCs w:val="22"/>
          <w:vertAlign w:val="superscript"/>
          <w:lang w:val="sr-Latn-ME"/>
        </w:rPr>
        <w:t>14</w:t>
      </w:r>
      <w:r w:rsidRPr="00E525FC">
        <w:rPr>
          <w:sz w:val="22"/>
          <w:szCs w:val="22"/>
          <w:lang w:val="sr-Latn-ME"/>
        </w:rPr>
        <w:t xml:space="preserve">C – </w:t>
      </w:r>
      <w:proofErr w:type="spellStart"/>
      <w:r w:rsidRPr="00E525FC">
        <w:rPr>
          <w:sz w:val="22"/>
          <w:szCs w:val="22"/>
          <w:lang w:val="sr-Latn-ME"/>
        </w:rPr>
        <w:t>riluzol</w:t>
      </w:r>
      <w:proofErr w:type="spellEnd"/>
      <w:r w:rsidRPr="00E525FC">
        <w:rPr>
          <w:sz w:val="22"/>
          <w:szCs w:val="22"/>
          <w:lang w:val="sr-Latn-ME"/>
        </w:rPr>
        <w:t xml:space="preserve"> je detektovan u mlijeku.</w:t>
      </w:r>
    </w:p>
    <w:p w14:paraId="46EAB3D1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861ADC3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B976FCC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6.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FARMACEUTSKI PODACI</w:t>
      </w:r>
    </w:p>
    <w:p w14:paraId="6BA8A027" w14:textId="77777777" w:rsidR="00836B35" w:rsidRPr="00E525FC" w:rsidRDefault="00836B35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14D71A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6.1.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Lista pomoćnih supstanci</w:t>
      </w:r>
      <w:r w:rsidR="002E0135" w:rsidRPr="00E525FC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E525FC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E525FC">
        <w:rPr>
          <w:b/>
          <w:bCs/>
          <w:sz w:val="22"/>
          <w:szCs w:val="22"/>
          <w:lang w:val="sr-Latn-ME"/>
        </w:rPr>
        <w:t>)</w:t>
      </w:r>
    </w:p>
    <w:p w14:paraId="1E4E6DCB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660B7156" w14:textId="133959DC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>Jezgro</w:t>
      </w:r>
      <w:r w:rsidR="000B4C91" w:rsidRPr="00E525FC">
        <w:rPr>
          <w:sz w:val="22"/>
          <w:szCs w:val="22"/>
          <w:u w:val="single"/>
          <w:lang w:val="sr-Latn-ME"/>
        </w:rPr>
        <w:t xml:space="preserve"> tablete</w:t>
      </w:r>
      <w:r w:rsidRPr="00E525FC">
        <w:rPr>
          <w:sz w:val="22"/>
          <w:szCs w:val="22"/>
          <w:u w:val="single"/>
          <w:lang w:val="sr-Latn-ME"/>
        </w:rPr>
        <w:t>:</w:t>
      </w:r>
    </w:p>
    <w:p w14:paraId="6007E13B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kalcijum </w:t>
      </w:r>
      <w:proofErr w:type="spellStart"/>
      <w:r w:rsidRPr="00E525FC">
        <w:rPr>
          <w:sz w:val="22"/>
          <w:szCs w:val="22"/>
          <w:lang w:val="sr-Latn-ME"/>
        </w:rPr>
        <w:t>hidrogenfosfat</w:t>
      </w:r>
      <w:proofErr w:type="spellEnd"/>
      <w:r w:rsidRPr="00E525FC">
        <w:rPr>
          <w:sz w:val="22"/>
          <w:szCs w:val="22"/>
          <w:lang w:val="sr-Latn-ME"/>
        </w:rPr>
        <w:t>, bezvodni;</w:t>
      </w:r>
    </w:p>
    <w:p w14:paraId="29589157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celuloza, </w:t>
      </w:r>
      <w:proofErr w:type="spellStart"/>
      <w:r w:rsidRPr="00E525FC">
        <w:rPr>
          <w:sz w:val="22"/>
          <w:szCs w:val="22"/>
          <w:lang w:val="sr-Latn-ME"/>
        </w:rPr>
        <w:t>mikrokristalna</w:t>
      </w:r>
      <w:proofErr w:type="spellEnd"/>
      <w:r w:rsidRPr="00E525FC">
        <w:rPr>
          <w:sz w:val="22"/>
          <w:szCs w:val="22"/>
          <w:lang w:val="sr-Latn-ME"/>
        </w:rPr>
        <w:t>;</w:t>
      </w:r>
    </w:p>
    <w:p w14:paraId="45CC8894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silicijum dioksid, koloidni, bezvodni;</w:t>
      </w:r>
    </w:p>
    <w:p w14:paraId="52A064AA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magnezijum </w:t>
      </w:r>
      <w:proofErr w:type="spellStart"/>
      <w:r w:rsidRPr="00E525FC">
        <w:rPr>
          <w:sz w:val="22"/>
          <w:szCs w:val="22"/>
          <w:lang w:val="sr-Latn-ME"/>
        </w:rPr>
        <w:t>stearat</w:t>
      </w:r>
      <w:proofErr w:type="spellEnd"/>
      <w:r w:rsidRPr="00E525FC">
        <w:rPr>
          <w:sz w:val="22"/>
          <w:szCs w:val="22"/>
          <w:lang w:val="sr-Latn-ME"/>
        </w:rPr>
        <w:t>;</w:t>
      </w:r>
    </w:p>
    <w:p w14:paraId="6E42B1DC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kroskarmeloza</w:t>
      </w:r>
      <w:proofErr w:type="spellEnd"/>
      <w:r w:rsidRPr="00E525FC">
        <w:rPr>
          <w:sz w:val="22"/>
          <w:szCs w:val="22"/>
          <w:lang w:val="sr-Latn-ME"/>
        </w:rPr>
        <w:t xml:space="preserve"> natrijum. </w:t>
      </w:r>
    </w:p>
    <w:p w14:paraId="0FAE388A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9BBC41A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E525FC">
        <w:rPr>
          <w:sz w:val="22"/>
          <w:szCs w:val="22"/>
          <w:u w:val="single"/>
          <w:lang w:val="sr-Latn-ME"/>
        </w:rPr>
        <w:t>Omotač tablete:</w:t>
      </w:r>
    </w:p>
    <w:p w14:paraId="235ED53D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hipromeloza</w:t>
      </w:r>
      <w:proofErr w:type="spellEnd"/>
      <w:r w:rsidRPr="00E525FC">
        <w:rPr>
          <w:sz w:val="22"/>
          <w:szCs w:val="22"/>
          <w:lang w:val="sr-Latn-ME"/>
        </w:rPr>
        <w:t>;</w:t>
      </w:r>
    </w:p>
    <w:p w14:paraId="08275D0E" w14:textId="77777777" w:rsidR="00F6410E" w:rsidRPr="00E525FC" w:rsidRDefault="00F6410E" w:rsidP="00131CE3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E525FC">
        <w:rPr>
          <w:sz w:val="22"/>
          <w:szCs w:val="22"/>
          <w:lang w:val="sr-Latn-ME"/>
        </w:rPr>
        <w:t>makrogol</w:t>
      </w:r>
      <w:proofErr w:type="spellEnd"/>
      <w:r w:rsidRPr="00E525FC">
        <w:rPr>
          <w:sz w:val="22"/>
          <w:szCs w:val="22"/>
          <w:lang w:val="sr-Latn-ME"/>
        </w:rPr>
        <w:t xml:space="preserve"> 6000;</w:t>
      </w:r>
    </w:p>
    <w:p w14:paraId="69299808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titan dioksid (E171).</w:t>
      </w:r>
    </w:p>
    <w:p w14:paraId="7BBA62B7" w14:textId="77777777" w:rsidR="00F6410E" w:rsidRPr="00E525FC" w:rsidRDefault="00F641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6DEAE1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6.2.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Inkompatibilnost</w:t>
      </w:r>
      <w:r w:rsidR="002846DB" w:rsidRPr="00E525FC">
        <w:rPr>
          <w:b/>
          <w:bCs/>
          <w:sz w:val="22"/>
          <w:szCs w:val="22"/>
          <w:lang w:val="sr-Latn-ME"/>
        </w:rPr>
        <w:t>i</w:t>
      </w:r>
    </w:p>
    <w:p w14:paraId="53D89D51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F0A12C" w14:textId="77777777" w:rsidR="00174654" w:rsidRPr="00E525FC" w:rsidRDefault="00174654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CS"/>
        </w:rPr>
      </w:pPr>
      <w:r w:rsidRPr="00E525FC">
        <w:rPr>
          <w:sz w:val="22"/>
          <w:szCs w:val="22"/>
          <w:lang w:val="sr-Latn-ME" w:eastAsia="sr-Latn-CS"/>
        </w:rPr>
        <w:t>Nije primjenljivo.</w:t>
      </w:r>
    </w:p>
    <w:p w14:paraId="3463C949" w14:textId="77777777" w:rsidR="00174654" w:rsidRPr="00E525FC" w:rsidRDefault="00174654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1815A0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>6.3.</w:t>
      </w:r>
      <w:r w:rsidR="00C05DF8" w:rsidRPr="00E525FC">
        <w:rPr>
          <w:b/>
          <w:bCs/>
          <w:sz w:val="22"/>
          <w:szCs w:val="22"/>
          <w:lang w:val="sr-Latn-ME"/>
        </w:rPr>
        <w:t xml:space="preserve">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Rok upotrebe</w:t>
      </w:r>
    </w:p>
    <w:p w14:paraId="0F0275DE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3B625A" w14:textId="77777777" w:rsidR="00174654" w:rsidRPr="00E525FC" w:rsidRDefault="00174654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3 godine.</w:t>
      </w:r>
    </w:p>
    <w:p w14:paraId="3D39049E" w14:textId="77777777" w:rsidR="00174654" w:rsidRPr="00E525FC" w:rsidRDefault="00174654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077D9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6.4.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E525FC">
        <w:rPr>
          <w:b/>
          <w:bCs/>
          <w:sz w:val="22"/>
          <w:szCs w:val="22"/>
          <w:lang w:val="sr-Latn-ME"/>
        </w:rPr>
        <w:t xml:space="preserve"> lijeka</w:t>
      </w:r>
    </w:p>
    <w:p w14:paraId="31B2B47F" w14:textId="77777777" w:rsidR="00EC2532" w:rsidRPr="00E525FC" w:rsidRDefault="00EC2532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C46F92" w14:textId="129EBB32" w:rsidR="00174654" w:rsidRPr="00E525FC" w:rsidRDefault="006E5795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Lijek ne zahtijeva posebne uslove čuvanja. </w:t>
      </w:r>
    </w:p>
    <w:p w14:paraId="17F9172C" w14:textId="77777777" w:rsidR="00174654" w:rsidRPr="00E525FC" w:rsidRDefault="00174654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C33EEF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6.5.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="002846DB" w:rsidRPr="00E525FC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E525FC">
        <w:rPr>
          <w:b/>
          <w:bCs/>
          <w:sz w:val="22"/>
          <w:szCs w:val="22"/>
          <w:lang w:val="sr-Latn-ME"/>
        </w:rPr>
        <w:t>pakovanja</w:t>
      </w:r>
      <w:r w:rsidR="00C06864" w:rsidRPr="00E525FC">
        <w:rPr>
          <w:b/>
          <w:bCs/>
          <w:sz w:val="22"/>
          <w:szCs w:val="22"/>
          <w:lang w:val="sr-Latn-ME"/>
        </w:rPr>
        <w:t xml:space="preserve"> </w:t>
      </w:r>
    </w:p>
    <w:p w14:paraId="705225A5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3FE706" w14:textId="505E9D9C" w:rsidR="00174654" w:rsidRPr="00E525FC" w:rsidRDefault="00174654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Unutrašnje pakovanje </w:t>
      </w:r>
      <w:r w:rsidR="00716D72" w:rsidRPr="00E525FC">
        <w:rPr>
          <w:sz w:val="22"/>
          <w:szCs w:val="22"/>
          <w:lang w:val="sr-Latn-ME"/>
        </w:rPr>
        <w:t xml:space="preserve">lijeka </w:t>
      </w:r>
      <w:r w:rsidRPr="00E525FC">
        <w:rPr>
          <w:sz w:val="22"/>
          <w:szCs w:val="22"/>
          <w:lang w:val="sr-Latn-ME"/>
        </w:rPr>
        <w:t xml:space="preserve">je PVC/aluminijumski </w:t>
      </w:r>
      <w:proofErr w:type="spellStart"/>
      <w:r w:rsidRPr="00E525FC">
        <w:rPr>
          <w:sz w:val="22"/>
          <w:szCs w:val="22"/>
          <w:lang w:val="sr-Latn-ME"/>
        </w:rPr>
        <w:t>blister</w:t>
      </w:r>
      <w:proofErr w:type="spellEnd"/>
      <w:r w:rsidRPr="00E525FC">
        <w:rPr>
          <w:sz w:val="22"/>
          <w:szCs w:val="22"/>
          <w:lang w:val="sr-Latn-ME"/>
        </w:rPr>
        <w:t xml:space="preserve"> </w:t>
      </w:r>
      <w:r w:rsidR="00B853A0" w:rsidRPr="00E525FC">
        <w:rPr>
          <w:sz w:val="22"/>
          <w:szCs w:val="22"/>
          <w:lang w:val="sr-Latn-ME"/>
        </w:rPr>
        <w:t xml:space="preserve">koji sadrži </w:t>
      </w:r>
      <w:r w:rsidRPr="00E525FC">
        <w:rPr>
          <w:sz w:val="22"/>
          <w:szCs w:val="22"/>
          <w:lang w:val="sr-Latn-ME"/>
        </w:rPr>
        <w:t>28 film tableta</w:t>
      </w:r>
      <w:r w:rsidR="00DA3213" w:rsidRPr="00E525FC">
        <w:rPr>
          <w:sz w:val="22"/>
          <w:szCs w:val="22"/>
          <w:lang w:val="sr-Latn-ME"/>
        </w:rPr>
        <w:t>.</w:t>
      </w:r>
    </w:p>
    <w:p w14:paraId="19576C8E" w14:textId="77777777" w:rsidR="00FD5B7A" w:rsidRPr="00E525FC" w:rsidRDefault="00FD5B7A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C8EA253" w14:textId="143EA3F8" w:rsidR="00174654" w:rsidRPr="00E525FC" w:rsidRDefault="00DA3213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Spoljašnje </w:t>
      </w:r>
      <w:r w:rsidR="00174654" w:rsidRPr="00E525FC">
        <w:rPr>
          <w:sz w:val="22"/>
          <w:szCs w:val="22"/>
          <w:lang w:val="sr-Latn-ME"/>
        </w:rPr>
        <w:t xml:space="preserve">pakovanje </w:t>
      </w:r>
      <w:r w:rsidR="000C4AA0" w:rsidRPr="00E525FC">
        <w:rPr>
          <w:sz w:val="22"/>
          <w:szCs w:val="22"/>
          <w:lang w:val="sr-Latn-ME"/>
        </w:rPr>
        <w:t xml:space="preserve">lijeka </w:t>
      </w:r>
      <w:r w:rsidR="00174654" w:rsidRPr="00E525FC">
        <w:rPr>
          <w:sz w:val="22"/>
          <w:szCs w:val="22"/>
          <w:lang w:val="sr-Latn-ME"/>
        </w:rPr>
        <w:t xml:space="preserve">je </w:t>
      </w:r>
      <w:proofErr w:type="spellStart"/>
      <w:r w:rsidR="00174654" w:rsidRPr="00E525FC">
        <w:rPr>
          <w:sz w:val="22"/>
          <w:szCs w:val="22"/>
          <w:lang w:val="sr-Latn-ME"/>
        </w:rPr>
        <w:t>složiva</w:t>
      </w:r>
      <w:proofErr w:type="spellEnd"/>
      <w:r w:rsidR="00174654" w:rsidRPr="00E525FC">
        <w:rPr>
          <w:sz w:val="22"/>
          <w:szCs w:val="22"/>
          <w:lang w:val="sr-Latn-ME"/>
        </w:rPr>
        <w:t xml:space="preserve"> kartonska kutija u kojoj se nalaze 2 </w:t>
      </w:r>
      <w:proofErr w:type="spellStart"/>
      <w:r w:rsidR="00174654" w:rsidRPr="00E525FC">
        <w:rPr>
          <w:sz w:val="22"/>
          <w:szCs w:val="22"/>
          <w:lang w:val="sr-Latn-ME"/>
        </w:rPr>
        <w:t>blistera</w:t>
      </w:r>
      <w:proofErr w:type="spellEnd"/>
      <w:r w:rsidR="004B5281" w:rsidRPr="00E525FC">
        <w:rPr>
          <w:sz w:val="22"/>
          <w:szCs w:val="22"/>
          <w:lang w:val="sr-Latn-ME"/>
        </w:rPr>
        <w:t xml:space="preserve"> sa po 28 film tableta</w:t>
      </w:r>
      <w:r w:rsidR="00174654" w:rsidRPr="00E525FC">
        <w:rPr>
          <w:sz w:val="22"/>
          <w:szCs w:val="22"/>
          <w:lang w:val="sr-Latn-ME"/>
        </w:rPr>
        <w:t xml:space="preserve"> (</w:t>
      </w:r>
      <w:r w:rsidR="004B5281" w:rsidRPr="00E525FC">
        <w:rPr>
          <w:sz w:val="22"/>
          <w:szCs w:val="22"/>
          <w:lang w:val="sr-Latn-ME"/>
        </w:rPr>
        <w:t xml:space="preserve">ukupno </w:t>
      </w:r>
      <w:r w:rsidR="00174654" w:rsidRPr="00E525FC">
        <w:rPr>
          <w:sz w:val="22"/>
          <w:szCs w:val="22"/>
          <w:lang w:val="sr-Latn-ME"/>
        </w:rPr>
        <w:t xml:space="preserve">56 film tableta) i </w:t>
      </w:r>
      <w:r w:rsidR="00C678D0" w:rsidRPr="00E525FC">
        <w:rPr>
          <w:sz w:val="22"/>
          <w:szCs w:val="22"/>
          <w:lang w:val="sr-Latn-ME"/>
        </w:rPr>
        <w:t xml:space="preserve">Uputstvo </w:t>
      </w:r>
      <w:r w:rsidR="00174654" w:rsidRPr="00E525FC">
        <w:rPr>
          <w:sz w:val="22"/>
          <w:szCs w:val="22"/>
          <w:lang w:val="sr-Latn-ME"/>
        </w:rPr>
        <w:t xml:space="preserve">za </w:t>
      </w:r>
      <w:r w:rsidR="00C678D0" w:rsidRPr="00E525FC">
        <w:rPr>
          <w:sz w:val="22"/>
          <w:szCs w:val="22"/>
          <w:lang w:val="sr-Latn-ME"/>
        </w:rPr>
        <w:t>lijek</w:t>
      </w:r>
      <w:r w:rsidR="00174654" w:rsidRPr="00E525FC">
        <w:rPr>
          <w:sz w:val="22"/>
          <w:szCs w:val="22"/>
          <w:lang w:val="sr-Latn-ME"/>
        </w:rPr>
        <w:t>.</w:t>
      </w:r>
    </w:p>
    <w:p w14:paraId="36F63F7E" w14:textId="77777777" w:rsidR="00174654" w:rsidRPr="00E525FC" w:rsidRDefault="00174654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7B2E71" w14:textId="77777777" w:rsidR="002846DB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6.6.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E525FC">
        <w:rPr>
          <w:b/>
          <w:bCs/>
          <w:sz w:val="22"/>
          <w:szCs w:val="22"/>
          <w:lang w:val="sr-Latn-ME"/>
        </w:rPr>
        <w:t xml:space="preserve"> </w:t>
      </w:r>
      <w:r w:rsidR="00310F03" w:rsidRPr="00E525FC">
        <w:rPr>
          <w:b/>
          <w:bCs/>
          <w:sz w:val="22"/>
          <w:szCs w:val="22"/>
          <w:lang w:val="sr-Latn-ME"/>
        </w:rPr>
        <w:t>(i druga uputs</w:t>
      </w:r>
      <w:r w:rsidR="004109FA" w:rsidRPr="00E525FC">
        <w:rPr>
          <w:b/>
          <w:bCs/>
          <w:sz w:val="22"/>
          <w:szCs w:val="22"/>
          <w:lang w:val="sr-Latn-ME"/>
        </w:rPr>
        <w:t>t</w:t>
      </w:r>
      <w:r w:rsidR="00310F03" w:rsidRPr="00E525FC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02B17680" w14:textId="77777777" w:rsidR="00B66A70" w:rsidRPr="00E525FC" w:rsidRDefault="00B66A70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A5B883D" w14:textId="723BA943" w:rsidR="00174654" w:rsidRPr="00E525FC" w:rsidRDefault="004B5281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CS"/>
        </w:rPr>
      </w:pPr>
      <w:r w:rsidRPr="00E525FC">
        <w:rPr>
          <w:sz w:val="22"/>
          <w:szCs w:val="22"/>
          <w:lang w:val="sr-Latn-ME" w:eastAsia="sr-Latn-CS"/>
        </w:rPr>
        <w:lastRenderedPageBreak/>
        <w:t>Svu n</w:t>
      </w:r>
      <w:r w:rsidR="00174654" w:rsidRPr="00E525FC">
        <w:rPr>
          <w:sz w:val="22"/>
          <w:szCs w:val="22"/>
          <w:lang w:val="sr-Latn-ME" w:eastAsia="sr-Latn-CS"/>
        </w:rPr>
        <w:t>eiskorišćen</w:t>
      </w:r>
      <w:r w:rsidRPr="00E525FC">
        <w:rPr>
          <w:sz w:val="22"/>
          <w:szCs w:val="22"/>
          <w:lang w:val="sr-Latn-ME" w:eastAsia="sr-Latn-CS"/>
        </w:rPr>
        <w:t>u količinu lijeka</w:t>
      </w:r>
      <w:r w:rsidR="00174654" w:rsidRPr="00E525FC">
        <w:rPr>
          <w:sz w:val="22"/>
          <w:szCs w:val="22"/>
          <w:lang w:val="sr-Latn-ME" w:eastAsia="sr-Latn-CS"/>
        </w:rPr>
        <w:t xml:space="preserve"> ili otpadn</w:t>
      </w:r>
      <w:r w:rsidRPr="00E525FC">
        <w:rPr>
          <w:sz w:val="22"/>
          <w:szCs w:val="22"/>
          <w:lang w:val="sr-Latn-ME" w:eastAsia="sr-Latn-CS"/>
        </w:rPr>
        <w:t>og</w:t>
      </w:r>
      <w:r w:rsidR="00174654" w:rsidRPr="00E525FC">
        <w:rPr>
          <w:sz w:val="22"/>
          <w:szCs w:val="22"/>
          <w:lang w:val="sr-Latn-ME" w:eastAsia="sr-Latn-CS"/>
        </w:rPr>
        <w:t xml:space="preserve"> materijal</w:t>
      </w:r>
      <w:r w:rsidRPr="00E525FC">
        <w:rPr>
          <w:sz w:val="22"/>
          <w:szCs w:val="22"/>
          <w:lang w:val="sr-Latn-ME" w:eastAsia="sr-Latn-CS"/>
        </w:rPr>
        <w:t>a nakon njegove upotrebe</w:t>
      </w:r>
      <w:r w:rsidR="00174654" w:rsidRPr="00E525FC">
        <w:rPr>
          <w:sz w:val="22"/>
          <w:szCs w:val="22"/>
          <w:lang w:val="sr-Latn-ME" w:eastAsia="sr-Latn-CS"/>
        </w:rPr>
        <w:t xml:space="preserve"> treba </w:t>
      </w:r>
      <w:r w:rsidRPr="00E525FC">
        <w:rPr>
          <w:sz w:val="22"/>
          <w:szCs w:val="22"/>
          <w:lang w:val="sr-Latn-ME" w:eastAsia="sr-Latn-CS"/>
        </w:rPr>
        <w:t xml:space="preserve">ukloniti </w:t>
      </w:r>
      <w:r w:rsidR="00174654" w:rsidRPr="00E525FC">
        <w:rPr>
          <w:sz w:val="22"/>
          <w:szCs w:val="22"/>
          <w:lang w:val="sr-Latn-ME" w:eastAsia="sr-Latn-CS"/>
        </w:rPr>
        <w:t xml:space="preserve">u skladu sa </w:t>
      </w:r>
      <w:r w:rsidRPr="00E525FC">
        <w:rPr>
          <w:sz w:val="22"/>
          <w:szCs w:val="22"/>
          <w:lang w:val="sr-Latn-ME" w:eastAsia="sr-Latn-CS"/>
        </w:rPr>
        <w:t xml:space="preserve">važećim </w:t>
      </w:r>
      <w:r w:rsidR="00174654" w:rsidRPr="00E525FC">
        <w:rPr>
          <w:sz w:val="22"/>
          <w:szCs w:val="22"/>
          <w:lang w:val="sr-Latn-ME" w:eastAsia="sr-Latn-CS"/>
        </w:rPr>
        <w:t>propisima.</w:t>
      </w:r>
    </w:p>
    <w:p w14:paraId="24867C08" w14:textId="77777777" w:rsidR="00174654" w:rsidRPr="00E525FC" w:rsidRDefault="00174654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A569E8" w14:textId="77777777" w:rsidR="00B4559A" w:rsidRPr="00E525FC" w:rsidRDefault="00B4559A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5F2D2E23" w14:textId="77777777" w:rsidR="00F8570A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7.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NOSILAC DOZVOLE</w:t>
      </w:r>
      <w:r w:rsidR="00483928" w:rsidRPr="00E525FC">
        <w:rPr>
          <w:b/>
          <w:bCs/>
          <w:sz w:val="22"/>
          <w:szCs w:val="22"/>
          <w:lang w:val="sr-Latn-ME"/>
        </w:rPr>
        <w:t xml:space="preserve"> </w:t>
      </w:r>
    </w:p>
    <w:p w14:paraId="160A4F72" w14:textId="77777777" w:rsidR="00B4559A" w:rsidRPr="00E525FC" w:rsidRDefault="00B4559A" w:rsidP="00131CE3">
      <w:pPr>
        <w:pStyle w:val="Default"/>
        <w:widowControl w:val="0"/>
        <w:jc w:val="both"/>
        <w:rPr>
          <w:sz w:val="22"/>
          <w:szCs w:val="22"/>
          <w:lang w:val="sr-Latn-ME"/>
        </w:rPr>
      </w:pPr>
    </w:p>
    <w:p w14:paraId="032D8580" w14:textId="371E5A25" w:rsidR="00B4559A" w:rsidRPr="00E525FC" w:rsidRDefault="00B4559A" w:rsidP="00131CE3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>AMICUS PHARMA DOO PODGORICA</w:t>
      </w:r>
      <w:r w:rsidR="004B5281" w:rsidRPr="00E525FC">
        <w:rPr>
          <w:sz w:val="22"/>
          <w:szCs w:val="22"/>
          <w:lang w:val="sr-Latn-ME"/>
        </w:rPr>
        <w:t>,</w:t>
      </w:r>
      <w:r w:rsidRPr="00E525FC">
        <w:rPr>
          <w:sz w:val="22"/>
          <w:szCs w:val="22"/>
          <w:lang w:val="sr-Latn-ME"/>
        </w:rPr>
        <w:t xml:space="preserve"> </w:t>
      </w:r>
    </w:p>
    <w:p w14:paraId="634FD658" w14:textId="5F8336AF" w:rsidR="00C61BE0" w:rsidRPr="00E525FC" w:rsidRDefault="00B4559A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Bulevar Džordža Vašingtona </w:t>
      </w:r>
      <w:r w:rsidR="003864B8" w:rsidRPr="00E525FC">
        <w:rPr>
          <w:sz w:val="22"/>
          <w:szCs w:val="22"/>
          <w:lang w:val="sr-Latn-ME"/>
        </w:rPr>
        <w:t xml:space="preserve">br. </w:t>
      </w:r>
      <w:r w:rsidRPr="00E525FC">
        <w:rPr>
          <w:sz w:val="22"/>
          <w:szCs w:val="22"/>
          <w:lang w:val="sr-Latn-ME"/>
        </w:rPr>
        <w:t>51, 81 000 Podgorica</w:t>
      </w:r>
      <w:r w:rsidR="004B5281" w:rsidRPr="00E525FC">
        <w:rPr>
          <w:sz w:val="22"/>
          <w:szCs w:val="22"/>
          <w:lang w:val="sr-Latn-ME"/>
        </w:rPr>
        <w:t>, Crna Gora</w:t>
      </w:r>
    </w:p>
    <w:p w14:paraId="08DEE1D0" w14:textId="77777777" w:rsidR="00C37FD7" w:rsidRPr="00E525FC" w:rsidRDefault="00C37FD7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085001" w14:textId="77777777" w:rsidR="00B4559A" w:rsidRPr="00E525FC" w:rsidRDefault="00B4559A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8994FE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8.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>BROJ DOZVOLE</w:t>
      </w:r>
      <w:r w:rsidR="008A6D43" w:rsidRPr="00E525F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E25C976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2FA468" w14:textId="69460E6E" w:rsidR="00174654" w:rsidRPr="00E525FC" w:rsidRDefault="00E525FC" w:rsidP="00131CE3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525FC">
        <w:rPr>
          <w:sz w:val="22"/>
          <w:szCs w:val="22"/>
          <w:lang w:val="sr-Latn-ME"/>
        </w:rPr>
        <w:t xml:space="preserve">2030/25/916 – 93 </w:t>
      </w:r>
    </w:p>
    <w:p w14:paraId="3FA47863" w14:textId="77777777" w:rsidR="00E525FC" w:rsidRPr="00E525FC" w:rsidRDefault="00E525FC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32FF96" w14:textId="77777777" w:rsidR="00390072" w:rsidRPr="00E525FC" w:rsidRDefault="00390072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FDA4BC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9.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Pr="00E525FC">
        <w:rPr>
          <w:b/>
          <w:bCs/>
          <w:sz w:val="22"/>
          <w:szCs w:val="22"/>
          <w:lang w:val="sr-Latn-ME"/>
        </w:rPr>
        <w:t xml:space="preserve">DATUM </w:t>
      </w:r>
      <w:r w:rsidR="00C05DF8" w:rsidRPr="00E525FC">
        <w:rPr>
          <w:b/>
          <w:bCs/>
          <w:sz w:val="22"/>
          <w:szCs w:val="22"/>
          <w:lang w:val="sr-Latn-ME"/>
        </w:rPr>
        <w:t xml:space="preserve">PRVE </w:t>
      </w:r>
      <w:r w:rsidR="008A6D43" w:rsidRPr="00E525FC">
        <w:rPr>
          <w:b/>
          <w:bCs/>
          <w:sz w:val="22"/>
          <w:szCs w:val="22"/>
          <w:lang w:val="sr-Latn-ME"/>
        </w:rPr>
        <w:t>DOZVOLE</w:t>
      </w:r>
      <w:r w:rsidR="00C05DF8" w:rsidRPr="00E525FC">
        <w:rPr>
          <w:b/>
          <w:bCs/>
          <w:sz w:val="22"/>
          <w:szCs w:val="22"/>
          <w:lang w:val="sr-Latn-ME"/>
        </w:rPr>
        <w:t>/OBNOVE DOZVOLE</w:t>
      </w:r>
      <w:r w:rsidR="008A6D43" w:rsidRPr="00E525F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EA5A42D" w14:textId="77777777" w:rsidR="0072020E" w:rsidRPr="00E525FC" w:rsidRDefault="0072020E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D1A914" w14:textId="647CBCA4" w:rsidR="00117B5A" w:rsidRPr="00E525FC" w:rsidRDefault="00117B5A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 xml:space="preserve">Datum prve dozvole: </w:t>
      </w:r>
      <w:r w:rsidR="004B5281" w:rsidRPr="00E525FC">
        <w:rPr>
          <w:bCs/>
          <w:sz w:val="22"/>
          <w:szCs w:val="22"/>
          <w:lang w:val="sr-Latn-ME"/>
        </w:rPr>
        <w:t>17.04.2015. godine</w:t>
      </w:r>
    </w:p>
    <w:p w14:paraId="12685B87" w14:textId="77777777" w:rsidR="00E525FC" w:rsidRPr="00E525FC" w:rsidRDefault="00117B5A" w:rsidP="00E525FC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 xml:space="preserve">Datum posljednje obnove dozvole: </w:t>
      </w:r>
      <w:r w:rsidR="00E525FC" w:rsidRPr="00E525FC">
        <w:rPr>
          <w:sz w:val="22"/>
          <w:szCs w:val="22"/>
          <w:lang w:val="sr-Latn-ME"/>
        </w:rPr>
        <w:t>19.02.2025. godine</w:t>
      </w:r>
    </w:p>
    <w:p w14:paraId="1AC7A356" w14:textId="4952FB9B" w:rsidR="00117B5A" w:rsidRPr="00E525FC" w:rsidRDefault="00117B5A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1ED7C0" w14:textId="77777777" w:rsidR="0024256D" w:rsidRPr="00E525FC" w:rsidRDefault="0024256D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9ED6B5" w14:textId="77777777" w:rsidR="003F6A59" w:rsidRPr="00E525FC" w:rsidRDefault="0072020E" w:rsidP="00131CE3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E525FC">
        <w:rPr>
          <w:b/>
          <w:bCs/>
          <w:sz w:val="22"/>
          <w:szCs w:val="22"/>
          <w:lang w:val="sr-Latn-ME"/>
        </w:rPr>
        <w:t xml:space="preserve">10. </w:t>
      </w:r>
      <w:r w:rsidR="00480FB1" w:rsidRPr="00E525FC">
        <w:rPr>
          <w:b/>
          <w:bCs/>
          <w:sz w:val="22"/>
          <w:szCs w:val="22"/>
          <w:lang w:val="sr-Latn-ME"/>
        </w:rPr>
        <w:tab/>
      </w:r>
      <w:r w:rsidR="002846DB" w:rsidRPr="00E525FC">
        <w:rPr>
          <w:b/>
          <w:bCs/>
          <w:sz w:val="22"/>
          <w:szCs w:val="22"/>
          <w:lang w:val="sr-Latn-ME"/>
        </w:rPr>
        <w:t>D</w:t>
      </w:r>
      <w:r w:rsidR="00EC2532" w:rsidRPr="00E525FC">
        <w:rPr>
          <w:b/>
          <w:bCs/>
          <w:sz w:val="22"/>
          <w:szCs w:val="22"/>
          <w:lang w:val="sr-Latn-ME"/>
        </w:rPr>
        <w:t xml:space="preserve">ATUM REVIZIJE TEKSTA </w:t>
      </w:r>
    </w:p>
    <w:p w14:paraId="089F9175" w14:textId="77777777" w:rsidR="003F6A59" w:rsidRPr="00E525FC" w:rsidRDefault="003F6A59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CD90EE" w14:textId="163D310B" w:rsidR="00174654" w:rsidRPr="00E525FC" w:rsidRDefault="00E525FC" w:rsidP="00131CE3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525FC">
        <w:rPr>
          <w:bCs/>
          <w:sz w:val="22"/>
          <w:szCs w:val="22"/>
          <w:lang w:val="sr-Latn-ME"/>
        </w:rPr>
        <w:t>Februar, 2025. godine</w:t>
      </w:r>
    </w:p>
    <w:sectPr w:rsidR="00174654" w:rsidRPr="00E525FC" w:rsidSect="004B5281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55C13" w14:textId="77777777" w:rsidR="002B2F46" w:rsidRDefault="002B2F46">
      <w:r>
        <w:separator/>
      </w:r>
    </w:p>
  </w:endnote>
  <w:endnote w:type="continuationSeparator" w:id="0">
    <w:p w14:paraId="03407B35" w14:textId="77777777" w:rsidR="002B2F46" w:rsidRDefault="002B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59563" w14:textId="051E40AE" w:rsidR="00341A5B" w:rsidRPr="00B23F69" w:rsidRDefault="00341A5B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525FC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525FC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6DB80" w14:textId="77777777" w:rsidR="002B2F46" w:rsidRDefault="002B2F46">
      <w:r>
        <w:separator/>
      </w:r>
    </w:p>
  </w:footnote>
  <w:footnote w:type="continuationSeparator" w:id="0">
    <w:p w14:paraId="29B42D8D" w14:textId="77777777" w:rsidR="002B2F46" w:rsidRDefault="002B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2B7"/>
    <w:rsid w:val="00000528"/>
    <w:rsid w:val="000054E1"/>
    <w:rsid w:val="0001421C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B4C91"/>
    <w:rsid w:val="000B616C"/>
    <w:rsid w:val="000C4AA0"/>
    <w:rsid w:val="000D2343"/>
    <w:rsid w:val="000D3449"/>
    <w:rsid w:val="000D425A"/>
    <w:rsid w:val="000D5724"/>
    <w:rsid w:val="000D60CC"/>
    <w:rsid w:val="000E2084"/>
    <w:rsid w:val="000E6F55"/>
    <w:rsid w:val="000F77FA"/>
    <w:rsid w:val="00107BF7"/>
    <w:rsid w:val="00113136"/>
    <w:rsid w:val="001151E8"/>
    <w:rsid w:val="00117B5A"/>
    <w:rsid w:val="00123FF6"/>
    <w:rsid w:val="00126F53"/>
    <w:rsid w:val="00131CE3"/>
    <w:rsid w:val="0014766D"/>
    <w:rsid w:val="001536CC"/>
    <w:rsid w:val="00174654"/>
    <w:rsid w:val="00191E01"/>
    <w:rsid w:val="00194AE7"/>
    <w:rsid w:val="001A3FBA"/>
    <w:rsid w:val="001A5518"/>
    <w:rsid w:val="001B1C6A"/>
    <w:rsid w:val="001B630B"/>
    <w:rsid w:val="001C1004"/>
    <w:rsid w:val="001C1263"/>
    <w:rsid w:val="001C1417"/>
    <w:rsid w:val="001E20EF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4256D"/>
    <w:rsid w:val="002510A5"/>
    <w:rsid w:val="002527F5"/>
    <w:rsid w:val="00254A0A"/>
    <w:rsid w:val="00266046"/>
    <w:rsid w:val="002846DB"/>
    <w:rsid w:val="00284CCD"/>
    <w:rsid w:val="00297F17"/>
    <w:rsid w:val="002B2F46"/>
    <w:rsid w:val="002C6637"/>
    <w:rsid w:val="002E0135"/>
    <w:rsid w:val="002E37A5"/>
    <w:rsid w:val="002E649F"/>
    <w:rsid w:val="00310F03"/>
    <w:rsid w:val="003247D2"/>
    <w:rsid w:val="00333EAC"/>
    <w:rsid w:val="00341A5B"/>
    <w:rsid w:val="003445C1"/>
    <w:rsid w:val="00355B61"/>
    <w:rsid w:val="00362686"/>
    <w:rsid w:val="00371510"/>
    <w:rsid w:val="003864B8"/>
    <w:rsid w:val="00390072"/>
    <w:rsid w:val="00396DFD"/>
    <w:rsid w:val="003A7059"/>
    <w:rsid w:val="003B7A36"/>
    <w:rsid w:val="003C17AB"/>
    <w:rsid w:val="003C7823"/>
    <w:rsid w:val="003D5BD1"/>
    <w:rsid w:val="003E1DCC"/>
    <w:rsid w:val="003E70E6"/>
    <w:rsid w:val="003F11A1"/>
    <w:rsid w:val="003F1CFE"/>
    <w:rsid w:val="003F4FAB"/>
    <w:rsid w:val="003F6A59"/>
    <w:rsid w:val="004065C8"/>
    <w:rsid w:val="004109FA"/>
    <w:rsid w:val="00411B4B"/>
    <w:rsid w:val="00415BEE"/>
    <w:rsid w:val="004254E9"/>
    <w:rsid w:val="0042760D"/>
    <w:rsid w:val="00427F85"/>
    <w:rsid w:val="00434DC7"/>
    <w:rsid w:val="00436D43"/>
    <w:rsid w:val="00436F42"/>
    <w:rsid w:val="004378B4"/>
    <w:rsid w:val="00443873"/>
    <w:rsid w:val="00451314"/>
    <w:rsid w:val="00452E9D"/>
    <w:rsid w:val="004534C7"/>
    <w:rsid w:val="004671AA"/>
    <w:rsid w:val="00471DF8"/>
    <w:rsid w:val="00477C45"/>
    <w:rsid w:val="00480FB1"/>
    <w:rsid w:val="00483928"/>
    <w:rsid w:val="004B5281"/>
    <w:rsid w:val="004C331F"/>
    <w:rsid w:val="004C45E5"/>
    <w:rsid w:val="004C722B"/>
    <w:rsid w:val="004D6103"/>
    <w:rsid w:val="004D763B"/>
    <w:rsid w:val="004E01F7"/>
    <w:rsid w:val="004E3BCE"/>
    <w:rsid w:val="004E70AD"/>
    <w:rsid w:val="004F0E97"/>
    <w:rsid w:val="004F17E2"/>
    <w:rsid w:val="00501DD1"/>
    <w:rsid w:val="00513EC8"/>
    <w:rsid w:val="00515C21"/>
    <w:rsid w:val="00530BD7"/>
    <w:rsid w:val="005438D8"/>
    <w:rsid w:val="00545CD2"/>
    <w:rsid w:val="005476F3"/>
    <w:rsid w:val="0055541C"/>
    <w:rsid w:val="00565A31"/>
    <w:rsid w:val="00572527"/>
    <w:rsid w:val="00573E40"/>
    <w:rsid w:val="00576348"/>
    <w:rsid w:val="005846ED"/>
    <w:rsid w:val="00587555"/>
    <w:rsid w:val="00593689"/>
    <w:rsid w:val="005A0B2E"/>
    <w:rsid w:val="005A23D2"/>
    <w:rsid w:val="005A36CB"/>
    <w:rsid w:val="005A41B1"/>
    <w:rsid w:val="005A7203"/>
    <w:rsid w:val="005B49B8"/>
    <w:rsid w:val="005C0741"/>
    <w:rsid w:val="005C5EF4"/>
    <w:rsid w:val="005E2E0B"/>
    <w:rsid w:val="005E67AD"/>
    <w:rsid w:val="005E7A7D"/>
    <w:rsid w:val="00602457"/>
    <w:rsid w:val="006026FB"/>
    <w:rsid w:val="00607F0C"/>
    <w:rsid w:val="006143AE"/>
    <w:rsid w:val="00644FC3"/>
    <w:rsid w:val="0064638D"/>
    <w:rsid w:val="00646BD1"/>
    <w:rsid w:val="006561C2"/>
    <w:rsid w:val="006701D2"/>
    <w:rsid w:val="00671CB3"/>
    <w:rsid w:val="00674BAF"/>
    <w:rsid w:val="00682200"/>
    <w:rsid w:val="00692BF6"/>
    <w:rsid w:val="006A1351"/>
    <w:rsid w:val="006A1497"/>
    <w:rsid w:val="006B01FC"/>
    <w:rsid w:val="006B0BD1"/>
    <w:rsid w:val="006B5404"/>
    <w:rsid w:val="006B6503"/>
    <w:rsid w:val="006C062E"/>
    <w:rsid w:val="006D20A5"/>
    <w:rsid w:val="006D37BF"/>
    <w:rsid w:val="006E5795"/>
    <w:rsid w:val="006F24A5"/>
    <w:rsid w:val="006F5A3C"/>
    <w:rsid w:val="00702E22"/>
    <w:rsid w:val="00716D72"/>
    <w:rsid w:val="0072020E"/>
    <w:rsid w:val="00732603"/>
    <w:rsid w:val="00754902"/>
    <w:rsid w:val="00764009"/>
    <w:rsid w:val="00786071"/>
    <w:rsid w:val="007870BC"/>
    <w:rsid w:val="00794093"/>
    <w:rsid w:val="007A3ECB"/>
    <w:rsid w:val="007C6D94"/>
    <w:rsid w:val="007D081E"/>
    <w:rsid w:val="007D7BB3"/>
    <w:rsid w:val="007E31E9"/>
    <w:rsid w:val="007F05E3"/>
    <w:rsid w:val="007F661E"/>
    <w:rsid w:val="00824AB9"/>
    <w:rsid w:val="00836B35"/>
    <w:rsid w:val="00843BDE"/>
    <w:rsid w:val="0087588C"/>
    <w:rsid w:val="0089705C"/>
    <w:rsid w:val="008A5F58"/>
    <w:rsid w:val="008A6D43"/>
    <w:rsid w:val="008B491E"/>
    <w:rsid w:val="008C1A28"/>
    <w:rsid w:val="008C2E98"/>
    <w:rsid w:val="008E49BD"/>
    <w:rsid w:val="008E53E9"/>
    <w:rsid w:val="008E5771"/>
    <w:rsid w:val="008F4ACF"/>
    <w:rsid w:val="00910697"/>
    <w:rsid w:val="00914900"/>
    <w:rsid w:val="00924166"/>
    <w:rsid w:val="00940B9B"/>
    <w:rsid w:val="00943278"/>
    <w:rsid w:val="00950F03"/>
    <w:rsid w:val="00953273"/>
    <w:rsid w:val="00953573"/>
    <w:rsid w:val="0095676E"/>
    <w:rsid w:val="00956983"/>
    <w:rsid w:val="00963CF0"/>
    <w:rsid w:val="00964BB1"/>
    <w:rsid w:val="00965806"/>
    <w:rsid w:val="0097662F"/>
    <w:rsid w:val="009775D9"/>
    <w:rsid w:val="00985A6D"/>
    <w:rsid w:val="009925D9"/>
    <w:rsid w:val="00997175"/>
    <w:rsid w:val="009975E7"/>
    <w:rsid w:val="009A1847"/>
    <w:rsid w:val="009A3482"/>
    <w:rsid w:val="009B062A"/>
    <w:rsid w:val="009B5F3F"/>
    <w:rsid w:val="009C0365"/>
    <w:rsid w:val="009C34EC"/>
    <w:rsid w:val="009E7A26"/>
    <w:rsid w:val="009E7C6F"/>
    <w:rsid w:val="009F1793"/>
    <w:rsid w:val="009F2D23"/>
    <w:rsid w:val="00A01D69"/>
    <w:rsid w:val="00A02335"/>
    <w:rsid w:val="00A02578"/>
    <w:rsid w:val="00A03D9E"/>
    <w:rsid w:val="00A46812"/>
    <w:rsid w:val="00A46C9A"/>
    <w:rsid w:val="00A619F3"/>
    <w:rsid w:val="00A62A73"/>
    <w:rsid w:val="00A80A9B"/>
    <w:rsid w:val="00A8781F"/>
    <w:rsid w:val="00A87FF6"/>
    <w:rsid w:val="00AA0A3B"/>
    <w:rsid w:val="00AA2763"/>
    <w:rsid w:val="00AA33B6"/>
    <w:rsid w:val="00AB112E"/>
    <w:rsid w:val="00AB3FE9"/>
    <w:rsid w:val="00AB50CA"/>
    <w:rsid w:val="00AB6D64"/>
    <w:rsid w:val="00AC0C8B"/>
    <w:rsid w:val="00AC53CE"/>
    <w:rsid w:val="00AD2193"/>
    <w:rsid w:val="00AF19F4"/>
    <w:rsid w:val="00AF2AC7"/>
    <w:rsid w:val="00AF74CE"/>
    <w:rsid w:val="00B208DB"/>
    <w:rsid w:val="00B22567"/>
    <w:rsid w:val="00B23F69"/>
    <w:rsid w:val="00B4559A"/>
    <w:rsid w:val="00B46827"/>
    <w:rsid w:val="00B510D0"/>
    <w:rsid w:val="00B60619"/>
    <w:rsid w:val="00B66A70"/>
    <w:rsid w:val="00B67366"/>
    <w:rsid w:val="00B80EE1"/>
    <w:rsid w:val="00B84135"/>
    <w:rsid w:val="00B853A0"/>
    <w:rsid w:val="00B86008"/>
    <w:rsid w:val="00B96C00"/>
    <w:rsid w:val="00BA5E1C"/>
    <w:rsid w:val="00BC520B"/>
    <w:rsid w:val="00BC5219"/>
    <w:rsid w:val="00BD5055"/>
    <w:rsid w:val="00C024AE"/>
    <w:rsid w:val="00C04D34"/>
    <w:rsid w:val="00C05DF8"/>
    <w:rsid w:val="00C06864"/>
    <w:rsid w:val="00C10F54"/>
    <w:rsid w:val="00C23D8D"/>
    <w:rsid w:val="00C25D5F"/>
    <w:rsid w:val="00C30EC9"/>
    <w:rsid w:val="00C37AA3"/>
    <w:rsid w:val="00C37FD7"/>
    <w:rsid w:val="00C43419"/>
    <w:rsid w:val="00C44CF3"/>
    <w:rsid w:val="00C61BE0"/>
    <w:rsid w:val="00C668D1"/>
    <w:rsid w:val="00C6707E"/>
    <w:rsid w:val="00C678D0"/>
    <w:rsid w:val="00C70B0E"/>
    <w:rsid w:val="00C773CA"/>
    <w:rsid w:val="00C83785"/>
    <w:rsid w:val="00C87FA8"/>
    <w:rsid w:val="00C90852"/>
    <w:rsid w:val="00C94C0D"/>
    <w:rsid w:val="00CA1FEB"/>
    <w:rsid w:val="00CD4F85"/>
    <w:rsid w:val="00CD59FC"/>
    <w:rsid w:val="00CD6F02"/>
    <w:rsid w:val="00CE246D"/>
    <w:rsid w:val="00CE595C"/>
    <w:rsid w:val="00CF07A0"/>
    <w:rsid w:val="00CF3768"/>
    <w:rsid w:val="00CF3E03"/>
    <w:rsid w:val="00CF662E"/>
    <w:rsid w:val="00D0082A"/>
    <w:rsid w:val="00D21455"/>
    <w:rsid w:val="00D47634"/>
    <w:rsid w:val="00D709B3"/>
    <w:rsid w:val="00D74CD2"/>
    <w:rsid w:val="00D81811"/>
    <w:rsid w:val="00D9228B"/>
    <w:rsid w:val="00DA2ED6"/>
    <w:rsid w:val="00DA3213"/>
    <w:rsid w:val="00DB1D55"/>
    <w:rsid w:val="00DB76B8"/>
    <w:rsid w:val="00DC2EA1"/>
    <w:rsid w:val="00DC717D"/>
    <w:rsid w:val="00DD6AAF"/>
    <w:rsid w:val="00DE3F5C"/>
    <w:rsid w:val="00DF1D20"/>
    <w:rsid w:val="00E03862"/>
    <w:rsid w:val="00E21324"/>
    <w:rsid w:val="00E246B9"/>
    <w:rsid w:val="00E31FEA"/>
    <w:rsid w:val="00E45169"/>
    <w:rsid w:val="00E47787"/>
    <w:rsid w:val="00E51C30"/>
    <w:rsid w:val="00E525FC"/>
    <w:rsid w:val="00E64180"/>
    <w:rsid w:val="00E7235D"/>
    <w:rsid w:val="00E73CBC"/>
    <w:rsid w:val="00E74AEE"/>
    <w:rsid w:val="00E773E5"/>
    <w:rsid w:val="00E834C9"/>
    <w:rsid w:val="00E868E5"/>
    <w:rsid w:val="00E91805"/>
    <w:rsid w:val="00E9237A"/>
    <w:rsid w:val="00E939FA"/>
    <w:rsid w:val="00EA5765"/>
    <w:rsid w:val="00EB4EC8"/>
    <w:rsid w:val="00EC1BDF"/>
    <w:rsid w:val="00EC2532"/>
    <w:rsid w:val="00EC6848"/>
    <w:rsid w:val="00ED7812"/>
    <w:rsid w:val="00EF3B86"/>
    <w:rsid w:val="00EF7EC4"/>
    <w:rsid w:val="00F317E9"/>
    <w:rsid w:val="00F34554"/>
    <w:rsid w:val="00F35B68"/>
    <w:rsid w:val="00F45F77"/>
    <w:rsid w:val="00F5167F"/>
    <w:rsid w:val="00F52258"/>
    <w:rsid w:val="00F62300"/>
    <w:rsid w:val="00F6410E"/>
    <w:rsid w:val="00F65B33"/>
    <w:rsid w:val="00F814C5"/>
    <w:rsid w:val="00F8570A"/>
    <w:rsid w:val="00F91C7B"/>
    <w:rsid w:val="00F92829"/>
    <w:rsid w:val="00FB44CE"/>
    <w:rsid w:val="00FC3A62"/>
    <w:rsid w:val="00FD5B7A"/>
    <w:rsid w:val="00FF099C"/>
    <w:rsid w:val="00FF0DD0"/>
    <w:rsid w:val="00FF3279"/>
    <w:rsid w:val="00FF3EDF"/>
    <w:rsid w:val="00FF5D8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6B5ED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Default">
    <w:name w:val="Default"/>
    <w:rsid w:val="00B4559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73C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B3314-15DB-4EE6-8E01-F4FC70BB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18796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4</cp:revision>
  <cp:lastPrinted>2023-02-09T08:16:00Z</cp:lastPrinted>
  <dcterms:created xsi:type="dcterms:W3CDTF">2025-02-18T11:08:00Z</dcterms:created>
  <dcterms:modified xsi:type="dcterms:W3CDTF">2025-02-19T07:04:00Z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