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2668D" w14:textId="3E9CF78C" w:rsidR="00CE09F3" w:rsidRPr="004C7CDA" w:rsidRDefault="00CE09F3" w:rsidP="004C7CDA">
      <w:pPr>
        <w:widowControl w:val="0"/>
        <w:jc w:val="center"/>
        <w:rPr>
          <w:b/>
          <w:bCs/>
          <w:iCs/>
          <w:szCs w:val="22"/>
          <w:u w:val="single"/>
          <w:lang w:val="sr-Latn-ME"/>
        </w:rPr>
      </w:pPr>
      <w:r w:rsidRPr="004C7CDA">
        <w:rPr>
          <w:b/>
          <w:bCs/>
          <w:iCs/>
          <w:szCs w:val="22"/>
          <w:u w:val="single"/>
          <w:lang w:val="sr-Latn-ME"/>
        </w:rPr>
        <w:t xml:space="preserve">SAŽETAK KARAKTERISTIKA </w:t>
      </w:r>
      <w:r w:rsidR="008B3ED5" w:rsidRPr="004C7CDA">
        <w:rPr>
          <w:b/>
          <w:bCs/>
          <w:iCs/>
          <w:szCs w:val="22"/>
          <w:u w:val="single"/>
          <w:lang w:val="sr-Latn-ME"/>
        </w:rPr>
        <w:t>L</w:t>
      </w:r>
      <w:r w:rsidR="003F7227" w:rsidRPr="004C7CDA">
        <w:rPr>
          <w:b/>
          <w:bCs/>
          <w:iCs/>
          <w:szCs w:val="22"/>
          <w:u w:val="single"/>
          <w:lang w:val="sr-Latn-ME"/>
        </w:rPr>
        <w:t>IJ</w:t>
      </w:r>
      <w:r w:rsidRPr="004C7CDA">
        <w:rPr>
          <w:b/>
          <w:bCs/>
          <w:iCs/>
          <w:szCs w:val="22"/>
          <w:u w:val="single"/>
          <w:lang w:val="sr-Latn-ME"/>
        </w:rPr>
        <w:t>EKA</w:t>
      </w:r>
    </w:p>
    <w:p w14:paraId="44E50AB6" w14:textId="169267C1" w:rsidR="00383195" w:rsidRPr="004C7CDA" w:rsidRDefault="00383195" w:rsidP="004C7CDA">
      <w:pPr>
        <w:widowControl w:val="0"/>
        <w:rPr>
          <w:szCs w:val="22"/>
          <w:lang w:val="sr-Latn-ME"/>
        </w:rPr>
      </w:pPr>
    </w:p>
    <w:p w14:paraId="21D8B9A4" w14:textId="77777777" w:rsidR="00383195" w:rsidRPr="004C7CDA" w:rsidRDefault="00383195" w:rsidP="004C7CDA">
      <w:pPr>
        <w:widowControl w:val="0"/>
        <w:rPr>
          <w:szCs w:val="22"/>
          <w:lang w:val="sr-Latn-ME"/>
        </w:rPr>
      </w:pPr>
    </w:p>
    <w:p w14:paraId="12569409" w14:textId="4EDC0AB6" w:rsidR="00CE09F3" w:rsidRPr="004C7CDA" w:rsidRDefault="003F7227" w:rsidP="004C7CDA">
      <w:pPr>
        <w:pStyle w:val="NASLOV123"/>
        <w:widowControl w:val="0"/>
        <w:spacing w:before="0" w:after="0"/>
        <w:jc w:val="both"/>
        <w:rPr>
          <w:lang w:val="sr-Latn-ME"/>
        </w:rPr>
      </w:pPr>
      <w:r w:rsidRPr="004C7CDA">
        <w:rPr>
          <w:lang w:val="sr-Latn-ME"/>
        </w:rPr>
        <w:t xml:space="preserve">1. NAZIV </w:t>
      </w:r>
      <w:r w:rsidR="008B3ED5" w:rsidRPr="004C7CDA">
        <w:rPr>
          <w:lang w:val="sr-Latn-ME"/>
        </w:rPr>
        <w:t>L</w:t>
      </w:r>
      <w:r w:rsidRPr="004C7CDA">
        <w:rPr>
          <w:lang w:val="sr-Latn-ME"/>
        </w:rPr>
        <w:t>IJ</w:t>
      </w:r>
      <w:r w:rsidR="00CE09F3" w:rsidRPr="004C7CDA">
        <w:rPr>
          <w:lang w:val="sr-Latn-ME"/>
        </w:rPr>
        <w:t>EKA</w:t>
      </w:r>
    </w:p>
    <w:p w14:paraId="04F34216" w14:textId="77777777" w:rsidR="002C3B40" w:rsidRPr="004C7CDA" w:rsidRDefault="002C3B40" w:rsidP="004C7CDA">
      <w:pPr>
        <w:widowControl w:val="0"/>
        <w:rPr>
          <w:szCs w:val="22"/>
          <w:lang w:val="sr-Latn-ME"/>
        </w:rPr>
      </w:pPr>
    </w:p>
    <w:p w14:paraId="1E79CD60" w14:textId="27FEE364" w:rsidR="00A80A83" w:rsidRPr="004C7CDA" w:rsidRDefault="00EF5D53" w:rsidP="004C7CDA">
      <w:pPr>
        <w:widowControl w:val="0"/>
        <w:rPr>
          <w:szCs w:val="22"/>
          <w:lang w:val="sr-Latn-ME"/>
        </w:rPr>
      </w:pPr>
      <w:r w:rsidRPr="004C7CDA">
        <w:rPr>
          <w:szCs w:val="22"/>
          <w:lang w:val="sr-Latn-ME"/>
        </w:rPr>
        <w:t>Manito</w:t>
      </w:r>
      <w:r w:rsidR="008B3ED5" w:rsidRPr="004C7CDA">
        <w:rPr>
          <w:szCs w:val="22"/>
          <w:lang w:val="sr-Latn-ME"/>
        </w:rPr>
        <w:t>l</w:t>
      </w:r>
      <w:r w:rsidR="0014643D" w:rsidRPr="004C7CDA">
        <w:rPr>
          <w:szCs w:val="22"/>
          <w:lang w:val="sr-Latn-ME"/>
        </w:rPr>
        <w:t xml:space="preserve"> </w:t>
      </w:r>
      <w:r w:rsidR="000E4553" w:rsidRPr="004C7CDA">
        <w:rPr>
          <w:szCs w:val="22"/>
          <w:lang w:val="sr-Latn-ME"/>
        </w:rPr>
        <w:t>HM</w:t>
      </w:r>
      <w:r w:rsidR="00A80A83" w:rsidRPr="004C7CDA">
        <w:rPr>
          <w:szCs w:val="22"/>
          <w:lang w:val="sr-Latn-ME"/>
        </w:rPr>
        <w:t xml:space="preserve"> 20%</w:t>
      </w:r>
      <w:r w:rsidR="00FE1166" w:rsidRPr="004C7CDA">
        <w:rPr>
          <w:szCs w:val="22"/>
          <w:lang w:val="sr-Latn-ME"/>
        </w:rPr>
        <w:t>,</w:t>
      </w:r>
      <w:r w:rsidR="00A80A83" w:rsidRPr="004C7CDA">
        <w:rPr>
          <w:szCs w:val="22"/>
          <w:lang w:val="sr-Latn-ME"/>
        </w:rPr>
        <w:t xml:space="preserve"> </w:t>
      </w:r>
      <w:r w:rsidR="00EC59D7" w:rsidRPr="004C7CDA">
        <w:rPr>
          <w:szCs w:val="22"/>
          <w:lang w:val="sr-Latn-ME"/>
        </w:rPr>
        <w:t xml:space="preserve">20%, </w:t>
      </w:r>
      <w:r w:rsidR="00A80A83" w:rsidRPr="004C7CDA">
        <w:rPr>
          <w:szCs w:val="22"/>
          <w:lang w:val="sr-Latn-ME"/>
        </w:rPr>
        <w:t>rastvor za infuziju</w:t>
      </w:r>
    </w:p>
    <w:p w14:paraId="588177FD" w14:textId="77777777" w:rsidR="002D100F" w:rsidRPr="004C7CDA" w:rsidRDefault="002D100F" w:rsidP="004C7CDA">
      <w:pPr>
        <w:widowControl w:val="0"/>
        <w:rPr>
          <w:szCs w:val="22"/>
          <w:lang w:val="sr-Latn-ME"/>
        </w:rPr>
      </w:pPr>
    </w:p>
    <w:p w14:paraId="41C8A6E1" w14:textId="65F08DEC" w:rsidR="00A80A83" w:rsidRPr="004C7CDA" w:rsidRDefault="00A80A83" w:rsidP="004C7CDA">
      <w:pPr>
        <w:widowControl w:val="0"/>
        <w:rPr>
          <w:b/>
          <w:szCs w:val="22"/>
          <w:lang w:val="sr-Latn-ME"/>
        </w:rPr>
      </w:pPr>
      <w:r w:rsidRPr="004C7CDA">
        <w:rPr>
          <w:szCs w:val="22"/>
          <w:lang w:val="sr-Latn-ME"/>
        </w:rPr>
        <w:t>INN: manito</w:t>
      </w:r>
      <w:r w:rsidR="008B3ED5" w:rsidRPr="004C7CDA">
        <w:rPr>
          <w:szCs w:val="22"/>
          <w:lang w:val="sr-Latn-ME"/>
        </w:rPr>
        <w:t>l</w:t>
      </w:r>
    </w:p>
    <w:p w14:paraId="094A7937" w14:textId="77777777" w:rsidR="002C3B40" w:rsidRPr="004C7CDA" w:rsidRDefault="002C3B40" w:rsidP="004C7CDA">
      <w:pPr>
        <w:pStyle w:val="NASLOV123"/>
        <w:widowControl w:val="0"/>
        <w:spacing w:before="0" w:after="0"/>
        <w:jc w:val="both"/>
        <w:rPr>
          <w:lang w:val="sr-Latn-ME"/>
        </w:rPr>
      </w:pPr>
    </w:p>
    <w:p w14:paraId="1DFFE022" w14:textId="77777777" w:rsidR="002C3B40" w:rsidRPr="004C7CDA" w:rsidRDefault="002C3B40" w:rsidP="004C7CDA">
      <w:pPr>
        <w:pStyle w:val="NASLOV123"/>
        <w:widowControl w:val="0"/>
        <w:spacing w:before="0" w:after="0"/>
        <w:jc w:val="both"/>
        <w:rPr>
          <w:lang w:val="sr-Latn-ME"/>
        </w:rPr>
      </w:pPr>
    </w:p>
    <w:p w14:paraId="49B6D8C2" w14:textId="1EFBC844" w:rsidR="00CE09F3" w:rsidRPr="004C7CDA" w:rsidRDefault="00CE09F3" w:rsidP="004C7CDA">
      <w:pPr>
        <w:pStyle w:val="NASLOV123"/>
        <w:widowControl w:val="0"/>
        <w:spacing w:before="0" w:after="0"/>
        <w:jc w:val="both"/>
        <w:rPr>
          <w:lang w:val="sr-Latn-ME"/>
        </w:rPr>
      </w:pPr>
      <w:r w:rsidRPr="004C7CDA">
        <w:rPr>
          <w:lang w:val="sr-Latn-ME"/>
        </w:rPr>
        <w:t>2. KVA</w:t>
      </w:r>
      <w:r w:rsidR="008B3ED5" w:rsidRPr="004C7CDA">
        <w:rPr>
          <w:lang w:val="sr-Latn-ME"/>
        </w:rPr>
        <w:t>L</w:t>
      </w:r>
      <w:r w:rsidRPr="004C7CDA">
        <w:rPr>
          <w:lang w:val="sr-Latn-ME"/>
        </w:rPr>
        <w:t>ITATIVNI I KVANTITATIVNI SASTAV</w:t>
      </w:r>
    </w:p>
    <w:p w14:paraId="2E5783C2" w14:textId="77777777" w:rsidR="002C3B40" w:rsidRPr="004C7CDA" w:rsidRDefault="002C3B40" w:rsidP="004C7CDA">
      <w:pPr>
        <w:widowControl w:val="0"/>
        <w:rPr>
          <w:szCs w:val="22"/>
          <w:lang w:val="sr-Latn-ME"/>
        </w:rPr>
      </w:pPr>
    </w:p>
    <w:p w14:paraId="1AE2341E" w14:textId="41C68E2F" w:rsidR="000F5898" w:rsidRPr="004C7CDA" w:rsidRDefault="00220915" w:rsidP="004C7CDA">
      <w:pPr>
        <w:widowControl w:val="0"/>
        <w:rPr>
          <w:szCs w:val="22"/>
          <w:lang w:val="sr-Latn-ME"/>
        </w:rPr>
      </w:pPr>
      <w:r w:rsidRPr="004C7CDA">
        <w:rPr>
          <w:szCs w:val="22"/>
          <w:lang w:val="sr-Latn-ME"/>
        </w:rPr>
        <w:t>1000 ml</w:t>
      </w:r>
      <w:r w:rsidR="000F5898" w:rsidRPr="004C7CDA">
        <w:rPr>
          <w:szCs w:val="22"/>
          <w:lang w:val="sr-Latn-ME"/>
        </w:rPr>
        <w:t xml:space="preserve"> rastvora</w:t>
      </w:r>
      <w:r w:rsidR="002D100F" w:rsidRPr="004C7CDA">
        <w:rPr>
          <w:szCs w:val="22"/>
          <w:lang w:val="sr-Latn-ME"/>
        </w:rPr>
        <w:t xml:space="preserve"> za infuziju</w:t>
      </w:r>
      <w:r w:rsidR="000F5898" w:rsidRPr="004C7CDA">
        <w:rPr>
          <w:szCs w:val="22"/>
          <w:lang w:val="sr-Latn-ME"/>
        </w:rPr>
        <w:t xml:space="preserve"> sadrži 200 g manito</w:t>
      </w:r>
      <w:r w:rsidR="008B3ED5" w:rsidRPr="004C7CDA">
        <w:rPr>
          <w:szCs w:val="22"/>
          <w:lang w:val="sr-Latn-ME"/>
        </w:rPr>
        <w:t>l</w:t>
      </w:r>
      <w:r w:rsidR="000F5898" w:rsidRPr="004C7CDA">
        <w:rPr>
          <w:szCs w:val="22"/>
          <w:lang w:val="sr-Latn-ME"/>
        </w:rPr>
        <w:t>a.</w:t>
      </w:r>
    </w:p>
    <w:p w14:paraId="53975101" w14:textId="77777777" w:rsidR="00BA5F03" w:rsidRPr="004C7CDA" w:rsidRDefault="00BA5F03" w:rsidP="004C7CDA">
      <w:pPr>
        <w:widowControl w:val="0"/>
        <w:rPr>
          <w:szCs w:val="22"/>
          <w:lang w:val="sr-Latn-ME"/>
        </w:rPr>
      </w:pPr>
    </w:p>
    <w:p w14:paraId="06A66E36" w14:textId="221ED916" w:rsidR="00A80A83" w:rsidRPr="004C7CDA" w:rsidRDefault="00A80A83" w:rsidP="004C7CDA">
      <w:pPr>
        <w:widowControl w:val="0"/>
        <w:rPr>
          <w:szCs w:val="22"/>
          <w:lang w:val="sr-Latn-ME"/>
        </w:rPr>
      </w:pPr>
      <w:r w:rsidRPr="004C7CDA">
        <w:rPr>
          <w:szCs w:val="22"/>
          <w:lang w:val="sr-Latn-ME"/>
        </w:rPr>
        <w:t xml:space="preserve">250 </w:t>
      </w:r>
      <w:r w:rsidR="008B3ED5" w:rsidRPr="004C7CDA">
        <w:rPr>
          <w:szCs w:val="22"/>
          <w:lang w:val="sr-Latn-ME"/>
        </w:rPr>
        <w:t>ml</w:t>
      </w:r>
      <w:r w:rsidRPr="004C7CDA">
        <w:rPr>
          <w:szCs w:val="22"/>
          <w:lang w:val="sr-Latn-ME"/>
        </w:rPr>
        <w:t xml:space="preserve"> rastvora</w:t>
      </w:r>
      <w:r w:rsidR="002D100F" w:rsidRPr="004C7CDA">
        <w:rPr>
          <w:szCs w:val="22"/>
          <w:lang w:val="sr-Latn-ME"/>
        </w:rPr>
        <w:t xml:space="preserve"> za infuziju</w:t>
      </w:r>
      <w:r w:rsidRPr="004C7CDA">
        <w:rPr>
          <w:szCs w:val="22"/>
          <w:lang w:val="sr-Latn-ME"/>
        </w:rPr>
        <w:t xml:space="preserve"> sadrži</w:t>
      </w:r>
      <w:r w:rsidR="00464865" w:rsidRPr="004C7CDA">
        <w:rPr>
          <w:szCs w:val="22"/>
          <w:lang w:val="sr-Latn-ME"/>
        </w:rPr>
        <w:t xml:space="preserve"> 50</w:t>
      </w:r>
      <w:r w:rsidR="003879C8">
        <w:rPr>
          <w:szCs w:val="22"/>
          <w:lang w:val="sr-Latn-ME"/>
        </w:rPr>
        <w:t xml:space="preserve"> </w:t>
      </w:r>
      <w:bookmarkStart w:id="0" w:name="_GoBack"/>
      <w:bookmarkEnd w:id="0"/>
      <w:r w:rsidR="00464865" w:rsidRPr="004C7CDA">
        <w:rPr>
          <w:szCs w:val="22"/>
          <w:lang w:val="sr-Latn-ME"/>
        </w:rPr>
        <w:t>g manitola</w:t>
      </w:r>
      <w:r w:rsidR="005D2721" w:rsidRPr="004C7CDA">
        <w:rPr>
          <w:szCs w:val="22"/>
          <w:lang w:val="sr-Latn-ME"/>
        </w:rPr>
        <w:t>.</w:t>
      </w:r>
    </w:p>
    <w:p w14:paraId="5024DC77" w14:textId="77777777" w:rsidR="005D2721" w:rsidRPr="004C7CDA" w:rsidRDefault="005D2721" w:rsidP="004C7CDA">
      <w:pPr>
        <w:widowControl w:val="0"/>
        <w:rPr>
          <w:szCs w:val="22"/>
          <w:lang w:val="sr-Latn-ME"/>
        </w:rPr>
      </w:pPr>
    </w:p>
    <w:p w14:paraId="6727AF63" w14:textId="1CD805F3" w:rsidR="00464865" w:rsidRPr="004C7CDA" w:rsidRDefault="00464865" w:rsidP="004C7CDA">
      <w:pPr>
        <w:widowControl w:val="0"/>
        <w:rPr>
          <w:szCs w:val="22"/>
          <w:lang w:val="sr-Latn-ME"/>
        </w:rPr>
      </w:pPr>
      <w:r w:rsidRPr="004C7CDA">
        <w:rPr>
          <w:szCs w:val="22"/>
          <w:lang w:val="sr-Latn-ME"/>
        </w:rPr>
        <w:t>pH</w:t>
      </w:r>
      <w:r w:rsidRPr="004C7CDA">
        <w:rPr>
          <w:szCs w:val="22"/>
          <w:lang w:val="sr-Latn-ME"/>
        </w:rPr>
        <w:tab/>
      </w:r>
      <w:r w:rsidRPr="004C7CDA">
        <w:rPr>
          <w:szCs w:val="22"/>
          <w:lang w:val="sr-Latn-ME"/>
        </w:rPr>
        <w:tab/>
      </w:r>
      <w:r w:rsidRPr="004C7CDA">
        <w:rPr>
          <w:szCs w:val="22"/>
          <w:lang w:val="sr-Latn-ME"/>
        </w:rPr>
        <w:tab/>
      </w:r>
      <w:r w:rsidRPr="004C7CDA">
        <w:rPr>
          <w:szCs w:val="22"/>
          <w:lang w:val="sr-Latn-ME"/>
        </w:rPr>
        <w:tab/>
      </w:r>
      <w:r w:rsidR="005D2721" w:rsidRPr="004C7CDA">
        <w:rPr>
          <w:szCs w:val="22"/>
          <w:lang w:val="sr-Latn-ME"/>
        </w:rPr>
        <w:t xml:space="preserve"> </w:t>
      </w:r>
      <w:r w:rsidRPr="004C7CDA">
        <w:rPr>
          <w:szCs w:val="22"/>
          <w:lang w:val="sr-Latn-ME"/>
        </w:rPr>
        <w:t>5,0 – 7,0</w:t>
      </w:r>
    </w:p>
    <w:p w14:paraId="52B1FA9E" w14:textId="2A68E009" w:rsidR="00A80A83" w:rsidRPr="004C7CDA" w:rsidRDefault="00464865" w:rsidP="004C7CDA">
      <w:pPr>
        <w:widowControl w:val="0"/>
        <w:rPr>
          <w:szCs w:val="22"/>
          <w:lang w:val="sr-Latn-ME"/>
        </w:rPr>
      </w:pPr>
      <w:r w:rsidRPr="004C7CDA">
        <w:rPr>
          <w:szCs w:val="22"/>
          <w:lang w:val="sr-Latn-ME"/>
        </w:rPr>
        <w:t>Teorijski osmolaritet</w:t>
      </w:r>
      <w:r w:rsidRPr="004C7CDA">
        <w:rPr>
          <w:szCs w:val="22"/>
          <w:lang w:val="sr-Latn-ME"/>
        </w:rPr>
        <w:tab/>
      </w:r>
      <w:r w:rsidRPr="004C7CDA" w:rsidDel="00464865">
        <w:rPr>
          <w:szCs w:val="22"/>
          <w:lang w:val="sr-Latn-ME"/>
        </w:rPr>
        <w:t xml:space="preserve"> </w:t>
      </w:r>
      <w:r w:rsidRPr="004C7CDA">
        <w:rPr>
          <w:szCs w:val="22"/>
          <w:lang w:val="sr-Latn-ME"/>
        </w:rPr>
        <w:t>1098 mOsm/</w:t>
      </w:r>
      <w:r w:rsidR="004C7CDA">
        <w:rPr>
          <w:szCs w:val="22"/>
          <w:lang w:val="sr-Latn-ME"/>
        </w:rPr>
        <w:t>l</w:t>
      </w:r>
      <w:r w:rsidRPr="004C7CDA">
        <w:rPr>
          <w:szCs w:val="22"/>
          <w:lang w:val="sr-Latn-ME"/>
        </w:rPr>
        <w:t xml:space="preserve"> </w:t>
      </w:r>
    </w:p>
    <w:p w14:paraId="411502C9" w14:textId="77777777" w:rsidR="00464865" w:rsidRPr="004C7CDA" w:rsidRDefault="00464865" w:rsidP="004C7CDA">
      <w:pPr>
        <w:widowControl w:val="0"/>
        <w:rPr>
          <w:szCs w:val="22"/>
          <w:lang w:val="sr-Latn-ME"/>
        </w:rPr>
      </w:pPr>
    </w:p>
    <w:p w14:paraId="1B243CF6" w14:textId="32D16A6D" w:rsidR="00821EBB" w:rsidRPr="004C7CDA" w:rsidRDefault="00821EBB" w:rsidP="004C7CDA">
      <w:pPr>
        <w:widowControl w:val="0"/>
        <w:rPr>
          <w:szCs w:val="22"/>
          <w:lang w:val="sr-Latn-ME"/>
        </w:rPr>
      </w:pPr>
      <w:r w:rsidRPr="004C7CDA">
        <w:rPr>
          <w:szCs w:val="22"/>
          <w:lang w:val="sr-Latn-ME"/>
        </w:rPr>
        <w:t>Za spisak svih ekscipijenasa, pog</w:t>
      </w:r>
      <w:r w:rsidR="008B3ED5" w:rsidRPr="004C7CDA">
        <w:rPr>
          <w:szCs w:val="22"/>
          <w:lang w:val="sr-Latn-ME"/>
        </w:rPr>
        <w:t>l</w:t>
      </w:r>
      <w:r w:rsidRPr="004C7CDA">
        <w:rPr>
          <w:szCs w:val="22"/>
          <w:lang w:val="sr-Latn-ME"/>
        </w:rPr>
        <w:t>edati dio 6.1.</w:t>
      </w:r>
    </w:p>
    <w:p w14:paraId="6AE8AD34" w14:textId="77777777" w:rsidR="002C3B40" w:rsidRPr="004C7CDA" w:rsidRDefault="002C3B40" w:rsidP="004C7CDA">
      <w:pPr>
        <w:pStyle w:val="NASLOV123"/>
        <w:widowControl w:val="0"/>
        <w:spacing w:before="0" w:after="0"/>
        <w:jc w:val="both"/>
        <w:rPr>
          <w:lang w:val="sr-Latn-ME"/>
        </w:rPr>
      </w:pPr>
    </w:p>
    <w:p w14:paraId="503DA017" w14:textId="77777777" w:rsidR="002C3B40" w:rsidRPr="004C7CDA" w:rsidRDefault="002C3B40" w:rsidP="004C7CDA">
      <w:pPr>
        <w:pStyle w:val="NASLOV123"/>
        <w:widowControl w:val="0"/>
        <w:spacing w:before="0" w:after="0"/>
        <w:jc w:val="both"/>
        <w:rPr>
          <w:lang w:val="sr-Latn-ME"/>
        </w:rPr>
      </w:pPr>
    </w:p>
    <w:p w14:paraId="3E049BB4" w14:textId="62207EB1" w:rsidR="00CE09F3" w:rsidRPr="004C7CDA" w:rsidRDefault="00CE09F3" w:rsidP="004C7CDA">
      <w:pPr>
        <w:pStyle w:val="NASLOV123"/>
        <w:widowControl w:val="0"/>
        <w:spacing w:before="0" w:after="0"/>
        <w:jc w:val="both"/>
        <w:rPr>
          <w:lang w:val="sr-Latn-ME"/>
        </w:rPr>
      </w:pPr>
      <w:r w:rsidRPr="004C7CDA">
        <w:rPr>
          <w:lang w:val="sr-Latn-ME"/>
        </w:rPr>
        <w:t>3. FARMACEUTSKI OB</w:t>
      </w:r>
      <w:r w:rsidR="008B3ED5" w:rsidRPr="004C7CDA">
        <w:rPr>
          <w:lang w:val="sr-Latn-ME"/>
        </w:rPr>
        <w:t>L</w:t>
      </w:r>
      <w:r w:rsidRPr="004C7CDA">
        <w:rPr>
          <w:lang w:val="sr-Latn-ME"/>
        </w:rPr>
        <w:t>IK</w:t>
      </w:r>
    </w:p>
    <w:p w14:paraId="3B60051D" w14:textId="77777777" w:rsidR="002C3B40" w:rsidRPr="004C7CDA" w:rsidRDefault="002C3B40" w:rsidP="004C7CDA">
      <w:pPr>
        <w:widowControl w:val="0"/>
        <w:rPr>
          <w:szCs w:val="22"/>
          <w:lang w:val="sr-Latn-ME"/>
        </w:rPr>
      </w:pPr>
    </w:p>
    <w:p w14:paraId="51D60BFA" w14:textId="67337017" w:rsidR="00A80A83" w:rsidRPr="004C7CDA" w:rsidRDefault="00A80A83" w:rsidP="004C7CDA">
      <w:pPr>
        <w:widowControl w:val="0"/>
        <w:rPr>
          <w:szCs w:val="22"/>
          <w:lang w:val="sr-Latn-ME"/>
        </w:rPr>
      </w:pPr>
      <w:r w:rsidRPr="004C7CDA">
        <w:rPr>
          <w:szCs w:val="22"/>
          <w:lang w:val="sr-Latn-ME"/>
        </w:rPr>
        <w:t>Rastvor za infuziju.</w:t>
      </w:r>
    </w:p>
    <w:p w14:paraId="1B964985" w14:textId="0917001A" w:rsidR="00A80A83" w:rsidRPr="004C7CDA" w:rsidRDefault="000F5898" w:rsidP="004C7CDA">
      <w:pPr>
        <w:widowControl w:val="0"/>
        <w:rPr>
          <w:szCs w:val="22"/>
          <w:lang w:val="sr-Latn-ME"/>
        </w:rPr>
      </w:pPr>
      <w:r w:rsidRPr="004C7CDA">
        <w:rPr>
          <w:szCs w:val="22"/>
          <w:lang w:val="sr-Latn-ME"/>
        </w:rPr>
        <w:t xml:space="preserve">Bistar, bezbojan rastvor za </w:t>
      </w:r>
      <w:r w:rsidR="005D2721" w:rsidRPr="004C7CDA">
        <w:rPr>
          <w:szCs w:val="22"/>
          <w:lang w:val="sr-Latn-ME"/>
        </w:rPr>
        <w:t>infuziju</w:t>
      </w:r>
      <w:r w:rsidRPr="004C7CDA">
        <w:rPr>
          <w:szCs w:val="22"/>
          <w:lang w:val="sr-Latn-ME"/>
        </w:rPr>
        <w:t>.</w:t>
      </w:r>
    </w:p>
    <w:p w14:paraId="376BB31F" w14:textId="77777777" w:rsidR="002C3B40" w:rsidRPr="004C7CDA" w:rsidRDefault="002C3B40" w:rsidP="004C7CDA">
      <w:pPr>
        <w:pStyle w:val="NASLOV123"/>
        <w:widowControl w:val="0"/>
        <w:spacing w:before="0" w:after="0"/>
        <w:jc w:val="both"/>
        <w:rPr>
          <w:lang w:val="sr-Latn-ME"/>
        </w:rPr>
      </w:pPr>
    </w:p>
    <w:p w14:paraId="1C2D6E6E" w14:textId="77777777" w:rsidR="002C3B40" w:rsidRPr="004C7CDA" w:rsidRDefault="002C3B40" w:rsidP="004C7CDA">
      <w:pPr>
        <w:pStyle w:val="NASLOV123"/>
        <w:widowControl w:val="0"/>
        <w:spacing w:before="0" w:after="0"/>
        <w:jc w:val="both"/>
        <w:rPr>
          <w:lang w:val="sr-Latn-ME"/>
        </w:rPr>
      </w:pPr>
    </w:p>
    <w:p w14:paraId="6F8F22AB" w14:textId="35ADFC6D" w:rsidR="00CE09F3" w:rsidRPr="004C7CDA" w:rsidRDefault="00CE09F3" w:rsidP="004C7CDA">
      <w:pPr>
        <w:pStyle w:val="NASLOV123"/>
        <w:widowControl w:val="0"/>
        <w:spacing w:before="0" w:after="0"/>
        <w:jc w:val="both"/>
        <w:rPr>
          <w:lang w:val="sr-Latn-ME"/>
        </w:rPr>
      </w:pPr>
      <w:r w:rsidRPr="004C7CDA">
        <w:rPr>
          <w:lang w:val="sr-Latn-ME"/>
        </w:rPr>
        <w:t>4. K</w:t>
      </w:r>
      <w:r w:rsidR="008B3ED5" w:rsidRPr="004C7CDA">
        <w:rPr>
          <w:lang w:val="sr-Latn-ME"/>
        </w:rPr>
        <w:t>L</w:t>
      </w:r>
      <w:r w:rsidRPr="004C7CDA">
        <w:rPr>
          <w:lang w:val="sr-Latn-ME"/>
        </w:rPr>
        <w:t>INIČKI PODACI</w:t>
      </w:r>
    </w:p>
    <w:p w14:paraId="09BA9B83" w14:textId="77777777" w:rsidR="002C3B40" w:rsidRPr="004C7CDA" w:rsidRDefault="002C3B40" w:rsidP="004C7CDA">
      <w:pPr>
        <w:widowControl w:val="0"/>
        <w:rPr>
          <w:b/>
          <w:bCs/>
          <w:szCs w:val="22"/>
          <w:lang w:val="sr-Latn-ME"/>
        </w:rPr>
      </w:pPr>
    </w:p>
    <w:p w14:paraId="6131F287" w14:textId="15F2412A" w:rsidR="00CE09F3" w:rsidRPr="004C7CDA" w:rsidRDefault="00CE09F3" w:rsidP="004C7CDA">
      <w:pPr>
        <w:widowControl w:val="0"/>
        <w:rPr>
          <w:b/>
          <w:bCs/>
          <w:szCs w:val="22"/>
          <w:lang w:val="sr-Latn-ME"/>
        </w:rPr>
      </w:pPr>
      <w:r w:rsidRPr="004C7CDA">
        <w:rPr>
          <w:b/>
          <w:bCs/>
          <w:szCs w:val="22"/>
          <w:lang w:val="sr-Latn-ME"/>
        </w:rPr>
        <w:t>4.1. Terapijske indikacije</w:t>
      </w:r>
    </w:p>
    <w:p w14:paraId="54322159" w14:textId="77777777" w:rsidR="00A80A83" w:rsidRPr="004C7CDA" w:rsidRDefault="00A80A83" w:rsidP="004C7CDA">
      <w:pPr>
        <w:widowControl w:val="0"/>
        <w:rPr>
          <w:b/>
          <w:bCs/>
          <w:szCs w:val="22"/>
          <w:lang w:val="sr-Latn-ME"/>
        </w:rPr>
      </w:pPr>
    </w:p>
    <w:p w14:paraId="2EF94F8D" w14:textId="3AFBD46C" w:rsidR="003D154D" w:rsidRPr="004C7CDA" w:rsidRDefault="008B3ED5" w:rsidP="004C7CDA">
      <w:pPr>
        <w:widowControl w:val="0"/>
        <w:tabs>
          <w:tab w:val="left" w:pos="1080"/>
        </w:tabs>
        <w:rPr>
          <w:szCs w:val="22"/>
          <w:lang w:val="sr-Latn-ME"/>
        </w:rPr>
      </w:pPr>
      <w:r w:rsidRPr="004C7CDA">
        <w:rPr>
          <w:szCs w:val="22"/>
          <w:lang w:val="sr-Latn-ME"/>
        </w:rPr>
        <w:t>L</w:t>
      </w:r>
      <w:r w:rsidR="00C6552D" w:rsidRPr="004C7CDA">
        <w:rPr>
          <w:szCs w:val="22"/>
          <w:lang w:val="sr-Latn-ME"/>
        </w:rPr>
        <w:t xml:space="preserve">ijek </w:t>
      </w:r>
      <w:r w:rsidR="00EF5D53" w:rsidRPr="004C7CDA">
        <w:rPr>
          <w:szCs w:val="22"/>
          <w:lang w:val="sr-Latn-ME"/>
        </w:rPr>
        <w:t>Manito</w:t>
      </w:r>
      <w:r w:rsidRPr="004C7CDA">
        <w:rPr>
          <w:szCs w:val="22"/>
          <w:lang w:val="sr-Latn-ME"/>
        </w:rPr>
        <w:t>l</w:t>
      </w:r>
      <w:r w:rsidR="00C6552D" w:rsidRPr="004C7CDA">
        <w:rPr>
          <w:szCs w:val="22"/>
          <w:lang w:val="sr-Latn-ME"/>
        </w:rPr>
        <w:t xml:space="preserve"> </w:t>
      </w:r>
      <w:r w:rsidR="000E4553" w:rsidRPr="004C7CDA">
        <w:rPr>
          <w:szCs w:val="22"/>
          <w:lang w:val="sr-Latn-ME"/>
        </w:rPr>
        <w:t>HM</w:t>
      </w:r>
      <w:r w:rsidR="00EF5D53" w:rsidRPr="004C7CDA">
        <w:rPr>
          <w:szCs w:val="22"/>
          <w:lang w:val="sr-Latn-ME"/>
        </w:rPr>
        <w:t xml:space="preserve"> </w:t>
      </w:r>
      <w:r w:rsidR="00A80A83" w:rsidRPr="004C7CDA">
        <w:rPr>
          <w:szCs w:val="22"/>
          <w:lang w:val="sr-Latn-ME"/>
        </w:rPr>
        <w:t>20% rastvor za infuziju, koristi se kao osmotski diuretik u s</w:t>
      </w:r>
      <w:r w:rsidRPr="004C7CDA">
        <w:rPr>
          <w:szCs w:val="22"/>
          <w:lang w:val="sr-Latn-ME"/>
        </w:rPr>
        <w:t>l</w:t>
      </w:r>
      <w:r w:rsidR="003D154D" w:rsidRPr="004C7CDA">
        <w:rPr>
          <w:szCs w:val="22"/>
          <w:lang w:val="sr-Latn-ME"/>
        </w:rPr>
        <w:t>j</w:t>
      </w:r>
      <w:r w:rsidR="00A80A83" w:rsidRPr="004C7CDA">
        <w:rPr>
          <w:szCs w:val="22"/>
          <w:lang w:val="sr-Latn-ME"/>
        </w:rPr>
        <w:t>edećim situacijama:</w:t>
      </w:r>
    </w:p>
    <w:p w14:paraId="44A479FE" w14:textId="29FBBCF0" w:rsidR="00F81BC6" w:rsidRPr="004C7CDA" w:rsidRDefault="00F81BC6" w:rsidP="004C7CDA">
      <w:pPr>
        <w:pStyle w:val="BodyText3"/>
        <w:widowControl w:val="0"/>
        <w:numPr>
          <w:ilvl w:val="0"/>
          <w:numId w:val="19"/>
        </w:numPr>
        <w:tabs>
          <w:tab w:val="left" w:pos="709"/>
        </w:tabs>
        <w:spacing w:after="0"/>
        <w:jc w:val="both"/>
        <w:rPr>
          <w:sz w:val="22"/>
          <w:szCs w:val="22"/>
          <w:lang w:val="sr-Latn-ME"/>
        </w:rPr>
      </w:pPr>
      <w:r w:rsidRPr="004C7CDA">
        <w:rPr>
          <w:sz w:val="22"/>
          <w:szCs w:val="22"/>
          <w:lang w:val="sr-Latn-ME"/>
        </w:rPr>
        <w:t>Posp</w:t>
      </w:r>
      <w:r w:rsidR="003D154D" w:rsidRPr="004C7CDA">
        <w:rPr>
          <w:sz w:val="22"/>
          <w:szCs w:val="22"/>
          <w:lang w:val="sr-Latn-ME"/>
        </w:rPr>
        <w:t>j</w:t>
      </w:r>
      <w:r w:rsidRPr="004C7CDA">
        <w:rPr>
          <w:sz w:val="22"/>
          <w:szCs w:val="22"/>
          <w:lang w:val="sr-Latn-ME"/>
        </w:rPr>
        <w:t>ešivanje diureze u prevenciji i/i</w:t>
      </w:r>
      <w:r w:rsidR="008B3ED5" w:rsidRPr="004C7CDA">
        <w:rPr>
          <w:sz w:val="22"/>
          <w:szCs w:val="22"/>
          <w:lang w:val="sr-Latn-ME"/>
        </w:rPr>
        <w:t>l</w:t>
      </w:r>
      <w:r w:rsidRPr="004C7CDA">
        <w:rPr>
          <w:sz w:val="22"/>
          <w:szCs w:val="22"/>
          <w:lang w:val="sr-Latn-ME"/>
        </w:rPr>
        <w:t xml:space="preserve">i </w:t>
      </w:r>
      <w:r w:rsidR="008B3ED5" w:rsidRPr="004C7CDA">
        <w:rPr>
          <w:sz w:val="22"/>
          <w:szCs w:val="22"/>
          <w:lang w:val="sr-Latn-ME"/>
        </w:rPr>
        <w:t>l</w:t>
      </w:r>
      <w:r w:rsidRPr="004C7CDA">
        <w:rPr>
          <w:sz w:val="22"/>
          <w:szCs w:val="22"/>
          <w:lang w:val="sr-Latn-ME"/>
        </w:rPr>
        <w:t>iječenju o</w:t>
      </w:r>
      <w:r w:rsidR="008B3ED5" w:rsidRPr="004C7CDA">
        <w:rPr>
          <w:sz w:val="22"/>
          <w:szCs w:val="22"/>
          <w:lang w:val="sr-Latn-ME"/>
        </w:rPr>
        <w:t>l</w:t>
      </w:r>
      <w:r w:rsidRPr="004C7CDA">
        <w:rPr>
          <w:sz w:val="22"/>
          <w:szCs w:val="22"/>
          <w:lang w:val="sr-Latn-ME"/>
        </w:rPr>
        <w:t>igurične faze akutne insuficijencije bubrega prije nego što nastupi ireverzibi</w:t>
      </w:r>
      <w:r w:rsidR="008B3ED5" w:rsidRPr="004C7CDA">
        <w:rPr>
          <w:sz w:val="22"/>
          <w:szCs w:val="22"/>
          <w:lang w:val="sr-Latn-ME"/>
        </w:rPr>
        <w:t>l</w:t>
      </w:r>
      <w:r w:rsidRPr="004C7CDA">
        <w:rPr>
          <w:sz w:val="22"/>
          <w:szCs w:val="22"/>
          <w:lang w:val="sr-Latn-ME"/>
        </w:rPr>
        <w:t>na insuficijencija bubrega.</w:t>
      </w:r>
    </w:p>
    <w:p w14:paraId="74E8D824" w14:textId="38B21DC2" w:rsidR="00F81BC6" w:rsidRPr="004C7CDA" w:rsidRDefault="00F81BC6" w:rsidP="004C7CDA">
      <w:pPr>
        <w:pStyle w:val="BodyText3"/>
        <w:widowControl w:val="0"/>
        <w:numPr>
          <w:ilvl w:val="0"/>
          <w:numId w:val="19"/>
        </w:numPr>
        <w:tabs>
          <w:tab w:val="left" w:pos="709"/>
        </w:tabs>
        <w:spacing w:after="0"/>
        <w:jc w:val="both"/>
        <w:rPr>
          <w:sz w:val="22"/>
          <w:szCs w:val="22"/>
          <w:lang w:val="sr-Latn-ME"/>
        </w:rPr>
      </w:pPr>
      <w:r w:rsidRPr="004C7CDA">
        <w:rPr>
          <w:sz w:val="22"/>
          <w:szCs w:val="22"/>
          <w:lang w:val="sr-Latn-ME"/>
        </w:rPr>
        <w:t>Snižavanje povišenog intrakranija</w:t>
      </w:r>
      <w:r w:rsidR="008B3ED5" w:rsidRPr="004C7CDA">
        <w:rPr>
          <w:sz w:val="22"/>
          <w:szCs w:val="22"/>
          <w:lang w:val="sr-Latn-ME"/>
        </w:rPr>
        <w:t>l</w:t>
      </w:r>
      <w:r w:rsidRPr="004C7CDA">
        <w:rPr>
          <w:sz w:val="22"/>
          <w:szCs w:val="22"/>
          <w:lang w:val="sr-Latn-ME"/>
        </w:rPr>
        <w:t>nog pritiska i terapija cerebra</w:t>
      </w:r>
      <w:r w:rsidR="008B3ED5" w:rsidRPr="004C7CDA">
        <w:rPr>
          <w:sz w:val="22"/>
          <w:szCs w:val="22"/>
          <w:lang w:val="sr-Latn-ME"/>
        </w:rPr>
        <w:t>l</w:t>
      </w:r>
      <w:r w:rsidRPr="004C7CDA">
        <w:rPr>
          <w:sz w:val="22"/>
          <w:szCs w:val="22"/>
          <w:lang w:val="sr-Latn-ME"/>
        </w:rPr>
        <w:t>nog edema, uko</w:t>
      </w:r>
      <w:r w:rsidR="008B3ED5" w:rsidRPr="004C7CDA">
        <w:rPr>
          <w:sz w:val="22"/>
          <w:szCs w:val="22"/>
          <w:lang w:val="sr-Latn-ME"/>
        </w:rPr>
        <w:t>l</w:t>
      </w:r>
      <w:r w:rsidRPr="004C7CDA">
        <w:rPr>
          <w:sz w:val="22"/>
          <w:szCs w:val="22"/>
          <w:lang w:val="sr-Latn-ME"/>
        </w:rPr>
        <w:t>iko je krvno-moždana barijera intaktna.</w:t>
      </w:r>
    </w:p>
    <w:p w14:paraId="23B8D93D" w14:textId="5994AAF9" w:rsidR="00F81BC6" w:rsidRPr="004C7CDA" w:rsidRDefault="00F81BC6" w:rsidP="004C7CDA">
      <w:pPr>
        <w:widowControl w:val="0"/>
        <w:numPr>
          <w:ilvl w:val="0"/>
          <w:numId w:val="19"/>
        </w:numPr>
        <w:tabs>
          <w:tab w:val="clear" w:pos="284"/>
          <w:tab w:val="left" w:pos="709"/>
        </w:tabs>
        <w:rPr>
          <w:b/>
          <w:szCs w:val="22"/>
          <w:u w:val="single"/>
          <w:lang w:val="sr-Latn-ME"/>
        </w:rPr>
      </w:pPr>
      <w:r w:rsidRPr="004C7CDA">
        <w:rPr>
          <w:szCs w:val="22"/>
          <w:lang w:val="sr-Latn-ME"/>
        </w:rPr>
        <w:t>Snižavanje povišenog intraoku</w:t>
      </w:r>
      <w:r w:rsidR="008B3ED5" w:rsidRPr="004C7CDA">
        <w:rPr>
          <w:szCs w:val="22"/>
          <w:lang w:val="sr-Latn-ME"/>
        </w:rPr>
        <w:t>l</w:t>
      </w:r>
      <w:r w:rsidRPr="004C7CDA">
        <w:rPr>
          <w:szCs w:val="22"/>
          <w:lang w:val="sr-Latn-ME"/>
        </w:rPr>
        <w:t>arnog pritiska koji se ne može sniziti na drugi način.</w:t>
      </w:r>
    </w:p>
    <w:p w14:paraId="228EF816" w14:textId="312D8B76" w:rsidR="0084482E" w:rsidRPr="004C7CDA" w:rsidRDefault="0084482E" w:rsidP="004C7CDA">
      <w:pPr>
        <w:widowControl w:val="0"/>
        <w:numPr>
          <w:ilvl w:val="0"/>
          <w:numId w:val="19"/>
        </w:numPr>
        <w:tabs>
          <w:tab w:val="clear" w:pos="284"/>
          <w:tab w:val="left" w:pos="709"/>
          <w:tab w:val="left" w:pos="1080"/>
        </w:tabs>
        <w:rPr>
          <w:b/>
          <w:szCs w:val="22"/>
          <w:u w:val="single"/>
          <w:lang w:val="sr-Latn-ME"/>
        </w:rPr>
      </w:pPr>
      <w:r w:rsidRPr="004C7CDA">
        <w:rPr>
          <w:szCs w:val="22"/>
          <w:lang w:val="sr-Latn-ME"/>
        </w:rPr>
        <w:t>Posp</w:t>
      </w:r>
      <w:r w:rsidR="003D154D" w:rsidRPr="004C7CDA">
        <w:rPr>
          <w:szCs w:val="22"/>
          <w:lang w:val="sr-Latn-ME"/>
        </w:rPr>
        <w:t>j</w:t>
      </w:r>
      <w:r w:rsidRPr="004C7CDA">
        <w:rPr>
          <w:szCs w:val="22"/>
          <w:lang w:val="sr-Latn-ME"/>
        </w:rPr>
        <w:t>ešivanje e</w:t>
      </w:r>
      <w:r w:rsidR="008B3ED5" w:rsidRPr="004C7CDA">
        <w:rPr>
          <w:szCs w:val="22"/>
          <w:lang w:val="sr-Latn-ME"/>
        </w:rPr>
        <w:t>l</w:t>
      </w:r>
      <w:r w:rsidRPr="004C7CDA">
        <w:rPr>
          <w:szCs w:val="22"/>
          <w:lang w:val="sr-Latn-ME"/>
        </w:rPr>
        <w:t>iminacije toksičnih supstanci (koje se iz</w:t>
      </w:r>
      <w:r w:rsidR="008B3ED5" w:rsidRPr="004C7CDA">
        <w:rPr>
          <w:szCs w:val="22"/>
          <w:lang w:val="sr-Latn-ME"/>
        </w:rPr>
        <w:t>l</w:t>
      </w:r>
      <w:r w:rsidRPr="004C7CDA">
        <w:rPr>
          <w:szCs w:val="22"/>
          <w:lang w:val="sr-Latn-ME"/>
        </w:rPr>
        <w:t>učuju preko bubrega) kod trovanja.</w:t>
      </w:r>
    </w:p>
    <w:p w14:paraId="32DC8C93" w14:textId="77777777" w:rsidR="00CE09F3" w:rsidRPr="004C7CDA" w:rsidRDefault="00CE09F3" w:rsidP="004C7CDA">
      <w:pPr>
        <w:widowControl w:val="0"/>
        <w:rPr>
          <w:szCs w:val="22"/>
          <w:lang w:val="sr-Latn-ME"/>
        </w:rPr>
      </w:pPr>
    </w:p>
    <w:p w14:paraId="5209AB8F" w14:textId="1916A6DF" w:rsidR="00CE09F3" w:rsidRPr="004C7CDA" w:rsidRDefault="00CE09F3" w:rsidP="004C7CDA">
      <w:pPr>
        <w:widowControl w:val="0"/>
        <w:rPr>
          <w:b/>
          <w:bCs/>
          <w:szCs w:val="22"/>
          <w:lang w:val="sr-Latn-ME"/>
        </w:rPr>
      </w:pPr>
      <w:r w:rsidRPr="004C7CDA">
        <w:rPr>
          <w:b/>
          <w:bCs/>
          <w:szCs w:val="22"/>
          <w:lang w:val="sr-Latn-ME"/>
        </w:rPr>
        <w:t>4.2. Doziranje i način prim</w:t>
      </w:r>
      <w:r w:rsidR="003F7227" w:rsidRPr="004C7CDA">
        <w:rPr>
          <w:b/>
          <w:bCs/>
          <w:szCs w:val="22"/>
          <w:lang w:val="sr-Latn-ME"/>
        </w:rPr>
        <w:t>j</w:t>
      </w:r>
      <w:r w:rsidRPr="004C7CDA">
        <w:rPr>
          <w:b/>
          <w:bCs/>
          <w:szCs w:val="22"/>
          <w:lang w:val="sr-Latn-ME"/>
        </w:rPr>
        <w:t>ene</w:t>
      </w:r>
    </w:p>
    <w:p w14:paraId="580763B7" w14:textId="77777777" w:rsidR="00CE09F3" w:rsidRPr="004C7CDA" w:rsidRDefault="00CE09F3" w:rsidP="004C7CDA">
      <w:pPr>
        <w:widowControl w:val="0"/>
        <w:rPr>
          <w:szCs w:val="22"/>
          <w:lang w:val="sr-Latn-ME"/>
        </w:rPr>
      </w:pPr>
    </w:p>
    <w:p w14:paraId="2E894A5C" w14:textId="77777777" w:rsidR="00A80A83" w:rsidRPr="004C7CDA" w:rsidRDefault="00A80A83" w:rsidP="004C7CDA">
      <w:pPr>
        <w:widowControl w:val="0"/>
        <w:tabs>
          <w:tab w:val="left" w:pos="1080"/>
        </w:tabs>
        <w:rPr>
          <w:bCs/>
          <w:szCs w:val="22"/>
          <w:u w:val="single"/>
          <w:lang w:val="sr-Latn-ME"/>
        </w:rPr>
      </w:pPr>
      <w:r w:rsidRPr="004C7CDA">
        <w:rPr>
          <w:bCs/>
          <w:szCs w:val="22"/>
          <w:u w:val="single"/>
          <w:lang w:val="sr-Latn-ME"/>
        </w:rPr>
        <w:t>Doziranje</w:t>
      </w:r>
    </w:p>
    <w:p w14:paraId="7B92FAD3" w14:textId="77777777" w:rsidR="007F525F" w:rsidRPr="004C7CDA" w:rsidRDefault="007F525F" w:rsidP="004C7CDA">
      <w:pPr>
        <w:widowControl w:val="0"/>
        <w:tabs>
          <w:tab w:val="left" w:pos="1080"/>
        </w:tabs>
        <w:rPr>
          <w:szCs w:val="22"/>
          <w:lang w:val="sr-Latn-ME"/>
        </w:rPr>
      </w:pPr>
    </w:p>
    <w:p w14:paraId="3C9D4BDE" w14:textId="50C047E5" w:rsidR="00352F43" w:rsidRPr="004C7CDA" w:rsidRDefault="00352F43" w:rsidP="004C7CDA">
      <w:pPr>
        <w:widowControl w:val="0"/>
        <w:tabs>
          <w:tab w:val="left" w:pos="1080"/>
        </w:tabs>
        <w:rPr>
          <w:szCs w:val="22"/>
          <w:lang w:val="sr-Latn-ME"/>
        </w:rPr>
      </w:pPr>
      <w:r w:rsidRPr="004C7CDA">
        <w:rPr>
          <w:szCs w:val="22"/>
          <w:lang w:val="sr-Latn-ME"/>
        </w:rPr>
        <w:t>Izbor određene koncentracije manito</w:t>
      </w:r>
      <w:r w:rsidR="008B3ED5" w:rsidRPr="004C7CDA">
        <w:rPr>
          <w:szCs w:val="22"/>
          <w:lang w:val="sr-Latn-ME"/>
        </w:rPr>
        <w:t>l</w:t>
      </w:r>
      <w:r w:rsidRPr="004C7CDA">
        <w:rPr>
          <w:szCs w:val="22"/>
          <w:lang w:val="sr-Latn-ME"/>
        </w:rPr>
        <w:t>a, doziranja i brzine prim</w:t>
      </w:r>
      <w:r w:rsidR="00AF43C3" w:rsidRPr="004C7CDA">
        <w:rPr>
          <w:szCs w:val="22"/>
          <w:lang w:val="sr-Latn-ME"/>
        </w:rPr>
        <w:t>j</w:t>
      </w:r>
      <w:r w:rsidRPr="004C7CDA">
        <w:rPr>
          <w:szCs w:val="22"/>
          <w:lang w:val="sr-Latn-ME"/>
        </w:rPr>
        <w:t>ene, zavise od uzrasta, t</w:t>
      </w:r>
      <w:r w:rsidR="00AF43C3" w:rsidRPr="004C7CDA">
        <w:rPr>
          <w:szCs w:val="22"/>
          <w:lang w:val="sr-Latn-ME"/>
        </w:rPr>
        <w:t>j</w:t>
      </w:r>
      <w:r w:rsidRPr="004C7CDA">
        <w:rPr>
          <w:szCs w:val="22"/>
          <w:lang w:val="sr-Latn-ME"/>
        </w:rPr>
        <w:t>e</w:t>
      </w:r>
      <w:r w:rsidR="008B3ED5" w:rsidRPr="004C7CDA">
        <w:rPr>
          <w:szCs w:val="22"/>
          <w:lang w:val="sr-Latn-ME"/>
        </w:rPr>
        <w:t>l</w:t>
      </w:r>
      <w:r w:rsidRPr="004C7CDA">
        <w:rPr>
          <w:szCs w:val="22"/>
          <w:lang w:val="sr-Latn-ME"/>
        </w:rPr>
        <w:t>esne mase, k</w:t>
      </w:r>
      <w:r w:rsidR="008B3ED5" w:rsidRPr="004C7CDA">
        <w:rPr>
          <w:szCs w:val="22"/>
          <w:lang w:val="sr-Latn-ME"/>
        </w:rPr>
        <w:t>l</w:t>
      </w:r>
      <w:r w:rsidRPr="004C7CDA">
        <w:rPr>
          <w:szCs w:val="22"/>
          <w:lang w:val="sr-Latn-ME"/>
        </w:rPr>
        <w:t>iničkog i bio</w:t>
      </w:r>
      <w:r w:rsidR="008B3ED5" w:rsidRPr="004C7CDA">
        <w:rPr>
          <w:szCs w:val="22"/>
          <w:lang w:val="sr-Latn-ME"/>
        </w:rPr>
        <w:t>l</w:t>
      </w:r>
      <w:r w:rsidRPr="004C7CDA">
        <w:rPr>
          <w:szCs w:val="22"/>
          <w:lang w:val="sr-Latn-ME"/>
        </w:rPr>
        <w:t>oškog stanja pacijenta, kao i od istovremeno prim</w:t>
      </w:r>
      <w:r w:rsidR="003D154D" w:rsidRPr="004C7CDA">
        <w:rPr>
          <w:szCs w:val="22"/>
          <w:lang w:val="sr-Latn-ME"/>
        </w:rPr>
        <w:t>i</w:t>
      </w:r>
      <w:r w:rsidR="002545DB" w:rsidRPr="004C7CDA">
        <w:rPr>
          <w:szCs w:val="22"/>
          <w:lang w:val="sr-Latn-ME"/>
        </w:rPr>
        <w:t>j</w:t>
      </w:r>
      <w:r w:rsidRPr="004C7CDA">
        <w:rPr>
          <w:szCs w:val="22"/>
          <w:lang w:val="sr-Latn-ME"/>
        </w:rPr>
        <w:t>enjene terapije.</w:t>
      </w:r>
    </w:p>
    <w:p w14:paraId="7974546B" w14:textId="77777777" w:rsidR="00352F43" w:rsidRPr="004C7CDA" w:rsidRDefault="00352F43" w:rsidP="004C7CDA">
      <w:pPr>
        <w:widowControl w:val="0"/>
        <w:tabs>
          <w:tab w:val="left" w:pos="1080"/>
        </w:tabs>
        <w:rPr>
          <w:b/>
          <w:i/>
          <w:szCs w:val="22"/>
          <w:lang w:val="sr-Latn-ME"/>
        </w:rPr>
      </w:pPr>
    </w:p>
    <w:p w14:paraId="7ED785BA" w14:textId="13A38B2D" w:rsidR="00352F43" w:rsidRPr="004C7CDA" w:rsidRDefault="00352F43" w:rsidP="004C7CDA">
      <w:pPr>
        <w:widowControl w:val="0"/>
        <w:tabs>
          <w:tab w:val="left" w:pos="1080"/>
        </w:tabs>
        <w:rPr>
          <w:b/>
          <w:iCs/>
          <w:szCs w:val="22"/>
          <w:lang w:val="sr-Latn-ME"/>
        </w:rPr>
      </w:pPr>
      <w:r w:rsidRPr="004C7CDA">
        <w:rPr>
          <w:b/>
          <w:iCs/>
          <w:szCs w:val="22"/>
          <w:lang w:val="sr-Latn-ME"/>
        </w:rPr>
        <w:t>Odras</w:t>
      </w:r>
      <w:r w:rsidR="008B3ED5" w:rsidRPr="004C7CDA">
        <w:rPr>
          <w:b/>
          <w:iCs/>
          <w:szCs w:val="22"/>
          <w:lang w:val="sr-Latn-ME"/>
        </w:rPr>
        <w:t>l</w:t>
      </w:r>
      <w:r w:rsidRPr="004C7CDA">
        <w:rPr>
          <w:b/>
          <w:iCs/>
          <w:szCs w:val="22"/>
          <w:lang w:val="sr-Latn-ME"/>
        </w:rPr>
        <w:t>i i ado</w:t>
      </w:r>
      <w:r w:rsidR="008B3ED5" w:rsidRPr="004C7CDA">
        <w:rPr>
          <w:b/>
          <w:iCs/>
          <w:szCs w:val="22"/>
          <w:lang w:val="sr-Latn-ME"/>
        </w:rPr>
        <w:t>l</w:t>
      </w:r>
      <w:r w:rsidRPr="004C7CDA">
        <w:rPr>
          <w:b/>
          <w:iCs/>
          <w:szCs w:val="22"/>
          <w:lang w:val="sr-Latn-ME"/>
        </w:rPr>
        <w:t>escenti</w:t>
      </w:r>
    </w:p>
    <w:p w14:paraId="7974AE73" w14:textId="77777777" w:rsidR="00352F43" w:rsidRPr="004C7CDA" w:rsidRDefault="00352F43" w:rsidP="004C7CDA">
      <w:pPr>
        <w:widowControl w:val="0"/>
        <w:tabs>
          <w:tab w:val="left" w:pos="1080"/>
        </w:tabs>
        <w:rPr>
          <w:bCs/>
          <w:i/>
          <w:iCs/>
          <w:szCs w:val="22"/>
          <w:lang w:val="sr-Latn-ME"/>
        </w:rPr>
      </w:pPr>
      <w:r w:rsidRPr="004C7CDA">
        <w:rPr>
          <w:bCs/>
          <w:i/>
          <w:iCs/>
          <w:szCs w:val="22"/>
          <w:lang w:val="sr-Latn-ME"/>
        </w:rPr>
        <w:t>Akutna insuficijencija bubrega</w:t>
      </w:r>
    </w:p>
    <w:p w14:paraId="43F16824" w14:textId="1538F661" w:rsidR="00352F43" w:rsidRPr="004C7CDA" w:rsidRDefault="00352F43" w:rsidP="004C7CDA">
      <w:pPr>
        <w:widowControl w:val="0"/>
        <w:tabs>
          <w:tab w:val="left" w:pos="1080"/>
        </w:tabs>
        <w:rPr>
          <w:szCs w:val="22"/>
          <w:lang w:val="sr-Latn-ME"/>
        </w:rPr>
      </w:pPr>
      <w:r w:rsidRPr="004C7CDA">
        <w:rPr>
          <w:szCs w:val="22"/>
          <w:lang w:val="sr-Latn-ME"/>
        </w:rPr>
        <w:t>Uobičajeni raspon doza iznosi 50 do 200 g manito</w:t>
      </w:r>
      <w:r w:rsidR="008B3ED5" w:rsidRPr="004C7CDA">
        <w:rPr>
          <w:szCs w:val="22"/>
          <w:lang w:val="sr-Latn-ME"/>
        </w:rPr>
        <w:t>l</w:t>
      </w:r>
      <w:r w:rsidRPr="004C7CDA">
        <w:rPr>
          <w:szCs w:val="22"/>
          <w:lang w:val="sr-Latn-ME"/>
        </w:rPr>
        <w:t xml:space="preserve">a tokom 24 sata (250 do 1000 </w:t>
      </w:r>
      <w:r w:rsidR="008B3ED5" w:rsidRPr="004C7CDA">
        <w:rPr>
          <w:szCs w:val="22"/>
          <w:lang w:val="sr-Latn-ME"/>
        </w:rPr>
        <w:t>ml</w:t>
      </w:r>
      <w:r w:rsidRPr="004C7CDA">
        <w:rPr>
          <w:szCs w:val="22"/>
          <w:lang w:val="sr-Latn-ME"/>
        </w:rPr>
        <w:t>/dan), sa ograničenjem pojedinačne doze na maksima</w:t>
      </w:r>
      <w:r w:rsidR="008B3ED5" w:rsidRPr="004C7CDA">
        <w:rPr>
          <w:szCs w:val="22"/>
          <w:lang w:val="sr-Latn-ME"/>
        </w:rPr>
        <w:t>l</w:t>
      </w:r>
      <w:r w:rsidRPr="004C7CDA">
        <w:rPr>
          <w:szCs w:val="22"/>
          <w:lang w:val="sr-Latn-ME"/>
        </w:rPr>
        <w:t>no 50 g manito</w:t>
      </w:r>
      <w:r w:rsidR="008B3ED5" w:rsidRPr="004C7CDA">
        <w:rPr>
          <w:szCs w:val="22"/>
          <w:lang w:val="sr-Latn-ME"/>
        </w:rPr>
        <w:t>l</w:t>
      </w:r>
      <w:r w:rsidRPr="004C7CDA">
        <w:rPr>
          <w:szCs w:val="22"/>
          <w:lang w:val="sr-Latn-ME"/>
        </w:rPr>
        <w:t xml:space="preserve">a (250 </w:t>
      </w:r>
      <w:r w:rsidR="008B3ED5" w:rsidRPr="004C7CDA">
        <w:rPr>
          <w:szCs w:val="22"/>
          <w:lang w:val="sr-Latn-ME"/>
        </w:rPr>
        <w:t>ml</w:t>
      </w:r>
      <w:r w:rsidRPr="004C7CDA">
        <w:rPr>
          <w:szCs w:val="22"/>
          <w:lang w:val="sr-Latn-ME"/>
        </w:rPr>
        <w:t>). U većini s</w:t>
      </w:r>
      <w:r w:rsidR="008B3ED5" w:rsidRPr="004C7CDA">
        <w:rPr>
          <w:szCs w:val="22"/>
          <w:lang w:val="sr-Latn-ME"/>
        </w:rPr>
        <w:t>l</w:t>
      </w:r>
      <w:r w:rsidRPr="004C7CDA">
        <w:rPr>
          <w:szCs w:val="22"/>
          <w:lang w:val="sr-Latn-ME"/>
        </w:rPr>
        <w:t>učajeva odgovarajući terapijski odgovor postiže se dozom od 50 – 100 g manito</w:t>
      </w:r>
      <w:r w:rsidR="008B3ED5" w:rsidRPr="004C7CDA">
        <w:rPr>
          <w:szCs w:val="22"/>
          <w:lang w:val="sr-Latn-ME"/>
        </w:rPr>
        <w:t>l</w:t>
      </w:r>
      <w:r w:rsidRPr="004C7CDA">
        <w:rPr>
          <w:szCs w:val="22"/>
          <w:lang w:val="sr-Latn-ME"/>
        </w:rPr>
        <w:t xml:space="preserve">a/dan (250 do 500 </w:t>
      </w:r>
      <w:r w:rsidR="008B3ED5" w:rsidRPr="004C7CDA">
        <w:rPr>
          <w:szCs w:val="22"/>
          <w:lang w:val="sr-Latn-ME"/>
        </w:rPr>
        <w:t>ml</w:t>
      </w:r>
      <w:r w:rsidRPr="004C7CDA">
        <w:rPr>
          <w:szCs w:val="22"/>
          <w:lang w:val="sr-Latn-ME"/>
        </w:rPr>
        <w:t>/dan).</w:t>
      </w:r>
      <w:r w:rsidR="00660A8E" w:rsidRPr="004C7CDA">
        <w:rPr>
          <w:szCs w:val="22"/>
          <w:lang w:val="sr-Latn-ME"/>
        </w:rPr>
        <w:t xml:space="preserve"> </w:t>
      </w:r>
    </w:p>
    <w:p w14:paraId="1F350E56" w14:textId="77777777" w:rsidR="00352F43" w:rsidRPr="004C7CDA" w:rsidRDefault="00352F43" w:rsidP="004C7CDA">
      <w:pPr>
        <w:widowControl w:val="0"/>
        <w:tabs>
          <w:tab w:val="left" w:pos="1080"/>
        </w:tabs>
        <w:rPr>
          <w:szCs w:val="22"/>
          <w:lang w:val="sr-Latn-ME"/>
        </w:rPr>
      </w:pPr>
    </w:p>
    <w:p w14:paraId="31FFE57F" w14:textId="68DF7844" w:rsidR="00AF557F" w:rsidRPr="004C7CDA" w:rsidRDefault="00352F43" w:rsidP="004C7CDA">
      <w:pPr>
        <w:widowControl w:val="0"/>
        <w:tabs>
          <w:tab w:val="left" w:pos="1080"/>
        </w:tabs>
        <w:rPr>
          <w:szCs w:val="22"/>
          <w:lang w:val="sr-Latn-ME"/>
        </w:rPr>
      </w:pPr>
      <w:r w:rsidRPr="004C7CDA">
        <w:rPr>
          <w:szCs w:val="22"/>
          <w:lang w:val="sr-Latn-ME"/>
        </w:rPr>
        <w:t>Brzina davanja infuzije se obično pri</w:t>
      </w:r>
      <w:r w:rsidR="008B3ED5" w:rsidRPr="004C7CDA">
        <w:rPr>
          <w:szCs w:val="22"/>
          <w:lang w:val="sr-Latn-ME"/>
        </w:rPr>
        <w:t>l</w:t>
      </w:r>
      <w:r w:rsidRPr="004C7CDA">
        <w:rPr>
          <w:szCs w:val="22"/>
          <w:lang w:val="sr-Latn-ME"/>
        </w:rPr>
        <w:t xml:space="preserve">agođava tako da se održi protok urina od najmanje 30 – 50 </w:t>
      </w:r>
      <w:r w:rsidR="008B3ED5" w:rsidRPr="004C7CDA">
        <w:rPr>
          <w:szCs w:val="22"/>
          <w:lang w:val="sr-Latn-ME"/>
        </w:rPr>
        <w:t>ml</w:t>
      </w:r>
      <w:r w:rsidRPr="004C7CDA">
        <w:rPr>
          <w:szCs w:val="22"/>
          <w:lang w:val="sr-Latn-ME"/>
        </w:rPr>
        <w:t>/sat.</w:t>
      </w:r>
      <w:r w:rsidR="00660A8E" w:rsidRPr="004C7CDA">
        <w:rPr>
          <w:szCs w:val="22"/>
          <w:lang w:val="sr-Latn-ME"/>
        </w:rPr>
        <w:t xml:space="preserve"> </w:t>
      </w:r>
    </w:p>
    <w:p w14:paraId="5DD1FA43" w14:textId="3C8B1DDB" w:rsidR="00352F43" w:rsidRPr="004C7CDA" w:rsidRDefault="00352F43" w:rsidP="004C7CDA">
      <w:pPr>
        <w:widowControl w:val="0"/>
        <w:tabs>
          <w:tab w:val="left" w:pos="1080"/>
        </w:tabs>
        <w:rPr>
          <w:szCs w:val="22"/>
          <w:lang w:val="sr-Latn-ME"/>
        </w:rPr>
      </w:pPr>
      <w:r w:rsidRPr="004C7CDA">
        <w:rPr>
          <w:szCs w:val="22"/>
          <w:lang w:val="sr-Latn-ME"/>
        </w:rPr>
        <w:t>Samo u hitnim situacijama, maksima</w:t>
      </w:r>
      <w:r w:rsidR="008B3ED5" w:rsidRPr="004C7CDA">
        <w:rPr>
          <w:szCs w:val="22"/>
          <w:lang w:val="sr-Latn-ME"/>
        </w:rPr>
        <w:t>l</w:t>
      </w:r>
      <w:r w:rsidRPr="004C7CDA">
        <w:rPr>
          <w:szCs w:val="22"/>
          <w:lang w:val="sr-Latn-ME"/>
        </w:rPr>
        <w:t>na brzina davanja infuzije može da iznosi i 200 mg/kg, datih tokom 5 minuta (vid</w:t>
      </w:r>
      <w:r w:rsidR="009F23E8" w:rsidRPr="004C7CDA">
        <w:rPr>
          <w:szCs w:val="22"/>
          <w:lang w:val="sr-Latn-ME"/>
        </w:rPr>
        <w:t>j</w:t>
      </w:r>
      <w:r w:rsidRPr="004C7CDA">
        <w:rPr>
          <w:szCs w:val="22"/>
          <w:lang w:val="sr-Latn-ME"/>
        </w:rPr>
        <w:t>eti d</w:t>
      </w:r>
      <w:r w:rsidR="009F23E8" w:rsidRPr="004C7CDA">
        <w:rPr>
          <w:szCs w:val="22"/>
          <w:lang w:val="sr-Latn-ME"/>
        </w:rPr>
        <w:t>i</w:t>
      </w:r>
      <w:r w:rsidRPr="004C7CDA">
        <w:rPr>
          <w:szCs w:val="22"/>
          <w:lang w:val="sr-Latn-ME"/>
        </w:rPr>
        <w:t>o o test dozi). Pos</w:t>
      </w:r>
      <w:r w:rsidR="008B3ED5" w:rsidRPr="004C7CDA">
        <w:rPr>
          <w:szCs w:val="22"/>
          <w:lang w:val="sr-Latn-ME"/>
        </w:rPr>
        <w:t>l</w:t>
      </w:r>
      <w:r w:rsidR="003D154D" w:rsidRPr="004C7CDA">
        <w:rPr>
          <w:szCs w:val="22"/>
          <w:lang w:val="sr-Latn-ME"/>
        </w:rPr>
        <w:t>ij</w:t>
      </w:r>
      <w:r w:rsidRPr="004C7CDA">
        <w:rPr>
          <w:szCs w:val="22"/>
          <w:lang w:val="sr-Latn-ME"/>
        </w:rPr>
        <w:t xml:space="preserve">e 5 minuta, brzinu davanja infuzije treba ponovo podesiti tako da se održi protok urina od najmanje 30 – 50 </w:t>
      </w:r>
      <w:r w:rsidR="008B3ED5" w:rsidRPr="004C7CDA">
        <w:rPr>
          <w:szCs w:val="22"/>
          <w:lang w:val="sr-Latn-ME"/>
        </w:rPr>
        <w:t>ml</w:t>
      </w:r>
      <w:r w:rsidRPr="004C7CDA">
        <w:rPr>
          <w:szCs w:val="22"/>
          <w:lang w:val="sr-Latn-ME"/>
        </w:rPr>
        <w:t>/sat, uz maksima</w:t>
      </w:r>
      <w:r w:rsidR="008B3ED5" w:rsidRPr="004C7CDA">
        <w:rPr>
          <w:szCs w:val="22"/>
          <w:lang w:val="sr-Latn-ME"/>
        </w:rPr>
        <w:t>l</w:t>
      </w:r>
      <w:r w:rsidRPr="004C7CDA">
        <w:rPr>
          <w:szCs w:val="22"/>
          <w:lang w:val="sr-Latn-ME"/>
        </w:rPr>
        <w:t>nu dozu od 200 g/24 sata.</w:t>
      </w:r>
      <w:r w:rsidR="00660A8E" w:rsidRPr="004C7CDA">
        <w:rPr>
          <w:szCs w:val="22"/>
          <w:lang w:val="sr-Latn-ME"/>
        </w:rPr>
        <w:t xml:space="preserve"> </w:t>
      </w:r>
    </w:p>
    <w:p w14:paraId="5B7ACB15" w14:textId="77777777" w:rsidR="00352F43" w:rsidRPr="004C7CDA" w:rsidRDefault="00352F43" w:rsidP="004C7CDA">
      <w:pPr>
        <w:widowControl w:val="0"/>
        <w:tabs>
          <w:tab w:val="left" w:pos="1080"/>
        </w:tabs>
        <w:rPr>
          <w:szCs w:val="22"/>
          <w:lang w:val="sr-Latn-ME"/>
        </w:rPr>
      </w:pPr>
    </w:p>
    <w:p w14:paraId="42BCF47C" w14:textId="739E834C" w:rsidR="00352F43" w:rsidRPr="004C7CDA" w:rsidRDefault="00352F43" w:rsidP="004C7CDA">
      <w:pPr>
        <w:widowControl w:val="0"/>
        <w:tabs>
          <w:tab w:val="left" w:pos="1080"/>
        </w:tabs>
        <w:rPr>
          <w:i/>
          <w:iCs/>
          <w:szCs w:val="22"/>
          <w:lang w:val="sr-Latn-ME"/>
        </w:rPr>
      </w:pPr>
      <w:r w:rsidRPr="004C7CDA">
        <w:rPr>
          <w:i/>
          <w:iCs/>
          <w:szCs w:val="22"/>
          <w:lang w:val="sr-Latn-ME"/>
        </w:rPr>
        <w:t>Prim</w:t>
      </w:r>
      <w:r w:rsidR="00B47FD8" w:rsidRPr="004C7CDA">
        <w:rPr>
          <w:i/>
          <w:iCs/>
          <w:szCs w:val="22"/>
          <w:lang w:val="sr-Latn-ME"/>
        </w:rPr>
        <w:t>j</w:t>
      </w:r>
      <w:r w:rsidRPr="004C7CDA">
        <w:rPr>
          <w:i/>
          <w:iCs/>
          <w:szCs w:val="22"/>
          <w:lang w:val="sr-Latn-ME"/>
        </w:rPr>
        <w:t>ena kod pacijenata sa o</w:t>
      </w:r>
      <w:r w:rsidR="008B3ED5" w:rsidRPr="004C7CDA">
        <w:rPr>
          <w:i/>
          <w:iCs/>
          <w:szCs w:val="22"/>
          <w:lang w:val="sr-Latn-ME"/>
        </w:rPr>
        <w:t>l</w:t>
      </w:r>
      <w:r w:rsidRPr="004C7CDA">
        <w:rPr>
          <w:i/>
          <w:iCs/>
          <w:szCs w:val="22"/>
          <w:lang w:val="sr-Latn-ME"/>
        </w:rPr>
        <w:t>igurijom i</w:t>
      </w:r>
      <w:r w:rsidR="008B3ED5" w:rsidRPr="004C7CDA">
        <w:rPr>
          <w:i/>
          <w:iCs/>
          <w:szCs w:val="22"/>
          <w:lang w:val="sr-Latn-ME"/>
        </w:rPr>
        <w:t>l</w:t>
      </w:r>
      <w:r w:rsidRPr="004C7CDA">
        <w:rPr>
          <w:i/>
          <w:iCs/>
          <w:szCs w:val="22"/>
          <w:lang w:val="sr-Latn-ME"/>
        </w:rPr>
        <w:t>i oštećenjem funkcije bubrega</w:t>
      </w:r>
    </w:p>
    <w:p w14:paraId="65FC2312" w14:textId="72BE3C00" w:rsidR="00352F43" w:rsidRPr="004C7CDA" w:rsidRDefault="00352F43" w:rsidP="004C7CDA">
      <w:pPr>
        <w:widowControl w:val="0"/>
        <w:tabs>
          <w:tab w:val="left" w:pos="1080"/>
        </w:tabs>
        <w:rPr>
          <w:szCs w:val="22"/>
          <w:lang w:val="sr-Latn-ME"/>
        </w:rPr>
      </w:pPr>
      <w:r w:rsidRPr="004C7CDA">
        <w:rPr>
          <w:szCs w:val="22"/>
          <w:lang w:val="sr-Latn-ME"/>
        </w:rPr>
        <w:lastRenderedPageBreak/>
        <w:t>Pacijentima sa izraženom o</w:t>
      </w:r>
      <w:r w:rsidR="008B3ED5" w:rsidRPr="004C7CDA">
        <w:rPr>
          <w:szCs w:val="22"/>
          <w:lang w:val="sr-Latn-ME"/>
        </w:rPr>
        <w:t>l</w:t>
      </w:r>
      <w:r w:rsidRPr="004C7CDA">
        <w:rPr>
          <w:szCs w:val="22"/>
          <w:lang w:val="sr-Latn-ME"/>
        </w:rPr>
        <w:t>igurijom, kao i kod onih kod kojih se sumnja na oštećenje funkcije bubrega, prvo treba dati tzv. test dozu od prib</w:t>
      </w:r>
      <w:r w:rsidR="008B3ED5" w:rsidRPr="004C7CDA">
        <w:rPr>
          <w:szCs w:val="22"/>
          <w:lang w:val="sr-Latn-ME"/>
        </w:rPr>
        <w:t>l</w:t>
      </w:r>
      <w:r w:rsidRPr="004C7CDA">
        <w:rPr>
          <w:szCs w:val="22"/>
          <w:lang w:val="sr-Latn-ME"/>
        </w:rPr>
        <w:t>ižno 200 mg manito</w:t>
      </w:r>
      <w:r w:rsidR="008B3ED5" w:rsidRPr="004C7CDA">
        <w:rPr>
          <w:szCs w:val="22"/>
          <w:lang w:val="sr-Latn-ME"/>
        </w:rPr>
        <w:t>l</w:t>
      </w:r>
      <w:r w:rsidRPr="004C7CDA">
        <w:rPr>
          <w:szCs w:val="22"/>
          <w:lang w:val="sr-Latn-ME"/>
        </w:rPr>
        <w:t>a/kg t</w:t>
      </w:r>
      <w:r w:rsidR="003D154D" w:rsidRPr="004C7CDA">
        <w:rPr>
          <w:szCs w:val="22"/>
          <w:lang w:val="sr-Latn-ME"/>
        </w:rPr>
        <w:t>j</w:t>
      </w:r>
      <w:r w:rsidRPr="004C7CDA">
        <w:rPr>
          <w:szCs w:val="22"/>
          <w:lang w:val="sr-Latn-ME"/>
        </w:rPr>
        <w:t>e</w:t>
      </w:r>
      <w:r w:rsidR="008B3ED5" w:rsidRPr="004C7CDA">
        <w:rPr>
          <w:szCs w:val="22"/>
          <w:lang w:val="sr-Latn-ME"/>
        </w:rPr>
        <w:t>l</w:t>
      </w:r>
      <w:r w:rsidRPr="004C7CDA">
        <w:rPr>
          <w:szCs w:val="22"/>
          <w:lang w:val="sr-Latn-ME"/>
        </w:rPr>
        <w:t xml:space="preserve">esne mase (1 </w:t>
      </w:r>
      <w:r w:rsidR="008B3ED5" w:rsidRPr="004C7CDA">
        <w:rPr>
          <w:szCs w:val="22"/>
          <w:lang w:val="sr-Latn-ME"/>
        </w:rPr>
        <w:t>ml</w:t>
      </w:r>
      <w:r w:rsidRPr="004C7CDA">
        <w:rPr>
          <w:szCs w:val="22"/>
          <w:lang w:val="sr-Latn-ME"/>
        </w:rPr>
        <w:t>/kg t</w:t>
      </w:r>
      <w:r w:rsidR="003D154D" w:rsidRPr="004C7CDA">
        <w:rPr>
          <w:szCs w:val="22"/>
          <w:lang w:val="sr-Latn-ME"/>
        </w:rPr>
        <w:t>j</w:t>
      </w:r>
      <w:r w:rsidRPr="004C7CDA">
        <w:rPr>
          <w:szCs w:val="22"/>
          <w:lang w:val="sr-Latn-ME"/>
        </w:rPr>
        <w:t>e</w:t>
      </w:r>
      <w:r w:rsidR="008B3ED5" w:rsidRPr="004C7CDA">
        <w:rPr>
          <w:szCs w:val="22"/>
          <w:lang w:val="sr-Latn-ME"/>
        </w:rPr>
        <w:t>l</w:t>
      </w:r>
      <w:r w:rsidRPr="004C7CDA">
        <w:rPr>
          <w:szCs w:val="22"/>
          <w:lang w:val="sr-Latn-ME"/>
        </w:rPr>
        <w:t>esne mase) tokom 3 do 5 min. Na prim</w:t>
      </w:r>
      <w:r w:rsidR="003D154D" w:rsidRPr="004C7CDA">
        <w:rPr>
          <w:szCs w:val="22"/>
          <w:lang w:val="sr-Latn-ME"/>
        </w:rPr>
        <w:t>j</w:t>
      </w:r>
      <w:r w:rsidRPr="004C7CDA">
        <w:rPr>
          <w:szCs w:val="22"/>
          <w:lang w:val="sr-Latn-ME"/>
        </w:rPr>
        <w:t>er, kod odras</w:t>
      </w:r>
      <w:r w:rsidR="008B3ED5" w:rsidRPr="004C7CDA">
        <w:rPr>
          <w:szCs w:val="22"/>
          <w:lang w:val="sr-Latn-ME"/>
        </w:rPr>
        <w:t>l</w:t>
      </w:r>
      <w:r w:rsidRPr="004C7CDA">
        <w:rPr>
          <w:szCs w:val="22"/>
          <w:lang w:val="sr-Latn-ME"/>
        </w:rPr>
        <w:t>og pacijenta sa t</w:t>
      </w:r>
      <w:r w:rsidR="003D154D" w:rsidRPr="004C7CDA">
        <w:rPr>
          <w:szCs w:val="22"/>
          <w:lang w:val="sr-Latn-ME"/>
        </w:rPr>
        <w:t>j</w:t>
      </w:r>
      <w:r w:rsidRPr="004C7CDA">
        <w:rPr>
          <w:szCs w:val="22"/>
          <w:lang w:val="sr-Latn-ME"/>
        </w:rPr>
        <w:t>e</w:t>
      </w:r>
      <w:r w:rsidR="008B3ED5" w:rsidRPr="004C7CDA">
        <w:rPr>
          <w:szCs w:val="22"/>
          <w:lang w:val="sr-Latn-ME"/>
        </w:rPr>
        <w:t>l</w:t>
      </w:r>
      <w:r w:rsidRPr="004C7CDA">
        <w:rPr>
          <w:szCs w:val="22"/>
          <w:lang w:val="sr-Latn-ME"/>
        </w:rPr>
        <w:t>esnom masom od 70 kg: prib</w:t>
      </w:r>
      <w:r w:rsidR="008B3ED5" w:rsidRPr="004C7CDA">
        <w:rPr>
          <w:szCs w:val="22"/>
          <w:lang w:val="sr-Latn-ME"/>
        </w:rPr>
        <w:t>l</w:t>
      </w:r>
      <w:r w:rsidRPr="004C7CDA">
        <w:rPr>
          <w:szCs w:val="22"/>
          <w:lang w:val="sr-Latn-ME"/>
        </w:rPr>
        <w:t xml:space="preserve">ižno 75 </w:t>
      </w:r>
      <w:r w:rsidR="008B3ED5" w:rsidRPr="004C7CDA">
        <w:rPr>
          <w:szCs w:val="22"/>
          <w:lang w:val="sr-Latn-ME"/>
        </w:rPr>
        <w:t>ml</w:t>
      </w:r>
      <w:r w:rsidRPr="004C7CDA">
        <w:rPr>
          <w:szCs w:val="22"/>
          <w:lang w:val="sr-Latn-ME"/>
        </w:rPr>
        <w:t xml:space="preserve"> 20% rastvora manito</w:t>
      </w:r>
      <w:r w:rsidR="008B3ED5" w:rsidRPr="004C7CDA">
        <w:rPr>
          <w:szCs w:val="22"/>
          <w:lang w:val="sr-Latn-ME"/>
        </w:rPr>
        <w:t>l</w:t>
      </w:r>
      <w:r w:rsidRPr="004C7CDA">
        <w:rPr>
          <w:szCs w:val="22"/>
          <w:lang w:val="sr-Latn-ME"/>
        </w:rPr>
        <w:t xml:space="preserve">a. Smatra se da je terapijski odgovor na test dozu adekvatan ako se najmanje 30 – 50 </w:t>
      </w:r>
      <w:r w:rsidR="008B3ED5" w:rsidRPr="004C7CDA">
        <w:rPr>
          <w:szCs w:val="22"/>
          <w:lang w:val="sr-Latn-ME"/>
        </w:rPr>
        <w:t>ml</w:t>
      </w:r>
      <w:r w:rsidRPr="004C7CDA">
        <w:rPr>
          <w:szCs w:val="22"/>
          <w:lang w:val="sr-Latn-ME"/>
        </w:rPr>
        <w:t>/sat urina ekskretuje tokom 2-3 sata. Uko</w:t>
      </w:r>
      <w:r w:rsidR="008B3ED5" w:rsidRPr="004C7CDA">
        <w:rPr>
          <w:szCs w:val="22"/>
          <w:lang w:val="sr-Latn-ME"/>
        </w:rPr>
        <w:t>l</w:t>
      </w:r>
      <w:r w:rsidRPr="004C7CDA">
        <w:rPr>
          <w:szCs w:val="22"/>
          <w:lang w:val="sr-Latn-ME"/>
        </w:rPr>
        <w:t>iko izostane adekvatan odgovor, može se prim</w:t>
      </w:r>
      <w:r w:rsidR="003D154D" w:rsidRPr="004C7CDA">
        <w:rPr>
          <w:szCs w:val="22"/>
          <w:lang w:val="sr-Latn-ME"/>
        </w:rPr>
        <w:t>i</w:t>
      </w:r>
      <w:r w:rsidR="003C131E" w:rsidRPr="004C7CDA">
        <w:rPr>
          <w:szCs w:val="22"/>
          <w:lang w:val="sr-Latn-ME"/>
        </w:rPr>
        <w:t>j</w:t>
      </w:r>
      <w:r w:rsidRPr="004C7CDA">
        <w:rPr>
          <w:szCs w:val="22"/>
          <w:lang w:val="sr-Latn-ME"/>
        </w:rPr>
        <w:t>eniti naknadna test doza. U s</w:t>
      </w:r>
      <w:r w:rsidR="008B3ED5" w:rsidRPr="004C7CDA">
        <w:rPr>
          <w:szCs w:val="22"/>
          <w:lang w:val="sr-Latn-ME"/>
        </w:rPr>
        <w:t>l</w:t>
      </w:r>
      <w:r w:rsidRPr="004C7CDA">
        <w:rPr>
          <w:szCs w:val="22"/>
          <w:lang w:val="sr-Latn-ME"/>
        </w:rPr>
        <w:t>učaju da ni na drugu test dozu nema adekvatnog odgovora, terapiju manito</w:t>
      </w:r>
      <w:r w:rsidR="008B3ED5" w:rsidRPr="004C7CDA">
        <w:rPr>
          <w:szCs w:val="22"/>
          <w:lang w:val="sr-Latn-ME"/>
        </w:rPr>
        <w:t>l</w:t>
      </w:r>
      <w:r w:rsidRPr="004C7CDA">
        <w:rPr>
          <w:szCs w:val="22"/>
          <w:lang w:val="sr-Latn-ME"/>
        </w:rPr>
        <w:t>om treba prekinuti i ponovo izvršiti proc</w:t>
      </w:r>
      <w:r w:rsidR="003D154D" w:rsidRPr="004C7CDA">
        <w:rPr>
          <w:szCs w:val="22"/>
          <w:lang w:val="sr-Latn-ME"/>
        </w:rPr>
        <w:t>j</w:t>
      </w:r>
      <w:r w:rsidRPr="004C7CDA">
        <w:rPr>
          <w:szCs w:val="22"/>
          <w:lang w:val="sr-Latn-ME"/>
        </w:rPr>
        <w:t>enu stanja pacijenta, jer postoji mogućnost da je insuficijencija bubrega već nastupi</w:t>
      </w:r>
      <w:r w:rsidR="008B3ED5" w:rsidRPr="004C7CDA">
        <w:rPr>
          <w:szCs w:val="22"/>
          <w:lang w:val="sr-Latn-ME"/>
        </w:rPr>
        <w:t>l</w:t>
      </w:r>
      <w:r w:rsidRPr="004C7CDA">
        <w:rPr>
          <w:szCs w:val="22"/>
          <w:lang w:val="sr-Latn-ME"/>
        </w:rPr>
        <w:t>a.</w:t>
      </w:r>
      <w:r w:rsidR="00660A8E" w:rsidRPr="004C7CDA">
        <w:rPr>
          <w:szCs w:val="22"/>
          <w:lang w:val="sr-Latn-ME"/>
        </w:rPr>
        <w:t xml:space="preserve"> </w:t>
      </w:r>
    </w:p>
    <w:p w14:paraId="14DA4435" w14:textId="77777777" w:rsidR="00352F43" w:rsidRPr="004C7CDA" w:rsidRDefault="00352F43" w:rsidP="004C7CDA">
      <w:pPr>
        <w:widowControl w:val="0"/>
        <w:tabs>
          <w:tab w:val="left" w:pos="1080"/>
        </w:tabs>
        <w:rPr>
          <w:szCs w:val="22"/>
          <w:lang w:val="sr-Latn-ME"/>
        </w:rPr>
      </w:pPr>
    </w:p>
    <w:p w14:paraId="40579DD5" w14:textId="00989AFD" w:rsidR="00352F43" w:rsidRPr="004C7CDA" w:rsidRDefault="00352F43" w:rsidP="004C7CDA">
      <w:pPr>
        <w:widowControl w:val="0"/>
        <w:tabs>
          <w:tab w:val="left" w:pos="1080"/>
        </w:tabs>
        <w:rPr>
          <w:bCs/>
          <w:i/>
          <w:iCs/>
          <w:szCs w:val="22"/>
          <w:lang w:val="sr-Latn-ME"/>
        </w:rPr>
      </w:pPr>
      <w:r w:rsidRPr="004C7CDA">
        <w:rPr>
          <w:bCs/>
          <w:i/>
          <w:iCs/>
          <w:szCs w:val="22"/>
          <w:lang w:val="sr-Latn-ME"/>
        </w:rPr>
        <w:t>Snižavanje povišenog intrakranija</w:t>
      </w:r>
      <w:r w:rsidR="008B3ED5" w:rsidRPr="004C7CDA">
        <w:rPr>
          <w:bCs/>
          <w:i/>
          <w:iCs/>
          <w:szCs w:val="22"/>
          <w:lang w:val="sr-Latn-ME"/>
        </w:rPr>
        <w:t>l</w:t>
      </w:r>
      <w:r w:rsidRPr="004C7CDA">
        <w:rPr>
          <w:bCs/>
          <w:i/>
          <w:iCs/>
          <w:szCs w:val="22"/>
          <w:lang w:val="sr-Latn-ME"/>
        </w:rPr>
        <w:t>nog pritiska, cerebra</w:t>
      </w:r>
      <w:r w:rsidR="008B3ED5" w:rsidRPr="004C7CDA">
        <w:rPr>
          <w:bCs/>
          <w:i/>
          <w:iCs/>
          <w:szCs w:val="22"/>
          <w:lang w:val="sr-Latn-ME"/>
        </w:rPr>
        <w:t>l</w:t>
      </w:r>
      <w:r w:rsidRPr="004C7CDA">
        <w:rPr>
          <w:bCs/>
          <w:i/>
          <w:iCs/>
          <w:szCs w:val="22"/>
          <w:lang w:val="sr-Latn-ME"/>
        </w:rPr>
        <w:t>nog vo</w:t>
      </w:r>
      <w:r w:rsidR="008B3ED5" w:rsidRPr="004C7CDA">
        <w:rPr>
          <w:bCs/>
          <w:i/>
          <w:iCs/>
          <w:szCs w:val="22"/>
          <w:lang w:val="sr-Latn-ME"/>
        </w:rPr>
        <w:t>l</w:t>
      </w:r>
      <w:r w:rsidRPr="004C7CDA">
        <w:rPr>
          <w:bCs/>
          <w:i/>
          <w:iCs/>
          <w:szCs w:val="22"/>
          <w:lang w:val="sr-Latn-ME"/>
        </w:rPr>
        <w:t>umena i intraoku</w:t>
      </w:r>
      <w:r w:rsidR="008B3ED5" w:rsidRPr="004C7CDA">
        <w:rPr>
          <w:bCs/>
          <w:i/>
          <w:iCs/>
          <w:szCs w:val="22"/>
          <w:lang w:val="sr-Latn-ME"/>
        </w:rPr>
        <w:t>l</w:t>
      </w:r>
      <w:r w:rsidRPr="004C7CDA">
        <w:rPr>
          <w:bCs/>
          <w:i/>
          <w:iCs/>
          <w:szCs w:val="22"/>
          <w:lang w:val="sr-Latn-ME"/>
        </w:rPr>
        <w:t>arnog pritiska</w:t>
      </w:r>
    </w:p>
    <w:p w14:paraId="7C4EC6B9" w14:textId="1EA35D84" w:rsidR="00352F43" w:rsidRPr="004C7CDA" w:rsidRDefault="00352F43" w:rsidP="004C7CDA">
      <w:pPr>
        <w:widowControl w:val="0"/>
        <w:tabs>
          <w:tab w:val="left" w:pos="1080"/>
        </w:tabs>
        <w:rPr>
          <w:szCs w:val="22"/>
          <w:lang w:val="sr-Latn-ME"/>
        </w:rPr>
      </w:pPr>
      <w:r w:rsidRPr="004C7CDA">
        <w:rPr>
          <w:szCs w:val="22"/>
          <w:lang w:val="sr-Latn-ME"/>
        </w:rPr>
        <w:t>Uobičajena doza je 1,5 do 2 g/kg t</w:t>
      </w:r>
      <w:r w:rsidR="003A2BEA" w:rsidRPr="004C7CDA">
        <w:rPr>
          <w:szCs w:val="22"/>
          <w:lang w:val="sr-Latn-ME"/>
        </w:rPr>
        <w:t>j</w:t>
      </w:r>
      <w:r w:rsidRPr="004C7CDA">
        <w:rPr>
          <w:szCs w:val="22"/>
          <w:lang w:val="sr-Latn-ME"/>
        </w:rPr>
        <w:t>e</w:t>
      </w:r>
      <w:r w:rsidR="008B3ED5" w:rsidRPr="004C7CDA">
        <w:rPr>
          <w:szCs w:val="22"/>
          <w:lang w:val="sr-Latn-ME"/>
        </w:rPr>
        <w:t>l</w:t>
      </w:r>
      <w:r w:rsidRPr="004C7CDA">
        <w:rPr>
          <w:szCs w:val="22"/>
          <w:lang w:val="sr-Latn-ME"/>
        </w:rPr>
        <w:t xml:space="preserve">esne mase (7,5 – 10 </w:t>
      </w:r>
      <w:r w:rsidR="008B3ED5" w:rsidRPr="004C7CDA">
        <w:rPr>
          <w:szCs w:val="22"/>
          <w:lang w:val="sr-Latn-ME"/>
        </w:rPr>
        <w:t>ml</w:t>
      </w:r>
      <w:r w:rsidRPr="004C7CDA">
        <w:rPr>
          <w:szCs w:val="22"/>
          <w:lang w:val="sr-Latn-ME"/>
        </w:rPr>
        <w:t>/kg t</w:t>
      </w:r>
      <w:r w:rsidR="0071694A" w:rsidRPr="004C7CDA">
        <w:rPr>
          <w:szCs w:val="22"/>
          <w:lang w:val="sr-Latn-ME"/>
        </w:rPr>
        <w:t>j</w:t>
      </w:r>
      <w:r w:rsidRPr="004C7CDA">
        <w:rPr>
          <w:szCs w:val="22"/>
          <w:lang w:val="sr-Latn-ME"/>
        </w:rPr>
        <w:t>e</w:t>
      </w:r>
      <w:r w:rsidR="008B3ED5" w:rsidRPr="004C7CDA">
        <w:rPr>
          <w:szCs w:val="22"/>
          <w:lang w:val="sr-Latn-ME"/>
        </w:rPr>
        <w:t>l</w:t>
      </w:r>
      <w:r w:rsidRPr="004C7CDA">
        <w:rPr>
          <w:szCs w:val="22"/>
          <w:lang w:val="sr-Latn-ME"/>
        </w:rPr>
        <w:t>esne mase), u infuziji tokom 30-60 min. Kod preoperativne prim</w:t>
      </w:r>
      <w:r w:rsidR="00EF28C7" w:rsidRPr="004C7CDA">
        <w:rPr>
          <w:szCs w:val="22"/>
          <w:lang w:val="sr-Latn-ME"/>
        </w:rPr>
        <w:t>j</w:t>
      </w:r>
      <w:r w:rsidRPr="004C7CDA">
        <w:rPr>
          <w:szCs w:val="22"/>
          <w:lang w:val="sr-Latn-ME"/>
        </w:rPr>
        <w:t xml:space="preserve">ene, infuziju treba dati 1 do 1,5 sat </w:t>
      </w:r>
      <w:r w:rsidR="00F047EE" w:rsidRPr="004C7CDA">
        <w:rPr>
          <w:szCs w:val="22"/>
          <w:lang w:val="sr-Latn-ME"/>
        </w:rPr>
        <w:t xml:space="preserve">prije </w:t>
      </w:r>
      <w:r w:rsidRPr="004C7CDA">
        <w:rPr>
          <w:szCs w:val="22"/>
          <w:lang w:val="sr-Latn-ME"/>
        </w:rPr>
        <w:t>hirurške intervencije radi postizanja maksima</w:t>
      </w:r>
      <w:r w:rsidR="008B3ED5" w:rsidRPr="004C7CDA">
        <w:rPr>
          <w:szCs w:val="22"/>
          <w:lang w:val="sr-Latn-ME"/>
        </w:rPr>
        <w:t>l</w:t>
      </w:r>
      <w:r w:rsidRPr="004C7CDA">
        <w:rPr>
          <w:szCs w:val="22"/>
          <w:lang w:val="sr-Latn-ME"/>
        </w:rPr>
        <w:t>nog efekta.</w:t>
      </w:r>
    </w:p>
    <w:p w14:paraId="752A98F2" w14:textId="77777777" w:rsidR="00352F43" w:rsidRPr="004C7CDA" w:rsidRDefault="00352F43" w:rsidP="004C7CDA">
      <w:pPr>
        <w:widowControl w:val="0"/>
        <w:tabs>
          <w:tab w:val="left" w:pos="1080"/>
        </w:tabs>
        <w:rPr>
          <w:szCs w:val="22"/>
          <w:lang w:val="sr-Latn-ME"/>
        </w:rPr>
      </w:pPr>
    </w:p>
    <w:p w14:paraId="23316E3C" w14:textId="331533CF" w:rsidR="00352F43" w:rsidRPr="004C7CDA" w:rsidRDefault="00352F43" w:rsidP="004C7CDA">
      <w:pPr>
        <w:widowControl w:val="0"/>
        <w:tabs>
          <w:tab w:val="left" w:pos="1080"/>
        </w:tabs>
        <w:rPr>
          <w:b/>
          <w:szCs w:val="22"/>
          <w:lang w:val="sr-Latn-ME"/>
        </w:rPr>
      </w:pPr>
      <w:r w:rsidRPr="004C7CDA">
        <w:rPr>
          <w:bCs/>
          <w:i/>
          <w:iCs/>
          <w:szCs w:val="22"/>
          <w:lang w:val="sr-Latn-ME"/>
        </w:rPr>
        <w:t>Posp</w:t>
      </w:r>
      <w:r w:rsidR="003D154D" w:rsidRPr="004C7CDA">
        <w:rPr>
          <w:bCs/>
          <w:i/>
          <w:iCs/>
          <w:szCs w:val="22"/>
          <w:lang w:val="sr-Latn-ME"/>
        </w:rPr>
        <w:t>j</w:t>
      </w:r>
      <w:r w:rsidRPr="004C7CDA">
        <w:rPr>
          <w:bCs/>
          <w:i/>
          <w:iCs/>
          <w:szCs w:val="22"/>
          <w:lang w:val="sr-Latn-ME"/>
        </w:rPr>
        <w:t>ešivanje e</w:t>
      </w:r>
      <w:r w:rsidR="008B3ED5" w:rsidRPr="004C7CDA">
        <w:rPr>
          <w:bCs/>
          <w:i/>
          <w:iCs/>
          <w:szCs w:val="22"/>
          <w:lang w:val="sr-Latn-ME"/>
        </w:rPr>
        <w:t>l</w:t>
      </w:r>
      <w:r w:rsidRPr="004C7CDA">
        <w:rPr>
          <w:bCs/>
          <w:i/>
          <w:iCs/>
          <w:szCs w:val="22"/>
          <w:lang w:val="sr-Latn-ME"/>
        </w:rPr>
        <w:t>iminacije toksičnih supstanci (koje se iz</w:t>
      </w:r>
      <w:r w:rsidR="008B3ED5" w:rsidRPr="004C7CDA">
        <w:rPr>
          <w:bCs/>
          <w:i/>
          <w:iCs/>
          <w:szCs w:val="22"/>
          <w:lang w:val="sr-Latn-ME"/>
        </w:rPr>
        <w:t>l</w:t>
      </w:r>
      <w:r w:rsidRPr="004C7CDA">
        <w:rPr>
          <w:bCs/>
          <w:i/>
          <w:iCs/>
          <w:szCs w:val="22"/>
          <w:lang w:val="sr-Latn-ME"/>
        </w:rPr>
        <w:t xml:space="preserve">učuju preko bubrega) kod trovanja </w:t>
      </w:r>
    </w:p>
    <w:p w14:paraId="3A5EC53F" w14:textId="7CD52A92" w:rsidR="00352F43" w:rsidRPr="004C7CDA" w:rsidRDefault="00352F43" w:rsidP="004C7CDA">
      <w:pPr>
        <w:widowControl w:val="0"/>
        <w:tabs>
          <w:tab w:val="left" w:pos="1080"/>
        </w:tabs>
        <w:rPr>
          <w:szCs w:val="22"/>
          <w:lang w:val="sr-Latn-ME"/>
        </w:rPr>
      </w:pPr>
      <w:r w:rsidRPr="004C7CDA">
        <w:rPr>
          <w:szCs w:val="22"/>
          <w:lang w:val="sr-Latn-ME"/>
        </w:rPr>
        <w:t xml:space="preserve">Kod izazivanja forsirane diureze, u okviru dodatne terapije teške intoksikacije </w:t>
      </w:r>
      <w:r w:rsidR="008B3ED5" w:rsidRPr="004C7CDA">
        <w:rPr>
          <w:szCs w:val="22"/>
          <w:lang w:val="sr-Latn-ME"/>
        </w:rPr>
        <w:t>l</w:t>
      </w:r>
      <w:r w:rsidR="009C53DA" w:rsidRPr="004C7CDA">
        <w:rPr>
          <w:szCs w:val="22"/>
          <w:lang w:val="sr-Latn-ME"/>
        </w:rPr>
        <w:t>j</w:t>
      </w:r>
      <w:r w:rsidRPr="004C7CDA">
        <w:rPr>
          <w:szCs w:val="22"/>
          <w:lang w:val="sr-Latn-ME"/>
        </w:rPr>
        <w:t>ekovima, doza manito</w:t>
      </w:r>
      <w:r w:rsidR="008B3ED5" w:rsidRPr="004C7CDA">
        <w:rPr>
          <w:szCs w:val="22"/>
          <w:lang w:val="sr-Latn-ME"/>
        </w:rPr>
        <w:t>l</w:t>
      </w:r>
      <w:r w:rsidRPr="004C7CDA">
        <w:rPr>
          <w:szCs w:val="22"/>
          <w:lang w:val="sr-Latn-ME"/>
        </w:rPr>
        <w:t xml:space="preserve">a treba da bude tako podešena da održava diurezu od najmanje 100 </w:t>
      </w:r>
      <w:r w:rsidR="008B3ED5" w:rsidRPr="004C7CDA">
        <w:rPr>
          <w:szCs w:val="22"/>
          <w:lang w:val="sr-Latn-ME"/>
        </w:rPr>
        <w:t>ml</w:t>
      </w:r>
      <w:r w:rsidRPr="004C7CDA">
        <w:rPr>
          <w:szCs w:val="22"/>
          <w:lang w:val="sr-Latn-ME"/>
        </w:rPr>
        <w:t>/sat kao i pozitivni bi</w:t>
      </w:r>
      <w:r w:rsidR="008B3ED5" w:rsidRPr="004C7CDA">
        <w:rPr>
          <w:szCs w:val="22"/>
          <w:lang w:val="sr-Latn-ME"/>
        </w:rPr>
        <w:t>l</w:t>
      </w:r>
      <w:r w:rsidRPr="004C7CDA">
        <w:rPr>
          <w:szCs w:val="22"/>
          <w:lang w:val="sr-Latn-ME"/>
        </w:rPr>
        <w:t xml:space="preserve">ans tečnosti od 1 – 2 </w:t>
      </w:r>
      <w:r w:rsidR="008B3ED5" w:rsidRPr="004C7CDA">
        <w:rPr>
          <w:szCs w:val="22"/>
          <w:lang w:val="sr-Latn-ME"/>
        </w:rPr>
        <w:t>l</w:t>
      </w:r>
      <w:r w:rsidRPr="004C7CDA">
        <w:rPr>
          <w:szCs w:val="22"/>
          <w:lang w:val="sr-Latn-ME"/>
        </w:rPr>
        <w:t>. Može se dati početna udarna doza od prib</w:t>
      </w:r>
      <w:r w:rsidR="008B3ED5" w:rsidRPr="004C7CDA">
        <w:rPr>
          <w:szCs w:val="22"/>
          <w:lang w:val="sr-Latn-ME"/>
        </w:rPr>
        <w:t>l</w:t>
      </w:r>
      <w:r w:rsidRPr="004C7CDA">
        <w:rPr>
          <w:szCs w:val="22"/>
          <w:lang w:val="sr-Latn-ME"/>
        </w:rPr>
        <w:t>ižno 25 g manito</w:t>
      </w:r>
      <w:r w:rsidR="008B3ED5" w:rsidRPr="004C7CDA">
        <w:rPr>
          <w:szCs w:val="22"/>
          <w:lang w:val="sr-Latn-ME"/>
        </w:rPr>
        <w:t>l</w:t>
      </w:r>
      <w:r w:rsidRPr="004C7CDA">
        <w:rPr>
          <w:szCs w:val="22"/>
          <w:lang w:val="sr-Latn-ME"/>
        </w:rPr>
        <w:t xml:space="preserve">a (125 </w:t>
      </w:r>
      <w:r w:rsidR="008B3ED5" w:rsidRPr="004C7CDA">
        <w:rPr>
          <w:szCs w:val="22"/>
          <w:lang w:val="sr-Latn-ME"/>
        </w:rPr>
        <w:t>ml</w:t>
      </w:r>
      <w:r w:rsidRPr="004C7CDA">
        <w:rPr>
          <w:szCs w:val="22"/>
          <w:lang w:val="sr-Latn-ME"/>
        </w:rPr>
        <w:t>).</w:t>
      </w:r>
    </w:p>
    <w:p w14:paraId="60C1C65F" w14:textId="77777777" w:rsidR="00352F43" w:rsidRPr="004C7CDA" w:rsidRDefault="00352F43" w:rsidP="004C7CDA">
      <w:pPr>
        <w:widowControl w:val="0"/>
        <w:tabs>
          <w:tab w:val="left" w:pos="1080"/>
        </w:tabs>
        <w:rPr>
          <w:szCs w:val="22"/>
          <w:lang w:val="sr-Latn-ME"/>
        </w:rPr>
      </w:pPr>
    </w:p>
    <w:p w14:paraId="3AA48113" w14:textId="7752437A" w:rsidR="00352F43" w:rsidRPr="004C7CDA" w:rsidRDefault="00352F43" w:rsidP="004C7CDA">
      <w:pPr>
        <w:widowControl w:val="0"/>
        <w:tabs>
          <w:tab w:val="left" w:pos="1080"/>
        </w:tabs>
        <w:rPr>
          <w:szCs w:val="22"/>
          <w:lang w:val="sr-Latn-ME"/>
        </w:rPr>
      </w:pPr>
      <w:r w:rsidRPr="004C7CDA">
        <w:rPr>
          <w:b/>
          <w:bCs/>
          <w:iCs/>
          <w:szCs w:val="22"/>
          <w:lang w:val="sr-Latn-ME"/>
        </w:rPr>
        <w:t>Pedijatrijska popu</w:t>
      </w:r>
      <w:r w:rsidR="008B3ED5" w:rsidRPr="004C7CDA">
        <w:rPr>
          <w:b/>
          <w:bCs/>
          <w:iCs/>
          <w:szCs w:val="22"/>
          <w:lang w:val="sr-Latn-ME"/>
        </w:rPr>
        <w:t>l</w:t>
      </w:r>
      <w:r w:rsidRPr="004C7CDA">
        <w:rPr>
          <w:b/>
          <w:bCs/>
          <w:iCs/>
          <w:szCs w:val="22"/>
          <w:lang w:val="sr-Latn-ME"/>
        </w:rPr>
        <w:t>acija</w:t>
      </w:r>
    </w:p>
    <w:p w14:paraId="53F88C72" w14:textId="28278537" w:rsidR="00352F43" w:rsidRPr="004C7CDA" w:rsidRDefault="00352F43" w:rsidP="004C7CDA">
      <w:pPr>
        <w:widowControl w:val="0"/>
        <w:tabs>
          <w:tab w:val="left" w:pos="1080"/>
        </w:tabs>
        <w:rPr>
          <w:szCs w:val="22"/>
          <w:lang w:val="sr-Latn-ME"/>
        </w:rPr>
      </w:pPr>
      <w:r w:rsidRPr="004C7CDA">
        <w:rPr>
          <w:szCs w:val="22"/>
          <w:lang w:val="sr-Latn-ME"/>
        </w:rPr>
        <w:t>Kod insuficijencije bubrega treba dati test dozu od 200 mg manito</w:t>
      </w:r>
      <w:r w:rsidR="008B3ED5" w:rsidRPr="004C7CDA">
        <w:rPr>
          <w:szCs w:val="22"/>
          <w:lang w:val="sr-Latn-ME"/>
        </w:rPr>
        <w:t>l</w:t>
      </w:r>
      <w:r w:rsidRPr="004C7CDA">
        <w:rPr>
          <w:szCs w:val="22"/>
          <w:lang w:val="sr-Latn-ME"/>
        </w:rPr>
        <w:t>a/kg t</w:t>
      </w:r>
      <w:r w:rsidR="003A2BEA" w:rsidRPr="004C7CDA">
        <w:rPr>
          <w:szCs w:val="22"/>
          <w:lang w:val="sr-Latn-ME"/>
        </w:rPr>
        <w:t>j</w:t>
      </w:r>
      <w:r w:rsidRPr="004C7CDA">
        <w:rPr>
          <w:szCs w:val="22"/>
          <w:lang w:val="sr-Latn-ME"/>
        </w:rPr>
        <w:t>e</w:t>
      </w:r>
      <w:r w:rsidR="008B3ED5" w:rsidRPr="004C7CDA">
        <w:rPr>
          <w:szCs w:val="22"/>
          <w:lang w:val="sr-Latn-ME"/>
        </w:rPr>
        <w:t>l</w:t>
      </w:r>
      <w:r w:rsidRPr="004C7CDA">
        <w:rPr>
          <w:szCs w:val="22"/>
          <w:lang w:val="sr-Latn-ME"/>
        </w:rPr>
        <w:t xml:space="preserve">esne mase (1 </w:t>
      </w:r>
      <w:r w:rsidR="008B3ED5" w:rsidRPr="004C7CDA">
        <w:rPr>
          <w:szCs w:val="22"/>
          <w:lang w:val="sr-Latn-ME"/>
        </w:rPr>
        <w:t>ml</w:t>
      </w:r>
      <w:r w:rsidRPr="004C7CDA">
        <w:rPr>
          <w:szCs w:val="22"/>
          <w:lang w:val="sr-Latn-ME"/>
        </w:rPr>
        <w:t>/kg t</w:t>
      </w:r>
      <w:r w:rsidR="003A2BEA" w:rsidRPr="004C7CDA">
        <w:rPr>
          <w:szCs w:val="22"/>
          <w:lang w:val="sr-Latn-ME"/>
        </w:rPr>
        <w:t>j</w:t>
      </w:r>
      <w:r w:rsidRPr="004C7CDA">
        <w:rPr>
          <w:szCs w:val="22"/>
          <w:lang w:val="sr-Latn-ME"/>
        </w:rPr>
        <w:t>e</w:t>
      </w:r>
      <w:r w:rsidR="008B3ED5" w:rsidRPr="004C7CDA">
        <w:rPr>
          <w:szCs w:val="22"/>
          <w:lang w:val="sr-Latn-ME"/>
        </w:rPr>
        <w:t>l</w:t>
      </w:r>
      <w:r w:rsidRPr="004C7CDA">
        <w:rPr>
          <w:szCs w:val="22"/>
          <w:lang w:val="sr-Latn-ME"/>
        </w:rPr>
        <w:t>esne mase) tokom 3 do 5 minuta. Terapijska doza je u rasponu od 0,5 do 1,5 g/kg t</w:t>
      </w:r>
      <w:r w:rsidR="003A2BEA" w:rsidRPr="004C7CDA">
        <w:rPr>
          <w:szCs w:val="22"/>
          <w:lang w:val="sr-Latn-ME"/>
        </w:rPr>
        <w:t>j</w:t>
      </w:r>
      <w:r w:rsidRPr="004C7CDA">
        <w:rPr>
          <w:szCs w:val="22"/>
          <w:lang w:val="sr-Latn-ME"/>
        </w:rPr>
        <w:t>e</w:t>
      </w:r>
      <w:r w:rsidR="008B3ED5" w:rsidRPr="004C7CDA">
        <w:rPr>
          <w:szCs w:val="22"/>
          <w:lang w:val="sr-Latn-ME"/>
        </w:rPr>
        <w:t>l</w:t>
      </w:r>
      <w:r w:rsidRPr="004C7CDA">
        <w:rPr>
          <w:szCs w:val="22"/>
          <w:lang w:val="sr-Latn-ME"/>
        </w:rPr>
        <w:t xml:space="preserve">esne mase (2,5 do 7,5 </w:t>
      </w:r>
      <w:r w:rsidR="008B3ED5" w:rsidRPr="004C7CDA">
        <w:rPr>
          <w:szCs w:val="22"/>
          <w:lang w:val="sr-Latn-ME"/>
        </w:rPr>
        <w:t>ml</w:t>
      </w:r>
      <w:r w:rsidRPr="004C7CDA">
        <w:rPr>
          <w:szCs w:val="22"/>
          <w:lang w:val="sr-Latn-ME"/>
        </w:rPr>
        <w:t>/kg t</w:t>
      </w:r>
      <w:r w:rsidR="003A2BEA" w:rsidRPr="004C7CDA">
        <w:rPr>
          <w:szCs w:val="22"/>
          <w:lang w:val="sr-Latn-ME"/>
        </w:rPr>
        <w:t>j</w:t>
      </w:r>
      <w:r w:rsidRPr="004C7CDA">
        <w:rPr>
          <w:szCs w:val="22"/>
          <w:lang w:val="sr-Latn-ME"/>
        </w:rPr>
        <w:t>e</w:t>
      </w:r>
      <w:r w:rsidR="008B3ED5" w:rsidRPr="004C7CDA">
        <w:rPr>
          <w:szCs w:val="22"/>
          <w:lang w:val="sr-Latn-ME"/>
        </w:rPr>
        <w:t>l</w:t>
      </w:r>
      <w:r w:rsidRPr="004C7CDA">
        <w:rPr>
          <w:szCs w:val="22"/>
          <w:lang w:val="sr-Latn-ME"/>
        </w:rPr>
        <w:t>esne mase). Ova doza se, uko</w:t>
      </w:r>
      <w:r w:rsidR="008B3ED5" w:rsidRPr="004C7CDA">
        <w:rPr>
          <w:szCs w:val="22"/>
          <w:lang w:val="sr-Latn-ME"/>
        </w:rPr>
        <w:t>l</w:t>
      </w:r>
      <w:r w:rsidRPr="004C7CDA">
        <w:rPr>
          <w:szCs w:val="22"/>
          <w:lang w:val="sr-Latn-ME"/>
        </w:rPr>
        <w:t>iko je potrebno, može ponoviti jednom i</w:t>
      </w:r>
      <w:r w:rsidR="008B3ED5" w:rsidRPr="004C7CDA">
        <w:rPr>
          <w:szCs w:val="22"/>
          <w:lang w:val="sr-Latn-ME"/>
        </w:rPr>
        <w:t>l</w:t>
      </w:r>
      <w:r w:rsidRPr="004C7CDA">
        <w:rPr>
          <w:szCs w:val="22"/>
          <w:lang w:val="sr-Latn-ME"/>
        </w:rPr>
        <w:t>i dva puta u interva</w:t>
      </w:r>
      <w:r w:rsidR="008B3ED5" w:rsidRPr="004C7CDA">
        <w:rPr>
          <w:szCs w:val="22"/>
          <w:lang w:val="sr-Latn-ME"/>
        </w:rPr>
        <w:t>l</w:t>
      </w:r>
      <w:r w:rsidRPr="004C7CDA">
        <w:rPr>
          <w:szCs w:val="22"/>
          <w:lang w:val="sr-Latn-ME"/>
        </w:rPr>
        <w:t>u od 4 – 8 sati.</w:t>
      </w:r>
      <w:r w:rsidR="00660A8E" w:rsidRPr="004C7CDA">
        <w:rPr>
          <w:szCs w:val="22"/>
          <w:lang w:val="sr-Latn-ME"/>
        </w:rPr>
        <w:t xml:space="preserve"> </w:t>
      </w:r>
    </w:p>
    <w:p w14:paraId="0130C364" w14:textId="77777777" w:rsidR="00352F43" w:rsidRPr="004C7CDA" w:rsidRDefault="00352F43" w:rsidP="004C7CDA">
      <w:pPr>
        <w:widowControl w:val="0"/>
        <w:tabs>
          <w:tab w:val="left" w:pos="1080"/>
        </w:tabs>
        <w:rPr>
          <w:szCs w:val="22"/>
          <w:lang w:val="sr-Latn-ME"/>
        </w:rPr>
      </w:pPr>
    </w:p>
    <w:p w14:paraId="46C47BDD" w14:textId="722CD5E2" w:rsidR="00352F43" w:rsidRPr="004C7CDA" w:rsidRDefault="00352F43" w:rsidP="004C7CDA">
      <w:pPr>
        <w:widowControl w:val="0"/>
        <w:tabs>
          <w:tab w:val="left" w:pos="1080"/>
        </w:tabs>
        <w:rPr>
          <w:szCs w:val="22"/>
          <w:lang w:val="sr-Latn-ME"/>
        </w:rPr>
      </w:pPr>
      <w:r w:rsidRPr="004C7CDA">
        <w:rPr>
          <w:szCs w:val="22"/>
          <w:lang w:val="sr-Latn-ME"/>
        </w:rPr>
        <w:t>Kod povišenog intrakranija</w:t>
      </w:r>
      <w:r w:rsidR="008B3ED5" w:rsidRPr="004C7CDA">
        <w:rPr>
          <w:szCs w:val="22"/>
          <w:lang w:val="sr-Latn-ME"/>
        </w:rPr>
        <w:t>l</w:t>
      </w:r>
      <w:r w:rsidRPr="004C7CDA">
        <w:rPr>
          <w:szCs w:val="22"/>
          <w:lang w:val="sr-Latn-ME"/>
        </w:rPr>
        <w:t>nog i intraoku</w:t>
      </w:r>
      <w:r w:rsidR="008B3ED5" w:rsidRPr="004C7CDA">
        <w:rPr>
          <w:szCs w:val="22"/>
          <w:lang w:val="sr-Latn-ME"/>
        </w:rPr>
        <w:t>l</w:t>
      </w:r>
      <w:r w:rsidRPr="004C7CDA">
        <w:rPr>
          <w:szCs w:val="22"/>
          <w:lang w:val="sr-Latn-ME"/>
        </w:rPr>
        <w:t>arnog pritiska, ova doza može da se da tokom 30 do 60 minuta, kao kod odras</w:t>
      </w:r>
      <w:r w:rsidR="008B3ED5" w:rsidRPr="004C7CDA">
        <w:rPr>
          <w:szCs w:val="22"/>
          <w:lang w:val="sr-Latn-ME"/>
        </w:rPr>
        <w:t>l</w:t>
      </w:r>
      <w:r w:rsidRPr="004C7CDA">
        <w:rPr>
          <w:szCs w:val="22"/>
          <w:lang w:val="sr-Latn-ME"/>
        </w:rPr>
        <w:t>ih.</w:t>
      </w:r>
    </w:p>
    <w:p w14:paraId="7AD0B163" w14:textId="77777777" w:rsidR="00352F43" w:rsidRPr="004C7CDA" w:rsidRDefault="00352F43" w:rsidP="004C7CDA">
      <w:pPr>
        <w:widowControl w:val="0"/>
        <w:tabs>
          <w:tab w:val="left" w:pos="1080"/>
        </w:tabs>
        <w:rPr>
          <w:szCs w:val="22"/>
          <w:lang w:val="sr-Latn-ME"/>
        </w:rPr>
      </w:pPr>
    </w:p>
    <w:p w14:paraId="2550DC3C" w14:textId="3406E7BE" w:rsidR="00352F43" w:rsidRPr="004C7CDA" w:rsidRDefault="00352F43" w:rsidP="004C7CDA">
      <w:pPr>
        <w:widowControl w:val="0"/>
        <w:tabs>
          <w:tab w:val="left" w:pos="1080"/>
        </w:tabs>
        <w:rPr>
          <w:i/>
          <w:szCs w:val="22"/>
          <w:lang w:val="sr-Latn-ME"/>
        </w:rPr>
      </w:pPr>
      <w:r w:rsidRPr="004C7CDA">
        <w:rPr>
          <w:b/>
          <w:bCs/>
          <w:iCs/>
          <w:szCs w:val="22"/>
          <w:lang w:val="sr-Latn-ME"/>
        </w:rPr>
        <w:t>Stariji pacijenti</w:t>
      </w:r>
    </w:p>
    <w:p w14:paraId="2A1DB447" w14:textId="5269BDF7" w:rsidR="00352F43" w:rsidRPr="004C7CDA" w:rsidRDefault="00352F43" w:rsidP="004C7CDA">
      <w:pPr>
        <w:widowControl w:val="0"/>
        <w:tabs>
          <w:tab w:val="left" w:pos="1080"/>
        </w:tabs>
        <w:rPr>
          <w:szCs w:val="22"/>
          <w:lang w:val="sr-Latn-ME"/>
        </w:rPr>
      </w:pPr>
      <w:r w:rsidRPr="004C7CDA">
        <w:rPr>
          <w:szCs w:val="22"/>
          <w:lang w:val="sr-Latn-ME"/>
        </w:rPr>
        <w:t>Kao i kod odras</w:t>
      </w:r>
      <w:r w:rsidR="008B3ED5" w:rsidRPr="004C7CDA">
        <w:rPr>
          <w:szCs w:val="22"/>
          <w:lang w:val="sr-Latn-ME"/>
        </w:rPr>
        <w:t>l</w:t>
      </w:r>
      <w:r w:rsidRPr="004C7CDA">
        <w:rPr>
          <w:szCs w:val="22"/>
          <w:lang w:val="sr-Latn-ME"/>
        </w:rPr>
        <w:t>ih, doziranje zavisi od t</w:t>
      </w:r>
      <w:r w:rsidR="0096118F" w:rsidRPr="004C7CDA">
        <w:rPr>
          <w:szCs w:val="22"/>
          <w:lang w:val="sr-Latn-ME"/>
        </w:rPr>
        <w:t>j</w:t>
      </w:r>
      <w:r w:rsidRPr="004C7CDA">
        <w:rPr>
          <w:szCs w:val="22"/>
          <w:lang w:val="sr-Latn-ME"/>
        </w:rPr>
        <w:t>e</w:t>
      </w:r>
      <w:r w:rsidR="008B3ED5" w:rsidRPr="004C7CDA">
        <w:rPr>
          <w:szCs w:val="22"/>
          <w:lang w:val="sr-Latn-ME"/>
        </w:rPr>
        <w:t>l</w:t>
      </w:r>
      <w:r w:rsidRPr="004C7CDA">
        <w:rPr>
          <w:szCs w:val="22"/>
          <w:lang w:val="sr-Latn-ME"/>
        </w:rPr>
        <w:t>esne mase, k</w:t>
      </w:r>
      <w:r w:rsidR="008B3ED5" w:rsidRPr="004C7CDA">
        <w:rPr>
          <w:szCs w:val="22"/>
          <w:lang w:val="sr-Latn-ME"/>
        </w:rPr>
        <w:t>l</w:t>
      </w:r>
      <w:r w:rsidRPr="004C7CDA">
        <w:rPr>
          <w:szCs w:val="22"/>
          <w:lang w:val="sr-Latn-ME"/>
        </w:rPr>
        <w:t>iničkog i bio</w:t>
      </w:r>
      <w:r w:rsidR="008B3ED5" w:rsidRPr="004C7CDA">
        <w:rPr>
          <w:szCs w:val="22"/>
          <w:lang w:val="sr-Latn-ME"/>
        </w:rPr>
        <w:t>l</w:t>
      </w:r>
      <w:r w:rsidRPr="004C7CDA">
        <w:rPr>
          <w:szCs w:val="22"/>
          <w:lang w:val="sr-Latn-ME"/>
        </w:rPr>
        <w:t>oškog stanja pacijenta i istovremeno prim</w:t>
      </w:r>
      <w:r w:rsidR="0096118F" w:rsidRPr="004C7CDA">
        <w:rPr>
          <w:szCs w:val="22"/>
          <w:lang w:val="sr-Latn-ME"/>
        </w:rPr>
        <w:t>j</w:t>
      </w:r>
      <w:r w:rsidRPr="004C7CDA">
        <w:rPr>
          <w:szCs w:val="22"/>
          <w:lang w:val="sr-Latn-ME"/>
        </w:rPr>
        <w:t>enjene terapije. Uobičajeni raspon doza je isti kao kod odras</w:t>
      </w:r>
      <w:r w:rsidR="008B3ED5" w:rsidRPr="004C7CDA">
        <w:rPr>
          <w:szCs w:val="22"/>
          <w:lang w:val="sr-Latn-ME"/>
        </w:rPr>
        <w:t>l</w:t>
      </w:r>
      <w:r w:rsidRPr="004C7CDA">
        <w:rPr>
          <w:szCs w:val="22"/>
          <w:lang w:val="sr-Latn-ME"/>
        </w:rPr>
        <w:t>ih i iznosi 50 do 200 g manito</w:t>
      </w:r>
      <w:r w:rsidR="008B3ED5" w:rsidRPr="004C7CDA">
        <w:rPr>
          <w:szCs w:val="22"/>
          <w:lang w:val="sr-Latn-ME"/>
        </w:rPr>
        <w:t>l</w:t>
      </w:r>
      <w:r w:rsidRPr="004C7CDA">
        <w:rPr>
          <w:szCs w:val="22"/>
          <w:lang w:val="sr-Latn-ME"/>
        </w:rPr>
        <w:t xml:space="preserve">a tokom 24 sata (250 do 1000 </w:t>
      </w:r>
      <w:r w:rsidR="008B3ED5" w:rsidRPr="004C7CDA">
        <w:rPr>
          <w:szCs w:val="22"/>
          <w:lang w:val="sr-Latn-ME"/>
        </w:rPr>
        <w:t>ml</w:t>
      </w:r>
      <w:r w:rsidRPr="004C7CDA">
        <w:rPr>
          <w:szCs w:val="22"/>
          <w:lang w:val="sr-Latn-ME"/>
        </w:rPr>
        <w:t>/dan), sa ograničenjem pojedinačne doze na maksima</w:t>
      </w:r>
      <w:r w:rsidR="008B3ED5" w:rsidRPr="004C7CDA">
        <w:rPr>
          <w:szCs w:val="22"/>
          <w:lang w:val="sr-Latn-ME"/>
        </w:rPr>
        <w:t>l</w:t>
      </w:r>
      <w:r w:rsidRPr="004C7CDA">
        <w:rPr>
          <w:szCs w:val="22"/>
          <w:lang w:val="sr-Latn-ME"/>
        </w:rPr>
        <w:t>no 50 g manito</w:t>
      </w:r>
      <w:r w:rsidR="008B3ED5" w:rsidRPr="004C7CDA">
        <w:rPr>
          <w:szCs w:val="22"/>
          <w:lang w:val="sr-Latn-ME"/>
        </w:rPr>
        <w:t>l</w:t>
      </w:r>
      <w:r w:rsidRPr="004C7CDA">
        <w:rPr>
          <w:szCs w:val="22"/>
          <w:lang w:val="sr-Latn-ME"/>
        </w:rPr>
        <w:t xml:space="preserve">a (250 </w:t>
      </w:r>
      <w:r w:rsidR="008B3ED5" w:rsidRPr="004C7CDA">
        <w:rPr>
          <w:szCs w:val="22"/>
          <w:lang w:val="sr-Latn-ME"/>
        </w:rPr>
        <w:t>ml</w:t>
      </w:r>
      <w:r w:rsidRPr="004C7CDA">
        <w:rPr>
          <w:szCs w:val="22"/>
          <w:lang w:val="sr-Latn-ME"/>
        </w:rPr>
        <w:t xml:space="preserve">). Zbog mogućnosti postojanja početnog stadijuma insuficijencije bubrega, </w:t>
      </w:r>
      <w:r w:rsidR="00F047EE" w:rsidRPr="004C7CDA">
        <w:rPr>
          <w:szCs w:val="22"/>
          <w:lang w:val="sr-Latn-ME"/>
        </w:rPr>
        <w:t xml:space="preserve">prije </w:t>
      </w:r>
      <w:r w:rsidRPr="004C7CDA">
        <w:rPr>
          <w:szCs w:val="22"/>
          <w:lang w:val="sr-Latn-ME"/>
        </w:rPr>
        <w:t>određivanja doze potreban je poseban oprez pri proc</w:t>
      </w:r>
      <w:r w:rsidR="000628F9" w:rsidRPr="004C7CDA">
        <w:rPr>
          <w:szCs w:val="22"/>
          <w:lang w:val="sr-Latn-ME"/>
        </w:rPr>
        <w:t>j</w:t>
      </w:r>
      <w:r w:rsidRPr="004C7CDA">
        <w:rPr>
          <w:szCs w:val="22"/>
          <w:lang w:val="sr-Latn-ME"/>
        </w:rPr>
        <w:t>eni stanja pacijenta.</w:t>
      </w:r>
    </w:p>
    <w:p w14:paraId="73BDF476" w14:textId="77777777" w:rsidR="00A80A83" w:rsidRPr="004C7CDA" w:rsidRDefault="00A80A83" w:rsidP="004C7CDA">
      <w:pPr>
        <w:widowControl w:val="0"/>
        <w:tabs>
          <w:tab w:val="left" w:pos="1080"/>
        </w:tabs>
        <w:rPr>
          <w:szCs w:val="22"/>
          <w:lang w:val="sr-Latn-ME"/>
        </w:rPr>
      </w:pPr>
    </w:p>
    <w:p w14:paraId="59584714" w14:textId="36B9E99E" w:rsidR="00A80A83" w:rsidRPr="004C7CDA" w:rsidRDefault="00A80A83" w:rsidP="004C7CDA">
      <w:pPr>
        <w:widowControl w:val="0"/>
        <w:tabs>
          <w:tab w:val="left" w:pos="1080"/>
        </w:tabs>
        <w:rPr>
          <w:bCs/>
          <w:szCs w:val="22"/>
          <w:u w:val="single"/>
          <w:lang w:val="sr-Latn-ME"/>
        </w:rPr>
      </w:pPr>
      <w:r w:rsidRPr="004C7CDA">
        <w:rPr>
          <w:bCs/>
          <w:szCs w:val="22"/>
          <w:u w:val="single"/>
          <w:lang w:val="sr-Latn-ME"/>
        </w:rPr>
        <w:t>Način prim</w:t>
      </w:r>
      <w:r w:rsidR="003F7227" w:rsidRPr="004C7CDA">
        <w:rPr>
          <w:bCs/>
          <w:szCs w:val="22"/>
          <w:u w:val="single"/>
          <w:lang w:val="sr-Latn-ME"/>
        </w:rPr>
        <w:t>j</w:t>
      </w:r>
      <w:r w:rsidRPr="004C7CDA">
        <w:rPr>
          <w:bCs/>
          <w:szCs w:val="22"/>
          <w:u w:val="single"/>
          <w:lang w:val="sr-Latn-ME"/>
        </w:rPr>
        <w:t>ene</w:t>
      </w:r>
    </w:p>
    <w:p w14:paraId="2AABBFFB" w14:textId="77777777" w:rsidR="00A80A83" w:rsidRPr="004C7CDA" w:rsidRDefault="00A80A83" w:rsidP="004C7CDA">
      <w:pPr>
        <w:widowControl w:val="0"/>
        <w:tabs>
          <w:tab w:val="left" w:pos="1080"/>
        </w:tabs>
        <w:rPr>
          <w:szCs w:val="22"/>
          <w:lang w:val="sr-Latn-ME"/>
        </w:rPr>
      </w:pPr>
    </w:p>
    <w:p w14:paraId="19F2AA47" w14:textId="40EDEBD9" w:rsidR="008655B1" w:rsidRPr="004C7CDA" w:rsidRDefault="008655B1" w:rsidP="004C7CDA">
      <w:pPr>
        <w:widowControl w:val="0"/>
        <w:tabs>
          <w:tab w:val="left" w:pos="1080"/>
        </w:tabs>
        <w:rPr>
          <w:szCs w:val="22"/>
          <w:lang w:val="sr-Latn-ME"/>
        </w:rPr>
      </w:pPr>
      <w:r w:rsidRPr="004C7CDA">
        <w:rPr>
          <w:szCs w:val="22"/>
          <w:lang w:val="sr-Latn-ME"/>
        </w:rPr>
        <w:t xml:space="preserve">Rastvor je </w:t>
      </w:r>
      <w:r w:rsidR="002F60F7" w:rsidRPr="004C7CDA">
        <w:rPr>
          <w:szCs w:val="22"/>
          <w:lang w:val="sr-Latn-ME"/>
        </w:rPr>
        <w:t xml:space="preserve">namijenjen </w:t>
      </w:r>
      <w:r w:rsidRPr="004C7CDA">
        <w:rPr>
          <w:szCs w:val="22"/>
          <w:lang w:val="sr-Latn-ME"/>
        </w:rPr>
        <w:t>za intravensku prim</w:t>
      </w:r>
      <w:r w:rsidR="00EF28C7" w:rsidRPr="004C7CDA">
        <w:rPr>
          <w:szCs w:val="22"/>
          <w:lang w:val="sr-Latn-ME"/>
        </w:rPr>
        <w:t>j</w:t>
      </w:r>
      <w:r w:rsidRPr="004C7CDA">
        <w:rPr>
          <w:szCs w:val="22"/>
          <w:lang w:val="sr-Latn-ME"/>
        </w:rPr>
        <w:t>enu i to samo kroz steri</w:t>
      </w:r>
      <w:r w:rsidR="008B3ED5" w:rsidRPr="004C7CDA">
        <w:rPr>
          <w:szCs w:val="22"/>
          <w:lang w:val="sr-Latn-ME"/>
        </w:rPr>
        <w:t>l</w:t>
      </w:r>
      <w:r w:rsidRPr="004C7CDA">
        <w:rPr>
          <w:szCs w:val="22"/>
          <w:lang w:val="sr-Latn-ME"/>
        </w:rPr>
        <w:t>ni i apirogeni infuzioni set, koji na kraju koji je do pacijenta ima ugrađen fi</w:t>
      </w:r>
      <w:r w:rsidR="008B3ED5" w:rsidRPr="004C7CDA">
        <w:rPr>
          <w:szCs w:val="22"/>
          <w:lang w:val="sr-Latn-ME"/>
        </w:rPr>
        <w:t>l</w:t>
      </w:r>
      <w:r w:rsidRPr="004C7CDA">
        <w:rPr>
          <w:szCs w:val="22"/>
          <w:lang w:val="sr-Latn-ME"/>
        </w:rPr>
        <w:t>ter, zbog mogućnosti stvaranja krista</w:t>
      </w:r>
      <w:r w:rsidR="008B3ED5" w:rsidRPr="004C7CDA">
        <w:rPr>
          <w:szCs w:val="22"/>
          <w:lang w:val="sr-Latn-ME"/>
        </w:rPr>
        <w:t>l</w:t>
      </w:r>
      <w:r w:rsidRPr="004C7CDA">
        <w:rPr>
          <w:szCs w:val="22"/>
          <w:lang w:val="sr-Latn-ME"/>
        </w:rPr>
        <w:t>a manito</w:t>
      </w:r>
      <w:r w:rsidR="008B3ED5" w:rsidRPr="004C7CDA">
        <w:rPr>
          <w:szCs w:val="22"/>
          <w:lang w:val="sr-Latn-ME"/>
        </w:rPr>
        <w:t>l</w:t>
      </w:r>
      <w:r w:rsidRPr="004C7CDA">
        <w:rPr>
          <w:szCs w:val="22"/>
          <w:lang w:val="sr-Latn-ME"/>
        </w:rPr>
        <w:t>a, kao i uz prim</w:t>
      </w:r>
      <w:r w:rsidR="006446D7" w:rsidRPr="004C7CDA">
        <w:rPr>
          <w:szCs w:val="22"/>
          <w:lang w:val="sr-Latn-ME"/>
        </w:rPr>
        <w:t>j</w:t>
      </w:r>
      <w:r w:rsidRPr="004C7CDA">
        <w:rPr>
          <w:szCs w:val="22"/>
          <w:lang w:val="sr-Latn-ME"/>
        </w:rPr>
        <w:t>enu aseptične tehnike. Set treba prethodno ispuniti rastvorom (prajmirati) kako bi se spr</w:t>
      </w:r>
      <w:r w:rsidR="008B3ED5" w:rsidRPr="004C7CDA">
        <w:rPr>
          <w:szCs w:val="22"/>
          <w:lang w:val="sr-Latn-ME"/>
        </w:rPr>
        <w:t>ij</w:t>
      </w:r>
      <w:r w:rsidRPr="004C7CDA">
        <w:rPr>
          <w:szCs w:val="22"/>
          <w:lang w:val="sr-Latn-ME"/>
        </w:rPr>
        <w:t>ečio prodor vazduha u sistem.</w:t>
      </w:r>
      <w:r w:rsidR="00660A8E" w:rsidRPr="004C7CDA">
        <w:rPr>
          <w:szCs w:val="22"/>
          <w:lang w:val="sr-Latn-ME"/>
        </w:rPr>
        <w:t xml:space="preserve"> </w:t>
      </w:r>
    </w:p>
    <w:p w14:paraId="0D7B191F" w14:textId="77777777" w:rsidR="008655B1" w:rsidRPr="004C7CDA" w:rsidRDefault="008655B1" w:rsidP="004C7CDA">
      <w:pPr>
        <w:widowControl w:val="0"/>
        <w:tabs>
          <w:tab w:val="left" w:pos="1080"/>
        </w:tabs>
        <w:rPr>
          <w:szCs w:val="22"/>
          <w:lang w:val="sr-Latn-ME"/>
        </w:rPr>
      </w:pPr>
    </w:p>
    <w:p w14:paraId="467F7DFF" w14:textId="0F47857A" w:rsidR="008655B1" w:rsidRPr="004C7CDA" w:rsidRDefault="008655B1" w:rsidP="004C7CDA">
      <w:pPr>
        <w:widowControl w:val="0"/>
        <w:tabs>
          <w:tab w:val="left" w:pos="1080"/>
        </w:tabs>
        <w:rPr>
          <w:szCs w:val="22"/>
          <w:lang w:val="sr-Latn-ME"/>
        </w:rPr>
      </w:pPr>
      <w:r w:rsidRPr="004C7CDA">
        <w:rPr>
          <w:szCs w:val="22"/>
          <w:lang w:val="sr-Latn-ME"/>
        </w:rPr>
        <w:t xml:space="preserve">Rastvor treba </w:t>
      </w:r>
      <w:r w:rsidR="00F047EE" w:rsidRPr="004C7CDA">
        <w:rPr>
          <w:szCs w:val="22"/>
          <w:lang w:val="sr-Latn-ME"/>
        </w:rPr>
        <w:t xml:space="preserve">prije </w:t>
      </w:r>
      <w:r w:rsidRPr="004C7CDA">
        <w:rPr>
          <w:szCs w:val="22"/>
          <w:lang w:val="sr-Latn-ME"/>
        </w:rPr>
        <w:t>prim</w:t>
      </w:r>
      <w:r w:rsidR="006446D7" w:rsidRPr="004C7CDA">
        <w:rPr>
          <w:szCs w:val="22"/>
          <w:lang w:val="sr-Latn-ME"/>
        </w:rPr>
        <w:t>j</w:t>
      </w:r>
      <w:r w:rsidRPr="004C7CDA">
        <w:rPr>
          <w:szCs w:val="22"/>
          <w:lang w:val="sr-Latn-ME"/>
        </w:rPr>
        <w:t>ene vizue</w:t>
      </w:r>
      <w:r w:rsidR="008B3ED5" w:rsidRPr="004C7CDA">
        <w:rPr>
          <w:szCs w:val="22"/>
          <w:lang w:val="sr-Latn-ME"/>
        </w:rPr>
        <w:t>l</w:t>
      </w:r>
      <w:r w:rsidRPr="004C7CDA">
        <w:rPr>
          <w:szCs w:val="22"/>
          <w:lang w:val="sr-Latn-ME"/>
        </w:rPr>
        <w:t>no preg</w:t>
      </w:r>
      <w:r w:rsidR="008B3ED5" w:rsidRPr="004C7CDA">
        <w:rPr>
          <w:szCs w:val="22"/>
          <w:lang w:val="sr-Latn-ME"/>
        </w:rPr>
        <w:t>l</w:t>
      </w:r>
      <w:r w:rsidRPr="004C7CDA">
        <w:rPr>
          <w:szCs w:val="22"/>
          <w:lang w:val="sr-Latn-ME"/>
        </w:rPr>
        <w:t>edati na prisustvo čestica i prom</w:t>
      </w:r>
      <w:r w:rsidR="00FA5F23" w:rsidRPr="004C7CDA">
        <w:rPr>
          <w:szCs w:val="22"/>
          <w:lang w:val="sr-Latn-ME"/>
        </w:rPr>
        <w:t>j</w:t>
      </w:r>
      <w:r w:rsidRPr="004C7CDA">
        <w:rPr>
          <w:szCs w:val="22"/>
          <w:lang w:val="sr-Latn-ME"/>
        </w:rPr>
        <w:t>enu boje. Koristiti samo ako je rastvor bistar, bez vid</w:t>
      </w:r>
      <w:r w:rsidR="008B3ED5" w:rsidRPr="004C7CDA">
        <w:rPr>
          <w:szCs w:val="22"/>
          <w:lang w:val="sr-Latn-ME"/>
        </w:rPr>
        <w:t>l</w:t>
      </w:r>
      <w:r w:rsidRPr="004C7CDA">
        <w:rPr>
          <w:szCs w:val="22"/>
          <w:lang w:val="sr-Latn-ME"/>
        </w:rPr>
        <w:t>jivih čestica i ako je amba</w:t>
      </w:r>
      <w:r w:rsidR="008B3ED5" w:rsidRPr="004C7CDA">
        <w:rPr>
          <w:szCs w:val="22"/>
          <w:lang w:val="sr-Latn-ME"/>
        </w:rPr>
        <w:t>l</w:t>
      </w:r>
      <w:r w:rsidRPr="004C7CDA">
        <w:rPr>
          <w:szCs w:val="22"/>
          <w:lang w:val="sr-Latn-ME"/>
        </w:rPr>
        <w:t>aža neoštećena, a rastvor ne curi. Prim</w:t>
      </w:r>
      <w:r w:rsidR="002F60F7" w:rsidRPr="004C7CDA">
        <w:rPr>
          <w:szCs w:val="22"/>
          <w:lang w:val="sr-Latn-ME"/>
        </w:rPr>
        <w:t>i</w:t>
      </w:r>
      <w:r w:rsidR="00CC7AA9" w:rsidRPr="004C7CDA">
        <w:rPr>
          <w:szCs w:val="22"/>
          <w:lang w:val="sr-Latn-ME"/>
        </w:rPr>
        <w:t>j</w:t>
      </w:r>
      <w:r w:rsidRPr="004C7CDA">
        <w:rPr>
          <w:szCs w:val="22"/>
          <w:lang w:val="sr-Latn-ME"/>
        </w:rPr>
        <w:t>eniti odmah nakon postav</w:t>
      </w:r>
      <w:r w:rsidR="008B3ED5" w:rsidRPr="004C7CDA">
        <w:rPr>
          <w:szCs w:val="22"/>
          <w:lang w:val="sr-Latn-ME"/>
        </w:rPr>
        <w:t>l</w:t>
      </w:r>
      <w:r w:rsidRPr="004C7CDA">
        <w:rPr>
          <w:szCs w:val="22"/>
          <w:lang w:val="sr-Latn-ME"/>
        </w:rPr>
        <w:t>janja infuzionog seta.</w:t>
      </w:r>
    </w:p>
    <w:p w14:paraId="24118145" w14:textId="77777777" w:rsidR="008655B1" w:rsidRPr="004C7CDA" w:rsidRDefault="008655B1" w:rsidP="004C7CDA">
      <w:pPr>
        <w:widowControl w:val="0"/>
        <w:tabs>
          <w:tab w:val="left" w:pos="1080"/>
        </w:tabs>
        <w:rPr>
          <w:szCs w:val="22"/>
          <w:lang w:val="sr-Latn-ME"/>
        </w:rPr>
      </w:pPr>
    </w:p>
    <w:p w14:paraId="4E99018B" w14:textId="606FEF1C" w:rsidR="008655B1" w:rsidRPr="004C7CDA" w:rsidRDefault="008655B1" w:rsidP="004C7CDA">
      <w:pPr>
        <w:widowControl w:val="0"/>
        <w:tabs>
          <w:tab w:val="left" w:pos="1080"/>
        </w:tabs>
        <w:rPr>
          <w:szCs w:val="22"/>
          <w:lang w:val="sr-Latn-ME"/>
        </w:rPr>
      </w:pPr>
      <w:r w:rsidRPr="004C7CDA">
        <w:rPr>
          <w:szCs w:val="22"/>
          <w:lang w:val="sr-Latn-ME"/>
        </w:rPr>
        <w:t>Hiperosmo</w:t>
      </w:r>
      <w:r w:rsidR="008B3ED5" w:rsidRPr="004C7CDA">
        <w:rPr>
          <w:szCs w:val="22"/>
          <w:lang w:val="sr-Latn-ME"/>
        </w:rPr>
        <w:t>l</w:t>
      </w:r>
      <w:r w:rsidRPr="004C7CDA">
        <w:rPr>
          <w:szCs w:val="22"/>
          <w:lang w:val="sr-Latn-ME"/>
        </w:rPr>
        <w:t>arni rastvori manito</w:t>
      </w:r>
      <w:r w:rsidR="008B3ED5" w:rsidRPr="004C7CDA">
        <w:rPr>
          <w:szCs w:val="22"/>
          <w:lang w:val="sr-Latn-ME"/>
        </w:rPr>
        <w:t>l</w:t>
      </w:r>
      <w:r w:rsidRPr="004C7CDA">
        <w:rPr>
          <w:szCs w:val="22"/>
          <w:lang w:val="sr-Latn-ME"/>
        </w:rPr>
        <w:t>a mogu da dovedu do oštećenja vena. Potrebno je prov</w:t>
      </w:r>
      <w:r w:rsidR="002F60F7" w:rsidRPr="004C7CDA">
        <w:rPr>
          <w:szCs w:val="22"/>
          <w:lang w:val="sr-Latn-ME"/>
        </w:rPr>
        <w:t>j</w:t>
      </w:r>
      <w:r w:rsidRPr="004C7CDA">
        <w:rPr>
          <w:szCs w:val="22"/>
          <w:lang w:val="sr-Latn-ME"/>
        </w:rPr>
        <w:t>eriti osmo</w:t>
      </w:r>
      <w:r w:rsidR="008B3ED5" w:rsidRPr="004C7CDA">
        <w:rPr>
          <w:szCs w:val="22"/>
          <w:lang w:val="sr-Latn-ME"/>
        </w:rPr>
        <w:t>l</w:t>
      </w:r>
      <w:r w:rsidRPr="004C7CDA">
        <w:rPr>
          <w:szCs w:val="22"/>
          <w:lang w:val="sr-Latn-ME"/>
        </w:rPr>
        <w:t xml:space="preserve">arnost </w:t>
      </w:r>
      <w:r w:rsidR="008B3ED5" w:rsidRPr="004C7CDA">
        <w:rPr>
          <w:szCs w:val="22"/>
          <w:lang w:val="sr-Latn-ME"/>
        </w:rPr>
        <w:t>l</w:t>
      </w:r>
      <w:r w:rsidR="00EF28C7" w:rsidRPr="004C7CDA">
        <w:rPr>
          <w:szCs w:val="22"/>
          <w:lang w:val="sr-Latn-ME"/>
        </w:rPr>
        <w:t>ij</w:t>
      </w:r>
      <w:r w:rsidRPr="004C7CDA">
        <w:rPr>
          <w:szCs w:val="22"/>
          <w:lang w:val="sr-Latn-ME"/>
        </w:rPr>
        <w:t xml:space="preserve">eka </w:t>
      </w:r>
      <w:r w:rsidR="00F047EE" w:rsidRPr="004C7CDA">
        <w:rPr>
          <w:szCs w:val="22"/>
          <w:lang w:val="sr-Latn-ME"/>
        </w:rPr>
        <w:t xml:space="preserve">prije </w:t>
      </w:r>
      <w:r w:rsidRPr="004C7CDA">
        <w:rPr>
          <w:szCs w:val="22"/>
          <w:lang w:val="sr-Latn-ME"/>
        </w:rPr>
        <w:t>prim</w:t>
      </w:r>
      <w:r w:rsidR="00CC7AA9" w:rsidRPr="004C7CDA">
        <w:rPr>
          <w:szCs w:val="22"/>
          <w:lang w:val="sr-Latn-ME"/>
        </w:rPr>
        <w:t>j</w:t>
      </w:r>
      <w:r w:rsidRPr="004C7CDA">
        <w:rPr>
          <w:szCs w:val="22"/>
          <w:lang w:val="sr-Latn-ME"/>
        </w:rPr>
        <w:t>ene. Ovaj hipertonični rastvor treba dati u veće periferne vene i</w:t>
      </w:r>
      <w:r w:rsidR="008B3ED5" w:rsidRPr="004C7CDA">
        <w:rPr>
          <w:szCs w:val="22"/>
          <w:lang w:val="sr-Latn-ME"/>
        </w:rPr>
        <w:t>l</w:t>
      </w:r>
      <w:r w:rsidRPr="004C7CDA">
        <w:rPr>
          <w:szCs w:val="22"/>
          <w:lang w:val="sr-Latn-ME"/>
        </w:rPr>
        <w:t>i najbo</w:t>
      </w:r>
      <w:r w:rsidR="008B3ED5" w:rsidRPr="004C7CDA">
        <w:rPr>
          <w:szCs w:val="22"/>
          <w:lang w:val="sr-Latn-ME"/>
        </w:rPr>
        <w:t>l</w:t>
      </w:r>
      <w:r w:rsidRPr="004C7CDA">
        <w:rPr>
          <w:szCs w:val="22"/>
          <w:lang w:val="sr-Latn-ME"/>
        </w:rPr>
        <w:t>je centra</w:t>
      </w:r>
      <w:r w:rsidR="008B3ED5" w:rsidRPr="004C7CDA">
        <w:rPr>
          <w:szCs w:val="22"/>
          <w:lang w:val="sr-Latn-ME"/>
        </w:rPr>
        <w:t>l</w:t>
      </w:r>
      <w:r w:rsidRPr="004C7CDA">
        <w:rPr>
          <w:szCs w:val="22"/>
          <w:lang w:val="sr-Latn-ME"/>
        </w:rPr>
        <w:t>nim venskim putem. Brzo davanje infuzije u periferne vene, može da dovede do oštećenja.</w:t>
      </w:r>
      <w:r w:rsidR="00660A8E" w:rsidRPr="004C7CDA">
        <w:rPr>
          <w:szCs w:val="22"/>
          <w:lang w:val="sr-Latn-ME"/>
        </w:rPr>
        <w:t xml:space="preserve"> </w:t>
      </w:r>
    </w:p>
    <w:p w14:paraId="5EDD044A" w14:textId="77777777" w:rsidR="008655B1" w:rsidRPr="004C7CDA" w:rsidRDefault="008655B1" w:rsidP="004C7CDA">
      <w:pPr>
        <w:widowControl w:val="0"/>
        <w:tabs>
          <w:tab w:val="left" w:pos="1080"/>
        </w:tabs>
        <w:rPr>
          <w:szCs w:val="22"/>
          <w:lang w:val="sr-Latn-ME"/>
        </w:rPr>
      </w:pPr>
    </w:p>
    <w:p w14:paraId="5FFA8012" w14:textId="59E9AD6E" w:rsidR="008655B1" w:rsidRPr="004C7CDA" w:rsidRDefault="008655B1" w:rsidP="004C7CDA">
      <w:pPr>
        <w:widowControl w:val="0"/>
        <w:tabs>
          <w:tab w:val="left" w:pos="1080"/>
        </w:tabs>
        <w:rPr>
          <w:szCs w:val="22"/>
          <w:lang w:val="sr-Latn-ME"/>
        </w:rPr>
      </w:pPr>
      <w:r w:rsidRPr="004C7CDA">
        <w:rPr>
          <w:szCs w:val="22"/>
          <w:lang w:val="sr-Latn-ME"/>
        </w:rPr>
        <w:t>Rastvori manito</w:t>
      </w:r>
      <w:r w:rsidR="008B3ED5" w:rsidRPr="004C7CDA">
        <w:rPr>
          <w:szCs w:val="22"/>
          <w:lang w:val="sr-Latn-ME"/>
        </w:rPr>
        <w:t>l</w:t>
      </w:r>
      <w:r w:rsidRPr="004C7CDA">
        <w:rPr>
          <w:szCs w:val="22"/>
          <w:lang w:val="sr-Latn-ME"/>
        </w:rPr>
        <w:t>a mogu da krista</w:t>
      </w:r>
      <w:r w:rsidR="008B3ED5" w:rsidRPr="004C7CDA">
        <w:rPr>
          <w:szCs w:val="22"/>
          <w:lang w:val="sr-Latn-ME"/>
        </w:rPr>
        <w:t>l</w:t>
      </w:r>
      <w:r w:rsidRPr="004C7CDA">
        <w:rPr>
          <w:szCs w:val="22"/>
          <w:lang w:val="sr-Latn-ME"/>
        </w:rPr>
        <w:t>izuju na niskoj temperaturi. Rastvori viših koncentracija imaju veću sk</w:t>
      </w:r>
      <w:r w:rsidR="008B3ED5" w:rsidRPr="004C7CDA">
        <w:rPr>
          <w:szCs w:val="22"/>
          <w:lang w:val="sr-Latn-ME"/>
        </w:rPr>
        <w:t>l</w:t>
      </w:r>
      <w:r w:rsidRPr="004C7CDA">
        <w:rPr>
          <w:szCs w:val="22"/>
          <w:lang w:val="sr-Latn-ME"/>
        </w:rPr>
        <w:t>onost ka krista</w:t>
      </w:r>
      <w:r w:rsidR="008B3ED5" w:rsidRPr="004C7CDA">
        <w:rPr>
          <w:szCs w:val="22"/>
          <w:lang w:val="sr-Latn-ME"/>
        </w:rPr>
        <w:t>l</w:t>
      </w:r>
      <w:r w:rsidRPr="004C7CDA">
        <w:rPr>
          <w:szCs w:val="22"/>
          <w:lang w:val="sr-Latn-ME"/>
        </w:rPr>
        <w:t xml:space="preserve">izaciji. </w:t>
      </w:r>
      <w:r w:rsidR="00F047EE" w:rsidRPr="004C7CDA">
        <w:rPr>
          <w:szCs w:val="22"/>
          <w:lang w:val="sr-Latn-ME"/>
        </w:rPr>
        <w:t xml:space="preserve">Prije </w:t>
      </w:r>
      <w:r w:rsidRPr="004C7CDA">
        <w:rPr>
          <w:szCs w:val="22"/>
          <w:lang w:val="sr-Latn-ME"/>
        </w:rPr>
        <w:t>prim</w:t>
      </w:r>
      <w:r w:rsidR="00E50A01" w:rsidRPr="004C7CDA">
        <w:rPr>
          <w:szCs w:val="22"/>
          <w:lang w:val="sr-Latn-ME"/>
        </w:rPr>
        <w:t>j</w:t>
      </w:r>
      <w:r w:rsidRPr="004C7CDA">
        <w:rPr>
          <w:szCs w:val="22"/>
          <w:lang w:val="sr-Latn-ME"/>
        </w:rPr>
        <w:t>ene, rastvor preg</w:t>
      </w:r>
      <w:r w:rsidR="008B3ED5" w:rsidRPr="004C7CDA">
        <w:rPr>
          <w:szCs w:val="22"/>
          <w:lang w:val="sr-Latn-ME"/>
        </w:rPr>
        <w:t>l</w:t>
      </w:r>
      <w:r w:rsidRPr="004C7CDA">
        <w:rPr>
          <w:szCs w:val="22"/>
          <w:lang w:val="sr-Latn-ME"/>
        </w:rPr>
        <w:t>edati na postojanje krista</w:t>
      </w:r>
      <w:r w:rsidR="008B3ED5" w:rsidRPr="004C7CDA">
        <w:rPr>
          <w:szCs w:val="22"/>
          <w:lang w:val="sr-Latn-ME"/>
        </w:rPr>
        <w:t>l</w:t>
      </w:r>
      <w:r w:rsidRPr="004C7CDA">
        <w:rPr>
          <w:szCs w:val="22"/>
          <w:lang w:val="sr-Latn-ME"/>
        </w:rPr>
        <w:t xml:space="preserve">a. </w:t>
      </w:r>
    </w:p>
    <w:p w14:paraId="0B363139" w14:textId="4CCF351A" w:rsidR="008655B1" w:rsidRPr="004C7CDA" w:rsidRDefault="008655B1" w:rsidP="004C7CDA">
      <w:pPr>
        <w:widowControl w:val="0"/>
        <w:tabs>
          <w:tab w:val="left" w:pos="1080"/>
        </w:tabs>
        <w:rPr>
          <w:szCs w:val="22"/>
          <w:lang w:val="sr-Latn-ME"/>
        </w:rPr>
      </w:pPr>
    </w:p>
    <w:p w14:paraId="2765AD43" w14:textId="5476AAE0" w:rsidR="00DE5753" w:rsidRPr="004C7CDA" w:rsidRDefault="00DE5753" w:rsidP="004C7CDA">
      <w:pPr>
        <w:widowControl w:val="0"/>
        <w:tabs>
          <w:tab w:val="left" w:pos="1080"/>
        </w:tabs>
        <w:rPr>
          <w:szCs w:val="22"/>
          <w:lang w:val="sr-Latn-ME"/>
        </w:rPr>
      </w:pPr>
      <w:r w:rsidRPr="004C7CDA">
        <w:rPr>
          <w:szCs w:val="22"/>
          <w:lang w:val="sr-Latn-ME"/>
        </w:rPr>
        <w:t>Ukoliko su kristali vidljivi, potrebno je ponovo izvršiti rastvaranje gr</w:t>
      </w:r>
      <w:r w:rsidR="00554AF0" w:rsidRPr="004C7CDA">
        <w:rPr>
          <w:szCs w:val="22"/>
          <w:lang w:val="sr-Latn-ME"/>
        </w:rPr>
        <w:t>i</w:t>
      </w:r>
      <w:r w:rsidRPr="004C7CDA">
        <w:rPr>
          <w:szCs w:val="22"/>
          <w:lang w:val="sr-Latn-ME"/>
        </w:rPr>
        <w:t xml:space="preserve">janjem rastvora do temperature od </w:t>
      </w:r>
      <w:r w:rsidR="00554AF0" w:rsidRPr="004C7CDA">
        <w:rPr>
          <w:szCs w:val="22"/>
          <w:lang w:val="sr-Latn-ME"/>
        </w:rPr>
        <w:t>6</w:t>
      </w:r>
      <w:r w:rsidRPr="004C7CDA">
        <w:rPr>
          <w:szCs w:val="22"/>
          <w:lang w:val="sr-Latn-ME"/>
        </w:rPr>
        <w:t>0°C, pri čemu je rastvor potrebno mućkati. Rastvori se ne sm</w:t>
      </w:r>
      <w:r w:rsidR="00554AF0" w:rsidRPr="004C7CDA">
        <w:rPr>
          <w:szCs w:val="22"/>
          <w:lang w:val="sr-Latn-ME"/>
        </w:rPr>
        <w:t>i</w:t>
      </w:r>
      <w:r w:rsidRPr="004C7CDA">
        <w:rPr>
          <w:szCs w:val="22"/>
          <w:lang w:val="sr-Latn-ME"/>
        </w:rPr>
        <w:t>ju zagr</w:t>
      </w:r>
      <w:r w:rsidR="00554AF0" w:rsidRPr="004C7CDA">
        <w:rPr>
          <w:szCs w:val="22"/>
          <w:lang w:val="sr-Latn-ME"/>
        </w:rPr>
        <w:t>ija</w:t>
      </w:r>
      <w:r w:rsidRPr="004C7CDA">
        <w:rPr>
          <w:szCs w:val="22"/>
          <w:lang w:val="sr-Latn-ME"/>
        </w:rPr>
        <w:t>vati u vodi niti u mikrotalasnoj pećnici zbog mogućnosti kontaminacije proizvoda ili oštećenja. Rastvor je potrebno ohladiti do sobne ili t</w:t>
      </w:r>
      <w:r w:rsidR="00554AF0" w:rsidRPr="004C7CDA">
        <w:rPr>
          <w:szCs w:val="22"/>
          <w:lang w:val="sr-Latn-ME"/>
        </w:rPr>
        <w:t>j</w:t>
      </w:r>
      <w:r w:rsidRPr="004C7CDA">
        <w:rPr>
          <w:szCs w:val="22"/>
          <w:lang w:val="sr-Latn-ME"/>
        </w:rPr>
        <w:t>elesne temperature pr</w:t>
      </w:r>
      <w:r w:rsidR="00DD283E" w:rsidRPr="004C7CDA">
        <w:rPr>
          <w:szCs w:val="22"/>
          <w:lang w:val="sr-Latn-ME"/>
        </w:rPr>
        <w:t>ij</w:t>
      </w:r>
      <w:r w:rsidRPr="004C7CDA">
        <w:rPr>
          <w:szCs w:val="22"/>
          <w:lang w:val="sr-Latn-ME"/>
        </w:rPr>
        <w:t xml:space="preserve">e ponovnog pregleda na postojanje kristala i upotrebe. </w:t>
      </w:r>
      <w:r w:rsidR="00A61B10" w:rsidRPr="004C7CDA">
        <w:rPr>
          <w:szCs w:val="22"/>
          <w:lang w:val="sr-Latn-ME"/>
        </w:rPr>
        <w:t>Pogledati djelove</w:t>
      </w:r>
      <w:r w:rsidRPr="004C7CDA">
        <w:rPr>
          <w:szCs w:val="22"/>
          <w:lang w:val="sr-Latn-ME"/>
        </w:rPr>
        <w:t xml:space="preserve"> 4.4 i 6.6.</w:t>
      </w:r>
    </w:p>
    <w:p w14:paraId="390B1539" w14:textId="6148A1DB" w:rsidR="008655B1" w:rsidRPr="004C7CDA" w:rsidRDefault="008655B1" w:rsidP="004C7CDA">
      <w:pPr>
        <w:widowControl w:val="0"/>
        <w:tabs>
          <w:tab w:val="left" w:pos="1080"/>
        </w:tabs>
        <w:rPr>
          <w:szCs w:val="22"/>
          <w:lang w:val="sr-Latn-ME"/>
        </w:rPr>
      </w:pPr>
      <w:r w:rsidRPr="004C7CDA">
        <w:rPr>
          <w:szCs w:val="22"/>
          <w:lang w:val="sr-Latn-ME"/>
        </w:rPr>
        <w:t>Za podatke o inkompatibi</w:t>
      </w:r>
      <w:r w:rsidR="008B3ED5" w:rsidRPr="004C7CDA">
        <w:rPr>
          <w:szCs w:val="22"/>
          <w:lang w:val="sr-Latn-ME"/>
        </w:rPr>
        <w:t>l</w:t>
      </w:r>
      <w:r w:rsidRPr="004C7CDA">
        <w:rPr>
          <w:szCs w:val="22"/>
          <w:lang w:val="sr-Latn-ME"/>
        </w:rPr>
        <w:t xml:space="preserve">nosti i pripremi </w:t>
      </w:r>
      <w:r w:rsidR="008B3ED5" w:rsidRPr="004C7CDA">
        <w:rPr>
          <w:szCs w:val="22"/>
          <w:lang w:val="sr-Latn-ME"/>
        </w:rPr>
        <w:t>l</w:t>
      </w:r>
      <w:r w:rsidR="00EF28C7" w:rsidRPr="004C7CDA">
        <w:rPr>
          <w:szCs w:val="22"/>
          <w:lang w:val="sr-Latn-ME"/>
        </w:rPr>
        <w:t>ij</w:t>
      </w:r>
      <w:r w:rsidRPr="004C7CDA">
        <w:rPr>
          <w:szCs w:val="22"/>
          <w:lang w:val="sr-Latn-ME"/>
        </w:rPr>
        <w:t xml:space="preserve">eka, </w:t>
      </w:r>
      <w:r w:rsidR="008B3ED5" w:rsidRPr="004C7CDA">
        <w:rPr>
          <w:szCs w:val="22"/>
          <w:lang w:val="sr-Latn-ME"/>
        </w:rPr>
        <w:t>pogledati d</w:t>
      </w:r>
      <w:r w:rsidR="002F60F7" w:rsidRPr="004C7CDA">
        <w:rPr>
          <w:szCs w:val="22"/>
          <w:lang w:val="sr-Latn-ME"/>
        </w:rPr>
        <w:t>jelove</w:t>
      </w:r>
      <w:r w:rsidRPr="004C7CDA">
        <w:rPr>
          <w:szCs w:val="22"/>
          <w:lang w:val="sr-Latn-ME"/>
        </w:rPr>
        <w:t xml:space="preserve"> 6.2 i 6.6.</w:t>
      </w:r>
    </w:p>
    <w:p w14:paraId="7D749131" w14:textId="77777777" w:rsidR="00E06911" w:rsidRPr="004C7CDA" w:rsidRDefault="00E06911" w:rsidP="004C7CDA">
      <w:pPr>
        <w:widowControl w:val="0"/>
        <w:rPr>
          <w:szCs w:val="22"/>
          <w:lang w:val="sr-Latn-ME"/>
        </w:rPr>
      </w:pPr>
    </w:p>
    <w:p w14:paraId="7BF30646" w14:textId="77777777" w:rsidR="00CE09F3" w:rsidRPr="004C7CDA" w:rsidRDefault="00CE09F3" w:rsidP="004C7CDA">
      <w:pPr>
        <w:widowControl w:val="0"/>
        <w:rPr>
          <w:b/>
          <w:bCs/>
          <w:szCs w:val="22"/>
          <w:lang w:val="sr-Latn-ME"/>
        </w:rPr>
      </w:pPr>
      <w:r w:rsidRPr="004C7CDA">
        <w:rPr>
          <w:b/>
          <w:bCs/>
          <w:szCs w:val="22"/>
          <w:lang w:val="sr-Latn-ME"/>
        </w:rPr>
        <w:t>4.3. Kontraindikacije</w:t>
      </w:r>
    </w:p>
    <w:p w14:paraId="3544A6D6" w14:textId="77777777" w:rsidR="005033DA" w:rsidRPr="004C7CDA" w:rsidRDefault="005033DA" w:rsidP="004C7CDA">
      <w:pPr>
        <w:widowControl w:val="0"/>
        <w:rPr>
          <w:szCs w:val="22"/>
          <w:lang w:val="sr-Latn-ME"/>
        </w:rPr>
      </w:pPr>
    </w:p>
    <w:p w14:paraId="01BC4FF1" w14:textId="44919B8D" w:rsidR="00A80A83" w:rsidRPr="004C7CDA" w:rsidRDefault="008B3ED5" w:rsidP="004C7CDA">
      <w:pPr>
        <w:widowControl w:val="0"/>
        <w:tabs>
          <w:tab w:val="left" w:pos="1080"/>
        </w:tabs>
        <w:rPr>
          <w:b/>
          <w:szCs w:val="22"/>
          <w:lang w:val="sr-Latn-ME"/>
        </w:rPr>
      </w:pPr>
      <w:r w:rsidRPr="004C7CDA">
        <w:rPr>
          <w:szCs w:val="22"/>
          <w:lang w:val="sr-Latn-ME"/>
        </w:rPr>
        <w:t>L</w:t>
      </w:r>
      <w:r w:rsidR="008655B1" w:rsidRPr="004C7CDA">
        <w:rPr>
          <w:szCs w:val="22"/>
          <w:lang w:val="sr-Latn-ME"/>
        </w:rPr>
        <w:t xml:space="preserve">ijek </w:t>
      </w:r>
      <w:r w:rsidR="00EF5D53" w:rsidRPr="004C7CDA">
        <w:rPr>
          <w:szCs w:val="22"/>
          <w:lang w:val="sr-Latn-ME"/>
        </w:rPr>
        <w:t>Manito</w:t>
      </w:r>
      <w:r w:rsidRPr="004C7CDA">
        <w:rPr>
          <w:szCs w:val="22"/>
          <w:lang w:val="sr-Latn-ME"/>
        </w:rPr>
        <w:t>l</w:t>
      </w:r>
      <w:r w:rsidR="00EF5D53" w:rsidRPr="004C7CDA">
        <w:rPr>
          <w:szCs w:val="22"/>
          <w:lang w:val="sr-Latn-ME"/>
        </w:rPr>
        <w:t xml:space="preserve"> </w:t>
      </w:r>
      <w:r w:rsidR="000E4553" w:rsidRPr="004C7CDA">
        <w:rPr>
          <w:szCs w:val="22"/>
          <w:lang w:val="sr-Latn-ME"/>
        </w:rPr>
        <w:t>HM</w:t>
      </w:r>
      <w:r w:rsidR="008655B1" w:rsidRPr="004C7CDA">
        <w:rPr>
          <w:szCs w:val="22"/>
          <w:lang w:val="sr-Latn-ME"/>
        </w:rPr>
        <w:t xml:space="preserve"> </w:t>
      </w:r>
      <w:r w:rsidR="00A80A83" w:rsidRPr="004C7CDA">
        <w:rPr>
          <w:szCs w:val="22"/>
          <w:lang w:val="sr-Latn-ME"/>
        </w:rPr>
        <w:t>20% rastvor za infuziju je kontraindikovan kod pacijenata kod kojih postoji:</w:t>
      </w:r>
    </w:p>
    <w:p w14:paraId="305382AE" w14:textId="6BD29BA2" w:rsidR="00A80A83" w:rsidRPr="004C7CDA" w:rsidRDefault="00A80A83" w:rsidP="004C7CDA">
      <w:pPr>
        <w:widowControl w:val="0"/>
        <w:numPr>
          <w:ilvl w:val="0"/>
          <w:numId w:val="7"/>
        </w:numPr>
        <w:tabs>
          <w:tab w:val="clear" w:pos="284"/>
        </w:tabs>
        <w:rPr>
          <w:szCs w:val="22"/>
          <w:lang w:val="sr-Latn-ME"/>
        </w:rPr>
      </w:pPr>
      <w:r w:rsidRPr="004C7CDA">
        <w:rPr>
          <w:szCs w:val="22"/>
          <w:lang w:val="sr-Latn-ME"/>
        </w:rPr>
        <w:t>Preos</w:t>
      </w:r>
      <w:r w:rsidR="003F7227" w:rsidRPr="004C7CDA">
        <w:rPr>
          <w:szCs w:val="22"/>
          <w:lang w:val="sr-Latn-ME"/>
        </w:rPr>
        <w:t>j</w:t>
      </w:r>
      <w:r w:rsidRPr="004C7CDA">
        <w:rPr>
          <w:szCs w:val="22"/>
          <w:lang w:val="sr-Latn-ME"/>
        </w:rPr>
        <w:t>et</w:t>
      </w:r>
      <w:r w:rsidR="008B3ED5" w:rsidRPr="004C7CDA">
        <w:rPr>
          <w:szCs w:val="22"/>
          <w:lang w:val="sr-Latn-ME"/>
        </w:rPr>
        <w:t>l</w:t>
      </w:r>
      <w:r w:rsidRPr="004C7CDA">
        <w:rPr>
          <w:szCs w:val="22"/>
          <w:lang w:val="sr-Latn-ME"/>
        </w:rPr>
        <w:t xml:space="preserve">jivost na </w:t>
      </w:r>
      <w:r w:rsidR="00B31548" w:rsidRPr="004C7CDA">
        <w:rPr>
          <w:szCs w:val="22"/>
          <w:lang w:val="sr-Latn-ME"/>
        </w:rPr>
        <w:t>aktivnu supstancu i</w:t>
      </w:r>
      <w:r w:rsidR="008B3ED5" w:rsidRPr="004C7CDA">
        <w:rPr>
          <w:szCs w:val="22"/>
          <w:lang w:val="sr-Latn-ME"/>
        </w:rPr>
        <w:t>l</w:t>
      </w:r>
      <w:r w:rsidR="00B31548" w:rsidRPr="004C7CDA">
        <w:rPr>
          <w:szCs w:val="22"/>
          <w:lang w:val="sr-Latn-ME"/>
        </w:rPr>
        <w:t>i na bi</w:t>
      </w:r>
      <w:r w:rsidR="008B3ED5" w:rsidRPr="004C7CDA">
        <w:rPr>
          <w:szCs w:val="22"/>
          <w:lang w:val="sr-Latn-ME"/>
        </w:rPr>
        <w:t>l</w:t>
      </w:r>
      <w:r w:rsidR="00B31548" w:rsidRPr="004C7CDA">
        <w:rPr>
          <w:szCs w:val="22"/>
          <w:lang w:val="sr-Latn-ME"/>
        </w:rPr>
        <w:t xml:space="preserve">o koju od pomoćnih supstanci navedenih u </w:t>
      </w:r>
      <w:r w:rsidR="008B3ED5" w:rsidRPr="004C7CDA">
        <w:rPr>
          <w:szCs w:val="22"/>
          <w:lang w:val="sr-Latn-ME"/>
        </w:rPr>
        <w:t>dijelu</w:t>
      </w:r>
      <w:r w:rsidR="00B31548" w:rsidRPr="004C7CDA">
        <w:rPr>
          <w:szCs w:val="22"/>
          <w:lang w:val="sr-Latn-ME"/>
        </w:rPr>
        <w:t xml:space="preserve"> 6.1</w:t>
      </w:r>
    </w:p>
    <w:p w14:paraId="0EC9148C" w14:textId="51953928" w:rsidR="00A80A83" w:rsidRPr="004C7CDA" w:rsidRDefault="00A80A83" w:rsidP="004C7CDA">
      <w:pPr>
        <w:widowControl w:val="0"/>
        <w:numPr>
          <w:ilvl w:val="0"/>
          <w:numId w:val="7"/>
        </w:numPr>
        <w:tabs>
          <w:tab w:val="clear" w:pos="284"/>
        </w:tabs>
        <w:rPr>
          <w:szCs w:val="22"/>
          <w:lang w:val="sr-Latn-ME"/>
        </w:rPr>
      </w:pPr>
      <w:r w:rsidRPr="004C7CDA">
        <w:rPr>
          <w:szCs w:val="22"/>
          <w:lang w:val="sr-Latn-ME"/>
        </w:rPr>
        <w:t>Već postojeća hiperosmo</w:t>
      </w:r>
      <w:r w:rsidR="008B3ED5" w:rsidRPr="004C7CDA">
        <w:rPr>
          <w:szCs w:val="22"/>
          <w:lang w:val="sr-Latn-ME"/>
        </w:rPr>
        <w:t>l</w:t>
      </w:r>
      <w:r w:rsidRPr="004C7CDA">
        <w:rPr>
          <w:szCs w:val="22"/>
          <w:lang w:val="sr-Latn-ME"/>
        </w:rPr>
        <w:t>arnost p</w:t>
      </w:r>
      <w:r w:rsidR="008B3ED5" w:rsidRPr="004C7CDA">
        <w:rPr>
          <w:szCs w:val="22"/>
          <w:lang w:val="sr-Latn-ME"/>
        </w:rPr>
        <w:t>l</w:t>
      </w:r>
      <w:r w:rsidRPr="004C7CDA">
        <w:rPr>
          <w:szCs w:val="22"/>
          <w:lang w:val="sr-Latn-ME"/>
        </w:rPr>
        <w:t>azme</w:t>
      </w:r>
    </w:p>
    <w:p w14:paraId="53260657" w14:textId="77777777" w:rsidR="00A80A83" w:rsidRPr="004C7CDA" w:rsidRDefault="00A80A83" w:rsidP="004C7CDA">
      <w:pPr>
        <w:widowControl w:val="0"/>
        <w:numPr>
          <w:ilvl w:val="0"/>
          <w:numId w:val="7"/>
        </w:numPr>
        <w:tabs>
          <w:tab w:val="clear" w:pos="284"/>
        </w:tabs>
        <w:rPr>
          <w:szCs w:val="22"/>
          <w:lang w:val="sr-Latn-ME"/>
        </w:rPr>
      </w:pPr>
      <w:r w:rsidRPr="004C7CDA">
        <w:rPr>
          <w:szCs w:val="22"/>
          <w:lang w:val="sr-Latn-ME"/>
        </w:rPr>
        <w:t>Teška dehidratacija</w:t>
      </w:r>
    </w:p>
    <w:p w14:paraId="1967B619" w14:textId="77777777" w:rsidR="00C76BE6" w:rsidRPr="004C7CDA" w:rsidRDefault="00C76BE6" w:rsidP="004C7CDA">
      <w:pPr>
        <w:widowControl w:val="0"/>
        <w:numPr>
          <w:ilvl w:val="0"/>
          <w:numId w:val="7"/>
        </w:numPr>
        <w:tabs>
          <w:tab w:val="clear" w:pos="284"/>
          <w:tab w:val="left" w:pos="709"/>
        </w:tabs>
        <w:rPr>
          <w:szCs w:val="22"/>
          <w:lang w:val="sr-Latn-ME"/>
        </w:rPr>
      </w:pPr>
      <w:r w:rsidRPr="004C7CDA">
        <w:rPr>
          <w:szCs w:val="22"/>
          <w:lang w:val="sr-Latn-ME"/>
        </w:rPr>
        <w:t>Potvrđena anurija</w:t>
      </w:r>
    </w:p>
    <w:p w14:paraId="3AC1A982" w14:textId="77777777" w:rsidR="00C76BE6" w:rsidRPr="004C7CDA" w:rsidRDefault="00C76BE6" w:rsidP="004C7CDA">
      <w:pPr>
        <w:widowControl w:val="0"/>
        <w:numPr>
          <w:ilvl w:val="0"/>
          <w:numId w:val="7"/>
        </w:numPr>
        <w:tabs>
          <w:tab w:val="clear" w:pos="284"/>
          <w:tab w:val="left" w:pos="709"/>
        </w:tabs>
        <w:rPr>
          <w:szCs w:val="22"/>
          <w:lang w:val="sr-Latn-ME"/>
        </w:rPr>
      </w:pPr>
      <w:r w:rsidRPr="004C7CDA">
        <w:rPr>
          <w:szCs w:val="22"/>
          <w:lang w:val="sr-Latn-ME"/>
        </w:rPr>
        <w:t>Teška srčana insuficijencija</w:t>
      </w:r>
    </w:p>
    <w:p w14:paraId="3290C48F" w14:textId="145E8C0D" w:rsidR="00C76BE6" w:rsidRPr="004C7CDA" w:rsidRDefault="00C76BE6" w:rsidP="004C7CDA">
      <w:pPr>
        <w:widowControl w:val="0"/>
        <w:numPr>
          <w:ilvl w:val="0"/>
          <w:numId w:val="7"/>
        </w:numPr>
        <w:tabs>
          <w:tab w:val="clear" w:pos="284"/>
          <w:tab w:val="left" w:pos="709"/>
        </w:tabs>
        <w:rPr>
          <w:szCs w:val="22"/>
          <w:lang w:val="sr-Latn-ME"/>
        </w:rPr>
      </w:pPr>
      <w:r w:rsidRPr="004C7CDA">
        <w:rPr>
          <w:szCs w:val="22"/>
          <w:lang w:val="sr-Latn-ME"/>
        </w:rPr>
        <w:t>Teška p</w:t>
      </w:r>
      <w:r w:rsidR="008B3ED5" w:rsidRPr="004C7CDA">
        <w:rPr>
          <w:szCs w:val="22"/>
          <w:lang w:val="sr-Latn-ME"/>
        </w:rPr>
        <w:t>l</w:t>
      </w:r>
      <w:r w:rsidRPr="004C7CDA">
        <w:rPr>
          <w:szCs w:val="22"/>
          <w:lang w:val="sr-Latn-ME"/>
        </w:rPr>
        <w:t>ućna kongestija i</w:t>
      </w:r>
      <w:r w:rsidR="008B3ED5" w:rsidRPr="004C7CDA">
        <w:rPr>
          <w:szCs w:val="22"/>
          <w:lang w:val="sr-Latn-ME"/>
        </w:rPr>
        <w:t>l</w:t>
      </w:r>
      <w:r w:rsidRPr="004C7CDA">
        <w:rPr>
          <w:szCs w:val="22"/>
          <w:lang w:val="sr-Latn-ME"/>
        </w:rPr>
        <w:t>i p</w:t>
      </w:r>
      <w:r w:rsidR="008B3ED5" w:rsidRPr="004C7CDA">
        <w:rPr>
          <w:szCs w:val="22"/>
          <w:lang w:val="sr-Latn-ME"/>
        </w:rPr>
        <w:t>l</w:t>
      </w:r>
      <w:r w:rsidRPr="004C7CDA">
        <w:rPr>
          <w:szCs w:val="22"/>
          <w:lang w:val="sr-Latn-ME"/>
        </w:rPr>
        <w:t>ućni edem</w:t>
      </w:r>
    </w:p>
    <w:p w14:paraId="76D15DBD" w14:textId="5F574585" w:rsidR="00C76BE6" w:rsidRPr="004C7CDA" w:rsidRDefault="00C76BE6" w:rsidP="004C7CDA">
      <w:pPr>
        <w:widowControl w:val="0"/>
        <w:numPr>
          <w:ilvl w:val="0"/>
          <w:numId w:val="7"/>
        </w:numPr>
        <w:tabs>
          <w:tab w:val="clear" w:pos="284"/>
        </w:tabs>
        <w:rPr>
          <w:szCs w:val="22"/>
          <w:lang w:val="sr-Latn-ME"/>
        </w:rPr>
      </w:pPr>
      <w:r w:rsidRPr="004C7CDA">
        <w:rPr>
          <w:szCs w:val="22"/>
          <w:lang w:val="sr-Latn-ME"/>
        </w:rPr>
        <w:t>Akutno intrakranija</w:t>
      </w:r>
      <w:r w:rsidR="008B3ED5" w:rsidRPr="004C7CDA">
        <w:rPr>
          <w:szCs w:val="22"/>
          <w:lang w:val="sr-Latn-ME"/>
        </w:rPr>
        <w:t>l</w:t>
      </w:r>
      <w:r w:rsidRPr="004C7CDA">
        <w:rPr>
          <w:szCs w:val="22"/>
          <w:lang w:val="sr-Latn-ME"/>
        </w:rPr>
        <w:t>no krvarenje, osim tokom kraniotomije</w:t>
      </w:r>
    </w:p>
    <w:p w14:paraId="590619EA" w14:textId="77777777" w:rsidR="00C76BE6" w:rsidRPr="004C7CDA" w:rsidRDefault="00C76BE6" w:rsidP="004C7CDA">
      <w:pPr>
        <w:widowControl w:val="0"/>
        <w:numPr>
          <w:ilvl w:val="0"/>
          <w:numId w:val="7"/>
        </w:numPr>
        <w:tabs>
          <w:tab w:val="clear" w:pos="284"/>
        </w:tabs>
        <w:rPr>
          <w:szCs w:val="22"/>
          <w:lang w:val="sr-Latn-ME"/>
        </w:rPr>
      </w:pPr>
      <w:r w:rsidRPr="004C7CDA">
        <w:rPr>
          <w:szCs w:val="22"/>
          <w:lang w:val="sr-Latn-ME"/>
        </w:rPr>
        <w:t>Narušena krvno-moždana barijera.</w:t>
      </w:r>
    </w:p>
    <w:p w14:paraId="502A689B" w14:textId="77777777" w:rsidR="00CE09F3" w:rsidRPr="004C7CDA" w:rsidRDefault="00CE09F3" w:rsidP="004C7CDA">
      <w:pPr>
        <w:widowControl w:val="0"/>
        <w:rPr>
          <w:szCs w:val="22"/>
          <w:lang w:val="sr-Latn-ME"/>
        </w:rPr>
      </w:pPr>
    </w:p>
    <w:p w14:paraId="05FBDB7A" w14:textId="1B3B0183" w:rsidR="00CE09F3" w:rsidRPr="004C7CDA" w:rsidRDefault="00CE09F3" w:rsidP="004C7CDA">
      <w:pPr>
        <w:widowControl w:val="0"/>
        <w:rPr>
          <w:b/>
          <w:bCs/>
          <w:szCs w:val="22"/>
          <w:lang w:val="sr-Latn-ME"/>
        </w:rPr>
      </w:pPr>
      <w:r w:rsidRPr="004C7CDA">
        <w:rPr>
          <w:b/>
          <w:bCs/>
          <w:szCs w:val="22"/>
          <w:lang w:val="sr-Latn-ME"/>
        </w:rPr>
        <w:t>4.4. Posebna upozorenja i m</w:t>
      </w:r>
      <w:r w:rsidR="003F7227" w:rsidRPr="004C7CDA">
        <w:rPr>
          <w:b/>
          <w:bCs/>
          <w:szCs w:val="22"/>
          <w:lang w:val="sr-Latn-ME"/>
        </w:rPr>
        <w:t>j</w:t>
      </w:r>
      <w:r w:rsidRPr="004C7CDA">
        <w:rPr>
          <w:b/>
          <w:bCs/>
          <w:szCs w:val="22"/>
          <w:lang w:val="sr-Latn-ME"/>
        </w:rPr>
        <w:t xml:space="preserve">ere opreza pri upotrebi </w:t>
      </w:r>
      <w:r w:rsidR="008B3ED5" w:rsidRPr="004C7CDA">
        <w:rPr>
          <w:b/>
          <w:bCs/>
          <w:szCs w:val="22"/>
          <w:lang w:val="sr-Latn-ME"/>
        </w:rPr>
        <w:t>l</w:t>
      </w:r>
      <w:r w:rsidR="003F7227" w:rsidRPr="004C7CDA">
        <w:rPr>
          <w:b/>
          <w:bCs/>
          <w:szCs w:val="22"/>
          <w:lang w:val="sr-Latn-ME"/>
        </w:rPr>
        <w:t>ij</w:t>
      </w:r>
      <w:r w:rsidRPr="004C7CDA">
        <w:rPr>
          <w:b/>
          <w:bCs/>
          <w:szCs w:val="22"/>
          <w:lang w:val="sr-Latn-ME"/>
        </w:rPr>
        <w:t>eka</w:t>
      </w:r>
    </w:p>
    <w:p w14:paraId="2A1F90A4" w14:textId="77777777" w:rsidR="00CE09F3" w:rsidRPr="004C7CDA" w:rsidRDefault="00CE09F3" w:rsidP="004C7CDA">
      <w:pPr>
        <w:widowControl w:val="0"/>
        <w:rPr>
          <w:szCs w:val="22"/>
          <w:lang w:val="sr-Latn-ME"/>
        </w:rPr>
      </w:pPr>
    </w:p>
    <w:p w14:paraId="17FCBBB2" w14:textId="77777777" w:rsidR="00A80A83" w:rsidRPr="004C7CDA" w:rsidRDefault="00A80A83" w:rsidP="004C7CDA">
      <w:pPr>
        <w:pStyle w:val="ListParagraph"/>
        <w:widowControl w:val="0"/>
        <w:ind w:left="0"/>
        <w:rPr>
          <w:szCs w:val="22"/>
          <w:lang w:val="sr-Latn-ME"/>
        </w:rPr>
      </w:pPr>
      <w:r w:rsidRPr="004C7CDA">
        <w:rPr>
          <w:b/>
          <w:szCs w:val="22"/>
          <w:u w:val="single"/>
          <w:lang w:val="sr-Latn-ME"/>
        </w:rPr>
        <w:t>Upozorenja</w:t>
      </w:r>
    </w:p>
    <w:p w14:paraId="55B96684" w14:textId="77777777" w:rsidR="00A80A83" w:rsidRPr="004C7CDA" w:rsidRDefault="00A80A83" w:rsidP="004C7CDA">
      <w:pPr>
        <w:widowControl w:val="0"/>
        <w:rPr>
          <w:szCs w:val="22"/>
          <w:lang w:val="sr-Latn-ME"/>
        </w:rPr>
      </w:pPr>
    </w:p>
    <w:p w14:paraId="449EC166" w14:textId="74713158" w:rsidR="00A80A83" w:rsidRPr="004C7CDA" w:rsidRDefault="00A80A83" w:rsidP="004C7CDA">
      <w:pPr>
        <w:widowControl w:val="0"/>
        <w:tabs>
          <w:tab w:val="clear" w:pos="284"/>
        </w:tabs>
        <w:rPr>
          <w:szCs w:val="22"/>
          <w:u w:val="single"/>
          <w:lang w:val="sr-Latn-ME"/>
        </w:rPr>
      </w:pPr>
      <w:r w:rsidRPr="004C7CDA">
        <w:rPr>
          <w:szCs w:val="22"/>
          <w:u w:val="single"/>
          <w:lang w:val="sr-Latn-ME"/>
        </w:rPr>
        <w:t>Preos</w:t>
      </w:r>
      <w:r w:rsidR="003F7227" w:rsidRPr="004C7CDA">
        <w:rPr>
          <w:szCs w:val="22"/>
          <w:u w:val="single"/>
          <w:lang w:val="sr-Latn-ME"/>
        </w:rPr>
        <w:t>j</w:t>
      </w:r>
      <w:r w:rsidRPr="004C7CDA">
        <w:rPr>
          <w:szCs w:val="22"/>
          <w:u w:val="single"/>
          <w:lang w:val="sr-Latn-ME"/>
        </w:rPr>
        <w:t>et</w:t>
      </w:r>
      <w:r w:rsidR="008B3ED5" w:rsidRPr="004C7CDA">
        <w:rPr>
          <w:szCs w:val="22"/>
          <w:u w:val="single"/>
          <w:lang w:val="sr-Latn-ME"/>
        </w:rPr>
        <w:t>l</w:t>
      </w:r>
      <w:r w:rsidRPr="004C7CDA">
        <w:rPr>
          <w:szCs w:val="22"/>
          <w:u w:val="single"/>
          <w:lang w:val="sr-Latn-ME"/>
        </w:rPr>
        <w:t>jivost</w:t>
      </w:r>
    </w:p>
    <w:p w14:paraId="384DA691" w14:textId="41A486EF" w:rsidR="00A80A83" w:rsidRPr="004C7CDA" w:rsidRDefault="003F7227" w:rsidP="004C7CDA">
      <w:pPr>
        <w:pStyle w:val="ListParagraph"/>
        <w:widowControl w:val="0"/>
        <w:ind w:left="0"/>
        <w:rPr>
          <w:szCs w:val="22"/>
          <w:lang w:val="sr-Latn-ME"/>
        </w:rPr>
      </w:pPr>
      <w:r w:rsidRPr="004C7CDA">
        <w:rPr>
          <w:szCs w:val="22"/>
          <w:lang w:val="sr-Latn-ME"/>
        </w:rPr>
        <w:t>Zabi</w:t>
      </w:r>
      <w:r w:rsidR="008B3ED5" w:rsidRPr="004C7CDA">
        <w:rPr>
          <w:szCs w:val="22"/>
          <w:lang w:val="sr-Latn-ME"/>
        </w:rPr>
        <w:t>l</w:t>
      </w:r>
      <w:r w:rsidRPr="004C7CDA">
        <w:rPr>
          <w:szCs w:val="22"/>
          <w:lang w:val="sr-Latn-ME"/>
        </w:rPr>
        <w:t>j</w:t>
      </w:r>
      <w:r w:rsidR="00A80A83" w:rsidRPr="004C7CDA">
        <w:rPr>
          <w:szCs w:val="22"/>
          <w:lang w:val="sr-Latn-ME"/>
        </w:rPr>
        <w:t>ežene su anafi</w:t>
      </w:r>
      <w:r w:rsidR="008B3ED5" w:rsidRPr="004C7CDA">
        <w:rPr>
          <w:szCs w:val="22"/>
          <w:lang w:val="sr-Latn-ME"/>
        </w:rPr>
        <w:t>l</w:t>
      </w:r>
      <w:r w:rsidR="00A80A83" w:rsidRPr="004C7CDA">
        <w:rPr>
          <w:szCs w:val="22"/>
          <w:lang w:val="sr-Latn-ME"/>
        </w:rPr>
        <w:t>aktičke/anafi</w:t>
      </w:r>
      <w:r w:rsidR="008B3ED5" w:rsidRPr="004C7CDA">
        <w:rPr>
          <w:szCs w:val="22"/>
          <w:lang w:val="sr-Latn-ME"/>
        </w:rPr>
        <w:t>l</w:t>
      </w:r>
      <w:r w:rsidR="00A80A83" w:rsidRPr="004C7CDA">
        <w:rPr>
          <w:szCs w:val="22"/>
          <w:lang w:val="sr-Latn-ME"/>
        </w:rPr>
        <w:t xml:space="preserve">aktoidne </w:t>
      </w:r>
      <w:r w:rsidR="00DE446D" w:rsidRPr="004C7CDA">
        <w:rPr>
          <w:szCs w:val="22"/>
          <w:lang w:val="sr-Latn-ME"/>
        </w:rPr>
        <w:t>reakcije, uk</w:t>
      </w:r>
      <w:r w:rsidR="008B3ED5" w:rsidRPr="004C7CDA">
        <w:rPr>
          <w:szCs w:val="22"/>
          <w:lang w:val="sr-Latn-ME"/>
        </w:rPr>
        <w:t>l</w:t>
      </w:r>
      <w:r w:rsidR="00DE446D" w:rsidRPr="004C7CDA">
        <w:rPr>
          <w:szCs w:val="22"/>
          <w:lang w:val="sr-Latn-ME"/>
        </w:rPr>
        <w:t>jučujući anafi</w:t>
      </w:r>
      <w:r w:rsidR="008B3ED5" w:rsidRPr="004C7CDA">
        <w:rPr>
          <w:szCs w:val="22"/>
          <w:lang w:val="sr-Latn-ME"/>
        </w:rPr>
        <w:t>l</w:t>
      </w:r>
      <w:r w:rsidR="00DE446D" w:rsidRPr="004C7CDA">
        <w:rPr>
          <w:szCs w:val="22"/>
          <w:lang w:val="sr-Latn-ME"/>
        </w:rPr>
        <w:t>aktički šok</w:t>
      </w:r>
      <w:r w:rsidR="00A80A83" w:rsidRPr="004C7CDA">
        <w:rPr>
          <w:szCs w:val="22"/>
          <w:lang w:val="sr-Latn-ME"/>
        </w:rPr>
        <w:t>, kao i druge reakcije preos</w:t>
      </w:r>
      <w:r w:rsidR="00017136" w:rsidRPr="004C7CDA">
        <w:rPr>
          <w:szCs w:val="22"/>
          <w:lang w:val="sr-Latn-ME"/>
        </w:rPr>
        <w:t>j</w:t>
      </w:r>
      <w:r w:rsidR="00A80A83" w:rsidRPr="004C7CDA">
        <w:rPr>
          <w:szCs w:val="22"/>
          <w:lang w:val="sr-Latn-ME"/>
        </w:rPr>
        <w:t>et</w:t>
      </w:r>
      <w:r w:rsidR="008B3ED5" w:rsidRPr="004C7CDA">
        <w:rPr>
          <w:szCs w:val="22"/>
          <w:lang w:val="sr-Latn-ME"/>
        </w:rPr>
        <w:t>l</w:t>
      </w:r>
      <w:r w:rsidR="00A80A83" w:rsidRPr="004C7CDA">
        <w:rPr>
          <w:szCs w:val="22"/>
          <w:lang w:val="sr-Latn-ME"/>
        </w:rPr>
        <w:t xml:space="preserve">jivosti i reakcije </w:t>
      </w:r>
      <w:r w:rsidR="00DE446D" w:rsidRPr="004C7CDA">
        <w:rPr>
          <w:szCs w:val="22"/>
          <w:lang w:val="sr-Latn-ME"/>
        </w:rPr>
        <w:t>na infuziju. Prijav</w:t>
      </w:r>
      <w:r w:rsidR="008B3ED5" w:rsidRPr="004C7CDA">
        <w:rPr>
          <w:szCs w:val="22"/>
          <w:lang w:val="sr-Latn-ME"/>
        </w:rPr>
        <w:t>l</w:t>
      </w:r>
      <w:r w:rsidR="00DE446D" w:rsidRPr="004C7CDA">
        <w:rPr>
          <w:szCs w:val="22"/>
          <w:lang w:val="sr-Latn-ME"/>
        </w:rPr>
        <w:t>jen</w:t>
      </w:r>
      <w:r w:rsidR="0058169A" w:rsidRPr="004C7CDA">
        <w:rPr>
          <w:szCs w:val="22"/>
          <w:lang w:val="sr-Latn-ME"/>
        </w:rPr>
        <w:t>a</w:t>
      </w:r>
      <w:r w:rsidR="00DE446D" w:rsidRPr="004C7CDA">
        <w:rPr>
          <w:szCs w:val="22"/>
          <w:lang w:val="sr-Latn-ME"/>
        </w:rPr>
        <w:t xml:space="preserve"> je reakcija sa</w:t>
      </w:r>
      <w:r w:rsidR="00A80A83" w:rsidRPr="004C7CDA">
        <w:rPr>
          <w:szCs w:val="22"/>
          <w:lang w:val="sr-Latn-ME"/>
        </w:rPr>
        <w:t xml:space="preserve"> smrtni</w:t>
      </w:r>
      <w:r w:rsidR="00DE446D" w:rsidRPr="004C7CDA">
        <w:rPr>
          <w:szCs w:val="22"/>
          <w:lang w:val="sr-Latn-ME"/>
        </w:rPr>
        <w:t>m</w:t>
      </w:r>
      <w:r w:rsidR="00A80A83" w:rsidRPr="004C7CDA">
        <w:rPr>
          <w:szCs w:val="22"/>
          <w:lang w:val="sr-Latn-ME"/>
        </w:rPr>
        <w:t xml:space="preserve"> ishod</w:t>
      </w:r>
      <w:r w:rsidR="00DE446D" w:rsidRPr="004C7CDA">
        <w:rPr>
          <w:szCs w:val="22"/>
          <w:lang w:val="sr-Latn-ME"/>
        </w:rPr>
        <w:t>om</w:t>
      </w:r>
      <w:r w:rsidR="00A80A83" w:rsidRPr="004C7CDA">
        <w:rPr>
          <w:szCs w:val="22"/>
          <w:lang w:val="sr-Latn-ME"/>
        </w:rPr>
        <w:t xml:space="preserve"> (</w:t>
      </w:r>
      <w:r w:rsidR="008B3ED5" w:rsidRPr="004C7CDA">
        <w:rPr>
          <w:szCs w:val="22"/>
          <w:lang w:val="sr-Latn-ME"/>
        </w:rPr>
        <w:t xml:space="preserve">pogledati dio </w:t>
      </w:r>
      <w:r w:rsidR="00A80A83" w:rsidRPr="004C7CDA">
        <w:rPr>
          <w:szCs w:val="22"/>
          <w:lang w:val="sr-Latn-ME"/>
        </w:rPr>
        <w:t>4.8).</w:t>
      </w:r>
    </w:p>
    <w:p w14:paraId="15FBE238" w14:textId="77777777" w:rsidR="00A80A83" w:rsidRPr="004C7CDA" w:rsidRDefault="00A80A83" w:rsidP="004C7CDA">
      <w:pPr>
        <w:pStyle w:val="ListParagraph"/>
        <w:widowControl w:val="0"/>
        <w:ind w:left="0"/>
        <w:rPr>
          <w:szCs w:val="22"/>
          <w:lang w:val="sr-Latn-ME"/>
        </w:rPr>
      </w:pPr>
    </w:p>
    <w:p w14:paraId="7B223424" w14:textId="5C21BE8C" w:rsidR="00A80A83" w:rsidRPr="004C7CDA" w:rsidRDefault="00A80A83" w:rsidP="004C7CDA">
      <w:pPr>
        <w:pStyle w:val="ListParagraph"/>
        <w:widowControl w:val="0"/>
        <w:ind w:left="0"/>
        <w:rPr>
          <w:szCs w:val="22"/>
          <w:lang w:val="sr-Latn-ME"/>
        </w:rPr>
      </w:pPr>
      <w:r w:rsidRPr="004C7CDA">
        <w:rPr>
          <w:szCs w:val="22"/>
          <w:lang w:val="sr-Latn-ME"/>
        </w:rPr>
        <w:t>Uko</w:t>
      </w:r>
      <w:r w:rsidR="008B3ED5" w:rsidRPr="004C7CDA">
        <w:rPr>
          <w:szCs w:val="22"/>
          <w:lang w:val="sr-Latn-ME"/>
        </w:rPr>
        <w:t>l</w:t>
      </w:r>
      <w:r w:rsidRPr="004C7CDA">
        <w:rPr>
          <w:szCs w:val="22"/>
          <w:lang w:val="sr-Latn-ME"/>
        </w:rPr>
        <w:t>iko se pojave bi</w:t>
      </w:r>
      <w:r w:rsidR="008B3ED5" w:rsidRPr="004C7CDA">
        <w:rPr>
          <w:szCs w:val="22"/>
          <w:lang w:val="sr-Latn-ME"/>
        </w:rPr>
        <w:t>l</w:t>
      </w:r>
      <w:r w:rsidRPr="004C7CDA">
        <w:rPr>
          <w:szCs w:val="22"/>
          <w:lang w:val="sr-Latn-ME"/>
        </w:rPr>
        <w:t>o kakvi znaci i</w:t>
      </w:r>
      <w:r w:rsidR="008B3ED5" w:rsidRPr="004C7CDA">
        <w:rPr>
          <w:szCs w:val="22"/>
          <w:lang w:val="sr-Latn-ME"/>
        </w:rPr>
        <w:t>l</w:t>
      </w:r>
      <w:r w:rsidRPr="004C7CDA">
        <w:rPr>
          <w:szCs w:val="22"/>
          <w:lang w:val="sr-Latn-ME"/>
        </w:rPr>
        <w:t>i simptomi koji navode na sumnju na reakciju preos</w:t>
      </w:r>
      <w:r w:rsidR="00017136" w:rsidRPr="004C7CDA">
        <w:rPr>
          <w:szCs w:val="22"/>
          <w:lang w:val="sr-Latn-ME"/>
        </w:rPr>
        <w:t>j</w:t>
      </w:r>
      <w:r w:rsidRPr="004C7CDA">
        <w:rPr>
          <w:szCs w:val="22"/>
          <w:lang w:val="sr-Latn-ME"/>
        </w:rPr>
        <w:t>et</w:t>
      </w:r>
      <w:r w:rsidR="008B3ED5" w:rsidRPr="004C7CDA">
        <w:rPr>
          <w:szCs w:val="22"/>
          <w:lang w:val="sr-Latn-ME"/>
        </w:rPr>
        <w:t>l</w:t>
      </w:r>
      <w:r w:rsidRPr="004C7CDA">
        <w:rPr>
          <w:szCs w:val="22"/>
          <w:lang w:val="sr-Latn-ME"/>
        </w:rPr>
        <w:t>jivosti, infuzija se odmah mora obustaviti. Adekvatne terapijske protivm</w:t>
      </w:r>
      <w:r w:rsidR="002F60F7" w:rsidRPr="004C7CDA">
        <w:rPr>
          <w:szCs w:val="22"/>
          <w:lang w:val="sr-Latn-ME"/>
        </w:rPr>
        <w:t>j</w:t>
      </w:r>
      <w:r w:rsidRPr="004C7CDA">
        <w:rPr>
          <w:szCs w:val="22"/>
          <w:lang w:val="sr-Latn-ME"/>
        </w:rPr>
        <w:t>ere moraju odmah da se uvedu, u sk</w:t>
      </w:r>
      <w:r w:rsidR="008B3ED5" w:rsidRPr="004C7CDA">
        <w:rPr>
          <w:szCs w:val="22"/>
          <w:lang w:val="sr-Latn-ME"/>
        </w:rPr>
        <w:t>l</w:t>
      </w:r>
      <w:r w:rsidRPr="004C7CDA">
        <w:rPr>
          <w:szCs w:val="22"/>
          <w:lang w:val="sr-Latn-ME"/>
        </w:rPr>
        <w:t>adu sa k</w:t>
      </w:r>
      <w:r w:rsidR="008B3ED5" w:rsidRPr="004C7CDA">
        <w:rPr>
          <w:szCs w:val="22"/>
          <w:lang w:val="sr-Latn-ME"/>
        </w:rPr>
        <w:t>l</w:t>
      </w:r>
      <w:r w:rsidRPr="004C7CDA">
        <w:rPr>
          <w:szCs w:val="22"/>
          <w:lang w:val="sr-Latn-ME"/>
        </w:rPr>
        <w:t>iničkim preporukama.</w:t>
      </w:r>
    </w:p>
    <w:p w14:paraId="6A3732F3" w14:textId="77777777" w:rsidR="00A80A83" w:rsidRPr="004C7CDA" w:rsidRDefault="00A80A83" w:rsidP="004C7CDA">
      <w:pPr>
        <w:pStyle w:val="ListParagraph"/>
        <w:widowControl w:val="0"/>
        <w:ind w:left="0"/>
        <w:rPr>
          <w:szCs w:val="22"/>
          <w:lang w:val="sr-Latn-ME"/>
        </w:rPr>
      </w:pPr>
    </w:p>
    <w:p w14:paraId="62AA8771" w14:textId="35813ECD" w:rsidR="00A80A83" w:rsidRPr="004C7CDA" w:rsidRDefault="00A80A83" w:rsidP="004C7CDA">
      <w:pPr>
        <w:pStyle w:val="ListParagraph"/>
        <w:widowControl w:val="0"/>
        <w:ind w:left="0"/>
        <w:rPr>
          <w:szCs w:val="22"/>
          <w:lang w:val="sr-Latn-ME"/>
        </w:rPr>
      </w:pPr>
      <w:r w:rsidRPr="004C7CDA">
        <w:rPr>
          <w:szCs w:val="22"/>
          <w:lang w:val="sr-Latn-ME"/>
        </w:rPr>
        <w:t>Manito</w:t>
      </w:r>
      <w:r w:rsidR="008B3ED5" w:rsidRPr="004C7CDA">
        <w:rPr>
          <w:szCs w:val="22"/>
          <w:lang w:val="sr-Latn-ME"/>
        </w:rPr>
        <w:t>l</w:t>
      </w:r>
      <w:r w:rsidRPr="004C7CDA">
        <w:rPr>
          <w:szCs w:val="22"/>
          <w:lang w:val="sr-Latn-ME"/>
        </w:rPr>
        <w:t xml:space="preserve">a ima u prirodi (npr. u nekim vrstama voća i povrća) i u širokoj je upotrebi kao pomoćna supstanca u </w:t>
      </w:r>
      <w:r w:rsidR="008B3ED5" w:rsidRPr="004C7CDA">
        <w:rPr>
          <w:szCs w:val="22"/>
          <w:lang w:val="sr-Latn-ME"/>
        </w:rPr>
        <w:t>l</w:t>
      </w:r>
      <w:r w:rsidR="00017136" w:rsidRPr="004C7CDA">
        <w:rPr>
          <w:szCs w:val="22"/>
          <w:lang w:val="sr-Latn-ME"/>
        </w:rPr>
        <w:t>je</w:t>
      </w:r>
      <w:r w:rsidRPr="004C7CDA">
        <w:rPr>
          <w:szCs w:val="22"/>
          <w:lang w:val="sr-Latn-ME"/>
        </w:rPr>
        <w:t>kovima i kozmetici. Iz tog raz</w:t>
      </w:r>
      <w:r w:rsidR="008B3ED5" w:rsidRPr="004C7CDA">
        <w:rPr>
          <w:szCs w:val="22"/>
          <w:lang w:val="sr-Latn-ME"/>
        </w:rPr>
        <w:t>l</w:t>
      </w:r>
      <w:r w:rsidRPr="004C7CDA">
        <w:rPr>
          <w:szCs w:val="22"/>
          <w:lang w:val="sr-Latn-ME"/>
        </w:rPr>
        <w:t>oga, pacijenti mogu da budu senzibi</w:t>
      </w:r>
      <w:r w:rsidR="008B3ED5" w:rsidRPr="004C7CDA">
        <w:rPr>
          <w:szCs w:val="22"/>
          <w:lang w:val="sr-Latn-ME"/>
        </w:rPr>
        <w:t>l</w:t>
      </w:r>
      <w:r w:rsidRPr="004C7CDA">
        <w:rPr>
          <w:szCs w:val="22"/>
          <w:lang w:val="sr-Latn-ME"/>
        </w:rPr>
        <w:t>isani, a da prethodno ni</w:t>
      </w:r>
      <w:r w:rsidR="002F60F7" w:rsidRPr="004C7CDA">
        <w:rPr>
          <w:szCs w:val="22"/>
          <w:lang w:val="sr-Latn-ME"/>
        </w:rPr>
        <w:t>je</w:t>
      </w:r>
      <w:r w:rsidRPr="004C7CDA">
        <w:rPr>
          <w:szCs w:val="22"/>
          <w:lang w:val="sr-Latn-ME"/>
        </w:rPr>
        <w:t>su prima</w:t>
      </w:r>
      <w:r w:rsidR="008B3ED5" w:rsidRPr="004C7CDA">
        <w:rPr>
          <w:szCs w:val="22"/>
          <w:lang w:val="sr-Latn-ME"/>
        </w:rPr>
        <w:t>l</w:t>
      </w:r>
      <w:r w:rsidRPr="004C7CDA">
        <w:rPr>
          <w:szCs w:val="22"/>
          <w:lang w:val="sr-Latn-ME"/>
        </w:rPr>
        <w:t>i intravensku terapiju koja u svom sastavu sadrži manito</w:t>
      </w:r>
      <w:r w:rsidR="008B3ED5" w:rsidRPr="004C7CDA">
        <w:rPr>
          <w:szCs w:val="22"/>
          <w:lang w:val="sr-Latn-ME"/>
        </w:rPr>
        <w:t>l</w:t>
      </w:r>
      <w:r w:rsidRPr="004C7CDA">
        <w:rPr>
          <w:szCs w:val="22"/>
          <w:lang w:val="sr-Latn-ME"/>
        </w:rPr>
        <w:t xml:space="preserve">. </w:t>
      </w:r>
    </w:p>
    <w:p w14:paraId="431ADADC" w14:textId="77777777" w:rsidR="00A80A83" w:rsidRPr="004C7CDA" w:rsidRDefault="00A80A83" w:rsidP="004C7CDA">
      <w:pPr>
        <w:pStyle w:val="ListParagraph"/>
        <w:widowControl w:val="0"/>
        <w:ind w:left="0"/>
        <w:rPr>
          <w:szCs w:val="22"/>
          <w:lang w:val="sr-Latn-ME"/>
        </w:rPr>
      </w:pPr>
    </w:p>
    <w:p w14:paraId="784AF778" w14:textId="0EF69589" w:rsidR="00A80A83" w:rsidRPr="004C7CDA" w:rsidRDefault="00A80A83" w:rsidP="004C7CDA">
      <w:pPr>
        <w:widowControl w:val="0"/>
        <w:tabs>
          <w:tab w:val="clear" w:pos="284"/>
        </w:tabs>
        <w:rPr>
          <w:szCs w:val="22"/>
          <w:u w:val="single"/>
          <w:lang w:val="sr-Latn-ME"/>
        </w:rPr>
      </w:pPr>
      <w:r w:rsidRPr="004C7CDA">
        <w:rPr>
          <w:szCs w:val="22"/>
          <w:u w:val="single"/>
          <w:lang w:val="sr-Latn-ME"/>
        </w:rPr>
        <w:t>Toksični uticaj na centra</w:t>
      </w:r>
      <w:r w:rsidR="008B3ED5" w:rsidRPr="004C7CDA">
        <w:rPr>
          <w:szCs w:val="22"/>
          <w:u w:val="single"/>
          <w:lang w:val="sr-Latn-ME"/>
        </w:rPr>
        <w:t>l</w:t>
      </w:r>
      <w:r w:rsidRPr="004C7CDA">
        <w:rPr>
          <w:szCs w:val="22"/>
          <w:u w:val="single"/>
          <w:lang w:val="sr-Latn-ME"/>
        </w:rPr>
        <w:t>ni nervni sistem (CNS)</w:t>
      </w:r>
    </w:p>
    <w:p w14:paraId="22E2A210" w14:textId="3A7631C4" w:rsidR="00A80A83" w:rsidRPr="004C7CDA" w:rsidRDefault="00017136" w:rsidP="004C7CDA">
      <w:pPr>
        <w:pStyle w:val="ListParagraph"/>
        <w:widowControl w:val="0"/>
        <w:ind w:left="0"/>
        <w:rPr>
          <w:szCs w:val="22"/>
          <w:lang w:val="sr-Latn-ME"/>
        </w:rPr>
      </w:pPr>
      <w:r w:rsidRPr="004C7CDA">
        <w:rPr>
          <w:szCs w:val="22"/>
          <w:lang w:val="sr-Latn-ME"/>
        </w:rPr>
        <w:t>Zabi</w:t>
      </w:r>
      <w:r w:rsidR="008B3ED5" w:rsidRPr="004C7CDA">
        <w:rPr>
          <w:szCs w:val="22"/>
          <w:lang w:val="sr-Latn-ME"/>
        </w:rPr>
        <w:t>l</w:t>
      </w:r>
      <w:r w:rsidRPr="004C7CDA">
        <w:rPr>
          <w:szCs w:val="22"/>
          <w:lang w:val="sr-Latn-ME"/>
        </w:rPr>
        <w:t>j</w:t>
      </w:r>
      <w:r w:rsidR="00A80A83" w:rsidRPr="004C7CDA">
        <w:rPr>
          <w:szCs w:val="22"/>
          <w:lang w:val="sr-Latn-ME"/>
        </w:rPr>
        <w:t>ežen je toksični uticaj na CNS koji se ispo</w:t>
      </w:r>
      <w:r w:rsidR="008B3ED5" w:rsidRPr="004C7CDA">
        <w:rPr>
          <w:szCs w:val="22"/>
          <w:lang w:val="sr-Latn-ME"/>
        </w:rPr>
        <w:t>l</w:t>
      </w:r>
      <w:r w:rsidR="00A80A83" w:rsidRPr="004C7CDA">
        <w:rPr>
          <w:szCs w:val="22"/>
          <w:lang w:val="sr-Latn-ME"/>
        </w:rPr>
        <w:t xml:space="preserve">java npr. konfuzijom, </w:t>
      </w:r>
      <w:r w:rsidR="008B3ED5" w:rsidRPr="004C7CDA">
        <w:rPr>
          <w:szCs w:val="22"/>
          <w:lang w:val="sr-Latn-ME"/>
        </w:rPr>
        <w:t>l</w:t>
      </w:r>
      <w:r w:rsidR="00A80A83" w:rsidRPr="004C7CDA">
        <w:rPr>
          <w:szCs w:val="22"/>
          <w:lang w:val="sr-Latn-ME"/>
        </w:rPr>
        <w:t xml:space="preserve">etargijom, komom kod pacijenata koji su </w:t>
      </w:r>
      <w:r w:rsidR="008B3ED5" w:rsidRPr="004C7CDA">
        <w:rPr>
          <w:szCs w:val="22"/>
          <w:lang w:val="sr-Latn-ME"/>
        </w:rPr>
        <w:t>l</w:t>
      </w:r>
      <w:r w:rsidRPr="004C7CDA">
        <w:rPr>
          <w:szCs w:val="22"/>
          <w:lang w:val="sr-Latn-ME"/>
        </w:rPr>
        <w:t>ij</w:t>
      </w:r>
      <w:r w:rsidR="00A80A83" w:rsidRPr="004C7CDA">
        <w:rPr>
          <w:szCs w:val="22"/>
          <w:lang w:val="sr-Latn-ME"/>
        </w:rPr>
        <w:t>ečeni manito</w:t>
      </w:r>
      <w:r w:rsidR="008B3ED5" w:rsidRPr="004C7CDA">
        <w:rPr>
          <w:szCs w:val="22"/>
          <w:lang w:val="sr-Latn-ME"/>
        </w:rPr>
        <w:t>l</w:t>
      </w:r>
      <w:r w:rsidR="00A80A83" w:rsidRPr="004C7CDA">
        <w:rPr>
          <w:szCs w:val="22"/>
          <w:lang w:val="sr-Latn-ME"/>
        </w:rPr>
        <w:t>om, a pogotov</w:t>
      </w:r>
      <w:r w:rsidR="002F60F7" w:rsidRPr="004C7CDA">
        <w:rPr>
          <w:szCs w:val="22"/>
          <w:lang w:val="sr-Latn-ME"/>
        </w:rPr>
        <w:t>o</w:t>
      </w:r>
      <w:r w:rsidR="00A80A83" w:rsidRPr="004C7CDA">
        <w:rPr>
          <w:szCs w:val="22"/>
          <w:lang w:val="sr-Latn-ME"/>
        </w:rPr>
        <w:t xml:space="preserve"> kod pacijenata sa već postojećim poremećajem funkcije</w:t>
      </w:r>
      <w:r w:rsidR="00425A2B" w:rsidRPr="004C7CDA">
        <w:rPr>
          <w:szCs w:val="22"/>
          <w:lang w:val="sr-Latn-ME"/>
        </w:rPr>
        <w:t xml:space="preserve"> bubrega</w:t>
      </w:r>
      <w:r w:rsidR="00A80A83" w:rsidRPr="004C7CDA">
        <w:rPr>
          <w:szCs w:val="22"/>
          <w:lang w:val="sr-Latn-ME"/>
        </w:rPr>
        <w:t>. Prijav</w:t>
      </w:r>
      <w:r w:rsidR="008B3ED5" w:rsidRPr="004C7CDA">
        <w:rPr>
          <w:szCs w:val="22"/>
          <w:lang w:val="sr-Latn-ME"/>
        </w:rPr>
        <w:t>l</w:t>
      </w:r>
      <w:r w:rsidR="00A80A83" w:rsidRPr="004C7CDA">
        <w:rPr>
          <w:szCs w:val="22"/>
          <w:lang w:val="sr-Latn-ME"/>
        </w:rPr>
        <w:t xml:space="preserve">jeni su i smrtni ishodi. </w:t>
      </w:r>
    </w:p>
    <w:p w14:paraId="6B7004F8" w14:textId="77777777" w:rsidR="00A80A83" w:rsidRPr="004C7CDA" w:rsidRDefault="00A80A83" w:rsidP="004C7CDA">
      <w:pPr>
        <w:pStyle w:val="ListParagraph"/>
        <w:widowControl w:val="0"/>
        <w:ind w:left="0"/>
        <w:rPr>
          <w:szCs w:val="22"/>
          <w:lang w:val="sr-Latn-ME"/>
        </w:rPr>
      </w:pPr>
    </w:p>
    <w:p w14:paraId="437B9109" w14:textId="08EB8430" w:rsidR="00A80A83" w:rsidRPr="004C7CDA" w:rsidRDefault="00A80A83" w:rsidP="004C7CDA">
      <w:pPr>
        <w:pStyle w:val="ListParagraph"/>
        <w:widowControl w:val="0"/>
        <w:ind w:left="0"/>
        <w:rPr>
          <w:szCs w:val="22"/>
          <w:lang w:val="sr-Latn-ME"/>
        </w:rPr>
      </w:pPr>
      <w:r w:rsidRPr="004C7CDA">
        <w:rPr>
          <w:szCs w:val="22"/>
          <w:lang w:val="sr-Latn-ME"/>
        </w:rPr>
        <w:t>CNS toksičnost može da nastane kao pos</w:t>
      </w:r>
      <w:r w:rsidR="008B3ED5" w:rsidRPr="004C7CDA">
        <w:rPr>
          <w:szCs w:val="22"/>
          <w:lang w:val="sr-Latn-ME"/>
        </w:rPr>
        <w:t>l</w:t>
      </w:r>
      <w:r w:rsidR="002F60F7" w:rsidRPr="004C7CDA">
        <w:rPr>
          <w:szCs w:val="22"/>
          <w:lang w:val="sr-Latn-ME"/>
        </w:rPr>
        <w:t>j</w:t>
      </w:r>
      <w:r w:rsidRPr="004C7CDA">
        <w:rPr>
          <w:szCs w:val="22"/>
          <w:lang w:val="sr-Latn-ME"/>
        </w:rPr>
        <w:t>edica:</w:t>
      </w:r>
    </w:p>
    <w:p w14:paraId="5A45204E" w14:textId="208D3891" w:rsidR="00501360" w:rsidRPr="004C7CDA" w:rsidRDefault="00501360" w:rsidP="004C7CDA">
      <w:pPr>
        <w:pStyle w:val="ListParagraph"/>
        <w:widowControl w:val="0"/>
        <w:numPr>
          <w:ilvl w:val="0"/>
          <w:numId w:val="9"/>
        </w:numPr>
        <w:tabs>
          <w:tab w:val="clear" w:pos="284"/>
        </w:tabs>
        <w:ind w:left="284" w:hanging="284"/>
        <w:rPr>
          <w:szCs w:val="22"/>
          <w:lang w:val="sr-Latn-ME"/>
        </w:rPr>
      </w:pPr>
      <w:r w:rsidRPr="004C7CDA">
        <w:rPr>
          <w:szCs w:val="22"/>
          <w:lang w:val="sr-Latn-ME"/>
        </w:rPr>
        <w:t>visoke koncentracije manito</w:t>
      </w:r>
      <w:r w:rsidR="008B3ED5" w:rsidRPr="004C7CDA">
        <w:rPr>
          <w:szCs w:val="22"/>
          <w:lang w:val="sr-Latn-ME"/>
        </w:rPr>
        <w:t>l</w:t>
      </w:r>
      <w:r w:rsidRPr="004C7CDA">
        <w:rPr>
          <w:szCs w:val="22"/>
          <w:lang w:val="sr-Latn-ME"/>
        </w:rPr>
        <w:t xml:space="preserve">a u serumu, </w:t>
      </w:r>
    </w:p>
    <w:p w14:paraId="28F53005" w14:textId="348AB98B" w:rsidR="00501360" w:rsidRPr="004C7CDA" w:rsidRDefault="00501360" w:rsidP="004C7CDA">
      <w:pPr>
        <w:pStyle w:val="ListParagraph"/>
        <w:widowControl w:val="0"/>
        <w:numPr>
          <w:ilvl w:val="0"/>
          <w:numId w:val="9"/>
        </w:numPr>
        <w:tabs>
          <w:tab w:val="clear" w:pos="284"/>
        </w:tabs>
        <w:ind w:left="284" w:hanging="284"/>
        <w:rPr>
          <w:szCs w:val="22"/>
          <w:lang w:val="sr-Latn-ME"/>
        </w:rPr>
      </w:pPr>
      <w:r w:rsidRPr="004C7CDA">
        <w:rPr>
          <w:szCs w:val="22"/>
          <w:lang w:val="sr-Latn-ME"/>
        </w:rPr>
        <w:t>hiperosmo</w:t>
      </w:r>
      <w:r w:rsidR="008B3ED5" w:rsidRPr="004C7CDA">
        <w:rPr>
          <w:szCs w:val="22"/>
          <w:lang w:val="sr-Latn-ME"/>
        </w:rPr>
        <w:t>l</w:t>
      </w:r>
      <w:r w:rsidRPr="004C7CDA">
        <w:rPr>
          <w:szCs w:val="22"/>
          <w:lang w:val="sr-Latn-ME"/>
        </w:rPr>
        <w:t>arnosti seruma što rezu</w:t>
      </w:r>
      <w:r w:rsidR="008B3ED5" w:rsidRPr="004C7CDA">
        <w:rPr>
          <w:szCs w:val="22"/>
          <w:lang w:val="sr-Latn-ME"/>
        </w:rPr>
        <w:t>l</w:t>
      </w:r>
      <w:r w:rsidRPr="004C7CDA">
        <w:rPr>
          <w:szCs w:val="22"/>
          <w:lang w:val="sr-Latn-ME"/>
        </w:rPr>
        <w:t>tira intrace</w:t>
      </w:r>
      <w:r w:rsidR="008B3ED5" w:rsidRPr="004C7CDA">
        <w:rPr>
          <w:szCs w:val="22"/>
          <w:lang w:val="sr-Latn-ME"/>
        </w:rPr>
        <w:t>l</w:t>
      </w:r>
      <w:r w:rsidRPr="004C7CDA">
        <w:rPr>
          <w:szCs w:val="22"/>
          <w:lang w:val="sr-Latn-ME"/>
        </w:rPr>
        <w:t>u</w:t>
      </w:r>
      <w:r w:rsidR="008B3ED5" w:rsidRPr="004C7CDA">
        <w:rPr>
          <w:szCs w:val="22"/>
          <w:lang w:val="sr-Latn-ME"/>
        </w:rPr>
        <w:t>l</w:t>
      </w:r>
      <w:r w:rsidRPr="004C7CDA">
        <w:rPr>
          <w:szCs w:val="22"/>
          <w:lang w:val="sr-Latn-ME"/>
        </w:rPr>
        <w:t>arnom dehidratacijom unutar CNS-a,</w:t>
      </w:r>
    </w:p>
    <w:p w14:paraId="614007EE" w14:textId="608AB35A" w:rsidR="00501360" w:rsidRPr="004C7CDA" w:rsidRDefault="00501360" w:rsidP="004C7CDA">
      <w:pPr>
        <w:pStyle w:val="ListParagraph"/>
        <w:widowControl w:val="0"/>
        <w:numPr>
          <w:ilvl w:val="0"/>
          <w:numId w:val="9"/>
        </w:numPr>
        <w:tabs>
          <w:tab w:val="clear" w:pos="284"/>
        </w:tabs>
        <w:ind w:left="284" w:hanging="284"/>
        <w:rPr>
          <w:szCs w:val="22"/>
          <w:lang w:val="sr-Latn-ME"/>
        </w:rPr>
      </w:pPr>
      <w:r w:rsidRPr="004C7CDA">
        <w:rPr>
          <w:szCs w:val="22"/>
          <w:lang w:val="sr-Latn-ME"/>
        </w:rPr>
        <w:t>hiponatremije i</w:t>
      </w:r>
      <w:r w:rsidR="008B3ED5" w:rsidRPr="004C7CDA">
        <w:rPr>
          <w:szCs w:val="22"/>
          <w:lang w:val="sr-Latn-ME"/>
        </w:rPr>
        <w:t>l</w:t>
      </w:r>
      <w:r w:rsidRPr="004C7CDA">
        <w:rPr>
          <w:szCs w:val="22"/>
          <w:lang w:val="sr-Latn-ME"/>
        </w:rPr>
        <w:t>i drugih poremećaja e</w:t>
      </w:r>
      <w:r w:rsidR="008B3ED5" w:rsidRPr="004C7CDA">
        <w:rPr>
          <w:szCs w:val="22"/>
          <w:lang w:val="sr-Latn-ME"/>
        </w:rPr>
        <w:t>l</w:t>
      </w:r>
      <w:r w:rsidRPr="004C7CDA">
        <w:rPr>
          <w:szCs w:val="22"/>
          <w:lang w:val="sr-Latn-ME"/>
        </w:rPr>
        <w:t>ektro</w:t>
      </w:r>
      <w:r w:rsidR="008B3ED5" w:rsidRPr="004C7CDA">
        <w:rPr>
          <w:szCs w:val="22"/>
          <w:lang w:val="sr-Latn-ME"/>
        </w:rPr>
        <w:t>l</w:t>
      </w:r>
      <w:r w:rsidRPr="004C7CDA">
        <w:rPr>
          <w:szCs w:val="22"/>
          <w:lang w:val="sr-Latn-ME"/>
        </w:rPr>
        <w:t>ita i acido-bazne ravnoteže, nasta</w:t>
      </w:r>
      <w:r w:rsidR="008B3ED5" w:rsidRPr="004C7CDA">
        <w:rPr>
          <w:szCs w:val="22"/>
          <w:lang w:val="sr-Latn-ME"/>
        </w:rPr>
        <w:t>l</w:t>
      </w:r>
      <w:r w:rsidRPr="004C7CDA">
        <w:rPr>
          <w:szCs w:val="22"/>
          <w:lang w:val="sr-Latn-ME"/>
        </w:rPr>
        <w:t>ih po prim</w:t>
      </w:r>
      <w:r w:rsidR="00A13F2E" w:rsidRPr="004C7CDA">
        <w:rPr>
          <w:szCs w:val="22"/>
          <w:lang w:val="sr-Latn-ME"/>
        </w:rPr>
        <w:t>j</w:t>
      </w:r>
      <w:r w:rsidRPr="004C7CDA">
        <w:rPr>
          <w:szCs w:val="22"/>
          <w:lang w:val="sr-Latn-ME"/>
        </w:rPr>
        <w:t>eni manito</w:t>
      </w:r>
      <w:r w:rsidR="008B3ED5" w:rsidRPr="004C7CDA">
        <w:rPr>
          <w:szCs w:val="22"/>
          <w:lang w:val="sr-Latn-ME"/>
        </w:rPr>
        <w:t>l</w:t>
      </w:r>
      <w:r w:rsidRPr="004C7CDA">
        <w:rPr>
          <w:szCs w:val="22"/>
          <w:lang w:val="sr-Latn-ME"/>
        </w:rPr>
        <w:t>a.</w:t>
      </w:r>
    </w:p>
    <w:p w14:paraId="5628C403" w14:textId="77777777" w:rsidR="00237B8B" w:rsidRPr="004C7CDA" w:rsidRDefault="00237B8B" w:rsidP="004C7CDA">
      <w:pPr>
        <w:pStyle w:val="ListParagraph"/>
        <w:widowControl w:val="0"/>
        <w:ind w:left="0"/>
        <w:rPr>
          <w:szCs w:val="22"/>
          <w:lang w:val="sr-Latn-ME"/>
        </w:rPr>
      </w:pPr>
    </w:p>
    <w:p w14:paraId="707D26AD" w14:textId="4525CCA6" w:rsidR="00501360" w:rsidRPr="004C7CDA" w:rsidRDefault="00501360" w:rsidP="004C7CDA">
      <w:pPr>
        <w:pStyle w:val="ListParagraph"/>
        <w:widowControl w:val="0"/>
        <w:ind w:left="0"/>
        <w:rPr>
          <w:szCs w:val="22"/>
          <w:lang w:val="sr-Latn-ME"/>
        </w:rPr>
      </w:pPr>
      <w:r w:rsidRPr="004C7CDA">
        <w:rPr>
          <w:szCs w:val="22"/>
          <w:lang w:val="sr-Latn-ME"/>
        </w:rPr>
        <w:t>Pri visokim koncentracijama, manito</w:t>
      </w:r>
      <w:r w:rsidR="008B3ED5" w:rsidRPr="004C7CDA">
        <w:rPr>
          <w:szCs w:val="22"/>
          <w:lang w:val="sr-Latn-ME"/>
        </w:rPr>
        <w:t>l</w:t>
      </w:r>
      <w:r w:rsidRPr="004C7CDA">
        <w:rPr>
          <w:szCs w:val="22"/>
          <w:lang w:val="sr-Latn-ME"/>
        </w:rPr>
        <w:t xml:space="preserve"> može da prođe krvno-moždanu barijeru i da dovede do poremećaja sposobnosti mozga da održava pH cerebrospina</w:t>
      </w:r>
      <w:r w:rsidR="008B3ED5" w:rsidRPr="004C7CDA">
        <w:rPr>
          <w:szCs w:val="22"/>
          <w:lang w:val="sr-Latn-ME"/>
        </w:rPr>
        <w:t>l</w:t>
      </w:r>
      <w:r w:rsidRPr="004C7CDA">
        <w:rPr>
          <w:szCs w:val="22"/>
          <w:lang w:val="sr-Latn-ME"/>
        </w:rPr>
        <w:t xml:space="preserve">ne tečnosti, pogotovu kod postojeće acidoze. </w:t>
      </w:r>
    </w:p>
    <w:p w14:paraId="0C41A64C" w14:textId="77777777" w:rsidR="00501360" w:rsidRPr="004C7CDA" w:rsidRDefault="00501360" w:rsidP="004C7CDA">
      <w:pPr>
        <w:pStyle w:val="ListParagraph"/>
        <w:widowControl w:val="0"/>
        <w:ind w:left="0"/>
        <w:rPr>
          <w:szCs w:val="22"/>
          <w:lang w:val="sr-Latn-ME"/>
        </w:rPr>
      </w:pPr>
    </w:p>
    <w:p w14:paraId="4D95775E" w14:textId="26B3AB02" w:rsidR="00501360" w:rsidRPr="004C7CDA" w:rsidRDefault="00501360" w:rsidP="004C7CDA">
      <w:pPr>
        <w:pStyle w:val="ListParagraph"/>
        <w:widowControl w:val="0"/>
        <w:ind w:left="0"/>
        <w:rPr>
          <w:szCs w:val="22"/>
          <w:lang w:val="sr-Latn-ME"/>
        </w:rPr>
      </w:pPr>
      <w:r w:rsidRPr="004C7CDA">
        <w:rPr>
          <w:szCs w:val="22"/>
          <w:lang w:val="sr-Latn-ME"/>
        </w:rPr>
        <w:t>Kod pacijenata kod kojih je krvno-moždana barijera već narušena, individua</w:t>
      </w:r>
      <w:r w:rsidR="008B3ED5" w:rsidRPr="004C7CDA">
        <w:rPr>
          <w:szCs w:val="22"/>
          <w:lang w:val="sr-Latn-ME"/>
        </w:rPr>
        <w:t>l</w:t>
      </w:r>
      <w:r w:rsidRPr="004C7CDA">
        <w:rPr>
          <w:szCs w:val="22"/>
          <w:lang w:val="sr-Latn-ME"/>
        </w:rPr>
        <w:t>no se mora proc</w:t>
      </w:r>
      <w:r w:rsidR="002F60F7" w:rsidRPr="004C7CDA">
        <w:rPr>
          <w:szCs w:val="22"/>
          <w:lang w:val="sr-Latn-ME"/>
        </w:rPr>
        <w:t>ij</w:t>
      </w:r>
      <w:r w:rsidRPr="004C7CDA">
        <w:rPr>
          <w:szCs w:val="22"/>
          <w:lang w:val="sr-Latn-ME"/>
        </w:rPr>
        <w:t>eniti rizik od pogoršanja cerebra</w:t>
      </w:r>
      <w:r w:rsidR="008B3ED5" w:rsidRPr="004C7CDA">
        <w:rPr>
          <w:szCs w:val="22"/>
          <w:lang w:val="sr-Latn-ME"/>
        </w:rPr>
        <w:t>l</w:t>
      </w:r>
      <w:r w:rsidRPr="004C7CDA">
        <w:rPr>
          <w:szCs w:val="22"/>
          <w:lang w:val="sr-Latn-ME"/>
        </w:rPr>
        <w:t>nog edema (genera</w:t>
      </w:r>
      <w:r w:rsidR="008B3ED5" w:rsidRPr="004C7CDA">
        <w:rPr>
          <w:szCs w:val="22"/>
          <w:lang w:val="sr-Latn-ME"/>
        </w:rPr>
        <w:t>l</w:t>
      </w:r>
      <w:r w:rsidRPr="004C7CDA">
        <w:rPr>
          <w:szCs w:val="22"/>
          <w:lang w:val="sr-Latn-ME"/>
        </w:rPr>
        <w:t>izovanog i</w:t>
      </w:r>
      <w:r w:rsidR="008B3ED5" w:rsidRPr="004C7CDA">
        <w:rPr>
          <w:szCs w:val="22"/>
          <w:lang w:val="sr-Latn-ME"/>
        </w:rPr>
        <w:t>l</w:t>
      </w:r>
      <w:r w:rsidRPr="004C7CDA">
        <w:rPr>
          <w:szCs w:val="22"/>
          <w:lang w:val="sr-Latn-ME"/>
        </w:rPr>
        <w:t>i foka</w:t>
      </w:r>
      <w:r w:rsidR="008B3ED5" w:rsidRPr="004C7CDA">
        <w:rPr>
          <w:szCs w:val="22"/>
          <w:lang w:val="sr-Latn-ME"/>
        </w:rPr>
        <w:t>l</w:t>
      </w:r>
      <w:r w:rsidRPr="004C7CDA">
        <w:rPr>
          <w:szCs w:val="22"/>
          <w:lang w:val="sr-Latn-ME"/>
        </w:rPr>
        <w:t>nog), udruženog sa ponov</w:t>
      </w:r>
      <w:r w:rsidR="008B3ED5" w:rsidRPr="004C7CDA">
        <w:rPr>
          <w:szCs w:val="22"/>
          <w:lang w:val="sr-Latn-ME"/>
        </w:rPr>
        <w:t>l</w:t>
      </w:r>
      <w:r w:rsidRPr="004C7CDA">
        <w:rPr>
          <w:szCs w:val="22"/>
          <w:lang w:val="sr-Latn-ME"/>
        </w:rPr>
        <w:t>jenom i</w:t>
      </w:r>
      <w:r w:rsidR="008B3ED5" w:rsidRPr="004C7CDA">
        <w:rPr>
          <w:szCs w:val="22"/>
          <w:lang w:val="sr-Latn-ME"/>
        </w:rPr>
        <w:t>l</w:t>
      </w:r>
      <w:r w:rsidRPr="004C7CDA">
        <w:rPr>
          <w:szCs w:val="22"/>
          <w:lang w:val="sr-Latn-ME"/>
        </w:rPr>
        <w:t>i kontinuiranom prim</w:t>
      </w:r>
      <w:r w:rsidR="00DD066F" w:rsidRPr="004C7CDA">
        <w:rPr>
          <w:szCs w:val="22"/>
          <w:lang w:val="sr-Latn-ME"/>
        </w:rPr>
        <w:t>j</w:t>
      </w:r>
      <w:r w:rsidRPr="004C7CDA">
        <w:rPr>
          <w:szCs w:val="22"/>
          <w:lang w:val="sr-Latn-ME"/>
        </w:rPr>
        <w:t>enom manito</w:t>
      </w:r>
      <w:r w:rsidR="008B3ED5" w:rsidRPr="004C7CDA">
        <w:rPr>
          <w:szCs w:val="22"/>
          <w:lang w:val="sr-Latn-ME"/>
        </w:rPr>
        <w:t>l</w:t>
      </w:r>
      <w:r w:rsidRPr="004C7CDA">
        <w:rPr>
          <w:szCs w:val="22"/>
          <w:lang w:val="sr-Latn-ME"/>
        </w:rPr>
        <w:t>a, imajući u vidu očekivane koristi po pacijenta.</w:t>
      </w:r>
      <w:r w:rsidR="00660A8E" w:rsidRPr="004C7CDA">
        <w:rPr>
          <w:szCs w:val="22"/>
          <w:lang w:val="sr-Latn-ME"/>
        </w:rPr>
        <w:t xml:space="preserve"> </w:t>
      </w:r>
    </w:p>
    <w:p w14:paraId="7A112F1B" w14:textId="77777777" w:rsidR="00501360" w:rsidRPr="004C7CDA" w:rsidRDefault="00501360" w:rsidP="004C7CDA">
      <w:pPr>
        <w:pStyle w:val="ListParagraph"/>
        <w:widowControl w:val="0"/>
        <w:ind w:left="0"/>
        <w:rPr>
          <w:szCs w:val="22"/>
          <w:lang w:val="sr-Latn-ME"/>
        </w:rPr>
      </w:pPr>
    </w:p>
    <w:p w14:paraId="00491679" w14:textId="32010043" w:rsidR="00501360" w:rsidRPr="004C7CDA" w:rsidRDefault="00501360" w:rsidP="004C7CDA">
      <w:pPr>
        <w:pStyle w:val="ListParagraph"/>
        <w:widowControl w:val="0"/>
        <w:ind w:left="0"/>
        <w:rPr>
          <w:szCs w:val="22"/>
          <w:lang w:val="sr-Latn-ME"/>
        </w:rPr>
      </w:pPr>
      <w:r w:rsidRPr="004C7CDA">
        <w:rPr>
          <w:szCs w:val="22"/>
          <w:lang w:val="sr-Latn-ME"/>
        </w:rPr>
        <w:t>Neko</w:t>
      </w:r>
      <w:r w:rsidR="008B3ED5" w:rsidRPr="004C7CDA">
        <w:rPr>
          <w:szCs w:val="22"/>
          <w:lang w:val="sr-Latn-ME"/>
        </w:rPr>
        <w:t>l</w:t>
      </w:r>
      <w:r w:rsidRPr="004C7CDA">
        <w:rPr>
          <w:szCs w:val="22"/>
          <w:lang w:val="sr-Latn-ME"/>
        </w:rPr>
        <w:t>iko sati po prim</w:t>
      </w:r>
      <w:r w:rsidR="00DD066F" w:rsidRPr="004C7CDA">
        <w:rPr>
          <w:szCs w:val="22"/>
          <w:lang w:val="sr-Latn-ME"/>
        </w:rPr>
        <w:t>j</w:t>
      </w:r>
      <w:r w:rsidRPr="004C7CDA">
        <w:rPr>
          <w:szCs w:val="22"/>
          <w:lang w:val="sr-Latn-ME"/>
        </w:rPr>
        <w:t>eni manito</w:t>
      </w:r>
      <w:r w:rsidR="008B3ED5" w:rsidRPr="004C7CDA">
        <w:rPr>
          <w:szCs w:val="22"/>
          <w:lang w:val="sr-Latn-ME"/>
        </w:rPr>
        <w:t>l</w:t>
      </w:r>
      <w:r w:rsidRPr="004C7CDA">
        <w:rPr>
          <w:szCs w:val="22"/>
          <w:lang w:val="sr-Latn-ME"/>
        </w:rPr>
        <w:t>a, može da dođe do</w:t>
      </w:r>
      <w:r w:rsidRPr="004C7CDA">
        <w:rPr>
          <w:i/>
          <w:szCs w:val="22"/>
          <w:lang w:val="sr-Latn-ME"/>
        </w:rPr>
        <w:t xml:space="preserve"> rebound</w:t>
      </w:r>
      <w:r w:rsidRPr="004C7CDA">
        <w:rPr>
          <w:szCs w:val="22"/>
          <w:lang w:val="sr-Latn-ME"/>
        </w:rPr>
        <w:t xml:space="preserve"> povećanja intrakranija</w:t>
      </w:r>
      <w:r w:rsidR="008B3ED5" w:rsidRPr="004C7CDA">
        <w:rPr>
          <w:szCs w:val="22"/>
          <w:lang w:val="sr-Latn-ME"/>
        </w:rPr>
        <w:t>l</w:t>
      </w:r>
      <w:r w:rsidRPr="004C7CDA">
        <w:rPr>
          <w:szCs w:val="22"/>
          <w:lang w:val="sr-Latn-ME"/>
        </w:rPr>
        <w:t>nog pritiska, pri čemu su pacijenti sa narušenom krvno-moždanom barijerom pod povećanim rizikom.</w:t>
      </w:r>
    </w:p>
    <w:p w14:paraId="24AB4EAC" w14:textId="77777777" w:rsidR="00A80A83" w:rsidRPr="004C7CDA" w:rsidRDefault="00A80A83" w:rsidP="004C7CDA">
      <w:pPr>
        <w:pStyle w:val="ListParagraph"/>
        <w:widowControl w:val="0"/>
        <w:ind w:left="0"/>
        <w:rPr>
          <w:szCs w:val="22"/>
          <w:lang w:val="sr-Latn-ME"/>
        </w:rPr>
      </w:pPr>
    </w:p>
    <w:p w14:paraId="1AC7D325" w14:textId="584A8747" w:rsidR="007735C3" w:rsidRPr="004C7CDA" w:rsidRDefault="007735C3" w:rsidP="004C7CDA">
      <w:pPr>
        <w:widowControl w:val="0"/>
        <w:tabs>
          <w:tab w:val="clear" w:pos="284"/>
        </w:tabs>
        <w:rPr>
          <w:szCs w:val="22"/>
          <w:u w:val="single"/>
          <w:lang w:val="sr-Latn-ME"/>
        </w:rPr>
      </w:pPr>
      <w:r w:rsidRPr="004C7CDA">
        <w:rPr>
          <w:szCs w:val="22"/>
          <w:u w:val="single"/>
          <w:lang w:val="sr-Latn-ME"/>
        </w:rPr>
        <w:t>Rizik od komp</w:t>
      </w:r>
      <w:r w:rsidR="008B3ED5" w:rsidRPr="004C7CDA">
        <w:rPr>
          <w:szCs w:val="22"/>
          <w:u w:val="single"/>
          <w:lang w:val="sr-Latn-ME"/>
        </w:rPr>
        <w:t>l</w:t>
      </w:r>
      <w:r w:rsidRPr="004C7CDA">
        <w:rPr>
          <w:szCs w:val="22"/>
          <w:u w:val="single"/>
          <w:lang w:val="sr-Latn-ME"/>
        </w:rPr>
        <w:t>ikacija bubrega</w:t>
      </w:r>
    </w:p>
    <w:p w14:paraId="7EFBF666" w14:textId="5ADB7AEF" w:rsidR="007735C3" w:rsidRPr="004C7CDA" w:rsidRDefault="007735C3" w:rsidP="004C7CDA">
      <w:pPr>
        <w:widowControl w:val="0"/>
        <w:tabs>
          <w:tab w:val="clear" w:pos="284"/>
        </w:tabs>
        <w:autoSpaceDE w:val="0"/>
        <w:autoSpaceDN w:val="0"/>
        <w:adjustRightInd w:val="0"/>
        <w:rPr>
          <w:szCs w:val="22"/>
          <w:lang w:val="sr-Latn-ME"/>
        </w:rPr>
      </w:pPr>
      <w:r w:rsidRPr="004C7CDA">
        <w:rPr>
          <w:szCs w:val="22"/>
          <w:lang w:val="sr-Latn-ME"/>
        </w:rPr>
        <w:t xml:space="preserve">Kod pacijenata kod kojih je </w:t>
      </w:r>
      <w:r w:rsidR="00F047EE" w:rsidRPr="004C7CDA">
        <w:rPr>
          <w:szCs w:val="22"/>
          <w:lang w:val="sr-Latn-ME"/>
        </w:rPr>
        <w:t xml:space="preserve">prije </w:t>
      </w:r>
      <w:r w:rsidRPr="004C7CDA">
        <w:rPr>
          <w:szCs w:val="22"/>
          <w:lang w:val="sr-Latn-ME"/>
        </w:rPr>
        <w:t>terapije manito</w:t>
      </w:r>
      <w:r w:rsidR="008B3ED5" w:rsidRPr="004C7CDA">
        <w:rPr>
          <w:szCs w:val="22"/>
          <w:lang w:val="sr-Latn-ME"/>
        </w:rPr>
        <w:t>l</w:t>
      </w:r>
      <w:r w:rsidRPr="004C7CDA">
        <w:rPr>
          <w:szCs w:val="22"/>
          <w:lang w:val="sr-Latn-ME"/>
        </w:rPr>
        <w:t>om funkcija bubrega bi</w:t>
      </w:r>
      <w:r w:rsidR="008B3ED5" w:rsidRPr="004C7CDA">
        <w:rPr>
          <w:szCs w:val="22"/>
          <w:lang w:val="sr-Latn-ME"/>
        </w:rPr>
        <w:t>l</w:t>
      </w:r>
      <w:r w:rsidRPr="004C7CDA">
        <w:rPr>
          <w:szCs w:val="22"/>
          <w:lang w:val="sr-Latn-ME"/>
        </w:rPr>
        <w:t>a norma</w:t>
      </w:r>
      <w:r w:rsidR="008B3ED5" w:rsidRPr="004C7CDA">
        <w:rPr>
          <w:szCs w:val="22"/>
          <w:lang w:val="sr-Latn-ME"/>
        </w:rPr>
        <w:t>l</w:t>
      </w:r>
      <w:r w:rsidRPr="004C7CDA">
        <w:rPr>
          <w:szCs w:val="22"/>
          <w:lang w:val="sr-Latn-ME"/>
        </w:rPr>
        <w:t>na, a koji su primi</w:t>
      </w:r>
      <w:r w:rsidR="008B3ED5" w:rsidRPr="004C7CDA">
        <w:rPr>
          <w:szCs w:val="22"/>
          <w:lang w:val="sr-Latn-ME"/>
        </w:rPr>
        <w:t>l</w:t>
      </w:r>
      <w:r w:rsidRPr="004C7CDA">
        <w:rPr>
          <w:szCs w:val="22"/>
          <w:lang w:val="sr-Latn-ME"/>
        </w:rPr>
        <w:t>i ve</w:t>
      </w:r>
      <w:r w:rsidR="008B3ED5" w:rsidRPr="004C7CDA">
        <w:rPr>
          <w:szCs w:val="22"/>
          <w:lang w:val="sr-Latn-ME"/>
        </w:rPr>
        <w:t>l</w:t>
      </w:r>
      <w:r w:rsidRPr="004C7CDA">
        <w:rPr>
          <w:szCs w:val="22"/>
          <w:lang w:val="sr-Latn-ME"/>
        </w:rPr>
        <w:t xml:space="preserve">ike intravenske doze ovog </w:t>
      </w:r>
      <w:r w:rsidR="008B3ED5" w:rsidRPr="004C7CDA">
        <w:rPr>
          <w:szCs w:val="22"/>
          <w:lang w:val="sr-Latn-ME"/>
        </w:rPr>
        <w:t>l</w:t>
      </w:r>
      <w:r w:rsidR="00154869" w:rsidRPr="004C7CDA">
        <w:rPr>
          <w:szCs w:val="22"/>
          <w:lang w:val="sr-Latn-ME"/>
        </w:rPr>
        <w:t>ij</w:t>
      </w:r>
      <w:r w:rsidRPr="004C7CDA">
        <w:rPr>
          <w:szCs w:val="22"/>
          <w:lang w:val="sr-Latn-ME"/>
        </w:rPr>
        <w:t>eka, zab</w:t>
      </w:r>
      <w:r w:rsidR="00154869" w:rsidRPr="004C7CDA">
        <w:rPr>
          <w:szCs w:val="22"/>
          <w:lang w:val="sr-Latn-ME"/>
        </w:rPr>
        <w:t>i</w:t>
      </w:r>
      <w:r w:rsidR="008B3ED5" w:rsidRPr="004C7CDA">
        <w:rPr>
          <w:szCs w:val="22"/>
          <w:lang w:val="sr-Latn-ME"/>
        </w:rPr>
        <w:t>l</w:t>
      </w:r>
      <w:r w:rsidR="00154869" w:rsidRPr="004C7CDA">
        <w:rPr>
          <w:szCs w:val="22"/>
          <w:lang w:val="sr-Latn-ME"/>
        </w:rPr>
        <w:t>j</w:t>
      </w:r>
      <w:r w:rsidRPr="004C7CDA">
        <w:rPr>
          <w:szCs w:val="22"/>
          <w:lang w:val="sr-Latn-ME"/>
        </w:rPr>
        <w:t>ežena je reverzibi</w:t>
      </w:r>
      <w:r w:rsidR="008B3ED5" w:rsidRPr="004C7CDA">
        <w:rPr>
          <w:szCs w:val="22"/>
          <w:lang w:val="sr-Latn-ME"/>
        </w:rPr>
        <w:t>l</w:t>
      </w:r>
      <w:r w:rsidRPr="004C7CDA">
        <w:rPr>
          <w:szCs w:val="22"/>
          <w:lang w:val="sr-Latn-ME"/>
        </w:rPr>
        <w:t>na, akutna o</w:t>
      </w:r>
      <w:r w:rsidR="008B3ED5" w:rsidRPr="004C7CDA">
        <w:rPr>
          <w:szCs w:val="22"/>
          <w:lang w:val="sr-Latn-ME"/>
        </w:rPr>
        <w:t>l</w:t>
      </w:r>
      <w:r w:rsidRPr="004C7CDA">
        <w:rPr>
          <w:szCs w:val="22"/>
          <w:lang w:val="sr-Latn-ME"/>
        </w:rPr>
        <w:t>igoanurična bubrežna insuficijencija.</w:t>
      </w:r>
    </w:p>
    <w:p w14:paraId="23289D98" w14:textId="77777777" w:rsidR="007735C3" w:rsidRPr="004C7CDA" w:rsidRDefault="007735C3" w:rsidP="004C7CDA">
      <w:pPr>
        <w:widowControl w:val="0"/>
        <w:tabs>
          <w:tab w:val="clear" w:pos="284"/>
        </w:tabs>
        <w:autoSpaceDE w:val="0"/>
        <w:autoSpaceDN w:val="0"/>
        <w:adjustRightInd w:val="0"/>
        <w:rPr>
          <w:szCs w:val="22"/>
          <w:lang w:val="sr-Latn-ME"/>
        </w:rPr>
      </w:pPr>
    </w:p>
    <w:p w14:paraId="6832917B" w14:textId="0A960CBF" w:rsidR="007735C3" w:rsidRPr="004C7CDA" w:rsidRDefault="007735C3" w:rsidP="004C7CDA">
      <w:pPr>
        <w:widowControl w:val="0"/>
        <w:tabs>
          <w:tab w:val="clear" w:pos="284"/>
        </w:tabs>
        <w:autoSpaceDE w:val="0"/>
        <w:autoSpaceDN w:val="0"/>
        <w:adjustRightInd w:val="0"/>
        <w:rPr>
          <w:rFonts w:eastAsia="TimesNewRoman"/>
          <w:szCs w:val="22"/>
          <w:lang w:val="sr-Latn-ME"/>
        </w:rPr>
      </w:pPr>
      <w:r w:rsidRPr="004C7CDA">
        <w:rPr>
          <w:rFonts w:eastAsia="TimesNewRoman"/>
          <w:szCs w:val="22"/>
          <w:lang w:val="sr-Latn-ME"/>
        </w:rPr>
        <w:t>Opisana su i progresivna oštećenja i</w:t>
      </w:r>
      <w:r w:rsidR="008B3ED5" w:rsidRPr="004C7CDA">
        <w:rPr>
          <w:rFonts w:eastAsia="TimesNewRoman"/>
          <w:szCs w:val="22"/>
          <w:lang w:val="sr-Latn-ME"/>
        </w:rPr>
        <w:t>l</w:t>
      </w:r>
      <w:r w:rsidRPr="004C7CDA">
        <w:rPr>
          <w:rFonts w:eastAsia="TimesNewRoman"/>
          <w:szCs w:val="22"/>
          <w:lang w:val="sr-Latn-ME"/>
        </w:rPr>
        <w:t>i disfunkcije bubrega nakon uvođenja terapije manito</w:t>
      </w:r>
      <w:r w:rsidR="008B3ED5" w:rsidRPr="004C7CDA">
        <w:rPr>
          <w:rFonts w:eastAsia="TimesNewRoman"/>
          <w:szCs w:val="22"/>
          <w:lang w:val="sr-Latn-ME"/>
        </w:rPr>
        <w:t>l</w:t>
      </w:r>
      <w:r w:rsidRPr="004C7CDA">
        <w:rPr>
          <w:rFonts w:eastAsia="TimesNewRoman"/>
          <w:szCs w:val="22"/>
          <w:lang w:val="sr-Latn-ME"/>
        </w:rPr>
        <w:t xml:space="preserve">om, </w:t>
      </w:r>
      <w:r w:rsidRPr="004C7CDA">
        <w:rPr>
          <w:rFonts w:eastAsia="TimesNewRoman"/>
          <w:szCs w:val="22"/>
          <w:lang w:val="sr-Latn-ME"/>
        </w:rPr>
        <w:lastRenderedPageBreak/>
        <w:t>uk</w:t>
      </w:r>
      <w:r w:rsidR="008B3ED5" w:rsidRPr="004C7CDA">
        <w:rPr>
          <w:rFonts w:eastAsia="TimesNewRoman"/>
          <w:szCs w:val="22"/>
          <w:lang w:val="sr-Latn-ME"/>
        </w:rPr>
        <w:t>l</w:t>
      </w:r>
      <w:r w:rsidRPr="004C7CDA">
        <w:rPr>
          <w:rFonts w:eastAsia="TimesNewRoman"/>
          <w:szCs w:val="22"/>
          <w:lang w:val="sr-Latn-ME"/>
        </w:rPr>
        <w:t>jučujući povećanje o</w:t>
      </w:r>
      <w:r w:rsidR="008B3ED5" w:rsidRPr="004C7CDA">
        <w:rPr>
          <w:rFonts w:eastAsia="TimesNewRoman"/>
          <w:szCs w:val="22"/>
          <w:lang w:val="sr-Latn-ME"/>
        </w:rPr>
        <w:t>l</w:t>
      </w:r>
      <w:r w:rsidRPr="004C7CDA">
        <w:rPr>
          <w:rFonts w:eastAsia="TimesNewRoman"/>
          <w:szCs w:val="22"/>
          <w:lang w:val="sr-Latn-ME"/>
        </w:rPr>
        <w:t>igurije i azotemije.</w:t>
      </w:r>
    </w:p>
    <w:p w14:paraId="7703FD89" w14:textId="77777777" w:rsidR="007735C3" w:rsidRPr="004C7CDA" w:rsidRDefault="007735C3" w:rsidP="004C7CDA">
      <w:pPr>
        <w:widowControl w:val="0"/>
        <w:tabs>
          <w:tab w:val="clear" w:pos="284"/>
        </w:tabs>
        <w:autoSpaceDE w:val="0"/>
        <w:autoSpaceDN w:val="0"/>
        <w:adjustRightInd w:val="0"/>
        <w:rPr>
          <w:rFonts w:eastAsia="TimesNewRoman"/>
          <w:szCs w:val="22"/>
          <w:lang w:val="sr-Latn-ME"/>
        </w:rPr>
      </w:pPr>
    </w:p>
    <w:p w14:paraId="6F227983" w14:textId="0CB5CF61" w:rsidR="007735C3" w:rsidRPr="004C7CDA" w:rsidRDefault="007735C3" w:rsidP="004C7CDA">
      <w:pPr>
        <w:pStyle w:val="ListParagraph"/>
        <w:widowControl w:val="0"/>
        <w:ind w:left="0"/>
        <w:rPr>
          <w:szCs w:val="22"/>
          <w:lang w:val="sr-Latn-ME"/>
        </w:rPr>
      </w:pPr>
      <w:r w:rsidRPr="004C7CDA">
        <w:rPr>
          <w:szCs w:val="22"/>
          <w:lang w:val="sr-Latn-ME"/>
        </w:rPr>
        <w:t>Iako je osmotska nefroza koja je povezana sa prim</w:t>
      </w:r>
      <w:r w:rsidR="003C4BB6" w:rsidRPr="004C7CDA">
        <w:rPr>
          <w:szCs w:val="22"/>
          <w:lang w:val="sr-Latn-ME"/>
        </w:rPr>
        <w:t>j</w:t>
      </w:r>
      <w:r w:rsidRPr="004C7CDA">
        <w:rPr>
          <w:szCs w:val="22"/>
          <w:lang w:val="sr-Latn-ME"/>
        </w:rPr>
        <w:t>enom manito</w:t>
      </w:r>
      <w:r w:rsidR="008B3ED5" w:rsidRPr="004C7CDA">
        <w:rPr>
          <w:szCs w:val="22"/>
          <w:lang w:val="sr-Latn-ME"/>
        </w:rPr>
        <w:t>l</w:t>
      </w:r>
      <w:r w:rsidRPr="004C7CDA">
        <w:rPr>
          <w:szCs w:val="22"/>
          <w:lang w:val="sr-Latn-ME"/>
        </w:rPr>
        <w:t>a u principu reverzibi</w:t>
      </w:r>
      <w:r w:rsidR="008B3ED5" w:rsidRPr="004C7CDA">
        <w:rPr>
          <w:szCs w:val="22"/>
          <w:lang w:val="sr-Latn-ME"/>
        </w:rPr>
        <w:t>l</w:t>
      </w:r>
      <w:r w:rsidRPr="004C7CDA">
        <w:rPr>
          <w:szCs w:val="22"/>
          <w:lang w:val="sr-Latn-ME"/>
        </w:rPr>
        <w:t>na, za osmotsku nefrozu je, uopšteno govoreći, poznato da može da napreduje do hronične bubrežne insuficijencije i</w:t>
      </w:r>
      <w:r w:rsidR="008B3ED5" w:rsidRPr="004C7CDA">
        <w:rPr>
          <w:szCs w:val="22"/>
          <w:lang w:val="sr-Latn-ME"/>
        </w:rPr>
        <w:t>l</w:t>
      </w:r>
      <w:r w:rsidRPr="004C7CDA">
        <w:rPr>
          <w:szCs w:val="22"/>
          <w:lang w:val="sr-Latn-ME"/>
        </w:rPr>
        <w:t xml:space="preserve">i čak do njenog završnog stadijuma. </w:t>
      </w:r>
    </w:p>
    <w:p w14:paraId="189C8377" w14:textId="77777777" w:rsidR="007735C3" w:rsidRPr="004C7CDA" w:rsidRDefault="007735C3" w:rsidP="004C7CDA">
      <w:pPr>
        <w:pStyle w:val="ListParagraph"/>
        <w:widowControl w:val="0"/>
        <w:ind w:left="0"/>
        <w:rPr>
          <w:szCs w:val="22"/>
          <w:lang w:val="sr-Latn-ME"/>
        </w:rPr>
      </w:pPr>
    </w:p>
    <w:p w14:paraId="476C1CDC" w14:textId="2EC29CC3" w:rsidR="007735C3" w:rsidRPr="004C7CDA" w:rsidRDefault="007735C3" w:rsidP="004C7CDA">
      <w:pPr>
        <w:widowControl w:val="0"/>
        <w:tabs>
          <w:tab w:val="clear" w:pos="284"/>
        </w:tabs>
        <w:autoSpaceDE w:val="0"/>
        <w:autoSpaceDN w:val="0"/>
        <w:adjustRightInd w:val="0"/>
        <w:rPr>
          <w:szCs w:val="22"/>
          <w:lang w:val="sr-Latn-ME"/>
        </w:rPr>
      </w:pPr>
      <w:r w:rsidRPr="004C7CDA">
        <w:rPr>
          <w:szCs w:val="22"/>
          <w:lang w:val="sr-Latn-ME"/>
        </w:rPr>
        <w:t>Pacijenti sa već postojećim obo</w:t>
      </w:r>
      <w:r w:rsidR="008B3ED5" w:rsidRPr="004C7CDA">
        <w:rPr>
          <w:szCs w:val="22"/>
          <w:lang w:val="sr-Latn-ME"/>
        </w:rPr>
        <w:t>l</w:t>
      </w:r>
      <w:r w:rsidRPr="004C7CDA">
        <w:rPr>
          <w:szCs w:val="22"/>
          <w:lang w:val="sr-Latn-ME"/>
        </w:rPr>
        <w:t>jenjem bubrega, i</w:t>
      </w:r>
      <w:r w:rsidR="008B3ED5" w:rsidRPr="004C7CDA">
        <w:rPr>
          <w:szCs w:val="22"/>
          <w:lang w:val="sr-Latn-ME"/>
        </w:rPr>
        <w:t>l</w:t>
      </w:r>
      <w:r w:rsidRPr="004C7CDA">
        <w:rPr>
          <w:szCs w:val="22"/>
          <w:lang w:val="sr-Latn-ME"/>
        </w:rPr>
        <w:t>i oni koji primaju potencija</w:t>
      </w:r>
      <w:r w:rsidR="008B3ED5" w:rsidRPr="004C7CDA">
        <w:rPr>
          <w:szCs w:val="22"/>
          <w:lang w:val="sr-Latn-ME"/>
        </w:rPr>
        <w:t>l</w:t>
      </w:r>
      <w:r w:rsidRPr="004C7CDA">
        <w:rPr>
          <w:szCs w:val="22"/>
          <w:lang w:val="sr-Latn-ME"/>
        </w:rPr>
        <w:t xml:space="preserve">no nefrotoksične </w:t>
      </w:r>
      <w:r w:rsidR="008B3ED5" w:rsidRPr="004C7CDA">
        <w:rPr>
          <w:szCs w:val="22"/>
          <w:lang w:val="sr-Latn-ME"/>
        </w:rPr>
        <w:t>l</w:t>
      </w:r>
      <w:r w:rsidR="00EF28C7" w:rsidRPr="004C7CDA">
        <w:rPr>
          <w:szCs w:val="22"/>
          <w:lang w:val="sr-Latn-ME"/>
        </w:rPr>
        <w:t>j</w:t>
      </w:r>
      <w:r w:rsidRPr="004C7CDA">
        <w:rPr>
          <w:szCs w:val="22"/>
          <w:lang w:val="sr-Latn-ME"/>
        </w:rPr>
        <w:t>ekove su pod povećanim rizikom od bubrežne insuficijencije kao pos</w:t>
      </w:r>
      <w:r w:rsidR="008B3ED5" w:rsidRPr="004C7CDA">
        <w:rPr>
          <w:szCs w:val="22"/>
          <w:lang w:val="sr-Latn-ME"/>
        </w:rPr>
        <w:t>l</w:t>
      </w:r>
      <w:r w:rsidR="002F60F7" w:rsidRPr="004C7CDA">
        <w:rPr>
          <w:szCs w:val="22"/>
          <w:lang w:val="sr-Latn-ME"/>
        </w:rPr>
        <w:t>j</w:t>
      </w:r>
      <w:r w:rsidRPr="004C7CDA">
        <w:rPr>
          <w:szCs w:val="22"/>
          <w:lang w:val="sr-Latn-ME"/>
        </w:rPr>
        <w:t>edica primanja manito</w:t>
      </w:r>
      <w:r w:rsidR="008B3ED5" w:rsidRPr="004C7CDA">
        <w:rPr>
          <w:szCs w:val="22"/>
          <w:lang w:val="sr-Latn-ME"/>
        </w:rPr>
        <w:t>l</w:t>
      </w:r>
      <w:r w:rsidRPr="004C7CDA">
        <w:rPr>
          <w:szCs w:val="22"/>
          <w:lang w:val="sr-Latn-ME"/>
        </w:rPr>
        <w:t xml:space="preserve">a. </w:t>
      </w:r>
    </w:p>
    <w:p w14:paraId="199BF958" w14:textId="5C70DED1" w:rsidR="007735C3" w:rsidRPr="004C7CDA" w:rsidRDefault="007735C3" w:rsidP="004C7CDA">
      <w:pPr>
        <w:widowControl w:val="0"/>
        <w:tabs>
          <w:tab w:val="clear" w:pos="284"/>
        </w:tabs>
        <w:autoSpaceDE w:val="0"/>
        <w:autoSpaceDN w:val="0"/>
        <w:adjustRightInd w:val="0"/>
        <w:rPr>
          <w:rFonts w:eastAsia="TimesNewRoman"/>
          <w:szCs w:val="22"/>
          <w:lang w:val="sr-Latn-ME"/>
        </w:rPr>
      </w:pPr>
      <w:r w:rsidRPr="004C7CDA">
        <w:rPr>
          <w:rFonts w:eastAsia="TimesNewRoman"/>
          <w:szCs w:val="22"/>
          <w:lang w:val="sr-Latn-ME"/>
        </w:rPr>
        <w:t>Paž</w:t>
      </w:r>
      <w:r w:rsidR="008B3ED5" w:rsidRPr="004C7CDA">
        <w:rPr>
          <w:rFonts w:eastAsia="TimesNewRoman"/>
          <w:szCs w:val="22"/>
          <w:lang w:val="sr-Latn-ME"/>
        </w:rPr>
        <w:t>l</w:t>
      </w:r>
      <w:r w:rsidRPr="004C7CDA">
        <w:rPr>
          <w:rFonts w:eastAsia="TimesNewRoman"/>
          <w:szCs w:val="22"/>
          <w:lang w:val="sr-Latn-ME"/>
        </w:rPr>
        <w:t>jivo treba pratiti osmo</w:t>
      </w:r>
      <w:r w:rsidR="008B3ED5" w:rsidRPr="004C7CDA">
        <w:rPr>
          <w:rFonts w:eastAsia="TimesNewRoman"/>
          <w:szCs w:val="22"/>
          <w:lang w:val="sr-Latn-ME"/>
        </w:rPr>
        <w:t>l</w:t>
      </w:r>
      <w:r w:rsidRPr="004C7CDA">
        <w:rPr>
          <w:rFonts w:eastAsia="TimesNewRoman"/>
          <w:szCs w:val="22"/>
          <w:lang w:val="sr-Latn-ME"/>
        </w:rPr>
        <w:t>a</w:t>
      </w:r>
      <w:r w:rsidR="008B3ED5" w:rsidRPr="004C7CDA">
        <w:rPr>
          <w:rFonts w:eastAsia="TimesNewRoman"/>
          <w:szCs w:val="22"/>
          <w:lang w:val="sr-Latn-ME"/>
        </w:rPr>
        <w:t>l</w:t>
      </w:r>
      <w:r w:rsidRPr="004C7CDA">
        <w:rPr>
          <w:rFonts w:eastAsia="TimesNewRoman"/>
          <w:szCs w:val="22"/>
          <w:lang w:val="sr-Latn-ME"/>
        </w:rPr>
        <w:t>ni zjap i funkciju bubrega i preduzeti adekvatne m</w:t>
      </w:r>
      <w:r w:rsidR="005E4C2B" w:rsidRPr="004C7CDA">
        <w:rPr>
          <w:rFonts w:eastAsia="TimesNewRoman"/>
          <w:szCs w:val="22"/>
          <w:lang w:val="sr-Latn-ME"/>
        </w:rPr>
        <w:t>j</w:t>
      </w:r>
      <w:r w:rsidRPr="004C7CDA">
        <w:rPr>
          <w:rFonts w:eastAsia="TimesNewRoman"/>
          <w:szCs w:val="22"/>
          <w:lang w:val="sr-Latn-ME"/>
        </w:rPr>
        <w:t>ere uko</w:t>
      </w:r>
      <w:r w:rsidR="008B3ED5" w:rsidRPr="004C7CDA">
        <w:rPr>
          <w:rFonts w:eastAsia="TimesNewRoman"/>
          <w:szCs w:val="22"/>
          <w:lang w:val="sr-Latn-ME"/>
        </w:rPr>
        <w:t>l</w:t>
      </w:r>
      <w:r w:rsidRPr="004C7CDA">
        <w:rPr>
          <w:rFonts w:eastAsia="TimesNewRoman"/>
          <w:szCs w:val="22"/>
          <w:lang w:val="sr-Latn-ME"/>
        </w:rPr>
        <w:t>iko se jave znaci pogoršanja funkcije bubrega.</w:t>
      </w:r>
    </w:p>
    <w:p w14:paraId="0FB95B25" w14:textId="77777777" w:rsidR="007735C3" w:rsidRPr="004C7CDA" w:rsidRDefault="007735C3" w:rsidP="004C7CDA">
      <w:pPr>
        <w:pStyle w:val="ListParagraph"/>
        <w:widowControl w:val="0"/>
        <w:ind w:left="0"/>
        <w:rPr>
          <w:szCs w:val="22"/>
          <w:lang w:val="sr-Latn-ME"/>
        </w:rPr>
      </w:pPr>
    </w:p>
    <w:p w14:paraId="54EA5A6E" w14:textId="57960EEA" w:rsidR="007735C3" w:rsidRPr="004C7CDA" w:rsidRDefault="007735C3" w:rsidP="004C7CDA">
      <w:pPr>
        <w:pStyle w:val="ListParagraph"/>
        <w:widowControl w:val="0"/>
        <w:ind w:left="0"/>
        <w:rPr>
          <w:szCs w:val="22"/>
          <w:lang w:val="sr-Latn-ME"/>
        </w:rPr>
      </w:pPr>
      <w:r w:rsidRPr="004C7CDA">
        <w:rPr>
          <w:szCs w:val="22"/>
          <w:lang w:val="sr-Latn-ME"/>
        </w:rPr>
        <w:t>Manito</w:t>
      </w:r>
      <w:r w:rsidR="008B3ED5" w:rsidRPr="004C7CDA">
        <w:rPr>
          <w:szCs w:val="22"/>
          <w:lang w:val="sr-Latn-ME"/>
        </w:rPr>
        <w:t>l</w:t>
      </w:r>
      <w:r w:rsidRPr="004C7CDA">
        <w:rPr>
          <w:szCs w:val="22"/>
          <w:lang w:val="sr-Latn-ME"/>
        </w:rPr>
        <w:t xml:space="preserve"> treba davati uz oprez pacijentima sa teško oštećenom funkcijom bubrega. Treba</w:t>
      </w:r>
      <w:r w:rsidR="008B3ED5" w:rsidRPr="004C7CDA">
        <w:rPr>
          <w:szCs w:val="22"/>
          <w:lang w:val="sr-Latn-ME"/>
        </w:rPr>
        <w:t>l</w:t>
      </w:r>
      <w:r w:rsidRPr="004C7CDA">
        <w:rPr>
          <w:szCs w:val="22"/>
          <w:lang w:val="sr-Latn-ME"/>
        </w:rPr>
        <w:t>o bi prim</w:t>
      </w:r>
      <w:r w:rsidR="002F60F7" w:rsidRPr="004C7CDA">
        <w:rPr>
          <w:szCs w:val="22"/>
          <w:lang w:val="sr-Latn-ME"/>
        </w:rPr>
        <w:t>i</w:t>
      </w:r>
      <w:r w:rsidR="005E4C2B" w:rsidRPr="004C7CDA">
        <w:rPr>
          <w:szCs w:val="22"/>
          <w:lang w:val="sr-Latn-ME"/>
        </w:rPr>
        <w:t>j</w:t>
      </w:r>
      <w:r w:rsidRPr="004C7CDA">
        <w:rPr>
          <w:szCs w:val="22"/>
          <w:lang w:val="sr-Latn-ME"/>
        </w:rPr>
        <w:t>eniti test dozu, a terapija manito</w:t>
      </w:r>
      <w:r w:rsidR="008B3ED5" w:rsidRPr="004C7CDA">
        <w:rPr>
          <w:szCs w:val="22"/>
          <w:lang w:val="sr-Latn-ME"/>
        </w:rPr>
        <w:t>l</w:t>
      </w:r>
      <w:r w:rsidRPr="004C7CDA">
        <w:rPr>
          <w:szCs w:val="22"/>
          <w:lang w:val="sr-Latn-ME"/>
        </w:rPr>
        <w:t>om može biti nastav</w:t>
      </w:r>
      <w:r w:rsidR="008B3ED5" w:rsidRPr="004C7CDA">
        <w:rPr>
          <w:szCs w:val="22"/>
          <w:lang w:val="sr-Latn-ME"/>
        </w:rPr>
        <w:t>l</w:t>
      </w:r>
      <w:r w:rsidRPr="004C7CDA">
        <w:rPr>
          <w:szCs w:val="22"/>
          <w:lang w:val="sr-Latn-ME"/>
        </w:rPr>
        <w:t>jena samo ako je postignut adekvatan protok urina (</w:t>
      </w:r>
      <w:r w:rsidR="008B3ED5" w:rsidRPr="004C7CDA">
        <w:rPr>
          <w:szCs w:val="22"/>
          <w:lang w:val="sr-Latn-ME"/>
        </w:rPr>
        <w:t>pogledati dio</w:t>
      </w:r>
      <w:r w:rsidRPr="004C7CDA">
        <w:rPr>
          <w:szCs w:val="22"/>
          <w:lang w:val="sr-Latn-ME"/>
        </w:rPr>
        <w:t xml:space="preserve"> 4.2).</w:t>
      </w:r>
    </w:p>
    <w:p w14:paraId="3D9C0C72" w14:textId="77777777" w:rsidR="007735C3" w:rsidRPr="004C7CDA" w:rsidRDefault="007735C3" w:rsidP="004C7CDA">
      <w:pPr>
        <w:pStyle w:val="ListParagraph"/>
        <w:widowControl w:val="0"/>
        <w:ind w:left="0"/>
        <w:rPr>
          <w:szCs w:val="22"/>
          <w:lang w:val="sr-Latn-ME"/>
        </w:rPr>
      </w:pPr>
    </w:p>
    <w:p w14:paraId="26964D21" w14:textId="4E800B04" w:rsidR="007735C3" w:rsidRPr="004C7CDA" w:rsidRDefault="007735C3" w:rsidP="004C7CDA">
      <w:pPr>
        <w:pStyle w:val="ListParagraph"/>
        <w:widowControl w:val="0"/>
        <w:ind w:left="0"/>
        <w:rPr>
          <w:szCs w:val="22"/>
          <w:lang w:val="sr-Latn-ME"/>
        </w:rPr>
      </w:pPr>
      <w:r w:rsidRPr="004C7CDA">
        <w:rPr>
          <w:szCs w:val="22"/>
          <w:lang w:val="sr-Latn-ME"/>
        </w:rPr>
        <w:t>Uko</w:t>
      </w:r>
      <w:r w:rsidR="008B3ED5" w:rsidRPr="004C7CDA">
        <w:rPr>
          <w:szCs w:val="22"/>
          <w:lang w:val="sr-Latn-ME"/>
        </w:rPr>
        <w:t>l</w:t>
      </w:r>
      <w:r w:rsidRPr="004C7CDA">
        <w:rPr>
          <w:szCs w:val="22"/>
          <w:lang w:val="sr-Latn-ME"/>
        </w:rPr>
        <w:t>iko diureza opadne tokom davanja infuzije manito</w:t>
      </w:r>
      <w:r w:rsidR="008B3ED5" w:rsidRPr="004C7CDA">
        <w:rPr>
          <w:szCs w:val="22"/>
          <w:lang w:val="sr-Latn-ME"/>
        </w:rPr>
        <w:t>l</w:t>
      </w:r>
      <w:r w:rsidRPr="004C7CDA">
        <w:rPr>
          <w:szCs w:val="22"/>
          <w:lang w:val="sr-Latn-ME"/>
        </w:rPr>
        <w:t>a, potrebno je paž</w:t>
      </w:r>
      <w:r w:rsidR="008B3ED5" w:rsidRPr="004C7CDA">
        <w:rPr>
          <w:szCs w:val="22"/>
          <w:lang w:val="sr-Latn-ME"/>
        </w:rPr>
        <w:t>l</w:t>
      </w:r>
      <w:r w:rsidRPr="004C7CDA">
        <w:rPr>
          <w:szCs w:val="22"/>
          <w:lang w:val="sr-Latn-ME"/>
        </w:rPr>
        <w:t>jivo razmotriti stanje pacijenta u smis</w:t>
      </w:r>
      <w:r w:rsidR="008B3ED5" w:rsidRPr="004C7CDA">
        <w:rPr>
          <w:szCs w:val="22"/>
          <w:lang w:val="sr-Latn-ME"/>
        </w:rPr>
        <w:t>l</w:t>
      </w:r>
      <w:r w:rsidRPr="004C7CDA">
        <w:rPr>
          <w:szCs w:val="22"/>
          <w:lang w:val="sr-Latn-ME"/>
        </w:rPr>
        <w:t xml:space="preserve">u razvoja poremećaja funkcije bubrega i uz obustavu infuzije ovog </w:t>
      </w:r>
      <w:r w:rsidR="008B3ED5" w:rsidRPr="004C7CDA">
        <w:rPr>
          <w:szCs w:val="22"/>
          <w:lang w:val="sr-Latn-ME"/>
        </w:rPr>
        <w:t>l</w:t>
      </w:r>
      <w:r w:rsidR="00EF28C7" w:rsidRPr="004C7CDA">
        <w:rPr>
          <w:szCs w:val="22"/>
          <w:lang w:val="sr-Latn-ME"/>
        </w:rPr>
        <w:t>ij</w:t>
      </w:r>
      <w:r w:rsidRPr="004C7CDA">
        <w:rPr>
          <w:szCs w:val="22"/>
          <w:lang w:val="sr-Latn-ME"/>
        </w:rPr>
        <w:t>eka, uko</w:t>
      </w:r>
      <w:r w:rsidR="008B3ED5" w:rsidRPr="004C7CDA">
        <w:rPr>
          <w:szCs w:val="22"/>
          <w:lang w:val="sr-Latn-ME"/>
        </w:rPr>
        <w:t>l</w:t>
      </w:r>
      <w:r w:rsidRPr="004C7CDA">
        <w:rPr>
          <w:szCs w:val="22"/>
          <w:lang w:val="sr-Latn-ME"/>
        </w:rPr>
        <w:t xml:space="preserve">iko je potrebno. </w:t>
      </w:r>
    </w:p>
    <w:p w14:paraId="6F19AB0D" w14:textId="77777777" w:rsidR="007735C3" w:rsidRPr="004C7CDA" w:rsidRDefault="007735C3" w:rsidP="004C7CDA">
      <w:pPr>
        <w:pStyle w:val="ListParagraph"/>
        <w:widowControl w:val="0"/>
        <w:ind w:left="0"/>
        <w:rPr>
          <w:szCs w:val="22"/>
          <w:lang w:val="sr-Latn-ME"/>
        </w:rPr>
      </w:pPr>
    </w:p>
    <w:p w14:paraId="46C3F72D" w14:textId="4C7E06E2" w:rsidR="007735C3" w:rsidRPr="004C7CDA" w:rsidRDefault="007735C3" w:rsidP="004C7CDA">
      <w:pPr>
        <w:widowControl w:val="0"/>
        <w:tabs>
          <w:tab w:val="clear" w:pos="284"/>
        </w:tabs>
        <w:rPr>
          <w:bCs/>
          <w:szCs w:val="22"/>
          <w:u w:val="single"/>
          <w:lang w:val="sr-Latn-ME"/>
        </w:rPr>
      </w:pPr>
      <w:r w:rsidRPr="004C7CDA">
        <w:rPr>
          <w:bCs/>
          <w:szCs w:val="22"/>
          <w:u w:val="single"/>
          <w:lang w:val="sr-Latn-ME"/>
        </w:rPr>
        <w:t>Rizik od hipervo</w:t>
      </w:r>
      <w:r w:rsidR="008B3ED5" w:rsidRPr="004C7CDA">
        <w:rPr>
          <w:bCs/>
          <w:szCs w:val="22"/>
          <w:u w:val="single"/>
          <w:lang w:val="sr-Latn-ME"/>
        </w:rPr>
        <w:t>l</w:t>
      </w:r>
      <w:r w:rsidRPr="004C7CDA">
        <w:rPr>
          <w:bCs/>
          <w:szCs w:val="22"/>
          <w:u w:val="single"/>
          <w:lang w:val="sr-Latn-ME"/>
        </w:rPr>
        <w:t>emije</w:t>
      </w:r>
    </w:p>
    <w:p w14:paraId="5FA9ADBB" w14:textId="0E8D7111" w:rsidR="007735C3" w:rsidRPr="004C7CDA" w:rsidRDefault="00F047EE" w:rsidP="004C7CDA">
      <w:pPr>
        <w:widowControl w:val="0"/>
        <w:rPr>
          <w:szCs w:val="22"/>
          <w:lang w:val="sr-Latn-ME"/>
        </w:rPr>
      </w:pPr>
      <w:r w:rsidRPr="004C7CDA">
        <w:rPr>
          <w:szCs w:val="22"/>
          <w:lang w:val="sr-Latn-ME"/>
        </w:rPr>
        <w:t xml:space="preserve">Prije </w:t>
      </w:r>
      <w:r w:rsidR="007735C3" w:rsidRPr="004C7CDA">
        <w:rPr>
          <w:szCs w:val="22"/>
          <w:lang w:val="sr-Latn-ME"/>
        </w:rPr>
        <w:t>prim</w:t>
      </w:r>
      <w:r w:rsidR="00E62F0F" w:rsidRPr="004C7CDA">
        <w:rPr>
          <w:szCs w:val="22"/>
          <w:lang w:val="sr-Latn-ME"/>
        </w:rPr>
        <w:t>j</w:t>
      </w:r>
      <w:r w:rsidR="007735C3" w:rsidRPr="004C7CDA">
        <w:rPr>
          <w:szCs w:val="22"/>
          <w:lang w:val="sr-Latn-ME"/>
        </w:rPr>
        <w:t>ene manito</w:t>
      </w:r>
      <w:r w:rsidR="008B3ED5" w:rsidRPr="004C7CDA">
        <w:rPr>
          <w:szCs w:val="22"/>
          <w:lang w:val="sr-Latn-ME"/>
        </w:rPr>
        <w:t>l</w:t>
      </w:r>
      <w:r w:rsidR="007735C3" w:rsidRPr="004C7CDA">
        <w:rPr>
          <w:szCs w:val="22"/>
          <w:lang w:val="sr-Latn-ME"/>
        </w:rPr>
        <w:t>a treba izvršiti proc</w:t>
      </w:r>
      <w:r w:rsidR="008B3ED5" w:rsidRPr="004C7CDA">
        <w:rPr>
          <w:szCs w:val="22"/>
          <w:lang w:val="sr-Latn-ME"/>
        </w:rPr>
        <w:t>j</w:t>
      </w:r>
      <w:r w:rsidR="007735C3" w:rsidRPr="004C7CDA">
        <w:rPr>
          <w:szCs w:val="22"/>
          <w:lang w:val="sr-Latn-ME"/>
        </w:rPr>
        <w:t>enu kardiovasku</w:t>
      </w:r>
      <w:r w:rsidR="008B3ED5" w:rsidRPr="004C7CDA">
        <w:rPr>
          <w:szCs w:val="22"/>
          <w:lang w:val="sr-Latn-ME"/>
        </w:rPr>
        <w:t>l</w:t>
      </w:r>
      <w:r w:rsidR="007735C3" w:rsidRPr="004C7CDA">
        <w:rPr>
          <w:szCs w:val="22"/>
          <w:lang w:val="sr-Latn-ME"/>
        </w:rPr>
        <w:t xml:space="preserve">arnog statusa pacijenta. </w:t>
      </w:r>
    </w:p>
    <w:p w14:paraId="0B7AB8A0" w14:textId="77777777" w:rsidR="007735C3" w:rsidRPr="004C7CDA" w:rsidRDefault="007735C3" w:rsidP="004C7CDA">
      <w:pPr>
        <w:widowControl w:val="0"/>
        <w:rPr>
          <w:szCs w:val="22"/>
          <w:lang w:val="sr-Latn-ME"/>
        </w:rPr>
      </w:pPr>
    </w:p>
    <w:p w14:paraId="50C6FA8E" w14:textId="7A60DEEF" w:rsidR="007735C3" w:rsidRPr="004C7CDA" w:rsidRDefault="007735C3" w:rsidP="004C7CDA">
      <w:pPr>
        <w:widowControl w:val="0"/>
        <w:rPr>
          <w:szCs w:val="22"/>
          <w:lang w:val="sr-Latn-ME"/>
        </w:rPr>
      </w:pPr>
      <w:r w:rsidRPr="004C7CDA">
        <w:rPr>
          <w:szCs w:val="22"/>
          <w:lang w:val="sr-Latn-ME"/>
        </w:rPr>
        <w:t>Prim</w:t>
      </w:r>
      <w:r w:rsidR="00E62F0F" w:rsidRPr="004C7CDA">
        <w:rPr>
          <w:szCs w:val="22"/>
          <w:lang w:val="sr-Latn-ME"/>
        </w:rPr>
        <w:t>j</w:t>
      </w:r>
      <w:r w:rsidRPr="004C7CDA">
        <w:rPr>
          <w:szCs w:val="22"/>
          <w:lang w:val="sr-Latn-ME"/>
        </w:rPr>
        <w:t>ena visokih doza i/i</w:t>
      </w:r>
      <w:r w:rsidR="008B3ED5" w:rsidRPr="004C7CDA">
        <w:rPr>
          <w:szCs w:val="22"/>
          <w:lang w:val="sr-Latn-ME"/>
        </w:rPr>
        <w:t>l</w:t>
      </w:r>
      <w:r w:rsidRPr="004C7CDA">
        <w:rPr>
          <w:szCs w:val="22"/>
          <w:lang w:val="sr-Latn-ME"/>
        </w:rPr>
        <w:t>i brze infuzije, kao i akumu</w:t>
      </w:r>
      <w:r w:rsidR="008B3ED5" w:rsidRPr="004C7CDA">
        <w:rPr>
          <w:szCs w:val="22"/>
          <w:lang w:val="sr-Latn-ME"/>
        </w:rPr>
        <w:t>l</w:t>
      </w:r>
      <w:r w:rsidRPr="004C7CDA">
        <w:rPr>
          <w:szCs w:val="22"/>
          <w:lang w:val="sr-Latn-ME"/>
        </w:rPr>
        <w:t>acija manito</w:t>
      </w:r>
      <w:r w:rsidR="008B3ED5" w:rsidRPr="004C7CDA">
        <w:rPr>
          <w:szCs w:val="22"/>
          <w:lang w:val="sr-Latn-ME"/>
        </w:rPr>
        <w:t>l</w:t>
      </w:r>
      <w:r w:rsidRPr="004C7CDA">
        <w:rPr>
          <w:szCs w:val="22"/>
          <w:lang w:val="sr-Latn-ME"/>
        </w:rPr>
        <w:t>a (us</w:t>
      </w:r>
      <w:r w:rsidR="008B3ED5" w:rsidRPr="004C7CDA">
        <w:rPr>
          <w:szCs w:val="22"/>
          <w:lang w:val="sr-Latn-ME"/>
        </w:rPr>
        <w:t>l</w:t>
      </w:r>
      <w:r w:rsidR="0027705F" w:rsidRPr="004C7CDA">
        <w:rPr>
          <w:szCs w:val="22"/>
          <w:lang w:val="sr-Latn-ME"/>
        </w:rPr>
        <w:t>j</w:t>
      </w:r>
      <w:r w:rsidRPr="004C7CDA">
        <w:rPr>
          <w:szCs w:val="22"/>
          <w:lang w:val="sr-Latn-ME"/>
        </w:rPr>
        <w:t>ed nedovo</w:t>
      </w:r>
      <w:r w:rsidR="008B3ED5" w:rsidRPr="004C7CDA">
        <w:rPr>
          <w:szCs w:val="22"/>
          <w:lang w:val="sr-Latn-ME"/>
        </w:rPr>
        <w:t>l</w:t>
      </w:r>
      <w:r w:rsidRPr="004C7CDA">
        <w:rPr>
          <w:szCs w:val="22"/>
          <w:lang w:val="sr-Latn-ME"/>
        </w:rPr>
        <w:t>jne rena</w:t>
      </w:r>
      <w:r w:rsidR="008B3ED5" w:rsidRPr="004C7CDA">
        <w:rPr>
          <w:szCs w:val="22"/>
          <w:lang w:val="sr-Latn-ME"/>
        </w:rPr>
        <w:t>l</w:t>
      </w:r>
      <w:r w:rsidRPr="004C7CDA">
        <w:rPr>
          <w:szCs w:val="22"/>
          <w:lang w:val="sr-Latn-ME"/>
        </w:rPr>
        <w:t xml:space="preserve">ne ekskrecije ovog </w:t>
      </w:r>
      <w:r w:rsidR="008B3ED5" w:rsidRPr="004C7CDA">
        <w:rPr>
          <w:szCs w:val="22"/>
          <w:lang w:val="sr-Latn-ME"/>
        </w:rPr>
        <w:t>l</w:t>
      </w:r>
      <w:r w:rsidR="00EF28C7" w:rsidRPr="004C7CDA">
        <w:rPr>
          <w:szCs w:val="22"/>
          <w:lang w:val="sr-Latn-ME"/>
        </w:rPr>
        <w:t>ij</w:t>
      </w:r>
      <w:r w:rsidRPr="004C7CDA">
        <w:rPr>
          <w:szCs w:val="22"/>
          <w:lang w:val="sr-Latn-ME"/>
        </w:rPr>
        <w:t>eka), za pos</w:t>
      </w:r>
      <w:r w:rsidR="008B3ED5" w:rsidRPr="004C7CDA">
        <w:rPr>
          <w:szCs w:val="22"/>
          <w:lang w:val="sr-Latn-ME"/>
        </w:rPr>
        <w:t>l</w:t>
      </w:r>
      <w:r w:rsidR="0027705F" w:rsidRPr="004C7CDA">
        <w:rPr>
          <w:szCs w:val="22"/>
          <w:lang w:val="sr-Latn-ME"/>
        </w:rPr>
        <w:t>j</w:t>
      </w:r>
      <w:r w:rsidRPr="004C7CDA">
        <w:rPr>
          <w:szCs w:val="22"/>
          <w:lang w:val="sr-Latn-ME"/>
        </w:rPr>
        <w:t>edicu mogu da imaju hipervo</w:t>
      </w:r>
      <w:r w:rsidR="008B3ED5" w:rsidRPr="004C7CDA">
        <w:rPr>
          <w:szCs w:val="22"/>
          <w:lang w:val="sr-Latn-ME"/>
        </w:rPr>
        <w:t>l</w:t>
      </w:r>
      <w:r w:rsidRPr="004C7CDA">
        <w:rPr>
          <w:szCs w:val="22"/>
          <w:lang w:val="sr-Latn-ME"/>
        </w:rPr>
        <w:t>emiju i prekom</w:t>
      </w:r>
      <w:r w:rsidR="0027705F" w:rsidRPr="004C7CDA">
        <w:rPr>
          <w:szCs w:val="22"/>
          <w:lang w:val="sr-Latn-ME"/>
        </w:rPr>
        <w:t>j</w:t>
      </w:r>
      <w:r w:rsidRPr="004C7CDA">
        <w:rPr>
          <w:szCs w:val="22"/>
          <w:lang w:val="sr-Latn-ME"/>
        </w:rPr>
        <w:t>erno nakup</w:t>
      </w:r>
      <w:r w:rsidR="008B3ED5" w:rsidRPr="004C7CDA">
        <w:rPr>
          <w:szCs w:val="22"/>
          <w:lang w:val="sr-Latn-ME"/>
        </w:rPr>
        <w:t>l</w:t>
      </w:r>
      <w:r w:rsidRPr="004C7CDA">
        <w:rPr>
          <w:szCs w:val="22"/>
          <w:lang w:val="sr-Latn-ME"/>
        </w:rPr>
        <w:t>janje ekstrace</w:t>
      </w:r>
      <w:r w:rsidR="008B3ED5" w:rsidRPr="004C7CDA">
        <w:rPr>
          <w:szCs w:val="22"/>
          <w:lang w:val="sr-Latn-ME"/>
        </w:rPr>
        <w:t>l</w:t>
      </w:r>
      <w:r w:rsidRPr="004C7CDA">
        <w:rPr>
          <w:szCs w:val="22"/>
          <w:lang w:val="sr-Latn-ME"/>
        </w:rPr>
        <w:t>u</w:t>
      </w:r>
      <w:r w:rsidR="008B3ED5" w:rsidRPr="004C7CDA">
        <w:rPr>
          <w:szCs w:val="22"/>
          <w:lang w:val="sr-Latn-ME"/>
        </w:rPr>
        <w:t>l</w:t>
      </w:r>
      <w:r w:rsidRPr="004C7CDA">
        <w:rPr>
          <w:szCs w:val="22"/>
          <w:lang w:val="sr-Latn-ME"/>
        </w:rPr>
        <w:t>arne tečnosti, što da</w:t>
      </w:r>
      <w:r w:rsidR="008B3ED5" w:rsidRPr="004C7CDA">
        <w:rPr>
          <w:szCs w:val="22"/>
          <w:lang w:val="sr-Latn-ME"/>
        </w:rPr>
        <w:t>l</w:t>
      </w:r>
      <w:r w:rsidRPr="004C7CDA">
        <w:rPr>
          <w:szCs w:val="22"/>
          <w:lang w:val="sr-Latn-ME"/>
        </w:rPr>
        <w:t>je može da dovede do kongestivne srčane insuficijencije i</w:t>
      </w:r>
      <w:r w:rsidR="008B3ED5" w:rsidRPr="004C7CDA">
        <w:rPr>
          <w:szCs w:val="22"/>
          <w:lang w:val="sr-Latn-ME"/>
        </w:rPr>
        <w:t>l</w:t>
      </w:r>
      <w:r w:rsidRPr="004C7CDA">
        <w:rPr>
          <w:szCs w:val="22"/>
          <w:lang w:val="sr-Latn-ME"/>
        </w:rPr>
        <w:t>i do njenog pogoršanja uko</w:t>
      </w:r>
      <w:r w:rsidR="008B3ED5" w:rsidRPr="004C7CDA">
        <w:rPr>
          <w:szCs w:val="22"/>
          <w:lang w:val="sr-Latn-ME"/>
        </w:rPr>
        <w:t>l</w:t>
      </w:r>
      <w:r w:rsidRPr="004C7CDA">
        <w:rPr>
          <w:szCs w:val="22"/>
          <w:lang w:val="sr-Latn-ME"/>
        </w:rPr>
        <w:t>iko je već postoja</w:t>
      </w:r>
      <w:r w:rsidR="008B3ED5" w:rsidRPr="004C7CDA">
        <w:rPr>
          <w:szCs w:val="22"/>
          <w:lang w:val="sr-Latn-ME"/>
        </w:rPr>
        <w:t>l</w:t>
      </w:r>
      <w:r w:rsidRPr="004C7CDA">
        <w:rPr>
          <w:szCs w:val="22"/>
          <w:lang w:val="sr-Latn-ME"/>
        </w:rPr>
        <w:t>a.</w:t>
      </w:r>
    </w:p>
    <w:p w14:paraId="7C86E722" w14:textId="31D76412" w:rsidR="007735C3" w:rsidRPr="004C7CDA" w:rsidRDefault="007735C3" w:rsidP="004C7CDA">
      <w:pPr>
        <w:widowControl w:val="0"/>
        <w:tabs>
          <w:tab w:val="clear" w:pos="284"/>
        </w:tabs>
        <w:autoSpaceDE w:val="0"/>
        <w:autoSpaceDN w:val="0"/>
        <w:adjustRightInd w:val="0"/>
        <w:rPr>
          <w:rFonts w:eastAsia="TimesNewRoman"/>
          <w:szCs w:val="22"/>
          <w:lang w:val="sr-Latn-ME"/>
        </w:rPr>
      </w:pPr>
      <w:r w:rsidRPr="004C7CDA">
        <w:rPr>
          <w:rFonts w:eastAsia="TimesNewRoman"/>
          <w:szCs w:val="22"/>
          <w:lang w:val="sr-Latn-ME"/>
        </w:rPr>
        <w:t>Uko</w:t>
      </w:r>
      <w:r w:rsidR="008B3ED5" w:rsidRPr="004C7CDA">
        <w:rPr>
          <w:rFonts w:eastAsia="TimesNewRoman"/>
          <w:szCs w:val="22"/>
          <w:lang w:val="sr-Latn-ME"/>
        </w:rPr>
        <w:t>l</w:t>
      </w:r>
      <w:r w:rsidRPr="004C7CDA">
        <w:rPr>
          <w:rFonts w:eastAsia="TimesNewRoman"/>
          <w:szCs w:val="22"/>
          <w:lang w:val="sr-Latn-ME"/>
        </w:rPr>
        <w:t>iko diureza nastavi da opada tokom prim</w:t>
      </w:r>
      <w:r w:rsidR="00D86AE1" w:rsidRPr="004C7CDA">
        <w:rPr>
          <w:rFonts w:eastAsia="TimesNewRoman"/>
          <w:szCs w:val="22"/>
          <w:lang w:val="sr-Latn-ME"/>
        </w:rPr>
        <w:t>j</w:t>
      </w:r>
      <w:r w:rsidRPr="004C7CDA">
        <w:rPr>
          <w:rFonts w:eastAsia="TimesNewRoman"/>
          <w:szCs w:val="22"/>
          <w:lang w:val="sr-Latn-ME"/>
        </w:rPr>
        <w:t>ene manito</w:t>
      </w:r>
      <w:r w:rsidR="008B3ED5" w:rsidRPr="004C7CDA">
        <w:rPr>
          <w:rFonts w:eastAsia="TimesNewRoman"/>
          <w:szCs w:val="22"/>
          <w:lang w:val="sr-Latn-ME"/>
        </w:rPr>
        <w:t>l</w:t>
      </w:r>
      <w:r w:rsidRPr="004C7CDA">
        <w:rPr>
          <w:rFonts w:eastAsia="TimesNewRoman"/>
          <w:szCs w:val="22"/>
          <w:lang w:val="sr-Latn-ME"/>
        </w:rPr>
        <w:t>a, može da dođe do njegove akumu</w:t>
      </w:r>
      <w:r w:rsidR="008B3ED5" w:rsidRPr="004C7CDA">
        <w:rPr>
          <w:rFonts w:eastAsia="TimesNewRoman"/>
          <w:szCs w:val="22"/>
          <w:lang w:val="sr-Latn-ME"/>
        </w:rPr>
        <w:t>l</w:t>
      </w:r>
      <w:r w:rsidRPr="004C7CDA">
        <w:rPr>
          <w:rFonts w:eastAsia="TimesNewRoman"/>
          <w:szCs w:val="22"/>
          <w:lang w:val="sr-Latn-ME"/>
        </w:rPr>
        <w:t>acije, što može da intenzivira već postojeću i</w:t>
      </w:r>
      <w:r w:rsidR="008B3ED5" w:rsidRPr="004C7CDA">
        <w:rPr>
          <w:rFonts w:eastAsia="TimesNewRoman"/>
          <w:szCs w:val="22"/>
          <w:lang w:val="sr-Latn-ME"/>
        </w:rPr>
        <w:t>l</w:t>
      </w:r>
      <w:r w:rsidRPr="004C7CDA">
        <w:rPr>
          <w:rFonts w:eastAsia="TimesNewRoman"/>
          <w:szCs w:val="22"/>
          <w:lang w:val="sr-Latn-ME"/>
        </w:rPr>
        <w:t xml:space="preserve">i </w:t>
      </w:r>
      <w:r w:rsidR="008B3ED5" w:rsidRPr="004C7CDA">
        <w:rPr>
          <w:rFonts w:eastAsia="TimesNewRoman"/>
          <w:szCs w:val="22"/>
          <w:lang w:val="sr-Latn-ME"/>
        </w:rPr>
        <w:t>l</w:t>
      </w:r>
      <w:r w:rsidRPr="004C7CDA">
        <w:rPr>
          <w:rFonts w:eastAsia="TimesNewRoman"/>
          <w:szCs w:val="22"/>
          <w:lang w:val="sr-Latn-ME"/>
        </w:rPr>
        <w:t>atentnu kongestivnu srčanu insuficijenciju.</w:t>
      </w:r>
    </w:p>
    <w:p w14:paraId="5E5E037A" w14:textId="77777777" w:rsidR="007735C3" w:rsidRPr="004C7CDA" w:rsidRDefault="007735C3" w:rsidP="004C7CDA">
      <w:pPr>
        <w:widowControl w:val="0"/>
        <w:tabs>
          <w:tab w:val="clear" w:pos="284"/>
        </w:tabs>
        <w:autoSpaceDE w:val="0"/>
        <w:autoSpaceDN w:val="0"/>
        <w:adjustRightInd w:val="0"/>
        <w:rPr>
          <w:rFonts w:eastAsia="TimesNewRoman"/>
          <w:szCs w:val="22"/>
          <w:lang w:val="sr-Latn-ME"/>
        </w:rPr>
      </w:pPr>
    </w:p>
    <w:p w14:paraId="57B85089" w14:textId="2D03F2CB" w:rsidR="007735C3" w:rsidRPr="004C7CDA" w:rsidRDefault="007735C3" w:rsidP="004C7CDA">
      <w:pPr>
        <w:widowControl w:val="0"/>
        <w:rPr>
          <w:szCs w:val="22"/>
          <w:lang w:val="sr-Latn-ME"/>
        </w:rPr>
      </w:pPr>
      <w:r w:rsidRPr="004C7CDA">
        <w:rPr>
          <w:szCs w:val="22"/>
          <w:lang w:val="sr-Latn-ME"/>
        </w:rPr>
        <w:t>Uko</w:t>
      </w:r>
      <w:r w:rsidR="008B3ED5" w:rsidRPr="004C7CDA">
        <w:rPr>
          <w:szCs w:val="22"/>
          <w:lang w:val="sr-Latn-ME"/>
        </w:rPr>
        <w:t>l</w:t>
      </w:r>
      <w:r w:rsidRPr="004C7CDA">
        <w:rPr>
          <w:szCs w:val="22"/>
          <w:lang w:val="sr-Latn-ME"/>
        </w:rPr>
        <w:t>iko kod pacijenata dođe do pogoršanja rada srca i</w:t>
      </w:r>
      <w:r w:rsidR="008B3ED5" w:rsidRPr="004C7CDA">
        <w:rPr>
          <w:szCs w:val="22"/>
          <w:lang w:val="sr-Latn-ME"/>
        </w:rPr>
        <w:t>l</w:t>
      </w:r>
      <w:r w:rsidRPr="004C7CDA">
        <w:rPr>
          <w:szCs w:val="22"/>
          <w:lang w:val="sr-Latn-ME"/>
        </w:rPr>
        <w:t>i p</w:t>
      </w:r>
      <w:r w:rsidR="008B3ED5" w:rsidRPr="004C7CDA">
        <w:rPr>
          <w:szCs w:val="22"/>
          <w:lang w:val="sr-Latn-ME"/>
        </w:rPr>
        <w:t>l</w:t>
      </w:r>
      <w:r w:rsidRPr="004C7CDA">
        <w:rPr>
          <w:szCs w:val="22"/>
          <w:lang w:val="sr-Latn-ME"/>
        </w:rPr>
        <w:t xml:space="preserve">uća, terapiju treba obustaviti. </w:t>
      </w:r>
    </w:p>
    <w:p w14:paraId="54F68337" w14:textId="77777777" w:rsidR="007735C3" w:rsidRPr="004C7CDA" w:rsidRDefault="007735C3" w:rsidP="004C7CDA">
      <w:pPr>
        <w:widowControl w:val="0"/>
        <w:rPr>
          <w:szCs w:val="22"/>
          <w:lang w:val="sr-Latn-ME"/>
        </w:rPr>
      </w:pPr>
    </w:p>
    <w:p w14:paraId="1014C0F5" w14:textId="5CDE1299" w:rsidR="007735C3" w:rsidRPr="004C7CDA" w:rsidRDefault="007735C3" w:rsidP="004C7CDA">
      <w:pPr>
        <w:widowControl w:val="0"/>
        <w:tabs>
          <w:tab w:val="clear" w:pos="284"/>
        </w:tabs>
        <w:rPr>
          <w:bCs/>
          <w:szCs w:val="22"/>
          <w:u w:val="single"/>
          <w:lang w:val="sr-Latn-ME"/>
        </w:rPr>
      </w:pPr>
      <w:r w:rsidRPr="004C7CDA">
        <w:rPr>
          <w:bCs/>
          <w:szCs w:val="22"/>
          <w:u w:val="single"/>
          <w:lang w:val="sr-Latn-ME"/>
        </w:rPr>
        <w:t>Rizik od disba</w:t>
      </w:r>
      <w:r w:rsidR="008B3ED5" w:rsidRPr="004C7CDA">
        <w:rPr>
          <w:bCs/>
          <w:szCs w:val="22"/>
          <w:u w:val="single"/>
          <w:lang w:val="sr-Latn-ME"/>
        </w:rPr>
        <w:t>l</w:t>
      </w:r>
      <w:r w:rsidRPr="004C7CDA">
        <w:rPr>
          <w:bCs/>
          <w:szCs w:val="22"/>
          <w:u w:val="single"/>
          <w:lang w:val="sr-Latn-ME"/>
        </w:rPr>
        <w:t>ansa vode i e</w:t>
      </w:r>
      <w:r w:rsidR="008B3ED5" w:rsidRPr="004C7CDA">
        <w:rPr>
          <w:bCs/>
          <w:szCs w:val="22"/>
          <w:u w:val="single"/>
          <w:lang w:val="sr-Latn-ME"/>
        </w:rPr>
        <w:t>l</w:t>
      </w:r>
      <w:r w:rsidRPr="004C7CDA">
        <w:rPr>
          <w:bCs/>
          <w:szCs w:val="22"/>
          <w:u w:val="single"/>
          <w:lang w:val="sr-Latn-ME"/>
        </w:rPr>
        <w:t>ektro</w:t>
      </w:r>
      <w:r w:rsidR="008B3ED5" w:rsidRPr="004C7CDA">
        <w:rPr>
          <w:bCs/>
          <w:szCs w:val="22"/>
          <w:u w:val="single"/>
          <w:lang w:val="sr-Latn-ME"/>
        </w:rPr>
        <w:t>l</w:t>
      </w:r>
      <w:r w:rsidRPr="004C7CDA">
        <w:rPr>
          <w:bCs/>
          <w:szCs w:val="22"/>
          <w:u w:val="single"/>
          <w:lang w:val="sr-Latn-ME"/>
        </w:rPr>
        <w:t>ita, hiperosmo</w:t>
      </w:r>
      <w:r w:rsidR="008B3ED5" w:rsidRPr="004C7CDA">
        <w:rPr>
          <w:bCs/>
          <w:szCs w:val="22"/>
          <w:u w:val="single"/>
          <w:lang w:val="sr-Latn-ME"/>
        </w:rPr>
        <w:t>l</w:t>
      </w:r>
      <w:r w:rsidRPr="004C7CDA">
        <w:rPr>
          <w:bCs/>
          <w:szCs w:val="22"/>
          <w:u w:val="single"/>
          <w:lang w:val="sr-Latn-ME"/>
        </w:rPr>
        <w:t>arnost</w:t>
      </w:r>
    </w:p>
    <w:p w14:paraId="0260F34D" w14:textId="4F4BDA41" w:rsidR="007735C3" w:rsidRPr="004C7CDA" w:rsidRDefault="007735C3" w:rsidP="004C7CDA">
      <w:pPr>
        <w:widowControl w:val="0"/>
        <w:rPr>
          <w:szCs w:val="22"/>
          <w:lang w:val="sr-Latn-ME"/>
        </w:rPr>
      </w:pPr>
      <w:r w:rsidRPr="004C7CDA">
        <w:rPr>
          <w:szCs w:val="22"/>
          <w:lang w:val="sr-Latn-ME"/>
        </w:rPr>
        <w:t>Osmotska diureza izazvana manito</w:t>
      </w:r>
      <w:r w:rsidR="008B3ED5" w:rsidRPr="004C7CDA">
        <w:rPr>
          <w:szCs w:val="22"/>
          <w:lang w:val="sr-Latn-ME"/>
        </w:rPr>
        <w:t>l</w:t>
      </w:r>
      <w:r w:rsidRPr="004C7CDA">
        <w:rPr>
          <w:szCs w:val="22"/>
          <w:lang w:val="sr-Latn-ME"/>
        </w:rPr>
        <w:t>om, može da prouzrokuje i</w:t>
      </w:r>
      <w:r w:rsidR="008B3ED5" w:rsidRPr="004C7CDA">
        <w:rPr>
          <w:szCs w:val="22"/>
          <w:lang w:val="sr-Latn-ME"/>
        </w:rPr>
        <w:t>l</w:t>
      </w:r>
      <w:r w:rsidRPr="004C7CDA">
        <w:rPr>
          <w:szCs w:val="22"/>
          <w:lang w:val="sr-Latn-ME"/>
        </w:rPr>
        <w:t>i pogorša dehidrataciju/hipovo</w:t>
      </w:r>
      <w:r w:rsidR="008B3ED5" w:rsidRPr="004C7CDA">
        <w:rPr>
          <w:szCs w:val="22"/>
          <w:lang w:val="sr-Latn-ME"/>
        </w:rPr>
        <w:t>l</w:t>
      </w:r>
      <w:r w:rsidRPr="004C7CDA">
        <w:rPr>
          <w:szCs w:val="22"/>
          <w:lang w:val="sr-Latn-ME"/>
        </w:rPr>
        <w:t>emiju i hemokoncentraciju. Prim</w:t>
      </w:r>
      <w:r w:rsidR="001814ED" w:rsidRPr="004C7CDA">
        <w:rPr>
          <w:szCs w:val="22"/>
          <w:lang w:val="sr-Latn-ME"/>
        </w:rPr>
        <w:t>j</w:t>
      </w:r>
      <w:r w:rsidRPr="004C7CDA">
        <w:rPr>
          <w:szCs w:val="22"/>
          <w:lang w:val="sr-Latn-ME"/>
        </w:rPr>
        <w:t>ena manito</w:t>
      </w:r>
      <w:r w:rsidR="008B3ED5" w:rsidRPr="004C7CDA">
        <w:rPr>
          <w:szCs w:val="22"/>
          <w:lang w:val="sr-Latn-ME"/>
        </w:rPr>
        <w:t>l</w:t>
      </w:r>
      <w:r w:rsidRPr="004C7CDA">
        <w:rPr>
          <w:szCs w:val="22"/>
          <w:lang w:val="sr-Latn-ME"/>
        </w:rPr>
        <w:t>a može takođe da izazove i pojavu hiperosmo</w:t>
      </w:r>
      <w:r w:rsidR="008B3ED5" w:rsidRPr="004C7CDA">
        <w:rPr>
          <w:szCs w:val="22"/>
          <w:lang w:val="sr-Latn-ME"/>
        </w:rPr>
        <w:t>l</w:t>
      </w:r>
      <w:r w:rsidRPr="004C7CDA">
        <w:rPr>
          <w:szCs w:val="22"/>
          <w:lang w:val="sr-Latn-ME"/>
        </w:rPr>
        <w:t xml:space="preserve">arnosti. </w:t>
      </w:r>
    </w:p>
    <w:p w14:paraId="5C6286C5" w14:textId="77777777" w:rsidR="007735C3" w:rsidRPr="004C7CDA" w:rsidRDefault="007735C3" w:rsidP="004C7CDA">
      <w:pPr>
        <w:widowControl w:val="0"/>
        <w:rPr>
          <w:szCs w:val="22"/>
          <w:lang w:val="sr-Latn-ME"/>
        </w:rPr>
      </w:pPr>
    </w:p>
    <w:p w14:paraId="4AD91D71" w14:textId="1EF1C798" w:rsidR="007735C3" w:rsidRPr="004C7CDA" w:rsidRDefault="007735C3" w:rsidP="004C7CDA">
      <w:pPr>
        <w:widowControl w:val="0"/>
        <w:rPr>
          <w:szCs w:val="22"/>
          <w:lang w:val="sr-Latn-ME"/>
        </w:rPr>
      </w:pPr>
      <w:r w:rsidRPr="004C7CDA">
        <w:rPr>
          <w:szCs w:val="22"/>
          <w:lang w:val="sr-Latn-ME"/>
        </w:rPr>
        <w:t>Osim toga, u zavisnosti od doziranja i trajanja prim</w:t>
      </w:r>
      <w:r w:rsidR="00EF28C7" w:rsidRPr="004C7CDA">
        <w:rPr>
          <w:szCs w:val="22"/>
          <w:lang w:val="sr-Latn-ME"/>
        </w:rPr>
        <w:t>j</w:t>
      </w:r>
      <w:r w:rsidRPr="004C7CDA">
        <w:rPr>
          <w:szCs w:val="22"/>
          <w:lang w:val="sr-Latn-ME"/>
        </w:rPr>
        <w:t>ene, e</w:t>
      </w:r>
      <w:r w:rsidR="008B3ED5" w:rsidRPr="004C7CDA">
        <w:rPr>
          <w:szCs w:val="22"/>
          <w:lang w:val="sr-Latn-ME"/>
        </w:rPr>
        <w:t>l</w:t>
      </w:r>
      <w:r w:rsidRPr="004C7CDA">
        <w:rPr>
          <w:szCs w:val="22"/>
          <w:lang w:val="sr-Latn-ME"/>
        </w:rPr>
        <w:t>ektro</w:t>
      </w:r>
      <w:r w:rsidR="008B3ED5" w:rsidRPr="004C7CDA">
        <w:rPr>
          <w:szCs w:val="22"/>
          <w:lang w:val="sr-Latn-ME"/>
        </w:rPr>
        <w:t>l</w:t>
      </w:r>
      <w:r w:rsidRPr="004C7CDA">
        <w:rPr>
          <w:szCs w:val="22"/>
          <w:lang w:val="sr-Latn-ME"/>
        </w:rPr>
        <w:t>itni i acido-bazni disba</w:t>
      </w:r>
      <w:r w:rsidR="008B3ED5" w:rsidRPr="004C7CDA">
        <w:rPr>
          <w:szCs w:val="22"/>
          <w:lang w:val="sr-Latn-ME"/>
        </w:rPr>
        <w:t>l</w:t>
      </w:r>
      <w:r w:rsidRPr="004C7CDA">
        <w:rPr>
          <w:szCs w:val="22"/>
          <w:lang w:val="sr-Latn-ME"/>
        </w:rPr>
        <w:t>ans mogu da nastanu kao pos</w:t>
      </w:r>
      <w:r w:rsidR="008B3ED5" w:rsidRPr="004C7CDA">
        <w:rPr>
          <w:szCs w:val="22"/>
          <w:lang w:val="sr-Latn-ME"/>
        </w:rPr>
        <w:t>l</w:t>
      </w:r>
      <w:r w:rsidR="0027705F" w:rsidRPr="004C7CDA">
        <w:rPr>
          <w:szCs w:val="22"/>
          <w:lang w:val="sr-Latn-ME"/>
        </w:rPr>
        <w:t>j</w:t>
      </w:r>
      <w:r w:rsidRPr="004C7CDA">
        <w:rPr>
          <w:szCs w:val="22"/>
          <w:lang w:val="sr-Latn-ME"/>
        </w:rPr>
        <w:t>edica pom</w:t>
      </w:r>
      <w:r w:rsidR="0027705F" w:rsidRPr="004C7CDA">
        <w:rPr>
          <w:szCs w:val="22"/>
          <w:lang w:val="sr-Latn-ME"/>
        </w:rPr>
        <w:t>j</w:t>
      </w:r>
      <w:r w:rsidRPr="004C7CDA">
        <w:rPr>
          <w:szCs w:val="22"/>
          <w:lang w:val="sr-Latn-ME"/>
        </w:rPr>
        <w:t>eranja vode i e</w:t>
      </w:r>
      <w:r w:rsidR="008B3ED5" w:rsidRPr="004C7CDA">
        <w:rPr>
          <w:szCs w:val="22"/>
          <w:lang w:val="sr-Latn-ME"/>
        </w:rPr>
        <w:t>l</w:t>
      </w:r>
      <w:r w:rsidRPr="004C7CDA">
        <w:rPr>
          <w:szCs w:val="22"/>
          <w:lang w:val="sr-Latn-ME"/>
        </w:rPr>
        <w:t>ektro</w:t>
      </w:r>
      <w:r w:rsidR="008B3ED5" w:rsidRPr="004C7CDA">
        <w:rPr>
          <w:szCs w:val="22"/>
          <w:lang w:val="sr-Latn-ME"/>
        </w:rPr>
        <w:t>l</w:t>
      </w:r>
      <w:r w:rsidRPr="004C7CDA">
        <w:rPr>
          <w:szCs w:val="22"/>
          <w:lang w:val="sr-Latn-ME"/>
        </w:rPr>
        <w:t>ita među će</w:t>
      </w:r>
      <w:r w:rsidR="008B3ED5" w:rsidRPr="004C7CDA">
        <w:rPr>
          <w:szCs w:val="22"/>
          <w:lang w:val="sr-Latn-ME"/>
        </w:rPr>
        <w:t>l</w:t>
      </w:r>
      <w:r w:rsidRPr="004C7CDA">
        <w:rPr>
          <w:szCs w:val="22"/>
          <w:lang w:val="sr-Latn-ME"/>
        </w:rPr>
        <w:t>ijama, osmotske diureze i/i</w:t>
      </w:r>
      <w:r w:rsidR="008B3ED5" w:rsidRPr="004C7CDA">
        <w:rPr>
          <w:szCs w:val="22"/>
          <w:lang w:val="sr-Latn-ME"/>
        </w:rPr>
        <w:t>l</w:t>
      </w:r>
      <w:r w:rsidRPr="004C7CDA">
        <w:rPr>
          <w:szCs w:val="22"/>
          <w:lang w:val="sr-Latn-ME"/>
        </w:rPr>
        <w:t>i drugim mehanizmima. Takvi disba</w:t>
      </w:r>
      <w:r w:rsidR="008B3ED5" w:rsidRPr="004C7CDA">
        <w:rPr>
          <w:szCs w:val="22"/>
          <w:lang w:val="sr-Latn-ME"/>
        </w:rPr>
        <w:t>l</w:t>
      </w:r>
      <w:r w:rsidRPr="004C7CDA">
        <w:rPr>
          <w:szCs w:val="22"/>
          <w:lang w:val="sr-Latn-ME"/>
        </w:rPr>
        <w:t xml:space="preserve">ansi mogu da budu teški i da dovedu do smrtnog ishoda. </w:t>
      </w:r>
    </w:p>
    <w:p w14:paraId="064B5BC9" w14:textId="77777777" w:rsidR="007735C3" w:rsidRPr="004C7CDA" w:rsidRDefault="007735C3" w:rsidP="004C7CDA">
      <w:pPr>
        <w:widowControl w:val="0"/>
        <w:rPr>
          <w:szCs w:val="22"/>
          <w:lang w:val="sr-Latn-ME"/>
        </w:rPr>
      </w:pPr>
    </w:p>
    <w:p w14:paraId="140CD86F" w14:textId="1773611B" w:rsidR="007735C3" w:rsidRPr="004C7CDA" w:rsidRDefault="007735C3" w:rsidP="004C7CDA">
      <w:pPr>
        <w:widowControl w:val="0"/>
        <w:rPr>
          <w:szCs w:val="22"/>
          <w:lang w:val="sr-Latn-ME"/>
        </w:rPr>
      </w:pPr>
      <w:r w:rsidRPr="004C7CDA">
        <w:rPr>
          <w:szCs w:val="22"/>
          <w:lang w:val="sr-Latn-ME"/>
        </w:rPr>
        <w:t>Disba</w:t>
      </w:r>
      <w:r w:rsidR="008B3ED5" w:rsidRPr="004C7CDA">
        <w:rPr>
          <w:szCs w:val="22"/>
          <w:lang w:val="sr-Latn-ME"/>
        </w:rPr>
        <w:t>l</w:t>
      </w:r>
      <w:r w:rsidRPr="004C7CDA">
        <w:rPr>
          <w:szCs w:val="22"/>
          <w:lang w:val="sr-Latn-ME"/>
        </w:rPr>
        <w:t>ansi do kojih može da dođe tokom terapije manito</w:t>
      </w:r>
      <w:r w:rsidR="008B3ED5" w:rsidRPr="004C7CDA">
        <w:rPr>
          <w:szCs w:val="22"/>
          <w:lang w:val="sr-Latn-ME"/>
        </w:rPr>
        <w:t>l</w:t>
      </w:r>
      <w:r w:rsidRPr="004C7CDA">
        <w:rPr>
          <w:szCs w:val="22"/>
          <w:lang w:val="sr-Latn-ME"/>
        </w:rPr>
        <w:t>om su s</w:t>
      </w:r>
      <w:r w:rsidR="008B3ED5" w:rsidRPr="004C7CDA">
        <w:rPr>
          <w:szCs w:val="22"/>
          <w:lang w:val="sr-Latn-ME"/>
        </w:rPr>
        <w:t>l</w:t>
      </w:r>
      <w:r w:rsidR="0027705F" w:rsidRPr="004C7CDA">
        <w:rPr>
          <w:szCs w:val="22"/>
          <w:lang w:val="sr-Latn-ME"/>
        </w:rPr>
        <w:t>j</w:t>
      </w:r>
      <w:r w:rsidRPr="004C7CDA">
        <w:rPr>
          <w:szCs w:val="22"/>
          <w:lang w:val="sr-Latn-ME"/>
        </w:rPr>
        <w:t>edeći:</w:t>
      </w:r>
    </w:p>
    <w:p w14:paraId="4BD7C675" w14:textId="70C3D2CC" w:rsidR="007735C3" w:rsidRPr="004C7CDA" w:rsidRDefault="007735C3" w:rsidP="004C7CDA">
      <w:pPr>
        <w:pStyle w:val="ListParagraph"/>
        <w:widowControl w:val="0"/>
        <w:numPr>
          <w:ilvl w:val="0"/>
          <w:numId w:val="8"/>
        </w:numPr>
        <w:tabs>
          <w:tab w:val="clear" w:pos="284"/>
        </w:tabs>
        <w:ind w:left="284" w:hanging="284"/>
        <w:rPr>
          <w:szCs w:val="22"/>
          <w:lang w:val="sr-Latn-ME"/>
        </w:rPr>
      </w:pPr>
      <w:r w:rsidRPr="004C7CDA">
        <w:rPr>
          <w:szCs w:val="22"/>
          <w:lang w:val="sr-Latn-ME"/>
        </w:rPr>
        <w:t>Hipernatremija, dehidratacija i hemokoncentracija (kao pos</w:t>
      </w:r>
      <w:r w:rsidR="008B3ED5" w:rsidRPr="004C7CDA">
        <w:rPr>
          <w:szCs w:val="22"/>
          <w:lang w:val="sr-Latn-ME"/>
        </w:rPr>
        <w:t>l</w:t>
      </w:r>
      <w:r w:rsidR="0027705F" w:rsidRPr="004C7CDA">
        <w:rPr>
          <w:szCs w:val="22"/>
          <w:lang w:val="sr-Latn-ME"/>
        </w:rPr>
        <w:t>j</w:t>
      </w:r>
      <w:r w:rsidRPr="004C7CDA">
        <w:rPr>
          <w:szCs w:val="22"/>
          <w:lang w:val="sr-Latn-ME"/>
        </w:rPr>
        <w:t>edica prekom</w:t>
      </w:r>
      <w:r w:rsidR="0027705F" w:rsidRPr="004C7CDA">
        <w:rPr>
          <w:szCs w:val="22"/>
          <w:lang w:val="sr-Latn-ME"/>
        </w:rPr>
        <w:t>j</w:t>
      </w:r>
      <w:r w:rsidRPr="004C7CDA">
        <w:rPr>
          <w:szCs w:val="22"/>
          <w:lang w:val="sr-Latn-ME"/>
        </w:rPr>
        <w:t xml:space="preserve">ernog gubitka vode) </w:t>
      </w:r>
    </w:p>
    <w:p w14:paraId="2FE54FD2" w14:textId="08BF712D" w:rsidR="007735C3" w:rsidRPr="004C7CDA" w:rsidRDefault="007735C3" w:rsidP="004C7CDA">
      <w:pPr>
        <w:pStyle w:val="ListParagraph"/>
        <w:widowControl w:val="0"/>
        <w:numPr>
          <w:ilvl w:val="0"/>
          <w:numId w:val="8"/>
        </w:numPr>
        <w:tabs>
          <w:tab w:val="clear" w:pos="284"/>
        </w:tabs>
        <w:ind w:left="284" w:hanging="284"/>
        <w:rPr>
          <w:szCs w:val="22"/>
          <w:lang w:val="sr-Latn-ME"/>
        </w:rPr>
      </w:pPr>
      <w:r w:rsidRPr="004C7CDA">
        <w:rPr>
          <w:szCs w:val="22"/>
          <w:lang w:val="sr-Latn-ME"/>
        </w:rPr>
        <w:t>Hiponatremija (pom</w:t>
      </w:r>
      <w:r w:rsidR="0027705F" w:rsidRPr="004C7CDA">
        <w:rPr>
          <w:szCs w:val="22"/>
          <w:lang w:val="sr-Latn-ME"/>
        </w:rPr>
        <w:t>j</w:t>
      </w:r>
      <w:r w:rsidRPr="004C7CDA">
        <w:rPr>
          <w:szCs w:val="22"/>
          <w:lang w:val="sr-Latn-ME"/>
        </w:rPr>
        <w:t>eranje intrace</w:t>
      </w:r>
      <w:r w:rsidR="008B3ED5" w:rsidRPr="004C7CDA">
        <w:rPr>
          <w:szCs w:val="22"/>
          <w:lang w:val="sr-Latn-ME"/>
        </w:rPr>
        <w:t>l</w:t>
      </w:r>
      <w:r w:rsidRPr="004C7CDA">
        <w:rPr>
          <w:szCs w:val="22"/>
          <w:lang w:val="sr-Latn-ME"/>
        </w:rPr>
        <w:t>u</w:t>
      </w:r>
      <w:r w:rsidR="008B3ED5" w:rsidRPr="004C7CDA">
        <w:rPr>
          <w:szCs w:val="22"/>
          <w:lang w:val="sr-Latn-ME"/>
        </w:rPr>
        <w:t>l</w:t>
      </w:r>
      <w:r w:rsidRPr="004C7CDA">
        <w:rPr>
          <w:szCs w:val="22"/>
          <w:lang w:val="sr-Latn-ME"/>
        </w:rPr>
        <w:t>arne tečnosti u ekstrace</w:t>
      </w:r>
      <w:r w:rsidR="008B3ED5" w:rsidRPr="004C7CDA">
        <w:rPr>
          <w:szCs w:val="22"/>
          <w:lang w:val="sr-Latn-ME"/>
        </w:rPr>
        <w:t>l</w:t>
      </w:r>
      <w:r w:rsidRPr="004C7CDA">
        <w:rPr>
          <w:szCs w:val="22"/>
          <w:lang w:val="sr-Latn-ME"/>
        </w:rPr>
        <w:t>u</w:t>
      </w:r>
      <w:r w:rsidR="008B3ED5" w:rsidRPr="004C7CDA">
        <w:rPr>
          <w:szCs w:val="22"/>
          <w:lang w:val="sr-Latn-ME"/>
        </w:rPr>
        <w:t>l</w:t>
      </w:r>
      <w:r w:rsidRPr="004C7CDA">
        <w:rPr>
          <w:szCs w:val="22"/>
          <w:lang w:val="sr-Latn-ME"/>
        </w:rPr>
        <w:t>arni prostor nakon infuzije manito</w:t>
      </w:r>
      <w:r w:rsidR="008B3ED5" w:rsidRPr="004C7CDA">
        <w:rPr>
          <w:szCs w:val="22"/>
          <w:lang w:val="sr-Latn-ME"/>
        </w:rPr>
        <w:t>l</w:t>
      </w:r>
      <w:r w:rsidRPr="004C7CDA">
        <w:rPr>
          <w:szCs w:val="22"/>
          <w:lang w:val="sr-Latn-ME"/>
        </w:rPr>
        <w:t>a može dovesti do snižavanja koncentracije natrijuma u serumu i do pogoršanja već postojeće hiponatremije. Moguć je gubitak natrijuma putem urina).</w:t>
      </w:r>
    </w:p>
    <w:p w14:paraId="0B33F28D" w14:textId="77777777" w:rsidR="007735C3" w:rsidRPr="004C7CDA" w:rsidRDefault="007735C3" w:rsidP="004C7CDA">
      <w:pPr>
        <w:widowControl w:val="0"/>
        <w:rPr>
          <w:szCs w:val="22"/>
          <w:lang w:val="sr-Latn-ME"/>
        </w:rPr>
      </w:pPr>
    </w:p>
    <w:p w14:paraId="62ECB4BB" w14:textId="7E3B6849" w:rsidR="007735C3" w:rsidRPr="004C7CDA" w:rsidRDefault="007735C3" w:rsidP="004C7CDA">
      <w:pPr>
        <w:widowControl w:val="0"/>
        <w:rPr>
          <w:szCs w:val="22"/>
          <w:lang w:val="sr-Latn-ME"/>
        </w:rPr>
      </w:pPr>
      <w:r w:rsidRPr="004C7CDA">
        <w:rPr>
          <w:szCs w:val="22"/>
          <w:lang w:val="sr-Latn-ME"/>
        </w:rPr>
        <w:t>Hiponatremija može da izazove g</w:t>
      </w:r>
      <w:r w:rsidR="008B3ED5" w:rsidRPr="004C7CDA">
        <w:rPr>
          <w:szCs w:val="22"/>
          <w:lang w:val="sr-Latn-ME"/>
        </w:rPr>
        <w:t>l</w:t>
      </w:r>
      <w:r w:rsidRPr="004C7CDA">
        <w:rPr>
          <w:szCs w:val="22"/>
          <w:lang w:val="sr-Latn-ME"/>
        </w:rPr>
        <w:t>avobo</w:t>
      </w:r>
      <w:r w:rsidR="008B3ED5" w:rsidRPr="004C7CDA">
        <w:rPr>
          <w:szCs w:val="22"/>
          <w:lang w:val="sr-Latn-ME"/>
        </w:rPr>
        <w:t>l</w:t>
      </w:r>
      <w:r w:rsidRPr="004C7CDA">
        <w:rPr>
          <w:szCs w:val="22"/>
          <w:lang w:val="sr-Latn-ME"/>
        </w:rPr>
        <w:t>ju, mučninu, epi</w:t>
      </w:r>
      <w:r w:rsidR="008B3ED5" w:rsidRPr="004C7CDA">
        <w:rPr>
          <w:szCs w:val="22"/>
          <w:lang w:val="sr-Latn-ME"/>
        </w:rPr>
        <w:t>l</w:t>
      </w:r>
      <w:r w:rsidRPr="004C7CDA">
        <w:rPr>
          <w:szCs w:val="22"/>
          <w:lang w:val="sr-Latn-ME"/>
        </w:rPr>
        <w:t xml:space="preserve">eptičke napade, </w:t>
      </w:r>
      <w:r w:rsidR="008B3ED5" w:rsidRPr="004C7CDA">
        <w:rPr>
          <w:szCs w:val="22"/>
          <w:lang w:val="sr-Latn-ME"/>
        </w:rPr>
        <w:t>l</w:t>
      </w:r>
      <w:r w:rsidRPr="004C7CDA">
        <w:rPr>
          <w:szCs w:val="22"/>
          <w:lang w:val="sr-Latn-ME"/>
        </w:rPr>
        <w:t>etargiju, komu, cerebra</w:t>
      </w:r>
      <w:r w:rsidR="008B3ED5" w:rsidRPr="004C7CDA">
        <w:rPr>
          <w:szCs w:val="22"/>
          <w:lang w:val="sr-Latn-ME"/>
        </w:rPr>
        <w:t>l</w:t>
      </w:r>
      <w:r w:rsidRPr="004C7CDA">
        <w:rPr>
          <w:szCs w:val="22"/>
          <w:lang w:val="sr-Latn-ME"/>
        </w:rPr>
        <w:t>ni edem i smrt. Akutna simptomatska hiponatremijska encefa</w:t>
      </w:r>
      <w:r w:rsidR="008B3ED5" w:rsidRPr="004C7CDA">
        <w:rPr>
          <w:szCs w:val="22"/>
          <w:lang w:val="sr-Latn-ME"/>
        </w:rPr>
        <w:t>l</w:t>
      </w:r>
      <w:r w:rsidRPr="004C7CDA">
        <w:rPr>
          <w:szCs w:val="22"/>
          <w:lang w:val="sr-Latn-ME"/>
        </w:rPr>
        <w:t xml:space="preserve">opatija smatra se hitnim stanjem. </w:t>
      </w:r>
    </w:p>
    <w:p w14:paraId="2DDE5BE7" w14:textId="77777777" w:rsidR="007735C3" w:rsidRPr="004C7CDA" w:rsidRDefault="007735C3" w:rsidP="004C7CDA">
      <w:pPr>
        <w:widowControl w:val="0"/>
        <w:rPr>
          <w:szCs w:val="22"/>
          <w:lang w:val="sr-Latn-ME"/>
        </w:rPr>
      </w:pPr>
    </w:p>
    <w:p w14:paraId="46786AF5" w14:textId="77777777" w:rsidR="007735C3" w:rsidRPr="004C7CDA" w:rsidRDefault="007735C3" w:rsidP="004C7CDA">
      <w:pPr>
        <w:widowControl w:val="0"/>
        <w:rPr>
          <w:szCs w:val="22"/>
          <w:lang w:val="sr-Latn-ME"/>
        </w:rPr>
      </w:pPr>
      <w:r w:rsidRPr="004C7CDA">
        <w:rPr>
          <w:szCs w:val="22"/>
          <w:lang w:val="sr-Latn-ME"/>
        </w:rPr>
        <w:t>Rizik od razvoja hiponatremije je povećan, npr. kod:</w:t>
      </w:r>
    </w:p>
    <w:p w14:paraId="14AC2222" w14:textId="350E90AC" w:rsidR="007735C3" w:rsidRPr="004C7CDA" w:rsidRDefault="007735C3" w:rsidP="004C7CDA">
      <w:pPr>
        <w:pStyle w:val="ListParagraph"/>
        <w:widowControl w:val="0"/>
        <w:numPr>
          <w:ilvl w:val="0"/>
          <w:numId w:val="10"/>
        </w:numPr>
        <w:tabs>
          <w:tab w:val="clear" w:pos="284"/>
        </w:tabs>
        <w:rPr>
          <w:szCs w:val="22"/>
          <w:lang w:val="sr-Latn-ME"/>
        </w:rPr>
      </w:pPr>
      <w:r w:rsidRPr="004C7CDA">
        <w:rPr>
          <w:szCs w:val="22"/>
          <w:lang w:val="sr-Latn-ME"/>
        </w:rPr>
        <w:t>d</w:t>
      </w:r>
      <w:r w:rsidR="00A36958" w:rsidRPr="004C7CDA">
        <w:rPr>
          <w:szCs w:val="22"/>
          <w:lang w:val="sr-Latn-ME"/>
        </w:rPr>
        <w:t>j</w:t>
      </w:r>
      <w:r w:rsidRPr="004C7CDA">
        <w:rPr>
          <w:szCs w:val="22"/>
          <w:lang w:val="sr-Latn-ME"/>
        </w:rPr>
        <w:t>ece,</w:t>
      </w:r>
    </w:p>
    <w:p w14:paraId="2AA61FC2" w14:textId="77777777" w:rsidR="007735C3" w:rsidRPr="004C7CDA" w:rsidRDefault="007735C3" w:rsidP="004C7CDA">
      <w:pPr>
        <w:pStyle w:val="ListParagraph"/>
        <w:widowControl w:val="0"/>
        <w:numPr>
          <w:ilvl w:val="0"/>
          <w:numId w:val="10"/>
        </w:numPr>
        <w:tabs>
          <w:tab w:val="clear" w:pos="284"/>
        </w:tabs>
        <w:rPr>
          <w:szCs w:val="22"/>
          <w:lang w:val="sr-Latn-ME"/>
        </w:rPr>
      </w:pPr>
      <w:r w:rsidRPr="004C7CDA">
        <w:rPr>
          <w:szCs w:val="22"/>
          <w:lang w:val="sr-Latn-ME"/>
        </w:rPr>
        <w:t>starijih pacijenata,</w:t>
      </w:r>
    </w:p>
    <w:p w14:paraId="421D322A" w14:textId="77777777" w:rsidR="007735C3" w:rsidRPr="004C7CDA" w:rsidRDefault="007735C3" w:rsidP="004C7CDA">
      <w:pPr>
        <w:pStyle w:val="ListParagraph"/>
        <w:widowControl w:val="0"/>
        <w:numPr>
          <w:ilvl w:val="0"/>
          <w:numId w:val="10"/>
        </w:numPr>
        <w:tabs>
          <w:tab w:val="clear" w:pos="284"/>
        </w:tabs>
        <w:rPr>
          <w:szCs w:val="22"/>
          <w:lang w:val="sr-Latn-ME"/>
        </w:rPr>
      </w:pPr>
      <w:r w:rsidRPr="004C7CDA">
        <w:rPr>
          <w:szCs w:val="22"/>
          <w:lang w:val="sr-Latn-ME"/>
        </w:rPr>
        <w:t>žena,</w:t>
      </w:r>
    </w:p>
    <w:p w14:paraId="751A432E" w14:textId="77777777" w:rsidR="007735C3" w:rsidRPr="004C7CDA" w:rsidRDefault="007735C3" w:rsidP="004C7CDA">
      <w:pPr>
        <w:pStyle w:val="ListParagraph"/>
        <w:widowControl w:val="0"/>
        <w:numPr>
          <w:ilvl w:val="0"/>
          <w:numId w:val="10"/>
        </w:numPr>
        <w:tabs>
          <w:tab w:val="clear" w:pos="284"/>
        </w:tabs>
        <w:rPr>
          <w:szCs w:val="22"/>
          <w:lang w:val="sr-Latn-ME"/>
        </w:rPr>
      </w:pPr>
      <w:r w:rsidRPr="004C7CDA">
        <w:rPr>
          <w:szCs w:val="22"/>
          <w:lang w:val="sr-Latn-ME"/>
        </w:rPr>
        <w:t>postoperativno,</w:t>
      </w:r>
    </w:p>
    <w:p w14:paraId="0B903852" w14:textId="12B62E0F" w:rsidR="007735C3" w:rsidRPr="004C7CDA" w:rsidRDefault="007735C3" w:rsidP="004C7CDA">
      <w:pPr>
        <w:pStyle w:val="ListParagraph"/>
        <w:widowControl w:val="0"/>
        <w:numPr>
          <w:ilvl w:val="0"/>
          <w:numId w:val="10"/>
        </w:numPr>
        <w:tabs>
          <w:tab w:val="clear" w:pos="284"/>
        </w:tabs>
        <w:rPr>
          <w:szCs w:val="22"/>
          <w:lang w:val="sr-Latn-ME"/>
        </w:rPr>
      </w:pPr>
      <w:r w:rsidRPr="004C7CDA">
        <w:rPr>
          <w:szCs w:val="22"/>
          <w:lang w:val="sr-Latn-ME"/>
        </w:rPr>
        <w:t>osoba sa psihogenom po</w:t>
      </w:r>
      <w:r w:rsidR="008B3ED5" w:rsidRPr="004C7CDA">
        <w:rPr>
          <w:szCs w:val="22"/>
          <w:lang w:val="sr-Latn-ME"/>
        </w:rPr>
        <w:t>l</w:t>
      </w:r>
      <w:r w:rsidRPr="004C7CDA">
        <w:rPr>
          <w:szCs w:val="22"/>
          <w:lang w:val="sr-Latn-ME"/>
        </w:rPr>
        <w:t>idipsijom.</w:t>
      </w:r>
    </w:p>
    <w:p w14:paraId="36CD57F7" w14:textId="77777777" w:rsidR="007735C3" w:rsidRPr="004C7CDA" w:rsidRDefault="007735C3" w:rsidP="004C7CDA">
      <w:pPr>
        <w:widowControl w:val="0"/>
        <w:rPr>
          <w:szCs w:val="22"/>
          <w:lang w:val="sr-Latn-ME"/>
        </w:rPr>
      </w:pPr>
    </w:p>
    <w:p w14:paraId="7EB45EB7" w14:textId="46ABC815" w:rsidR="007735C3" w:rsidRPr="004C7CDA" w:rsidRDefault="007735C3" w:rsidP="004C7CDA">
      <w:pPr>
        <w:widowControl w:val="0"/>
        <w:tabs>
          <w:tab w:val="left" w:pos="0"/>
        </w:tabs>
        <w:rPr>
          <w:szCs w:val="22"/>
          <w:lang w:val="sr-Latn-ME"/>
        </w:rPr>
      </w:pPr>
      <w:r w:rsidRPr="004C7CDA">
        <w:rPr>
          <w:szCs w:val="22"/>
          <w:lang w:val="sr-Latn-ME"/>
        </w:rPr>
        <w:t>Rizik za nastanak encefa</w:t>
      </w:r>
      <w:r w:rsidR="008B3ED5" w:rsidRPr="004C7CDA">
        <w:rPr>
          <w:szCs w:val="22"/>
          <w:lang w:val="sr-Latn-ME"/>
        </w:rPr>
        <w:t>l</w:t>
      </w:r>
      <w:r w:rsidRPr="004C7CDA">
        <w:rPr>
          <w:szCs w:val="22"/>
          <w:lang w:val="sr-Latn-ME"/>
        </w:rPr>
        <w:t>opatije kao komp</w:t>
      </w:r>
      <w:r w:rsidR="008B3ED5" w:rsidRPr="004C7CDA">
        <w:rPr>
          <w:szCs w:val="22"/>
          <w:lang w:val="sr-Latn-ME"/>
        </w:rPr>
        <w:t>l</w:t>
      </w:r>
      <w:r w:rsidRPr="004C7CDA">
        <w:rPr>
          <w:szCs w:val="22"/>
          <w:lang w:val="sr-Latn-ME"/>
        </w:rPr>
        <w:t xml:space="preserve">ikacije hiponatremije, povećan je npr. kod: </w:t>
      </w:r>
    </w:p>
    <w:p w14:paraId="68A29754" w14:textId="77777777" w:rsidR="007735C3" w:rsidRPr="004C7CDA" w:rsidRDefault="007735C3" w:rsidP="004C7CDA">
      <w:pPr>
        <w:widowControl w:val="0"/>
        <w:numPr>
          <w:ilvl w:val="0"/>
          <w:numId w:val="15"/>
        </w:numPr>
        <w:tabs>
          <w:tab w:val="clear" w:pos="284"/>
        </w:tabs>
        <w:rPr>
          <w:szCs w:val="22"/>
          <w:lang w:val="sr-Latn-ME"/>
        </w:rPr>
      </w:pPr>
      <w:r w:rsidRPr="004C7CDA">
        <w:rPr>
          <w:szCs w:val="22"/>
          <w:lang w:val="sr-Latn-ME"/>
        </w:rPr>
        <w:t>pedijatrijskih pacijenata (≤ 16 godina),</w:t>
      </w:r>
    </w:p>
    <w:p w14:paraId="40944D4E" w14:textId="6A05EECA" w:rsidR="007735C3" w:rsidRPr="004C7CDA" w:rsidRDefault="007735C3" w:rsidP="004C7CDA">
      <w:pPr>
        <w:pStyle w:val="ListParagraph"/>
        <w:widowControl w:val="0"/>
        <w:numPr>
          <w:ilvl w:val="0"/>
          <w:numId w:val="11"/>
        </w:numPr>
        <w:tabs>
          <w:tab w:val="clear" w:pos="284"/>
        </w:tabs>
        <w:rPr>
          <w:szCs w:val="22"/>
          <w:lang w:val="sr-Latn-ME"/>
        </w:rPr>
      </w:pPr>
      <w:r w:rsidRPr="004C7CDA">
        <w:rPr>
          <w:szCs w:val="22"/>
          <w:lang w:val="sr-Latn-ME"/>
        </w:rPr>
        <w:t>žena (posebno pr</w:t>
      </w:r>
      <w:r w:rsidR="0027705F" w:rsidRPr="004C7CDA">
        <w:rPr>
          <w:szCs w:val="22"/>
          <w:lang w:val="sr-Latn-ME"/>
        </w:rPr>
        <w:t>ij</w:t>
      </w:r>
      <w:r w:rsidRPr="004C7CDA">
        <w:rPr>
          <w:szCs w:val="22"/>
          <w:lang w:val="sr-Latn-ME"/>
        </w:rPr>
        <w:t>emenopauza</w:t>
      </w:r>
      <w:r w:rsidR="008B3ED5" w:rsidRPr="004C7CDA">
        <w:rPr>
          <w:szCs w:val="22"/>
          <w:lang w:val="sr-Latn-ME"/>
        </w:rPr>
        <w:t>l</w:t>
      </w:r>
      <w:r w:rsidRPr="004C7CDA">
        <w:rPr>
          <w:szCs w:val="22"/>
          <w:lang w:val="sr-Latn-ME"/>
        </w:rPr>
        <w:t xml:space="preserve">no), </w:t>
      </w:r>
    </w:p>
    <w:p w14:paraId="1466705F" w14:textId="77777777" w:rsidR="007735C3" w:rsidRPr="004C7CDA" w:rsidRDefault="007735C3" w:rsidP="004C7CDA">
      <w:pPr>
        <w:pStyle w:val="ListParagraph"/>
        <w:widowControl w:val="0"/>
        <w:numPr>
          <w:ilvl w:val="0"/>
          <w:numId w:val="11"/>
        </w:numPr>
        <w:tabs>
          <w:tab w:val="clear" w:pos="284"/>
        </w:tabs>
        <w:rPr>
          <w:szCs w:val="22"/>
          <w:lang w:val="sr-Latn-ME"/>
        </w:rPr>
      </w:pPr>
      <w:r w:rsidRPr="004C7CDA">
        <w:rPr>
          <w:szCs w:val="22"/>
          <w:lang w:val="sr-Latn-ME"/>
        </w:rPr>
        <w:t>pacijenata sa hipoksemijom,</w:t>
      </w:r>
    </w:p>
    <w:p w14:paraId="38F1A77B" w14:textId="1AD5C22B" w:rsidR="007735C3" w:rsidRPr="004C7CDA" w:rsidRDefault="007735C3" w:rsidP="004C7CDA">
      <w:pPr>
        <w:pStyle w:val="ListParagraph"/>
        <w:widowControl w:val="0"/>
        <w:numPr>
          <w:ilvl w:val="0"/>
          <w:numId w:val="11"/>
        </w:numPr>
        <w:tabs>
          <w:tab w:val="clear" w:pos="284"/>
        </w:tabs>
        <w:rPr>
          <w:szCs w:val="22"/>
          <w:lang w:val="sr-Latn-ME"/>
        </w:rPr>
      </w:pPr>
      <w:r w:rsidRPr="004C7CDA">
        <w:rPr>
          <w:szCs w:val="22"/>
          <w:lang w:val="sr-Latn-ME"/>
        </w:rPr>
        <w:t>pacijenata sa postojećim obo</w:t>
      </w:r>
      <w:r w:rsidR="008B3ED5" w:rsidRPr="004C7CDA">
        <w:rPr>
          <w:szCs w:val="22"/>
          <w:lang w:val="sr-Latn-ME"/>
        </w:rPr>
        <w:t>l</w:t>
      </w:r>
      <w:r w:rsidRPr="004C7CDA">
        <w:rPr>
          <w:szCs w:val="22"/>
          <w:lang w:val="sr-Latn-ME"/>
        </w:rPr>
        <w:t>jenjem centra</w:t>
      </w:r>
      <w:r w:rsidR="008B3ED5" w:rsidRPr="004C7CDA">
        <w:rPr>
          <w:szCs w:val="22"/>
          <w:lang w:val="sr-Latn-ME"/>
        </w:rPr>
        <w:t>l</w:t>
      </w:r>
      <w:r w:rsidRPr="004C7CDA">
        <w:rPr>
          <w:szCs w:val="22"/>
          <w:lang w:val="sr-Latn-ME"/>
        </w:rPr>
        <w:t>nog nervnog sistema.</w:t>
      </w:r>
    </w:p>
    <w:p w14:paraId="29B2F1A7" w14:textId="77777777" w:rsidR="007735C3" w:rsidRPr="004C7CDA" w:rsidRDefault="007735C3" w:rsidP="004C7CDA">
      <w:pPr>
        <w:widowControl w:val="0"/>
        <w:tabs>
          <w:tab w:val="clear" w:pos="284"/>
        </w:tabs>
        <w:rPr>
          <w:szCs w:val="22"/>
          <w:lang w:val="sr-Latn-ME"/>
        </w:rPr>
      </w:pPr>
    </w:p>
    <w:p w14:paraId="50ED5095" w14:textId="19CF6580" w:rsidR="007735C3" w:rsidRPr="004C7CDA" w:rsidRDefault="007735C3" w:rsidP="004C7CDA">
      <w:pPr>
        <w:widowControl w:val="0"/>
        <w:tabs>
          <w:tab w:val="clear" w:pos="284"/>
        </w:tabs>
        <w:autoSpaceDE w:val="0"/>
        <w:autoSpaceDN w:val="0"/>
        <w:adjustRightInd w:val="0"/>
        <w:rPr>
          <w:rFonts w:eastAsia="TimesNewRoman"/>
          <w:szCs w:val="22"/>
          <w:u w:val="single"/>
          <w:lang w:val="sr-Latn-ME"/>
        </w:rPr>
      </w:pPr>
      <w:r w:rsidRPr="004C7CDA">
        <w:rPr>
          <w:rFonts w:eastAsia="TimesNewRoman"/>
          <w:szCs w:val="22"/>
          <w:u w:val="single"/>
          <w:lang w:val="sr-Latn-ME"/>
        </w:rPr>
        <w:t>Hipoka</w:t>
      </w:r>
      <w:r w:rsidR="008B3ED5" w:rsidRPr="004C7CDA">
        <w:rPr>
          <w:rFonts w:eastAsia="TimesNewRoman"/>
          <w:szCs w:val="22"/>
          <w:u w:val="single"/>
          <w:lang w:val="sr-Latn-ME"/>
        </w:rPr>
        <w:t>l</w:t>
      </w:r>
      <w:r w:rsidRPr="004C7CDA">
        <w:rPr>
          <w:rFonts w:eastAsia="TimesNewRoman"/>
          <w:szCs w:val="22"/>
          <w:u w:val="single"/>
          <w:lang w:val="sr-Latn-ME"/>
        </w:rPr>
        <w:t>emija, hiperka</w:t>
      </w:r>
      <w:r w:rsidR="008B3ED5" w:rsidRPr="004C7CDA">
        <w:rPr>
          <w:rFonts w:eastAsia="TimesNewRoman"/>
          <w:szCs w:val="22"/>
          <w:u w:val="single"/>
          <w:lang w:val="sr-Latn-ME"/>
        </w:rPr>
        <w:t>l</w:t>
      </w:r>
      <w:r w:rsidRPr="004C7CDA">
        <w:rPr>
          <w:rFonts w:eastAsia="TimesNewRoman"/>
          <w:szCs w:val="22"/>
          <w:u w:val="single"/>
          <w:lang w:val="sr-Latn-ME"/>
        </w:rPr>
        <w:t>emija, disba</w:t>
      </w:r>
      <w:r w:rsidR="008B3ED5" w:rsidRPr="004C7CDA">
        <w:rPr>
          <w:rFonts w:eastAsia="TimesNewRoman"/>
          <w:szCs w:val="22"/>
          <w:u w:val="single"/>
          <w:lang w:val="sr-Latn-ME"/>
        </w:rPr>
        <w:t>l</w:t>
      </w:r>
      <w:r w:rsidRPr="004C7CDA">
        <w:rPr>
          <w:rFonts w:eastAsia="TimesNewRoman"/>
          <w:szCs w:val="22"/>
          <w:u w:val="single"/>
          <w:lang w:val="sr-Latn-ME"/>
        </w:rPr>
        <w:t>ansi drugih e</w:t>
      </w:r>
      <w:r w:rsidR="008B3ED5" w:rsidRPr="004C7CDA">
        <w:rPr>
          <w:rFonts w:eastAsia="TimesNewRoman"/>
          <w:szCs w:val="22"/>
          <w:u w:val="single"/>
          <w:lang w:val="sr-Latn-ME"/>
        </w:rPr>
        <w:t>l</w:t>
      </w:r>
      <w:r w:rsidRPr="004C7CDA">
        <w:rPr>
          <w:rFonts w:eastAsia="TimesNewRoman"/>
          <w:szCs w:val="22"/>
          <w:u w:val="single"/>
          <w:lang w:val="sr-Latn-ME"/>
        </w:rPr>
        <w:t>ektro</w:t>
      </w:r>
      <w:r w:rsidR="008B3ED5" w:rsidRPr="004C7CDA">
        <w:rPr>
          <w:rFonts w:eastAsia="TimesNewRoman"/>
          <w:szCs w:val="22"/>
          <w:u w:val="single"/>
          <w:lang w:val="sr-Latn-ME"/>
        </w:rPr>
        <w:t>l</w:t>
      </w:r>
      <w:r w:rsidRPr="004C7CDA">
        <w:rPr>
          <w:rFonts w:eastAsia="TimesNewRoman"/>
          <w:szCs w:val="22"/>
          <w:u w:val="single"/>
          <w:lang w:val="sr-Latn-ME"/>
        </w:rPr>
        <w:t>ita, metabo</w:t>
      </w:r>
      <w:r w:rsidR="008B3ED5" w:rsidRPr="004C7CDA">
        <w:rPr>
          <w:rFonts w:eastAsia="TimesNewRoman"/>
          <w:szCs w:val="22"/>
          <w:u w:val="single"/>
          <w:lang w:val="sr-Latn-ME"/>
        </w:rPr>
        <w:t>l</w:t>
      </w:r>
      <w:r w:rsidRPr="004C7CDA">
        <w:rPr>
          <w:rFonts w:eastAsia="TimesNewRoman"/>
          <w:szCs w:val="22"/>
          <w:u w:val="single"/>
          <w:lang w:val="sr-Latn-ME"/>
        </w:rPr>
        <w:t>ička acidoza i metabo</w:t>
      </w:r>
      <w:r w:rsidR="008B3ED5" w:rsidRPr="004C7CDA">
        <w:rPr>
          <w:rFonts w:eastAsia="TimesNewRoman"/>
          <w:szCs w:val="22"/>
          <w:u w:val="single"/>
          <w:lang w:val="sr-Latn-ME"/>
        </w:rPr>
        <w:t>l</w:t>
      </w:r>
      <w:r w:rsidRPr="004C7CDA">
        <w:rPr>
          <w:rFonts w:eastAsia="TimesNewRoman"/>
          <w:szCs w:val="22"/>
          <w:u w:val="single"/>
          <w:lang w:val="sr-Latn-ME"/>
        </w:rPr>
        <w:t>ička a</w:t>
      </w:r>
      <w:r w:rsidR="008B3ED5" w:rsidRPr="004C7CDA">
        <w:rPr>
          <w:rFonts w:eastAsia="TimesNewRoman"/>
          <w:szCs w:val="22"/>
          <w:u w:val="single"/>
          <w:lang w:val="sr-Latn-ME"/>
        </w:rPr>
        <w:t>l</w:t>
      </w:r>
      <w:r w:rsidRPr="004C7CDA">
        <w:rPr>
          <w:rFonts w:eastAsia="TimesNewRoman"/>
          <w:szCs w:val="22"/>
          <w:u w:val="single"/>
          <w:lang w:val="sr-Latn-ME"/>
        </w:rPr>
        <w:t>ka</w:t>
      </w:r>
      <w:r w:rsidR="008B3ED5" w:rsidRPr="004C7CDA">
        <w:rPr>
          <w:rFonts w:eastAsia="TimesNewRoman"/>
          <w:szCs w:val="22"/>
          <w:u w:val="single"/>
          <w:lang w:val="sr-Latn-ME"/>
        </w:rPr>
        <w:t>l</w:t>
      </w:r>
      <w:r w:rsidRPr="004C7CDA">
        <w:rPr>
          <w:rFonts w:eastAsia="TimesNewRoman"/>
          <w:szCs w:val="22"/>
          <w:u w:val="single"/>
          <w:lang w:val="sr-Latn-ME"/>
        </w:rPr>
        <w:t>oza</w:t>
      </w:r>
    </w:p>
    <w:p w14:paraId="21EAD826" w14:textId="0172FB21" w:rsidR="007735C3" w:rsidRPr="004C7CDA" w:rsidRDefault="007735C3" w:rsidP="004C7CDA">
      <w:pPr>
        <w:widowControl w:val="0"/>
        <w:tabs>
          <w:tab w:val="clear" w:pos="284"/>
        </w:tabs>
        <w:autoSpaceDE w:val="0"/>
        <w:autoSpaceDN w:val="0"/>
        <w:adjustRightInd w:val="0"/>
        <w:rPr>
          <w:rFonts w:eastAsia="TimesNewRoman"/>
          <w:szCs w:val="22"/>
          <w:lang w:val="sr-Latn-ME"/>
        </w:rPr>
      </w:pPr>
      <w:r w:rsidRPr="004C7CDA">
        <w:rPr>
          <w:rFonts w:eastAsia="TimesNewRoman"/>
          <w:szCs w:val="22"/>
          <w:lang w:val="sr-Latn-ME"/>
        </w:rPr>
        <w:t>Prim</w:t>
      </w:r>
      <w:r w:rsidR="005F56D8" w:rsidRPr="004C7CDA">
        <w:rPr>
          <w:rFonts w:eastAsia="TimesNewRoman"/>
          <w:szCs w:val="22"/>
          <w:lang w:val="sr-Latn-ME"/>
        </w:rPr>
        <w:t>j</w:t>
      </w:r>
      <w:r w:rsidRPr="004C7CDA">
        <w:rPr>
          <w:rFonts w:eastAsia="TimesNewRoman"/>
          <w:szCs w:val="22"/>
          <w:lang w:val="sr-Latn-ME"/>
        </w:rPr>
        <w:t>ena manito</w:t>
      </w:r>
      <w:r w:rsidR="008B3ED5" w:rsidRPr="004C7CDA">
        <w:rPr>
          <w:rFonts w:eastAsia="TimesNewRoman"/>
          <w:szCs w:val="22"/>
          <w:lang w:val="sr-Latn-ME"/>
        </w:rPr>
        <w:t>l</w:t>
      </w:r>
      <w:r w:rsidRPr="004C7CDA">
        <w:rPr>
          <w:rFonts w:eastAsia="TimesNewRoman"/>
          <w:szCs w:val="22"/>
          <w:lang w:val="sr-Latn-ME"/>
        </w:rPr>
        <w:t>a može da prikrije i intenzivira neadekvatnu hidrataciju i</w:t>
      </w:r>
      <w:r w:rsidR="008B3ED5" w:rsidRPr="004C7CDA">
        <w:rPr>
          <w:rFonts w:eastAsia="TimesNewRoman"/>
          <w:szCs w:val="22"/>
          <w:lang w:val="sr-Latn-ME"/>
        </w:rPr>
        <w:t>l</w:t>
      </w:r>
      <w:r w:rsidRPr="004C7CDA">
        <w:rPr>
          <w:rFonts w:eastAsia="TimesNewRoman"/>
          <w:szCs w:val="22"/>
          <w:lang w:val="sr-Latn-ME"/>
        </w:rPr>
        <w:t>i hipovo</w:t>
      </w:r>
      <w:r w:rsidR="008B3ED5" w:rsidRPr="004C7CDA">
        <w:rPr>
          <w:rFonts w:eastAsia="TimesNewRoman"/>
          <w:szCs w:val="22"/>
          <w:lang w:val="sr-Latn-ME"/>
        </w:rPr>
        <w:t>l</w:t>
      </w:r>
      <w:r w:rsidRPr="004C7CDA">
        <w:rPr>
          <w:rFonts w:eastAsia="TimesNewRoman"/>
          <w:szCs w:val="22"/>
          <w:lang w:val="sr-Latn-ME"/>
        </w:rPr>
        <w:t>emiju.</w:t>
      </w:r>
    </w:p>
    <w:p w14:paraId="497300DF" w14:textId="77777777" w:rsidR="007735C3" w:rsidRPr="004C7CDA" w:rsidRDefault="007735C3" w:rsidP="004C7CDA">
      <w:pPr>
        <w:widowControl w:val="0"/>
        <w:tabs>
          <w:tab w:val="clear" w:pos="284"/>
        </w:tabs>
        <w:autoSpaceDE w:val="0"/>
        <w:autoSpaceDN w:val="0"/>
        <w:adjustRightInd w:val="0"/>
        <w:rPr>
          <w:rFonts w:eastAsia="TimesNewRoman"/>
          <w:szCs w:val="22"/>
          <w:lang w:val="sr-Latn-ME"/>
        </w:rPr>
      </w:pPr>
    </w:p>
    <w:p w14:paraId="5BF54766" w14:textId="5BACCBE8" w:rsidR="007735C3" w:rsidRPr="004C7CDA" w:rsidRDefault="007735C3" w:rsidP="004C7CDA">
      <w:pPr>
        <w:widowControl w:val="0"/>
        <w:tabs>
          <w:tab w:val="clear" w:pos="284"/>
        </w:tabs>
        <w:autoSpaceDE w:val="0"/>
        <w:autoSpaceDN w:val="0"/>
        <w:adjustRightInd w:val="0"/>
        <w:rPr>
          <w:rFonts w:eastAsia="TimesNewRoman"/>
          <w:szCs w:val="22"/>
          <w:u w:val="single"/>
          <w:lang w:val="sr-Latn-ME"/>
        </w:rPr>
      </w:pPr>
      <w:r w:rsidRPr="004C7CDA">
        <w:rPr>
          <w:rFonts w:eastAsia="TimesNewRoman"/>
          <w:szCs w:val="22"/>
          <w:u w:val="single"/>
          <w:lang w:val="sr-Latn-ME"/>
        </w:rPr>
        <w:t>Reakcije na m</w:t>
      </w:r>
      <w:r w:rsidR="005F56D8" w:rsidRPr="004C7CDA">
        <w:rPr>
          <w:rFonts w:eastAsia="TimesNewRoman"/>
          <w:szCs w:val="22"/>
          <w:u w:val="single"/>
          <w:lang w:val="sr-Latn-ME"/>
        </w:rPr>
        <w:t>j</w:t>
      </w:r>
      <w:r w:rsidRPr="004C7CDA">
        <w:rPr>
          <w:rFonts w:eastAsia="TimesNewRoman"/>
          <w:szCs w:val="22"/>
          <w:u w:val="single"/>
          <w:lang w:val="sr-Latn-ME"/>
        </w:rPr>
        <w:t>estu davanja infuzije</w:t>
      </w:r>
    </w:p>
    <w:p w14:paraId="3BE4B517" w14:textId="5A02BE95" w:rsidR="007735C3" w:rsidRPr="004C7CDA" w:rsidRDefault="007735C3" w:rsidP="004C7CDA">
      <w:pPr>
        <w:widowControl w:val="0"/>
        <w:tabs>
          <w:tab w:val="clear" w:pos="284"/>
        </w:tabs>
        <w:autoSpaceDE w:val="0"/>
        <w:autoSpaceDN w:val="0"/>
        <w:adjustRightInd w:val="0"/>
        <w:rPr>
          <w:rFonts w:eastAsia="TimesNewRoman"/>
          <w:szCs w:val="22"/>
          <w:lang w:val="sr-Latn-ME"/>
        </w:rPr>
      </w:pPr>
      <w:r w:rsidRPr="004C7CDA">
        <w:rPr>
          <w:rFonts w:eastAsia="TimesNewRoman"/>
          <w:szCs w:val="22"/>
          <w:lang w:val="sr-Latn-ME"/>
        </w:rPr>
        <w:t>Pri</w:t>
      </w:r>
      <w:r w:rsidR="008B3ED5" w:rsidRPr="004C7CDA">
        <w:rPr>
          <w:rFonts w:eastAsia="TimesNewRoman"/>
          <w:szCs w:val="22"/>
          <w:lang w:val="sr-Latn-ME"/>
        </w:rPr>
        <w:t>l</w:t>
      </w:r>
      <w:r w:rsidRPr="004C7CDA">
        <w:rPr>
          <w:rFonts w:eastAsia="TimesNewRoman"/>
          <w:szCs w:val="22"/>
          <w:lang w:val="sr-Latn-ME"/>
        </w:rPr>
        <w:t>ikom upotrebe manito</w:t>
      </w:r>
      <w:r w:rsidR="008B3ED5" w:rsidRPr="004C7CDA">
        <w:rPr>
          <w:rFonts w:eastAsia="TimesNewRoman"/>
          <w:szCs w:val="22"/>
          <w:lang w:val="sr-Latn-ME"/>
        </w:rPr>
        <w:t>l</w:t>
      </w:r>
      <w:r w:rsidRPr="004C7CDA">
        <w:rPr>
          <w:rFonts w:eastAsia="TimesNewRoman"/>
          <w:szCs w:val="22"/>
          <w:lang w:val="sr-Latn-ME"/>
        </w:rPr>
        <w:t>a, zab</w:t>
      </w:r>
      <w:r w:rsidR="007C6375" w:rsidRPr="004C7CDA">
        <w:rPr>
          <w:rFonts w:eastAsia="TimesNewRoman"/>
          <w:szCs w:val="22"/>
          <w:lang w:val="sr-Latn-ME"/>
        </w:rPr>
        <w:t>i</w:t>
      </w:r>
      <w:r w:rsidR="008B3ED5" w:rsidRPr="004C7CDA">
        <w:rPr>
          <w:rFonts w:eastAsia="TimesNewRoman"/>
          <w:szCs w:val="22"/>
          <w:lang w:val="sr-Latn-ME"/>
        </w:rPr>
        <w:t>l</w:t>
      </w:r>
      <w:r w:rsidR="007C6375" w:rsidRPr="004C7CDA">
        <w:rPr>
          <w:rFonts w:eastAsia="TimesNewRoman"/>
          <w:szCs w:val="22"/>
          <w:lang w:val="sr-Latn-ME"/>
        </w:rPr>
        <w:t>j</w:t>
      </w:r>
      <w:r w:rsidRPr="004C7CDA">
        <w:rPr>
          <w:rFonts w:eastAsia="TimesNewRoman"/>
          <w:szCs w:val="22"/>
          <w:lang w:val="sr-Latn-ME"/>
        </w:rPr>
        <w:t>ežena je pojava reakcija na m</w:t>
      </w:r>
      <w:r w:rsidR="007C6375" w:rsidRPr="004C7CDA">
        <w:rPr>
          <w:rFonts w:eastAsia="TimesNewRoman"/>
          <w:szCs w:val="22"/>
          <w:lang w:val="sr-Latn-ME"/>
        </w:rPr>
        <w:t>j</w:t>
      </w:r>
      <w:r w:rsidRPr="004C7CDA">
        <w:rPr>
          <w:rFonts w:eastAsia="TimesNewRoman"/>
          <w:szCs w:val="22"/>
          <w:lang w:val="sr-Latn-ME"/>
        </w:rPr>
        <w:t>estu davanja infuzije, koje uk</w:t>
      </w:r>
      <w:r w:rsidR="008B3ED5" w:rsidRPr="004C7CDA">
        <w:rPr>
          <w:rFonts w:eastAsia="TimesNewRoman"/>
          <w:szCs w:val="22"/>
          <w:lang w:val="sr-Latn-ME"/>
        </w:rPr>
        <w:t>l</w:t>
      </w:r>
      <w:r w:rsidRPr="004C7CDA">
        <w:rPr>
          <w:rFonts w:eastAsia="TimesNewRoman"/>
          <w:szCs w:val="22"/>
          <w:lang w:val="sr-Latn-ME"/>
        </w:rPr>
        <w:t>jučuju znake i</w:t>
      </w:r>
      <w:r w:rsidR="005F56D8" w:rsidRPr="004C7CDA">
        <w:rPr>
          <w:rFonts w:eastAsia="TimesNewRoman"/>
          <w:szCs w:val="22"/>
          <w:lang w:val="sr-Latn-ME"/>
        </w:rPr>
        <w:t xml:space="preserve"> </w:t>
      </w:r>
      <w:r w:rsidRPr="004C7CDA">
        <w:rPr>
          <w:rFonts w:eastAsia="TimesNewRoman"/>
          <w:szCs w:val="22"/>
          <w:lang w:val="sr-Latn-ME"/>
        </w:rPr>
        <w:t>simptome iritacije i inf</w:t>
      </w:r>
      <w:r w:rsidR="008B3ED5" w:rsidRPr="004C7CDA">
        <w:rPr>
          <w:rFonts w:eastAsia="TimesNewRoman"/>
          <w:szCs w:val="22"/>
          <w:lang w:val="sr-Latn-ME"/>
        </w:rPr>
        <w:t>l</w:t>
      </w:r>
      <w:r w:rsidRPr="004C7CDA">
        <w:rPr>
          <w:rFonts w:eastAsia="TimesNewRoman"/>
          <w:szCs w:val="22"/>
          <w:lang w:val="sr-Latn-ME"/>
        </w:rPr>
        <w:t>amacije, kao i teške reakcije (kompartment sindrom) kada su povezane sa</w:t>
      </w:r>
      <w:r w:rsidR="005F56D8" w:rsidRPr="004C7CDA">
        <w:rPr>
          <w:rFonts w:eastAsia="TimesNewRoman"/>
          <w:szCs w:val="22"/>
          <w:lang w:val="sr-Latn-ME"/>
        </w:rPr>
        <w:t xml:space="preserve"> </w:t>
      </w:r>
      <w:r w:rsidRPr="004C7CDA">
        <w:rPr>
          <w:rFonts w:eastAsia="TimesNewRoman"/>
          <w:szCs w:val="22"/>
          <w:lang w:val="sr-Latn-ME"/>
        </w:rPr>
        <w:t xml:space="preserve">ekstravazacijom. </w:t>
      </w:r>
      <w:r w:rsidR="008B3ED5" w:rsidRPr="004C7CDA">
        <w:rPr>
          <w:rFonts w:eastAsia="TimesNewRoman"/>
          <w:szCs w:val="22"/>
          <w:lang w:val="sr-Latn-ME"/>
        </w:rPr>
        <w:t>Pogledati dio</w:t>
      </w:r>
      <w:r w:rsidRPr="004C7CDA">
        <w:rPr>
          <w:rFonts w:eastAsia="TimesNewRoman"/>
          <w:szCs w:val="22"/>
          <w:lang w:val="sr-Latn-ME"/>
        </w:rPr>
        <w:t xml:space="preserve"> 4.8.</w:t>
      </w:r>
    </w:p>
    <w:p w14:paraId="50041789" w14:textId="77777777" w:rsidR="007735C3" w:rsidRPr="004C7CDA" w:rsidRDefault="007735C3" w:rsidP="004C7CDA">
      <w:pPr>
        <w:widowControl w:val="0"/>
        <w:tabs>
          <w:tab w:val="clear" w:pos="284"/>
        </w:tabs>
        <w:autoSpaceDE w:val="0"/>
        <w:autoSpaceDN w:val="0"/>
        <w:adjustRightInd w:val="0"/>
        <w:rPr>
          <w:rFonts w:eastAsia="TimesNewRoman"/>
          <w:szCs w:val="22"/>
          <w:lang w:val="sr-Latn-ME"/>
        </w:rPr>
      </w:pPr>
    </w:p>
    <w:p w14:paraId="0FE9C990" w14:textId="77AFCEAF" w:rsidR="007735C3" w:rsidRPr="004C7CDA" w:rsidRDefault="007735C3" w:rsidP="004C7CDA">
      <w:pPr>
        <w:widowControl w:val="0"/>
        <w:tabs>
          <w:tab w:val="clear" w:pos="284"/>
        </w:tabs>
        <w:autoSpaceDE w:val="0"/>
        <w:autoSpaceDN w:val="0"/>
        <w:adjustRightInd w:val="0"/>
        <w:rPr>
          <w:rFonts w:eastAsia="TimesNewRoman"/>
          <w:szCs w:val="22"/>
          <w:lang w:val="sr-Latn-ME"/>
        </w:rPr>
      </w:pPr>
      <w:r w:rsidRPr="004C7CDA">
        <w:rPr>
          <w:rFonts w:eastAsia="TimesNewRoman"/>
          <w:szCs w:val="22"/>
          <w:lang w:val="sr-Latn-ME"/>
        </w:rPr>
        <w:t xml:space="preserve">Dodavanje drugih </w:t>
      </w:r>
      <w:r w:rsidR="008B3ED5" w:rsidRPr="004C7CDA">
        <w:rPr>
          <w:rFonts w:eastAsia="TimesNewRoman"/>
          <w:szCs w:val="22"/>
          <w:lang w:val="sr-Latn-ME"/>
        </w:rPr>
        <w:t>l</w:t>
      </w:r>
      <w:r w:rsidR="00EF28C7" w:rsidRPr="004C7CDA">
        <w:rPr>
          <w:rFonts w:eastAsia="TimesNewRoman"/>
          <w:szCs w:val="22"/>
          <w:lang w:val="sr-Latn-ME"/>
        </w:rPr>
        <w:t>j</w:t>
      </w:r>
      <w:r w:rsidRPr="004C7CDA">
        <w:rPr>
          <w:rFonts w:eastAsia="TimesNewRoman"/>
          <w:szCs w:val="22"/>
          <w:lang w:val="sr-Latn-ME"/>
        </w:rPr>
        <w:t>ekova i</w:t>
      </w:r>
      <w:r w:rsidR="008B3ED5" w:rsidRPr="004C7CDA">
        <w:rPr>
          <w:rFonts w:eastAsia="TimesNewRoman"/>
          <w:szCs w:val="22"/>
          <w:lang w:val="sr-Latn-ME"/>
        </w:rPr>
        <w:t>l</w:t>
      </w:r>
      <w:r w:rsidRPr="004C7CDA">
        <w:rPr>
          <w:rFonts w:eastAsia="TimesNewRoman"/>
          <w:szCs w:val="22"/>
          <w:lang w:val="sr-Latn-ME"/>
        </w:rPr>
        <w:t>i prim</w:t>
      </w:r>
      <w:r w:rsidR="001060CE" w:rsidRPr="004C7CDA">
        <w:rPr>
          <w:rFonts w:eastAsia="TimesNewRoman"/>
          <w:szCs w:val="22"/>
          <w:lang w:val="sr-Latn-ME"/>
        </w:rPr>
        <w:t>j</w:t>
      </w:r>
      <w:r w:rsidRPr="004C7CDA">
        <w:rPr>
          <w:rFonts w:eastAsia="TimesNewRoman"/>
          <w:szCs w:val="22"/>
          <w:lang w:val="sr-Latn-ME"/>
        </w:rPr>
        <w:t>ena pogrešne tehnike davanja može izazvati febri</w:t>
      </w:r>
      <w:r w:rsidR="008B3ED5" w:rsidRPr="004C7CDA">
        <w:rPr>
          <w:rFonts w:eastAsia="TimesNewRoman"/>
          <w:szCs w:val="22"/>
          <w:lang w:val="sr-Latn-ME"/>
        </w:rPr>
        <w:t>l</w:t>
      </w:r>
      <w:r w:rsidRPr="004C7CDA">
        <w:rPr>
          <w:rFonts w:eastAsia="TimesNewRoman"/>
          <w:szCs w:val="22"/>
          <w:lang w:val="sr-Latn-ME"/>
        </w:rPr>
        <w:t>ne reakcije zbog mogućeg</w:t>
      </w:r>
      <w:r w:rsidR="005F56D8" w:rsidRPr="004C7CDA">
        <w:rPr>
          <w:rFonts w:eastAsia="TimesNewRoman"/>
          <w:szCs w:val="22"/>
          <w:lang w:val="sr-Latn-ME"/>
        </w:rPr>
        <w:t xml:space="preserve"> </w:t>
      </w:r>
      <w:r w:rsidRPr="004C7CDA">
        <w:rPr>
          <w:rFonts w:eastAsia="TimesNewRoman"/>
          <w:szCs w:val="22"/>
          <w:lang w:val="sr-Latn-ME"/>
        </w:rPr>
        <w:t>uvođenja pirogena. U s</w:t>
      </w:r>
      <w:r w:rsidR="008B3ED5" w:rsidRPr="004C7CDA">
        <w:rPr>
          <w:rFonts w:eastAsia="TimesNewRoman"/>
          <w:szCs w:val="22"/>
          <w:lang w:val="sr-Latn-ME"/>
        </w:rPr>
        <w:t>l</w:t>
      </w:r>
      <w:r w:rsidRPr="004C7CDA">
        <w:rPr>
          <w:rFonts w:eastAsia="TimesNewRoman"/>
          <w:szCs w:val="22"/>
          <w:lang w:val="sr-Latn-ME"/>
        </w:rPr>
        <w:t>učaju neže</w:t>
      </w:r>
      <w:r w:rsidR="008B3ED5" w:rsidRPr="004C7CDA">
        <w:rPr>
          <w:rFonts w:eastAsia="TimesNewRoman"/>
          <w:szCs w:val="22"/>
          <w:lang w:val="sr-Latn-ME"/>
        </w:rPr>
        <w:t>l</w:t>
      </w:r>
      <w:r w:rsidRPr="004C7CDA">
        <w:rPr>
          <w:rFonts w:eastAsia="TimesNewRoman"/>
          <w:szCs w:val="22"/>
          <w:lang w:val="sr-Latn-ME"/>
        </w:rPr>
        <w:t xml:space="preserve">jene reakcije, infuzija se mora odmah obustaviti. </w:t>
      </w:r>
      <w:r w:rsidR="0027705F" w:rsidRPr="004C7CDA">
        <w:rPr>
          <w:rFonts w:eastAsia="TimesNewRoman"/>
          <w:szCs w:val="22"/>
          <w:lang w:val="sr-Latn-ME"/>
        </w:rPr>
        <w:t>Za i</w:t>
      </w:r>
      <w:r w:rsidRPr="004C7CDA">
        <w:rPr>
          <w:rFonts w:eastAsia="TimesNewRoman"/>
          <w:szCs w:val="22"/>
          <w:lang w:val="sr-Latn-ME"/>
        </w:rPr>
        <w:t>nformacije o</w:t>
      </w:r>
      <w:r w:rsidR="005F56D8" w:rsidRPr="004C7CDA">
        <w:rPr>
          <w:rFonts w:eastAsia="TimesNewRoman"/>
          <w:szCs w:val="22"/>
          <w:lang w:val="sr-Latn-ME"/>
        </w:rPr>
        <w:t xml:space="preserve"> </w:t>
      </w:r>
      <w:r w:rsidRPr="004C7CDA">
        <w:rPr>
          <w:rFonts w:eastAsia="TimesNewRoman"/>
          <w:szCs w:val="22"/>
          <w:lang w:val="sr-Latn-ME"/>
        </w:rPr>
        <w:t>inkompatibi</w:t>
      </w:r>
      <w:r w:rsidR="008B3ED5" w:rsidRPr="004C7CDA">
        <w:rPr>
          <w:rFonts w:eastAsia="TimesNewRoman"/>
          <w:szCs w:val="22"/>
          <w:lang w:val="sr-Latn-ME"/>
        </w:rPr>
        <w:t>l</w:t>
      </w:r>
      <w:r w:rsidRPr="004C7CDA">
        <w:rPr>
          <w:rFonts w:eastAsia="TimesNewRoman"/>
          <w:szCs w:val="22"/>
          <w:lang w:val="sr-Latn-ME"/>
        </w:rPr>
        <w:t xml:space="preserve">nosti </w:t>
      </w:r>
      <w:r w:rsidR="008B3ED5" w:rsidRPr="004C7CDA">
        <w:rPr>
          <w:rFonts w:eastAsia="TimesNewRoman"/>
          <w:szCs w:val="22"/>
          <w:lang w:val="sr-Latn-ME"/>
        </w:rPr>
        <w:t>pogledati d</w:t>
      </w:r>
      <w:r w:rsidR="0027705F" w:rsidRPr="004C7CDA">
        <w:rPr>
          <w:rFonts w:eastAsia="TimesNewRoman"/>
          <w:szCs w:val="22"/>
          <w:lang w:val="sr-Latn-ME"/>
        </w:rPr>
        <w:t>jelove</w:t>
      </w:r>
      <w:r w:rsidRPr="004C7CDA">
        <w:rPr>
          <w:rFonts w:eastAsia="TimesNewRoman"/>
          <w:szCs w:val="22"/>
          <w:lang w:val="sr-Latn-ME"/>
        </w:rPr>
        <w:t xml:space="preserve"> 6.2 i 6.6.</w:t>
      </w:r>
    </w:p>
    <w:p w14:paraId="16E64B98" w14:textId="77777777" w:rsidR="007735C3" w:rsidRPr="004C7CDA" w:rsidRDefault="007735C3" w:rsidP="004C7CDA">
      <w:pPr>
        <w:widowControl w:val="0"/>
        <w:tabs>
          <w:tab w:val="clear" w:pos="284"/>
        </w:tabs>
        <w:autoSpaceDE w:val="0"/>
        <w:autoSpaceDN w:val="0"/>
        <w:adjustRightInd w:val="0"/>
        <w:rPr>
          <w:rFonts w:eastAsia="TimesNewRoman"/>
          <w:szCs w:val="22"/>
          <w:lang w:val="sr-Latn-ME"/>
        </w:rPr>
      </w:pPr>
    </w:p>
    <w:p w14:paraId="1BEEB520" w14:textId="002A36FE" w:rsidR="007735C3" w:rsidRPr="004C7CDA" w:rsidRDefault="007735C3" w:rsidP="004C7CDA">
      <w:pPr>
        <w:widowControl w:val="0"/>
        <w:tabs>
          <w:tab w:val="clear" w:pos="284"/>
        </w:tabs>
        <w:autoSpaceDE w:val="0"/>
        <w:autoSpaceDN w:val="0"/>
        <w:adjustRightInd w:val="0"/>
        <w:rPr>
          <w:rFonts w:eastAsia="TimesNewRoman"/>
          <w:szCs w:val="22"/>
          <w:u w:val="single"/>
          <w:lang w:val="sr-Latn-ME"/>
        </w:rPr>
      </w:pPr>
      <w:r w:rsidRPr="004C7CDA">
        <w:rPr>
          <w:rFonts w:eastAsia="TimesNewRoman"/>
          <w:szCs w:val="22"/>
          <w:u w:val="single"/>
          <w:lang w:val="sr-Latn-ME"/>
        </w:rPr>
        <w:t>Nadoknada vo</w:t>
      </w:r>
      <w:r w:rsidR="008B3ED5" w:rsidRPr="004C7CDA">
        <w:rPr>
          <w:rFonts w:eastAsia="TimesNewRoman"/>
          <w:szCs w:val="22"/>
          <w:u w:val="single"/>
          <w:lang w:val="sr-Latn-ME"/>
        </w:rPr>
        <w:t>l</w:t>
      </w:r>
      <w:r w:rsidRPr="004C7CDA">
        <w:rPr>
          <w:rFonts w:eastAsia="TimesNewRoman"/>
          <w:szCs w:val="22"/>
          <w:u w:val="single"/>
          <w:lang w:val="sr-Latn-ME"/>
        </w:rPr>
        <w:t>umena i e</w:t>
      </w:r>
      <w:r w:rsidR="008B3ED5" w:rsidRPr="004C7CDA">
        <w:rPr>
          <w:rFonts w:eastAsia="TimesNewRoman"/>
          <w:szCs w:val="22"/>
          <w:u w:val="single"/>
          <w:lang w:val="sr-Latn-ME"/>
        </w:rPr>
        <w:t>l</w:t>
      </w:r>
      <w:r w:rsidRPr="004C7CDA">
        <w:rPr>
          <w:rFonts w:eastAsia="TimesNewRoman"/>
          <w:szCs w:val="22"/>
          <w:u w:val="single"/>
          <w:lang w:val="sr-Latn-ME"/>
        </w:rPr>
        <w:t>ektro</w:t>
      </w:r>
      <w:r w:rsidR="008B3ED5" w:rsidRPr="004C7CDA">
        <w:rPr>
          <w:rFonts w:eastAsia="TimesNewRoman"/>
          <w:szCs w:val="22"/>
          <w:u w:val="single"/>
          <w:lang w:val="sr-Latn-ME"/>
        </w:rPr>
        <w:t>l</w:t>
      </w:r>
      <w:r w:rsidRPr="004C7CDA">
        <w:rPr>
          <w:rFonts w:eastAsia="TimesNewRoman"/>
          <w:szCs w:val="22"/>
          <w:u w:val="single"/>
          <w:lang w:val="sr-Latn-ME"/>
        </w:rPr>
        <w:t xml:space="preserve">ita </w:t>
      </w:r>
      <w:r w:rsidR="00F047EE" w:rsidRPr="004C7CDA">
        <w:rPr>
          <w:rFonts w:eastAsia="TimesNewRoman"/>
          <w:szCs w:val="22"/>
          <w:u w:val="single"/>
          <w:lang w:val="sr-Latn-ME"/>
        </w:rPr>
        <w:t xml:space="preserve">prije </w:t>
      </w:r>
      <w:r w:rsidRPr="004C7CDA">
        <w:rPr>
          <w:rFonts w:eastAsia="TimesNewRoman"/>
          <w:szCs w:val="22"/>
          <w:u w:val="single"/>
          <w:lang w:val="sr-Latn-ME"/>
        </w:rPr>
        <w:t>prim</w:t>
      </w:r>
      <w:r w:rsidR="00EF28C7" w:rsidRPr="004C7CDA">
        <w:rPr>
          <w:rFonts w:eastAsia="TimesNewRoman"/>
          <w:szCs w:val="22"/>
          <w:u w:val="single"/>
          <w:lang w:val="sr-Latn-ME"/>
        </w:rPr>
        <w:t>j</w:t>
      </w:r>
      <w:r w:rsidRPr="004C7CDA">
        <w:rPr>
          <w:rFonts w:eastAsia="TimesNewRoman"/>
          <w:szCs w:val="22"/>
          <w:u w:val="single"/>
          <w:lang w:val="sr-Latn-ME"/>
        </w:rPr>
        <w:t>ene</w:t>
      </w:r>
    </w:p>
    <w:p w14:paraId="7F70CFB4" w14:textId="1F4B3C80" w:rsidR="007735C3" w:rsidRPr="004C7CDA" w:rsidRDefault="007735C3" w:rsidP="004C7CDA">
      <w:pPr>
        <w:widowControl w:val="0"/>
        <w:tabs>
          <w:tab w:val="clear" w:pos="284"/>
        </w:tabs>
        <w:autoSpaceDE w:val="0"/>
        <w:autoSpaceDN w:val="0"/>
        <w:adjustRightInd w:val="0"/>
        <w:rPr>
          <w:rFonts w:eastAsia="TimesNewRoman"/>
          <w:szCs w:val="22"/>
          <w:lang w:val="sr-Latn-ME"/>
        </w:rPr>
      </w:pPr>
      <w:r w:rsidRPr="004C7CDA">
        <w:rPr>
          <w:rFonts w:eastAsia="TimesNewRoman"/>
          <w:szCs w:val="22"/>
          <w:lang w:val="sr-Latn-ME"/>
        </w:rPr>
        <w:t>Manito</w:t>
      </w:r>
      <w:r w:rsidR="008B3ED5" w:rsidRPr="004C7CDA">
        <w:rPr>
          <w:rFonts w:eastAsia="TimesNewRoman"/>
          <w:szCs w:val="22"/>
          <w:lang w:val="sr-Latn-ME"/>
        </w:rPr>
        <w:t>l</w:t>
      </w:r>
      <w:r w:rsidRPr="004C7CDA">
        <w:rPr>
          <w:rFonts w:eastAsia="TimesNewRoman"/>
          <w:szCs w:val="22"/>
          <w:lang w:val="sr-Latn-ME"/>
        </w:rPr>
        <w:t xml:space="preserve"> ne treba prim</w:t>
      </w:r>
      <w:r w:rsidR="00D5742E" w:rsidRPr="004C7CDA">
        <w:rPr>
          <w:rFonts w:eastAsia="TimesNewRoman"/>
          <w:szCs w:val="22"/>
          <w:lang w:val="sr-Latn-ME"/>
        </w:rPr>
        <w:t>j</w:t>
      </w:r>
      <w:r w:rsidRPr="004C7CDA">
        <w:rPr>
          <w:rFonts w:eastAsia="TimesNewRoman"/>
          <w:szCs w:val="22"/>
          <w:lang w:val="sr-Latn-ME"/>
        </w:rPr>
        <w:t xml:space="preserve">enjivati kod pacijenata sa šokom i poremećajem funkcije bubrega, </w:t>
      </w:r>
      <w:r w:rsidR="00F047EE" w:rsidRPr="004C7CDA">
        <w:rPr>
          <w:rFonts w:eastAsia="TimesNewRoman"/>
          <w:szCs w:val="22"/>
          <w:lang w:val="sr-Latn-ME"/>
        </w:rPr>
        <w:t xml:space="preserve">prije </w:t>
      </w:r>
      <w:r w:rsidRPr="004C7CDA">
        <w:rPr>
          <w:rFonts w:eastAsia="TimesNewRoman"/>
          <w:szCs w:val="22"/>
          <w:lang w:val="sr-Latn-ME"/>
        </w:rPr>
        <w:t>potpune</w:t>
      </w:r>
      <w:r w:rsidR="00D5742E" w:rsidRPr="004C7CDA">
        <w:rPr>
          <w:rFonts w:eastAsia="TimesNewRoman"/>
          <w:szCs w:val="22"/>
          <w:lang w:val="sr-Latn-ME"/>
        </w:rPr>
        <w:t xml:space="preserve"> </w:t>
      </w:r>
      <w:r w:rsidRPr="004C7CDA">
        <w:rPr>
          <w:rFonts w:eastAsia="TimesNewRoman"/>
          <w:szCs w:val="22"/>
          <w:lang w:val="sr-Latn-ME"/>
        </w:rPr>
        <w:t>nadoknade vo</w:t>
      </w:r>
      <w:r w:rsidR="008B3ED5" w:rsidRPr="004C7CDA">
        <w:rPr>
          <w:rFonts w:eastAsia="TimesNewRoman"/>
          <w:szCs w:val="22"/>
          <w:lang w:val="sr-Latn-ME"/>
        </w:rPr>
        <w:t>l</w:t>
      </w:r>
      <w:r w:rsidRPr="004C7CDA">
        <w:rPr>
          <w:rFonts w:eastAsia="TimesNewRoman"/>
          <w:szCs w:val="22"/>
          <w:lang w:val="sr-Latn-ME"/>
        </w:rPr>
        <w:t>umena (tečnost, krv) i e</w:t>
      </w:r>
      <w:r w:rsidR="008B3ED5" w:rsidRPr="004C7CDA">
        <w:rPr>
          <w:rFonts w:eastAsia="TimesNewRoman"/>
          <w:szCs w:val="22"/>
          <w:lang w:val="sr-Latn-ME"/>
        </w:rPr>
        <w:t>l</w:t>
      </w:r>
      <w:r w:rsidRPr="004C7CDA">
        <w:rPr>
          <w:rFonts w:eastAsia="TimesNewRoman"/>
          <w:szCs w:val="22"/>
          <w:lang w:val="sr-Latn-ME"/>
        </w:rPr>
        <w:t>ektro</w:t>
      </w:r>
      <w:r w:rsidR="008B3ED5" w:rsidRPr="004C7CDA">
        <w:rPr>
          <w:rFonts w:eastAsia="TimesNewRoman"/>
          <w:szCs w:val="22"/>
          <w:lang w:val="sr-Latn-ME"/>
        </w:rPr>
        <w:t>l</w:t>
      </w:r>
      <w:r w:rsidRPr="004C7CDA">
        <w:rPr>
          <w:rFonts w:eastAsia="TimesNewRoman"/>
          <w:szCs w:val="22"/>
          <w:lang w:val="sr-Latn-ME"/>
        </w:rPr>
        <w:t>ita.</w:t>
      </w:r>
    </w:p>
    <w:p w14:paraId="25DD3583" w14:textId="77777777" w:rsidR="007735C3" w:rsidRPr="004C7CDA" w:rsidRDefault="007735C3" w:rsidP="004C7CDA">
      <w:pPr>
        <w:widowControl w:val="0"/>
        <w:tabs>
          <w:tab w:val="clear" w:pos="284"/>
        </w:tabs>
        <w:autoSpaceDE w:val="0"/>
        <w:autoSpaceDN w:val="0"/>
        <w:adjustRightInd w:val="0"/>
        <w:rPr>
          <w:rFonts w:eastAsia="TimesNewRoman"/>
          <w:szCs w:val="22"/>
          <w:lang w:val="sr-Latn-ME"/>
        </w:rPr>
      </w:pPr>
    </w:p>
    <w:p w14:paraId="325AA5A7" w14:textId="154E41AE" w:rsidR="007735C3" w:rsidRPr="004C7CDA" w:rsidRDefault="007735C3" w:rsidP="004C7CDA">
      <w:pPr>
        <w:widowControl w:val="0"/>
        <w:tabs>
          <w:tab w:val="clear" w:pos="284"/>
        </w:tabs>
        <w:autoSpaceDE w:val="0"/>
        <w:autoSpaceDN w:val="0"/>
        <w:adjustRightInd w:val="0"/>
        <w:rPr>
          <w:rFonts w:eastAsia="TimesNewRoman"/>
          <w:szCs w:val="22"/>
          <w:u w:val="single"/>
          <w:lang w:val="sr-Latn-ME"/>
        </w:rPr>
      </w:pPr>
      <w:r w:rsidRPr="004C7CDA">
        <w:rPr>
          <w:rFonts w:eastAsia="TimesNewRoman"/>
          <w:szCs w:val="22"/>
          <w:u w:val="single"/>
          <w:lang w:val="sr-Latn-ME"/>
        </w:rPr>
        <w:t>Kontro</w:t>
      </w:r>
      <w:r w:rsidR="008B3ED5" w:rsidRPr="004C7CDA">
        <w:rPr>
          <w:rFonts w:eastAsia="TimesNewRoman"/>
          <w:szCs w:val="22"/>
          <w:u w:val="single"/>
          <w:lang w:val="sr-Latn-ME"/>
        </w:rPr>
        <w:t>l</w:t>
      </w:r>
      <w:r w:rsidRPr="004C7CDA">
        <w:rPr>
          <w:rFonts w:eastAsia="TimesNewRoman"/>
          <w:szCs w:val="22"/>
          <w:u w:val="single"/>
          <w:lang w:val="sr-Latn-ME"/>
        </w:rPr>
        <w:t>isanje pacijenata</w:t>
      </w:r>
    </w:p>
    <w:p w14:paraId="6C6F729A" w14:textId="1DE36468" w:rsidR="00D5742E" w:rsidRPr="004C7CDA" w:rsidRDefault="007735C3" w:rsidP="004C7CDA">
      <w:pPr>
        <w:widowControl w:val="0"/>
        <w:tabs>
          <w:tab w:val="clear" w:pos="284"/>
        </w:tabs>
        <w:autoSpaceDE w:val="0"/>
        <w:autoSpaceDN w:val="0"/>
        <w:adjustRightInd w:val="0"/>
        <w:rPr>
          <w:rFonts w:eastAsia="TimesNewRoman"/>
          <w:szCs w:val="22"/>
          <w:lang w:val="sr-Latn-ME"/>
        </w:rPr>
      </w:pPr>
      <w:r w:rsidRPr="004C7CDA">
        <w:rPr>
          <w:rFonts w:eastAsia="TimesNewRoman"/>
          <w:szCs w:val="22"/>
          <w:lang w:val="sr-Latn-ME"/>
        </w:rPr>
        <w:t>Pri prim</w:t>
      </w:r>
      <w:r w:rsidR="00EF28C7" w:rsidRPr="004C7CDA">
        <w:rPr>
          <w:rFonts w:eastAsia="TimesNewRoman"/>
          <w:szCs w:val="22"/>
          <w:lang w:val="sr-Latn-ME"/>
        </w:rPr>
        <w:t>j</w:t>
      </w:r>
      <w:r w:rsidRPr="004C7CDA">
        <w:rPr>
          <w:rFonts w:eastAsia="TimesNewRoman"/>
          <w:szCs w:val="22"/>
          <w:lang w:val="sr-Latn-ME"/>
        </w:rPr>
        <w:t>eni manito</w:t>
      </w:r>
      <w:r w:rsidR="008B3ED5" w:rsidRPr="004C7CDA">
        <w:rPr>
          <w:rFonts w:eastAsia="TimesNewRoman"/>
          <w:szCs w:val="22"/>
          <w:lang w:val="sr-Latn-ME"/>
        </w:rPr>
        <w:t>l</w:t>
      </w:r>
      <w:r w:rsidRPr="004C7CDA">
        <w:rPr>
          <w:rFonts w:eastAsia="TimesNewRoman"/>
          <w:szCs w:val="22"/>
          <w:lang w:val="sr-Latn-ME"/>
        </w:rPr>
        <w:t>a neophodno je pratiti acido-baznu ravnotežu, funkciju bubrega i serumsku osmo</w:t>
      </w:r>
      <w:r w:rsidR="008B3ED5" w:rsidRPr="004C7CDA">
        <w:rPr>
          <w:rFonts w:eastAsia="TimesNewRoman"/>
          <w:szCs w:val="22"/>
          <w:lang w:val="sr-Latn-ME"/>
        </w:rPr>
        <w:t>l</w:t>
      </w:r>
      <w:r w:rsidRPr="004C7CDA">
        <w:rPr>
          <w:rFonts w:eastAsia="TimesNewRoman"/>
          <w:szCs w:val="22"/>
          <w:lang w:val="sr-Latn-ME"/>
        </w:rPr>
        <w:t>a</w:t>
      </w:r>
      <w:r w:rsidR="008B3ED5" w:rsidRPr="004C7CDA">
        <w:rPr>
          <w:rFonts w:eastAsia="TimesNewRoman"/>
          <w:szCs w:val="22"/>
          <w:lang w:val="sr-Latn-ME"/>
        </w:rPr>
        <w:t>l</w:t>
      </w:r>
      <w:r w:rsidRPr="004C7CDA">
        <w:rPr>
          <w:rFonts w:eastAsia="TimesNewRoman"/>
          <w:szCs w:val="22"/>
          <w:lang w:val="sr-Latn-ME"/>
        </w:rPr>
        <w:t>nost.</w:t>
      </w:r>
    </w:p>
    <w:p w14:paraId="73F8A653" w14:textId="7F97A59C" w:rsidR="007735C3" w:rsidRPr="004C7CDA" w:rsidRDefault="007735C3" w:rsidP="004C7CDA">
      <w:pPr>
        <w:widowControl w:val="0"/>
        <w:tabs>
          <w:tab w:val="clear" w:pos="284"/>
        </w:tabs>
        <w:autoSpaceDE w:val="0"/>
        <w:autoSpaceDN w:val="0"/>
        <w:adjustRightInd w:val="0"/>
        <w:rPr>
          <w:rFonts w:eastAsia="TimesNewRoman"/>
          <w:szCs w:val="22"/>
          <w:lang w:val="sr-Latn-ME"/>
        </w:rPr>
      </w:pPr>
      <w:r w:rsidRPr="004C7CDA">
        <w:rPr>
          <w:rFonts w:eastAsia="TimesNewRoman"/>
          <w:szCs w:val="22"/>
          <w:lang w:val="sr-Latn-ME"/>
        </w:rPr>
        <w:t>Pacijente koji primaju manito</w:t>
      </w:r>
      <w:r w:rsidR="008B3ED5" w:rsidRPr="004C7CDA">
        <w:rPr>
          <w:rFonts w:eastAsia="TimesNewRoman"/>
          <w:szCs w:val="22"/>
          <w:lang w:val="sr-Latn-ME"/>
        </w:rPr>
        <w:t>l</w:t>
      </w:r>
      <w:r w:rsidRPr="004C7CDA">
        <w:rPr>
          <w:rFonts w:eastAsia="TimesNewRoman"/>
          <w:szCs w:val="22"/>
          <w:lang w:val="sr-Latn-ME"/>
        </w:rPr>
        <w:t xml:space="preserve"> treba kontro</w:t>
      </w:r>
      <w:r w:rsidR="008B3ED5" w:rsidRPr="004C7CDA">
        <w:rPr>
          <w:rFonts w:eastAsia="TimesNewRoman"/>
          <w:szCs w:val="22"/>
          <w:lang w:val="sr-Latn-ME"/>
        </w:rPr>
        <w:t>l</w:t>
      </w:r>
      <w:r w:rsidRPr="004C7CDA">
        <w:rPr>
          <w:rFonts w:eastAsia="TimesNewRoman"/>
          <w:szCs w:val="22"/>
          <w:lang w:val="sr-Latn-ME"/>
        </w:rPr>
        <w:t>isati da ne dođe do pogoršanja funkcije bubrega, srca i</w:t>
      </w:r>
      <w:r w:rsidR="008B3ED5" w:rsidRPr="004C7CDA">
        <w:rPr>
          <w:rFonts w:eastAsia="TimesNewRoman"/>
          <w:szCs w:val="22"/>
          <w:lang w:val="sr-Latn-ME"/>
        </w:rPr>
        <w:t>l</w:t>
      </w:r>
      <w:r w:rsidRPr="004C7CDA">
        <w:rPr>
          <w:rFonts w:eastAsia="TimesNewRoman"/>
          <w:szCs w:val="22"/>
          <w:lang w:val="sr-Latn-ME"/>
        </w:rPr>
        <w:t>i p</w:t>
      </w:r>
      <w:r w:rsidR="008B3ED5" w:rsidRPr="004C7CDA">
        <w:rPr>
          <w:rFonts w:eastAsia="TimesNewRoman"/>
          <w:szCs w:val="22"/>
          <w:lang w:val="sr-Latn-ME"/>
        </w:rPr>
        <w:t>l</w:t>
      </w:r>
      <w:r w:rsidRPr="004C7CDA">
        <w:rPr>
          <w:rFonts w:eastAsia="TimesNewRoman"/>
          <w:szCs w:val="22"/>
          <w:lang w:val="sr-Latn-ME"/>
        </w:rPr>
        <w:t>uća,</w:t>
      </w:r>
      <w:r w:rsidR="00D5742E" w:rsidRPr="004C7CDA">
        <w:rPr>
          <w:rFonts w:eastAsia="TimesNewRoman"/>
          <w:szCs w:val="22"/>
          <w:lang w:val="sr-Latn-ME"/>
        </w:rPr>
        <w:t xml:space="preserve"> </w:t>
      </w:r>
      <w:r w:rsidRPr="004C7CDA">
        <w:rPr>
          <w:rFonts w:eastAsia="TimesNewRoman"/>
          <w:szCs w:val="22"/>
          <w:lang w:val="sr-Latn-ME"/>
        </w:rPr>
        <w:t>pri čemu u s</w:t>
      </w:r>
      <w:r w:rsidR="008B3ED5" w:rsidRPr="004C7CDA">
        <w:rPr>
          <w:rFonts w:eastAsia="TimesNewRoman"/>
          <w:szCs w:val="22"/>
          <w:lang w:val="sr-Latn-ME"/>
        </w:rPr>
        <w:t>l</w:t>
      </w:r>
      <w:r w:rsidRPr="004C7CDA">
        <w:rPr>
          <w:rFonts w:eastAsia="TimesNewRoman"/>
          <w:szCs w:val="22"/>
          <w:lang w:val="sr-Latn-ME"/>
        </w:rPr>
        <w:t>učaju pojave neže</w:t>
      </w:r>
      <w:r w:rsidR="008B3ED5" w:rsidRPr="004C7CDA">
        <w:rPr>
          <w:rFonts w:eastAsia="TimesNewRoman"/>
          <w:szCs w:val="22"/>
          <w:lang w:val="sr-Latn-ME"/>
        </w:rPr>
        <w:t>l</w:t>
      </w:r>
      <w:r w:rsidRPr="004C7CDA">
        <w:rPr>
          <w:rFonts w:eastAsia="TimesNewRoman"/>
          <w:szCs w:val="22"/>
          <w:lang w:val="sr-Latn-ME"/>
        </w:rPr>
        <w:t>jenih dejstava treba obustaviti terapiju.</w:t>
      </w:r>
    </w:p>
    <w:p w14:paraId="2511BB49" w14:textId="0460A1B2" w:rsidR="007735C3" w:rsidRPr="004C7CDA" w:rsidRDefault="007735C3" w:rsidP="004C7CDA">
      <w:pPr>
        <w:widowControl w:val="0"/>
        <w:tabs>
          <w:tab w:val="clear" w:pos="284"/>
        </w:tabs>
        <w:autoSpaceDE w:val="0"/>
        <w:autoSpaceDN w:val="0"/>
        <w:adjustRightInd w:val="0"/>
        <w:rPr>
          <w:rFonts w:eastAsia="TimesNewRoman"/>
          <w:szCs w:val="22"/>
          <w:lang w:val="sr-Latn-ME"/>
        </w:rPr>
      </w:pPr>
      <w:r w:rsidRPr="004C7CDA">
        <w:rPr>
          <w:rFonts w:eastAsia="TimesNewRoman"/>
          <w:szCs w:val="22"/>
          <w:lang w:val="sr-Latn-ME"/>
        </w:rPr>
        <w:t>Treba paž</w:t>
      </w:r>
      <w:r w:rsidR="008B3ED5" w:rsidRPr="004C7CDA">
        <w:rPr>
          <w:rFonts w:eastAsia="TimesNewRoman"/>
          <w:szCs w:val="22"/>
          <w:lang w:val="sr-Latn-ME"/>
        </w:rPr>
        <w:t>l</w:t>
      </w:r>
      <w:r w:rsidRPr="004C7CDA">
        <w:rPr>
          <w:rFonts w:eastAsia="TimesNewRoman"/>
          <w:szCs w:val="22"/>
          <w:lang w:val="sr-Latn-ME"/>
        </w:rPr>
        <w:t>jivo pratiti protok urina, ravnotežu tečnosti, centra</w:t>
      </w:r>
      <w:r w:rsidR="008B3ED5" w:rsidRPr="004C7CDA">
        <w:rPr>
          <w:rFonts w:eastAsia="TimesNewRoman"/>
          <w:szCs w:val="22"/>
          <w:lang w:val="sr-Latn-ME"/>
        </w:rPr>
        <w:t>l</w:t>
      </w:r>
      <w:r w:rsidRPr="004C7CDA">
        <w:rPr>
          <w:rFonts w:eastAsia="TimesNewRoman"/>
          <w:szCs w:val="22"/>
          <w:lang w:val="sr-Latn-ME"/>
        </w:rPr>
        <w:t>ni venski pritisak i ravnotežu e</w:t>
      </w:r>
      <w:r w:rsidR="008B3ED5" w:rsidRPr="004C7CDA">
        <w:rPr>
          <w:rFonts w:eastAsia="TimesNewRoman"/>
          <w:szCs w:val="22"/>
          <w:lang w:val="sr-Latn-ME"/>
        </w:rPr>
        <w:t>l</w:t>
      </w:r>
      <w:r w:rsidRPr="004C7CDA">
        <w:rPr>
          <w:rFonts w:eastAsia="TimesNewRoman"/>
          <w:szCs w:val="22"/>
          <w:lang w:val="sr-Latn-ME"/>
        </w:rPr>
        <w:t>ektro</w:t>
      </w:r>
      <w:r w:rsidR="008B3ED5" w:rsidRPr="004C7CDA">
        <w:rPr>
          <w:rFonts w:eastAsia="TimesNewRoman"/>
          <w:szCs w:val="22"/>
          <w:lang w:val="sr-Latn-ME"/>
        </w:rPr>
        <w:t>l</w:t>
      </w:r>
      <w:r w:rsidRPr="004C7CDA">
        <w:rPr>
          <w:rFonts w:eastAsia="TimesNewRoman"/>
          <w:szCs w:val="22"/>
          <w:lang w:val="sr-Latn-ME"/>
        </w:rPr>
        <w:t>ita</w:t>
      </w:r>
    </w:p>
    <w:p w14:paraId="344AA02F" w14:textId="35478C2B" w:rsidR="007735C3" w:rsidRPr="004C7CDA" w:rsidRDefault="007735C3" w:rsidP="004C7CDA">
      <w:pPr>
        <w:widowControl w:val="0"/>
        <w:tabs>
          <w:tab w:val="clear" w:pos="284"/>
        </w:tabs>
        <w:autoSpaceDE w:val="0"/>
        <w:autoSpaceDN w:val="0"/>
        <w:adjustRightInd w:val="0"/>
        <w:rPr>
          <w:rFonts w:eastAsia="TimesNewRoman"/>
          <w:szCs w:val="22"/>
          <w:lang w:val="sr-Latn-ME"/>
        </w:rPr>
      </w:pPr>
      <w:r w:rsidRPr="004C7CDA">
        <w:rPr>
          <w:rFonts w:eastAsia="TimesNewRoman"/>
          <w:szCs w:val="22"/>
          <w:lang w:val="sr-Latn-ME"/>
        </w:rPr>
        <w:t>(posebno koncentracije natrijuma i ka</w:t>
      </w:r>
      <w:r w:rsidR="008B3ED5" w:rsidRPr="004C7CDA">
        <w:rPr>
          <w:rFonts w:eastAsia="TimesNewRoman"/>
          <w:szCs w:val="22"/>
          <w:lang w:val="sr-Latn-ME"/>
        </w:rPr>
        <w:t>l</w:t>
      </w:r>
      <w:r w:rsidRPr="004C7CDA">
        <w:rPr>
          <w:rFonts w:eastAsia="TimesNewRoman"/>
          <w:szCs w:val="22"/>
          <w:lang w:val="sr-Latn-ME"/>
        </w:rPr>
        <w:t>ijuma u serumu).</w:t>
      </w:r>
    </w:p>
    <w:p w14:paraId="2DEFFB8C" w14:textId="77777777" w:rsidR="007735C3" w:rsidRPr="004C7CDA" w:rsidRDefault="007735C3" w:rsidP="004C7CDA">
      <w:pPr>
        <w:widowControl w:val="0"/>
        <w:tabs>
          <w:tab w:val="clear" w:pos="284"/>
        </w:tabs>
        <w:autoSpaceDE w:val="0"/>
        <w:autoSpaceDN w:val="0"/>
        <w:adjustRightInd w:val="0"/>
        <w:rPr>
          <w:rFonts w:eastAsia="TimesNewRoman"/>
          <w:szCs w:val="22"/>
          <w:lang w:val="sr-Latn-ME"/>
        </w:rPr>
      </w:pPr>
    </w:p>
    <w:p w14:paraId="6A9206D8" w14:textId="65C699D6" w:rsidR="007735C3" w:rsidRPr="004C7CDA" w:rsidRDefault="007735C3" w:rsidP="004C7CDA">
      <w:pPr>
        <w:widowControl w:val="0"/>
        <w:tabs>
          <w:tab w:val="clear" w:pos="284"/>
        </w:tabs>
        <w:autoSpaceDE w:val="0"/>
        <w:autoSpaceDN w:val="0"/>
        <w:adjustRightInd w:val="0"/>
        <w:rPr>
          <w:rFonts w:eastAsia="TimesNewRoman"/>
          <w:szCs w:val="22"/>
          <w:u w:val="single"/>
          <w:lang w:val="sr-Latn-ME"/>
        </w:rPr>
      </w:pPr>
      <w:r w:rsidRPr="004C7CDA">
        <w:rPr>
          <w:rFonts w:eastAsia="TimesNewRoman"/>
          <w:szCs w:val="22"/>
          <w:u w:val="single"/>
          <w:lang w:val="sr-Latn-ME"/>
        </w:rPr>
        <w:t>Inkompatibi</w:t>
      </w:r>
      <w:r w:rsidR="008B3ED5" w:rsidRPr="004C7CDA">
        <w:rPr>
          <w:rFonts w:eastAsia="TimesNewRoman"/>
          <w:szCs w:val="22"/>
          <w:u w:val="single"/>
          <w:lang w:val="sr-Latn-ME"/>
        </w:rPr>
        <w:t>l</w:t>
      </w:r>
      <w:r w:rsidRPr="004C7CDA">
        <w:rPr>
          <w:rFonts w:eastAsia="TimesNewRoman"/>
          <w:szCs w:val="22"/>
          <w:u w:val="single"/>
          <w:lang w:val="sr-Latn-ME"/>
        </w:rPr>
        <w:t>nost sa transfuzijom krvi</w:t>
      </w:r>
    </w:p>
    <w:p w14:paraId="284EFAD4" w14:textId="3C02019D" w:rsidR="007735C3" w:rsidRPr="004C7CDA" w:rsidRDefault="007735C3" w:rsidP="004C7CDA">
      <w:pPr>
        <w:widowControl w:val="0"/>
        <w:tabs>
          <w:tab w:val="clear" w:pos="284"/>
        </w:tabs>
        <w:autoSpaceDE w:val="0"/>
        <w:autoSpaceDN w:val="0"/>
        <w:adjustRightInd w:val="0"/>
        <w:rPr>
          <w:rFonts w:eastAsia="TimesNewRoman"/>
          <w:szCs w:val="22"/>
          <w:lang w:val="sr-Latn-ME"/>
        </w:rPr>
      </w:pPr>
      <w:r w:rsidRPr="004C7CDA">
        <w:rPr>
          <w:rFonts w:eastAsia="TimesNewRoman"/>
          <w:szCs w:val="22"/>
          <w:lang w:val="sr-Latn-ME"/>
        </w:rPr>
        <w:t>Manito</w:t>
      </w:r>
      <w:r w:rsidR="008B3ED5" w:rsidRPr="004C7CDA">
        <w:rPr>
          <w:rFonts w:eastAsia="TimesNewRoman"/>
          <w:szCs w:val="22"/>
          <w:lang w:val="sr-Latn-ME"/>
        </w:rPr>
        <w:t>l</w:t>
      </w:r>
      <w:r w:rsidRPr="004C7CDA">
        <w:rPr>
          <w:rFonts w:eastAsia="TimesNewRoman"/>
          <w:szCs w:val="22"/>
          <w:lang w:val="sr-Latn-ME"/>
        </w:rPr>
        <w:t xml:space="preserve"> ne treba davati zajedno sa transfuzijom krvi, jer može da dovede do ag</w:t>
      </w:r>
      <w:r w:rsidR="008B3ED5" w:rsidRPr="004C7CDA">
        <w:rPr>
          <w:rFonts w:eastAsia="TimesNewRoman"/>
          <w:szCs w:val="22"/>
          <w:lang w:val="sr-Latn-ME"/>
        </w:rPr>
        <w:t>l</w:t>
      </w:r>
      <w:r w:rsidRPr="004C7CDA">
        <w:rPr>
          <w:rFonts w:eastAsia="TimesNewRoman"/>
          <w:szCs w:val="22"/>
          <w:lang w:val="sr-Latn-ME"/>
        </w:rPr>
        <w:t>utinacije i skup</w:t>
      </w:r>
      <w:r w:rsidR="008B3ED5" w:rsidRPr="004C7CDA">
        <w:rPr>
          <w:rFonts w:eastAsia="TimesNewRoman"/>
          <w:szCs w:val="22"/>
          <w:lang w:val="sr-Latn-ME"/>
        </w:rPr>
        <w:t>l</w:t>
      </w:r>
      <w:r w:rsidRPr="004C7CDA">
        <w:rPr>
          <w:rFonts w:eastAsia="TimesNewRoman"/>
          <w:szCs w:val="22"/>
          <w:lang w:val="sr-Latn-ME"/>
        </w:rPr>
        <w:t>janja</w:t>
      </w:r>
    </w:p>
    <w:p w14:paraId="78F94EAF" w14:textId="36C6B719" w:rsidR="007735C3" w:rsidRPr="004C7CDA" w:rsidRDefault="007735C3" w:rsidP="004C7CDA">
      <w:pPr>
        <w:widowControl w:val="0"/>
        <w:tabs>
          <w:tab w:val="clear" w:pos="284"/>
        </w:tabs>
        <w:autoSpaceDE w:val="0"/>
        <w:autoSpaceDN w:val="0"/>
        <w:adjustRightInd w:val="0"/>
        <w:rPr>
          <w:rFonts w:eastAsia="TimesNewRoman"/>
          <w:szCs w:val="22"/>
          <w:lang w:val="sr-Latn-ME"/>
        </w:rPr>
      </w:pPr>
      <w:r w:rsidRPr="004C7CDA">
        <w:rPr>
          <w:rFonts w:eastAsia="TimesNewRoman"/>
          <w:szCs w:val="22"/>
          <w:lang w:val="sr-Latn-ME"/>
        </w:rPr>
        <w:t>(smežuravanja) će</w:t>
      </w:r>
      <w:r w:rsidR="008B3ED5" w:rsidRPr="004C7CDA">
        <w:rPr>
          <w:rFonts w:eastAsia="TimesNewRoman"/>
          <w:szCs w:val="22"/>
          <w:lang w:val="sr-Latn-ME"/>
        </w:rPr>
        <w:t>l</w:t>
      </w:r>
      <w:r w:rsidRPr="004C7CDA">
        <w:rPr>
          <w:rFonts w:eastAsia="TimesNewRoman"/>
          <w:szCs w:val="22"/>
          <w:lang w:val="sr-Latn-ME"/>
        </w:rPr>
        <w:t>ija krvi.</w:t>
      </w:r>
    </w:p>
    <w:p w14:paraId="684DAA00" w14:textId="77777777" w:rsidR="00D6098F" w:rsidRPr="004C7CDA" w:rsidRDefault="00D6098F" w:rsidP="004C7CDA">
      <w:pPr>
        <w:widowControl w:val="0"/>
        <w:tabs>
          <w:tab w:val="clear" w:pos="284"/>
        </w:tabs>
        <w:autoSpaceDE w:val="0"/>
        <w:autoSpaceDN w:val="0"/>
        <w:adjustRightInd w:val="0"/>
        <w:rPr>
          <w:rFonts w:eastAsia="TimesNewRoman"/>
          <w:szCs w:val="22"/>
          <w:lang w:val="sr-Latn-ME"/>
        </w:rPr>
      </w:pPr>
    </w:p>
    <w:p w14:paraId="06F839D6" w14:textId="2486B1D3" w:rsidR="007735C3" w:rsidRPr="004C7CDA" w:rsidRDefault="007735C3" w:rsidP="004C7CDA">
      <w:pPr>
        <w:widowControl w:val="0"/>
        <w:tabs>
          <w:tab w:val="clear" w:pos="284"/>
        </w:tabs>
        <w:autoSpaceDE w:val="0"/>
        <w:autoSpaceDN w:val="0"/>
        <w:adjustRightInd w:val="0"/>
        <w:rPr>
          <w:rFonts w:eastAsia="TimesNewRoman"/>
          <w:szCs w:val="22"/>
          <w:u w:val="single"/>
          <w:lang w:val="sr-Latn-ME"/>
        </w:rPr>
      </w:pPr>
      <w:r w:rsidRPr="004C7CDA">
        <w:rPr>
          <w:rFonts w:eastAsia="TimesNewRoman"/>
          <w:szCs w:val="22"/>
          <w:u w:val="single"/>
          <w:lang w:val="sr-Latn-ME"/>
        </w:rPr>
        <w:t>Krista</w:t>
      </w:r>
      <w:r w:rsidR="008B3ED5" w:rsidRPr="004C7CDA">
        <w:rPr>
          <w:rFonts w:eastAsia="TimesNewRoman"/>
          <w:szCs w:val="22"/>
          <w:u w:val="single"/>
          <w:lang w:val="sr-Latn-ME"/>
        </w:rPr>
        <w:t>l</w:t>
      </w:r>
      <w:r w:rsidRPr="004C7CDA">
        <w:rPr>
          <w:rFonts w:eastAsia="TimesNewRoman"/>
          <w:szCs w:val="22"/>
          <w:u w:val="single"/>
          <w:lang w:val="sr-Latn-ME"/>
        </w:rPr>
        <w:t>izacija</w:t>
      </w:r>
    </w:p>
    <w:p w14:paraId="5F4EC202" w14:textId="772FC036" w:rsidR="007735C3" w:rsidRPr="004C7CDA" w:rsidRDefault="007735C3" w:rsidP="004C7CDA">
      <w:pPr>
        <w:widowControl w:val="0"/>
        <w:rPr>
          <w:szCs w:val="22"/>
          <w:lang w:val="sr-Latn-ME"/>
        </w:rPr>
      </w:pPr>
      <w:r w:rsidRPr="004C7CDA">
        <w:rPr>
          <w:b/>
          <w:szCs w:val="22"/>
          <w:lang w:val="sr-Latn-ME"/>
        </w:rPr>
        <w:t>Pri iz</w:t>
      </w:r>
      <w:r w:rsidR="008B3ED5" w:rsidRPr="004C7CDA">
        <w:rPr>
          <w:b/>
          <w:szCs w:val="22"/>
          <w:lang w:val="sr-Latn-ME"/>
        </w:rPr>
        <w:t>l</w:t>
      </w:r>
      <w:r w:rsidRPr="004C7CDA">
        <w:rPr>
          <w:b/>
          <w:szCs w:val="22"/>
          <w:lang w:val="sr-Latn-ME"/>
        </w:rPr>
        <w:t>aganju rastvora manito</w:t>
      </w:r>
      <w:r w:rsidR="008B3ED5" w:rsidRPr="004C7CDA">
        <w:rPr>
          <w:b/>
          <w:szCs w:val="22"/>
          <w:lang w:val="sr-Latn-ME"/>
        </w:rPr>
        <w:t>l</w:t>
      </w:r>
      <w:r w:rsidRPr="004C7CDA">
        <w:rPr>
          <w:b/>
          <w:szCs w:val="22"/>
          <w:lang w:val="sr-Latn-ME"/>
        </w:rPr>
        <w:t>a niskim temperaturama, može da dođe do n</w:t>
      </w:r>
      <w:r w:rsidR="0027705F" w:rsidRPr="004C7CDA">
        <w:rPr>
          <w:b/>
          <w:szCs w:val="22"/>
          <w:lang w:val="sr-Latn-ME"/>
        </w:rPr>
        <w:t>jegove</w:t>
      </w:r>
      <w:r w:rsidRPr="004C7CDA">
        <w:rPr>
          <w:b/>
          <w:szCs w:val="22"/>
          <w:lang w:val="sr-Latn-ME"/>
        </w:rPr>
        <w:t xml:space="preserve"> krista</w:t>
      </w:r>
      <w:r w:rsidR="008B3ED5" w:rsidRPr="004C7CDA">
        <w:rPr>
          <w:b/>
          <w:szCs w:val="22"/>
          <w:lang w:val="sr-Latn-ME"/>
        </w:rPr>
        <w:t>l</w:t>
      </w:r>
      <w:r w:rsidRPr="004C7CDA">
        <w:rPr>
          <w:b/>
          <w:szCs w:val="22"/>
          <w:lang w:val="sr-Latn-ME"/>
        </w:rPr>
        <w:t>izacije</w:t>
      </w:r>
      <w:r w:rsidRPr="004C7CDA">
        <w:rPr>
          <w:szCs w:val="22"/>
          <w:lang w:val="sr-Latn-ME"/>
        </w:rPr>
        <w:t xml:space="preserve">. </w:t>
      </w:r>
    </w:p>
    <w:p w14:paraId="6B75B6E4" w14:textId="5609CFBD" w:rsidR="007735C3" w:rsidRPr="004C7CDA" w:rsidRDefault="00DD43EE" w:rsidP="004C7CDA">
      <w:pPr>
        <w:widowControl w:val="0"/>
        <w:tabs>
          <w:tab w:val="clear" w:pos="284"/>
        </w:tabs>
        <w:autoSpaceDE w:val="0"/>
        <w:autoSpaceDN w:val="0"/>
        <w:adjustRightInd w:val="0"/>
        <w:rPr>
          <w:rFonts w:eastAsia="TimesNewRoman"/>
          <w:szCs w:val="22"/>
          <w:lang w:val="sr-Latn-ME"/>
        </w:rPr>
      </w:pPr>
      <w:r w:rsidRPr="004C7CDA">
        <w:rPr>
          <w:rFonts w:eastAsia="TimesNewRoman"/>
          <w:szCs w:val="22"/>
          <w:lang w:val="sr-Latn-ME"/>
        </w:rPr>
        <w:t>Prije primjene, provjeriti da li su prisutni kristali. Ukoliko su kristali vidljivi, potrebno je ponovo izvršiti rastvaranje grijanjem rastvora na 60°C, pri čemu je rastvor potrebno mućkati. Pogledati dio 4.2.</w:t>
      </w:r>
    </w:p>
    <w:p w14:paraId="22D9B9F5" w14:textId="77777777" w:rsidR="00DD43EE" w:rsidRPr="004C7CDA" w:rsidRDefault="00DD43EE" w:rsidP="004C7CDA">
      <w:pPr>
        <w:widowControl w:val="0"/>
        <w:tabs>
          <w:tab w:val="clear" w:pos="284"/>
        </w:tabs>
        <w:autoSpaceDE w:val="0"/>
        <w:autoSpaceDN w:val="0"/>
        <w:adjustRightInd w:val="0"/>
        <w:rPr>
          <w:rFonts w:eastAsia="TimesNewRoman"/>
          <w:szCs w:val="22"/>
          <w:lang w:val="sr-Latn-ME"/>
        </w:rPr>
      </w:pPr>
    </w:p>
    <w:p w14:paraId="1DF645D0" w14:textId="15E1030F" w:rsidR="007735C3" w:rsidRPr="004C7CDA" w:rsidRDefault="007735C3" w:rsidP="004C7CDA">
      <w:pPr>
        <w:widowControl w:val="0"/>
        <w:tabs>
          <w:tab w:val="clear" w:pos="284"/>
        </w:tabs>
        <w:autoSpaceDE w:val="0"/>
        <w:autoSpaceDN w:val="0"/>
        <w:adjustRightInd w:val="0"/>
        <w:rPr>
          <w:rFonts w:eastAsia="TimesNewRoman"/>
          <w:szCs w:val="22"/>
          <w:u w:val="single"/>
          <w:lang w:val="sr-Latn-ME"/>
        </w:rPr>
      </w:pPr>
      <w:r w:rsidRPr="004C7CDA">
        <w:rPr>
          <w:rFonts w:eastAsia="TimesNewRoman"/>
          <w:szCs w:val="22"/>
          <w:u w:val="single"/>
          <w:lang w:val="sr-Latn-ME"/>
        </w:rPr>
        <w:t xml:space="preserve">Interferencije sa </w:t>
      </w:r>
      <w:r w:rsidR="008B3ED5" w:rsidRPr="004C7CDA">
        <w:rPr>
          <w:rFonts w:eastAsia="TimesNewRoman"/>
          <w:szCs w:val="22"/>
          <w:u w:val="single"/>
          <w:lang w:val="sr-Latn-ME"/>
        </w:rPr>
        <w:t>l</w:t>
      </w:r>
      <w:r w:rsidRPr="004C7CDA">
        <w:rPr>
          <w:rFonts w:eastAsia="TimesNewRoman"/>
          <w:szCs w:val="22"/>
          <w:u w:val="single"/>
          <w:lang w:val="sr-Latn-ME"/>
        </w:rPr>
        <w:t>aboratorijskim testovima</w:t>
      </w:r>
    </w:p>
    <w:p w14:paraId="58D17009" w14:textId="35347EC5" w:rsidR="007735C3" w:rsidRPr="004C7CDA" w:rsidRDefault="007735C3" w:rsidP="004C7CDA">
      <w:pPr>
        <w:widowControl w:val="0"/>
        <w:tabs>
          <w:tab w:val="clear" w:pos="284"/>
        </w:tabs>
        <w:autoSpaceDE w:val="0"/>
        <w:autoSpaceDN w:val="0"/>
        <w:adjustRightInd w:val="0"/>
        <w:rPr>
          <w:rFonts w:eastAsia="TimesNewRoman"/>
          <w:szCs w:val="22"/>
          <w:lang w:val="sr-Latn-ME"/>
        </w:rPr>
      </w:pPr>
      <w:r w:rsidRPr="004C7CDA">
        <w:rPr>
          <w:rFonts w:eastAsia="TimesNewRoman"/>
          <w:szCs w:val="22"/>
          <w:lang w:val="sr-Latn-ME"/>
        </w:rPr>
        <w:t>Manito</w:t>
      </w:r>
      <w:r w:rsidR="008B3ED5" w:rsidRPr="004C7CDA">
        <w:rPr>
          <w:rFonts w:eastAsia="TimesNewRoman"/>
          <w:szCs w:val="22"/>
          <w:lang w:val="sr-Latn-ME"/>
        </w:rPr>
        <w:t>l</w:t>
      </w:r>
      <w:r w:rsidRPr="004C7CDA">
        <w:rPr>
          <w:rFonts w:eastAsia="TimesNewRoman"/>
          <w:szCs w:val="22"/>
          <w:lang w:val="sr-Latn-ME"/>
        </w:rPr>
        <w:t xml:space="preserve"> može da prouzrokuje </w:t>
      </w:r>
      <w:r w:rsidR="008B3ED5" w:rsidRPr="004C7CDA">
        <w:rPr>
          <w:rFonts w:eastAsia="TimesNewRoman"/>
          <w:szCs w:val="22"/>
          <w:lang w:val="sr-Latn-ME"/>
        </w:rPr>
        <w:t>l</w:t>
      </w:r>
      <w:r w:rsidRPr="004C7CDA">
        <w:rPr>
          <w:rFonts w:eastAsia="TimesNewRoman"/>
          <w:szCs w:val="22"/>
          <w:lang w:val="sr-Latn-ME"/>
        </w:rPr>
        <w:t>ažno niske rezu</w:t>
      </w:r>
      <w:r w:rsidR="008B3ED5" w:rsidRPr="004C7CDA">
        <w:rPr>
          <w:rFonts w:eastAsia="TimesNewRoman"/>
          <w:szCs w:val="22"/>
          <w:lang w:val="sr-Latn-ME"/>
        </w:rPr>
        <w:t>l</w:t>
      </w:r>
      <w:r w:rsidRPr="004C7CDA">
        <w:rPr>
          <w:rFonts w:eastAsia="TimesNewRoman"/>
          <w:szCs w:val="22"/>
          <w:lang w:val="sr-Latn-ME"/>
        </w:rPr>
        <w:t>tate u nekim sistemima testova za određivanje koncentracije</w:t>
      </w:r>
      <w:r w:rsidR="00537A77" w:rsidRPr="004C7CDA">
        <w:rPr>
          <w:rFonts w:eastAsia="TimesNewRoman"/>
          <w:szCs w:val="22"/>
          <w:lang w:val="sr-Latn-ME"/>
        </w:rPr>
        <w:t xml:space="preserve"> </w:t>
      </w:r>
      <w:r w:rsidRPr="004C7CDA">
        <w:rPr>
          <w:rFonts w:eastAsia="TimesNewRoman"/>
          <w:szCs w:val="22"/>
          <w:lang w:val="sr-Latn-ME"/>
        </w:rPr>
        <w:t>neorganskog fosfora u krvi.</w:t>
      </w:r>
    </w:p>
    <w:p w14:paraId="7A42346E" w14:textId="2778E2A3" w:rsidR="007735C3" w:rsidRPr="004C7CDA" w:rsidRDefault="007735C3" w:rsidP="004C7CDA">
      <w:pPr>
        <w:widowControl w:val="0"/>
        <w:tabs>
          <w:tab w:val="clear" w:pos="284"/>
        </w:tabs>
        <w:autoSpaceDE w:val="0"/>
        <w:autoSpaceDN w:val="0"/>
        <w:adjustRightInd w:val="0"/>
        <w:rPr>
          <w:rFonts w:eastAsia="TimesNewRoman"/>
          <w:szCs w:val="22"/>
          <w:lang w:val="sr-Latn-ME"/>
        </w:rPr>
      </w:pPr>
      <w:r w:rsidRPr="004C7CDA">
        <w:rPr>
          <w:rFonts w:eastAsia="TimesNewRoman"/>
          <w:szCs w:val="22"/>
          <w:lang w:val="sr-Latn-ME"/>
        </w:rPr>
        <w:t>Manito</w:t>
      </w:r>
      <w:r w:rsidR="008B3ED5" w:rsidRPr="004C7CDA">
        <w:rPr>
          <w:rFonts w:eastAsia="TimesNewRoman"/>
          <w:szCs w:val="22"/>
          <w:lang w:val="sr-Latn-ME"/>
        </w:rPr>
        <w:t>l</w:t>
      </w:r>
      <w:r w:rsidRPr="004C7CDA">
        <w:rPr>
          <w:rFonts w:eastAsia="TimesNewRoman"/>
          <w:szCs w:val="22"/>
          <w:lang w:val="sr-Latn-ME"/>
        </w:rPr>
        <w:t xml:space="preserve"> dovodi do </w:t>
      </w:r>
      <w:r w:rsidR="008B3ED5" w:rsidRPr="004C7CDA">
        <w:rPr>
          <w:rFonts w:eastAsia="TimesNewRoman"/>
          <w:szCs w:val="22"/>
          <w:lang w:val="sr-Latn-ME"/>
        </w:rPr>
        <w:t>l</w:t>
      </w:r>
      <w:r w:rsidRPr="004C7CDA">
        <w:rPr>
          <w:rFonts w:eastAsia="TimesNewRoman"/>
          <w:szCs w:val="22"/>
          <w:lang w:val="sr-Latn-ME"/>
        </w:rPr>
        <w:t>ažno pozitivnih rezu</w:t>
      </w:r>
      <w:r w:rsidR="008B3ED5" w:rsidRPr="004C7CDA">
        <w:rPr>
          <w:rFonts w:eastAsia="TimesNewRoman"/>
          <w:szCs w:val="22"/>
          <w:lang w:val="sr-Latn-ME"/>
        </w:rPr>
        <w:t>l</w:t>
      </w:r>
      <w:r w:rsidRPr="004C7CDA">
        <w:rPr>
          <w:rFonts w:eastAsia="TimesNewRoman"/>
          <w:szCs w:val="22"/>
          <w:lang w:val="sr-Latn-ME"/>
        </w:rPr>
        <w:t>tata u testovima za određivanje koncentracije eti</w:t>
      </w:r>
      <w:r w:rsidR="008B3ED5" w:rsidRPr="004C7CDA">
        <w:rPr>
          <w:rFonts w:eastAsia="TimesNewRoman"/>
          <w:szCs w:val="22"/>
          <w:lang w:val="sr-Latn-ME"/>
        </w:rPr>
        <w:t>l</w:t>
      </w:r>
      <w:r w:rsidRPr="004C7CDA">
        <w:rPr>
          <w:rFonts w:eastAsia="TimesNewRoman"/>
          <w:szCs w:val="22"/>
          <w:lang w:val="sr-Latn-ME"/>
        </w:rPr>
        <w:t>eng</w:t>
      </w:r>
      <w:r w:rsidR="008B3ED5" w:rsidRPr="004C7CDA">
        <w:rPr>
          <w:rFonts w:eastAsia="TimesNewRoman"/>
          <w:szCs w:val="22"/>
          <w:lang w:val="sr-Latn-ME"/>
        </w:rPr>
        <w:t>l</w:t>
      </w:r>
      <w:r w:rsidRPr="004C7CDA">
        <w:rPr>
          <w:rFonts w:eastAsia="TimesNewRoman"/>
          <w:szCs w:val="22"/>
          <w:lang w:val="sr-Latn-ME"/>
        </w:rPr>
        <w:t>iko</w:t>
      </w:r>
      <w:r w:rsidR="008B3ED5" w:rsidRPr="004C7CDA">
        <w:rPr>
          <w:rFonts w:eastAsia="TimesNewRoman"/>
          <w:szCs w:val="22"/>
          <w:lang w:val="sr-Latn-ME"/>
        </w:rPr>
        <w:t>l</w:t>
      </w:r>
      <w:r w:rsidRPr="004C7CDA">
        <w:rPr>
          <w:rFonts w:eastAsia="TimesNewRoman"/>
          <w:szCs w:val="22"/>
          <w:lang w:val="sr-Latn-ME"/>
        </w:rPr>
        <w:t>a u krvi,</w:t>
      </w:r>
      <w:r w:rsidR="00537A77" w:rsidRPr="004C7CDA">
        <w:rPr>
          <w:rFonts w:eastAsia="TimesNewRoman"/>
          <w:szCs w:val="22"/>
          <w:lang w:val="sr-Latn-ME"/>
        </w:rPr>
        <w:t xml:space="preserve"> </w:t>
      </w:r>
      <w:r w:rsidRPr="004C7CDA">
        <w:rPr>
          <w:rFonts w:eastAsia="TimesNewRoman"/>
          <w:szCs w:val="22"/>
          <w:lang w:val="sr-Latn-ME"/>
        </w:rPr>
        <w:t>gd</w:t>
      </w:r>
      <w:r w:rsidR="0027705F" w:rsidRPr="004C7CDA">
        <w:rPr>
          <w:rFonts w:eastAsia="TimesNewRoman"/>
          <w:szCs w:val="22"/>
          <w:lang w:val="sr-Latn-ME"/>
        </w:rPr>
        <w:t>j</w:t>
      </w:r>
      <w:r w:rsidRPr="004C7CDA">
        <w:rPr>
          <w:rFonts w:eastAsia="TimesNewRoman"/>
          <w:szCs w:val="22"/>
          <w:lang w:val="sr-Latn-ME"/>
        </w:rPr>
        <w:t>e se manito</w:t>
      </w:r>
      <w:r w:rsidR="008B3ED5" w:rsidRPr="004C7CDA">
        <w:rPr>
          <w:rFonts w:eastAsia="TimesNewRoman"/>
          <w:szCs w:val="22"/>
          <w:lang w:val="sr-Latn-ME"/>
        </w:rPr>
        <w:t>l</w:t>
      </w:r>
      <w:r w:rsidRPr="004C7CDA">
        <w:rPr>
          <w:rFonts w:eastAsia="TimesNewRoman"/>
          <w:szCs w:val="22"/>
          <w:lang w:val="sr-Latn-ME"/>
        </w:rPr>
        <w:t xml:space="preserve"> na početku oksid</w:t>
      </w:r>
      <w:r w:rsidR="0027705F" w:rsidRPr="004C7CDA">
        <w:rPr>
          <w:rFonts w:eastAsia="TimesNewRoman"/>
          <w:szCs w:val="22"/>
          <w:lang w:val="sr-Latn-ME"/>
        </w:rPr>
        <w:t>uje</w:t>
      </w:r>
      <w:r w:rsidRPr="004C7CDA">
        <w:rPr>
          <w:rFonts w:eastAsia="TimesNewRoman"/>
          <w:szCs w:val="22"/>
          <w:lang w:val="sr-Latn-ME"/>
        </w:rPr>
        <w:t xml:space="preserve"> u jedan a</w:t>
      </w:r>
      <w:r w:rsidR="008B3ED5" w:rsidRPr="004C7CDA">
        <w:rPr>
          <w:rFonts w:eastAsia="TimesNewRoman"/>
          <w:szCs w:val="22"/>
          <w:lang w:val="sr-Latn-ME"/>
        </w:rPr>
        <w:t>l</w:t>
      </w:r>
      <w:r w:rsidRPr="004C7CDA">
        <w:rPr>
          <w:rFonts w:eastAsia="TimesNewRoman"/>
          <w:szCs w:val="22"/>
          <w:lang w:val="sr-Latn-ME"/>
        </w:rPr>
        <w:t>dehid.</w:t>
      </w:r>
    </w:p>
    <w:p w14:paraId="58E26375" w14:textId="77777777" w:rsidR="007735C3" w:rsidRPr="004C7CDA" w:rsidRDefault="007735C3" w:rsidP="004C7CDA">
      <w:pPr>
        <w:widowControl w:val="0"/>
        <w:tabs>
          <w:tab w:val="clear" w:pos="284"/>
        </w:tabs>
        <w:rPr>
          <w:rFonts w:eastAsia="TimesNewRoman"/>
          <w:szCs w:val="22"/>
          <w:lang w:val="sr-Latn-ME"/>
        </w:rPr>
      </w:pPr>
    </w:p>
    <w:p w14:paraId="000E7752" w14:textId="6C0E2F38" w:rsidR="007735C3" w:rsidRPr="004C7CDA" w:rsidRDefault="007735C3" w:rsidP="004C7CDA">
      <w:pPr>
        <w:widowControl w:val="0"/>
        <w:tabs>
          <w:tab w:val="clear" w:pos="284"/>
        </w:tabs>
        <w:autoSpaceDE w:val="0"/>
        <w:autoSpaceDN w:val="0"/>
        <w:adjustRightInd w:val="0"/>
        <w:rPr>
          <w:rFonts w:eastAsia="TimesNewRoman"/>
          <w:szCs w:val="22"/>
          <w:u w:val="single"/>
          <w:lang w:val="sr-Latn-ME"/>
        </w:rPr>
      </w:pPr>
      <w:r w:rsidRPr="004C7CDA">
        <w:rPr>
          <w:rFonts w:eastAsia="TimesNewRoman"/>
          <w:szCs w:val="22"/>
          <w:u w:val="single"/>
          <w:lang w:val="sr-Latn-ME"/>
        </w:rPr>
        <w:t>Pedijatrijska popu</w:t>
      </w:r>
      <w:r w:rsidR="008B3ED5" w:rsidRPr="004C7CDA">
        <w:rPr>
          <w:rFonts w:eastAsia="TimesNewRoman"/>
          <w:szCs w:val="22"/>
          <w:u w:val="single"/>
          <w:lang w:val="sr-Latn-ME"/>
        </w:rPr>
        <w:t>l</w:t>
      </w:r>
      <w:r w:rsidRPr="004C7CDA">
        <w:rPr>
          <w:rFonts w:eastAsia="TimesNewRoman"/>
          <w:szCs w:val="22"/>
          <w:u w:val="single"/>
          <w:lang w:val="sr-Latn-ME"/>
        </w:rPr>
        <w:t>acija</w:t>
      </w:r>
    </w:p>
    <w:p w14:paraId="27BC1F3C" w14:textId="76F6F304" w:rsidR="007735C3" w:rsidRPr="004C7CDA" w:rsidRDefault="007735C3" w:rsidP="004C7CDA">
      <w:pPr>
        <w:widowControl w:val="0"/>
        <w:tabs>
          <w:tab w:val="clear" w:pos="284"/>
        </w:tabs>
        <w:autoSpaceDE w:val="0"/>
        <w:autoSpaceDN w:val="0"/>
        <w:adjustRightInd w:val="0"/>
        <w:rPr>
          <w:rFonts w:eastAsia="TimesNewRoman"/>
          <w:szCs w:val="22"/>
          <w:lang w:val="sr-Latn-ME"/>
        </w:rPr>
      </w:pPr>
      <w:r w:rsidRPr="004C7CDA">
        <w:rPr>
          <w:rFonts w:eastAsia="TimesNewRoman"/>
          <w:szCs w:val="22"/>
          <w:lang w:val="sr-Latn-ME"/>
        </w:rPr>
        <w:t>Bezb</w:t>
      </w:r>
      <w:r w:rsidR="002D1CB7" w:rsidRPr="004C7CDA">
        <w:rPr>
          <w:rFonts w:eastAsia="TimesNewRoman"/>
          <w:szCs w:val="22"/>
          <w:lang w:val="sr-Latn-ME"/>
        </w:rPr>
        <w:t>j</w:t>
      </w:r>
      <w:r w:rsidRPr="004C7CDA">
        <w:rPr>
          <w:rFonts w:eastAsia="TimesNewRoman"/>
          <w:szCs w:val="22"/>
          <w:lang w:val="sr-Latn-ME"/>
        </w:rPr>
        <w:t>ednost i efikasnost u pedijatrijskoj popu</w:t>
      </w:r>
      <w:r w:rsidR="008B3ED5" w:rsidRPr="004C7CDA">
        <w:rPr>
          <w:rFonts w:eastAsia="TimesNewRoman"/>
          <w:szCs w:val="22"/>
          <w:lang w:val="sr-Latn-ME"/>
        </w:rPr>
        <w:t>l</w:t>
      </w:r>
      <w:r w:rsidRPr="004C7CDA">
        <w:rPr>
          <w:rFonts w:eastAsia="TimesNewRoman"/>
          <w:szCs w:val="22"/>
          <w:lang w:val="sr-Latn-ME"/>
        </w:rPr>
        <w:t>aciji, ni</w:t>
      </w:r>
      <w:r w:rsidR="0027705F" w:rsidRPr="004C7CDA">
        <w:rPr>
          <w:rFonts w:eastAsia="TimesNewRoman"/>
          <w:szCs w:val="22"/>
          <w:lang w:val="sr-Latn-ME"/>
        </w:rPr>
        <w:t>je</w:t>
      </w:r>
      <w:r w:rsidRPr="004C7CDA">
        <w:rPr>
          <w:rFonts w:eastAsia="TimesNewRoman"/>
          <w:szCs w:val="22"/>
          <w:lang w:val="sr-Latn-ME"/>
        </w:rPr>
        <w:t>su utvrđene u k</w:t>
      </w:r>
      <w:r w:rsidR="008B3ED5" w:rsidRPr="004C7CDA">
        <w:rPr>
          <w:rFonts w:eastAsia="TimesNewRoman"/>
          <w:szCs w:val="22"/>
          <w:lang w:val="sr-Latn-ME"/>
        </w:rPr>
        <w:t>l</w:t>
      </w:r>
      <w:r w:rsidRPr="004C7CDA">
        <w:rPr>
          <w:rFonts w:eastAsia="TimesNewRoman"/>
          <w:szCs w:val="22"/>
          <w:lang w:val="sr-Latn-ME"/>
        </w:rPr>
        <w:t>iničkim ispitivanjima.</w:t>
      </w:r>
    </w:p>
    <w:p w14:paraId="7707190F" w14:textId="77777777" w:rsidR="007735C3" w:rsidRPr="004C7CDA" w:rsidRDefault="007735C3" w:rsidP="004C7CDA">
      <w:pPr>
        <w:widowControl w:val="0"/>
        <w:tabs>
          <w:tab w:val="clear" w:pos="284"/>
        </w:tabs>
        <w:autoSpaceDE w:val="0"/>
        <w:autoSpaceDN w:val="0"/>
        <w:adjustRightInd w:val="0"/>
        <w:rPr>
          <w:rFonts w:eastAsia="TimesNewRoman"/>
          <w:szCs w:val="22"/>
          <w:lang w:val="sr-Latn-ME"/>
        </w:rPr>
      </w:pPr>
    </w:p>
    <w:p w14:paraId="6659539A" w14:textId="77777777" w:rsidR="007735C3" w:rsidRPr="004C7CDA" w:rsidRDefault="007735C3" w:rsidP="004C7CDA">
      <w:pPr>
        <w:widowControl w:val="0"/>
        <w:tabs>
          <w:tab w:val="clear" w:pos="284"/>
        </w:tabs>
        <w:autoSpaceDE w:val="0"/>
        <w:autoSpaceDN w:val="0"/>
        <w:adjustRightInd w:val="0"/>
        <w:rPr>
          <w:rFonts w:eastAsia="TimesNewRoman"/>
          <w:szCs w:val="22"/>
          <w:u w:val="single"/>
          <w:lang w:val="sr-Latn-ME"/>
        </w:rPr>
      </w:pPr>
      <w:r w:rsidRPr="004C7CDA">
        <w:rPr>
          <w:rFonts w:eastAsia="TimesNewRoman"/>
          <w:szCs w:val="22"/>
          <w:u w:val="single"/>
          <w:lang w:val="sr-Latn-ME"/>
        </w:rPr>
        <w:t>Stariji pacijenti</w:t>
      </w:r>
    </w:p>
    <w:p w14:paraId="79CD61E9" w14:textId="335E2719" w:rsidR="007735C3" w:rsidRPr="004C7CDA" w:rsidRDefault="007735C3" w:rsidP="004C7CDA">
      <w:pPr>
        <w:widowControl w:val="0"/>
        <w:tabs>
          <w:tab w:val="clear" w:pos="284"/>
        </w:tabs>
        <w:autoSpaceDE w:val="0"/>
        <w:autoSpaceDN w:val="0"/>
        <w:adjustRightInd w:val="0"/>
        <w:rPr>
          <w:rFonts w:eastAsia="TimesNewRoman"/>
          <w:szCs w:val="22"/>
          <w:lang w:val="sr-Latn-ME"/>
        </w:rPr>
      </w:pPr>
      <w:r w:rsidRPr="004C7CDA">
        <w:rPr>
          <w:rFonts w:eastAsia="TimesNewRoman"/>
          <w:szCs w:val="22"/>
          <w:lang w:val="sr-Latn-ME"/>
        </w:rPr>
        <w:t>Opšta preporuka kod starijih osoba je da treba biti oprezan pri izboru doze, imajući u vidu češću</w:t>
      </w:r>
      <w:r w:rsidR="009F38F9" w:rsidRPr="004C7CDA">
        <w:rPr>
          <w:rFonts w:eastAsia="TimesNewRoman"/>
          <w:szCs w:val="22"/>
          <w:lang w:val="sr-Latn-ME"/>
        </w:rPr>
        <w:t xml:space="preserve"> </w:t>
      </w:r>
      <w:r w:rsidRPr="004C7CDA">
        <w:rPr>
          <w:rFonts w:eastAsia="TimesNewRoman"/>
          <w:szCs w:val="22"/>
          <w:lang w:val="sr-Latn-ME"/>
        </w:rPr>
        <w:t>zastup</w:t>
      </w:r>
      <w:r w:rsidR="008B3ED5" w:rsidRPr="004C7CDA">
        <w:rPr>
          <w:rFonts w:eastAsia="TimesNewRoman"/>
          <w:szCs w:val="22"/>
          <w:lang w:val="sr-Latn-ME"/>
        </w:rPr>
        <w:t>l</w:t>
      </w:r>
      <w:r w:rsidRPr="004C7CDA">
        <w:rPr>
          <w:rFonts w:eastAsia="TimesNewRoman"/>
          <w:szCs w:val="22"/>
          <w:lang w:val="sr-Latn-ME"/>
        </w:rPr>
        <w:t>jenost smanjene funkcije jetre, bubrega i srca, kao i udružene bo</w:t>
      </w:r>
      <w:r w:rsidR="008B3ED5" w:rsidRPr="004C7CDA">
        <w:rPr>
          <w:rFonts w:eastAsia="TimesNewRoman"/>
          <w:szCs w:val="22"/>
          <w:lang w:val="sr-Latn-ME"/>
        </w:rPr>
        <w:t>l</w:t>
      </w:r>
      <w:r w:rsidRPr="004C7CDA">
        <w:rPr>
          <w:rFonts w:eastAsia="TimesNewRoman"/>
          <w:szCs w:val="22"/>
          <w:lang w:val="sr-Latn-ME"/>
        </w:rPr>
        <w:t>esti i</w:t>
      </w:r>
      <w:r w:rsidR="008B3ED5" w:rsidRPr="004C7CDA">
        <w:rPr>
          <w:rFonts w:eastAsia="TimesNewRoman"/>
          <w:szCs w:val="22"/>
          <w:lang w:val="sr-Latn-ME"/>
        </w:rPr>
        <w:t>l</w:t>
      </w:r>
      <w:r w:rsidRPr="004C7CDA">
        <w:rPr>
          <w:rFonts w:eastAsia="TimesNewRoman"/>
          <w:szCs w:val="22"/>
          <w:lang w:val="sr-Latn-ME"/>
        </w:rPr>
        <w:t xml:space="preserve">i terapiju drugim </w:t>
      </w:r>
      <w:r w:rsidR="008B3ED5" w:rsidRPr="004C7CDA">
        <w:rPr>
          <w:rFonts w:eastAsia="TimesNewRoman"/>
          <w:szCs w:val="22"/>
          <w:lang w:val="sr-Latn-ME"/>
        </w:rPr>
        <w:t>l</w:t>
      </w:r>
      <w:r w:rsidR="002D1CB7" w:rsidRPr="004C7CDA">
        <w:rPr>
          <w:rFonts w:eastAsia="TimesNewRoman"/>
          <w:szCs w:val="22"/>
          <w:lang w:val="sr-Latn-ME"/>
        </w:rPr>
        <w:t>j</w:t>
      </w:r>
      <w:r w:rsidRPr="004C7CDA">
        <w:rPr>
          <w:rFonts w:eastAsia="TimesNewRoman"/>
          <w:szCs w:val="22"/>
          <w:lang w:val="sr-Latn-ME"/>
        </w:rPr>
        <w:t>ekovima.</w:t>
      </w:r>
    </w:p>
    <w:p w14:paraId="7554E3C3" w14:textId="77777777" w:rsidR="00CE09F3" w:rsidRPr="004C7CDA" w:rsidRDefault="00CE09F3" w:rsidP="004C7CDA">
      <w:pPr>
        <w:widowControl w:val="0"/>
        <w:rPr>
          <w:szCs w:val="22"/>
          <w:lang w:val="sr-Latn-ME"/>
        </w:rPr>
      </w:pPr>
    </w:p>
    <w:p w14:paraId="54B2B00B" w14:textId="58735B6A" w:rsidR="00CE09F3" w:rsidRPr="004C7CDA" w:rsidRDefault="00CE09F3" w:rsidP="004C7CDA">
      <w:pPr>
        <w:widowControl w:val="0"/>
        <w:rPr>
          <w:b/>
          <w:bCs/>
          <w:szCs w:val="22"/>
          <w:lang w:val="sr-Latn-ME"/>
        </w:rPr>
      </w:pPr>
      <w:r w:rsidRPr="004C7CDA">
        <w:rPr>
          <w:b/>
          <w:bCs/>
          <w:szCs w:val="22"/>
          <w:lang w:val="sr-Latn-ME"/>
        </w:rPr>
        <w:t xml:space="preserve">4.5. Interakcije sa drugim </w:t>
      </w:r>
      <w:r w:rsidR="008B3ED5" w:rsidRPr="004C7CDA">
        <w:rPr>
          <w:b/>
          <w:bCs/>
          <w:szCs w:val="22"/>
          <w:lang w:val="sr-Latn-ME"/>
        </w:rPr>
        <w:t>l</w:t>
      </w:r>
      <w:r w:rsidR="00017136" w:rsidRPr="004C7CDA">
        <w:rPr>
          <w:b/>
          <w:bCs/>
          <w:szCs w:val="22"/>
          <w:lang w:val="sr-Latn-ME"/>
        </w:rPr>
        <w:t>j</w:t>
      </w:r>
      <w:r w:rsidRPr="004C7CDA">
        <w:rPr>
          <w:b/>
          <w:bCs/>
          <w:szCs w:val="22"/>
          <w:lang w:val="sr-Latn-ME"/>
        </w:rPr>
        <w:t>ekovima i druge vrste interakcija</w:t>
      </w:r>
    </w:p>
    <w:p w14:paraId="661867BE" w14:textId="77777777" w:rsidR="00C307B8" w:rsidRPr="004C7CDA" w:rsidRDefault="00C307B8" w:rsidP="004C7CDA">
      <w:pPr>
        <w:widowControl w:val="0"/>
        <w:rPr>
          <w:b/>
          <w:bCs/>
          <w:szCs w:val="22"/>
          <w:lang w:val="sr-Latn-ME"/>
        </w:rPr>
      </w:pPr>
    </w:p>
    <w:p w14:paraId="03793248" w14:textId="77777777" w:rsidR="006B3FFB" w:rsidRPr="004C7CDA" w:rsidRDefault="006B3FFB" w:rsidP="004C7CDA">
      <w:pPr>
        <w:widowControl w:val="0"/>
        <w:rPr>
          <w:szCs w:val="22"/>
          <w:u w:val="single"/>
          <w:lang w:val="sr-Latn-ME"/>
        </w:rPr>
      </w:pPr>
      <w:r w:rsidRPr="004C7CDA">
        <w:rPr>
          <w:szCs w:val="22"/>
          <w:u w:val="single"/>
          <w:lang w:val="sr-Latn-ME"/>
        </w:rPr>
        <w:t>Pojačavanje dejstva</w:t>
      </w:r>
    </w:p>
    <w:p w14:paraId="71C95DF6" w14:textId="39621072" w:rsidR="006B3FFB" w:rsidRPr="004C7CDA" w:rsidRDefault="006B3FFB" w:rsidP="004C7CDA">
      <w:pPr>
        <w:widowControl w:val="0"/>
        <w:rPr>
          <w:szCs w:val="22"/>
          <w:lang w:val="sr-Latn-ME"/>
        </w:rPr>
      </w:pPr>
      <w:r w:rsidRPr="004C7CDA">
        <w:rPr>
          <w:szCs w:val="22"/>
          <w:lang w:val="sr-Latn-ME"/>
        </w:rPr>
        <w:t>Istovremena prim</w:t>
      </w:r>
      <w:r w:rsidR="00F93051" w:rsidRPr="004C7CDA">
        <w:rPr>
          <w:szCs w:val="22"/>
          <w:lang w:val="sr-Latn-ME"/>
        </w:rPr>
        <w:t>j</w:t>
      </w:r>
      <w:r w:rsidRPr="004C7CDA">
        <w:rPr>
          <w:szCs w:val="22"/>
          <w:lang w:val="sr-Latn-ME"/>
        </w:rPr>
        <w:t>ena manito</w:t>
      </w:r>
      <w:r w:rsidR="008B3ED5" w:rsidRPr="004C7CDA">
        <w:rPr>
          <w:szCs w:val="22"/>
          <w:lang w:val="sr-Latn-ME"/>
        </w:rPr>
        <w:t>l</w:t>
      </w:r>
      <w:r w:rsidRPr="004C7CDA">
        <w:rPr>
          <w:szCs w:val="22"/>
          <w:lang w:val="sr-Latn-ME"/>
        </w:rPr>
        <w:t>a sa drugim diureticima može da pojača njegovo dejstvo, pri čemu može biti potrebno podešavanje doze.</w:t>
      </w:r>
      <w:r w:rsidR="00660A8E" w:rsidRPr="004C7CDA">
        <w:rPr>
          <w:szCs w:val="22"/>
          <w:lang w:val="sr-Latn-ME"/>
        </w:rPr>
        <w:t xml:space="preserve"> </w:t>
      </w:r>
    </w:p>
    <w:p w14:paraId="55268E5E" w14:textId="77777777" w:rsidR="006B3FFB" w:rsidRPr="004C7CDA" w:rsidRDefault="006B3FFB" w:rsidP="004C7CDA">
      <w:pPr>
        <w:widowControl w:val="0"/>
        <w:rPr>
          <w:b/>
          <w:szCs w:val="22"/>
          <w:lang w:val="sr-Latn-ME"/>
        </w:rPr>
      </w:pPr>
    </w:p>
    <w:p w14:paraId="43308A7C" w14:textId="77777777" w:rsidR="006B3FFB" w:rsidRPr="004C7CDA" w:rsidRDefault="006B3FFB" w:rsidP="004C7CDA">
      <w:pPr>
        <w:widowControl w:val="0"/>
        <w:rPr>
          <w:szCs w:val="22"/>
          <w:u w:val="single"/>
          <w:lang w:val="sr-Latn-ME"/>
        </w:rPr>
      </w:pPr>
      <w:r w:rsidRPr="004C7CDA">
        <w:rPr>
          <w:szCs w:val="22"/>
          <w:u w:val="single"/>
          <w:lang w:val="sr-Latn-ME"/>
        </w:rPr>
        <w:t>Inhibicija dejstva</w:t>
      </w:r>
    </w:p>
    <w:p w14:paraId="2B1D5AF6" w14:textId="4459B97B" w:rsidR="006B3FFB" w:rsidRPr="004C7CDA" w:rsidRDefault="006B3FFB" w:rsidP="004C7CDA">
      <w:pPr>
        <w:widowControl w:val="0"/>
        <w:rPr>
          <w:szCs w:val="22"/>
          <w:lang w:val="sr-Latn-ME"/>
        </w:rPr>
      </w:pPr>
      <w:r w:rsidRPr="004C7CDA">
        <w:rPr>
          <w:szCs w:val="22"/>
          <w:lang w:val="sr-Latn-ME"/>
        </w:rPr>
        <w:t>Manito</w:t>
      </w:r>
      <w:r w:rsidR="008B3ED5" w:rsidRPr="004C7CDA">
        <w:rPr>
          <w:szCs w:val="22"/>
          <w:lang w:val="sr-Latn-ME"/>
        </w:rPr>
        <w:t>l</w:t>
      </w:r>
      <w:r w:rsidRPr="004C7CDA">
        <w:rPr>
          <w:szCs w:val="22"/>
          <w:lang w:val="sr-Latn-ME"/>
        </w:rPr>
        <w:t xml:space="preserve"> povećava protok urina, što prvenstveno utiče na </w:t>
      </w:r>
      <w:r w:rsidR="008B3ED5" w:rsidRPr="004C7CDA">
        <w:rPr>
          <w:szCs w:val="22"/>
          <w:lang w:val="sr-Latn-ME"/>
        </w:rPr>
        <w:t>l</w:t>
      </w:r>
      <w:r w:rsidR="00EF28C7" w:rsidRPr="004C7CDA">
        <w:rPr>
          <w:szCs w:val="22"/>
          <w:lang w:val="sr-Latn-ME"/>
        </w:rPr>
        <w:t>j</w:t>
      </w:r>
      <w:r w:rsidRPr="004C7CDA">
        <w:rPr>
          <w:szCs w:val="22"/>
          <w:lang w:val="sr-Latn-ME"/>
        </w:rPr>
        <w:t>ekove koji u većoj m</w:t>
      </w:r>
      <w:r w:rsidR="008B3ED5" w:rsidRPr="004C7CDA">
        <w:rPr>
          <w:szCs w:val="22"/>
          <w:lang w:val="sr-Latn-ME"/>
        </w:rPr>
        <w:t>j</w:t>
      </w:r>
      <w:r w:rsidRPr="004C7CDA">
        <w:rPr>
          <w:szCs w:val="22"/>
          <w:lang w:val="sr-Latn-ME"/>
        </w:rPr>
        <w:t>eri pod</w:t>
      </w:r>
      <w:r w:rsidR="008B3ED5" w:rsidRPr="004C7CDA">
        <w:rPr>
          <w:szCs w:val="22"/>
          <w:lang w:val="sr-Latn-ME"/>
        </w:rPr>
        <w:t>l</w:t>
      </w:r>
      <w:r w:rsidR="0027705F" w:rsidRPr="004C7CDA">
        <w:rPr>
          <w:szCs w:val="22"/>
          <w:lang w:val="sr-Latn-ME"/>
        </w:rPr>
        <w:t>ij</w:t>
      </w:r>
      <w:r w:rsidRPr="004C7CDA">
        <w:rPr>
          <w:szCs w:val="22"/>
          <w:lang w:val="sr-Latn-ME"/>
        </w:rPr>
        <w:t>ežu rena</w:t>
      </w:r>
      <w:r w:rsidR="008B3ED5" w:rsidRPr="004C7CDA">
        <w:rPr>
          <w:szCs w:val="22"/>
          <w:lang w:val="sr-Latn-ME"/>
        </w:rPr>
        <w:t>l</w:t>
      </w:r>
      <w:r w:rsidRPr="004C7CDA">
        <w:rPr>
          <w:szCs w:val="22"/>
          <w:lang w:val="sr-Latn-ME"/>
        </w:rPr>
        <w:t>noj reapsorpciji. Na taj način manito</w:t>
      </w:r>
      <w:r w:rsidR="008B3ED5" w:rsidRPr="004C7CDA">
        <w:rPr>
          <w:szCs w:val="22"/>
          <w:lang w:val="sr-Latn-ME"/>
        </w:rPr>
        <w:t>l</w:t>
      </w:r>
      <w:r w:rsidRPr="004C7CDA">
        <w:rPr>
          <w:szCs w:val="22"/>
          <w:lang w:val="sr-Latn-ME"/>
        </w:rPr>
        <w:t xml:space="preserve"> povećava k</w:t>
      </w:r>
      <w:r w:rsidR="008B3ED5" w:rsidRPr="004C7CDA">
        <w:rPr>
          <w:szCs w:val="22"/>
          <w:lang w:val="sr-Latn-ME"/>
        </w:rPr>
        <w:t>l</w:t>
      </w:r>
      <w:r w:rsidRPr="004C7CDA">
        <w:rPr>
          <w:szCs w:val="22"/>
          <w:lang w:val="sr-Latn-ME"/>
        </w:rPr>
        <w:t xml:space="preserve">irens ovih </w:t>
      </w:r>
      <w:r w:rsidR="008B3ED5" w:rsidRPr="004C7CDA">
        <w:rPr>
          <w:szCs w:val="22"/>
          <w:lang w:val="sr-Latn-ME"/>
        </w:rPr>
        <w:t>l</w:t>
      </w:r>
      <w:r w:rsidR="00EF28C7" w:rsidRPr="004C7CDA">
        <w:rPr>
          <w:szCs w:val="22"/>
          <w:lang w:val="sr-Latn-ME"/>
        </w:rPr>
        <w:t>j</w:t>
      </w:r>
      <w:r w:rsidRPr="004C7CDA">
        <w:rPr>
          <w:szCs w:val="22"/>
          <w:lang w:val="sr-Latn-ME"/>
        </w:rPr>
        <w:t>ekova i smanjuje iz</w:t>
      </w:r>
      <w:r w:rsidR="008B3ED5" w:rsidRPr="004C7CDA">
        <w:rPr>
          <w:szCs w:val="22"/>
          <w:lang w:val="sr-Latn-ME"/>
        </w:rPr>
        <w:t>l</w:t>
      </w:r>
      <w:r w:rsidRPr="004C7CDA">
        <w:rPr>
          <w:szCs w:val="22"/>
          <w:lang w:val="sr-Latn-ME"/>
        </w:rPr>
        <w:t xml:space="preserve">oženost oraganizma njihovom dejstvu. </w:t>
      </w:r>
    </w:p>
    <w:p w14:paraId="20374DB6" w14:textId="77777777" w:rsidR="006B3FFB" w:rsidRPr="004C7CDA" w:rsidRDefault="006B3FFB" w:rsidP="004C7CDA">
      <w:pPr>
        <w:widowControl w:val="0"/>
        <w:rPr>
          <w:szCs w:val="22"/>
          <w:lang w:val="sr-Latn-ME"/>
        </w:rPr>
      </w:pPr>
    </w:p>
    <w:p w14:paraId="7A9B7A9C" w14:textId="7D4F581A" w:rsidR="006B3FFB" w:rsidRPr="004C7CDA" w:rsidRDefault="006B3FFB" w:rsidP="004C7CDA">
      <w:pPr>
        <w:widowControl w:val="0"/>
        <w:rPr>
          <w:szCs w:val="22"/>
          <w:lang w:val="sr-Latn-ME"/>
        </w:rPr>
      </w:pPr>
      <w:r w:rsidRPr="004C7CDA">
        <w:rPr>
          <w:szCs w:val="22"/>
          <w:lang w:val="sr-Latn-ME"/>
        </w:rPr>
        <w:lastRenderedPageBreak/>
        <w:t>Manito</w:t>
      </w:r>
      <w:r w:rsidR="008B3ED5" w:rsidRPr="004C7CDA">
        <w:rPr>
          <w:szCs w:val="22"/>
          <w:lang w:val="sr-Latn-ME"/>
        </w:rPr>
        <w:t>l</w:t>
      </w:r>
      <w:r w:rsidRPr="004C7CDA">
        <w:rPr>
          <w:szCs w:val="22"/>
          <w:lang w:val="sr-Latn-ME"/>
        </w:rPr>
        <w:t xml:space="preserve"> povećava rena</w:t>
      </w:r>
      <w:r w:rsidR="008B3ED5" w:rsidRPr="004C7CDA">
        <w:rPr>
          <w:szCs w:val="22"/>
          <w:lang w:val="sr-Latn-ME"/>
        </w:rPr>
        <w:t>l</w:t>
      </w:r>
      <w:r w:rsidRPr="004C7CDA">
        <w:rPr>
          <w:szCs w:val="22"/>
          <w:lang w:val="sr-Latn-ME"/>
        </w:rPr>
        <w:t>nu e</w:t>
      </w:r>
      <w:r w:rsidR="008B3ED5" w:rsidRPr="004C7CDA">
        <w:rPr>
          <w:szCs w:val="22"/>
          <w:lang w:val="sr-Latn-ME"/>
        </w:rPr>
        <w:t>l</w:t>
      </w:r>
      <w:r w:rsidRPr="004C7CDA">
        <w:rPr>
          <w:szCs w:val="22"/>
          <w:lang w:val="sr-Latn-ME"/>
        </w:rPr>
        <w:t xml:space="preserve">iminaciju </w:t>
      </w:r>
      <w:r w:rsidR="008B3ED5" w:rsidRPr="004C7CDA">
        <w:rPr>
          <w:szCs w:val="22"/>
          <w:lang w:val="sr-Latn-ME"/>
        </w:rPr>
        <w:t>l</w:t>
      </w:r>
      <w:r w:rsidRPr="004C7CDA">
        <w:rPr>
          <w:szCs w:val="22"/>
          <w:lang w:val="sr-Latn-ME"/>
        </w:rPr>
        <w:t>itijuma pa istovremena prim</w:t>
      </w:r>
      <w:r w:rsidR="00F93051" w:rsidRPr="004C7CDA">
        <w:rPr>
          <w:szCs w:val="22"/>
          <w:lang w:val="sr-Latn-ME"/>
        </w:rPr>
        <w:t>j</w:t>
      </w:r>
      <w:r w:rsidRPr="004C7CDA">
        <w:rPr>
          <w:szCs w:val="22"/>
          <w:lang w:val="sr-Latn-ME"/>
        </w:rPr>
        <w:t xml:space="preserve">ena ova dva </w:t>
      </w:r>
      <w:r w:rsidR="008B3ED5" w:rsidRPr="004C7CDA">
        <w:rPr>
          <w:szCs w:val="22"/>
          <w:lang w:val="sr-Latn-ME"/>
        </w:rPr>
        <w:t>l</w:t>
      </w:r>
      <w:r w:rsidR="00F93051" w:rsidRPr="004C7CDA">
        <w:rPr>
          <w:szCs w:val="22"/>
          <w:lang w:val="sr-Latn-ME"/>
        </w:rPr>
        <w:t>ij</w:t>
      </w:r>
      <w:r w:rsidRPr="004C7CDA">
        <w:rPr>
          <w:szCs w:val="22"/>
          <w:lang w:val="sr-Latn-ME"/>
        </w:rPr>
        <w:t>eka</w:t>
      </w:r>
      <w:r w:rsidR="00660A8E" w:rsidRPr="004C7CDA">
        <w:rPr>
          <w:szCs w:val="22"/>
          <w:lang w:val="sr-Latn-ME"/>
        </w:rPr>
        <w:t xml:space="preserve"> </w:t>
      </w:r>
      <w:r w:rsidRPr="004C7CDA">
        <w:rPr>
          <w:szCs w:val="22"/>
          <w:lang w:val="sr-Latn-ME"/>
        </w:rPr>
        <w:t xml:space="preserve">može da umanji terapijski odgovor na </w:t>
      </w:r>
      <w:r w:rsidR="008B3ED5" w:rsidRPr="004C7CDA">
        <w:rPr>
          <w:szCs w:val="22"/>
          <w:lang w:val="sr-Latn-ME"/>
        </w:rPr>
        <w:t>l</w:t>
      </w:r>
      <w:r w:rsidRPr="004C7CDA">
        <w:rPr>
          <w:szCs w:val="22"/>
          <w:lang w:val="sr-Latn-ME"/>
        </w:rPr>
        <w:t xml:space="preserve">itijum. </w:t>
      </w:r>
    </w:p>
    <w:p w14:paraId="767BFADB" w14:textId="77777777" w:rsidR="00237B8B" w:rsidRPr="004C7CDA" w:rsidRDefault="00237B8B" w:rsidP="004C7CDA">
      <w:pPr>
        <w:widowControl w:val="0"/>
        <w:rPr>
          <w:szCs w:val="22"/>
          <w:u w:val="single"/>
          <w:lang w:val="sr-Latn-ME"/>
        </w:rPr>
      </w:pPr>
    </w:p>
    <w:p w14:paraId="39BBB739" w14:textId="4ED5ADDE" w:rsidR="006B3FFB" w:rsidRPr="004C7CDA" w:rsidRDefault="006B3FFB" w:rsidP="004C7CDA">
      <w:pPr>
        <w:widowControl w:val="0"/>
        <w:rPr>
          <w:szCs w:val="22"/>
          <w:u w:val="single"/>
          <w:lang w:val="sr-Latn-ME"/>
        </w:rPr>
      </w:pPr>
      <w:r w:rsidRPr="004C7CDA">
        <w:rPr>
          <w:szCs w:val="22"/>
          <w:u w:val="single"/>
          <w:lang w:val="sr-Latn-ME"/>
        </w:rPr>
        <w:t xml:space="preserve">Nefrotoksičnost </w:t>
      </w:r>
      <w:r w:rsidR="008B3ED5" w:rsidRPr="004C7CDA">
        <w:rPr>
          <w:szCs w:val="22"/>
          <w:u w:val="single"/>
          <w:lang w:val="sr-Latn-ME"/>
        </w:rPr>
        <w:t>l</w:t>
      </w:r>
      <w:r w:rsidR="00EF28C7" w:rsidRPr="004C7CDA">
        <w:rPr>
          <w:szCs w:val="22"/>
          <w:u w:val="single"/>
          <w:lang w:val="sr-Latn-ME"/>
        </w:rPr>
        <w:t>j</w:t>
      </w:r>
      <w:r w:rsidRPr="004C7CDA">
        <w:rPr>
          <w:szCs w:val="22"/>
          <w:u w:val="single"/>
          <w:lang w:val="sr-Latn-ME"/>
        </w:rPr>
        <w:t>ekova us</w:t>
      </w:r>
      <w:r w:rsidR="008B3ED5" w:rsidRPr="004C7CDA">
        <w:rPr>
          <w:szCs w:val="22"/>
          <w:u w:val="single"/>
          <w:lang w:val="sr-Latn-ME"/>
        </w:rPr>
        <w:t>l</w:t>
      </w:r>
      <w:r w:rsidR="00965575" w:rsidRPr="004C7CDA">
        <w:rPr>
          <w:szCs w:val="22"/>
          <w:u w:val="single"/>
          <w:lang w:val="sr-Latn-ME"/>
        </w:rPr>
        <w:t>j</w:t>
      </w:r>
      <w:r w:rsidRPr="004C7CDA">
        <w:rPr>
          <w:szCs w:val="22"/>
          <w:u w:val="single"/>
          <w:lang w:val="sr-Latn-ME"/>
        </w:rPr>
        <w:t>ed disba</w:t>
      </w:r>
      <w:r w:rsidR="008B3ED5" w:rsidRPr="004C7CDA">
        <w:rPr>
          <w:szCs w:val="22"/>
          <w:u w:val="single"/>
          <w:lang w:val="sr-Latn-ME"/>
        </w:rPr>
        <w:t>l</w:t>
      </w:r>
      <w:r w:rsidRPr="004C7CDA">
        <w:rPr>
          <w:szCs w:val="22"/>
          <w:u w:val="single"/>
          <w:lang w:val="sr-Latn-ME"/>
        </w:rPr>
        <w:t>ansa tečnosti povezanog sa prim</w:t>
      </w:r>
      <w:r w:rsidR="00F93051" w:rsidRPr="004C7CDA">
        <w:rPr>
          <w:szCs w:val="22"/>
          <w:u w:val="single"/>
          <w:lang w:val="sr-Latn-ME"/>
        </w:rPr>
        <w:t>j</w:t>
      </w:r>
      <w:r w:rsidRPr="004C7CDA">
        <w:rPr>
          <w:szCs w:val="22"/>
          <w:u w:val="single"/>
          <w:lang w:val="sr-Latn-ME"/>
        </w:rPr>
        <w:t>enom manito</w:t>
      </w:r>
      <w:r w:rsidR="008B3ED5" w:rsidRPr="004C7CDA">
        <w:rPr>
          <w:szCs w:val="22"/>
          <w:u w:val="single"/>
          <w:lang w:val="sr-Latn-ME"/>
        </w:rPr>
        <w:t>l</w:t>
      </w:r>
      <w:r w:rsidRPr="004C7CDA">
        <w:rPr>
          <w:szCs w:val="22"/>
          <w:u w:val="single"/>
          <w:lang w:val="sr-Latn-ME"/>
        </w:rPr>
        <w:t>a</w:t>
      </w:r>
    </w:p>
    <w:p w14:paraId="0E5A3C48" w14:textId="379E6881" w:rsidR="006B3FFB" w:rsidRPr="004C7CDA" w:rsidRDefault="006B3FFB" w:rsidP="004C7CDA">
      <w:pPr>
        <w:widowControl w:val="0"/>
        <w:rPr>
          <w:szCs w:val="22"/>
          <w:lang w:val="sr-Latn-ME"/>
        </w:rPr>
      </w:pPr>
      <w:r w:rsidRPr="004C7CDA">
        <w:rPr>
          <w:szCs w:val="22"/>
          <w:lang w:val="sr-Latn-ME"/>
        </w:rPr>
        <w:t xml:space="preserve">Iako se kod </w:t>
      </w:r>
      <w:r w:rsidR="008B3ED5" w:rsidRPr="004C7CDA">
        <w:rPr>
          <w:szCs w:val="22"/>
          <w:lang w:val="sr-Latn-ME"/>
        </w:rPr>
        <w:t>l</w:t>
      </w:r>
      <w:r w:rsidRPr="004C7CDA">
        <w:rPr>
          <w:szCs w:val="22"/>
          <w:lang w:val="sr-Latn-ME"/>
        </w:rPr>
        <w:t>judi ne očekuje pojava takve interakcije, pacijente koji uz manito</w:t>
      </w:r>
      <w:r w:rsidR="008B3ED5" w:rsidRPr="004C7CDA">
        <w:rPr>
          <w:szCs w:val="22"/>
          <w:lang w:val="sr-Latn-ME"/>
        </w:rPr>
        <w:t>l</w:t>
      </w:r>
      <w:r w:rsidRPr="004C7CDA">
        <w:rPr>
          <w:szCs w:val="22"/>
          <w:lang w:val="sr-Latn-ME"/>
        </w:rPr>
        <w:t xml:space="preserve"> primaju cik</w:t>
      </w:r>
      <w:r w:rsidR="008B3ED5" w:rsidRPr="004C7CDA">
        <w:rPr>
          <w:szCs w:val="22"/>
          <w:lang w:val="sr-Latn-ME"/>
        </w:rPr>
        <w:t>l</w:t>
      </w:r>
      <w:r w:rsidRPr="004C7CDA">
        <w:rPr>
          <w:szCs w:val="22"/>
          <w:lang w:val="sr-Latn-ME"/>
        </w:rPr>
        <w:t>osporin i aminog</w:t>
      </w:r>
      <w:r w:rsidR="008B3ED5" w:rsidRPr="004C7CDA">
        <w:rPr>
          <w:szCs w:val="22"/>
          <w:lang w:val="sr-Latn-ME"/>
        </w:rPr>
        <w:t>l</w:t>
      </w:r>
      <w:r w:rsidRPr="004C7CDA">
        <w:rPr>
          <w:szCs w:val="22"/>
          <w:lang w:val="sr-Latn-ME"/>
        </w:rPr>
        <w:t>ikozide, treba paž</w:t>
      </w:r>
      <w:r w:rsidR="008B3ED5" w:rsidRPr="004C7CDA">
        <w:rPr>
          <w:szCs w:val="22"/>
          <w:lang w:val="sr-Latn-ME"/>
        </w:rPr>
        <w:t>l</w:t>
      </w:r>
      <w:r w:rsidRPr="004C7CDA">
        <w:rPr>
          <w:szCs w:val="22"/>
          <w:lang w:val="sr-Latn-ME"/>
        </w:rPr>
        <w:t xml:space="preserve">jivo pratiti na pojavu znakova nefrotoksičnosti. </w:t>
      </w:r>
    </w:p>
    <w:p w14:paraId="36C74FA1" w14:textId="77777777" w:rsidR="006B3FFB" w:rsidRPr="004C7CDA" w:rsidRDefault="006B3FFB" w:rsidP="004C7CDA">
      <w:pPr>
        <w:widowControl w:val="0"/>
        <w:rPr>
          <w:szCs w:val="22"/>
          <w:lang w:val="sr-Latn-ME"/>
        </w:rPr>
      </w:pPr>
    </w:p>
    <w:p w14:paraId="1746932E" w14:textId="71E593CB" w:rsidR="006B3FFB" w:rsidRPr="004C7CDA" w:rsidRDefault="006B3FFB" w:rsidP="004C7CDA">
      <w:pPr>
        <w:widowControl w:val="0"/>
        <w:rPr>
          <w:szCs w:val="22"/>
          <w:u w:val="single"/>
          <w:lang w:val="sr-Latn-ME"/>
        </w:rPr>
      </w:pPr>
      <w:r w:rsidRPr="004C7CDA">
        <w:rPr>
          <w:szCs w:val="22"/>
          <w:u w:val="single"/>
          <w:lang w:val="sr-Latn-ME"/>
        </w:rPr>
        <w:t xml:space="preserve">Neurotoksični </w:t>
      </w:r>
      <w:r w:rsidR="008B3ED5" w:rsidRPr="004C7CDA">
        <w:rPr>
          <w:szCs w:val="22"/>
          <w:u w:val="single"/>
          <w:lang w:val="sr-Latn-ME"/>
        </w:rPr>
        <w:t>l</w:t>
      </w:r>
      <w:r w:rsidR="00EF28C7" w:rsidRPr="004C7CDA">
        <w:rPr>
          <w:szCs w:val="22"/>
          <w:u w:val="single"/>
          <w:lang w:val="sr-Latn-ME"/>
        </w:rPr>
        <w:t>j</w:t>
      </w:r>
      <w:r w:rsidRPr="004C7CDA">
        <w:rPr>
          <w:szCs w:val="22"/>
          <w:u w:val="single"/>
          <w:lang w:val="sr-Latn-ME"/>
        </w:rPr>
        <w:t>ekovi</w:t>
      </w:r>
    </w:p>
    <w:p w14:paraId="69F74BFC" w14:textId="3E691BA7" w:rsidR="006B3FFB" w:rsidRPr="004C7CDA" w:rsidRDefault="006B3FFB" w:rsidP="004C7CDA">
      <w:pPr>
        <w:widowControl w:val="0"/>
        <w:rPr>
          <w:szCs w:val="22"/>
          <w:lang w:val="sr-Latn-ME"/>
        </w:rPr>
      </w:pPr>
      <w:r w:rsidRPr="004C7CDA">
        <w:rPr>
          <w:szCs w:val="22"/>
          <w:lang w:val="sr-Latn-ME"/>
        </w:rPr>
        <w:t>Istovremena prim</w:t>
      </w:r>
      <w:r w:rsidR="00EF28C7" w:rsidRPr="004C7CDA">
        <w:rPr>
          <w:szCs w:val="22"/>
          <w:lang w:val="sr-Latn-ME"/>
        </w:rPr>
        <w:t>j</w:t>
      </w:r>
      <w:r w:rsidRPr="004C7CDA">
        <w:rPr>
          <w:szCs w:val="22"/>
          <w:lang w:val="sr-Latn-ME"/>
        </w:rPr>
        <w:t xml:space="preserve">ena neurotoksičnih </w:t>
      </w:r>
      <w:r w:rsidR="008B3ED5" w:rsidRPr="004C7CDA">
        <w:rPr>
          <w:szCs w:val="22"/>
          <w:lang w:val="sr-Latn-ME"/>
        </w:rPr>
        <w:t>l</w:t>
      </w:r>
      <w:r w:rsidR="00EF28C7" w:rsidRPr="004C7CDA">
        <w:rPr>
          <w:szCs w:val="22"/>
          <w:lang w:val="sr-Latn-ME"/>
        </w:rPr>
        <w:t>j</w:t>
      </w:r>
      <w:r w:rsidRPr="004C7CDA">
        <w:rPr>
          <w:szCs w:val="22"/>
          <w:lang w:val="sr-Latn-ME"/>
        </w:rPr>
        <w:t>ekova (npr. aminog</w:t>
      </w:r>
      <w:r w:rsidR="008B3ED5" w:rsidRPr="004C7CDA">
        <w:rPr>
          <w:szCs w:val="22"/>
          <w:lang w:val="sr-Latn-ME"/>
        </w:rPr>
        <w:t>l</w:t>
      </w:r>
      <w:r w:rsidRPr="004C7CDA">
        <w:rPr>
          <w:szCs w:val="22"/>
          <w:lang w:val="sr-Latn-ME"/>
        </w:rPr>
        <w:t>ikozida) i manito</w:t>
      </w:r>
      <w:r w:rsidR="008B3ED5" w:rsidRPr="004C7CDA">
        <w:rPr>
          <w:szCs w:val="22"/>
          <w:lang w:val="sr-Latn-ME"/>
        </w:rPr>
        <w:t>l</w:t>
      </w:r>
      <w:r w:rsidRPr="004C7CDA">
        <w:rPr>
          <w:szCs w:val="22"/>
          <w:lang w:val="sr-Latn-ME"/>
        </w:rPr>
        <w:t xml:space="preserve">a može da pojača toksičnost neurotoksičnih </w:t>
      </w:r>
      <w:r w:rsidR="008B3ED5" w:rsidRPr="004C7CDA">
        <w:rPr>
          <w:szCs w:val="22"/>
          <w:lang w:val="sr-Latn-ME"/>
        </w:rPr>
        <w:t>l</w:t>
      </w:r>
      <w:r w:rsidR="00EF28C7" w:rsidRPr="004C7CDA">
        <w:rPr>
          <w:szCs w:val="22"/>
          <w:lang w:val="sr-Latn-ME"/>
        </w:rPr>
        <w:t>j</w:t>
      </w:r>
      <w:r w:rsidRPr="004C7CDA">
        <w:rPr>
          <w:szCs w:val="22"/>
          <w:lang w:val="sr-Latn-ME"/>
        </w:rPr>
        <w:t>ekova (</w:t>
      </w:r>
      <w:r w:rsidR="008B3ED5" w:rsidRPr="004C7CDA">
        <w:rPr>
          <w:szCs w:val="22"/>
          <w:lang w:val="sr-Latn-ME"/>
        </w:rPr>
        <w:t>pogledati dio</w:t>
      </w:r>
      <w:r w:rsidRPr="004C7CDA">
        <w:rPr>
          <w:szCs w:val="22"/>
          <w:lang w:val="sr-Latn-ME"/>
        </w:rPr>
        <w:t xml:space="preserve"> 4.4.). </w:t>
      </w:r>
    </w:p>
    <w:p w14:paraId="4F2AE77A" w14:textId="77777777" w:rsidR="006B3FFB" w:rsidRPr="004C7CDA" w:rsidRDefault="006B3FFB" w:rsidP="004C7CDA">
      <w:pPr>
        <w:widowControl w:val="0"/>
        <w:rPr>
          <w:szCs w:val="22"/>
          <w:lang w:val="sr-Latn-ME"/>
        </w:rPr>
      </w:pPr>
    </w:p>
    <w:p w14:paraId="3BFF007F" w14:textId="0F27892D" w:rsidR="006B3FFB" w:rsidRPr="004C7CDA" w:rsidRDefault="008B3ED5" w:rsidP="004C7CDA">
      <w:pPr>
        <w:widowControl w:val="0"/>
        <w:rPr>
          <w:szCs w:val="22"/>
          <w:u w:val="single"/>
          <w:lang w:val="sr-Latn-ME"/>
        </w:rPr>
      </w:pPr>
      <w:r w:rsidRPr="004C7CDA">
        <w:rPr>
          <w:szCs w:val="22"/>
          <w:u w:val="single"/>
          <w:lang w:val="sr-Latn-ME"/>
        </w:rPr>
        <w:t>L</w:t>
      </w:r>
      <w:r w:rsidR="0060295A" w:rsidRPr="004C7CDA">
        <w:rPr>
          <w:szCs w:val="22"/>
          <w:u w:val="single"/>
          <w:lang w:val="sr-Latn-ME"/>
        </w:rPr>
        <w:t>j</w:t>
      </w:r>
      <w:r w:rsidR="006B3FFB" w:rsidRPr="004C7CDA">
        <w:rPr>
          <w:szCs w:val="22"/>
          <w:u w:val="single"/>
          <w:lang w:val="sr-Latn-ME"/>
        </w:rPr>
        <w:t>ekovi na koje utiče e</w:t>
      </w:r>
      <w:r w:rsidRPr="004C7CDA">
        <w:rPr>
          <w:szCs w:val="22"/>
          <w:u w:val="single"/>
          <w:lang w:val="sr-Latn-ME"/>
        </w:rPr>
        <w:t>l</w:t>
      </w:r>
      <w:r w:rsidR="006B3FFB" w:rsidRPr="004C7CDA">
        <w:rPr>
          <w:szCs w:val="22"/>
          <w:u w:val="single"/>
          <w:lang w:val="sr-Latn-ME"/>
        </w:rPr>
        <w:t>ektro</w:t>
      </w:r>
      <w:r w:rsidRPr="004C7CDA">
        <w:rPr>
          <w:szCs w:val="22"/>
          <w:u w:val="single"/>
          <w:lang w:val="sr-Latn-ME"/>
        </w:rPr>
        <w:t>l</w:t>
      </w:r>
      <w:r w:rsidR="006B3FFB" w:rsidRPr="004C7CDA">
        <w:rPr>
          <w:szCs w:val="22"/>
          <w:u w:val="single"/>
          <w:lang w:val="sr-Latn-ME"/>
        </w:rPr>
        <w:t>itni disba</w:t>
      </w:r>
      <w:r w:rsidRPr="004C7CDA">
        <w:rPr>
          <w:szCs w:val="22"/>
          <w:u w:val="single"/>
          <w:lang w:val="sr-Latn-ME"/>
        </w:rPr>
        <w:t>l</w:t>
      </w:r>
      <w:r w:rsidR="006B3FFB" w:rsidRPr="004C7CDA">
        <w:rPr>
          <w:szCs w:val="22"/>
          <w:u w:val="single"/>
          <w:lang w:val="sr-Latn-ME"/>
        </w:rPr>
        <w:t>ans</w:t>
      </w:r>
    </w:p>
    <w:p w14:paraId="0FE83F8C" w14:textId="274F28AE" w:rsidR="006B3FFB" w:rsidRPr="004C7CDA" w:rsidRDefault="006B3FFB" w:rsidP="004C7CDA">
      <w:pPr>
        <w:widowControl w:val="0"/>
        <w:rPr>
          <w:szCs w:val="22"/>
          <w:lang w:val="sr-Latn-ME"/>
        </w:rPr>
      </w:pPr>
      <w:r w:rsidRPr="004C7CDA">
        <w:rPr>
          <w:szCs w:val="22"/>
          <w:lang w:val="sr-Latn-ME"/>
        </w:rPr>
        <w:t>Razvoj e</w:t>
      </w:r>
      <w:r w:rsidR="008B3ED5" w:rsidRPr="004C7CDA">
        <w:rPr>
          <w:szCs w:val="22"/>
          <w:lang w:val="sr-Latn-ME"/>
        </w:rPr>
        <w:t>l</w:t>
      </w:r>
      <w:r w:rsidRPr="004C7CDA">
        <w:rPr>
          <w:szCs w:val="22"/>
          <w:lang w:val="sr-Latn-ME"/>
        </w:rPr>
        <w:t>ektro</w:t>
      </w:r>
      <w:r w:rsidR="008B3ED5" w:rsidRPr="004C7CDA">
        <w:rPr>
          <w:szCs w:val="22"/>
          <w:lang w:val="sr-Latn-ME"/>
        </w:rPr>
        <w:t>l</w:t>
      </w:r>
      <w:r w:rsidRPr="004C7CDA">
        <w:rPr>
          <w:szCs w:val="22"/>
          <w:lang w:val="sr-Latn-ME"/>
        </w:rPr>
        <w:t>itnog disba</w:t>
      </w:r>
      <w:r w:rsidR="008B3ED5" w:rsidRPr="004C7CDA">
        <w:rPr>
          <w:szCs w:val="22"/>
          <w:lang w:val="sr-Latn-ME"/>
        </w:rPr>
        <w:t>l</w:t>
      </w:r>
      <w:r w:rsidRPr="004C7CDA">
        <w:rPr>
          <w:szCs w:val="22"/>
          <w:lang w:val="sr-Latn-ME"/>
        </w:rPr>
        <w:t>ansa (npr. hiperka</w:t>
      </w:r>
      <w:r w:rsidR="008B3ED5" w:rsidRPr="004C7CDA">
        <w:rPr>
          <w:szCs w:val="22"/>
          <w:lang w:val="sr-Latn-ME"/>
        </w:rPr>
        <w:t>l</w:t>
      </w:r>
      <w:r w:rsidRPr="004C7CDA">
        <w:rPr>
          <w:szCs w:val="22"/>
          <w:lang w:val="sr-Latn-ME"/>
        </w:rPr>
        <w:t>emije, hipoka</w:t>
      </w:r>
      <w:r w:rsidR="008B3ED5" w:rsidRPr="004C7CDA">
        <w:rPr>
          <w:szCs w:val="22"/>
          <w:lang w:val="sr-Latn-ME"/>
        </w:rPr>
        <w:t>l</w:t>
      </w:r>
      <w:r w:rsidRPr="004C7CDA">
        <w:rPr>
          <w:szCs w:val="22"/>
          <w:lang w:val="sr-Latn-ME"/>
        </w:rPr>
        <w:t>emije) povezan sa prim</w:t>
      </w:r>
      <w:r w:rsidR="00FC02FA" w:rsidRPr="004C7CDA">
        <w:rPr>
          <w:szCs w:val="22"/>
          <w:lang w:val="sr-Latn-ME"/>
        </w:rPr>
        <w:t>j</w:t>
      </w:r>
      <w:r w:rsidRPr="004C7CDA">
        <w:rPr>
          <w:szCs w:val="22"/>
          <w:lang w:val="sr-Latn-ME"/>
        </w:rPr>
        <w:t>enom manito</w:t>
      </w:r>
      <w:r w:rsidR="008B3ED5" w:rsidRPr="004C7CDA">
        <w:rPr>
          <w:szCs w:val="22"/>
          <w:lang w:val="sr-Latn-ME"/>
        </w:rPr>
        <w:t>l</w:t>
      </w:r>
      <w:r w:rsidRPr="004C7CDA">
        <w:rPr>
          <w:szCs w:val="22"/>
          <w:lang w:val="sr-Latn-ME"/>
        </w:rPr>
        <w:t>a, može da izm</w:t>
      </w:r>
      <w:r w:rsidR="00965575" w:rsidRPr="004C7CDA">
        <w:rPr>
          <w:szCs w:val="22"/>
          <w:lang w:val="sr-Latn-ME"/>
        </w:rPr>
        <w:t>ij</w:t>
      </w:r>
      <w:r w:rsidRPr="004C7CDA">
        <w:rPr>
          <w:szCs w:val="22"/>
          <w:lang w:val="sr-Latn-ME"/>
        </w:rPr>
        <w:t xml:space="preserve">eni dejstvo </w:t>
      </w:r>
      <w:r w:rsidR="008B3ED5" w:rsidRPr="004C7CDA">
        <w:rPr>
          <w:szCs w:val="22"/>
          <w:lang w:val="sr-Latn-ME"/>
        </w:rPr>
        <w:t>l</w:t>
      </w:r>
      <w:r w:rsidR="00FC02FA" w:rsidRPr="004C7CDA">
        <w:rPr>
          <w:szCs w:val="22"/>
          <w:lang w:val="sr-Latn-ME"/>
        </w:rPr>
        <w:t>j</w:t>
      </w:r>
      <w:r w:rsidRPr="004C7CDA">
        <w:rPr>
          <w:szCs w:val="22"/>
          <w:lang w:val="sr-Latn-ME"/>
        </w:rPr>
        <w:t>ekova koji su os</w:t>
      </w:r>
      <w:r w:rsidR="00FC02FA" w:rsidRPr="004C7CDA">
        <w:rPr>
          <w:szCs w:val="22"/>
          <w:lang w:val="sr-Latn-ME"/>
        </w:rPr>
        <w:t>j</w:t>
      </w:r>
      <w:r w:rsidRPr="004C7CDA">
        <w:rPr>
          <w:szCs w:val="22"/>
          <w:lang w:val="sr-Latn-ME"/>
        </w:rPr>
        <w:t>et</w:t>
      </w:r>
      <w:r w:rsidR="008B3ED5" w:rsidRPr="004C7CDA">
        <w:rPr>
          <w:szCs w:val="22"/>
          <w:lang w:val="sr-Latn-ME"/>
        </w:rPr>
        <w:t>l</w:t>
      </w:r>
      <w:r w:rsidRPr="004C7CDA">
        <w:rPr>
          <w:szCs w:val="22"/>
          <w:lang w:val="sr-Latn-ME"/>
        </w:rPr>
        <w:t>jivi na takve disba</w:t>
      </w:r>
      <w:r w:rsidR="008B3ED5" w:rsidRPr="004C7CDA">
        <w:rPr>
          <w:szCs w:val="22"/>
          <w:lang w:val="sr-Latn-ME"/>
        </w:rPr>
        <w:t>l</w:t>
      </w:r>
      <w:r w:rsidRPr="004C7CDA">
        <w:rPr>
          <w:szCs w:val="22"/>
          <w:lang w:val="sr-Latn-ME"/>
        </w:rPr>
        <w:t xml:space="preserve">anse (npr. digoksin, </w:t>
      </w:r>
      <w:r w:rsidR="008B3ED5" w:rsidRPr="004C7CDA">
        <w:rPr>
          <w:szCs w:val="22"/>
          <w:lang w:val="sr-Latn-ME"/>
        </w:rPr>
        <w:t>l</w:t>
      </w:r>
      <w:r w:rsidR="00FC02FA" w:rsidRPr="004C7CDA">
        <w:rPr>
          <w:szCs w:val="22"/>
          <w:lang w:val="sr-Latn-ME"/>
        </w:rPr>
        <w:t>j</w:t>
      </w:r>
      <w:r w:rsidRPr="004C7CDA">
        <w:rPr>
          <w:szCs w:val="22"/>
          <w:lang w:val="sr-Latn-ME"/>
        </w:rPr>
        <w:t>ekovi koji mogu da dovedu do produženja QT interva</w:t>
      </w:r>
      <w:r w:rsidR="008B3ED5" w:rsidRPr="004C7CDA">
        <w:rPr>
          <w:szCs w:val="22"/>
          <w:lang w:val="sr-Latn-ME"/>
        </w:rPr>
        <w:t>l</w:t>
      </w:r>
      <w:r w:rsidRPr="004C7CDA">
        <w:rPr>
          <w:szCs w:val="22"/>
          <w:lang w:val="sr-Latn-ME"/>
        </w:rPr>
        <w:t>a, mišićni re</w:t>
      </w:r>
      <w:r w:rsidR="008B3ED5" w:rsidRPr="004C7CDA">
        <w:rPr>
          <w:szCs w:val="22"/>
          <w:lang w:val="sr-Latn-ME"/>
        </w:rPr>
        <w:t>l</w:t>
      </w:r>
      <w:r w:rsidRPr="004C7CDA">
        <w:rPr>
          <w:szCs w:val="22"/>
          <w:lang w:val="sr-Latn-ME"/>
        </w:rPr>
        <w:t>aksansi).</w:t>
      </w:r>
    </w:p>
    <w:p w14:paraId="5BDA9322" w14:textId="77777777" w:rsidR="006B3FFB" w:rsidRPr="004C7CDA" w:rsidRDefault="006B3FFB" w:rsidP="004C7CDA">
      <w:pPr>
        <w:widowControl w:val="0"/>
        <w:rPr>
          <w:szCs w:val="22"/>
          <w:lang w:val="sr-Latn-ME"/>
        </w:rPr>
      </w:pPr>
    </w:p>
    <w:p w14:paraId="6B4B5ECF" w14:textId="5DD13ED1" w:rsidR="006B3FFB" w:rsidRPr="004C7CDA" w:rsidRDefault="006B3FFB" w:rsidP="004C7CDA">
      <w:pPr>
        <w:widowControl w:val="0"/>
        <w:rPr>
          <w:szCs w:val="22"/>
          <w:lang w:val="sr-Latn-ME"/>
        </w:rPr>
      </w:pPr>
      <w:r w:rsidRPr="004C7CDA">
        <w:rPr>
          <w:szCs w:val="22"/>
          <w:lang w:val="sr-Latn-ME"/>
        </w:rPr>
        <w:t>Druge interakcije mogu da se jave pri istovremenoj prim</w:t>
      </w:r>
      <w:r w:rsidR="00FC02FA" w:rsidRPr="004C7CDA">
        <w:rPr>
          <w:szCs w:val="22"/>
          <w:lang w:val="sr-Latn-ME"/>
        </w:rPr>
        <w:t>j</w:t>
      </w:r>
      <w:r w:rsidRPr="004C7CDA">
        <w:rPr>
          <w:szCs w:val="22"/>
          <w:lang w:val="sr-Latn-ME"/>
        </w:rPr>
        <w:t>eni sa tubokurarinom i depo</w:t>
      </w:r>
      <w:r w:rsidR="008B3ED5" w:rsidRPr="004C7CDA">
        <w:rPr>
          <w:szCs w:val="22"/>
          <w:lang w:val="sr-Latn-ME"/>
        </w:rPr>
        <w:t>l</w:t>
      </w:r>
      <w:r w:rsidRPr="004C7CDA">
        <w:rPr>
          <w:szCs w:val="22"/>
          <w:lang w:val="sr-Latn-ME"/>
        </w:rPr>
        <w:t>arizujućim mišićnim</w:t>
      </w:r>
      <w:r w:rsidR="00660A8E" w:rsidRPr="004C7CDA">
        <w:rPr>
          <w:szCs w:val="22"/>
          <w:lang w:val="sr-Latn-ME"/>
        </w:rPr>
        <w:t xml:space="preserve"> </w:t>
      </w:r>
      <w:r w:rsidRPr="004C7CDA">
        <w:rPr>
          <w:szCs w:val="22"/>
          <w:lang w:val="sr-Latn-ME"/>
        </w:rPr>
        <w:t>re</w:t>
      </w:r>
      <w:r w:rsidR="008B3ED5" w:rsidRPr="004C7CDA">
        <w:rPr>
          <w:szCs w:val="22"/>
          <w:lang w:val="sr-Latn-ME"/>
        </w:rPr>
        <w:t>l</w:t>
      </w:r>
      <w:r w:rsidRPr="004C7CDA">
        <w:rPr>
          <w:szCs w:val="22"/>
          <w:lang w:val="sr-Latn-ME"/>
        </w:rPr>
        <w:t>aksansima (manito</w:t>
      </w:r>
      <w:r w:rsidR="008B3ED5" w:rsidRPr="004C7CDA">
        <w:rPr>
          <w:szCs w:val="22"/>
          <w:lang w:val="sr-Latn-ME"/>
        </w:rPr>
        <w:t>l</w:t>
      </w:r>
      <w:r w:rsidRPr="004C7CDA">
        <w:rPr>
          <w:szCs w:val="22"/>
          <w:lang w:val="sr-Latn-ME"/>
        </w:rPr>
        <w:t xml:space="preserve"> pojačava njihovo dejstvo), ora</w:t>
      </w:r>
      <w:r w:rsidR="008B3ED5" w:rsidRPr="004C7CDA">
        <w:rPr>
          <w:szCs w:val="22"/>
          <w:lang w:val="sr-Latn-ME"/>
        </w:rPr>
        <w:t>l</w:t>
      </w:r>
      <w:r w:rsidRPr="004C7CDA">
        <w:rPr>
          <w:szCs w:val="22"/>
          <w:lang w:val="sr-Latn-ME"/>
        </w:rPr>
        <w:t>nim antikoagu</w:t>
      </w:r>
      <w:r w:rsidR="008B3ED5" w:rsidRPr="004C7CDA">
        <w:rPr>
          <w:szCs w:val="22"/>
          <w:lang w:val="sr-Latn-ME"/>
        </w:rPr>
        <w:t>l</w:t>
      </w:r>
      <w:r w:rsidRPr="004C7CDA">
        <w:rPr>
          <w:szCs w:val="22"/>
          <w:lang w:val="sr-Latn-ME"/>
        </w:rPr>
        <w:t>ansima (manito</w:t>
      </w:r>
      <w:r w:rsidR="008B3ED5" w:rsidRPr="004C7CDA">
        <w:rPr>
          <w:szCs w:val="22"/>
          <w:lang w:val="sr-Latn-ME"/>
        </w:rPr>
        <w:t>l</w:t>
      </w:r>
      <w:r w:rsidRPr="004C7CDA">
        <w:rPr>
          <w:szCs w:val="22"/>
          <w:lang w:val="sr-Latn-ME"/>
        </w:rPr>
        <w:t xml:space="preserve"> može da umanji njihov efekat povećanjem koncentracije faktora koagu</w:t>
      </w:r>
      <w:r w:rsidR="008B3ED5" w:rsidRPr="004C7CDA">
        <w:rPr>
          <w:szCs w:val="22"/>
          <w:lang w:val="sr-Latn-ME"/>
        </w:rPr>
        <w:t>l</w:t>
      </w:r>
      <w:r w:rsidRPr="004C7CDA">
        <w:rPr>
          <w:szCs w:val="22"/>
          <w:lang w:val="sr-Latn-ME"/>
        </w:rPr>
        <w:t>acije us</w:t>
      </w:r>
      <w:r w:rsidR="008B3ED5" w:rsidRPr="004C7CDA">
        <w:rPr>
          <w:szCs w:val="22"/>
          <w:lang w:val="sr-Latn-ME"/>
        </w:rPr>
        <w:t>l</w:t>
      </w:r>
      <w:r w:rsidR="00965575" w:rsidRPr="004C7CDA">
        <w:rPr>
          <w:szCs w:val="22"/>
          <w:lang w:val="sr-Latn-ME"/>
        </w:rPr>
        <w:t>j</w:t>
      </w:r>
      <w:r w:rsidRPr="004C7CDA">
        <w:rPr>
          <w:szCs w:val="22"/>
          <w:lang w:val="sr-Latn-ME"/>
        </w:rPr>
        <w:t>ed dehidratacije) i digoksinom (ako pos</w:t>
      </w:r>
      <w:r w:rsidR="008B3ED5" w:rsidRPr="004C7CDA">
        <w:rPr>
          <w:szCs w:val="22"/>
          <w:lang w:val="sr-Latn-ME"/>
        </w:rPr>
        <w:t>l</w:t>
      </w:r>
      <w:r w:rsidR="00B247D6" w:rsidRPr="004C7CDA">
        <w:rPr>
          <w:szCs w:val="22"/>
          <w:lang w:val="sr-Latn-ME"/>
        </w:rPr>
        <w:t>ij</w:t>
      </w:r>
      <w:r w:rsidRPr="004C7CDA">
        <w:rPr>
          <w:szCs w:val="22"/>
          <w:lang w:val="sr-Latn-ME"/>
        </w:rPr>
        <w:t>e terapije manito</w:t>
      </w:r>
      <w:r w:rsidR="008B3ED5" w:rsidRPr="004C7CDA">
        <w:rPr>
          <w:szCs w:val="22"/>
          <w:lang w:val="sr-Latn-ME"/>
        </w:rPr>
        <w:t>l</w:t>
      </w:r>
      <w:r w:rsidRPr="004C7CDA">
        <w:rPr>
          <w:szCs w:val="22"/>
          <w:lang w:val="sr-Latn-ME"/>
        </w:rPr>
        <w:t>om nastupi hipoka</w:t>
      </w:r>
      <w:r w:rsidR="008B3ED5" w:rsidRPr="004C7CDA">
        <w:rPr>
          <w:szCs w:val="22"/>
          <w:lang w:val="sr-Latn-ME"/>
        </w:rPr>
        <w:t>l</w:t>
      </w:r>
      <w:r w:rsidRPr="004C7CDA">
        <w:rPr>
          <w:szCs w:val="22"/>
          <w:lang w:val="sr-Latn-ME"/>
        </w:rPr>
        <w:t>emija, postoji rizik od ispo</w:t>
      </w:r>
      <w:r w:rsidR="008B3ED5" w:rsidRPr="004C7CDA">
        <w:rPr>
          <w:szCs w:val="22"/>
          <w:lang w:val="sr-Latn-ME"/>
        </w:rPr>
        <w:t>l</w:t>
      </w:r>
      <w:r w:rsidRPr="004C7CDA">
        <w:rPr>
          <w:szCs w:val="22"/>
          <w:lang w:val="sr-Latn-ME"/>
        </w:rPr>
        <w:t xml:space="preserve">javanja toksičnog dejstva digoksina), </w:t>
      </w:r>
      <w:r w:rsidRPr="004C7CDA">
        <w:rPr>
          <w:rFonts w:eastAsia="TimesNewRoman"/>
          <w:szCs w:val="22"/>
          <w:lang w:val="sr-Latn-ME"/>
        </w:rPr>
        <w:t>iako postoje ma</w:t>
      </w:r>
      <w:r w:rsidR="008B3ED5" w:rsidRPr="004C7CDA">
        <w:rPr>
          <w:rFonts w:eastAsia="TimesNewRoman"/>
          <w:szCs w:val="22"/>
          <w:lang w:val="sr-Latn-ME"/>
        </w:rPr>
        <w:t>l</w:t>
      </w:r>
      <w:r w:rsidRPr="004C7CDA">
        <w:rPr>
          <w:rFonts w:eastAsia="TimesNewRoman"/>
          <w:szCs w:val="22"/>
          <w:lang w:val="sr-Latn-ME"/>
        </w:rPr>
        <w:t xml:space="preserve">i dokazi da se takve interakcije mogu javiti kod </w:t>
      </w:r>
      <w:r w:rsidR="008B3ED5" w:rsidRPr="004C7CDA">
        <w:rPr>
          <w:rFonts w:eastAsia="TimesNewRoman"/>
          <w:szCs w:val="22"/>
          <w:lang w:val="sr-Latn-ME"/>
        </w:rPr>
        <w:t>l</w:t>
      </w:r>
      <w:r w:rsidRPr="004C7CDA">
        <w:rPr>
          <w:rFonts w:eastAsia="TimesNewRoman"/>
          <w:szCs w:val="22"/>
          <w:lang w:val="sr-Latn-ME"/>
        </w:rPr>
        <w:t>judi.</w:t>
      </w:r>
    </w:p>
    <w:p w14:paraId="1900B8E6" w14:textId="77777777" w:rsidR="00CE09F3" w:rsidRPr="004C7CDA" w:rsidRDefault="00CE09F3" w:rsidP="004C7CDA">
      <w:pPr>
        <w:widowControl w:val="0"/>
        <w:rPr>
          <w:szCs w:val="22"/>
          <w:lang w:val="sr-Latn-ME"/>
        </w:rPr>
      </w:pPr>
    </w:p>
    <w:p w14:paraId="4BC2122A" w14:textId="04691BC4" w:rsidR="00CE09F3" w:rsidRPr="004C7CDA" w:rsidRDefault="00CE09F3" w:rsidP="004C7CDA">
      <w:pPr>
        <w:widowControl w:val="0"/>
        <w:rPr>
          <w:b/>
          <w:bCs/>
          <w:szCs w:val="22"/>
          <w:lang w:val="sr-Latn-ME"/>
        </w:rPr>
      </w:pPr>
      <w:r w:rsidRPr="004C7CDA">
        <w:rPr>
          <w:b/>
          <w:bCs/>
          <w:szCs w:val="22"/>
          <w:lang w:val="sr-Latn-ME"/>
        </w:rPr>
        <w:t>4.6. P</w:t>
      </w:r>
      <w:r w:rsidR="008B3ED5" w:rsidRPr="004C7CDA">
        <w:rPr>
          <w:b/>
          <w:bCs/>
          <w:szCs w:val="22"/>
          <w:lang w:val="sr-Latn-ME"/>
        </w:rPr>
        <w:t>l</w:t>
      </w:r>
      <w:r w:rsidRPr="004C7CDA">
        <w:rPr>
          <w:b/>
          <w:bCs/>
          <w:szCs w:val="22"/>
          <w:lang w:val="sr-Latn-ME"/>
        </w:rPr>
        <w:t>odnost, trudnoća i dojenje</w:t>
      </w:r>
    </w:p>
    <w:p w14:paraId="6F3FC174" w14:textId="77777777" w:rsidR="00C307B8" w:rsidRPr="004C7CDA" w:rsidRDefault="00C307B8" w:rsidP="004C7CDA">
      <w:pPr>
        <w:widowControl w:val="0"/>
        <w:rPr>
          <w:b/>
          <w:bCs/>
          <w:szCs w:val="22"/>
          <w:lang w:val="sr-Latn-ME"/>
        </w:rPr>
      </w:pPr>
    </w:p>
    <w:p w14:paraId="38E791FA" w14:textId="77777777" w:rsidR="0008463A" w:rsidRPr="004C7CDA" w:rsidRDefault="0008463A" w:rsidP="004C7CDA">
      <w:pPr>
        <w:widowControl w:val="0"/>
        <w:rPr>
          <w:i/>
          <w:szCs w:val="22"/>
          <w:lang w:val="sr-Latn-ME"/>
        </w:rPr>
      </w:pPr>
      <w:r w:rsidRPr="004C7CDA">
        <w:rPr>
          <w:i/>
          <w:szCs w:val="22"/>
          <w:lang w:val="sr-Latn-ME"/>
        </w:rPr>
        <w:t>Trudnoća</w:t>
      </w:r>
    </w:p>
    <w:p w14:paraId="4370B901" w14:textId="5EC3FBDA" w:rsidR="0008463A" w:rsidRPr="004C7CDA" w:rsidRDefault="0008463A" w:rsidP="004C7CDA">
      <w:pPr>
        <w:widowControl w:val="0"/>
        <w:rPr>
          <w:szCs w:val="22"/>
          <w:lang w:val="sr-Latn-ME"/>
        </w:rPr>
      </w:pPr>
      <w:r w:rsidRPr="004C7CDA">
        <w:rPr>
          <w:szCs w:val="22"/>
          <w:lang w:val="sr-Latn-ME"/>
        </w:rPr>
        <w:t>Nema podataka o upotrebi manito</w:t>
      </w:r>
      <w:r w:rsidR="008B3ED5" w:rsidRPr="004C7CDA">
        <w:rPr>
          <w:szCs w:val="22"/>
          <w:lang w:val="sr-Latn-ME"/>
        </w:rPr>
        <w:t>l</w:t>
      </w:r>
      <w:r w:rsidRPr="004C7CDA">
        <w:rPr>
          <w:szCs w:val="22"/>
          <w:lang w:val="sr-Latn-ME"/>
        </w:rPr>
        <w:t>a kod trudnica koji su objav</w:t>
      </w:r>
      <w:r w:rsidR="008B3ED5" w:rsidRPr="004C7CDA">
        <w:rPr>
          <w:szCs w:val="22"/>
          <w:lang w:val="sr-Latn-ME"/>
        </w:rPr>
        <w:t>l</w:t>
      </w:r>
      <w:r w:rsidRPr="004C7CDA">
        <w:rPr>
          <w:szCs w:val="22"/>
          <w:lang w:val="sr-Latn-ME"/>
        </w:rPr>
        <w:t>jeni u re</w:t>
      </w:r>
      <w:r w:rsidR="008B3ED5" w:rsidRPr="004C7CDA">
        <w:rPr>
          <w:szCs w:val="22"/>
          <w:lang w:val="sr-Latn-ME"/>
        </w:rPr>
        <w:t>l</w:t>
      </w:r>
      <w:r w:rsidRPr="004C7CDA">
        <w:rPr>
          <w:szCs w:val="22"/>
          <w:lang w:val="sr-Latn-ME"/>
        </w:rPr>
        <w:t xml:space="preserve">evantnoj </w:t>
      </w:r>
      <w:r w:rsidR="008B3ED5" w:rsidRPr="004C7CDA">
        <w:rPr>
          <w:szCs w:val="22"/>
          <w:lang w:val="sr-Latn-ME"/>
        </w:rPr>
        <w:t>l</w:t>
      </w:r>
      <w:r w:rsidRPr="004C7CDA">
        <w:rPr>
          <w:szCs w:val="22"/>
          <w:lang w:val="sr-Latn-ME"/>
        </w:rPr>
        <w:t xml:space="preserve">iteraturi. </w:t>
      </w:r>
    </w:p>
    <w:p w14:paraId="567627DD" w14:textId="77777777" w:rsidR="0008463A" w:rsidRPr="004C7CDA" w:rsidRDefault="0008463A" w:rsidP="004C7CDA">
      <w:pPr>
        <w:widowControl w:val="0"/>
        <w:rPr>
          <w:szCs w:val="22"/>
          <w:lang w:val="sr-Latn-ME"/>
        </w:rPr>
      </w:pPr>
    </w:p>
    <w:p w14:paraId="0DE43496" w14:textId="02F4CFC7" w:rsidR="0008463A" w:rsidRPr="004C7CDA" w:rsidRDefault="0008463A" w:rsidP="004C7CDA">
      <w:pPr>
        <w:widowControl w:val="0"/>
        <w:rPr>
          <w:szCs w:val="22"/>
          <w:lang w:val="sr-Latn-ME"/>
        </w:rPr>
      </w:pPr>
      <w:r w:rsidRPr="004C7CDA">
        <w:rPr>
          <w:szCs w:val="22"/>
          <w:lang w:val="sr-Latn-ME"/>
        </w:rPr>
        <w:t>Nema podataka iz studija na životinjama o upotrebi manito</w:t>
      </w:r>
      <w:r w:rsidR="008B3ED5" w:rsidRPr="004C7CDA">
        <w:rPr>
          <w:szCs w:val="22"/>
          <w:lang w:val="sr-Latn-ME"/>
        </w:rPr>
        <w:t>l</w:t>
      </w:r>
      <w:r w:rsidRPr="004C7CDA">
        <w:rPr>
          <w:szCs w:val="22"/>
          <w:lang w:val="sr-Latn-ME"/>
        </w:rPr>
        <w:t>a, a koji su objav</w:t>
      </w:r>
      <w:r w:rsidR="008B3ED5" w:rsidRPr="004C7CDA">
        <w:rPr>
          <w:szCs w:val="22"/>
          <w:lang w:val="sr-Latn-ME"/>
        </w:rPr>
        <w:t>l</w:t>
      </w:r>
      <w:r w:rsidRPr="004C7CDA">
        <w:rPr>
          <w:szCs w:val="22"/>
          <w:lang w:val="sr-Latn-ME"/>
        </w:rPr>
        <w:t>jeni u re</w:t>
      </w:r>
      <w:r w:rsidR="008B3ED5" w:rsidRPr="004C7CDA">
        <w:rPr>
          <w:szCs w:val="22"/>
          <w:lang w:val="sr-Latn-ME"/>
        </w:rPr>
        <w:t>l</w:t>
      </w:r>
      <w:r w:rsidRPr="004C7CDA">
        <w:rPr>
          <w:szCs w:val="22"/>
          <w:lang w:val="sr-Latn-ME"/>
        </w:rPr>
        <w:t xml:space="preserve">evantnoj </w:t>
      </w:r>
      <w:r w:rsidR="008B3ED5" w:rsidRPr="004C7CDA">
        <w:rPr>
          <w:szCs w:val="22"/>
          <w:lang w:val="sr-Latn-ME"/>
        </w:rPr>
        <w:t>l</w:t>
      </w:r>
      <w:r w:rsidRPr="004C7CDA">
        <w:rPr>
          <w:szCs w:val="22"/>
          <w:lang w:val="sr-Latn-ME"/>
        </w:rPr>
        <w:t>iteraturi, koji se odnose na uticaj manito</w:t>
      </w:r>
      <w:r w:rsidR="008B3ED5" w:rsidRPr="004C7CDA">
        <w:rPr>
          <w:szCs w:val="22"/>
          <w:lang w:val="sr-Latn-ME"/>
        </w:rPr>
        <w:t>l</w:t>
      </w:r>
      <w:r w:rsidRPr="004C7CDA">
        <w:rPr>
          <w:szCs w:val="22"/>
          <w:lang w:val="sr-Latn-ME"/>
        </w:rPr>
        <w:t>a na trudnoću i/i</w:t>
      </w:r>
      <w:r w:rsidR="008B3ED5" w:rsidRPr="004C7CDA">
        <w:rPr>
          <w:szCs w:val="22"/>
          <w:lang w:val="sr-Latn-ME"/>
        </w:rPr>
        <w:t>l</w:t>
      </w:r>
      <w:r w:rsidRPr="004C7CDA">
        <w:rPr>
          <w:szCs w:val="22"/>
          <w:lang w:val="sr-Latn-ME"/>
        </w:rPr>
        <w:t>i embriona</w:t>
      </w:r>
      <w:r w:rsidR="008B3ED5" w:rsidRPr="004C7CDA">
        <w:rPr>
          <w:szCs w:val="22"/>
          <w:lang w:val="sr-Latn-ME"/>
        </w:rPr>
        <w:t>l</w:t>
      </w:r>
      <w:r w:rsidRPr="004C7CDA">
        <w:rPr>
          <w:szCs w:val="22"/>
          <w:lang w:val="sr-Latn-ME"/>
        </w:rPr>
        <w:t>ni/feta</w:t>
      </w:r>
      <w:r w:rsidR="008B3ED5" w:rsidRPr="004C7CDA">
        <w:rPr>
          <w:szCs w:val="22"/>
          <w:lang w:val="sr-Latn-ME"/>
        </w:rPr>
        <w:t>l</w:t>
      </w:r>
      <w:r w:rsidRPr="004C7CDA">
        <w:rPr>
          <w:szCs w:val="22"/>
          <w:lang w:val="sr-Latn-ME"/>
        </w:rPr>
        <w:t>ni razvoj i/i</w:t>
      </w:r>
      <w:r w:rsidR="008B3ED5" w:rsidRPr="004C7CDA">
        <w:rPr>
          <w:szCs w:val="22"/>
          <w:lang w:val="sr-Latn-ME"/>
        </w:rPr>
        <w:t>l</w:t>
      </w:r>
      <w:r w:rsidRPr="004C7CDA">
        <w:rPr>
          <w:szCs w:val="22"/>
          <w:lang w:val="sr-Latn-ME"/>
        </w:rPr>
        <w:t>i porođaj i/i</w:t>
      </w:r>
      <w:r w:rsidR="008B3ED5" w:rsidRPr="004C7CDA">
        <w:rPr>
          <w:szCs w:val="22"/>
          <w:lang w:val="sr-Latn-ME"/>
        </w:rPr>
        <w:t>l</w:t>
      </w:r>
      <w:r w:rsidRPr="004C7CDA">
        <w:rPr>
          <w:szCs w:val="22"/>
          <w:lang w:val="sr-Latn-ME"/>
        </w:rPr>
        <w:t>i postnata</w:t>
      </w:r>
      <w:r w:rsidR="008B3ED5" w:rsidRPr="004C7CDA">
        <w:rPr>
          <w:szCs w:val="22"/>
          <w:lang w:val="sr-Latn-ME"/>
        </w:rPr>
        <w:t>l</w:t>
      </w:r>
      <w:r w:rsidRPr="004C7CDA">
        <w:rPr>
          <w:szCs w:val="22"/>
          <w:lang w:val="sr-Latn-ME"/>
        </w:rPr>
        <w:t xml:space="preserve">ni razvoj. </w:t>
      </w:r>
    </w:p>
    <w:p w14:paraId="06C2162B" w14:textId="77777777" w:rsidR="0008463A" w:rsidRPr="004C7CDA" w:rsidRDefault="0008463A" w:rsidP="004C7CDA">
      <w:pPr>
        <w:widowControl w:val="0"/>
        <w:rPr>
          <w:szCs w:val="22"/>
          <w:lang w:val="sr-Latn-ME"/>
        </w:rPr>
      </w:pPr>
    </w:p>
    <w:p w14:paraId="5ED92186" w14:textId="2130AFF9" w:rsidR="0008463A" w:rsidRPr="004C7CDA" w:rsidRDefault="0008463A" w:rsidP="004C7CDA">
      <w:pPr>
        <w:widowControl w:val="0"/>
        <w:rPr>
          <w:szCs w:val="22"/>
          <w:lang w:val="sr-Latn-ME"/>
        </w:rPr>
      </w:pPr>
      <w:r w:rsidRPr="004C7CDA">
        <w:rPr>
          <w:szCs w:val="22"/>
          <w:lang w:val="sr-Latn-ME"/>
        </w:rPr>
        <w:t>Manito</w:t>
      </w:r>
      <w:r w:rsidR="008B3ED5" w:rsidRPr="004C7CDA">
        <w:rPr>
          <w:szCs w:val="22"/>
          <w:lang w:val="sr-Latn-ME"/>
        </w:rPr>
        <w:t>l</w:t>
      </w:r>
      <w:r w:rsidRPr="004C7CDA">
        <w:rPr>
          <w:szCs w:val="22"/>
          <w:lang w:val="sr-Latn-ME"/>
        </w:rPr>
        <w:t xml:space="preserve"> ne treba koristiti za vr</w:t>
      </w:r>
      <w:r w:rsidR="00EE15F1" w:rsidRPr="004C7CDA">
        <w:rPr>
          <w:szCs w:val="22"/>
          <w:lang w:val="sr-Latn-ME"/>
        </w:rPr>
        <w:t>ij</w:t>
      </w:r>
      <w:r w:rsidRPr="004C7CDA">
        <w:rPr>
          <w:szCs w:val="22"/>
          <w:lang w:val="sr-Latn-ME"/>
        </w:rPr>
        <w:t>eme trudnoće, osim uko</w:t>
      </w:r>
      <w:r w:rsidR="008B3ED5" w:rsidRPr="004C7CDA">
        <w:rPr>
          <w:szCs w:val="22"/>
          <w:lang w:val="sr-Latn-ME"/>
        </w:rPr>
        <w:t>l</w:t>
      </w:r>
      <w:r w:rsidRPr="004C7CDA">
        <w:rPr>
          <w:szCs w:val="22"/>
          <w:lang w:val="sr-Latn-ME"/>
        </w:rPr>
        <w:t>iko je to zaista neophodno.</w:t>
      </w:r>
    </w:p>
    <w:p w14:paraId="4AE7EA78" w14:textId="77777777" w:rsidR="0008463A" w:rsidRPr="004C7CDA" w:rsidRDefault="0008463A" w:rsidP="004C7CDA">
      <w:pPr>
        <w:widowControl w:val="0"/>
        <w:rPr>
          <w:szCs w:val="22"/>
          <w:lang w:val="sr-Latn-ME"/>
        </w:rPr>
      </w:pPr>
    </w:p>
    <w:p w14:paraId="3E1AE0CD" w14:textId="77777777" w:rsidR="0008463A" w:rsidRPr="004C7CDA" w:rsidRDefault="0008463A" w:rsidP="004C7CDA">
      <w:pPr>
        <w:widowControl w:val="0"/>
        <w:rPr>
          <w:i/>
          <w:szCs w:val="22"/>
          <w:lang w:val="sr-Latn-ME"/>
        </w:rPr>
      </w:pPr>
      <w:r w:rsidRPr="004C7CDA">
        <w:rPr>
          <w:i/>
          <w:szCs w:val="22"/>
          <w:lang w:val="sr-Latn-ME"/>
        </w:rPr>
        <w:t>Dojenje</w:t>
      </w:r>
    </w:p>
    <w:p w14:paraId="29275A5C" w14:textId="4F767381" w:rsidR="0008463A" w:rsidRPr="004C7CDA" w:rsidRDefault="0008463A" w:rsidP="004C7CDA">
      <w:pPr>
        <w:widowControl w:val="0"/>
        <w:rPr>
          <w:szCs w:val="22"/>
          <w:lang w:val="sr-Latn-ME"/>
        </w:rPr>
      </w:pPr>
      <w:r w:rsidRPr="004C7CDA">
        <w:rPr>
          <w:szCs w:val="22"/>
          <w:lang w:val="sr-Latn-ME"/>
        </w:rPr>
        <w:t>Nema podataka o iz</w:t>
      </w:r>
      <w:r w:rsidR="008B3ED5" w:rsidRPr="004C7CDA">
        <w:rPr>
          <w:szCs w:val="22"/>
          <w:lang w:val="sr-Latn-ME"/>
        </w:rPr>
        <w:t>l</w:t>
      </w:r>
      <w:r w:rsidRPr="004C7CDA">
        <w:rPr>
          <w:szCs w:val="22"/>
          <w:lang w:val="sr-Latn-ME"/>
        </w:rPr>
        <w:t>učivanja manito</w:t>
      </w:r>
      <w:r w:rsidR="008B3ED5" w:rsidRPr="004C7CDA">
        <w:rPr>
          <w:szCs w:val="22"/>
          <w:lang w:val="sr-Latn-ME"/>
        </w:rPr>
        <w:t>l</w:t>
      </w:r>
      <w:r w:rsidRPr="004C7CDA">
        <w:rPr>
          <w:szCs w:val="22"/>
          <w:lang w:val="sr-Latn-ME"/>
        </w:rPr>
        <w:t xml:space="preserve">a u majčino </w:t>
      </w:r>
      <w:r w:rsidR="008B3ED5" w:rsidRPr="004C7CDA">
        <w:rPr>
          <w:szCs w:val="22"/>
          <w:lang w:val="sr-Latn-ME"/>
        </w:rPr>
        <w:t>ml</w:t>
      </w:r>
      <w:r w:rsidR="006034F5" w:rsidRPr="004C7CDA">
        <w:rPr>
          <w:szCs w:val="22"/>
          <w:lang w:val="sr-Latn-ME"/>
        </w:rPr>
        <w:t>ij</w:t>
      </w:r>
      <w:r w:rsidRPr="004C7CDA">
        <w:rPr>
          <w:szCs w:val="22"/>
          <w:lang w:val="sr-Latn-ME"/>
        </w:rPr>
        <w:t>eko.</w:t>
      </w:r>
    </w:p>
    <w:p w14:paraId="65C2521D" w14:textId="6152F6A5" w:rsidR="0008463A" w:rsidRPr="004C7CDA" w:rsidRDefault="0008463A" w:rsidP="004C7CDA">
      <w:pPr>
        <w:widowControl w:val="0"/>
        <w:rPr>
          <w:szCs w:val="22"/>
          <w:lang w:val="sr-Latn-ME"/>
        </w:rPr>
      </w:pPr>
      <w:r w:rsidRPr="004C7CDA">
        <w:rPr>
          <w:szCs w:val="22"/>
          <w:lang w:val="sr-Latn-ME"/>
        </w:rPr>
        <w:t>Manito</w:t>
      </w:r>
      <w:r w:rsidR="008B3ED5" w:rsidRPr="004C7CDA">
        <w:rPr>
          <w:szCs w:val="22"/>
          <w:lang w:val="sr-Latn-ME"/>
        </w:rPr>
        <w:t>l</w:t>
      </w:r>
      <w:r w:rsidRPr="004C7CDA">
        <w:rPr>
          <w:szCs w:val="22"/>
          <w:lang w:val="sr-Latn-ME"/>
        </w:rPr>
        <w:t xml:space="preserve"> ne treba koristiti za vr</w:t>
      </w:r>
      <w:r w:rsidR="00EE15F1" w:rsidRPr="004C7CDA">
        <w:rPr>
          <w:szCs w:val="22"/>
          <w:lang w:val="sr-Latn-ME"/>
        </w:rPr>
        <w:t>ij</w:t>
      </w:r>
      <w:r w:rsidRPr="004C7CDA">
        <w:rPr>
          <w:szCs w:val="22"/>
          <w:lang w:val="sr-Latn-ME"/>
        </w:rPr>
        <w:t>eme dojenja, osim uko</w:t>
      </w:r>
      <w:r w:rsidR="008B3ED5" w:rsidRPr="004C7CDA">
        <w:rPr>
          <w:szCs w:val="22"/>
          <w:lang w:val="sr-Latn-ME"/>
        </w:rPr>
        <w:t>l</w:t>
      </w:r>
      <w:r w:rsidRPr="004C7CDA">
        <w:rPr>
          <w:szCs w:val="22"/>
          <w:lang w:val="sr-Latn-ME"/>
        </w:rPr>
        <w:t>iko je to zaista neophodno.</w:t>
      </w:r>
    </w:p>
    <w:p w14:paraId="7A077D3B" w14:textId="77777777" w:rsidR="00CE09F3" w:rsidRPr="004C7CDA" w:rsidRDefault="00CE09F3" w:rsidP="004C7CDA">
      <w:pPr>
        <w:widowControl w:val="0"/>
        <w:rPr>
          <w:szCs w:val="22"/>
          <w:lang w:val="sr-Latn-ME"/>
        </w:rPr>
      </w:pPr>
    </w:p>
    <w:p w14:paraId="0C5C2DFB" w14:textId="3B8FA368" w:rsidR="00CE09F3" w:rsidRPr="004C7CDA" w:rsidRDefault="00CE09F3" w:rsidP="004C7CDA">
      <w:pPr>
        <w:widowControl w:val="0"/>
        <w:rPr>
          <w:b/>
          <w:bCs/>
          <w:spacing w:val="-8"/>
          <w:szCs w:val="22"/>
          <w:lang w:val="sr-Latn-ME"/>
        </w:rPr>
      </w:pPr>
      <w:r w:rsidRPr="004C7CDA">
        <w:rPr>
          <w:b/>
          <w:bCs/>
          <w:spacing w:val="-8"/>
          <w:szCs w:val="22"/>
          <w:lang w:val="sr-Latn-ME"/>
        </w:rPr>
        <w:t xml:space="preserve">4.7. </w:t>
      </w:r>
      <w:r w:rsidR="008B3ED5" w:rsidRPr="004C7CDA">
        <w:rPr>
          <w:b/>
          <w:bCs/>
          <w:szCs w:val="22"/>
          <w:lang w:val="sr-Latn-ME"/>
        </w:rPr>
        <w:t>Uticaj na sposobnost upravljanja vozilima i rukovanje mašinama</w:t>
      </w:r>
    </w:p>
    <w:p w14:paraId="475CBF3D" w14:textId="77777777" w:rsidR="00CE09F3" w:rsidRPr="004C7CDA" w:rsidRDefault="00CE09F3" w:rsidP="004C7CDA">
      <w:pPr>
        <w:widowControl w:val="0"/>
        <w:rPr>
          <w:szCs w:val="22"/>
          <w:lang w:val="sr-Latn-ME"/>
        </w:rPr>
      </w:pPr>
    </w:p>
    <w:p w14:paraId="2CF43A4A" w14:textId="50D3398F" w:rsidR="00BA1FF7" w:rsidRPr="004C7CDA" w:rsidRDefault="00BA1FF7" w:rsidP="004C7CDA">
      <w:pPr>
        <w:widowControl w:val="0"/>
        <w:tabs>
          <w:tab w:val="left" w:pos="-720"/>
          <w:tab w:val="left" w:pos="0"/>
          <w:tab w:val="num" w:pos="1170"/>
        </w:tabs>
        <w:rPr>
          <w:b/>
          <w:szCs w:val="22"/>
          <w:u w:val="single"/>
          <w:lang w:val="sr-Latn-ME"/>
        </w:rPr>
      </w:pPr>
      <w:r w:rsidRPr="004C7CDA">
        <w:rPr>
          <w:szCs w:val="22"/>
          <w:lang w:val="sr-Latn-ME"/>
        </w:rPr>
        <w:t>Nema podataka o uticaju manito</w:t>
      </w:r>
      <w:r w:rsidR="008B3ED5" w:rsidRPr="004C7CDA">
        <w:rPr>
          <w:szCs w:val="22"/>
          <w:lang w:val="sr-Latn-ME"/>
        </w:rPr>
        <w:t>l</w:t>
      </w:r>
      <w:r w:rsidRPr="004C7CDA">
        <w:rPr>
          <w:szCs w:val="22"/>
          <w:lang w:val="sr-Latn-ME"/>
        </w:rPr>
        <w:t>a na sposobnost uprav</w:t>
      </w:r>
      <w:r w:rsidR="008B3ED5" w:rsidRPr="004C7CDA">
        <w:rPr>
          <w:szCs w:val="22"/>
          <w:lang w:val="sr-Latn-ME"/>
        </w:rPr>
        <w:t>l</w:t>
      </w:r>
      <w:r w:rsidRPr="004C7CDA">
        <w:rPr>
          <w:szCs w:val="22"/>
          <w:lang w:val="sr-Latn-ME"/>
        </w:rPr>
        <w:t>janja vozi</w:t>
      </w:r>
      <w:r w:rsidR="008B3ED5" w:rsidRPr="004C7CDA">
        <w:rPr>
          <w:szCs w:val="22"/>
          <w:lang w:val="sr-Latn-ME"/>
        </w:rPr>
        <w:t>l</w:t>
      </w:r>
      <w:r w:rsidRPr="004C7CDA">
        <w:rPr>
          <w:szCs w:val="22"/>
          <w:lang w:val="sr-Latn-ME"/>
        </w:rPr>
        <w:t>ima i</w:t>
      </w:r>
      <w:r w:rsidR="008B3ED5" w:rsidRPr="004C7CDA">
        <w:rPr>
          <w:szCs w:val="22"/>
          <w:lang w:val="sr-Latn-ME"/>
        </w:rPr>
        <w:t>l</w:t>
      </w:r>
      <w:r w:rsidRPr="004C7CDA">
        <w:rPr>
          <w:szCs w:val="22"/>
          <w:lang w:val="sr-Latn-ME"/>
        </w:rPr>
        <w:t xml:space="preserve">i rukovanje mašinama. </w:t>
      </w:r>
    </w:p>
    <w:p w14:paraId="3825A814" w14:textId="77777777" w:rsidR="00CE09F3" w:rsidRPr="004C7CDA" w:rsidRDefault="00CE09F3" w:rsidP="004C7CDA">
      <w:pPr>
        <w:widowControl w:val="0"/>
        <w:rPr>
          <w:szCs w:val="22"/>
          <w:lang w:val="sr-Latn-ME"/>
        </w:rPr>
      </w:pPr>
    </w:p>
    <w:p w14:paraId="17ADCE4D" w14:textId="7C8B523D" w:rsidR="00CE09F3" w:rsidRPr="004C7CDA" w:rsidRDefault="00CE09F3" w:rsidP="004C7CDA">
      <w:pPr>
        <w:widowControl w:val="0"/>
        <w:rPr>
          <w:b/>
          <w:bCs/>
          <w:szCs w:val="22"/>
          <w:lang w:val="sr-Latn-ME"/>
        </w:rPr>
      </w:pPr>
      <w:r w:rsidRPr="004C7CDA">
        <w:rPr>
          <w:b/>
          <w:bCs/>
          <w:szCs w:val="22"/>
          <w:lang w:val="sr-Latn-ME"/>
        </w:rPr>
        <w:t>4.8. Neže</w:t>
      </w:r>
      <w:r w:rsidR="008B3ED5" w:rsidRPr="004C7CDA">
        <w:rPr>
          <w:b/>
          <w:bCs/>
          <w:szCs w:val="22"/>
          <w:lang w:val="sr-Latn-ME"/>
        </w:rPr>
        <w:t>l</w:t>
      </w:r>
      <w:r w:rsidRPr="004C7CDA">
        <w:rPr>
          <w:b/>
          <w:bCs/>
          <w:szCs w:val="22"/>
          <w:lang w:val="sr-Latn-ME"/>
        </w:rPr>
        <w:t>jena dejstva</w:t>
      </w:r>
    </w:p>
    <w:p w14:paraId="35DE163D" w14:textId="4987B88B" w:rsidR="00C307B8" w:rsidRPr="004C7CDA" w:rsidRDefault="00C307B8" w:rsidP="004C7CDA">
      <w:pPr>
        <w:widowControl w:val="0"/>
        <w:rPr>
          <w:szCs w:val="22"/>
          <w:lang w:val="sr-Latn-ME"/>
        </w:rPr>
      </w:pPr>
    </w:p>
    <w:p w14:paraId="628BAB1C" w14:textId="2E33BBB1" w:rsidR="00682145" w:rsidRPr="004C7CDA" w:rsidRDefault="00682145" w:rsidP="004C7CDA">
      <w:pPr>
        <w:widowControl w:val="0"/>
        <w:rPr>
          <w:szCs w:val="22"/>
          <w:lang w:val="sr-Latn-ME"/>
        </w:rPr>
      </w:pPr>
      <w:r w:rsidRPr="004C7CDA">
        <w:rPr>
          <w:szCs w:val="22"/>
          <w:lang w:val="sr-Latn-ME"/>
        </w:rPr>
        <w:t>U tabe</w:t>
      </w:r>
      <w:r w:rsidR="008B3ED5" w:rsidRPr="004C7CDA">
        <w:rPr>
          <w:szCs w:val="22"/>
          <w:lang w:val="sr-Latn-ME"/>
        </w:rPr>
        <w:t>l</w:t>
      </w:r>
      <w:r w:rsidRPr="004C7CDA">
        <w:rPr>
          <w:szCs w:val="22"/>
          <w:lang w:val="sr-Latn-ME"/>
        </w:rPr>
        <w:t>i su navedena neže</w:t>
      </w:r>
      <w:r w:rsidR="008B3ED5" w:rsidRPr="004C7CDA">
        <w:rPr>
          <w:szCs w:val="22"/>
          <w:lang w:val="sr-Latn-ME"/>
        </w:rPr>
        <w:t>l</w:t>
      </w:r>
      <w:r w:rsidRPr="004C7CDA">
        <w:rPr>
          <w:szCs w:val="22"/>
          <w:lang w:val="sr-Latn-ME"/>
        </w:rPr>
        <w:t>jena dejstva koja su prijav</w:t>
      </w:r>
      <w:r w:rsidR="008B3ED5" w:rsidRPr="004C7CDA">
        <w:rPr>
          <w:szCs w:val="22"/>
          <w:lang w:val="sr-Latn-ME"/>
        </w:rPr>
        <w:t>l</w:t>
      </w:r>
      <w:r w:rsidRPr="004C7CDA">
        <w:rPr>
          <w:szCs w:val="22"/>
          <w:lang w:val="sr-Latn-ME"/>
        </w:rPr>
        <w:t>jivana u postmarketinškom praćenju, a grupisan</w:t>
      </w:r>
      <w:r w:rsidR="00965575" w:rsidRPr="004C7CDA">
        <w:rPr>
          <w:szCs w:val="22"/>
          <w:lang w:val="sr-Latn-ME"/>
        </w:rPr>
        <w:t>a</w:t>
      </w:r>
      <w:r w:rsidRPr="004C7CDA">
        <w:rPr>
          <w:szCs w:val="22"/>
          <w:lang w:val="sr-Latn-ME"/>
        </w:rPr>
        <w:t xml:space="preserve"> po MedDRA-k</w:t>
      </w:r>
      <w:r w:rsidR="008B3ED5" w:rsidRPr="004C7CDA">
        <w:rPr>
          <w:szCs w:val="22"/>
          <w:lang w:val="sr-Latn-ME"/>
        </w:rPr>
        <w:t>l</w:t>
      </w:r>
      <w:r w:rsidRPr="004C7CDA">
        <w:rPr>
          <w:szCs w:val="22"/>
          <w:lang w:val="sr-Latn-ME"/>
        </w:rPr>
        <w:t>asifikaciji sistema organa i rangiran</w:t>
      </w:r>
      <w:r w:rsidR="00965575" w:rsidRPr="004C7CDA">
        <w:rPr>
          <w:szCs w:val="22"/>
          <w:lang w:val="sr-Latn-ME"/>
        </w:rPr>
        <w:t>a</w:t>
      </w:r>
      <w:r w:rsidRPr="004C7CDA">
        <w:rPr>
          <w:szCs w:val="22"/>
          <w:lang w:val="sr-Latn-ME"/>
        </w:rPr>
        <w:t xml:space="preserve"> prema učesta</w:t>
      </w:r>
      <w:r w:rsidR="008B3ED5" w:rsidRPr="004C7CDA">
        <w:rPr>
          <w:szCs w:val="22"/>
          <w:lang w:val="sr-Latn-ME"/>
        </w:rPr>
        <w:t>l</w:t>
      </w:r>
      <w:r w:rsidRPr="004C7CDA">
        <w:rPr>
          <w:szCs w:val="22"/>
          <w:lang w:val="sr-Latn-ME"/>
        </w:rPr>
        <w:t>osti: veoma često (≥ 1/10); često (≥ 1/100 do &lt; 1/10); povremeno (≥ 1/1000 do &lt; 1/100); r</w:t>
      </w:r>
      <w:r w:rsidR="006034F5" w:rsidRPr="004C7CDA">
        <w:rPr>
          <w:szCs w:val="22"/>
          <w:lang w:val="sr-Latn-ME"/>
        </w:rPr>
        <w:t>ij</w:t>
      </w:r>
      <w:r w:rsidRPr="004C7CDA">
        <w:rPr>
          <w:szCs w:val="22"/>
          <w:lang w:val="sr-Latn-ME"/>
        </w:rPr>
        <w:t>etko (≥ 1/10000 do &lt; 1/1000); veoma r</w:t>
      </w:r>
      <w:r w:rsidR="006034F5" w:rsidRPr="004C7CDA">
        <w:rPr>
          <w:szCs w:val="22"/>
          <w:lang w:val="sr-Latn-ME"/>
        </w:rPr>
        <w:t>ij</w:t>
      </w:r>
      <w:r w:rsidRPr="004C7CDA">
        <w:rPr>
          <w:szCs w:val="22"/>
          <w:lang w:val="sr-Latn-ME"/>
        </w:rPr>
        <w:t>etko (&lt; 1/10000); nepoznata učesta</w:t>
      </w:r>
      <w:r w:rsidR="008B3ED5" w:rsidRPr="004C7CDA">
        <w:rPr>
          <w:szCs w:val="22"/>
          <w:lang w:val="sr-Latn-ME"/>
        </w:rPr>
        <w:t>l</w:t>
      </w:r>
      <w:r w:rsidRPr="004C7CDA">
        <w:rPr>
          <w:szCs w:val="22"/>
          <w:lang w:val="sr-Latn-ME"/>
        </w:rPr>
        <w:t>ost (</w:t>
      </w:r>
      <w:r w:rsidR="00965575" w:rsidRPr="004C7CDA">
        <w:rPr>
          <w:szCs w:val="22"/>
          <w:lang w:val="sr-Latn-ME"/>
        </w:rPr>
        <w:t xml:space="preserve">učestalost se </w:t>
      </w:r>
      <w:r w:rsidRPr="004C7CDA">
        <w:rPr>
          <w:szCs w:val="22"/>
          <w:lang w:val="sr-Latn-ME"/>
        </w:rPr>
        <w:t>ne može proc</w:t>
      </w:r>
      <w:r w:rsidR="00965575" w:rsidRPr="004C7CDA">
        <w:rPr>
          <w:szCs w:val="22"/>
          <w:lang w:val="sr-Latn-ME"/>
        </w:rPr>
        <w:t>i</w:t>
      </w:r>
      <w:r w:rsidR="008B3ED5" w:rsidRPr="004C7CDA">
        <w:rPr>
          <w:szCs w:val="22"/>
          <w:lang w:val="sr-Latn-ME"/>
        </w:rPr>
        <w:t>j</w:t>
      </w:r>
      <w:r w:rsidRPr="004C7CDA">
        <w:rPr>
          <w:szCs w:val="22"/>
          <w:lang w:val="sr-Latn-ME"/>
        </w:rPr>
        <w:t>eniti na osnovu dostupnih podataka).</w:t>
      </w:r>
    </w:p>
    <w:p w14:paraId="16B950FB" w14:textId="77777777" w:rsidR="00237B8B" w:rsidRPr="004C7CDA" w:rsidRDefault="00237B8B" w:rsidP="004C7CDA">
      <w:pPr>
        <w:widowControl w:val="0"/>
        <w:rPr>
          <w:b/>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586"/>
        <w:gridCol w:w="4271"/>
        <w:gridCol w:w="2204"/>
      </w:tblGrid>
      <w:tr w:rsidR="00FD1403" w:rsidRPr="004C7CDA" w14:paraId="41F0A2A7" w14:textId="77777777" w:rsidTr="00FD1403">
        <w:trPr>
          <w:trHeight w:val="20"/>
        </w:trPr>
        <w:tc>
          <w:tcPr>
            <w:tcW w:w="1427" w:type="pct"/>
            <w:vAlign w:val="center"/>
          </w:tcPr>
          <w:p w14:paraId="3FA054D7" w14:textId="77777777" w:rsidR="00FD1403" w:rsidRPr="004C7CDA" w:rsidRDefault="00FD1403" w:rsidP="004C7CDA">
            <w:pPr>
              <w:widowControl w:val="0"/>
              <w:jc w:val="left"/>
              <w:rPr>
                <w:b/>
                <w:szCs w:val="22"/>
                <w:lang w:val="sr-Latn-ME"/>
              </w:rPr>
            </w:pPr>
            <w:r w:rsidRPr="004C7CDA">
              <w:rPr>
                <w:b/>
                <w:szCs w:val="22"/>
                <w:lang w:val="sr-Latn-ME"/>
              </w:rPr>
              <w:t>MedDRA sistem organa</w:t>
            </w:r>
          </w:p>
        </w:tc>
        <w:tc>
          <w:tcPr>
            <w:tcW w:w="2357" w:type="pct"/>
            <w:vAlign w:val="center"/>
          </w:tcPr>
          <w:p w14:paraId="2A8070A3" w14:textId="4A1FB130" w:rsidR="00FD1403" w:rsidRPr="004C7CDA" w:rsidRDefault="00FD1403" w:rsidP="004C7CDA">
            <w:pPr>
              <w:widowControl w:val="0"/>
              <w:jc w:val="left"/>
              <w:rPr>
                <w:b/>
                <w:szCs w:val="22"/>
                <w:lang w:val="sr-Latn-ME"/>
              </w:rPr>
            </w:pPr>
            <w:r w:rsidRPr="004C7CDA">
              <w:rPr>
                <w:b/>
                <w:szCs w:val="22"/>
                <w:lang w:val="sr-Latn-ME"/>
              </w:rPr>
              <w:t>Neže</w:t>
            </w:r>
            <w:r w:rsidR="008B3ED5" w:rsidRPr="004C7CDA">
              <w:rPr>
                <w:b/>
                <w:szCs w:val="22"/>
                <w:lang w:val="sr-Latn-ME"/>
              </w:rPr>
              <w:t>l</w:t>
            </w:r>
            <w:r w:rsidRPr="004C7CDA">
              <w:rPr>
                <w:b/>
                <w:szCs w:val="22"/>
                <w:lang w:val="sr-Latn-ME"/>
              </w:rPr>
              <w:t>jena dejstva</w:t>
            </w:r>
          </w:p>
        </w:tc>
        <w:tc>
          <w:tcPr>
            <w:tcW w:w="1216" w:type="pct"/>
            <w:vAlign w:val="center"/>
          </w:tcPr>
          <w:p w14:paraId="1C6DF8DB" w14:textId="11EF74B6" w:rsidR="00FD1403" w:rsidRPr="004C7CDA" w:rsidRDefault="00FD1403" w:rsidP="004C7CDA">
            <w:pPr>
              <w:widowControl w:val="0"/>
              <w:jc w:val="left"/>
              <w:rPr>
                <w:b/>
                <w:szCs w:val="22"/>
                <w:lang w:val="sr-Latn-ME"/>
              </w:rPr>
            </w:pPr>
            <w:r w:rsidRPr="004C7CDA">
              <w:rPr>
                <w:b/>
                <w:szCs w:val="22"/>
                <w:lang w:val="sr-Latn-ME"/>
              </w:rPr>
              <w:t>Učesta</w:t>
            </w:r>
            <w:r w:rsidR="008B3ED5" w:rsidRPr="004C7CDA">
              <w:rPr>
                <w:b/>
                <w:szCs w:val="22"/>
                <w:lang w:val="sr-Latn-ME"/>
              </w:rPr>
              <w:t>l</w:t>
            </w:r>
            <w:r w:rsidRPr="004C7CDA">
              <w:rPr>
                <w:b/>
                <w:szCs w:val="22"/>
                <w:lang w:val="sr-Latn-ME"/>
              </w:rPr>
              <w:t xml:space="preserve">ost </w:t>
            </w:r>
          </w:p>
        </w:tc>
      </w:tr>
      <w:tr w:rsidR="00FD1403" w:rsidRPr="004C7CDA" w14:paraId="33B23AB9" w14:textId="77777777" w:rsidTr="00FD1403">
        <w:trPr>
          <w:trHeight w:val="20"/>
        </w:trPr>
        <w:tc>
          <w:tcPr>
            <w:tcW w:w="1427" w:type="pct"/>
            <w:vMerge w:val="restart"/>
            <w:vAlign w:val="center"/>
          </w:tcPr>
          <w:p w14:paraId="479CCA3E" w14:textId="11B437FD" w:rsidR="00FD1403" w:rsidRPr="004C7CDA" w:rsidRDefault="00FD1403" w:rsidP="004C7CDA">
            <w:pPr>
              <w:widowControl w:val="0"/>
              <w:jc w:val="left"/>
              <w:rPr>
                <w:szCs w:val="22"/>
                <w:lang w:val="sr-Latn-ME"/>
              </w:rPr>
            </w:pPr>
            <w:r w:rsidRPr="004C7CDA">
              <w:rPr>
                <w:szCs w:val="22"/>
                <w:lang w:val="sr-Latn-ME"/>
              </w:rPr>
              <w:t>Poremećaji imunog sistema</w:t>
            </w:r>
          </w:p>
        </w:tc>
        <w:tc>
          <w:tcPr>
            <w:tcW w:w="2357" w:type="pct"/>
            <w:vAlign w:val="center"/>
          </w:tcPr>
          <w:p w14:paraId="650783BD" w14:textId="514AE1A2" w:rsidR="00FD1403" w:rsidRPr="004C7CDA" w:rsidRDefault="00FD1403" w:rsidP="004C7CDA">
            <w:pPr>
              <w:widowControl w:val="0"/>
              <w:jc w:val="left"/>
              <w:rPr>
                <w:szCs w:val="22"/>
                <w:lang w:val="sr-Latn-ME"/>
              </w:rPr>
            </w:pPr>
            <w:r w:rsidRPr="004C7CDA">
              <w:rPr>
                <w:szCs w:val="22"/>
                <w:lang w:val="sr-Latn-ME"/>
              </w:rPr>
              <w:t>A</w:t>
            </w:r>
            <w:r w:rsidR="008B3ED5" w:rsidRPr="004C7CDA">
              <w:rPr>
                <w:szCs w:val="22"/>
                <w:lang w:val="sr-Latn-ME"/>
              </w:rPr>
              <w:t>l</w:t>
            </w:r>
            <w:r w:rsidRPr="004C7CDA">
              <w:rPr>
                <w:szCs w:val="22"/>
                <w:lang w:val="sr-Latn-ME"/>
              </w:rPr>
              <w:t>ergijske reakcije</w:t>
            </w:r>
          </w:p>
        </w:tc>
        <w:tc>
          <w:tcPr>
            <w:tcW w:w="1216" w:type="pct"/>
            <w:vMerge w:val="restart"/>
            <w:vAlign w:val="center"/>
          </w:tcPr>
          <w:p w14:paraId="6C55D3FB" w14:textId="73FE2FF9" w:rsidR="00FD1403" w:rsidRPr="004C7CDA" w:rsidRDefault="00FD1403" w:rsidP="004C7CDA">
            <w:pPr>
              <w:widowControl w:val="0"/>
              <w:jc w:val="left"/>
              <w:rPr>
                <w:szCs w:val="22"/>
                <w:lang w:val="sr-Latn-ME"/>
              </w:rPr>
            </w:pPr>
            <w:r w:rsidRPr="004C7CDA">
              <w:rPr>
                <w:szCs w:val="22"/>
                <w:lang w:val="sr-Latn-ME"/>
              </w:rPr>
              <w:t>Nepoznata učesta</w:t>
            </w:r>
            <w:r w:rsidR="008B3ED5" w:rsidRPr="004C7CDA">
              <w:rPr>
                <w:szCs w:val="22"/>
                <w:lang w:val="sr-Latn-ME"/>
              </w:rPr>
              <w:t>l</w:t>
            </w:r>
            <w:r w:rsidRPr="004C7CDA">
              <w:rPr>
                <w:szCs w:val="22"/>
                <w:lang w:val="sr-Latn-ME"/>
              </w:rPr>
              <w:t>ost</w:t>
            </w:r>
          </w:p>
        </w:tc>
      </w:tr>
      <w:tr w:rsidR="00FD1403" w:rsidRPr="004C7CDA" w14:paraId="43CE1267" w14:textId="77777777" w:rsidTr="00FD1403">
        <w:trPr>
          <w:trHeight w:val="20"/>
        </w:trPr>
        <w:tc>
          <w:tcPr>
            <w:tcW w:w="1427" w:type="pct"/>
            <w:vMerge/>
            <w:vAlign w:val="center"/>
          </w:tcPr>
          <w:p w14:paraId="57838C78" w14:textId="77777777" w:rsidR="00FD1403" w:rsidRPr="004C7CDA" w:rsidRDefault="00FD1403" w:rsidP="004C7CDA">
            <w:pPr>
              <w:widowControl w:val="0"/>
              <w:jc w:val="left"/>
              <w:rPr>
                <w:szCs w:val="22"/>
                <w:lang w:val="sr-Latn-ME"/>
              </w:rPr>
            </w:pPr>
          </w:p>
        </w:tc>
        <w:tc>
          <w:tcPr>
            <w:tcW w:w="2357" w:type="pct"/>
            <w:tcBorders>
              <w:bottom w:val="single" w:sz="4" w:space="0" w:color="auto"/>
            </w:tcBorders>
            <w:vAlign w:val="center"/>
          </w:tcPr>
          <w:p w14:paraId="6CB0B973" w14:textId="51876E02" w:rsidR="00FD1403" w:rsidRPr="004C7CDA" w:rsidRDefault="00FD1403" w:rsidP="004C7CDA">
            <w:pPr>
              <w:widowControl w:val="0"/>
              <w:tabs>
                <w:tab w:val="clear" w:pos="284"/>
              </w:tabs>
              <w:autoSpaceDE w:val="0"/>
              <w:autoSpaceDN w:val="0"/>
              <w:adjustRightInd w:val="0"/>
              <w:jc w:val="left"/>
              <w:rPr>
                <w:rFonts w:eastAsia="TimesNewRoman"/>
                <w:szCs w:val="22"/>
                <w:lang w:val="sr-Latn-ME"/>
              </w:rPr>
            </w:pPr>
            <w:r w:rsidRPr="004C7CDA">
              <w:rPr>
                <w:szCs w:val="22"/>
                <w:lang w:val="sr-Latn-ME"/>
              </w:rPr>
              <w:t>Anafi</w:t>
            </w:r>
            <w:r w:rsidR="008B3ED5" w:rsidRPr="004C7CDA">
              <w:rPr>
                <w:szCs w:val="22"/>
                <w:lang w:val="sr-Latn-ME"/>
              </w:rPr>
              <w:t>l</w:t>
            </w:r>
            <w:r w:rsidRPr="004C7CDA">
              <w:rPr>
                <w:szCs w:val="22"/>
                <w:lang w:val="sr-Latn-ME"/>
              </w:rPr>
              <w:t>aktička reakcija – uk</w:t>
            </w:r>
            <w:r w:rsidR="008B3ED5" w:rsidRPr="004C7CDA">
              <w:rPr>
                <w:szCs w:val="22"/>
                <w:lang w:val="sr-Latn-ME"/>
              </w:rPr>
              <w:t>l</w:t>
            </w:r>
            <w:r w:rsidRPr="004C7CDA">
              <w:rPr>
                <w:szCs w:val="22"/>
                <w:lang w:val="sr-Latn-ME"/>
              </w:rPr>
              <w:t>jučujući i anafi</w:t>
            </w:r>
            <w:r w:rsidR="008B3ED5" w:rsidRPr="004C7CDA">
              <w:rPr>
                <w:szCs w:val="22"/>
                <w:lang w:val="sr-Latn-ME"/>
              </w:rPr>
              <w:t>l</w:t>
            </w:r>
            <w:r w:rsidRPr="004C7CDA">
              <w:rPr>
                <w:szCs w:val="22"/>
                <w:lang w:val="sr-Latn-ME"/>
              </w:rPr>
              <w:t xml:space="preserve">aktički šok </w:t>
            </w:r>
            <w:r w:rsidRPr="004C7CDA">
              <w:rPr>
                <w:rFonts w:eastAsia="TimesNewRoman"/>
                <w:szCs w:val="22"/>
                <w:lang w:val="sr-Latn-ME"/>
              </w:rPr>
              <w:t>koji može da se ispo</w:t>
            </w:r>
            <w:r w:rsidR="008B3ED5" w:rsidRPr="004C7CDA">
              <w:rPr>
                <w:rFonts w:eastAsia="TimesNewRoman"/>
                <w:szCs w:val="22"/>
                <w:lang w:val="sr-Latn-ME"/>
              </w:rPr>
              <w:t>l</w:t>
            </w:r>
            <w:r w:rsidRPr="004C7CDA">
              <w:rPr>
                <w:rFonts w:eastAsia="TimesNewRoman"/>
                <w:szCs w:val="22"/>
                <w:lang w:val="sr-Latn-ME"/>
              </w:rPr>
              <w:t>ji na koži, gastrointestina</w:t>
            </w:r>
            <w:r w:rsidR="008B3ED5" w:rsidRPr="004C7CDA">
              <w:rPr>
                <w:rFonts w:eastAsia="TimesNewRoman"/>
                <w:szCs w:val="22"/>
                <w:lang w:val="sr-Latn-ME"/>
              </w:rPr>
              <w:t>l</w:t>
            </w:r>
            <w:r w:rsidRPr="004C7CDA">
              <w:rPr>
                <w:rFonts w:eastAsia="TimesNewRoman"/>
                <w:szCs w:val="22"/>
                <w:lang w:val="sr-Latn-ME"/>
              </w:rPr>
              <w:t>nom traktu, i u vidu teških cirku</w:t>
            </w:r>
            <w:r w:rsidR="008B3ED5" w:rsidRPr="004C7CDA">
              <w:rPr>
                <w:rFonts w:eastAsia="TimesNewRoman"/>
                <w:szCs w:val="22"/>
                <w:lang w:val="sr-Latn-ME"/>
              </w:rPr>
              <w:t>l</w:t>
            </w:r>
            <w:r w:rsidRPr="004C7CDA">
              <w:rPr>
                <w:rFonts w:eastAsia="TimesNewRoman"/>
                <w:szCs w:val="22"/>
                <w:lang w:val="sr-Latn-ME"/>
              </w:rPr>
              <w:t>atornih (hipotenzija) i respiratornih manifestacija (npr. dispneja).</w:t>
            </w:r>
          </w:p>
        </w:tc>
        <w:tc>
          <w:tcPr>
            <w:tcW w:w="1216" w:type="pct"/>
            <w:vMerge/>
            <w:vAlign w:val="center"/>
          </w:tcPr>
          <w:p w14:paraId="52C75328" w14:textId="77777777" w:rsidR="00FD1403" w:rsidRPr="004C7CDA" w:rsidRDefault="00FD1403" w:rsidP="004C7CDA">
            <w:pPr>
              <w:widowControl w:val="0"/>
              <w:jc w:val="left"/>
              <w:rPr>
                <w:szCs w:val="22"/>
                <w:lang w:val="sr-Latn-ME"/>
              </w:rPr>
            </w:pPr>
          </w:p>
        </w:tc>
      </w:tr>
      <w:tr w:rsidR="00FD1403" w:rsidRPr="004C7CDA" w14:paraId="7BE4A36A" w14:textId="77777777" w:rsidTr="00FD1403">
        <w:trPr>
          <w:trHeight w:val="20"/>
        </w:trPr>
        <w:tc>
          <w:tcPr>
            <w:tcW w:w="1427" w:type="pct"/>
            <w:vMerge/>
            <w:vAlign w:val="center"/>
          </w:tcPr>
          <w:p w14:paraId="53A4D055" w14:textId="77777777" w:rsidR="00FD1403" w:rsidRPr="004C7CDA" w:rsidRDefault="00FD1403" w:rsidP="004C7CDA">
            <w:pPr>
              <w:widowControl w:val="0"/>
              <w:jc w:val="left"/>
              <w:rPr>
                <w:szCs w:val="22"/>
                <w:lang w:val="sr-Latn-ME"/>
              </w:rPr>
            </w:pPr>
          </w:p>
        </w:tc>
        <w:tc>
          <w:tcPr>
            <w:tcW w:w="2357" w:type="pct"/>
            <w:tcBorders>
              <w:bottom w:val="single" w:sz="4" w:space="0" w:color="auto"/>
            </w:tcBorders>
            <w:vAlign w:val="center"/>
          </w:tcPr>
          <w:p w14:paraId="74D941B0" w14:textId="382A361F" w:rsidR="00FD1403" w:rsidRPr="004C7CDA" w:rsidRDefault="00FD1403" w:rsidP="004C7CDA">
            <w:pPr>
              <w:widowControl w:val="0"/>
              <w:tabs>
                <w:tab w:val="clear" w:pos="284"/>
              </w:tabs>
              <w:autoSpaceDE w:val="0"/>
              <w:autoSpaceDN w:val="0"/>
              <w:adjustRightInd w:val="0"/>
              <w:jc w:val="left"/>
              <w:rPr>
                <w:rFonts w:eastAsia="TimesNewRoman"/>
                <w:szCs w:val="22"/>
                <w:lang w:val="sr-Latn-ME"/>
              </w:rPr>
            </w:pPr>
            <w:r w:rsidRPr="004C7CDA">
              <w:rPr>
                <w:rFonts w:eastAsia="TimesNewRoman"/>
                <w:szCs w:val="22"/>
                <w:lang w:val="sr-Latn-ME"/>
              </w:rPr>
              <w:t>Druge reakcije preos</w:t>
            </w:r>
            <w:r w:rsidR="00B70412" w:rsidRPr="004C7CDA">
              <w:rPr>
                <w:rFonts w:eastAsia="TimesNewRoman"/>
                <w:szCs w:val="22"/>
                <w:lang w:val="sr-Latn-ME"/>
              </w:rPr>
              <w:t>j</w:t>
            </w:r>
            <w:r w:rsidRPr="004C7CDA">
              <w:rPr>
                <w:rFonts w:eastAsia="TimesNewRoman"/>
                <w:szCs w:val="22"/>
                <w:lang w:val="sr-Latn-ME"/>
              </w:rPr>
              <w:t>et</w:t>
            </w:r>
            <w:r w:rsidR="008B3ED5" w:rsidRPr="004C7CDA">
              <w:rPr>
                <w:rFonts w:eastAsia="TimesNewRoman"/>
                <w:szCs w:val="22"/>
                <w:lang w:val="sr-Latn-ME"/>
              </w:rPr>
              <w:t>l</w:t>
            </w:r>
            <w:r w:rsidRPr="004C7CDA">
              <w:rPr>
                <w:rFonts w:eastAsia="TimesNewRoman"/>
                <w:szCs w:val="22"/>
                <w:lang w:val="sr-Latn-ME"/>
              </w:rPr>
              <w:t>jivosti/reakcije vezane za davanje infuzije uk</w:t>
            </w:r>
            <w:r w:rsidR="008B3ED5" w:rsidRPr="004C7CDA">
              <w:rPr>
                <w:rFonts w:eastAsia="TimesNewRoman"/>
                <w:szCs w:val="22"/>
                <w:lang w:val="sr-Latn-ME"/>
              </w:rPr>
              <w:t>l</w:t>
            </w:r>
            <w:r w:rsidRPr="004C7CDA">
              <w:rPr>
                <w:rFonts w:eastAsia="TimesNewRoman"/>
                <w:szCs w:val="22"/>
                <w:lang w:val="sr-Latn-ME"/>
              </w:rPr>
              <w:t>jučuju:</w:t>
            </w:r>
          </w:p>
          <w:p w14:paraId="4DBA03F5" w14:textId="77777777" w:rsidR="00FD1403" w:rsidRPr="004C7CDA" w:rsidRDefault="00FD1403" w:rsidP="004C7CDA">
            <w:pPr>
              <w:pStyle w:val="ListParagraph"/>
              <w:widowControl w:val="0"/>
              <w:numPr>
                <w:ilvl w:val="0"/>
                <w:numId w:val="11"/>
              </w:numPr>
              <w:tabs>
                <w:tab w:val="clear" w:pos="284"/>
              </w:tabs>
              <w:autoSpaceDE w:val="0"/>
              <w:autoSpaceDN w:val="0"/>
              <w:adjustRightInd w:val="0"/>
              <w:jc w:val="left"/>
              <w:rPr>
                <w:rFonts w:eastAsia="TimesNewRoman"/>
                <w:szCs w:val="22"/>
                <w:lang w:val="sr-Latn-ME"/>
              </w:rPr>
            </w:pPr>
            <w:r w:rsidRPr="004C7CDA">
              <w:rPr>
                <w:rFonts w:eastAsia="TimesNewRoman"/>
                <w:szCs w:val="22"/>
                <w:lang w:val="sr-Latn-ME"/>
              </w:rPr>
              <w:t>hipertenziju,</w:t>
            </w:r>
          </w:p>
          <w:p w14:paraId="7436B421" w14:textId="77777777" w:rsidR="00FD1403" w:rsidRPr="004C7CDA" w:rsidRDefault="00FD1403" w:rsidP="004C7CDA">
            <w:pPr>
              <w:pStyle w:val="ListParagraph"/>
              <w:widowControl w:val="0"/>
              <w:numPr>
                <w:ilvl w:val="0"/>
                <w:numId w:val="11"/>
              </w:numPr>
              <w:tabs>
                <w:tab w:val="clear" w:pos="284"/>
              </w:tabs>
              <w:autoSpaceDE w:val="0"/>
              <w:autoSpaceDN w:val="0"/>
              <w:adjustRightInd w:val="0"/>
              <w:jc w:val="left"/>
              <w:rPr>
                <w:rFonts w:eastAsia="TimesNewRoman"/>
                <w:szCs w:val="22"/>
                <w:lang w:val="sr-Latn-ME"/>
              </w:rPr>
            </w:pPr>
            <w:r w:rsidRPr="004C7CDA">
              <w:rPr>
                <w:rFonts w:eastAsia="TimesNewRoman"/>
                <w:szCs w:val="22"/>
                <w:lang w:val="sr-Latn-ME"/>
              </w:rPr>
              <w:t>pireksiju,</w:t>
            </w:r>
          </w:p>
          <w:p w14:paraId="71A945EE" w14:textId="77777777" w:rsidR="00FD1403" w:rsidRPr="004C7CDA" w:rsidRDefault="00FD1403" w:rsidP="004C7CDA">
            <w:pPr>
              <w:pStyle w:val="ListParagraph"/>
              <w:widowControl w:val="0"/>
              <w:numPr>
                <w:ilvl w:val="0"/>
                <w:numId w:val="11"/>
              </w:numPr>
              <w:tabs>
                <w:tab w:val="clear" w:pos="284"/>
              </w:tabs>
              <w:autoSpaceDE w:val="0"/>
              <w:autoSpaceDN w:val="0"/>
              <w:adjustRightInd w:val="0"/>
              <w:jc w:val="left"/>
              <w:rPr>
                <w:rFonts w:eastAsia="TimesNewRoman"/>
                <w:szCs w:val="22"/>
                <w:lang w:val="sr-Latn-ME"/>
              </w:rPr>
            </w:pPr>
            <w:r w:rsidRPr="004C7CDA">
              <w:rPr>
                <w:rFonts w:eastAsia="TimesNewRoman"/>
                <w:szCs w:val="22"/>
                <w:lang w:val="sr-Latn-ME"/>
              </w:rPr>
              <w:lastRenderedPageBreak/>
              <w:t>jezu,</w:t>
            </w:r>
          </w:p>
          <w:p w14:paraId="05ECA3B1" w14:textId="77777777" w:rsidR="00FD1403" w:rsidRPr="004C7CDA" w:rsidRDefault="00FD1403" w:rsidP="004C7CDA">
            <w:pPr>
              <w:pStyle w:val="ListParagraph"/>
              <w:widowControl w:val="0"/>
              <w:numPr>
                <w:ilvl w:val="0"/>
                <w:numId w:val="11"/>
              </w:numPr>
              <w:tabs>
                <w:tab w:val="clear" w:pos="284"/>
              </w:tabs>
              <w:autoSpaceDE w:val="0"/>
              <w:autoSpaceDN w:val="0"/>
              <w:adjustRightInd w:val="0"/>
              <w:jc w:val="left"/>
              <w:rPr>
                <w:rFonts w:eastAsia="TimesNewRoman"/>
                <w:szCs w:val="22"/>
                <w:lang w:val="sr-Latn-ME"/>
              </w:rPr>
            </w:pPr>
            <w:r w:rsidRPr="004C7CDA">
              <w:rPr>
                <w:rFonts w:eastAsia="TimesNewRoman"/>
                <w:szCs w:val="22"/>
                <w:lang w:val="sr-Latn-ME"/>
              </w:rPr>
              <w:t>znojenje,</w:t>
            </w:r>
          </w:p>
          <w:p w14:paraId="625063E3" w14:textId="145CB63C" w:rsidR="00FD1403" w:rsidRPr="004C7CDA" w:rsidRDefault="00FD1403" w:rsidP="004C7CDA">
            <w:pPr>
              <w:pStyle w:val="ListParagraph"/>
              <w:widowControl w:val="0"/>
              <w:numPr>
                <w:ilvl w:val="0"/>
                <w:numId w:val="11"/>
              </w:numPr>
              <w:tabs>
                <w:tab w:val="clear" w:pos="284"/>
              </w:tabs>
              <w:autoSpaceDE w:val="0"/>
              <w:autoSpaceDN w:val="0"/>
              <w:adjustRightInd w:val="0"/>
              <w:jc w:val="left"/>
              <w:rPr>
                <w:rFonts w:eastAsia="TimesNewRoman"/>
                <w:szCs w:val="22"/>
                <w:lang w:val="sr-Latn-ME"/>
              </w:rPr>
            </w:pPr>
            <w:r w:rsidRPr="004C7CDA">
              <w:rPr>
                <w:rFonts w:eastAsia="TimesNewRoman"/>
                <w:szCs w:val="22"/>
                <w:lang w:val="sr-Latn-ME"/>
              </w:rPr>
              <w:t>kaša</w:t>
            </w:r>
            <w:r w:rsidR="008B3ED5" w:rsidRPr="004C7CDA">
              <w:rPr>
                <w:rFonts w:eastAsia="TimesNewRoman"/>
                <w:szCs w:val="22"/>
                <w:lang w:val="sr-Latn-ME"/>
              </w:rPr>
              <w:t>l</w:t>
            </w:r>
            <w:r w:rsidRPr="004C7CDA">
              <w:rPr>
                <w:rFonts w:eastAsia="TimesNewRoman"/>
                <w:szCs w:val="22"/>
                <w:lang w:val="sr-Latn-ME"/>
              </w:rPr>
              <w:t>j,</w:t>
            </w:r>
          </w:p>
          <w:p w14:paraId="4114EA36" w14:textId="65758A6F" w:rsidR="00FD1403" w:rsidRPr="004C7CDA" w:rsidRDefault="00FD1403" w:rsidP="004C7CDA">
            <w:pPr>
              <w:pStyle w:val="ListParagraph"/>
              <w:widowControl w:val="0"/>
              <w:numPr>
                <w:ilvl w:val="0"/>
                <w:numId w:val="11"/>
              </w:numPr>
              <w:tabs>
                <w:tab w:val="clear" w:pos="284"/>
              </w:tabs>
              <w:autoSpaceDE w:val="0"/>
              <w:autoSpaceDN w:val="0"/>
              <w:adjustRightInd w:val="0"/>
              <w:jc w:val="left"/>
              <w:rPr>
                <w:rFonts w:eastAsia="TimesNewRoman"/>
                <w:szCs w:val="22"/>
                <w:lang w:val="sr-Latn-ME"/>
              </w:rPr>
            </w:pPr>
            <w:r w:rsidRPr="004C7CDA">
              <w:rPr>
                <w:rFonts w:eastAsia="TimesNewRoman"/>
                <w:szCs w:val="22"/>
                <w:lang w:val="sr-Latn-ME"/>
              </w:rPr>
              <w:t>mišićno-koštanu ukočenost i mija</w:t>
            </w:r>
            <w:r w:rsidR="008B3ED5" w:rsidRPr="004C7CDA">
              <w:rPr>
                <w:rFonts w:eastAsia="TimesNewRoman"/>
                <w:szCs w:val="22"/>
                <w:lang w:val="sr-Latn-ME"/>
              </w:rPr>
              <w:t>l</w:t>
            </w:r>
            <w:r w:rsidRPr="004C7CDA">
              <w:rPr>
                <w:rFonts w:eastAsia="TimesNewRoman"/>
                <w:szCs w:val="22"/>
                <w:lang w:val="sr-Latn-ME"/>
              </w:rPr>
              <w:t>giju,</w:t>
            </w:r>
          </w:p>
          <w:p w14:paraId="5A69DEED" w14:textId="77777777" w:rsidR="00FD1403" w:rsidRPr="004C7CDA" w:rsidRDefault="00FD1403" w:rsidP="004C7CDA">
            <w:pPr>
              <w:pStyle w:val="ListParagraph"/>
              <w:widowControl w:val="0"/>
              <w:numPr>
                <w:ilvl w:val="0"/>
                <w:numId w:val="11"/>
              </w:numPr>
              <w:tabs>
                <w:tab w:val="clear" w:pos="284"/>
              </w:tabs>
              <w:autoSpaceDE w:val="0"/>
              <w:autoSpaceDN w:val="0"/>
              <w:adjustRightInd w:val="0"/>
              <w:jc w:val="left"/>
              <w:rPr>
                <w:rFonts w:eastAsia="TimesNewRoman"/>
                <w:szCs w:val="22"/>
                <w:lang w:val="sr-Latn-ME"/>
              </w:rPr>
            </w:pPr>
            <w:r w:rsidRPr="004C7CDA">
              <w:rPr>
                <w:rFonts w:eastAsia="TimesNewRoman"/>
                <w:szCs w:val="22"/>
                <w:lang w:val="sr-Latn-ME"/>
              </w:rPr>
              <w:t>urtikariju/osip,</w:t>
            </w:r>
          </w:p>
          <w:p w14:paraId="2A9A049D" w14:textId="77777777" w:rsidR="00FD1403" w:rsidRPr="004C7CDA" w:rsidRDefault="00FD1403" w:rsidP="004C7CDA">
            <w:pPr>
              <w:pStyle w:val="ListParagraph"/>
              <w:widowControl w:val="0"/>
              <w:numPr>
                <w:ilvl w:val="0"/>
                <w:numId w:val="11"/>
              </w:numPr>
              <w:tabs>
                <w:tab w:val="clear" w:pos="284"/>
              </w:tabs>
              <w:autoSpaceDE w:val="0"/>
              <w:autoSpaceDN w:val="0"/>
              <w:adjustRightInd w:val="0"/>
              <w:jc w:val="left"/>
              <w:rPr>
                <w:rFonts w:eastAsia="TimesNewRoman"/>
                <w:szCs w:val="22"/>
                <w:lang w:val="sr-Latn-ME"/>
              </w:rPr>
            </w:pPr>
            <w:r w:rsidRPr="004C7CDA">
              <w:rPr>
                <w:rFonts w:eastAsia="TimesNewRoman"/>
                <w:szCs w:val="22"/>
                <w:lang w:val="sr-Latn-ME"/>
              </w:rPr>
              <w:t>pruritus,</w:t>
            </w:r>
          </w:p>
          <w:p w14:paraId="71AFBEB1" w14:textId="423C14B0" w:rsidR="00FD1403" w:rsidRPr="004C7CDA" w:rsidRDefault="00FD1403" w:rsidP="004C7CDA">
            <w:pPr>
              <w:pStyle w:val="ListParagraph"/>
              <w:widowControl w:val="0"/>
              <w:numPr>
                <w:ilvl w:val="0"/>
                <w:numId w:val="11"/>
              </w:numPr>
              <w:tabs>
                <w:tab w:val="clear" w:pos="284"/>
              </w:tabs>
              <w:autoSpaceDE w:val="0"/>
              <w:autoSpaceDN w:val="0"/>
              <w:adjustRightInd w:val="0"/>
              <w:jc w:val="left"/>
              <w:rPr>
                <w:rFonts w:eastAsia="TimesNewRoman"/>
                <w:szCs w:val="22"/>
                <w:lang w:val="sr-Latn-ME"/>
              </w:rPr>
            </w:pPr>
            <w:r w:rsidRPr="004C7CDA">
              <w:rPr>
                <w:rFonts w:eastAsia="TimesNewRoman"/>
                <w:szCs w:val="22"/>
                <w:lang w:val="sr-Latn-ME"/>
              </w:rPr>
              <w:t>genera</w:t>
            </w:r>
            <w:r w:rsidR="008B3ED5" w:rsidRPr="004C7CDA">
              <w:rPr>
                <w:rFonts w:eastAsia="TimesNewRoman"/>
                <w:szCs w:val="22"/>
                <w:lang w:val="sr-Latn-ME"/>
              </w:rPr>
              <w:t>l</w:t>
            </w:r>
            <w:r w:rsidRPr="004C7CDA">
              <w:rPr>
                <w:rFonts w:eastAsia="TimesNewRoman"/>
                <w:szCs w:val="22"/>
                <w:lang w:val="sr-Latn-ME"/>
              </w:rPr>
              <w:t>izovani bo</w:t>
            </w:r>
            <w:r w:rsidR="008B3ED5" w:rsidRPr="004C7CDA">
              <w:rPr>
                <w:rFonts w:eastAsia="TimesNewRoman"/>
                <w:szCs w:val="22"/>
                <w:lang w:val="sr-Latn-ME"/>
              </w:rPr>
              <w:t>l</w:t>
            </w:r>
            <w:r w:rsidRPr="004C7CDA">
              <w:rPr>
                <w:rFonts w:eastAsia="TimesNewRoman"/>
                <w:szCs w:val="22"/>
                <w:lang w:val="sr-Latn-ME"/>
              </w:rPr>
              <w:t>,</w:t>
            </w:r>
          </w:p>
          <w:p w14:paraId="7E338D53" w14:textId="137F6514" w:rsidR="00FD1403" w:rsidRPr="004C7CDA" w:rsidRDefault="00FD1403" w:rsidP="004C7CDA">
            <w:pPr>
              <w:pStyle w:val="ListParagraph"/>
              <w:widowControl w:val="0"/>
              <w:numPr>
                <w:ilvl w:val="0"/>
                <w:numId w:val="11"/>
              </w:numPr>
              <w:tabs>
                <w:tab w:val="clear" w:pos="284"/>
              </w:tabs>
              <w:autoSpaceDE w:val="0"/>
              <w:autoSpaceDN w:val="0"/>
              <w:adjustRightInd w:val="0"/>
              <w:jc w:val="left"/>
              <w:rPr>
                <w:rFonts w:eastAsia="TimesNewRoman"/>
                <w:szCs w:val="22"/>
                <w:lang w:val="sr-Latn-ME"/>
              </w:rPr>
            </w:pPr>
            <w:r w:rsidRPr="004C7CDA">
              <w:rPr>
                <w:rFonts w:eastAsia="TimesNewRoman"/>
                <w:szCs w:val="22"/>
                <w:lang w:val="sr-Latn-ME"/>
              </w:rPr>
              <w:t>os</w:t>
            </w:r>
            <w:r w:rsidR="001C7C3D" w:rsidRPr="004C7CDA">
              <w:rPr>
                <w:rFonts w:eastAsia="TimesNewRoman"/>
                <w:szCs w:val="22"/>
                <w:lang w:val="sr-Latn-ME"/>
              </w:rPr>
              <w:t>j</w:t>
            </w:r>
            <w:r w:rsidRPr="004C7CDA">
              <w:rPr>
                <w:rFonts w:eastAsia="TimesNewRoman"/>
                <w:szCs w:val="22"/>
                <w:lang w:val="sr-Latn-ME"/>
              </w:rPr>
              <w:t>ećaj ne</w:t>
            </w:r>
            <w:r w:rsidR="008B3ED5" w:rsidRPr="004C7CDA">
              <w:rPr>
                <w:rFonts w:eastAsia="TimesNewRoman"/>
                <w:szCs w:val="22"/>
                <w:lang w:val="sr-Latn-ME"/>
              </w:rPr>
              <w:t>l</w:t>
            </w:r>
            <w:r w:rsidRPr="004C7CDA">
              <w:rPr>
                <w:rFonts w:eastAsia="TimesNewRoman"/>
                <w:szCs w:val="22"/>
                <w:lang w:val="sr-Latn-ME"/>
              </w:rPr>
              <w:t>agodnosti,</w:t>
            </w:r>
          </w:p>
          <w:p w14:paraId="1AC1A144" w14:textId="77777777" w:rsidR="00FD1403" w:rsidRPr="004C7CDA" w:rsidRDefault="00FD1403" w:rsidP="004C7CDA">
            <w:pPr>
              <w:pStyle w:val="ListParagraph"/>
              <w:widowControl w:val="0"/>
              <w:numPr>
                <w:ilvl w:val="0"/>
                <w:numId w:val="11"/>
              </w:numPr>
              <w:tabs>
                <w:tab w:val="clear" w:pos="284"/>
              </w:tabs>
              <w:autoSpaceDE w:val="0"/>
              <w:autoSpaceDN w:val="0"/>
              <w:adjustRightInd w:val="0"/>
              <w:jc w:val="left"/>
              <w:rPr>
                <w:rFonts w:eastAsia="TimesNewRoman"/>
                <w:szCs w:val="22"/>
                <w:lang w:val="sr-Latn-ME"/>
              </w:rPr>
            </w:pPr>
            <w:r w:rsidRPr="004C7CDA">
              <w:rPr>
                <w:rFonts w:eastAsia="TimesNewRoman"/>
                <w:szCs w:val="22"/>
                <w:lang w:val="sr-Latn-ME"/>
              </w:rPr>
              <w:t>mučninu,</w:t>
            </w:r>
          </w:p>
          <w:p w14:paraId="115467C7" w14:textId="78AE9E59" w:rsidR="00FD1403" w:rsidRPr="004C7CDA" w:rsidRDefault="00FD1403" w:rsidP="004C7CDA">
            <w:pPr>
              <w:pStyle w:val="ListParagraph"/>
              <w:widowControl w:val="0"/>
              <w:numPr>
                <w:ilvl w:val="0"/>
                <w:numId w:val="11"/>
              </w:numPr>
              <w:tabs>
                <w:tab w:val="clear" w:pos="284"/>
              </w:tabs>
              <w:autoSpaceDE w:val="0"/>
              <w:autoSpaceDN w:val="0"/>
              <w:adjustRightInd w:val="0"/>
              <w:jc w:val="left"/>
              <w:rPr>
                <w:rFonts w:eastAsia="TimesNewRoman"/>
                <w:szCs w:val="22"/>
                <w:lang w:val="sr-Latn-ME"/>
              </w:rPr>
            </w:pPr>
            <w:r w:rsidRPr="004C7CDA">
              <w:rPr>
                <w:rFonts w:eastAsia="TimesNewRoman"/>
                <w:szCs w:val="22"/>
                <w:lang w:val="sr-Latn-ME"/>
              </w:rPr>
              <w:t>povraćanje</w:t>
            </w:r>
            <w:r w:rsidR="001C7C3D" w:rsidRPr="004C7CDA">
              <w:rPr>
                <w:rFonts w:eastAsia="TimesNewRoman"/>
                <w:szCs w:val="22"/>
                <w:lang w:val="sr-Latn-ME"/>
              </w:rPr>
              <w:t>,</w:t>
            </w:r>
          </w:p>
          <w:p w14:paraId="6E1DE800" w14:textId="07D87B88" w:rsidR="00FD1403" w:rsidRPr="004C7CDA" w:rsidRDefault="00FD1403" w:rsidP="004C7CDA">
            <w:pPr>
              <w:pStyle w:val="ListParagraph"/>
              <w:widowControl w:val="0"/>
              <w:numPr>
                <w:ilvl w:val="0"/>
                <w:numId w:val="11"/>
              </w:numPr>
              <w:tabs>
                <w:tab w:val="clear" w:pos="284"/>
              </w:tabs>
              <w:autoSpaceDE w:val="0"/>
              <w:autoSpaceDN w:val="0"/>
              <w:adjustRightInd w:val="0"/>
              <w:jc w:val="left"/>
              <w:rPr>
                <w:rFonts w:eastAsia="TimesNewRoman"/>
                <w:szCs w:val="22"/>
                <w:lang w:val="sr-Latn-ME"/>
              </w:rPr>
            </w:pPr>
            <w:r w:rsidRPr="004C7CDA">
              <w:rPr>
                <w:rFonts w:eastAsia="TimesNewRoman"/>
                <w:szCs w:val="22"/>
                <w:lang w:val="sr-Latn-ME"/>
              </w:rPr>
              <w:t>g</w:t>
            </w:r>
            <w:r w:rsidR="008B3ED5" w:rsidRPr="004C7CDA">
              <w:rPr>
                <w:rFonts w:eastAsia="TimesNewRoman"/>
                <w:szCs w:val="22"/>
                <w:lang w:val="sr-Latn-ME"/>
              </w:rPr>
              <w:t>l</w:t>
            </w:r>
            <w:r w:rsidRPr="004C7CDA">
              <w:rPr>
                <w:rFonts w:eastAsia="TimesNewRoman"/>
                <w:szCs w:val="22"/>
                <w:lang w:val="sr-Latn-ME"/>
              </w:rPr>
              <w:t>avobo</w:t>
            </w:r>
            <w:r w:rsidR="008B3ED5" w:rsidRPr="004C7CDA">
              <w:rPr>
                <w:rFonts w:eastAsia="TimesNewRoman"/>
                <w:szCs w:val="22"/>
                <w:lang w:val="sr-Latn-ME"/>
              </w:rPr>
              <w:t>l</w:t>
            </w:r>
            <w:r w:rsidRPr="004C7CDA">
              <w:rPr>
                <w:rFonts w:eastAsia="TimesNewRoman"/>
                <w:szCs w:val="22"/>
                <w:lang w:val="sr-Latn-ME"/>
              </w:rPr>
              <w:t>ju.</w:t>
            </w:r>
          </w:p>
        </w:tc>
        <w:tc>
          <w:tcPr>
            <w:tcW w:w="1216" w:type="pct"/>
            <w:vMerge/>
            <w:vAlign w:val="center"/>
          </w:tcPr>
          <w:p w14:paraId="0C5A365F" w14:textId="77777777" w:rsidR="00FD1403" w:rsidRPr="004C7CDA" w:rsidRDefault="00FD1403" w:rsidP="004C7CDA">
            <w:pPr>
              <w:widowControl w:val="0"/>
              <w:jc w:val="left"/>
              <w:rPr>
                <w:szCs w:val="22"/>
                <w:lang w:val="sr-Latn-ME"/>
              </w:rPr>
            </w:pPr>
          </w:p>
        </w:tc>
      </w:tr>
      <w:tr w:rsidR="00FD1403" w:rsidRPr="004C7CDA" w14:paraId="16657063" w14:textId="77777777" w:rsidTr="00FD1403">
        <w:trPr>
          <w:trHeight w:val="20"/>
        </w:trPr>
        <w:tc>
          <w:tcPr>
            <w:tcW w:w="1427" w:type="pct"/>
            <w:vMerge w:val="restart"/>
            <w:vAlign w:val="center"/>
          </w:tcPr>
          <w:p w14:paraId="0D5E0F99" w14:textId="20E3FBEA" w:rsidR="00FD1403" w:rsidRPr="004C7CDA" w:rsidRDefault="00FD1403" w:rsidP="004C7CDA">
            <w:pPr>
              <w:widowControl w:val="0"/>
              <w:jc w:val="left"/>
              <w:rPr>
                <w:szCs w:val="22"/>
                <w:lang w:val="sr-Latn-ME"/>
              </w:rPr>
            </w:pPr>
            <w:r w:rsidRPr="004C7CDA">
              <w:rPr>
                <w:szCs w:val="22"/>
                <w:lang w:val="sr-Latn-ME"/>
              </w:rPr>
              <w:t>Poremećaji metabo</w:t>
            </w:r>
            <w:r w:rsidR="008B3ED5" w:rsidRPr="004C7CDA">
              <w:rPr>
                <w:szCs w:val="22"/>
                <w:lang w:val="sr-Latn-ME"/>
              </w:rPr>
              <w:t>l</w:t>
            </w:r>
            <w:r w:rsidRPr="004C7CDA">
              <w:rPr>
                <w:szCs w:val="22"/>
                <w:lang w:val="sr-Latn-ME"/>
              </w:rPr>
              <w:t>izma i ishrane</w:t>
            </w:r>
          </w:p>
        </w:tc>
        <w:tc>
          <w:tcPr>
            <w:tcW w:w="2357" w:type="pct"/>
            <w:tcBorders>
              <w:bottom w:val="single" w:sz="4" w:space="0" w:color="auto"/>
            </w:tcBorders>
            <w:vAlign w:val="center"/>
          </w:tcPr>
          <w:p w14:paraId="6C891E3F" w14:textId="7A2FF933" w:rsidR="00FD1403" w:rsidRPr="004C7CDA" w:rsidRDefault="00FD1403" w:rsidP="004C7CDA">
            <w:pPr>
              <w:widowControl w:val="0"/>
              <w:tabs>
                <w:tab w:val="clear" w:pos="284"/>
              </w:tabs>
              <w:autoSpaceDE w:val="0"/>
              <w:autoSpaceDN w:val="0"/>
              <w:adjustRightInd w:val="0"/>
              <w:jc w:val="left"/>
              <w:rPr>
                <w:rFonts w:eastAsia="TimesNewRoman"/>
                <w:szCs w:val="22"/>
                <w:lang w:val="sr-Latn-ME"/>
              </w:rPr>
            </w:pPr>
            <w:r w:rsidRPr="004C7CDA">
              <w:rPr>
                <w:szCs w:val="22"/>
                <w:lang w:val="sr-Latn-ME"/>
              </w:rPr>
              <w:t>Disba</w:t>
            </w:r>
            <w:r w:rsidR="008B3ED5" w:rsidRPr="004C7CDA">
              <w:rPr>
                <w:szCs w:val="22"/>
                <w:lang w:val="sr-Latn-ME"/>
              </w:rPr>
              <w:t>l</w:t>
            </w:r>
            <w:r w:rsidRPr="004C7CDA">
              <w:rPr>
                <w:szCs w:val="22"/>
                <w:lang w:val="sr-Latn-ME"/>
              </w:rPr>
              <w:t>ans tečnosti i e</w:t>
            </w:r>
            <w:r w:rsidR="008B3ED5" w:rsidRPr="004C7CDA">
              <w:rPr>
                <w:szCs w:val="22"/>
                <w:lang w:val="sr-Latn-ME"/>
              </w:rPr>
              <w:t>l</w:t>
            </w:r>
            <w:r w:rsidRPr="004C7CDA">
              <w:rPr>
                <w:szCs w:val="22"/>
                <w:lang w:val="sr-Latn-ME"/>
              </w:rPr>
              <w:t>ektro</w:t>
            </w:r>
            <w:r w:rsidR="008B3ED5" w:rsidRPr="004C7CDA">
              <w:rPr>
                <w:szCs w:val="22"/>
                <w:lang w:val="sr-Latn-ME"/>
              </w:rPr>
              <w:t>l</w:t>
            </w:r>
            <w:r w:rsidRPr="004C7CDA">
              <w:rPr>
                <w:szCs w:val="22"/>
                <w:lang w:val="sr-Latn-ME"/>
              </w:rPr>
              <w:t xml:space="preserve">ita </w:t>
            </w:r>
            <w:r w:rsidRPr="004C7CDA">
              <w:rPr>
                <w:rFonts w:eastAsia="TimesNewRoman"/>
                <w:szCs w:val="22"/>
                <w:lang w:val="sr-Latn-ME"/>
              </w:rPr>
              <w:t>uk</w:t>
            </w:r>
            <w:r w:rsidR="008B3ED5" w:rsidRPr="004C7CDA">
              <w:rPr>
                <w:rFonts w:eastAsia="TimesNewRoman"/>
                <w:szCs w:val="22"/>
                <w:lang w:val="sr-Latn-ME"/>
              </w:rPr>
              <w:t>l</w:t>
            </w:r>
            <w:r w:rsidRPr="004C7CDA">
              <w:rPr>
                <w:rFonts w:eastAsia="TimesNewRoman"/>
                <w:szCs w:val="22"/>
                <w:lang w:val="sr-Latn-ME"/>
              </w:rPr>
              <w:t>jučuje:</w:t>
            </w:r>
          </w:p>
          <w:p w14:paraId="635A4388" w14:textId="211E881A" w:rsidR="00FD1403" w:rsidRPr="004C7CDA" w:rsidRDefault="00FD1403" w:rsidP="004C7CDA">
            <w:pPr>
              <w:pStyle w:val="ListParagraph"/>
              <w:widowControl w:val="0"/>
              <w:numPr>
                <w:ilvl w:val="0"/>
                <w:numId w:val="11"/>
              </w:numPr>
              <w:tabs>
                <w:tab w:val="clear" w:pos="284"/>
              </w:tabs>
              <w:autoSpaceDE w:val="0"/>
              <w:autoSpaceDN w:val="0"/>
              <w:adjustRightInd w:val="0"/>
              <w:jc w:val="left"/>
              <w:rPr>
                <w:rFonts w:eastAsia="TimesNewRoman"/>
                <w:szCs w:val="22"/>
                <w:lang w:val="sr-Latn-ME"/>
              </w:rPr>
            </w:pPr>
            <w:r w:rsidRPr="004C7CDA">
              <w:rPr>
                <w:rFonts w:eastAsia="TimesNewRoman"/>
                <w:szCs w:val="22"/>
                <w:lang w:val="sr-Latn-ME"/>
              </w:rPr>
              <w:t>hipervo</w:t>
            </w:r>
            <w:r w:rsidR="008B3ED5" w:rsidRPr="004C7CDA">
              <w:rPr>
                <w:rFonts w:eastAsia="TimesNewRoman"/>
                <w:szCs w:val="22"/>
                <w:lang w:val="sr-Latn-ME"/>
              </w:rPr>
              <w:t>l</w:t>
            </w:r>
            <w:r w:rsidRPr="004C7CDA">
              <w:rPr>
                <w:rFonts w:eastAsia="TimesNewRoman"/>
                <w:szCs w:val="22"/>
                <w:lang w:val="sr-Latn-ME"/>
              </w:rPr>
              <w:t>emiju,</w:t>
            </w:r>
          </w:p>
          <w:p w14:paraId="18DDA0EF" w14:textId="77777777" w:rsidR="00FD1403" w:rsidRPr="004C7CDA" w:rsidRDefault="00FD1403" w:rsidP="004C7CDA">
            <w:pPr>
              <w:pStyle w:val="ListParagraph"/>
              <w:widowControl w:val="0"/>
              <w:numPr>
                <w:ilvl w:val="0"/>
                <w:numId w:val="11"/>
              </w:numPr>
              <w:tabs>
                <w:tab w:val="clear" w:pos="284"/>
              </w:tabs>
              <w:autoSpaceDE w:val="0"/>
              <w:autoSpaceDN w:val="0"/>
              <w:adjustRightInd w:val="0"/>
              <w:jc w:val="left"/>
              <w:rPr>
                <w:rFonts w:eastAsia="TimesNewRoman"/>
                <w:szCs w:val="22"/>
                <w:lang w:val="sr-Latn-ME"/>
              </w:rPr>
            </w:pPr>
            <w:r w:rsidRPr="004C7CDA">
              <w:rPr>
                <w:rFonts w:eastAsia="TimesNewRoman"/>
                <w:szCs w:val="22"/>
                <w:lang w:val="sr-Latn-ME"/>
              </w:rPr>
              <w:t>periferne edeme,</w:t>
            </w:r>
          </w:p>
          <w:p w14:paraId="0973B337" w14:textId="77777777" w:rsidR="00FD1403" w:rsidRPr="004C7CDA" w:rsidRDefault="00FD1403" w:rsidP="004C7CDA">
            <w:pPr>
              <w:pStyle w:val="ListParagraph"/>
              <w:widowControl w:val="0"/>
              <w:numPr>
                <w:ilvl w:val="0"/>
                <w:numId w:val="11"/>
              </w:numPr>
              <w:tabs>
                <w:tab w:val="clear" w:pos="284"/>
              </w:tabs>
              <w:autoSpaceDE w:val="0"/>
              <w:autoSpaceDN w:val="0"/>
              <w:adjustRightInd w:val="0"/>
              <w:jc w:val="left"/>
              <w:rPr>
                <w:rFonts w:eastAsia="TimesNewRoman"/>
                <w:szCs w:val="22"/>
                <w:lang w:val="sr-Latn-ME"/>
              </w:rPr>
            </w:pPr>
            <w:r w:rsidRPr="004C7CDA">
              <w:rPr>
                <w:rFonts w:eastAsia="TimesNewRoman"/>
                <w:szCs w:val="22"/>
                <w:lang w:val="sr-Latn-ME"/>
              </w:rPr>
              <w:t>dehidrataciju,</w:t>
            </w:r>
          </w:p>
          <w:p w14:paraId="36AEF5E9" w14:textId="77777777" w:rsidR="00FD1403" w:rsidRPr="004C7CDA" w:rsidRDefault="00FD1403" w:rsidP="004C7CDA">
            <w:pPr>
              <w:pStyle w:val="ListParagraph"/>
              <w:widowControl w:val="0"/>
              <w:numPr>
                <w:ilvl w:val="0"/>
                <w:numId w:val="11"/>
              </w:numPr>
              <w:tabs>
                <w:tab w:val="clear" w:pos="284"/>
              </w:tabs>
              <w:autoSpaceDE w:val="0"/>
              <w:autoSpaceDN w:val="0"/>
              <w:adjustRightInd w:val="0"/>
              <w:jc w:val="left"/>
              <w:rPr>
                <w:rFonts w:eastAsia="TimesNewRoman"/>
                <w:szCs w:val="22"/>
                <w:lang w:val="sr-Latn-ME"/>
              </w:rPr>
            </w:pPr>
            <w:r w:rsidRPr="004C7CDA">
              <w:rPr>
                <w:rFonts w:eastAsia="TimesNewRoman"/>
                <w:szCs w:val="22"/>
                <w:lang w:val="sr-Latn-ME"/>
              </w:rPr>
              <w:t>hiponatremiju,</w:t>
            </w:r>
          </w:p>
          <w:p w14:paraId="711CB692" w14:textId="77777777" w:rsidR="00FD1403" w:rsidRPr="004C7CDA" w:rsidRDefault="00FD1403" w:rsidP="004C7CDA">
            <w:pPr>
              <w:pStyle w:val="ListParagraph"/>
              <w:widowControl w:val="0"/>
              <w:numPr>
                <w:ilvl w:val="0"/>
                <w:numId w:val="11"/>
              </w:numPr>
              <w:tabs>
                <w:tab w:val="clear" w:pos="284"/>
              </w:tabs>
              <w:autoSpaceDE w:val="0"/>
              <w:autoSpaceDN w:val="0"/>
              <w:adjustRightInd w:val="0"/>
              <w:jc w:val="left"/>
              <w:rPr>
                <w:rFonts w:eastAsia="TimesNewRoman"/>
                <w:szCs w:val="22"/>
                <w:lang w:val="sr-Latn-ME"/>
              </w:rPr>
            </w:pPr>
            <w:r w:rsidRPr="004C7CDA">
              <w:rPr>
                <w:rFonts w:eastAsia="TimesNewRoman"/>
                <w:szCs w:val="22"/>
                <w:lang w:val="sr-Latn-ME"/>
              </w:rPr>
              <w:t>hipernatremiju,</w:t>
            </w:r>
          </w:p>
          <w:p w14:paraId="7594F174" w14:textId="69D4D328" w:rsidR="00FD1403" w:rsidRPr="004C7CDA" w:rsidRDefault="00FD1403" w:rsidP="004C7CDA">
            <w:pPr>
              <w:pStyle w:val="ListParagraph"/>
              <w:widowControl w:val="0"/>
              <w:numPr>
                <w:ilvl w:val="0"/>
                <w:numId w:val="11"/>
              </w:numPr>
              <w:tabs>
                <w:tab w:val="clear" w:pos="284"/>
              </w:tabs>
              <w:autoSpaceDE w:val="0"/>
              <w:autoSpaceDN w:val="0"/>
              <w:adjustRightInd w:val="0"/>
              <w:jc w:val="left"/>
              <w:rPr>
                <w:rFonts w:eastAsia="TimesNewRoman"/>
                <w:szCs w:val="22"/>
                <w:lang w:val="sr-Latn-ME"/>
              </w:rPr>
            </w:pPr>
            <w:r w:rsidRPr="004C7CDA">
              <w:rPr>
                <w:rFonts w:eastAsia="TimesNewRoman"/>
                <w:szCs w:val="22"/>
                <w:lang w:val="sr-Latn-ME"/>
              </w:rPr>
              <w:t>hiperka</w:t>
            </w:r>
            <w:r w:rsidR="008B3ED5" w:rsidRPr="004C7CDA">
              <w:rPr>
                <w:rFonts w:eastAsia="TimesNewRoman"/>
                <w:szCs w:val="22"/>
                <w:lang w:val="sr-Latn-ME"/>
              </w:rPr>
              <w:t>l</w:t>
            </w:r>
            <w:r w:rsidRPr="004C7CDA">
              <w:rPr>
                <w:rFonts w:eastAsia="TimesNewRoman"/>
                <w:szCs w:val="22"/>
                <w:lang w:val="sr-Latn-ME"/>
              </w:rPr>
              <w:t>emiju,</w:t>
            </w:r>
          </w:p>
          <w:p w14:paraId="0AEA7E9F" w14:textId="627C8A54" w:rsidR="00FD1403" w:rsidRPr="004C7CDA" w:rsidRDefault="00FD1403" w:rsidP="004C7CDA">
            <w:pPr>
              <w:pStyle w:val="ListParagraph"/>
              <w:widowControl w:val="0"/>
              <w:numPr>
                <w:ilvl w:val="0"/>
                <w:numId w:val="11"/>
              </w:numPr>
              <w:tabs>
                <w:tab w:val="clear" w:pos="284"/>
              </w:tabs>
              <w:autoSpaceDE w:val="0"/>
              <w:autoSpaceDN w:val="0"/>
              <w:adjustRightInd w:val="0"/>
              <w:jc w:val="left"/>
              <w:rPr>
                <w:rFonts w:eastAsia="TimesNewRoman"/>
                <w:szCs w:val="22"/>
                <w:lang w:val="sr-Latn-ME"/>
              </w:rPr>
            </w:pPr>
            <w:r w:rsidRPr="004C7CDA">
              <w:rPr>
                <w:rFonts w:eastAsia="TimesNewRoman"/>
                <w:szCs w:val="22"/>
                <w:lang w:val="sr-Latn-ME"/>
              </w:rPr>
              <w:t>hipoka</w:t>
            </w:r>
            <w:r w:rsidR="008B3ED5" w:rsidRPr="004C7CDA">
              <w:rPr>
                <w:rFonts w:eastAsia="TimesNewRoman"/>
                <w:szCs w:val="22"/>
                <w:lang w:val="sr-Latn-ME"/>
              </w:rPr>
              <w:t>l</w:t>
            </w:r>
            <w:r w:rsidRPr="004C7CDA">
              <w:rPr>
                <w:rFonts w:eastAsia="TimesNewRoman"/>
                <w:szCs w:val="22"/>
                <w:lang w:val="sr-Latn-ME"/>
              </w:rPr>
              <w:t>emiju</w:t>
            </w:r>
            <w:r w:rsidR="001C7C3D" w:rsidRPr="004C7CDA">
              <w:rPr>
                <w:rFonts w:eastAsia="TimesNewRoman"/>
                <w:szCs w:val="22"/>
                <w:lang w:val="sr-Latn-ME"/>
              </w:rPr>
              <w:t>.</w:t>
            </w:r>
          </w:p>
        </w:tc>
        <w:tc>
          <w:tcPr>
            <w:tcW w:w="1216" w:type="pct"/>
            <w:vMerge w:val="restart"/>
            <w:vAlign w:val="center"/>
          </w:tcPr>
          <w:p w14:paraId="61084C56" w14:textId="77548B33" w:rsidR="00FD1403" w:rsidRPr="004C7CDA" w:rsidRDefault="00FD1403" w:rsidP="004C7CDA">
            <w:pPr>
              <w:widowControl w:val="0"/>
              <w:jc w:val="left"/>
              <w:rPr>
                <w:szCs w:val="22"/>
                <w:lang w:val="sr-Latn-ME"/>
              </w:rPr>
            </w:pPr>
            <w:r w:rsidRPr="004C7CDA">
              <w:rPr>
                <w:szCs w:val="22"/>
                <w:lang w:val="sr-Latn-ME"/>
              </w:rPr>
              <w:t>Nepoznata učesta</w:t>
            </w:r>
            <w:r w:rsidR="008B3ED5" w:rsidRPr="004C7CDA">
              <w:rPr>
                <w:szCs w:val="22"/>
                <w:lang w:val="sr-Latn-ME"/>
              </w:rPr>
              <w:t>l</w:t>
            </w:r>
            <w:r w:rsidRPr="004C7CDA">
              <w:rPr>
                <w:szCs w:val="22"/>
                <w:lang w:val="sr-Latn-ME"/>
              </w:rPr>
              <w:t>ost</w:t>
            </w:r>
          </w:p>
        </w:tc>
      </w:tr>
      <w:tr w:rsidR="00FD1403" w:rsidRPr="004C7CDA" w14:paraId="626F1F99" w14:textId="77777777" w:rsidTr="00FD1403">
        <w:trPr>
          <w:trHeight w:val="20"/>
        </w:trPr>
        <w:tc>
          <w:tcPr>
            <w:tcW w:w="1427" w:type="pct"/>
            <w:vMerge/>
            <w:vAlign w:val="center"/>
          </w:tcPr>
          <w:p w14:paraId="4C954414" w14:textId="77777777" w:rsidR="00FD1403" w:rsidRPr="004C7CDA" w:rsidRDefault="00FD1403" w:rsidP="004C7CDA">
            <w:pPr>
              <w:widowControl w:val="0"/>
              <w:jc w:val="left"/>
              <w:rPr>
                <w:szCs w:val="22"/>
                <w:lang w:val="sr-Latn-ME"/>
              </w:rPr>
            </w:pPr>
          </w:p>
        </w:tc>
        <w:tc>
          <w:tcPr>
            <w:tcW w:w="2357" w:type="pct"/>
            <w:tcBorders>
              <w:bottom w:val="single" w:sz="4" w:space="0" w:color="auto"/>
            </w:tcBorders>
            <w:vAlign w:val="center"/>
          </w:tcPr>
          <w:p w14:paraId="1561A35C" w14:textId="0E8A26B3" w:rsidR="00237B8B" w:rsidRPr="004C7CDA" w:rsidRDefault="00FD1403" w:rsidP="004C7CDA">
            <w:pPr>
              <w:widowControl w:val="0"/>
              <w:tabs>
                <w:tab w:val="clear" w:pos="284"/>
              </w:tabs>
              <w:autoSpaceDE w:val="0"/>
              <w:autoSpaceDN w:val="0"/>
              <w:adjustRightInd w:val="0"/>
              <w:jc w:val="left"/>
              <w:rPr>
                <w:szCs w:val="22"/>
                <w:lang w:val="sr-Latn-ME"/>
              </w:rPr>
            </w:pPr>
            <w:r w:rsidRPr="004C7CDA">
              <w:rPr>
                <w:rFonts w:eastAsia="TimesNewRoman"/>
                <w:szCs w:val="22"/>
                <w:lang w:val="sr-Latn-ME"/>
              </w:rPr>
              <w:t>Metabo</w:t>
            </w:r>
            <w:r w:rsidR="008B3ED5" w:rsidRPr="004C7CDA">
              <w:rPr>
                <w:rFonts w:eastAsia="TimesNewRoman"/>
                <w:szCs w:val="22"/>
                <w:lang w:val="sr-Latn-ME"/>
              </w:rPr>
              <w:t>l</w:t>
            </w:r>
            <w:r w:rsidRPr="004C7CDA">
              <w:rPr>
                <w:rFonts w:eastAsia="TimesNewRoman"/>
                <w:szCs w:val="22"/>
                <w:lang w:val="sr-Latn-ME"/>
              </w:rPr>
              <w:t>ička acidoza</w:t>
            </w:r>
          </w:p>
        </w:tc>
        <w:tc>
          <w:tcPr>
            <w:tcW w:w="1216" w:type="pct"/>
            <w:vMerge/>
            <w:vAlign w:val="center"/>
          </w:tcPr>
          <w:p w14:paraId="5DC4D012" w14:textId="77777777" w:rsidR="00FD1403" w:rsidRPr="004C7CDA" w:rsidRDefault="00FD1403" w:rsidP="004C7CDA">
            <w:pPr>
              <w:widowControl w:val="0"/>
              <w:jc w:val="left"/>
              <w:rPr>
                <w:szCs w:val="22"/>
                <w:lang w:val="sr-Latn-ME"/>
              </w:rPr>
            </w:pPr>
          </w:p>
        </w:tc>
      </w:tr>
      <w:tr w:rsidR="00FD1403" w:rsidRPr="004C7CDA" w14:paraId="2319ADC2" w14:textId="77777777" w:rsidTr="00FD1403">
        <w:trPr>
          <w:trHeight w:val="20"/>
        </w:trPr>
        <w:tc>
          <w:tcPr>
            <w:tcW w:w="1427" w:type="pct"/>
            <w:vMerge w:val="restart"/>
            <w:vAlign w:val="center"/>
          </w:tcPr>
          <w:p w14:paraId="5C1C2159" w14:textId="77777777" w:rsidR="00FD1403" w:rsidRPr="004C7CDA" w:rsidRDefault="00FD1403" w:rsidP="004C7CDA">
            <w:pPr>
              <w:widowControl w:val="0"/>
              <w:jc w:val="left"/>
              <w:rPr>
                <w:szCs w:val="22"/>
                <w:lang w:val="sr-Latn-ME"/>
              </w:rPr>
            </w:pPr>
            <w:r w:rsidRPr="004C7CDA">
              <w:rPr>
                <w:szCs w:val="22"/>
                <w:lang w:val="sr-Latn-ME"/>
              </w:rPr>
              <w:t>Poremećaji nervnog sistema</w:t>
            </w:r>
          </w:p>
        </w:tc>
        <w:tc>
          <w:tcPr>
            <w:tcW w:w="2357" w:type="pct"/>
            <w:vAlign w:val="center"/>
          </w:tcPr>
          <w:p w14:paraId="3E383B55" w14:textId="5A498C88" w:rsidR="00FD1403" w:rsidRPr="004C7CDA" w:rsidRDefault="00FD1403" w:rsidP="004C7CDA">
            <w:pPr>
              <w:widowControl w:val="0"/>
              <w:jc w:val="left"/>
              <w:rPr>
                <w:szCs w:val="22"/>
                <w:lang w:val="sr-Latn-ME"/>
              </w:rPr>
            </w:pPr>
            <w:r w:rsidRPr="004C7CDA">
              <w:rPr>
                <w:szCs w:val="22"/>
                <w:lang w:val="sr-Latn-ME"/>
              </w:rPr>
              <w:t>G</w:t>
            </w:r>
            <w:r w:rsidR="008B3ED5" w:rsidRPr="004C7CDA">
              <w:rPr>
                <w:szCs w:val="22"/>
                <w:lang w:val="sr-Latn-ME"/>
              </w:rPr>
              <w:t>l</w:t>
            </w:r>
            <w:r w:rsidRPr="004C7CDA">
              <w:rPr>
                <w:szCs w:val="22"/>
                <w:lang w:val="sr-Latn-ME"/>
              </w:rPr>
              <w:t>avobo</w:t>
            </w:r>
            <w:r w:rsidR="008B3ED5" w:rsidRPr="004C7CDA">
              <w:rPr>
                <w:szCs w:val="22"/>
                <w:lang w:val="sr-Latn-ME"/>
              </w:rPr>
              <w:t>l</w:t>
            </w:r>
            <w:r w:rsidRPr="004C7CDA">
              <w:rPr>
                <w:szCs w:val="22"/>
                <w:lang w:val="sr-Latn-ME"/>
              </w:rPr>
              <w:t>ja</w:t>
            </w:r>
          </w:p>
        </w:tc>
        <w:tc>
          <w:tcPr>
            <w:tcW w:w="1216" w:type="pct"/>
            <w:vMerge w:val="restart"/>
            <w:vAlign w:val="center"/>
          </w:tcPr>
          <w:p w14:paraId="0E490A38" w14:textId="0842265B" w:rsidR="00FD1403" w:rsidRPr="004C7CDA" w:rsidRDefault="00FD1403" w:rsidP="004C7CDA">
            <w:pPr>
              <w:widowControl w:val="0"/>
              <w:jc w:val="left"/>
              <w:rPr>
                <w:szCs w:val="22"/>
                <w:lang w:val="sr-Latn-ME"/>
              </w:rPr>
            </w:pPr>
            <w:r w:rsidRPr="004C7CDA">
              <w:rPr>
                <w:szCs w:val="22"/>
                <w:lang w:val="sr-Latn-ME"/>
              </w:rPr>
              <w:t>Nepoznata učesta</w:t>
            </w:r>
            <w:r w:rsidR="008B3ED5" w:rsidRPr="004C7CDA">
              <w:rPr>
                <w:szCs w:val="22"/>
                <w:lang w:val="sr-Latn-ME"/>
              </w:rPr>
              <w:t>l</w:t>
            </w:r>
            <w:r w:rsidRPr="004C7CDA">
              <w:rPr>
                <w:szCs w:val="22"/>
                <w:lang w:val="sr-Latn-ME"/>
              </w:rPr>
              <w:t>ost</w:t>
            </w:r>
          </w:p>
        </w:tc>
      </w:tr>
      <w:tr w:rsidR="00FD1403" w:rsidRPr="004C7CDA" w14:paraId="4A310EBC" w14:textId="77777777" w:rsidTr="00FD1403">
        <w:trPr>
          <w:trHeight w:val="20"/>
        </w:trPr>
        <w:tc>
          <w:tcPr>
            <w:tcW w:w="1427" w:type="pct"/>
            <w:vMerge/>
            <w:vAlign w:val="center"/>
          </w:tcPr>
          <w:p w14:paraId="2B2BB3C9" w14:textId="77777777" w:rsidR="00FD1403" w:rsidRPr="004C7CDA" w:rsidRDefault="00FD1403" w:rsidP="004C7CDA">
            <w:pPr>
              <w:widowControl w:val="0"/>
              <w:jc w:val="left"/>
              <w:rPr>
                <w:szCs w:val="22"/>
                <w:lang w:val="sr-Latn-ME"/>
              </w:rPr>
            </w:pPr>
          </w:p>
        </w:tc>
        <w:tc>
          <w:tcPr>
            <w:tcW w:w="2357" w:type="pct"/>
            <w:vAlign w:val="center"/>
          </w:tcPr>
          <w:p w14:paraId="469CE45C" w14:textId="0A239A0C" w:rsidR="00FD1403" w:rsidRPr="004C7CDA" w:rsidRDefault="00FD1403" w:rsidP="004C7CDA">
            <w:pPr>
              <w:widowControl w:val="0"/>
              <w:jc w:val="left"/>
              <w:rPr>
                <w:szCs w:val="22"/>
                <w:lang w:val="sr-Latn-ME"/>
              </w:rPr>
            </w:pPr>
            <w:r w:rsidRPr="004C7CDA">
              <w:rPr>
                <w:szCs w:val="22"/>
                <w:lang w:val="sr-Latn-ME"/>
              </w:rPr>
              <w:t>Vrtog</w:t>
            </w:r>
            <w:r w:rsidR="008B3ED5" w:rsidRPr="004C7CDA">
              <w:rPr>
                <w:szCs w:val="22"/>
                <w:lang w:val="sr-Latn-ME"/>
              </w:rPr>
              <w:t>l</w:t>
            </w:r>
            <w:r w:rsidRPr="004C7CDA">
              <w:rPr>
                <w:szCs w:val="22"/>
                <w:lang w:val="sr-Latn-ME"/>
              </w:rPr>
              <w:t>avica</w:t>
            </w:r>
          </w:p>
        </w:tc>
        <w:tc>
          <w:tcPr>
            <w:tcW w:w="1216" w:type="pct"/>
            <w:vMerge/>
            <w:vAlign w:val="center"/>
          </w:tcPr>
          <w:p w14:paraId="0BF17C0F" w14:textId="77777777" w:rsidR="00FD1403" w:rsidRPr="004C7CDA" w:rsidRDefault="00FD1403" w:rsidP="004C7CDA">
            <w:pPr>
              <w:widowControl w:val="0"/>
              <w:jc w:val="left"/>
              <w:rPr>
                <w:szCs w:val="22"/>
                <w:lang w:val="sr-Latn-ME"/>
              </w:rPr>
            </w:pPr>
          </w:p>
        </w:tc>
      </w:tr>
      <w:tr w:rsidR="00FD1403" w:rsidRPr="004C7CDA" w14:paraId="2650078C" w14:textId="77777777" w:rsidTr="00FD1403">
        <w:trPr>
          <w:trHeight w:val="20"/>
        </w:trPr>
        <w:tc>
          <w:tcPr>
            <w:tcW w:w="1427" w:type="pct"/>
            <w:vMerge/>
            <w:vAlign w:val="center"/>
          </w:tcPr>
          <w:p w14:paraId="570F207B" w14:textId="77777777" w:rsidR="00FD1403" w:rsidRPr="004C7CDA" w:rsidRDefault="00FD1403" w:rsidP="004C7CDA">
            <w:pPr>
              <w:widowControl w:val="0"/>
              <w:jc w:val="left"/>
              <w:rPr>
                <w:szCs w:val="22"/>
                <w:lang w:val="sr-Latn-ME"/>
              </w:rPr>
            </w:pPr>
          </w:p>
        </w:tc>
        <w:tc>
          <w:tcPr>
            <w:tcW w:w="2357" w:type="pct"/>
            <w:tcBorders>
              <w:bottom w:val="single" w:sz="4" w:space="0" w:color="auto"/>
            </w:tcBorders>
            <w:vAlign w:val="center"/>
          </w:tcPr>
          <w:p w14:paraId="7A5DF4E2" w14:textId="57AA2500" w:rsidR="00FD1403" w:rsidRPr="004C7CDA" w:rsidRDefault="00FD1403" w:rsidP="004C7CDA">
            <w:pPr>
              <w:widowControl w:val="0"/>
              <w:jc w:val="left"/>
              <w:rPr>
                <w:i/>
                <w:szCs w:val="22"/>
                <w:lang w:val="sr-Latn-ME"/>
              </w:rPr>
            </w:pPr>
            <w:r w:rsidRPr="004C7CDA">
              <w:rPr>
                <w:szCs w:val="22"/>
                <w:lang w:val="sr-Latn-ME"/>
              </w:rPr>
              <w:t>Porast intrakranija</w:t>
            </w:r>
            <w:r w:rsidR="008B3ED5" w:rsidRPr="004C7CDA">
              <w:rPr>
                <w:szCs w:val="22"/>
                <w:lang w:val="sr-Latn-ME"/>
              </w:rPr>
              <w:t>l</w:t>
            </w:r>
            <w:r w:rsidRPr="004C7CDA">
              <w:rPr>
                <w:szCs w:val="22"/>
                <w:lang w:val="sr-Latn-ME"/>
              </w:rPr>
              <w:t>nog pritiska us</w:t>
            </w:r>
            <w:r w:rsidR="008B3ED5" w:rsidRPr="004C7CDA">
              <w:rPr>
                <w:szCs w:val="22"/>
                <w:lang w:val="sr-Latn-ME"/>
              </w:rPr>
              <w:t>l</w:t>
            </w:r>
            <w:r w:rsidR="00965575" w:rsidRPr="004C7CDA">
              <w:rPr>
                <w:szCs w:val="22"/>
                <w:lang w:val="sr-Latn-ME"/>
              </w:rPr>
              <w:t>j</w:t>
            </w:r>
            <w:r w:rsidRPr="004C7CDA">
              <w:rPr>
                <w:szCs w:val="22"/>
                <w:lang w:val="sr-Latn-ME"/>
              </w:rPr>
              <w:t xml:space="preserve">ed </w:t>
            </w:r>
          </w:p>
          <w:p w14:paraId="01887904" w14:textId="77777777" w:rsidR="00FD1403" w:rsidRPr="004C7CDA" w:rsidRDefault="00FD1403" w:rsidP="004C7CDA">
            <w:pPr>
              <w:widowControl w:val="0"/>
              <w:jc w:val="left"/>
              <w:rPr>
                <w:szCs w:val="22"/>
                <w:lang w:val="sr-Latn-ME"/>
              </w:rPr>
            </w:pPr>
            <w:r w:rsidRPr="004C7CDA">
              <w:rPr>
                <w:i/>
                <w:szCs w:val="22"/>
                <w:lang w:val="sr-Latn-ME"/>
              </w:rPr>
              <w:t>rebound</w:t>
            </w:r>
            <w:r w:rsidRPr="004C7CDA">
              <w:rPr>
                <w:szCs w:val="22"/>
                <w:lang w:val="sr-Latn-ME"/>
              </w:rPr>
              <w:t xml:space="preserve"> fenomena</w:t>
            </w:r>
          </w:p>
        </w:tc>
        <w:tc>
          <w:tcPr>
            <w:tcW w:w="1216" w:type="pct"/>
            <w:vMerge/>
            <w:vAlign w:val="center"/>
          </w:tcPr>
          <w:p w14:paraId="6B974C1E" w14:textId="77777777" w:rsidR="00FD1403" w:rsidRPr="004C7CDA" w:rsidRDefault="00FD1403" w:rsidP="004C7CDA">
            <w:pPr>
              <w:widowControl w:val="0"/>
              <w:jc w:val="left"/>
              <w:rPr>
                <w:szCs w:val="22"/>
                <w:lang w:val="sr-Latn-ME"/>
              </w:rPr>
            </w:pPr>
          </w:p>
        </w:tc>
      </w:tr>
      <w:tr w:rsidR="00FD1403" w:rsidRPr="004C7CDA" w14:paraId="3CCE90D8" w14:textId="77777777" w:rsidTr="00FD1403">
        <w:trPr>
          <w:trHeight w:val="20"/>
        </w:trPr>
        <w:tc>
          <w:tcPr>
            <w:tcW w:w="1427" w:type="pct"/>
            <w:vMerge/>
            <w:vAlign w:val="center"/>
          </w:tcPr>
          <w:p w14:paraId="673E5368" w14:textId="77777777" w:rsidR="00FD1403" w:rsidRPr="004C7CDA" w:rsidRDefault="00FD1403" w:rsidP="004C7CDA">
            <w:pPr>
              <w:widowControl w:val="0"/>
              <w:jc w:val="left"/>
              <w:rPr>
                <w:szCs w:val="22"/>
                <w:lang w:val="sr-Latn-ME"/>
              </w:rPr>
            </w:pPr>
          </w:p>
        </w:tc>
        <w:tc>
          <w:tcPr>
            <w:tcW w:w="2357" w:type="pct"/>
            <w:tcBorders>
              <w:bottom w:val="nil"/>
            </w:tcBorders>
            <w:vAlign w:val="center"/>
          </w:tcPr>
          <w:p w14:paraId="5D12BCE8" w14:textId="1C26C61D" w:rsidR="00FD1403" w:rsidRPr="004C7CDA" w:rsidRDefault="00FD1403" w:rsidP="004C7CDA">
            <w:pPr>
              <w:widowControl w:val="0"/>
              <w:jc w:val="left"/>
              <w:rPr>
                <w:szCs w:val="22"/>
                <w:lang w:val="sr-Latn-ME"/>
              </w:rPr>
            </w:pPr>
            <w:r w:rsidRPr="004C7CDA">
              <w:rPr>
                <w:szCs w:val="22"/>
                <w:lang w:val="sr-Latn-ME"/>
              </w:rPr>
              <w:t>CNS toksičnost</w:t>
            </w:r>
            <w:r w:rsidR="00660A8E" w:rsidRPr="004C7CDA">
              <w:rPr>
                <w:szCs w:val="22"/>
                <w:lang w:val="sr-Latn-ME"/>
              </w:rPr>
              <w:t xml:space="preserve"> </w:t>
            </w:r>
            <w:r w:rsidRPr="004C7CDA">
              <w:rPr>
                <w:szCs w:val="22"/>
                <w:lang w:val="sr-Latn-ME"/>
              </w:rPr>
              <w:t>koja se ispo</w:t>
            </w:r>
            <w:r w:rsidR="008B3ED5" w:rsidRPr="004C7CDA">
              <w:rPr>
                <w:szCs w:val="22"/>
                <w:lang w:val="sr-Latn-ME"/>
              </w:rPr>
              <w:t>l</w:t>
            </w:r>
            <w:r w:rsidRPr="004C7CDA">
              <w:rPr>
                <w:szCs w:val="22"/>
                <w:lang w:val="sr-Latn-ME"/>
              </w:rPr>
              <w:t>java kao:</w:t>
            </w:r>
          </w:p>
        </w:tc>
        <w:tc>
          <w:tcPr>
            <w:tcW w:w="1216" w:type="pct"/>
            <w:vMerge/>
            <w:vAlign w:val="center"/>
          </w:tcPr>
          <w:p w14:paraId="32E60159" w14:textId="77777777" w:rsidR="00FD1403" w:rsidRPr="004C7CDA" w:rsidRDefault="00FD1403" w:rsidP="004C7CDA">
            <w:pPr>
              <w:widowControl w:val="0"/>
              <w:jc w:val="left"/>
              <w:rPr>
                <w:szCs w:val="22"/>
                <w:lang w:val="sr-Latn-ME"/>
              </w:rPr>
            </w:pPr>
          </w:p>
        </w:tc>
      </w:tr>
      <w:tr w:rsidR="00FD1403" w:rsidRPr="004C7CDA" w14:paraId="000B7CB4" w14:textId="77777777" w:rsidTr="00FD1403">
        <w:trPr>
          <w:trHeight w:val="20"/>
        </w:trPr>
        <w:tc>
          <w:tcPr>
            <w:tcW w:w="1427" w:type="pct"/>
            <w:vMerge/>
            <w:vAlign w:val="center"/>
          </w:tcPr>
          <w:p w14:paraId="5B977C51" w14:textId="77777777" w:rsidR="00FD1403" w:rsidRPr="004C7CDA" w:rsidRDefault="00FD1403" w:rsidP="004C7CDA">
            <w:pPr>
              <w:widowControl w:val="0"/>
              <w:jc w:val="left"/>
              <w:rPr>
                <w:szCs w:val="22"/>
                <w:lang w:val="sr-Latn-ME"/>
              </w:rPr>
            </w:pPr>
          </w:p>
        </w:tc>
        <w:tc>
          <w:tcPr>
            <w:tcW w:w="2357" w:type="pct"/>
            <w:tcBorders>
              <w:top w:val="nil"/>
              <w:bottom w:val="nil"/>
            </w:tcBorders>
            <w:vAlign w:val="center"/>
          </w:tcPr>
          <w:p w14:paraId="5D892510" w14:textId="6CFC52E1" w:rsidR="00FD1403" w:rsidRPr="004C7CDA" w:rsidRDefault="00FD1403" w:rsidP="004C7CDA">
            <w:pPr>
              <w:pStyle w:val="ListParagraph"/>
              <w:widowControl w:val="0"/>
              <w:numPr>
                <w:ilvl w:val="0"/>
                <w:numId w:val="16"/>
              </w:numPr>
              <w:tabs>
                <w:tab w:val="clear" w:pos="284"/>
              </w:tabs>
              <w:ind w:left="317" w:hanging="317"/>
              <w:jc w:val="left"/>
              <w:rPr>
                <w:szCs w:val="22"/>
                <w:lang w:val="sr-Latn-ME"/>
              </w:rPr>
            </w:pPr>
            <w:r w:rsidRPr="004C7CDA">
              <w:rPr>
                <w:szCs w:val="22"/>
                <w:lang w:val="sr-Latn-ME"/>
              </w:rPr>
              <w:t>konvu</w:t>
            </w:r>
            <w:r w:rsidR="008B3ED5" w:rsidRPr="004C7CDA">
              <w:rPr>
                <w:szCs w:val="22"/>
                <w:lang w:val="sr-Latn-ME"/>
              </w:rPr>
              <w:t>l</w:t>
            </w:r>
            <w:r w:rsidRPr="004C7CDA">
              <w:rPr>
                <w:szCs w:val="22"/>
                <w:lang w:val="sr-Latn-ME"/>
              </w:rPr>
              <w:t>zije,</w:t>
            </w:r>
          </w:p>
        </w:tc>
        <w:tc>
          <w:tcPr>
            <w:tcW w:w="1216" w:type="pct"/>
            <w:vMerge/>
            <w:vAlign w:val="center"/>
          </w:tcPr>
          <w:p w14:paraId="715FB764" w14:textId="77777777" w:rsidR="00FD1403" w:rsidRPr="004C7CDA" w:rsidRDefault="00FD1403" w:rsidP="004C7CDA">
            <w:pPr>
              <w:widowControl w:val="0"/>
              <w:jc w:val="left"/>
              <w:rPr>
                <w:szCs w:val="22"/>
                <w:lang w:val="sr-Latn-ME"/>
              </w:rPr>
            </w:pPr>
          </w:p>
        </w:tc>
      </w:tr>
      <w:tr w:rsidR="00FD1403" w:rsidRPr="004C7CDA" w14:paraId="072DD1A8" w14:textId="77777777" w:rsidTr="00FD1403">
        <w:trPr>
          <w:trHeight w:val="20"/>
        </w:trPr>
        <w:tc>
          <w:tcPr>
            <w:tcW w:w="1427" w:type="pct"/>
            <w:vMerge/>
            <w:vAlign w:val="center"/>
          </w:tcPr>
          <w:p w14:paraId="53BBC527" w14:textId="77777777" w:rsidR="00FD1403" w:rsidRPr="004C7CDA" w:rsidRDefault="00FD1403" w:rsidP="004C7CDA">
            <w:pPr>
              <w:widowControl w:val="0"/>
              <w:jc w:val="left"/>
              <w:rPr>
                <w:szCs w:val="22"/>
                <w:lang w:val="sr-Latn-ME"/>
              </w:rPr>
            </w:pPr>
          </w:p>
        </w:tc>
        <w:tc>
          <w:tcPr>
            <w:tcW w:w="2357" w:type="pct"/>
            <w:tcBorders>
              <w:top w:val="nil"/>
              <w:bottom w:val="nil"/>
            </w:tcBorders>
            <w:vAlign w:val="center"/>
          </w:tcPr>
          <w:p w14:paraId="6587591C" w14:textId="77777777" w:rsidR="00FD1403" w:rsidRPr="004C7CDA" w:rsidRDefault="00FD1403" w:rsidP="004C7CDA">
            <w:pPr>
              <w:pStyle w:val="ListParagraph"/>
              <w:widowControl w:val="0"/>
              <w:numPr>
                <w:ilvl w:val="0"/>
                <w:numId w:val="16"/>
              </w:numPr>
              <w:tabs>
                <w:tab w:val="clear" w:pos="284"/>
              </w:tabs>
              <w:ind w:left="317" w:hanging="317"/>
              <w:jc w:val="left"/>
              <w:rPr>
                <w:szCs w:val="22"/>
                <w:lang w:val="sr-Latn-ME"/>
              </w:rPr>
            </w:pPr>
            <w:r w:rsidRPr="004C7CDA">
              <w:rPr>
                <w:szCs w:val="22"/>
                <w:lang w:val="sr-Latn-ME"/>
              </w:rPr>
              <w:t>koma,</w:t>
            </w:r>
          </w:p>
        </w:tc>
        <w:tc>
          <w:tcPr>
            <w:tcW w:w="1216" w:type="pct"/>
            <w:vMerge/>
            <w:vAlign w:val="center"/>
          </w:tcPr>
          <w:p w14:paraId="14727CE3" w14:textId="77777777" w:rsidR="00FD1403" w:rsidRPr="004C7CDA" w:rsidRDefault="00FD1403" w:rsidP="004C7CDA">
            <w:pPr>
              <w:widowControl w:val="0"/>
              <w:jc w:val="left"/>
              <w:rPr>
                <w:szCs w:val="22"/>
                <w:lang w:val="sr-Latn-ME"/>
              </w:rPr>
            </w:pPr>
          </w:p>
        </w:tc>
      </w:tr>
      <w:tr w:rsidR="00FD1403" w:rsidRPr="004C7CDA" w14:paraId="3221320E" w14:textId="77777777" w:rsidTr="00FD1403">
        <w:trPr>
          <w:trHeight w:val="20"/>
        </w:trPr>
        <w:tc>
          <w:tcPr>
            <w:tcW w:w="1427" w:type="pct"/>
            <w:vMerge/>
            <w:vAlign w:val="center"/>
          </w:tcPr>
          <w:p w14:paraId="03D0CE8F" w14:textId="77777777" w:rsidR="00FD1403" w:rsidRPr="004C7CDA" w:rsidRDefault="00FD1403" w:rsidP="004C7CDA">
            <w:pPr>
              <w:widowControl w:val="0"/>
              <w:jc w:val="left"/>
              <w:rPr>
                <w:szCs w:val="22"/>
                <w:lang w:val="sr-Latn-ME"/>
              </w:rPr>
            </w:pPr>
          </w:p>
        </w:tc>
        <w:tc>
          <w:tcPr>
            <w:tcW w:w="2357" w:type="pct"/>
            <w:tcBorders>
              <w:top w:val="nil"/>
              <w:bottom w:val="nil"/>
            </w:tcBorders>
            <w:vAlign w:val="center"/>
          </w:tcPr>
          <w:p w14:paraId="7C910416" w14:textId="77777777" w:rsidR="00FD1403" w:rsidRPr="004C7CDA" w:rsidRDefault="00FD1403" w:rsidP="004C7CDA">
            <w:pPr>
              <w:pStyle w:val="ListParagraph"/>
              <w:widowControl w:val="0"/>
              <w:numPr>
                <w:ilvl w:val="0"/>
                <w:numId w:val="16"/>
              </w:numPr>
              <w:tabs>
                <w:tab w:val="clear" w:pos="284"/>
              </w:tabs>
              <w:ind w:left="317" w:hanging="317"/>
              <w:jc w:val="left"/>
              <w:rPr>
                <w:szCs w:val="22"/>
                <w:lang w:val="sr-Latn-ME"/>
              </w:rPr>
            </w:pPr>
            <w:r w:rsidRPr="004C7CDA">
              <w:rPr>
                <w:szCs w:val="22"/>
                <w:lang w:val="sr-Latn-ME"/>
              </w:rPr>
              <w:t>konfuzija,</w:t>
            </w:r>
          </w:p>
        </w:tc>
        <w:tc>
          <w:tcPr>
            <w:tcW w:w="1216" w:type="pct"/>
            <w:vMerge/>
            <w:vAlign w:val="center"/>
          </w:tcPr>
          <w:p w14:paraId="6256AC69" w14:textId="77777777" w:rsidR="00FD1403" w:rsidRPr="004C7CDA" w:rsidRDefault="00FD1403" w:rsidP="004C7CDA">
            <w:pPr>
              <w:widowControl w:val="0"/>
              <w:jc w:val="left"/>
              <w:rPr>
                <w:szCs w:val="22"/>
                <w:lang w:val="sr-Latn-ME"/>
              </w:rPr>
            </w:pPr>
          </w:p>
        </w:tc>
      </w:tr>
      <w:tr w:rsidR="00FD1403" w:rsidRPr="004C7CDA" w14:paraId="4DF8735D" w14:textId="77777777" w:rsidTr="00FD1403">
        <w:trPr>
          <w:trHeight w:val="20"/>
        </w:trPr>
        <w:tc>
          <w:tcPr>
            <w:tcW w:w="1427" w:type="pct"/>
            <w:vMerge/>
            <w:vAlign w:val="center"/>
          </w:tcPr>
          <w:p w14:paraId="3E8A0ADE" w14:textId="77777777" w:rsidR="00FD1403" w:rsidRPr="004C7CDA" w:rsidRDefault="00FD1403" w:rsidP="004C7CDA">
            <w:pPr>
              <w:widowControl w:val="0"/>
              <w:jc w:val="left"/>
              <w:rPr>
                <w:szCs w:val="22"/>
                <w:lang w:val="sr-Latn-ME"/>
              </w:rPr>
            </w:pPr>
          </w:p>
        </w:tc>
        <w:tc>
          <w:tcPr>
            <w:tcW w:w="2357" w:type="pct"/>
            <w:tcBorders>
              <w:top w:val="nil"/>
            </w:tcBorders>
            <w:vAlign w:val="center"/>
          </w:tcPr>
          <w:p w14:paraId="50CFC0F0" w14:textId="71A0DBD0" w:rsidR="00FD1403" w:rsidRPr="004C7CDA" w:rsidRDefault="008B3ED5" w:rsidP="004C7CDA">
            <w:pPr>
              <w:pStyle w:val="ListParagraph"/>
              <w:widowControl w:val="0"/>
              <w:numPr>
                <w:ilvl w:val="0"/>
                <w:numId w:val="16"/>
              </w:numPr>
              <w:tabs>
                <w:tab w:val="clear" w:pos="284"/>
              </w:tabs>
              <w:ind w:left="317" w:hanging="317"/>
              <w:jc w:val="left"/>
              <w:rPr>
                <w:szCs w:val="22"/>
                <w:lang w:val="sr-Latn-ME"/>
              </w:rPr>
            </w:pPr>
            <w:r w:rsidRPr="004C7CDA">
              <w:rPr>
                <w:szCs w:val="22"/>
                <w:lang w:val="sr-Latn-ME"/>
              </w:rPr>
              <w:t>l</w:t>
            </w:r>
            <w:r w:rsidR="00FD1403" w:rsidRPr="004C7CDA">
              <w:rPr>
                <w:szCs w:val="22"/>
                <w:lang w:val="sr-Latn-ME"/>
              </w:rPr>
              <w:t>etargija.</w:t>
            </w:r>
          </w:p>
        </w:tc>
        <w:tc>
          <w:tcPr>
            <w:tcW w:w="1216" w:type="pct"/>
            <w:vMerge/>
            <w:vAlign w:val="center"/>
          </w:tcPr>
          <w:p w14:paraId="4D298C4E" w14:textId="77777777" w:rsidR="00FD1403" w:rsidRPr="004C7CDA" w:rsidRDefault="00FD1403" w:rsidP="004C7CDA">
            <w:pPr>
              <w:widowControl w:val="0"/>
              <w:jc w:val="left"/>
              <w:rPr>
                <w:szCs w:val="22"/>
                <w:lang w:val="sr-Latn-ME"/>
              </w:rPr>
            </w:pPr>
          </w:p>
        </w:tc>
      </w:tr>
      <w:tr w:rsidR="00FD1403" w:rsidRPr="004C7CDA" w14:paraId="5BEFE561" w14:textId="77777777" w:rsidTr="00FD1403">
        <w:trPr>
          <w:trHeight w:val="20"/>
        </w:trPr>
        <w:tc>
          <w:tcPr>
            <w:tcW w:w="1427" w:type="pct"/>
            <w:vAlign w:val="center"/>
          </w:tcPr>
          <w:p w14:paraId="4F6E8742" w14:textId="77777777" w:rsidR="00FD1403" w:rsidRPr="004C7CDA" w:rsidRDefault="00FD1403" w:rsidP="004C7CDA">
            <w:pPr>
              <w:widowControl w:val="0"/>
              <w:jc w:val="left"/>
              <w:rPr>
                <w:szCs w:val="22"/>
                <w:lang w:val="sr-Latn-ME"/>
              </w:rPr>
            </w:pPr>
            <w:r w:rsidRPr="004C7CDA">
              <w:rPr>
                <w:szCs w:val="22"/>
                <w:lang w:val="sr-Latn-ME"/>
              </w:rPr>
              <w:t>Poremećaji oka</w:t>
            </w:r>
          </w:p>
        </w:tc>
        <w:tc>
          <w:tcPr>
            <w:tcW w:w="2357" w:type="pct"/>
            <w:vAlign w:val="center"/>
          </w:tcPr>
          <w:p w14:paraId="5E47CBF6" w14:textId="77777777" w:rsidR="00FD1403" w:rsidRPr="004C7CDA" w:rsidRDefault="00FD1403" w:rsidP="004C7CDA">
            <w:pPr>
              <w:widowControl w:val="0"/>
              <w:jc w:val="left"/>
              <w:rPr>
                <w:szCs w:val="22"/>
                <w:lang w:val="sr-Latn-ME"/>
              </w:rPr>
            </w:pPr>
            <w:r w:rsidRPr="004C7CDA">
              <w:rPr>
                <w:szCs w:val="22"/>
                <w:lang w:val="sr-Latn-ME"/>
              </w:rPr>
              <w:t>Zamućen vid</w:t>
            </w:r>
          </w:p>
        </w:tc>
        <w:tc>
          <w:tcPr>
            <w:tcW w:w="1216" w:type="pct"/>
            <w:vAlign w:val="center"/>
          </w:tcPr>
          <w:p w14:paraId="0368862C" w14:textId="66EBDF03" w:rsidR="00FD1403" w:rsidRPr="004C7CDA" w:rsidRDefault="00FD1403" w:rsidP="004C7CDA">
            <w:pPr>
              <w:widowControl w:val="0"/>
              <w:jc w:val="left"/>
              <w:rPr>
                <w:szCs w:val="22"/>
                <w:lang w:val="sr-Latn-ME"/>
              </w:rPr>
            </w:pPr>
            <w:r w:rsidRPr="004C7CDA">
              <w:rPr>
                <w:szCs w:val="22"/>
                <w:lang w:val="sr-Latn-ME"/>
              </w:rPr>
              <w:t>Nepoznata učesta</w:t>
            </w:r>
            <w:r w:rsidR="008B3ED5" w:rsidRPr="004C7CDA">
              <w:rPr>
                <w:szCs w:val="22"/>
                <w:lang w:val="sr-Latn-ME"/>
              </w:rPr>
              <w:t>l</w:t>
            </w:r>
            <w:r w:rsidRPr="004C7CDA">
              <w:rPr>
                <w:szCs w:val="22"/>
                <w:lang w:val="sr-Latn-ME"/>
              </w:rPr>
              <w:t>ost</w:t>
            </w:r>
          </w:p>
        </w:tc>
      </w:tr>
      <w:tr w:rsidR="00FD1403" w:rsidRPr="004C7CDA" w14:paraId="45FBFB25" w14:textId="77777777" w:rsidTr="00FD1403">
        <w:trPr>
          <w:trHeight w:val="20"/>
        </w:trPr>
        <w:tc>
          <w:tcPr>
            <w:tcW w:w="1427" w:type="pct"/>
            <w:vMerge w:val="restart"/>
            <w:vAlign w:val="center"/>
          </w:tcPr>
          <w:p w14:paraId="1D3F9833" w14:textId="42018B7F" w:rsidR="00FD1403" w:rsidRPr="004C7CDA" w:rsidRDefault="00FD1403" w:rsidP="004C7CDA">
            <w:pPr>
              <w:widowControl w:val="0"/>
              <w:jc w:val="left"/>
              <w:rPr>
                <w:szCs w:val="22"/>
                <w:lang w:val="sr-Latn-ME"/>
              </w:rPr>
            </w:pPr>
            <w:r w:rsidRPr="004C7CDA">
              <w:rPr>
                <w:szCs w:val="22"/>
                <w:lang w:val="sr-Latn-ME"/>
              </w:rPr>
              <w:t>Kardio</w:t>
            </w:r>
            <w:r w:rsidR="008B3ED5" w:rsidRPr="004C7CDA">
              <w:rPr>
                <w:szCs w:val="22"/>
                <w:lang w:val="sr-Latn-ME"/>
              </w:rPr>
              <w:t>l</w:t>
            </w:r>
            <w:r w:rsidRPr="004C7CDA">
              <w:rPr>
                <w:szCs w:val="22"/>
                <w:lang w:val="sr-Latn-ME"/>
              </w:rPr>
              <w:t>oški poremećaji</w:t>
            </w:r>
          </w:p>
        </w:tc>
        <w:tc>
          <w:tcPr>
            <w:tcW w:w="2357" w:type="pct"/>
            <w:vAlign w:val="center"/>
          </w:tcPr>
          <w:p w14:paraId="2BBEADD3" w14:textId="77777777" w:rsidR="00FD1403" w:rsidRPr="004C7CDA" w:rsidRDefault="00FD1403" w:rsidP="004C7CDA">
            <w:pPr>
              <w:widowControl w:val="0"/>
              <w:jc w:val="left"/>
              <w:rPr>
                <w:szCs w:val="22"/>
                <w:lang w:val="sr-Latn-ME"/>
              </w:rPr>
            </w:pPr>
            <w:r w:rsidRPr="004C7CDA">
              <w:rPr>
                <w:szCs w:val="22"/>
                <w:lang w:val="sr-Latn-ME"/>
              </w:rPr>
              <w:t>Srčane aritmije</w:t>
            </w:r>
          </w:p>
        </w:tc>
        <w:tc>
          <w:tcPr>
            <w:tcW w:w="1216" w:type="pct"/>
            <w:vMerge w:val="restart"/>
            <w:vAlign w:val="center"/>
          </w:tcPr>
          <w:p w14:paraId="4D1F5490" w14:textId="5BE5AC4C" w:rsidR="00FD1403" w:rsidRPr="004C7CDA" w:rsidRDefault="00FD1403" w:rsidP="004C7CDA">
            <w:pPr>
              <w:widowControl w:val="0"/>
              <w:jc w:val="left"/>
              <w:rPr>
                <w:szCs w:val="22"/>
                <w:lang w:val="sr-Latn-ME"/>
              </w:rPr>
            </w:pPr>
            <w:r w:rsidRPr="004C7CDA">
              <w:rPr>
                <w:szCs w:val="22"/>
                <w:lang w:val="sr-Latn-ME"/>
              </w:rPr>
              <w:t>Nepoznata učesta</w:t>
            </w:r>
            <w:r w:rsidR="008B3ED5" w:rsidRPr="004C7CDA">
              <w:rPr>
                <w:szCs w:val="22"/>
                <w:lang w:val="sr-Latn-ME"/>
              </w:rPr>
              <w:t>l</w:t>
            </w:r>
            <w:r w:rsidRPr="004C7CDA">
              <w:rPr>
                <w:szCs w:val="22"/>
                <w:lang w:val="sr-Latn-ME"/>
              </w:rPr>
              <w:t>ost</w:t>
            </w:r>
          </w:p>
        </w:tc>
      </w:tr>
      <w:tr w:rsidR="00FD1403" w:rsidRPr="004C7CDA" w14:paraId="3D3A85B0" w14:textId="77777777" w:rsidTr="00FD1403">
        <w:trPr>
          <w:trHeight w:val="20"/>
        </w:trPr>
        <w:tc>
          <w:tcPr>
            <w:tcW w:w="1427" w:type="pct"/>
            <w:vMerge/>
            <w:vAlign w:val="center"/>
          </w:tcPr>
          <w:p w14:paraId="6EDE8451" w14:textId="77777777" w:rsidR="00FD1403" w:rsidRPr="004C7CDA" w:rsidRDefault="00FD1403" w:rsidP="004C7CDA">
            <w:pPr>
              <w:widowControl w:val="0"/>
              <w:jc w:val="left"/>
              <w:rPr>
                <w:szCs w:val="22"/>
                <w:lang w:val="sr-Latn-ME"/>
              </w:rPr>
            </w:pPr>
          </w:p>
        </w:tc>
        <w:tc>
          <w:tcPr>
            <w:tcW w:w="2357" w:type="pct"/>
            <w:vAlign w:val="center"/>
          </w:tcPr>
          <w:p w14:paraId="69871B5F" w14:textId="77777777" w:rsidR="00FD1403" w:rsidRPr="004C7CDA" w:rsidRDefault="00FD1403" w:rsidP="004C7CDA">
            <w:pPr>
              <w:widowControl w:val="0"/>
              <w:jc w:val="left"/>
              <w:rPr>
                <w:szCs w:val="22"/>
                <w:lang w:val="sr-Latn-ME"/>
              </w:rPr>
            </w:pPr>
            <w:r w:rsidRPr="004C7CDA">
              <w:rPr>
                <w:szCs w:val="22"/>
                <w:lang w:val="sr-Latn-ME"/>
              </w:rPr>
              <w:t>Kongestivna srčana insuficijencija</w:t>
            </w:r>
          </w:p>
        </w:tc>
        <w:tc>
          <w:tcPr>
            <w:tcW w:w="1216" w:type="pct"/>
            <w:vMerge/>
            <w:vAlign w:val="center"/>
          </w:tcPr>
          <w:p w14:paraId="7F3206C4" w14:textId="77777777" w:rsidR="00FD1403" w:rsidRPr="004C7CDA" w:rsidRDefault="00FD1403" w:rsidP="004C7CDA">
            <w:pPr>
              <w:widowControl w:val="0"/>
              <w:jc w:val="left"/>
              <w:rPr>
                <w:szCs w:val="22"/>
                <w:lang w:val="sr-Latn-ME"/>
              </w:rPr>
            </w:pPr>
          </w:p>
        </w:tc>
      </w:tr>
      <w:tr w:rsidR="00FD1403" w:rsidRPr="004C7CDA" w14:paraId="6FF452EB" w14:textId="77777777" w:rsidTr="00FD1403">
        <w:trPr>
          <w:trHeight w:val="20"/>
        </w:trPr>
        <w:tc>
          <w:tcPr>
            <w:tcW w:w="1427" w:type="pct"/>
            <w:vMerge w:val="restart"/>
            <w:vAlign w:val="center"/>
          </w:tcPr>
          <w:p w14:paraId="09278DC7" w14:textId="198368D8" w:rsidR="00FD1403" w:rsidRPr="004C7CDA" w:rsidRDefault="00FD1403" w:rsidP="004C7CDA">
            <w:pPr>
              <w:widowControl w:val="0"/>
              <w:jc w:val="left"/>
              <w:rPr>
                <w:szCs w:val="22"/>
                <w:lang w:val="sr-Latn-ME"/>
              </w:rPr>
            </w:pPr>
            <w:r w:rsidRPr="004C7CDA">
              <w:rPr>
                <w:szCs w:val="22"/>
                <w:lang w:val="sr-Latn-ME"/>
              </w:rPr>
              <w:t>Respiratorni, toraka</w:t>
            </w:r>
            <w:r w:rsidR="008B3ED5" w:rsidRPr="004C7CDA">
              <w:rPr>
                <w:szCs w:val="22"/>
                <w:lang w:val="sr-Latn-ME"/>
              </w:rPr>
              <w:t>l</w:t>
            </w:r>
            <w:r w:rsidRPr="004C7CDA">
              <w:rPr>
                <w:szCs w:val="22"/>
                <w:lang w:val="sr-Latn-ME"/>
              </w:rPr>
              <w:t>ni,</w:t>
            </w:r>
          </w:p>
          <w:p w14:paraId="4D76C0CB" w14:textId="532CBAFE" w:rsidR="00FD1403" w:rsidRPr="004C7CDA" w:rsidRDefault="00FD1403" w:rsidP="004C7CDA">
            <w:pPr>
              <w:widowControl w:val="0"/>
              <w:jc w:val="left"/>
              <w:rPr>
                <w:szCs w:val="22"/>
                <w:lang w:val="sr-Latn-ME"/>
              </w:rPr>
            </w:pPr>
            <w:r w:rsidRPr="004C7CDA">
              <w:rPr>
                <w:szCs w:val="22"/>
                <w:lang w:val="sr-Latn-ME"/>
              </w:rPr>
              <w:t>i medijastina</w:t>
            </w:r>
            <w:r w:rsidR="008B3ED5" w:rsidRPr="004C7CDA">
              <w:rPr>
                <w:szCs w:val="22"/>
                <w:lang w:val="sr-Latn-ME"/>
              </w:rPr>
              <w:t>l</w:t>
            </w:r>
            <w:r w:rsidRPr="004C7CDA">
              <w:rPr>
                <w:szCs w:val="22"/>
                <w:lang w:val="sr-Latn-ME"/>
              </w:rPr>
              <w:t>ni poremećaji</w:t>
            </w:r>
          </w:p>
        </w:tc>
        <w:tc>
          <w:tcPr>
            <w:tcW w:w="2357" w:type="pct"/>
            <w:vAlign w:val="center"/>
          </w:tcPr>
          <w:p w14:paraId="5FCEF9BF" w14:textId="275CD7F2" w:rsidR="00FD1403" w:rsidRPr="004C7CDA" w:rsidRDefault="00FD1403" w:rsidP="004C7CDA">
            <w:pPr>
              <w:widowControl w:val="0"/>
              <w:jc w:val="left"/>
              <w:rPr>
                <w:szCs w:val="22"/>
                <w:lang w:val="sr-Latn-ME"/>
              </w:rPr>
            </w:pPr>
            <w:r w:rsidRPr="004C7CDA">
              <w:rPr>
                <w:szCs w:val="22"/>
                <w:lang w:val="sr-Latn-ME"/>
              </w:rPr>
              <w:t>P</w:t>
            </w:r>
            <w:r w:rsidR="008B3ED5" w:rsidRPr="004C7CDA">
              <w:rPr>
                <w:szCs w:val="22"/>
                <w:lang w:val="sr-Latn-ME"/>
              </w:rPr>
              <w:t>l</w:t>
            </w:r>
            <w:r w:rsidRPr="004C7CDA">
              <w:rPr>
                <w:szCs w:val="22"/>
                <w:lang w:val="sr-Latn-ME"/>
              </w:rPr>
              <w:t>ućni edem</w:t>
            </w:r>
          </w:p>
        </w:tc>
        <w:tc>
          <w:tcPr>
            <w:tcW w:w="1216" w:type="pct"/>
            <w:vMerge w:val="restart"/>
            <w:vAlign w:val="center"/>
          </w:tcPr>
          <w:p w14:paraId="224FF19A" w14:textId="21149F9E" w:rsidR="00FD1403" w:rsidRPr="004C7CDA" w:rsidRDefault="00FD1403" w:rsidP="004C7CDA">
            <w:pPr>
              <w:widowControl w:val="0"/>
              <w:jc w:val="left"/>
              <w:rPr>
                <w:szCs w:val="22"/>
                <w:lang w:val="sr-Latn-ME"/>
              </w:rPr>
            </w:pPr>
            <w:r w:rsidRPr="004C7CDA">
              <w:rPr>
                <w:szCs w:val="22"/>
                <w:lang w:val="sr-Latn-ME"/>
              </w:rPr>
              <w:t>Nepoznata učesta</w:t>
            </w:r>
            <w:r w:rsidR="008B3ED5" w:rsidRPr="004C7CDA">
              <w:rPr>
                <w:szCs w:val="22"/>
                <w:lang w:val="sr-Latn-ME"/>
              </w:rPr>
              <w:t>l</w:t>
            </w:r>
            <w:r w:rsidRPr="004C7CDA">
              <w:rPr>
                <w:szCs w:val="22"/>
                <w:lang w:val="sr-Latn-ME"/>
              </w:rPr>
              <w:t>ost</w:t>
            </w:r>
          </w:p>
        </w:tc>
      </w:tr>
      <w:tr w:rsidR="00FD1403" w:rsidRPr="004C7CDA" w14:paraId="1040AF46" w14:textId="77777777" w:rsidTr="00FD1403">
        <w:trPr>
          <w:trHeight w:val="20"/>
        </w:trPr>
        <w:tc>
          <w:tcPr>
            <w:tcW w:w="1427" w:type="pct"/>
            <w:vMerge/>
            <w:vAlign w:val="center"/>
          </w:tcPr>
          <w:p w14:paraId="0B1E077F" w14:textId="77777777" w:rsidR="00FD1403" w:rsidRPr="004C7CDA" w:rsidRDefault="00FD1403" w:rsidP="004C7CDA">
            <w:pPr>
              <w:widowControl w:val="0"/>
              <w:jc w:val="left"/>
              <w:rPr>
                <w:szCs w:val="22"/>
                <w:lang w:val="sr-Latn-ME"/>
              </w:rPr>
            </w:pPr>
          </w:p>
        </w:tc>
        <w:tc>
          <w:tcPr>
            <w:tcW w:w="2357" w:type="pct"/>
            <w:vAlign w:val="center"/>
          </w:tcPr>
          <w:p w14:paraId="1A124C03" w14:textId="77777777" w:rsidR="00FD1403" w:rsidRPr="004C7CDA" w:rsidRDefault="00FD1403" w:rsidP="004C7CDA">
            <w:pPr>
              <w:widowControl w:val="0"/>
              <w:jc w:val="left"/>
              <w:rPr>
                <w:szCs w:val="22"/>
                <w:lang w:val="sr-Latn-ME"/>
              </w:rPr>
            </w:pPr>
            <w:r w:rsidRPr="004C7CDA">
              <w:rPr>
                <w:szCs w:val="22"/>
                <w:lang w:val="sr-Latn-ME"/>
              </w:rPr>
              <w:t>Rinitis</w:t>
            </w:r>
          </w:p>
        </w:tc>
        <w:tc>
          <w:tcPr>
            <w:tcW w:w="1216" w:type="pct"/>
            <w:vMerge/>
            <w:vAlign w:val="center"/>
          </w:tcPr>
          <w:p w14:paraId="4AFABD65" w14:textId="77777777" w:rsidR="00FD1403" w:rsidRPr="004C7CDA" w:rsidRDefault="00FD1403" w:rsidP="004C7CDA">
            <w:pPr>
              <w:widowControl w:val="0"/>
              <w:jc w:val="left"/>
              <w:rPr>
                <w:szCs w:val="22"/>
                <w:lang w:val="sr-Latn-ME"/>
              </w:rPr>
            </w:pPr>
          </w:p>
        </w:tc>
      </w:tr>
      <w:tr w:rsidR="00FD1403" w:rsidRPr="004C7CDA" w14:paraId="7A6288D8" w14:textId="77777777" w:rsidTr="00FD1403">
        <w:trPr>
          <w:trHeight w:val="20"/>
        </w:trPr>
        <w:tc>
          <w:tcPr>
            <w:tcW w:w="1427" w:type="pct"/>
            <w:vMerge w:val="restart"/>
            <w:vAlign w:val="center"/>
          </w:tcPr>
          <w:p w14:paraId="1C90D345" w14:textId="32194FF6" w:rsidR="00FD1403" w:rsidRPr="004C7CDA" w:rsidRDefault="00FD1403" w:rsidP="004C7CDA">
            <w:pPr>
              <w:widowControl w:val="0"/>
              <w:jc w:val="left"/>
              <w:rPr>
                <w:szCs w:val="22"/>
                <w:lang w:val="sr-Latn-ME"/>
              </w:rPr>
            </w:pPr>
            <w:r w:rsidRPr="004C7CDA">
              <w:rPr>
                <w:szCs w:val="22"/>
                <w:lang w:val="sr-Latn-ME"/>
              </w:rPr>
              <w:t>Gastrointestina</w:t>
            </w:r>
            <w:r w:rsidR="008B3ED5" w:rsidRPr="004C7CDA">
              <w:rPr>
                <w:szCs w:val="22"/>
                <w:lang w:val="sr-Latn-ME"/>
              </w:rPr>
              <w:t>l</w:t>
            </w:r>
            <w:r w:rsidRPr="004C7CDA">
              <w:rPr>
                <w:szCs w:val="22"/>
                <w:lang w:val="sr-Latn-ME"/>
              </w:rPr>
              <w:t>ni poremećaji</w:t>
            </w:r>
          </w:p>
        </w:tc>
        <w:tc>
          <w:tcPr>
            <w:tcW w:w="2357" w:type="pct"/>
            <w:vAlign w:val="center"/>
          </w:tcPr>
          <w:p w14:paraId="7B05B270" w14:textId="77777777" w:rsidR="00FD1403" w:rsidRPr="004C7CDA" w:rsidRDefault="00FD1403" w:rsidP="004C7CDA">
            <w:pPr>
              <w:widowControl w:val="0"/>
              <w:jc w:val="left"/>
              <w:rPr>
                <w:szCs w:val="22"/>
                <w:lang w:val="sr-Latn-ME"/>
              </w:rPr>
            </w:pPr>
            <w:r w:rsidRPr="004C7CDA">
              <w:rPr>
                <w:szCs w:val="22"/>
                <w:lang w:val="sr-Latn-ME"/>
              </w:rPr>
              <w:t>Suvoća usta</w:t>
            </w:r>
          </w:p>
        </w:tc>
        <w:tc>
          <w:tcPr>
            <w:tcW w:w="1216" w:type="pct"/>
            <w:vMerge w:val="restart"/>
            <w:vAlign w:val="center"/>
          </w:tcPr>
          <w:p w14:paraId="249B719E" w14:textId="51415ECA" w:rsidR="00FD1403" w:rsidRPr="004C7CDA" w:rsidRDefault="00FD1403" w:rsidP="004C7CDA">
            <w:pPr>
              <w:widowControl w:val="0"/>
              <w:jc w:val="left"/>
              <w:rPr>
                <w:szCs w:val="22"/>
                <w:lang w:val="sr-Latn-ME"/>
              </w:rPr>
            </w:pPr>
            <w:r w:rsidRPr="004C7CDA">
              <w:rPr>
                <w:szCs w:val="22"/>
                <w:lang w:val="sr-Latn-ME"/>
              </w:rPr>
              <w:t>Nepoznata učesta</w:t>
            </w:r>
            <w:r w:rsidR="008B3ED5" w:rsidRPr="004C7CDA">
              <w:rPr>
                <w:szCs w:val="22"/>
                <w:lang w:val="sr-Latn-ME"/>
              </w:rPr>
              <w:t>l</w:t>
            </w:r>
            <w:r w:rsidRPr="004C7CDA">
              <w:rPr>
                <w:szCs w:val="22"/>
                <w:lang w:val="sr-Latn-ME"/>
              </w:rPr>
              <w:t>ost</w:t>
            </w:r>
          </w:p>
        </w:tc>
      </w:tr>
      <w:tr w:rsidR="00FD1403" w:rsidRPr="004C7CDA" w14:paraId="7FA0D330" w14:textId="77777777" w:rsidTr="00FD1403">
        <w:trPr>
          <w:trHeight w:val="20"/>
        </w:trPr>
        <w:tc>
          <w:tcPr>
            <w:tcW w:w="1427" w:type="pct"/>
            <w:vMerge/>
            <w:vAlign w:val="center"/>
          </w:tcPr>
          <w:p w14:paraId="3128CD7E" w14:textId="77777777" w:rsidR="00FD1403" w:rsidRPr="004C7CDA" w:rsidRDefault="00FD1403" w:rsidP="004C7CDA">
            <w:pPr>
              <w:widowControl w:val="0"/>
              <w:jc w:val="left"/>
              <w:rPr>
                <w:szCs w:val="22"/>
                <w:lang w:val="sr-Latn-ME"/>
              </w:rPr>
            </w:pPr>
          </w:p>
        </w:tc>
        <w:tc>
          <w:tcPr>
            <w:tcW w:w="2357" w:type="pct"/>
            <w:vAlign w:val="center"/>
          </w:tcPr>
          <w:p w14:paraId="05601A8B" w14:textId="77777777" w:rsidR="00FD1403" w:rsidRPr="004C7CDA" w:rsidRDefault="00FD1403" w:rsidP="004C7CDA">
            <w:pPr>
              <w:widowControl w:val="0"/>
              <w:jc w:val="left"/>
              <w:rPr>
                <w:szCs w:val="22"/>
                <w:lang w:val="sr-Latn-ME"/>
              </w:rPr>
            </w:pPr>
            <w:r w:rsidRPr="004C7CDA">
              <w:rPr>
                <w:szCs w:val="22"/>
                <w:lang w:val="sr-Latn-ME"/>
              </w:rPr>
              <w:t>Žeđ</w:t>
            </w:r>
          </w:p>
        </w:tc>
        <w:tc>
          <w:tcPr>
            <w:tcW w:w="1216" w:type="pct"/>
            <w:vMerge/>
            <w:vAlign w:val="center"/>
          </w:tcPr>
          <w:p w14:paraId="52E6E9B6" w14:textId="77777777" w:rsidR="00FD1403" w:rsidRPr="004C7CDA" w:rsidRDefault="00FD1403" w:rsidP="004C7CDA">
            <w:pPr>
              <w:widowControl w:val="0"/>
              <w:jc w:val="left"/>
              <w:rPr>
                <w:szCs w:val="22"/>
                <w:lang w:val="sr-Latn-ME"/>
              </w:rPr>
            </w:pPr>
          </w:p>
        </w:tc>
      </w:tr>
      <w:tr w:rsidR="00FD1403" w:rsidRPr="004C7CDA" w14:paraId="7E5385D3" w14:textId="77777777" w:rsidTr="00FD1403">
        <w:trPr>
          <w:trHeight w:val="20"/>
        </w:trPr>
        <w:tc>
          <w:tcPr>
            <w:tcW w:w="1427" w:type="pct"/>
            <w:vMerge/>
            <w:vAlign w:val="center"/>
          </w:tcPr>
          <w:p w14:paraId="57D2E41A" w14:textId="77777777" w:rsidR="00FD1403" w:rsidRPr="004C7CDA" w:rsidRDefault="00FD1403" w:rsidP="004C7CDA">
            <w:pPr>
              <w:widowControl w:val="0"/>
              <w:jc w:val="left"/>
              <w:rPr>
                <w:szCs w:val="22"/>
                <w:lang w:val="sr-Latn-ME"/>
              </w:rPr>
            </w:pPr>
          </w:p>
        </w:tc>
        <w:tc>
          <w:tcPr>
            <w:tcW w:w="2357" w:type="pct"/>
            <w:vAlign w:val="center"/>
          </w:tcPr>
          <w:p w14:paraId="5085A976" w14:textId="77777777" w:rsidR="00FD1403" w:rsidRPr="004C7CDA" w:rsidRDefault="00FD1403" w:rsidP="004C7CDA">
            <w:pPr>
              <w:widowControl w:val="0"/>
              <w:jc w:val="left"/>
              <w:rPr>
                <w:szCs w:val="22"/>
                <w:lang w:val="sr-Latn-ME"/>
              </w:rPr>
            </w:pPr>
            <w:r w:rsidRPr="004C7CDA">
              <w:rPr>
                <w:szCs w:val="22"/>
                <w:lang w:val="sr-Latn-ME"/>
              </w:rPr>
              <w:t>Mučnina</w:t>
            </w:r>
          </w:p>
        </w:tc>
        <w:tc>
          <w:tcPr>
            <w:tcW w:w="1216" w:type="pct"/>
            <w:vMerge/>
            <w:vAlign w:val="center"/>
          </w:tcPr>
          <w:p w14:paraId="32C302E9" w14:textId="77777777" w:rsidR="00FD1403" w:rsidRPr="004C7CDA" w:rsidRDefault="00FD1403" w:rsidP="004C7CDA">
            <w:pPr>
              <w:widowControl w:val="0"/>
              <w:jc w:val="left"/>
              <w:rPr>
                <w:szCs w:val="22"/>
                <w:lang w:val="sr-Latn-ME"/>
              </w:rPr>
            </w:pPr>
          </w:p>
        </w:tc>
      </w:tr>
      <w:tr w:rsidR="00FD1403" w:rsidRPr="004C7CDA" w14:paraId="1174E819" w14:textId="77777777" w:rsidTr="00FD1403">
        <w:trPr>
          <w:trHeight w:val="20"/>
        </w:trPr>
        <w:tc>
          <w:tcPr>
            <w:tcW w:w="1427" w:type="pct"/>
            <w:vMerge/>
            <w:vAlign w:val="center"/>
          </w:tcPr>
          <w:p w14:paraId="6541E00B" w14:textId="77777777" w:rsidR="00FD1403" w:rsidRPr="004C7CDA" w:rsidRDefault="00FD1403" w:rsidP="004C7CDA">
            <w:pPr>
              <w:widowControl w:val="0"/>
              <w:jc w:val="left"/>
              <w:rPr>
                <w:szCs w:val="22"/>
                <w:lang w:val="sr-Latn-ME"/>
              </w:rPr>
            </w:pPr>
          </w:p>
        </w:tc>
        <w:tc>
          <w:tcPr>
            <w:tcW w:w="2357" w:type="pct"/>
            <w:vAlign w:val="center"/>
          </w:tcPr>
          <w:p w14:paraId="2B3CF185" w14:textId="77777777" w:rsidR="00FD1403" w:rsidRPr="004C7CDA" w:rsidRDefault="00FD1403" w:rsidP="004C7CDA">
            <w:pPr>
              <w:widowControl w:val="0"/>
              <w:jc w:val="left"/>
              <w:rPr>
                <w:szCs w:val="22"/>
                <w:lang w:val="sr-Latn-ME"/>
              </w:rPr>
            </w:pPr>
            <w:r w:rsidRPr="004C7CDA">
              <w:rPr>
                <w:szCs w:val="22"/>
                <w:lang w:val="sr-Latn-ME"/>
              </w:rPr>
              <w:t>Povraćanje</w:t>
            </w:r>
          </w:p>
        </w:tc>
        <w:tc>
          <w:tcPr>
            <w:tcW w:w="1216" w:type="pct"/>
            <w:vMerge/>
            <w:vAlign w:val="center"/>
          </w:tcPr>
          <w:p w14:paraId="5C0A47E4" w14:textId="77777777" w:rsidR="00FD1403" w:rsidRPr="004C7CDA" w:rsidRDefault="00FD1403" w:rsidP="004C7CDA">
            <w:pPr>
              <w:widowControl w:val="0"/>
              <w:jc w:val="left"/>
              <w:rPr>
                <w:szCs w:val="22"/>
                <w:lang w:val="sr-Latn-ME"/>
              </w:rPr>
            </w:pPr>
          </w:p>
        </w:tc>
      </w:tr>
      <w:tr w:rsidR="00FD1403" w:rsidRPr="004C7CDA" w14:paraId="127ABD8F" w14:textId="77777777" w:rsidTr="00FD1403">
        <w:trPr>
          <w:trHeight w:val="20"/>
        </w:trPr>
        <w:tc>
          <w:tcPr>
            <w:tcW w:w="1427" w:type="pct"/>
            <w:vMerge w:val="restart"/>
            <w:vAlign w:val="center"/>
          </w:tcPr>
          <w:p w14:paraId="7D1CB17D" w14:textId="37A1DE2E" w:rsidR="00FD1403" w:rsidRPr="004C7CDA" w:rsidRDefault="00FD1403" w:rsidP="004C7CDA">
            <w:pPr>
              <w:widowControl w:val="0"/>
              <w:jc w:val="left"/>
              <w:rPr>
                <w:szCs w:val="22"/>
                <w:lang w:val="sr-Latn-ME"/>
              </w:rPr>
            </w:pPr>
            <w:r w:rsidRPr="004C7CDA">
              <w:rPr>
                <w:szCs w:val="22"/>
                <w:lang w:val="sr-Latn-ME"/>
              </w:rPr>
              <w:t>Poremećaji kože i potkožnog tkiva</w:t>
            </w:r>
          </w:p>
        </w:tc>
        <w:tc>
          <w:tcPr>
            <w:tcW w:w="2357" w:type="pct"/>
            <w:vAlign w:val="center"/>
          </w:tcPr>
          <w:p w14:paraId="50D2040B" w14:textId="77777777" w:rsidR="00FD1403" w:rsidRPr="004C7CDA" w:rsidRDefault="00FD1403" w:rsidP="004C7CDA">
            <w:pPr>
              <w:widowControl w:val="0"/>
              <w:jc w:val="left"/>
              <w:rPr>
                <w:szCs w:val="22"/>
                <w:lang w:val="sr-Latn-ME"/>
              </w:rPr>
            </w:pPr>
            <w:r w:rsidRPr="004C7CDA">
              <w:rPr>
                <w:szCs w:val="22"/>
                <w:lang w:val="sr-Latn-ME"/>
              </w:rPr>
              <w:t>Nekroza kože</w:t>
            </w:r>
          </w:p>
        </w:tc>
        <w:tc>
          <w:tcPr>
            <w:tcW w:w="1216" w:type="pct"/>
            <w:vMerge w:val="restart"/>
            <w:vAlign w:val="center"/>
          </w:tcPr>
          <w:p w14:paraId="23F1E8BF" w14:textId="13CA0E16" w:rsidR="00FD1403" w:rsidRPr="004C7CDA" w:rsidRDefault="00FD1403" w:rsidP="004C7CDA">
            <w:pPr>
              <w:widowControl w:val="0"/>
              <w:jc w:val="left"/>
              <w:rPr>
                <w:szCs w:val="22"/>
                <w:lang w:val="sr-Latn-ME"/>
              </w:rPr>
            </w:pPr>
            <w:r w:rsidRPr="004C7CDA">
              <w:rPr>
                <w:szCs w:val="22"/>
                <w:lang w:val="sr-Latn-ME"/>
              </w:rPr>
              <w:t>Nepoznata učesta</w:t>
            </w:r>
            <w:r w:rsidR="008B3ED5" w:rsidRPr="004C7CDA">
              <w:rPr>
                <w:szCs w:val="22"/>
                <w:lang w:val="sr-Latn-ME"/>
              </w:rPr>
              <w:t>l</w:t>
            </w:r>
            <w:r w:rsidRPr="004C7CDA">
              <w:rPr>
                <w:szCs w:val="22"/>
                <w:lang w:val="sr-Latn-ME"/>
              </w:rPr>
              <w:t>ost</w:t>
            </w:r>
          </w:p>
        </w:tc>
      </w:tr>
      <w:tr w:rsidR="00FD1403" w:rsidRPr="004C7CDA" w14:paraId="09C12BF9" w14:textId="77777777" w:rsidTr="00FD1403">
        <w:trPr>
          <w:trHeight w:val="20"/>
        </w:trPr>
        <w:tc>
          <w:tcPr>
            <w:tcW w:w="1427" w:type="pct"/>
            <w:vMerge/>
            <w:vAlign w:val="center"/>
          </w:tcPr>
          <w:p w14:paraId="09C6C615" w14:textId="77777777" w:rsidR="00FD1403" w:rsidRPr="004C7CDA" w:rsidRDefault="00FD1403" w:rsidP="004C7CDA">
            <w:pPr>
              <w:widowControl w:val="0"/>
              <w:jc w:val="left"/>
              <w:rPr>
                <w:szCs w:val="22"/>
                <w:lang w:val="sr-Latn-ME"/>
              </w:rPr>
            </w:pPr>
          </w:p>
        </w:tc>
        <w:tc>
          <w:tcPr>
            <w:tcW w:w="2357" w:type="pct"/>
            <w:vAlign w:val="center"/>
          </w:tcPr>
          <w:p w14:paraId="29A9D0C6" w14:textId="77777777" w:rsidR="00FD1403" w:rsidRPr="004C7CDA" w:rsidRDefault="00FD1403" w:rsidP="004C7CDA">
            <w:pPr>
              <w:widowControl w:val="0"/>
              <w:jc w:val="left"/>
              <w:rPr>
                <w:szCs w:val="22"/>
                <w:lang w:val="sr-Latn-ME"/>
              </w:rPr>
            </w:pPr>
            <w:r w:rsidRPr="004C7CDA">
              <w:rPr>
                <w:szCs w:val="22"/>
                <w:lang w:val="sr-Latn-ME"/>
              </w:rPr>
              <w:t>Urtikarija</w:t>
            </w:r>
          </w:p>
        </w:tc>
        <w:tc>
          <w:tcPr>
            <w:tcW w:w="1216" w:type="pct"/>
            <w:vMerge/>
            <w:vAlign w:val="center"/>
          </w:tcPr>
          <w:p w14:paraId="72BAF7CB" w14:textId="77777777" w:rsidR="00FD1403" w:rsidRPr="004C7CDA" w:rsidRDefault="00FD1403" w:rsidP="004C7CDA">
            <w:pPr>
              <w:widowControl w:val="0"/>
              <w:jc w:val="left"/>
              <w:rPr>
                <w:szCs w:val="22"/>
                <w:lang w:val="sr-Latn-ME"/>
              </w:rPr>
            </w:pPr>
          </w:p>
        </w:tc>
      </w:tr>
      <w:tr w:rsidR="00FD1403" w:rsidRPr="004C7CDA" w14:paraId="36CF1623" w14:textId="77777777" w:rsidTr="00FD1403">
        <w:trPr>
          <w:trHeight w:val="20"/>
        </w:trPr>
        <w:tc>
          <w:tcPr>
            <w:tcW w:w="1427" w:type="pct"/>
            <w:vAlign w:val="center"/>
          </w:tcPr>
          <w:p w14:paraId="52C0A16F" w14:textId="77777777" w:rsidR="00FD1403" w:rsidRPr="004C7CDA" w:rsidRDefault="00FD1403" w:rsidP="004C7CDA">
            <w:pPr>
              <w:widowControl w:val="0"/>
              <w:jc w:val="left"/>
              <w:rPr>
                <w:szCs w:val="22"/>
                <w:lang w:val="sr-Latn-ME"/>
              </w:rPr>
            </w:pPr>
            <w:r w:rsidRPr="004C7CDA">
              <w:rPr>
                <w:szCs w:val="22"/>
                <w:lang w:val="sr-Latn-ME"/>
              </w:rPr>
              <w:t xml:space="preserve">Poremećaji </w:t>
            </w:r>
          </w:p>
          <w:p w14:paraId="42FDFF15" w14:textId="77777777" w:rsidR="00FD1403" w:rsidRPr="004C7CDA" w:rsidRDefault="00FD1403" w:rsidP="004C7CDA">
            <w:pPr>
              <w:widowControl w:val="0"/>
              <w:jc w:val="left"/>
              <w:rPr>
                <w:szCs w:val="22"/>
                <w:lang w:val="sr-Latn-ME"/>
              </w:rPr>
            </w:pPr>
            <w:r w:rsidRPr="004C7CDA">
              <w:rPr>
                <w:szCs w:val="22"/>
                <w:lang w:val="sr-Latn-ME"/>
              </w:rPr>
              <w:t>mišićno-koštanog sistema i vezivnog tkiva</w:t>
            </w:r>
          </w:p>
        </w:tc>
        <w:tc>
          <w:tcPr>
            <w:tcW w:w="2357" w:type="pct"/>
            <w:vAlign w:val="center"/>
          </w:tcPr>
          <w:p w14:paraId="3041DE37" w14:textId="77777777" w:rsidR="00FD1403" w:rsidRPr="004C7CDA" w:rsidRDefault="00FD1403" w:rsidP="004C7CDA">
            <w:pPr>
              <w:widowControl w:val="0"/>
              <w:jc w:val="left"/>
              <w:rPr>
                <w:szCs w:val="22"/>
                <w:lang w:val="sr-Latn-ME"/>
              </w:rPr>
            </w:pPr>
            <w:r w:rsidRPr="004C7CDA">
              <w:rPr>
                <w:szCs w:val="22"/>
                <w:lang w:val="sr-Latn-ME"/>
              </w:rPr>
              <w:t>Grčevi</w:t>
            </w:r>
          </w:p>
        </w:tc>
        <w:tc>
          <w:tcPr>
            <w:tcW w:w="1216" w:type="pct"/>
            <w:vAlign w:val="center"/>
          </w:tcPr>
          <w:p w14:paraId="69F6A970" w14:textId="77B7EEC8" w:rsidR="00FD1403" w:rsidRPr="004C7CDA" w:rsidRDefault="00FD1403" w:rsidP="004C7CDA">
            <w:pPr>
              <w:widowControl w:val="0"/>
              <w:jc w:val="left"/>
              <w:rPr>
                <w:szCs w:val="22"/>
                <w:lang w:val="sr-Latn-ME"/>
              </w:rPr>
            </w:pPr>
            <w:r w:rsidRPr="004C7CDA">
              <w:rPr>
                <w:szCs w:val="22"/>
                <w:lang w:val="sr-Latn-ME"/>
              </w:rPr>
              <w:t>Nepoznata učesta</w:t>
            </w:r>
            <w:r w:rsidR="008B3ED5" w:rsidRPr="004C7CDA">
              <w:rPr>
                <w:szCs w:val="22"/>
                <w:lang w:val="sr-Latn-ME"/>
              </w:rPr>
              <w:t>l</w:t>
            </w:r>
            <w:r w:rsidRPr="004C7CDA">
              <w:rPr>
                <w:szCs w:val="22"/>
                <w:lang w:val="sr-Latn-ME"/>
              </w:rPr>
              <w:t>ost</w:t>
            </w:r>
          </w:p>
        </w:tc>
      </w:tr>
      <w:tr w:rsidR="00FD1403" w:rsidRPr="004C7CDA" w14:paraId="1444D1F2" w14:textId="77777777" w:rsidTr="00FD1403">
        <w:trPr>
          <w:trHeight w:val="20"/>
        </w:trPr>
        <w:tc>
          <w:tcPr>
            <w:tcW w:w="1427" w:type="pct"/>
            <w:vMerge w:val="restart"/>
            <w:vAlign w:val="center"/>
          </w:tcPr>
          <w:p w14:paraId="41911E7F" w14:textId="77777777" w:rsidR="00FD1403" w:rsidRPr="004C7CDA" w:rsidRDefault="00FD1403" w:rsidP="004C7CDA">
            <w:pPr>
              <w:widowControl w:val="0"/>
              <w:jc w:val="left"/>
              <w:rPr>
                <w:szCs w:val="22"/>
                <w:lang w:val="sr-Latn-ME"/>
              </w:rPr>
            </w:pPr>
            <w:r w:rsidRPr="004C7CDA">
              <w:rPr>
                <w:szCs w:val="22"/>
                <w:lang w:val="sr-Latn-ME"/>
              </w:rPr>
              <w:t>Poremećaji bubrega i urinarnog sistema</w:t>
            </w:r>
          </w:p>
        </w:tc>
        <w:tc>
          <w:tcPr>
            <w:tcW w:w="2357" w:type="pct"/>
            <w:vAlign w:val="center"/>
          </w:tcPr>
          <w:p w14:paraId="774BC98C" w14:textId="7916B607" w:rsidR="00FD1403" w:rsidRPr="004C7CDA" w:rsidRDefault="00FD1403" w:rsidP="004C7CDA">
            <w:pPr>
              <w:widowControl w:val="0"/>
              <w:jc w:val="left"/>
              <w:rPr>
                <w:szCs w:val="22"/>
                <w:lang w:val="sr-Latn-ME"/>
              </w:rPr>
            </w:pPr>
            <w:r w:rsidRPr="004C7CDA">
              <w:rPr>
                <w:szCs w:val="22"/>
                <w:lang w:val="sr-Latn-ME"/>
              </w:rPr>
              <w:t>Prekom</w:t>
            </w:r>
            <w:r w:rsidR="00965575" w:rsidRPr="004C7CDA">
              <w:rPr>
                <w:szCs w:val="22"/>
                <w:lang w:val="sr-Latn-ME"/>
              </w:rPr>
              <w:t>j</w:t>
            </w:r>
            <w:r w:rsidRPr="004C7CDA">
              <w:rPr>
                <w:szCs w:val="22"/>
                <w:lang w:val="sr-Latn-ME"/>
              </w:rPr>
              <w:t>erna diureza</w:t>
            </w:r>
          </w:p>
        </w:tc>
        <w:tc>
          <w:tcPr>
            <w:tcW w:w="1216" w:type="pct"/>
            <w:vMerge w:val="restart"/>
            <w:vAlign w:val="center"/>
          </w:tcPr>
          <w:p w14:paraId="317FF0C7" w14:textId="33612635" w:rsidR="00FD1403" w:rsidRPr="004C7CDA" w:rsidRDefault="00FD1403" w:rsidP="004C7CDA">
            <w:pPr>
              <w:widowControl w:val="0"/>
              <w:jc w:val="left"/>
              <w:rPr>
                <w:szCs w:val="22"/>
                <w:lang w:val="sr-Latn-ME"/>
              </w:rPr>
            </w:pPr>
            <w:r w:rsidRPr="004C7CDA">
              <w:rPr>
                <w:szCs w:val="22"/>
                <w:lang w:val="sr-Latn-ME"/>
              </w:rPr>
              <w:t>Nepoznata učesta</w:t>
            </w:r>
            <w:r w:rsidR="008B3ED5" w:rsidRPr="004C7CDA">
              <w:rPr>
                <w:szCs w:val="22"/>
                <w:lang w:val="sr-Latn-ME"/>
              </w:rPr>
              <w:t>l</w:t>
            </w:r>
            <w:r w:rsidRPr="004C7CDA">
              <w:rPr>
                <w:szCs w:val="22"/>
                <w:lang w:val="sr-Latn-ME"/>
              </w:rPr>
              <w:t>ost</w:t>
            </w:r>
          </w:p>
        </w:tc>
      </w:tr>
      <w:tr w:rsidR="00FD1403" w:rsidRPr="004C7CDA" w14:paraId="20EB4A46" w14:textId="77777777" w:rsidTr="00FD1403">
        <w:trPr>
          <w:trHeight w:val="20"/>
        </w:trPr>
        <w:tc>
          <w:tcPr>
            <w:tcW w:w="1427" w:type="pct"/>
            <w:vMerge/>
            <w:vAlign w:val="center"/>
          </w:tcPr>
          <w:p w14:paraId="2F36E79D" w14:textId="77777777" w:rsidR="00FD1403" w:rsidRPr="004C7CDA" w:rsidRDefault="00FD1403" w:rsidP="004C7CDA">
            <w:pPr>
              <w:widowControl w:val="0"/>
              <w:jc w:val="left"/>
              <w:rPr>
                <w:szCs w:val="22"/>
                <w:lang w:val="sr-Latn-ME"/>
              </w:rPr>
            </w:pPr>
          </w:p>
        </w:tc>
        <w:tc>
          <w:tcPr>
            <w:tcW w:w="2357" w:type="pct"/>
            <w:vAlign w:val="center"/>
          </w:tcPr>
          <w:p w14:paraId="68603C70" w14:textId="77777777" w:rsidR="00FD1403" w:rsidRPr="004C7CDA" w:rsidRDefault="00FD1403" w:rsidP="004C7CDA">
            <w:pPr>
              <w:widowControl w:val="0"/>
              <w:jc w:val="left"/>
              <w:rPr>
                <w:szCs w:val="22"/>
                <w:lang w:val="sr-Latn-ME"/>
              </w:rPr>
            </w:pPr>
            <w:r w:rsidRPr="004C7CDA">
              <w:rPr>
                <w:szCs w:val="22"/>
                <w:lang w:val="sr-Latn-ME"/>
              </w:rPr>
              <w:t>Osmotska nefroza</w:t>
            </w:r>
          </w:p>
        </w:tc>
        <w:tc>
          <w:tcPr>
            <w:tcW w:w="1216" w:type="pct"/>
            <w:vMerge/>
            <w:vAlign w:val="center"/>
          </w:tcPr>
          <w:p w14:paraId="4EFB7CB0" w14:textId="77777777" w:rsidR="00FD1403" w:rsidRPr="004C7CDA" w:rsidRDefault="00FD1403" w:rsidP="004C7CDA">
            <w:pPr>
              <w:widowControl w:val="0"/>
              <w:jc w:val="left"/>
              <w:rPr>
                <w:szCs w:val="22"/>
                <w:lang w:val="sr-Latn-ME"/>
              </w:rPr>
            </w:pPr>
          </w:p>
        </w:tc>
      </w:tr>
      <w:tr w:rsidR="00FD1403" w:rsidRPr="004C7CDA" w14:paraId="7B90B12B" w14:textId="77777777" w:rsidTr="00FD1403">
        <w:trPr>
          <w:trHeight w:val="20"/>
        </w:trPr>
        <w:tc>
          <w:tcPr>
            <w:tcW w:w="1427" w:type="pct"/>
            <w:vMerge/>
            <w:vAlign w:val="center"/>
          </w:tcPr>
          <w:p w14:paraId="7D8D2D34" w14:textId="77777777" w:rsidR="00FD1403" w:rsidRPr="004C7CDA" w:rsidRDefault="00FD1403" w:rsidP="004C7CDA">
            <w:pPr>
              <w:widowControl w:val="0"/>
              <w:jc w:val="left"/>
              <w:rPr>
                <w:szCs w:val="22"/>
                <w:lang w:val="sr-Latn-ME"/>
              </w:rPr>
            </w:pPr>
          </w:p>
        </w:tc>
        <w:tc>
          <w:tcPr>
            <w:tcW w:w="2357" w:type="pct"/>
            <w:vAlign w:val="center"/>
          </w:tcPr>
          <w:p w14:paraId="2C0C1290" w14:textId="77777777" w:rsidR="00FD1403" w:rsidRPr="004C7CDA" w:rsidRDefault="00FD1403" w:rsidP="004C7CDA">
            <w:pPr>
              <w:widowControl w:val="0"/>
              <w:jc w:val="left"/>
              <w:rPr>
                <w:szCs w:val="22"/>
                <w:lang w:val="sr-Latn-ME"/>
              </w:rPr>
            </w:pPr>
            <w:r w:rsidRPr="004C7CDA">
              <w:rPr>
                <w:szCs w:val="22"/>
                <w:lang w:val="sr-Latn-ME"/>
              </w:rPr>
              <w:t>Retencija urina</w:t>
            </w:r>
          </w:p>
        </w:tc>
        <w:tc>
          <w:tcPr>
            <w:tcW w:w="1216" w:type="pct"/>
            <w:vMerge/>
            <w:vAlign w:val="center"/>
          </w:tcPr>
          <w:p w14:paraId="6630DCBA" w14:textId="77777777" w:rsidR="00FD1403" w:rsidRPr="004C7CDA" w:rsidRDefault="00FD1403" w:rsidP="004C7CDA">
            <w:pPr>
              <w:widowControl w:val="0"/>
              <w:jc w:val="left"/>
              <w:rPr>
                <w:szCs w:val="22"/>
                <w:lang w:val="sr-Latn-ME"/>
              </w:rPr>
            </w:pPr>
          </w:p>
        </w:tc>
      </w:tr>
      <w:tr w:rsidR="00FD1403" w:rsidRPr="004C7CDA" w14:paraId="6C85F71D" w14:textId="77777777" w:rsidTr="00FD1403">
        <w:trPr>
          <w:trHeight w:val="20"/>
        </w:trPr>
        <w:tc>
          <w:tcPr>
            <w:tcW w:w="1427" w:type="pct"/>
            <w:vMerge/>
            <w:vAlign w:val="center"/>
          </w:tcPr>
          <w:p w14:paraId="78E9CA82" w14:textId="77777777" w:rsidR="00FD1403" w:rsidRPr="004C7CDA" w:rsidRDefault="00FD1403" w:rsidP="004C7CDA">
            <w:pPr>
              <w:widowControl w:val="0"/>
              <w:jc w:val="left"/>
              <w:rPr>
                <w:szCs w:val="22"/>
                <w:lang w:val="sr-Latn-ME"/>
              </w:rPr>
            </w:pPr>
          </w:p>
        </w:tc>
        <w:tc>
          <w:tcPr>
            <w:tcW w:w="2357" w:type="pct"/>
            <w:vAlign w:val="center"/>
          </w:tcPr>
          <w:p w14:paraId="3C0AE23A" w14:textId="77777777" w:rsidR="00FD1403" w:rsidRPr="004C7CDA" w:rsidRDefault="00FD1403" w:rsidP="004C7CDA">
            <w:pPr>
              <w:widowControl w:val="0"/>
              <w:jc w:val="left"/>
              <w:rPr>
                <w:szCs w:val="22"/>
                <w:lang w:val="sr-Latn-ME"/>
              </w:rPr>
            </w:pPr>
            <w:r w:rsidRPr="004C7CDA">
              <w:rPr>
                <w:szCs w:val="22"/>
                <w:lang w:val="sr-Latn-ME"/>
              </w:rPr>
              <w:t>Akutna bubrežna insuficijencija</w:t>
            </w:r>
          </w:p>
        </w:tc>
        <w:tc>
          <w:tcPr>
            <w:tcW w:w="1216" w:type="pct"/>
            <w:vMerge/>
            <w:vAlign w:val="center"/>
          </w:tcPr>
          <w:p w14:paraId="08958E6F" w14:textId="77777777" w:rsidR="00FD1403" w:rsidRPr="004C7CDA" w:rsidRDefault="00FD1403" w:rsidP="004C7CDA">
            <w:pPr>
              <w:widowControl w:val="0"/>
              <w:jc w:val="left"/>
              <w:rPr>
                <w:szCs w:val="22"/>
                <w:lang w:val="sr-Latn-ME"/>
              </w:rPr>
            </w:pPr>
          </w:p>
        </w:tc>
      </w:tr>
      <w:tr w:rsidR="00FD1403" w:rsidRPr="004C7CDA" w14:paraId="0ACEBEAC" w14:textId="77777777" w:rsidTr="00FD1403">
        <w:trPr>
          <w:trHeight w:val="20"/>
        </w:trPr>
        <w:tc>
          <w:tcPr>
            <w:tcW w:w="1427" w:type="pct"/>
            <w:vMerge/>
            <w:vAlign w:val="center"/>
          </w:tcPr>
          <w:p w14:paraId="6A65F59D" w14:textId="77777777" w:rsidR="00FD1403" w:rsidRPr="004C7CDA" w:rsidRDefault="00FD1403" w:rsidP="004C7CDA">
            <w:pPr>
              <w:widowControl w:val="0"/>
              <w:jc w:val="left"/>
              <w:rPr>
                <w:szCs w:val="22"/>
                <w:lang w:val="sr-Latn-ME"/>
              </w:rPr>
            </w:pPr>
          </w:p>
        </w:tc>
        <w:tc>
          <w:tcPr>
            <w:tcW w:w="2357" w:type="pct"/>
            <w:vAlign w:val="center"/>
          </w:tcPr>
          <w:p w14:paraId="648C7F65" w14:textId="77777777" w:rsidR="00FD1403" w:rsidRPr="004C7CDA" w:rsidRDefault="00FD1403" w:rsidP="004C7CDA">
            <w:pPr>
              <w:widowControl w:val="0"/>
              <w:jc w:val="left"/>
              <w:rPr>
                <w:szCs w:val="22"/>
                <w:lang w:val="sr-Latn-ME"/>
              </w:rPr>
            </w:pPr>
            <w:r w:rsidRPr="004C7CDA">
              <w:rPr>
                <w:szCs w:val="22"/>
                <w:lang w:val="sr-Latn-ME"/>
              </w:rPr>
              <w:t>Azotemija</w:t>
            </w:r>
          </w:p>
        </w:tc>
        <w:tc>
          <w:tcPr>
            <w:tcW w:w="1216" w:type="pct"/>
            <w:vMerge/>
            <w:vAlign w:val="center"/>
          </w:tcPr>
          <w:p w14:paraId="7D002D17" w14:textId="77777777" w:rsidR="00FD1403" w:rsidRPr="004C7CDA" w:rsidRDefault="00FD1403" w:rsidP="004C7CDA">
            <w:pPr>
              <w:widowControl w:val="0"/>
              <w:jc w:val="left"/>
              <w:rPr>
                <w:szCs w:val="22"/>
                <w:lang w:val="sr-Latn-ME"/>
              </w:rPr>
            </w:pPr>
          </w:p>
        </w:tc>
      </w:tr>
      <w:tr w:rsidR="00FD1403" w:rsidRPr="004C7CDA" w14:paraId="57AAA42E" w14:textId="77777777" w:rsidTr="00FD1403">
        <w:trPr>
          <w:trHeight w:val="20"/>
        </w:trPr>
        <w:tc>
          <w:tcPr>
            <w:tcW w:w="1427" w:type="pct"/>
            <w:vMerge/>
            <w:vAlign w:val="center"/>
          </w:tcPr>
          <w:p w14:paraId="387594F1" w14:textId="77777777" w:rsidR="00FD1403" w:rsidRPr="004C7CDA" w:rsidRDefault="00FD1403" w:rsidP="004C7CDA">
            <w:pPr>
              <w:widowControl w:val="0"/>
              <w:jc w:val="left"/>
              <w:rPr>
                <w:szCs w:val="22"/>
                <w:lang w:val="sr-Latn-ME"/>
              </w:rPr>
            </w:pPr>
          </w:p>
        </w:tc>
        <w:tc>
          <w:tcPr>
            <w:tcW w:w="2357" w:type="pct"/>
            <w:vAlign w:val="center"/>
          </w:tcPr>
          <w:p w14:paraId="11DFADD5" w14:textId="77777777" w:rsidR="00FD1403" w:rsidRPr="004C7CDA" w:rsidRDefault="00FD1403" w:rsidP="004C7CDA">
            <w:pPr>
              <w:widowControl w:val="0"/>
              <w:jc w:val="left"/>
              <w:rPr>
                <w:szCs w:val="22"/>
                <w:lang w:val="sr-Latn-ME"/>
              </w:rPr>
            </w:pPr>
            <w:r w:rsidRPr="004C7CDA">
              <w:rPr>
                <w:szCs w:val="22"/>
                <w:lang w:val="sr-Latn-ME"/>
              </w:rPr>
              <w:t>Anurija</w:t>
            </w:r>
          </w:p>
        </w:tc>
        <w:tc>
          <w:tcPr>
            <w:tcW w:w="1216" w:type="pct"/>
            <w:vMerge/>
            <w:vAlign w:val="center"/>
          </w:tcPr>
          <w:p w14:paraId="4D1C7468" w14:textId="77777777" w:rsidR="00FD1403" w:rsidRPr="004C7CDA" w:rsidRDefault="00FD1403" w:rsidP="004C7CDA">
            <w:pPr>
              <w:widowControl w:val="0"/>
              <w:jc w:val="left"/>
              <w:rPr>
                <w:szCs w:val="22"/>
                <w:lang w:val="sr-Latn-ME"/>
              </w:rPr>
            </w:pPr>
          </w:p>
        </w:tc>
      </w:tr>
      <w:tr w:rsidR="00FD1403" w:rsidRPr="004C7CDA" w14:paraId="3835B90E" w14:textId="77777777" w:rsidTr="00FD1403">
        <w:trPr>
          <w:trHeight w:val="20"/>
        </w:trPr>
        <w:tc>
          <w:tcPr>
            <w:tcW w:w="1427" w:type="pct"/>
            <w:vMerge/>
            <w:vAlign w:val="center"/>
          </w:tcPr>
          <w:p w14:paraId="48694FDA" w14:textId="77777777" w:rsidR="00FD1403" w:rsidRPr="004C7CDA" w:rsidRDefault="00FD1403" w:rsidP="004C7CDA">
            <w:pPr>
              <w:widowControl w:val="0"/>
              <w:jc w:val="left"/>
              <w:rPr>
                <w:szCs w:val="22"/>
                <w:lang w:val="sr-Latn-ME"/>
              </w:rPr>
            </w:pPr>
          </w:p>
        </w:tc>
        <w:tc>
          <w:tcPr>
            <w:tcW w:w="2357" w:type="pct"/>
            <w:vAlign w:val="center"/>
          </w:tcPr>
          <w:p w14:paraId="0B29418E" w14:textId="7320535C" w:rsidR="00FD1403" w:rsidRPr="004C7CDA" w:rsidRDefault="00FD1403" w:rsidP="004C7CDA">
            <w:pPr>
              <w:widowControl w:val="0"/>
              <w:jc w:val="left"/>
              <w:rPr>
                <w:szCs w:val="22"/>
                <w:lang w:val="sr-Latn-ME"/>
              </w:rPr>
            </w:pPr>
            <w:r w:rsidRPr="004C7CDA">
              <w:rPr>
                <w:szCs w:val="22"/>
                <w:lang w:val="sr-Latn-ME"/>
              </w:rPr>
              <w:t>O</w:t>
            </w:r>
            <w:r w:rsidR="008B3ED5" w:rsidRPr="004C7CDA">
              <w:rPr>
                <w:szCs w:val="22"/>
                <w:lang w:val="sr-Latn-ME"/>
              </w:rPr>
              <w:t>l</w:t>
            </w:r>
            <w:r w:rsidRPr="004C7CDA">
              <w:rPr>
                <w:szCs w:val="22"/>
                <w:lang w:val="sr-Latn-ME"/>
              </w:rPr>
              <w:t>igurija</w:t>
            </w:r>
          </w:p>
        </w:tc>
        <w:tc>
          <w:tcPr>
            <w:tcW w:w="1216" w:type="pct"/>
            <w:vMerge/>
            <w:vAlign w:val="center"/>
          </w:tcPr>
          <w:p w14:paraId="48C49284" w14:textId="77777777" w:rsidR="00FD1403" w:rsidRPr="004C7CDA" w:rsidRDefault="00FD1403" w:rsidP="004C7CDA">
            <w:pPr>
              <w:widowControl w:val="0"/>
              <w:jc w:val="left"/>
              <w:rPr>
                <w:szCs w:val="22"/>
                <w:lang w:val="sr-Latn-ME"/>
              </w:rPr>
            </w:pPr>
          </w:p>
        </w:tc>
      </w:tr>
      <w:tr w:rsidR="00FD1403" w:rsidRPr="004C7CDA" w14:paraId="18593275" w14:textId="77777777" w:rsidTr="00FD1403">
        <w:trPr>
          <w:trHeight w:val="20"/>
        </w:trPr>
        <w:tc>
          <w:tcPr>
            <w:tcW w:w="1427" w:type="pct"/>
            <w:vMerge/>
            <w:vAlign w:val="center"/>
          </w:tcPr>
          <w:p w14:paraId="00092588" w14:textId="77777777" w:rsidR="00FD1403" w:rsidRPr="004C7CDA" w:rsidRDefault="00FD1403" w:rsidP="004C7CDA">
            <w:pPr>
              <w:widowControl w:val="0"/>
              <w:jc w:val="left"/>
              <w:rPr>
                <w:szCs w:val="22"/>
                <w:lang w:val="sr-Latn-ME"/>
              </w:rPr>
            </w:pPr>
          </w:p>
        </w:tc>
        <w:tc>
          <w:tcPr>
            <w:tcW w:w="2357" w:type="pct"/>
            <w:vAlign w:val="center"/>
          </w:tcPr>
          <w:p w14:paraId="79F184E8" w14:textId="1C5B1C14" w:rsidR="00FD1403" w:rsidRPr="004C7CDA" w:rsidRDefault="00FD1403" w:rsidP="004C7CDA">
            <w:pPr>
              <w:widowControl w:val="0"/>
              <w:jc w:val="left"/>
              <w:rPr>
                <w:szCs w:val="22"/>
                <w:lang w:val="sr-Latn-ME"/>
              </w:rPr>
            </w:pPr>
            <w:r w:rsidRPr="004C7CDA">
              <w:rPr>
                <w:szCs w:val="22"/>
                <w:lang w:val="sr-Latn-ME"/>
              </w:rPr>
              <w:t>Po</w:t>
            </w:r>
            <w:r w:rsidR="008B3ED5" w:rsidRPr="004C7CDA">
              <w:rPr>
                <w:szCs w:val="22"/>
                <w:lang w:val="sr-Latn-ME"/>
              </w:rPr>
              <w:t>l</w:t>
            </w:r>
            <w:r w:rsidRPr="004C7CDA">
              <w:rPr>
                <w:szCs w:val="22"/>
                <w:lang w:val="sr-Latn-ME"/>
              </w:rPr>
              <w:t>iurija</w:t>
            </w:r>
          </w:p>
        </w:tc>
        <w:tc>
          <w:tcPr>
            <w:tcW w:w="1216" w:type="pct"/>
            <w:vMerge/>
            <w:vAlign w:val="center"/>
          </w:tcPr>
          <w:p w14:paraId="4184A275" w14:textId="77777777" w:rsidR="00FD1403" w:rsidRPr="004C7CDA" w:rsidRDefault="00FD1403" w:rsidP="004C7CDA">
            <w:pPr>
              <w:widowControl w:val="0"/>
              <w:jc w:val="left"/>
              <w:rPr>
                <w:szCs w:val="22"/>
                <w:lang w:val="sr-Latn-ME"/>
              </w:rPr>
            </w:pPr>
          </w:p>
        </w:tc>
      </w:tr>
      <w:tr w:rsidR="00FD1403" w:rsidRPr="004C7CDA" w14:paraId="1096589B" w14:textId="77777777" w:rsidTr="00FD1403">
        <w:trPr>
          <w:trHeight w:val="20"/>
        </w:trPr>
        <w:tc>
          <w:tcPr>
            <w:tcW w:w="1427" w:type="pct"/>
            <w:vMerge w:val="restart"/>
            <w:vAlign w:val="center"/>
          </w:tcPr>
          <w:p w14:paraId="30F15EB6" w14:textId="77777777" w:rsidR="00FD1403" w:rsidRPr="004C7CDA" w:rsidRDefault="00FD1403" w:rsidP="004C7CDA">
            <w:pPr>
              <w:widowControl w:val="0"/>
              <w:jc w:val="left"/>
              <w:rPr>
                <w:szCs w:val="22"/>
                <w:lang w:val="sr-Latn-ME"/>
              </w:rPr>
            </w:pPr>
            <w:r w:rsidRPr="004C7CDA">
              <w:rPr>
                <w:szCs w:val="22"/>
                <w:lang w:val="sr-Latn-ME"/>
              </w:rPr>
              <w:t>Opšti poremećaji</w:t>
            </w:r>
          </w:p>
          <w:p w14:paraId="303ECE8E" w14:textId="2970222F" w:rsidR="00FD1403" w:rsidRPr="004C7CDA" w:rsidRDefault="00FD1403" w:rsidP="004C7CDA">
            <w:pPr>
              <w:widowControl w:val="0"/>
              <w:jc w:val="left"/>
              <w:rPr>
                <w:szCs w:val="22"/>
                <w:lang w:val="sr-Latn-ME"/>
              </w:rPr>
            </w:pPr>
            <w:r w:rsidRPr="004C7CDA">
              <w:rPr>
                <w:szCs w:val="22"/>
                <w:lang w:val="sr-Latn-ME"/>
              </w:rPr>
              <w:t>i reakcije na mestu prim</w:t>
            </w:r>
            <w:r w:rsidR="00CF72A5" w:rsidRPr="004C7CDA">
              <w:rPr>
                <w:szCs w:val="22"/>
                <w:lang w:val="sr-Latn-ME"/>
              </w:rPr>
              <w:t>j</w:t>
            </w:r>
            <w:r w:rsidRPr="004C7CDA">
              <w:rPr>
                <w:szCs w:val="22"/>
                <w:lang w:val="sr-Latn-ME"/>
              </w:rPr>
              <w:t>ene</w:t>
            </w:r>
          </w:p>
        </w:tc>
        <w:tc>
          <w:tcPr>
            <w:tcW w:w="2357" w:type="pct"/>
            <w:vAlign w:val="center"/>
          </w:tcPr>
          <w:p w14:paraId="7486EDD5" w14:textId="77777777" w:rsidR="00FD1403" w:rsidRPr="004C7CDA" w:rsidRDefault="00FD1403" w:rsidP="004C7CDA">
            <w:pPr>
              <w:widowControl w:val="0"/>
              <w:jc w:val="left"/>
              <w:rPr>
                <w:szCs w:val="22"/>
                <w:lang w:val="sr-Latn-ME"/>
              </w:rPr>
            </w:pPr>
            <w:r w:rsidRPr="004C7CDA">
              <w:rPr>
                <w:szCs w:val="22"/>
                <w:lang w:val="sr-Latn-ME"/>
              </w:rPr>
              <w:t>Jeza</w:t>
            </w:r>
          </w:p>
        </w:tc>
        <w:tc>
          <w:tcPr>
            <w:tcW w:w="1216" w:type="pct"/>
            <w:vMerge w:val="restart"/>
            <w:vAlign w:val="center"/>
          </w:tcPr>
          <w:p w14:paraId="775EF2D2" w14:textId="3221724E" w:rsidR="00FD1403" w:rsidRPr="004C7CDA" w:rsidRDefault="00FD1403" w:rsidP="004C7CDA">
            <w:pPr>
              <w:widowControl w:val="0"/>
              <w:jc w:val="left"/>
              <w:rPr>
                <w:szCs w:val="22"/>
                <w:lang w:val="sr-Latn-ME"/>
              </w:rPr>
            </w:pPr>
            <w:r w:rsidRPr="004C7CDA">
              <w:rPr>
                <w:szCs w:val="22"/>
                <w:lang w:val="sr-Latn-ME"/>
              </w:rPr>
              <w:t>Nepoznata učesta</w:t>
            </w:r>
            <w:r w:rsidR="008B3ED5" w:rsidRPr="004C7CDA">
              <w:rPr>
                <w:szCs w:val="22"/>
                <w:lang w:val="sr-Latn-ME"/>
              </w:rPr>
              <w:t>l</w:t>
            </w:r>
            <w:r w:rsidRPr="004C7CDA">
              <w:rPr>
                <w:szCs w:val="22"/>
                <w:lang w:val="sr-Latn-ME"/>
              </w:rPr>
              <w:t>ost</w:t>
            </w:r>
          </w:p>
        </w:tc>
      </w:tr>
      <w:tr w:rsidR="00FD1403" w:rsidRPr="004C7CDA" w14:paraId="23DE6CE1" w14:textId="77777777" w:rsidTr="00FD1403">
        <w:trPr>
          <w:trHeight w:val="20"/>
        </w:trPr>
        <w:tc>
          <w:tcPr>
            <w:tcW w:w="1427" w:type="pct"/>
            <w:vMerge/>
            <w:vAlign w:val="center"/>
          </w:tcPr>
          <w:p w14:paraId="72D1DE97" w14:textId="77777777" w:rsidR="00FD1403" w:rsidRPr="004C7CDA" w:rsidRDefault="00FD1403" w:rsidP="004C7CDA">
            <w:pPr>
              <w:widowControl w:val="0"/>
              <w:jc w:val="left"/>
              <w:rPr>
                <w:szCs w:val="22"/>
                <w:lang w:val="sr-Latn-ME"/>
              </w:rPr>
            </w:pPr>
          </w:p>
        </w:tc>
        <w:tc>
          <w:tcPr>
            <w:tcW w:w="2357" w:type="pct"/>
            <w:vAlign w:val="center"/>
          </w:tcPr>
          <w:p w14:paraId="78552E1B" w14:textId="581914E7" w:rsidR="00FD1403" w:rsidRPr="004C7CDA" w:rsidRDefault="00FD1403" w:rsidP="004C7CDA">
            <w:pPr>
              <w:widowControl w:val="0"/>
              <w:jc w:val="left"/>
              <w:rPr>
                <w:szCs w:val="22"/>
                <w:lang w:val="sr-Latn-ME"/>
              </w:rPr>
            </w:pPr>
            <w:r w:rsidRPr="004C7CDA">
              <w:rPr>
                <w:szCs w:val="22"/>
                <w:lang w:val="sr-Latn-ME"/>
              </w:rPr>
              <w:t>Bo</w:t>
            </w:r>
            <w:r w:rsidR="008B3ED5" w:rsidRPr="004C7CDA">
              <w:rPr>
                <w:szCs w:val="22"/>
                <w:lang w:val="sr-Latn-ME"/>
              </w:rPr>
              <w:t>l</w:t>
            </w:r>
            <w:r w:rsidRPr="004C7CDA">
              <w:rPr>
                <w:szCs w:val="22"/>
                <w:lang w:val="sr-Latn-ME"/>
              </w:rPr>
              <w:t xml:space="preserve"> u grudima (bo</w:t>
            </w:r>
            <w:r w:rsidR="008B3ED5" w:rsidRPr="004C7CDA">
              <w:rPr>
                <w:szCs w:val="22"/>
                <w:lang w:val="sr-Latn-ME"/>
              </w:rPr>
              <w:t>l</w:t>
            </w:r>
            <w:r w:rsidRPr="004C7CDA">
              <w:rPr>
                <w:szCs w:val="22"/>
                <w:lang w:val="sr-Latn-ME"/>
              </w:rPr>
              <w:t xml:space="preserve"> s</w:t>
            </w:r>
            <w:r w:rsidR="008B3ED5" w:rsidRPr="004C7CDA">
              <w:rPr>
                <w:szCs w:val="22"/>
                <w:lang w:val="sr-Latn-ME"/>
              </w:rPr>
              <w:t>l</w:t>
            </w:r>
            <w:r w:rsidRPr="004C7CDA">
              <w:rPr>
                <w:szCs w:val="22"/>
                <w:lang w:val="sr-Latn-ME"/>
              </w:rPr>
              <w:t>ičan anginoznom)</w:t>
            </w:r>
          </w:p>
        </w:tc>
        <w:tc>
          <w:tcPr>
            <w:tcW w:w="1216" w:type="pct"/>
            <w:vMerge/>
            <w:vAlign w:val="center"/>
          </w:tcPr>
          <w:p w14:paraId="76D6A755" w14:textId="77777777" w:rsidR="00FD1403" w:rsidRPr="004C7CDA" w:rsidRDefault="00FD1403" w:rsidP="004C7CDA">
            <w:pPr>
              <w:widowControl w:val="0"/>
              <w:jc w:val="left"/>
              <w:rPr>
                <w:szCs w:val="22"/>
                <w:lang w:val="sr-Latn-ME"/>
              </w:rPr>
            </w:pPr>
          </w:p>
        </w:tc>
      </w:tr>
      <w:tr w:rsidR="00FD1403" w:rsidRPr="004C7CDA" w14:paraId="1569E2AA" w14:textId="77777777" w:rsidTr="00FD1403">
        <w:trPr>
          <w:trHeight w:val="20"/>
        </w:trPr>
        <w:tc>
          <w:tcPr>
            <w:tcW w:w="1427" w:type="pct"/>
            <w:vMerge/>
            <w:vAlign w:val="center"/>
          </w:tcPr>
          <w:p w14:paraId="2703B71A" w14:textId="77777777" w:rsidR="00FD1403" w:rsidRPr="004C7CDA" w:rsidRDefault="00FD1403" w:rsidP="004C7CDA">
            <w:pPr>
              <w:widowControl w:val="0"/>
              <w:jc w:val="left"/>
              <w:rPr>
                <w:szCs w:val="22"/>
                <w:lang w:val="sr-Latn-ME"/>
              </w:rPr>
            </w:pPr>
          </w:p>
        </w:tc>
        <w:tc>
          <w:tcPr>
            <w:tcW w:w="2357" w:type="pct"/>
            <w:vAlign w:val="center"/>
          </w:tcPr>
          <w:p w14:paraId="54941F3C" w14:textId="77777777" w:rsidR="00FD1403" w:rsidRPr="004C7CDA" w:rsidRDefault="00FD1403" w:rsidP="004C7CDA">
            <w:pPr>
              <w:widowControl w:val="0"/>
              <w:jc w:val="left"/>
              <w:rPr>
                <w:szCs w:val="22"/>
                <w:lang w:val="sr-Latn-ME"/>
              </w:rPr>
            </w:pPr>
            <w:r w:rsidRPr="004C7CDA">
              <w:rPr>
                <w:szCs w:val="22"/>
                <w:lang w:val="sr-Latn-ME"/>
              </w:rPr>
              <w:t>Groznica</w:t>
            </w:r>
          </w:p>
        </w:tc>
        <w:tc>
          <w:tcPr>
            <w:tcW w:w="1216" w:type="pct"/>
            <w:vMerge/>
            <w:vAlign w:val="center"/>
          </w:tcPr>
          <w:p w14:paraId="517F22E1" w14:textId="77777777" w:rsidR="00FD1403" w:rsidRPr="004C7CDA" w:rsidRDefault="00FD1403" w:rsidP="004C7CDA">
            <w:pPr>
              <w:widowControl w:val="0"/>
              <w:jc w:val="left"/>
              <w:rPr>
                <w:szCs w:val="22"/>
                <w:lang w:val="sr-Latn-ME"/>
              </w:rPr>
            </w:pPr>
          </w:p>
        </w:tc>
      </w:tr>
      <w:tr w:rsidR="00FD1403" w:rsidRPr="004C7CDA" w14:paraId="4152119E" w14:textId="77777777" w:rsidTr="00FD1403">
        <w:trPr>
          <w:trHeight w:val="20"/>
        </w:trPr>
        <w:tc>
          <w:tcPr>
            <w:tcW w:w="1427" w:type="pct"/>
            <w:vMerge/>
            <w:vAlign w:val="center"/>
          </w:tcPr>
          <w:p w14:paraId="1A294DD4" w14:textId="77777777" w:rsidR="00FD1403" w:rsidRPr="004C7CDA" w:rsidRDefault="00FD1403" w:rsidP="004C7CDA">
            <w:pPr>
              <w:widowControl w:val="0"/>
              <w:jc w:val="left"/>
              <w:rPr>
                <w:szCs w:val="22"/>
                <w:lang w:val="sr-Latn-ME"/>
              </w:rPr>
            </w:pPr>
          </w:p>
        </w:tc>
        <w:tc>
          <w:tcPr>
            <w:tcW w:w="2357" w:type="pct"/>
            <w:vAlign w:val="center"/>
          </w:tcPr>
          <w:p w14:paraId="3D9B8F17" w14:textId="77777777" w:rsidR="00FD1403" w:rsidRPr="004C7CDA" w:rsidRDefault="00FD1403" w:rsidP="004C7CDA">
            <w:pPr>
              <w:widowControl w:val="0"/>
              <w:jc w:val="left"/>
              <w:rPr>
                <w:szCs w:val="22"/>
                <w:lang w:val="sr-Latn-ME"/>
              </w:rPr>
            </w:pPr>
            <w:r w:rsidRPr="004C7CDA">
              <w:rPr>
                <w:szCs w:val="22"/>
                <w:lang w:val="sr-Latn-ME"/>
              </w:rPr>
              <w:t>Astenija</w:t>
            </w:r>
          </w:p>
        </w:tc>
        <w:tc>
          <w:tcPr>
            <w:tcW w:w="1216" w:type="pct"/>
            <w:vMerge/>
            <w:vAlign w:val="center"/>
          </w:tcPr>
          <w:p w14:paraId="13CD2D5D" w14:textId="77777777" w:rsidR="00FD1403" w:rsidRPr="004C7CDA" w:rsidRDefault="00FD1403" w:rsidP="004C7CDA">
            <w:pPr>
              <w:widowControl w:val="0"/>
              <w:jc w:val="left"/>
              <w:rPr>
                <w:szCs w:val="22"/>
                <w:lang w:val="sr-Latn-ME"/>
              </w:rPr>
            </w:pPr>
          </w:p>
        </w:tc>
      </w:tr>
      <w:tr w:rsidR="00FD1403" w:rsidRPr="004C7CDA" w14:paraId="43B1FAA3" w14:textId="77777777" w:rsidTr="00FD1403">
        <w:trPr>
          <w:trHeight w:val="20"/>
        </w:trPr>
        <w:tc>
          <w:tcPr>
            <w:tcW w:w="1427" w:type="pct"/>
            <w:vMerge/>
            <w:vAlign w:val="center"/>
          </w:tcPr>
          <w:p w14:paraId="047AA328" w14:textId="77777777" w:rsidR="00FD1403" w:rsidRPr="004C7CDA" w:rsidRDefault="00FD1403" w:rsidP="004C7CDA">
            <w:pPr>
              <w:widowControl w:val="0"/>
              <w:jc w:val="left"/>
              <w:rPr>
                <w:szCs w:val="22"/>
                <w:lang w:val="sr-Latn-ME"/>
              </w:rPr>
            </w:pPr>
          </w:p>
        </w:tc>
        <w:tc>
          <w:tcPr>
            <w:tcW w:w="2357" w:type="pct"/>
            <w:vAlign w:val="center"/>
          </w:tcPr>
          <w:p w14:paraId="6FD1F751" w14:textId="61C44836" w:rsidR="00FD1403" w:rsidRPr="004C7CDA" w:rsidRDefault="00FD1403" w:rsidP="004C7CDA">
            <w:pPr>
              <w:widowControl w:val="0"/>
              <w:jc w:val="left"/>
              <w:rPr>
                <w:color w:val="000000"/>
                <w:szCs w:val="22"/>
                <w:lang w:val="sr-Latn-ME"/>
              </w:rPr>
            </w:pPr>
            <w:r w:rsidRPr="004C7CDA">
              <w:rPr>
                <w:color w:val="000000"/>
                <w:szCs w:val="22"/>
                <w:lang w:val="sr-Latn-ME"/>
              </w:rPr>
              <w:t>Ma</w:t>
            </w:r>
            <w:r w:rsidR="008B3ED5" w:rsidRPr="004C7CDA">
              <w:rPr>
                <w:color w:val="000000"/>
                <w:szCs w:val="22"/>
                <w:lang w:val="sr-Latn-ME"/>
              </w:rPr>
              <w:t>l</w:t>
            </w:r>
            <w:r w:rsidRPr="004C7CDA">
              <w:rPr>
                <w:color w:val="000000"/>
                <w:szCs w:val="22"/>
                <w:lang w:val="sr-Latn-ME"/>
              </w:rPr>
              <w:t>aksa</w:t>
            </w:r>
            <w:r w:rsidR="008B3ED5" w:rsidRPr="004C7CDA">
              <w:rPr>
                <w:color w:val="000000"/>
                <w:szCs w:val="22"/>
                <w:lang w:val="sr-Latn-ME"/>
              </w:rPr>
              <w:t>l</w:t>
            </w:r>
            <w:r w:rsidRPr="004C7CDA">
              <w:rPr>
                <w:color w:val="000000"/>
                <w:szCs w:val="22"/>
                <w:lang w:val="sr-Latn-ME"/>
              </w:rPr>
              <w:t>ost</w:t>
            </w:r>
          </w:p>
        </w:tc>
        <w:tc>
          <w:tcPr>
            <w:tcW w:w="1216" w:type="pct"/>
            <w:vMerge/>
            <w:vAlign w:val="center"/>
          </w:tcPr>
          <w:p w14:paraId="6509CAB2" w14:textId="77777777" w:rsidR="00FD1403" w:rsidRPr="004C7CDA" w:rsidRDefault="00FD1403" w:rsidP="004C7CDA">
            <w:pPr>
              <w:widowControl w:val="0"/>
              <w:jc w:val="left"/>
              <w:rPr>
                <w:szCs w:val="22"/>
                <w:lang w:val="sr-Latn-ME"/>
              </w:rPr>
            </w:pPr>
          </w:p>
        </w:tc>
      </w:tr>
      <w:tr w:rsidR="00FD1403" w:rsidRPr="004C7CDA" w14:paraId="69282FDD" w14:textId="77777777" w:rsidTr="00FD1403">
        <w:trPr>
          <w:trHeight w:val="20"/>
        </w:trPr>
        <w:tc>
          <w:tcPr>
            <w:tcW w:w="1427" w:type="pct"/>
            <w:vMerge/>
            <w:vAlign w:val="center"/>
          </w:tcPr>
          <w:p w14:paraId="1DE90F3E" w14:textId="77777777" w:rsidR="00FD1403" w:rsidRPr="004C7CDA" w:rsidRDefault="00FD1403" w:rsidP="004C7CDA">
            <w:pPr>
              <w:widowControl w:val="0"/>
              <w:jc w:val="left"/>
              <w:rPr>
                <w:szCs w:val="22"/>
                <w:lang w:val="sr-Latn-ME"/>
              </w:rPr>
            </w:pPr>
          </w:p>
        </w:tc>
        <w:tc>
          <w:tcPr>
            <w:tcW w:w="2357" w:type="pct"/>
            <w:vAlign w:val="center"/>
          </w:tcPr>
          <w:p w14:paraId="72C25F30" w14:textId="0EB74AA0" w:rsidR="00FD1403" w:rsidRPr="004C7CDA" w:rsidRDefault="00FD1403" w:rsidP="004C7CDA">
            <w:pPr>
              <w:widowControl w:val="0"/>
              <w:jc w:val="left"/>
              <w:rPr>
                <w:szCs w:val="22"/>
                <w:lang w:val="sr-Latn-ME"/>
              </w:rPr>
            </w:pPr>
            <w:r w:rsidRPr="004C7CDA">
              <w:rPr>
                <w:szCs w:val="22"/>
                <w:lang w:val="sr-Latn-ME"/>
              </w:rPr>
              <w:t>Reakcije na m</w:t>
            </w:r>
            <w:r w:rsidR="008B3ED5" w:rsidRPr="004C7CDA">
              <w:rPr>
                <w:szCs w:val="22"/>
                <w:lang w:val="sr-Latn-ME"/>
              </w:rPr>
              <w:t>j</w:t>
            </w:r>
            <w:r w:rsidRPr="004C7CDA">
              <w:rPr>
                <w:szCs w:val="22"/>
                <w:lang w:val="sr-Latn-ME"/>
              </w:rPr>
              <w:t>estu prim</w:t>
            </w:r>
            <w:r w:rsidR="00CF72A5" w:rsidRPr="004C7CDA">
              <w:rPr>
                <w:szCs w:val="22"/>
                <w:lang w:val="sr-Latn-ME"/>
              </w:rPr>
              <w:t>j</w:t>
            </w:r>
            <w:r w:rsidRPr="004C7CDA">
              <w:rPr>
                <w:szCs w:val="22"/>
                <w:lang w:val="sr-Latn-ME"/>
              </w:rPr>
              <w:t>ene (infuzije), uk</w:t>
            </w:r>
            <w:r w:rsidR="008B3ED5" w:rsidRPr="004C7CDA">
              <w:rPr>
                <w:szCs w:val="22"/>
                <w:lang w:val="sr-Latn-ME"/>
              </w:rPr>
              <w:t>l</w:t>
            </w:r>
            <w:r w:rsidRPr="004C7CDA">
              <w:rPr>
                <w:szCs w:val="22"/>
                <w:lang w:val="sr-Latn-ME"/>
              </w:rPr>
              <w:t>jučujući trombof</w:t>
            </w:r>
            <w:r w:rsidR="008B3ED5" w:rsidRPr="004C7CDA">
              <w:rPr>
                <w:szCs w:val="22"/>
                <w:lang w:val="sr-Latn-ME"/>
              </w:rPr>
              <w:t>l</w:t>
            </w:r>
            <w:r w:rsidRPr="004C7CDA">
              <w:rPr>
                <w:szCs w:val="22"/>
                <w:lang w:val="sr-Latn-ME"/>
              </w:rPr>
              <w:t>ebitis na m</w:t>
            </w:r>
            <w:r w:rsidR="008B3ED5" w:rsidRPr="004C7CDA">
              <w:rPr>
                <w:szCs w:val="22"/>
                <w:lang w:val="sr-Latn-ME"/>
              </w:rPr>
              <w:t>j</w:t>
            </w:r>
            <w:r w:rsidRPr="004C7CDA">
              <w:rPr>
                <w:szCs w:val="22"/>
                <w:lang w:val="sr-Latn-ME"/>
              </w:rPr>
              <w:t>estu prim</w:t>
            </w:r>
            <w:r w:rsidR="00CF72A5" w:rsidRPr="004C7CDA">
              <w:rPr>
                <w:szCs w:val="22"/>
                <w:lang w:val="sr-Latn-ME"/>
              </w:rPr>
              <w:t>j</w:t>
            </w:r>
            <w:r w:rsidRPr="004C7CDA">
              <w:rPr>
                <w:szCs w:val="22"/>
                <w:lang w:val="sr-Latn-ME"/>
              </w:rPr>
              <w:t>ene</w:t>
            </w:r>
          </w:p>
        </w:tc>
        <w:tc>
          <w:tcPr>
            <w:tcW w:w="1216" w:type="pct"/>
            <w:vMerge/>
            <w:vAlign w:val="center"/>
          </w:tcPr>
          <w:p w14:paraId="25CA9E50" w14:textId="77777777" w:rsidR="00FD1403" w:rsidRPr="004C7CDA" w:rsidRDefault="00FD1403" w:rsidP="004C7CDA">
            <w:pPr>
              <w:widowControl w:val="0"/>
              <w:jc w:val="left"/>
              <w:rPr>
                <w:szCs w:val="22"/>
                <w:lang w:val="sr-Latn-ME"/>
              </w:rPr>
            </w:pPr>
          </w:p>
        </w:tc>
      </w:tr>
      <w:tr w:rsidR="00FD1403" w:rsidRPr="004C7CDA" w14:paraId="1AD68124" w14:textId="77777777" w:rsidTr="00FD1403">
        <w:trPr>
          <w:trHeight w:val="20"/>
        </w:trPr>
        <w:tc>
          <w:tcPr>
            <w:tcW w:w="1427" w:type="pct"/>
            <w:vMerge/>
            <w:vAlign w:val="center"/>
          </w:tcPr>
          <w:p w14:paraId="45C11218" w14:textId="77777777" w:rsidR="00FD1403" w:rsidRPr="004C7CDA" w:rsidRDefault="00FD1403" w:rsidP="004C7CDA">
            <w:pPr>
              <w:widowControl w:val="0"/>
              <w:jc w:val="left"/>
              <w:rPr>
                <w:szCs w:val="22"/>
                <w:lang w:val="sr-Latn-ME"/>
              </w:rPr>
            </w:pPr>
          </w:p>
        </w:tc>
        <w:tc>
          <w:tcPr>
            <w:tcW w:w="2357" w:type="pct"/>
            <w:vAlign w:val="center"/>
          </w:tcPr>
          <w:p w14:paraId="1C1160D5" w14:textId="04B0530B" w:rsidR="00FD1403" w:rsidRPr="004C7CDA" w:rsidRDefault="00FD1403" w:rsidP="004C7CDA">
            <w:pPr>
              <w:widowControl w:val="0"/>
              <w:tabs>
                <w:tab w:val="clear" w:pos="284"/>
              </w:tabs>
              <w:jc w:val="left"/>
              <w:rPr>
                <w:szCs w:val="22"/>
                <w:lang w:val="sr-Latn-ME"/>
              </w:rPr>
            </w:pPr>
            <w:r w:rsidRPr="004C7CDA">
              <w:rPr>
                <w:szCs w:val="22"/>
                <w:lang w:val="sr-Latn-ME"/>
              </w:rPr>
              <w:t>Inf</w:t>
            </w:r>
            <w:r w:rsidR="008B3ED5" w:rsidRPr="004C7CDA">
              <w:rPr>
                <w:szCs w:val="22"/>
                <w:lang w:val="sr-Latn-ME"/>
              </w:rPr>
              <w:t>l</w:t>
            </w:r>
            <w:r w:rsidRPr="004C7CDA">
              <w:rPr>
                <w:szCs w:val="22"/>
                <w:lang w:val="sr-Latn-ME"/>
              </w:rPr>
              <w:t>amacija na m</w:t>
            </w:r>
            <w:r w:rsidR="008B3ED5" w:rsidRPr="004C7CDA">
              <w:rPr>
                <w:szCs w:val="22"/>
                <w:lang w:val="sr-Latn-ME"/>
              </w:rPr>
              <w:t>j</w:t>
            </w:r>
            <w:r w:rsidRPr="004C7CDA">
              <w:rPr>
                <w:szCs w:val="22"/>
                <w:lang w:val="sr-Latn-ME"/>
              </w:rPr>
              <w:t>estu prim</w:t>
            </w:r>
            <w:r w:rsidR="00CF72A5" w:rsidRPr="004C7CDA">
              <w:rPr>
                <w:szCs w:val="22"/>
                <w:lang w:val="sr-Latn-ME"/>
              </w:rPr>
              <w:t>j</w:t>
            </w:r>
            <w:r w:rsidRPr="004C7CDA">
              <w:rPr>
                <w:szCs w:val="22"/>
                <w:lang w:val="sr-Latn-ME"/>
              </w:rPr>
              <w:t>ene</w:t>
            </w:r>
          </w:p>
        </w:tc>
        <w:tc>
          <w:tcPr>
            <w:tcW w:w="1216" w:type="pct"/>
            <w:vMerge/>
            <w:vAlign w:val="center"/>
          </w:tcPr>
          <w:p w14:paraId="61BC9615" w14:textId="77777777" w:rsidR="00FD1403" w:rsidRPr="004C7CDA" w:rsidRDefault="00FD1403" w:rsidP="004C7CDA">
            <w:pPr>
              <w:widowControl w:val="0"/>
              <w:jc w:val="left"/>
              <w:rPr>
                <w:szCs w:val="22"/>
                <w:lang w:val="sr-Latn-ME"/>
              </w:rPr>
            </w:pPr>
          </w:p>
        </w:tc>
      </w:tr>
      <w:tr w:rsidR="00FD1403" w:rsidRPr="004C7CDA" w14:paraId="55350B83" w14:textId="77777777" w:rsidTr="00FD1403">
        <w:trPr>
          <w:trHeight w:val="20"/>
        </w:trPr>
        <w:tc>
          <w:tcPr>
            <w:tcW w:w="1427" w:type="pct"/>
            <w:vMerge/>
            <w:vAlign w:val="center"/>
          </w:tcPr>
          <w:p w14:paraId="32250FEE" w14:textId="77777777" w:rsidR="00FD1403" w:rsidRPr="004C7CDA" w:rsidRDefault="00FD1403" w:rsidP="004C7CDA">
            <w:pPr>
              <w:widowControl w:val="0"/>
              <w:jc w:val="left"/>
              <w:rPr>
                <w:szCs w:val="22"/>
                <w:lang w:val="sr-Latn-ME"/>
              </w:rPr>
            </w:pPr>
          </w:p>
        </w:tc>
        <w:tc>
          <w:tcPr>
            <w:tcW w:w="2357" w:type="pct"/>
            <w:vAlign w:val="center"/>
          </w:tcPr>
          <w:p w14:paraId="19E6C8E2" w14:textId="7B6E8530" w:rsidR="00FD1403" w:rsidRPr="004C7CDA" w:rsidRDefault="00FD1403" w:rsidP="004C7CDA">
            <w:pPr>
              <w:widowControl w:val="0"/>
              <w:tabs>
                <w:tab w:val="clear" w:pos="284"/>
              </w:tabs>
              <w:jc w:val="left"/>
              <w:rPr>
                <w:szCs w:val="22"/>
                <w:lang w:val="sr-Latn-ME"/>
              </w:rPr>
            </w:pPr>
            <w:r w:rsidRPr="004C7CDA">
              <w:rPr>
                <w:szCs w:val="22"/>
                <w:lang w:val="sr-Latn-ME"/>
              </w:rPr>
              <w:t>Bo</w:t>
            </w:r>
            <w:r w:rsidR="008B3ED5" w:rsidRPr="004C7CDA">
              <w:rPr>
                <w:szCs w:val="22"/>
                <w:lang w:val="sr-Latn-ME"/>
              </w:rPr>
              <w:t>l</w:t>
            </w:r>
            <w:r w:rsidRPr="004C7CDA">
              <w:rPr>
                <w:szCs w:val="22"/>
                <w:lang w:val="sr-Latn-ME"/>
              </w:rPr>
              <w:t xml:space="preserve"> na m</w:t>
            </w:r>
            <w:r w:rsidR="008B3ED5" w:rsidRPr="004C7CDA">
              <w:rPr>
                <w:szCs w:val="22"/>
                <w:lang w:val="sr-Latn-ME"/>
              </w:rPr>
              <w:t>j</w:t>
            </w:r>
            <w:r w:rsidRPr="004C7CDA">
              <w:rPr>
                <w:szCs w:val="22"/>
                <w:lang w:val="sr-Latn-ME"/>
              </w:rPr>
              <w:t>estu prim</w:t>
            </w:r>
            <w:r w:rsidR="00CF72A5" w:rsidRPr="004C7CDA">
              <w:rPr>
                <w:szCs w:val="22"/>
                <w:lang w:val="sr-Latn-ME"/>
              </w:rPr>
              <w:t>j</w:t>
            </w:r>
            <w:r w:rsidRPr="004C7CDA">
              <w:rPr>
                <w:szCs w:val="22"/>
                <w:lang w:val="sr-Latn-ME"/>
              </w:rPr>
              <w:t>ene</w:t>
            </w:r>
          </w:p>
        </w:tc>
        <w:tc>
          <w:tcPr>
            <w:tcW w:w="1216" w:type="pct"/>
            <w:vMerge/>
            <w:vAlign w:val="center"/>
          </w:tcPr>
          <w:p w14:paraId="45B53EBF" w14:textId="77777777" w:rsidR="00FD1403" w:rsidRPr="004C7CDA" w:rsidRDefault="00FD1403" w:rsidP="004C7CDA">
            <w:pPr>
              <w:widowControl w:val="0"/>
              <w:jc w:val="left"/>
              <w:rPr>
                <w:szCs w:val="22"/>
                <w:lang w:val="sr-Latn-ME"/>
              </w:rPr>
            </w:pPr>
          </w:p>
        </w:tc>
      </w:tr>
      <w:tr w:rsidR="00FD1403" w:rsidRPr="004C7CDA" w14:paraId="2E101C40" w14:textId="77777777" w:rsidTr="00FD1403">
        <w:trPr>
          <w:trHeight w:val="20"/>
        </w:trPr>
        <w:tc>
          <w:tcPr>
            <w:tcW w:w="1427" w:type="pct"/>
            <w:vMerge/>
            <w:vAlign w:val="center"/>
          </w:tcPr>
          <w:p w14:paraId="6F079088" w14:textId="77777777" w:rsidR="00FD1403" w:rsidRPr="004C7CDA" w:rsidRDefault="00FD1403" w:rsidP="004C7CDA">
            <w:pPr>
              <w:widowControl w:val="0"/>
              <w:jc w:val="left"/>
              <w:rPr>
                <w:szCs w:val="22"/>
                <w:lang w:val="sr-Latn-ME"/>
              </w:rPr>
            </w:pPr>
          </w:p>
        </w:tc>
        <w:tc>
          <w:tcPr>
            <w:tcW w:w="2357" w:type="pct"/>
            <w:vAlign w:val="center"/>
          </w:tcPr>
          <w:p w14:paraId="194CE910" w14:textId="59F88B7B" w:rsidR="00FD1403" w:rsidRPr="004C7CDA" w:rsidRDefault="00FD1403" w:rsidP="004C7CDA">
            <w:pPr>
              <w:widowControl w:val="0"/>
              <w:tabs>
                <w:tab w:val="clear" w:pos="284"/>
              </w:tabs>
              <w:jc w:val="left"/>
              <w:rPr>
                <w:szCs w:val="22"/>
                <w:lang w:val="sr-Latn-ME"/>
              </w:rPr>
            </w:pPr>
            <w:r w:rsidRPr="004C7CDA">
              <w:rPr>
                <w:szCs w:val="22"/>
                <w:lang w:val="sr-Latn-ME"/>
              </w:rPr>
              <w:t>Osip na m</w:t>
            </w:r>
            <w:r w:rsidR="008B3ED5" w:rsidRPr="004C7CDA">
              <w:rPr>
                <w:szCs w:val="22"/>
                <w:lang w:val="sr-Latn-ME"/>
              </w:rPr>
              <w:t>j</w:t>
            </w:r>
            <w:r w:rsidRPr="004C7CDA">
              <w:rPr>
                <w:szCs w:val="22"/>
                <w:lang w:val="sr-Latn-ME"/>
              </w:rPr>
              <w:t>estu prim</w:t>
            </w:r>
            <w:r w:rsidR="00CF72A5" w:rsidRPr="004C7CDA">
              <w:rPr>
                <w:szCs w:val="22"/>
                <w:lang w:val="sr-Latn-ME"/>
              </w:rPr>
              <w:t>j</w:t>
            </w:r>
            <w:r w:rsidRPr="004C7CDA">
              <w:rPr>
                <w:szCs w:val="22"/>
                <w:lang w:val="sr-Latn-ME"/>
              </w:rPr>
              <w:t>ene</w:t>
            </w:r>
          </w:p>
        </w:tc>
        <w:tc>
          <w:tcPr>
            <w:tcW w:w="1216" w:type="pct"/>
            <w:vMerge/>
            <w:vAlign w:val="center"/>
          </w:tcPr>
          <w:p w14:paraId="3695DB70" w14:textId="77777777" w:rsidR="00FD1403" w:rsidRPr="004C7CDA" w:rsidRDefault="00FD1403" w:rsidP="004C7CDA">
            <w:pPr>
              <w:widowControl w:val="0"/>
              <w:jc w:val="left"/>
              <w:rPr>
                <w:szCs w:val="22"/>
                <w:lang w:val="sr-Latn-ME"/>
              </w:rPr>
            </w:pPr>
          </w:p>
        </w:tc>
      </w:tr>
      <w:tr w:rsidR="00FD1403" w:rsidRPr="004C7CDA" w14:paraId="0608B98F" w14:textId="77777777" w:rsidTr="00FD1403">
        <w:trPr>
          <w:trHeight w:val="20"/>
        </w:trPr>
        <w:tc>
          <w:tcPr>
            <w:tcW w:w="1427" w:type="pct"/>
            <w:vMerge/>
            <w:vAlign w:val="center"/>
          </w:tcPr>
          <w:p w14:paraId="3B187E72" w14:textId="77777777" w:rsidR="00FD1403" w:rsidRPr="004C7CDA" w:rsidRDefault="00FD1403" w:rsidP="004C7CDA">
            <w:pPr>
              <w:widowControl w:val="0"/>
              <w:jc w:val="left"/>
              <w:rPr>
                <w:szCs w:val="22"/>
                <w:lang w:val="sr-Latn-ME"/>
              </w:rPr>
            </w:pPr>
          </w:p>
        </w:tc>
        <w:tc>
          <w:tcPr>
            <w:tcW w:w="2357" w:type="pct"/>
            <w:vAlign w:val="center"/>
          </w:tcPr>
          <w:p w14:paraId="60CBB1A6" w14:textId="2F0BD011" w:rsidR="00FD1403" w:rsidRPr="004C7CDA" w:rsidRDefault="00FD1403" w:rsidP="004C7CDA">
            <w:pPr>
              <w:widowControl w:val="0"/>
              <w:tabs>
                <w:tab w:val="clear" w:pos="284"/>
              </w:tabs>
              <w:jc w:val="left"/>
              <w:rPr>
                <w:szCs w:val="22"/>
                <w:lang w:val="sr-Latn-ME"/>
              </w:rPr>
            </w:pPr>
            <w:r w:rsidRPr="004C7CDA">
              <w:rPr>
                <w:szCs w:val="22"/>
                <w:lang w:val="sr-Latn-ME"/>
              </w:rPr>
              <w:t>Eritem na m</w:t>
            </w:r>
            <w:r w:rsidR="008B3ED5" w:rsidRPr="004C7CDA">
              <w:rPr>
                <w:szCs w:val="22"/>
                <w:lang w:val="sr-Latn-ME"/>
              </w:rPr>
              <w:t>j</w:t>
            </w:r>
            <w:r w:rsidRPr="004C7CDA">
              <w:rPr>
                <w:szCs w:val="22"/>
                <w:lang w:val="sr-Latn-ME"/>
              </w:rPr>
              <w:t>estu prim</w:t>
            </w:r>
            <w:r w:rsidR="00CF72A5" w:rsidRPr="004C7CDA">
              <w:rPr>
                <w:szCs w:val="22"/>
                <w:lang w:val="sr-Latn-ME"/>
              </w:rPr>
              <w:t>j</w:t>
            </w:r>
            <w:r w:rsidRPr="004C7CDA">
              <w:rPr>
                <w:szCs w:val="22"/>
                <w:lang w:val="sr-Latn-ME"/>
              </w:rPr>
              <w:t>ene</w:t>
            </w:r>
          </w:p>
        </w:tc>
        <w:tc>
          <w:tcPr>
            <w:tcW w:w="1216" w:type="pct"/>
            <w:vMerge/>
            <w:vAlign w:val="center"/>
          </w:tcPr>
          <w:p w14:paraId="016B221F" w14:textId="77777777" w:rsidR="00FD1403" w:rsidRPr="004C7CDA" w:rsidRDefault="00FD1403" w:rsidP="004C7CDA">
            <w:pPr>
              <w:widowControl w:val="0"/>
              <w:jc w:val="left"/>
              <w:rPr>
                <w:szCs w:val="22"/>
                <w:lang w:val="sr-Latn-ME"/>
              </w:rPr>
            </w:pPr>
          </w:p>
        </w:tc>
      </w:tr>
      <w:tr w:rsidR="00FD1403" w:rsidRPr="004C7CDA" w14:paraId="656E7329" w14:textId="77777777" w:rsidTr="00FD1403">
        <w:trPr>
          <w:trHeight w:val="20"/>
        </w:trPr>
        <w:tc>
          <w:tcPr>
            <w:tcW w:w="1427" w:type="pct"/>
            <w:vMerge/>
            <w:vAlign w:val="center"/>
          </w:tcPr>
          <w:p w14:paraId="17C36291" w14:textId="77777777" w:rsidR="00FD1403" w:rsidRPr="004C7CDA" w:rsidRDefault="00FD1403" w:rsidP="004C7CDA">
            <w:pPr>
              <w:widowControl w:val="0"/>
              <w:jc w:val="left"/>
              <w:rPr>
                <w:szCs w:val="22"/>
                <w:lang w:val="sr-Latn-ME"/>
              </w:rPr>
            </w:pPr>
          </w:p>
        </w:tc>
        <w:tc>
          <w:tcPr>
            <w:tcW w:w="2357" w:type="pct"/>
            <w:vAlign w:val="center"/>
          </w:tcPr>
          <w:p w14:paraId="1B9CF1E8" w14:textId="7339E29B" w:rsidR="00FD1403" w:rsidRPr="004C7CDA" w:rsidRDefault="00FD1403" w:rsidP="004C7CDA">
            <w:pPr>
              <w:widowControl w:val="0"/>
              <w:tabs>
                <w:tab w:val="clear" w:pos="284"/>
              </w:tabs>
              <w:jc w:val="left"/>
              <w:rPr>
                <w:szCs w:val="22"/>
                <w:lang w:val="sr-Latn-ME"/>
              </w:rPr>
            </w:pPr>
            <w:r w:rsidRPr="004C7CDA">
              <w:rPr>
                <w:szCs w:val="22"/>
                <w:lang w:val="sr-Latn-ME"/>
              </w:rPr>
              <w:t>Pruritus na m</w:t>
            </w:r>
            <w:r w:rsidR="008B3ED5" w:rsidRPr="004C7CDA">
              <w:rPr>
                <w:szCs w:val="22"/>
                <w:lang w:val="sr-Latn-ME"/>
              </w:rPr>
              <w:t>j</w:t>
            </w:r>
            <w:r w:rsidRPr="004C7CDA">
              <w:rPr>
                <w:szCs w:val="22"/>
                <w:lang w:val="sr-Latn-ME"/>
              </w:rPr>
              <w:t>estu prim</w:t>
            </w:r>
            <w:r w:rsidR="00CF72A5" w:rsidRPr="004C7CDA">
              <w:rPr>
                <w:szCs w:val="22"/>
                <w:lang w:val="sr-Latn-ME"/>
              </w:rPr>
              <w:t>j</w:t>
            </w:r>
            <w:r w:rsidRPr="004C7CDA">
              <w:rPr>
                <w:szCs w:val="22"/>
                <w:lang w:val="sr-Latn-ME"/>
              </w:rPr>
              <w:t>ene</w:t>
            </w:r>
          </w:p>
        </w:tc>
        <w:tc>
          <w:tcPr>
            <w:tcW w:w="1216" w:type="pct"/>
            <w:vMerge/>
            <w:vAlign w:val="center"/>
          </w:tcPr>
          <w:p w14:paraId="6EF91A2F" w14:textId="77777777" w:rsidR="00FD1403" w:rsidRPr="004C7CDA" w:rsidRDefault="00FD1403" w:rsidP="004C7CDA">
            <w:pPr>
              <w:widowControl w:val="0"/>
              <w:jc w:val="left"/>
              <w:rPr>
                <w:szCs w:val="22"/>
                <w:lang w:val="sr-Latn-ME"/>
              </w:rPr>
            </w:pPr>
          </w:p>
        </w:tc>
      </w:tr>
      <w:tr w:rsidR="00FD1403" w:rsidRPr="004C7CDA" w14:paraId="597E93D9" w14:textId="77777777" w:rsidTr="00FD1403">
        <w:trPr>
          <w:trHeight w:val="20"/>
        </w:trPr>
        <w:tc>
          <w:tcPr>
            <w:tcW w:w="1427" w:type="pct"/>
            <w:vMerge/>
            <w:vAlign w:val="center"/>
          </w:tcPr>
          <w:p w14:paraId="5944CFEC" w14:textId="77777777" w:rsidR="00FD1403" w:rsidRPr="004C7CDA" w:rsidRDefault="00FD1403" w:rsidP="004C7CDA">
            <w:pPr>
              <w:widowControl w:val="0"/>
              <w:jc w:val="left"/>
              <w:rPr>
                <w:szCs w:val="22"/>
                <w:lang w:val="sr-Latn-ME"/>
              </w:rPr>
            </w:pPr>
          </w:p>
        </w:tc>
        <w:tc>
          <w:tcPr>
            <w:tcW w:w="2357" w:type="pct"/>
            <w:vAlign w:val="center"/>
          </w:tcPr>
          <w:p w14:paraId="3FE97D61" w14:textId="6B48CFF1" w:rsidR="00FD1403" w:rsidRPr="004C7CDA" w:rsidRDefault="00FD1403" w:rsidP="004C7CDA">
            <w:pPr>
              <w:widowControl w:val="0"/>
              <w:tabs>
                <w:tab w:val="clear" w:pos="284"/>
              </w:tabs>
              <w:jc w:val="left"/>
              <w:rPr>
                <w:szCs w:val="22"/>
                <w:lang w:val="sr-Latn-ME"/>
              </w:rPr>
            </w:pPr>
            <w:r w:rsidRPr="004C7CDA">
              <w:rPr>
                <w:szCs w:val="22"/>
                <w:lang w:val="sr-Latn-ME"/>
              </w:rPr>
              <w:t>Kompartment sindrom (udružen sa ekstravazacijom i otokom na m</w:t>
            </w:r>
            <w:r w:rsidR="00965575" w:rsidRPr="004C7CDA">
              <w:rPr>
                <w:szCs w:val="22"/>
                <w:lang w:val="sr-Latn-ME"/>
              </w:rPr>
              <w:t>j</w:t>
            </w:r>
            <w:r w:rsidRPr="004C7CDA">
              <w:rPr>
                <w:szCs w:val="22"/>
                <w:lang w:val="sr-Latn-ME"/>
              </w:rPr>
              <w:t>estu prim</w:t>
            </w:r>
            <w:r w:rsidR="00CF72A5" w:rsidRPr="004C7CDA">
              <w:rPr>
                <w:szCs w:val="22"/>
                <w:lang w:val="sr-Latn-ME"/>
              </w:rPr>
              <w:t>j</w:t>
            </w:r>
            <w:r w:rsidRPr="004C7CDA">
              <w:rPr>
                <w:szCs w:val="22"/>
                <w:lang w:val="sr-Latn-ME"/>
              </w:rPr>
              <w:t>ene)</w:t>
            </w:r>
          </w:p>
        </w:tc>
        <w:tc>
          <w:tcPr>
            <w:tcW w:w="1216" w:type="pct"/>
            <w:vMerge/>
            <w:vAlign w:val="center"/>
          </w:tcPr>
          <w:p w14:paraId="7B7BDA9C" w14:textId="77777777" w:rsidR="00FD1403" w:rsidRPr="004C7CDA" w:rsidRDefault="00FD1403" w:rsidP="004C7CDA">
            <w:pPr>
              <w:widowControl w:val="0"/>
              <w:jc w:val="left"/>
              <w:rPr>
                <w:szCs w:val="22"/>
                <w:lang w:val="sr-Latn-ME"/>
              </w:rPr>
            </w:pPr>
          </w:p>
        </w:tc>
      </w:tr>
    </w:tbl>
    <w:p w14:paraId="10B4BC97" w14:textId="77777777" w:rsidR="00015647" w:rsidRPr="004C7CDA" w:rsidRDefault="00015647" w:rsidP="004C7CDA">
      <w:pPr>
        <w:widowControl w:val="0"/>
        <w:tabs>
          <w:tab w:val="clear" w:pos="284"/>
        </w:tabs>
        <w:autoSpaceDE w:val="0"/>
        <w:autoSpaceDN w:val="0"/>
        <w:adjustRightInd w:val="0"/>
        <w:rPr>
          <w:rFonts w:eastAsia="TimesNewRoman"/>
          <w:szCs w:val="22"/>
          <w:u w:val="single"/>
          <w:lang w:val="sr-Latn-ME"/>
        </w:rPr>
      </w:pPr>
    </w:p>
    <w:p w14:paraId="0F364C64" w14:textId="1D7EDE5E" w:rsidR="00015647" w:rsidRPr="004C7CDA" w:rsidRDefault="00015647" w:rsidP="004C7CDA">
      <w:pPr>
        <w:widowControl w:val="0"/>
        <w:tabs>
          <w:tab w:val="clear" w:pos="284"/>
        </w:tabs>
        <w:autoSpaceDE w:val="0"/>
        <w:autoSpaceDN w:val="0"/>
        <w:adjustRightInd w:val="0"/>
        <w:rPr>
          <w:rFonts w:eastAsia="TimesNewRoman"/>
          <w:szCs w:val="22"/>
          <w:u w:val="single"/>
          <w:lang w:val="sr-Latn-ME"/>
        </w:rPr>
      </w:pPr>
      <w:r w:rsidRPr="004C7CDA">
        <w:rPr>
          <w:rFonts w:eastAsia="TimesNewRoman"/>
          <w:szCs w:val="22"/>
          <w:u w:val="single"/>
          <w:lang w:val="sr-Latn-ME"/>
        </w:rPr>
        <w:t>Druge neže</w:t>
      </w:r>
      <w:r w:rsidR="008B3ED5" w:rsidRPr="004C7CDA">
        <w:rPr>
          <w:rFonts w:eastAsia="TimesNewRoman"/>
          <w:szCs w:val="22"/>
          <w:u w:val="single"/>
          <w:lang w:val="sr-Latn-ME"/>
        </w:rPr>
        <w:t>l</w:t>
      </w:r>
      <w:r w:rsidRPr="004C7CDA">
        <w:rPr>
          <w:rFonts w:eastAsia="TimesNewRoman"/>
          <w:szCs w:val="22"/>
          <w:u w:val="single"/>
          <w:lang w:val="sr-Latn-ME"/>
        </w:rPr>
        <w:t>jene reakcije</w:t>
      </w:r>
    </w:p>
    <w:p w14:paraId="311D5D1D" w14:textId="6420C8CF" w:rsidR="00015647" w:rsidRPr="004C7CDA" w:rsidRDefault="00015647" w:rsidP="004C7CDA">
      <w:pPr>
        <w:widowControl w:val="0"/>
        <w:rPr>
          <w:rFonts w:eastAsia="TimesNewRoman"/>
          <w:szCs w:val="22"/>
          <w:lang w:val="sr-Latn-ME"/>
        </w:rPr>
      </w:pPr>
      <w:r w:rsidRPr="004C7CDA">
        <w:rPr>
          <w:rFonts w:eastAsia="TimesNewRoman"/>
          <w:szCs w:val="22"/>
          <w:lang w:val="sr-Latn-ME"/>
        </w:rPr>
        <w:t>Teška anafi</w:t>
      </w:r>
      <w:r w:rsidR="008B3ED5" w:rsidRPr="004C7CDA">
        <w:rPr>
          <w:rFonts w:eastAsia="TimesNewRoman"/>
          <w:szCs w:val="22"/>
          <w:lang w:val="sr-Latn-ME"/>
        </w:rPr>
        <w:t>l</w:t>
      </w:r>
      <w:r w:rsidRPr="004C7CDA">
        <w:rPr>
          <w:rFonts w:eastAsia="TimesNewRoman"/>
          <w:szCs w:val="22"/>
          <w:lang w:val="sr-Latn-ME"/>
        </w:rPr>
        <w:t>aksa sa srčanim zastojem i smrtnim ishodom.</w:t>
      </w:r>
    </w:p>
    <w:p w14:paraId="288A6DFB" w14:textId="77777777" w:rsidR="00017136" w:rsidRPr="004C7CDA" w:rsidRDefault="00017136" w:rsidP="004C7CDA">
      <w:pPr>
        <w:widowControl w:val="0"/>
        <w:rPr>
          <w:szCs w:val="22"/>
          <w:lang w:val="sr-Latn-ME"/>
        </w:rPr>
      </w:pPr>
    </w:p>
    <w:p w14:paraId="43F1B748" w14:textId="2DFEFA7B" w:rsidR="00237B8B" w:rsidRPr="004C7CDA" w:rsidRDefault="007B3F3B" w:rsidP="004C7CDA">
      <w:pPr>
        <w:widowControl w:val="0"/>
        <w:tabs>
          <w:tab w:val="clear" w:pos="284"/>
        </w:tabs>
        <w:rPr>
          <w:rFonts w:eastAsia="Calibri"/>
          <w:szCs w:val="22"/>
          <w:u w:val="single"/>
          <w:lang w:val="sr-Latn-ME"/>
        </w:rPr>
      </w:pPr>
      <w:r w:rsidRPr="004C7CDA">
        <w:rPr>
          <w:rFonts w:eastAsia="Calibri"/>
          <w:szCs w:val="22"/>
          <w:u w:val="single"/>
          <w:lang w:val="sr-Latn-ME"/>
        </w:rPr>
        <w:t>Prijav</w:t>
      </w:r>
      <w:r w:rsidR="008B3ED5" w:rsidRPr="004C7CDA">
        <w:rPr>
          <w:rFonts w:eastAsia="Calibri"/>
          <w:szCs w:val="22"/>
          <w:u w:val="single"/>
          <w:lang w:val="sr-Latn-ME"/>
        </w:rPr>
        <w:t>l</w:t>
      </w:r>
      <w:r w:rsidRPr="004C7CDA">
        <w:rPr>
          <w:rFonts w:eastAsia="Calibri"/>
          <w:szCs w:val="22"/>
          <w:u w:val="single"/>
          <w:lang w:val="sr-Latn-ME"/>
        </w:rPr>
        <w:t>jivanje sumnji na neže</w:t>
      </w:r>
      <w:r w:rsidR="008B3ED5" w:rsidRPr="004C7CDA">
        <w:rPr>
          <w:rFonts w:eastAsia="Calibri"/>
          <w:szCs w:val="22"/>
          <w:u w:val="single"/>
          <w:lang w:val="sr-Latn-ME"/>
        </w:rPr>
        <w:t>l</w:t>
      </w:r>
      <w:r w:rsidRPr="004C7CDA">
        <w:rPr>
          <w:rFonts w:eastAsia="Calibri"/>
          <w:szCs w:val="22"/>
          <w:u w:val="single"/>
          <w:lang w:val="sr-Latn-ME"/>
        </w:rPr>
        <w:t>jena dejstva</w:t>
      </w:r>
    </w:p>
    <w:p w14:paraId="47E83EA2" w14:textId="77777777" w:rsidR="00D36AD3" w:rsidRPr="004C7CDA" w:rsidRDefault="00D36AD3" w:rsidP="004C7CDA">
      <w:pPr>
        <w:widowControl w:val="0"/>
        <w:tabs>
          <w:tab w:val="clear" w:pos="284"/>
        </w:tabs>
        <w:rPr>
          <w:rFonts w:eastAsia="Calibri"/>
          <w:szCs w:val="22"/>
          <w:lang w:val="sr-Latn-ME"/>
        </w:rPr>
      </w:pPr>
    </w:p>
    <w:p w14:paraId="5F8BC2A1" w14:textId="66F7B504" w:rsidR="007B3F3B" w:rsidRPr="004C7CDA" w:rsidRDefault="007B3F3B" w:rsidP="004C7CDA">
      <w:pPr>
        <w:widowControl w:val="0"/>
        <w:tabs>
          <w:tab w:val="clear" w:pos="284"/>
        </w:tabs>
        <w:rPr>
          <w:rFonts w:eastAsia="Calibri"/>
          <w:szCs w:val="22"/>
          <w:lang w:val="sr-Latn-ME"/>
        </w:rPr>
      </w:pPr>
      <w:r w:rsidRPr="004C7CDA">
        <w:rPr>
          <w:rFonts w:eastAsia="Calibri"/>
          <w:szCs w:val="22"/>
          <w:lang w:val="sr-Latn-ME"/>
        </w:rPr>
        <w:t>Prijav</w:t>
      </w:r>
      <w:r w:rsidR="008B3ED5" w:rsidRPr="004C7CDA">
        <w:rPr>
          <w:rFonts w:eastAsia="Calibri"/>
          <w:szCs w:val="22"/>
          <w:lang w:val="sr-Latn-ME"/>
        </w:rPr>
        <w:t>l</w:t>
      </w:r>
      <w:r w:rsidRPr="004C7CDA">
        <w:rPr>
          <w:rFonts w:eastAsia="Calibri"/>
          <w:szCs w:val="22"/>
          <w:lang w:val="sr-Latn-ME"/>
        </w:rPr>
        <w:t>jivanje neže</w:t>
      </w:r>
      <w:r w:rsidR="008B3ED5" w:rsidRPr="004C7CDA">
        <w:rPr>
          <w:rFonts w:eastAsia="Calibri"/>
          <w:szCs w:val="22"/>
          <w:lang w:val="sr-Latn-ME"/>
        </w:rPr>
        <w:t>l</w:t>
      </w:r>
      <w:r w:rsidRPr="004C7CDA">
        <w:rPr>
          <w:rFonts w:eastAsia="Calibri"/>
          <w:szCs w:val="22"/>
          <w:lang w:val="sr-Latn-ME"/>
        </w:rPr>
        <w:t>jenih dejstava nakon dobijanja dozvo</w:t>
      </w:r>
      <w:r w:rsidR="008B3ED5" w:rsidRPr="004C7CDA">
        <w:rPr>
          <w:rFonts w:eastAsia="Calibri"/>
          <w:szCs w:val="22"/>
          <w:lang w:val="sr-Latn-ME"/>
        </w:rPr>
        <w:t>l</w:t>
      </w:r>
      <w:r w:rsidRPr="004C7CDA">
        <w:rPr>
          <w:rFonts w:eastAsia="Calibri"/>
          <w:szCs w:val="22"/>
          <w:lang w:val="sr-Latn-ME"/>
        </w:rPr>
        <w:t>e je od ve</w:t>
      </w:r>
      <w:r w:rsidR="008B3ED5" w:rsidRPr="004C7CDA">
        <w:rPr>
          <w:rFonts w:eastAsia="Calibri"/>
          <w:szCs w:val="22"/>
          <w:lang w:val="sr-Latn-ME"/>
        </w:rPr>
        <w:t>l</w:t>
      </w:r>
      <w:r w:rsidRPr="004C7CDA">
        <w:rPr>
          <w:rFonts w:eastAsia="Calibri"/>
          <w:szCs w:val="22"/>
          <w:lang w:val="sr-Latn-ME"/>
        </w:rPr>
        <w:t xml:space="preserve">ikog značaja jer obezbjeđuje kontinuirano praćenje odnosa korist/rizik primjene </w:t>
      </w:r>
      <w:r w:rsidR="008B3ED5" w:rsidRPr="004C7CDA">
        <w:rPr>
          <w:rFonts w:eastAsia="Calibri"/>
          <w:szCs w:val="22"/>
          <w:lang w:val="sr-Latn-ME"/>
        </w:rPr>
        <w:t>l</w:t>
      </w:r>
      <w:r w:rsidRPr="004C7CDA">
        <w:rPr>
          <w:rFonts w:eastAsia="Calibri"/>
          <w:szCs w:val="22"/>
          <w:lang w:val="sr-Latn-ME"/>
        </w:rPr>
        <w:t>ijeka. Zdravstveni radnici treba da prijave svaku sumnju na neže</w:t>
      </w:r>
      <w:r w:rsidR="008B3ED5" w:rsidRPr="004C7CDA">
        <w:rPr>
          <w:rFonts w:eastAsia="Calibri"/>
          <w:szCs w:val="22"/>
          <w:lang w:val="sr-Latn-ME"/>
        </w:rPr>
        <w:t>l</w:t>
      </w:r>
      <w:r w:rsidRPr="004C7CDA">
        <w:rPr>
          <w:rFonts w:eastAsia="Calibri"/>
          <w:szCs w:val="22"/>
          <w:lang w:val="sr-Latn-ME"/>
        </w:rPr>
        <w:t xml:space="preserve">jeno dejstvo ovog </w:t>
      </w:r>
      <w:r w:rsidR="008B3ED5" w:rsidRPr="004C7CDA">
        <w:rPr>
          <w:rFonts w:eastAsia="Calibri"/>
          <w:szCs w:val="22"/>
          <w:lang w:val="sr-Latn-ME"/>
        </w:rPr>
        <w:t>l</w:t>
      </w:r>
      <w:r w:rsidRPr="004C7CDA">
        <w:rPr>
          <w:rFonts w:eastAsia="Calibri"/>
          <w:szCs w:val="22"/>
          <w:lang w:val="sr-Latn-ME"/>
        </w:rPr>
        <w:t xml:space="preserve">ijeka Institutu za </w:t>
      </w:r>
      <w:r w:rsidR="008B3ED5" w:rsidRPr="004C7CDA">
        <w:rPr>
          <w:rFonts w:eastAsia="Calibri"/>
          <w:szCs w:val="22"/>
          <w:lang w:val="sr-Latn-ME"/>
        </w:rPr>
        <w:t>l</w:t>
      </w:r>
      <w:r w:rsidRPr="004C7CDA">
        <w:rPr>
          <w:rFonts w:eastAsia="Calibri"/>
          <w:szCs w:val="22"/>
          <w:lang w:val="sr-Latn-ME"/>
        </w:rPr>
        <w:t>jekove i medicinska sredstva (CInMED):</w:t>
      </w:r>
    </w:p>
    <w:p w14:paraId="0712D3F3" w14:textId="77777777" w:rsidR="00D36AD3" w:rsidRPr="004C7CDA" w:rsidRDefault="00D36AD3" w:rsidP="004C7CDA">
      <w:pPr>
        <w:widowControl w:val="0"/>
        <w:tabs>
          <w:tab w:val="clear" w:pos="284"/>
        </w:tabs>
        <w:rPr>
          <w:rFonts w:eastAsia="Calibri"/>
          <w:szCs w:val="22"/>
          <w:u w:val="single"/>
          <w:lang w:val="sr-Latn-ME"/>
        </w:rPr>
      </w:pPr>
    </w:p>
    <w:p w14:paraId="0FB678E7" w14:textId="2A7A4876" w:rsidR="007B3F3B" w:rsidRPr="004C7CDA" w:rsidRDefault="007B3F3B" w:rsidP="004C7CDA">
      <w:pPr>
        <w:widowControl w:val="0"/>
        <w:tabs>
          <w:tab w:val="clear" w:pos="284"/>
        </w:tabs>
        <w:rPr>
          <w:rFonts w:eastAsia="Calibri"/>
          <w:szCs w:val="22"/>
          <w:lang w:val="sr-Latn-ME"/>
        </w:rPr>
      </w:pPr>
      <w:r w:rsidRPr="004C7CDA">
        <w:rPr>
          <w:rFonts w:eastAsia="Calibri"/>
          <w:szCs w:val="22"/>
          <w:lang w:val="sr-Latn-ME"/>
        </w:rPr>
        <w:t xml:space="preserve">Institut za </w:t>
      </w:r>
      <w:r w:rsidR="008B3ED5" w:rsidRPr="004C7CDA">
        <w:rPr>
          <w:rFonts w:eastAsia="Calibri"/>
          <w:szCs w:val="22"/>
          <w:lang w:val="sr-Latn-ME"/>
        </w:rPr>
        <w:t>l</w:t>
      </w:r>
      <w:r w:rsidRPr="004C7CDA">
        <w:rPr>
          <w:rFonts w:eastAsia="Calibri"/>
          <w:szCs w:val="22"/>
          <w:lang w:val="sr-Latn-ME"/>
        </w:rPr>
        <w:t xml:space="preserve">jekove i medicinska sredstva </w:t>
      </w:r>
    </w:p>
    <w:p w14:paraId="6648E44C" w14:textId="39A0CFC3" w:rsidR="007B3F3B" w:rsidRPr="004C7CDA" w:rsidRDefault="007B3F3B" w:rsidP="004C7CDA">
      <w:pPr>
        <w:widowControl w:val="0"/>
        <w:tabs>
          <w:tab w:val="clear" w:pos="284"/>
        </w:tabs>
        <w:rPr>
          <w:rFonts w:eastAsia="Calibri"/>
          <w:szCs w:val="22"/>
          <w:lang w:val="sr-Latn-ME"/>
        </w:rPr>
      </w:pPr>
      <w:r w:rsidRPr="004C7CDA">
        <w:rPr>
          <w:rFonts w:eastAsia="Calibri"/>
          <w:szCs w:val="22"/>
          <w:lang w:val="sr-Latn-ME"/>
        </w:rPr>
        <w:t>Odje</w:t>
      </w:r>
      <w:r w:rsidR="008B3ED5" w:rsidRPr="004C7CDA">
        <w:rPr>
          <w:rFonts w:eastAsia="Calibri"/>
          <w:szCs w:val="22"/>
          <w:lang w:val="sr-Latn-ME"/>
        </w:rPr>
        <w:t>l</w:t>
      </w:r>
      <w:r w:rsidRPr="004C7CDA">
        <w:rPr>
          <w:rFonts w:eastAsia="Calibri"/>
          <w:szCs w:val="22"/>
          <w:lang w:val="sr-Latn-ME"/>
        </w:rPr>
        <w:t>jenje za farmakovigi</w:t>
      </w:r>
      <w:r w:rsidR="008B3ED5" w:rsidRPr="004C7CDA">
        <w:rPr>
          <w:rFonts w:eastAsia="Calibri"/>
          <w:szCs w:val="22"/>
          <w:lang w:val="sr-Latn-ME"/>
        </w:rPr>
        <w:t>l</w:t>
      </w:r>
      <w:r w:rsidRPr="004C7CDA">
        <w:rPr>
          <w:rFonts w:eastAsia="Calibri"/>
          <w:szCs w:val="22"/>
          <w:lang w:val="sr-Latn-ME"/>
        </w:rPr>
        <w:t>ancu</w:t>
      </w:r>
    </w:p>
    <w:p w14:paraId="156B2229" w14:textId="20E07982" w:rsidR="007B3F3B" w:rsidRPr="004C7CDA" w:rsidRDefault="007B3F3B" w:rsidP="004C7CDA">
      <w:pPr>
        <w:widowControl w:val="0"/>
        <w:tabs>
          <w:tab w:val="clear" w:pos="284"/>
        </w:tabs>
        <w:rPr>
          <w:rFonts w:eastAsia="Calibri"/>
          <w:szCs w:val="22"/>
          <w:lang w:val="sr-Latn-ME"/>
        </w:rPr>
      </w:pPr>
      <w:r w:rsidRPr="004C7CDA">
        <w:rPr>
          <w:rFonts w:eastAsia="Calibri"/>
          <w:szCs w:val="22"/>
          <w:lang w:val="sr-Latn-ME"/>
        </w:rPr>
        <w:t>Bu</w:t>
      </w:r>
      <w:r w:rsidR="008B3ED5" w:rsidRPr="004C7CDA">
        <w:rPr>
          <w:rFonts w:eastAsia="Calibri"/>
          <w:szCs w:val="22"/>
          <w:lang w:val="sr-Latn-ME"/>
        </w:rPr>
        <w:t>l</w:t>
      </w:r>
      <w:r w:rsidRPr="004C7CDA">
        <w:rPr>
          <w:rFonts w:eastAsia="Calibri"/>
          <w:szCs w:val="22"/>
          <w:lang w:val="sr-Latn-ME"/>
        </w:rPr>
        <w:t>evar Ivana Crnojevića 64a, 81000 Podgorica</w:t>
      </w:r>
    </w:p>
    <w:p w14:paraId="4A0A3D9C" w14:textId="77777777" w:rsidR="007B3F3B" w:rsidRPr="004C7CDA" w:rsidRDefault="007B3F3B" w:rsidP="004C7CDA">
      <w:pPr>
        <w:widowControl w:val="0"/>
        <w:tabs>
          <w:tab w:val="clear" w:pos="284"/>
        </w:tabs>
        <w:rPr>
          <w:rFonts w:eastAsia="Calibri"/>
          <w:szCs w:val="22"/>
          <w:lang w:val="sr-Latn-ME"/>
        </w:rPr>
      </w:pPr>
    </w:p>
    <w:p w14:paraId="05EA64CA" w14:textId="0D3AC253" w:rsidR="007B3F3B" w:rsidRPr="004C7CDA" w:rsidRDefault="007B3F3B" w:rsidP="004C7CDA">
      <w:pPr>
        <w:widowControl w:val="0"/>
        <w:tabs>
          <w:tab w:val="clear" w:pos="284"/>
        </w:tabs>
        <w:rPr>
          <w:rFonts w:eastAsia="Calibri"/>
          <w:szCs w:val="22"/>
          <w:lang w:val="sr-Latn-ME"/>
        </w:rPr>
      </w:pPr>
      <w:r w:rsidRPr="004C7CDA">
        <w:rPr>
          <w:rFonts w:eastAsia="Calibri"/>
          <w:szCs w:val="22"/>
          <w:lang w:val="sr-Latn-ME"/>
        </w:rPr>
        <w:t>te</w:t>
      </w:r>
      <w:r w:rsidR="008B3ED5" w:rsidRPr="004C7CDA">
        <w:rPr>
          <w:rFonts w:eastAsia="Calibri"/>
          <w:szCs w:val="22"/>
          <w:lang w:val="sr-Latn-ME"/>
        </w:rPr>
        <w:t>l</w:t>
      </w:r>
      <w:r w:rsidRPr="004C7CDA">
        <w:rPr>
          <w:rFonts w:eastAsia="Calibri"/>
          <w:szCs w:val="22"/>
          <w:lang w:val="sr-Latn-ME"/>
        </w:rPr>
        <w:t>: +382 (0) 20 310 280</w:t>
      </w:r>
    </w:p>
    <w:p w14:paraId="0C294811" w14:textId="77777777" w:rsidR="007B3F3B" w:rsidRPr="004C7CDA" w:rsidRDefault="007B3F3B" w:rsidP="004C7CDA">
      <w:pPr>
        <w:widowControl w:val="0"/>
        <w:tabs>
          <w:tab w:val="clear" w:pos="284"/>
        </w:tabs>
        <w:rPr>
          <w:rFonts w:eastAsia="Calibri"/>
          <w:szCs w:val="22"/>
          <w:lang w:val="sr-Latn-ME"/>
        </w:rPr>
      </w:pPr>
      <w:r w:rsidRPr="004C7CDA">
        <w:rPr>
          <w:rFonts w:eastAsia="Calibri"/>
          <w:szCs w:val="22"/>
          <w:lang w:val="sr-Latn-ME"/>
        </w:rPr>
        <w:t>fax: +382 (0) 20 310 581</w:t>
      </w:r>
    </w:p>
    <w:p w14:paraId="26BE6DDF" w14:textId="77777777" w:rsidR="007B3F3B" w:rsidRPr="004C7CDA" w:rsidRDefault="00E15B43" w:rsidP="004C7CDA">
      <w:pPr>
        <w:widowControl w:val="0"/>
        <w:tabs>
          <w:tab w:val="clear" w:pos="284"/>
        </w:tabs>
        <w:rPr>
          <w:rFonts w:eastAsia="Calibri"/>
          <w:szCs w:val="22"/>
          <w:lang w:val="sr-Latn-ME"/>
        </w:rPr>
      </w:pPr>
      <w:hyperlink r:id="rId10" w:history="1">
        <w:r w:rsidR="007B3F3B" w:rsidRPr="004C7CDA">
          <w:rPr>
            <w:rFonts w:eastAsia="Calibri"/>
            <w:color w:val="0563C1"/>
            <w:szCs w:val="22"/>
            <w:u w:val="single"/>
            <w:lang w:val="sr-Latn-ME"/>
          </w:rPr>
          <w:t>www.cinmed.me</w:t>
        </w:r>
      </w:hyperlink>
    </w:p>
    <w:p w14:paraId="7289D89A" w14:textId="31FFEDB6" w:rsidR="007B3F3B" w:rsidRPr="004C7CDA" w:rsidRDefault="00E15B43" w:rsidP="004C7CDA">
      <w:pPr>
        <w:widowControl w:val="0"/>
        <w:tabs>
          <w:tab w:val="clear" w:pos="284"/>
        </w:tabs>
        <w:rPr>
          <w:rFonts w:eastAsia="Calibri"/>
          <w:color w:val="0000FF"/>
          <w:szCs w:val="22"/>
          <w:u w:val="single"/>
          <w:lang w:val="sr-Latn-ME"/>
        </w:rPr>
      </w:pPr>
      <w:hyperlink r:id="rId11" w:history="1">
        <w:r w:rsidR="007B3F3B" w:rsidRPr="004C7CDA">
          <w:rPr>
            <w:rFonts w:eastAsia="Calibri"/>
            <w:color w:val="0563C1"/>
            <w:szCs w:val="22"/>
            <w:u w:val="single"/>
            <w:lang w:val="sr-Latn-ME"/>
          </w:rPr>
          <w:t>neze</w:t>
        </w:r>
        <w:r w:rsidR="008B3ED5" w:rsidRPr="004C7CDA">
          <w:rPr>
            <w:rFonts w:eastAsia="Calibri"/>
            <w:color w:val="0563C1"/>
            <w:szCs w:val="22"/>
            <w:u w:val="single"/>
            <w:lang w:val="sr-Latn-ME"/>
          </w:rPr>
          <w:t>l</w:t>
        </w:r>
        <w:r w:rsidR="007B3F3B" w:rsidRPr="004C7CDA">
          <w:rPr>
            <w:rFonts w:eastAsia="Calibri"/>
            <w:color w:val="0563C1"/>
            <w:szCs w:val="22"/>
            <w:u w:val="single"/>
            <w:lang w:val="sr-Latn-ME"/>
          </w:rPr>
          <w:t>jenadejstva@cinmed.me</w:t>
        </w:r>
      </w:hyperlink>
    </w:p>
    <w:p w14:paraId="2D478EEC" w14:textId="77777777" w:rsidR="007B3F3B" w:rsidRPr="004C7CDA" w:rsidRDefault="007B3F3B" w:rsidP="004C7CDA">
      <w:pPr>
        <w:widowControl w:val="0"/>
        <w:tabs>
          <w:tab w:val="clear" w:pos="284"/>
        </w:tabs>
        <w:rPr>
          <w:rFonts w:eastAsia="Calibri"/>
          <w:szCs w:val="22"/>
          <w:lang w:val="sr-Latn-ME"/>
        </w:rPr>
      </w:pPr>
      <w:r w:rsidRPr="004C7CDA">
        <w:rPr>
          <w:rFonts w:eastAsia="Calibri"/>
          <w:szCs w:val="22"/>
          <w:lang w:val="sr-Latn-ME"/>
        </w:rPr>
        <w:t>putem IS zdravstvene zaštite</w:t>
      </w:r>
    </w:p>
    <w:p w14:paraId="2D42BAB1" w14:textId="32C77482" w:rsidR="007B3F3B" w:rsidRPr="004C7CDA" w:rsidRDefault="007B3F3B" w:rsidP="004C7CDA">
      <w:pPr>
        <w:pStyle w:val="NoSpacing"/>
        <w:widowControl w:val="0"/>
        <w:jc w:val="both"/>
        <w:rPr>
          <w:rFonts w:eastAsia="Calibri"/>
          <w:sz w:val="22"/>
          <w:szCs w:val="22"/>
          <w:lang w:val="sr-Latn-ME"/>
        </w:rPr>
      </w:pPr>
      <w:r w:rsidRPr="004C7CDA">
        <w:rPr>
          <w:rFonts w:eastAsia="Calibri"/>
          <w:sz w:val="22"/>
          <w:szCs w:val="22"/>
          <w:lang w:val="sr-Latn-ME"/>
        </w:rPr>
        <w:t>QR kod za on</w:t>
      </w:r>
      <w:r w:rsidR="008B3ED5" w:rsidRPr="004C7CDA">
        <w:rPr>
          <w:rFonts w:eastAsia="Calibri"/>
          <w:sz w:val="22"/>
          <w:szCs w:val="22"/>
          <w:lang w:val="sr-Latn-ME"/>
        </w:rPr>
        <w:t>l</w:t>
      </w:r>
      <w:r w:rsidRPr="004C7CDA">
        <w:rPr>
          <w:rFonts w:eastAsia="Calibri"/>
          <w:sz w:val="22"/>
          <w:szCs w:val="22"/>
          <w:lang w:val="sr-Latn-ME"/>
        </w:rPr>
        <w:t>ine prijavu sumnje na neže</w:t>
      </w:r>
      <w:r w:rsidR="008B3ED5" w:rsidRPr="004C7CDA">
        <w:rPr>
          <w:rFonts w:eastAsia="Calibri"/>
          <w:sz w:val="22"/>
          <w:szCs w:val="22"/>
          <w:lang w:val="sr-Latn-ME"/>
        </w:rPr>
        <w:t>l</w:t>
      </w:r>
      <w:r w:rsidRPr="004C7CDA">
        <w:rPr>
          <w:rFonts w:eastAsia="Calibri"/>
          <w:sz w:val="22"/>
          <w:szCs w:val="22"/>
          <w:lang w:val="sr-Latn-ME"/>
        </w:rPr>
        <w:t xml:space="preserve">jeno dejstvo </w:t>
      </w:r>
      <w:r w:rsidR="008B3ED5" w:rsidRPr="004C7CDA">
        <w:rPr>
          <w:rFonts w:eastAsia="Calibri"/>
          <w:sz w:val="22"/>
          <w:szCs w:val="22"/>
          <w:lang w:val="sr-Latn-ME"/>
        </w:rPr>
        <w:t>l</w:t>
      </w:r>
      <w:r w:rsidRPr="004C7CDA">
        <w:rPr>
          <w:rFonts w:eastAsia="Calibri"/>
          <w:sz w:val="22"/>
          <w:szCs w:val="22"/>
          <w:lang w:val="sr-Latn-ME"/>
        </w:rPr>
        <w:t>ijeka:</w:t>
      </w:r>
    </w:p>
    <w:p w14:paraId="7400F2A9" w14:textId="77777777" w:rsidR="007B3F3B" w:rsidRPr="004C7CDA" w:rsidRDefault="007B3F3B" w:rsidP="004C7CDA">
      <w:pPr>
        <w:pStyle w:val="NoSpacing"/>
        <w:widowControl w:val="0"/>
        <w:jc w:val="both"/>
        <w:rPr>
          <w:rFonts w:eastAsia="Calibri"/>
          <w:sz w:val="22"/>
          <w:szCs w:val="22"/>
          <w:lang w:val="sr-Latn-ME"/>
        </w:rPr>
      </w:pPr>
    </w:p>
    <w:p w14:paraId="636A3FD8" w14:textId="2F03D6B7" w:rsidR="007B3F3B" w:rsidRPr="004C7CDA" w:rsidRDefault="00AE3AE9" w:rsidP="004C7CDA">
      <w:pPr>
        <w:pStyle w:val="NoSpacing"/>
        <w:widowControl w:val="0"/>
        <w:jc w:val="both"/>
        <w:rPr>
          <w:rFonts w:eastAsia="Calibri"/>
          <w:sz w:val="22"/>
          <w:szCs w:val="22"/>
          <w:lang w:val="sr-Latn-ME"/>
        </w:rPr>
      </w:pPr>
      <w:r w:rsidRPr="004C7CDA">
        <w:rPr>
          <w:lang w:val="sr-Latn-ME"/>
        </w:rPr>
        <w:t xml:space="preserve"> </w:t>
      </w:r>
      <w:r w:rsidRPr="004C7CDA">
        <w:rPr>
          <w:noProof/>
          <w:lang w:val="sr-Latn-ME" w:eastAsia="sr-Latn-ME"/>
        </w:rPr>
        <w:drawing>
          <wp:inline distT="0" distB="0" distL="0" distR="0" wp14:anchorId="4ADE53DB" wp14:editId="729D6096">
            <wp:extent cx="981075" cy="971550"/>
            <wp:effectExtent l="0" t="0" r="9525" b="0"/>
            <wp:docPr id="1623962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a:ln>
                      <a:noFill/>
                    </a:ln>
                  </pic:spPr>
                </pic:pic>
              </a:graphicData>
            </a:graphic>
          </wp:inline>
        </w:drawing>
      </w:r>
    </w:p>
    <w:p w14:paraId="1377F7BF" w14:textId="77777777" w:rsidR="00CE09F3" w:rsidRPr="004C7CDA" w:rsidRDefault="00CE09F3" w:rsidP="004C7CDA">
      <w:pPr>
        <w:widowControl w:val="0"/>
        <w:rPr>
          <w:szCs w:val="22"/>
          <w:lang w:val="sr-Latn-ME"/>
        </w:rPr>
      </w:pPr>
    </w:p>
    <w:p w14:paraId="7C682889" w14:textId="77777777" w:rsidR="00CE09F3" w:rsidRPr="004C7CDA" w:rsidRDefault="00CE09F3" w:rsidP="004C7CDA">
      <w:pPr>
        <w:widowControl w:val="0"/>
        <w:rPr>
          <w:b/>
          <w:bCs/>
          <w:szCs w:val="22"/>
          <w:lang w:val="sr-Latn-ME"/>
        </w:rPr>
      </w:pPr>
      <w:r w:rsidRPr="004C7CDA">
        <w:rPr>
          <w:b/>
          <w:bCs/>
          <w:szCs w:val="22"/>
          <w:lang w:val="sr-Latn-ME"/>
        </w:rPr>
        <w:t>4.9. Predoziranje</w:t>
      </w:r>
    </w:p>
    <w:p w14:paraId="42E7FAEB" w14:textId="77777777" w:rsidR="00C307B8" w:rsidRPr="004C7CDA" w:rsidRDefault="00C307B8" w:rsidP="004C7CDA">
      <w:pPr>
        <w:widowControl w:val="0"/>
        <w:rPr>
          <w:b/>
          <w:bCs/>
          <w:szCs w:val="22"/>
          <w:lang w:val="sr-Latn-ME"/>
        </w:rPr>
      </w:pPr>
    </w:p>
    <w:p w14:paraId="3CA18235" w14:textId="6AB0C5A5" w:rsidR="00B141ED" w:rsidRPr="004C7CDA" w:rsidRDefault="00B141ED" w:rsidP="004C7CDA">
      <w:pPr>
        <w:widowControl w:val="0"/>
        <w:tabs>
          <w:tab w:val="clear" w:pos="284"/>
        </w:tabs>
        <w:autoSpaceDE w:val="0"/>
        <w:autoSpaceDN w:val="0"/>
        <w:adjustRightInd w:val="0"/>
        <w:rPr>
          <w:rFonts w:eastAsia="TimesNewRoman"/>
          <w:szCs w:val="22"/>
          <w:lang w:val="sr-Latn-ME"/>
        </w:rPr>
      </w:pPr>
      <w:r w:rsidRPr="004C7CDA">
        <w:rPr>
          <w:rFonts w:eastAsia="TimesNewRoman"/>
          <w:szCs w:val="22"/>
          <w:lang w:val="sr-Latn-ME"/>
        </w:rPr>
        <w:t>Simptomi i znaci predoziranja manito</w:t>
      </w:r>
      <w:r w:rsidR="008B3ED5" w:rsidRPr="004C7CDA">
        <w:rPr>
          <w:rFonts w:eastAsia="TimesNewRoman"/>
          <w:szCs w:val="22"/>
          <w:lang w:val="sr-Latn-ME"/>
        </w:rPr>
        <w:t>l</w:t>
      </w:r>
      <w:r w:rsidRPr="004C7CDA">
        <w:rPr>
          <w:rFonts w:eastAsia="TimesNewRoman"/>
          <w:szCs w:val="22"/>
          <w:lang w:val="sr-Latn-ME"/>
        </w:rPr>
        <w:t>om mogu biti akutna bubrežna insuficijencija, disba</w:t>
      </w:r>
      <w:r w:rsidR="008B3ED5" w:rsidRPr="004C7CDA">
        <w:rPr>
          <w:rFonts w:eastAsia="TimesNewRoman"/>
          <w:szCs w:val="22"/>
          <w:lang w:val="sr-Latn-ME"/>
        </w:rPr>
        <w:t>l</w:t>
      </w:r>
      <w:r w:rsidRPr="004C7CDA">
        <w:rPr>
          <w:rFonts w:eastAsia="TimesNewRoman"/>
          <w:szCs w:val="22"/>
          <w:lang w:val="sr-Latn-ME"/>
        </w:rPr>
        <w:t>ans e</w:t>
      </w:r>
      <w:r w:rsidR="008B3ED5" w:rsidRPr="004C7CDA">
        <w:rPr>
          <w:rFonts w:eastAsia="TimesNewRoman"/>
          <w:szCs w:val="22"/>
          <w:lang w:val="sr-Latn-ME"/>
        </w:rPr>
        <w:t>l</w:t>
      </w:r>
      <w:r w:rsidRPr="004C7CDA">
        <w:rPr>
          <w:rFonts w:eastAsia="TimesNewRoman"/>
          <w:szCs w:val="22"/>
          <w:lang w:val="sr-Latn-ME"/>
        </w:rPr>
        <w:t>ektro</w:t>
      </w:r>
      <w:r w:rsidR="008B3ED5" w:rsidRPr="004C7CDA">
        <w:rPr>
          <w:rFonts w:eastAsia="TimesNewRoman"/>
          <w:szCs w:val="22"/>
          <w:lang w:val="sr-Latn-ME"/>
        </w:rPr>
        <w:t>l</w:t>
      </w:r>
      <w:r w:rsidRPr="004C7CDA">
        <w:rPr>
          <w:rFonts w:eastAsia="TimesNewRoman"/>
          <w:szCs w:val="22"/>
          <w:lang w:val="sr-Latn-ME"/>
        </w:rPr>
        <w:t>ita, hipervo</w:t>
      </w:r>
      <w:r w:rsidR="008B3ED5" w:rsidRPr="004C7CDA">
        <w:rPr>
          <w:rFonts w:eastAsia="TimesNewRoman"/>
          <w:szCs w:val="22"/>
          <w:lang w:val="sr-Latn-ME"/>
        </w:rPr>
        <w:t>l</w:t>
      </w:r>
      <w:r w:rsidRPr="004C7CDA">
        <w:rPr>
          <w:rFonts w:eastAsia="TimesNewRoman"/>
          <w:szCs w:val="22"/>
          <w:lang w:val="sr-Latn-ME"/>
        </w:rPr>
        <w:t>emija i toksičnost CNS-a.</w:t>
      </w:r>
    </w:p>
    <w:p w14:paraId="1B0D120F" w14:textId="77777777" w:rsidR="00B141ED" w:rsidRPr="004C7CDA" w:rsidRDefault="00B141ED" w:rsidP="004C7CDA">
      <w:pPr>
        <w:widowControl w:val="0"/>
        <w:tabs>
          <w:tab w:val="clear" w:pos="284"/>
        </w:tabs>
        <w:autoSpaceDE w:val="0"/>
        <w:autoSpaceDN w:val="0"/>
        <w:adjustRightInd w:val="0"/>
        <w:rPr>
          <w:rFonts w:eastAsia="TimesNewRoman"/>
          <w:szCs w:val="22"/>
          <w:lang w:val="sr-Latn-ME"/>
        </w:rPr>
      </w:pPr>
    </w:p>
    <w:p w14:paraId="5F7A8504" w14:textId="2707457D" w:rsidR="00B141ED" w:rsidRPr="004C7CDA" w:rsidRDefault="00B141ED" w:rsidP="004C7CDA">
      <w:pPr>
        <w:widowControl w:val="0"/>
        <w:rPr>
          <w:szCs w:val="22"/>
          <w:lang w:val="sr-Latn-ME"/>
        </w:rPr>
      </w:pPr>
      <w:r w:rsidRPr="004C7CDA">
        <w:rPr>
          <w:szCs w:val="22"/>
          <w:lang w:val="sr-Latn-ME"/>
        </w:rPr>
        <w:t>Produžena prim</w:t>
      </w:r>
      <w:r w:rsidR="00A8625E" w:rsidRPr="004C7CDA">
        <w:rPr>
          <w:szCs w:val="22"/>
          <w:lang w:val="sr-Latn-ME"/>
        </w:rPr>
        <w:t>j</w:t>
      </w:r>
      <w:r w:rsidRPr="004C7CDA">
        <w:rPr>
          <w:szCs w:val="22"/>
          <w:lang w:val="sr-Latn-ME"/>
        </w:rPr>
        <w:t>ena i</w:t>
      </w:r>
      <w:r w:rsidR="008B3ED5" w:rsidRPr="004C7CDA">
        <w:rPr>
          <w:szCs w:val="22"/>
          <w:lang w:val="sr-Latn-ME"/>
        </w:rPr>
        <w:t>l</w:t>
      </w:r>
      <w:r w:rsidRPr="004C7CDA">
        <w:rPr>
          <w:szCs w:val="22"/>
          <w:lang w:val="sr-Latn-ME"/>
        </w:rPr>
        <w:t>i brza infuzija ve</w:t>
      </w:r>
      <w:r w:rsidR="008B3ED5" w:rsidRPr="004C7CDA">
        <w:rPr>
          <w:szCs w:val="22"/>
          <w:lang w:val="sr-Latn-ME"/>
        </w:rPr>
        <w:t>l</w:t>
      </w:r>
      <w:r w:rsidRPr="004C7CDA">
        <w:rPr>
          <w:szCs w:val="22"/>
          <w:lang w:val="sr-Latn-ME"/>
        </w:rPr>
        <w:t>ikih zapremina hiperosmotskih rastvora može da dovede do cirku</w:t>
      </w:r>
      <w:r w:rsidR="008B3ED5" w:rsidRPr="004C7CDA">
        <w:rPr>
          <w:szCs w:val="22"/>
          <w:lang w:val="sr-Latn-ME"/>
        </w:rPr>
        <w:t>l</w:t>
      </w:r>
      <w:r w:rsidRPr="004C7CDA">
        <w:rPr>
          <w:szCs w:val="22"/>
          <w:lang w:val="sr-Latn-ME"/>
        </w:rPr>
        <w:t>atornog preopterećenja i acidoze. Kao prvi znaci/simptomi, mogu se javiti g</w:t>
      </w:r>
      <w:r w:rsidR="008B3ED5" w:rsidRPr="004C7CDA">
        <w:rPr>
          <w:szCs w:val="22"/>
          <w:lang w:val="sr-Latn-ME"/>
        </w:rPr>
        <w:t>l</w:t>
      </w:r>
      <w:r w:rsidRPr="004C7CDA">
        <w:rPr>
          <w:szCs w:val="22"/>
          <w:lang w:val="sr-Latn-ME"/>
        </w:rPr>
        <w:t>avobo</w:t>
      </w:r>
      <w:r w:rsidR="008B3ED5" w:rsidRPr="004C7CDA">
        <w:rPr>
          <w:szCs w:val="22"/>
          <w:lang w:val="sr-Latn-ME"/>
        </w:rPr>
        <w:t>l</w:t>
      </w:r>
      <w:r w:rsidRPr="004C7CDA">
        <w:rPr>
          <w:szCs w:val="22"/>
          <w:lang w:val="sr-Latn-ME"/>
        </w:rPr>
        <w:t>ja, nauzeja i drhtavica bez prom</w:t>
      </w:r>
      <w:r w:rsidR="00976D20" w:rsidRPr="004C7CDA">
        <w:rPr>
          <w:szCs w:val="22"/>
          <w:lang w:val="sr-Latn-ME"/>
        </w:rPr>
        <w:t>j</w:t>
      </w:r>
      <w:r w:rsidRPr="004C7CDA">
        <w:rPr>
          <w:szCs w:val="22"/>
          <w:lang w:val="sr-Latn-ME"/>
        </w:rPr>
        <w:t>ene t</w:t>
      </w:r>
      <w:r w:rsidR="00A8625E" w:rsidRPr="004C7CDA">
        <w:rPr>
          <w:szCs w:val="22"/>
          <w:lang w:val="sr-Latn-ME"/>
        </w:rPr>
        <w:t>j</w:t>
      </w:r>
      <w:r w:rsidRPr="004C7CDA">
        <w:rPr>
          <w:szCs w:val="22"/>
          <w:lang w:val="sr-Latn-ME"/>
        </w:rPr>
        <w:t>e</w:t>
      </w:r>
      <w:r w:rsidR="008B3ED5" w:rsidRPr="004C7CDA">
        <w:rPr>
          <w:szCs w:val="22"/>
          <w:lang w:val="sr-Latn-ME"/>
        </w:rPr>
        <w:t>l</w:t>
      </w:r>
      <w:r w:rsidRPr="004C7CDA">
        <w:rPr>
          <w:szCs w:val="22"/>
          <w:lang w:val="sr-Latn-ME"/>
        </w:rPr>
        <w:t>esne temperature. Zatim mogu da us</w:t>
      </w:r>
      <w:r w:rsidR="008B3ED5" w:rsidRPr="004C7CDA">
        <w:rPr>
          <w:szCs w:val="22"/>
          <w:lang w:val="sr-Latn-ME"/>
        </w:rPr>
        <w:t>l</w:t>
      </w:r>
      <w:r w:rsidR="00965575" w:rsidRPr="004C7CDA">
        <w:rPr>
          <w:szCs w:val="22"/>
          <w:lang w:val="sr-Latn-ME"/>
        </w:rPr>
        <w:t>ij</w:t>
      </w:r>
      <w:r w:rsidRPr="004C7CDA">
        <w:rPr>
          <w:szCs w:val="22"/>
          <w:lang w:val="sr-Latn-ME"/>
        </w:rPr>
        <w:t xml:space="preserve">ede konfuzija, </w:t>
      </w:r>
      <w:r w:rsidR="008B3ED5" w:rsidRPr="004C7CDA">
        <w:rPr>
          <w:szCs w:val="22"/>
          <w:lang w:val="sr-Latn-ME"/>
        </w:rPr>
        <w:t>l</w:t>
      </w:r>
      <w:r w:rsidRPr="004C7CDA">
        <w:rPr>
          <w:szCs w:val="22"/>
          <w:lang w:val="sr-Latn-ME"/>
        </w:rPr>
        <w:t>etargija, konvu</w:t>
      </w:r>
      <w:r w:rsidR="008B3ED5" w:rsidRPr="004C7CDA">
        <w:rPr>
          <w:szCs w:val="22"/>
          <w:lang w:val="sr-Latn-ME"/>
        </w:rPr>
        <w:t>l</w:t>
      </w:r>
      <w:r w:rsidRPr="004C7CDA">
        <w:rPr>
          <w:szCs w:val="22"/>
          <w:lang w:val="sr-Latn-ME"/>
        </w:rPr>
        <w:t>zije,</w:t>
      </w:r>
      <w:r w:rsidR="00660A8E" w:rsidRPr="004C7CDA">
        <w:rPr>
          <w:szCs w:val="22"/>
          <w:lang w:val="sr-Latn-ME"/>
        </w:rPr>
        <w:t xml:space="preserve"> </w:t>
      </w:r>
      <w:r w:rsidRPr="004C7CDA">
        <w:rPr>
          <w:szCs w:val="22"/>
          <w:lang w:val="sr-Latn-ME"/>
        </w:rPr>
        <w:t>stupor i koma.</w:t>
      </w:r>
    </w:p>
    <w:p w14:paraId="7A4DD3CD" w14:textId="77777777" w:rsidR="00B141ED" w:rsidRPr="004C7CDA" w:rsidRDefault="00B141ED" w:rsidP="004C7CDA">
      <w:pPr>
        <w:widowControl w:val="0"/>
        <w:rPr>
          <w:szCs w:val="22"/>
          <w:lang w:val="sr-Latn-ME"/>
        </w:rPr>
      </w:pPr>
    </w:p>
    <w:p w14:paraId="16C34826" w14:textId="4861D2C9" w:rsidR="00B141ED" w:rsidRPr="004C7CDA" w:rsidRDefault="00B141ED" w:rsidP="004C7CDA">
      <w:pPr>
        <w:widowControl w:val="0"/>
        <w:tabs>
          <w:tab w:val="clear" w:pos="284"/>
        </w:tabs>
        <w:autoSpaceDE w:val="0"/>
        <w:autoSpaceDN w:val="0"/>
        <w:adjustRightInd w:val="0"/>
        <w:rPr>
          <w:rFonts w:eastAsia="TimesNewRoman"/>
          <w:szCs w:val="22"/>
          <w:lang w:val="sr-Latn-ME"/>
        </w:rPr>
      </w:pPr>
      <w:r w:rsidRPr="004C7CDA">
        <w:rPr>
          <w:rFonts w:eastAsia="TimesNewRoman"/>
          <w:szCs w:val="22"/>
          <w:lang w:val="sr-Latn-ME"/>
        </w:rPr>
        <w:t>Uko</w:t>
      </w:r>
      <w:r w:rsidR="008B3ED5" w:rsidRPr="004C7CDA">
        <w:rPr>
          <w:rFonts w:eastAsia="TimesNewRoman"/>
          <w:szCs w:val="22"/>
          <w:lang w:val="sr-Latn-ME"/>
        </w:rPr>
        <w:t>l</w:t>
      </w:r>
      <w:r w:rsidRPr="004C7CDA">
        <w:rPr>
          <w:rFonts w:eastAsia="TimesNewRoman"/>
          <w:szCs w:val="22"/>
          <w:lang w:val="sr-Latn-ME"/>
        </w:rPr>
        <w:t>iko postoji sumnja da je doš</w:t>
      </w:r>
      <w:r w:rsidR="008B3ED5" w:rsidRPr="004C7CDA">
        <w:rPr>
          <w:rFonts w:eastAsia="TimesNewRoman"/>
          <w:szCs w:val="22"/>
          <w:lang w:val="sr-Latn-ME"/>
        </w:rPr>
        <w:t>l</w:t>
      </w:r>
      <w:r w:rsidRPr="004C7CDA">
        <w:rPr>
          <w:rFonts w:eastAsia="TimesNewRoman"/>
          <w:szCs w:val="22"/>
          <w:lang w:val="sr-Latn-ME"/>
        </w:rPr>
        <w:t>o do predoziranja, neophodno je odmah obustaviti prim</w:t>
      </w:r>
      <w:r w:rsidR="00A8625E" w:rsidRPr="004C7CDA">
        <w:rPr>
          <w:rFonts w:eastAsia="TimesNewRoman"/>
          <w:szCs w:val="22"/>
          <w:lang w:val="sr-Latn-ME"/>
        </w:rPr>
        <w:t>j</w:t>
      </w:r>
      <w:r w:rsidRPr="004C7CDA">
        <w:rPr>
          <w:rFonts w:eastAsia="TimesNewRoman"/>
          <w:szCs w:val="22"/>
          <w:lang w:val="sr-Latn-ME"/>
        </w:rPr>
        <w:t xml:space="preserve">enu </w:t>
      </w:r>
      <w:r w:rsidR="008B3ED5" w:rsidRPr="004C7CDA">
        <w:rPr>
          <w:rFonts w:eastAsia="TimesNewRoman"/>
          <w:szCs w:val="22"/>
          <w:lang w:val="sr-Latn-ME"/>
        </w:rPr>
        <w:t>l</w:t>
      </w:r>
      <w:r w:rsidR="00EF28C7" w:rsidRPr="004C7CDA">
        <w:rPr>
          <w:rFonts w:eastAsia="TimesNewRoman"/>
          <w:szCs w:val="22"/>
          <w:lang w:val="sr-Latn-ME"/>
        </w:rPr>
        <w:t>ij</w:t>
      </w:r>
      <w:r w:rsidRPr="004C7CDA">
        <w:rPr>
          <w:rFonts w:eastAsia="TimesNewRoman"/>
          <w:szCs w:val="22"/>
          <w:lang w:val="sr-Latn-ME"/>
        </w:rPr>
        <w:t>eka.</w:t>
      </w:r>
    </w:p>
    <w:p w14:paraId="5CB3AA34" w14:textId="77777777" w:rsidR="00B141ED" w:rsidRPr="004C7CDA" w:rsidRDefault="00B141ED" w:rsidP="004C7CDA">
      <w:pPr>
        <w:widowControl w:val="0"/>
        <w:tabs>
          <w:tab w:val="clear" w:pos="284"/>
        </w:tabs>
        <w:autoSpaceDE w:val="0"/>
        <w:autoSpaceDN w:val="0"/>
        <w:adjustRightInd w:val="0"/>
        <w:rPr>
          <w:rFonts w:eastAsia="TimesNewRoman"/>
          <w:szCs w:val="22"/>
          <w:lang w:val="sr-Latn-ME"/>
        </w:rPr>
      </w:pPr>
    </w:p>
    <w:p w14:paraId="5F1FEBDD" w14:textId="7188BB8D" w:rsidR="00492017" w:rsidRPr="004C7CDA" w:rsidRDefault="00B141ED" w:rsidP="004C7CDA">
      <w:pPr>
        <w:widowControl w:val="0"/>
        <w:tabs>
          <w:tab w:val="clear" w:pos="284"/>
        </w:tabs>
        <w:autoSpaceDE w:val="0"/>
        <w:autoSpaceDN w:val="0"/>
        <w:adjustRightInd w:val="0"/>
        <w:rPr>
          <w:szCs w:val="22"/>
          <w:lang w:val="sr-Latn-ME"/>
        </w:rPr>
      </w:pPr>
      <w:r w:rsidRPr="004C7CDA">
        <w:rPr>
          <w:rFonts w:eastAsia="TimesNewRoman"/>
          <w:szCs w:val="22"/>
          <w:lang w:val="sr-Latn-ME"/>
        </w:rPr>
        <w:t>Terapija je simptomatska i suportivna i obuhvata kontro</w:t>
      </w:r>
      <w:r w:rsidR="008B3ED5" w:rsidRPr="004C7CDA">
        <w:rPr>
          <w:rFonts w:eastAsia="TimesNewRoman"/>
          <w:szCs w:val="22"/>
          <w:lang w:val="sr-Latn-ME"/>
        </w:rPr>
        <w:t>l</w:t>
      </w:r>
      <w:r w:rsidRPr="004C7CDA">
        <w:rPr>
          <w:rFonts w:eastAsia="TimesNewRoman"/>
          <w:szCs w:val="22"/>
          <w:lang w:val="sr-Latn-ME"/>
        </w:rPr>
        <w:t>u ba</w:t>
      </w:r>
      <w:r w:rsidR="008B3ED5" w:rsidRPr="004C7CDA">
        <w:rPr>
          <w:rFonts w:eastAsia="TimesNewRoman"/>
          <w:szCs w:val="22"/>
          <w:lang w:val="sr-Latn-ME"/>
        </w:rPr>
        <w:t>l</w:t>
      </w:r>
      <w:r w:rsidRPr="004C7CDA">
        <w:rPr>
          <w:rFonts w:eastAsia="TimesNewRoman"/>
          <w:szCs w:val="22"/>
          <w:lang w:val="sr-Latn-ME"/>
        </w:rPr>
        <w:t>ansa tečnosti i e</w:t>
      </w:r>
      <w:r w:rsidR="008B3ED5" w:rsidRPr="004C7CDA">
        <w:rPr>
          <w:rFonts w:eastAsia="TimesNewRoman"/>
          <w:szCs w:val="22"/>
          <w:lang w:val="sr-Latn-ME"/>
        </w:rPr>
        <w:t>l</w:t>
      </w:r>
      <w:r w:rsidRPr="004C7CDA">
        <w:rPr>
          <w:rFonts w:eastAsia="TimesNewRoman"/>
          <w:szCs w:val="22"/>
          <w:lang w:val="sr-Latn-ME"/>
        </w:rPr>
        <w:t>ektro</w:t>
      </w:r>
      <w:r w:rsidR="008B3ED5" w:rsidRPr="004C7CDA">
        <w:rPr>
          <w:rFonts w:eastAsia="TimesNewRoman"/>
          <w:szCs w:val="22"/>
          <w:lang w:val="sr-Latn-ME"/>
        </w:rPr>
        <w:t>l</w:t>
      </w:r>
      <w:r w:rsidRPr="004C7CDA">
        <w:rPr>
          <w:rFonts w:eastAsia="TimesNewRoman"/>
          <w:szCs w:val="22"/>
          <w:lang w:val="sr-Latn-ME"/>
        </w:rPr>
        <w:t>ita. Manito</w:t>
      </w:r>
      <w:r w:rsidR="008B3ED5" w:rsidRPr="004C7CDA">
        <w:rPr>
          <w:rFonts w:eastAsia="TimesNewRoman"/>
          <w:szCs w:val="22"/>
          <w:lang w:val="sr-Latn-ME"/>
        </w:rPr>
        <w:t>l</w:t>
      </w:r>
      <w:r w:rsidRPr="004C7CDA">
        <w:rPr>
          <w:rFonts w:eastAsia="TimesNewRoman"/>
          <w:szCs w:val="22"/>
          <w:lang w:val="sr-Latn-ME"/>
        </w:rPr>
        <w:t xml:space="preserve"> se može uk</w:t>
      </w:r>
      <w:r w:rsidR="008B3ED5" w:rsidRPr="004C7CDA">
        <w:rPr>
          <w:rFonts w:eastAsia="TimesNewRoman"/>
          <w:szCs w:val="22"/>
          <w:lang w:val="sr-Latn-ME"/>
        </w:rPr>
        <w:t>l</w:t>
      </w:r>
      <w:r w:rsidRPr="004C7CDA">
        <w:rPr>
          <w:rFonts w:eastAsia="TimesNewRoman"/>
          <w:szCs w:val="22"/>
          <w:lang w:val="sr-Latn-ME"/>
        </w:rPr>
        <w:t>oniti dija</w:t>
      </w:r>
      <w:r w:rsidR="008B3ED5" w:rsidRPr="004C7CDA">
        <w:rPr>
          <w:rFonts w:eastAsia="TimesNewRoman"/>
          <w:szCs w:val="22"/>
          <w:lang w:val="sr-Latn-ME"/>
        </w:rPr>
        <w:t>l</w:t>
      </w:r>
      <w:r w:rsidRPr="004C7CDA">
        <w:rPr>
          <w:rFonts w:eastAsia="TimesNewRoman"/>
          <w:szCs w:val="22"/>
          <w:lang w:val="sr-Latn-ME"/>
        </w:rPr>
        <w:t>izom. Hemodija</w:t>
      </w:r>
      <w:r w:rsidR="008B3ED5" w:rsidRPr="004C7CDA">
        <w:rPr>
          <w:rFonts w:eastAsia="TimesNewRoman"/>
          <w:szCs w:val="22"/>
          <w:lang w:val="sr-Latn-ME"/>
        </w:rPr>
        <w:t>l</w:t>
      </w:r>
      <w:r w:rsidRPr="004C7CDA">
        <w:rPr>
          <w:rFonts w:eastAsia="TimesNewRoman"/>
          <w:szCs w:val="22"/>
          <w:lang w:val="sr-Latn-ME"/>
        </w:rPr>
        <w:t>iza može biti od pomoći.</w:t>
      </w:r>
    </w:p>
    <w:p w14:paraId="29349A0C" w14:textId="77777777" w:rsidR="002C3B40" w:rsidRPr="004C7CDA" w:rsidRDefault="002C3B40" w:rsidP="004C7CDA">
      <w:pPr>
        <w:widowControl w:val="0"/>
        <w:rPr>
          <w:szCs w:val="22"/>
          <w:lang w:val="sr-Latn-ME"/>
        </w:rPr>
      </w:pPr>
    </w:p>
    <w:p w14:paraId="5CD6C6C9" w14:textId="77777777" w:rsidR="003666EF" w:rsidRPr="004C7CDA" w:rsidRDefault="003666EF" w:rsidP="004C7CDA">
      <w:pPr>
        <w:widowControl w:val="0"/>
        <w:rPr>
          <w:szCs w:val="22"/>
          <w:lang w:val="sr-Latn-ME"/>
        </w:rPr>
      </w:pPr>
    </w:p>
    <w:p w14:paraId="66A854F3" w14:textId="42D98F50" w:rsidR="00CE09F3" w:rsidRPr="004C7CDA" w:rsidRDefault="00CE09F3" w:rsidP="004C7CDA">
      <w:pPr>
        <w:pStyle w:val="NASLOV123"/>
        <w:widowControl w:val="0"/>
        <w:spacing w:before="0" w:after="0"/>
        <w:jc w:val="both"/>
        <w:rPr>
          <w:lang w:val="sr-Latn-ME"/>
        </w:rPr>
      </w:pPr>
      <w:r w:rsidRPr="004C7CDA">
        <w:rPr>
          <w:lang w:val="sr-Latn-ME"/>
        </w:rPr>
        <w:t>5. FARMAKO</w:t>
      </w:r>
      <w:r w:rsidR="008B3ED5" w:rsidRPr="004C7CDA">
        <w:rPr>
          <w:lang w:val="sr-Latn-ME"/>
        </w:rPr>
        <w:t>L</w:t>
      </w:r>
      <w:r w:rsidRPr="004C7CDA">
        <w:rPr>
          <w:lang w:val="sr-Latn-ME"/>
        </w:rPr>
        <w:t>OŠKI PODACI</w:t>
      </w:r>
    </w:p>
    <w:p w14:paraId="3165D592" w14:textId="77777777" w:rsidR="002C3B40" w:rsidRPr="004C7CDA" w:rsidRDefault="002C3B40" w:rsidP="004C7CDA">
      <w:pPr>
        <w:widowControl w:val="0"/>
        <w:rPr>
          <w:b/>
          <w:bCs/>
          <w:szCs w:val="22"/>
          <w:lang w:val="sr-Latn-ME"/>
        </w:rPr>
      </w:pPr>
    </w:p>
    <w:p w14:paraId="62CFDC0C" w14:textId="620693ED" w:rsidR="00CE09F3" w:rsidRPr="004C7CDA" w:rsidRDefault="00CE09F3" w:rsidP="004C7CDA">
      <w:pPr>
        <w:widowControl w:val="0"/>
        <w:rPr>
          <w:b/>
          <w:bCs/>
          <w:szCs w:val="22"/>
          <w:lang w:val="sr-Latn-ME"/>
        </w:rPr>
      </w:pPr>
      <w:r w:rsidRPr="004C7CDA">
        <w:rPr>
          <w:b/>
          <w:bCs/>
          <w:szCs w:val="22"/>
          <w:lang w:val="sr-Latn-ME"/>
        </w:rPr>
        <w:t>5.1. Farmakodinamski podaci</w:t>
      </w:r>
    </w:p>
    <w:p w14:paraId="5B39962B" w14:textId="77777777" w:rsidR="00C307B8" w:rsidRPr="004C7CDA" w:rsidRDefault="00C307B8" w:rsidP="004C7CDA">
      <w:pPr>
        <w:widowControl w:val="0"/>
        <w:rPr>
          <w:b/>
          <w:bCs/>
          <w:szCs w:val="22"/>
          <w:lang w:val="sr-Latn-ME"/>
        </w:rPr>
      </w:pPr>
    </w:p>
    <w:p w14:paraId="6176F08B" w14:textId="0A8613A4" w:rsidR="00965575" w:rsidRPr="004C7CDA" w:rsidRDefault="00CE09F3" w:rsidP="004C7CDA">
      <w:pPr>
        <w:widowControl w:val="0"/>
        <w:rPr>
          <w:szCs w:val="22"/>
          <w:lang w:val="sr-Latn-ME"/>
        </w:rPr>
      </w:pPr>
      <w:r w:rsidRPr="004C7CDA">
        <w:rPr>
          <w:b/>
          <w:bCs/>
          <w:szCs w:val="22"/>
          <w:lang w:val="sr-Latn-ME"/>
        </w:rPr>
        <w:t>Farmakoterapijska grupa:</w:t>
      </w:r>
      <w:r w:rsidR="00134461" w:rsidRPr="004C7CDA">
        <w:rPr>
          <w:szCs w:val="22"/>
          <w:lang w:val="sr-Latn-ME"/>
        </w:rPr>
        <w:t xml:space="preserve"> </w:t>
      </w:r>
      <w:r w:rsidR="00C94196" w:rsidRPr="004C7CDA">
        <w:rPr>
          <w:szCs w:val="22"/>
          <w:lang w:val="sr-Latn-ME"/>
        </w:rPr>
        <w:t>Sredstva za zam</w:t>
      </w:r>
      <w:r w:rsidR="008B3ED5" w:rsidRPr="004C7CDA">
        <w:rPr>
          <w:szCs w:val="22"/>
          <w:lang w:val="sr-Latn-ME"/>
        </w:rPr>
        <w:t>j</w:t>
      </w:r>
      <w:r w:rsidR="00C94196" w:rsidRPr="004C7CDA">
        <w:rPr>
          <w:szCs w:val="22"/>
          <w:lang w:val="sr-Latn-ME"/>
        </w:rPr>
        <w:t>enu krvi i perfuzioni rastvori;</w:t>
      </w:r>
      <w:r w:rsidR="00C94196" w:rsidRPr="004C7CDA">
        <w:rPr>
          <w:b/>
          <w:szCs w:val="22"/>
          <w:lang w:val="sr-Latn-ME"/>
        </w:rPr>
        <w:t xml:space="preserve"> </w:t>
      </w:r>
      <w:r w:rsidR="00C94196" w:rsidRPr="004C7CDA">
        <w:rPr>
          <w:szCs w:val="22"/>
          <w:lang w:val="sr-Latn-ME"/>
        </w:rPr>
        <w:t>rastvori za osmotsku diurezu.</w:t>
      </w:r>
    </w:p>
    <w:p w14:paraId="5E98EA1F" w14:textId="13A2A3E9" w:rsidR="00C307B8" w:rsidRPr="004C7CDA" w:rsidRDefault="00C307B8" w:rsidP="004C7CDA">
      <w:pPr>
        <w:widowControl w:val="0"/>
        <w:rPr>
          <w:b/>
          <w:szCs w:val="22"/>
          <w:u w:val="single"/>
          <w:lang w:val="sr-Latn-ME"/>
        </w:rPr>
      </w:pPr>
      <w:r w:rsidRPr="004C7CDA">
        <w:rPr>
          <w:b/>
          <w:szCs w:val="22"/>
          <w:lang w:val="sr-Latn-ME"/>
        </w:rPr>
        <w:lastRenderedPageBreak/>
        <w:t xml:space="preserve">ATC kod: </w:t>
      </w:r>
      <w:r w:rsidRPr="004C7CDA">
        <w:rPr>
          <w:szCs w:val="22"/>
          <w:lang w:val="sr-Latn-ME"/>
        </w:rPr>
        <w:t>B05BC01</w:t>
      </w:r>
    </w:p>
    <w:p w14:paraId="2B5A8958" w14:textId="77777777" w:rsidR="00CE09F3" w:rsidRPr="004C7CDA" w:rsidRDefault="00CE09F3" w:rsidP="004C7CDA">
      <w:pPr>
        <w:widowControl w:val="0"/>
        <w:rPr>
          <w:szCs w:val="22"/>
          <w:lang w:val="sr-Latn-ME"/>
        </w:rPr>
      </w:pPr>
    </w:p>
    <w:p w14:paraId="67DB9C42" w14:textId="373101CD" w:rsidR="00C307B8" w:rsidRPr="004C7CDA" w:rsidRDefault="00C307B8" w:rsidP="004C7CDA">
      <w:pPr>
        <w:widowControl w:val="0"/>
        <w:rPr>
          <w:b/>
          <w:szCs w:val="22"/>
          <w:lang w:val="sr-Latn-ME"/>
        </w:rPr>
      </w:pPr>
      <w:r w:rsidRPr="004C7CDA">
        <w:rPr>
          <w:b/>
          <w:szCs w:val="22"/>
          <w:lang w:val="sr-Latn-ME"/>
        </w:rPr>
        <w:t>Mehanizam d</w:t>
      </w:r>
      <w:r w:rsidR="002E0469" w:rsidRPr="004C7CDA">
        <w:rPr>
          <w:b/>
          <w:szCs w:val="22"/>
          <w:lang w:val="sr-Latn-ME"/>
        </w:rPr>
        <w:t>j</w:t>
      </w:r>
      <w:r w:rsidRPr="004C7CDA">
        <w:rPr>
          <w:b/>
          <w:szCs w:val="22"/>
          <w:lang w:val="sr-Latn-ME"/>
        </w:rPr>
        <w:t>e</w:t>
      </w:r>
      <w:r w:rsidR="008B3ED5" w:rsidRPr="004C7CDA">
        <w:rPr>
          <w:b/>
          <w:szCs w:val="22"/>
          <w:lang w:val="sr-Latn-ME"/>
        </w:rPr>
        <w:t>l</w:t>
      </w:r>
      <w:r w:rsidRPr="004C7CDA">
        <w:rPr>
          <w:b/>
          <w:szCs w:val="22"/>
          <w:lang w:val="sr-Latn-ME"/>
        </w:rPr>
        <w:t>ovanja:</w:t>
      </w:r>
    </w:p>
    <w:p w14:paraId="6564616A" w14:textId="193E4638" w:rsidR="003576DA" w:rsidRPr="004C7CDA" w:rsidRDefault="003576DA" w:rsidP="004C7CDA">
      <w:pPr>
        <w:widowControl w:val="0"/>
        <w:rPr>
          <w:szCs w:val="22"/>
          <w:lang w:val="sr-Latn-ME"/>
        </w:rPr>
      </w:pPr>
      <w:r w:rsidRPr="004C7CDA">
        <w:rPr>
          <w:szCs w:val="22"/>
          <w:lang w:val="sr-Latn-ME"/>
        </w:rPr>
        <w:t>Manito</w:t>
      </w:r>
      <w:r w:rsidR="008B3ED5" w:rsidRPr="004C7CDA">
        <w:rPr>
          <w:szCs w:val="22"/>
          <w:lang w:val="sr-Latn-ME"/>
        </w:rPr>
        <w:t>l</w:t>
      </w:r>
      <w:r w:rsidRPr="004C7CDA">
        <w:rPr>
          <w:szCs w:val="22"/>
          <w:lang w:val="sr-Latn-ME"/>
        </w:rPr>
        <w:t xml:space="preserve"> je ug</w:t>
      </w:r>
      <w:r w:rsidR="008B3ED5" w:rsidRPr="004C7CDA">
        <w:rPr>
          <w:szCs w:val="22"/>
          <w:lang w:val="sr-Latn-ME"/>
        </w:rPr>
        <w:t>l</w:t>
      </w:r>
      <w:r w:rsidRPr="004C7CDA">
        <w:rPr>
          <w:szCs w:val="22"/>
          <w:lang w:val="sr-Latn-ME"/>
        </w:rPr>
        <w:t>jeni hidrat koji se raspoređuje samo po ekstrace</w:t>
      </w:r>
      <w:r w:rsidR="008B3ED5" w:rsidRPr="004C7CDA">
        <w:rPr>
          <w:szCs w:val="22"/>
          <w:lang w:val="sr-Latn-ME"/>
        </w:rPr>
        <w:t>l</w:t>
      </w:r>
      <w:r w:rsidRPr="004C7CDA">
        <w:rPr>
          <w:szCs w:val="22"/>
          <w:lang w:val="sr-Latn-ME"/>
        </w:rPr>
        <w:t>u</w:t>
      </w:r>
      <w:r w:rsidR="008B3ED5" w:rsidRPr="004C7CDA">
        <w:rPr>
          <w:szCs w:val="22"/>
          <w:lang w:val="sr-Latn-ME"/>
        </w:rPr>
        <w:t>l</w:t>
      </w:r>
      <w:r w:rsidRPr="004C7CDA">
        <w:rPr>
          <w:szCs w:val="22"/>
          <w:lang w:val="sr-Latn-ME"/>
        </w:rPr>
        <w:t>arnom prostoru. Pos</w:t>
      </w:r>
      <w:r w:rsidR="008B3ED5" w:rsidRPr="004C7CDA">
        <w:rPr>
          <w:szCs w:val="22"/>
          <w:lang w:val="sr-Latn-ME"/>
        </w:rPr>
        <w:t>j</w:t>
      </w:r>
      <w:r w:rsidRPr="004C7CDA">
        <w:rPr>
          <w:szCs w:val="22"/>
          <w:lang w:val="sr-Latn-ME"/>
        </w:rPr>
        <w:t>eduje osmotski efekat koji prouzrokuje pre</w:t>
      </w:r>
      <w:r w:rsidR="008B3ED5" w:rsidRPr="004C7CDA">
        <w:rPr>
          <w:szCs w:val="22"/>
          <w:lang w:val="sr-Latn-ME"/>
        </w:rPr>
        <w:t>l</w:t>
      </w:r>
      <w:r w:rsidRPr="004C7CDA">
        <w:rPr>
          <w:szCs w:val="22"/>
          <w:lang w:val="sr-Latn-ME"/>
        </w:rPr>
        <w:t>azak tečnosti iz intrace</w:t>
      </w:r>
      <w:r w:rsidR="008B3ED5" w:rsidRPr="004C7CDA">
        <w:rPr>
          <w:szCs w:val="22"/>
          <w:lang w:val="sr-Latn-ME"/>
        </w:rPr>
        <w:t>l</w:t>
      </w:r>
      <w:r w:rsidRPr="004C7CDA">
        <w:rPr>
          <w:szCs w:val="22"/>
          <w:lang w:val="sr-Latn-ME"/>
        </w:rPr>
        <w:t>u</w:t>
      </w:r>
      <w:r w:rsidR="008B3ED5" w:rsidRPr="004C7CDA">
        <w:rPr>
          <w:szCs w:val="22"/>
          <w:lang w:val="sr-Latn-ME"/>
        </w:rPr>
        <w:t>l</w:t>
      </w:r>
      <w:r w:rsidRPr="004C7CDA">
        <w:rPr>
          <w:szCs w:val="22"/>
          <w:lang w:val="sr-Latn-ME"/>
        </w:rPr>
        <w:t>arnog u ekstrace</w:t>
      </w:r>
      <w:r w:rsidR="008B3ED5" w:rsidRPr="004C7CDA">
        <w:rPr>
          <w:szCs w:val="22"/>
          <w:lang w:val="sr-Latn-ME"/>
        </w:rPr>
        <w:t>l</w:t>
      </w:r>
      <w:r w:rsidRPr="004C7CDA">
        <w:rPr>
          <w:szCs w:val="22"/>
          <w:lang w:val="sr-Latn-ME"/>
        </w:rPr>
        <w:t>u</w:t>
      </w:r>
      <w:r w:rsidR="008B3ED5" w:rsidRPr="004C7CDA">
        <w:rPr>
          <w:szCs w:val="22"/>
          <w:lang w:val="sr-Latn-ME"/>
        </w:rPr>
        <w:t>l</w:t>
      </w:r>
      <w:r w:rsidRPr="004C7CDA">
        <w:rPr>
          <w:szCs w:val="22"/>
          <w:lang w:val="sr-Latn-ME"/>
        </w:rPr>
        <w:t xml:space="preserve">arni prostor. </w:t>
      </w:r>
    </w:p>
    <w:p w14:paraId="56FA0795" w14:textId="77777777" w:rsidR="003576DA" w:rsidRPr="004C7CDA" w:rsidRDefault="003576DA" w:rsidP="004C7CDA">
      <w:pPr>
        <w:widowControl w:val="0"/>
        <w:rPr>
          <w:szCs w:val="22"/>
          <w:lang w:val="sr-Latn-ME"/>
        </w:rPr>
      </w:pPr>
    </w:p>
    <w:p w14:paraId="5101C46E" w14:textId="28348C06" w:rsidR="003576DA" w:rsidRPr="004C7CDA" w:rsidRDefault="003576DA" w:rsidP="004C7CDA">
      <w:pPr>
        <w:widowControl w:val="0"/>
        <w:rPr>
          <w:szCs w:val="22"/>
          <w:lang w:val="sr-Latn-ME"/>
        </w:rPr>
      </w:pPr>
      <w:r w:rsidRPr="004C7CDA">
        <w:rPr>
          <w:szCs w:val="22"/>
          <w:lang w:val="sr-Latn-ME"/>
        </w:rPr>
        <w:t>Manito</w:t>
      </w:r>
      <w:r w:rsidR="008B3ED5" w:rsidRPr="004C7CDA">
        <w:rPr>
          <w:szCs w:val="22"/>
          <w:lang w:val="sr-Latn-ME"/>
        </w:rPr>
        <w:t>l</w:t>
      </w:r>
      <w:r w:rsidRPr="004C7CDA">
        <w:rPr>
          <w:szCs w:val="22"/>
          <w:lang w:val="sr-Latn-ME"/>
        </w:rPr>
        <w:t xml:space="preserve"> se s</w:t>
      </w:r>
      <w:r w:rsidR="008B3ED5" w:rsidRPr="004C7CDA">
        <w:rPr>
          <w:szCs w:val="22"/>
          <w:lang w:val="sr-Latn-ME"/>
        </w:rPr>
        <w:t>l</w:t>
      </w:r>
      <w:r w:rsidRPr="004C7CDA">
        <w:rPr>
          <w:szCs w:val="22"/>
          <w:lang w:val="sr-Latn-ME"/>
        </w:rPr>
        <w:t>obodno fi</w:t>
      </w:r>
      <w:r w:rsidR="008B3ED5" w:rsidRPr="004C7CDA">
        <w:rPr>
          <w:szCs w:val="22"/>
          <w:lang w:val="sr-Latn-ME"/>
        </w:rPr>
        <w:t>l</w:t>
      </w:r>
      <w:r w:rsidRPr="004C7CDA">
        <w:rPr>
          <w:szCs w:val="22"/>
          <w:lang w:val="sr-Latn-ME"/>
        </w:rPr>
        <w:t>trira u bubrežnim g</w:t>
      </w:r>
      <w:r w:rsidR="008B3ED5" w:rsidRPr="004C7CDA">
        <w:rPr>
          <w:szCs w:val="22"/>
          <w:lang w:val="sr-Latn-ME"/>
        </w:rPr>
        <w:t>l</w:t>
      </w:r>
      <w:r w:rsidRPr="004C7CDA">
        <w:rPr>
          <w:szCs w:val="22"/>
          <w:lang w:val="sr-Latn-ME"/>
        </w:rPr>
        <w:t>omeru</w:t>
      </w:r>
      <w:r w:rsidR="008B3ED5" w:rsidRPr="004C7CDA">
        <w:rPr>
          <w:szCs w:val="22"/>
          <w:lang w:val="sr-Latn-ME"/>
        </w:rPr>
        <w:t>l</w:t>
      </w:r>
      <w:r w:rsidRPr="004C7CDA">
        <w:rPr>
          <w:szCs w:val="22"/>
          <w:lang w:val="sr-Latn-ME"/>
        </w:rPr>
        <w:t>ima i manje od 10% se reapsorbuje nazad iz bubrežnih tubu</w:t>
      </w:r>
      <w:r w:rsidR="008B3ED5" w:rsidRPr="004C7CDA">
        <w:rPr>
          <w:szCs w:val="22"/>
          <w:lang w:val="sr-Latn-ME"/>
        </w:rPr>
        <w:t>l</w:t>
      </w:r>
      <w:r w:rsidRPr="004C7CDA">
        <w:rPr>
          <w:szCs w:val="22"/>
          <w:lang w:val="sr-Latn-ME"/>
        </w:rPr>
        <w:t>a. Zadržan u bubrežnim tubu</w:t>
      </w:r>
      <w:r w:rsidR="008B3ED5" w:rsidRPr="004C7CDA">
        <w:rPr>
          <w:szCs w:val="22"/>
          <w:lang w:val="sr-Latn-ME"/>
        </w:rPr>
        <w:t>l</w:t>
      </w:r>
      <w:r w:rsidRPr="004C7CDA">
        <w:rPr>
          <w:szCs w:val="22"/>
          <w:lang w:val="sr-Latn-ME"/>
        </w:rPr>
        <w:t>ima, manito</w:t>
      </w:r>
      <w:r w:rsidR="008B3ED5" w:rsidRPr="004C7CDA">
        <w:rPr>
          <w:szCs w:val="22"/>
          <w:lang w:val="sr-Latn-ME"/>
        </w:rPr>
        <w:t>l</w:t>
      </w:r>
      <w:r w:rsidRPr="004C7CDA">
        <w:rPr>
          <w:szCs w:val="22"/>
          <w:lang w:val="sr-Latn-ME"/>
        </w:rPr>
        <w:t xml:space="preserve"> ispo</w:t>
      </w:r>
      <w:r w:rsidR="008B3ED5" w:rsidRPr="004C7CDA">
        <w:rPr>
          <w:szCs w:val="22"/>
          <w:lang w:val="sr-Latn-ME"/>
        </w:rPr>
        <w:t>l</w:t>
      </w:r>
      <w:r w:rsidRPr="004C7CDA">
        <w:rPr>
          <w:szCs w:val="22"/>
          <w:lang w:val="sr-Latn-ME"/>
        </w:rPr>
        <w:t>java svoje osmotsko dejstvo, čime sprečava reapsorpciju tečnosti iz g</w:t>
      </w:r>
      <w:r w:rsidR="008B3ED5" w:rsidRPr="004C7CDA">
        <w:rPr>
          <w:szCs w:val="22"/>
          <w:lang w:val="sr-Latn-ME"/>
        </w:rPr>
        <w:t>l</w:t>
      </w:r>
      <w:r w:rsidRPr="004C7CDA">
        <w:rPr>
          <w:szCs w:val="22"/>
          <w:lang w:val="sr-Latn-ME"/>
        </w:rPr>
        <w:t>omeru</w:t>
      </w:r>
      <w:r w:rsidR="008B3ED5" w:rsidRPr="004C7CDA">
        <w:rPr>
          <w:szCs w:val="22"/>
          <w:lang w:val="sr-Latn-ME"/>
        </w:rPr>
        <w:t>l</w:t>
      </w:r>
      <w:r w:rsidRPr="004C7CDA">
        <w:rPr>
          <w:szCs w:val="22"/>
          <w:lang w:val="sr-Latn-ME"/>
        </w:rPr>
        <w:t>arnog fi</w:t>
      </w:r>
      <w:r w:rsidR="008B3ED5" w:rsidRPr="004C7CDA">
        <w:rPr>
          <w:szCs w:val="22"/>
          <w:lang w:val="sr-Latn-ME"/>
        </w:rPr>
        <w:t>l</w:t>
      </w:r>
      <w:r w:rsidRPr="004C7CDA">
        <w:rPr>
          <w:szCs w:val="22"/>
          <w:lang w:val="sr-Latn-ME"/>
        </w:rPr>
        <w:t>trata i izaziva diurezu. Na taj način podstiče protok urina kod o</w:t>
      </w:r>
      <w:r w:rsidR="008B3ED5" w:rsidRPr="004C7CDA">
        <w:rPr>
          <w:szCs w:val="22"/>
          <w:lang w:val="sr-Latn-ME"/>
        </w:rPr>
        <w:t>l</w:t>
      </w:r>
      <w:r w:rsidRPr="004C7CDA">
        <w:rPr>
          <w:szCs w:val="22"/>
          <w:lang w:val="sr-Latn-ME"/>
        </w:rPr>
        <w:t>igurije/anurije i</w:t>
      </w:r>
      <w:r w:rsidR="008B3ED5" w:rsidRPr="004C7CDA">
        <w:rPr>
          <w:szCs w:val="22"/>
          <w:lang w:val="sr-Latn-ME"/>
        </w:rPr>
        <w:t>l</w:t>
      </w:r>
      <w:r w:rsidRPr="004C7CDA">
        <w:rPr>
          <w:szCs w:val="22"/>
          <w:lang w:val="sr-Latn-ME"/>
        </w:rPr>
        <w:t>i u situacijama gd</w:t>
      </w:r>
      <w:r w:rsidR="00965575" w:rsidRPr="004C7CDA">
        <w:rPr>
          <w:szCs w:val="22"/>
          <w:lang w:val="sr-Latn-ME"/>
        </w:rPr>
        <w:t>j</w:t>
      </w:r>
      <w:r w:rsidRPr="004C7CDA">
        <w:rPr>
          <w:szCs w:val="22"/>
          <w:lang w:val="sr-Latn-ME"/>
        </w:rPr>
        <w:t>e kod pacijenta postoji rizik od nastanka akutne insuficijencije bubrega. Manito</w:t>
      </w:r>
      <w:r w:rsidR="008B3ED5" w:rsidRPr="004C7CDA">
        <w:rPr>
          <w:szCs w:val="22"/>
          <w:lang w:val="sr-Latn-ME"/>
        </w:rPr>
        <w:t>l</w:t>
      </w:r>
      <w:r w:rsidRPr="004C7CDA">
        <w:rPr>
          <w:szCs w:val="22"/>
          <w:lang w:val="sr-Latn-ME"/>
        </w:rPr>
        <w:t xml:space="preserve"> takođe povećava iz</w:t>
      </w:r>
      <w:r w:rsidR="008B3ED5" w:rsidRPr="004C7CDA">
        <w:rPr>
          <w:szCs w:val="22"/>
          <w:lang w:val="sr-Latn-ME"/>
        </w:rPr>
        <w:t>l</w:t>
      </w:r>
      <w:r w:rsidRPr="004C7CDA">
        <w:rPr>
          <w:szCs w:val="22"/>
          <w:lang w:val="sr-Latn-ME"/>
        </w:rPr>
        <w:t>učivanje e</w:t>
      </w:r>
      <w:r w:rsidR="008B3ED5" w:rsidRPr="004C7CDA">
        <w:rPr>
          <w:szCs w:val="22"/>
          <w:lang w:val="sr-Latn-ME"/>
        </w:rPr>
        <w:t>l</w:t>
      </w:r>
      <w:r w:rsidRPr="004C7CDA">
        <w:rPr>
          <w:szCs w:val="22"/>
          <w:lang w:val="sr-Latn-ME"/>
        </w:rPr>
        <w:t>ektro</w:t>
      </w:r>
      <w:r w:rsidR="008B3ED5" w:rsidRPr="004C7CDA">
        <w:rPr>
          <w:szCs w:val="22"/>
          <w:lang w:val="sr-Latn-ME"/>
        </w:rPr>
        <w:t>l</w:t>
      </w:r>
      <w:r w:rsidRPr="004C7CDA">
        <w:rPr>
          <w:szCs w:val="22"/>
          <w:lang w:val="sr-Latn-ME"/>
        </w:rPr>
        <w:t>ita, posebno natrijuma, ka</w:t>
      </w:r>
      <w:r w:rsidR="008B3ED5" w:rsidRPr="004C7CDA">
        <w:rPr>
          <w:szCs w:val="22"/>
          <w:lang w:val="sr-Latn-ME"/>
        </w:rPr>
        <w:t>l</w:t>
      </w:r>
      <w:r w:rsidRPr="004C7CDA">
        <w:rPr>
          <w:szCs w:val="22"/>
          <w:lang w:val="sr-Latn-ME"/>
        </w:rPr>
        <w:t>ijuma i h</w:t>
      </w:r>
      <w:r w:rsidR="008B3ED5" w:rsidRPr="004C7CDA">
        <w:rPr>
          <w:szCs w:val="22"/>
          <w:lang w:val="sr-Latn-ME"/>
        </w:rPr>
        <w:t>l</w:t>
      </w:r>
      <w:r w:rsidRPr="004C7CDA">
        <w:rPr>
          <w:szCs w:val="22"/>
          <w:lang w:val="sr-Latn-ME"/>
        </w:rPr>
        <w:t>orida. Povećano je i iz</w:t>
      </w:r>
      <w:r w:rsidR="008B3ED5" w:rsidRPr="004C7CDA">
        <w:rPr>
          <w:szCs w:val="22"/>
          <w:lang w:val="sr-Latn-ME"/>
        </w:rPr>
        <w:t>l</w:t>
      </w:r>
      <w:r w:rsidRPr="004C7CDA">
        <w:rPr>
          <w:szCs w:val="22"/>
          <w:lang w:val="sr-Latn-ME"/>
        </w:rPr>
        <w:t>učivanje toksičnih supstanci koje se inače iz</w:t>
      </w:r>
      <w:r w:rsidR="008B3ED5" w:rsidRPr="004C7CDA">
        <w:rPr>
          <w:szCs w:val="22"/>
          <w:lang w:val="sr-Latn-ME"/>
        </w:rPr>
        <w:t>l</w:t>
      </w:r>
      <w:r w:rsidRPr="004C7CDA">
        <w:rPr>
          <w:szCs w:val="22"/>
          <w:lang w:val="sr-Latn-ME"/>
        </w:rPr>
        <w:t>učuju putem bubrega, kao što su aceti</w:t>
      </w:r>
      <w:r w:rsidR="008B3ED5" w:rsidRPr="004C7CDA">
        <w:rPr>
          <w:szCs w:val="22"/>
          <w:lang w:val="sr-Latn-ME"/>
        </w:rPr>
        <w:t>l</w:t>
      </w:r>
      <w:r w:rsidRPr="004C7CDA">
        <w:rPr>
          <w:szCs w:val="22"/>
          <w:lang w:val="sr-Latn-ME"/>
        </w:rPr>
        <w:t>sa</w:t>
      </w:r>
      <w:r w:rsidR="008B3ED5" w:rsidRPr="004C7CDA">
        <w:rPr>
          <w:szCs w:val="22"/>
          <w:lang w:val="sr-Latn-ME"/>
        </w:rPr>
        <w:t>l</w:t>
      </w:r>
      <w:r w:rsidRPr="004C7CDA">
        <w:rPr>
          <w:szCs w:val="22"/>
          <w:lang w:val="sr-Latn-ME"/>
        </w:rPr>
        <w:t>ici</w:t>
      </w:r>
      <w:r w:rsidR="008B3ED5" w:rsidRPr="004C7CDA">
        <w:rPr>
          <w:szCs w:val="22"/>
          <w:lang w:val="sr-Latn-ME"/>
        </w:rPr>
        <w:t>l</w:t>
      </w:r>
      <w:r w:rsidRPr="004C7CDA">
        <w:rPr>
          <w:szCs w:val="22"/>
          <w:lang w:val="sr-Latn-ME"/>
        </w:rPr>
        <w:t>na kise</w:t>
      </w:r>
      <w:r w:rsidR="008B3ED5" w:rsidRPr="004C7CDA">
        <w:rPr>
          <w:szCs w:val="22"/>
          <w:lang w:val="sr-Latn-ME"/>
        </w:rPr>
        <w:t>l</w:t>
      </w:r>
      <w:r w:rsidRPr="004C7CDA">
        <w:rPr>
          <w:szCs w:val="22"/>
          <w:lang w:val="sr-Latn-ME"/>
        </w:rPr>
        <w:t xml:space="preserve">ina i barbiturati. </w:t>
      </w:r>
    </w:p>
    <w:p w14:paraId="4BD99FFA" w14:textId="77777777" w:rsidR="003576DA" w:rsidRPr="004C7CDA" w:rsidRDefault="003576DA" w:rsidP="004C7CDA">
      <w:pPr>
        <w:widowControl w:val="0"/>
        <w:rPr>
          <w:szCs w:val="22"/>
          <w:lang w:val="sr-Latn-ME"/>
        </w:rPr>
      </w:pPr>
    </w:p>
    <w:p w14:paraId="76DB28DC" w14:textId="0B9C2495" w:rsidR="003576DA" w:rsidRPr="004C7CDA" w:rsidRDefault="003576DA" w:rsidP="004C7CDA">
      <w:pPr>
        <w:widowControl w:val="0"/>
        <w:rPr>
          <w:szCs w:val="22"/>
          <w:lang w:val="sr-Latn-ME"/>
        </w:rPr>
      </w:pPr>
      <w:r w:rsidRPr="004C7CDA">
        <w:rPr>
          <w:szCs w:val="22"/>
          <w:lang w:val="sr-Latn-ME"/>
        </w:rPr>
        <w:t>Manito</w:t>
      </w:r>
      <w:r w:rsidR="008B3ED5" w:rsidRPr="004C7CDA">
        <w:rPr>
          <w:szCs w:val="22"/>
          <w:lang w:val="sr-Latn-ME"/>
        </w:rPr>
        <w:t>l</w:t>
      </w:r>
      <w:r w:rsidRPr="004C7CDA">
        <w:rPr>
          <w:szCs w:val="22"/>
          <w:lang w:val="sr-Latn-ME"/>
        </w:rPr>
        <w:t xml:space="preserve"> pod norma</w:t>
      </w:r>
      <w:r w:rsidR="008B3ED5" w:rsidRPr="004C7CDA">
        <w:rPr>
          <w:szCs w:val="22"/>
          <w:lang w:val="sr-Latn-ME"/>
        </w:rPr>
        <w:t>l</w:t>
      </w:r>
      <w:r w:rsidRPr="004C7CDA">
        <w:rPr>
          <w:szCs w:val="22"/>
          <w:lang w:val="sr-Latn-ME"/>
        </w:rPr>
        <w:t>nim oko</w:t>
      </w:r>
      <w:r w:rsidR="008B3ED5" w:rsidRPr="004C7CDA">
        <w:rPr>
          <w:szCs w:val="22"/>
          <w:lang w:val="sr-Latn-ME"/>
        </w:rPr>
        <w:t>l</w:t>
      </w:r>
      <w:r w:rsidRPr="004C7CDA">
        <w:rPr>
          <w:szCs w:val="22"/>
          <w:lang w:val="sr-Latn-ME"/>
        </w:rPr>
        <w:t>nostima ne pro</w:t>
      </w:r>
      <w:r w:rsidR="008B3ED5" w:rsidRPr="004C7CDA">
        <w:rPr>
          <w:szCs w:val="22"/>
          <w:lang w:val="sr-Latn-ME"/>
        </w:rPr>
        <w:t>l</w:t>
      </w:r>
      <w:r w:rsidRPr="004C7CDA">
        <w:rPr>
          <w:szCs w:val="22"/>
          <w:lang w:val="sr-Latn-ME"/>
        </w:rPr>
        <w:t>azi kroz krvno-moždanu barijeru. Zadržan u p</w:t>
      </w:r>
      <w:r w:rsidR="008B3ED5" w:rsidRPr="004C7CDA">
        <w:rPr>
          <w:szCs w:val="22"/>
          <w:lang w:val="sr-Latn-ME"/>
        </w:rPr>
        <w:t>l</w:t>
      </w:r>
      <w:r w:rsidRPr="004C7CDA">
        <w:rPr>
          <w:szCs w:val="22"/>
          <w:lang w:val="sr-Latn-ME"/>
        </w:rPr>
        <w:t>azmi, manito</w:t>
      </w:r>
      <w:r w:rsidR="008B3ED5" w:rsidRPr="004C7CDA">
        <w:rPr>
          <w:szCs w:val="22"/>
          <w:lang w:val="sr-Latn-ME"/>
        </w:rPr>
        <w:t>l</w:t>
      </w:r>
      <w:r w:rsidRPr="004C7CDA">
        <w:rPr>
          <w:szCs w:val="22"/>
          <w:lang w:val="sr-Latn-ME"/>
        </w:rPr>
        <w:t xml:space="preserve"> stvara osmotski pritisak, uzrokujući pov</w:t>
      </w:r>
      <w:r w:rsidR="008B3ED5" w:rsidRPr="004C7CDA">
        <w:rPr>
          <w:szCs w:val="22"/>
          <w:lang w:val="sr-Latn-ME"/>
        </w:rPr>
        <w:t>l</w:t>
      </w:r>
      <w:r w:rsidRPr="004C7CDA">
        <w:rPr>
          <w:szCs w:val="22"/>
          <w:lang w:val="sr-Latn-ME"/>
        </w:rPr>
        <w:t>ačenje tečnosti iz moždanog tkiva čime smanjuje zapreminu mozga i snižava intrakranija</w:t>
      </w:r>
      <w:r w:rsidR="008B3ED5" w:rsidRPr="004C7CDA">
        <w:rPr>
          <w:szCs w:val="22"/>
          <w:lang w:val="sr-Latn-ME"/>
        </w:rPr>
        <w:t>l</w:t>
      </w:r>
      <w:r w:rsidRPr="004C7CDA">
        <w:rPr>
          <w:szCs w:val="22"/>
          <w:lang w:val="sr-Latn-ME"/>
        </w:rPr>
        <w:t>ni pritisak.</w:t>
      </w:r>
    </w:p>
    <w:p w14:paraId="50BB8777" w14:textId="77777777" w:rsidR="003576DA" w:rsidRPr="004C7CDA" w:rsidRDefault="003576DA" w:rsidP="004C7CDA">
      <w:pPr>
        <w:widowControl w:val="0"/>
        <w:rPr>
          <w:szCs w:val="22"/>
          <w:lang w:val="sr-Latn-ME"/>
        </w:rPr>
      </w:pPr>
    </w:p>
    <w:p w14:paraId="4548D0B3" w14:textId="563A7594" w:rsidR="003576DA" w:rsidRPr="004C7CDA" w:rsidRDefault="003576DA" w:rsidP="004C7CDA">
      <w:pPr>
        <w:widowControl w:val="0"/>
        <w:rPr>
          <w:szCs w:val="22"/>
          <w:lang w:val="sr-Latn-ME"/>
        </w:rPr>
      </w:pPr>
      <w:r w:rsidRPr="004C7CDA">
        <w:rPr>
          <w:szCs w:val="22"/>
          <w:lang w:val="sr-Latn-ME"/>
        </w:rPr>
        <w:t>Manito</w:t>
      </w:r>
      <w:r w:rsidR="008B3ED5" w:rsidRPr="004C7CDA">
        <w:rPr>
          <w:szCs w:val="22"/>
          <w:lang w:val="sr-Latn-ME"/>
        </w:rPr>
        <w:t>l</w:t>
      </w:r>
      <w:r w:rsidRPr="004C7CDA">
        <w:rPr>
          <w:szCs w:val="22"/>
          <w:lang w:val="sr-Latn-ME"/>
        </w:rPr>
        <w:t xml:space="preserve"> ne prodire u oko. Manito</w:t>
      </w:r>
      <w:r w:rsidR="008B3ED5" w:rsidRPr="004C7CDA">
        <w:rPr>
          <w:szCs w:val="22"/>
          <w:lang w:val="sr-Latn-ME"/>
        </w:rPr>
        <w:t>l</w:t>
      </w:r>
      <w:r w:rsidRPr="004C7CDA">
        <w:rPr>
          <w:szCs w:val="22"/>
          <w:lang w:val="sr-Latn-ME"/>
        </w:rPr>
        <w:t xml:space="preserve"> podstiče iz</w:t>
      </w:r>
      <w:r w:rsidR="008B3ED5" w:rsidRPr="004C7CDA">
        <w:rPr>
          <w:szCs w:val="22"/>
          <w:lang w:val="sr-Latn-ME"/>
        </w:rPr>
        <w:t>l</w:t>
      </w:r>
      <w:r w:rsidRPr="004C7CDA">
        <w:rPr>
          <w:szCs w:val="22"/>
          <w:lang w:val="sr-Latn-ME"/>
        </w:rPr>
        <w:t>učivanje očne vodice i tako snižava intraoku</w:t>
      </w:r>
      <w:r w:rsidR="008B3ED5" w:rsidRPr="004C7CDA">
        <w:rPr>
          <w:szCs w:val="22"/>
          <w:lang w:val="sr-Latn-ME"/>
        </w:rPr>
        <w:t>l</w:t>
      </w:r>
      <w:r w:rsidRPr="004C7CDA">
        <w:rPr>
          <w:szCs w:val="22"/>
          <w:lang w:val="sr-Latn-ME"/>
        </w:rPr>
        <w:t xml:space="preserve">arni pritisak. </w:t>
      </w:r>
    </w:p>
    <w:p w14:paraId="6B346E15" w14:textId="77777777" w:rsidR="00CE09F3" w:rsidRPr="004C7CDA" w:rsidRDefault="00CE09F3" w:rsidP="004C7CDA">
      <w:pPr>
        <w:widowControl w:val="0"/>
        <w:rPr>
          <w:szCs w:val="22"/>
          <w:lang w:val="sr-Latn-ME"/>
        </w:rPr>
      </w:pPr>
    </w:p>
    <w:p w14:paraId="556FFB29" w14:textId="77777777" w:rsidR="00CE09F3" w:rsidRPr="004C7CDA" w:rsidRDefault="00CE09F3" w:rsidP="004C7CDA">
      <w:pPr>
        <w:widowControl w:val="0"/>
        <w:rPr>
          <w:b/>
          <w:bCs/>
          <w:szCs w:val="22"/>
          <w:lang w:val="sr-Latn-ME"/>
        </w:rPr>
      </w:pPr>
      <w:r w:rsidRPr="004C7CDA">
        <w:rPr>
          <w:b/>
          <w:bCs/>
          <w:szCs w:val="22"/>
          <w:lang w:val="sr-Latn-ME"/>
        </w:rPr>
        <w:t>5.2. Farmakokinetički podaci</w:t>
      </w:r>
    </w:p>
    <w:p w14:paraId="44034483" w14:textId="77777777" w:rsidR="00134461" w:rsidRPr="004C7CDA" w:rsidRDefault="00134461" w:rsidP="004C7CDA">
      <w:pPr>
        <w:widowControl w:val="0"/>
        <w:rPr>
          <w:b/>
          <w:bCs/>
          <w:szCs w:val="22"/>
          <w:lang w:val="sr-Latn-ME"/>
        </w:rPr>
      </w:pPr>
    </w:p>
    <w:p w14:paraId="0FEBBC90" w14:textId="48763C5F" w:rsidR="000847FA" w:rsidRPr="004C7CDA" w:rsidRDefault="000847FA" w:rsidP="004C7CDA">
      <w:pPr>
        <w:widowControl w:val="0"/>
        <w:rPr>
          <w:szCs w:val="22"/>
          <w:lang w:val="sr-Latn-ME"/>
        </w:rPr>
      </w:pPr>
      <w:r w:rsidRPr="004C7CDA">
        <w:rPr>
          <w:szCs w:val="22"/>
          <w:lang w:val="sr-Latn-ME"/>
        </w:rPr>
        <w:t>Kada se prim</w:t>
      </w:r>
      <w:r w:rsidR="00B8575D" w:rsidRPr="004C7CDA">
        <w:rPr>
          <w:szCs w:val="22"/>
          <w:lang w:val="sr-Latn-ME"/>
        </w:rPr>
        <w:t>i</w:t>
      </w:r>
      <w:r w:rsidR="0091033F" w:rsidRPr="004C7CDA">
        <w:rPr>
          <w:szCs w:val="22"/>
          <w:lang w:val="sr-Latn-ME"/>
        </w:rPr>
        <w:t>j</w:t>
      </w:r>
      <w:r w:rsidRPr="004C7CDA">
        <w:rPr>
          <w:szCs w:val="22"/>
          <w:lang w:val="sr-Latn-ME"/>
        </w:rPr>
        <w:t>eni intravenski, manito</w:t>
      </w:r>
      <w:r w:rsidR="008B3ED5" w:rsidRPr="004C7CDA">
        <w:rPr>
          <w:szCs w:val="22"/>
          <w:lang w:val="sr-Latn-ME"/>
        </w:rPr>
        <w:t>l</w:t>
      </w:r>
      <w:r w:rsidRPr="004C7CDA">
        <w:rPr>
          <w:szCs w:val="22"/>
          <w:lang w:val="sr-Latn-ME"/>
        </w:rPr>
        <w:t xml:space="preserve"> se u najvećoj m</w:t>
      </w:r>
      <w:r w:rsidR="00B8575D" w:rsidRPr="004C7CDA">
        <w:rPr>
          <w:szCs w:val="22"/>
          <w:lang w:val="sr-Latn-ME"/>
        </w:rPr>
        <w:t>j</w:t>
      </w:r>
      <w:r w:rsidRPr="004C7CDA">
        <w:rPr>
          <w:szCs w:val="22"/>
          <w:lang w:val="sr-Latn-ME"/>
        </w:rPr>
        <w:t>eri e</w:t>
      </w:r>
      <w:r w:rsidR="008B3ED5" w:rsidRPr="004C7CDA">
        <w:rPr>
          <w:szCs w:val="22"/>
          <w:lang w:val="sr-Latn-ME"/>
        </w:rPr>
        <w:t>l</w:t>
      </w:r>
      <w:r w:rsidRPr="004C7CDA">
        <w:rPr>
          <w:szCs w:val="22"/>
          <w:lang w:val="sr-Latn-ME"/>
        </w:rPr>
        <w:t>iminiše preko g</w:t>
      </w:r>
      <w:r w:rsidR="008B3ED5" w:rsidRPr="004C7CDA">
        <w:rPr>
          <w:szCs w:val="22"/>
          <w:lang w:val="sr-Latn-ME"/>
        </w:rPr>
        <w:t>l</w:t>
      </w:r>
      <w:r w:rsidRPr="004C7CDA">
        <w:rPr>
          <w:szCs w:val="22"/>
          <w:lang w:val="sr-Latn-ME"/>
        </w:rPr>
        <w:t>omeru</w:t>
      </w:r>
      <w:r w:rsidR="008B3ED5" w:rsidRPr="004C7CDA">
        <w:rPr>
          <w:szCs w:val="22"/>
          <w:lang w:val="sr-Latn-ME"/>
        </w:rPr>
        <w:t>l</w:t>
      </w:r>
      <w:r w:rsidRPr="004C7CDA">
        <w:rPr>
          <w:szCs w:val="22"/>
          <w:lang w:val="sr-Latn-ME"/>
        </w:rPr>
        <w:t>a, nemetabo</w:t>
      </w:r>
      <w:r w:rsidR="008B3ED5" w:rsidRPr="004C7CDA">
        <w:rPr>
          <w:szCs w:val="22"/>
          <w:lang w:val="sr-Latn-ME"/>
        </w:rPr>
        <w:t>l</w:t>
      </w:r>
      <w:r w:rsidRPr="004C7CDA">
        <w:rPr>
          <w:szCs w:val="22"/>
          <w:lang w:val="sr-Latn-ME"/>
        </w:rPr>
        <w:t>isan. S</w:t>
      </w:r>
      <w:r w:rsidR="008B3ED5" w:rsidRPr="004C7CDA">
        <w:rPr>
          <w:szCs w:val="22"/>
          <w:lang w:val="sr-Latn-ME"/>
        </w:rPr>
        <w:t>l</w:t>
      </w:r>
      <w:r w:rsidRPr="004C7CDA">
        <w:rPr>
          <w:szCs w:val="22"/>
          <w:lang w:val="sr-Latn-ME"/>
        </w:rPr>
        <w:t>obodno se fi</w:t>
      </w:r>
      <w:r w:rsidR="008B3ED5" w:rsidRPr="004C7CDA">
        <w:rPr>
          <w:szCs w:val="22"/>
          <w:lang w:val="sr-Latn-ME"/>
        </w:rPr>
        <w:t>l</w:t>
      </w:r>
      <w:r w:rsidRPr="004C7CDA">
        <w:rPr>
          <w:szCs w:val="22"/>
          <w:lang w:val="sr-Latn-ME"/>
        </w:rPr>
        <w:t>trira u g</w:t>
      </w:r>
      <w:r w:rsidR="008B3ED5" w:rsidRPr="004C7CDA">
        <w:rPr>
          <w:szCs w:val="22"/>
          <w:lang w:val="sr-Latn-ME"/>
        </w:rPr>
        <w:t>l</w:t>
      </w:r>
      <w:r w:rsidRPr="004C7CDA">
        <w:rPr>
          <w:szCs w:val="22"/>
          <w:lang w:val="sr-Latn-ME"/>
        </w:rPr>
        <w:t>omeru</w:t>
      </w:r>
      <w:r w:rsidR="008B3ED5" w:rsidRPr="004C7CDA">
        <w:rPr>
          <w:szCs w:val="22"/>
          <w:lang w:val="sr-Latn-ME"/>
        </w:rPr>
        <w:t>l</w:t>
      </w:r>
      <w:r w:rsidRPr="004C7CDA">
        <w:rPr>
          <w:szCs w:val="22"/>
          <w:lang w:val="sr-Latn-ME"/>
        </w:rPr>
        <w:t>ima, sa manje od 10% tubu</w:t>
      </w:r>
      <w:r w:rsidR="008B3ED5" w:rsidRPr="004C7CDA">
        <w:rPr>
          <w:szCs w:val="22"/>
          <w:lang w:val="sr-Latn-ME"/>
        </w:rPr>
        <w:t>l</w:t>
      </w:r>
      <w:r w:rsidRPr="004C7CDA">
        <w:rPr>
          <w:szCs w:val="22"/>
          <w:lang w:val="sr-Latn-ME"/>
        </w:rPr>
        <w:t>arne reapsorpcije, a tubu</w:t>
      </w:r>
      <w:r w:rsidR="008B3ED5" w:rsidRPr="004C7CDA">
        <w:rPr>
          <w:szCs w:val="22"/>
          <w:lang w:val="sr-Latn-ME"/>
        </w:rPr>
        <w:t>l</w:t>
      </w:r>
      <w:r w:rsidRPr="004C7CDA">
        <w:rPr>
          <w:szCs w:val="22"/>
          <w:lang w:val="sr-Latn-ME"/>
        </w:rPr>
        <w:t>arne će</w:t>
      </w:r>
      <w:r w:rsidR="008B3ED5" w:rsidRPr="004C7CDA">
        <w:rPr>
          <w:szCs w:val="22"/>
          <w:lang w:val="sr-Latn-ME"/>
        </w:rPr>
        <w:t>l</w:t>
      </w:r>
      <w:r w:rsidRPr="004C7CDA">
        <w:rPr>
          <w:szCs w:val="22"/>
          <w:lang w:val="sr-Latn-ME"/>
        </w:rPr>
        <w:t>ije ga ne sekretuju. Po</w:t>
      </w:r>
      <w:r w:rsidR="008B3ED5" w:rsidRPr="004C7CDA">
        <w:rPr>
          <w:szCs w:val="22"/>
          <w:lang w:val="sr-Latn-ME"/>
        </w:rPr>
        <w:t>l</w:t>
      </w:r>
      <w:r w:rsidRPr="004C7CDA">
        <w:rPr>
          <w:szCs w:val="22"/>
          <w:lang w:val="sr-Latn-ME"/>
        </w:rPr>
        <w:t>uvr</w:t>
      </w:r>
      <w:r w:rsidR="007043EC" w:rsidRPr="004C7CDA">
        <w:rPr>
          <w:szCs w:val="22"/>
          <w:lang w:val="sr-Latn-ME"/>
        </w:rPr>
        <w:t>ij</w:t>
      </w:r>
      <w:r w:rsidRPr="004C7CDA">
        <w:rPr>
          <w:szCs w:val="22"/>
          <w:lang w:val="sr-Latn-ME"/>
        </w:rPr>
        <w:t>eme e</w:t>
      </w:r>
      <w:r w:rsidR="008B3ED5" w:rsidRPr="004C7CDA">
        <w:rPr>
          <w:szCs w:val="22"/>
          <w:lang w:val="sr-Latn-ME"/>
        </w:rPr>
        <w:t>l</w:t>
      </w:r>
      <w:r w:rsidRPr="004C7CDA">
        <w:rPr>
          <w:szCs w:val="22"/>
          <w:lang w:val="sr-Latn-ME"/>
        </w:rPr>
        <w:t>iminacije kod odras</w:t>
      </w:r>
      <w:r w:rsidR="008B3ED5" w:rsidRPr="004C7CDA">
        <w:rPr>
          <w:szCs w:val="22"/>
          <w:lang w:val="sr-Latn-ME"/>
        </w:rPr>
        <w:t>l</w:t>
      </w:r>
      <w:r w:rsidRPr="004C7CDA">
        <w:rPr>
          <w:szCs w:val="22"/>
          <w:lang w:val="sr-Latn-ME"/>
        </w:rPr>
        <w:t>ih je prib</w:t>
      </w:r>
      <w:r w:rsidR="008B3ED5" w:rsidRPr="004C7CDA">
        <w:rPr>
          <w:szCs w:val="22"/>
          <w:lang w:val="sr-Latn-ME"/>
        </w:rPr>
        <w:t>l</w:t>
      </w:r>
      <w:r w:rsidRPr="004C7CDA">
        <w:rPr>
          <w:szCs w:val="22"/>
          <w:lang w:val="sr-Latn-ME"/>
        </w:rPr>
        <w:t>ižno 2 sata, a</w:t>
      </w:r>
      <w:r w:rsidR="008B3ED5" w:rsidRPr="004C7CDA">
        <w:rPr>
          <w:szCs w:val="22"/>
          <w:lang w:val="sr-Latn-ME"/>
        </w:rPr>
        <w:t>l</w:t>
      </w:r>
      <w:r w:rsidRPr="004C7CDA">
        <w:rPr>
          <w:szCs w:val="22"/>
          <w:lang w:val="sr-Latn-ME"/>
        </w:rPr>
        <w:t>i je u s</w:t>
      </w:r>
      <w:r w:rsidR="008B3ED5" w:rsidRPr="004C7CDA">
        <w:rPr>
          <w:szCs w:val="22"/>
          <w:lang w:val="sr-Latn-ME"/>
        </w:rPr>
        <w:t>l</w:t>
      </w:r>
      <w:r w:rsidRPr="004C7CDA">
        <w:rPr>
          <w:szCs w:val="22"/>
          <w:lang w:val="sr-Latn-ME"/>
        </w:rPr>
        <w:t>učaju insuficijencije bubrega duže. Osamdeset procenata intravenski prim</w:t>
      </w:r>
      <w:r w:rsidR="00B8575D" w:rsidRPr="004C7CDA">
        <w:rPr>
          <w:szCs w:val="22"/>
          <w:lang w:val="sr-Latn-ME"/>
        </w:rPr>
        <w:t>i</w:t>
      </w:r>
      <w:r w:rsidR="007043EC" w:rsidRPr="004C7CDA">
        <w:rPr>
          <w:szCs w:val="22"/>
          <w:lang w:val="sr-Latn-ME"/>
        </w:rPr>
        <w:t>j</w:t>
      </w:r>
      <w:r w:rsidRPr="004C7CDA">
        <w:rPr>
          <w:szCs w:val="22"/>
          <w:lang w:val="sr-Latn-ME"/>
        </w:rPr>
        <w:t>enjene doze se iz</w:t>
      </w:r>
      <w:r w:rsidR="008B3ED5" w:rsidRPr="004C7CDA">
        <w:rPr>
          <w:szCs w:val="22"/>
          <w:lang w:val="sr-Latn-ME"/>
        </w:rPr>
        <w:t>l</w:t>
      </w:r>
      <w:r w:rsidRPr="004C7CDA">
        <w:rPr>
          <w:szCs w:val="22"/>
          <w:lang w:val="sr-Latn-ME"/>
        </w:rPr>
        <w:t>učuje neprom</w:t>
      </w:r>
      <w:r w:rsidR="003C63F2" w:rsidRPr="004C7CDA">
        <w:rPr>
          <w:szCs w:val="22"/>
          <w:lang w:val="sr-Latn-ME"/>
        </w:rPr>
        <w:t>ij</w:t>
      </w:r>
      <w:r w:rsidRPr="004C7CDA">
        <w:rPr>
          <w:szCs w:val="22"/>
          <w:lang w:val="sr-Latn-ME"/>
        </w:rPr>
        <w:t>enjeno unutar 3 sata.</w:t>
      </w:r>
      <w:r w:rsidR="00660A8E" w:rsidRPr="004C7CDA">
        <w:rPr>
          <w:szCs w:val="22"/>
          <w:lang w:val="sr-Latn-ME"/>
        </w:rPr>
        <w:t xml:space="preserve"> </w:t>
      </w:r>
    </w:p>
    <w:p w14:paraId="53F9003E" w14:textId="77777777" w:rsidR="00CE09F3" w:rsidRPr="004C7CDA" w:rsidRDefault="00CE09F3" w:rsidP="004C7CDA">
      <w:pPr>
        <w:widowControl w:val="0"/>
        <w:rPr>
          <w:szCs w:val="22"/>
          <w:lang w:val="sr-Latn-ME"/>
        </w:rPr>
      </w:pPr>
    </w:p>
    <w:p w14:paraId="128B3DEB" w14:textId="2326D2A6" w:rsidR="00CE09F3" w:rsidRPr="004C7CDA" w:rsidRDefault="00CE09F3" w:rsidP="004C7CDA">
      <w:pPr>
        <w:widowControl w:val="0"/>
        <w:rPr>
          <w:b/>
          <w:bCs/>
          <w:szCs w:val="22"/>
          <w:lang w:val="sr-Latn-ME"/>
        </w:rPr>
      </w:pPr>
      <w:r w:rsidRPr="004C7CDA">
        <w:rPr>
          <w:b/>
          <w:bCs/>
          <w:szCs w:val="22"/>
          <w:lang w:val="sr-Latn-ME"/>
        </w:rPr>
        <w:t>5.3. Pretk</w:t>
      </w:r>
      <w:r w:rsidR="008B3ED5" w:rsidRPr="004C7CDA">
        <w:rPr>
          <w:b/>
          <w:bCs/>
          <w:szCs w:val="22"/>
          <w:lang w:val="sr-Latn-ME"/>
        </w:rPr>
        <w:t>l</w:t>
      </w:r>
      <w:r w:rsidRPr="004C7CDA">
        <w:rPr>
          <w:b/>
          <w:bCs/>
          <w:szCs w:val="22"/>
          <w:lang w:val="sr-Latn-ME"/>
        </w:rPr>
        <w:t>inički podaci o bezb</w:t>
      </w:r>
      <w:r w:rsidR="00017136" w:rsidRPr="004C7CDA">
        <w:rPr>
          <w:b/>
          <w:bCs/>
          <w:szCs w:val="22"/>
          <w:lang w:val="sr-Latn-ME"/>
        </w:rPr>
        <w:t>j</w:t>
      </w:r>
      <w:r w:rsidRPr="004C7CDA">
        <w:rPr>
          <w:b/>
          <w:bCs/>
          <w:szCs w:val="22"/>
          <w:lang w:val="sr-Latn-ME"/>
        </w:rPr>
        <w:t>ednosti</w:t>
      </w:r>
    </w:p>
    <w:p w14:paraId="02D3095C" w14:textId="77777777" w:rsidR="00C307B8" w:rsidRPr="004C7CDA" w:rsidRDefault="00C307B8" w:rsidP="004C7CDA">
      <w:pPr>
        <w:widowControl w:val="0"/>
        <w:rPr>
          <w:b/>
          <w:bCs/>
          <w:szCs w:val="22"/>
          <w:lang w:val="sr-Latn-ME"/>
        </w:rPr>
      </w:pPr>
    </w:p>
    <w:p w14:paraId="7CD00FAA" w14:textId="5D4D77D3" w:rsidR="009938FF" w:rsidRPr="004C7CDA" w:rsidRDefault="009938FF" w:rsidP="004C7CDA">
      <w:pPr>
        <w:widowControl w:val="0"/>
        <w:rPr>
          <w:szCs w:val="22"/>
          <w:lang w:val="sr-Latn-ME"/>
        </w:rPr>
      </w:pPr>
      <w:r w:rsidRPr="004C7CDA">
        <w:rPr>
          <w:szCs w:val="22"/>
          <w:lang w:val="sr-Latn-ME"/>
        </w:rPr>
        <w:t>Pretk</w:t>
      </w:r>
      <w:r w:rsidR="008B3ED5" w:rsidRPr="004C7CDA">
        <w:rPr>
          <w:szCs w:val="22"/>
          <w:lang w:val="sr-Latn-ME"/>
        </w:rPr>
        <w:t>l</w:t>
      </w:r>
      <w:r w:rsidRPr="004C7CDA">
        <w:rPr>
          <w:szCs w:val="22"/>
          <w:lang w:val="sr-Latn-ME"/>
        </w:rPr>
        <w:t>inička proc</w:t>
      </w:r>
      <w:r w:rsidR="00B8575D" w:rsidRPr="004C7CDA">
        <w:rPr>
          <w:szCs w:val="22"/>
          <w:lang w:val="sr-Latn-ME"/>
        </w:rPr>
        <w:t>j</w:t>
      </w:r>
      <w:r w:rsidRPr="004C7CDA">
        <w:rPr>
          <w:szCs w:val="22"/>
          <w:lang w:val="sr-Latn-ME"/>
        </w:rPr>
        <w:t>ena bezb</w:t>
      </w:r>
      <w:r w:rsidR="005424C3" w:rsidRPr="004C7CDA">
        <w:rPr>
          <w:szCs w:val="22"/>
          <w:lang w:val="sr-Latn-ME"/>
        </w:rPr>
        <w:t>j</w:t>
      </w:r>
      <w:r w:rsidRPr="004C7CDA">
        <w:rPr>
          <w:szCs w:val="22"/>
          <w:lang w:val="sr-Latn-ME"/>
        </w:rPr>
        <w:t>ednosti manito</w:t>
      </w:r>
      <w:r w:rsidR="008B3ED5" w:rsidRPr="004C7CDA">
        <w:rPr>
          <w:szCs w:val="22"/>
          <w:lang w:val="sr-Latn-ME"/>
        </w:rPr>
        <w:t>l</w:t>
      </w:r>
      <w:r w:rsidRPr="004C7CDA">
        <w:rPr>
          <w:szCs w:val="22"/>
          <w:lang w:val="sr-Latn-ME"/>
        </w:rPr>
        <w:t>a, rastvora za infuziju 20%, kod životinja nije re</w:t>
      </w:r>
      <w:r w:rsidR="008B3ED5" w:rsidRPr="004C7CDA">
        <w:rPr>
          <w:szCs w:val="22"/>
          <w:lang w:val="sr-Latn-ME"/>
        </w:rPr>
        <w:t>l</w:t>
      </w:r>
      <w:r w:rsidRPr="004C7CDA">
        <w:rPr>
          <w:szCs w:val="22"/>
          <w:lang w:val="sr-Latn-ME"/>
        </w:rPr>
        <w:t>evantna, jer je manito</w:t>
      </w:r>
      <w:r w:rsidR="008B3ED5" w:rsidRPr="004C7CDA">
        <w:rPr>
          <w:szCs w:val="22"/>
          <w:lang w:val="sr-Latn-ME"/>
        </w:rPr>
        <w:t>l</w:t>
      </w:r>
      <w:r w:rsidRPr="004C7CDA">
        <w:rPr>
          <w:szCs w:val="22"/>
          <w:lang w:val="sr-Latn-ME"/>
        </w:rPr>
        <w:t xml:space="preserve"> supstanca sa već dobro poznatom prim</w:t>
      </w:r>
      <w:r w:rsidR="00EF28C7" w:rsidRPr="004C7CDA">
        <w:rPr>
          <w:szCs w:val="22"/>
          <w:lang w:val="sr-Latn-ME"/>
        </w:rPr>
        <w:t>j</w:t>
      </w:r>
      <w:r w:rsidRPr="004C7CDA">
        <w:rPr>
          <w:szCs w:val="22"/>
          <w:lang w:val="sr-Latn-ME"/>
        </w:rPr>
        <w:t>enom kod pacijenata, što je potkr</w:t>
      </w:r>
      <w:r w:rsidR="00B8575D" w:rsidRPr="004C7CDA">
        <w:rPr>
          <w:szCs w:val="22"/>
          <w:lang w:val="sr-Latn-ME"/>
        </w:rPr>
        <w:t>ij</w:t>
      </w:r>
      <w:r w:rsidRPr="004C7CDA">
        <w:rPr>
          <w:szCs w:val="22"/>
          <w:lang w:val="sr-Latn-ME"/>
        </w:rPr>
        <w:t>ep</w:t>
      </w:r>
      <w:r w:rsidR="008B3ED5" w:rsidRPr="004C7CDA">
        <w:rPr>
          <w:szCs w:val="22"/>
          <w:lang w:val="sr-Latn-ME"/>
        </w:rPr>
        <w:t>l</w:t>
      </w:r>
      <w:r w:rsidRPr="004C7CDA">
        <w:rPr>
          <w:szCs w:val="22"/>
          <w:lang w:val="sr-Latn-ME"/>
        </w:rPr>
        <w:t>jeno adekvatnim referencama iz farmakopeje.</w:t>
      </w:r>
    </w:p>
    <w:p w14:paraId="0141310B" w14:textId="77777777" w:rsidR="002C3B40" w:rsidRPr="004C7CDA" w:rsidRDefault="002C3B40" w:rsidP="004C7CDA">
      <w:pPr>
        <w:pStyle w:val="NASLOV123"/>
        <w:widowControl w:val="0"/>
        <w:spacing w:before="0" w:after="0"/>
        <w:jc w:val="both"/>
        <w:rPr>
          <w:lang w:val="sr-Latn-ME"/>
        </w:rPr>
      </w:pPr>
    </w:p>
    <w:p w14:paraId="3C216A8E" w14:textId="77777777" w:rsidR="002C3B40" w:rsidRPr="004C7CDA" w:rsidRDefault="002C3B40" w:rsidP="004C7CDA">
      <w:pPr>
        <w:pStyle w:val="NASLOV123"/>
        <w:widowControl w:val="0"/>
        <w:spacing w:before="0" w:after="0"/>
        <w:jc w:val="both"/>
        <w:rPr>
          <w:lang w:val="sr-Latn-ME"/>
        </w:rPr>
      </w:pPr>
    </w:p>
    <w:p w14:paraId="6915525E" w14:textId="3D03214D" w:rsidR="00CE09F3" w:rsidRPr="004C7CDA" w:rsidRDefault="00CE09F3" w:rsidP="004C7CDA">
      <w:pPr>
        <w:pStyle w:val="NASLOV123"/>
        <w:widowControl w:val="0"/>
        <w:spacing w:before="0" w:after="0"/>
        <w:jc w:val="both"/>
        <w:rPr>
          <w:lang w:val="sr-Latn-ME"/>
        </w:rPr>
      </w:pPr>
      <w:r w:rsidRPr="004C7CDA">
        <w:rPr>
          <w:lang w:val="sr-Latn-ME"/>
        </w:rPr>
        <w:t>6. FARMACEUTSKI PODACI</w:t>
      </w:r>
    </w:p>
    <w:p w14:paraId="7D2CB22F" w14:textId="77777777" w:rsidR="002C3B40" w:rsidRPr="004C7CDA" w:rsidRDefault="002C3B40" w:rsidP="004C7CDA">
      <w:pPr>
        <w:widowControl w:val="0"/>
        <w:rPr>
          <w:b/>
          <w:bCs/>
          <w:szCs w:val="22"/>
          <w:lang w:val="sr-Latn-ME"/>
        </w:rPr>
      </w:pPr>
    </w:p>
    <w:p w14:paraId="7205CAB2" w14:textId="4C1938B4" w:rsidR="00CE09F3" w:rsidRPr="004C7CDA" w:rsidRDefault="00CE09F3" w:rsidP="004C7CDA">
      <w:pPr>
        <w:widowControl w:val="0"/>
        <w:rPr>
          <w:b/>
          <w:bCs/>
          <w:szCs w:val="22"/>
          <w:lang w:val="sr-Latn-ME"/>
        </w:rPr>
      </w:pPr>
      <w:r w:rsidRPr="004C7CDA">
        <w:rPr>
          <w:b/>
          <w:bCs/>
          <w:szCs w:val="22"/>
          <w:lang w:val="sr-Latn-ME"/>
        </w:rPr>
        <w:t xml:space="preserve">6.1. </w:t>
      </w:r>
      <w:r w:rsidR="008B3ED5" w:rsidRPr="004C7CDA">
        <w:rPr>
          <w:b/>
          <w:bCs/>
          <w:szCs w:val="22"/>
          <w:lang w:val="sr-Latn-ME"/>
        </w:rPr>
        <w:t>L</w:t>
      </w:r>
      <w:r w:rsidRPr="004C7CDA">
        <w:rPr>
          <w:b/>
          <w:bCs/>
          <w:szCs w:val="22"/>
          <w:lang w:val="sr-Latn-ME"/>
        </w:rPr>
        <w:t>ista pomoćnih supstanci</w:t>
      </w:r>
      <w:r w:rsidR="00F26823" w:rsidRPr="004C7CDA">
        <w:rPr>
          <w:b/>
          <w:bCs/>
          <w:szCs w:val="22"/>
          <w:lang w:val="sr-Latn-ME"/>
        </w:rPr>
        <w:t xml:space="preserve"> </w:t>
      </w:r>
      <w:r w:rsidR="002E0469" w:rsidRPr="004C7CDA">
        <w:rPr>
          <w:b/>
          <w:bCs/>
          <w:szCs w:val="22"/>
          <w:lang w:val="sr-Latn-ME"/>
        </w:rPr>
        <w:t>(eksipijenasa)</w:t>
      </w:r>
    </w:p>
    <w:p w14:paraId="633DF3BE" w14:textId="77777777" w:rsidR="00CE09F3" w:rsidRPr="004C7CDA" w:rsidRDefault="00CE09F3" w:rsidP="004C7CDA">
      <w:pPr>
        <w:widowControl w:val="0"/>
        <w:rPr>
          <w:szCs w:val="22"/>
          <w:lang w:val="sr-Latn-ME"/>
        </w:rPr>
      </w:pPr>
    </w:p>
    <w:p w14:paraId="5ABC9B36" w14:textId="4397FE0C" w:rsidR="00C307B8" w:rsidRPr="004C7CDA" w:rsidRDefault="00C307B8" w:rsidP="004C7CDA">
      <w:pPr>
        <w:widowControl w:val="0"/>
        <w:numPr>
          <w:ilvl w:val="0"/>
          <w:numId w:val="18"/>
        </w:numPr>
        <w:tabs>
          <w:tab w:val="clear" w:pos="284"/>
        </w:tabs>
        <w:ind w:left="284" w:hanging="284"/>
        <w:rPr>
          <w:szCs w:val="22"/>
          <w:lang w:val="sr-Latn-ME"/>
        </w:rPr>
      </w:pPr>
      <w:r w:rsidRPr="004C7CDA">
        <w:rPr>
          <w:szCs w:val="22"/>
          <w:lang w:val="sr-Latn-ME"/>
        </w:rPr>
        <w:t>n</w:t>
      </w:r>
      <w:r w:rsidR="002E0469" w:rsidRPr="004C7CDA">
        <w:rPr>
          <w:szCs w:val="22"/>
          <w:lang w:val="sr-Latn-ME"/>
        </w:rPr>
        <w:t xml:space="preserve">atrijum </w:t>
      </w:r>
      <w:r w:rsidRPr="004C7CDA">
        <w:rPr>
          <w:szCs w:val="22"/>
          <w:lang w:val="sr-Latn-ME"/>
        </w:rPr>
        <w:t xml:space="preserve">hidroksid </w:t>
      </w:r>
      <w:r w:rsidR="00A5077A" w:rsidRPr="004C7CDA">
        <w:rPr>
          <w:szCs w:val="22"/>
          <w:lang w:val="sr-Latn-ME"/>
        </w:rPr>
        <w:t>(za podešavanje pH)</w:t>
      </w:r>
    </w:p>
    <w:p w14:paraId="109B42A2" w14:textId="60E1C938" w:rsidR="00C307B8" w:rsidRPr="004C7CDA" w:rsidRDefault="00C307B8" w:rsidP="004C7CDA">
      <w:pPr>
        <w:widowControl w:val="0"/>
        <w:numPr>
          <w:ilvl w:val="0"/>
          <w:numId w:val="18"/>
        </w:numPr>
        <w:tabs>
          <w:tab w:val="clear" w:pos="284"/>
        </w:tabs>
        <w:ind w:left="284" w:hanging="284"/>
        <w:rPr>
          <w:szCs w:val="22"/>
          <w:lang w:val="sr-Latn-ME"/>
        </w:rPr>
      </w:pPr>
      <w:r w:rsidRPr="004C7CDA">
        <w:rPr>
          <w:szCs w:val="22"/>
          <w:lang w:val="sr-Latn-ME"/>
        </w:rPr>
        <w:t>h</w:t>
      </w:r>
      <w:r w:rsidR="008B3ED5" w:rsidRPr="004C7CDA">
        <w:rPr>
          <w:szCs w:val="22"/>
          <w:lang w:val="sr-Latn-ME"/>
        </w:rPr>
        <w:t>l</w:t>
      </w:r>
      <w:r w:rsidRPr="004C7CDA">
        <w:rPr>
          <w:szCs w:val="22"/>
          <w:lang w:val="sr-Latn-ME"/>
        </w:rPr>
        <w:t>orovodonična kise</w:t>
      </w:r>
      <w:r w:rsidR="008B3ED5" w:rsidRPr="004C7CDA">
        <w:rPr>
          <w:szCs w:val="22"/>
          <w:lang w:val="sr-Latn-ME"/>
        </w:rPr>
        <w:t>l</w:t>
      </w:r>
      <w:r w:rsidRPr="004C7CDA">
        <w:rPr>
          <w:szCs w:val="22"/>
          <w:lang w:val="sr-Latn-ME"/>
        </w:rPr>
        <w:t>ina, koncentrovana</w:t>
      </w:r>
      <w:r w:rsidR="00A5077A" w:rsidRPr="004C7CDA">
        <w:rPr>
          <w:szCs w:val="22"/>
          <w:lang w:val="sr-Latn-ME"/>
        </w:rPr>
        <w:t xml:space="preserve"> (za podešavanje pH)</w:t>
      </w:r>
      <w:r w:rsidRPr="004C7CDA">
        <w:rPr>
          <w:szCs w:val="22"/>
          <w:lang w:val="sr-Latn-ME"/>
        </w:rPr>
        <w:t xml:space="preserve"> </w:t>
      </w:r>
    </w:p>
    <w:p w14:paraId="2F57F66D" w14:textId="77777777" w:rsidR="00134461" w:rsidRPr="004C7CDA" w:rsidRDefault="00C307B8" w:rsidP="004C7CDA">
      <w:pPr>
        <w:widowControl w:val="0"/>
        <w:numPr>
          <w:ilvl w:val="0"/>
          <w:numId w:val="18"/>
        </w:numPr>
        <w:tabs>
          <w:tab w:val="clear" w:pos="284"/>
        </w:tabs>
        <w:ind w:left="284" w:hanging="284"/>
        <w:rPr>
          <w:szCs w:val="22"/>
          <w:lang w:val="sr-Latn-ME"/>
        </w:rPr>
      </w:pPr>
      <w:r w:rsidRPr="004C7CDA">
        <w:rPr>
          <w:szCs w:val="22"/>
          <w:lang w:val="sr-Latn-ME"/>
        </w:rPr>
        <w:t>voda za injekcije.</w:t>
      </w:r>
    </w:p>
    <w:p w14:paraId="5C958891" w14:textId="77777777" w:rsidR="00CE09F3" w:rsidRPr="004C7CDA" w:rsidRDefault="00CE09F3" w:rsidP="004C7CDA">
      <w:pPr>
        <w:widowControl w:val="0"/>
        <w:rPr>
          <w:szCs w:val="22"/>
          <w:lang w:val="sr-Latn-ME"/>
        </w:rPr>
      </w:pPr>
    </w:p>
    <w:p w14:paraId="6FA4FBC3" w14:textId="2BDF887B" w:rsidR="00CE09F3" w:rsidRPr="004C7CDA" w:rsidRDefault="00CE09F3" w:rsidP="004C7CDA">
      <w:pPr>
        <w:widowControl w:val="0"/>
        <w:rPr>
          <w:b/>
          <w:bCs/>
          <w:szCs w:val="22"/>
          <w:lang w:val="sr-Latn-ME"/>
        </w:rPr>
      </w:pPr>
      <w:r w:rsidRPr="004C7CDA">
        <w:rPr>
          <w:b/>
          <w:bCs/>
          <w:szCs w:val="22"/>
          <w:lang w:val="sr-Latn-ME"/>
        </w:rPr>
        <w:t>6.2. Inkompatibi</w:t>
      </w:r>
      <w:r w:rsidR="008B3ED5" w:rsidRPr="004C7CDA">
        <w:rPr>
          <w:b/>
          <w:bCs/>
          <w:szCs w:val="22"/>
          <w:lang w:val="sr-Latn-ME"/>
        </w:rPr>
        <w:t>l</w:t>
      </w:r>
      <w:r w:rsidRPr="004C7CDA">
        <w:rPr>
          <w:b/>
          <w:bCs/>
          <w:szCs w:val="22"/>
          <w:lang w:val="sr-Latn-ME"/>
        </w:rPr>
        <w:t>nost</w:t>
      </w:r>
      <w:r w:rsidR="00615D07" w:rsidRPr="004C7CDA">
        <w:rPr>
          <w:b/>
          <w:bCs/>
          <w:szCs w:val="22"/>
          <w:lang w:val="sr-Latn-ME"/>
        </w:rPr>
        <w:t>i</w:t>
      </w:r>
    </w:p>
    <w:p w14:paraId="275B66EC" w14:textId="77777777" w:rsidR="00134461" w:rsidRPr="004C7CDA" w:rsidRDefault="00134461" w:rsidP="004C7CDA">
      <w:pPr>
        <w:widowControl w:val="0"/>
        <w:rPr>
          <w:szCs w:val="22"/>
          <w:lang w:val="sr-Latn-ME"/>
        </w:rPr>
      </w:pPr>
    </w:p>
    <w:p w14:paraId="3C7B187E" w14:textId="50533BC6" w:rsidR="0001043A" w:rsidRPr="004C7CDA" w:rsidRDefault="008B3ED5" w:rsidP="004C7CDA">
      <w:pPr>
        <w:widowControl w:val="0"/>
        <w:rPr>
          <w:szCs w:val="22"/>
          <w:lang w:val="sr-Latn-ME"/>
        </w:rPr>
      </w:pPr>
      <w:r w:rsidRPr="004C7CDA">
        <w:rPr>
          <w:szCs w:val="22"/>
          <w:lang w:val="sr-Latn-ME"/>
        </w:rPr>
        <w:t>L</w:t>
      </w:r>
      <w:r w:rsidR="0001043A" w:rsidRPr="004C7CDA">
        <w:rPr>
          <w:szCs w:val="22"/>
          <w:lang w:val="sr-Latn-ME"/>
        </w:rPr>
        <w:t>ijek Manito</w:t>
      </w:r>
      <w:r w:rsidRPr="004C7CDA">
        <w:rPr>
          <w:szCs w:val="22"/>
          <w:lang w:val="sr-Latn-ME"/>
        </w:rPr>
        <w:t>l</w:t>
      </w:r>
      <w:r w:rsidR="0001043A" w:rsidRPr="004C7CDA">
        <w:rPr>
          <w:szCs w:val="22"/>
          <w:lang w:val="sr-Latn-ME"/>
        </w:rPr>
        <w:t xml:space="preserve"> </w:t>
      </w:r>
      <w:r w:rsidR="000E4553" w:rsidRPr="004C7CDA">
        <w:rPr>
          <w:szCs w:val="22"/>
          <w:lang w:val="sr-Latn-ME"/>
        </w:rPr>
        <w:t>HM</w:t>
      </w:r>
      <w:r w:rsidR="0001043A" w:rsidRPr="004C7CDA">
        <w:rPr>
          <w:szCs w:val="22"/>
          <w:lang w:val="sr-Latn-ME"/>
        </w:rPr>
        <w:t xml:space="preserve"> 20% rastvor za infuziju se ne sm</w:t>
      </w:r>
      <w:r w:rsidR="00B97DD5" w:rsidRPr="004C7CDA">
        <w:rPr>
          <w:szCs w:val="22"/>
          <w:lang w:val="sr-Latn-ME"/>
        </w:rPr>
        <w:t>ij</w:t>
      </w:r>
      <w:r w:rsidR="0001043A" w:rsidRPr="004C7CDA">
        <w:rPr>
          <w:szCs w:val="22"/>
          <w:lang w:val="sr-Latn-ME"/>
        </w:rPr>
        <w:t xml:space="preserve">e davati istovremeno, </w:t>
      </w:r>
      <w:r w:rsidR="00F047EE" w:rsidRPr="004C7CDA">
        <w:rPr>
          <w:szCs w:val="22"/>
          <w:lang w:val="sr-Latn-ME"/>
        </w:rPr>
        <w:t xml:space="preserve">prije </w:t>
      </w:r>
      <w:r w:rsidR="0001043A" w:rsidRPr="004C7CDA">
        <w:rPr>
          <w:szCs w:val="22"/>
          <w:lang w:val="sr-Latn-ME"/>
        </w:rPr>
        <w:t>i</w:t>
      </w:r>
      <w:r w:rsidRPr="004C7CDA">
        <w:rPr>
          <w:szCs w:val="22"/>
          <w:lang w:val="sr-Latn-ME"/>
        </w:rPr>
        <w:t>l</w:t>
      </w:r>
      <w:r w:rsidR="0001043A" w:rsidRPr="004C7CDA">
        <w:rPr>
          <w:szCs w:val="22"/>
          <w:lang w:val="sr-Latn-ME"/>
        </w:rPr>
        <w:t>i pos</w:t>
      </w:r>
      <w:r w:rsidRPr="004C7CDA">
        <w:rPr>
          <w:szCs w:val="22"/>
          <w:lang w:val="sr-Latn-ME"/>
        </w:rPr>
        <w:t>l</w:t>
      </w:r>
      <w:r w:rsidR="002D3727" w:rsidRPr="004C7CDA">
        <w:rPr>
          <w:szCs w:val="22"/>
          <w:lang w:val="sr-Latn-ME"/>
        </w:rPr>
        <w:t>ij</w:t>
      </w:r>
      <w:r w:rsidR="0001043A" w:rsidRPr="004C7CDA">
        <w:rPr>
          <w:szCs w:val="22"/>
          <w:lang w:val="sr-Latn-ME"/>
        </w:rPr>
        <w:t>e davanja krvi kroz isti infuzioni set, zbog rizika od pseudoag</w:t>
      </w:r>
      <w:r w:rsidRPr="004C7CDA">
        <w:rPr>
          <w:szCs w:val="22"/>
          <w:lang w:val="sr-Latn-ME"/>
        </w:rPr>
        <w:t>l</w:t>
      </w:r>
      <w:r w:rsidR="0001043A" w:rsidRPr="004C7CDA">
        <w:rPr>
          <w:szCs w:val="22"/>
          <w:lang w:val="sr-Latn-ME"/>
        </w:rPr>
        <w:t>utinacije</w:t>
      </w:r>
      <w:r w:rsidR="0001043A" w:rsidRPr="004C7CDA">
        <w:rPr>
          <w:i/>
          <w:szCs w:val="22"/>
          <w:lang w:val="sr-Latn-ME"/>
        </w:rPr>
        <w:t xml:space="preserve"> </w:t>
      </w:r>
      <w:r w:rsidR="0001043A" w:rsidRPr="004C7CDA">
        <w:rPr>
          <w:szCs w:val="22"/>
          <w:lang w:val="sr-Latn-ME"/>
        </w:rPr>
        <w:t>(</w:t>
      </w:r>
      <w:r w:rsidRPr="004C7CDA">
        <w:rPr>
          <w:szCs w:val="22"/>
          <w:lang w:val="sr-Latn-ME"/>
        </w:rPr>
        <w:t>pogledati dio</w:t>
      </w:r>
      <w:r w:rsidR="0001043A" w:rsidRPr="004C7CDA">
        <w:rPr>
          <w:szCs w:val="22"/>
          <w:lang w:val="sr-Latn-ME"/>
        </w:rPr>
        <w:t xml:space="preserve"> 4.4). </w:t>
      </w:r>
    </w:p>
    <w:p w14:paraId="59675B7C" w14:textId="77777777" w:rsidR="0001043A" w:rsidRPr="004C7CDA" w:rsidRDefault="0001043A" w:rsidP="004C7CDA">
      <w:pPr>
        <w:widowControl w:val="0"/>
        <w:rPr>
          <w:b/>
          <w:szCs w:val="22"/>
          <w:lang w:val="sr-Latn-ME"/>
        </w:rPr>
      </w:pPr>
    </w:p>
    <w:p w14:paraId="6D2D8959" w14:textId="56EF167E" w:rsidR="0001043A" w:rsidRPr="004C7CDA" w:rsidRDefault="0001043A" w:rsidP="004C7CDA">
      <w:pPr>
        <w:widowControl w:val="0"/>
        <w:tabs>
          <w:tab w:val="left" w:pos="-720"/>
        </w:tabs>
        <w:rPr>
          <w:szCs w:val="22"/>
          <w:lang w:val="sr-Latn-ME"/>
        </w:rPr>
      </w:pPr>
      <w:r w:rsidRPr="004C7CDA">
        <w:rPr>
          <w:szCs w:val="22"/>
          <w:lang w:val="sr-Latn-ME"/>
        </w:rPr>
        <w:t>Budući da ispitivanja kompatibi</w:t>
      </w:r>
      <w:r w:rsidR="008B3ED5" w:rsidRPr="004C7CDA">
        <w:rPr>
          <w:szCs w:val="22"/>
          <w:lang w:val="sr-Latn-ME"/>
        </w:rPr>
        <w:t>l</w:t>
      </w:r>
      <w:r w:rsidRPr="004C7CDA">
        <w:rPr>
          <w:szCs w:val="22"/>
          <w:lang w:val="sr-Latn-ME"/>
        </w:rPr>
        <w:t xml:space="preserve">nosti nisu rađena, ovaj </w:t>
      </w:r>
      <w:r w:rsidR="008B3ED5" w:rsidRPr="004C7CDA">
        <w:rPr>
          <w:szCs w:val="22"/>
          <w:lang w:val="sr-Latn-ME"/>
        </w:rPr>
        <w:t>l</w:t>
      </w:r>
      <w:r w:rsidR="00BD5FD8" w:rsidRPr="004C7CDA">
        <w:rPr>
          <w:szCs w:val="22"/>
          <w:lang w:val="sr-Latn-ME"/>
        </w:rPr>
        <w:t>ij</w:t>
      </w:r>
      <w:r w:rsidRPr="004C7CDA">
        <w:rPr>
          <w:szCs w:val="22"/>
          <w:lang w:val="sr-Latn-ME"/>
        </w:rPr>
        <w:t>ek se ne sm</w:t>
      </w:r>
      <w:r w:rsidR="00BD5FD8" w:rsidRPr="004C7CDA">
        <w:rPr>
          <w:szCs w:val="22"/>
          <w:lang w:val="sr-Latn-ME"/>
        </w:rPr>
        <w:t>ij</w:t>
      </w:r>
      <w:r w:rsidRPr="004C7CDA">
        <w:rPr>
          <w:szCs w:val="22"/>
          <w:lang w:val="sr-Latn-ME"/>
        </w:rPr>
        <w:t>e m</w:t>
      </w:r>
      <w:r w:rsidR="00BD5FD8" w:rsidRPr="004C7CDA">
        <w:rPr>
          <w:szCs w:val="22"/>
          <w:lang w:val="sr-Latn-ME"/>
        </w:rPr>
        <w:t>j</w:t>
      </w:r>
      <w:r w:rsidRPr="004C7CDA">
        <w:rPr>
          <w:szCs w:val="22"/>
          <w:lang w:val="sr-Latn-ME"/>
        </w:rPr>
        <w:t xml:space="preserve">ešati sa drugim </w:t>
      </w:r>
      <w:r w:rsidR="008B3ED5" w:rsidRPr="004C7CDA">
        <w:rPr>
          <w:szCs w:val="22"/>
          <w:lang w:val="sr-Latn-ME"/>
        </w:rPr>
        <w:t>l</w:t>
      </w:r>
      <w:r w:rsidR="00EF28C7" w:rsidRPr="004C7CDA">
        <w:rPr>
          <w:szCs w:val="22"/>
          <w:lang w:val="sr-Latn-ME"/>
        </w:rPr>
        <w:t>j</w:t>
      </w:r>
      <w:r w:rsidRPr="004C7CDA">
        <w:rPr>
          <w:szCs w:val="22"/>
          <w:lang w:val="sr-Latn-ME"/>
        </w:rPr>
        <w:t>ekovima.</w:t>
      </w:r>
    </w:p>
    <w:p w14:paraId="3449CDE3" w14:textId="77777777" w:rsidR="00CE09F3" w:rsidRPr="004C7CDA" w:rsidRDefault="00CE09F3" w:rsidP="004C7CDA">
      <w:pPr>
        <w:widowControl w:val="0"/>
        <w:rPr>
          <w:szCs w:val="22"/>
          <w:lang w:val="sr-Latn-ME"/>
        </w:rPr>
      </w:pPr>
    </w:p>
    <w:p w14:paraId="0E6C4360" w14:textId="77777777" w:rsidR="00CE09F3" w:rsidRPr="004C7CDA" w:rsidRDefault="00CE09F3" w:rsidP="004C7CDA">
      <w:pPr>
        <w:widowControl w:val="0"/>
        <w:rPr>
          <w:b/>
          <w:bCs/>
          <w:szCs w:val="22"/>
          <w:lang w:val="sr-Latn-ME"/>
        </w:rPr>
      </w:pPr>
      <w:r w:rsidRPr="004C7CDA">
        <w:rPr>
          <w:b/>
          <w:bCs/>
          <w:szCs w:val="22"/>
          <w:lang w:val="sr-Latn-ME"/>
        </w:rPr>
        <w:t>6.3. Rok upotrebe</w:t>
      </w:r>
    </w:p>
    <w:p w14:paraId="6A617F68" w14:textId="77777777" w:rsidR="00C307B8" w:rsidRPr="004C7CDA" w:rsidRDefault="00C307B8" w:rsidP="004C7CDA">
      <w:pPr>
        <w:widowControl w:val="0"/>
        <w:rPr>
          <w:b/>
          <w:bCs/>
          <w:szCs w:val="22"/>
          <w:lang w:val="sr-Latn-ME"/>
        </w:rPr>
      </w:pPr>
    </w:p>
    <w:p w14:paraId="3961A833" w14:textId="7AD3A175" w:rsidR="00C307B8" w:rsidRPr="004C7CDA" w:rsidRDefault="00C307B8" w:rsidP="004C7CDA">
      <w:pPr>
        <w:widowControl w:val="0"/>
        <w:tabs>
          <w:tab w:val="left" w:pos="1080"/>
        </w:tabs>
        <w:rPr>
          <w:szCs w:val="22"/>
          <w:lang w:val="sr-Latn-ME"/>
        </w:rPr>
      </w:pPr>
      <w:r w:rsidRPr="004C7CDA">
        <w:rPr>
          <w:szCs w:val="22"/>
          <w:lang w:val="sr-Latn-ME"/>
        </w:rPr>
        <w:t xml:space="preserve">3 godine. </w:t>
      </w:r>
    </w:p>
    <w:p w14:paraId="23E5F35A" w14:textId="513ABEA2" w:rsidR="00805BE0" w:rsidRPr="004C7CDA" w:rsidRDefault="00805BE0" w:rsidP="004C7CDA">
      <w:pPr>
        <w:widowControl w:val="0"/>
        <w:tabs>
          <w:tab w:val="left" w:pos="1080"/>
        </w:tabs>
        <w:rPr>
          <w:szCs w:val="22"/>
          <w:lang w:val="sr-Latn-ME"/>
        </w:rPr>
      </w:pPr>
      <w:r w:rsidRPr="004C7CDA">
        <w:rPr>
          <w:szCs w:val="22"/>
          <w:lang w:val="sr-Latn-ME"/>
        </w:rPr>
        <w:t xml:space="preserve">Nakon otvaranja, </w:t>
      </w:r>
      <w:r w:rsidR="008B3ED5" w:rsidRPr="004C7CDA">
        <w:rPr>
          <w:szCs w:val="22"/>
          <w:lang w:val="sr-Latn-ME"/>
        </w:rPr>
        <w:t>l</w:t>
      </w:r>
      <w:r w:rsidR="002E0469" w:rsidRPr="004C7CDA">
        <w:rPr>
          <w:szCs w:val="22"/>
          <w:lang w:val="sr-Latn-ME"/>
        </w:rPr>
        <w:t>ij</w:t>
      </w:r>
      <w:r w:rsidRPr="004C7CDA">
        <w:rPr>
          <w:szCs w:val="22"/>
          <w:lang w:val="sr-Latn-ME"/>
        </w:rPr>
        <w:t xml:space="preserve">ek se mora odmah </w:t>
      </w:r>
      <w:r w:rsidR="004972AB" w:rsidRPr="004C7CDA">
        <w:rPr>
          <w:szCs w:val="22"/>
          <w:lang w:val="sr-Latn-ME"/>
        </w:rPr>
        <w:t>upotrijebiti</w:t>
      </w:r>
      <w:r w:rsidRPr="004C7CDA">
        <w:rPr>
          <w:szCs w:val="22"/>
          <w:lang w:val="sr-Latn-ME"/>
        </w:rPr>
        <w:t>.</w:t>
      </w:r>
      <w:r w:rsidR="00660A8E" w:rsidRPr="004C7CDA">
        <w:rPr>
          <w:b/>
          <w:szCs w:val="22"/>
          <w:lang w:val="sr-Latn-ME"/>
        </w:rPr>
        <w:t xml:space="preserve"> </w:t>
      </w:r>
    </w:p>
    <w:p w14:paraId="7B882F39" w14:textId="77777777" w:rsidR="00CE09F3" w:rsidRPr="004C7CDA" w:rsidRDefault="00CE09F3" w:rsidP="004C7CDA">
      <w:pPr>
        <w:widowControl w:val="0"/>
        <w:rPr>
          <w:szCs w:val="22"/>
          <w:lang w:val="sr-Latn-ME"/>
        </w:rPr>
      </w:pPr>
    </w:p>
    <w:p w14:paraId="32888B2E" w14:textId="594BB391" w:rsidR="00CE09F3" w:rsidRPr="004C7CDA" w:rsidRDefault="00CE09F3" w:rsidP="004C7CDA">
      <w:pPr>
        <w:widowControl w:val="0"/>
        <w:rPr>
          <w:b/>
          <w:bCs/>
          <w:szCs w:val="22"/>
          <w:lang w:val="sr-Latn-ME"/>
        </w:rPr>
      </w:pPr>
      <w:r w:rsidRPr="004C7CDA">
        <w:rPr>
          <w:b/>
          <w:bCs/>
          <w:szCs w:val="22"/>
          <w:lang w:val="sr-Latn-ME"/>
        </w:rPr>
        <w:t>6.4. Posebne m</w:t>
      </w:r>
      <w:r w:rsidR="002E0469" w:rsidRPr="004C7CDA">
        <w:rPr>
          <w:b/>
          <w:bCs/>
          <w:szCs w:val="22"/>
          <w:lang w:val="sr-Latn-ME"/>
        </w:rPr>
        <w:t>j</w:t>
      </w:r>
      <w:r w:rsidRPr="004C7CDA">
        <w:rPr>
          <w:b/>
          <w:bCs/>
          <w:szCs w:val="22"/>
          <w:lang w:val="sr-Latn-ME"/>
        </w:rPr>
        <w:t>ere opreza pri čuvanju</w:t>
      </w:r>
      <w:r w:rsidR="008B3ED5" w:rsidRPr="004C7CDA">
        <w:rPr>
          <w:b/>
          <w:bCs/>
          <w:szCs w:val="22"/>
          <w:lang w:val="sr-Latn-ME"/>
        </w:rPr>
        <w:t xml:space="preserve"> lijeka</w:t>
      </w:r>
    </w:p>
    <w:p w14:paraId="3B5025B9" w14:textId="77777777" w:rsidR="00C307B8" w:rsidRPr="004C7CDA" w:rsidRDefault="00C307B8" w:rsidP="004C7CDA">
      <w:pPr>
        <w:widowControl w:val="0"/>
        <w:rPr>
          <w:b/>
          <w:bCs/>
          <w:szCs w:val="22"/>
          <w:lang w:val="sr-Latn-ME"/>
        </w:rPr>
      </w:pPr>
    </w:p>
    <w:p w14:paraId="5D23D27E" w14:textId="40E13F36" w:rsidR="00194EAC" w:rsidRPr="004C7CDA" w:rsidRDefault="00194EAC" w:rsidP="004C7CDA">
      <w:pPr>
        <w:widowControl w:val="0"/>
        <w:rPr>
          <w:szCs w:val="22"/>
          <w:lang w:val="sr-Latn-ME"/>
        </w:rPr>
      </w:pPr>
      <w:r w:rsidRPr="004C7CDA">
        <w:rPr>
          <w:szCs w:val="22"/>
          <w:lang w:val="sr-Latn-ME"/>
        </w:rPr>
        <w:t>Čuvati na temperaturi iznad 22</w:t>
      </w:r>
      <w:r w:rsidR="00BC10AC" w:rsidRPr="004C7CDA">
        <w:rPr>
          <w:spacing w:val="-3"/>
          <w:lang w:val="sr-Latn-ME"/>
        </w:rPr>
        <w:sym w:font="Symbol" w:char="00B0"/>
      </w:r>
      <w:r w:rsidRPr="004C7CDA">
        <w:rPr>
          <w:szCs w:val="22"/>
          <w:lang w:val="sr-Latn-ME"/>
        </w:rPr>
        <w:t>C.</w:t>
      </w:r>
    </w:p>
    <w:p w14:paraId="1C42C0AD" w14:textId="604A0F77" w:rsidR="00571205" w:rsidRPr="004C7CDA" w:rsidRDefault="00571205" w:rsidP="004C7CDA">
      <w:pPr>
        <w:widowControl w:val="0"/>
        <w:tabs>
          <w:tab w:val="left" w:pos="426"/>
        </w:tabs>
        <w:rPr>
          <w:szCs w:val="22"/>
          <w:lang w:val="sr-Latn-ME"/>
        </w:rPr>
      </w:pPr>
      <w:r w:rsidRPr="004C7CDA">
        <w:rPr>
          <w:lang w:val="sr-Latn-ME"/>
        </w:rPr>
        <w:t>Ne čuvati u frižideru i ne zamrzavati.</w:t>
      </w:r>
    </w:p>
    <w:p w14:paraId="424F1606" w14:textId="7F95E02B" w:rsidR="00194EAC" w:rsidRPr="004C7CDA" w:rsidRDefault="00194EAC" w:rsidP="004C7CDA">
      <w:pPr>
        <w:widowControl w:val="0"/>
        <w:rPr>
          <w:szCs w:val="22"/>
          <w:lang w:val="sr-Latn-ME"/>
        </w:rPr>
      </w:pPr>
      <w:r w:rsidRPr="004C7CDA">
        <w:rPr>
          <w:szCs w:val="22"/>
          <w:lang w:val="sr-Latn-ME"/>
        </w:rPr>
        <w:t>Za us</w:t>
      </w:r>
      <w:r w:rsidR="008B3ED5" w:rsidRPr="004C7CDA">
        <w:rPr>
          <w:szCs w:val="22"/>
          <w:lang w:val="sr-Latn-ME"/>
        </w:rPr>
        <w:t>l</w:t>
      </w:r>
      <w:r w:rsidRPr="004C7CDA">
        <w:rPr>
          <w:szCs w:val="22"/>
          <w:lang w:val="sr-Latn-ME"/>
        </w:rPr>
        <w:t xml:space="preserve">ove čuvanja nakon prvog otvaranja </w:t>
      </w:r>
      <w:r w:rsidR="008B3ED5" w:rsidRPr="004C7CDA">
        <w:rPr>
          <w:szCs w:val="22"/>
          <w:lang w:val="sr-Latn-ME"/>
        </w:rPr>
        <w:t>l</w:t>
      </w:r>
      <w:r w:rsidR="00EF28C7" w:rsidRPr="004C7CDA">
        <w:rPr>
          <w:szCs w:val="22"/>
          <w:lang w:val="sr-Latn-ME"/>
        </w:rPr>
        <w:t>ij</w:t>
      </w:r>
      <w:r w:rsidRPr="004C7CDA">
        <w:rPr>
          <w:szCs w:val="22"/>
          <w:lang w:val="sr-Latn-ME"/>
        </w:rPr>
        <w:t xml:space="preserve">eka, </w:t>
      </w:r>
      <w:r w:rsidR="008B3ED5" w:rsidRPr="004C7CDA">
        <w:rPr>
          <w:szCs w:val="22"/>
          <w:lang w:val="sr-Latn-ME"/>
        </w:rPr>
        <w:t>pogledati dio</w:t>
      </w:r>
      <w:r w:rsidRPr="004C7CDA">
        <w:rPr>
          <w:szCs w:val="22"/>
          <w:lang w:val="sr-Latn-ME"/>
        </w:rPr>
        <w:t xml:space="preserve"> 6.3.</w:t>
      </w:r>
    </w:p>
    <w:p w14:paraId="63165CA0" w14:textId="13352E5B" w:rsidR="00224634" w:rsidRPr="004C7CDA" w:rsidRDefault="00B36FFA" w:rsidP="004C7CDA">
      <w:pPr>
        <w:widowControl w:val="0"/>
        <w:rPr>
          <w:szCs w:val="22"/>
          <w:lang w:val="sr-Latn-ME"/>
        </w:rPr>
      </w:pPr>
      <w:r w:rsidRPr="004C7CDA">
        <w:rPr>
          <w:szCs w:val="22"/>
          <w:lang w:val="sr-Latn-ME"/>
        </w:rPr>
        <w:lastRenderedPageBreak/>
        <w:t>Lijek č</w:t>
      </w:r>
      <w:r w:rsidR="00224634" w:rsidRPr="004C7CDA">
        <w:rPr>
          <w:szCs w:val="22"/>
          <w:lang w:val="sr-Latn-ME"/>
        </w:rPr>
        <w:t xml:space="preserve">uvati van pogleda i domašaja djece. </w:t>
      </w:r>
    </w:p>
    <w:p w14:paraId="40A94FB2" w14:textId="77777777" w:rsidR="00237B8B" w:rsidRPr="004C7CDA" w:rsidRDefault="00237B8B" w:rsidP="004C7CDA">
      <w:pPr>
        <w:widowControl w:val="0"/>
        <w:rPr>
          <w:szCs w:val="22"/>
          <w:lang w:val="sr-Latn-ME"/>
        </w:rPr>
      </w:pPr>
    </w:p>
    <w:p w14:paraId="49EEC278" w14:textId="33EE5242" w:rsidR="00CE09F3" w:rsidRPr="004C7CDA" w:rsidRDefault="0022223A" w:rsidP="004C7CDA">
      <w:pPr>
        <w:widowControl w:val="0"/>
        <w:rPr>
          <w:b/>
          <w:bCs/>
          <w:szCs w:val="22"/>
          <w:lang w:val="sr-Latn-ME"/>
        </w:rPr>
      </w:pPr>
      <w:r w:rsidRPr="004C7CDA">
        <w:rPr>
          <w:b/>
          <w:bCs/>
          <w:szCs w:val="22"/>
          <w:lang w:val="sr-Latn-ME"/>
        </w:rPr>
        <w:t xml:space="preserve">6.5. </w:t>
      </w:r>
      <w:r w:rsidR="002E0469" w:rsidRPr="004C7CDA">
        <w:rPr>
          <w:b/>
          <w:bCs/>
          <w:szCs w:val="22"/>
          <w:lang w:val="sr-Latn-ME"/>
        </w:rPr>
        <w:t>Vrsta</w:t>
      </w:r>
      <w:r w:rsidR="00EF5D53" w:rsidRPr="004C7CDA">
        <w:rPr>
          <w:b/>
          <w:bCs/>
          <w:szCs w:val="22"/>
          <w:lang w:val="sr-Latn-ME"/>
        </w:rPr>
        <w:t xml:space="preserve"> </w:t>
      </w:r>
      <w:r w:rsidR="00CE09F3" w:rsidRPr="004C7CDA">
        <w:rPr>
          <w:b/>
          <w:bCs/>
          <w:szCs w:val="22"/>
          <w:lang w:val="sr-Latn-ME"/>
        </w:rPr>
        <w:t>i sadržaj pakovanja</w:t>
      </w:r>
      <w:r w:rsidR="00F42610" w:rsidRPr="004C7CDA">
        <w:rPr>
          <w:b/>
          <w:bCs/>
          <w:szCs w:val="22"/>
          <w:lang w:val="sr-Latn-ME"/>
        </w:rPr>
        <w:t xml:space="preserve"> </w:t>
      </w:r>
    </w:p>
    <w:p w14:paraId="18CBE85D" w14:textId="1FCB6935" w:rsidR="00171F3A" w:rsidRPr="004C7CDA" w:rsidRDefault="00171F3A" w:rsidP="004C7CDA">
      <w:pPr>
        <w:widowControl w:val="0"/>
        <w:rPr>
          <w:szCs w:val="22"/>
          <w:lang w:val="sr-Latn-ME"/>
        </w:rPr>
      </w:pPr>
    </w:p>
    <w:p w14:paraId="70175E35" w14:textId="798C8678" w:rsidR="00F04C57" w:rsidRPr="004C7CDA" w:rsidRDefault="00F04C57" w:rsidP="004C7CDA">
      <w:pPr>
        <w:widowControl w:val="0"/>
        <w:rPr>
          <w:szCs w:val="22"/>
          <w:lang w:val="sr-Latn-ME"/>
        </w:rPr>
      </w:pPr>
      <w:r w:rsidRPr="004C7CDA">
        <w:rPr>
          <w:lang w:val="sr-Latn-ME"/>
        </w:rPr>
        <w:t>Unutrašnje pakovanje je stak</w:t>
      </w:r>
      <w:r w:rsidR="008B3ED5" w:rsidRPr="004C7CDA">
        <w:rPr>
          <w:lang w:val="sr-Latn-ME"/>
        </w:rPr>
        <w:t>l</w:t>
      </w:r>
      <w:r w:rsidRPr="004C7CDA">
        <w:rPr>
          <w:lang w:val="sr-Latn-ME"/>
        </w:rPr>
        <w:t>ena boca (stak</w:t>
      </w:r>
      <w:r w:rsidR="008B3ED5" w:rsidRPr="004C7CDA">
        <w:rPr>
          <w:lang w:val="sr-Latn-ME"/>
        </w:rPr>
        <w:t>l</w:t>
      </w:r>
      <w:r w:rsidRPr="004C7CDA">
        <w:rPr>
          <w:lang w:val="sr-Latn-ME"/>
        </w:rPr>
        <w:t>o II hidro</w:t>
      </w:r>
      <w:r w:rsidR="008B3ED5" w:rsidRPr="004C7CDA">
        <w:rPr>
          <w:lang w:val="sr-Latn-ME"/>
        </w:rPr>
        <w:t>l</w:t>
      </w:r>
      <w:r w:rsidRPr="004C7CDA">
        <w:rPr>
          <w:lang w:val="sr-Latn-ME"/>
        </w:rPr>
        <w:t>itičke grupe)</w:t>
      </w:r>
      <w:r w:rsidR="007E4097" w:rsidRPr="004C7CDA">
        <w:rPr>
          <w:lang w:val="sr-Latn-ME"/>
        </w:rPr>
        <w:t xml:space="preserve"> </w:t>
      </w:r>
      <w:r w:rsidRPr="004C7CDA">
        <w:rPr>
          <w:lang w:val="sr-Latn-ME"/>
        </w:rPr>
        <w:t>sa gumenim zatvaračem (brombuti</w:t>
      </w:r>
      <w:r w:rsidR="008B3ED5" w:rsidRPr="004C7CDA">
        <w:rPr>
          <w:lang w:val="sr-Latn-ME"/>
        </w:rPr>
        <w:t>l</w:t>
      </w:r>
      <w:r w:rsidRPr="004C7CDA">
        <w:rPr>
          <w:lang w:val="sr-Latn-ME"/>
        </w:rPr>
        <w:t xml:space="preserve"> e</w:t>
      </w:r>
      <w:r w:rsidR="008B3ED5" w:rsidRPr="004C7CDA">
        <w:rPr>
          <w:lang w:val="sr-Latn-ME"/>
        </w:rPr>
        <w:t>l</w:t>
      </w:r>
      <w:r w:rsidRPr="004C7CDA">
        <w:rPr>
          <w:lang w:val="sr-Latn-ME"/>
        </w:rPr>
        <w:t xml:space="preserve">astomer) i </w:t>
      </w:r>
      <w:r w:rsidR="007E4097" w:rsidRPr="004C7CDA">
        <w:rPr>
          <w:lang w:val="sr-Latn-ME"/>
        </w:rPr>
        <w:t xml:space="preserve">aluminijumskom </w:t>
      </w:r>
      <w:r w:rsidRPr="004C7CDA">
        <w:rPr>
          <w:lang w:val="sr-Latn-ME"/>
        </w:rPr>
        <w:t>kapicom</w:t>
      </w:r>
      <w:r w:rsidR="007E4097" w:rsidRPr="004C7CDA">
        <w:rPr>
          <w:lang w:val="sr-Latn-ME"/>
        </w:rPr>
        <w:t xml:space="preserve"> sa providnim</w:t>
      </w:r>
      <w:r w:rsidRPr="004C7CDA">
        <w:rPr>
          <w:lang w:val="sr-Latn-ME"/>
        </w:rPr>
        <w:t xml:space="preserve"> </w:t>
      </w:r>
      <w:r w:rsidR="007E4097" w:rsidRPr="004C7CDA">
        <w:rPr>
          <w:i/>
          <w:lang w:val="sr-Latn-ME"/>
        </w:rPr>
        <w:t xml:space="preserve">flip </w:t>
      </w:r>
      <w:r w:rsidR="007E4097" w:rsidRPr="004C7CDA">
        <w:rPr>
          <w:lang w:val="sr-Latn-ME"/>
        </w:rPr>
        <w:t>plastičnim poklopcem</w:t>
      </w:r>
      <w:r w:rsidR="000867F6" w:rsidRPr="004C7CDA">
        <w:rPr>
          <w:i/>
          <w:lang w:val="sr-Latn-ME"/>
        </w:rPr>
        <w:t>,</w:t>
      </w:r>
      <w:r w:rsidR="007E4097" w:rsidRPr="004C7CDA">
        <w:rPr>
          <w:i/>
          <w:lang w:val="sr-Latn-ME"/>
        </w:rPr>
        <w:t xml:space="preserve"> </w:t>
      </w:r>
      <w:r w:rsidRPr="004C7CDA">
        <w:rPr>
          <w:lang w:val="sr-Latn-ME"/>
        </w:rPr>
        <w:t>koj</w:t>
      </w:r>
      <w:r w:rsidR="000867F6" w:rsidRPr="004C7CDA">
        <w:rPr>
          <w:lang w:val="sr-Latn-ME"/>
        </w:rPr>
        <w:t>a</w:t>
      </w:r>
      <w:r w:rsidRPr="004C7CDA">
        <w:rPr>
          <w:lang w:val="sr-Latn-ME"/>
        </w:rPr>
        <w:t xml:space="preserve"> </w:t>
      </w:r>
      <w:r w:rsidR="000867F6" w:rsidRPr="004C7CDA">
        <w:rPr>
          <w:lang w:val="sr-Latn-ME"/>
        </w:rPr>
        <w:t xml:space="preserve">sadrži </w:t>
      </w:r>
      <w:r w:rsidRPr="004C7CDA">
        <w:rPr>
          <w:szCs w:val="22"/>
          <w:lang w:val="sr-Latn-ME"/>
        </w:rPr>
        <w:t xml:space="preserve">250 </w:t>
      </w:r>
      <w:r w:rsidR="008B3ED5" w:rsidRPr="004C7CDA">
        <w:rPr>
          <w:szCs w:val="22"/>
          <w:lang w:val="sr-Latn-ME"/>
        </w:rPr>
        <w:t>ml</w:t>
      </w:r>
      <w:r w:rsidRPr="004C7CDA">
        <w:rPr>
          <w:szCs w:val="22"/>
          <w:lang w:val="sr-Latn-ME"/>
        </w:rPr>
        <w:t xml:space="preserve"> rastvora za infuziju</w:t>
      </w:r>
      <w:r w:rsidRPr="004C7CDA">
        <w:rPr>
          <w:lang w:val="sr-Latn-ME"/>
        </w:rPr>
        <w:t>.</w:t>
      </w:r>
    </w:p>
    <w:p w14:paraId="4B861A74" w14:textId="13F43730" w:rsidR="00F04C57" w:rsidRPr="004C7CDA" w:rsidRDefault="00F04C57" w:rsidP="004C7CDA">
      <w:pPr>
        <w:widowControl w:val="0"/>
        <w:rPr>
          <w:szCs w:val="22"/>
          <w:u w:val="single"/>
          <w:lang w:val="sr-Latn-ME"/>
        </w:rPr>
      </w:pPr>
      <w:r w:rsidRPr="004C7CDA">
        <w:rPr>
          <w:szCs w:val="22"/>
          <w:lang w:val="sr-Latn-ME"/>
        </w:rPr>
        <w:t>Unutrašnje pakovanje je istovremeno i spo</w:t>
      </w:r>
      <w:r w:rsidR="008B3ED5" w:rsidRPr="004C7CDA">
        <w:rPr>
          <w:szCs w:val="22"/>
          <w:lang w:val="sr-Latn-ME"/>
        </w:rPr>
        <w:t>l</w:t>
      </w:r>
      <w:r w:rsidRPr="004C7CDA">
        <w:rPr>
          <w:szCs w:val="22"/>
          <w:lang w:val="sr-Latn-ME"/>
        </w:rPr>
        <w:t xml:space="preserve">jašnje pakovanje, uz koje </w:t>
      </w:r>
      <w:r w:rsidR="000867F6" w:rsidRPr="004C7CDA">
        <w:rPr>
          <w:szCs w:val="22"/>
          <w:lang w:val="sr-Latn-ME"/>
        </w:rPr>
        <w:t xml:space="preserve">je priloženo </w:t>
      </w:r>
      <w:r w:rsidRPr="004C7CDA">
        <w:rPr>
          <w:szCs w:val="22"/>
          <w:lang w:val="sr-Latn-ME"/>
        </w:rPr>
        <w:t xml:space="preserve">i Uputstvo za </w:t>
      </w:r>
      <w:r w:rsidR="008B3ED5" w:rsidRPr="004C7CDA">
        <w:rPr>
          <w:szCs w:val="22"/>
          <w:lang w:val="sr-Latn-ME"/>
        </w:rPr>
        <w:t>l</w:t>
      </w:r>
      <w:r w:rsidRPr="004C7CDA">
        <w:rPr>
          <w:szCs w:val="22"/>
          <w:lang w:val="sr-Latn-ME"/>
        </w:rPr>
        <w:t>ijek.</w:t>
      </w:r>
    </w:p>
    <w:p w14:paraId="783FF2B5" w14:textId="77777777" w:rsidR="00CE09F3" w:rsidRPr="004C7CDA" w:rsidRDefault="00CE09F3" w:rsidP="004C7CDA">
      <w:pPr>
        <w:widowControl w:val="0"/>
        <w:rPr>
          <w:szCs w:val="22"/>
          <w:lang w:val="sr-Latn-ME"/>
        </w:rPr>
      </w:pPr>
    </w:p>
    <w:p w14:paraId="484F139F" w14:textId="12D573ED" w:rsidR="00CE09F3" w:rsidRPr="004C7CDA" w:rsidRDefault="00CE09F3" w:rsidP="004C7CDA">
      <w:pPr>
        <w:widowControl w:val="0"/>
        <w:rPr>
          <w:b/>
          <w:bCs/>
          <w:szCs w:val="22"/>
          <w:lang w:val="sr-Latn-ME"/>
        </w:rPr>
      </w:pPr>
      <w:r w:rsidRPr="004C7CDA">
        <w:rPr>
          <w:b/>
          <w:bCs/>
          <w:szCs w:val="22"/>
          <w:lang w:val="sr-Latn-ME"/>
        </w:rPr>
        <w:t>6.6. Posebne m</w:t>
      </w:r>
      <w:r w:rsidR="002E0469" w:rsidRPr="004C7CDA">
        <w:rPr>
          <w:b/>
          <w:bCs/>
          <w:szCs w:val="22"/>
          <w:lang w:val="sr-Latn-ME"/>
        </w:rPr>
        <w:t>j</w:t>
      </w:r>
      <w:r w:rsidRPr="004C7CDA">
        <w:rPr>
          <w:b/>
          <w:bCs/>
          <w:szCs w:val="22"/>
          <w:lang w:val="sr-Latn-ME"/>
        </w:rPr>
        <w:t>ere opreza pri od</w:t>
      </w:r>
      <w:r w:rsidR="008B3ED5" w:rsidRPr="004C7CDA">
        <w:rPr>
          <w:b/>
          <w:bCs/>
          <w:szCs w:val="22"/>
          <w:lang w:val="sr-Latn-ME"/>
        </w:rPr>
        <w:t>l</w:t>
      </w:r>
      <w:r w:rsidRPr="004C7CDA">
        <w:rPr>
          <w:b/>
          <w:bCs/>
          <w:szCs w:val="22"/>
          <w:lang w:val="sr-Latn-ME"/>
        </w:rPr>
        <w:t>aganju materija</w:t>
      </w:r>
      <w:r w:rsidR="008B3ED5" w:rsidRPr="004C7CDA">
        <w:rPr>
          <w:b/>
          <w:bCs/>
          <w:szCs w:val="22"/>
          <w:lang w:val="sr-Latn-ME"/>
        </w:rPr>
        <w:t>l</w:t>
      </w:r>
      <w:r w:rsidRPr="004C7CDA">
        <w:rPr>
          <w:b/>
          <w:bCs/>
          <w:szCs w:val="22"/>
          <w:lang w:val="sr-Latn-ME"/>
        </w:rPr>
        <w:t>a koji treba odbaciti nakon prim</w:t>
      </w:r>
      <w:r w:rsidR="002E0469" w:rsidRPr="004C7CDA">
        <w:rPr>
          <w:b/>
          <w:bCs/>
          <w:szCs w:val="22"/>
          <w:lang w:val="sr-Latn-ME"/>
        </w:rPr>
        <w:t>j</w:t>
      </w:r>
      <w:r w:rsidRPr="004C7CDA">
        <w:rPr>
          <w:b/>
          <w:bCs/>
          <w:szCs w:val="22"/>
          <w:lang w:val="sr-Latn-ME"/>
        </w:rPr>
        <w:t xml:space="preserve">ene </w:t>
      </w:r>
      <w:r w:rsidR="008B3ED5" w:rsidRPr="004C7CDA">
        <w:rPr>
          <w:b/>
          <w:bCs/>
          <w:szCs w:val="22"/>
          <w:lang w:val="sr-Latn-ME"/>
        </w:rPr>
        <w:t>l</w:t>
      </w:r>
      <w:r w:rsidR="002E0469" w:rsidRPr="004C7CDA">
        <w:rPr>
          <w:b/>
          <w:bCs/>
          <w:szCs w:val="22"/>
          <w:lang w:val="sr-Latn-ME"/>
        </w:rPr>
        <w:t>ij</w:t>
      </w:r>
      <w:r w:rsidRPr="004C7CDA">
        <w:rPr>
          <w:b/>
          <w:bCs/>
          <w:szCs w:val="22"/>
          <w:lang w:val="sr-Latn-ME"/>
        </w:rPr>
        <w:t xml:space="preserve">eka (i druga uputstva za rukovanje </w:t>
      </w:r>
      <w:r w:rsidR="008B3ED5" w:rsidRPr="004C7CDA">
        <w:rPr>
          <w:b/>
          <w:bCs/>
          <w:szCs w:val="22"/>
          <w:lang w:val="sr-Latn-ME"/>
        </w:rPr>
        <w:t>l</w:t>
      </w:r>
      <w:r w:rsidR="002E0469" w:rsidRPr="004C7CDA">
        <w:rPr>
          <w:b/>
          <w:bCs/>
          <w:szCs w:val="22"/>
          <w:lang w:val="sr-Latn-ME"/>
        </w:rPr>
        <w:t>ij</w:t>
      </w:r>
      <w:r w:rsidRPr="004C7CDA">
        <w:rPr>
          <w:b/>
          <w:bCs/>
          <w:szCs w:val="22"/>
          <w:lang w:val="sr-Latn-ME"/>
        </w:rPr>
        <w:t>ekom)</w:t>
      </w:r>
    </w:p>
    <w:p w14:paraId="1CB09CFF" w14:textId="77777777" w:rsidR="00CE09F3" w:rsidRPr="004C7CDA" w:rsidRDefault="00CE09F3" w:rsidP="004C7CDA">
      <w:pPr>
        <w:widowControl w:val="0"/>
        <w:rPr>
          <w:szCs w:val="22"/>
          <w:lang w:val="sr-Latn-ME"/>
        </w:rPr>
      </w:pPr>
    </w:p>
    <w:p w14:paraId="47218345" w14:textId="515A730C" w:rsidR="006D1E37" w:rsidRPr="004C7CDA" w:rsidRDefault="006D1E37" w:rsidP="004C7CDA">
      <w:pPr>
        <w:widowControl w:val="0"/>
        <w:numPr>
          <w:ilvl w:val="12"/>
          <w:numId w:val="0"/>
        </w:numPr>
        <w:tabs>
          <w:tab w:val="left" w:pos="720"/>
        </w:tabs>
        <w:ind w:right="-2"/>
        <w:rPr>
          <w:szCs w:val="22"/>
          <w:lang w:val="sr-Latn-ME"/>
        </w:rPr>
      </w:pPr>
      <w:r w:rsidRPr="004C7CDA">
        <w:rPr>
          <w:szCs w:val="22"/>
          <w:lang w:val="sr-Latn-ME"/>
        </w:rPr>
        <w:t>Koristiti bistar rastvor (bez vid</w:t>
      </w:r>
      <w:r w:rsidR="008B3ED5" w:rsidRPr="004C7CDA">
        <w:rPr>
          <w:szCs w:val="22"/>
          <w:lang w:val="sr-Latn-ME"/>
        </w:rPr>
        <w:t>l</w:t>
      </w:r>
      <w:r w:rsidRPr="004C7CDA">
        <w:rPr>
          <w:szCs w:val="22"/>
          <w:lang w:val="sr-Latn-ME"/>
        </w:rPr>
        <w:t>jivih čestica) iz neoštećene boce.</w:t>
      </w:r>
    </w:p>
    <w:p w14:paraId="06C69E47" w14:textId="2697BD66" w:rsidR="00C221F5" w:rsidRPr="004C7CDA" w:rsidRDefault="00C221F5" w:rsidP="004C7CDA">
      <w:pPr>
        <w:widowControl w:val="0"/>
        <w:rPr>
          <w:szCs w:val="22"/>
          <w:lang w:val="sr-Latn-ME"/>
        </w:rPr>
      </w:pPr>
      <w:r w:rsidRPr="004C7CDA">
        <w:rPr>
          <w:szCs w:val="22"/>
          <w:lang w:val="sr-Latn-ME"/>
        </w:rPr>
        <w:t xml:space="preserve">Pri izlaganju rastvora manitola niskim temperaturama, može da dođe do njihove kristalizacije. Prije primjene, provjeriti da li su prisutni kristali. Ukoliko su kristali vidljivi, potrebno je ponovo izvršiti rastvaranje grijanjem rastvora na 60°C, pri čemu je rastvor potrebno mućkati. </w:t>
      </w:r>
    </w:p>
    <w:p w14:paraId="0CB2AC6A" w14:textId="1E692BF0" w:rsidR="00C221F5" w:rsidRPr="004C7CDA" w:rsidRDefault="00C221F5" w:rsidP="004C7CDA">
      <w:pPr>
        <w:widowControl w:val="0"/>
        <w:rPr>
          <w:szCs w:val="22"/>
          <w:lang w:val="sr-Latn-ME"/>
        </w:rPr>
      </w:pPr>
      <w:r w:rsidRPr="004C7CDA">
        <w:rPr>
          <w:szCs w:val="22"/>
          <w:lang w:val="sr-Latn-ME"/>
        </w:rPr>
        <w:t xml:space="preserve">Čuvanje lijeka na temperaturama iznad 22°C smanjuje pojavu stvaranja kristala. </w:t>
      </w:r>
    </w:p>
    <w:p w14:paraId="578D06A0" w14:textId="6D72E453" w:rsidR="006D1E37" w:rsidRPr="004C7CDA" w:rsidRDefault="00C221F5" w:rsidP="004C7CDA">
      <w:pPr>
        <w:widowControl w:val="0"/>
        <w:rPr>
          <w:szCs w:val="22"/>
          <w:lang w:val="sr-Latn-ME"/>
        </w:rPr>
      </w:pPr>
      <w:r w:rsidRPr="004C7CDA">
        <w:rPr>
          <w:szCs w:val="22"/>
          <w:lang w:val="sr-Latn-ME"/>
        </w:rPr>
        <w:t xml:space="preserve">Rastvor je potrebno ohladiti do 37°C prije upotrebe. </w:t>
      </w:r>
    </w:p>
    <w:p w14:paraId="584415F8" w14:textId="77777777" w:rsidR="006D1E37" w:rsidRPr="004C7CDA" w:rsidRDefault="006D1E37" w:rsidP="004C7CDA">
      <w:pPr>
        <w:widowControl w:val="0"/>
        <w:numPr>
          <w:ilvl w:val="12"/>
          <w:numId w:val="0"/>
        </w:numPr>
        <w:tabs>
          <w:tab w:val="left" w:pos="720"/>
        </w:tabs>
        <w:ind w:right="-2"/>
        <w:rPr>
          <w:szCs w:val="22"/>
          <w:lang w:val="sr-Latn-ME"/>
        </w:rPr>
      </w:pPr>
    </w:p>
    <w:p w14:paraId="4EE5CFC0" w14:textId="661C44B8" w:rsidR="00C307B8" w:rsidRPr="004C7CDA" w:rsidRDefault="00C307B8" w:rsidP="004C7CDA">
      <w:pPr>
        <w:widowControl w:val="0"/>
        <w:rPr>
          <w:szCs w:val="22"/>
          <w:lang w:val="sr-Latn-ME"/>
        </w:rPr>
      </w:pPr>
      <w:r w:rsidRPr="004C7CDA">
        <w:rPr>
          <w:szCs w:val="22"/>
          <w:lang w:val="sr-Latn-ME"/>
        </w:rPr>
        <w:t>Svu neiskorišćenu ko</w:t>
      </w:r>
      <w:r w:rsidR="008B3ED5" w:rsidRPr="004C7CDA">
        <w:rPr>
          <w:szCs w:val="22"/>
          <w:lang w:val="sr-Latn-ME"/>
        </w:rPr>
        <w:t>l</w:t>
      </w:r>
      <w:r w:rsidRPr="004C7CDA">
        <w:rPr>
          <w:szCs w:val="22"/>
          <w:lang w:val="sr-Latn-ME"/>
        </w:rPr>
        <w:t xml:space="preserve">ičinu </w:t>
      </w:r>
      <w:r w:rsidR="008B3ED5" w:rsidRPr="004C7CDA">
        <w:rPr>
          <w:szCs w:val="22"/>
          <w:lang w:val="sr-Latn-ME"/>
        </w:rPr>
        <w:t>l</w:t>
      </w:r>
      <w:r w:rsidR="002E0469" w:rsidRPr="004C7CDA">
        <w:rPr>
          <w:szCs w:val="22"/>
          <w:lang w:val="sr-Latn-ME"/>
        </w:rPr>
        <w:t>ij</w:t>
      </w:r>
      <w:r w:rsidRPr="004C7CDA">
        <w:rPr>
          <w:szCs w:val="22"/>
          <w:lang w:val="sr-Latn-ME"/>
        </w:rPr>
        <w:t>eka i</w:t>
      </w:r>
      <w:r w:rsidR="008B3ED5" w:rsidRPr="004C7CDA">
        <w:rPr>
          <w:szCs w:val="22"/>
          <w:lang w:val="sr-Latn-ME"/>
        </w:rPr>
        <w:t>l</w:t>
      </w:r>
      <w:r w:rsidRPr="004C7CDA">
        <w:rPr>
          <w:szCs w:val="22"/>
          <w:lang w:val="sr-Latn-ME"/>
        </w:rPr>
        <w:t>i otpadnog materija</w:t>
      </w:r>
      <w:r w:rsidR="008B3ED5" w:rsidRPr="004C7CDA">
        <w:rPr>
          <w:szCs w:val="22"/>
          <w:lang w:val="sr-Latn-ME"/>
        </w:rPr>
        <w:t>l</w:t>
      </w:r>
      <w:r w:rsidRPr="004C7CDA">
        <w:rPr>
          <w:szCs w:val="22"/>
          <w:lang w:val="sr-Latn-ME"/>
        </w:rPr>
        <w:t>a nakon njegove upotrebe, treba uk</w:t>
      </w:r>
      <w:r w:rsidR="008B3ED5" w:rsidRPr="004C7CDA">
        <w:rPr>
          <w:szCs w:val="22"/>
          <w:lang w:val="sr-Latn-ME"/>
        </w:rPr>
        <w:t>l</w:t>
      </w:r>
      <w:r w:rsidRPr="004C7CDA">
        <w:rPr>
          <w:szCs w:val="22"/>
          <w:lang w:val="sr-Latn-ME"/>
        </w:rPr>
        <w:t>oniti u sk</w:t>
      </w:r>
      <w:r w:rsidR="008B3ED5" w:rsidRPr="004C7CDA">
        <w:rPr>
          <w:szCs w:val="22"/>
          <w:lang w:val="sr-Latn-ME"/>
        </w:rPr>
        <w:t>l</w:t>
      </w:r>
      <w:r w:rsidRPr="004C7CDA">
        <w:rPr>
          <w:szCs w:val="22"/>
          <w:lang w:val="sr-Latn-ME"/>
        </w:rPr>
        <w:t>adu sa važećim propisima.</w:t>
      </w:r>
    </w:p>
    <w:p w14:paraId="7DD15593" w14:textId="77777777" w:rsidR="002C3B40" w:rsidRPr="004C7CDA" w:rsidRDefault="002C3B40" w:rsidP="004C7CDA">
      <w:pPr>
        <w:pStyle w:val="NASLOV123"/>
        <w:widowControl w:val="0"/>
        <w:spacing w:before="0" w:after="0"/>
        <w:jc w:val="both"/>
        <w:rPr>
          <w:lang w:val="sr-Latn-ME"/>
        </w:rPr>
      </w:pPr>
    </w:p>
    <w:p w14:paraId="69BC775C" w14:textId="77777777" w:rsidR="002C3B40" w:rsidRPr="004C7CDA" w:rsidRDefault="002C3B40" w:rsidP="004C7CDA">
      <w:pPr>
        <w:pStyle w:val="NASLOV123"/>
        <w:widowControl w:val="0"/>
        <w:spacing w:before="0" w:after="0"/>
        <w:jc w:val="both"/>
        <w:rPr>
          <w:lang w:val="sr-Latn-ME"/>
        </w:rPr>
      </w:pPr>
    </w:p>
    <w:p w14:paraId="615FE52B" w14:textId="11C3DFFB" w:rsidR="00CE09F3" w:rsidRPr="004C7CDA" w:rsidRDefault="00CE09F3" w:rsidP="004C7CDA">
      <w:pPr>
        <w:pStyle w:val="NASLOV123"/>
        <w:widowControl w:val="0"/>
        <w:spacing w:before="0" w:after="0"/>
        <w:jc w:val="both"/>
        <w:rPr>
          <w:lang w:val="sr-Latn-ME"/>
        </w:rPr>
      </w:pPr>
      <w:r w:rsidRPr="004C7CDA">
        <w:rPr>
          <w:lang w:val="sr-Latn-ME"/>
        </w:rPr>
        <w:t>7. NOSI</w:t>
      </w:r>
      <w:r w:rsidR="008B3ED5" w:rsidRPr="004C7CDA">
        <w:rPr>
          <w:lang w:val="sr-Latn-ME"/>
        </w:rPr>
        <w:t>L</w:t>
      </w:r>
      <w:r w:rsidRPr="004C7CDA">
        <w:rPr>
          <w:lang w:val="sr-Latn-ME"/>
        </w:rPr>
        <w:t>AC DOZVO</w:t>
      </w:r>
      <w:r w:rsidR="008B3ED5" w:rsidRPr="004C7CDA">
        <w:rPr>
          <w:lang w:val="sr-Latn-ME"/>
        </w:rPr>
        <w:t>L</w:t>
      </w:r>
      <w:r w:rsidRPr="004C7CDA">
        <w:rPr>
          <w:lang w:val="sr-Latn-ME"/>
        </w:rPr>
        <w:t xml:space="preserve">E </w:t>
      </w:r>
    </w:p>
    <w:p w14:paraId="5FC0DD57" w14:textId="77777777" w:rsidR="002C3B40" w:rsidRPr="004C7CDA" w:rsidRDefault="002C3B40" w:rsidP="004C7CDA">
      <w:pPr>
        <w:widowControl w:val="0"/>
        <w:rPr>
          <w:szCs w:val="22"/>
          <w:lang w:val="sr-Latn-ME"/>
        </w:rPr>
      </w:pPr>
    </w:p>
    <w:p w14:paraId="71F502D5" w14:textId="2FDFFBB5" w:rsidR="00D276A2" w:rsidRPr="004C7CDA" w:rsidRDefault="002E0469" w:rsidP="004C7CDA">
      <w:pPr>
        <w:widowControl w:val="0"/>
        <w:rPr>
          <w:szCs w:val="22"/>
          <w:lang w:val="sr-Latn-ME"/>
        </w:rPr>
      </w:pPr>
      <w:r w:rsidRPr="004C7CDA">
        <w:rPr>
          <w:szCs w:val="22"/>
          <w:lang w:val="sr-Latn-ME"/>
        </w:rPr>
        <w:t>Hemomont d.o.o</w:t>
      </w:r>
      <w:r w:rsidR="000F1A54" w:rsidRPr="004C7CDA">
        <w:rPr>
          <w:szCs w:val="22"/>
          <w:lang w:val="sr-Latn-ME"/>
        </w:rPr>
        <w:t>.</w:t>
      </w:r>
    </w:p>
    <w:p w14:paraId="6EADBF4F" w14:textId="08AA08B7" w:rsidR="002E0469" w:rsidRPr="004C7CDA" w:rsidRDefault="002E0469" w:rsidP="004C7CDA">
      <w:pPr>
        <w:widowControl w:val="0"/>
        <w:rPr>
          <w:szCs w:val="22"/>
          <w:lang w:val="sr-Latn-ME"/>
        </w:rPr>
      </w:pPr>
      <w:r w:rsidRPr="004C7CDA">
        <w:rPr>
          <w:szCs w:val="22"/>
          <w:lang w:val="sr-Latn-ME"/>
        </w:rPr>
        <w:t>8</w:t>
      </w:r>
      <w:r w:rsidR="000F1A54" w:rsidRPr="004C7CDA">
        <w:rPr>
          <w:szCs w:val="22"/>
          <w:lang w:val="sr-Latn-ME"/>
        </w:rPr>
        <w:t>.</w:t>
      </w:r>
      <w:r w:rsidRPr="004C7CDA">
        <w:rPr>
          <w:szCs w:val="22"/>
          <w:lang w:val="sr-Latn-ME"/>
        </w:rPr>
        <w:t xml:space="preserve"> marta 55A,</w:t>
      </w:r>
      <w:r w:rsidR="002C3B40" w:rsidRPr="004C7CDA">
        <w:rPr>
          <w:szCs w:val="22"/>
          <w:lang w:val="sr-Latn-ME"/>
        </w:rPr>
        <w:t xml:space="preserve"> </w:t>
      </w:r>
      <w:r w:rsidRPr="004C7CDA">
        <w:rPr>
          <w:szCs w:val="22"/>
          <w:lang w:val="sr-Latn-ME"/>
        </w:rPr>
        <w:t>Podgorica</w:t>
      </w:r>
      <w:r w:rsidR="002C3B40" w:rsidRPr="004C7CDA">
        <w:rPr>
          <w:szCs w:val="22"/>
          <w:lang w:val="sr-Latn-ME"/>
        </w:rPr>
        <w:t xml:space="preserve">, </w:t>
      </w:r>
      <w:r w:rsidRPr="004C7CDA">
        <w:rPr>
          <w:szCs w:val="22"/>
          <w:lang w:val="sr-Latn-ME"/>
        </w:rPr>
        <w:t>Crna Gora</w:t>
      </w:r>
    </w:p>
    <w:p w14:paraId="7C9C8FB6" w14:textId="77777777" w:rsidR="002E0469" w:rsidRPr="004C7CDA" w:rsidRDefault="002E0469" w:rsidP="004C7CDA">
      <w:pPr>
        <w:widowControl w:val="0"/>
        <w:rPr>
          <w:szCs w:val="22"/>
          <w:lang w:val="sr-Latn-ME"/>
        </w:rPr>
      </w:pPr>
    </w:p>
    <w:p w14:paraId="21B1DAA6" w14:textId="77777777" w:rsidR="002C3B40" w:rsidRPr="004C7CDA" w:rsidRDefault="002C3B40" w:rsidP="004C7CDA">
      <w:pPr>
        <w:widowControl w:val="0"/>
        <w:rPr>
          <w:szCs w:val="22"/>
          <w:lang w:val="sr-Latn-ME"/>
        </w:rPr>
      </w:pPr>
    </w:p>
    <w:p w14:paraId="50FEAC37" w14:textId="78BB8A28" w:rsidR="002E0469" w:rsidRPr="004C7CDA" w:rsidRDefault="002E0469" w:rsidP="004C7CDA">
      <w:pPr>
        <w:widowControl w:val="0"/>
        <w:tabs>
          <w:tab w:val="left" w:pos="540"/>
          <w:tab w:val="left" w:pos="569"/>
        </w:tabs>
        <w:rPr>
          <w:b/>
          <w:bCs/>
          <w:szCs w:val="22"/>
          <w:lang w:val="sr-Latn-ME"/>
        </w:rPr>
      </w:pPr>
      <w:r w:rsidRPr="004C7CDA">
        <w:rPr>
          <w:b/>
          <w:bCs/>
          <w:szCs w:val="22"/>
          <w:lang w:val="sr-Latn-ME"/>
        </w:rPr>
        <w:t xml:space="preserve">8. </w:t>
      </w:r>
      <w:r w:rsidRPr="004C7CDA">
        <w:rPr>
          <w:b/>
          <w:bCs/>
          <w:szCs w:val="22"/>
          <w:lang w:val="sr-Latn-ME"/>
        </w:rPr>
        <w:tab/>
        <w:t>BROJ DOZVO</w:t>
      </w:r>
      <w:r w:rsidR="008B3ED5" w:rsidRPr="004C7CDA">
        <w:rPr>
          <w:b/>
          <w:bCs/>
          <w:szCs w:val="22"/>
          <w:lang w:val="sr-Latn-ME"/>
        </w:rPr>
        <w:t>L</w:t>
      </w:r>
      <w:r w:rsidRPr="004C7CDA">
        <w:rPr>
          <w:b/>
          <w:bCs/>
          <w:szCs w:val="22"/>
          <w:lang w:val="sr-Latn-ME"/>
        </w:rPr>
        <w:t>E ZA STAV</w:t>
      </w:r>
      <w:r w:rsidR="008B3ED5" w:rsidRPr="004C7CDA">
        <w:rPr>
          <w:b/>
          <w:bCs/>
          <w:szCs w:val="22"/>
          <w:lang w:val="sr-Latn-ME"/>
        </w:rPr>
        <w:t>L</w:t>
      </w:r>
      <w:r w:rsidRPr="004C7CDA">
        <w:rPr>
          <w:b/>
          <w:bCs/>
          <w:szCs w:val="22"/>
          <w:lang w:val="sr-Latn-ME"/>
        </w:rPr>
        <w:t xml:space="preserve">JANJE </w:t>
      </w:r>
      <w:r w:rsidR="008B3ED5" w:rsidRPr="004C7CDA">
        <w:rPr>
          <w:b/>
          <w:bCs/>
          <w:szCs w:val="22"/>
          <w:lang w:val="sr-Latn-ME"/>
        </w:rPr>
        <w:t>L</w:t>
      </w:r>
      <w:r w:rsidRPr="004C7CDA">
        <w:rPr>
          <w:b/>
          <w:bCs/>
          <w:szCs w:val="22"/>
          <w:lang w:val="sr-Latn-ME"/>
        </w:rPr>
        <w:t>IJEKA U PROMET</w:t>
      </w:r>
    </w:p>
    <w:p w14:paraId="5521A726" w14:textId="2EF33795" w:rsidR="002E0469" w:rsidRPr="004C7CDA" w:rsidRDefault="002E0469" w:rsidP="004C7CDA">
      <w:pPr>
        <w:widowControl w:val="0"/>
        <w:tabs>
          <w:tab w:val="left" w:pos="540"/>
          <w:tab w:val="left" w:pos="569"/>
        </w:tabs>
        <w:rPr>
          <w:bCs/>
          <w:szCs w:val="22"/>
          <w:lang w:val="sr-Latn-ME"/>
        </w:rPr>
      </w:pPr>
    </w:p>
    <w:p w14:paraId="6C1198EF" w14:textId="2B28F3E6" w:rsidR="001102C9" w:rsidRPr="004C7CDA" w:rsidRDefault="00237B8B" w:rsidP="004C7CDA">
      <w:pPr>
        <w:widowControl w:val="0"/>
        <w:tabs>
          <w:tab w:val="left" w:pos="540"/>
          <w:tab w:val="left" w:pos="569"/>
        </w:tabs>
        <w:rPr>
          <w:bCs/>
          <w:szCs w:val="22"/>
          <w:lang w:val="sr-Latn-ME"/>
        </w:rPr>
      </w:pPr>
      <w:r w:rsidRPr="004C7CDA">
        <w:rPr>
          <w:rFonts w:eastAsia="TimesNewRoman"/>
          <w:szCs w:val="22"/>
          <w:lang w:val="sr-Latn-ME"/>
        </w:rPr>
        <w:t>2030/24/2221 - 7717</w:t>
      </w:r>
    </w:p>
    <w:p w14:paraId="7FB693BB" w14:textId="77777777" w:rsidR="002C3B40" w:rsidRPr="004C7CDA" w:rsidRDefault="002C3B40" w:rsidP="004C7CDA">
      <w:pPr>
        <w:widowControl w:val="0"/>
        <w:tabs>
          <w:tab w:val="left" w:pos="540"/>
          <w:tab w:val="left" w:pos="569"/>
        </w:tabs>
        <w:rPr>
          <w:bCs/>
          <w:szCs w:val="22"/>
          <w:lang w:val="sr-Latn-ME"/>
        </w:rPr>
      </w:pPr>
    </w:p>
    <w:p w14:paraId="23E440CA" w14:textId="77777777" w:rsidR="001C6F19" w:rsidRPr="004C7CDA" w:rsidRDefault="001C6F19" w:rsidP="004C7CDA">
      <w:pPr>
        <w:widowControl w:val="0"/>
        <w:tabs>
          <w:tab w:val="left" w:pos="540"/>
          <w:tab w:val="left" w:pos="569"/>
        </w:tabs>
        <w:rPr>
          <w:bCs/>
          <w:szCs w:val="22"/>
          <w:lang w:val="sr-Latn-ME"/>
        </w:rPr>
      </w:pPr>
    </w:p>
    <w:p w14:paraId="7DF85E8B" w14:textId="77F4F21E" w:rsidR="002E0469" w:rsidRPr="004C7CDA" w:rsidRDefault="002E0469" w:rsidP="004C7CDA">
      <w:pPr>
        <w:widowControl w:val="0"/>
        <w:tabs>
          <w:tab w:val="left" w:pos="540"/>
          <w:tab w:val="left" w:pos="569"/>
        </w:tabs>
        <w:rPr>
          <w:b/>
          <w:bCs/>
          <w:szCs w:val="22"/>
          <w:lang w:val="sr-Latn-ME"/>
        </w:rPr>
      </w:pPr>
      <w:r w:rsidRPr="004C7CDA">
        <w:rPr>
          <w:b/>
          <w:bCs/>
          <w:szCs w:val="22"/>
          <w:lang w:val="sr-Latn-ME"/>
        </w:rPr>
        <w:t xml:space="preserve">9. </w:t>
      </w:r>
      <w:r w:rsidRPr="004C7CDA">
        <w:rPr>
          <w:b/>
          <w:bCs/>
          <w:szCs w:val="22"/>
          <w:lang w:val="sr-Latn-ME"/>
        </w:rPr>
        <w:tab/>
        <w:t>DATUM PRVE DOZVO</w:t>
      </w:r>
      <w:r w:rsidR="008B3ED5" w:rsidRPr="004C7CDA">
        <w:rPr>
          <w:b/>
          <w:bCs/>
          <w:szCs w:val="22"/>
          <w:lang w:val="sr-Latn-ME"/>
        </w:rPr>
        <w:t>L</w:t>
      </w:r>
      <w:r w:rsidRPr="004C7CDA">
        <w:rPr>
          <w:b/>
          <w:bCs/>
          <w:szCs w:val="22"/>
          <w:lang w:val="sr-Latn-ME"/>
        </w:rPr>
        <w:t>E/OBNOVE DOZVO</w:t>
      </w:r>
      <w:r w:rsidR="008B3ED5" w:rsidRPr="004C7CDA">
        <w:rPr>
          <w:b/>
          <w:bCs/>
          <w:szCs w:val="22"/>
          <w:lang w:val="sr-Latn-ME"/>
        </w:rPr>
        <w:t>L</w:t>
      </w:r>
      <w:r w:rsidRPr="004C7CDA">
        <w:rPr>
          <w:b/>
          <w:bCs/>
          <w:szCs w:val="22"/>
          <w:lang w:val="sr-Latn-ME"/>
        </w:rPr>
        <w:t>E ZA STAV</w:t>
      </w:r>
      <w:r w:rsidR="008B3ED5" w:rsidRPr="004C7CDA">
        <w:rPr>
          <w:b/>
          <w:bCs/>
          <w:szCs w:val="22"/>
          <w:lang w:val="sr-Latn-ME"/>
        </w:rPr>
        <w:t>L</w:t>
      </w:r>
      <w:r w:rsidRPr="004C7CDA">
        <w:rPr>
          <w:b/>
          <w:bCs/>
          <w:szCs w:val="22"/>
          <w:lang w:val="sr-Latn-ME"/>
        </w:rPr>
        <w:t xml:space="preserve">JANJE </w:t>
      </w:r>
      <w:r w:rsidR="008B3ED5" w:rsidRPr="004C7CDA">
        <w:rPr>
          <w:b/>
          <w:bCs/>
          <w:szCs w:val="22"/>
          <w:lang w:val="sr-Latn-ME"/>
        </w:rPr>
        <w:t>L</w:t>
      </w:r>
      <w:r w:rsidRPr="004C7CDA">
        <w:rPr>
          <w:b/>
          <w:bCs/>
          <w:szCs w:val="22"/>
          <w:lang w:val="sr-Latn-ME"/>
        </w:rPr>
        <w:t>IJEKA U PROMET</w:t>
      </w:r>
    </w:p>
    <w:p w14:paraId="3C500304" w14:textId="2296FC61" w:rsidR="002E0469" w:rsidRPr="004C7CDA" w:rsidRDefault="002E0469" w:rsidP="004C7CDA">
      <w:pPr>
        <w:widowControl w:val="0"/>
        <w:tabs>
          <w:tab w:val="left" w:pos="540"/>
          <w:tab w:val="left" w:pos="569"/>
        </w:tabs>
        <w:rPr>
          <w:bCs/>
          <w:szCs w:val="22"/>
          <w:lang w:val="sr-Latn-ME"/>
        </w:rPr>
      </w:pPr>
    </w:p>
    <w:p w14:paraId="7919EF3F" w14:textId="20AA0361" w:rsidR="006E23BC" w:rsidRPr="004C7CDA" w:rsidRDefault="000F1A54" w:rsidP="004C7CDA">
      <w:pPr>
        <w:widowControl w:val="0"/>
        <w:tabs>
          <w:tab w:val="left" w:pos="540"/>
          <w:tab w:val="left" w:pos="569"/>
        </w:tabs>
        <w:rPr>
          <w:bCs/>
          <w:szCs w:val="22"/>
          <w:lang w:val="sr-Latn-ME"/>
        </w:rPr>
      </w:pPr>
      <w:r w:rsidRPr="004C7CDA">
        <w:rPr>
          <w:szCs w:val="22"/>
          <w:lang w:val="sr-Latn-ME"/>
        </w:rPr>
        <w:t xml:space="preserve">Datum prve dozvole: </w:t>
      </w:r>
      <w:r w:rsidR="006E23BC" w:rsidRPr="004C7CDA">
        <w:rPr>
          <w:bCs/>
          <w:szCs w:val="22"/>
          <w:lang w:val="sr-Latn-ME"/>
        </w:rPr>
        <w:t>18.03.2009.</w:t>
      </w:r>
      <w:r w:rsidR="008B3ED5" w:rsidRPr="004C7CDA">
        <w:rPr>
          <w:bCs/>
          <w:szCs w:val="22"/>
          <w:lang w:val="sr-Latn-ME"/>
        </w:rPr>
        <w:t xml:space="preserve"> </w:t>
      </w:r>
      <w:r w:rsidRPr="004C7CDA">
        <w:rPr>
          <w:bCs/>
          <w:szCs w:val="22"/>
          <w:lang w:val="sr-Latn-ME"/>
        </w:rPr>
        <w:t>godine</w:t>
      </w:r>
    </w:p>
    <w:p w14:paraId="0B4F6001" w14:textId="4CA215F0" w:rsidR="000F1A54" w:rsidRPr="004C7CDA" w:rsidRDefault="000F1A54" w:rsidP="004C7CDA">
      <w:pPr>
        <w:widowControl w:val="0"/>
        <w:rPr>
          <w:szCs w:val="22"/>
          <w:lang w:val="sr-Latn-ME"/>
        </w:rPr>
      </w:pPr>
      <w:r w:rsidRPr="004C7CDA">
        <w:rPr>
          <w:szCs w:val="22"/>
          <w:lang w:val="sr-Latn-ME"/>
        </w:rPr>
        <w:t xml:space="preserve">Datum posljednje obnove dozvole: </w:t>
      </w:r>
      <w:r w:rsidR="00237B8B" w:rsidRPr="004C7CDA">
        <w:rPr>
          <w:rFonts w:eastAsia="TimesNewRoman"/>
          <w:szCs w:val="22"/>
          <w:lang w:val="sr-Latn-ME"/>
        </w:rPr>
        <w:t>17.04.2024. godine</w:t>
      </w:r>
    </w:p>
    <w:p w14:paraId="6490887E" w14:textId="77777777" w:rsidR="002E0469" w:rsidRPr="004C7CDA" w:rsidRDefault="002E0469" w:rsidP="004C7CDA">
      <w:pPr>
        <w:widowControl w:val="0"/>
        <w:tabs>
          <w:tab w:val="left" w:pos="540"/>
          <w:tab w:val="left" w:pos="569"/>
        </w:tabs>
        <w:rPr>
          <w:bCs/>
          <w:szCs w:val="22"/>
          <w:lang w:val="sr-Latn-ME"/>
        </w:rPr>
      </w:pPr>
    </w:p>
    <w:p w14:paraId="066E11D3" w14:textId="77777777" w:rsidR="002C3B40" w:rsidRPr="004C7CDA" w:rsidRDefault="002C3B40" w:rsidP="004C7CDA">
      <w:pPr>
        <w:widowControl w:val="0"/>
        <w:tabs>
          <w:tab w:val="left" w:pos="540"/>
          <w:tab w:val="left" w:pos="569"/>
        </w:tabs>
        <w:rPr>
          <w:bCs/>
          <w:szCs w:val="22"/>
          <w:lang w:val="sr-Latn-ME"/>
        </w:rPr>
      </w:pPr>
    </w:p>
    <w:p w14:paraId="17D13406" w14:textId="5C131CB9" w:rsidR="002E0469" w:rsidRPr="004C7CDA" w:rsidRDefault="002E0469" w:rsidP="004C7CDA">
      <w:pPr>
        <w:widowControl w:val="0"/>
        <w:tabs>
          <w:tab w:val="left" w:pos="540"/>
          <w:tab w:val="left" w:pos="569"/>
        </w:tabs>
        <w:ind w:left="540" w:hanging="540"/>
        <w:rPr>
          <w:b/>
          <w:bCs/>
          <w:szCs w:val="22"/>
          <w:lang w:val="sr-Latn-ME"/>
        </w:rPr>
      </w:pPr>
      <w:r w:rsidRPr="004C7CDA">
        <w:rPr>
          <w:b/>
          <w:bCs/>
          <w:szCs w:val="22"/>
          <w:lang w:val="sr-Latn-ME"/>
        </w:rPr>
        <w:t xml:space="preserve">10. </w:t>
      </w:r>
      <w:r w:rsidRPr="004C7CDA">
        <w:rPr>
          <w:b/>
          <w:bCs/>
          <w:szCs w:val="22"/>
          <w:lang w:val="sr-Latn-ME"/>
        </w:rPr>
        <w:tab/>
        <w:t xml:space="preserve">DATUM REVIZIJE TEKSTA </w:t>
      </w:r>
    </w:p>
    <w:p w14:paraId="6441C590" w14:textId="7CB9FC32" w:rsidR="002E0469" w:rsidRPr="004C7CDA" w:rsidRDefault="002E0469" w:rsidP="004C7CDA">
      <w:pPr>
        <w:widowControl w:val="0"/>
        <w:tabs>
          <w:tab w:val="left" w:pos="540"/>
          <w:tab w:val="left" w:pos="569"/>
        </w:tabs>
        <w:ind w:left="540" w:hanging="540"/>
        <w:rPr>
          <w:b/>
          <w:bCs/>
          <w:szCs w:val="22"/>
          <w:lang w:val="sr-Latn-ME"/>
        </w:rPr>
      </w:pPr>
    </w:p>
    <w:p w14:paraId="26C0C924" w14:textId="0B9BD00D" w:rsidR="006E52C1" w:rsidRPr="004C7CDA" w:rsidRDefault="0076753C" w:rsidP="004C7CDA">
      <w:pPr>
        <w:widowControl w:val="0"/>
        <w:rPr>
          <w:szCs w:val="22"/>
          <w:lang w:val="sr-Latn-ME"/>
        </w:rPr>
      </w:pPr>
      <w:r>
        <w:rPr>
          <w:szCs w:val="22"/>
          <w:lang w:val="sr-Latn-ME"/>
        </w:rPr>
        <w:t>Februar</w:t>
      </w:r>
      <w:r w:rsidR="00C62856" w:rsidRPr="004C7CDA">
        <w:rPr>
          <w:szCs w:val="22"/>
          <w:lang w:val="sr-Latn-ME"/>
        </w:rPr>
        <w:t>, 202</w:t>
      </w:r>
      <w:r w:rsidR="004C7CDA">
        <w:rPr>
          <w:szCs w:val="22"/>
          <w:lang w:val="sr-Latn-ME"/>
        </w:rPr>
        <w:t>5</w:t>
      </w:r>
      <w:r w:rsidR="00C62856" w:rsidRPr="004C7CDA">
        <w:rPr>
          <w:szCs w:val="22"/>
          <w:lang w:val="sr-Latn-ME"/>
        </w:rPr>
        <w:t>.</w:t>
      </w:r>
      <w:r w:rsidR="00237B8B" w:rsidRPr="004C7CDA">
        <w:rPr>
          <w:rFonts w:eastAsia="TimesNewRoman"/>
          <w:szCs w:val="22"/>
          <w:lang w:val="sr-Latn-ME"/>
        </w:rPr>
        <w:t xml:space="preserve"> godine</w:t>
      </w:r>
    </w:p>
    <w:sectPr w:rsidR="006E52C1" w:rsidRPr="004C7CDA" w:rsidSect="0076753C">
      <w:footerReference w:type="even" r:id="rId13"/>
      <w:footerReference w:type="default" r:id="rId14"/>
      <w:pgSz w:w="11907" w:h="16840" w:code="9"/>
      <w:pgMar w:top="851" w:right="1418" w:bottom="851"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EED7C" w14:textId="77777777" w:rsidR="00E15B43" w:rsidRDefault="00E15B43">
      <w:r>
        <w:separator/>
      </w:r>
    </w:p>
  </w:endnote>
  <w:endnote w:type="continuationSeparator" w:id="0">
    <w:p w14:paraId="2E03C93B" w14:textId="77777777" w:rsidR="00E15B43" w:rsidRDefault="00E1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DD5F2" w14:textId="77777777" w:rsidR="00571205" w:rsidRDefault="00571205"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2456248" w14:textId="77777777" w:rsidR="00571205" w:rsidRDefault="005712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B7051" w14:textId="270DF0C8" w:rsidR="00571205" w:rsidRPr="006543A0" w:rsidRDefault="00E15B43" w:rsidP="006543A0">
    <w:pPr>
      <w:pStyle w:val="Footer"/>
      <w:tabs>
        <w:tab w:val="left" w:pos="5448"/>
      </w:tabs>
      <w:jc w:val="center"/>
      <w:rPr>
        <w:sz w:val="28"/>
        <w:szCs w:val="32"/>
      </w:rPr>
    </w:pPr>
    <w:sdt>
      <w:sdtPr>
        <w:id w:val="25862803"/>
        <w:docPartObj>
          <w:docPartGallery w:val="Page Numbers (Bottom of Page)"/>
          <w:docPartUnique/>
        </w:docPartObj>
      </w:sdtPr>
      <w:sdtEndPr>
        <w:rPr>
          <w:sz w:val="28"/>
          <w:szCs w:val="32"/>
        </w:rPr>
      </w:sdtEndPr>
      <w:sdtContent>
        <w:sdt>
          <w:sdtPr>
            <w:id w:val="565050477"/>
            <w:docPartObj>
              <w:docPartGallery w:val="Page Numbers (Top of Page)"/>
              <w:docPartUnique/>
            </w:docPartObj>
          </w:sdtPr>
          <w:sdtEndPr>
            <w:rPr>
              <w:sz w:val="28"/>
              <w:szCs w:val="32"/>
            </w:rPr>
          </w:sdtEndPr>
          <w:sdtContent>
            <w:r w:rsidR="00571205" w:rsidRPr="006543A0">
              <w:rPr>
                <w:szCs w:val="22"/>
              </w:rPr>
              <w:fldChar w:fldCharType="begin"/>
            </w:r>
            <w:r w:rsidR="00571205" w:rsidRPr="006543A0">
              <w:rPr>
                <w:szCs w:val="22"/>
              </w:rPr>
              <w:instrText xml:space="preserve"> PAGE </w:instrText>
            </w:r>
            <w:r w:rsidR="00571205" w:rsidRPr="006543A0">
              <w:rPr>
                <w:szCs w:val="22"/>
              </w:rPr>
              <w:fldChar w:fldCharType="separate"/>
            </w:r>
            <w:r w:rsidR="003879C8">
              <w:rPr>
                <w:noProof/>
                <w:szCs w:val="22"/>
              </w:rPr>
              <w:t>10</w:t>
            </w:r>
            <w:r w:rsidR="00571205" w:rsidRPr="006543A0">
              <w:rPr>
                <w:szCs w:val="22"/>
              </w:rPr>
              <w:fldChar w:fldCharType="end"/>
            </w:r>
            <w:r w:rsidR="00571205" w:rsidRPr="006543A0">
              <w:rPr>
                <w:szCs w:val="22"/>
              </w:rPr>
              <w:t xml:space="preserve"> / </w:t>
            </w:r>
            <w:r w:rsidR="00571205" w:rsidRPr="006543A0">
              <w:rPr>
                <w:szCs w:val="22"/>
              </w:rPr>
              <w:fldChar w:fldCharType="begin"/>
            </w:r>
            <w:r w:rsidR="00571205" w:rsidRPr="006543A0">
              <w:rPr>
                <w:szCs w:val="22"/>
              </w:rPr>
              <w:instrText xml:space="preserve"> NUMPAGES  </w:instrText>
            </w:r>
            <w:r w:rsidR="00571205" w:rsidRPr="006543A0">
              <w:rPr>
                <w:szCs w:val="22"/>
              </w:rPr>
              <w:fldChar w:fldCharType="separate"/>
            </w:r>
            <w:r w:rsidR="003879C8">
              <w:rPr>
                <w:noProof/>
                <w:szCs w:val="22"/>
              </w:rPr>
              <w:t>10</w:t>
            </w:r>
            <w:r w:rsidR="00571205" w:rsidRPr="006543A0">
              <w:rPr>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1AE26" w14:textId="77777777" w:rsidR="00E15B43" w:rsidRDefault="00E15B43">
      <w:r>
        <w:separator/>
      </w:r>
    </w:p>
  </w:footnote>
  <w:footnote w:type="continuationSeparator" w:id="0">
    <w:p w14:paraId="3E18D325" w14:textId="77777777" w:rsidR="00E15B43" w:rsidRDefault="00E15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A964F03"/>
    <w:multiLevelType w:val="hybridMultilevel"/>
    <w:tmpl w:val="DF542EBA"/>
    <w:lvl w:ilvl="0" w:tplc="2B8E60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2206D95"/>
    <w:multiLevelType w:val="hybridMultilevel"/>
    <w:tmpl w:val="7DA6E7E6"/>
    <w:lvl w:ilvl="0" w:tplc="2B8E60C2">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2D303783"/>
    <w:multiLevelType w:val="hybridMultilevel"/>
    <w:tmpl w:val="9BAA48A6"/>
    <w:lvl w:ilvl="0" w:tplc="2B8E60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B5FD3"/>
    <w:multiLevelType w:val="hybridMultilevel"/>
    <w:tmpl w:val="F1481FAC"/>
    <w:lvl w:ilvl="0" w:tplc="2B8E60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87A92"/>
    <w:multiLevelType w:val="hybridMultilevel"/>
    <w:tmpl w:val="0C9C064A"/>
    <w:lvl w:ilvl="0" w:tplc="2B8E60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44081"/>
    <w:multiLevelType w:val="hybridMultilevel"/>
    <w:tmpl w:val="8BF837B4"/>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00469"/>
    <w:multiLevelType w:val="hybridMultilevel"/>
    <w:tmpl w:val="B518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A82ACA"/>
    <w:multiLevelType w:val="hybridMultilevel"/>
    <w:tmpl w:val="7F3A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D33F8A"/>
    <w:multiLevelType w:val="hybridMultilevel"/>
    <w:tmpl w:val="B7DE63B8"/>
    <w:lvl w:ilvl="0" w:tplc="2B8E60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984509"/>
    <w:multiLevelType w:val="hybridMultilevel"/>
    <w:tmpl w:val="7214FD62"/>
    <w:lvl w:ilvl="0" w:tplc="2B8E60C2">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567B6D79"/>
    <w:multiLevelType w:val="hybridMultilevel"/>
    <w:tmpl w:val="9A6E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FF2462"/>
    <w:multiLevelType w:val="hybridMultilevel"/>
    <w:tmpl w:val="2CA2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F8225D"/>
    <w:multiLevelType w:val="hybridMultilevel"/>
    <w:tmpl w:val="E5FC96BA"/>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748E3EB3"/>
    <w:multiLevelType w:val="hybridMultilevel"/>
    <w:tmpl w:val="263C26DE"/>
    <w:lvl w:ilvl="0" w:tplc="2B8E60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AA5FCF"/>
    <w:multiLevelType w:val="hybridMultilevel"/>
    <w:tmpl w:val="8958664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9BC7DD2"/>
    <w:multiLevelType w:val="hybridMultilevel"/>
    <w:tmpl w:val="80801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7"/>
    </w:lvlOverride>
  </w:num>
  <w:num w:numId="3">
    <w:abstractNumId w:val="17"/>
  </w:num>
  <w:num w:numId="4">
    <w:abstractNumId w:val="16"/>
  </w:num>
  <w:num w:numId="5">
    <w:abstractNumId w:val="14"/>
  </w:num>
  <w:num w:numId="6">
    <w:abstractNumId w:val="12"/>
  </w:num>
  <w:num w:numId="7">
    <w:abstractNumId w:val="7"/>
  </w:num>
  <w:num w:numId="8">
    <w:abstractNumId w:val="13"/>
  </w:num>
  <w:num w:numId="9">
    <w:abstractNumId w:val="10"/>
  </w:num>
  <w:num w:numId="10">
    <w:abstractNumId w:val="15"/>
  </w:num>
  <w:num w:numId="11">
    <w:abstractNumId w:val="6"/>
  </w:num>
  <w:num w:numId="12">
    <w:abstractNumId w:val="8"/>
  </w:num>
  <w:num w:numId="13">
    <w:abstractNumId w:val="9"/>
  </w:num>
  <w:num w:numId="14">
    <w:abstractNumId w:val="1"/>
  </w:num>
  <w:num w:numId="15">
    <w:abstractNumId w:val="4"/>
  </w:num>
  <w:num w:numId="16">
    <w:abstractNumId w:val="5"/>
  </w:num>
  <w:num w:numId="17">
    <w:abstractNumId w:val="11"/>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4CF1"/>
    <w:rsid w:val="000100B2"/>
    <w:rsid w:val="0001043A"/>
    <w:rsid w:val="00015019"/>
    <w:rsid w:val="00015647"/>
    <w:rsid w:val="00017136"/>
    <w:rsid w:val="00017801"/>
    <w:rsid w:val="00026140"/>
    <w:rsid w:val="000352EB"/>
    <w:rsid w:val="000526CB"/>
    <w:rsid w:val="0005798D"/>
    <w:rsid w:val="000628F9"/>
    <w:rsid w:val="00064273"/>
    <w:rsid w:val="00074AE5"/>
    <w:rsid w:val="00083BE0"/>
    <w:rsid w:val="00084156"/>
    <w:rsid w:val="0008463A"/>
    <w:rsid w:val="000847FA"/>
    <w:rsid w:val="000867F6"/>
    <w:rsid w:val="00095FB6"/>
    <w:rsid w:val="0009758B"/>
    <w:rsid w:val="000A0F4A"/>
    <w:rsid w:val="000B3FB3"/>
    <w:rsid w:val="000C04E5"/>
    <w:rsid w:val="000C4154"/>
    <w:rsid w:val="000D5631"/>
    <w:rsid w:val="000E4553"/>
    <w:rsid w:val="000E75C0"/>
    <w:rsid w:val="000F1A54"/>
    <w:rsid w:val="000F1DC7"/>
    <w:rsid w:val="000F5898"/>
    <w:rsid w:val="00101A7E"/>
    <w:rsid w:val="00102936"/>
    <w:rsid w:val="001060CE"/>
    <w:rsid w:val="001102C9"/>
    <w:rsid w:val="001144BA"/>
    <w:rsid w:val="0012563A"/>
    <w:rsid w:val="001336E3"/>
    <w:rsid w:val="00134461"/>
    <w:rsid w:val="00134F3F"/>
    <w:rsid w:val="00137876"/>
    <w:rsid w:val="00141639"/>
    <w:rsid w:val="0014180A"/>
    <w:rsid w:val="0014643D"/>
    <w:rsid w:val="00147208"/>
    <w:rsid w:val="001539E2"/>
    <w:rsid w:val="00154869"/>
    <w:rsid w:val="00164230"/>
    <w:rsid w:val="00166450"/>
    <w:rsid w:val="00171F3A"/>
    <w:rsid w:val="00173D18"/>
    <w:rsid w:val="00175772"/>
    <w:rsid w:val="00175A7E"/>
    <w:rsid w:val="001814ED"/>
    <w:rsid w:val="0018601D"/>
    <w:rsid w:val="001916B7"/>
    <w:rsid w:val="001936C7"/>
    <w:rsid w:val="00194EAC"/>
    <w:rsid w:val="00196B29"/>
    <w:rsid w:val="001A475C"/>
    <w:rsid w:val="001A5C8D"/>
    <w:rsid w:val="001A683D"/>
    <w:rsid w:val="001B706A"/>
    <w:rsid w:val="001C6F19"/>
    <w:rsid w:val="001C7C3D"/>
    <w:rsid w:val="001D10C9"/>
    <w:rsid w:val="001D68B2"/>
    <w:rsid w:val="001D6F1A"/>
    <w:rsid w:val="001D78DF"/>
    <w:rsid w:val="001E0A07"/>
    <w:rsid w:val="001E6145"/>
    <w:rsid w:val="001F2D4E"/>
    <w:rsid w:val="001F39B6"/>
    <w:rsid w:val="00204472"/>
    <w:rsid w:val="00220915"/>
    <w:rsid w:val="0022218E"/>
    <w:rsid w:val="0022223A"/>
    <w:rsid w:val="002236C1"/>
    <w:rsid w:val="00224634"/>
    <w:rsid w:val="00227166"/>
    <w:rsid w:val="002343DF"/>
    <w:rsid w:val="00237B8B"/>
    <w:rsid w:val="0024132F"/>
    <w:rsid w:val="00242DCD"/>
    <w:rsid w:val="00247C5C"/>
    <w:rsid w:val="00251751"/>
    <w:rsid w:val="002529A2"/>
    <w:rsid w:val="002545DB"/>
    <w:rsid w:val="00272263"/>
    <w:rsid w:val="00273015"/>
    <w:rsid w:val="00273BE0"/>
    <w:rsid w:val="002767DD"/>
    <w:rsid w:val="0027705F"/>
    <w:rsid w:val="00282443"/>
    <w:rsid w:val="002A2CD0"/>
    <w:rsid w:val="002B060E"/>
    <w:rsid w:val="002B277A"/>
    <w:rsid w:val="002B6F6A"/>
    <w:rsid w:val="002C0FBF"/>
    <w:rsid w:val="002C3B40"/>
    <w:rsid w:val="002D100F"/>
    <w:rsid w:val="002D1CB7"/>
    <w:rsid w:val="002D2CA9"/>
    <w:rsid w:val="002D3727"/>
    <w:rsid w:val="002D5B40"/>
    <w:rsid w:val="002E0469"/>
    <w:rsid w:val="002F5E2F"/>
    <w:rsid w:val="002F60F7"/>
    <w:rsid w:val="0030189E"/>
    <w:rsid w:val="003074D6"/>
    <w:rsid w:val="0031023F"/>
    <w:rsid w:val="003133AD"/>
    <w:rsid w:val="00316028"/>
    <w:rsid w:val="00316FC0"/>
    <w:rsid w:val="003415FF"/>
    <w:rsid w:val="003428AB"/>
    <w:rsid w:val="003452C0"/>
    <w:rsid w:val="00352A9F"/>
    <w:rsid w:val="00352F43"/>
    <w:rsid w:val="00356C76"/>
    <w:rsid w:val="003576DA"/>
    <w:rsid w:val="0036101D"/>
    <w:rsid w:val="003642DE"/>
    <w:rsid w:val="003666EF"/>
    <w:rsid w:val="003707B2"/>
    <w:rsid w:val="00383195"/>
    <w:rsid w:val="003874A1"/>
    <w:rsid w:val="003879C8"/>
    <w:rsid w:val="00390167"/>
    <w:rsid w:val="003A2BEA"/>
    <w:rsid w:val="003A2DF8"/>
    <w:rsid w:val="003B1461"/>
    <w:rsid w:val="003B2082"/>
    <w:rsid w:val="003C131E"/>
    <w:rsid w:val="003C18A4"/>
    <w:rsid w:val="003C4BB6"/>
    <w:rsid w:val="003C63F2"/>
    <w:rsid w:val="003D154D"/>
    <w:rsid w:val="003E108B"/>
    <w:rsid w:val="003E1A8F"/>
    <w:rsid w:val="003E3EC7"/>
    <w:rsid w:val="003F5EFB"/>
    <w:rsid w:val="003F7227"/>
    <w:rsid w:val="00400DD3"/>
    <w:rsid w:val="004118E8"/>
    <w:rsid w:val="004123CD"/>
    <w:rsid w:val="00412869"/>
    <w:rsid w:val="004234ED"/>
    <w:rsid w:val="00424303"/>
    <w:rsid w:val="00425111"/>
    <w:rsid w:val="00425A2B"/>
    <w:rsid w:val="00427D41"/>
    <w:rsid w:val="004433C2"/>
    <w:rsid w:val="0044370A"/>
    <w:rsid w:val="00445EA6"/>
    <w:rsid w:val="00462C33"/>
    <w:rsid w:val="00464865"/>
    <w:rsid w:val="00467DD4"/>
    <w:rsid w:val="00472D36"/>
    <w:rsid w:val="00473189"/>
    <w:rsid w:val="0047518D"/>
    <w:rsid w:val="004802F5"/>
    <w:rsid w:val="00492017"/>
    <w:rsid w:val="00492248"/>
    <w:rsid w:val="00493D3C"/>
    <w:rsid w:val="004972AB"/>
    <w:rsid w:val="00497648"/>
    <w:rsid w:val="004B5A11"/>
    <w:rsid w:val="004B7A50"/>
    <w:rsid w:val="004B7EA2"/>
    <w:rsid w:val="004C7CDA"/>
    <w:rsid w:val="004D230F"/>
    <w:rsid w:val="004D41C9"/>
    <w:rsid w:val="004E4320"/>
    <w:rsid w:val="00501360"/>
    <w:rsid w:val="00501B1A"/>
    <w:rsid w:val="005033DA"/>
    <w:rsid w:val="00503922"/>
    <w:rsid w:val="00503974"/>
    <w:rsid w:val="00507DBA"/>
    <w:rsid w:val="005135C5"/>
    <w:rsid w:val="005160D3"/>
    <w:rsid w:val="00521734"/>
    <w:rsid w:val="005218FD"/>
    <w:rsid w:val="0052230B"/>
    <w:rsid w:val="00523B9D"/>
    <w:rsid w:val="00525A8A"/>
    <w:rsid w:val="005276F0"/>
    <w:rsid w:val="0053025E"/>
    <w:rsid w:val="00530909"/>
    <w:rsid w:val="00537A77"/>
    <w:rsid w:val="005424C3"/>
    <w:rsid w:val="00553836"/>
    <w:rsid w:val="00554AF0"/>
    <w:rsid w:val="00571205"/>
    <w:rsid w:val="00571A65"/>
    <w:rsid w:val="00573295"/>
    <w:rsid w:val="0058169A"/>
    <w:rsid w:val="0059622C"/>
    <w:rsid w:val="005A6215"/>
    <w:rsid w:val="005B0209"/>
    <w:rsid w:val="005B3388"/>
    <w:rsid w:val="005C3F73"/>
    <w:rsid w:val="005C7891"/>
    <w:rsid w:val="005D2721"/>
    <w:rsid w:val="005E05C9"/>
    <w:rsid w:val="005E1AFE"/>
    <w:rsid w:val="005E4C2B"/>
    <w:rsid w:val="005F56D8"/>
    <w:rsid w:val="00600983"/>
    <w:rsid w:val="00600BB5"/>
    <w:rsid w:val="0060295A"/>
    <w:rsid w:val="00603302"/>
    <w:rsid w:val="006034F5"/>
    <w:rsid w:val="00604E4F"/>
    <w:rsid w:val="006054EE"/>
    <w:rsid w:val="006118B6"/>
    <w:rsid w:val="00615D07"/>
    <w:rsid w:val="00625675"/>
    <w:rsid w:val="006270C0"/>
    <w:rsid w:val="00630195"/>
    <w:rsid w:val="006318ED"/>
    <w:rsid w:val="006446D7"/>
    <w:rsid w:val="006504B0"/>
    <w:rsid w:val="00650A48"/>
    <w:rsid w:val="00651DC7"/>
    <w:rsid w:val="00651EE3"/>
    <w:rsid w:val="006543A0"/>
    <w:rsid w:val="006559AF"/>
    <w:rsid w:val="00660A8E"/>
    <w:rsid w:val="00660ED5"/>
    <w:rsid w:val="00672A50"/>
    <w:rsid w:val="006739E2"/>
    <w:rsid w:val="00682145"/>
    <w:rsid w:val="006830C8"/>
    <w:rsid w:val="00684CA6"/>
    <w:rsid w:val="00690A84"/>
    <w:rsid w:val="00690CA9"/>
    <w:rsid w:val="00692559"/>
    <w:rsid w:val="00693874"/>
    <w:rsid w:val="00693F46"/>
    <w:rsid w:val="006A1CC6"/>
    <w:rsid w:val="006A52B3"/>
    <w:rsid w:val="006B3FFB"/>
    <w:rsid w:val="006D03CD"/>
    <w:rsid w:val="006D1E37"/>
    <w:rsid w:val="006E23BC"/>
    <w:rsid w:val="006E488F"/>
    <w:rsid w:val="006E52C1"/>
    <w:rsid w:val="006F07DA"/>
    <w:rsid w:val="006F158F"/>
    <w:rsid w:val="007023B1"/>
    <w:rsid w:val="007028F9"/>
    <w:rsid w:val="007043EC"/>
    <w:rsid w:val="0071694A"/>
    <w:rsid w:val="007203FA"/>
    <w:rsid w:val="007269F9"/>
    <w:rsid w:val="00731087"/>
    <w:rsid w:val="0074113A"/>
    <w:rsid w:val="007507BB"/>
    <w:rsid w:val="00760693"/>
    <w:rsid w:val="00764648"/>
    <w:rsid w:val="007672F3"/>
    <w:rsid w:val="0076753C"/>
    <w:rsid w:val="007735C3"/>
    <w:rsid w:val="00785081"/>
    <w:rsid w:val="0078570C"/>
    <w:rsid w:val="007B16C4"/>
    <w:rsid w:val="007B3F3B"/>
    <w:rsid w:val="007B4D25"/>
    <w:rsid w:val="007C2D7E"/>
    <w:rsid w:val="007C6375"/>
    <w:rsid w:val="007D17FD"/>
    <w:rsid w:val="007D198B"/>
    <w:rsid w:val="007D303B"/>
    <w:rsid w:val="007D48C5"/>
    <w:rsid w:val="007E037F"/>
    <w:rsid w:val="007E06F0"/>
    <w:rsid w:val="007E2975"/>
    <w:rsid w:val="007E4097"/>
    <w:rsid w:val="007F3F1B"/>
    <w:rsid w:val="007F525F"/>
    <w:rsid w:val="00800356"/>
    <w:rsid w:val="00802DFC"/>
    <w:rsid w:val="00805BE0"/>
    <w:rsid w:val="00806DB6"/>
    <w:rsid w:val="008116F5"/>
    <w:rsid w:val="00814781"/>
    <w:rsid w:val="008154FB"/>
    <w:rsid w:val="00817CF2"/>
    <w:rsid w:val="00821EBB"/>
    <w:rsid w:val="0082327F"/>
    <w:rsid w:val="00834DBB"/>
    <w:rsid w:val="0083533A"/>
    <w:rsid w:val="00835811"/>
    <w:rsid w:val="00836136"/>
    <w:rsid w:val="00842352"/>
    <w:rsid w:val="00842FFB"/>
    <w:rsid w:val="0084482E"/>
    <w:rsid w:val="00852DD0"/>
    <w:rsid w:val="0085716D"/>
    <w:rsid w:val="008603B9"/>
    <w:rsid w:val="0086351A"/>
    <w:rsid w:val="0086389F"/>
    <w:rsid w:val="008655B1"/>
    <w:rsid w:val="0087394B"/>
    <w:rsid w:val="00874B61"/>
    <w:rsid w:val="008A45E1"/>
    <w:rsid w:val="008A48B7"/>
    <w:rsid w:val="008B3EB5"/>
    <w:rsid w:val="008B3ED5"/>
    <w:rsid w:val="008B445B"/>
    <w:rsid w:val="008C5809"/>
    <w:rsid w:val="008D068E"/>
    <w:rsid w:val="008D43BB"/>
    <w:rsid w:val="008D78C9"/>
    <w:rsid w:val="008D794C"/>
    <w:rsid w:val="008D7D8F"/>
    <w:rsid w:val="008E0FC9"/>
    <w:rsid w:val="008F35C8"/>
    <w:rsid w:val="009037CA"/>
    <w:rsid w:val="00905DBE"/>
    <w:rsid w:val="0091033F"/>
    <w:rsid w:val="0091092E"/>
    <w:rsid w:val="00913684"/>
    <w:rsid w:val="00923865"/>
    <w:rsid w:val="00926E4D"/>
    <w:rsid w:val="00927404"/>
    <w:rsid w:val="0093016E"/>
    <w:rsid w:val="009324E6"/>
    <w:rsid w:val="00934B4D"/>
    <w:rsid w:val="009508D7"/>
    <w:rsid w:val="00955C75"/>
    <w:rsid w:val="0096118F"/>
    <w:rsid w:val="009614EC"/>
    <w:rsid w:val="00965575"/>
    <w:rsid w:val="009677DF"/>
    <w:rsid w:val="009749F2"/>
    <w:rsid w:val="00976D20"/>
    <w:rsid w:val="009828E4"/>
    <w:rsid w:val="00990DF3"/>
    <w:rsid w:val="00992737"/>
    <w:rsid w:val="009938FF"/>
    <w:rsid w:val="009946F8"/>
    <w:rsid w:val="00996241"/>
    <w:rsid w:val="00996E6B"/>
    <w:rsid w:val="009A1D64"/>
    <w:rsid w:val="009A52D9"/>
    <w:rsid w:val="009B1292"/>
    <w:rsid w:val="009B2430"/>
    <w:rsid w:val="009B338B"/>
    <w:rsid w:val="009B58AD"/>
    <w:rsid w:val="009B629A"/>
    <w:rsid w:val="009B7935"/>
    <w:rsid w:val="009C2226"/>
    <w:rsid w:val="009C53DA"/>
    <w:rsid w:val="009C7BA2"/>
    <w:rsid w:val="009D1161"/>
    <w:rsid w:val="009D667B"/>
    <w:rsid w:val="009E649F"/>
    <w:rsid w:val="009E7D0B"/>
    <w:rsid w:val="009F23E8"/>
    <w:rsid w:val="009F38F9"/>
    <w:rsid w:val="009F4449"/>
    <w:rsid w:val="009F7B76"/>
    <w:rsid w:val="00A02252"/>
    <w:rsid w:val="00A127F1"/>
    <w:rsid w:val="00A1316D"/>
    <w:rsid w:val="00A13F2E"/>
    <w:rsid w:val="00A249AB"/>
    <w:rsid w:val="00A27130"/>
    <w:rsid w:val="00A27374"/>
    <w:rsid w:val="00A3060F"/>
    <w:rsid w:val="00A325F3"/>
    <w:rsid w:val="00A36958"/>
    <w:rsid w:val="00A5077A"/>
    <w:rsid w:val="00A51692"/>
    <w:rsid w:val="00A60F69"/>
    <w:rsid w:val="00A61B10"/>
    <w:rsid w:val="00A65A41"/>
    <w:rsid w:val="00A711B8"/>
    <w:rsid w:val="00A7147C"/>
    <w:rsid w:val="00A75489"/>
    <w:rsid w:val="00A7660B"/>
    <w:rsid w:val="00A80A83"/>
    <w:rsid w:val="00A8625E"/>
    <w:rsid w:val="00A866C6"/>
    <w:rsid w:val="00A86897"/>
    <w:rsid w:val="00A916CA"/>
    <w:rsid w:val="00A95733"/>
    <w:rsid w:val="00A9650C"/>
    <w:rsid w:val="00AA4240"/>
    <w:rsid w:val="00AB5465"/>
    <w:rsid w:val="00AB5B4C"/>
    <w:rsid w:val="00AC636B"/>
    <w:rsid w:val="00AE15F5"/>
    <w:rsid w:val="00AE3AE9"/>
    <w:rsid w:val="00AF3057"/>
    <w:rsid w:val="00AF43C3"/>
    <w:rsid w:val="00AF557F"/>
    <w:rsid w:val="00B04B30"/>
    <w:rsid w:val="00B110B4"/>
    <w:rsid w:val="00B117BB"/>
    <w:rsid w:val="00B1295D"/>
    <w:rsid w:val="00B141ED"/>
    <w:rsid w:val="00B16AC5"/>
    <w:rsid w:val="00B16D57"/>
    <w:rsid w:val="00B20734"/>
    <w:rsid w:val="00B21651"/>
    <w:rsid w:val="00B247D6"/>
    <w:rsid w:val="00B24834"/>
    <w:rsid w:val="00B26FAC"/>
    <w:rsid w:val="00B27CD2"/>
    <w:rsid w:val="00B31548"/>
    <w:rsid w:val="00B31AA2"/>
    <w:rsid w:val="00B36FFA"/>
    <w:rsid w:val="00B403CC"/>
    <w:rsid w:val="00B42B03"/>
    <w:rsid w:val="00B44DCC"/>
    <w:rsid w:val="00B47FD8"/>
    <w:rsid w:val="00B52662"/>
    <w:rsid w:val="00B64350"/>
    <w:rsid w:val="00B65AA6"/>
    <w:rsid w:val="00B70412"/>
    <w:rsid w:val="00B73437"/>
    <w:rsid w:val="00B74C0B"/>
    <w:rsid w:val="00B83885"/>
    <w:rsid w:val="00B8400D"/>
    <w:rsid w:val="00B84D4C"/>
    <w:rsid w:val="00B8575D"/>
    <w:rsid w:val="00B93A37"/>
    <w:rsid w:val="00B97DD5"/>
    <w:rsid w:val="00BA1819"/>
    <w:rsid w:val="00BA19AA"/>
    <w:rsid w:val="00BA1FF7"/>
    <w:rsid w:val="00BA2134"/>
    <w:rsid w:val="00BA5A22"/>
    <w:rsid w:val="00BA5F03"/>
    <w:rsid w:val="00BA603E"/>
    <w:rsid w:val="00BB55E5"/>
    <w:rsid w:val="00BC10AC"/>
    <w:rsid w:val="00BC5BD5"/>
    <w:rsid w:val="00BC6E5C"/>
    <w:rsid w:val="00BD09CE"/>
    <w:rsid w:val="00BD3B3D"/>
    <w:rsid w:val="00BD5FD8"/>
    <w:rsid w:val="00BD638A"/>
    <w:rsid w:val="00BD6E5D"/>
    <w:rsid w:val="00BD725A"/>
    <w:rsid w:val="00BF02C5"/>
    <w:rsid w:val="00BF3750"/>
    <w:rsid w:val="00C06244"/>
    <w:rsid w:val="00C07CEB"/>
    <w:rsid w:val="00C2033D"/>
    <w:rsid w:val="00C221F5"/>
    <w:rsid w:val="00C2595D"/>
    <w:rsid w:val="00C26FEF"/>
    <w:rsid w:val="00C307B8"/>
    <w:rsid w:val="00C4091D"/>
    <w:rsid w:val="00C44D1F"/>
    <w:rsid w:val="00C459FE"/>
    <w:rsid w:val="00C516A1"/>
    <w:rsid w:val="00C536C2"/>
    <w:rsid w:val="00C5373C"/>
    <w:rsid w:val="00C55F47"/>
    <w:rsid w:val="00C56E2E"/>
    <w:rsid w:val="00C62856"/>
    <w:rsid w:val="00C64A31"/>
    <w:rsid w:val="00C6552D"/>
    <w:rsid w:val="00C6744E"/>
    <w:rsid w:val="00C7279A"/>
    <w:rsid w:val="00C72DEA"/>
    <w:rsid w:val="00C74129"/>
    <w:rsid w:val="00C76812"/>
    <w:rsid w:val="00C76BE6"/>
    <w:rsid w:val="00C82E8B"/>
    <w:rsid w:val="00C84F32"/>
    <w:rsid w:val="00C873F4"/>
    <w:rsid w:val="00C94196"/>
    <w:rsid w:val="00CA0E9D"/>
    <w:rsid w:val="00CC1692"/>
    <w:rsid w:val="00CC46BA"/>
    <w:rsid w:val="00CC4C88"/>
    <w:rsid w:val="00CC5C28"/>
    <w:rsid w:val="00CC7AA9"/>
    <w:rsid w:val="00CD0B1F"/>
    <w:rsid w:val="00CD2ADD"/>
    <w:rsid w:val="00CD3F96"/>
    <w:rsid w:val="00CE09F3"/>
    <w:rsid w:val="00CE444A"/>
    <w:rsid w:val="00CE7379"/>
    <w:rsid w:val="00CE76DA"/>
    <w:rsid w:val="00CF31EA"/>
    <w:rsid w:val="00CF5B0D"/>
    <w:rsid w:val="00CF72A5"/>
    <w:rsid w:val="00D05B15"/>
    <w:rsid w:val="00D11E94"/>
    <w:rsid w:val="00D1209B"/>
    <w:rsid w:val="00D15A3E"/>
    <w:rsid w:val="00D17597"/>
    <w:rsid w:val="00D20619"/>
    <w:rsid w:val="00D23AEA"/>
    <w:rsid w:val="00D276A2"/>
    <w:rsid w:val="00D30389"/>
    <w:rsid w:val="00D337F6"/>
    <w:rsid w:val="00D36AD3"/>
    <w:rsid w:val="00D4093C"/>
    <w:rsid w:val="00D52CDB"/>
    <w:rsid w:val="00D55B45"/>
    <w:rsid w:val="00D5742E"/>
    <w:rsid w:val="00D6098F"/>
    <w:rsid w:val="00D61710"/>
    <w:rsid w:val="00D66018"/>
    <w:rsid w:val="00D6611E"/>
    <w:rsid w:val="00D66D6A"/>
    <w:rsid w:val="00D711A8"/>
    <w:rsid w:val="00D717C0"/>
    <w:rsid w:val="00D85F37"/>
    <w:rsid w:val="00D86AE1"/>
    <w:rsid w:val="00D947EC"/>
    <w:rsid w:val="00DA4C72"/>
    <w:rsid w:val="00DB3B98"/>
    <w:rsid w:val="00DB4534"/>
    <w:rsid w:val="00DC30EE"/>
    <w:rsid w:val="00DC56CE"/>
    <w:rsid w:val="00DC704D"/>
    <w:rsid w:val="00DD066F"/>
    <w:rsid w:val="00DD283E"/>
    <w:rsid w:val="00DD2A82"/>
    <w:rsid w:val="00DD3CE4"/>
    <w:rsid w:val="00DD4383"/>
    <w:rsid w:val="00DD43EE"/>
    <w:rsid w:val="00DD4DB9"/>
    <w:rsid w:val="00DD7738"/>
    <w:rsid w:val="00DE253D"/>
    <w:rsid w:val="00DE446D"/>
    <w:rsid w:val="00DE44A2"/>
    <w:rsid w:val="00DE5753"/>
    <w:rsid w:val="00DF46E4"/>
    <w:rsid w:val="00DF4CFE"/>
    <w:rsid w:val="00E043F1"/>
    <w:rsid w:val="00E04680"/>
    <w:rsid w:val="00E04856"/>
    <w:rsid w:val="00E06911"/>
    <w:rsid w:val="00E115C1"/>
    <w:rsid w:val="00E15B43"/>
    <w:rsid w:val="00E4326E"/>
    <w:rsid w:val="00E50A01"/>
    <w:rsid w:val="00E50CD3"/>
    <w:rsid w:val="00E51012"/>
    <w:rsid w:val="00E5567E"/>
    <w:rsid w:val="00E56089"/>
    <w:rsid w:val="00E62F0F"/>
    <w:rsid w:val="00E64B4E"/>
    <w:rsid w:val="00E65F16"/>
    <w:rsid w:val="00E66F07"/>
    <w:rsid w:val="00E77CFA"/>
    <w:rsid w:val="00E87BE1"/>
    <w:rsid w:val="00E913C0"/>
    <w:rsid w:val="00E92FB5"/>
    <w:rsid w:val="00E95D6C"/>
    <w:rsid w:val="00EA020F"/>
    <w:rsid w:val="00EA1F85"/>
    <w:rsid w:val="00EC25D9"/>
    <w:rsid w:val="00EC59D7"/>
    <w:rsid w:val="00ED4585"/>
    <w:rsid w:val="00ED6C42"/>
    <w:rsid w:val="00ED735F"/>
    <w:rsid w:val="00EE1562"/>
    <w:rsid w:val="00EE15F1"/>
    <w:rsid w:val="00EE69BE"/>
    <w:rsid w:val="00EF28C7"/>
    <w:rsid w:val="00EF49A1"/>
    <w:rsid w:val="00EF5D53"/>
    <w:rsid w:val="00F01644"/>
    <w:rsid w:val="00F047EE"/>
    <w:rsid w:val="00F04C57"/>
    <w:rsid w:val="00F254EA"/>
    <w:rsid w:val="00F26823"/>
    <w:rsid w:val="00F354AF"/>
    <w:rsid w:val="00F367B6"/>
    <w:rsid w:val="00F42610"/>
    <w:rsid w:val="00F46BE1"/>
    <w:rsid w:val="00F5775F"/>
    <w:rsid w:val="00F63F24"/>
    <w:rsid w:val="00F776F0"/>
    <w:rsid w:val="00F81BC6"/>
    <w:rsid w:val="00F91673"/>
    <w:rsid w:val="00F93051"/>
    <w:rsid w:val="00F95212"/>
    <w:rsid w:val="00F966D6"/>
    <w:rsid w:val="00FA276F"/>
    <w:rsid w:val="00FA5F23"/>
    <w:rsid w:val="00FC02FA"/>
    <w:rsid w:val="00FC4615"/>
    <w:rsid w:val="00FC65C7"/>
    <w:rsid w:val="00FD1403"/>
    <w:rsid w:val="00FD5279"/>
    <w:rsid w:val="00FE018A"/>
    <w:rsid w:val="00FE0835"/>
    <w:rsid w:val="00FE1166"/>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FF9E5"/>
  <w15:docId w15:val="{DF2C931E-38D6-496F-A2FF-F0B58843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table" w:styleId="TableGrid">
    <w:name w:val="Table Grid"/>
    <w:basedOn w:val="TableNormal"/>
    <w:rsid w:val="00D66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3922"/>
    <w:rPr>
      <w:sz w:val="22"/>
      <w:szCs w:val="24"/>
    </w:rPr>
  </w:style>
  <w:style w:type="paragraph" w:styleId="ListParagraph">
    <w:name w:val="List Paragraph"/>
    <w:basedOn w:val="Normal"/>
    <w:uiPriority w:val="34"/>
    <w:qFormat/>
    <w:rsid w:val="00BA603E"/>
    <w:pPr>
      <w:ind w:left="720"/>
      <w:contextualSpacing/>
    </w:pPr>
  </w:style>
  <w:style w:type="paragraph" w:styleId="BodyText3">
    <w:name w:val="Body Text 3"/>
    <w:basedOn w:val="Normal"/>
    <w:link w:val="BodyText3Char"/>
    <w:rsid w:val="00A80A83"/>
    <w:pPr>
      <w:tabs>
        <w:tab w:val="clear" w:pos="284"/>
      </w:tabs>
      <w:spacing w:after="120"/>
      <w:jc w:val="left"/>
    </w:pPr>
    <w:rPr>
      <w:sz w:val="16"/>
      <w:szCs w:val="16"/>
      <w:lang w:val="x-none" w:eastAsia="x-none"/>
    </w:rPr>
  </w:style>
  <w:style w:type="character" w:customStyle="1" w:styleId="BodyText3Char">
    <w:name w:val="Body Text 3 Char"/>
    <w:basedOn w:val="DefaultParagraphFont"/>
    <w:link w:val="BodyText3"/>
    <w:rsid w:val="00A80A83"/>
    <w:rPr>
      <w:sz w:val="16"/>
      <w:szCs w:val="16"/>
      <w:lang w:val="x-none" w:eastAsia="x-none"/>
    </w:rPr>
  </w:style>
  <w:style w:type="paragraph" w:styleId="BodyTextIndent">
    <w:name w:val="Body Text Indent"/>
    <w:basedOn w:val="Normal"/>
    <w:link w:val="BodyTextIndentChar"/>
    <w:semiHidden/>
    <w:unhideWhenUsed/>
    <w:rsid w:val="00C307B8"/>
    <w:pPr>
      <w:spacing w:after="120"/>
      <w:ind w:left="360"/>
    </w:pPr>
  </w:style>
  <w:style w:type="character" w:customStyle="1" w:styleId="BodyTextIndentChar">
    <w:name w:val="Body Text Indent Char"/>
    <w:basedOn w:val="DefaultParagraphFont"/>
    <w:link w:val="BodyTextIndent"/>
    <w:semiHidden/>
    <w:rsid w:val="00C307B8"/>
    <w:rPr>
      <w:sz w:val="22"/>
      <w:szCs w:val="24"/>
    </w:rPr>
  </w:style>
  <w:style w:type="paragraph" w:customStyle="1" w:styleId="Default">
    <w:name w:val="Default"/>
    <w:rsid w:val="005A6215"/>
    <w:pPr>
      <w:autoSpaceDE w:val="0"/>
      <w:autoSpaceDN w:val="0"/>
      <w:adjustRightInd w:val="0"/>
    </w:pPr>
    <w:rPr>
      <w:color w:val="000000"/>
      <w:sz w:val="24"/>
      <w:szCs w:val="24"/>
    </w:rPr>
  </w:style>
  <w:style w:type="paragraph" w:styleId="NoSpacing">
    <w:name w:val="No Spacing"/>
    <w:uiPriority w:val="1"/>
    <w:qFormat/>
    <w:rsid w:val="007B3F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219607">
      <w:bodyDiv w:val="1"/>
      <w:marLeft w:val="0"/>
      <w:marRight w:val="0"/>
      <w:marTop w:val="0"/>
      <w:marBottom w:val="0"/>
      <w:divBdr>
        <w:top w:val="none" w:sz="0" w:space="0" w:color="auto"/>
        <w:left w:val="none" w:sz="0" w:space="0" w:color="auto"/>
        <w:bottom w:val="none" w:sz="0" w:space="0" w:color="auto"/>
        <w:right w:val="none" w:sz="0" w:space="0" w:color="auto"/>
      </w:divBdr>
    </w:div>
    <w:div w:id="94951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52bd2975191717671e8a33edccf7e5ec">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bd14baf8c41f4fba114db4c62845b9af"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1DD38-AC5D-4882-BBB8-9A035B1F87CF}">
  <ds:schemaRefs>
    <ds:schemaRef ds:uri="http://schemas.microsoft.com/sharepoint/v3/contenttype/forms"/>
  </ds:schemaRefs>
</ds:datastoreItem>
</file>

<file path=customXml/itemProps2.xml><?xml version="1.0" encoding="utf-8"?>
<ds:datastoreItem xmlns:ds="http://schemas.openxmlformats.org/officeDocument/2006/customXml" ds:itemID="{0CA44026-22CB-4576-AADD-DF1B5187F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75D4B-D55A-49CC-8073-498E80AE7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3872</Words>
  <Characters>22074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Tamara Nikezić</cp:lastModifiedBy>
  <cp:revision>8</cp:revision>
  <cp:lastPrinted>2019-03-25T07:54:00Z</cp:lastPrinted>
  <dcterms:created xsi:type="dcterms:W3CDTF">2024-12-17T08:36:00Z</dcterms:created>
  <dcterms:modified xsi:type="dcterms:W3CDTF">2025-02-19T11:09:00Z</dcterms:modified>
</cp:coreProperties>
</file>