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33164" w14:textId="77777777" w:rsidR="002510A5" w:rsidRPr="005A2200" w:rsidRDefault="002510A5" w:rsidP="005A2200">
      <w:pPr>
        <w:widowControl w:val="0"/>
        <w:jc w:val="center"/>
        <w:rPr>
          <w:rFonts w:asciiTheme="majorBidi" w:hAnsiTheme="majorBidi" w:cstheme="majorBidi"/>
          <w:b/>
          <w:bCs/>
          <w:iCs/>
          <w:sz w:val="22"/>
          <w:szCs w:val="22"/>
          <w:u w:val="single"/>
          <w:lang w:val="sr-Latn-ME"/>
        </w:rPr>
      </w:pPr>
      <w:r w:rsidRPr="005A2200">
        <w:rPr>
          <w:rFonts w:asciiTheme="majorBidi" w:hAnsiTheme="majorBidi" w:cstheme="majorBidi"/>
          <w:b/>
          <w:bCs/>
          <w:iCs/>
          <w:sz w:val="22"/>
          <w:szCs w:val="22"/>
          <w:u w:val="single"/>
          <w:lang w:val="sr-Latn-ME"/>
        </w:rPr>
        <w:t>SAŽETAK KARAKTERISTIKA LIJEKA</w:t>
      </w:r>
    </w:p>
    <w:p w14:paraId="4CB64EAB" w14:textId="686288C5" w:rsidR="003C17AB" w:rsidRPr="005A2200" w:rsidRDefault="003C17AB" w:rsidP="005A2200">
      <w:pPr>
        <w:widowControl w:val="0"/>
        <w:jc w:val="both"/>
        <w:rPr>
          <w:rFonts w:asciiTheme="majorBidi" w:hAnsiTheme="majorBidi" w:cstheme="majorBidi"/>
          <w:sz w:val="22"/>
          <w:szCs w:val="22"/>
          <w:lang w:val="sr-Latn-ME"/>
        </w:rPr>
      </w:pPr>
    </w:p>
    <w:p w14:paraId="7BFB833F" w14:textId="77777777" w:rsidR="00C37FD7" w:rsidRPr="005A2200" w:rsidRDefault="00C37FD7" w:rsidP="005A2200">
      <w:pPr>
        <w:widowControl w:val="0"/>
        <w:tabs>
          <w:tab w:val="left" w:pos="540"/>
          <w:tab w:val="left" w:pos="569"/>
        </w:tabs>
        <w:jc w:val="both"/>
        <w:rPr>
          <w:rFonts w:asciiTheme="majorBidi" w:hAnsiTheme="majorBidi" w:cstheme="majorBidi"/>
          <w:bCs/>
          <w:sz w:val="22"/>
          <w:szCs w:val="22"/>
          <w:lang w:val="sr-Latn-ME"/>
        </w:rPr>
      </w:pPr>
    </w:p>
    <w:p w14:paraId="7AE70EE7" w14:textId="1DFDEE35" w:rsidR="00411B4B" w:rsidRPr="005A2200" w:rsidRDefault="00411B4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1.</w:t>
      </w:r>
      <w:r w:rsidR="00F5167F" w:rsidRPr="005A2200">
        <w:rPr>
          <w:rFonts w:asciiTheme="majorBidi" w:hAnsiTheme="majorBidi" w:cstheme="majorBidi"/>
          <w:b/>
          <w:bCs/>
          <w:sz w:val="22"/>
          <w:szCs w:val="22"/>
          <w:lang w:val="sr-Latn-ME"/>
        </w:rPr>
        <w:tab/>
      </w:r>
      <w:r w:rsidR="002846DB" w:rsidRPr="005A2200">
        <w:rPr>
          <w:rFonts w:asciiTheme="majorBidi" w:hAnsiTheme="majorBidi" w:cstheme="majorBidi"/>
          <w:b/>
          <w:bCs/>
          <w:sz w:val="22"/>
          <w:szCs w:val="22"/>
          <w:lang w:val="sr-Latn-ME"/>
        </w:rPr>
        <w:t xml:space="preserve">NAZIV </w:t>
      </w:r>
      <w:r w:rsidRPr="005A2200">
        <w:rPr>
          <w:rFonts w:asciiTheme="majorBidi" w:hAnsiTheme="majorBidi" w:cstheme="majorBidi"/>
          <w:b/>
          <w:bCs/>
          <w:sz w:val="22"/>
          <w:szCs w:val="22"/>
          <w:lang w:val="sr-Latn-ME"/>
        </w:rPr>
        <w:t>LIJEKA</w:t>
      </w:r>
    </w:p>
    <w:p w14:paraId="31A82752" w14:textId="77777777" w:rsidR="00766713" w:rsidRPr="005A2200" w:rsidRDefault="00766713" w:rsidP="005A2200">
      <w:pPr>
        <w:widowControl w:val="0"/>
        <w:tabs>
          <w:tab w:val="left" w:pos="540"/>
          <w:tab w:val="left" w:pos="569"/>
        </w:tabs>
        <w:jc w:val="both"/>
        <w:rPr>
          <w:rFonts w:asciiTheme="majorBidi" w:hAnsiTheme="majorBidi" w:cstheme="majorBidi"/>
          <w:b/>
          <w:bCs/>
          <w:sz w:val="22"/>
          <w:szCs w:val="22"/>
          <w:lang w:val="sr-Latn-ME"/>
        </w:rPr>
      </w:pPr>
    </w:p>
    <w:p w14:paraId="356BECE2" w14:textId="73EC320D" w:rsidR="00766713"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Pifeltro, 100 mg, film tablet</w:t>
      </w:r>
      <w:r w:rsidR="00AF67A0" w:rsidRPr="005A2200">
        <w:rPr>
          <w:rFonts w:asciiTheme="majorBidi" w:hAnsiTheme="majorBidi" w:cstheme="majorBidi"/>
          <w:sz w:val="22"/>
          <w:szCs w:val="22"/>
          <w:lang w:val="sr-Latn-ME"/>
        </w:rPr>
        <w:t>a</w:t>
      </w:r>
    </w:p>
    <w:p w14:paraId="474910F0" w14:textId="77777777" w:rsidR="00072EA4" w:rsidRPr="005A2200" w:rsidRDefault="00072EA4" w:rsidP="005A2200">
      <w:pPr>
        <w:widowControl w:val="0"/>
        <w:jc w:val="both"/>
        <w:rPr>
          <w:rFonts w:asciiTheme="majorBidi" w:hAnsiTheme="majorBidi" w:cstheme="majorBidi"/>
          <w:sz w:val="22"/>
          <w:szCs w:val="22"/>
          <w:lang w:val="sr-Latn-ME"/>
        </w:rPr>
      </w:pPr>
    </w:p>
    <w:p w14:paraId="72B91DB9" w14:textId="78877892" w:rsidR="006D20A5"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INN: doravirin</w:t>
      </w:r>
    </w:p>
    <w:p w14:paraId="0029702E" w14:textId="77777777" w:rsidR="00072EA4" w:rsidRPr="005A2200" w:rsidRDefault="00072EA4" w:rsidP="005A2200">
      <w:pPr>
        <w:widowControl w:val="0"/>
        <w:jc w:val="both"/>
        <w:rPr>
          <w:rFonts w:asciiTheme="majorBidi" w:hAnsiTheme="majorBidi" w:cstheme="majorBidi"/>
          <w:bCs/>
          <w:sz w:val="22"/>
          <w:szCs w:val="22"/>
          <w:lang w:val="sr-Latn-ME"/>
        </w:rPr>
      </w:pPr>
    </w:p>
    <w:p w14:paraId="42B644CF" w14:textId="77777777" w:rsidR="00530BD7" w:rsidRPr="005A2200" w:rsidRDefault="00530BD7" w:rsidP="005A2200">
      <w:pPr>
        <w:widowControl w:val="0"/>
        <w:jc w:val="both"/>
        <w:rPr>
          <w:rFonts w:asciiTheme="majorBidi" w:hAnsiTheme="majorBidi" w:cstheme="majorBidi"/>
          <w:bCs/>
          <w:sz w:val="22"/>
          <w:szCs w:val="22"/>
          <w:lang w:val="sr-Latn-ME"/>
        </w:rPr>
      </w:pPr>
    </w:p>
    <w:p w14:paraId="657A83C0" w14:textId="77777777" w:rsidR="00411B4B" w:rsidRPr="005A2200" w:rsidRDefault="00411B4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2. </w:t>
      </w:r>
      <w:r w:rsidR="00F5167F"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KVALITATIVNI I KVANTITATIVNI SASTAV</w:t>
      </w:r>
    </w:p>
    <w:p w14:paraId="281D52B0" w14:textId="77777777" w:rsidR="005A0B2E" w:rsidRPr="005A2200" w:rsidRDefault="005A0B2E" w:rsidP="005A2200">
      <w:pPr>
        <w:widowControl w:val="0"/>
        <w:jc w:val="both"/>
        <w:rPr>
          <w:rFonts w:asciiTheme="majorBidi" w:hAnsiTheme="majorBidi" w:cstheme="majorBidi"/>
          <w:sz w:val="22"/>
          <w:szCs w:val="22"/>
          <w:lang w:val="sr-Latn-ME"/>
        </w:rPr>
      </w:pPr>
    </w:p>
    <w:p w14:paraId="4B74B959" w14:textId="77777777" w:rsidR="00766713"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Jedna film tableta sadrži 100 mg doravirina.</w:t>
      </w:r>
    </w:p>
    <w:p w14:paraId="57F77175" w14:textId="77777777" w:rsidR="00766713" w:rsidRPr="005A2200" w:rsidRDefault="00766713" w:rsidP="005A2200">
      <w:pPr>
        <w:widowControl w:val="0"/>
        <w:jc w:val="both"/>
        <w:rPr>
          <w:rFonts w:asciiTheme="majorBidi" w:hAnsiTheme="majorBidi" w:cstheme="majorBidi"/>
          <w:sz w:val="22"/>
          <w:szCs w:val="22"/>
          <w:lang w:val="sr-Latn-ME"/>
        </w:rPr>
      </w:pPr>
    </w:p>
    <w:p w14:paraId="4AC88572" w14:textId="77777777" w:rsidR="00766713"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Pomoćne supstance sa potvrđenim dejstvom:</w:t>
      </w:r>
    </w:p>
    <w:p w14:paraId="4647CBCF" w14:textId="09B44E7E" w:rsidR="00766713"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Jedna film tableta sadrži 222 mg laktoze (u obliku monohidrata).</w:t>
      </w:r>
    </w:p>
    <w:p w14:paraId="23669F83" w14:textId="77777777" w:rsidR="00766713" w:rsidRPr="005A2200" w:rsidRDefault="00766713" w:rsidP="005A2200">
      <w:pPr>
        <w:widowControl w:val="0"/>
        <w:jc w:val="both"/>
        <w:rPr>
          <w:rFonts w:asciiTheme="majorBidi" w:hAnsiTheme="majorBidi" w:cstheme="majorBidi"/>
          <w:sz w:val="22"/>
          <w:szCs w:val="22"/>
          <w:lang w:val="sr-Latn-ME"/>
        </w:rPr>
      </w:pPr>
    </w:p>
    <w:p w14:paraId="07FA0009" w14:textId="4B62ABD3" w:rsidR="0003793F" w:rsidRPr="005A2200" w:rsidRDefault="0003793F"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Za spisak svih ekscipijenasa, pogledati dio 6.1.</w:t>
      </w:r>
    </w:p>
    <w:p w14:paraId="1CE0016F" w14:textId="77777777" w:rsidR="0003793F" w:rsidRPr="005A2200" w:rsidRDefault="0003793F" w:rsidP="005A2200">
      <w:pPr>
        <w:widowControl w:val="0"/>
        <w:jc w:val="both"/>
        <w:rPr>
          <w:rFonts w:asciiTheme="majorBidi" w:hAnsiTheme="majorBidi" w:cstheme="majorBidi"/>
          <w:sz w:val="22"/>
          <w:szCs w:val="22"/>
          <w:lang w:val="sr-Latn-ME"/>
        </w:rPr>
      </w:pPr>
    </w:p>
    <w:p w14:paraId="58A3C096" w14:textId="77777777" w:rsidR="00C37FD7" w:rsidRPr="005A2200" w:rsidRDefault="00C37FD7" w:rsidP="005A2200">
      <w:pPr>
        <w:widowControl w:val="0"/>
        <w:jc w:val="both"/>
        <w:rPr>
          <w:rFonts w:asciiTheme="majorBidi" w:hAnsiTheme="majorBidi" w:cstheme="majorBidi"/>
          <w:sz w:val="22"/>
          <w:szCs w:val="22"/>
          <w:lang w:val="sr-Latn-ME"/>
        </w:rPr>
      </w:pPr>
    </w:p>
    <w:p w14:paraId="1D201C5A" w14:textId="5CF21A2B" w:rsidR="00411B4B" w:rsidRPr="005A2200" w:rsidRDefault="00411B4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3. </w:t>
      </w:r>
      <w:r w:rsidR="00F5167F"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FARMACEUTSKI OBLIK</w:t>
      </w:r>
      <w:r w:rsidR="009F2D23" w:rsidRPr="005A2200">
        <w:rPr>
          <w:rFonts w:asciiTheme="majorBidi" w:hAnsiTheme="majorBidi" w:cstheme="majorBidi"/>
          <w:b/>
          <w:bCs/>
          <w:sz w:val="22"/>
          <w:szCs w:val="22"/>
          <w:lang w:val="sr-Latn-ME"/>
        </w:rPr>
        <w:t xml:space="preserve"> </w:t>
      </w:r>
    </w:p>
    <w:p w14:paraId="4EE2C5DA" w14:textId="77777777" w:rsidR="00766713" w:rsidRPr="005A2200" w:rsidRDefault="00766713" w:rsidP="005A2200">
      <w:pPr>
        <w:widowControl w:val="0"/>
        <w:tabs>
          <w:tab w:val="left" w:pos="540"/>
          <w:tab w:val="left" w:pos="569"/>
        </w:tabs>
        <w:jc w:val="both"/>
        <w:rPr>
          <w:rFonts w:asciiTheme="majorBidi" w:hAnsiTheme="majorBidi" w:cstheme="majorBidi"/>
          <w:b/>
          <w:bCs/>
          <w:sz w:val="22"/>
          <w:szCs w:val="22"/>
          <w:lang w:val="sr-Latn-ME"/>
        </w:rPr>
      </w:pPr>
    </w:p>
    <w:p w14:paraId="57ECC76D" w14:textId="00505FA7" w:rsidR="00766713" w:rsidRPr="005A2200" w:rsidRDefault="00766713" w:rsidP="005A2200">
      <w:pPr>
        <w:widowControl w:val="0"/>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Film tablet</w:t>
      </w:r>
      <w:r w:rsidR="00AF67A0" w:rsidRPr="005A2200">
        <w:rPr>
          <w:rFonts w:asciiTheme="majorBidi" w:hAnsiTheme="majorBidi" w:cstheme="majorBidi"/>
          <w:bCs/>
          <w:sz w:val="22"/>
          <w:szCs w:val="22"/>
          <w:lang w:val="sr-Latn-ME"/>
        </w:rPr>
        <w:t>a</w:t>
      </w:r>
      <w:r w:rsidR="00390224" w:rsidRPr="005A2200">
        <w:rPr>
          <w:rFonts w:asciiTheme="majorBidi" w:hAnsiTheme="majorBidi" w:cstheme="majorBidi"/>
          <w:bCs/>
          <w:sz w:val="22"/>
          <w:szCs w:val="22"/>
          <w:lang w:val="sr-Latn-ME"/>
        </w:rPr>
        <w:t xml:space="preserve"> </w:t>
      </w:r>
      <w:r w:rsidR="002D2D5A" w:rsidRPr="005A2200">
        <w:rPr>
          <w:bCs/>
          <w:sz w:val="22"/>
          <w:szCs w:val="22"/>
          <w:lang w:val="sr-Latn-ME"/>
        </w:rPr>
        <w:t>(tableta).</w:t>
      </w:r>
    </w:p>
    <w:p w14:paraId="31AB76C4" w14:textId="77777777" w:rsidR="00766713" w:rsidRPr="005A2200" w:rsidRDefault="00766713" w:rsidP="005A2200">
      <w:pPr>
        <w:widowControl w:val="0"/>
        <w:jc w:val="both"/>
        <w:rPr>
          <w:rFonts w:asciiTheme="majorBidi" w:hAnsiTheme="majorBidi" w:cstheme="majorBidi"/>
          <w:bCs/>
          <w:sz w:val="22"/>
          <w:szCs w:val="22"/>
          <w:lang w:val="sr-Latn-ME"/>
        </w:rPr>
      </w:pPr>
    </w:p>
    <w:p w14:paraId="73EC64B6" w14:textId="2079D8F4" w:rsidR="00411B4B" w:rsidRPr="005A2200" w:rsidRDefault="00766713" w:rsidP="005A2200">
      <w:pPr>
        <w:widowControl w:val="0"/>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B</w:t>
      </w:r>
      <w:r w:rsidR="00016F65"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ela, ovalna tableta dimenzija 19,00 mm x 9,50 mm, sa utisnutim logotipom proizvođača i oznakom „700“ na jednoj strani i bez oznake na drugoj strani.</w:t>
      </w:r>
    </w:p>
    <w:p w14:paraId="7D84CF98" w14:textId="77777777" w:rsidR="00072EA4" w:rsidRPr="005A2200" w:rsidRDefault="00072EA4" w:rsidP="005A2200">
      <w:pPr>
        <w:widowControl w:val="0"/>
        <w:jc w:val="both"/>
        <w:rPr>
          <w:rFonts w:asciiTheme="majorBidi" w:hAnsiTheme="majorBidi" w:cstheme="majorBidi"/>
          <w:bCs/>
          <w:sz w:val="22"/>
          <w:szCs w:val="22"/>
          <w:lang w:val="sr-Latn-ME"/>
        </w:rPr>
      </w:pPr>
    </w:p>
    <w:p w14:paraId="4EE086EA" w14:textId="77777777" w:rsidR="00EC2532" w:rsidRPr="005A2200" w:rsidRDefault="00EC2532" w:rsidP="005A2200">
      <w:pPr>
        <w:widowControl w:val="0"/>
        <w:jc w:val="both"/>
        <w:rPr>
          <w:rFonts w:asciiTheme="majorBidi" w:hAnsiTheme="majorBidi" w:cstheme="majorBidi"/>
          <w:bCs/>
          <w:sz w:val="22"/>
          <w:szCs w:val="22"/>
          <w:lang w:val="sr-Latn-ME"/>
        </w:rPr>
      </w:pPr>
    </w:p>
    <w:p w14:paraId="16A48EF6" w14:textId="77777777" w:rsidR="00411B4B" w:rsidRPr="005A2200" w:rsidRDefault="00411B4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4.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KLINIČKI PODACI</w:t>
      </w:r>
    </w:p>
    <w:p w14:paraId="420D1F93" w14:textId="77777777" w:rsidR="00CD6F02" w:rsidRPr="005A2200" w:rsidRDefault="00CD6F02" w:rsidP="005A2200">
      <w:pPr>
        <w:widowControl w:val="0"/>
        <w:tabs>
          <w:tab w:val="left" w:pos="540"/>
          <w:tab w:val="left" w:pos="569"/>
        </w:tabs>
        <w:jc w:val="both"/>
        <w:rPr>
          <w:rFonts w:asciiTheme="majorBidi" w:hAnsiTheme="majorBidi" w:cstheme="majorBidi"/>
          <w:bCs/>
          <w:sz w:val="22"/>
          <w:szCs w:val="22"/>
          <w:lang w:val="sr-Latn-ME"/>
        </w:rPr>
      </w:pPr>
    </w:p>
    <w:p w14:paraId="0C812AB0" w14:textId="77777777" w:rsidR="00411B4B" w:rsidRPr="005A2200" w:rsidRDefault="00411B4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4.1.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Terapijske indikacije</w:t>
      </w:r>
    </w:p>
    <w:p w14:paraId="524F6513" w14:textId="1393C048" w:rsidR="00411B4B" w:rsidRPr="005A2200" w:rsidRDefault="00411B4B" w:rsidP="005A2200">
      <w:pPr>
        <w:widowControl w:val="0"/>
        <w:tabs>
          <w:tab w:val="left" w:pos="540"/>
          <w:tab w:val="left" w:pos="569"/>
        </w:tabs>
        <w:jc w:val="both"/>
        <w:rPr>
          <w:rFonts w:asciiTheme="majorBidi" w:hAnsiTheme="majorBidi" w:cstheme="majorBidi"/>
          <w:bCs/>
          <w:sz w:val="22"/>
          <w:szCs w:val="22"/>
          <w:lang w:val="sr-Latn-ME"/>
        </w:rPr>
      </w:pPr>
    </w:p>
    <w:p w14:paraId="264435B1" w14:textId="6BEC798C"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L</w:t>
      </w:r>
      <w:r w:rsidR="00016F65"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ek Pifeltro je u kombinaciji sa drugim antiretrovirusnim l</w:t>
      </w:r>
      <w:r w:rsidR="00016F65"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ekovima indikovan za l</w:t>
      </w:r>
      <w:r w:rsidR="00016F65"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 xml:space="preserve">ečenje odraslih osoba </w:t>
      </w:r>
      <w:r w:rsidR="003E4958" w:rsidRPr="005A2200">
        <w:rPr>
          <w:lang w:val="sr-Latn-ME"/>
        </w:rPr>
        <w:t>i adolescenata uzrasta od 12 godina i starijih i t</w:t>
      </w:r>
      <w:r w:rsidR="00583DCE" w:rsidRPr="005A2200">
        <w:rPr>
          <w:lang w:val="sr-Latn-ME"/>
        </w:rPr>
        <w:t>j</w:t>
      </w:r>
      <w:r w:rsidR="003E4958" w:rsidRPr="005A2200">
        <w:rPr>
          <w:lang w:val="sr-Latn-ME"/>
        </w:rPr>
        <w:t>elesne mase od najmanje 35 kg</w:t>
      </w:r>
      <w:r w:rsidR="003E4958" w:rsidRPr="005A2200">
        <w:rPr>
          <w:rFonts w:asciiTheme="majorBidi" w:hAnsiTheme="majorBidi" w:cstheme="majorBidi"/>
          <w:bCs/>
          <w:sz w:val="22"/>
          <w:szCs w:val="22"/>
          <w:lang w:val="sr-Latn-ME"/>
        </w:rPr>
        <w:t xml:space="preserve"> </w:t>
      </w:r>
      <w:r w:rsidRPr="005A2200">
        <w:rPr>
          <w:rFonts w:asciiTheme="majorBidi" w:hAnsiTheme="majorBidi" w:cstheme="majorBidi"/>
          <w:bCs/>
          <w:sz w:val="22"/>
          <w:szCs w:val="22"/>
          <w:lang w:val="sr-Latn-ME"/>
        </w:rPr>
        <w:t>sa infekcijom virusom humane imunodeficijencije tipa 1 (HIV 1) bez prethodnih ili trenutnih dokaza rezistencije na l</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ekove iz grupe nenukleozidnih inhibitora reverzne transkriptaze (engl. </w:t>
      </w:r>
      <w:r w:rsidRPr="005A2200">
        <w:rPr>
          <w:rFonts w:asciiTheme="majorBidi" w:hAnsiTheme="majorBidi" w:cstheme="majorBidi"/>
          <w:bCs/>
          <w:i/>
          <w:sz w:val="22"/>
          <w:szCs w:val="22"/>
          <w:lang w:val="sr-Latn-ME"/>
        </w:rPr>
        <w:t>non nucleoside reverse transcriptase inhibitors</w:t>
      </w:r>
      <w:r w:rsidRPr="005A2200">
        <w:rPr>
          <w:rFonts w:asciiTheme="majorBidi" w:hAnsiTheme="majorBidi" w:cstheme="majorBidi"/>
          <w:bCs/>
          <w:sz w:val="22"/>
          <w:szCs w:val="22"/>
          <w:lang w:val="sr-Latn-ME"/>
        </w:rPr>
        <w:t>, NNRTI) (vid</w:t>
      </w:r>
      <w:r w:rsidR="00B91336"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eti </w:t>
      </w:r>
      <w:r w:rsidR="00022D6E" w:rsidRPr="005A2200">
        <w:rPr>
          <w:rFonts w:asciiTheme="majorBidi" w:hAnsiTheme="majorBidi" w:cstheme="majorBidi"/>
          <w:bCs/>
          <w:sz w:val="22"/>
          <w:szCs w:val="22"/>
          <w:lang w:val="sr-Latn-ME"/>
        </w:rPr>
        <w:t>djelove</w:t>
      </w:r>
      <w:r w:rsidRPr="005A2200">
        <w:rPr>
          <w:rFonts w:asciiTheme="majorBidi" w:hAnsiTheme="majorBidi" w:cstheme="majorBidi"/>
          <w:bCs/>
          <w:sz w:val="22"/>
          <w:szCs w:val="22"/>
          <w:lang w:val="sr-Latn-ME"/>
        </w:rPr>
        <w:t xml:space="preserve"> 4.4 i 5.1).</w:t>
      </w:r>
    </w:p>
    <w:p w14:paraId="3F9FB2A9"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4AE55A26" w14:textId="77777777" w:rsidR="00411B4B" w:rsidRPr="005A2200" w:rsidRDefault="00411B4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4.2.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Doziranje i način primjene</w:t>
      </w:r>
    </w:p>
    <w:p w14:paraId="5BC0523F" w14:textId="66DAA578"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6D0AD81D" w14:textId="0FA454E9"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L</w:t>
      </w:r>
      <w:r w:rsidR="004B425F"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 xml:space="preserve">ečenje treba </w:t>
      </w:r>
      <w:r w:rsidR="00022D6E" w:rsidRPr="005A2200">
        <w:rPr>
          <w:rFonts w:asciiTheme="majorBidi" w:hAnsiTheme="majorBidi" w:cstheme="majorBidi"/>
          <w:bCs/>
          <w:sz w:val="22"/>
          <w:szCs w:val="22"/>
          <w:lang w:val="sr-Latn-ME"/>
        </w:rPr>
        <w:t xml:space="preserve">da </w:t>
      </w:r>
      <w:r w:rsidRPr="005A2200">
        <w:rPr>
          <w:rFonts w:asciiTheme="majorBidi" w:hAnsiTheme="majorBidi" w:cstheme="majorBidi"/>
          <w:bCs/>
          <w:sz w:val="22"/>
          <w:szCs w:val="22"/>
          <w:lang w:val="sr-Latn-ME"/>
        </w:rPr>
        <w:t>započ</w:t>
      </w:r>
      <w:r w:rsidR="00022D6E" w:rsidRPr="005A2200">
        <w:rPr>
          <w:rFonts w:asciiTheme="majorBidi" w:hAnsiTheme="majorBidi" w:cstheme="majorBidi"/>
          <w:bCs/>
          <w:sz w:val="22"/>
          <w:szCs w:val="22"/>
          <w:lang w:val="sr-Latn-ME"/>
        </w:rPr>
        <w:t>ne</w:t>
      </w:r>
      <w:r w:rsidRPr="005A2200">
        <w:rPr>
          <w:rFonts w:asciiTheme="majorBidi" w:hAnsiTheme="majorBidi" w:cstheme="majorBidi"/>
          <w:bCs/>
          <w:sz w:val="22"/>
          <w:szCs w:val="22"/>
          <w:lang w:val="sr-Latn-ME"/>
        </w:rPr>
        <w:t xml:space="preserve"> l</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ekar sa iskustvom u l</w:t>
      </w:r>
      <w:r w:rsidR="004B425F"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ečenju HIV infekcija.</w:t>
      </w:r>
    </w:p>
    <w:p w14:paraId="4F61E469"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7C20310C" w14:textId="77777777" w:rsidR="00452E9D" w:rsidRPr="005A2200" w:rsidRDefault="00452E9D" w:rsidP="005A2200">
      <w:pPr>
        <w:widowControl w:val="0"/>
        <w:tabs>
          <w:tab w:val="left" w:pos="540"/>
          <w:tab w:val="left" w:pos="569"/>
        </w:tabs>
        <w:jc w:val="both"/>
        <w:rPr>
          <w:rFonts w:asciiTheme="majorBidi" w:hAnsiTheme="majorBidi" w:cstheme="majorBidi"/>
          <w:bCs/>
          <w:sz w:val="22"/>
          <w:szCs w:val="22"/>
          <w:u w:val="single"/>
          <w:lang w:val="sr-Latn-ME"/>
        </w:rPr>
      </w:pPr>
      <w:r w:rsidRPr="005A2200">
        <w:rPr>
          <w:rFonts w:asciiTheme="majorBidi" w:hAnsiTheme="majorBidi" w:cstheme="majorBidi"/>
          <w:bCs/>
          <w:sz w:val="22"/>
          <w:szCs w:val="22"/>
          <w:u w:val="single"/>
          <w:lang w:val="sr-Latn-ME"/>
        </w:rPr>
        <w:t>Doziranje</w:t>
      </w:r>
    </w:p>
    <w:p w14:paraId="7A06845B" w14:textId="73BD23EC" w:rsidR="00452E9D" w:rsidRPr="005A2200" w:rsidRDefault="00452E9D" w:rsidP="005A2200">
      <w:pPr>
        <w:widowControl w:val="0"/>
        <w:tabs>
          <w:tab w:val="left" w:pos="540"/>
          <w:tab w:val="left" w:pos="569"/>
        </w:tabs>
        <w:jc w:val="both"/>
        <w:rPr>
          <w:rFonts w:asciiTheme="majorBidi" w:hAnsiTheme="majorBidi" w:cstheme="majorBidi"/>
          <w:bCs/>
          <w:sz w:val="22"/>
          <w:szCs w:val="22"/>
          <w:u w:val="single"/>
          <w:lang w:val="sr-Latn-ME"/>
        </w:rPr>
      </w:pPr>
    </w:p>
    <w:p w14:paraId="120B9A39" w14:textId="3AE059DD"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Preporučena doza je jedna tableta od 100 mg koja se uzima peroralno jednom dnevno, sa hranom ili bez nje.</w:t>
      </w:r>
    </w:p>
    <w:p w14:paraId="622848AF"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3E794275" w14:textId="2E5A3754" w:rsidR="00766713" w:rsidRPr="005A2200" w:rsidRDefault="00766713" w:rsidP="005A2200">
      <w:pPr>
        <w:widowControl w:val="0"/>
        <w:tabs>
          <w:tab w:val="left" w:pos="540"/>
          <w:tab w:val="left" w:pos="569"/>
        </w:tabs>
        <w:jc w:val="both"/>
        <w:rPr>
          <w:rFonts w:asciiTheme="majorBidi" w:hAnsiTheme="majorBidi" w:cstheme="majorBidi"/>
          <w:bCs/>
          <w:i/>
          <w:iCs/>
          <w:sz w:val="22"/>
          <w:szCs w:val="22"/>
          <w:lang w:val="sr-Latn-ME"/>
        </w:rPr>
      </w:pPr>
      <w:r w:rsidRPr="005A2200">
        <w:rPr>
          <w:rFonts w:asciiTheme="majorBidi" w:hAnsiTheme="majorBidi" w:cstheme="majorBidi"/>
          <w:bCs/>
          <w:i/>
          <w:iCs/>
          <w:sz w:val="22"/>
          <w:szCs w:val="22"/>
          <w:lang w:val="sr-Latn-ME"/>
        </w:rPr>
        <w:t>Prilago</w:t>
      </w:r>
      <w:r w:rsidR="00022D6E" w:rsidRPr="005A2200">
        <w:rPr>
          <w:rFonts w:asciiTheme="majorBidi" w:hAnsiTheme="majorBidi" w:cstheme="majorBidi"/>
          <w:bCs/>
          <w:i/>
          <w:iCs/>
          <w:sz w:val="22"/>
          <w:szCs w:val="22"/>
          <w:lang w:val="sr-Latn-ME"/>
        </w:rPr>
        <w:t>đ</w:t>
      </w:r>
      <w:r w:rsidRPr="005A2200">
        <w:rPr>
          <w:rFonts w:asciiTheme="majorBidi" w:hAnsiTheme="majorBidi" w:cstheme="majorBidi"/>
          <w:bCs/>
          <w:i/>
          <w:iCs/>
          <w:sz w:val="22"/>
          <w:szCs w:val="22"/>
          <w:lang w:val="sr-Latn-ME"/>
        </w:rPr>
        <w:t>avanje doze</w:t>
      </w:r>
    </w:p>
    <w:p w14:paraId="4CF75706" w14:textId="6181C796"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 xml:space="preserve">Ako se </w:t>
      </w:r>
      <w:r w:rsidR="00022D6E" w:rsidRPr="005A2200">
        <w:rPr>
          <w:rFonts w:asciiTheme="majorBidi" w:hAnsiTheme="majorBidi" w:cstheme="majorBidi"/>
          <w:bCs/>
          <w:sz w:val="22"/>
          <w:szCs w:val="22"/>
          <w:lang w:val="sr-Latn-ME"/>
        </w:rPr>
        <w:t xml:space="preserve">lijek </w:t>
      </w:r>
      <w:r w:rsidRPr="005A2200">
        <w:rPr>
          <w:rFonts w:asciiTheme="majorBidi" w:hAnsiTheme="majorBidi" w:cstheme="majorBidi"/>
          <w:bCs/>
          <w:sz w:val="22"/>
          <w:szCs w:val="22"/>
          <w:lang w:val="sr-Latn-ME"/>
        </w:rPr>
        <w:t>Pifeltro prim</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enjuje istovremeno sa rifabutinom, treba uzimati jednu tabletu l</w:t>
      </w:r>
      <w:r w:rsidR="004B425F"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eka Pifeltro od 100 mg dva puta dnevno (u razmaku od približno 12 sati) (vid</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eti </w:t>
      </w:r>
      <w:r w:rsidR="00022D6E" w:rsidRPr="005A2200">
        <w:rPr>
          <w:rFonts w:asciiTheme="majorBidi" w:hAnsiTheme="majorBidi" w:cstheme="majorBidi"/>
          <w:bCs/>
          <w:sz w:val="22"/>
          <w:szCs w:val="22"/>
          <w:lang w:val="sr-Latn-ME"/>
        </w:rPr>
        <w:t>dio</w:t>
      </w:r>
      <w:r w:rsidRPr="005A2200">
        <w:rPr>
          <w:rFonts w:asciiTheme="majorBidi" w:hAnsiTheme="majorBidi" w:cstheme="majorBidi"/>
          <w:bCs/>
          <w:sz w:val="22"/>
          <w:szCs w:val="22"/>
          <w:lang w:val="sr-Latn-ME"/>
        </w:rPr>
        <w:t xml:space="preserve"> 4.5). </w:t>
      </w:r>
    </w:p>
    <w:p w14:paraId="47D256D3"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6B59A7BA" w14:textId="7467E49E"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Istovremena prim</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ena doravirina sa drugim um</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erenim induktorima CYP3A nije se ispitivala, ali se očekuje smanjen</w:t>
      </w:r>
      <w:r w:rsidR="00F45E40"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 koncentracije doravirina. Ako se istovremena prim</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ena sa drugim um</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erenim induktorima CYP3A (npr. dabrafenib, lesinurad, bosentan, tioridazin, nafcilin, modafinil, etiltelotristat) ne može izb</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eći, potrebno je uzimati jednu tabletu l</w:t>
      </w:r>
      <w:r w:rsidR="00B91336"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eka Pifeltro od 100 mg dva puta dnevno (u razmaku od približno 12 sati).</w:t>
      </w:r>
    </w:p>
    <w:p w14:paraId="69848AEC"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1CD25F6C" w14:textId="77777777" w:rsidR="00766713" w:rsidRPr="005A2200" w:rsidRDefault="00766713" w:rsidP="005A2200">
      <w:pPr>
        <w:widowControl w:val="0"/>
        <w:tabs>
          <w:tab w:val="left" w:pos="540"/>
          <w:tab w:val="left" w:pos="569"/>
        </w:tabs>
        <w:jc w:val="both"/>
        <w:rPr>
          <w:rFonts w:asciiTheme="majorBidi" w:hAnsiTheme="majorBidi" w:cstheme="majorBidi"/>
          <w:bCs/>
          <w:i/>
          <w:iCs/>
          <w:sz w:val="22"/>
          <w:szCs w:val="22"/>
          <w:lang w:val="sr-Latn-ME"/>
        </w:rPr>
      </w:pPr>
      <w:r w:rsidRPr="005A2200">
        <w:rPr>
          <w:rFonts w:asciiTheme="majorBidi" w:hAnsiTheme="majorBidi" w:cstheme="majorBidi"/>
          <w:bCs/>
          <w:i/>
          <w:iCs/>
          <w:sz w:val="22"/>
          <w:szCs w:val="22"/>
          <w:lang w:val="sr-Latn-ME"/>
        </w:rPr>
        <w:lastRenderedPageBreak/>
        <w:t>Propuštena doza</w:t>
      </w:r>
    </w:p>
    <w:p w14:paraId="4DA363FC" w14:textId="6C64F8FB"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Ako je pacijent propustio dozu l</w:t>
      </w:r>
      <w:r w:rsidR="004B425F"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eka Pifeltro, a od propuštene doze je prošlo manje od 12 sati, treba</w:t>
      </w:r>
      <w:r w:rsidR="00022D6E" w:rsidRPr="005A2200">
        <w:rPr>
          <w:rFonts w:asciiTheme="majorBidi" w:hAnsiTheme="majorBidi" w:cstheme="majorBidi"/>
          <w:bCs/>
          <w:sz w:val="22"/>
          <w:szCs w:val="22"/>
          <w:lang w:val="sr-Latn-ME"/>
        </w:rPr>
        <w:t xml:space="preserve"> da</w:t>
      </w:r>
      <w:r w:rsidRPr="005A2200">
        <w:rPr>
          <w:rFonts w:asciiTheme="majorBidi" w:hAnsiTheme="majorBidi" w:cstheme="majorBidi"/>
          <w:bCs/>
          <w:sz w:val="22"/>
          <w:szCs w:val="22"/>
          <w:lang w:val="sr-Latn-ME"/>
        </w:rPr>
        <w:t xml:space="preserve"> je uz</w:t>
      </w:r>
      <w:r w:rsidR="00F74540" w:rsidRPr="005A2200">
        <w:rPr>
          <w:rFonts w:asciiTheme="majorBidi" w:hAnsiTheme="majorBidi" w:cstheme="majorBidi"/>
          <w:bCs/>
          <w:sz w:val="22"/>
          <w:szCs w:val="22"/>
          <w:lang w:val="sr-Latn-ME"/>
        </w:rPr>
        <w:t>me</w:t>
      </w:r>
      <w:r w:rsidRPr="005A2200">
        <w:rPr>
          <w:rFonts w:asciiTheme="majorBidi" w:hAnsiTheme="majorBidi" w:cstheme="majorBidi"/>
          <w:bCs/>
          <w:sz w:val="22"/>
          <w:szCs w:val="22"/>
          <w:lang w:val="sr-Latn-ME"/>
        </w:rPr>
        <w:t xml:space="preserve"> što je pr</w:t>
      </w:r>
      <w:r w:rsidR="004B425F"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 moguće i zatim nastavi sa prim</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enom prema uobičajenom rasporedu. Ako je od propuštene doze prošlo više od 12 sati, pacijent ne sm</w:t>
      </w:r>
      <w:r w:rsidR="004B425F"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 xml:space="preserve">e uzeti propuštenu dozu, nego treba </w:t>
      </w:r>
      <w:r w:rsidR="00F74540" w:rsidRPr="005A2200">
        <w:rPr>
          <w:rFonts w:asciiTheme="majorBidi" w:hAnsiTheme="majorBidi" w:cstheme="majorBidi"/>
          <w:bCs/>
          <w:sz w:val="22"/>
          <w:szCs w:val="22"/>
          <w:lang w:val="sr-Latn-ME"/>
        </w:rPr>
        <w:t xml:space="preserve">da </w:t>
      </w:r>
      <w:r w:rsidRPr="005A2200">
        <w:rPr>
          <w:rFonts w:asciiTheme="majorBidi" w:hAnsiTheme="majorBidi" w:cstheme="majorBidi"/>
          <w:bCs/>
          <w:sz w:val="22"/>
          <w:szCs w:val="22"/>
          <w:lang w:val="sr-Latn-ME"/>
        </w:rPr>
        <w:t>uz</w:t>
      </w:r>
      <w:r w:rsidR="00F74540" w:rsidRPr="005A2200">
        <w:rPr>
          <w:rFonts w:asciiTheme="majorBidi" w:hAnsiTheme="majorBidi" w:cstheme="majorBidi"/>
          <w:bCs/>
          <w:sz w:val="22"/>
          <w:szCs w:val="22"/>
          <w:lang w:val="sr-Latn-ME"/>
        </w:rPr>
        <w:t>me</w:t>
      </w:r>
      <w:r w:rsidRPr="005A2200">
        <w:rPr>
          <w:rFonts w:asciiTheme="majorBidi" w:hAnsiTheme="majorBidi" w:cstheme="majorBidi"/>
          <w:bCs/>
          <w:sz w:val="22"/>
          <w:szCs w:val="22"/>
          <w:lang w:val="sr-Latn-ME"/>
        </w:rPr>
        <w:t xml:space="preserve"> sl</w:t>
      </w:r>
      <w:r w:rsidR="00F45E40"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edeću predviđenu dozu prema uobičajenom rasporedu. Pacijent ne sm</w:t>
      </w:r>
      <w:r w:rsidR="004B425F"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 xml:space="preserve">e uzeti 2 doze odjednom. </w:t>
      </w:r>
    </w:p>
    <w:p w14:paraId="103FABC4"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75AD4349"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u w:val="single"/>
          <w:lang w:val="sr-Latn-ME"/>
        </w:rPr>
      </w:pPr>
      <w:r w:rsidRPr="005A2200">
        <w:rPr>
          <w:rFonts w:asciiTheme="majorBidi" w:hAnsiTheme="majorBidi" w:cstheme="majorBidi"/>
          <w:bCs/>
          <w:sz w:val="22"/>
          <w:szCs w:val="22"/>
          <w:u w:val="single"/>
          <w:lang w:val="sr-Latn-ME"/>
        </w:rPr>
        <w:t>Posebne populacije</w:t>
      </w:r>
    </w:p>
    <w:p w14:paraId="12FB337F"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49F338DF" w14:textId="77777777" w:rsidR="00766713" w:rsidRPr="005A2200" w:rsidRDefault="00766713" w:rsidP="005A2200">
      <w:pPr>
        <w:widowControl w:val="0"/>
        <w:tabs>
          <w:tab w:val="left" w:pos="540"/>
          <w:tab w:val="left" w:pos="569"/>
        </w:tabs>
        <w:jc w:val="both"/>
        <w:rPr>
          <w:rFonts w:asciiTheme="majorBidi" w:hAnsiTheme="majorBidi" w:cstheme="majorBidi"/>
          <w:bCs/>
          <w:i/>
          <w:iCs/>
          <w:sz w:val="22"/>
          <w:szCs w:val="22"/>
          <w:lang w:val="sr-Latn-ME"/>
        </w:rPr>
      </w:pPr>
      <w:r w:rsidRPr="005A2200">
        <w:rPr>
          <w:rFonts w:asciiTheme="majorBidi" w:hAnsiTheme="majorBidi" w:cstheme="majorBidi"/>
          <w:bCs/>
          <w:i/>
          <w:iCs/>
          <w:sz w:val="22"/>
          <w:szCs w:val="22"/>
          <w:lang w:val="sr-Latn-ME"/>
        </w:rPr>
        <w:t>Starije osobe</w:t>
      </w:r>
    </w:p>
    <w:p w14:paraId="12D9A386" w14:textId="6DF6504C"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Nije potrebno prilagođavati dozu doravirina kod starijih pacijenata (vid</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eti </w:t>
      </w:r>
      <w:r w:rsidR="00F74540" w:rsidRPr="005A2200">
        <w:rPr>
          <w:rFonts w:asciiTheme="majorBidi" w:hAnsiTheme="majorBidi" w:cstheme="majorBidi"/>
          <w:bCs/>
          <w:sz w:val="22"/>
          <w:szCs w:val="22"/>
          <w:lang w:val="sr-Latn-ME"/>
        </w:rPr>
        <w:t>dio</w:t>
      </w:r>
      <w:r w:rsidRPr="005A2200">
        <w:rPr>
          <w:rFonts w:asciiTheme="majorBidi" w:hAnsiTheme="majorBidi" w:cstheme="majorBidi"/>
          <w:bCs/>
          <w:sz w:val="22"/>
          <w:szCs w:val="22"/>
          <w:lang w:val="sr-Latn-ME"/>
        </w:rPr>
        <w:t xml:space="preserve"> 5.2).</w:t>
      </w:r>
    </w:p>
    <w:p w14:paraId="4262FD5B"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6A9E764E" w14:textId="77777777" w:rsidR="00766713" w:rsidRPr="005A2200" w:rsidRDefault="00766713" w:rsidP="005A2200">
      <w:pPr>
        <w:widowControl w:val="0"/>
        <w:tabs>
          <w:tab w:val="left" w:pos="540"/>
          <w:tab w:val="left" w:pos="569"/>
        </w:tabs>
        <w:jc w:val="both"/>
        <w:rPr>
          <w:rFonts w:asciiTheme="majorBidi" w:hAnsiTheme="majorBidi" w:cstheme="majorBidi"/>
          <w:bCs/>
          <w:i/>
          <w:iCs/>
          <w:sz w:val="22"/>
          <w:szCs w:val="22"/>
          <w:lang w:val="sr-Latn-ME"/>
        </w:rPr>
      </w:pPr>
      <w:r w:rsidRPr="005A2200">
        <w:rPr>
          <w:rFonts w:asciiTheme="majorBidi" w:hAnsiTheme="majorBidi" w:cstheme="majorBidi"/>
          <w:bCs/>
          <w:i/>
          <w:iCs/>
          <w:sz w:val="22"/>
          <w:szCs w:val="22"/>
          <w:lang w:val="sr-Latn-ME"/>
        </w:rPr>
        <w:t>Oštećenje funkcije bubrega</w:t>
      </w:r>
    </w:p>
    <w:p w14:paraId="5C2D7DE7" w14:textId="4E014E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Nije potrebno prilagođavati dozu doravirina kod pacijenata sa blagim, um</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erenim ili teškim oštećenjem funkcije bubrega. Doravirin se nije ispitivao kod pacijenata sa krajnjim stadijumom bubrežne bolesti ni kod pacijenata na dijalizi (vid</w:t>
      </w:r>
      <w:r w:rsidR="004B425F"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eti </w:t>
      </w:r>
      <w:r w:rsidR="00F74540" w:rsidRPr="005A2200">
        <w:rPr>
          <w:rFonts w:asciiTheme="majorBidi" w:hAnsiTheme="majorBidi" w:cstheme="majorBidi"/>
          <w:bCs/>
          <w:sz w:val="22"/>
          <w:szCs w:val="22"/>
          <w:lang w:val="sr-Latn-ME"/>
        </w:rPr>
        <w:t>dio</w:t>
      </w:r>
      <w:r w:rsidRPr="005A2200">
        <w:rPr>
          <w:rFonts w:asciiTheme="majorBidi" w:hAnsiTheme="majorBidi" w:cstheme="majorBidi"/>
          <w:bCs/>
          <w:sz w:val="22"/>
          <w:szCs w:val="22"/>
          <w:lang w:val="sr-Latn-ME"/>
        </w:rPr>
        <w:t xml:space="preserve"> 5.2). </w:t>
      </w:r>
    </w:p>
    <w:p w14:paraId="5843F284"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41BB8580" w14:textId="77777777" w:rsidR="00766713" w:rsidRPr="005A2200" w:rsidRDefault="00766713" w:rsidP="005A2200">
      <w:pPr>
        <w:widowControl w:val="0"/>
        <w:tabs>
          <w:tab w:val="left" w:pos="540"/>
          <w:tab w:val="left" w:pos="569"/>
        </w:tabs>
        <w:jc w:val="both"/>
        <w:rPr>
          <w:rFonts w:asciiTheme="majorBidi" w:hAnsiTheme="majorBidi" w:cstheme="majorBidi"/>
          <w:bCs/>
          <w:i/>
          <w:iCs/>
          <w:sz w:val="22"/>
          <w:szCs w:val="22"/>
          <w:lang w:val="sr-Latn-ME"/>
        </w:rPr>
      </w:pPr>
      <w:r w:rsidRPr="005A2200">
        <w:rPr>
          <w:rFonts w:asciiTheme="majorBidi" w:hAnsiTheme="majorBidi" w:cstheme="majorBidi"/>
          <w:bCs/>
          <w:i/>
          <w:iCs/>
          <w:sz w:val="22"/>
          <w:szCs w:val="22"/>
          <w:lang w:val="sr-Latn-ME"/>
        </w:rPr>
        <w:t>Oštećenje funkcije jetre</w:t>
      </w:r>
    </w:p>
    <w:p w14:paraId="51FD4748" w14:textId="25AF9F6D"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Nije potrebno prilagođavati dozu doravirina kod pacijenata sa blagim (Child Pugh stepen A) ili um</w:t>
      </w:r>
      <w:r w:rsidR="00BE38F4"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erenim (Child Pugh stepen B) oštećenjem funkcije jetre. Doravirin se nije ispitivao kod pacijenata sa teškim oštećenjem funkcije jetre (Child Pugh stepen C). Nije poznato hoće li se izloženost doravirinu povećati kod pacijenata sa teškim oštećenjem funkcije jetre. Stoga se preporučuje oprez kada se doravirin prim</w:t>
      </w:r>
      <w:r w:rsidR="00BE38F4"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enjuje kod pacijenata sa teškim oštećenjem funkcije jetre (vid</w:t>
      </w:r>
      <w:r w:rsidR="00BE38F4"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eti </w:t>
      </w:r>
      <w:r w:rsidR="00F74540" w:rsidRPr="005A2200">
        <w:rPr>
          <w:rFonts w:asciiTheme="majorBidi" w:hAnsiTheme="majorBidi" w:cstheme="majorBidi"/>
          <w:bCs/>
          <w:sz w:val="22"/>
          <w:szCs w:val="22"/>
          <w:lang w:val="sr-Latn-ME"/>
        </w:rPr>
        <w:t>dio</w:t>
      </w:r>
      <w:r w:rsidRPr="005A2200">
        <w:rPr>
          <w:rFonts w:asciiTheme="majorBidi" w:hAnsiTheme="majorBidi" w:cstheme="majorBidi"/>
          <w:bCs/>
          <w:sz w:val="22"/>
          <w:szCs w:val="22"/>
          <w:lang w:val="sr-Latn-ME"/>
        </w:rPr>
        <w:t xml:space="preserve"> 5.2).</w:t>
      </w:r>
    </w:p>
    <w:p w14:paraId="7CA46F71"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4B543D88" w14:textId="77777777" w:rsidR="00766713" w:rsidRPr="005A2200" w:rsidRDefault="00766713" w:rsidP="005A2200">
      <w:pPr>
        <w:widowControl w:val="0"/>
        <w:tabs>
          <w:tab w:val="left" w:pos="540"/>
          <w:tab w:val="left" w:pos="569"/>
        </w:tabs>
        <w:jc w:val="both"/>
        <w:rPr>
          <w:rFonts w:asciiTheme="majorBidi" w:hAnsiTheme="majorBidi" w:cstheme="majorBidi"/>
          <w:bCs/>
          <w:i/>
          <w:iCs/>
          <w:sz w:val="22"/>
          <w:szCs w:val="22"/>
          <w:lang w:val="sr-Latn-ME"/>
        </w:rPr>
      </w:pPr>
      <w:r w:rsidRPr="005A2200">
        <w:rPr>
          <w:rFonts w:asciiTheme="majorBidi" w:hAnsiTheme="majorBidi" w:cstheme="majorBidi"/>
          <w:bCs/>
          <w:i/>
          <w:iCs/>
          <w:sz w:val="22"/>
          <w:szCs w:val="22"/>
          <w:lang w:val="sr-Latn-ME"/>
        </w:rPr>
        <w:t>Pedijatrijska populacija</w:t>
      </w:r>
    </w:p>
    <w:p w14:paraId="79C9716E" w14:textId="68CDE594" w:rsidR="00766713" w:rsidRPr="005A2200" w:rsidRDefault="003E4958" w:rsidP="005A2200">
      <w:pPr>
        <w:widowControl w:val="0"/>
        <w:tabs>
          <w:tab w:val="left" w:pos="540"/>
          <w:tab w:val="left" w:pos="569"/>
        </w:tabs>
        <w:jc w:val="both"/>
        <w:rPr>
          <w:rFonts w:asciiTheme="majorBidi" w:hAnsiTheme="majorBidi" w:cstheme="majorBidi"/>
          <w:bCs/>
          <w:sz w:val="22"/>
          <w:szCs w:val="22"/>
          <w:lang w:val="sr-Latn-ME"/>
        </w:rPr>
      </w:pPr>
      <w:bookmarkStart w:id="0" w:name="_Hlk119681182"/>
      <w:r w:rsidRPr="005A2200">
        <w:rPr>
          <w:sz w:val="22"/>
          <w:lang w:val="sr-Latn-ME"/>
        </w:rPr>
        <w:t>Bezb</w:t>
      </w:r>
      <w:r w:rsidR="00583DCE" w:rsidRPr="005A2200">
        <w:rPr>
          <w:sz w:val="22"/>
          <w:lang w:val="sr-Latn-ME"/>
        </w:rPr>
        <w:t>j</w:t>
      </w:r>
      <w:r w:rsidRPr="005A2200">
        <w:rPr>
          <w:sz w:val="22"/>
          <w:lang w:val="sr-Latn-ME"/>
        </w:rPr>
        <w:t>ednost i efikasnost l</w:t>
      </w:r>
      <w:r w:rsidR="00583DCE" w:rsidRPr="005A2200">
        <w:rPr>
          <w:sz w:val="22"/>
          <w:lang w:val="sr-Latn-ME"/>
        </w:rPr>
        <w:t>ij</w:t>
      </w:r>
      <w:r w:rsidRPr="005A2200">
        <w:rPr>
          <w:sz w:val="22"/>
          <w:lang w:val="sr-Latn-ME"/>
        </w:rPr>
        <w:t>eka Pifeltro kod d</w:t>
      </w:r>
      <w:r w:rsidR="00583DCE" w:rsidRPr="005A2200">
        <w:rPr>
          <w:sz w:val="22"/>
          <w:lang w:val="sr-Latn-ME"/>
        </w:rPr>
        <w:t>j</w:t>
      </w:r>
      <w:r w:rsidRPr="005A2200">
        <w:rPr>
          <w:sz w:val="22"/>
          <w:lang w:val="sr-Latn-ME"/>
        </w:rPr>
        <w:t>ece mlađe od 12 godina ili t</w:t>
      </w:r>
      <w:r w:rsidR="00583DCE" w:rsidRPr="005A2200">
        <w:rPr>
          <w:sz w:val="22"/>
          <w:lang w:val="sr-Latn-ME"/>
        </w:rPr>
        <w:t>j</w:t>
      </w:r>
      <w:r w:rsidRPr="005A2200">
        <w:rPr>
          <w:sz w:val="22"/>
          <w:lang w:val="sr-Latn-ME"/>
        </w:rPr>
        <w:t>elesne mase manje od 35 kg ni</w:t>
      </w:r>
      <w:r w:rsidR="00583DCE" w:rsidRPr="005A2200">
        <w:rPr>
          <w:sz w:val="22"/>
          <w:lang w:val="sr-Latn-ME"/>
        </w:rPr>
        <w:t>je</w:t>
      </w:r>
      <w:r w:rsidRPr="005A2200">
        <w:rPr>
          <w:sz w:val="22"/>
          <w:lang w:val="sr-Latn-ME"/>
        </w:rPr>
        <w:t>su ustanovljene.</w:t>
      </w:r>
      <w:bookmarkEnd w:id="0"/>
      <w:r w:rsidR="002D2D5A" w:rsidRPr="005A2200">
        <w:rPr>
          <w:sz w:val="22"/>
          <w:lang w:val="sr-Latn-ME"/>
        </w:rPr>
        <w:t xml:space="preserve"> Nema dostupnih podataka.</w:t>
      </w:r>
    </w:p>
    <w:p w14:paraId="3A181BC1"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67107F95" w14:textId="77777777" w:rsidR="00452E9D" w:rsidRPr="005A2200" w:rsidRDefault="00452E9D" w:rsidP="005A2200">
      <w:pPr>
        <w:widowControl w:val="0"/>
        <w:tabs>
          <w:tab w:val="left" w:pos="540"/>
          <w:tab w:val="left" w:pos="569"/>
        </w:tabs>
        <w:jc w:val="both"/>
        <w:rPr>
          <w:rFonts w:asciiTheme="majorBidi" w:hAnsiTheme="majorBidi" w:cstheme="majorBidi"/>
          <w:bCs/>
          <w:sz w:val="22"/>
          <w:szCs w:val="22"/>
          <w:u w:val="single"/>
          <w:lang w:val="sr-Latn-ME"/>
        </w:rPr>
      </w:pPr>
      <w:r w:rsidRPr="005A2200">
        <w:rPr>
          <w:rFonts w:asciiTheme="majorBidi" w:hAnsiTheme="majorBidi" w:cstheme="majorBidi"/>
          <w:bCs/>
          <w:sz w:val="22"/>
          <w:szCs w:val="22"/>
          <w:u w:val="single"/>
          <w:lang w:val="sr-Latn-ME"/>
        </w:rPr>
        <w:t>Način primjene</w:t>
      </w:r>
    </w:p>
    <w:p w14:paraId="7EFB5FF3" w14:textId="7A60923E" w:rsidR="00452E9D" w:rsidRPr="005A2200" w:rsidRDefault="00452E9D" w:rsidP="005A2200">
      <w:pPr>
        <w:widowControl w:val="0"/>
        <w:tabs>
          <w:tab w:val="left" w:pos="540"/>
          <w:tab w:val="left" w:pos="569"/>
        </w:tabs>
        <w:jc w:val="both"/>
        <w:rPr>
          <w:rFonts w:asciiTheme="majorBidi" w:hAnsiTheme="majorBidi" w:cstheme="majorBidi"/>
          <w:bCs/>
          <w:sz w:val="22"/>
          <w:szCs w:val="22"/>
          <w:lang w:val="sr-Latn-ME"/>
        </w:rPr>
      </w:pPr>
    </w:p>
    <w:p w14:paraId="65D74C42" w14:textId="543CA3B0"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L</w:t>
      </w:r>
      <w:r w:rsidR="00BE38F4"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ek Pifeltro se mora uzimati peroralno, jednom dnevno, sa hranom ili bez nje, a tableta se mora progutati c</w:t>
      </w:r>
      <w:r w:rsidR="00BE38F4"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ela (vid</w:t>
      </w:r>
      <w:r w:rsidR="00BE38F4"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eti </w:t>
      </w:r>
      <w:r w:rsidR="00F74540" w:rsidRPr="005A2200">
        <w:rPr>
          <w:rFonts w:asciiTheme="majorBidi" w:hAnsiTheme="majorBidi" w:cstheme="majorBidi"/>
          <w:bCs/>
          <w:sz w:val="22"/>
          <w:szCs w:val="22"/>
          <w:lang w:val="sr-Latn-ME"/>
        </w:rPr>
        <w:t>dio</w:t>
      </w:r>
      <w:r w:rsidRPr="005A2200">
        <w:rPr>
          <w:rFonts w:asciiTheme="majorBidi" w:hAnsiTheme="majorBidi" w:cstheme="majorBidi"/>
          <w:bCs/>
          <w:sz w:val="22"/>
          <w:szCs w:val="22"/>
          <w:lang w:val="sr-Latn-ME"/>
        </w:rPr>
        <w:t xml:space="preserve"> 5.2).</w:t>
      </w:r>
    </w:p>
    <w:p w14:paraId="221C58B6"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0C9CF1E7" w14:textId="77777777" w:rsidR="00411B4B" w:rsidRPr="005A2200" w:rsidRDefault="00411B4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4.3.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Kontraindikacije</w:t>
      </w:r>
    </w:p>
    <w:p w14:paraId="7BF8F1DF" w14:textId="4BA2CCCD"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14D96664" w14:textId="57404789"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Preos</w:t>
      </w:r>
      <w:r w:rsidR="00BE38F4"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etljivost na aktivnu supstancu ili bilo koju od pomoćnih supstanci navedenih u </w:t>
      </w:r>
      <w:r w:rsidR="00F74540" w:rsidRPr="005A2200">
        <w:rPr>
          <w:rFonts w:asciiTheme="majorBidi" w:hAnsiTheme="majorBidi" w:cstheme="majorBidi"/>
          <w:bCs/>
          <w:sz w:val="22"/>
          <w:szCs w:val="22"/>
          <w:lang w:val="sr-Latn-ME"/>
        </w:rPr>
        <w:t>dijelu</w:t>
      </w:r>
      <w:r w:rsidRPr="005A2200">
        <w:rPr>
          <w:rFonts w:asciiTheme="majorBidi" w:hAnsiTheme="majorBidi" w:cstheme="majorBidi"/>
          <w:bCs/>
          <w:sz w:val="22"/>
          <w:szCs w:val="22"/>
          <w:lang w:val="sr-Latn-ME"/>
        </w:rPr>
        <w:t xml:space="preserve"> 6.1.</w:t>
      </w:r>
    </w:p>
    <w:p w14:paraId="7339CA77"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0B1923A8" w14:textId="0FC2635C"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Istovremena prim</w:t>
      </w:r>
      <w:r w:rsidR="00BE38F4"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ena sa l</w:t>
      </w:r>
      <w:r w:rsidR="00BE38F4"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ekovima koji su snažni induktori enzima citohroma P450 CYP3A je kontraindikov</w:t>
      </w:r>
      <w:r w:rsidR="00F45E40" w:rsidRPr="005A2200">
        <w:rPr>
          <w:rFonts w:asciiTheme="majorBidi" w:hAnsiTheme="majorBidi" w:cstheme="majorBidi"/>
          <w:bCs/>
          <w:sz w:val="22"/>
          <w:szCs w:val="22"/>
          <w:lang w:val="sr-Latn-ME"/>
        </w:rPr>
        <w:t>a</w:t>
      </w:r>
      <w:r w:rsidRPr="005A2200">
        <w:rPr>
          <w:rFonts w:asciiTheme="majorBidi" w:hAnsiTheme="majorBidi" w:cstheme="majorBidi"/>
          <w:bCs/>
          <w:sz w:val="22"/>
          <w:szCs w:val="22"/>
          <w:lang w:val="sr-Latn-ME"/>
        </w:rPr>
        <w:t>na jer se očekuju značajna sniženja koncentracija doravirina u plazmi, koja mogu smanjiti efikasnost l</w:t>
      </w:r>
      <w:r w:rsidR="00BE38F4" w:rsidRPr="005A2200">
        <w:rPr>
          <w:rFonts w:asciiTheme="majorBidi" w:hAnsiTheme="majorBidi" w:cstheme="majorBidi"/>
          <w:bCs/>
          <w:sz w:val="22"/>
          <w:szCs w:val="22"/>
          <w:lang w:val="sr-Latn-ME"/>
        </w:rPr>
        <w:t>ij</w:t>
      </w:r>
      <w:r w:rsidRPr="005A2200">
        <w:rPr>
          <w:rFonts w:asciiTheme="majorBidi" w:hAnsiTheme="majorBidi" w:cstheme="majorBidi"/>
          <w:bCs/>
          <w:sz w:val="22"/>
          <w:szCs w:val="22"/>
          <w:lang w:val="sr-Latn-ME"/>
        </w:rPr>
        <w:t>eka Pifeltro (vid</w:t>
      </w:r>
      <w:r w:rsidR="00F45E40"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eti </w:t>
      </w:r>
      <w:r w:rsidR="00F74540" w:rsidRPr="005A2200">
        <w:rPr>
          <w:rFonts w:asciiTheme="majorBidi" w:hAnsiTheme="majorBidi" w:cstheme="majorBidi"/>
          <w:bCs/>
          <w:sz w:val="22"/>
          <w:szCs w:val="22"/>
          <w:lang w:val="sr-Latn-ME"/>
        </w:rPr>
        <w:t>djelov</w:t>
      </w:r>
      <w:r w:rsidRPr="005A2200">
        <w:rPr>
          <w:rFonts w:asciiTheme="majorBidi" w:hAnsiTheme="majorBidi" w:cstheme="majorBidi"/>
          <w:bCs/>
          <w:sz w:val="22"/>
          <w:szCs w:val="22"/>
          <w:lang w:val="sr-Latn-ME"/>
        </w:rPr>
        <w:t>e 4.4 i 4.5). Ti l</w:t>
      </w:r>
      <w:r w:rsidR="00BE38F4" w:rsidRPr="005A2200">
        <w:rPr>
          <w:rFonts w:asciiTheme="majorBidi" w:hAnsiTheme="majorBidi" w:cstheme="majorBidi"/>
          <w:bCs/>
          <w:sz w:val="22"/>
          <w:szCs w:val="22"/>
          <w:lang w:val="sr-Latn-ME"/>
        </w:rPr>
        <w:t>j</w:t>
      </w:r>
      <w:r w:rsidRPr="005A2200">
        <w:rPr>
          <w:rFonts w:asciiTheme="majorBidi" w:hAnsiTheme="majorBidi" w:cstheme="majorBidi"/>
          <w:bCs/>
          <w:sz w:val="22"/>
          <w:szCs w:val="22"/>
          <w:lang w:val="sr-Latn-ME"/>
        </w:rPr>
        <w:t xml:space="preserve">ekovi uključuju, između ostalih: </w:t>
      </w:r>
    </w:p>
    <w:p w14:paraId="5E799136"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bCs/>
          <w:sz w:val="22"/>
          <w:szCs w:val="22"/>
          <w:lang w:val="sr-Latn-ME"/>
        </w:rPr>
        <w:tab/>
        <w:t>karbamazepin, okskarbazepin, fenobarbital, fenitoin</w:t>
      </w:r>
    </w:p>
    <w:p w14:paraId="78C4B2C2"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bCs/>
          <w:sz w:val="22"/>
          <w:szCs w:val="22"/>
          <w:lang w:val="sr-Latn-ME"/>
        </w:rPr>
        <w:tab/>
        <w:t>rifampicin, rifapentin</w:t>
      </w:r>
    </w:p>
    <w:p w14:paraId="2D0ABD21"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bCs/>
          <w:sz w:val="22"/>
          <w:szCs w:val="22"/>
          <w:lang w:val="sr-Latn-ME"/>
        </w:rPr>
        <w:tab/>
        <w:t>kantarion (Hypericum perforatum)</w:t>
      </w:r>
    </w:p>
    <w:p w14:paraId="1006702F"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bCs/>
          <w:sz w:val="22"/>
          <w:szCs w:val="22"/>
          <w:lang w:val="sr-Latn-ME"/>
        </w:rPr>
        <w:tab/>
        <w:t xml:space="preserve">mitotan </w:t>
      </w:r>
    </w:p>
    <w:p w14:paraId="620A82B4"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bCs/>
          <w:sz w:val="22"/>
          <w:szCs w:val="22"/>
          <w:lang w:val="sr-Latn-ME"/>
        </w:rPr>
        <w:tab/>
        <w:t xml:space="preserve">enzalutamid </w:t>
      </w:r>
    </w:p>
    <w:p w14:paraId="3F97B821" w14:textId="2F6A69B5"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bCs/>
          <w:sz w:val="22"/>
          <w:szCs w:val="22"/>
          <w:lang w:val="sr-Latn-ME"/>
        </w:rPr>
        <w:tab/>
        <w:t>luma</w:t>
      </w:r>
      <w:r w:rsidR="00F74540" w:rsidRPr="005A2200">
        <w:rPr>
          <w:rFonts w:asciiTheme="majorBidi" w:hAnsiTheme="majorBidi" w:cstheme="majorBidi"/>
          <w:bCs/>
          <w:sz w:val="22"/>
          <w:szCs w:val="22"/>
          <w:lang w:val="sr-Latn-ME"/>
        </w:rPr>
        <w:t>k</w:t>
      </w:r>
      <w:r w:rsidRPr="005A2200">
        <w:rPr>
          <w:rFonts w:asciiTheme="majorBidi" w:hAnsiTheme="majorBidi" w:cstheme="majorBidi"/>
          <w:bCs/>
          <w:sz w:val="22"/>
          <w:szCs w:val="22"/>
          <w:lang w:val="sr-Latn-ME"/>
        </w:rPr>
        <w:t>aftor</w:t>
      </w:r>
    </w:p>
    <w:p w14:paraId="58B94D90"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1863F8BE" w14:textId="77777777" w:rsidR="00411B4B" w:rsidRPr="005A2200" w:rsidRDefault="00411B4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4.4.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Posebna upozorenja i mjere opreza pri upotrebi lijeka</w:t>
      </w:r>
    </w:p>
    <w:p w14:paraId="6E14926E" w14:textId="1E419541" w:rsidR="00072EA4" w:rsidRPr="005A2200" w:rsidRDefault="00072EA4" w:rsidP="005A2200">
      <w:pPr>
        <w:widowControl w:val="0"/>
        <w:tabs>
          <w:tab w:val="left" w:pos="540"/>
          <w:tab w:val="left" w:pos="569"/>
        </w:tabs>
        <w:jc w:val="both"/>
        <w:rPr>
          <w:rFonts w:asciiTheme="majorBidi" w:hAnsiTheme="majorBidi" w:cstheme="majorBidi"/>
          <w:sz w:val="22"/>
          <w:szCs w:val="22"/>
          <w:lang w:val="sr-Latn-ME"/>
        </w:rPr>
      </w:pPr>
    </w:p>
    <w:p w14:paraId="4AF879CA" w14:textId="3AE3D14E" w:rsidR="00766713" w:rsidRPr="005A2200" w:rsidRDefault="00766713" w:rsidP="005A2200">
      <w:pPr>
        <w:widowControl w:val="0"/>
        <w:tabs>
          <w:tab w:val="left" w:pos="540"/>
          <w:tab w:val="left" w:pos="569"/>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Supstitucije povezane sa rezistencijom na NNRTI i prim</w:t>
      </w:r>
      <w:r w:rsidR="00BE38F4" w:rsidRPr="005A2200">
        <w:rPr>
          <w:rFonts w:asciiTheme="majorBidi" w:hAnsiTheme="majorBidi" w:cstheme="majorBidi"/>
          <w:sz w:val="22"/>
          <w:szCs w:val="22"/>
          <w:u w:val="single"/>
          <w:lang w:val="sr-Latn-ME"/>
        </w:rPr>
        <w:t>j</w:t>
      </w:r>
      <w:r w:rsidRPr="005A2200">
        <w:rPr>
          <w:rFonts w:asciiTheme="majorBidi" w:hAnsiTheme="majorBidi" w:cstheme="majorBidi"/>
          <w:sz w:val="22"/>
          <w:szCs w:val="22"/>
          <w:u w:val="single"/>
          <w:lang w:val="sr-Latn-ME"/>
        </w:rPr>
        <w:t>ena doravirina</w:t>
      </w:r>
    </w:p>
    <w:p w14:paraId="396512A6"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p>
    <w:p w14:paraId="75894317" w14:textId="26069DBC"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se nije ispitivao kod pacijenata sa izostankom virološkog odgovora tokom prethodn</w:t>
      </w:r>
      <w:r w:rsidR="006B6FFC" w:rsidRPr="005A2200">
        <w:rPr>
          <w:rFonts w:asciiTheme="majorBidi" w:hAnsiTheme="majorBidi" w:cstheme="majorBidi"/>
          <w:sz w:val="22"/>
          <w:szCs w:val="22"/>
          <w:lang w:val="sr-Latn-ME"/>
        </w:rPr>
        <w:t>og</w:t>
      </w:r>
      <w:r w:rsidRPr="005A2200">
        <w:rPr>
          <w:rFonts w:asciiTheme="majorBidi" w:hAnsiTheme="majorBidi" w:cstheme="majorBidi"/>
          <w:sz w:val="22"/>
          <w:szCs w:val="22"/>
          <w:lang w:val="sr-Latn-ME"/>
        </w:rPr>
        <w:t xml:space="preserve"> l</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ečenja bilo kojom drugom antiretrovirusnom terapijom. Mutacije povezane sa rezistencijom na NNRTI pronađene pri skiningu bile su d</w:t>
      </w:r>
      <w:r w:rsidR="00BE38F4" w:rsidRPr="005A2200">
        <w:rPr>
          <w:rFonts w:asciiTheme="majorBidi" w:hAnsiTheme="majorBidi" w:cstheme="majorBidi"/>
          <w:sz w:val="22"/>
          <w:szCs w:val="22"/>
          <w:lang w:val="sr-Latn-ME"/>
        </w:rPr>
        <w:t>i</w:t>
      </w:r>
      <w:r w:rsidRPr="005A2200">
        <w:rPr>
          <w:rFonts w:asciiTheme="majorBidi" w:hAnsiTheme="majorBidi" w:cstheme="majorBidi"/>
          <w:sz w:val="22"/>
          <w:szCs w:val="22"/>
          <w:lang w:val="sr-Latn-ME"/>
        </w:rPr>
        <w:t>o isključujućih kriterijuma u ispitivanjima faze IIb/III. Nije utvrđena granična vr</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 za smanjenje os</w:t>
      </w:r>
      <w:r w:rsidR="00BE38F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etljivosti, uzrokovano različitim supstitucijama koje dovode do rezistencije na NNRTI, koje bi bile povezane sa smanjenjem kliničke efikasnosti (vid</w:t>
      </w:r>
      <w:r w:rsidR="00BE38F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4B6BDA"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xml:space="preserve"> 5.1). Nema dovoljno kliničkih dokaza koji bi podržali prim</w:t>
      </w:r>
      <w:r w:rsidR="00BE38F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enu doravirina kod pacijenata inficiranih HIV-1, a kod kojih je dokazana rezistencija na NNRTI. </w:t>
      </w:r>
    </w:p>
    <w:p w14:paraId="582B0D7B" w14:textId="77777777" w:rsidR="007D3FE2" w:rsidRPr="005A2200" w:rsidRDefault="007D3FE2" w:rsidP="005A2200">
      <w:pPr>
        <w:widowControl w:val="0"/>
        <w:tabs>
          <w:tab w:val="left" w:pos="540"/>
          <w:tab w:val="left" w:pos="569"/>
        </w:tabs>
        <w:jc w:val="both"/>
        <w:rPr>
          <w:rFonts w:asciiTheme="majorBidi" w:hAnsiTheme="majorBidi" w:cstheme="majorBidi"/>
          <w:sz w:val="22"/>
          <w:szCs w:val="22"/>
          <w:lang w:val="sr-Latn-ME"/>
        </w:rPr>
      </w:pPr>
    </w:p>
    <w:p w14:paraId="673EDBA9" w14:textId="77777777" w:rsidR="007D3FE2" w:rsidRPr="005A2200" w:rsidRDefault="007D3FE2" w:rsidP="005A2200">
      <w:pPr>
        <w:widowControl w:val="0"/>
        <w:tabs>
          <w:tab w:val="left" w:pos="284"/>
        </w:tabs>
        <w:jc w:val="both"/>
        <w:outlineLvl w:val="0"/>
        <w:rPr>
          <w:sz w:val="22"/>
          <w:szCs w:val="22"/>
          <w:u w:val="single"/>
          <w:lang w:val="sr-Latn-ME"/>
        </w:rPr>
      </w:pPr>
      <w:bookmarkStart w:id="1" w:name="_Hlk181018927"/>
      <w:r w:rsidRPr="005A2200">
        <w:rPr>
          <w:sz w:val="22"/>
          <w:szCs w:val="22"/>
          <w:u w:val="single"/>
          <w:lang w:val="sr-Latn-ME"/>
        </w:rPr>
        <w:t xml:space="preserve">Teške kožne neželjene reakcije (engl. </w:t>
      </w:r>
      <w:r w:rsidRPr="005A2200">
        <w:rPr>
          <w:i/>
          <w:iCs/>
          <w:sz w:val="22"/>
          <w:szCs w:val="22"/>
          <w:u w:val="single"/>
          <w:lang w:val="sr-Latn-ME"/>
        </w:rPr>
        <w:t>severe cutaneous adverse reactions</w:t>
      </w:r>
      <w:r w:rsidRPr="005A2200">
        <w:rPr>
          <w:sz w:val="22"/>
          <w:szCs w:val="22"/>
          <w:u w:val="single"/>
          <w:lang w:val="sr-Latn-ME"/>
        </w:rPr>
        <w:t>, SCARs)</w:t>
      </w:r>
    </w:p>
    <w:bookmarkEnd w:id="1"/>
    <w:p w14:paraId="717DCB37" w14:textId="77777777" w:rsidR="007D3FE2" w:rsidRPr="005A2200" w:rsidRDefault="007D3FE2" w:rsidP="005A2200">
      <w:pPr>
        <w:widowControl w:val="0"/>
        <w:tabs>
          <w:tab w:val="left" w:pos="284"/>
        </w:tabs>
        <w:jc w:val="both"/>
        <w:outlineLvl w:val="0"/>
        <w:rPr>
          <w:sz w:val="22"/>
          <w:szCs w:val="22"/>
          <w:lang w:val="sr-Latn-ME"/>
        </w:rPr>
      </w:pPr>
    </w:p>
    <w:p w14:paraId="01EA019C" w14:textId="147B3003" w:rsidR="007D3FE2" w:rsidRPr="005A2200" w:rsidRDefault="007D3FE2" w:rsidP="005A2200">
      <w:pPr>
        <w:widowControl w:val="0"/>
        <w:tabs>
          <w:tab w:val="left" w:pos="284"/>
        </w:tabs>
        <w:jc w:val="both"/>
        <w:outlineLvl w:val="0"/>
        <w:rPr>
          <w:sz w:val="22"/>
          <w:szCs w:val="22"/>
          <w:lang w:val="sr-Latn-ME"/>
        </w:rPr>
      </w:pPr>
      <w:r w:rsidRPr="005A2200">
        <w:rPr>
          <w:sz w:val="22"/>
          <w:szCs w:val="22"/>
          <w:lang w:val="sr-Latn-ME"/>
        </w:rPr>
        <w:t xml:space="preserve">Teške kožne neželjene reakcije (SCARs), uključujući </w:t>
      </w:r>
      <w:r w:rsidRPr="005A2200">
        <w:rPr>
          <w:i/>
          <w:iCs/>
          <w:sz w:val="22"/>
          <w:szCs w:val="22"/>
          <w:lang w:val="sr-Latn-ME"/>
        </w:rPr>
        <w:t>Stevens-Johnson</w:t>
      </w:r>
      <w:r w:rsidRPr="005A2200">
        <w:rPr>
          <w:sz w:val="22"/>
          <w:szCs w:val="22"/>
          <w:lang w:val="sr-Latn-ME"/>
        </w:rPr>
        <w:t>-ov sindrom (SJS)/toksičnu epidermalnu nekrolizu (TEN), prijavljene su tokom postmarketinškog iskustva sa režimima koji sadrže doravirin (vidjeti dio 4.8). Prilikom propisivanja lijeka, pacijente treba savjetovati o znacima i simptomima i pažljivo ih pratiti zbog kožnih reakcija. Ukoliko se pojave znaci i simptomi koji ukazuju na ove reakcije, režime koji sadrže doravirin treba odmah prekinuti i razmotriti alternativnu terapiju (ukoliko je odgovarajuće). Klinički status treba pažljivo pratiti i započeti odgovarajuću terapiju. Ako je pri upotrebi režima koji sadrže doravirin pacijent razvio ozbiljnu reakciju kao što je TEN, liječenje režimima koji sadrže doravirin ne smije se ponovo započeti kod ovog pacijenta.</w:t>
      </w:r>
    </w:p>
    <w:p w14:paraId="2DDFD2ED"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p>
    <w:p w14:paraId="7EAB9474" w14:textId="7482F684" w:rsidR="00766713" w:rsidRPr="005A2200" w:rsidRDefault="00766713" w:rsidP="005A2200">
      <w:pPr>
        <w:widowControl w:val="0"/>
        <w:tabs>
          <w:tab w:val="left" w:pos="540"/>
          <w:tab w:val="left" w:pos="569"/>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Prim</w:t>
      </w:r>
      <w:r w:rsidR="00BE38F4" w:rsidRPr="005A2200">
        <w:rPr>
          <w:rFonts w:asciiTheme="majorBidi" w:hAnsiTheme="majorBidi" w:cstheme="majorBidi"/>
          <w:sz w:val="22"/>
          <w:szCs w:val="22"/>
          <w:u w:val="single"/>
          <w:lang w:val="sr-Latn-ME"/>
        </w:rPr>
        <w:t>j</w:t>
      </w:r>
      <w:r w:rsidRPr="005A2200">
        <w:rPr>
          <w:rFonts w:asciiTheme="majorBidi" w:hAnsiTheme="majorBidi" w:cstheme="majorBidi"/>
          <w:sz w:val="22"/>
          <w:szCs w:val="22"/>
          <w:u w:val="single"/>
          <w:lang w:val="sr-Latn-ME"/>
        </w:rPr>
        <w:t>ena sa induktorima CYP3A</w:t>
      </w:r>
    </w:p>
    <w:p w14:paraId="176B157D"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p>
    <w:p w14:paraId="02240CE5" w14:textId="48AFF3C5"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Potreban je oprez pri propisivanju doravirina zajedno sa l</w:t>
      </w:r>
      <w:r w:rsidR="00BE38F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ekovima koji mogu smanjiti izloženost doravirinu (vid</w:t>
      </w:r>
      <w:r w:rsidR="00BE38F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4B6BDA" w:rsidRPr="005A2200">
        <w:rPr>
          <w:rFonts w:asciiTheme="majorBidi" w:hAnsiTheme="majorBidi" w:cstheme="majorBidi"/>
          <w:sz w:val="22"/>
          <w:szCs w:val="22"/>
          <w:lang w:val="sr-Latn-ME"/>
        </w:rPr>
        <w:t>djelove</w:t>
      </w:r>
      <w:r w:rsidRPr="005A2200">
        <w:rPr>
          <w:rFonts w:asciiTheme="majorBidi" w:hAnsiTheme="majorBidi" w:cstheme="majorBidi"/>
          <w:sz w:val="22"/>
          <w:szCs w:val="22"/>
          <w:lang w:val="sr-Latn-ME"/>
        </w:rPr>
        <w:t xml:space="preserve"> 4.3 i 4.5).</w:t>
      </w:r>
    </w:p>
    <w:p w14:paraId="3C0F4E4F"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p>
    <w:p w14:paraId="323C117B"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Sindrom imunološke reaktivacije</w:t>
      </w:r>
    </w:p>
    <w:p w14:paraId="457771ED"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p>
    <w:p w14:paraId="125A6D90" w14:textId="2127B2B2"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Kod pacijenata l</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ečenih kombinovanom antiretrovirusnom terapijom prijavljen je sindrom imunološke reaktivacije. Tokom početne faze kombinovanog antiretrovirusnog l</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ečenja, kod pacijenata čiji imunski sistem odgovori na l</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ečenje može se razviti inflamatorni odgovor na indolentne ili rezidualne oportunističke infekcije (kao što su</w:t>
      </w:r>
      <w:r w:rsidR="004B6BDA" w:rsidRPr="005A2200">
        <w:rPr>
          <w:rFonts w:asciiTheme="majorBidi" w:hAnsiTheme="majorBidi" w:cstheme="majorBidi"/>
          <w:sz w:val="22"/>
          <w:szCs w:val="22"/>
          <w:lang w:val="sr-Latn-ME"/>
        </w:rPr>
        <w:t xml:space="preserve">: </w:t>
      </w:r>
      <w:r w:rsidRPr="005A2200">
        <w:rPr>
          <w:rFonts w:asciiTheme="majorBidi" w:hAnsiTheme="majorBidi" w:cstheme="majorBidi"/>
          <w:sz w:val="22"/>
          <w:szCs w:val="22"/>
          <w:lang w:val="sr-Latn-ME"/>
        </w:rPr>
        <w:t xml:space="preserve">infekcija izazvana </w:t>
      </w:r>
      <w:r w:rsidRPr="005A2200">
        <w:rPr>
          <w:rFonts w:asciiTheme="majorBidi" w:hAnsiTheme="majorBidi" w:cstheme="majorBidi"/>
          <w:i/>
          <w:iCs/>
          <w:sz w:val="22"/>
          <w:szCs w:val="22"/>
          <w:lang w:val="sr-Latn-ME"/>
        </w:rPr>
        <w:t>Mycobacterium avium</w:t>
      </w:r>
      <w:r w:rsidRPr="005A2200">
        <w:rPr>
          <w:rFonts w:asciiTheme="majorBidi" w:hAnsiTheme="majorBidi" w:cstheme="majorBidi"/>
          <w:sz w:val="22"/>
          <w:szCs w:val="22"/>
          <w:lang w:val="sr-Latn-ME"/>
        </w:rPr>
        <w:t xml:space="preserve">, citomegalovirus, pneumonija izazvana </w:t>
      </w:r>
      <w:r w:rsidRPr="005A2200">
        <w:rPr>
          <w:rFonts w:asciiTheme="majorBidi" w:hAnsiTheme="majorBidi" w:cstheme="majorBidi"/>
          <w:i/>
          <w:iCs/>
          <w:sz w:val="22"/>
          <w:szCs w:val="22"/>
          <w:lang w:val="sr-Latn-ME"/>
        </w:rPr>
        <w:t xml:space="preserve">Pneumocystis jirovecii </w:t>
      </w:r>
      <w:r w:rsidRPr="005A2200">
        <w:rPr>
          <w:rFonts w:asciiTheme="majorBidi" w:hAnsiTheme="majorBidi" w:cstheme="majorBidi"/>
          <w:sz w:val="22"/>
          <w:szCs w:val="22"/>
          <w:lang w:val="sr-Latn-ME"/>
        </w:rPr>
        <w:t>[PCP] ili tuberkuloza), što može zaht</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evati dalju proc</w:t>
      </w:r>
      <w:r w:rsidR="00BE38F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enu i l</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ečenje.</w:t>
      </w:r>
    </w:p>
    <w:p w14:paraId="3229E656"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p>
    <w:p w14:paraId="0C762D7D" w14:textId="11AE5238"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U stanjima imunološke reaktivacije prijavljeni su i autoimuni poremećaji (kao što su Gravesova bolest, autoimuni hepatitis, polimiozitis i Guillain Barréov sindrom); međutim, vr</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eme do pojave je različito i ti poremećaji se mogu javiti više m</w:t>
      </w:r>
      <w:r w:rsidR="00BE38F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eseci nakon uvođenja terapije.</w:t>
      </w:r>
    </w:p>
    <w:p w14:paraId="2CBBC963"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p>
    <w:p w14:paraId="3B299E8D"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Laktoza</w:t>
      </w:r>
    </w:p>
    <w:p w14:paraId="46B45AEB"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lang w:val="sr-Latn-ME"/>
        </w:rPr>
      </w:pPr>
    </w:p>
    <w:p w14:paraId="070411E1" w14:textId="0296634E" w:rsidR="00057E35" w:rsidRPr="005A2200" w:rsidRDefault="00766713" w:rsidP="005A2200">
      <w:pPr>
        <w:widowControl w:val="0"/>
        <w:tabs>
          <w:tab w:val="left" w:pos="540"/>
          <w:tab w:val="left" w:pos="569"/>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Tablete sadrže laktozu monohidrat. Pacijenti sa r</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etkim nasl</w:t>
      </w:r>
      <w:r w:rsidR="001752C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ednim poremećajem nepodnošenja galaktoze, potpunim nedostatkom laktaze ili malapsorpcijom glukoze i galaktoze ne bi sm</w:t>
      </w:r>
      <w:r w:rsidR="00BE38F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eli da uzimaju ovaj l</w:t>
      </w:r>
      <w:r w:rsidR="00BE38F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w:t>
      </w:r>
    </w:p>
    <w:p w14:paraId="7C5F80A5"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422E9897" w14:textId="77777777" w:rsidR="00411B4B" w:rsidRPr="005A2200" w:rsidRDefault="00411B4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4.5.</w:t>
      </w:r>
      <w:r w:rsidR="000D60CC"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Interakcije sa drugim ljekovima i druge vrste interakcija</w:t>
      </w:r>
    </w:p>
    <w:p w14:paraId="10A0A702" w14:textId="6CF4AF3A"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1F832BBB" w14:textId="6111EAA6" w:rsidR="00766713" w:rsidRPr="005A2200" w:rsidRDefault="00766713" w:rsidP="005A2200">
      <w:pPr>
        <w:widowControl w:val="0"/>
        <w:tabs>
          <w:tab w:val="left" w:pos="284"/>
        </w:tabs>
        <w:ind w:left="562" w:hanging="562"/>
        <w:jc w:val="both"/>
        <w:outlineLvl w:val="0"/>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Efekti drugih l</w:t>
      </w:r>
      <w:r w:rsidR="00BE38F4" w:rsidRPr="005A2200">
        <w:rPr>
          <w:rFonts w:asciiTheme="majorBidi" w:hAnsiTheme="majorBidi" w:cstheme="majorBidi"/>
          <w:sz w:val="22"/>
          <w:szCs w:val="22"/>
          <w:u w:val="single"/>
          <w:lang w:val="sr-Latn-ME"/>
        </w:rPr>
        <w:t>j</w:t>
      </w:r>
      <w:r w:rsidRPr="005A2200">
        <w:rPr>
          <w:rFonts w:asciiTheme="majorBidi" w:hAnsiTheme="majorBidi" w:cstheme="majorBidi"/>
          <w:sz w:val="22"/>
          <w:szCs w:val="22"/>
          <w:u w:val="single"/>
          <w:lang w:val="sr-Latn-ME"/>
        </w:rPr>
        <w:t>ekova na doravirin</w:t>
      </w:r>
    </w:p>
    <w:p w14:paraId="06316C45" w14:textId="77777777" w:rsidR="00766713" w:rsidRPr="005A2200" w:rsidRDefault="00766713" w:rsidP="005A2200">
      <w:pPr>
        <w:widowControl w:val="0"/>
        <w:tabs>
          <w:tab w:val="left" w:pos="284"/>
        </w:tabs>
        <w:ind w:left="562" w:hanging="562"/>
        <w:jc w:val="both"/>
        <w:outlineLvl w:val="0"/>
        <w:rPr>
          <w:rFonts w:asciiTheme="majorBidi" w:hAnsiTheme="majorBidi" w:cstheme="majorBidi"/>
          <w:sz w:val="22"/>
          <w:szCs w:val="22"/>
          <w:u w:val="single"/>
          <w:lang w:val="sr-Latn-ME"/>
        </w:rPr>
      </w:pPr>
    </w:p>
    <w:p w14:paraId="3113438C" w14:textId="4D39E1BB"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Budući da se doravirin primarno metaboliše putem CYP3A, očekuje se da će l</w:t>
      </w:r>
      <w:r w:rsidR="00BE38F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 koji indukuju ili inhibiraju CYP3A uticati na klirens doravirina (vid</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4B6BDA"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5.2). Doravirin se ne sm</w:t>
      </w:r>
      <w:r w:rsidR="00392C21"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enjivati istovremeno sa l</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ekovima koji su snažni induktori enzima CYP3A jer se očekuju značajna sniženja koncentracija doravirina u plazmi, koja mogu smanjiti efikasnost doravirina (vid</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4B6BDA" w:rsidRPr="005A2200">
        <w:rPr>
          <w:rFonts w:asciiTheme="majorBidi" w:hAnsiTheme="majorBidi" w:cstheme="majorBidi"/>
          <w:sz w:val="22"/>
          <w:szCs w:val="22"/>
          <w:lang w:val="sr-Latn-ME"/>
        </w:rPr>
        <w:t>djelove</w:t>
      </w:r>
      <w:r w:rsidRPr="005A2200">
        <w:rPr>
          <w:rFonts w:asciiTheme="majorBidi" w:hAnsiTheme="majorBidi" w:cstheme="majorBidi"/>
          <w:sz w:val="22"/>
          <w:szCs w:val="22"/>
          <w:lang w:val="sr-Latn-ME"/>
        </w:rPr>
        <w:t> 4.3 i 5.2).</w:t>
      </w:r>
    </w:p>
    <w:p w14:paraId="4B13195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36C00363" w14:textId="7BD30B04"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sa um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erenim induktorom CYP3A rifabutinom snizila je koncentracije doravirina (vid</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Tabelu 1). Kada se doravirin </w:t>
      </w:r>
      <w:r w:rsidR="004B6BDA" w:rsidRPr="005A2200">
        <w:rPr>
          <w:rFonts w:asciiTheme="majorBidi" w:hAnsiTheme="majorBidi" w:cstheme="majorBidi"/>
          <w:sz w:val="22"/>
          <w:szCs w:val="22"/>
          <w:lang w:val="sr-Latn-ME"/>
        </w:rPr>
        <w:t xml:space="preserve">primjenjuje </w:t>
      </w:r>
      <w:r w:rsidRPr="005A2200">
        <w:rPr>
          <w:rFonts w:asciiTheme="majorBidi" w:hAnsiTheme="majorBidi" w:cstheme="majorBidi"/>
          <w:sz w:val="22"/>
          <w:szCs w:val="22"/>
          <w:lang w:val="sr-Latn-ME"/>
        </w:rPr>
        <w:t>istovremeno sa rifabutinom, potrebno je povećati dozu doravirina na 100 mg dva puta dnevno (doze je potrebno uzeti u razmaku od približno 12 sati) (vid</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4B6BDA"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xml:space="preserve"> 4.2). </w:t>
      </w:r>
    </w:p>
    <w:p w14:paraId="7F4EAC3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08312C6C" w14:textId="6F1D5555"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doravirina sa drugim um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erenim induktorima CYP3A nije se ispitivala, ali očekuju se smanjene koncentracije doravirina. Ako se 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sa drugim um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erenim induktorima CYP3A (npr. dabrafenibom, lesinuradom, bosentanom, tioridazinom, nafcilinom, modafinilom, etiltelotristatom) ne može izb</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eći, potrebno je povećati dozu doravirina na 100 mg dva puta dnevno (doze je potrebno uzeti u razmaku od približno 12 sati) (vid</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4B6BDA"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xml:space="preserve"> 4.2). </w:t>
      </w:r>
    </w:p>
    <w:p w14:paraId="6181E38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697DBAD7" w14:textId="102B900A" w:rsidR="001C32F1"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doravirina i l</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ekova koji su inhibitori CYP3A može povećati koncentracije </w:t>
      </w:r>
      <w:r w:rsidRPr="005A2200">
        <w:rPr>
          <w:rFonts w:asciiTheme="majorBidi" w:hAnsiTheme="majorBidi" w:cstheme="majorBidi"/>
          <w:sz w:val="22"/>
          <w:szCs w:val="22"/>
          <w:lang w:val="sr-Latn-ME"/>
        </w:rPr>
        <w:lastRenderedPageBreak/>
        <w:t>doravirina u plazmi. Međutim, nije potrebno prilagođavati dozu kada se doravirin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enjuje istovremeno sa inhibitorima CYP3A.</w:t>
      </w:r>
    </w:p>
    <w:p w14:paraId="72418DE5" w14:textId="77777777" w:rsidR="001C32F1" w:rsidRPr="005A2200" w:rsidRDefault="001C32F1" w:rsidP="005A2200">
      <w:pPr>
        <w:widowControl w:val="0"/>
        <w:tabs>
          <w:tab w:val="left" w:pos="284"/>
        </w:tabs>
        <w:jc w:val="both"/>
        <w:rPr>
          <w:rFonts w:asciiTheme="majorBidi" w:hAnsiTheme="majorBidi" w:cstheme="majorBidi"/>
          <w:sz w:val="22"/>
          <w:szCs w:val="22"/>
          <w:lang w:val="sr-Latn-ME"/>
        </w:rPr>
      </w:pPr>
    </w:p>
    <w:p w14:paraId="1ECAD222" w14:textId="03EE3C09" w:rsidR="00766713" w:rsidRPr="005A2200" w:rsidRDefault="00766713" w:rsidP="005A2200">
      <w:pPr>
        <w:widowControl w:val="0"/>
        <w:tabs>
          <w:tab w:val="left" w:pos="284"/>
        </w:tabs>
        <w:jc w:val="both"/>
        <w:outlineLvl w:val="0"/>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Efekat doravirina na druge l</w:t>
      </w:r>
      <w:r w:rsidR="00392C21" w:rsidRPr="005A2200">
        <w:rPr>
          <w:rFonts w:asciiTheme="majorBidi" w:hAnsiTheme="majorBidi" w:cstheme="majorBidi"/>
          <w:sz w:val="22"/>
          <w:szCs w:val="22"/>
          <w:u w:val="single"/>
          <w:lang w:val="sr-Latn-ME"/>
        </w:rPr>
        <w:t>j</w:t>
      </w:r>
      <w:r w:rsidRPr="005A2200">
        <w:rPr>
          <w:rFonts w:asciiTheme="majorBidi" w:hAnsiTheme="majorBidi" w:cstheme="majorBidi"/>
          <w:sz w:val="22"/>
          <w:szCs w:val="22"/>
          <w:u w:val="single"/>
          <w:lang w:val="sr-Latn-ME"/>
        </w:rPr>
        <w:t>ekove</w:t>
      </w:r>
    </w:p>
    <w:p w14:paraId="65EC32E6" w14:textId="77777777" w:rsidR="00766713" w:rsidRPr="005A2200" w:rsidRDefault="00766713" w:rsidP="005A2200">
      <w:pPr>
        <w:widowControl w:val="0"/>
        <w:tabs>
          <w:tab w:val="left" w:pos="284"/>
        </w:tabs>
        <w:jc w:val="both"/>
        <w:outlineLvl w:val="0"/>
        <w:rPr>
          <w:rFonts w:asciiTheme="majorBidi" w:hAnsiTheme="majorBidi" w:cstheme="majorBidi"/>
          <w:sz w:val="22"/>
          <w:szCs w:val="22"/>
          <w:u w:val="single"/>
          <w:lang w:val="sr-Latn-ME"/>
        </w:rPr>
      </w:pPr>
    </w:p>
    <w:p w14:paraId="31698583" w14:textId="3F1A8371" w:rsidR="00766713" w:rsidRPr="005A2200" w:rsidRDefault="00766713" w:rsidP="005A2200">
      <w:pPr>
        <w:widowControl w:val="0"/>
        <w:tabs>
          <w:tab w:val="left" w:pos="284"/>
        </w:tabs>
        <w:jc w:val="both"/>
        <w:outlineLvl w:val="0"/>
        <w:rPr>
          <w:rFonts w:asciiTheme="majorBidi" w:hAnsiTheme="majorBidi" w:cstheme="majorBidi"/>
          <w:sz w:val="22"/>
          <w:szCs w:val="22"/>
          <w:lang w:val="sr-Latn-ME"/>
        </w:rPr>
      </w:pPr>
      <w:r w:rsidRPr="005A2200">
        <w:rPr>
          <w:rFonts w:asciiTheme="majorBidi" w:hAnsiTheme="majorBidi" w:cstheme="majorBidi"/>
          <w:sz w:val="22"/>
          <w:szCs w:val="22"/>
          <w:lang w:val="sr-Latn-ME"/>
        </w:rPr>
        <w:t>Nije v</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erovatno da će doza doravirina od 100 mg jednom dnevno klinički značajno uticati na koncentracije l</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ekova u plazmi čija apsorpcija i/ili eliminacija zavise od transportnih proteina ili koji se metabolišu putem CYP enzima. </w:t>
      </w:r>
    </w:p>
    <w:p w14:paraId="3833B1E8" w14:textId="77777777" w:rsidR="00766713" w:rsidRPr="005A2200" w:rsidRDefault="00766713" w:rsidP="005A2200">
      <w:pPr>
        <w:widowControl w:val="0"/>
        <w:tabs>
          <w:tab w:val="left" w:pos="284"/>
        </w:tabs>
        <w:jc w:val="both"/>
        <w:outlineLvl w:val="0"/>
        <w:rPr>
          <w:rFonts w:asciiTheme="majorBidi" w:hAnsiTheme="majorBidi" w:cstheme="majorBidi"/>
          <w:sz w:val="22"/>
          <w:szCs w:val="22"/>
          <w:lang w:val="sr-Latn-ME"/>
        </w:rPr>
      </w:pPr>
    </w:p>
    <w:p w14:paraId="323CD76A" w14:textId="504E4363"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Međutim, 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doravirina i CYP3A os</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etljivog supstrata midazolama smanjila je izloženost midazolamu za 18%, što ukazuje na to da bi doravirin mogao biti slab induktor CYP3A. Stoga je potreban oprez kada se doravirin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enjuje istovremeno sa l</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ekovima koji su CYP3A os</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etljivi supstrati i koji uz to imaju i usku terapijsku širinu (npr. takrolimus i sirolimus).</w:t>
      </w:r>
    </w:p>
    <w:p w14:paraId="6320D7F2" w14:textId="77777777" w:rsidR="00766713" w:rsidRPr="005A2200" w:rsidRDefault="00766713" w:rsidP="005A2200">
      <w:pPr>
        <w:widowControl w:val="0"/>
        <w:tabs>
          <w:tab w:val="left" w:pos="284"/>
        </w:tabs>
        <w:jc w:val="both"/>
        <w:outlineLvl w:val="0"/>
        <w:rPr>
          <w:rFonts w:asciiTheme="majorBidi" w:hAnsiTheme="majorBidi" w:cstheme="majorBidi"/>
          <w:sz w:val="22"/>
          <w:szCs w:val="22"/>
          <w:u w:val="single"/>
          <w:lang w:val="sr-Latn-ME"/>
        </w:rPr>
      </w:pPr>
    </w:p>
    <w:p w14:paraId="7E0941F7" w14:textId="77777777" w:rsidR="00766713" w:rsidRPr="005A2200" w:rsidRDefault="00766713" w:rsidP="005A2200">
      <w:pPr>
        <w:widowControl w:val="0"/>
        <w:tabs>
          <w:tab w:val="left" w:pos="284"/>
        </w:tabs>
        <w:jc w:val="both"/>
        <w:outlineLvl w:val="0"/>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Tabela interakcija</w:t>
      </w:r>
    </w:p>
    <w:p w14:paraId="4434A5E1" w14:textId="77777777" w:rsidR="00766713" w:rsidRPr="005A2200" w:rsidRDefault="00766713" w:rsidP="005A2200">
      <w:pPr>
        <w:widowControl w:val="0"/>
        <w:tabs>
          <w:tab w:val="left" w:pos="284"/>
        </w:tabs>
        <w:jc w:val="both"/>
        <w:outlineLvl w:val="0"/>
        <w:rPr>
          <w:rFonts w:asciiTheme="majorBidi" w:hAnsiTheme="majorBidi" w:cstheme="majorBidi"/>
          <w:sz w:val="22"/>
          <w:szCs w:val="22"/>
          <w:u w:val="single"/>
          <w:lang w:val="sr-Latn-ME"/>
        </w:rPr>
      </w:pPr>
    </w:p>
    <w:p w14:paraId="32CC7A09" w14:textId="64F51DC9" w:rsidR="00766713" w:rsidRPr="005A2200" w:rsidRDefault="00766713" w:rsidP="005A2200">
      <w:pPr>
        <w:widowControl w:val="0"/>
        <w:tabs>
          <w:tab w:val="left" w:pos="284"/>
        </w:tabs>
        <w:jc w:val="both"/>
        <w:outlineLvl w:val="0"/>
        <w:rPr>
          <w:rFonts w:asciiTheme="majorBidi" w:hAnsiTheme="majorBidi" w:cstheme="majorBidi"/>
          <w:sz w:val="22"/>
          <w:szCs w:val="22"/>
          <w:lang w:val="sr-Latn-ME"/>
        </w:rPr>
      </w:pPr>
      <w:r w:rsidRPr="005A2200">
        <w:rPr>
          <w:rFonts w:asciiTheme="majorBidi" w:hAnsiTheme="majorBidi" w:cstheme="majorBidi"/>
          <w:sz w:val="22"/>
          <w:szCs w:val="22"/>
          <w:lang w:val="sr-Latn-ME"/>
        </w:rPr>
        <w:t>U Tabeli 1 navode se utvrđene i druge potencijalne interakcije između doravirina i drugih l</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ekova, ali ona ne uključuje sve moguće interakcije (povećanje je označeno kao ↑, smanjenje kao ↓, a stanje bez prom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kao ↔).</w:t>
      </w:r>
    </w:p>
    <w:p w14:paraId="6972882E" w14:textId="77777777"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p>
    <w:p w14:paraId="69DF2F8A" w14:textId="2A84A0F5" w:rsidR="00766713" w:rsidRPr="005A2200" w:rsidRDefault="00766713" w:rsidP="005A2200">
      <w:pPr>
        <w:widowControl w:val="0"/>
        <w:jc w:val="both"/>
        <w:rPr>
          <w:rFonts w:asciiTheme="majorBidi" w:eastAsia="TimesNewRoman,Bold" w:hAnsiTheme="majorBidi" w:cstheme="majorBidi"/>
          <w:b/>
          <w:bCs/>
          <w:sz w:val="22"/>
          <w:szCs w:val="22"/>
          <w:lang w:val="sr-Latn-ME"/>
        </w:rPr>
      </w:pPr>
      <w:r w:rsidRPr="005A2200">
        <w:rPr>
          <w:rFonts w:asciiTheme="majorBidi" w:hAnsiTheme="majorBidi" w:cstheme="majorBidi"/>
          <w:b/>
          <w:sz w:val="22"/>
          <w:szCs w:val="22"/>
          <w:lang w:val="sr-Latn-ME"/>
        </w:rPr>
        <w:t xml:space="preserve">Tabela 1: </w:t>
      </w:r>
      <w:r w:rsidRPr="005A2200">
        <w:rPr>
          <w:rFonts w:asciiTheme="majorBidi" w:hAnsiTheme="majorBidi" w:cstheme="majorBidi"/>
          <w:b/>
          <w:bCs/>
          <w:sz w:val="22"/>
          <w:szCs w:val="22"/>
          <w:lang w:val="sr-Latn-ME"/>
        </w:rPr>
        <w:t>Interakcije doravirina sa drugim l</w:t>
      </w:r>
      <w:r w:rsidR="00392C21" w:rsidRPr="005A2200">
        <w:rPr>
          <w:rFonts w:asciiTheme="majorBidi" w:hAnsiTheme="majorBidi" w:cstheme="majorBidi"/>
          <w:b/>
          <w:bCs/>
          <w:sz w:val="22"/>
          <w:szCs w:val="22"/>
          <w:lang w:val="sr-Latn-ME"/>
        </w:rPr>
        <w:t>j</w:t>
      </w:r>
      <w:r w:rsidRPr="005A2200">
        <w:rPr>
          <w:rFonts w:asciiTheme="majorBidi" w:hAnsiTheme="majorBidi" w:cstheme="majorBidi"/>
          <w:b/>
          <w:bCs/>
          <w:sz w:val="22"/>
          <w:szCs w:val="22"/>
          <w:lang w:val="sr-Latn-ME"/>
        </w:rPr>
        <w:t>ekovima</w:t>
      </w:r>
    </w:p>
    <w:p w14:paraId="322FB160" w14:textId="77777777" w:rsidR="00766713" w:rsidRPr="005A2200" w:rsidRDefault="00766713" w:rsidP="005A2200">
      <w:pPr>
        <w:widowControl w:val="0"/>
        <w:jc w:val="both"/>
        <w:rPr>
          <w:rFonts w:asciiTheme="majorBidi" w:eastAsia="TimesNewRoman,Bold" w:hAnsiTheme="majorBidi" w:cstheme="majorBidi"/>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118"/>
        <w:gridCol w:w="3399"/>
      </w:tblGrid>
      <w:tr w:rsidR="00766713" w:rsidRPr="005A2200" w14:paraId="32078E50" w14:textId="77777777" w:rsidTr="00676489">
        <w:trPr>
          <w:tblHeader/>
        </w:trPr>
        <w:tc>
          <w:tcPr>
            <w:tcW w:w="1405" w:type="pct"/>
            <w:tcBorders>
              <w:top w:val="double" w:sz="4" w:space="0" w:color="auto"/>
            </w:tcBorders>
          </w:tcPr>
          <w:p w14:paraId="6AB48D75" w14:textId="3D1F90ED" w:rsidR="00766713" w:rsidRPr="005A2200" w:rsidRDefault="00766713" w:rsidP="005A2200">
            <w:pPr>
              <w:widowControl w:val="0"/>
              <w:tabs>
                <w:tab w:val="left" w:pos="284"/>
              </w:tabs>
              <w:jc w:val="both"/>
              <w:rPr>
                <w:rFonts w:asciiTheme="majorBidi" w:eastAsia="MS Gothic" w:hAnsiTheme="majorBidi" w:cstheme="majorBidi"/>
                <w:b/>
                <w:sz w:val="22"/>
                <w:szCs w:val="22"/>
                <w:lang w:val="sr-Latn-ME"/>
              </w:rPr>
            </w:pPr>
            <w:bookmarkStart w:id="2" w:name="_GoBack" w:colFirst="0" w:colLast="3"/>
            <w:r w:rsidRPr="005A2200">
              <w:rPr>
                <w:rFonts w:asciiTheme="majorBidi" w:hAnsiTheme="majorBidi" w:cstheme="majorBidi"/>
                <w:b/>
                <w:sz w:val="22"/>
                <w:szCs w:val="22"/>
                <w:lang w:val="sr-Latn-ME"/>
              </w:rPr>
              <w:t>L</w:t>
            </w:r>
            <w:r w:rsidR="00392C21" w:rsidRPr="005A2200">
              <w:rPr>
                <w:rFonts w:asciiTheme="majorBidi" w:hAnsiTheme="majorBidi" w:cstheme="majorBidi"/>
                <w:b/>
                <w:sz w:val="22"/>
                <w:szCs w:val="22"/>
                <w:lang w:val="sr-Latn-ME"/>
              </w:rPr>
              <w:t>j</w:t>
            </w:r>
            <w:r w:rsidRPr="005A2200">
              <w:rPr>
                <w:rFonts w:asciiTheme="majorBidi" w:hAnsiTheme="majorBidi" w:cstheme="majorBidi"/>
                <w:b/>
                <w:sz w:val="22"/>
                <w:szCs w:val="22"/>
                <w:lang w:val="sr-Latn-ME"/>
              </w:rPr>
              <w:t>ekovi prema terapijskim oblastima</w:t>
            </w:r>
          </w:p>
        </w:tc>
        <w:tc>
          <w:tcPr>
            <w:tcW w:w="1720" w:type="pct"/>
            <w:tcBorders>
              <w:top w:val="double" w:sz="4" w:space="0" w:color="auto"/>
            </w:tcBorders>
            <w:vAlign w:val="center"/>
          </w:tcPr>
          <w:p w14:paraId="2BA3BCB0" w14:textId="289299CC" w:rsidR="00766713" w:rsidRPr="005A2200" w:rsidRDefault="00766713" w:rsidP="005A2200">
            <w:pPr>
              <w:widowControl w:val="0"/>
              <w:tabs>
                <w:tab w:val="left" w:pos="284"/>
              </w:tabs>
              <w:jc w:val="both"/>
              <w:rPr>
                <w:rFonts w:asciiTheme="majorBidi" w:eastAsia="MS Gothic" w:hAnsiTheme="majorBidi" w:cstheme="majorBidi"/>
                <w:b/>
                <w:sz w:val="22"/>
                <w:szCs w:val="22"/>
                <w:lang w:val="sr-Latn-ME"/>
              </w:rPr>
            </w:pPr>
            <w:r w:rsidRPr="005A2200">
              <w:rPr>
                <w:rFonts w:asciiTheme="majorBidi" w:hAnsiTheme="majorBidi" w:cstheme="majorBidi"/>
                <w:b/>
                <w:sz w:val="22"/>
                <w:szCs w:val="22"/>
                <w:lang w:val="sr-Latn-ME"/>
              </w:rPr>
              <w:t>Efekti na geometrijsku srednju vr</w:t>
            </w:r>
            <w:r w:rsidR="00392C21" w:rsidRPr="005A2200">
              <w:rPr>
                <w:rFonts w:asciiTheme="majorBidi" w:hAnsiTheme="majorBidi" w:cstheme="majorBidi"/>
                <w:b/>
                <w:sz w:val="22"/>
                <w:szCs w:val="22"/>
                <w:lang w:val="sr-Latn-ME"/>
              </w:rPr>
              <w:t>ij</w:t>
            </w:r>
            <w:r w:rsidRPr="005A2200">
              <w:rPr>
                <w:rFonts w:asciiTheme="majorBidi" w:hAnsiTheme="majorBidi" w:cstheme="majorBidi"/>
                <w:b/>
                <w:sz w:val="22"/>
                <w:szCs w:val="22"/>
                <w:lang w:val="sr-Latn-ME"/>
              </w:rPr>
              <w:t>ednost intervala koncentracija l</w:t>
            </w:r>
            <w:r w:rsidR="002329C4" w:rsidRPr="005A2200">
              <w:rPr>
                <w:rFonts w:asciiTheme="majorBidi" w:hAnsiTheme="majorBidi" w:cstheme="majorBidi"/>
                <w:b/>
                <w:sz w:val="22"/>
                <w:szCs w:val="22"/>
                <w:lang w:val="sr-Latn-ME"/>
              </w:rPr>
              <w:t>ij</w:t>
            </w:r>
            <w:r w:rsidRPr="005A2200">
              <w:rPr>
                <w:rFonts w:asciiTheme="majorBidi" w:hAnsiTheme="majorBidi" w:cstheme="majorBidi"/>
                <w:b/>
                <w:sz w:val="22"/>
                <w:szCs w:val="22"/>
                <w:lang w:val="sr-Latn-ME"/>
              </w:rPr>
              <w:t>eka (90% CI)</w:t>
            </w:r>
            <w:r w:rsidRPr="005A2200">
              <w:rPr>
                <w:rFonts w:asciiTheme="majorBidi" w:hAnsiTheme="majorBidi" w:cstheme="majorBidi"/>
                <w:sz w:val="22"/>
                <w:szCs w:val="22"/>
                <w:lang w:val="sr-Latn-ME"/>
              </w:rPr>
              <w:t>*</w:t>
            </w:r>
          </w:p>
        </w:tc>
        <w:tc>
          <w:tcPr>
            <w:tcW w:w="1875" w:type="pct"/>
            <w:tcBorders>
              <w:top w:val="double" w:sz="4" w:space="0" w:color="auto"/>
            </w:tcBorders>
          </w:tcPr>
          <w:p w14:paraId="438A7717" w14:textId="2EFEF984" w:rsidR="00766713" w:rsidRPr="005A2200" w:rsidRDefault="00766713" w:rsidP="005A2200">
            <w:pPr>
              <w:widowControl w:val="0"/>
              <w:tabs>
                <w:tab w:val="left" w:pos="284"/>
              </w:tabs>
              <w:jc w:val="both"/>
              <w:rPr>
                <w:rFonts w:asciiTheme="majorBidi" w:eastAsia="MS Gothic" w:hAnsiTheme="majorBidi" w:cstheme="majorBidi"/>
                <w:b/>
                <w:sz w:val="22"/>
                <w:szCs w:val="22"/>
                <w:lang w:val="sr-Latn-ME"/>
              </w:rPr>
            </w:pPr>
            <w:r w:rsidRPr="005A2200">
              <w:rPr>
                <w:rFonts w:asciiTheme="majorBidi" w:hAnsiTheme="majorBidi" w:cstheme="majorBidi"/>
                <w:b/>
                <w:sz w:val="22"/>
                <w:szCs w:val="22"/>
                <w:lang w:val="sr-Latn-ME"/>
              </w:rPr>
              <w:t>Preporuka u vezi istovremene prim</w:t>
            </w:r>
            <w:r w:rsidR="00392C21" w:rsidRPr="005A2200">
              <w:rPr>
                <w:rFonts w:asciiTheme="majorBidi" w:hAnsiTheme="majorBidi" w:cstheme="majorBidi"/>
                <w:b/>
                <w:sz w:val="22"/>
                <w:szCs w:val="22"/>
                <w:lang w:val="sr-Latn-ME"/>
              </w:rPr>
              <w:t>j</w:t>
            </w:r>
            <w:r w:rsidRPr="005A2200">
              <w:rPr>
                <w:rFonts w:asciiTheme="majorBidi" w:hAnsiTheme="majorBidi" w:cstheme="majorBidi"/>
                <w:b/>
                <w:sz w:val="22"/>
                <w:szCs w:val="22"/>
                <w:lang w:val="sr-Latn-ME"/>
              </w:rPr>
              <w:t>ene sa doravirinom</w:t>
            </w:r>
          </w:p>
        </w:tc>
      </w:tr>
      <w:bookmarkEnd w:id="2"/>
      <w:tr w:rsidR="00766713" w:rsidRPr="005A2200" w14:paraId="70FCE8BE" w14:textId="77777777" w:rsidTr="005A2200">
        <w:tc>
          <w:tcPr>
            <w:tcW w:w="0" w:type="auto"/>
            <w:gridSpan w:val="3"/>
            <w:vAlign w:val="center"/>
            <w:hideMark/>
          </w:tcPr>
          <w:p w14:paraId="66EB6E8C" w14:textId="65B5049E"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L</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 koji smanjuju količinu želudačne kiseline</w:t>
            </w:r>
          </w:p>
        </w:tc>
      </w:tr>
      <w:tr w:rsidR="00766713" w:rsidRPr="005A2200" w14:paraId="7F338DA4" w14:textId="77777777" w:rsidTr="005A2200">
        <w:tc>
          <w:tcPr>
            <w:tcW w:w="1405" w:type="pct"/>
          </w:tcPr>
          <w:p w14:paraId="3179B2D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antacid (aluminijum i magnezijum hidroksid u obliku oralne suspenzije)</w:t>
            </w:r>
          </w:p>
          <w:p w14:paraId="24CEB8A6" w14:textId="535F8940"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(20 m</w:t>
            </w:r>
            <w:r w:rsidR="004B6BDA"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xml:space="preserve"> SD,</w:t>
            </w:r>
          </w:p>
          <w:p w14:paraId="298E8A4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100 mg SD)</w:t>
            </w:r>
          </w:p>
        </w:tc>
        <w:tc>
          <w:tcPr>
            <w:tcW w:w="1720" w:type="pct"/>
          </w:tcPr>
          <w:p w14:paraId="5C5B94B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doravirin</w:t>
            </w:r>
          </w:p>
          <w:p w14:paraId="40642E6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PIK 1,01 (0,92; 1,11)</w:t>
            </w:r>
          </w:p>
          <w:p w14:paraId="5E551908"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0,86 (0,74; 1,01)</w:t>
            </w:r>
          </w:p>
          <w:p w14:paraId="01AE2C2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1,03 (0,94; 1,12)</w:t>
            </w:r>
          </w:p>
        </w:tc>
        <w:tc>
          <w:tcPr>
            <w:tcW w:w="1875" w:type="pct"/>
          </w:tcPr>
          <w:p w14:paraId="11E0FC1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0DC285FE" w14:textId="77777777" w:rsidTr="005A2200">
        <w:tc>
          <w:tcPr>
            <w:tcW w:w="1405" w:type="pct"/>
          </w:tcPr>
          <w:p w14:paraId="77CDBF8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pantoprazol</w:t>
            </w:r>
          </w:p>
          <w:p w14:paraId="2B391D5F"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(40 mg QD,</w:t>
            </w:r>
          </w:p>
          <w:p w14:paraId="4928871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100 mg SD)</w:t>
            </w:r>
          </w:p>
        </w:tc>
        <w:tc>
          <w:tcPr>
            <w:tcW w:w="1720" w:type="pct"/>
          </w:tcPr>
          <w:p w14:paraId="32D2BB4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sz w:val="22"/>
                <w:szCs w:val="22"/>
                <w:lang w:val="sr-Latn-ME"/>
              </w:rPr>
              <w:t xml:space="preserve"> doravirin</w:t>
            </w:r>
          </w:p>
          <w:p w14:paraId="596717F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PIK 0,83 (0,76; 0,91)</w:t>
            </w:r>
          </w:p>
          <w:p w14:paraId="630F26A9"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0,88 (0,76; 1,01)</w:t>
            </w:r>
          </w:p>
          <w:p w14:paraId="574B099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0,84 (0,77; 0,92)</w:t>
            </w:r>
          </w:p>
        </w:tc>
        <w:tc>
          <w:tcPr>
            <w:tcW w:w="1875" w:type="pct"/>
          </w:tcPr>
          <w:p w14:paraId="74BCE5A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23F59030" w14:textId="77777777" w:rsidTr="005A2200">
        <w:tc>
          <w:tcPr>
            <w:tcW w:w="1405" w:type="pct"/>
          </w:tcPr>
          <w:p w14:paraId="7A9B2AC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omeprazol</w:t>
            </w:r>
          </w:p>
        </w:tc>
        <w:tc>
          <w:tcPr>
            <w:tcW w:w="1720" w:type="pct"/>
          </w:tcPr>
          <w:p w14:paraId="2DC4F56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7807337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474EBEF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3300D61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doravirin</w:t>
            </w:r>
          </w:p>
        </w:tc>
        <w:tc>
          <w:tcPr>
            <w:tcW w:w="1875" w:type="pct"/>
          </w:tcPr>
          <w:p w14:paraId="4221C0F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61C66879" w14:textId="77777777" w:rsidTr="005A2200">
        <w:tc>
          <w:tcPr>
            <w:tcW w:w="0" w:type="auto"/>
            <w:gridSpan w:val="3"/>
            <w:vAlign w:val="center"/>
          </w:tcPr>
          <w:p w14:paraId="1EA958F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Inhibitori angiotenzin konvertujućeg enzima</w:t>
            </w:r>
          </w:p>
        </w:tc>
      </w:tr>
      <w:tr w:rsidR="00766713" w:rsidRPr="005A2200" w14:paraId="7D060015" w14:textId="77777777" w:rsidTr="005A2200">
        <w:tc>
          <w:tcPr>
            <w:tcW w:w="1405" w:type="pct"/>
          </w:tcPr>
          <w:p w14:paraId="13A2D00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lizinopril</w:t>
            </w:r>
          </w:p>
        </w:tc>
        <w:tc>
          <w:tcPr>
            <w:tcW w:w="1720" w:type="pct"/>
          </w:tcPr>
          <w:p w14:paraId="6812C5B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3337503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6C0D7FA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5CE65D6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lizinopril</w:t>
            </w:r>
          </w:p>
        </w:tc>
        <w:tc>
          <w:tcPr>
            <w:tcW w:w="1875" w:type="pct"/>
          </w:tcPr>
          <w:p w14:paraId="0C99A2C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6C46F93F" w14:textId="77777777" w:rsidTr="005A2200">
        <w:tc>
          <w:tcPr>
            <w:tcW w:w="0" w:type="auto"/>
            <w:gridSpan w:val="3"/>
            <w:vAlign w:val="center"/>
          </w:tcPr>
          <w:p w14:paraId="6A3E1F6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Antiandrogeni</w:t>
            </w:r>
          </w:p>
        </w:tc>
      </w:tr>
      <w:tr w:rsidR="00766713" w:rsidRPr="005A2200" w14:paraId="3D6194DE" w14:textId="77777777" w:rsidTr="005A2200">
        <w:tc>
          <w:tcPr>
            <w:tcW w:w="1405" w:type="pct"/>
          </w:tcPr>
          <w:p w14:paraId="79D4CF6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enzalutamid</w:t>
            </w:r>
          </w:p>
        </w:tc>
        <w:tc>
          <w:tcPr>
            <w:tcW w:w="1720" w:type="pct"/>
          </w:tcPr>
          <w:p w14:paraId="7424D93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44ADDB2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5CBCA48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4C01C96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sz w:val="22"/>
                <w:szCs w:val="22"/>
                <w:lang w:val="sr-Latn-ME"/>
              </w:rPr>
              <w:t xml:space="preserve"> doravirin</w:t>
            </w:r>
          </w:p>
          <w:p w14:paraId="7B9965B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46E0E943" w14:textId="06B713B9"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je kontraindikovana.</w:t>
            </w:r>
          </w:p>
        </w:tc>
      </w:tr>
      <w:tr w:rsidR="00766713" w:rsidRPr="005A2200" w14:paraId="7BEABEEE" w14:textId="77777777" w:rsidTr="005A2200">
        <w:tc>
          <w:tcPr>
            <w:tcW w:w="0" w:type="auto"/>
            <w:gridSpan w:val="3"/>
            <w:vAlign w:val="center"/>
          </w:tcPr>
          <w:p w14:paraId="6398E73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Antibiotici</w:t>
            </w:r>
          </w:p>
        </w:tc>
      </w:tr>
      <w:tr w:rsidR="00766713" w:rsidRPr="005A2200" w14:paraId="1FDBB8A5" w14:textId="77777777" w:rsidTr="005A2200">
        <w:tc>
          <w:tcPr>
            <w:tcW w:w="1405" w:type="pct"/>
          </w:tcPr>
          <w:p w14:paraId="77ABB92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nafcilin</w:t>
            </w:r>
          </w:p>
        </w:tc>
        <w:tc>
          <w:tcPr>
            <w:tcW w:w="1720" w:type="pct"/>
          </w:tcPr>
          <w:p w14:paraId="11EA0CD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5AFA821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575CC5B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1D196A14"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 doravirin</w:t>
            </w:r>
          </w:p>
          <w:p w14:paraId="7307330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763D11AB" w14:textId="7D17194C"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Potrebno je izb</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egavati istovremenu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enu. Ako se 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ne može izb</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eći, treba uzimati jednu tabletu doravirina dva puta dnevno (u razmaku od približno 12 sati).</w:t>
            </w:r>
          </w:p>
        </w:tc>
      </w:tr>
      <w:tr w:rsidR="00766713" w:rsidRPr="005A2200" w14:paraId="0C04C018" w14:textId="77777777" w:rsidTr="005A2200">
        <w:tc>
          <w:tcPr>
            <w:tcW w:w="0" w:type="auto"/>
            <w:gridSpan w:val="3"/>
            <w:vAlign w:val="center"/>
          </w:tcPr>
          <w:p w14:paraId="4B475E9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lastRenderedPageBreak/>
              <w:t>Antikonvulzivi</w:t>
            </w:r>
          </w:p>
        </w:tc>
      </w:tr>
      <w:tr w:rsidR="00766713" w:rsidRPr="005A2200" w14:paraId="3FF325ED" w14:textId="77777777" w:rsidTr="005A2200">
        <w:tc>
          <w:tcPr>
            <w:tcW w:w="1405" w:type="pct"/>
          </w:tcPr>
          <w:p w14:paraId="2D4A082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karbamazepin</w:t>
            </w:r>
          </w:p>
          <w:p w14:paraId="0C2772D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okskarbazepin</w:t>
            </w:r>
          </w:p>
          <w:p w14:paraId="606CB40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fenobarbital</w:t>
            </w:r>
          </w:p>
          <w:p w14:paraId="45439DA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fenitoin</w:t>
            </w:r>
          </w:p>
          <w:p w14:paraId="4E02F39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tc>
        <w:tc>
          <w:tcPr>
            <w:tcW w:w="1720" w:type="pct"/>
          </w:tcPr>
          <w:p w14:paraId="6247DA5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799050C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307821A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0BB026F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sz w:val="22"/>
                <w:szCs w:val="22"/>
                <w:lang w:val="sr-Latn-ME"/>
              </w:rPr>
              <w:t xml:space="preserve"> doravirin</w:t>
            </w:r>
          </w:p>
          <w:p w14:paraId="7FD2972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4CFDCECB" w14:textId="7A326BC5"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je kontraindikovana.</w:t>
            </w:r>
          </w:p>
        </w:tc>
      </w:tr>
      <w:tr w:rsidR="00766713" w:rsidRPr="005A2200" w14:paraId="7BF2088E" w14:textId="77777777" w:rsidTr="005A2200">
        <w:tc>
          <w:tcPr>
            <w:tcW w:w="0" w:type="auto"/>
            <w:gridSpan w:val="3"/>
            <w:vAlign w:val="center"/>
          </w:tcPr>
          <w:p w14:paraId="6E02C95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Antidijabetici</w:t>
            </w:r>
          </w:p>
        </w:tc>
      </w:tr>
      <w:tr w:rsidR="00766713" w:rsidRPr="005A2200" w14:paraId="5D6E453B" w14:textId="77777777" w:rsidTr="005A2200">
        <w:tc>
          <w:tcPr>
            <w:tcW w:w="1405" w:type="pct"/>
          </w:tcPr>
          <w:p w14:paraId="0F3F319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metformin</w:t>
            </w:r>
          </w:p>
          <w:p w14:paraId="065E270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(1000 mg SD,</w:t>
            </w:r>
          </w:p>
          <w:p w14:paraId="650C01B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100 mg QD)</w:t>
            </w:r>
          </w:p>
        </w:tc>
        <w:tc>
          <w:tcPr>
            <w:tcW w:w="1720" w:type="pct"/>
          </w:tcPr>
          <w:p w14:paraId="18AAE94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metformin</w:t>
            </w:r>
          </w:p>
          <w:p w14:paraId="6FC519A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0,94 (0,88; 1,00)</w:t>
            </w:r>
          </w:p>
          <w:p w14:paraId="7776A82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0,94 (0,86; 1,03)</w:t>
            </w:r>
          </w:p>
        </w:tc>
        <w:tc>
          <w:tcPr>
            <w:tcW w:w="1875" w:type="pct"/>
          </w:tcPr>
          <w:p w14:paraId="1E1D19A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31CE389B" w14:textId="77777777" w:rsidTr="005A2200">
        <w:tc>
          <w:tcPr>
            <w:tcW w:w="1405" w:type="pct"/>
          </w:tcPr>
          <w:p w14:paraId="6A62C44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kanagliflozin</w:t>
            </w:r>
          </w:p>
          <w:p w14:paraId="6A11659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liraglutid</w:t>
            </w:r>
          </w:p>
          <w:p w14:paraId="3873EEE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sitagliptin</w:t>
            </w:r>
          </w:p>
        </w:tc>
        <w:tc>
          <w:tcPr>
            <w:tcW w:w="1720" w:type="pct"/>
          </w:tcPr>
          <w:p w14:paraId="52A02C7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65D5CAC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55D2464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7EDF2540"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kanagliflozin</w:t>
            </w:r>
          </w:p>
          <w:p w14:paraId="51A4F41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liraglutid</w:t>
            </w:r>
          </w:p>
          <w:p w14:paraId="40343F10"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sitagliptin</w:t>
            </w:r>
          </w:p>
        </w:tc>
        <w:tc>
          <w:tcPr>
            <w:tcW w:w="1875" w:type="pct"/>
          </w:tcPr>
          <w:p w14:paraId="2F64319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722BB936" w14:textId="77777777" w:rsidTr="005A2200">
        <w:tc>
          <w:tcPr>
            <w:tcW w:w="0" w:type="auto"/>
            <w:gridSpan w:val="3"/>
            <w:vAlign w:val="center"/>
          </w:tcPr>
          <w:p w14:paraId="4F5E5D3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Antidijaroici</w:t>
            </w:r>
          </w:p>
        </w:tc>
      </w:tr>
      <w:tr w:rsidR="00766713" w:rsidRPr="005A2200" w14:paraId="30ACB8F2" w14:textId="77777777" w:rsidTr="005A2200">
        <w:tc>
          <w:tcPr>
            <w:tcW w:w="1405" w:type="pct"/>
          </w:tcPr>
          <w:p w14:paraId="126D347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etiltelotristat</w:t>
            </w:r>
          </w:p>
        </w:tc>
        <w:tc>
          <w:tcPr>
            <w:tcW w:w="1720" w:type="pct"/>
          </w:tcPr>
          <w:p w14:paraId="0282B02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6AAC390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6C14CD9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751FD0A0"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 doravirin</w:t>
            </w:r>
          </w:p>
          <w:p w14:paraId="609381EF"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15EC98C0" w14:textId="2467D845"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Potrebno je izb</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egavati istovremenu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enu. Ako se 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ne može izb</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eći, treba uzimati jednu tabletu doravirina dva puta dnevno (u razmaku od približno 12 sati).</w:t>
            </w:r>
          </w:p>
        </w:tc>
      </w:tr>
      <w:tr w:rsidR="00766713" w:rsidRPr="005A2200" w14:paraId="46DE2027" w14:textId="77777777" w:rsidTr="005A2200">
        <w:tc>
          <w:tcPr>
            <w:tcW w:w="0" w:type="auto"/>
            <w:gridSpan w:val="3"/>
            <w:vAlign w:val="center"/>
          </w:tcPr>
          <w:p w14:paraId="6D3FE26B" w14:textId="70D0984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L</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 za l</w:t>
            </w:r>
            <w:r w:rsidR="00392C21"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ečenje gihta i urikozurici</w:t>
            </w:r>
          </w:p>
        </w:tc>
      </w:tr>
      <w:tr w:rsidR="00766713" w:rsidRPr="005A2200" w14:paraId="41FD966A" w14:textId="77777777" w:rsidTr="005A2200">
        <w:tc>
          <w:tcPr>
            <w:tcW w:w="1405" w:type="pct"/>
          </w:tcPr>
          <w:p w14:paraId="5284469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lesinurad</w:t>
            </w:r>
          </w:p>
          <w:p w14:paraId="3795FC0F" w14:textId="77777777" w:rsidR="00766713" w:rsidRPr="005A2200" w:rsidRDefault="00766713" w:rsidP="005A2200">
            <w:pPr>
              <w:widowControl w:val="0"/>
              <w:autoSpaceDE w:val="0"/>
              <w:autoSpaceDN w:val="0"/>
              <w:adjustRightInd w:val="0"/>
              <w:jc w:val="both"/>
              <w:rPr>
                <w:rFonts w:asciiTheme="majorBidi" w:hAnsiTheme="majorBidi" w:cstheme="majorBidi"/>
                <w:color w:val="000000"/>
                <w:sz w:val="22"/>
                <w:szCs w:val="22"/>
                <w:lang w:val="sr-Latn-ME"/>
              </w:rPr>
            </w:pPr>
          </w:p>
        </w:tc>
        <w:tc>
          <w:tcPr>
            <w:tcW w:w="1720" w:type="pct"/>
          </w:tcPr>
          <w:p w14:paraId="0FF38B1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0D2AC6D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3D1A303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30B99F14"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 doravirin</w:t>
            </w:r>
          </w:p>
          <w:p w14:paraId="5C1892F6" w14:textId="77777777" w:rsidR="00766713" w:rsidRPr="005A2200" w:rsidRDefault="00766713" w:rsidP="005A2200">
            <w:pPr>
              <w:widowControl w:val="0"/>
              <w:autoSpaceDE w:val="0"/>
              <w:autoSpaceDN w:val="0"/>
              <w:adjustRightInd w:val="0"/>
              <w:jc w:val="both"/>
              <w:rPr>
                <w:rFonts w:asciiTheme="majorBidi" w:hAnsiTheme="majorBidi" w:cstheme="majorBidi"/>
                <w:color w:val="000000"/>
                <w:sz w:val="22"/>
                <w:szCs w:val="22"/>
                <w:lang w:val="sr-Latn-ME"/>
              </w:rPr>
            </w:pPr>
            <w:r w:rsidRPr="005A2200">
              <w:rPr>
                <w:rFonts w:asciiTheme="majorBidi" w:hAnsiTheme="majorBidi" w:cstheme="majorBidi"/>
                <w:bCs/>
                <w:color w:val="000000"/>
                <w:sz w:val="22"/>
                <w:szCs w:val="22"/>
                <w:lang w:val="sr-Latn-ME"/>
              </w:rPr>
              <w:t>(indukcija CYP3A)</w:t>
            </w:r>
          </w:p>
        </w:tc>
        <w:tc>
          <w:tcPr>
            <w:tcW w:w="1875" w:type="pct"/>
          </w:tcPr>
          <w:p w14:paraId="35CAD942" w14:textId="65A3FFA3" w:rsidR="00766713" w:rsidRPr="005A2200" w:rsidRDefault="00766713" w:rsidP="005A2200">
            <w:pPr>
              <w:widowControl w:val="0"/>
              <w:autoSpaceDE w:val="0"/>
              <w:autoSpaceDN w:val="0"/>
              <w:adjustRightInd w:val="0"/>
              <w:jc w:val="both"/>
              <w:rPr>
                <w:rFonts w:asciiTheme="majorBidi" w:hAnsiTheme="majorBidi" w:cstheme="majorBidi"/>
                <w:color w:val="000000"/>
                <w:sz w:val="22"/>
                <w:szCs w:val="22"/>
                <w:lang w:val="sr-Latn-ME"/>
              </w:rPr>
            </w:pPr>
            <w:r w:rsidRPr="005A2200">
              <w:rPr>
                <w:rFonts w:asciiTheme="majorBidi" w:hAnsiTheme="majorBidi" w:cstheme="majorBidi"/>
                <w:color w:val="000000"/>
                <w:sz w:val="22"/>
                <w:szCs w:val="22"/>
                <w:lang w:val="sr-Latn-ME"/>
              </w:rPr>
              <w:t>Potrebno je izb</w:t>
            </w:r>
            <w:r w:rsidR="00392C21" w:rsidRPr="005A2200">
              <w:rPr>
                <w:rFonts w:asciiTheme="majorBidi" w:hAnsiTheme="majorBidi" w:cstheme="majorBidi"/>
                <w:color w:val="000000"/>
                <w:sz w:val="22"/>
                <w:szCs w:val="22"/>
                <w:lang w:val="sr-Latn-ME"/>
              </w:rPr>
              <w:t>j</w:t>
            </w:r>
            <w:r w:rsidRPr="005A2200">
              <w:rPr>
                <w:rFonts w:asciiTheme="majorBidi" w:hAnsiTheme="majorBidi" w:cstheme="majorBidi"/>
                <w:color w:val="000000"/>
                <w:sz w:val="22"/>
                <w:szCs w:val="22"/>
                <w:lang w:val="sr-Latn-ME"/>
              </w:rPr>
              <w:t>egavati istovremenu prim</w:t>
            </w:r>
            <w:r w:rsidR="00392C21" w:rsidRPr="005A2200">
              <w:rPr>
                <w:rFonts w:asciiTheme="majorBidi" w:hAnsiTheme="majorBidi" w:cstheme="majorBidi"/>
                <w:color w:val="000000"/>
                <w:sz w:val="22"/>
                <w:szCs w:val="22"/>
                <w:lang w:val="sr-Latn-ME"/>
              </w:rPr>
              <w:t>j</w:t>
            </w:r>
            <w:r w:rsidRPr="005A2200">
              <w:rPr>
                <w:rFonts w:asciiTheme="majorBidi" w:hAnsiTheme="majorBidi" w:cstheme="majorBidi"/>
                <w:color w:val="000000"/>
                <w:sz w:val="22"/>
                <w:szCs w:val="22"/>
                <w:lang w:val="sr-Latn-ME"/>
              </w:rPr>
              <w:t>enu. Ako se istovremena prim</w:t>
            </w:r>
            <w:r w:rsidR="00392C21" w:rsidRPr="005A2200">
              <w:rPr>
                <w:rFonts w:asciiTheme="majorBidi" w:hAnsiTheme="majorBidi" w:cstheme="majorBidi"/>
                <w:color w:val="000000"/>
                <w:sz w:val="22"/>
                <w:szCs w:val="22"/>
                <w:lang w:val="sr-Latn-ME"/>
              </w:rPr>
              <w:t>j</w:t>
            </w:r>
            <w:r w:rsidRPr="005A2200">
              <w:rPr>
                <w:rFonts w:asciiTheme="majorBidi" w:hAnsiTheme="majorBidi" w:cstheme="majorBidi"/>
                <w:color w:val="000000"/>
                <w:sz w:val="22"/>
                <w:szCs w:val="22"/>
                <w:lang w:val="sr-Latn-ME"/>
              </w:rPr>
              <w:t>ena ne može izb</w:t>
            </w:r>
            <w:r w:rsidR="00392C21" w:rsidRPr="005A2200">
              <w:rPr>
                <w:rFonts w:asciiTheme="majorBidi" w:hAnsiTheme="majorBidi" w:cstheme="majorBidi"/>
                <w:color w:val="000000"/>
                <w:sz w:val="22"/>
                <w:szCs w:val="22"/>
                <w:lang w:val="sr-Latn-ME"/>
              </w:rPr>
              <w:t>j</w:t>
            </w:r>
            <w:r w:rsidRPr="005A2200">
              <w:rPr>
                <w:rFonts w:asciiTheme="majorBidi" w:hAnsiTheme="majorBidi" w:cstheme="majorBidi"/>
                <w:color w:val="000000"/>
                <w:sz w:val="22"/>
                <w:szCs w:val="22"/>
                <w:lang w:val="sr-Latn-ME"/>
              </w:rPr>
              <w:t>eći, treba uzimati jednu tabletu doravirina dva puta dnevno (u razmaku od približno 12 sati).</w:t>
            </w:r>
          </w:p>
        </w:tc>
      </w:tr>
      <w:tr w:rsidR="00766713" w:rsidRPr="005A2200" w14:paraId="2773FABA" w14:textId="77777777" w:rsidTr="005A2200">
        <w:tc>
          <w:tcPr>
            <w:tcW w:w="0" w:type="auto"/>
            <w:gridSpan w:val="3"/>
            <w:vAlign w:val="center"/>
            <w:hideMark/>
          </w:tcPr>
          <w:p w14:paraId="38802764" w14:textId="23A27BD1"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Antimikobakterijski l</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w:t>
            </w:r>
          </w:p>
        </w:tc>
      </w:tr>
      <w:tr w:rsidR="00766713" w:rsidRPr="005A2200" w14:paraId="7E148BF3" w14:textId="77777777" w:rsidTr="005A2200">
        <w:tc>
          <w:tcPr>
            <w:tcW w:w="1405" w:type="pct"/>
            <w:hideMark/>
          </w:tcPr>
          <w:p w14:paraId="27666B6B"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pojedinačna doza rifampicina</w:t>
            </w:r>
          </w:p>
          <w:p w14:paraId="1F33A40A"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(600 mg SD,</w:t>
            </w:r>
          </w:p>
          <w:p w14:paraId="1B28E801"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doravirin 100 mg SD)</w:t>
            </w:r>
          </w:p>
          <w:p w14:paraId="0B593613"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p>
          <w:p w14:paraId="787C23DB"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p>
          <w:p w14:paraId="4D788829"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višestruke doze rifampicina</w:t>
            </w:r>
          </w:p>
          <w:p w14:paraId="240C73A0"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(600 mg QD,</w:t>
            </w:r>
          </w:p>
          <w:p w14:paraId="0CBC75BA"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doravirin 100 mg SD)</w:t>
            </w:r>
          </w:p>
        </w:tc>
        <w:tc>
          <w:tcPr>
            <w:tcW w:w="1720" w:type="pct"/>
            <w:hideMark/>
          </w:tcPr>
          <w:p w14:paraId="34FD27A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6EE8002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0,91 (0,78; 1,06)</w:t>
            </w:r>
          </w:p>
          <w:p w14:paraId="555A85A6"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1,40 (1,21; 1,63)</w:t>
            </w:r>
          </w:p>
          <w:p w14:paraId="0CC6150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0,90 (0,80; 1,01)</w:t>
            </w:r>
          </w:p>
          <w:p w14:paraId="2621CB0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7977377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sz w:val="22"/>
                <w:szCs w:val="22"/>
                <w:lang w:val="sr-Latn-ME"/>
              </w:rPr>
              <w:t xml:space="preserve"> doravirin</w:t>
            </w:r>
          </w:p>
          <w:p w14:paraId="6D98B61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0,12 (0,10; 0,15)</w:t>
            </w:r>
          </w:p>
          <w:p w14:paraId="168E579D"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0,43 (0,35; 0,52)</w:t>
            </w:r>
          </w:p>
          <w:p w14:paraId="6DC3F1F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0,03 (0,02; 0,04)</w:t>
            </w:r>
          </w:p>
          <w:p w14:paraId="1127231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257B1655" w14:textId="5F92F3DE"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je kontraindikovana.</w:t>
            </w:r>
          </w:p>
        </w:tc>
      </w:tr>
      <w:tr w:rsidR="00766713" w:rsidRPr="005A2200" w14:paraId="21BBF2C0" w14:textId="77777777" w:rsidTr="005A2200">
        <w:tc>
          <w:tcPr>
            <w:tcW w:w="1405" w:type="pct"/>
          </w:tcPr>
          <w:p w14:paraId="7549D7A5"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rifapentin</w:t>
            </w:r>
          </w:p>
        </w:tc>
        <w:tc>
          <w:tcPr>
            <w:tcW w:w="1720" w:type="pct"/>
          </w:tcPr>
          <w:p w14:paraId="2CE2C43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128E1B6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70BE9C8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5B86E96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sz w:val="22"/>
                <w:szCs w:val="22"/>
                <w:lang w:val="sr-Latn-ME"/>
              </w:rPr>
              <w:t xml:space="preserve"> doravirin</w:t>
            </w:r>
          </w:p>
          <w:p w14:paraId="61B463C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60651AA4" w14:textId="2B74D78B"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je kontraindikovana.</w:t>
            </w:r>
          </w:p>
        </w:tc>
      </w:tr>
      <w:tr w:rsidR="00766713" w:rsidRPr="005A2200" w14:paraId="2435B29E" w14:textId="77777777" w:rsidTr="005A2200">
        <w:tc>
          <w:tcPr>
            <w:tcW w:w="1405" w:type="pct"/>
            <w:hideMark/>
          </w:tcPr>
          <w:p w14:paraId="425C7C2D"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rifabutin</w:t>
            </w:r>
          </w:p>
          <w:p w14:paraId="7114AEAD"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(300 mg QD,</w:t>
            </w:r>
          </w:p>
          <w:p w14:paraId="417E0501"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doravirin 100 mg SD)</w:t>
            </w:r>
          </w:p>
        </w:tc>
        <w:tc>
          <w:tcPr>
            <w:tcW w:w="1720" w:type="pct"/>
            <w:hideMark/>
          </w:tcPr>
          <w:p w14:paraId="1A92CF6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sz w:val="22"/>
                <w:szCs w:val="22"/>
                <w:lang w:val="sr-Latn-ME"/>
              </w:rPr>
              <w:t xml:space="preserve"> doravirin</w:t>
            </w:r>
          </w:p>
          <w:p w14:paraId="0D2B8CA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0,50 (0,45; 0,55)</w:t>
            </w:r>
          </w:p>
          <w:p w14:paraId="5AC04553"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0,99 (0,85; 1,15)</w:t>
            </w:r>
          </w:p>
          <w:p w14:paraId="1D306CC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0,32 (0,28; 0,35)</w:t>
            </w:r>
          </w:p>
          <w:p w14:paraId="65C8D54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64AB8C64" w14:textId="3C7DC870" w:rsidR="00766713" w:rsidRPr="005A2200" w:rsidRDefault="00766713" w:rsidP="005A2200">
            <w:pPr>
              <w:widowControl w:val="0"/>
              <w:tabs>
                <w:tab w:val="left" w:pos="284"/>
              </w:tabs>
              <w:jc w:val="both"/>
              <w:rPr>
                <w:rFonts w:asciiTheme="majorBidi" w:hAnsiTheme="majorBidi" w:cstheme="majorBidi"/>
                <w:color w:val="1A1A1A"/>
                <w:sz w:val="22"/>
                <w:szCs w:val="22"/>
                <w:lang w:val="sr-Latn-ME"/>
              </w:rPr>
            </w:pPr>
            <w:r w:rsidRPr="005A2200">
              <w:rPr>
                <w:rFonts w:asciiTheme="majorBidi" w:hAnsiTheme="majorBidi" w:cstheme="majorBidi"/>
                <w:color w:val="1A1A1A"/>
                <w:sz w:val="22"/>
                <w:szCs w:val="22"/>
                <w:lang w:val="sr-Latn-ME"/>
              </w:rPr>
              <w:t>Ako se doravirin prim</w:t>
            </w:r>
            <w:r w:rsidR="00392C21" w:rsidRPr="005A2200">
              <w:rPr>
                <w:rFonts w:asciiTheme="majorBidi" w:hAnsiTheme="majorBidi" w:cstheme="majorBidi"/>
                <w:color w:val="1A1A1A"/>
                <w:sz w:val="22"/>
                <w:szCs w:val="22"/>
                <w:lang w:val="sr-Latn-ME"/>
              </w:rPr>
              <w:t>j</w:t>
            </w:r>
            <w:r w:rsidRPr="005A2200">
              <w:rPr>
                <w:rFonts w:asciiTheme="majorBidi" w:hAnsiTheme="majorBidi" w:cstheme="majorBidi"/>
                <w:color w:val="1A1A1A"/>
                <w:sz w:val="22"/>
                <w:szCs w:val="22"/>
                <w:lang w:val="sr-Latn-ME"/>
              </w:rPr>
              <w:t>enjuje istovremeno sa rifabutinom, dozu doravirina treba povećati na 100 mg dva puta dnevno (u razmaku od približno 12 sati).</w:t>
            </w:r>
          </w:p>
        </w:tc>
      </w:tr>
      <w:tr w:rsidR="00766713" w:rsidRPr="005A2200" w14:paraId="4342AAFB" w14:textId="77777777" w:rsidTr="005A2200">
        <w:tc>
          <w:tcPr>
            <w:tcW w:w="0" w:type="auto"/>
            <w:gridSpan w:val="3"/>
            <w:vAlign w:val="center"/>
          </w:tcPr>
          <w:p w14:paraId="3B122C85" w14:textId="77777777" w:rsidR="00766713" w:rsidRPr="005A2200" w:rsidRDefault="00766713" w:rsidP="005A2200">
            <w:pPr>
              <w:widowControl w:val="0"/>
              <w:tabs>
                <w:tab w:val="left" w:pos="284"/>
              </w:tabs>
              <w:jc w:val="both"/>
              <w:rPr>
                <w:rFonts w:asciiTheme="majorBidi" w:hAnsiTheme="majorBidi" w:cstheme="majorBidi"/>
                <w:color w:val="1A1A1A"/>
                <w:sz w:val="22"/>
                <w:szCs w:val="22"/>
                <w:lang w:val="sr-Latn-ME"/>
              </w:rPr>
            </w:pPr>
            <w:r w:rsidRPr="005A2200">
              <w:rPr>
                <w:rFonts w:asciiTheme="majorBidi" w:hAnsiTheme="majorBidi" w:cstheme="majorBidi"/>
                <w:sz w:val="22"/>
                <w:szCs w:val="22"/>
                <w:lang w:val="sr-Latn-ME"/>
              </w:rPr>
              <w:t>Antineoplastici</w:t>
            </w:r>
          </w:p>
        </w:tc>
      </w:tr>
      <w:tr w:rsidR="00766713" w:rsidRPr="005A2200" w14:paraId="68EA886A" w14:textId="77777777" w:rsidTr="005A2200">
        <w:tc>
          <w:tcPr>
            <w:tcW w:w="1405" w:type="pct"/>
          </w:tcPr>
          <w:p w14:paraId="6FA62FA7"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mitotan</w:t>
            </w:r>
          </w:p>
        </w:tc>
        <w:tc>
          <w:tcPr>
            <w:tcW w:w="1720" w:type="pct"/>
          </w:tcPr>
          <w:p w14:paraId="557F1D0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08890C5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0CAABF3F"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0D77875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sz w:val="22"/>
                <w:szCs w:val="22"/>
                <w:lang w:val="sr-Latn-ME"/>
              </w:rPr>
              <w:t xml:space="preserve"> doravirin</w:t>
            </w:r>
          </w:p>
          <w:p w14:paraId="3D90CC7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77007DE4" w14:textId="407F3B77" w:rsidR="00766713" w:rsidRPr="005A2200" w:rsidRDefault="00766713" w:rsidP="005A2200">
            <w:pPr>
              <w:widowControl w:val="0"/>
              <w:tabs>
                <w:tab w:val="left" w:pos="284"/>
              </w:tabs>
              <w:jc w:val="both"/>
              <w:rPr>
                <w:rFonts w:asciiTheme="majorBidi" w:hAnsiTheme="majorBidi" w:cstheme="majorBidi"/>
                <w:color w:val="1A1A1A"/>
                <w:sz w:val="22"/>
                <w:szCs w:val="22"/>
                <w:lang w:val="sr-Latn-ME"/>
              </w:rPr>
            </w:pPr>
            <w:r w:rsidRPr="005A2200">
              <w:rPr>
                <w:rFonts w:asciiTheme="majorBidi" w:hAnsiTheme="majorBidi" w:cstheme="majorBidi"/>
                <w:sz w:val="22"/>
                <w:szCs w:val="22"/>
                <w:lang w:val="sr-Latn-ME"/>
              </w:rPr>
              <w:lastRenderedPageBreak/>
              <w:t>Istovremena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ena je </w:t>
            </w:r>
            <w:r w:rsidRPr="005A2200">
              <w:rPr>
                <w:rFonts w:asciiTheme="majorBidi" w:hAnsiTheme="majorBidi" w:cstheme="majorBidi"/>
                <w:sz w:val="22"/>
                <w:szCs w:val="22"/>
                <w:lang w:val="sr-Latn-ME"/>
              </w:rPr>
              <w:lastRenderedPageBreak/>
              <w:t>kontraindikovana.</w:t>
            </w:r>
          </w:p>
        </w:tc>
      </w:tr>
      <w:tr w:rsidR="00766713" w:rsidRPr="005A2200" w14:paraId="3AA2921A" w14:textId="77777777" w:rsidTr="005A2200">
        <w:tc>
          <w:tcPr>
            <w:tcW w:w="0" w:type="auto"/>
            <w:gridSpan w:val="3"/>
            <w:vAlign w:val="center"/>
          </w:tcPr>
          <w:p w14:paraId="08803CA1" w14:textId="77777777" w:rsidR="00766713" w:rsidRPr="005A2200" w:rsidRDefault="00766713" w:rsidP="005A2200">
            <w:pPr>
              <w:widowControl w:val="0"/>
              <w:tabs>
                <w:tab w:val="left" w:pos="284"/>
              </w:tabs>
              <w:jc w:val="both"/>
              <w:rPr>
                <w:rFonts w:asciiTheme="majorBidi" w:hAnsiTheme="majorBidi" w:cstheme="majorBidi"/>
                <w:color w:val="1A1A1A"/>
                <w:sz w:val="22"/>
                <w:szCs w:val="22"/>
                <w:lang w:val="sr-Latn-ME"/>
              </w:rPr>
            </w:pPr>
            <w:r w:rsidRPr="005A2200">
              <w:rPr>
                <w:rFonts w:asciiTheme="majorBidi" w:hAnsiTheme="majorBidi" w:cstheme="majorBidi"/>
                <w:sz w:val="22"/>
                <w:szCs w:val="22"/>
                <w:lang w:val="sr-Latn-ME"/>
              </w:rPr>
              <w:lastRenderedPageBreak/>
              <w:t>Antipsihotici</w:t>
            </w:r>
          </w:p>
        </w:tc>
      </w:tr>
      <w:tr w:rsidR="00766713" w:rsidRPr="005A2200" w14:paraId="76A78D88" w14:textId="77777777" w:rsidTr="005A2200">
        <w:tc>
          <w:tcPr>
            <w:tcW w:w="1405" w:type="pct"/>
          </w:tcPr>
          <w:p w14:paraId="09CBD05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tioridazin</w:t>
            </w:r>
          </w:p>
        </w:tc>
        <w:tc>
          <w:tcPr>
            <w:tcW w:w="1720" w:type="pct"/>
          </w:tcPr>
          <w:p w14:paraId="6B03FB0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12C25DE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4599A52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3261F6DA"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 doravirin</w:t>
            </w:r>
          </w:p>
          <w:p w14:paraId="7347E4A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281CDF19" w14:textId="4BBE53A0"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Potrebno je izb</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egavati istovremenu prim</w:t>
            </w:r>
            <w:r w:rsidR="00392C21"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enu. Ako se istovremena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ne može izb</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eći, treba uzimati jednu tabletu doravirina dva puta dnevno (u razmaku od približno 12 sati).</w:t>
            </w:r>
          </w:p>
        </w:tc>
      </w:tr>
      <w:tr w:rsidR="00766713" w:rsidRPr="005A2200" w14:paraId="79CFCA4F" w14:textId="77777777" w:rsidTr="005A2200">
        <w:tc>
          <w:tcPr>
            <w:tcW w:w="0" w:type="auto"/>
            <w:gridSpan w:val="3"/>
            <w:vAlign w:val="center"/>
          </w:tcPr>
          <w:p w14:paraId="14ED973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Azolni antimikotici</w:t>
            </w:r>
          </w:p>
        </w:tc>
      </w:tr>
      <w:tr w:rsidR="00766713" w:rsidRPr="005A2200" w14:paraId="59F4B607" w14:textId="77777777" w:rsidTr="005A2200">
        <w:tc>
          <w:tcPr>
            <w:tcW w:w="1405" w:type="pct"/>
          </w:tcPr>
          <w:p w14:paraId="3391400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ketokonazol</w:t>
            </w:r>
          </w:p>
          <w:p w14:paraId="6651DB7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(400 mg QD,</w:t>
            </w:r>
          </w:p>
          <w:p w14:paraId="6D5CD09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doravirin 100 mg SD)</w:t>
            </w:r>
          </w:p>
        </w:tc>
        <w:tc>
          <w:tcPr>
            <w:tcW w:w="1720" w:type="pct"/>
          </w:tcPr>
          <w:p w14:paraId="1CBB672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5C7140D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3,06 (2,85; 3,29)</w:t>
            </w:r>
          </w:p>
          <w:p w14:paraId="7FD0A994"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1,25 (1,05; 1,49)</w:t>
            </w:r>
          </w:p>
          <w:p w14:paraId="0306852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2,75 (2,54; 2,98)</w:t>
            </w:r>
          </w:p>
          <w:p w14:paraId="2C301DA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CYP3A)</w:t>
            </w:r>
          </w:p>
        </w:tc>
        <w:tc>
          <w:tcPr>
            <w:tcW w:w="1875" w:type="pct"/>
          </w:tcPr>
          <w:p w14:paraId="4CEDCD9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3032F5F7" w14:textId="77777777" w:rsidTr="005A2200">
        <w:tc>
          <w:tcPr>
            <w:tcW w:w="1405" w:type="pct"/>
          </w:tcPr>
          <w:p w14:paraId="1BF80FC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flukonazol</w:t>
            </w:r>
          </w:p>
          <w:p w14:paraId="1681E19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itrakonazol</w:t>
            </w:r>
          </w:p>
          <w:p w14:paraId="0FB9373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posakonazol</w:t>
            </w:r>
          </w:p>
          <w:p w14:paraId="4F87805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vorikonazol</w:t>
            </w:r>
          </w:p>
        </w:tc>
        <w:tc>
          <w:tcPr>
            <w:tcW w:w="1720" w:type="pct"/>
          </w:tcPr>
          <w:p w14:paraId="1C5330C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3E83B58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5DD72D4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22F173C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doravirin</w:t>
            </w:r>
          </w:p>
          <w:p w14:paraId="23F2A75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CYP3A4)</w:t>
            </w:r>
          </w:p>
        </w:tc>
        <w:tc>
          <w:tcPr>
            <w:tcW w:w="1875" w:type="pct"/>
          </w:tcPr>
          <w:p w14:paraId="2F0A10C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25B7AFCA" w14:textId="77777777" w:rsidTr="005A2200">
        <w:tc>
          <w:tcPr>
            <w:tcW w:w="0" w:type="auto"/>
            <w:gridSpan w:val="3"/>
            <w:vAlign w:val="center"/>
          </w:tcPr>
          <w:p w14:paraId="2E12E3B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Blokatori kalcijumovih kanala</w:t>
            </w:r>
          </w:p>
        </w:tc>
      </w:tr>
      <w:tr w:rsidR="00766713" w:rsidRPr="005A2200" w14:paraId="412C2838" w14:textId="77777777" w:rsidTr="005A2200">
        <w:tc>
          <w:tcPr>
            <w:tcW w:w="1405" w:type="pct"/>
          </w:tcPr>
          <w:p w14:paraId="12DFA1F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diltiazem</w:t>
            </w:r>
          </w:p>
          <w:p w14:paraId="2855427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verapamil</w:t>
            </w:r>
          </w:p>
        </w:tc>
        <w:tc>
          <w:tcPr>
            <w:tcW w:w="1720" w:type="pct"/>
          </w:tcPr>
          <w:p w14:paraId="69E2CE5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3D1342B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26F32F2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5A65191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doravirin</w:t>
            </w:r>
          </w:p>
          <w:p w14:paraId="737FDE4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(inhibicija CYP3A)</w:t>
            </w:r>
          </w:p>
        </w:tc>
        <w:tc>
          <w:tcPr>
            <w:tcW w:w="1875" w:type="pct"/>
          </w:tcPr>
          <w:p w14:paraId="0B7FCEC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352776C6" w14:textId="77777777" w:rsidTr="005A2200">
        <w:tc>
          <w:tcPr>
            <w:tcW w:w="0" w:type="auto"/>
            <w:gridSpan w:val="3"/>
            <w:vAlign w:val="center"/>
          </w:tcPr>
          <w:p w14:paraId="560FBF3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Terapija za cističnu fibrozu</w:t>
            </w:r>
          </w:p>
        </w:tc>
      </w:tr>
      <w:tr w:rsidR="00766713" w:rsidRPr="005A2200" w14:paraId="28E9B96A" w14:textId="77777777" w:rsidTr="005A2200">
        <w:tc>
          <w:tcPr>
            <w:tcW w:w="1405" w:type="pct"/>
          </w:tcPr>
          <w:p w14:paraId="460462F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lumakaftor</w:t>
            </w:r>
          </w:p>
        </w:tc>
        <w:tc>
          <w:tcPr>
            <w:tcW w:w="1720" w:type="pct"/>
          </w:tcPr>
          <w:p w14:paraId="3154AFA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18E3C6C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754CA43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1844C47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bCs/>
                <w:sz w:val="22"/>
                <w:szCs w:val="22"/>
                <w:lang w:val="sr-Latn-ME"/>
              </w:rPr>
              <w:t xml:space="preserve">↓ </w:t>
            </w:r>
            <w:r w:rsidRPr="005A2200">
              <w:rPr>
                <w:rFonts w:asciiTheme="majorBidi" w:hAnsiTheme="majorBidi" w:cstheme="majorBidi"/>
                <w:sz w:val="22"/>
                <w:szCs w:val="22"/>
                <w:lang w:val="sr-Latn-ME"/>
              </w:rPr>
              <w:t>doravirin</w:t>
            </w:r>
          </w:p>
          <w:p w14:paraId="21321E6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1AC594CA" w14:textId="5F9AF9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Istovremena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je kontraindikovana.</w:t>
            </w:r>
          </w:p>
        </w:tc>
      </w:tr>
      <w:tr w:rsidR="00766713" w:rsidRPr="005A2200" w14:paraId="69453AA3" w14:textId="77777777" w:rsidTr="005A2200">
        <w:tc>
          <w:tcPr>
            <w:tcW w:w="0" w:type="auto"/>
            <w:gridSpan w:val="3"/>
            <w:vAlign w:val="center"/>
          </w:tcPr>
          <w:p w14:paraId="297ADB8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Antagonisti endotelinskih receptora</w:t>
            </w:r>
          </w:p>
        </w:tc>
      </w:tr>
      <w:tr w:rsidR="00766713" w:rsidRPr="005A2200" w14:paraId="5E2C96C9" w14:textId="77777777" w:rsidTr="005A2200">
        <w:tc>
          <w:tcPr>
            <w:tcW w:w="1405" w:type="pct"/>
          </w:tcPr>
          <w:p w14:paraId="1FE7629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bosentan</w:t>
            </w:r>
          </w:p>
        </w:tc>
        <w:tc>
          <w:tcPr>
            <w:tcW w:w="1720" w:type="pct"/>
          </w:tcPr>
          <w:p w14:paraId="0ABD4F5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1B9956F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64AAB29F"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03937CFE"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 doravirin</w:t>
            </w:r>
          </w:p>
          <w:p w14:paraId="4C2EE01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3D576E3B" w14:textId="06A3BFF9"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Potrebno je izb</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egavati istovremenu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enu. Ako se istovremena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ne može izb</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eći, treba uzimati jednu tabletu doravirina dva puta dnevno (u razmaku od približno 12 sati).</w:t>
            </w:r>
          </w:p>
        </w:tc>
      </w:tr>
      <w:tr w:rsidR="00766713" w:rsidRPr="005A2200" w14:paraId="251990E4" w14:textId="77777777" w:rsidTr="005A2200">
        <w:tc>
          <w:tcPr>
            <w:tcW w:w="0" w:type="auto"/>
            <w:gridSpan w:val="3"/>
            <w:vAlign w:val="center"/>
          </w:tcPr>
          <w:p w14:paraId="6FA1968D" w14:textId="0744F1DE"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Antivirotici za l</w:t>
            </w:r>
            <w:r w:rsidR="00392150"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ečenje hepatitisa C</w:t>
            </w:r>
          </w:p>
        </w:tc>
      </w:tr>
      <w:tr w:rsidR="00766713" w:rsidRPr="005A2200" w14:paraId="699BED90" w14:textId="77777777" w:rsidTr="005A2200">
        <w:tc>
          <w:tcPr>
            <w:tcW w:w="1405" w:type="pct"/>
          </w:tcPr>
          <w:p w14:paraId="60D8436F"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elbasvir + grazoprevir</w:t>
            </w:r>
          </w:p>
          <w:p w14:paraId="639FD38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(elbasvir 50 mg QD + grazoprevir 200 mg QD,</w:t>
            </w:r>
          </w:p>
          <w:p w14:paraId="0583234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doravirin 100 mg QD)</w:t>
            </w:r>
          </w:p>
        </w:tc>
        <w:tc>
          <w:tcPr>
            <w:tcW w:w="1720" w:type="pct"/>
          </w:tcPr>
          <w:p w14:paraId="12ED6C4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3960BC6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1,56 (1,45; 1,68)</w:t>
            </w:r>
          </w:p>
          <w:p w14:paraId="4F29CED5"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1,41 (1,25; 1,58)</w:t>
            </w:r>
          </w:p>
          <w:p w14:paraId="11F0996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1,61 (1,45; 1,79)</w:t>
            </w:r>
          </w:p>
          <w:p w14:paraId="563A881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CYP3A)</w:t>
            </w:r>
          </w:p>
          <w:p w14:paraId="1E84D67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69247ED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elbasvir</w:t>
            </w:r>
          </w:p>
          <w:p w14:paraId="38225E9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0,96 (0,90; 1,02)</w:t>
            </w:r>
          </w:p>
          <w:p w14:paraId="1992821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0,96 (0,91; 1,01)</w:t>
            </w:r>
          </w:p>
          <w:p w14:paraId="2495AD0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0,96 (0,89; 1,04)</w:t>
            </w:r>
          </w:p>
          <w:p w14:paraId="1D1AFAD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2F16177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lastRenderedPageBreak/>
              <w:t>↔ grazoprevir</w:t>
            </w:r>
          </w:p>
          <w:p w14:paraId="7D90339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1,07 (0,94; 1,23)</w:t>
            </w:r>
          </w:p>
          <w:p w14:paraId="2018C4A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1,22 (1,01; 1,47)</w:t>
            </w:r>
          </w:p>
          <w:p w14:paraId="713D4AE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0,90 (0,83; 0,96)</w:t>
            </w:r>
          </w:p>
        </w:tc>
        <w:tc>
          <w:tcPr>
            <w:tcW w:w="1875" w:type="pct"/>
          </w:tcPr>
          <w:p w14:paraId="576F730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lastRenderedPageBreak/>
              <w:t>Nije potrebno prilagođavati dozu.</w:t>
            </w:r>
          </w:p>
        </w:tc>
      </w:tr>
      <w:tr w:rsidR="00766713" w:rsidRPr="005A2200" w14:paraId="2FE99B27" w14:textId="77777777" w:rsidTr="005A2200">
        <w:tc>
          <w:tcPr>
            <w:tcW w:w="1405" w:type="pct"/>
          </w:tcPr>
          <w:p w14:paraId="1DF5A55A"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ledipasvir + sofosbuvir</w:t>
            </w:r>
          </w:p>
          <w:p w14:paraId="73D520B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(ledipasvir 90 mg SD + sofosbuvir 400 mg SD,</w:t>
            </w:r>
          </w:p>
          <w:p w14:paraId="5255276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doravirin 100 mg SD)</w:t>
            </w:r>
          </w:p>
        </w:tc>
        <w:tc>
          <w:tcPr>
            <w:tcW w:w="1720" w:type="pct"/>
          </w:tcPr>
          <w:p w14:paraId="27D6991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6EBB603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1,15 (1,07; 1,24)</w:t>
            </w:r>
          </w:p>
          <w:p w14:paraId="25680B68"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1,11 (0,97; 1,27)</w:t>
            </w:r>
          </w:p>
          <w:p w14:paraId="238A696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1,24 (1,13; 1,36)</w:t>
            </w:r>
          </w:p>
          <w:p w14:paraId="0FF9647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6D90D65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ledipasvir</w:t>
            </w:r>
          </w:p>
          <w:p w14:paraId="687CAE8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0,92 (0,80; 1,06)</w:t>
            </w:r>
          </w:p>
          <w:p w14:paraId="123FB3D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0,91 (0,80; 1,02)</w:t>
            </w:r>
          </w:p>
          <w:p w14:paraId="30E2967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7FB44EB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sofosbuvir</w:t>
            </w:r>
          </w:p>
          <w:p w14:paraId="433DA93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1,04 (0,91; 1,18)</w:t>
            </w:r>
          </w:p>
          <w:p w14:paraId="2F92575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0,89 (0,79; 1,00)</w:t>
            </w:r>
          </w:p>
          <w:p w14:paraId="1C2C5CD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6CF2C0E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GS</w:t>
            </w:r>
            <w:r w:rsidRPr="005A2200">
              <w:rPr>
                <w:rFonts w:asciiTheme="majorBidi" w:hAnsiTheme="majorBidi" w:cstheme="majorBidi"/>
                <w:sz w:val="22"/>
                <w:szCs w:val="22"/>
                <w:lang w:val="sr-Latn-ME"/>
              </w:rPr>
              <w:noBreakHyphen/>
              <w:t>331007</w:t>
            </w:r>
          </w:p>
          <w:p w14:paraId="37E04AF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1,03 (0,98; 1,09)</w:t>
            </w:r>
          </w:p>
          <w:p w14:paraId="32A8E42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1,03 (0,97; 1,09)</w:t>
            </w:r>
          </w:p>
        </w:tc>
        <w:tc>
          <w:tcPr>
            <w:tcW w:w="1875" w:type="pct"/>
          </w:tcPr>
          <w:p w14:paraId="1444D69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56E56143" w14:textId="77777777" w:rsidTr="005A2200">
        <w:tc>
          <w:tcPr>
            <w:tcW w:w="1405" w:type="pct"/>
          </w:tcPr>
          <w:p w14:paraId="2FF1EC67"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sofosbuvir/velpatasvir</w:t>
            </w:r>
          </w:p>
        </w:tc>
        <w:tc>
          <w:tcPr>
            <w:tcW w:w="1720" w:type="pct"/>
          </w:tcPr>
          <w:p w14:paraId="6F06FEF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7A70118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385CA90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55CD54A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doravirin</w:t>
            </w:r>
          </w:p>
        </w:tc>
        <w:tc>
          <w:tcPr>
            <w:tcW w:w="1875" w:type="pct"/>
          </w:tcPr>
          <w:p w14:paraId="4136303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6F4B5E8D" w14:textId="77777777" w:rsidTr="005A2200">
        <w:tc>
          <w:tcPr>
            <w:tcW w:w="1405" w:type="pct"/>
          </w:tcPr>
          <w:p w14:paraId="38D11DA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sofosbuvir</w:t>
            </w:r>
          </w:p>
        </w:tc>
        <w:tc>
          <w:tcPr>
            <w:tcW w:w="1720" w:type="pct"/>
          </w:tcPr>
          <w:p w14:paraId="496B997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3FEB1F2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3A1617F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7CA25CE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doravirin</w:t>
            </w:r>
          </w:p>
        </w:tc>
        <w:tc>
          <w:tcPr>
            <w:tcW w:w="1875" w:type="pct"/>
          </w:tcPr>
          <w:p w14:paraId="7BD32BF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2D91F5E0" w14:textId="77777777" w:rsidTr="005A2200">
        <w:tc>
          <w:tcPr>
            <w:tcW w:w="1405" w:type="pct"/>
          </w:tcPr>
          <w:p w14:paraId="397738BD" w14:textId="13214155"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daklata</w:t>
            </w:r>
            <w:r w:rsidR="002F1E0B" w:rsidRPr="005A2200">
              <w:rPr>
                <w:rFonts w:asciiTheme="majorBidi" w:hAnsiTheme="majorBidi" w:cstheme="majorBidi"/>
                <w:sz w:val="22"/>
                <w:szCs w:val="22"/>
                <w:lang w:val="sr-Latn-ME"/>
              </w:rPr>
              <w:t>s</w:t>
            </w:r>
            <w:r w:rsidRPr="005A2200">
              <w:rPr>
                <w:rFonts w:asciiTheme="majorBidi" w:hAnsiTheme="majorBidi" w:cstheme="majorBidi"/>
                <w:sz w:val="22"/>
                <w:szCs w:val="22"/>
                <w:lang w:val="sr-Latn-ME"/>
              </w:rPr>
              <w:t>vir</w:t>
            </w:r>
          </w:p>
          <w:p w14:paraId="2DC88BB2"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p>
        </w:tc>
        <w:tc>
          <w:tcPr>
            <w:tcW w:w="1720" w:type="pct"/>
          </w:tcPr>
          <w:p w14:paraId="01A3E7C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07FECAE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54B9E59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7AA8CA1F"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doravirin</w:t>
            </w:r>
          </w:p>
        </w:tc>
        <w:tc>
          <w:tcPr>
            <w:tcW w:w="1875" w:type="pct"/>
          </w:tcPr>
          <w:p w14:paraId="385EF2B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330011F5" w14:textId="77777777" w:rsidTr="005A2200">
        <w:tc>
          <w:tcPr>
            <w:tcW w:w="1405" w:type="pct"/>
          </w:tcPr>
          <w:p w14:paraId="5392705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ombitasvir/ paritaprevir/ritonavir i dasabuvir +/- ritonavir</w:t>
            </w:r>
          </w:p>
          <w:p w14:paraId="33EC648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0ED9DF0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tc>
        <w:tc>
          <w:tcPr>
            <w:tcW w:w="1720" w:type="pct"/>
          </w:tcPr>
          <w:p w14:paraId="574E8BD3"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7B570DE4"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p>
          <w:p w14:paraId="55BCE7C7"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Očekivano:</w:t>
            </w:r>
          </w:p>
          <w:p w14:paraId="4B149230"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doravirin</w:t>
            </w:r>
          </w:p>
          <w:p w14:paraId="6F390D8E"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(inhibicija CYP3A zbog ritonavira)</w:t>
            </w:r>
          </w:p>
        </w:tc>
        <w:tc>
          <w:tcPr>
            <w:tcW w:w="1875" w:type="pct"/>
          </w:tcPr>
          <w:p w14:paraId="7ACA03C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2B2B2D1F" w14:textId="77777777" w:rsidTr="005A2200">
        <w:tc>
          <w:tcPr>
            <w:tcW w:w="1405" w:type="pct"/>
          </w:tcPr>
          <w:p w14:paraId="24BDB90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dasabuvir</w:t>
            </w:r>
          </w:p>
        </w:tc>
        <w:tc>
          <w:tcPr>
            <w:tcW w:w="1720" w:type="pct"/>
          </w:tcPr>
          <w:p w14:paraId="1D70E16B"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Interakcija se nije ispitivala. </w:t>
            </w:r>
          </w:p>
          <w:p w14:paraId="0E849A7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1026A3D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35685C6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doravirin</w:t>
            </w:r>
          </w:p>
          <w:p w14:paraId="7FAE9BF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tc>
        <w:tc>
          <w:tcPr>
            <w:tcW w:w="1875" w:type="pct"/>
          </w:tcPr>
          <w:p w14:paraId="68A2087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7E10B09D" w14:textId="77777777" w:rsidTr="005A2200">
        <w:tc>
          <w:tcPr>
            <w:tcW w:w="1405" w:type="pct"/>
          </w:tcPr>
          <w:p w14:paraId="326ED61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glekaprevir, pibrentasvir</w:t>
            </w:r>
          </w:p>
        </w:tc>
        <w:tc>
          <w:tcPr>
            <w:tcW w:w="1720" w:type="pct"/>
          </w:tcPr>
          <w:p w14:paraId="6117929B"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6060403D"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p>
          <w:p w14:paraId="678D4EA2"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Očekivano:</w:t>
            </w:r>
          </w:p>
          <w:p w14:paraId="330E7AF6"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doravirin</w:t>
            </w:r>
          </w:p>
          <w:p w14:paraId="4D900E9A" w14:textId="77777777" w:rsidR="00766713" w:rsidRPr="005A2200" w:rsidRDefault="00766713" w:rsidP="005A2200">
            <w:pPr>
              <w:widowControl w:val="0"/>
              <w:tabs>
                <w:tab w:val="left" w:pos="284"/>
              </w:tabs>
              <w:autoSpaceDE w:val="0"/>
              <w:autoSpaceDN w:val="0"/>
              <w:adjustRightInd w:val="0"/>
              <w:jc w:val="both"/>
              <w:rPr>
                <w:rFonts w:asciiTheme="majorBidi" w:eastAsia="MS Gothic" w:hAnsiTheme="majorBidi" w:cstheme="majorBidi"/>
                <w:sz w:val="22"/>
                <w:szCs w:val="22"/>
                <w:lang w:val="sr-Latn-ME" w:eastAsia="ja-JP"/>
              </w:rPr>
            </w:pPr>
            <w:r w:rsidRPr="005A2200">
              <w:rPr>
                <w:rFonts w:asciiTheme="majorBidi" w:hAnsiTheme="majorBidi" w:cstheme="majorBidi"/>
                <w:sz w:val="22"/>
                <w:szCs w:val="22"/>
                <w:lang w:val="sr-Latn-ME"/>
              </w:rPr>
              <w:t>(inhibicija CYP3A)</w:t>
            </w:r>
          </w:p>
        </w:tc>
        <w:tc>
          <w:tcPr>
            <w:tcW w:w="1875" w:type="pct"/>
          </w:tcPr>
          <w:p w14:paraId="2A8CFE9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495B6E31" w14:textId="77777777" w:rsidTr="005A2200">
        <w:tc>
          <w:tcPr>
            <w:tcW w:w="1405" w:type="pct"/>
          </w:tcPr>
          <w:p w14:paraId="6154603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ribavirin</w:t>
            </w:r>
          </w:p>
        </w:tc>
        <w:tc>
          <w:tcPr>
            <w:tcW w:w="1720" w:type="pct"/>
          </w:tcPr>
          <w:p w14:paraId="7CFCB888"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06403857"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p>
          <w:p w14:paraId="68BE09B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5D86ABF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r w:rsidRPr="005A2200">
              <w:rPr>
                <w:rFonts w:asciiTheme="majorBidi" w:hAnsiTheme="majorBidi" w:cstheme="majorBidi"/>
                <w:sz w:val="22"/>
                <w:szCs w:val="22"/>
                <w:lang w:val="sr-Latn-ME"/>
              </w:rPr>
              <w:t>↔ doravirin</w:t>
            </w:r>
          </w:p>
        </w:tc>
        <w:tc>
          <w:tcPr>
            <w:tcW w:w="1875" w:type="pct"/>
          </w:tcPr>
          <w:p w14:paraId="127FBBF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195F2BAB" w14:textId="77777777" w:rsidTr="005A2200">
        <w:tc>
          <w:tcPr>
            <w:tcW w:w="0" w:type="auto"/>
            <w:gridSpan w:val="3"/>
            <w:vAlign w:val="center"/>
          </w:tcPr>
          <w:p w14:paraId="539F17C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Biljni preparati</w:t>
            </w:r>
          </w:p>
        </w:tc>
      </w:tr>
      <w:tr w:rsidR="00766713" w:rsidRPr="005A2200" w14:paraId="0DCCD11A" w14:textId="77777777" w:rsidTr="005A2200">
        <w:tc>
          <w:tcPr>
            <w:tcW w:w="1405" w:type="pct"/>
          </w:tcPr>
          <w:p w14:paraId="731B0FD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lastRenderedPageBreak/>
              <w:t>kantarion</w:t>
            </w:r>
          </w:p>
          <w:p w14:paraId="703AB6D0"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w:t>
            </w:r>
            <w:r w:rsidRPr="005A2200">
              <w:rPr>
                <w:rFonts w:asciiTheme="majorBidi" w:hAnsiTheme="majorBidi" w:cstheme="majorBidi"/>
                <w:i/>
                <w:sz w:val="22"/>
                <w:szCs w:val="22"/>
                <w:lang w:val="sr-Latn-ME"/>
              </w:rPr>
              <w:t>Hypericum perforatum</w:t>
            </w:r>
            <w:r w:rsidRPr="005A2200">
              <w:rPr>
                <w:rFonts w:asciiTheme="majorBidi" w:hAnsiTheme="majorBidi" w:cstheme="majorBidi"/>
                <w:sz w:val="22"/>
                <w:szCs w:val="22"/>
                <w:lang w:val="sr-Latn-ME"/>
              </w:rPr>
              <w:t>)</w:t>
            </w:r>
          </w:p>
          <w:p w14:paraId="17844D5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tc>
        <w:tc>
          <w:tcPr>
            <w:tcW w:w="1720" w:type="pct"/>
          </w:tcPr>
          <w:p w14:paraId="4998AFB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019AE66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2E85400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48F715A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bCs/>
                <w:sz w:val="22"/>
                <w:szCs w:val="22"/>
                <w:lang w:val="sr-Latn-ME"/>
              </w:rPr>
              <w:t>↓</w:t>
            </w:r>
            <w:r w:rsidRPr="005A2200">
              <w:rPr>
                <w:rFonts w:asciiTheme="majorBidi" w:hAnsiTheme="majorBidi" w:cstheme="majorBidi"/>
                <w:sz w:val="22"/>
                <w:szCs w:val="22"/>
                <w:lang w:val="sr-Latn-ME"/>
              </w:rPr>
              <w:t xml:space="preserve"> doravirin</w:t>
            </w:r>
          </w:p>
          <w:p w14:paraId="4A059DD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548502E4" w14:textId="1C98DE01"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Istovremena prim</w:t>
            </w:r>
            <w:r w:rsidR="00EB09F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je kontraindikovana.</w:t>
            </w:r>
          </w:p>
        </w:tc>
      </w:tr>
      <w:tr w:rsidR="00766713" w:rsidRPr="005A2200" w14:paraId="6499413D" w14:textId="77777777" w:rsidTr="005A2200">
        <w:tc>
          <w:tcPr>
            <w:tcW w:w="0" w:type="auto"/>
            <w:gridSpan w:val="3"/>
            <w:vAlign w:val="center"/>
            <w:hideMark/>
          </w:tcPr>
          <w:p w14:paraId="057E97FC" w14:textId="36AE994A"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Antivirotici za l</w:t>
            </w:r>
            <w:r w:rsidR="00392150"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ečenje HIV infekcije</w:t>
            </w:r>
          </w:p>
        </w:tc>
      </w:tr>
      <w:tr w:rsidR="00766713" w:rsidRPr="005A2200" w14:paraId="56A1BA13" w14:textId="77777777" w:rsidTr="005A2200">
        <w:tc>
          <w:tcPr>
            <w:tcW w:w="0" w:type="auto"/>
            <w:gridSpan w:val="3"/>
            <w:vAlign w:val="center"/>
          </w:tcPr>
          <w:p w14:paraId="66689ED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Inhibitori fuzije i ulaska u ćeliju</w:t>
            </w:r>
          </w:p>
        </w:tc>
      </w:tr>
      <w:tr w:rsidR="00766713" w:rsidRPr="005A2200" w14:paraId="66456EA8" w14:textId="77777777" w:rsidTr="005A2200">
        <w:tc>
          <w:tcPr>
            <w:tcW w:w="1405" w:type="pct"/>
          </w:tcPr>
          <w:p w14:paraId="156C584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enfuvirtid</w:t>
            </w:r>
          </w:p>
        </w:tc>
        <w:tc>
          <w:tcPr>
            <w:tcW w:w="1720" w:type="pct"/>
          </w:tcPr>
          <w:p w14:paraId="78843CF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0422C18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4466C86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362232D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59062B4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enfuviritid</w:t>
            </w:r>
          </w:p>
        </w:tc>
        <w:tc>
          <w:tcPr>
            <w:tcW w:w="1875" w:type="pct"/>
          </w:tcPr>
          <w:p w14:paraId="5CB6A78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04042041" w14:textId="77777777" w:rsidTr="005A2200">
        <w:tc>
          <w:tcPr>
            <w:tcW w:w="1405" w:type="pct"/>
          </w:tcPr>
          <w:p w14:paraId="10B31EF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maravirok</w:t>
            </w:r>
          </w:p>
        </w:tc>
        <w:tc>
          <w:tcPr>
            <w:tcW w:w="1720" w:type="pct"/>
          </w:tcPr>
          <w:p w14:paraId="42B7ADD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1B94EF3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3BA9F03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017142A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7116BDE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maravirok</w:t>
            </w:r>
          </w:p>
        </w:tc>
        <w:tc>
          <w:tcPr>
            <w:tcW w:w="1875" w:type="pct"/>
          </w:tcPr>
          <w:p w14:paraId="107F704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59815509" w14:textId="77777777" w:rsidTr="005A2200">
        <w:tc>
          <w:tcPr>
            <w:tcW w:w="0" w:type="auto"/>
            <w:gridSpan w:val="3"/>
            <w:vAlign w:val="center"/>
          </w:tcPr>
          <w:p w14:paraId="2D560EC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Inhibitori proteaze</w:t>
            </w:r>
          </w:p>
        </w:tc>
      </w:tr>
      <w:tr w:rsidR="00766713" w:rsidRPr="005A2200" w14:paraId="4FFBCA65" w14:textId="77777777" w:rsidTr="005A2200">
        <w:tc>
          <w:tcPr>
            <w:tcW w:w="1405" w:type="pct"/>
          </w:tcPr>
          <w:p w14:paraId="51A8205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inhibitori proteaze pojačani ritonavirom</w:t>
            </w:r>
            <w:r w:rsidRPr="005A2200">
              <w:rPr>
                <w:rFonts w:asciiTheme="majorBidi" w:hAnsiTheme="majorBidi" w:cstheme="majorBidi"/>
                <w:sz w:val="22"/>
                <w:szCs w:val="22"/>
                <w:vertAlign w:val="superscript"/>
                <w:lang w:val="sr-Latn-ME"/>
              </w:rPr>
              <w:t>†</w:t>
            </w:r>
          </w:p>
          <w:p w14:paraId="39ECD2C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(atazanavir, darunavir, fosamprenavir, indinavir, lopinavir, sakvinavir, tipranavir)</w:t>
            </w:r>
          </w:p>
        </w:tc>
        <w:tc>
          <w:tcPr>
            <w:tcW w:w="1720" w:type="pct"/>
          </w:tcPr>
          <w:p w14:paraId="4D5E6F0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3AD6913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548D1EB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44DFBCA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5656182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CYP3A)</w:t>
            </w:r>
          </w:p>
          <w:p w14:paraId="3FE9922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p>
          <w:p w14:paraId="7E995B1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pojačani inhibitori proteaze</w:t>
            </w:r>
          </w:p>
        </w:tc>
        <w:tc>
          <w:tcPr>
            <w:tcW w:w="1875" w:type="pct"/>
          </w:tcPr>
          <w:p w14:paraId="5C47F7D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1431BBB3" w14:textId="77777777" w:rsidTr="005A2200">
        <w:tc>
          <w:tcPr>
            <w:tcW w:w="1405" w:type="pct"/>
          </w:tcPr>
          <w:p w14:paraId="099075F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inhibitori proteaze pojačani kobicistatom</w:t>
            </w:r>
          </w:p>
          <w:p w14:paraId="060B109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(darunavir, atazanavir)</w:t>
            </w:r>
          </w:p>
        </w:tc>
        <w:tc>
          <w:tcPr>
            <w:tcW w:w="1720" w:type="pct"/>
          </w:tcPr>
          <w:p w14:paraId="7188A56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223F63B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74E1864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0AEA068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4F081DC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CYP3A)</w:t>
            </w:r>
          </w:p>
          <w:p w14:paraId="056AA3B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p>
          <w:p w14:paraId="6716C60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pojačani inhibitori proteaze</w:t>
            </w:r>
          </w:p>
        </w:tc>
        <w:tc>
          <w:tcPr>
            <w:tcW w:w="1875" w:type="pct"/>
          </w:tcPr>
          <w:p w14:paraId="6FB880C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6C66B3F3" w14:textId="77777777" w:rsidTr="005A2200">
        <w:tc>
          <w:tcPr>
            <w:tcW w:w="0" w:type="auto"/>
            <w:gridSpan w:val="3"/>
            <w:vAlign w:val="center"/>
          </w:tcPr>
          <w:p w14:paraId="52FA6E4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Inhibitori prenosa lanca integraze</w:t>
            </w:r>
          </w:p>
        </w:tc>
      </w:tr>
      <w:tr w:rsidR="00766713" w:rsidRPr="005A2200" w14:paraId="2854198A" w14:textId="77777777" w:rsidTr="005A2200">
        <w:tc>
          <w:tcPr>
            <w:tcW w:w="1405" w:type="pct"/>
            <w:hideMark/>
          </w:tcPr>
          <w:p w14:paraId="3B1256A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dolutegravir</w:t>
            </w:r>
          </w:p>
          <w:p w14:paraId="49933BB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(50 mg QD,</w:t>
            </w:r>
          </w:p>
          <w:p w14:paraId="3067407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200 mg QD)</w:t>
            </w:r>
          </w:p>
        </w:tc>
        <w:tc>
          <w:tcPr>
            <w:tcW w:w="1720" w:type="pct"/>
            <w:hideMark/>
          </w:tcPr>
          <w:p w14:paraId="0420CC4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794A933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1,00 (0,89; 1,12)</w:t>
            </w:r>
          </w:p>
          <w:p w14:paraId="3CFE9EBD"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1,06 (0,88; 1,28)</w:t>
            </w:r>
          </w:p>
          <w:p w14:paraId="0F1C98F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0,98 (0,88; 1,09)</w:t>
            </w:r>
          </w:p>
          <w:p w14:paraId="57243F0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2493A5F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dolutegravir</w:t>
            </w:r>
          </w:p>
          <w:p w14:paraId="4F53098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1,36 (1,15; 1,62)</w:t>
            </w:r>
          </w:p>
          <w:p w14:paraId="3FA1C2E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1,43 (1,20; 1,71)</w:t>
            </w:r>
          </w:p>
          <w:p w14:paraId="3BC00F7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1,27 (1,06; 1,53)</w:t>
            </w:r>
          </w:p>
          <w:p w14:paraId="521DE40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BCRP</w:t>
            </w:r>
            <w:r w:rsidRPr="005A2200">
              <w:rPr>
                <w:rFonts w:asciiTheme="majorBidi" w:hAnsiTheme="majorBidi" w:cstheme="majorBidi"/>
                <w:sz w:val="22"/>
                <w:szCs w:val="22"/>
                <w:lang w:val="sr-Latn-ME"/>
              </w:rPr>
              <w:noBreakHyphen/>
              <w:t>a)</w:t>
            </w:r>
          </w:p>
        </w:tc>
        <w:tc>
          <w:tcPr>
            <w:tcW w:w="1875" w:type="pct"/>
          </w:tcPr>
          <w:p w14:paraId="5FC1C94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73F27922" w14:textId="77777777" w:rsidTr="005A2200">
        <w:tc>
          <w:tcPr>
            <w:tcW w:w="1405" w:type="pct"/>
          </w:tcPr>
          <w:p w14:paraId="3D648E10"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raltegravir</w:t>
            </w:r>
          </w:p>
        </w:tc>
        <w:tc>
          <w:tcPr>
            <w:tcW w:w="1720" w:type="pct"/>
          </w:tcPr>
          <w:p w14:paraId="55AAC7D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13C2512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20AF7C1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07393A8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3988212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raltegravir</w:t>
            </w:r>
          </w:p>
        </w:tc>
        <w:tc>
          <w:tcPr>
            <w:tcW w:w="1875" w:type="pct"/>
          </w:tcPr>
          <w:p w14:paraId="366C4DD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163D6874" w14:textId="77777777" w:rsidTr="005A2200">
        <w:tc>
          <w:tcPr>
            <w:tcW w:w="1405" w:type="pct"/>
          </w:tcPr>
          <w:p w14:paraId="381DF34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elvitegravir pojačan ritonavirom</w:t>
            </w:r>
            <w:r w:rsidRPr="005A2200">
              <w:rPr>
                <w:rFonts w:asciiTheme="majorBidi" w:hAnsiTheme="majorBidi" w:cstheme="majorBidi"/>
                <w:sz w:val="22"/>
                <w:szCs w:val="22"/>
                <w:vertAlign w:val="superscript"/>
                <w:lang w:val="sr-Latn-ME"/>
              </w:rPr>
              <w:t>†</w:t>
            </w:r>
          </w:p>
        </w:tc>
        <w:tc>
          <w:tcPr>
            <w:tcW w:w="1720" w:type="pct"/>
          </w:tcPr>
          <w:p w14:paraId="7009DFA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45D5D7B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37C2785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3A8FF6D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3FFDE11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CYP3A)</w:t>
            </w:r>
          </w:p>
          <w:p w14:paraId="09B0E54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6259B2C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elvitegravir</w:t>
            </w:r>
          </w:p>
        </w:tc>
        <w:tc>
          <w:tcPr>
            <w:tcW w:w="1875" w:type="pct"/>
          </w:tcPr>
          <w:p w14:paraId="262C8D8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lastRenderedPageBreak/>
              <w:t>Nije potrebno prilagođavati dozu.</w:t>
            </w:r>
          </w:p>
        </w:tc>
      </w:tr>
      <w:tr w:rsidR="00766713" w:rsidRPr="005A2200" w14:paraId="35FED452" w14:textId="77777777" w:rsidTr="005A2200">
        <w:tc>
          <w:tcPr>
            <w:tcW w:w="1405" w:type="pct"/>
          </w:tcPr>
          <w:p w14:paraId="4CDCF4C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elvitegravir pojačan kobicistatom</w:t>
            </w:r>
          </w:p>
        </w:tc>
        <w:tc>
          <w:tcPr>
            <w:tcW w:w="1720" w:type="pct"/>
          </w:tcPr>
          <w:p w14:paraId="53A7001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48BC042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6FF7CE5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10B3C3B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5B67EA5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CYP3A)</w:t>
            </w:r>
          </w:p>
          <w:p w14:paraId="3C96FC6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elvitegravir</w:t>
            </w:r>
          </w:p>
        </w:tc>
        <w:tc>
          <w:tcPr>
            <w:tcW w:w="1875" w:type="pct"/>
          </w:tcPr>
          <w:p w14:paraId="075DD69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6261998A" w14:textId="77777777" w:rsidTr="005A2200">
        <w:tc>
          <w:tcPr>
            <w:tcW w:w="0" w:type="auto"/>
            <w:gridSpan w:val="3"/>
            <w:vAlign w:val="center"/>
          </w:tcPr>
          <w:p w14:paraId="0C2429BB" w14:textId="3DDAD616"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Nukleozidni inhibitori reverzne transkriptaze</w:t>
            </w:r>
            <w:r w:rsidR="00367D34" w:rsidRPr="005A2200">
              <w:rPr>
                <w:rFonts w:asciiTheme="majorBidi" w:hAnsiTheme="majorBidi" w:cstheme="majorBidi"/>
                <w:sz w:val="22"/>
                <w:szCs w:val="22"/>
                <w:lang w:val="sr-Latn-ME"/>
              </w:rPr>
              <w:t xml:space="preserve"> </w:t>
            </w:r>
            <w:r w:rsidR="002D2D5A" w:rsidRPr="005A2200">
              <w:rPr>
                <w:sz w:val="22"/>
                <w:lang w:val="sr-Latn-ME"/>
              </w:rPr>
              <w:t>(NRTI)</w:t>
            </w:r>
          </w:p>
        </w:tc>
      </w:tr>
      <w:tr w:rsidR="00766713" w:rsidRPr="005A2200" w14:paraId="114B1B0D" w14:textId="77777777" w:rsidTr="005A2200">
        <w:tc>
          <w:tcPr>
            <w:tcW w:w="1405" w:type="pct"/>
          </w:tcPr>
          <w:p w14:paraId="554C1C3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tenofovirdizoproksil</w:t>
            </w:r>
          </w:p>
          <w:p w14:paraId="63E38F6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(245 mg QD,</w:t>
            </w:r>
          </w:p>
          <w:p w14:paraId="2C01FE7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100 mg SD)</w:t>
            </w:r>
          </w:p>
        </w:tc>
        <w:tc>
          <w:tcPr>
            <w:tcW w:w="1720" w:type="pct"/>
          </w:tcPr>
          <w:p w14:paraId="638C326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1477BB4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0,95 (0,80; 1,12)</w:t>
            </w:r>
          </w:p>
          <w:p w14:paraId="50590676"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0,80 (0,64; 1,01)</w:t>
            </w:r>
          </w:p>
          <w:p w14:paraId="0259AB0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0,94 (0,78; 1,12)</w:t>
            </w:r>
          </w:p>
        </w:tc>
        <w:tc>
          <w:tcPr>
            <w:tcW w:w="1875" w:type="pct"/>
          </w:tcPr>
          <w:p w14:paraId="4502A39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003E122F" w14:textId="77777777" w:rsidTr="005A2200">
        <w:tc>
          <w:tcPr>
            <w:tcW w:w="1405" w:type="pct"/>
          </w:tcPr>
          <w:p w14:paraId="09596C8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lamivudin + tenofovirdizoproksil</w:t>
            </w:r>
          </w:p>
          <w:p w14:paraId="46A4863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(lamivudin 300 mg SD + tenofovirdizoproksil 245 mg SD,</w:t>
            </w:r>
          </w:p>
          <w:p w14:paraId="30BD3D9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100 mg SD)</w:t>
            </w:r>
          </w:p>
        </w:tc>
        <w:tc>
          <w:tcPr>
            <w:tcW w:w="1720" w:type="pct"/>
          </w:tcPr>
          <w:p w14:paraId="66F1061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4782EB8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0,96 (0,87; 1,06)</w:t>
            </w:r>
          </w:p>
          <w:p w14:paraId="0492981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0,97 (0,88; 1,07)</w:t>
            </w:r>
          </w:p>
          <w:p w14:paraId="06E0D85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0,94 (0,83; 1,06)</w:t>
            </w:r>
          </w:p>
          <w:p w14:paraId="7AD72C8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2BD360F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lamivudin</w:t>
            </w:r>
          </w:p>
          <w:p w14:paraId="673B2F8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0,94 (0,88; 1,00)</w:t>
            </w:r>
          </w:p>
          <w:p w14:paraId="649A50E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0,92 (0,81; 1,05)</w:t>
            </w:r>
          </w:p>
          <w:p w14:paraId="0F1EEDD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3095FF02" w14:textId="08994007" w:rsidR="00766713" w:rsidRPr="005A2200" w:rsidRDefault="00EE67D5"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eastAsia="Symbol" w:hAnsiTheme="majorBidi" w:cstheme="majorBidi"/>
                <w:sz w:val="22"/>
                <w:szCs w:val="22"/>
                <w:lang w:val="sr-Latn-ME"/>
              </w:rPr>
              <w:t>↔</w:t>
            </w:r>
            <w:r w:rsidR="00766713" w:rsidRPr="005A2200">
              <w:rPr>
                <w:rFonts w:asciiTheme="majorBidi" w:hAnsiTheme="majorBidi" w:cstheme="majorBidi"/>
                <w:sz w:val="22"/>
                <w:szCs w:val="22"/>
                <w:lang w:val="sr-Latn-ME"/>
              </w:rPr>
              <w:t xml:space="preserve"> tenofovir</w:t>
            </w:r>
          </w:p>
          <w:p w14:paraId="0564BD4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1,11 (0,97; 1,28)</w:t>
            </w:r>
          </w:p>
          <w:p w14:paraId="04BE269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1,17 (0,96; 1,42)</w:t>
            </w:r>
          </w:p>
        </w:tc>
        <w:tc>
          <w:tcPr>
            <w:tcW w:w="1875" w:type="pct"/>
          </w:tcPr>
          <w:p w14:paraId="0DDA06A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19110796" w14:textId="77777777" w:rsidTr="005A2200">
        <w:tc>
          <w:tcPr>
            <w:tcW w:w="1405" w:type="pct"/>
          </w:tcPr>
          <w:p w14:paraId="684C3C8F"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abakavir</w:t>
            </w:r>
          </w:p>
        </w:tc>
        <w:tc>
          <w:tcPr>
            <w:tcW w:w="1720" w:type="pct"/>
          </w:tcPr>
          <w:p w14:paraId="4FBC2F9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017A7C7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5305951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183514C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476B0CE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abakavir</w:t>
            </w:r>
          </w:p>
        </w:tc>
        <w:tc>
          <w:tcPr>
            <w:tcW w:w="1875" w:type="pct"/>
          </w:tcPr>
          <w:p w14:paraId="70DAE85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23B53E11" w14:textId="77777777" w:rsidTr="005A2200">
        <w:tc>
          <w:tcPr>
            <w:tcW w:w="1405" w:type="pct"/>
          </w:tcPr>
          <w:p w14:paraId="3D5CCA3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emtricitabin</w:t>
            </w:r>
          </w:p>
        </w:tc>
        <w:tc>
          <w:tcPr>
            <w:tcW w:w="1720" w:type="pct"/>
          </w:tcPr>
          <w:p w14:paraId="2BC5F60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647C027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0476A71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56F4980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00796F1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emtricitabin</w:t>
            </w:r>
          </w:p>
        </w:tc>
        <w:tc>
          <w:tcPr>
            <w:tcW w:w="1875" w:type="pct"/>
          </w:tcPr>
          <w:p w14:paraId="4DA73BF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2E21D6CA" w14:textId="77777777" w:rsidTr="005A2200">
        <w:tc>
          <w:tcPr>
            <w:tcW w:w="1405" w:type="pct"/>
          </w:tcPr>
          <w:p w14:paraId="7B1AD95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tenofoviralafenamid</w:t>
            </w:r>
          </w:p>
        </w:tc>
        <w:tc>
          <w:tcPr>
            <w:tcW w:w="1720" w:type="pct"/>
          </w:tcPr>
          <w:p w14:paraId="5011675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46B5D15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482BD50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549988F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2128A13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tenofoviralafenamid</w:t>
            </w:r>
          </w:p>
        </w:tc>
        <w:tc>
          <w:tcPr>
            <w:tcW w:w="1875" w:type="pct"/>
          </w:tcPr>
          <w:p w14:paraId="2EBD458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3BD7BD2D" w14:textId="77777777" w:rsidTr="005A2200">
        <w:tc>
          <w:tcPr>
            <w:tcW w:w="0" w:type="auto"/>
            <w:gridSpan w:val="3"/>
            <w:vAlign w:val="center"/>
          </w:tcPr>
          <w:p w14:paraId="6339CF6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Imunosupresivi</w:t>
            </w:r>
          </w:p>
        </w:tc>
      </w:tr>
      <w:tr w:rsidR="00766713" w:rsidRPr="005A2200" w14:paraId="664E9C88" w14:textId="77777777" w:rsidTr="005A2200">
        <w:tc>
          <w:tcPr>
            <w:tcW w:w="1405" w:type="pct"/>
          </w:tcPr>
          <w:p w14:paraId="5E8137BF"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takrolimus</w:t>
            </w:r>
          </w:p>
          <w:p w14:paraId="1E44706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sirolimus</w:t>
            </w:r>
          </w:p>
        </w:tc>
        <w:tc>
          <w:tcPr>
            <w:tcW w:w="1720" w:type="pct"/>
          </w:tcPr>
          <w:p w14:paraId="42990D5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Interakcija se nije ispitivala. </w:t>
            </w:r>
          </w:p>
          <w:p w14:paraId="04A187F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43EAD66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232FA03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doravirin</w:t>
            </w:r>
          </w:p>
          <w:p w14:paraId="7522D278"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 takrolimus, sirolimus</w:t>
            </w:r>
          </w:p>
          <w:p w14:paraId="53F13A0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684C293C" w14:textId="1E311E9F"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Potrebno je pratiti koncentracije takrolimusa i sirolimusa u krvi jer će možda biti potrebno prilagoditi doze tih l</w:t>
            </w:r>
            <w:r w:rsidR="001F0BF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ekova. </w:t>
            </w:r>
          </w:p>
          <w:p w14:paraId="4CD6C4F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tc>
      </w:tr>
      <w:tr w:rsidR="00766713" w:rsidRPr="005A2200" w14:paraId="262E094B" w14:textId="77777777" w:rsidTr="005A2200">
        <w:tc>
          <w:tcPr>
            <w:tcW w:w="0" w:type="auto"/>
            <w:gridSpan w:val="3"/>
            <w:vAlign w:val="center"/>
          </w:tcPr>
          <w:p w14:paraId="70D7E9B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Inhibitori kinaze</w:t>
            </w:r>
          </w:p>
        </w:tc>
      </w:tr>
      <w:tr w:rsidR="00766713" w:rsidRPr="005A2200" w14:paraId="4931AF0D" w14:textId="77777777" w:rsidTr="005A2200">
        <w:tc>
          <w:tcPr>
            <w:tcW w:w="1405" w:type="pct"/>
          </w:tcPr>
          <w:p w14:paraId="4F2746CE"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dabrafenib</w:t>
            </w:r>
          </w:p>
        </w:tc>
        <w:tc>
          <w:tcPr>
            <w:tcW w:w="1720" w:type="pct"/>
          </w:tcPr>
          <w:p w14:paraId="30D42E6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57049F3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675C3E7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58D469DD"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 doravirin</w:t>
            </w:r>
          </w:p>
          <w:p w14:paraId="67EE23F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35E5BA87" w14:textId="1B22DF62"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Potrebno je izb</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egavati istovremenu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enu. Ako se istovremena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ne može izb</w:t>
            </w:r>
            <w:r w:rsidR="002329C4"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eći, treba uzimati jednu tabletu doravirina dva puta dnevno (u razmaku od </w:t>
            </w:r>
            <w:r w:rsidRPr="005A2200">
              <w:rPr>
                <w:rFonts w:asciiTheme="majorBidi" w:hAnsiTheme="majorBidi" w:cstheme="majorBidi"/>
                <w:sz w:val="22"/>
                <w:szCs w:val="22"/>
                <w:lang w:val="sr-Latn-ME"/>
              </w:rPr>
              <w:lastRenderedPageBreak/>
              <w:t>približno 12 sati).</w:t>
            </w:r>
          </w:p>
        </w:tc>
      </w:tr>
      <w:tr w:rsidR="00766713" w:rsidRPr="005A2200" w14:paraId="569E8466" w14:textId="77777777" w:rsidTr="005A2200">
        <w:tc>
          <w:tcPr>
            <w:tcW w:w="0" w:type="auto"/>
            <w:gridSpan w:val="3"/>
            <w:vAlign w:val="center"/>
          </w:tcPr>
          <w:p w14:paraId="12154FA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lastRenderedPageBreak/>
              <w:t>Opioidni analgetici</w:t>
            </w:r>
          </w:p>
        </w:tc>
      </w:tr>
      <w:tr w:rsidR="00766713" w:rsidRPr="005A2200" w14:paraId="21AEA65C" w14:textId="77777777" w:rsidTr="005A2200">
        <w:tc>
          <w:tcPr>
            <w:tcW w:w="1405" w:type="pct"/>
          </w:tcPr>
          <w:p w14:paraId="1A4A341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metadon</w:t>
            </w:r>
          </w:p>
          <w:p w14:paraId="2BBE2E6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individualna doza od 20 </w:t>
            </w:r>
            <w:r w:rsidRPr="005A2200">
              <w:rPr>
                <w:rFonts w:asciiTheme="majorBidi" w:hAnsiTheme="majorBidi" w:cstheme="majorBidi"/>
                <w:sz w:val="22"/>
                <w:szCs w:val="22"/>
                <w:lang w:val="sr-Latn-ME"/>
              </w:rPr>
              <w:noBreakHyphen/>
              <w:t> 200 mg QD,</w:t>
            </w:r>
          </w:p>
          <w:p w14:paraId="3A07E90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100 mg QD</w:t>
            </w:r>
          </w:p>
        </w:tc>
        <w:tc>
          <w:tcPr>
            <w:tcW w:w="1720" w:type="pct"/>
          </w:tcPr>
          <w:p w14:paraId="5C83C52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bCs/>
                <w:sz w:val="22"/>
                <w:szCs w:val="22"/>
                <w:lang w:val="sr-Latn-ME"/>
              </w:rPr>
              <w:t>↓ </w:t>
            </w:r>
            <w:r w:rsidRPr="005A2200">
              <w:rPr>
                <w:rFonts w:asciiTheme="majorBidi" w:hAnsiTheme="majorBidi" w:cstheme="majorBidi"/>
                <w:sz w:val="22"/>
                <w:szCs w:val="22"/>
                <w:lang w:val="sr-Latn-ME"/>
              </w:rPr>
              <w:t>doravirin</w:t>
            </w:r>
          </w:p>
          <w:p w14:paraId="462F3C9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0,74 (0,61; 0,90)</w:t>
            </w:r>
          </w:p>
          <w:p w14:paraId="1D334086"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0,76 (0,63; 0,91)</w:t>
            </w:r>
          </w:p>
          <w:p w14:paraId="523F10D9"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24</w:t>
            </w:r>
            <w:r w:rsidRPr="005A2200">
              <w:rPr>
                <w:rFonts w:asciiTheme="majorBidi" w:hAnsiTheme="majorBidi" w:cstheme="majorBidi"/>
                <w:sz w:val="22"/>
                <w:szCs w:val="22"/>
                <w:lang w:val="sr-Latn-ME"/>
              </w:rPr>
              <w:t xml:space="preserve"> 0,80 (0,63; 1,03)</w:t>
            </w:r>
          </w:p>
          <w:p w14:paraId="58762933"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eastAsia="ja-JP"/>
              </w:rPr>
            </w:pPr>
          </w:p>
          <w:p w14:paraId="4817779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R</w:t>
            </w:r>
            <w:r w:rsidRPr="005A2200">
              <w:rPr>
                <w:rFonts w:asciiTheme="majorBidi" w:hAnsiTheme="majorBidi" w:cstheme="majorBidi"/>
                <w:sz w:val="22"/>
                <w:szCs w:val="22"/>
                <w:lang w:val="sr-Latn-ME"/>
              </w:rPr>
              <w:noBreakHyphen/>
              <w:t>metadon</w:t>
            </w:r>
          </w:p>
          <w:p w14:paraId="4753FBE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0,95 (0,90; 1,01)</w:t>
            </w:r>
          </w:p>
          <w:p w14:paraId="7BF3A62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0,98 (0,93; 1,03)</w:t>
            </w:r>
          </w:p>
          <w:p w14:paraId="4D3A332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0,95 (0,88; 1,03)</w:t>
            </w:r>
          </w:p>
          <w:p w14:paraId="4CCA663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0BC04B8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S</w:t>
            </w:r>
            <w:r w:rsidRPr="005A2200">
              <w:rPr>
                <w:rFonts w:asciiTheme="majorBidi" w:hAnsiTheme="majorBidi" w:cstheme="majorBidi"/>
                <w:sz w:val="22"/>
                <w:szCs w:val="22"/>
                <w:lang w:val="sr-Latn-ME"/>
              </w:rPr>
              <w:noBreakHyphen/>
              <w:t>metadon</w:t>
            </w:r>
          </w:p>
          <w:p w14:paraId="6B1D99E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0,98 (0,90; 1,06)</w:t>
            </w:r>
          </w:p>
          <w:p w14:paraId="69A657C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0,97 (0,91; 1,04)</w:t>
            </w:r>
          </w:p>
          <w:p w14:paraId="2D819EB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0,97 (0,86; 1,10)</w:t>
            </w:r>
          </w:p>
        </w:tc>
        <w:tc>
          <w:tcPr>
            <w:tcW w:w="1875" w:type="pct"/>
          </w:tcPr>
          <w:p w14:paraId="60B1D7BF"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2224700C" w14:textId="77777777" w:rsidTr="005A2200">
        <w:tc>
          <w:tcPr>
            <w:tcW w:w="1405" w:type="pct"/>
          </w:tcPr>
          <w:p w14:paraId="4430E77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buprenorfin</w:t>
            </w:r>
          </w:p>
          <w:p w14:paraId="232BD9F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nalokson</w:t>
            </w:r>
          </w:p>
        </w:tc>
        <w:tc>
          <w:tcPr>
            <w:tcW w:w="1720" w:type="pct"/>
          </w:tcPr>
          <w:p w14:paraId="645541C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35CA3F5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2AED060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620E474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buprenorfin</w:t>
            </w:r>
          </w:p>
          <w:p w14:paraId="58D1B38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nalokson</w:t>
            </w:r>
          </w:p>
        </w:tc>
        <w:tc>
          <w:tcPr>
            <w:tcW w:w="1875" w:type="pct"/>
          </w:tcPr>
          <w:p w14:paraId="7FE227F9"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5F3A4C83" w14:textId="77777777" w:rsidTr="005A2200">
        <w:tc>
          <w:tcPr>
            <w:tcW w:w="0" w:type="auto"/>
            <w:gridSpan w:val="3"/>
            <w:vAlign w:val="center"/>
          </w:tcPr>
          <w:p w14:paraId="6AEB481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Oralni kontraceptivi</w:t>
            </w:r>
          </w:p>
        </w:tc>
      </w:tr>
      <w:tr w:rsidR="00766713" w:rsidRPr="005A2200" w14:paraId="2C946BA3" w14:textId="77777777" w:rsidTr="005A2200">
        <w:tc>
          <w:tcPr>
            <w:tcW w:w="1405" w:type="pct"/>
          </w:tcPr>
          <w:p w14:paraId="5A961E9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etinilestradiol</w:t>
            </w:r>
            <w:r w:rsidRPr="005A2200" w:rsidDel="00C3631F">
              <w:rPr>
                <w:rFonts w:asciiTheme="majorBidi" w:hAnsiTheme="majorBidi" w:cstheme="majorBidi"/>
                <w:sz w:val="22"/>
                <w:szCs w:val="22"/>
                <w:lang w:val="sr-Latn-ME"/>
              </w:rPr>
              <w:t xml:space="preserve"> </w:t>
            </w:r>
            <w:r w:rsidRPr="005A2200">
              <w:rPr>
                <w:rFonts w:asciiTheme="majorBidi" w:hAnsiTheme="majorBidi" w:cstheme="majorBidi"/>
                <w:sz w:val="22"/>
                <w:szCs w:val="22"/>
                <w:lang w:val="sr-Latn-ME"/>
              </w:rPr>
              <w:t>0,03 mg/levonorgestrel 0,15 mg SD,</w:t>
            </w:r>
          </w:p>
          <w:p w14:paraId="4C219C3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doravirin 100 mg QD</w:t>
            </w:r>
          </w:p>
        </w:tc>
        <w:tc>
          <w:tcPr>
            <w:tcW w:w="1720" w:type="pct"/>
          </w:tcPr>
          <w:p w14:paraId="4072DDBF"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etinilestradiol</w:t>
            </w:r>
          </w:p>
          <w:p w14:paraId="11B1B43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0,98 (0,94; 1,03)</w:t>
            </w:r>
          </w:p>
          <w:p w14:paraId="695B74ED"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0,83 (0,80; 0,87)</w:t>
            </w:r>
          </w:p>
          <w:p w14:paraId="74A184D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eastAsia="ja-JP"/>
              </w:rPr>
            </w:pPr>
          </w:p>
          <w:p w14:paraId="7372C0D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levonorgestrel</w:t>
            </w:r>
          </w:p>
          <w:p w14:paraId="145BE42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1,21 (1,14; 1,28)</w:t>
            </w:r>
          </w:p>
          <w:p w14:paraId="244B5D2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0,96 (0,88; 1,05)</w:t>
            </w:r>
          </w:p>
        </w:tc>
        <w:tc>
          <w:tcPr>
            <w:tcW w:w="1875" w:type="pct"/>
          </w:tcPr>
          <w:p w14:paraId="7A410CC9"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0FFD203C" w14:textId="77777777" w:rsidTr="005A2200">
        <w:tc>
          <w:tcPr>
            <w:tcW w:w="1405" w:type="pct"/>
          </w:tcPr>
          <w:p w14:paraId="54F2265A" w14:textId="77777777" w:rsidR="00766713" w:rsidRPr="005A2200" w:rsidDel="005D1D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norgestimat/etinilestradiol</w:t>
            </w:r>
          </w:p>
        </w:tc>
        <w:tc>
          <w:tcPr>
            <w:tcW w:w="1720" w:type="pct"/>
          </w:tcPr>
          <w:p w14:paraId="68B6383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31986B6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3F5E2AAF"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1A985F9B" w14:textId="7A39F4ED" w:rsidR="00766713" w:rsidRPr="005A2200" w:rsidRDefault="00EE67D5" w:rsidP="005A2200">
            <w:pPr>
              <w:widowControl w:val="0"/>
              <w:tabs>
                <w:tab w:val="left" w:pos="284"/>
              </w:tabs>
              <w:jc w:val="both"/>
              <w:rPr>
                <w:rFonts w:asciiTheme="majorBidi" w:hAnsiTheme="majorBidi" w:cstheme="majorBidi"/>
                <w:sz w:val="22"/>
                <w:szCs w:val="22"/>
                <w:lang w:val="sr-Latn-ME"/>
              </w:rPr>
            </w:pPr>
            <w:r w:rsidRPr="005A2200">
              <w:rPr>
                <w:rFonts w:asciiTheme="majorBidi" w:eastAsia="Symbol" w:hAnsiTheme="majorBidi" w:cstheme="majorBidi"/>
                <w:sz w:val="22"/>
                <w:szCs w:val="22"/>
                <w:lang w:val="sr-Latn-ME"/>
              </w:rPr>
              <w:t>↔</w:t>
            </w:r>
            <w:r w:rsidR="00766713" w:rsidRPr="005A2200">
              <w:rPr>
                <w:rFonts w:asciiTheme="majorBidi" w:hAnsiTheme="majorBidi" w:cstheme="majorBidi"/>
                <w:sz w:val="22"/>
                <w:szCs w:val="22"/>
                <w:lang w:val="sr-Latn-ME"/>
              </w:rPr>
              <w:t xml:space="preserve"> norgestimat/etinilestradiol</w:t>
            </w:r>
          </w:p>
        </w:tc>
        <w:tc>
          <w:tcPr>
            <w:tcW w:w="1875" w:type="pct"/>
          </w:tcPr>
          <w:p w14:paraId="6298839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78C21A6B" w14:textId="77777777" w:rsidTr="005A2200">
        <w:tc>
          <w:tcPr>
            <w:tcW w:w="0" w:type="auto"/>
            <w:gridSpan w:val="3"/>
            <w:vAlign w:val="center"/>
          </w:tcPr>
          <w:p w14:paraId="7CCA523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Farmakokinetički pojačivači</w:t>
            </w:r>
          </w:p>
        </w:tc>
      </w:tr>
      <w:tr w:rsidR="00766713" w:rsidRPr="005A2200" w14:paraId="1E5E4BA6" w14:textId="77777777" w:rsidTr="005A2200">
        <w:tc>
          <w:tcPr>
            <w:tcW w:w="1405" w:type="pct"/>
          </w:tcPr>
          <w:p w14:paraId="497C6B7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ritonavir</w:t>
            </w:r>
          </w:p>
          <w:p w14:paraId="4534748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(100 mg BID,</w:t>
            </w:r>
          </w:p>
          <w:p w14:paraId="08680C6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50 mg SD)</w:t>
            </w:r>
          </w:p>
        </w:tc>
        <w:tc>
          <w:tcPr>
            <w:tcW w:w="1720" w:type="pct"/>
          </w:tcPr>
          <w:p w14:paraId="1AB0BAB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08F6C1A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3,54 (3,04; 4,11)</w:t>
            </w:r>
          </w:p>
          <w:p w14:paraId="7D70546C"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bCs/>
                <w:sz w:val="22"/>
                <w:szCs w:val="22"/>
                <w:vertAlign w:val="subscript"/>
                <w:lang w:val="sr-Latn-ME"/>
              </w:rPr>
              <w:t>max</w:t>
            </w:r>
            <w:r w:rsidRPr="005A2200">
              <w:rPr>
                <w:rFonts w:asciiTheme="majorBidi" w:hAnsiTheme="majorBidi" w:cstheme="majorBidi"/>
                <w:sz w:val="22"/>
                <w:szCs w:val="22"/>
                <w:lang w:val="sr-Latn-ME"/>
              </w:rPr>
              <w:t xml:space="preserve"> 1,31 (1,17; 1,46)</w:t>
            </w:r>
          </w:p>
          <w:p w14:paraId="59639FE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2,91 (2,33; 3,62)</w:t>
            </w:r>
          </w:p>
          <w:p w14:paraId="5DF9634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CYP3A)</w:t>
            </w:r>
          </w:p>
        </w:tc>
        <w:tc>
          <w:tcPr>
            <w:tcW w:w="1875" w:type="pct"/>
          </w:tcPr>
          <w:p w14:paraId="4361EA1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2AF35B6D" w14:textId="77777777" w:rsidTr="005A2200">
        <w:tc>
          <w:tcPr>
            <w:tcW w:w="1405" w:type="pct"/>
          </w:tcPr>
          <w:p w14:paraId="2288EA3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kobicistat</w:t>
            </w:r>
          </w:p>
        </w:tc>
        <w:tc>
          <w:tcPr>
            <w:tcW w:w="1720" w:type="pct"/>
          </w:tcPr>
          <w:p w14:paraId="798ECBD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762F2BA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p>
          <w:p w14:paraId="0AABA920"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7683EE4A"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doravirin</w:t>
            </w:r>
          </w:p>
          <w:p w14:paraId="3E597987"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(inhibicija CYP3A)</w:t>
            </w:r>
          </w:p>
        </w:tc>
        <w:tc>
          <w:tcPr>
            <w:tcW w:w="1875" w:type="pct"/>
          </w:tcPr>
          <w:p w14:paraId="0998189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119164C2" w14:textId="77777777" w:rsidTr="005A2200">
        <w:tc>
          <w:tcPr>
            <w:tcW w:w="0" w:type="auto"/>
            <w:gridSpan w:val="3"/>
            <w:vAlign w:val="center"/>
          </w:tcPr>
          <w:p w14:paraId="55073BE3"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Psihostimulansi</w:t>
            </w:r>
          </w:p>
        </w:tc>
      </w:tr>
      <w:tr w:rsidR="00766713" w:rsidRPr="005A2200" w14:paraId="35FA0092" w14:textId="77777777" w:rsidTr="005A2200">
        <w:tc>
          <w:tcPr>
            <w:tcW w:w="1405" w:type="pct"/>
          </w:tcPr>
          <w:p w14:paraId="11D3328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modafinil</w:t>
            </w:r>
          </w:p>
        </w:tc>
        <w:tc>
          <w:tcPr>
            <w:tcW w:w="1720" w:type="pct"/>
          </w:tcPr>
          <w:p w14:paraId="6E464CE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1A00BD9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29761FF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Očekivano:</w:t>
            </w:r>
          </w:p>
          <w:p w14:paraId="33B47BCE" w14:textId="77777777" w:rsidR="00766713" w:rsidRPr="005A2200" w:rsidRDefault="00766713" w:rsidP="005A2200">
            <w:pPr>
              <w:widowControl w:val="0"/>
              <w:tabs>
                <w:tab w:val="left" w:pos="284"/>
              </w:tabs>
              <w:jc w:val="both"/>
              <w:rPr>
                <w:rFonts w:asciiTheme="majorBidi" w:hAnsiTheme="majorBidi" w:cstheme="majorBidi"/>
                <w:bCs/>
                <w:sz w:val="22"/>
                <w:szCs w:val="22"/>
                <w:lang w:val="sr-Latn-ME"/>
              </w:rPr>
            </w:pPr>
            <w:r w:rsidRPr="005A2200">
              <w:rPr>
                <w:rFonts w:asciiTheme="majorBidi" w:hAnsiTheme="majorBidi" w:cstheme="majorBidi"/>
                <w:sz w:val="22"/>
                <w:szCs w:val="22"/>
                <w:lang w:val="sr-Latn-ME"/>
              </w:rPr>
              <w:t>↓ doravirin</w:t>
            </w:r>
          </w:p>
          <w:p w14:paraId="2DFE4F1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(indukcija CYP3A)</w:t>
            </w:r>
          </w:p>
        </w:tc>
        <w:tc>
          <w:tcPr>
            <w:tcW w:w="1875" w:type="pct"/>
          </w:tcPr>
          <w:p w14:paraId="102D53F1" w14:textId="455563DC"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Potrebno je izb</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egavati istovremenu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enu. Ako se istovremena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ne može izb</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eći, treba uzimati jednu tabletu doravirina dva puta dnevo (u razmaku od približno 12 sati).</w:t>
            </w:r>
          </w:p>
        </w:tc>
      </w:tr>
      <w:tr w:rsidR="00766713" w:rsidRPr="005A2200" w14:paraId="0EC99CE9" w14:textId="77777777" w:rsidTr="005A2200">
        <w:tc>
          <w:tcPr>
            <w:tcW w:w="0" w:type="auto"/>
            <w:gridSpan w:val="3"/>
            <w:vAlign w:val="center"/>
          </w:tcPr>
          <w:p w14:paraId="52F4A77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Sedativi/hipnotici</w:t>
            </w:r>
          </w:p>
        </w:tc>
      </w:tr>
      <w:tr w:rsidR="00766713" w:rsidRPr="005A2200" w14:paraId="68B9566B" w14:textId="77777777" w:rsidTr="005A2200">
        <w:tc>
          <w:tcPr>
            <w:tcW w:w="1405" w:type="pct"/>
          </w:tcPr>
          <w:p w14:paraId="679542D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midazolam</w:t>
            </w:r>
          </w:p>
          <w:p w14:paraId="6432857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lastRenderedPageBreak/>
              <w:t>(2 mg SD,</w:t>
            </w:r>
          </w:p>
          <w:p w14:paraId="013782D3"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120 mg QD)</w:t>
            </w:r>
          </w:p>
        </w:tc>
        <w:tc>
          <w:tcPr>
            <w:tcW w:w="1720" w:type="pct"/>
          </w:tcPr>
          <w:p w14:paraId="49A28289"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bCs/>
                <w:sz w:val="22"/>
                <w:szCs w:val="22"/>
                <w:lang w:val="sr-Latn-ME"/>
              </w:rPr>
              <w:lastRenderedPageBreak/>
              <w:t>↓</w:t>
            </w:r>
            <w:r w:rsidRPr="005A2200">
              <w:rPr>
                <w:rFonts w:asciiTheme="majorBidi" w:hAnsiTheme="majorBidi" w:cstheme="majorBidi"/>
                <w:sz w:val="22"/>
                <w:szCs w:val="22"/>
                <w:lang w:val="sr-Latn-ME"/>
              </w:rPr>
              <w:t xml:space="preserve"> midazolam</w:t>
            </w:r>
          </w:p>
          <w:p w14:paraId="7A76B03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lastRenderedPageBreak/>
              <w:t>PIK 0,82 (0,70; 0,97)</w:t>
            </w:r>
          </w:p>
          <w:p w14:paraId="3653093E"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1,02 (0,81; 1,28)</w:t>
            </w:r>
          </w:p>
        </w:tc>
        <w:tc>
          <w:tcPr>
            <w:tcW w:w="1875" w:type="pct"/>
          </w:tcPr>
          <w:p w14:paraId="2A9672A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lastRenderedPageBreak/>
              <w:t>Nije potrebno prilagođavati dozu.</w:t>
            </w:r>
          </w:p>
        </w:tc>
      </w:tr>
      <w:tr w:rsidR="00766713" w:rsidRPr="005A2200" w14:paraId="7A0BCB8E" w14:textId="77777777" w:rsidTr="005A2200">
        <w:tc>
          <w:tcPr>
            <w:tcW w:w="0" w:type="auto"/>
            <w:gridSpan w:val="3"/>
            <w:vAlign w:val="center"/>
          </w:tcPr>
          <w:p w14:paraId="29353A56"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Statini</w:t>
            </w:r>
          </w:p>
        </w:tc>
      </w:tr>
      <w:tr w:rsidR="00766713" w:rsidRPr="005A2200" w14:paraId="50BF3697" w14:textId="77777777" w:rsidTr="005A2200">
        <w:tc>
          <w:tcPr>
            <w:tcW w:w="1405" w:type="pct"/>
          </w:tcPr>
          <w:p w14:paraId="318D1061"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atorvastatin</w:t>
            </w:r>
          </w:p>
          <w:p w14:paraId="0BBA349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(20 mg SD,</w:t>
            </w:r>
          </w:p>
          <w:p w14:paraId="017FD55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100 mg QD)</w:t>
            </w:r>
          </w:p>
        </w:tc>
        <w:tc>
          <w:tcPr>
            <w:tcW w:w="1720" w:type="pct"/>
          </w:tcPr>
          <w:p w14:paraId="2028B164"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atorvastatin</w:t>
            </w:r>
          </w:p>
          <w:p w14:paraId="542A1F0C"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PIK 0,98 (0,90; 1,06)</w:t>
            </w:r>
          </w:p>
          <w:p w14:paraId="6EF5ECE8"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0,67 (0,52; 0,85)</w:t>
            </w:r>
          </w:p>
        </w:tc>
        <w:tc>
          <w:tcPr>
            <w:tcW w:w="1875" w:type="pct"/>
          </w:tcPr>
          <w:p w14:paraId="6B8E64D5"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0ABCE52F" w14:textId="77777777" w:rsidTr="005A2200">
        <w:tc>
          <w:tcPr>
            <w:tcW w:w="1405" w:type="pct"/>
          </w:tcPr>
          <w:p w14:paraId="529E186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rosuvastatin</w:t>
            </w:r>
          </w:p>
          <w:p w14:paraId="161AB6D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simvastatin</w:t>
            </w:r>
          </w:p>
        </w:tc>
        <w:tc>
          <w:tcPr>
            <w:tcW w:w="1720" w:type="pct"/>
          </w:tcPr>
          <w:p w14:paraId="19E5B31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Interakcija se nije ispitivala.</w:t>
            </w:r>
          </w:p>
          <w:p w14:paraId="1C13864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3412B88B"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Očekivano:</w:t>
            </w:r>
          </w:p>
          <w:p w14:paraId="4D3E7E2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rosuvastatin</w:t>
            </w:r>
          </w:p>
          <w:p w14:paraId="717B1102"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 simvastatin</w:t>
            </w:r>
          </w:p>
        </w:tc>
        <w:tc>
          <w:tcPr>
            <w:tcW w:w="1875" w:type="pct"/>
          </w:tcPr>
          <w:p w14:paraId="19486E51" w14:textId="77777777" w:rsidR="00766713" w:rsidRPr="005A2200" w:rsidRDefault="00766713" w:rsidP="005A2200">
            <w:pPr>
              <w:widowControl w:val="0"/>
              <w:tabs>
                <w:tab w:val="left" w:pos="284"/>
              </w:tabs>
              <w:jc w:val="both"/>
              <w:rPr>
                <w:rFonts w:asciiTheme="majorBidi" w:eastAsia="MS Gothic" w:hAnsiTheme="majorBidi" w:cstheme="majorBidi"/>
                <w:sz w:val="22"/>
                <w:szCs w:val="22"/>
                <w:lang w:val="sr-Latn-ME"/>
              </w:rPr>
            </w:pPr>
            <w:r w:rsidRPr="005A2200">
              <w:rPr>
                <w:rFonts w:asciiTheme="majorBidi" w:hAnsiTheme="majorBidi" w:cstheme="majorBidi"/>
                <w:sz w:val="22"/>
                <w:szCs w:val="22"/>
                <w:lang w:val="sr-Latn-ME"/>
              </w:rPr>
              <w:t>Nije potrebno prilagođavati dozu.</w:t>
            </w:r>
          </w:p>
        </w:tc>
      </w:tr>
      <w:tr w:rsidR="00766713" w:rsidRPr="005A2200" w14:paraId="020DF8A0" w14:textId="77777777" w:rsidTr="005A2200">
        <w:tc>
          <w:tcPr>
            <w:tcW w:w="0" w:type="auto"/>
            <w:gridSpan w:val="3"/>
          </w:tcPr>
          <w:p w14:paraId="0BB0E1B1" w14:textId="23E075E4" w:rsidR="00766713" w:rsidRPr="005A2200" w:rsidRDefault="00766713" w:rsidP="005A2200">
            <w:pPr>
              <w:widowControl w:val="0"/>
              <w:jc w:val="both"/>
              <w:rPr>
                <w:rFonts w:asciiTheme="majorBidi" w:hAnsiTheme="majorBidi" w:cstheme="majorBidi"/>
                <w:sz w:val="20"/>
                <w:szCs w:val="22"/>
                <w:lang w:val="sr-Latn-ME"/>
              </w:rPr>
            </w:pPr>
            <w:r w:rsidRPr="005A2200">
              <w:rPr>
                <w:rFonts w:asciiTheme="majorBidi" w:hAnsiTheme="majorBidi" w:cstheme="majorBidi"/>
                <w:sz w:val="20"/>
                <w:szCs w:val="22"/>
                <w:lang w:val="sr-Latn-ME"/>
              </w:rPr>
              <w:t>↑ = povećanje, ↓ = smanjenje, ↔ = nema prom</w:t>
            </w:r>
            <w:r w:rsidR="002329C4" w:rsidRPr="005A2200">
              <w:rPr>
                <w:rFonts w:asciiTheme="majorBidi" w:hAnsiTheme="majorBidi" w:cstheme="majorBidi"/>
                <w:sz w:val="20"/>
                <w:szCs w:val="22"/>
                <w:lang w:val="sr-Latn-ME"/>
              </w:rPr>
              <w:t>j</w:t>
            </w:r>
            <w:r w:rsidRPr="005A2200">
              <w:rPr>
                <w:rFonts w:asciiTheme="majorBidi" w:hAnsiTheme="majorBidi" w:cstheme="majorBidi"/>
                <w:sz w:val="20"/>
                <w:szCs w:val="22"/>
                <w:lang w:val="sr-Latn-ME"/>
              </w:rPr>
              <w:t>ene</w:t>
            </w:r>
          </w:p>
          <w:p w14:paraId="1BCEFDD3" w14:textId="77777777" w:rsidR="00766713" w:rsidRPr="005A2200" w:rsidRDefault="00766713" w:rsidP="005A2200">
            <w:pPr>
              <w:widowControl w:val="0"/>
              <w:tabs>
                <w:tab w:val="left" w:pos="284"/>
              </w:tabs>
              <w:jc w:val="both"/>
              <w:rPr>
                <w:rFonts w:asciiTheme="majorBidi" w:eastAsia="MS Gothic" w:hAnsiTheme="majorBidi" w:cstheme="majorBidi"/>
                <w:sz w:val="20"/>
                <w:szCs w:val="22"/>
                <w:vertAlign w:val="superscript"/>
                <w:lang w:val="sr-Latn-ME"/>
              </w:rPr>
            </w:pPr>
            <w:r w:rsidRPr="005A2200">
              <w:rPr>
                <w:rFonts w:asciiTheme="majorBidi" w:hAnsiTheme="majorBidi" w:cstheme="majorBidi"/>
                <w:bCs/>
                <w:sz w:val="20"/>
                <w:szCs w:val="22"/>
                <w:lang w:val="sr-Latn-ME"/>
              </w:rPr>
              <w:t xml:space="preserve">CI (engl. </w:t>
            </w:r>
            <w:r w:rsidRPr="005A2200">
              <w:rPr>
                <w:rFonts w:asciiTheme="majorBidi" w:hAnsiTheme="majorBidi" w:cstheme="majorBidi"/>
                <w:bCs/>
                <w:i/>
                <w:iCs/>
                <w:sz w:val="20"/>
                <w:szCs w:val="22"/>
                <w:lang w:val="sr-Latn-ME"/>
              </w:rPr>
              <w:t>Confidence Interval</w:t>
            </w:r>
            <w:r w:rsidRPr="005A2200">
              <w:rPr>
                <w:rFonts w:asciiTheme="majorBidi" w:hAnsiTheme="majorBidi" w:cstheme="majorBidi"/>
                <w:bCs/>
                <w:sz w:val="20"/>
                <w:szCs w:val="22"/>
                <w:lang w:val="sr-Latn-ME"/>
              </w:rPr>
              <w:t>) = interval pouzdanosti; SD = pojedinačna doza; QD = doziranje jednom dnevno; BID = doziranje dva puta dnevno</w:t>
            </w:r>
          </w:p>
          <w:p w14:paraId="6EEC35CE" w14:textId="1C7624A2" w:rsidR="00766713" w:rsidRPr="005A2200" w:rsidRDefault="00766713" w:rsidP="005A2200">
            <w:pPr>
              <w:widowControl w:val="0"/>
              <w:tabs>
                <w:tab w:val="left" w:pos="284"/>
              </w:tabs>
              <w:jc w:val="both"/>
              <w:rPr>
                <w:rFonts w:asciiTheme="majorBidi" w:eastAsia="MS Gothic" w:hAnsiTheme="majorBidi" w:cstheme="majorBidi"/>
                <w:sz w:val="20"/>
                <w:szCs w:val="22"/>
                <w:vertAlign w:val="superscript"/>
                <w:lang w:val="sr-Latn-ME"/>
              </w:rPr>
            </w:pPr>
            <w:r w:rsidRPr="005A2200">
              <w:rPr>
                <w:rFonts w:asciiTheme="majorBidi" w:hAnsiTheme="majorBidi" w:cstheme="majorBidi"/>
                <w:sz w:val="20"/>
                <w:szCs w:val="22"/>
                <w:lang w:val="sr-Latn-ME"/>
              </w:rPr>
              <w:t>*</w:t>
            </w:r>
            <w:r w:rsidRPr="005A2200">
              <w:rPr>
                <w:rFonts w:asciiTheme="majorBidi" w:hAnsiTheme="majorBidi" w:cstheme="majorBidi"/>
                <w:bCs/>
                <w:sz w:val="20"/>
                <w:szCs w:val="22"/>
                <w:lang w:val="sr-Latn-ME"/>
              </w:rPr>
              <w:t>PIK</w:t>
            </w:r>
            <w:r w:rsidRPr="005A2200">
              <w:rPr>
                <w:rFonts w:asciiTheme="majorBidi" w:hAnsiTheme="majorBidi" w:cstheme="majorBidi"/>
                <w:bCs/>
                <w:sz w:val="20"/>
                <w:szCs w:val="22"/>
                <w:vertAlign w:val="subscript"/>
                <w:lang w:val="sr-Latn-ME"/>
              </w:rPr>
              <w:t>0-</w:t>
            </w:r>
            <w:r w:rsidR="00EE67D5" w:rsidRPr="005A2200">
              <w:rPr>
                <w:rFonts w:asciiTheme="majorBidi" w:hAnsiTheme="majorBidi" w:cstheme="majorBidi"/>
                <w:bCs/>
                <w:sz w:val="20"/>
                <w:szCs w:val="22"/>
                <w:vertAlign w:val="subscript"/>
                <w:lang w:val="sr-Latn-ME"/>
              </w:rPr>
              <w:t>∞</w:t>
            </w:r>
            <w:r w:rsidRPr="005A2200">
              <w:rPr>
                <w:rFonts w:asciiTheme="majorBidi" w:hAnsiTheme="majorBidi" w:cstheme="majorBidi"/>
                <w:bCs/>
                <w:sz w:val="20"/>
                <w:szCs w:val="22"/>
                <w:lang w:val="sr-Latn-ME"/>
              </w:rPr>
              <w:t xml:space="preserve"> za jednokratnu dozu, PIK</w:t>
            </w:r>
            <w:r w:rsidRPr="005A2200">
              <w:rPr>
                <w:rFonts w:asciiTheme="majorBidi" w:hAnsiTheme="majorBidi" w:cstheme="majorBidi"/>
                <w:bCs/>
                <w:sz w:val="20"/>
                <w:szCs w:val="22"/>
                <w:vertAlign w:val="subscript"/>
                <w:lang w:val="sr-Latn-ME"/>
              </w:rPr>
              <w:t>0-24</w:t>
            </w:r>
            <w:r w:rsidRPr="005A2200">
              <w:rPr>
                <w:rFonts w:asciiTheme="majorBidi" w:hAnsiTheme="majorBidi" w:cstheme="majorBidi"/>
                <w:bCs/>
                <w:sz w:val="20"/>
                <w:szCs w:val="22"/>
                <w:lang w:val="sr-Latn-ME"/>
              </w:rPr>
              <w:t xml:space="preserve"> za prim</w:t>
            </w:r>
            <w:r w:rsidR="002329C4" w:rsidRPr="005A2200">
              <w:rPr>
                <w:rFonts w:asciiTheme="majorBidi" w:hAnsiTheme="majorBidi" w:cstheme="majorBidi"/>
                <w:bCs/>
                <w:sz w:val="20"/>
                <w:szCs w:val="22"/>
                <w:lang w:val="sr-Latn-ME"/>
              </w:rPr>
              <w:t>j</w:t>
            </w:r>
            <w:r w:rsidRPr="005A2200">
              <w:rPr>
                <w:rFonts w:asciiTheme="majorBidi" w:hAnsiTheme="majorBidi" w:cstheme="majorBidi"/>
                <w:bCs/>
                <w:sz w:val="20"/>
                <w:szCs w:val="22"/>
                <w:lang w:val="sr-Latn-ME"/>
              </w:rPr>
              <w:t>enu jednom dnevno</w:t>
            </w:r>
          </w:p>
          <w:p w14:paraId="76D91BD7" w14:textId="77777777" w:rsidR="00766713" w:rsidRPr="005A2200" w:rsidRDefault="00766713" w:rsidP="005A2200">
            <w:pPr>
              <w:widowControl w:val="0"/>
              <w:tabs>
                <w:tab w:val="left" w:pos="284"/>
              </w:tabs>
              <w:jc w:val="both"/>
              <w:rPr>
                <w:rFonts w:asciiTheme="majorBidi" w:eastAsia="MS Gothic" w:hAnsiTheme="majorBidi" w:cstheme="majorBidi"/>
                <w:bCs/>
                <w:sz w:val="22"/>
                <w:szCs w:val="22"/>
                <w:lang w:val="sr-Latn-ME"/>
              </w:rPr>
            </w:pPr>
            <w:r w:rsidRPr="005A2200">
              <w:rPr>
                <w:rFonts w:asciiTheme="majorBidi" w:hAnsiTheme="majorBidi" w:cstheme="majorBidi"/>
                <w:sz w:val="20"/>
                <w:szCs w:val="22"/>
                <w:vertAlign w:val="superscript"/>
                <w:lang w:val="sr-Latn-ME"/>
              </w:rPr>
              <w:t>†</w:t>
            </w:r>
            <w:r w:rsidRPr="005A2200">
              <w:rPr>
                <w:rFonts w:asciiTheme="majorBidi" w:hAnsiTheme="majorBidi" w:cstheme="majorBidi"/>
                <w:sz w:val="20"/>
                <w:szCs w:val="22"/>
                <w:lang w:val="sr-Latn-ME"/>
              </w:rPr>
              <w:t xml:space="preserve">Interakcija se ispitivala samo uz ritonavir. </w:t>
            </w:r>
          </w:p>
        </w:tc>
      </w:tr>
    </w:tbl>
    <w:p w14:paraId="01F34434"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7E33BC82" w14:textId="77777777" w:rsidR="0072020E" w:rsidRPr="005A2200" w:rsidRDefault="0072020E" w:rsidP="005A2200">
      <w:pPr>
        <w:widowControl w:val="0"/>
        <w:tabs>
          <w:tab w:val="left" w:pos="540"/>
          <w:tab w:val="left" w:pos="569"/>
        </w:tabs>
        <w:jc w:val="both"/>
        <w:rPr>
          <w:rFonts w:asciiTheme="majorBidi" w:hAnsiTheme="majorBidi" w:cstheme="majorBidi"/>
          <w:b/>
          <w:sz w:val="22"/>
          <w:szCs w:val="22"/>
          <w:lang w:val="sr-Latn-ME"/>
        </w:rPr>
      </w:pPr>
      <w:r w:rsidRPr="005A2200">
        <w:rPr>
          <w:rFonts w:asciiTheme="majorBidi" w:hAnsiTheme="majorBidi" w:cstheme="majorBidi"/>
          <w:b/>
          <w:bCs/>
          <w:sz w:val="22"/>
          <w:szCs w:val="22"/>
          <w:lang w:val="sr-Latn-ME"/>
        </w:rPr>
        <w:t xml:space="preserve">4.6. </w:t>
      </w:r>
      <w:r w:rsidR="00480FB1" w:rsidRPr="005A2200">
        <w:rPr>
          <w:rFonts w:asciiTheme="majorBidi" w:hAnsiTheme="majorBidi" w:cstheme="majorBidi"/>
          <w:b/>
          <w:bCs/>
          <w:sz w:val="22"/>
          <w:szCs w:val="22"/>
          <w:lang w:val="sr-Latn-ME"/>
        </w:rPr>
        <w:tab/>
      </w:r>
      <w:r w:rsidR="006D20A5" w:rsidRPr="005A2200">
        <w:rPr>
          <w:rFonts w:asciiTheme="majorBidi" w:hAnsiTheme="majorBidi" w:cstheme="majorBidi"/>
          <w:b/>
          <w:sz w:val="22"/>
          <w:szCs w:val="22"/>
          <w:lang w:val="sr-Latn-ME"/>
        </w:rPr>
        <w:t>Plodnost, trudnoća i dojenje</w:t>
      </w:r>
    </w:p>
    <w:p w14:paraId="21D3BDB1" w14:textId="77777777" w:rsidR="002031B3" w:rsidRPr="005A2200" w:rsidRDefault="002031B3" w:rsidP="005A2200">
      <w:pPr>
        <w:widowControl w:val="0"/>
        <w:tabs>
          <w:tab w:val="left" w:pos="540"/>
          <w:tab w:val="left" w:pos="569"/>
        </w:tabs>
        <w:jc w:val="both"/>
        <w:rPr>
          <w:rFonts w:asciiTheme="majorBidi" w:hAnsiTheme="majorBidi" w:cstheme="majorBidi"/>
          <w:sz w:val="22"/>
          <w:szCs w:val="22"/>
          <w:u w:val="single"/>
          <w:lang w:val="sr-Latn-ME"/>
        </w:rPr>
      </w:pPr>
    </w:p>
    <w:p w14:paraId="5320E985" w14:textId="458E2B99" w:rsidR="002031B3" w:rsidRPr="005A2200" w:rsidRDefault="002031B3" w:rsidP="005A2200">
      <w:pPr>
        <w:widowControl w:val="0"/>
        <w:tabs>
          <w:tab w:val="left" w:pos="540"/>
          <w:tab w:val="left" w:pos="569"/>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Plodnost</w:t>
      </w:r>
    </w:p>
    <w:p w14:paraId="7A2B77CD"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u w:val="single"/>
          <w:lang w:val="sr-Latn-ME"/>
        </w:rPr>
      </w:pPr>
    </w:p>
    <w:p w14:paraId="1BBB2EBF" w14:textId="3FC1408A"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Nema dostupnih podataka o uticaju doravirina na plodnost kod ljudi. Ispitivanja na životinjama ne ukazuju na štetne efekte doravirina na plodnost pri nivoima izloženosti višim od onih koje se postižu kod ljudi kod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preporučene kliničke doze (vid</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EB09F9"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5.3).</w:t>
      </w:r>
    </w:p>
    <w:p w14:paraId="30AB7254" w14:textId="77777777" w:rsidR="002031B3" w:rsidRPr="005A2200" w:rsidRDefault="002031B3" w:rsidP="005A2200">
      <w:pPr>
        <w:widowControl w:val="0"/>
        <w:tabs>
          <w:tab w:val="left" w:pos="540"/>
          <w:tab w:val="left" w:pos="569"/>
        </w:tabs>
        <w:jc w:val="both"/>
        <w:rPr>
          <w:rFonts w:asciiTheme="majorBidi" w:hAnsiTheme="majorBidi" w:cstheme="majorBidi"/>
          <w:sz w:val="22"/>
          <w:szCs w:val="22"/>
          <w:u w:val="single"/>
          <w:lang w:val="sr-Latn-ME"/>
        </w:rPr>
      </w:pPr>
    </w:p>
    <w:p w14:paraId="3C4DC048" w14:textId="676BFD8E" w:rsidR="007A3ECB" w:rsidRPr="005A2200" w:rsidRDefault="007A3ECB" w:rsidP="005A2200">
      <w:pPr>
        <w:widowControl w:val="0"/>
        <w:tabs>
          <w:tab w:val="left" w:pos="540"/>
          <w:tab w:val="left" w:pos="569"/>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Trudnoća</w:t>
      </w:r>
    </w:p>
    <w:p w14:paraId="34EB1417" w14:textId="77777777" w:rsidR="00766713" w:rsidRPr="005A2200" w:rsidRDefault="00766713" w:rsidP="005A2200">
      <w:pPr>
        <w:widowControl w:val="0"/>
        <w:tabs>
          <w:tab w:val="left" w:pos="540"/>
          <w:tab w:val="left" w:pos="569"/>
        </w:tabs>
        <w:jc w:val="both"/>
        <w:rPr>
          <w:rFonts w:asciiTheme="majorBidi" w:hAnsiTheme="majorBidi" w:cstheme="majorBidi"/>
          <w:sz w:val="22"/>
          <w:szCs w:val="22"/>
          <w:u w:val="single"/>
          <w:lang w:val="sr-Latn-ME"/>
        </w:rPr>
      </w:pPr>
    </w:p>
    <w:p w14:paraId="08FA901B" w14:textId="6F6A7672"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Nema podataka ili su podaci o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eni doravirina kod trudnica ograničeni.</w:t>
      </w:r>
    </w:p>
    <w:p w14:paraId="0F7720F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683896AB" w14:textId="332FB3F4" w:rsidR="00766713" w:rsidRPr="005A2200" w:rsidRDefault="00766713" w:rsidP="005A2200">
      <w:pPr>
        <w:widowControl w:val="0"/>
        <w:tabs>
          <w:tab w:val="left" w:pos="284"/>
        </w:tabs>
        <w:jc w:val="both"/>
        <w:rPr>
          <w:rFonts w:asciiTheme="majorBidi" w:hAnsiTheme="majorBidi" w:cstheme="majorBidi"/>
          <w:i/>
          <w:iCs/>
          <w:sz w:val="22"/>
          <w:szCs w:val="22"/>
          <w:lang w:val="sr-Latn-ME"/>
        </w:rPr>
      </w:pPr>
      <w:r w:rsidRPr="005A2200">
        <w:rPr>
          <w:rFonts w:asciiTheme="majorBidi" w:hAnsiTheme="majorBidi" w:cstheme="majorBidi"/>
          <w:i/>
          <w:iCs/>
          <w:sz w:val="22"/>
          <w:szCs w:val="22"/>
          <w:lang w:val="sr-Latn-ME"/>
        </w:rPr>
        <w:t>Registar trudnica l</w:t>
      </w:r>
      <w:r w:rsidR="008359EF" w:rsidRPr="005A2200">
        <w:rPr>
          <w:rFonts w:asciiTheme="majorBidi" w:hAnsiTheme="majorBidi" w:cstheme="majorBidi"/>
          <w:i/>
          <w:iCs/>
          <w:sz w:val="22"/>
          <w:szCs w:val="22"/>
          <w:lang w:val="sr-Latn-ME"/>
        </w:rPr>
        <w:t>ij</w:t>
      </w:r>
      <w:r w:rsidRPr="005A2200">
        <w:rPr>
          <w:rFonts w:asciiTheme="majorBidi" w:hAnsiTheme="majorBidi" w:cstheme="majorBidi"/>
          <w:i/>
          <w:iCs/>
          <w:sz w:val="22"/>
          <w:szCs w:val="22"/>
          <w:lang w:val="sr-Latn-ME"/>
        </w:rPr>
        <w:t>ečenih antiretrovirusnim l</w:t>
      </w:r>
      <w:r w:rsidR="008359EF" w:rsidRPr="005A2200">
        <w:rPr>
          <w:rFonts w:asciiTheme="majorBidi" w:hAnsiTheme="majorBidi" w:cstheme="majorBidi"/>
          <w:i/>
          <w:iCs/>
          <w:sz w:val="22"/>
          <w:szCs w:val="22"/>
          <w:lang w:val="sr-Latn-ME"/>
        </w:rPr>
        <w:t>j</w:t>
      </w:r>
      <w:r w:rsidRPr="005A2200">
        <w:rPr>
          <w:rFonts w:asciiTheme="majorBidi" w:hAnsiTheme="majorBidi" w:cstheme="majorBidi"/>
          <w:i/>
          <w:iCs/>
          <w:sz w:val="22"/>
          <w:szCs w:val="22"/>
          <w:lang w:val="sr-Latn-ME"/>
        </w:rPr>
        <w:t>ekovima</w:t>
      </w:r>
    </w:p>
    <w:p w14:paraId="5DF91063" w14:textId="1AF4D9D2" w:rsidR="00766713" w:rsidRPr="005A2200" w:rsidRDefault="00766713" w:rsidP="005A2200">
      <w:pPr>
        <w:widowControl w:val="0"/>
        <w:tabs>
          <w:tab w:val="left" w:pos="284"/>
        </w:tabs>
        <w:jc w:val="both"/>
        <w:rPr>
          <w:rFonts w:asciiTheme="majorBidi" w:hAnsiTheme="majorBidi" w:cstheme="majorBidi"/>
          <w:iCs/>
          <w:sz w:val="22"/>
          <w:szCs w:val="22"/>
          <w:lang w:val="sr-Latn-ME"/>
        </w:rPr>
      </w:pPr>
      <w:r w:rsidRPr="005A2200">
        <w:rPr>
          <w:rFonts w:asciiTheme="majorBidi" w:hAnsiTheme="majorBidi" w:cstheme="majorBidi"/>
          <w:sz w:val="22"/>
          <w:szCs w:val="22"/>
          <w:lang w:val="sr-Latn-ME"/>
        </w:rPr>
        <w:t>Radi praćenja ishoda trudnoće za majku i fetus kod pacijentkinja koje su tokom trudnoće bile izložene antiretrovirusnim l</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ekovima, uspostavljen je Registar trudnica l</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ečenih antiretrovirusnim l</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ekovima. Pozivaju se l</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ekari da takve pacijentkinje prijave u registar.</w:t>
      </w:r>
    </w:p>
    <w:p w14:paraId="36F67FE1" w14:textId="77777777" w:rsidR="00766713" w:rsidRPr="005A2200" w:rsidRDefault="00766713" w:rsidP="005A2200">
      <w:pPr>
        <w:widowControl w:val="0"/>
        <w:tabs>
          <w:tab w:val="left" w:pos="284"/>
          <w:tab w:val="left" w:pos="2880"/>
        </w:tabs>
        <w:jc w:val="both"/>
        <w:rPr>
          <w:rFonts w:asciiTheme="majorBidi" w:hAnsiTheme="majorBidi" w:cstheme="majorBidi"/>
          <w:sz w:val="22"/>
          <w:szCs w:val="22"/>
          <w:lang w:val="sr-Latn-ME"/>
        </w:rPr>
      </w:pPr>
    </w:p>
    <w:p w14:paraId="2994B361" w14:textId="156BE7F1"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Ispitivanja doravirina na životinjama ne ukazuju na direktan ili indirektan štetni efekat na reprodukciju (vid</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A22C8A"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xml:space="preserve"> 5.3).</w:t>
      </w:r>
    </w:p>
    <w:p w14:paraId="48B2658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7EECFAD3" w14:textId="5D7AAFB4" w:rsidR="00766713" w:rsidRPr="005A2200" w:rsidRDefault="00766713" w:rsidP="005A2200">
      <w:pPr>
        <w:widowControl w:val="0"/>
        <w:tabs>
          <w:tab w:val="left" w:pos="284"/>
        </w:tabs>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Kao 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era opreza, poželjno je izb</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egavati prim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enu doravirina u trudnoći.</w:t>
      </w:r>
    </w:p>
    <w:p w14:paraId="645F5F3F" w14:textId="77777777"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p>
    <w:p w14:paraId="72573B5F" w14:textId="311AF314" w:rsidR="0072020E" w:rsidRPr="005A2200" w:rsidRDefault="007A3ECB"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sz w:val="22"/>
          <w:szCs w:val="22"/>
          <w:u w:val="single"/>
          <w:lang w:val="sr-Latn-ME"/>
        </w:rPr>
        <w:t xml:space="preserve">Dojenje </w:t>
      </w:r>
    </w:p>
    <w:p w14:paraId="178D90D1" w14:textId="78963349" w:rsidR="00227BDB" w:rsidRPr="005A2200" w:rsidRDefault="00227BDB" w:rsidP="005A2200">
      <w:pPr>
        <w:widowControl w:val="0"/>
        <w:tabs>
          <w:tab w:val="left" w:pos="540"/>
          <w:tab w:val="left" w:pos="569"/>
        </w:tabs>
        <w:ind w:left="540" w:hanging="540"/>
        <w:jc w:val="both"/>
        <w:rPr>
          <w:rFonts w:asciiTheme="majorBidi" w:hAnsiTheme="majorBidi" w:cstheme="majorBidi"/>
          <w:b/>
          <w:bCs/>
          <w:sz w:val="22"/>
          <w:szCs w:val="22"/>
          <w:lang w:val="sr-Latn-ME"/>
        </w:rPr>
      </w:pPr>
    </w:p>
    <w:p w14:paraId="1B5570E4" w14:textId="3021AF78"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Nije poznato da li se doravirin izlučuje u majčino ml</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eko. Raspoloživi farmakodinamski/toksikološki podaci dobijeni ispitivanjem na životinjama pokazuju da se doravirin izlučuje u ml</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eko (vid</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A22C8A"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xml:space="preserve"> 5.3). </w:t>
      </w:r>
    </w:p>
    <w:p w14:paraId="37D8AE4D" w14:textId="4C5AEBF5"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353A5ED9" w14:textId="472BBAD7" w:rsidR="00766713" w:rsidRPr="005A2200" w:rsidRDefault="003E4958"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Preporučuje se da žene koje žive sa HIV-om ne doje svoju odojčad kako bi se izb</w:t>
      </w:r>
      <w:r w:rsidR="00583DCE"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eglo prenošenje HIV-a.</w:t>
      </w:r>
    </w:p>
    <w:p w14:paraId="2B8B45C4" w14:textId="77777777" w:rsidR="003E4958" w:rsidRPr="005A2200" w:rsidRDefault="003E4958" w:rsidP="005A2200">
      <w:pPr>
        <w:widowControl w:val="0"/>
        <w:tabs>
          <w:tab w:val="left" w:pos="540"/>
          <w:tab w:val="left" w:pos="569"/>
        </w:tabs>
        <w:ind w:left="540" w:hanging="540"/>
        <w:jc w:val="both"/>
        <w:rPr>
          <w:rFonts w:asciiTheme="majorBidi" w:hAnsiTheme="majorBidi" w:cstheme="majorBidi"/>
          <w:b/>
          <w:bCs/>
          <w:sz w:val="22"/>
          <w:szCs w:val="22"/>
          <w:lang w:val="sr-Latn-ME"/>
        </w:rPr>
      </w:pPr>
    </w:p>
    <w:p w14:paraId="2CF96B95" w14:textId="77777777" w:rsidR="0072020E" w:rsidRPr="005A2200" w:rsidRDefault="0072020E" w:rsidP="005A2200">
      <w:pPr>
        <w:widowControl w:val="0"/>
        <w:tabs>
          <w:tab w:val="left" w:pos="540"/>
          <w:tab w:val="left" w:pos="569"/>
        </w:tabs>
        <w:ind w:left="540" w:hanging="540"/>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4.7.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 xml:space="preserve">Uticaj na </w:t>
      </w:r>
      <w:r w:rsidR="002031B3" w:rsidRPr="005A2200">
        <w:rPr>
          <w:rFonts w:asciiTheme="majorBidi" w:hAnsiTheme="majorBidi" w:cstheme="majorBidi"/>
          <w:b/>
          <w:bCs/>
          <w:sz w:val="22"/>
          <w:szCs w:val="22"/>
          <w:lang w:val="sr-Latn-ME"/>
        </w:rPr>
        <w:t xml:space="preserve">sposobnost </w:t>
      </w:r>
      <w:r w:rsidR="00F34554" w:rsidRPr="005A2200">
        <w:rPr>
          <w:rFonts w:asciiTheme="majorBidi" w:hAnsiTheme="majorBidi" w:cstheme="majorBidi"/>
          <w:b/>
          <w:bCs/>
          <w:sz w:val="22"/>
          <w:szCs w:val="22"/>
          <w:lang w:val="sr-Latn-ME"/>
        </w:rPr>
        <w:t>upravljanja vozili</w:t>
      </w:r>
      <w:r w:rsidRPr="005A2200">
        <w:rPr>
          <w:rFonts w:asciiTheme="majorBidi" w:hAnsiTheme="majorBidi" w:cstheme="majorBidi"/>
          <w:b/>
          <w:bCs/>
          <w:sz w:val="22"/>
          <w:szCs w:val="22"/>
          <w:lang w:val="sr-Latn-ME"/>
        </w:rPr>
        <w:t>m</w:t>
      </w:r>
      <w:r w:rsidR="00F34554" w:rsidRPr="005A2200">
        <w:rPr>
          <w:rFonts w:asciiTheme="majorBidi" w:hAnsiTheme="majorBidi" w:cstheme="majorBidi"/>
          <w:b/>
          <w:bCs/>
          <w:sz w:val="22"/>
          <w:szCs w:val="22"/>
          <w:lang w:val="sr-Latn-ME"/>
        </w:rPr>
        <w:t>a</w:t>
      </w:r>
      <w:r w:rsidRPr="005A2200">
        <w:rPr>
          <w:rFonts w:asciiTheme="majorBidi" w:hAnsiTheme="majorBidi" w:cstheme="majorBidi"/>
          <w:b/>
          <w:bCs/>
          <w:sz w:val="22"/>
          <w:szCs w:val="22"/>
          <w:lang w:val="sr-Latn-ME"/>
        </w:rPr>
        <w:t xml:space="preserve"> i </w:t>
      </w:r>
      <w:r w:rsidR="000D3449" w:rsidRPr="005A2200">
        <w:rPr>
          <w:rFonts w:asciiTheme="majorBidi" w:hAnsiTheme="majorBidi" w:cstheme="majorBidi"/>
          <w:b/>
          <w:bCs/>
          <w:sz w:val="22"/>
          <w:szCs w:val="22"/>
          <w:lang w:val="sr-Latn-ME"/>
        </w:rPr>
        <w:t xml:space="preserve">rukovanje </w:t>
      </w:r>
      <w:r w:rsidRPr="005A2200">
        <w:rPr>
          <w:rFonts w:asciiTheme="majorBidi" w:hAnsiTheme="majorBidi" w:cstheme="majorBidi"/>
          <w:b/>
          <w:bCs/>
          <w:sz w:val="22"/>
          <w:szCs w:val="22"/>
          <w:lang w:val="sr-Latn-ME"/>
        </w:rPr>
        <w:t>mašinama</w:t>
      </w:r>
    </w:p>
    <w:p w14:paraId="77A0FBCE" w14:textId="64C5925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p>
    <w:p w14:paraId="381ABDD1" w14:textId="13FB65EA" w:rsidR="00766713" w:rsidRPr="005A2200" w:rsidRDefault="00766713" w:rsidP="005A2200">
      <w:pPr>
        <w:widowControl w:val="0"/>
        <w:tabs>
          <w:tab w:val="left" w:pos="284"/>
        </w:tabs>
        <w:jc w:val="both"/>
        <w:rPr>
          <w:rFonts w:asciiTheme="majorBidi" w:hAnsiTheme="majorBidi" w:cstheme="majorBidi"/>
          <w:color w:val="1A1A1A"/>
          <w:sz w:val="22"/>
          <w:szCs w:val="22"/>
          <w:lang w:val="sr-Latn-ME"/>
        </w:rPr>
      </w:pPr>
      <w:r w:rsidRPr="005A2200">
        <w:rPr>
          <w:rFonts w:asciiTheme="majorBidi" w:hAnsiTheme="majorBidi" w:cstheme="majorBidi"/>
          <w:sz w:val="22"/>
          <w:szCs w:val="22"/>
          <w:lang w:val="sr-Latn-ME"/>
        </w:rPr>
        <w:t>L</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 xml:space="preserve">ek Pifeltro </w:t>
      </w:r>
      <w:r w:rsidR="00E11E6C" w:rsidRPr="005A2200">
        <w:rPr>
          <w:rFonts w:asciiTheme="majorBidi" w:hAnsiTheme="majorBidi" w:cstheme="majorBidi"/>
          <w:sz w:val="22"/>
          <w:szCs w:val="22"/>
          <w:lang w:val="sr-Latn-ME"/>
        </w:rPr>
        <w:t>ima</w:t>
      </w:r>
      <w:r w:rsidRPr="005A2200">
        <w:rPr>
          <w:rFonts w:asciiTheme="majorBidi" w:hAnsiTheme="majorBidi" w:cstheme="majorBidi"/>
          <w:sz w:val="22"/>
          <w:szCs w:val="22"/>
          <w:lang w:val="sr-Latn-ME"/>
        </w:rPr>
        <w:t xml:space="preserve"> mal</w:t>
      </w:r>
      <w:r w:rsidR="00E11E6C" w:rsidRPr="005A2200">
        <w:rPr>
          <w:rFonts w:asciiTheme="majorBidi" w:hAnsiTheme="majorBidi" w:cstheme="majorBidi"/>
          <w:sz w:val="22"/>
          <w:szCs w:val="22"/>
          <w:lang w:val="sr-Latn-ME"/>
        </w:rPr>
        <w:t>i</w:t>
      </w:r>
      <w:r w:rsidRPr="005A2200">
        <w:rPr>
          <w:rFonts w:asciiTheme="majorBidi" w:hAnsiTheme="majorBidi" w:cstheme="majorBidi"/>
          <w:sz w:val="22"/>
          <w:szCs w:val="22"/>
          <w:lang w:val="sr-Latn-ME"/>
        </w:rPr>
        <w:t xml:space="preserve"> utica</w:t>
      </w:r>
      <w:r w:rsidR="00E11E6C"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 na sposobnost upravljanja vozilima i rukovanja mašinama. Pacijente treba obav</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estiti o tome da su tokom terapije doravirinom prijavljeni umor, vrtoglavica i somnolencija (vid</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A22C8A"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4.8).</w:t>
      </w:r>
      <w:r w:rsidRPr="005A2200">
        <w:rPr>
          <w:rFonts w:asciiTheme="majorBidi" w:hAnsiTheme="majorBidi" w:cstheme="majorBidi"/>
          <w:color w:val="1A1A1A"/>
          <w:sz w:val="22"/>
          <w:szCs w:val="22"/>
          <w:lang w:val="sr-Latn-ME"/>
        </w:rPr>
        <w:t xml:space="preserve"> O tome je potrebno voditi računa kada se oc</w:t>
      </w:r>
      <w:r w:rsidR="008359EF" w:rsidRPr="005A2200">
        <w:rPr>
          <w:rFonts w:asciiTheme="majorBidi" w:hAnsiTheme="majorBidi" w:cstheme="majorBidi"/>
          <w:color w:val="1A1A1A"/>
          <w:sz w:val="22"/>
          <w:szCs w:val="22"/>
          <w:lang w:val="sr-Latn-ME"/>
        </w:rPr>
        <w:t>j</w:t>
      </w:r>
      <w:r w:rsidRPr="005A2200">
        <w:rPr>
          <w:rFonts w:asciiTheme="majorBidi" w:hAnsiTheme="majorBidi" w:cstheme="majorBidi"/>
          <w:color w:val="1A1A1A"/>
          <w:sz w:val="22"/>
          <w:szCs w:val="22"/>
          <w:lang w:val="sr-Latn-ME"/>
        </w:rPr>
        <w:t>enjuje sposobnost pacijenta za upravljanje vozilima ili rukovanje mašinama.</w:t>
      </w:r>
    </w:p>
    <w:p w14:paraId="0A8C014E" w14:textId="77777777" w:rsidR="00766713" w:rsidRPr="005A2200" w:rsidRDefault="00766713" w:rsidP="005A2200">
      <w:pPr>
        <w:widowControl w:val="0"/>
        <w:tabs>
          <w:tab w:val="left" w:pos="540"/>
          <w:tab w:val="left" w:pos="569"/>
        </w:tabs>
        <w:jc w:val="both"/>
        <w:rPr>
          <w:rFonts w:asciiTheme="majorBidi" w:hAnsiTheme="majorBidi" w:cstheme="majorBidi"/>
          <w:b/>
          <w:bCs/>
          <w:sz w:val="22"/>
          <w:szCs w:val="22"/>
          <w:lang w:val="sr-Latn-ME"/>
        </w:rPr>
      </w:pPr>
    </w:p>
    <w:p w14:paraId="75E91561"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lastRenderedPageBreak/>
        <w:t xml:space="preserve">4.8.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Neželjena dejstva</w:t>
      </w:r>
    </w:p>
    <w:p w14:paraId="09E61AB6" w14:textId="0F97D69A" w:rsidR="004E70AD" w:rsidRPr="005A2200" w:rsidRDefault="004E70AD" w:rsidP="005A2200">
      <w:pPr>
        <w:widowControl w:val="0"/>
        <w:tabs>
          <w:tab w:val="left" w:pos="540"/>
          <w:tab w:val="left" w:pos="569"/>
        </w:tabs>
        <w:jc w:val="both"/>
        <w:rPr>
          <w:rFonts w:asciiTheme="majorBidi" w:hAnsiTheme="majorBidi" w:cstheme="majorBidi"/>
          <w:b/>
          <w:bCs/>
          <w:sz w:val="22"/>
          <w:szCs w:val="22"/>
          <w:lang w:val="sr-Latn-ME"/>
        </w:rPr>
      </w:pPr>
    </w:p>
    <w:p w14:paraId="4B2E2BA0" w14:textId="7EB835FF"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Sažetak bezb</w:t>
      </w:r>
      <w:r w:rsidR="008359EF" w:rsidRPr="005A2200">
        <w:rPr>
          <w:rFonts w:asciiTheme="majorBidi" w:hAnsiTheme="majorBidi" w:cstheme="majorBidi"/>
          <w:sz w:val="22"/>
          <w:szCs w:val="22"/>
          <w:u w:val="single"/>
          <w:lang w:val="sr-Latn-ME"/>
        </w:rPr>
        <w:t>j</w:t>
      </w:r>
      <w:r w:rsidRPr="005A2200">
        <w:rPr>
          <w:rFonts w:asciiTheme="majorBidi" w:hAnsiTheme="majorBidi" w:cstheme="majorBidi"/>
          <w:sz w:val="22"/>
          <w:szCs w:val="22"/>
          <w:u w:val="single"/>
          <w:lang w:val="sr-Latn-ME"/>
        </w:rPr>
        <w:t>ednosnog profila</w:t>
      </w:r>
    </w:p>
    <w:p w14:paraId="454C7A4F" w14:textId="13D6A7AF" w:rsidR="00766713" w:rsidRPr="005A2200" w:rsidRDefault="002D2D5A" w:rsidP="005A2200">
      <w:pPr>
        <w:widowControl w:val="0"/>
        <w:tabs>
          <w:tab w:val="left" w:pos="284"/>
        </w:tabs>
        <w:jc w:val="both"/>
        <w:rPr>
          <w:rFonts w:asciiTheme="majorBidi" w:hAnsiTheme="majorBidi" w:cstheme="majorBidi"/>
          <w:color w:val="1A1A1A"/>
          <w:sz w:val="22"/>
          <w:szCs w:val="22"/>
          <w:lang w:val="sr-Latn-ME"/>
        </w:rPr>
      </w:pPr>
      <w:r w:rsidRPr="005A2200">
        <w:rPr>
          <w:color w:val="1A1A1A"/>
          <w:sz w:val="22"/>
          <w:szCs w:val="22"/>
          <w:lang w:val="sr-Latn-ME"/>
        </w:rPr>
        <w:t xml:space="preserve">U kliničkim ispitivanjima faze 3 sa doravirinom plus 2 analoga nukleozida, inhibitora reverzne transkriptaze (engl. </w:t>
      </w:r>
      <w:r w:rsidRPr="005A2200">
        <w:rPr>
          <w:i/>
          <w:iCs/>
          <w:color w:val="1A1A1A"/>
          <w:sz w:val="22"/>
          <w:szCs w:val="22"/>
          <w:lang w:val="sr-Latn-ME"/>
        </w:rPr>
        <w:t>nucleoside analogue reverse transcriptase inhibitors</w:t>
      </w:r>
      <w:r w:rsidRPr="005A2200">
        <w:rPr>
          <w:color w:val="1A1A1A"/>
          <w:sz w:val="22"/>
          <w:szCs w:val="22"/>
          <w:lang w:val="sr-Latn-ME"/>
        </w:rPr>
        <w:t>, NRTI), n</w:t>
      </w:r>
      <w:r w:rsidR="00766713" w:rsidRPr="005A2200">
        <w:rPr>
          <w:rFonts w:asciiTheme="majorBidi" w:hAnsiTheme="majorBidi" w:cstheme="majorBidi"/>
          <w:color w:val="1A1A1A"/>
          <w:sz w:val="22"/>
          <w:szCs w:val="22"/>
          <w:lang w:val="sr-Latn-ME"/>
        </w:rPr>
        <w:t>ajčešće prijavljene neželjene reakcije  bile su mučnina (4%) i glavobolja (3%).</w:t>
      </w:r>
    </w:p>
    <w:p w14:paraId="21FCF2BB" w14:textId="77777777" w:rsidR="00766713" w:rsidRPr="005A2200" w:rsidRDefault="00766713" w:rsidP="005A2200">
      <w:pPr>
        <w:widowControl w:val="0"/>
        <w:tabs>
          <w:tab w:val="left" w:pos="284"/>
        </w:tabs>
        <w:jc w:val="both"/>
        <w:rPr>
          <w:rFonts w:asciiTheme="majorBidi" w:hAnsiTheme="majorBidi" w:cstheme="majorBidi"/>
          <w:color w:val="1A1A1A"/>
          <w:sz w:val="22"/>
          <w:szCs w:val="22"/>
          <w:lang w:val="sr-Latn-ME"/>
        </w:rPr>
      </w:pPr>
    </w:p>
    <w:p w14:paraId="7FF8B517" w14:textId="77777777" w:rsidR="00766713" w:rsidRPr="005A2200" w:rsidRDefault="00766713" w:rsidP="005A2200">
      <w:pPr>
        <w:widowControl w:val="0"/>
        <w:tabs>
          <w:tab w:val="left" w:pos="284"/>
        </w:tabs>
        <w:jc w:val="both"/>
        <w:rPr>
          <w:rFonts w:asciiTheme="majorBidi" w:hAnsiTheme="majorBidi" w:cstheme="majorBidi"/>
          <w:color w:val="1A1A1A"/>
          <w:sz w:val="22"/>
          <w:szCs w:val="22"/>
          <w:u w:val="single"/>
          <w:lang w:val="sr-Latn-ME"/>
        </w:rPr>
      </w:pPr>
      <w:r w:rsidRPr="005A2200">
        <w:rPr>
          <w:rFonts w:asciiTheme="majorBidi" w:hAnsiTheme="majorBidi" w:cstheme="majorBidi"/>
          <w:color w:val="1A1A1A"/>
          <w:sz w:val="22"/>
          <w:szCs w:val="22"/>
          <w:u w:val="single"/>
          <w:lang w:val="sr-Latn-ME"/>
        </w:rPr>
        <w:t>Tabelarni prikaz neželjenih reakcija</w:t>
      </w:r>
    </w:p>
    <w:p w14:paraId="0348264D" w14:textId="52403411" w:rsidR="00766713" w:rsidRPr="005A2200" w:rsidRDefault="00766713" w:rsidP="005A2200">
      <w:pPr>
        <w:widowControl w:val="0"/>
        <w:tabs>
          <w:tab w:val="left" w:pos="284"/>
        </w:tabs>
        <w:jc w:val="both"/>
        <w:rPr>
          <w:rFonts w:asciiTheme="majorBidi" w:hAnsiTheme="majorBidi" w:cstheme="majorBidi"/>
          <w:color w:val="1A1A1A"/>
          <w:sz w:val="22"/>
          <w:szCs w:val="22"/>
          <w:lang w:val="sr-Latn-ME"/>
        </w:rPr>
      </w:pPr>
      <w:r w:rsidRPr="005A2200">
        <w:rPr>
          <w:rFonts w:asciiTheme="majorBidi" w:hAnsiTheme="majorBidi" w:cstheme="majorBidi"/>
          <w:color w:val="1A1A1A"/>
          <w:sz w:val="22"/>
          <w:szCs w:val="22"/>
          <w:lang w:val="sr-Latn-ME"/>
        </w:rPr>
        <w:t>Neželjene reakcije</w:t>
      </w:r>
      <w:r w:rsidR="002D2D5A" w:rsidRPr="005A2200">
        <w:rPr>
          <w:color w:val="1A1A1A"/>
          <w:sz w:val="22"/>
          <w:szCs w:val="22"/>
          <w:lang w:val="sr-Latn-ME"/>
        </w:rPr>
        <w:t xml:space="preserve"> iz kliničkih ispitivanja faze 3 sa doravirinom plus 2 NRTI (DRIVE FORWARD, DRIVE SHIFT i DRIVE AHEAD)</w:t>
      </w:r>
      <w:r w:rsidR="007D3FE2" w:rsidRPr="005A2200">
        <w:rPr>
          <w:color w:val="1A1A1A"/>
          <w:sz w:val="22"/>
          <w:szCs w:val="22"/>
          <w:lang w:val="sr-Latn-ME"/>
        </w:rPr>
        <w:t xml:space="preserve"> i iz postmarketinškog iskustva</w:t>
      </w:r>
      <w:r w:rsidR="002D2D5A" w:rsidRPr="005A2200">
        <w:rPr>
          <w:color w:val="1A1A1A"/>
          <w:sz w:val="22"/>
          <w:szCs w:val="22"/>
          <w:lang w:val="sr-Latn-ME"/>
        </w:rPr>
        <w:t xml:space="preserve"> </w:t>
      </w:r>
      <w:r w:rsidRPr="005A2200">
        <w:rPr>
          <w:rFonts w:asciiTheme="majorBidi" w:hAnsiTheme="majorBidi" w:cstheme="majorBidi"/>
          <w:color w:val="1A1A1A"/>
          <w:sz w:val="22"/>
          <w:szCs w:val="22"/>
          <w:lang w:val="sr-Latn-ME"/>
        </w:rPr>
        <w:t>navedene su u nastavku prema klasifikaciji sistema organ</w:t>
      </w:r>
      <w:r w:rsidR="00A22C8A" w:rsidRPr="005A2200">
        <w:rPr>
          <w:rFonts w:asciiTheme="majorBidi" w:hAnsiTheme="majorBidi" w:cstheme="majorBidi"/>
          <w:color w:val="1A1A1A"/>
          <w:sz w:val="22"/>
          <w:szCs w:val="22"/>
          <w:lang w:val="sr-Latn-ME"/>
        </w:rPr>
        <w:t>a</w:t>
      </w:r>
      <w:r w:rsidRPr="005A2200">
        <w:rPr>
          <w:rFonts w:asciiTheme="majorBidi" w:hAnsiTheme="majorBidi" w:cstheme="majorBidi"/>
          <w:color w:val="1A1A1A"/>
          <w:sz w:val="22"/>
          <w:szCs w:val="22"/>
          <w:lang w:val="sr-Latn-ME"/>
        </w:rPr>
        <w:t xml:space="preserve"> i učestalosti. Unutar svake grupe učestalosti, neželjene reakcije su prikazane u padajućem nizu prema ozbiljnosti. Učestalost se definiše kao veoma često (≥ 1/10), često (≥ 1/100 i &lt; 1/10), povremeno (≥ 1/1000 i &lt; 1/100)</w:t>
      </w:r>
      <w:r w:rsidR="007D3FE2" w:rsidRPr="005A2200">
        <w:rPr>
          <w:rFonts w:asciiTheme="majorBidi" w:hAnsiTheme="majorBidi" w:cstheme="majorBidi"/>
          <w:color w:val="1A1A1A"/>
          <w:sz w:val="22"/>
          <w:szCs w:val="22"/>
          <w:lang w:val="sr-Latn-ME"/>
        </w:rPr>
        <w:t xml:space="preserve">, </w:t>
      </w:r>
      <w:r w:rsidRPr="005A2200">
        <w:rPr>
          <w:rFonts w:asciiTheme="majorBidi" w:hAnsiTheme="majorBidi" w:cstheme="majorBidi"/>
          <w:color w:val="1A1A1A"/>
          <w:sz w:val="22"/>
          <w:szCs w:val="22"/>
          <w:lang w:val="sr-Latn-ME"/>
        </w:rPr>
        <w:t>r</w:t>
      </w:r>
      <w:r w:rsidR="008359EF" w:rsidRPr="005A2200">
        <w:rPr>
          <w:rFonts w:asciiTheme="majorBidi" w:hAnsiTheme="majorBidi" w:cstheme="majorBidi"/>
          <w:color w:val="1A1A1A"/>
          <w:sz w:val="22"/>
          <w:szCs w:val="22"/>
          <w:lang w:val="sr-Latn-ME"/>
        </w:rPr>
        <w:t>ij</w:t>
      </w:r>
      <w:r w:rsidRPr="005A2200">
        <w:rPr>
          <w:rFonts w:asciiTheme="majorBidi" w:hAnsiTheme="majorBidi" w:cstheme="majorBidi"/>
          <w:color w:val="1A1A1A"/>
          <w:sz w:val="22"/>
          <w:szCs w:val="22"/>
          <w:lang w:val="sr-Latn-ME"/>
        </w:rPr>
        <w:t>etko (≥ 1/10 000 i &lt; 1/1000)</w:t>
      </w:r>
      <w:r w:rsidR="007D3FE2" w:rsidRPr="005A2200">
        <w:rPr>
          <w:rFonts w:asciiTheme="majorBidi" w:hAnsiTheme="majorBidi" w:cstheme="majorBidi"/>
          <w:color w:val="1A1A1A"/>
          <w:sz w:val="22"/>
          <w:szCs w:val="22"/>
          <w:lang w:val="sr-Latn-ME"/>
        </w:rPr>
        <w:t xml:space="preserve"> ili nepoznata učestalost (ne može se procijeniti na osnovu dostupnih podataka)</w:t>
      </w:r>
      <w:r w:rsidRPr="005A2200">
        <w:rPr>
          <w:rFonts w:asciiTheme="majorBidi" w:hAnsiTheme="majorBidi" w:cstheme="majorBidi"/>
          <w:color w:val="1A1A1A"/>
          <w:sz w:val="22"/>
          <w:szCs w:val="22"/>
          <w:lang w:val="sr-Latn-ME"/>
        </w:rPr>
        <w:t>.</w:t>
      </w:r>
    </w:p>
    <w:p w14:paraId="01F1FDAA" w14:textId="77777777" w:rsidR="00766713" w:rsidRPr="005A2200" w:rsidRDefault="00766713" w:rsidP="005A2200">
      <w:pPr>
        <w:widowControl w:val="0"/>
        <w:jc w:val="both"/>
        <w:rPr>
          <w:rFonts w:asciiTheme="majorBidi" w:hAnsiTheme="majorBidi" w:cstheme="majorBidi"/>
          <w:b/>
          <w:sz w:val="22"/>
          <w:szCs w:val="22"/>
          <w:lang w:val="sr-Latn-ME"/>
        </w:rPr>
      </w:pPr>
    </w:p>
    <w:p w14:paraId="3B9D2440" w14:textId="7E0EFE25" w:rsidR="00766713" w:rsidRPr="005A2200" w:rsidRDefault="00766713" w:rsidP="005A2200">
      <w:pPr>
        <w:widowControl w:val="0"/>
        <w:jc w:val="both"/>
        <w:rPr>
          <w:rFonts w:asciiTheme="majorBidi" w:hAnsiTheme="majorBidi" w:cstheme="majorBidi"/>
          <w:b/>
          <w:sz w:val="22"/>
          <w:szCs w:val="22"/>
          <w:lang w:val="sr-Latn-ME"/>
        </w:rPr>
      </w:pPr>
      <w:r w:rsidRPr="005A2200">
        <w:rPr>
          <w:rFonts w:asciiTheme="majorBidi" w:hAnsiTheme="majorBidi" w:cstheme="majorBidi"/>
          <w:b/>
          <w:sz w:val="22"/>
          <w:szCs w:val="22"/>
          <w:lang w:val="sr-Latn-ME"/>
        </w:rPr>
        <w:t>Tabela 2: Tabelarni prikaz neželjenih reakcija povezanih sa doravirinom prim</w:t>
      </w:r>
      <w:r w:rsidR="008359EF" w:rsidRPr="005A2200">
        <w:rPr>
          <w:rFonts w:asciiTheme="majorBidi" w:hAnsiTheme="majorBidi" w:cstheme="majorBidi"/>
          <w:b/>
          <w:sz w:val="22"/>
          <w:szCs w:val="22"/>
          <w:lang w:val="sr-Latn-ME"/>
        </w:rPr>
        <w:t>ij</w:t>
      </w:r>
      <w:r w:rsidRPr="005A2200">
        <w:rPr>
          <w:rFonts w:asciiTheme="majorBidi" w:hAnsiTheme="majorBidi" w:cstheme="majorBidi"/>
          <w:b/>
          <w:sz w:val="22"/>
          <w:szCs w:val="22"/>
          <w:lang w:val="sr-Latn-ME"/>
        </w:rPr>
        <w:t>enjenim u kombinaciji sa drugim antiretrovirusnim l</w:t>
      </w:r>
      <w:r w:rsidR="008359EF" w:rsidRPr="005A2200">
        <w:rPr>
          <w:rFonts w:asciiTheme="majorBidi" w:hAnsiTheme="majorBidi" w:cstheme="majorBidi"/>
          <w:b/>
          <w:sz w:val="22"/>
          <w:szCs w:val="22"/>
          <w:lang w:val="sr-Latn-ME"/>
        </w:rPr>
        <w:t>j</w:t>
      </w:r>
      <w:r w:rsidRPr="005A2200">
        <w:rPr>
          <w:rFonts w:asciiTheme="majorBidi" w:hAnsiTheme="majorBidi" w:cstheme="majorBidi"/>
          <w:b/>
          <w:sz w:val="22"/>
          <w:szCs w:val="22"/>
          <w:lang w:val="sr-Latn-ME"/>
        </w:rPr>
        <w:t>ekovima</w:t>
      </w:r>
    </w:p>
    <w:p w14:paraId="16846C49" w14:textId="77777777" w:rsidR="00766713" w:rsidRPr="005A2200" w:rsidRDefault="00766713" w:rsidP="005A2200">
      <w:pPr>
        <w:widowControl w:val="0"/>
        <w:jc w:val="both"/>
        <w:rPr>
          <w:rFonts w:asciiTheme="majorBidi" w:hAnsiTheme="majorBidi" w:cstheme="majorBidi"/>
          <w:b/>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7392"/>
      </w:tblGrid>
      <w:tr w:rsidR="00766713" w:rsidRPr="005A2200" w14:paraId="54252111" w14:textId="77777777" w:rsidTr="00676489">
        <w:trPr>
          <w:tblHeader/>
        </w:trPr>
        <w:tc>
          <w:tcPr>
            <w:tcW w:w="0" w:type="auto"/>
            <w:shd w:val="clear" w:color="auto" w:fill="auto"/>
            <w:vAlign w:val="center"/>
          </w:tcPr>
          <w:p w14:paraId="713AF1D3"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Učestalost</w:t>
            </w:r>
          </w:p>
        </w:tc>
        <w:tc>
          <w:tcPr>
            <w:tcW w:w="0" w:type="auto"/>
            <w:shd w:val="clear" w:color="auto" w:fill="auto"/>
            <w:vAlign w:val="center"/>
          </w:tcPr>
          <w:p w14:paraId="7D5C2C87"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Neželjene reakcije</w:t>
            </w:r>
          </w:p>
        </w:tc>
      </w:tr>
      <w:tr w:rsidR="00766713" w:rsidRPr="005A2200" w14:paraId="526FE092" w14:textId="77777777" w:rsidTr="005A2200">
        <w:tc>
          <w:tcPr>
            <w:tcW w:w="0" w:type="auto"/>
            <w:gridSpan w:val="2"/>
            <w:shd w:val="clear" w:color="auto" w:fill="auto"/>
          </w:tcPr>
          <w:p w14:paraId="2F7263EA"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Infekcije i infestacije</w:t>
            </w:r>
          </w:p>
        </w:tc>
      </w:tr>
      <w:tr w:rsidR="00766713" w:rsidRPr="005A2200" w14:paraId="7497D963" w14:textId="77777777" w:rsidTr="005A2200">
        <w:tc>
          <w:tcPr>
            <w:tcW w:w="0" w:type="auto"/>
            <w:shd w:val="clear" w:color="auto" w:fill="auto"/>
          </w:tcPr>
          <w:p w14:paraId="290735B4" w14:textId="293B5175"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p>
        </w:tc>
        <w:tc>
          <w:tcPr>
            <w:tcW w:w="0" w:type="auto"/>
            <w:shd w:val="clear" w:color="auto" w:fill="auto"/>
          </w:tcPr>
          <w:p w14:paraId="14A40D1D"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pustularni osip</w:t>
            </w:r>
          </w:p>
        </w:tc>
      </w:tr>
      <w:tr w:rsidR="00766713" w:rsidRPr="005A2200" w14:paraId="247EF5A4" w14:textId="77777777" w:rsidTr="005A2200">
        <w:tc>
          <w:tcPr>
            <w:tcW w:w="0" w:type="auto"/>
            <w:gridSpan w:val="2"/>
            <w:shd w:val="clear" w:color="auto" w:fill="auto"/>
          </w:tcPr>
          <w:p w14:paraId="007BB297"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Poremećaji metabolizma i ishrane</w:t>
            </w:r>
          </w:p>
        </w:tc>
      </w:tr>
      <w:tr w:rsidR="00766713" w:rsidRPr="005A2200" w14:paraId="628E7FEC" w14:textId="77777777" w:rsidTr="005A2200">
        <w:tc>
          <w:tcPr>
            <w:tcW w:w="0" w:type="auto"/>
            <w:shd w:val="clear" w:color="auto" w:fill="auto"/>
          </w:tcPr>
          <w:p w14:paraId="35A2638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color w:val="1A1A1A"/>
                <w:sz w:val="22"/>
                <w:szCs w:val="22"/>
                <w:lang w:val="sr-Latn-ME"/>
              </w:rPr>
              <w:t>Povremeno</w:t>
            </w:r>
          </w:p>
        </w:tc>
        <w:tc>
          <w:tcPr>
            <w:tcW w:w="0" w:type="auto"/>
            <w:shd w:val="clear" w:color="auto" w:fill="auto"/>
          </w:tcPr>
          <w:p w14:paraId="31D20ECC"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hipofosfatemija</w:t>
            </w:r>
          </w:p>
        </w:tc>
      </w:tr>
      <w:tr w:rsidR="00766713" w:rsidRPr="005A2200" w14:paraId="3EB827DF" w14:textId="77777777" w:rsidTr="005A2200">
        <w:tc>
          <w:tcPr>
            <w:tcW w:w="0" w:type="auto"/>
            <w:shd w:val="clear" w:color="auto" w:fill="auto"/>
          </w:tcPr>
          <w:p w14:paraId="0FCE7C72" w14:textId="5B8A5928"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p>
        </w:tc>
        <w:tc>
          <w:tcPr>
            <w:tcW w:w="0" w:type="auto"/>
            <w:shd w:val="clear" w:color="auto" w:fill="auto"/>
          </w:tcPr>
          <w:p w14:paraId="7F88D09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hipomagnezijemija</w:t>
            </w:r>
          </w:p>
        </w:tc>
      </w:tr>
      <w:tr w:rsidR="00766713" w:rsidRPr="005A2200" w14:paraId="261C885E" w14:textId="77777777" w:rsidTr="005A2200">
        <w:tc>
          <w:tcPr>
            <w:tcW w:w="0" w:type="auto"/>
            <w:gridSpan w:val="2"/>
            <w:shd w:val="clear" w:color="auto" w:fill="auto"/>
          </w:tcPr>
          <w:p w14:paraId="39DE7433"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Psihijatrijski poremećaji</w:t>
            </w:r>
          </w:p>
        </w:tc>
      </w:tr>
      <w:tr w:rsidR="00766713" w:rsidRPr="005A2200" w14:paraId="369F2114" w14:textId="77777777" w:rsidTr="005A2200">
        <w:tc>
          <w:tcPr>
            <w:tcW w:w="0" w:type="auto"/>
            <w:shd w:val="clear" w:color="auto" w:fill="auto"/>
          </w:tcPr>
          <w:p w14:paraId="2FA84EB3"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Često</w:t>
            </w:r>
          </w:p>
        </w:tc>
        <w:tc>
          <w:tcPr>
            <w:tcW w:w="0" w:type="auto"/>
            <w:shd w:val="clear" w:color="auto" w:fill="auto"/>
          </w:tcPr>
          <w:p w14:paraId="66DFE69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neuobičajeni snovi, nesanica</w:t>
            </w:r>
            <w:r w:rsidRPr="005A2200">
              <w:rPr>
                <w:rFonts w:asciiTheme="majorBidi" w:hAnsiTheme="majorBidi" w:cstheme="majorBidi"/>
                <w:sz w:val="22"/>
                <w:szCs w:val="22"/>
                <w:vertAlign w:val="superscript"/>
                <w:lang w:val="sr-Latn-ME"/>
              </w:rPr>
              <w:t>1</w:t>
            </w:r>
          </w:p>
        </w:tc>
      </w:tr>
      <w:tr w:rsidR="00766713" w:rsidRPr="005A2200" w14:paraId="1640CDD5" w14:textId="77777777" w:rsidTr="005A2200">
        <w:tc>
          <w:tcPr>
            <w:tcW w:w="0" w:type="auto"/>
            <w:shd w:val="clear" w:color="auto" w:fill="auto"/>
          </w:tcPr>
          <w:p w14:paraId="11C4C26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color w:val="1A1A1A"/>
                <w:sz w:val="22"/>
                <w:szCs w:val="22"/>
                <w:lang w:val="sr-Latn-ME"/>
              </w:rPr>
              <w:t>Povremeno</w:t>
            </w:r>
          </w:p>
        </w:tc>
        <w:tc>
          <w:tcPr>
            <w:tcW w:w="0" w:type="auto"/>
            <w:shd w:val="clear" w:color="auto" w:fill="auto"/>
          </w:tcPr>
          <w:p w14:paraId="44629D7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noćna mora, depresija</w:t>
            </w:r>
            <w:r w:rsidRPr="005A2200">
              <w:rPr>
                <w:rFonts w:asciiTheme="majorBidi" w:hAnsiTheme="majorBidi" w:cstheme="majorBidi"/>
                <w:sz w:val="22"/>
                <w:szCs w:val="22"/>
                <w:vertAlign w:val="superscript"/>
                <w:lang w:val="sr-Latn-ME"/>
              </w:rPr>
              <w:t>2</w:t>
            </w:r>
            <w:r w:rsidRPr="005A2200">
              <w:rPr>
                <w:rFonts w:asciiTheme="majorBidi" w:hAnsiTheme="majorBidi" w:cstheme="majorBidi"/>
                <w:sz w:val="22"/>
                <w:szCs w:val="22"/>
                <w:lang w:val="sr-Latn-ME"/>
              </w:rPr>
              <w:t>, anksioznost</w:t>
            </w:r>
            <w:r w:rsidRPr="005A2200">
              <w:rPr>
                <w:rFonts w:asciiTheme="majorBidi" w:hAnsiTheme="majorBidi" w:cstheme="majorBidi"/>
                <w:sz w:val="22"/>
                <w:szCs w:val="22"/>
                <w:vertAlign w:val="superscript"/>
                <w:lang w:val="sr-Latn-ME"/>
              </w:rPr>
              <w:t>3</w:t>
            </w:r>
            <w:r w:rsidRPr="005A2200">
              <w:rPr>
                <w:rFonts w:asciiTheme="majorBidi" w:hAnsiTheme="majorBidi" w:cstheme="majorBidi"/>
                <w:sz w:val="22"/>
                <w:szCs w:val="22"/>
                <w:lang w:val="sr-Latn-ME"/>
              </w:rPr>
              <w:t>, razdražljivost, konfuzija, suicidalne misli</w:t>
            </w:r>
          </w:p>
        </w:tc>
      </w:tr>
      <w:tr w:rsidR="00766713" w:rsidRPr="005A2200" w14:paraId="5E1D439B" w14:textId="77777777" w:rsidTr="005A2200">
        <w:tc>
          <w:tcPr>
            <w:tcW w:w="0" w:type="auto"/>
            <w:shd w:val="clear" w:color="auto" w:fill="auto"/>
          </w:tcPr>
          <w:p w14:paraId="4F251CCD" w14:textId="482B6A36"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p>
        </w:tc>
        <w:tc>
          <w:tcPr>
            <w:tcW w:w="0" w:type="auto"/>
            <w:shd w:val="clear" w:color="auto" w:fill="auto"/>
          </w:tcPr>
          <w:p w14:paraId="5DCEB5B2" w14:textId="2038CEE0"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agresivnost, halucinacija, poremećaj prilagođavanja, prom</w:t>
            </w:r>
            <w:r w:rsidR="008359E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raspoloženja, somnambulizam</w:t>
            </w:r>
          </w:p>
        </w:tc>
      </w:tr>
      <w:tr w:rsidR="00766713" w:rsidRPr="005A2200" w14:paraId="508D6BD8" w14:textId="77777777" w:rsidTr="005A2200">
        <w:tc>
          <w:tcPr>
            <w:tcW w:w="0" w:type="auto"/>
            <w:gridSpan w:val="2"/>
            <w:shd w:val="clear" w:color="auto" w:fill="auto"/>
          </w:tcPr>
          <w:p w14:paraId="23B77843"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b/>
                <w:sz w:val="22"/>
                <w:szCs w:val="22"/>
                <w:lang w:val="sr-Latn-ME"/>
              </w:rPr>
              <w:t>Poremećaji nervnog sistema</w:t>
            </w:r>
          </w:p>
        </w:tc>
      </w:tr>
      <w:tr w:rsidR="00766713" w:rsidRPr="005A2200" w14:paraId="24E24C4C" w14:textId="77777777" w:rsidTr="005A2200">
        <w:tc>
          <w:tcPr>
            <w:tcW w:w="0" w:type="auto"/>
            <w:shd w:val="clear" w:color="auto" w:fill="auto"/>
          </w:tcPr>
          <w:p w14:paraId="5C6F1E93"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Često</w:t>
            </w:r>
          </w:p>
        </w:tc>
        <w:tc>
          <w:tcPr>
            <w:tcW w:w="0" w:type="auto"/>
            <w:shd w:val="clear" w:color="auto" w:fill="auto"/>
          </w:tcPr>
          <w:p w14:paraId="2DF4D6D4"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glavobolja, vrtoglavica, somnolencija</w:t>
            </w:r>
          </w:p>
        </w:tc>
      </w:tr>
      <w:tr w:rsidR="00766713" w:rsidRPr="005A2200" w14:paraId="5AC3E711" w14:textId="77777777" w:rsidTr="005A2200">
        <w:tc>
          <w:tcPr>
            <w:tcW w:w="0" w:type="auto"/>
            <w:shd w:val="clear" w:color="auto" w:fill="auto"/>
          </w:tcPr>
          <w:p w14:paraId="1895CBD0"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color w:val="1A1A1A"/>
                <w:sz w:val="22"/>
                <w:szCs w:val="22"/>
                <w:lang w:val="sr-Latn-ME"/>
              </w:rPr>
              <w:t>Povremeno</w:t>
            </w:r>
          </w:p>
        </w:tc>
        <w:tc>
          <w:tcPr>
            <w:tcW w:w="0" w:type="auto"/>
            <w:shd w:val="clear" w:color="auto" w:fill="auto"/>
          </w:tcPr>
          <w:p w14:paraId="45B8B9FD"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poremećaj pažnje, poremećaj pamćenja, parestezija, hipertonija, loš kvalitet sna </w:t>
            </w:r>
          </w:p>
        </w:tc>
      </w:tr>
      <w:tr w:rsidR="00766713" w:rsidRPr="005A2200" w14:paraId="76AEFD6D" w14:textId="77777777" w:rsidTr="005A2200">
        <w:tc>
          <w:tcPr>
            <w:tcW w:w="0" w:type="auto"/>
            <w:gridSpan w:val="2"/>
            <w:shd w:val="clear" w:color="auto" w:fill="auto"/>
          </w:tcPr>
          <w:p w14:paraId="28844DF2"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Vaskularni poremećaji</w:t>
            </w:r>
          </w:p>
        </w:tc>
      </w:tr>
      <w:tr w:rsidR="00766713" w:rsidRPr="005A2200" w14:paraId="63B090D5" w14:textId="77777777" w:rsidTr="005A2200">
        <w:tc>
          <w:tcPr>
            <w:tcW w:w="0" w:type="auto"/>
            <w:shd w:val="clear" w:color="auto" w:fill="auto"/>
          </w:tcPr>
          <w:p w14:paraId="323D2780"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color w:val="1A1A1A"/>
                <w:sz w:val="22"/>
                <w:szCs w:val="22"/>
                <w:lang w:val="sr-Latn-ME"/>
              </w:rPr>
              <w:t>Povremeno</w:t>
            </w:r>
          </w:p>
        </w:tc>
        <w:tc>
          <w:tcPr>
            <w:tcW w:w="0" w:type="auto"/>
            <w:shd w:val="clear" w:color="auto" w:fill="auto"/>
          </w:tcPr>
          <w:p w14:paraId="6F21185D"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hipertenzija</w:t>
            </w:r>
          </w:p>
        </w:tc>
      </w:tr>
      <w:tr w:rsidR="00766713" w:rsidRPr="005A2200" w14:paraId="33592B0C" w14:textId="77777777" w:rsidTr="005A2200">
        <w:tc>
          <w:tcPr>
            <w:tcW w:w="0" w:type="auto"/>
            <w:gridSpan w:val="2"/>
            <w:shd w:val="clear" w:color="auto" w:fill="auto"/>
          </w:tcPr>
          <w:p w14:paraId="07B12EB3" w14:textId="77777777" w:rsidR="00766713" w:rsidRPr="005A2200" w:rsidRDefault="00766713" w:rsidP="005A2200">
            <w:pPr>
              <w:widowControl w:val="0"/>
              <w:tabs>
                <w:tab w:val="left" w:pos="284"/>
              </w:tabs>
              <w:jc w:val="both"/>
              <w:rPr>
                <w:rFonts w:asciiTheme="majorBidi" w:eastAsia="Calibri" w:hAnsiTheme="majorBidi" w:cstheme="majorBidi"/>
                <w:b/>
                <w:bCs/>
                <w:sz w:val="22"/>
                <w:szCs w:val="22"/>
                <w:lang w:val="sr-Latn-ME"/>
              </w:rPr>
            </w:pPr>
            <w:r w:rsidRPr="005A2200">
              <w:rPr>
                <w:rFonts w:asciiTheme="majorBidi" w:eastAsia="Calibri" w:hAnsiTheme="majorBidi" w:cstheme="majorBidi"/>
                <w:b/>
                <w:bCs/>
                <w:sz w:val="22"/>
                <w:szCs w:val="22"/>
                <w:lang w:val="sr-Latn-ME"/>
              </w:rPr>
              <w:t>Respiratorni, torakalni i medijastilni poremećaji</w:t>
            </w:r>
          </w:p>
        </w:tc>
      </w:tr>
      <w:tr w:rsidR="00766713" w:rsidRPr="005A2200" w14:paraId="780E32DF" w14:textId="77777777" w:rsidTr="005A2200">
        <w:tc>
          <w:tcPr>
            <w:tcW w:w="0" w:type="auto"/>
            <w:shd w:val="clear" w:color="auto" w:fill="auto"/>
          </w:tcPr>
          <w:p w14:paraId="7ED530AA" w14:textId="10B8F886"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p>
        </w:tc>
        <w:tc>
          <w:tcPr>
            <w:tcW w:w="0" w:type="auto"/>
            <w:shd w:val="clear" w:color="auto" w:fill="auto"/>
          </w:tcPr>
          <w:p w14:paraId="53B8EAA2"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dispneja, hipertrofija krajnika</w:t>
            </w:r>
          </w:p>
        </w:tc>
      </w:tr>
      <w:tr w:rsidR="00766713" w:rsidRPr="005A2200" w14:paraId="6B02CF61" w14:textId="77777777" w:rsidTr="005A2200">
        <w:tc>
          <w:tcPr>
            <w:tcW w:w="0" w:type="auto"/>
            <w:gridSpan w:val="2"/>
            <w:shd w:val="clear" w:color="auto" w:fill="auto"/>
          </w:tcPr>
          <w:p w14:paraId="53C2960A"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Poremećaji gastrointestinalnog sistema</w:t>
            </w:r>
          </w:p>
        </w:tc>
      </w:tr>
      <w:tr w:rsidR="00766713" w:rsidRPr="005A2200" w14:paraId="0620E2CF" w14:textId="77777777" w:rsidTr="005A2200">
        <w:tc>
          <w:tcPr>
            <w:tcW w:w="0" w:type="auto"/>
            <w:shd w:val="clear" w:color="auto" w:fill="auto"/>
          </w:tcPr>
          <w:p w14:paraId="65DA9C9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Često</w:t>
            </w:r>
          </w:p>
        </w:tc>
        <w:tc>
          <w:tcPr>
            <w:tcW w:w="0" w:type="auto"/>
            <w:shd w:val="clear" w:color="auto" w:fill="auto"/>
          </w:tcPr>
          <w:p w14:paraId="0EB663D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mučnina, dijareja, flatulencija, bol u abdomenu</w:t>
            </w:r>
            <w:r w:rsidRPr="005A2200">
              <w:rPr>
                <w:rFonts w:asciiTheme="majorBidi" w:hAnsiTheme="majorBidi" w:cstheme="majorBidi"/>
                <w:sz w:val="22"/>
                <w:szCs w:val="22"/>
                <w:vertAlign w:val="superscript"/>
                <w:lang w:val="sr-Latn-ME"/>
              </w:rPr>
              <w:t>4</w:t>
            </w:r>
            <w:r w:rsidRPr="005A2200">
              <w:rPr>
                <w:rFonts w:asciiTheme="majorBidi" w:hAnsiTheme="majorBidi" w:cstheme="majorBidi"/>
                <w:sz w:val="22"/>
                <w:szCs w:val="22"/>
                <w:lang w:val="sr-Latn-ME"/>
              </w:rPr>
              <w:t xml:space="preserve">, povraćanje </w:t>
            </w:r>
          </w:p>
        </w:tc>
      </w:tr>
      <w:tr w:rsidR="00766713" w:rsidRPr="005A2200" w14:paraId="6C8A011E" w14:textId="77777777" w:rsidTr="005A2200">
        <w:tc>
          <w:tcPr>
            <w:tcW w:w="0" w:type="auto"/>
            <w:shd w:val="clear" w:color="auto" w:fill="auto"/>
          </w:tcPr>
          <w:p w14:paraId="36A9DF6A"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color w:val="1A1A1A"/>
                <w:sz w:val="22"/>
                <w:szCs w:val="22"/>
                <w:lang w:val="sr-Latn-ME"/>
              </w:rPr>
              <w:t>Povremeno</w:t>
            </w:r>
          </w:p>
        </w:tc>
        <w:tc>
          <w:tcPr>
            <w:tcW w:w="0" w:type="auto"/>
            <w:shd w:val="clear" w:color="auto" w:fill="auto"/>
          </w:tcPr>
          <w:p w14:paraId="2DECB289"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konstipacija, nelagoda u abdomenu</w:t>
            </w:r>
            <w:r w:rsidRPr="005A2200">
              <w:rPr>
                <w:rFonts w:asciiTheme="majorBidi" w:hAnsiTheme="majorBidi" w:cstheme="majorBidi"/>
                <w:sz w:val="22"/>
                <w:szCs w:val="22"/>
                <w:vertAlign w:val="superscript"/>
                <w:lang w:val="sr-Latn-ME"/>
              </w:rPr>
              <w:t>5</w:t>
            </w:r>
            <w:r w:rsidRPr="005A2200">
              <w:rPr>
                <w:rFonts w:asciiTheme="majorBidi" w:hAnsiTheme="majorBidi" w:cstheme="majorBidi"/>
                <w:sz w:val="22"/>
                <w:szCs w:val="22"/>
                <w:lang w:val="sr-Latn-ME"/>
              </w:rPr>
              <w:t>, distenzija abdomena, dispepsija, mekana stolica</w:t>
            </w:r>
            <w:r w:rsidRPr="005A2200">
              <w:rPr>
                <w:rFonts w:asciiTheme="majorBidi" w:hAnsiTheme="majorBidi" w:cstheme="majorBidi"/>
                <w:sz w:val="22"/>
                <w:szCs w:val="22"/>
                <w:vertAlign w:val="superscript"/>
                <w:lang w:val="sr-Latn-ME"/>
              </w:rPr>
              <w:t>6</w:t>
            </w:r>
            <w:r w:rsidRPr="005A2200">
              <w:rPr>
                <w:rFonts w:asciiTheme="majorBidi" w:hAnsiTheme="majorBidi" w:cstheme="majorBidi"/>
                <w:sz w:val="22"/>
                <w:szCs w:val="22"/>
                <w:lang w:val="sr-Latn-ME"/>
              </w:rPr>
              <w:t>, poremećaj gastrointestinalnog motiliteta</w:t>
            </w:r>
            <w:r w:rsidRPr="005A2200">
              <w:rPr>
                <w:rFonts w:asciiTheme="majorBidi" w:hAnsiTheme="majorBidi" w:cstheme="majorBidi"/>
                <w:sz w:val="22"/>
                <w:szCs w:val="22"/>
                <w:vertAlign w:val="superscript"/>
                <w:lang w:val="sr-Latn-ME"/>
              </w:rPr>
              <w:t>7</w:t>
            </w:r>
          </w:p>
        </w:tc>
      </w:tr>
      <w:tr w:rsidR="00766713" w:rsidRPr="005A2200" w14:paraId="61CF3900" w14:textId="77777777" w:rsidTr="005A2200">
        <w:tc>
          <w:tcPr>
            <w:tcW w:w="0" w:type="auto"/>
            <w:shd w:val="clear" w:color="auto" w:fill="auto"/>
          </w:tcPr>
          <w:p w14:paraId="0559C374" w14:textId="23B0F4C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w:t>
            </w:r>
            <w:r w:rsidR="002329C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p>
        </w:tc>
        <w:tc>
          <w:tcPr>
            <w:tcW w:w="0" w:type="auto"/>
            <w:shd w:val="clear" w:color="auto" w:fill="auto"/>
          </w:tcPr>
          <w:p w14:paraId="5FABEDD0"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rektalni tenezmus</w:t>
            </w:r>
          </w:p>
        </w:tc>
      </w:tr>
      <w:tr w:rsidR="00766713" w:rsidRPr="005A2200" w14:paraId="28634DEF" w14:textId="77777777" w:rsidTr="005A2200">
        <w:tc>
          <w:tcPr>
            <w:tcW w:w="0" w:type="auto"/>
            <w:gridSpan w:val="2"/>
            <w:shd w:val="clear" w:color="auto" w:fill="auto"/>
          </w:tcPr>
          <w:p w14:paraId="65CA992D"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 xml:space="preserve">Poremećaji kože i potkožnog tkiva </w:t>
            </w:r>
          </w:p>
        </w:tc>
      </w:tr>
      <w:tr w:rsidR="00766713" w:rsidRPr="005A2200" w14:paraId="3B3F8626" w14:textId="77777777" w:rsidTr="005A2200">
        <w:tc>
          <w:tcPr>
            <w:tcW w:w="0" w:type="auto"/>
            <w:shd w:val="clear" w:color="auto" w:fill="auto"/>
          </w:tcPr>
          <w:p w14:paraId="04B1839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Često</w:t>
            </w:r>
          </w:p>
        </w:tc>
        <w:tc>
          <w:tcPr>
            <w:tcW w:w="0" w:type="auto"/>
            <w:shd w:val="clear" w:color="auto" w:fill="auto"/>
          </w:tcPr>
          <w:p w14:paraId="291239C8"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osip</w:t>
            </w:r>
            <w:r w:rsidRPr="005A2200">
              <w:rPr>
                <w:rFonts w:asciiTheme="majorBidi" w:hAnsiTheme="majorBidi" w:cstheme="majorBidi"/>
                <w:sz w:val="22"/>
                <w:szCs w:val="22"/>
                <w:vertAlign w:val="superscript"/>
                <w:lang w:val="sr-Latn-ME"/>
              </w:rPr>
              <w:t>8</w:t>
            </w:r>
          </w:p>
        </w:tc>
      </w:tr>
      <w:tr w:rsidR="00766713" w:rsidRPr="005A2200" w14:paraId="0695756F" w14:textId="77777777" w:rsidTr="005A2200">
        <w:tc>
          <w:tcPr>
            <w:tcW w:w="0" w:type="auto"/>
            <w:shd w:val="clear" w:color="auto" w:fill="auto"/>
          </w:tcPr>
          <w:p w14:paraId="0F0A2724"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color w:val="1A1A1A"/>
                <w:sz w:val="22"/>
                <w:szCs w:val="22"/>
                <w:lang w:val="sr-Latn-ME"/>
              </w:rPr>
              <w:t>Povremeno</w:t>
            </w:r>
          </w:p>
        </w:tc>
        <w:tc>
          <w:tcPr>
            <w:tcW w:w="0" w:type="auto"/>
            <w:shd w:val="clear" w:color="auto" w:fill="auto"/>
          </w:tcPr>
          <w:p w14:paraId="138C408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pruritus</w:t>
            </w:r>
          </w:p>
        </w:tc>
      </w:tr>
      <w:tr w:rsidR="00766713" w:rsidRPr="005A2200" w14:paraId="04A3F0DF" w14:textId="77777777" w:rsidTr="005A2200">
        <w:tc>
          <w:tcPr>
            <w:tcW w:w="0" w:type="auto"/>
            <w:shd w:val="clear" w:color="auto" w:fill="auto"/>
          </w:tcPr>
          <w:p w14:paraId="2EC6E1BE" w14:textId="5468D36D"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p>
        </w:tc>
        <w:tc>
          <w:tcPr>
            <w:tcW w:w="0" w:type="auto"/>
            <w:shd w:val="clear" w:color="auto" w:fill="auto"/>
          </w:tcPr>
          <w:p w14:paraId="1ECEF54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alergijski dermatitis, rozacea</w:t>
            </w:r>
          </w:p>
        </w:tc>
      </w:tr>
      <w:tr w:rsidR="007D3FE2" w:rsidRPr="005A2200" w14:paraId="6FE303A0" w14:textId="77777777" w:rsidTr="005A2200">
        <w:tc>
          <w:tcPr>
            <w:tcW w:w="0" w:type="auto"/>
            <w:shd w:val="clear" w:color="auto" w:fill="auto"/>
          </w:tcPr>
          <w:p w14:paraId="3222696F" w14:textId="664334FF" w:rsidR="007D3FE2" w:rsidRPr="005A2200" w:rsidRDefault="007D3FE2"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Nepoznata učestalost</w:t>
            </w:r>
          </w:p>
        </w:tc>
        <w:tc>
          <w:tcPr>
            <w:tcW w:w="0" w:type="auto"/>
            <w:shd w:val="clear" w:color="auto" w:fill="auto"/>
          </w:tcPr>
          <w:p w14:paraId="6D339B8B" w14:textId="20C59387" w:rsidR="007D3FE2" w:rsidRPr="005A2200" w:rsidRDefault="007D3FE2"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Toksična epidermalna nekroliza</w:t>
            </w:r>
          </w:p>
        </w:tc>
      </w:tr>
      <w:tr w:rsidR="00766713" w:rsidRPr="005A2200" w14:paraId="10F0FAF0" w14:textId="77777777" w:rsidTr="005A2200">
        <w:tc>
          <w:tcPr>
            <w:tcW w:w="0" w:type="auto"/>
            <w:gridSpan w:val="2"/>
            <w:shd w:val="clear" w:color="auto" w:fill="auto"/>
          </w:tcPr>
          <w:p w14:paraId="205C5336"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b/>
                <w:bCs/>
                <w:sz w:val="22"/>
                <w:szCs w:val="22"/>
                <w:lang w:val="sr-Latn-ME"/>
              </w:rPr>
              <w:t>Poremećaji mišićno</w:t>
            </w:r>
            <w:r w:rsidRPr="005A2200">
              <w:rPr>
                <w:rFonts w:asciiTheme="majorBidi" w:hAnsiTheme="majorBidi" w:cstheme="majorBidi"/>
                <w:b/>
                <w:bCs/>
                <w:sz w:val="22"/>
                <w:szCs w:val="22"/>
                <w:lang w:val="sr-Latn-ME"/>
              </w:rPr>
              <w:noBreakHyphen/>
              <w:t xml:space="preserve">koštanog sistema i vezivnog tkiva </w:t>
            </w:r>
          </w:p>
        </w:tc>
      </w:tr>
      <w:tr w:rsidR="00766713" w:rsidRPr="005A2200" w14:paraId="16F9AE00" w14:textId="77777777" w:rsidTr="005A2200">
        <w:tc>
          <w:tcPr>
            <w:tcW w:w="0" w:type="auto"/>
            <w:shd w:val="clear" w:color="auto" w:fill="auto"/>
          </w:tcPr>
          <w:p w14:paraId="07D78522"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color w:val="1A1A1A"/>
                <w:sz w:val="22"/>
                <w:szCs w:val="22"/>
                <w:lang w:val="sr-Latn-ME"/>
              </w:rPr>
              <w:t>Povremeno</w:t>
            </w:r>
          </w:p>
        </w:tc>
        <w:tc>
          <w:tcPr>
            <w:tcW w:w="0" w:type="auto"/>
            <w:shd w:val="clear" w:color="auto" w:fill="auto"/>
          </w:tcPr>
          <w:p w14:paraId="721B28D0"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mialgija, artralgija</w:t>
            </w:r>
          </w:p>
        </w:tc>
      </w:tr>
      <w:tr w:rsidR="00766713" w:rsidRPr="005A2200" w14:paraId="16A39299" w14:textId="77777777" w:rsidTr="005A2200">
        <w:tc>
          <w:tcPr>
            <w:tcW w:w="0" w:type="auto"/>
            <w:shd w:val="clear" w:color="auto" w:fill="auto"/>
          </w:tcPr>
          <w:p w14:paraId="0394E1FD" w14:textId="488C336E"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p>
        </w:tc>
        <w:tc>
          <w:tcPr>
            <w:tcW w:w="0" w:type="auto"/>
            <w:shd w:val="clear" w:color="auto" w:fill="auto"/>
          </w:tcPr>
          <w:p w14:paraId="01AE4BEE" w14:textId="77777777" w:rsidR="00766713" w:rsidRPr="005A2200" w:rsidDel="00707FA7"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bol u kostima i mišićima</w:t>
            </w:r>
          </w:p>
        </w:tc>
      </w:tr>
      <w:tr w:rsidR="00766713" w:rsidRPr="005A2200" w14:paraId="3C42F767" w14:textId="77777777" w:rsidTr="005A2200">
        <w:tc>
          <w:tcPr>
            <w:tcW w:w="0" w:type="auto"/>
            <w:gridSpan w:val="2"/>
            <w:shd w:val="clear" w:color="auto" w:fill="auto"/>
          </w:tcPr>
          <w:p w14:paraId="1C3BC6B6"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Poremećaji bubrega i urinarnog sistema</w:t>
            </w:r>
          </w:p>
        </w:tc>
      </w:tr>
      <w:tr w:rsidR="00766713" w:rsidRPr="005A2200" w14:paraId="02989C5B" w14:textId="77777777" w:rsidTr="005A2200">
        <w:tc>
          <w:tcPr>
            <w:tcW w:w="0" w:type="auto"/>
            <w:shd w:val="clear" w:color="auto" w:fill="auto"/>
          </w:tcPr>
          <w:p w14:paraId="701A089A" w14:textId="740BF178"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p>
        </w:tc>
        <w:tc>
          <w:tcPr>
            <w:tcW w:w="0" w:type="auto"/>
            <w:shd w:val="clear" w:color="auto" w:fill="auto"/>
          </w:tcPr>
          <w:p w14:paraId="31C8E226"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akutna bubrežna insuficijencija, poremećaj bubrega, mokraćni kamen, nefrolitijaza </w:t>
            </w:r>
          </w:p>
        </w:tc>
      </w:tr>
      <w:tr w:rsidR="00766713" w:rsidRPr="005A2200" w14:paraId="76F921FB" w14:textId="77777777" w:rsidTr="005A2200">
        <w:tc>
          <w:tcPr>
            <w:tcW w:w="0" w:type="auto"/>
            <w:gridSpan w:val="2"/>
            <w:shd w:val="clear" w:color="auto" w:fill="auto"/>
          </w:tcPr>
          <w:p w14:paraId="33B30CA7"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Opšti poremećaji i reakcije na mestu primene</w:t>
            </w:r>
          </w:p>
        </w:tc>
      </w:tr>
      <w:tr w:rsidR="00766713" w:rsidRPr="005A2200" w14:paraId="0663EEAB" w14:textId="77777777" w:rsidTr="005A2200">
        <w:tc>
          <w:tcPr>
            <w:tcW w:w="0" w:type="auto"/>
            <w:shd w:val="clear" w:color="auto" w:fill="auto"/>
          </w:tcPr>
          <w:p w14:paraId="4E999DA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Često</w:t>
            </w:r>
          </w:p>
        </w:tc>
        <w:tc>
          <w:tcPr>
            <w:tcW w:w="0" w:type="auto"/>
            <w:shd w:val="clear" w:color="auto" w:fill="auto"/>
          </w:tcPr>
          <w:p w14:paraId="76431405"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umor </w:t>
            </w:r>
          </w:p>
        </w:tc>
      </w:tr>
      <w:tr w:rsidR="00766713" w:rsidRPr="005A2200" w14:paraId="55FBC1B1" w14:textId="77777777" w:rsidTr="005A2200">
        <w:tc>
          <w:tcPr>
            <w:tcW w:w="0" w:type="auto"/>
            <w:shd w:val="clear" w:color="auto" w:fill="auto"/>
          </w:tcPr>
          <w:p w14:paraId="42C7CA7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color w:val="1A1A1A"/>
                <w:sz w:val="22"/>
                <w:szCs w:val="22"/>
                <w:lang w:val="sr-Latn-ME"/>
              </w:rPr>
              <w:t>Povremeno</w:t>
            </w:r>
          </w:p>
        </w:tc>
        <w:tc>
          <w:tcPr>
            <w:tcW w:w="0" w:type="auto"/>
            <w:shd w:val="clear" w:color="auto" w:fill="auto"/>
          </w:tcPr>
          <w:p w14:paraId="05B042B5"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astenija, malaksalost</w:t>
            </w:r>
          </w:p>
        </w:tc>
      </w:tr>
      <w:tr w:rsidR="00766713" w:rsidRPr="005A2200" w14:paraId="2C271687" w14:textId="77777777" w:rsidTr="005A2200">
        <w:tc>
          <w:tcPr>
            <w:tcW w:w="0" w:type="auto"/>
            <w:shd w:val="clear" w:color="auto" w:fill="auto"/>
          </w:tcPr>
          <w:p w14:paraId="36427606" w14:textId="1CBD2794"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lastRenderedPageBreak/>
              <w:t>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p>
        </w:tc>
        <w:tc>
          <w:tcPr>
            <w:tcW w:w="0" w:type="auto"/>
            <w:shd w:val="clear" w:color="auto" w:fill="auto"/>
          </w:tcPr>
          <w:p w14:paraId="2EB68C0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bol u grudnom košu, jeza, bol, žeđ</w:t>
            </w:r>
          </w:p>
        </w:tc>
      </w:tr>
      <w:tr w:rsidR="00766713" w:rsidRPr="005A2200" w14:paraId="4DC60909" w14:textId="77777777" w:rsidTr="005A2200">
        <w:tc>
          <w:tcPr>
            <w:tcW w:w="0" w:type="auto"/>
            <w:gridSpan w:val="2"/>
            <w:shd w:val="clear" w:color="auto" w:fill="auto"/>
          </w:tcPr>
          <w:p w14:paraId="72980A0A"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t>Pregledi</w:t>
            </w:r>
          </w:p>
        </w:tc>
      </w:tr>
      <w:tr w:rsidR="00766713" w:rsidRPr="005A2200" w14:paraId="4D3161AA" w14:textId="77777777" w:rsidTr="005A2200">
        <w:tc>
          <w:tcPr>
            <w:tcW w:w="0" w:type="auto"/>
            <w:shd w:val="clear" w:color="auto" w:fill="auto"/>
          </w:tcPr>
          <w:p w14:paraId="41556B39"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color w:val="000000"/>
                <w:sz w:val="22"/>
                <w:szCs w:val="22"/>
                <w:lang w:val="sr-Latn-ME"/>
              </w:rPr>
            </w:pPr>
            <w:r w:rsidRPr="005A2200">
              <w:rPr>
                <w:rFonts w:asciiTheme="majorBidi" w:hAnsiTheme="majorBidi" w:cstheme="majorBidi"/>
                <w:color w:val="000000"/>
                <w:sz w:val="22"/>
                <w:szCs w:val="22"/>
                <w:lang w:val="sr-Latn-ME"/>
              </w:rPr>
              <w:t>Često</w:t>
            </w:r>
          </w:p>
        </w:tc>
        <w:tc>
          <w:tcPr>
            <w:tcW w:w="0" w:type="auto"/>
            <w:shd w:val="clear" w:color="auto" w:fill="auto"/>
          </w:tcPr>
          <w:p w14:paraId="04FF3217" w14:textId="0D34A23D"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povišene vr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ednosti alanin aminotransferaze</w:t>
            </w:r>
            <w:r w:rsidRPr="005A2200">
              <w:rPr>
                <w:rFonts w:asciiTheme="majorBidi" w:hAnsiTheme="majorBidi" w:cstheme="majorBidi"/>
                <w:sz w:val="22"/>
                <w:szCs w:val="22"/>
                <w:vertAlign w:val="superscript"/>
                <w:lang w:val="sr-Latn-ME"/>
              </w:rPr>
              <w:t>9</w:t>
            </w:r>
          </w:p>
        </w:tc>
      </w:tr>
      <w:tr w:rsidR="00766713" w:rsidRPr="005A2200" w14:paraId="3803C318" w14:textId="77777777" w:rsidTr="005A2200">
        <w:tc>
          <w:tcPr>
            <w:tcW w:w="0" w:type="auto"/>
            <w:shd w:val="clear" w:color="auto" w:fill="auto"/>
          </w:tcPr>
          <w:p w14:paraId="7A7C9145"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color w:val="000000"/>
                <w:sz w:val="22"/>
                <w:szCs w:val="22"/>
                <w:lang w:val="sr-Latn-ME"/>
              </w:rPr>
            </w:pPr>
            <w:r w:rsidRPr="005A2200">
              <w:rPr>
                <w:rFonts w:asciiTheme="majorBidi" w:hAnsiTheme="majorBidi" w:cstheme="majorBidi"/>
                <w:color w:val="1A1A1A"/>
                <w:sz w:val="22"/>
                <w:szCs w:val="22"/>
                <w:lang w:val="sr-Latn-ME"/>
              </w:rPr>
              <w:t>Povremeno</w:t>
            </w:r>
          </w:p>
        </w:tc>
        <w:tc>
          <w:tcPr>
            <w:tcW w:w="0" w:type="auto"/>
            <w:shd w:val="clear" w:color="auto" w:fill="auto"/>
          </w:tcPr>
          <w:p w14:paraId="17DDEE18" w14:textId="5A486BF5"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povišene vr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ednosti lipaze, povišene vr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ednosti aspartat aminotransferaze, povišene vr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ednosti amilaze, snižene vr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 xml:space="preserve">ednosti hemoglobina </w:t>
            </w:r>
          </w:p>
        </w:tc>
      </w:tr>
      <w:tr w:rsidR="00766713" w:rsidRPr="005A2200" w14:paraId="6CC0D902" w14:textId="77777777" w:rsidTr="005A2200">
        <w:tc>
          <w:tcPr>
            <w:tcW w:w="0" w:type="auto"/>
            <w:shd w:val="clear" w:color="auto" w:fill="auto"/>
          </w:tcPr>
          <w:p w14:paraId="0360484A" w14:textId="64FC47DC" w:rsidR="00766713" w:rsidRPr="005A2200" w:rsidRDefault="00766713" w:rsidP="005A2200">
            <w:pPr>
              <w:widowControl w:val="0"/>
              <w:tabs>
                <w:tab w:val="left" w:pos="284"/>
              </w:tabs>
              <w:autoSpaceDE w:val="0"/>
              <w:autoSpaceDN w:val="0"/>
              <w:adjustRightInd w:val="0"/>
              <w:jc w:val="both"/>
              <w:rPr>
                <w:rFonts w:asciiTheme="majorBidi" w:hAnsiTheme="majorBidi" w:cstheme="majorBidi"/>
                <w:color w:val="000000"/>
                <w:sz w:val="22"/>
                <w:szCs w:val="22"/>
                <w:lang w:val="sr-Latn-ME"/>
              </w:rPr>
            </w:pPr>
            <w:r w:rsidRPr="005A2200">
              <w:rPr>
                <w:rFonts w:asciiTheme="majorBidi" w:hAnsiTheme="majorBidi" w:cstheme="majorBidi"/>
                <w:sz w:val="22"/>
                <w:szCs w:val="22"/>
                <w:lang w:val="sr-Latn-ME"/>
              </w:rPr>
              <w:t>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etko</w:t>
            </w:r>
            <w:r w:rsidRPr="005A2200">
              <w:rPr>
                <w:rFonts w:asciiTheme="majorBidi" w:hAnsiTheme="majorBidi" w:cstheme="majorBidi"/>
                <w:color w:val="000000"/>
                <w:sz w:val="22"/>
                <w:szCs w:val="22"/>
                <w:lang w:val="sr-Latn-ME"/>
              </w:rPr>
              <w:t xml:space="preserve"> </w:t>
            </w:r>
          </w:p>
        </w:tc>
        <w:tc>
          <w:tcPr>
            <w:tcW w:w="0" w:type="auto"/>
            <w:shd w:val="clear" w:color="auto" w:fill="auto"/>
          </w:tcPr>
          <w:p w14:paraId="1FC1E6D2" w14:textId="063B8537" w:rsidR="00766713" w:rsidRPr="005A2200" w:rsidDel="000A725E"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povišene vr</w:t>
            </w:r>
            <w:r w:rsidR="008359EF"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ednosti kreatin fosfokinaze u krvi</w:t>
            </w:r>
          </w:p>
        </w:tc>
      </w:tr>
      <w:tr w:rsidR="00766713" w:rsidRPr="005A2200" w:rsidDel="005D1D00" w14:paraId="43656996" w14:textId="77777777" w:rsidTr="005A2200">
        <w:tc>
          <w:tcPr>
            <w:tcW w:w="0" w:type="auto"/>
            <w:gridSpan w:val="2"/>
            <w:shd w:val="clear" w:color="auto" w:fill="auto"/>
          </w:tcPr>
          <w:p w14:paraId="3D520FF2" w14:textId="77777777" w:rsidR="00766713" w:rsidRPr="005A2200" w:rsidRDefault="00766713" w:rsidP="005A2200">
            <w:pPr>
              <w:widowControl w:val="0"/>
              <w:tabs>
                <w:tab w:val="left" w:pos="284"/>
              </w:tabs>
              <w:jc w:val="both"/>
              <w:rPr>
                <w:rFonts w:asciiTheme="majorBidi" w:eastAsia="Calibri" w:hAnsiTheme="majorBidi" w:cstheme="majorBidi"/>
                <w:sz w:val="20"/>
                <w:szCs w:val="22"/>
                <w:lang w:val="sr-Latn-ME"/>
              </w:rPr>
            </w:pPr>
            <w:r w:rsidRPr="005A2200">
              <w:rPr>
                <w:rFonts w:asciiTheme="majorBidi" w:eastAsia="Calibri" w:hAnsiTheme="majorBidi" w:cstheme="majorBidi"/>
                <w:sz w:val="20"/>
                <w:szCs w:val="22"/>
                <w:vertAlign w:val="superscript"/>
                <w:lang w:val="sr-Latn-ME"/>
              </w:rPr>
              <w:t>1</w:t>
            </w:r>
            <w:r w:rsidRPr="005A2200">
              <w:rPr>
                <w:rFonts w:asciiTheme="majorBidi" w:eastAsia="Calibri" w:hAnsiTheme="majorBidi" w:cstheme="majorBidi"/>
                <w:sz w:val="20"/>
                <w:szCs w:val="22"/>
                <w:lang w:val="sr-Latn-ME"/>
              </w:rPr>
              <w:t>nesanica uključuje: nesanicu, početnu nesanicu i poremećaj spavanja</w:t>
            </w:r>
          </w:p>
          <w:p w14:paraId="103A9840" w14:textId="77777777" w:rsidR="00766713" w:rsidRPr="005A2200" w:rsidRDefault="00766713" w:rsidP="005A2200">
            <w:pPr>
              <w:widowControl w:val="0"/>
              <w:tabs>
                <w:tab w:val="left" w:pos="284"/>
              </w:tabs>
              <w:jc w:val="both"/>
              <w:rPr>
                <w:rFonts w:asciiTheme="majorBidi" w:eastAsia="Calibri" w:hAnsiTheme="majorBidi" w:cstheme="majorBidi"/>
                <w:sz w:val="20"/>
                <w:szCs w:val="22"/>
                <w:lang w:val="sr-Latn-ME"/>
              </w:rPr>
            </w:pPr>
            <w:r w:rsidRPr="005A2200">
              <w:rPr>
                <w:rFonts w:asciiTheme="majorBidi" w:eastAsia="Calibri" w:hAnsiTheme="majorBidi" w:cstheme="majorBidi"/>
                <w:sz w:val="20"/>
                <w:szCs w:val="22"/>
                <w:vertAlign w:val="superscript"/>
                <w:lang w:val="sr-Latn-ME"/>
              </w:rPr>
              <w:t>2</w:t>
            </w:r>
            <w:r w:rsidRPr="005A2200">
              <w:rPr>
                <w:rFonts w:asciiTheme="majorBidi" w:eastAsia="Calibri" w:hAnsiTheme="majorBidi" w:cstheme="majorBidi"/>
                <w:sz w:val="20"/>
                <w:szCs w:val="22"/>
                <w:lang w:val="sr-Latn-ME"/>
              </w:rPr>
              <w:t xml:space="preserve">depresija uključuje: depresiju, depresivno raspoloženje, veliki depresivni poremećaj i perzistirajući depresivni poremećaj </w:t>
            </w:r>
          </w:p>
          <w:p w14:paraId="32EF80DB" w14:textId="77777777" w:rsidR="00766713" w:rsidRPr="005A2200" w:rsidRDefault="00766713" w:rsidP="005A2200">
            <w:pPr>
              <w:widowControl w:val="0"/>
              <w:tabs>
                <w:tab w:val="left" w:pos="284"/>
              </w:tabs>
              <w:jc w:val="both"/>
              <w:rPr>
                <w:rFonts w:asciiTheme="majorBidi" w:eastAsia="Calibri" w:hAnsiTheme="majorBidi" w:cstheme="majorBidi"/>
                <w:sz w:val="20"/>
                <w:szCs w:val="22"/>
                <w:lang w:val="sr-Latn-ME"/>
              </w:rPr>
            </w:pPr>
            <w:r w:rsidRPr="005A2200">
              <w:rPr>
                <w:rFonts w:asciiTheme="majorBidi" w:eastAsia="Calibri" w:hAnsiTheme="majorBidi" w:cstheme="majorBidi"/>
                <w:sz w:val="20"/>
                <w:szCs w:val="22"/>
                <w:vertAlign w:val="superscript"/>
                <w:lang w:val="sr-Latn-ME"/>
              </w:rPr>
              <w:t>3</w:t>
            </w:r>
            <w:r w:rsidRPr="005A2200">
              <w:rPr>
                <w:rFonts w:asciiTheme="majorBidi" w:eastAsia="Calibri" w:hAnsiTheme="majorBidi" w:cstheme="majorBidi"/>
                <w:sz w:val="20"/>
                <w:szCs w:val="22"/>
                <w:lang w:val="sr-Latn-ME"/>
              </w:rPr>
              <w:t>anksioznost uključuje: anksioznost i generalizovani anksiozni poremećaj</w:t>
            </w:r>
          </w:p>
          <w:p w14:paraId="292F0E7A" w14:textId="6A33A904" w:rsidR="00766713" w:rsidRPr="005A2200" w:rsidRDefault="00766713" w:rsidP="005A2200">
            <w:pPr>
              <w:widowControl w:val="0"/>
              <w:tabs>
                <w:tab w:val="left" w:pos="284"/>
              </w:tabs>
              <w:jc w:val="both"/>
              <w:rPr>
                <w:rFonts w:asciiTheme="majorBidi" w:eastAsia="Calibri" w:hAnsiTheme="majorBidi" w:cstheme="majorBidi"/>
                <w:sz w:val="20"/>
                <w:szCs w:val="22"/>
                <w:lang w:val="sr-Latn-ME"/>
              </w:rPr>
            </w:pPr>
            <w:r w:rsidRPr="005A2200">
              <w:rPr>
                <w:rFonts w:asciiTheme="majorBidi" w:eastAsia="Calibri" w:hAnsiTheme="majorBidi" w:cstheme="majorBidi"/>
                <w:sz w:val="20"/>
                <w:szCs w:val="22"/>
                <w:vertAlign w:val="superscript"/>
                <w:lang w:val="sr-Latn-ME"/>
              </w:rPr>
              <w:t>4</w:t>
            </w:r>
            <w:r w:rsidRPr="005A2200">
              <w:rPr>
                <w:rFonts w:asciiTheme="majorBidi" w:eastAsia="Calibri" w:hAnsiTheme="majorBidi" w:cstheme="majorBidi"/>
                <w:sz w:val="20"/>
                <w:szCs w:val="22"/>
                <w:lang w:val="sr-Latn-ME"/>
              </w:rPr>
              <w:t>bol u abdomenu uključuje: bol u abdomenu i bol u gornjem d</w:t>
            </w:r>
            <w:r w:rsidR="00D87EC8" w:rsidRPr="005A2200">
              <w:rPr>
                <w:rFonts w:asciiTheme="majorBidi" w:eastAsia="Calibri" w:hAnsiTheme="majorBidi" w:cstheme="majorBidi"/>
                <w:sz w:val="20"/>
                <w:szCs w:val="22"/>
                <w:lang w:val="sr-Latn-ME"/>
              </w:rPr>
              <w:t>ij</w:t>
            </w:r>
            <w:r w:rsidRPr="005A2200">
              <w:rPr>
                <w:rFonts w:asciiTheme="majorBidi" w:eastAsia="Calibri" w:hAnsiTheme="majorBidi" w:cstheme="majorBidi"/>
                <w:sz w:val="20"/>
                <w:szCs w:val="22"/>
                <w:lang w:val="sr-Latn-ME"/>
              </w:rPr>
              <w:t>elu abdomena</w:t>
            </w:r>
          </w:p>
          <w:p w14:paraId="0D4B2BA6" w14:textId="77777777" w:rsidR="00766713" w:rsidRPr="005A2200" w:rsidRDefault="00766713" w:rsidP="005A2200">
            <w:pPr>
              <w:widowControl w:val="0"/>
              <w:tabs>
                <w:tab w:val="left" w:pos="284"/>
              </w:tabs>
              <w:jc w:val="both"/>
              <w:rPr>
                <w:rFonts w:asciiTheme="majorBidi" w:eastAsia="Calibri" w:hAnsiTheme="majorBidi" w:cstheme="majorBidi"/>
                <w:sz w:val="20"/>
                <w:szCs w:val="22"/>
                <w:lang w:val="sr-Latn-ME"/>
              </w:rPr>
            </w:pPr>
            <w:r w:rsidRPr="005A2200">
              <w:rPr>
                <w:rFonts w:asciiTheme="majorBidi" w:eastAsia="Calibri" w:hAnsiTheme="majorBidi" w:cstheme="majorBidi"/>
                <w:sz w:val="20"/>
                <w:szCs w:val="22"/>
                <w:vertAlign w:val="superscript"/>
                <w:lang w:val="sr-Latn-ME"/>
              </w:rPr>
              <w:t>5</w:t>
            </w:r>
            <w:r w:rsidRPr="005A2200">
              <w:rPr>
                <w:rFonts w:asciiTheme="majorBidi" w:eastAsia="Calibri" w:hAnsiTheme="majorBidi" w:cstheme="majorBidi"/>
                <w:sz w:val="20"/>
                <w:szCs w:val="22"/>
                <w:lang w:val="sr-Latn-ME"/>
              </w:rPr>
              <w:t>nelagoda u abdomenu uključuje: nelagodu u abdomenu i nelagodu u epigastrijumu</w:t>
            </w:r>
          </w:p>
          <w:p w14:paraId="17D6442B" w14:textId="77777777" w:rsidR="00766713" w:rsidRPr="005A2200" w:rsidRDefault="00766713" w:rsidP="005A2200">
            <w:pPr>
              <w:widowControl w:val="0"/>
              <w:tabs>
                <w:tab w:val="left" w:pos="284"/>
              </w:tabs>
              <w:jc w:val="both"/>
              <w:rPr>
                <w:rFonts w:asciiTheme="majorBidi" w:eastAsia="Calibri" w:hAnsiTheme="majorBidi" w:cstheme="majorBidi"/>
                <w:sz w:val="20"/>
                <w:szCs w:val="22"/>
                <w:lang w:val="sr-Latn-ME"/>
              </w:rPr>
            </w:pPr>
            <w:r w:rsidRPr="005A2200">
              <w:rPr>
                <w:rFonts w:asciiTheme="majorBidi" w:eastAsia="Calibri" w:hAnsiTheme="majorBidi" w:cstheme="majorBidi"/>
                <w:sz w:val="20"/>
                <w:szCs w:val="22"/>
                <w:vertAlign w:val="superscript"/>
                <w:lang w:val="sr-Latn-ME"/>
              </w:rPr>
              <w:t>6</w:t>
            </w:r>
            <w:r w:rsidRPr="005A2200">
              <w:rPr>
                <w:rFonts w:asciiTheme="majorBidi" w:eastAsia="Calibri" w:hAnsiTheme="majorBidi" w:cstheme="majorBidi"/>
                <w:sz w:val="20"/>
                <w:szCs w:val="22"/>
                <w:lang w:val="sr-Latn-ME"/>
              </w:rPr>
              <w:t>mekana stolica uključuje: mekanu stolicu i abnormalnu stolicu</w:t>
            </w:r>
          </w:p>
          <w:p w14:paraId="1201D654" w14:textId="71A96AE6" w:rsidR="00766713" w:rsidRPr="005A2200" w:rsidRDefault="00766713" w:rsidP="005A2200">
            <w:pPr>
              <w:widowControl w:val="0"/>
              <w:tabs>
                <w:tab w:val="left" w:pos="284"/>
              </w:tabs>
              <w:jc w:val="both"/>
              <w:rPr>
                <w:rFonts w:asciiTheme="majorBidi" w:eastAsia="Calibri" w:hAnsiTheme="majorBidi" w:cstheme="majorBidi"/>
                <w:sz w:val="20"/>
                <w:szCs w:val="22"/>
                <w:lang w:val="sr-Latn-ME"/>
              </w:rPr>
            </w:pPr>
            <w:r w:rsidRPr="005A2200">
              <w:rPr>
                <w:rFonts w:asciiTheme="majorBidi" w:eastAsia="Calibri" w:hAnsiTheme="majorBidi" w:cstheme="majorBidi"/>
                <w:sz w:val="20"/>
                <w:szCs w:val="22"/>
                <w:vertAlign w:val="superscript"/>
                <w:lang w:val="sr-Latn-ME"/>
              </w:rPr>
              <w:t>7</w:t>
            </w:r>
            <w:r w:rsidRPr="005A2200">
              <w:rPr>
                <w:rFonts w:asciiTheme="majorBidi" w:eastAsia="Calibri" w:hAnsiTheme="majorBidi" w:cstheme="majorBidi"/>
                <w:sz w:val="20"/>
                <w:szCs w:val="22"/>
                <w:lang w:val="sr-Latn-ME"/>
              </w:rPr>
              <w:t>poremećaj gastrointestinalnog motiliteta uključuje: poremećaj gastrointestinalnog motiliteta i učestala pražnjenja cr</w:t>
            </w:r>
            <w:r w:rsidR="00D87EC8" w:rsidRPr="005A2200">
              <w:rPr>
                <w:rFonts w:asciiTheme="majorBidi" w:eastAsia="Calibri" w:hAnsiTheme="majorBidi" w:cstheme="majorBidi"/>
                <w:sz w:val="20"/>
                <w:szCs w:val="22"/>
                <w:lang w:val="sr-Latn-ME"/>
              </w:rPr>
              <w:t>ij</w:t>
            </w:r>
            <w:r w:rsidRPr="005A2200">
              <w:rPr>
                <w:rFonts w:asciiTheme="majorBidi" w:eastAsia="Calibri" w:hAnsiTheme="majorBidi" w:cstheme="majorBidi"/>
                <w:sz w:val="20"/>
                <w:szCs w:val="22"/>
                <w:lang w:val="sr-Latn-ME"/>
              </w:rPr>
              <w:t>eva</w:t>
            </w:r>
          </w:p>
          <w:p w14:paraId="6B880A89" w14:textId="77777777" w:rsidR="00766713" w:rsidRPr="005A2200" w:rsidRDefault="00766713" w:rsidP="005A2200">
            <w:pPr>
              <w:widowControl w:val="0"/>
              <w:tabs>
                <w:tab w:val="left" w:pos="284"/>
              </w:tabs>
              <w:jc w:val="both"/>
              <w:rPr>
                <w:rFonts w:asciiTheme="majorBidi" w:eastAsia="Calibri" w:hAnsiTheme="majorBidi" w:cstheme="majorBidi"/>
                <w:sz w:val="20"/>
                <w:szCs w:val="22"/>
                <w:lang w:val="sr-Latn-ME"/>
              </w:rPr>
            </w:pPr>
            <w:r w:rsidRPr="005A2200">
              <w:rPr>
                <w:rFonts w:asciiTheme="majorBidi" w:eastAsia="Calibri" w:hAnsiTheme="majorBidi" w:cstheme="majorBidi"/>
                <w:sz w:val="20"/>
                <w:szCs w:val="22"/>
                <w:vertAlign w:val="superscript"/>
                <w:lang w:val="sr-Latn-ME"/>
              </w:rPr>
              <w:t>8</w:t>
            </w:r>
            <w:r w:rsidRPr="005A2200">
              <w:rPr>
                <w:rFonts w:asciiTheme="majorBidi" w:eastAsia="Calibri" w:hAnsiTheme="majorBidi" w:cstheme="majorBidi"/>
                <w:sz w:val="20"/>
                <w:szCs w:val="22"/>
                <w:lang w:val="sr-Latn-ME"/>
              </w:rPr>
              <w:t>osip uključuje: osip, makularni osip, eritemski osip, generalizirani osip, makulopapularni osip, papularni osip i urtikariju</w:t>
            </w:r>
          </w:p>
          <w:p w14:paraId="5D09288C" w14:textId="0FA2E3DF" w:rsidR="00766713" w:rsidRPr="005A2200" w:rsidDel="005D1D00" w:rsidRDefault="00766713" w:rsidP="005A2200">
            <w:pPr>
              <w:widowControl w:val="0"/>
              <w:tabs>
                <w:tab w:val="left" w:pos="284"/>
              </w:tabs>
              <w:jc w:val="both"/>
              <w:rPr>
                <w:rFonts w:asciiTheme="majorBidi" w:hAnsiTheme="majorBidi" w:cstheme="majorBidi"/>
                <w:b/>
                <w:sz w:val="22"/>
                <w:szCs w:val="22"/>
                <w:lang w:val="sr-Latn-ME"/>
              </w:rPr>
            </w:pPr>
            <w:r w:rsidRPr="005A2200">
              <w:rPr>
                <w:rFonts w:asciiTheme="majorBidi" w:eastAsia="Calibri" w:hAnsiTheme="majorBidi" w:cstheme="majorBidi"/>
                <w:sz w:val="20"/>
                <w:szCs w:val="22"/>
                <w:vertAlign w:val="superscript"/>
                <w:lang w:val="sr-Latn-ME"/>
              </w:rPr>
              <w:t>9</w:t>
            </w:r>
            <w:r w:rsidRPr="005A2200">
              <w:rPr>
                <w:rFonts w:asciiTheme="majorBidi" w:eastAsia="Calibri" w:hAnsiTheme="majorBidi" w:cstheme="majorBidi"/>
                <w:sz w:val="20"/>
                <w:szCs w:val="22"/>
                <w:lang w:val="sr-Latn-ME"/>
              </w:rPr>
              <w:t>povišene vr</w:t>
            </w:r>
            <w:r w:rsidR="00D87EC8" w:rsidRPr="005A2200">
              <w:rPr>
                <w:rFonts w:asciiTheme="majorBidi" w:eastAsia="Calibri" w:hAnsiTheme="majorBidi" w:cstheme="majorBidi"/>
                <w:sz w:val="20"/>
                <w:szCs w:val="22"/>
                <w:lang w:val="sr-Latn-ME"/>
              </w:rPr>
              <w:t>ij</w:t>
            </w:r>
            <w:r w:rsidRPr="005A2200">
              <w:rPr>
                <w:rFonts w:asciiTheme="majorBidi" w:eastAsia="Calibri" w:hAnsiTheme="majorBidi" w:cstheme="majorBidi"/>
                <w:sz w:val="20"/>
                <w:szCs w:val="22"/>
                <w:lang w:val="sr-Latn-ME"/>
              </w:rPr>
              <w:t>ednosti alanin aminotransferaze uključuju: povišene vr</w:t>
            </w:r>
            <w:r w:rsidR="00D87EC8" w:rsidRPr="005A2200">
              <w:rPr>
                <w:rFonts w:asciiTheme="majorBidi" w:eastAsia="Calibri" w:hAnsiTheme="majorBidi" w:cstheme="majorBidi"/>
                <w:sz w:val="20"/>
                <w:szCs w:val="22"/>
                <w:lang w:val="sr-Latn-ME"/>
              </w:rPr>
              <w:t>ij</w:t>
            </w:r>
            <w:r w:rsidRPr="005A2200">
              <w:rPr>
                <w:rFonts w:asciiTheme="majorBidi" w:eastAsia="Calibri" w:hAnsiTheme="majorBidi" w:cstheme="majorBidi"/>
                <w:sz w:val="20"/>
                <w:szCs w:val="22"/>
                <w:lang w:val="sr-Latn-ME"/>
              </w:rPr>
              <w:t>ednosti alanin aminotransferaze i hepatocelularno oštećenje</w:t>
            </w:r>
          </w:p>
        </w:tc>
      </w:tr>
    </w:tbl>
    <w:p w14:paraId="24907A75" w14:textId="77777777" w:rsidR="00766713" w:rsidRPr="005A2200" w:rsidRDefault="00766713" w:rsidP="005A2200">
      <w:pPr>
        <w:widowControl w:val="0"/>
        <w:jc w:val="both"/>
        <w:rPr>
          <w:rFonts w:asciiTheme="majorBidi" w:hAnsiTheme="majorBidi" w:cstheme="majorBidi"/>
          <w:b/>
          <w:i/>
          <w:sz w:val="22"/>
          <w:szCs w:val="22"/>
          <w:lang w:val="sr-Latn-ME"/>
        </w:rPr>
      </w:pPr>
    </w:p>
    <w:p w14:paraId="5FCCCE90" w14:textId="77777777" w:rsidR="007D3FE2" w:rsidRPr="005A2200" w:rsidRDefault="007D3FE2"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Opis odabranih neželjenih reakcija</w:t>
      </w:r>
    </w:p>
    <w:p w14:paraId="1B27EF75" w14:textId="77777777" w:rsidR="007D3FE2" w:rsidRPr="005A2200" w:rsidRDefault="007D3FE2"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p>
    <w:p w14:paraId="55B6A19C" w14:textId="7D3952BC" w:rsidR="00766713" w:rsidRPr="005A2200" w:rsidRDefault="00766713" w:rsidP="005A2200">
      <w:pPr>
        <w:widowControl w:val="0"/>
        <w:tabs>
          <w:tab w:val="left" w:pos="284"/>
        </w:tabs>
        <w:autoSpaceDE w:val="0"/>
        <w:autoSpaceDN w:val="0"/>
        <w:adjustRightInd w:val="0"/>
        <w:jc w:val="both"/>
        <w:rPr>
          <w:rFonts w:asciiTheme="majorBidi" w:hAnsiTheme="majorBidi" w:cstheme="majorBidi"/>
          <w:i/>
          <w:iCs/>
          <w:sz w:val="22"/>
          <w:szCs w:val="22"/>
          <w:lang w:val="sr-Latn-ME"/>
        </w:rPr>
      </w:pPr>
      <w:r w:rsidRPr="005A2200">
        <w:rPr>
          <w:rFonts w:asciiTheme="majorBidi" w:hAnsiTheme="majorBidi" w:cstheme="majorBidi"/>
          <w:i/>
          <w:iCs/>
          <w:sz w:val="22"/>
          <w:szCs w:val="22"/>
          <w:lang w:val="sr-Latn-ME"/>
        </w:rPr>
        <w:t xml:space="preserve">Sindrom imunološke reaktivacije </w:t>
      </w:r>
    </w:p>
    <w:p w14:paraId="783F7615" w14:textId="77777777" w:rsidR="005C536E" w:rsidRPr="005A2200" w:rsidRDefault="005C536E" w:rsidP="005A2200">
      <w:pPr>
        <w:widowControl w:val="0"/>
        <w:tabs>
          <w:tab w:val="left" w:pos="284"/>
        </w:tabs>
        <w:autoSpaceDE w:val="0"/>
        <w:autoSpaceDN w:val="0"/>
        <w:adjustRightInd w:val="0"/>
        <w:jc w:val="both"/>
        <w:rPr>
          <w:rFonts w:asciiTheme="majorBidi" w:hAnsiTheme="majorBidi" w:cstheme="majorBidi"/>
          <w:i/>
          <w:iCs/>
          <w:sz w:val="22"/>
          <w:szCs w:val="22"/>
          <w:lang w:val="sr-Latn-ME"/>
        </w:rPr>
      </w:pPr>
    </w:p>
    <w:p w14:paraId="5A62C5F9" w14:textId="2B1D43A0"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bookmarkStart w:id="3" w:name="_Hlk13125419"/>
      <w:r w:rsidRPr="005A2200">
        <w:rPr>
          <w:rFonts w:asciiTheme="majorBidi" w:hAnsiTheme="majorBidi" w:cstheme="majorBidi"/>
          <w:sz w:val="22"/>
          <w:szCs w:val="22"/>
          <w:lang w:val="sr-Latn-ME"/>
        </w:rPr>
        <w:t>Kod pacijenata zaraženih HIV-om sa teškom imunodeficijencijom u vr</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eme započinjanja l</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 xml:space="preserve">ečenja kombinovanom antiretrovirusnom terapijom (engl. </w:t>
      </w:r>
      <w:r w:rsidRPr="005A2200">
        <w:rPr>
          <w:rFonts w:asciiTheme="majorBidi" w:hAnsiTheme="majorBidi" w:cstheme="majorBidi"/>
          <w:i/>
          <w:sz w:val="22"/>
          <w:szCs w:val="22"/>
          <w:lang w:val="sr-Latn-ME"/>
        </w:rPr>
        <w:t xml:space="preserve">Combination antiretroviral therapy, </w:t>
      </w:r>
      <w:r w:rsidRPr="005A2200">
        <w:rPr>
          <w:rFonts w:asciiTheme="majorBidi" w:hAnsiTheme="majorBidi" w:cstheme="majorBidi"/>
          <w:sz w:val="22"/>
          <w:szCs w:val="22"/>
          <w:lang w:val="sr-Latn-ME"/>
        </w:rPr>
        <w:t xml:space="preserve">CART) </w:t>
      </w:r>
      <w:bookmarkEnd w:id="3"/>
      <w:r w:rsidRPr="005A2200">
        <w:rPr>
          <w:rFonts w:asciiTheme="majorBidi" w:hAnsiTheme="majorBidi" w:cstheme="majorBidi"/>
          <w:sz w:val="22"/>
          <w:szCs w:val="22"/>
          <w:lang w:val="sr-Latn-ME"/>
        </w:rPr>
        <w:t xml:space="preserve">može nastati </w:t>
      </w:r>
      <w:r w:rsidR="00E11E6C" w:rsidRPr="005A2200">
        <w:rPr>
          <w:rFonts w:asciiTheme="majorBidi" w:hAnsiTheme="majorBidi" w:cstheme="majorBidi"/>
          <w:sz w:val="22"/>
          <w:szCs w:val="22"/>
          <w:lang w:val="sr-Latn-ME"/>
        </w:rPr>
        <w:t>inflamatorna</w:t>
      </w:r>
      <w:r w:rsidRPr="005A2200">
        <w:rPr>
          <w:rFonts w:asciiTheme="majorBidi" w:hAnsiTheme="majorBidi" w:cstheme="majorBidi"/>
          <w:sz w:val="22"/>
          <w:szCs w:val="22"/>
          <w:lang w:val="sr-Latn-ME"/>
        </w:rPr>
        <w:t>a reakcija na asimptomatske ili rezidualne oportunističke patogene. Pojava autoimunih poremećaja (poput Gravesove bolesti i autoimunog hepatitisa) takođe je bila prijavljena; međutim, prijavljeno vr</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eme do nastanka je jako varijabilno, pa ovi događaji mogu nastati više m</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eseci nakon početka l</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ečenja (vid</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A22C8A"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xml:space="preserve"> 4.4).</w:t>
      </w:r>
    </w:p>
    <w:p w14:paraId="61FA972C" w14:textId="77777777" w:rsidR="007D3FE2" w:rsidRPr="005A2200" w:rsidRDefault="007D3FE2"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2F364658" w14:textId="77777777" w:rsidR="007D3FE2" w:rsidRPr="005A2200" w:rsidRDefault="007D3FE2" w:rsidP="005A2200">
      <w:pPr>
        <w:widowControl w:val="0"/>
        <w:tabs>
          <w:tab w:val="left" w:pos="284"/>
        </w:tabs>
        <w:jc w:val="both"/>
        <w:rPr>
          <w:sz w:val="22"/>
          <w:szCs w:val="22"/>
          <w:lang w:val="sr-Latn-ME"/>
        </w:rPr>
      </w:pPr>
      <w:r w:rsidRPr="005A2200">
        <w:rPr>
          <w:i/>
          <w:iCs/>
          <w:sz w:val="22"/>
          <w:szCs w:val="22"/>
          <w:lang w:val="sr-Latn-ME"/>
        </w:rPr>
        <w:t>Teške kožne neželjene reakcije (SCARs)</w:t>
      </w:r>
    </w:p>
    <w:p w14:paraId="503569A5" w14:textId="77777777" w:rsidR="007D3FE2" w:rsidRPr="005A2200" w:rsidRDefault="007D3FE2" w:rsidP="005A2200">
      <w:pPr>
        <w:widowControl w:val="0"/>
        <w:tabs>
          <w:tab w:val="left" w:pos="284"/>
        </w:tabs>
        <w:jc w:val="both"/>
        <w:rPr>
          <w:sz w:val="22"/>
          <w:szCs w:val="22"/>
          <w:lang w:val="sr-Latn-ME"/>
        </w:rPr>
      </w:pPr>
    </w:p>
    <w:p w14:paraId="633AC5C5" w14:textId="6360E5C4" w:rsidR="007D3FE2" w:rsidRPr="005A2200" w:rsidRDefault="007D3FE2" w:rsidP="005A2200">
      <w:pPr>
        <w:widowControl w:val="0"/>
        <w:tabs>
          <w:tab w:val="left" w:pos="284"/>
        </w:tabs>
        <w:jc w:val="both"/>
        <w:outlineLvl w:val="0"/>
        <w:rPr>
          <w:sz w:val="22"/>
          <w:szCs w:val="22"/>
          <w:lang w:val="sr-Latn-ME"/>
        </w:rPr>
      </w:pPr>
      <w:r w:rsidRPr="005A2200">
        <w:rPr>
          <w:sz w:val="22"/>
          <w:szCs w:val="22"/>
          <w:lang w:val="sr-Latn-ME"/>
        </w:rPr>
        <w:t>Prijavljene su teške kožne neželjene reakcije (SCARs), kao što je toksična epidermalna nekroliza (TEN), povezane sa terapijskim režimima koji sadrže doravirin (vidjeti dio 4.4).</w:t>
      </w:r>
    </w:p>
    <w:p w14:paraId="345AF697" w14:textId="77777777" w:rsidR="007D3FE2" w:rsidRPr="005A2200" w:rsidRDefault="007D3FE2"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7C3B7D59" w14:textId="77777777" w:rsidR="003E4958" w:rsidRPr="005A2200" w:rsidRDefault="003E4958" w:rsidP="005A2200">
      <w:pPr>
        <w:widowControl w:val="0"/>
        <w:tabs>
          <w:tab w:val="left" w:pos="284"/>
        </w:tabs>
        <w:jc w:val="both"/>
        <w:rPr>
          <w:sz w:val="22"/>
          <w:szCs w:val="22"/>
          <w:u w:val="single"/>
          <w:lang w:val="sr-Latn-ME"/>
        </w:rPr>
      </w:pPr>
      <w:bookmarkStart w:id="4" w:name="_Hlk119681378"/>
      <w:r w:rsidRPr="005A2200">
        <w:rPr>
          <w:sz w:val="22"/>
          <w:szCs w:val="22"/>
          <w:u w:val="single"/>
          <w:lang w:val="sr-Latn-ME"/>
        </w:rPr>
        <w:t>Pedijatrijska populacija</w:t>
      </w:r>
    </w:p>
    <w:p w14:paraId="1144B319" w14:textId="22EAB4CB" w:rsidR="003E4958" w:rsidRPr="005A2200" w:rsidRDefault="003E4958" w:rsidP="005A2200">
      <w:pPr>
        <w:widowControl w:val="0"/>
        <w:tabs>
          <w:tab w:val="left" w:pos="284"/>
        </w:tabs>
        <w:jc w:val="both"/>
        <w:rPr>
          <w:sz w:val="22"/>
          <w:szCs w:val="22"/>
          <w:lang w:val="sr-Latn-ME"/>
        </w:rPr>
      </w:pPr>
      <w:r w:rsidRPr="005A2200">
        <w:rPr>
          <w:sz w:val="22"/>
          <w:szCs w:val="22"/>
          <w:lang w:val="sr-Latn-ME"/>
        </w:rPr>
        <w:t>Bezb</w:t>
      </w:r>
      <w:r w:rsidR="00583DCE" w:rsidRPr="005A2200">
        <w:rPr>
          <w:sz w:val="22"/>
          <w:szCs w:val="22"/>
          <w:lang w:val="sr-Latn-ME"/>
        </w:rPr>
        <w:t>j</w:t>
      </w:r>
      <w:r w:rsidRPr="005A2200">
        <w:rPr>
          <w:sz w:val="22"/>
          <w:szCs w:val="22"/>
          <w:lang w:val="sr-Latn-ME"/>
        </w:rPr>
        <w:t>ednost doravirina kao jedne od komponenti doravirina/lamivudina/tenofovirdizoproksila proc</w:t>
      </w:r>
      <w:r w:rsidR="00583DCE" w:rsidRPr="005A2200">
        <w:rPr>
          <w:sz w:val="22"/>
          <w:szCs w:val="22"/>
          <w:lang w:val="sr-Latn-ME"/>
        </w:rPr>
        <w:t>j</w:t>
      </w:r>
      <w:r w:rsidRPr="005A2200">
        <w:rPr>
          <w:sz w:val="22"/>
          <w:szCs w:val="22"/>
          <w:lang w:val="sr-Latn-ME"/>
        </w:rPr>
        <w:t>enjivana je tokom 48 ned</w:t>
      </w:r>
      <w:r w:rsidR="00583DCE" w:rsidRPr="005A2200">
        <w:rPr>
          <w:sz w:val="22"/>
          <w:szCs w:val="22"/>
          <w:lang w:val="sr-Latn-ME"/>
        </w:rPr>
        <w:t>j</w:t>
      </w:r>
      <w:r w:rsidRPr="005A2200">
        <w:rPr>
          <w:sz w:val="22"/>
          <w:szCs w:val="22"/>
          <w:lang w:val="sr-Latn-ME"/>
        </w:rPr>
        <w:t>elja u okviru otvorenog ispitivanja (IMPAACT 2014 (Protokol 027)</w:t>
      </w:r>
      <w:r w:rsidR="006F1130" w:rsidRPr="005A2200">
        <w:rPr>
          <w:sz w:val="22"/>
          <w:szCs w:val="22"/>
          <w:lang w:val="sr-Latn-ME"/>
        </w:rPr>
        <w:t>)</w:t>
      </w:r>
      <w:r w:rsidRPr="005A2200">
        <w:rPr>
          <w:sz w:val="22"/>
          <w:szCs w:val="22"/>
          <w:lang w:val="sr-Latn-ME"/>
        </w:rPr>
        <w:t>, sprovedenog kod 45 pedijatrijskih ispitanika sa HIV-1 infekcijom uzrasta od 12 do &lt; 18 godina koji su postigli virološku supresiju ili koji ni</w:t>
      </w:r>
      <w:r w:rsidR="00583DCE" w:rsidRPr="005A2200">
        <w:rPr>
          <w:sz w:val="22"/>
          <w:szCs w:val="22"/>
          <w:lang w:val="sr-Latn-ME"/>
        </w:rPr>
        <w:t>je</w:t>
      </w:r>
      <w:r w:rsidRPr="005A2200">
        <w:rPr>
          <w:sz w:val="22"/>
          <w:szCs w:val="22"/>
          <w:lang w:val="sr-Latn-ME"/>
        </w:rPr>
        <w:t>su prethodno l</w:t>
      </w:r>
      <w:r w:rsidR="00583DCE" w:rsidRPr="005A2200">
        <w:rPr>
          <w:sz w:val="22"/>
          <w:szCs w:val="22"/>
          <w:lang w:val="sr-Latn-ME"/>
        </w:rPr>
        <w:t>ij</w:t>
      </w:r>
      <w:r w:rsidRPr="005A2200">
        <w:rPr>
          <w:sz w:val="22"/>
          <w:szCs w:val="22"/>
          <w:lang w:val="sr-Latn-ME"/>
        </w:rPr>
        <w:t>ečeni. Bezb</w:t>
      </w:r>
      <w:r w:rsidR="00583DCE" w:rsidRPr="005A2200">
        <w:rPr>
          <w:sz w:val="22"/>
          <w:szCs w:val="22"/>
          <w:lang w:val="sr-Latn-ME"/>
        </w:rPr>
        <w:t>j</w:t>
      </w:r>
      <w:r w:rsidRPr="005A2200">
        <w:rPr>
          <w:sz w:val="22"/>
          <w:szCs w:val="22"/>
          <w:lang w:val="sr-Latn-ME"/>
        </w:rPr>
        <w:t>ednosni profil kod pedijatrijskih pacijenata bio je sličan onom kod odraslih.</w:t>
      </w:r>
    </w:p>
    <w:bookmarkEnd w:id="4"/>
    <w:p w14:paraId="4F109B99" w14:textId="77777777" w:rsidR="00766713" w:rsidRPr="005A2200" w:rsidRDefault="00766713" w:rsidP="005A2200">
      <w:pPr>
        <w:widowControl w:val="0"/>
        <w:tabs>
          <w:tab w:val="left" w:pos="540"/>
          <w:tab w:val="left" w:pos="569"/>
        </w:tabs>
        <w:jc w:val="both"/>
        <w:rPr>
          <w:rFonts w:asciiTheme="majorBidi" w:hAnsiTheme="majorBidi" w:cstheme="majorBidi"/>
          <w:b/>
          <w:bCs/>
          <w:sz w:val="22"/>
          <w:szCs w:val="22"/>
          <w:lang w:val="sr-Latn-ME"/>
        </w:rPr>
      </w:pPr>
    </w:p>
    <w:p w14:paraId="5B9B5DF4" w14:textId="77777777" w:rsidR="005A23D2" w:rsidRPr="005A2200" w:rsidRDefault="005A23D2" w:rsidP="005A2200">
      <w:pPr>
        <w:widowControl w:val="0"/>
        <w:spacing w:line="276" w:lineRule="auto"/>
        <w:jc w:val="both"/>
        <w:rPr>
          <w:rFonts w:asciiTheme="majorBidi" w:eastAsia="Calibri" w:hAnsiTheme="majorBidi" w:cstheme="majorBidi"/>
          <w:sz w:val="22"/>
          <w:szCs w:val="22"/>
          <w:u w:val="single"/>
          <w:lang w:val="sr-Latn-ME"/>
        </w:rPr>
      </w:pPr>
      <w:r w:rsidRPr="005A2200">
        <w:rPr>
          <w:rFonts w:asciiTheme="majorBidi" w:eastAsia="Calibri" w:hAnsiTheme="majorBidi" w:cstheme="majorBidi"/>
          <w:sz w:val="22"/>
          <w:szCs w:val="22"/>
          <w:u w:val="single"/>
          <w:lang w:val="sr-Latn-ME"/>
        </w:rPr>
        <w:t>Prijavljivanje sumnji na neželjena dejstva</w:t>
      </w:r>
    </w:p>
    <w:p w14:paraId="06A8DD20" w14:textId="77777777" w:rsidR="00C4530F" w:rsidRDefault="00C4530F" w:rsidP="005A2200">
      <w:pPr>
        <w:widowControl w:val="0"/>
        <w:jc w:val="both"/>
        <w:rPr>
          <w:rFonts w:asciiTheme="majorBidi" w:eastAsia="Calibri" w:hAnsiTheme="majorBidi" w:cstheme="majorBidi"/>
          <w:sz w:val="22"/>
          <w:szCs w:val="22"/>
          <w:lang w:val="sr-Latn-ME"/>
        </w:rPr>
      </w:pPr>
    </w:p>
    <w:p w14:paraId="72704F6D" w14:textId="1AC15A10" w:rsidR="005A23D2" w:rsidRPr="005A2200" w:rsidRDefault="005A23D2" w:rsidP="005A2200">
      <w:pPr>
        <w:widowControl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Prijavljivanje neželjenih dejstava nakon dobijanja dozvole je od velikog značaja jer obezbjeđuje kont</w:t>
      </w:r>
      <w:r w:rsidR="00EA5765" w:rsidRPr="005A2200">
        <w:rPr>
          <w:rFonts w:asciiTheme="majorBidi" w:eastAsia="Calibri" w:hAnsiTheme="majorBidi" w:cstheme="majorBidi"/>
          <w:sz w:val="22"/>
          <w:szCs w:val="22"/>
          <w:lang w:val="sr-Latn-ME"/>
        </w:rPr>
        <w:t>inuirano praćenje odnosa korist</w:t>
      </w:r>
      <w:r w:rsidRPr="005A2200">
        <w:rPr>
          <w:rFonts w:asciiTheme="majorBidi" w:eastAsia="Calibri" w:hAnsiTheme="majorBidi" w:cstheme="majorBidi"/>
          <w:sz w:val="22"/>
          <w:szCs w:val="22"/>
          <w:lang w:val="sr-Latn-ME"/>
        </w:rPr>
        <w:t>/rizik primjene lijeka. Zdravstveni radnici treba da prijave svaku sumnju na neželjeno</w:t>
      </w:r>
      <w:r w:rsidR="009B062A" w:rsidRPr="005A2200">
        <w:rPr>
          <w:rFonts w:asciiTheme="majorBidi" w:eastAsia="Calibri" w:hAnsiTheme="majorBidi" w:cstheme="majorBidi"/>
          <w:sz w:val="22"/>
          <w:szCs w:val="22"/>
          <w:lang w:val="sr-Latn-ME"/>
        </w:rPr>
        <w:t xml:space="preserve"> </w:t>
      </w:r>
      <w:r w:rsidRPr="005A2200">
        <w:rPr>
          <w:rFonts w:asciiTheme="majorBidi" w:eastAsia="Calibri" w:hAnsiTheme="majorBidi" w:cstheme="majorBidi"/>
          <w:sz w:val="22"/>
          <w:szCs w:val="22"/>
          <w:lang w:val="sr-Latn-ME"/>
        </w:rPr>
        <w:t xml:space="preserve">dejstvo ovog lijeka </w:t>
      </w:r>
      <w:r w:rsidR="004E70AD" w:rsidRPr="005A2200">
        <w:rPr>
          <w:rFonts w:asciiTheme="majorBidi" w:eastAsia="Calibri" w:hAnsiTheme="majorBidi" w:cstheme="majorBidi"/>
          <w:sz w:val="22"/>
          <w:szCs w:val="22"/>
          <w:lang w:val="sr-Latn-ME"/>
        </w:rPr>
        <w:t>Institutu</w:t>
      </w:r>
      <w:r w:rsidRPr="005A2200">
        <w:rPr>
          <w:rFonts w:asciiTheme="majorBidi" w:eastAsia="Calibri" w:hAnsiTheme="majorBidi" w:cstheme="majorBidi"/>
          <w:sz w:val="22"/>
          <w:szCs w:val="22"/>
          <w:lang w:val="sr-Latn-ME"/>
        </w:rPr>
        <w:t xml:space="preserve"> za ljekove i medicinska sredstva</w:t>
      </w:r>
      <w:r w:rsidR="004E70AD" w:rsidRPr="005A2200">
        <w:rPr>
          <w:rFonts w:asciiTheme="majorBidi" w:eastAsia="Calibri" w:hAnsiTheme="majorBidi" w:cstheme="majorBidi"/>
          <w:sz w:val="22"/>
          <w:szCs w:val="22"/>
          <w:lang w:val="sr-Latn-ME"/>
        </w:rPr>
        <w:t xml:space="preserve"> </w:t>
      </w:r>
      <w:r w:rsidRPr="005A2200">
        <w:rPr>
          <w:rFonts w:asciiTheme="majorBidi" w:eastAsia="Calibri" w:hAnsiTheme="majorBidi" w:cstheme="majorBidi"/>
          <w:sz w:val="22"/>
          <w:szCs w:val="22"/>
          <w:lang w:val="sr-Latn-ME"/>
        </w:rPr>
        <w:t>(</w:t>
      </w:r>
      <w:r w:rsidR="004E70AD" w:rsidRPr="005A2200">
        <w:rPr>
          <w:rFonts w:asciiTheme="majorBidi" w:eastAsia="Calibri" w:hAnsiTheme="majorBidi" w:cstheme="majorBidi"/>
          <w:sz w:val="22"/>
          <w:szCs w:val="22"/>
          <w:lang w:val="sr-Latn-ME"/>
        </w:rPr>
        <w:t>CInMED</w:t>
      </w:r>
      <w:r w:rsidRPr="005A2200">
        <w:rPr>
          <w:rFonts w:asciiTheme="majorBidi" w:eastAsia="Calibri" w:hAnsiTheme="majorBidi" w:cstheme="majorBidi"/>
          <w:sz w:val="22"/>
          <w:szCs w:val="22"/>
          <w:lang w:val="sr-Latn-ME"/>
        </w:rPr>
        <w:t>):</w:t>
      </w:r>
    </w:p>
    <w:p w14:paraId="5F543CBB" w14:textId="77777777" w:rsidR="00C4530F" w:rsidRDefault="00C4530F" w:rsidP="005A2200">
      <w:pPr>
        <w:pStyle w:val="NoSpacing"/>
        <w:widowControl w:val="0"/>
        <w:jc w:val="both"/>
        <w:rPr>
          <w:rFonts w:asciiTheme="majorBidi" w:eastAsia="Calibri" w:hAnsiTheme="majorBidi" w:cstheme="majorBidi"/>
          <w:sz w:val="22"/>
          <w:szCs w:val="22"/>
          <w:lang w:val="sr-Latn-ME"/>
        </w:rPr>
      </w:pPr>
    </w:p>
    <w:p w14:paraId="59A3F71E" w14:textId="6DE75928" w:rsidR="005A23D2" w:rsidRPr="005A2200" w:rsidRDefault="004E70AD" w:rsidP="005A2200">
      <w:pPr>
        <w:pStyle w:val="NoSpacing"/>
        <w:widowControl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xml:space="preserve">Institut </w:t>
      </w:r>
      <w:r w:rsidR="005A23D2" w:rsidRPr="005A2200">
        <w:rPr>
          <w:rFonts w:asciiTheme="majorBidi" w:eastAsia="Calibri" w:hAnsiTheme="majorBidi" w:cstheme="majorBidi"/>
          <w:sz w:val="22"/>
          <w:szCs w:val="22"/>
          <w:lang w:val="sr-Latn-ME"/>
        </w:rPr>
        <w:t xml:space="preserve">za ljekove i medicinska sredstva </w:t>
      </w:r>
    </w:p>
    <w:p w14:paraId="024C10BF" w14:textId="77777777" w:rsidR="005A23D2" w:rsidRPr="005A2200" w:rsidRDefault="005A23D2" w:rsidP="005A2200">
      <w:pPr>
        <w:pStyle w:val="NoSpacing"/>
        <w:widowControl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Odjeljenje za farmakovigilancu</w:t>
      </w:r>
    </w:p>
    <w:p w14:paraId="3B2B1081" w14:textId="77777777" w:rsidR="00EA5765" w:rsidRPr="005A2200" w:rsidRDefault="005A23D2" w:rsidP="005A2200">
      <w:pPr>
        <w:pStyle w:val="NoSpacing"/>
        <w:widowControl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Bulevar Ivana Crnojevića 64a, 81000 Podgorica</w:t>
      </w:r>
    </w:p>
    <w:p w14:paraId="7E2509A4" w14:textId="77777777" w:rsidR="00EA5765" w:rsidRPr="005A2200" w:rsidRDefault="00EA5765" w:rsidP="005A2200">
      <w:pPr>
        <w:pStyle w:val="NoSpacing"/>
        <w:widowControl w:val="0"/>
        <w:jc w:val="both"/>
        <w:rPr>
          <w:rFonts w:asciiTheme="majorBidi" w:eastAsia="Calibri" w:hAnsiTheme="majorBidi" w:cstheme="majorBidi"/>
          <w:sz w:val="22"/>
          <w:szCs w:val="22"/>
          <w:lang w:val="sr-Latn-ME"/>
        </w:rPr>
      </w:pPr>
    </w:p>
    <w:p w14:paraId="6DEFD52E" w14:textId="77777777" w:rsidR="005A23D2" w:rsidRPr="005A2200" w:rsidRDefault="005A23D2" w:rsidP="005A2200">
      <w:pPr>
        <w:pStyle w:val="NoSpacing"/>
        <w:widowControl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tel: +382 (0) 20 310 280</w:t>
      </w:r>
    </w:p>
    <w:p w14:paraId="24D2489D" w14:textId="77777777" w:rsidR="00EA5765" w:rsidRPr="005A2200" w:rsidRDefault="005A23D2" w:rsidP="005A2200">
      <w:pPr>
        <w:pStyle w:val="NoSpacing"/>
        <w:widowControl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fax:</w:t>
      </w:r>
      <w:r w:rsidR="00EA5765" w:rsidRPr="005A2200">
        <w:rPr>
          <w:rFonts w:asciiTheme="majorBidi" w:eastAsia="Calibri" w:hAnsiTheme="majorBidi" w:cstheme="majorBidi"/>
          <w:sz w:val="22"/>
          <w:szCs w:val="22"/>
          <w:lang w:val="sr-Latn-ME"/>
        </w:rPr>
        <w:t xml:space="preserve"> </w:t>
      </w:r>
      <w:r w:rsidRPr="005A2200">
        <w:rPr>
          <w:rFonts w:asciiTheme="majorBidi" w:eastAsia="Calibri" w:hAnsiTheme="majorBidi" w:cstheme="majorBidi"/>
          <w:sz w:val="22"/>
          <w:szCs w:val="22"/>
          <w:lang w:val="sr-Latn-ME"/>
        </w:rPr>
        <w:t>+382 (0) 20 310 581</w:t>
      </w:r>
    </w:p>
    <w:p w14:paraId="32386F1A" w14:textId="77777777" w:rsidR="005A23D2" w:rsidRPr="005A2200" w:rsidRDefault="00615CA4" w:rsidP="005A2200">
      <w:pPr>
        <w:pStyle w:val="NoSpacing"/>
        <w:widowControl w:val="0"/>
        <w:jc w:val="both"/>
        <w:rPr>
          <w:rFonts w:asciiTheme="majorBidi" w:eastAsia="Calibri" w:hAnsiTheme="majorBidi" w:cstheme="majorBidi"/>
          <w:sz w:val="22"/>
          <w:szCs w:val="22"/>
          <w:lang w:val="sr-Latn-ME"/>
        </w:rPr>
      </w:pPr>
      <w:hyperlink r:id="rId9" w:history="1">
        <w:r w:rsidR="004E70AD" w:rsidRPr="005A2200">
          <w:rPr>
            <w:rStyle w:val="Hyperlink"/>
            <w:rFonts w:asciiTheme="majorBidi" w:eastAsia="Calibri" w:hAnsiTheme="majorBidi" w:cstheme="majorBidi"/>
            <w:sz w:val="22"/>
            <w:szCs w:val="22"/>
            <w:lang w:val="sr-Latn-ME"/>
          </w:rPr>
          <w:t>www.cinmed.me</w:t>
        </w:r>
      </w:hyperlink>
    </w:p>
    <w:p w14:paraId="3A0AF789" w14:textId="77777777" w:rsidR="00EA5765" w:rsidRPr="005A2200" w:rsidRDefault="00615CA4" w:rsidP="005A2200">
      <w:pPr>
        <w:pStyle w:val="NoSpacing"/>
        <w:widowControl w:val="0"/>
        <w:jc w:val="both"/>
        <w:rPr>
          <w:rFonts w:asciiTheme="majorBidi" w:eastAsia="Calibri" w:hAnsiTheme="majorBidi" w:cstheme="majorBidi"/>
          <w:color w:val="0000FF"/>
          <w:sz w:val="22"/>
          <w:szCs w:val="22"/>
          <w:u w:val="single"/>
          <w:lang w:val="sr-Latn-ME"/>
        </w:rPr>
      </w:pPr>
      <w:hyperlink r:id="rId10" w:history="1">
        <w:r w:rsidR="004E70AD" w:rsidRPr="005A2200">
          <w:rPr>
            <w:rStyle w:val="Hyperlink"/>
            <w:rFonts w:asciiTheme="majorBidi" w:eastAsia="Calibri" w:hAnsiTheme="majorBidi" w:cstheme="majorBidi"/>
            <w:sz w:val="22"/>
            <w:szCs w:val="22"/>
            <w:lang w:val="sr-Latn-ME"/>
          </w:rPr>
          <w:t>nezeljenadejstva@cinmed.me</w:t>
        </w:r>
      </w:hyperlink>
    </w:p>
    <w:p w14:paraId="51C71A5C" w14:textId="53EA7E72" w:rsidR="005A23D2" w:rsidRPr="005A2200" w:rsidRDefault="005A23D2" w:rsidP="005A2200">
      <w:pPr>
        <w:pStyle w:val="NoSpacing"/>
        <w:widowControl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lastRenderedPageBreak/>
        <w:t>putem IS zdravstvene zaštite</w:t>
      </w:r>
    </w:p>
    <w:p w14:paraId="2C54032C" w14:textId="77777777" w:rsidR="005C5DCB" w:rsidRPr="005A2200" w:rsidRDefault="005C5DCB" w:rsidP="005A2200">
      <w:pPr>
        <w:pStyle w:val="NoSpacing"/>
        <w:widowControl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QR kod za online prijavu sumnje na neželjeno dejstvo lijeka:</w:t>
      </w:r>
    </w:p>
    <w:p w14:paraId="2E0A7CB0" w14:textId="77777777" w:rsidR="005C5DCB" w:rsidRPr="005A2200" w:rsidRDefault="005C5DCB" w:rsidP="005A2200">
      <w:pPr>
        <w:pStyle w:val="NoSpacing"/>
        <w:widowControl w:val="0"/>
        <w:jc w:val="both"/>
        <w:rPr>
          <w:rFonts w:asciiTheme="majorBidi" w:eastAsia="Calibri" w:hAnsiTheme="majorBidi" w:cstheme="majorBidi"/>
          <w:sz w:val="22"/>
          <w:szCs w:val="22"/>
          <w:lang w:val="sr-Latn-ME"/>
        </w:rPr>
      </w:pPr>
    </w:p>
    <w:p w14:paraId="6601CDC1" w14:textId="0EBC259D" w:rsidR="005C5DCB" w:rsidRPr="005A2200" w:rsidRDefault="00F860E5" w:rsidP="005A2200">
      <w:pPr>
        <w:pStyle w:val="NoSpacing"/>
        <w:widowControl w:val="0"/>
        <w:jc w:val="both"/>
        <w:rPr>
          <w:rFonts w:asciiTheme="majorBidi" w:eastAsia="Calibri" w:hAnsiTheme="majorBidi" w:cstheme="majorBidi"/>
          <w:sz w:val="22"/>
          <w:szCs w:val="22"/>
          <w:lang w:val="sr-Latn-ME"/>
        </w:rPr>
      </w:pPr>
      <w:r w:rsidRPr="005A2200">
        <w:rPr>
          <w:b/>
          <w:bCs/>
          <w:noProof/>
          <w:sz w:val="22"/>
          <w:szCs w:val="22"/>
          <w:lang w:val="sr-Latn-ME" w:eastAsia="sr-Latn-ME"/>
        </w:rPr>
        <w:drawing>
          <wp:inline distT="0" distB="0" distL="0" distR="0" wp14:anchorId="3FA2D09C" wp14:editId="5912FE3D">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E4B2239" w14:textId="77777777" w:rsidR="00836B35" w:rsidRPr="005A2200" w:rsidRDefault="00836B35" w:rsidP="005A2200">
      <w:pPr>
        <w:widowControl w:val="0"/>
        <w:tabs>
          <w:tab w:val="left" w:pos="540"/>
          <w:tab w:val="left" w:pos="569"/>
        </w:tabs>
        <w:jc w:val="both"/>
        <w:rPr>
          <w:rFonts w:asciiTheme="majorBidi" w:hAnsiTheme="majorBidi" w:cstheme="majorBidi"/>
          <w:b/>
          <w:bCs/>
          <w:sz w:val="22"/>
          <w:szCs w:val="22"/>
          <w:lang w:val="sr-Latn-ME"/>
        </w:rPr>
      </w:pPr>
    </w:p>
    <w:p w14:paraId="036CC6A4" w14:textId="77777777" w:rsidR="00CD6F02"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4.9.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Predoziranje</w:t>
      </w:r>
      <w:r w:rsidR="002846DB" w:rsidRPr="005A2200">
        <w:rPr>
          <w:rFonts w:asciiTheme="majorBidi" w:hAnsiTheme="majorBidi" w:cstheme="majorBidi"/>
          <w:b/>
          <w:bCs/>
          <w:sz w:val="22"/>
          <w:szCs w:val="22"/>
          <w:lang w:val="sr-Latn-ME"/>
        </w:rPr>
        <w:t xml:space="preserve"> </w:t>
      </w:r>
    </w:p>
    <w:p w14:paraId="7F0D448F" w14:textId="5A50CE26" w:rsidR="00CD6F02" w:rsidRPr="005A2200" w:rsidRDefault="00CD6F02" w:rsidP="005A2200">
      <w:pPr>
        <w:widowControl w:val="0"/>
        <w:tabs>
          <w:tab w:val="left" w:pos="540"/>
          <w:tab w:val="left" w:pos="569"/>
        </w:tabs>
        <w:jc w:val="both"/>
        <w:rPr>
          <w:rFonts w:asciiTheme="majorBidi" w:hAnsiTheme="majorBidi" w:cstheme="majorBidi"/>
          <w:b/>
          <w:bCs/>
          <w:sz w:val="22"/>
          <w:szCs w:val="22"/>
          <w:lang w:val="sr-Latn-ME"/>
        </w:rPr>
      </w:pPr>
    </w:p>
    <w:p w14:paraId="69017A85" w14:textId="0BF7D664"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Nema informacija o mogućim akutnim simptomima i znakovima predoziranja doravirinom.</w:t>
      </w:r>
    </w:p>
    <w:p w14:paraId="3B0C30FD" w14:textId="3D155960" w:rsidR="00227BDB" w:rsidRPr="005A2200" w:rsidRDefault="00227BDB" w:rsidP="005A2200">
      <w:pPr>
        <w:widowControl w:val="0"/>
        <w:tabs>
          <w:tab w:val="left" w:pos="540"/>
          <w:tab w:val="left" w:pos="569"/>
        </w:tabs>
        <w:jc w:val="both"/>
        <w:rPr>
          <w:rFonts w:asciiTheme="majorBidi" w:hAnsiTheme="majorBidi" w:cstheme="majorBidi"/>
          <w:b/>
          <w:bCs/>
          <w:sz w:val="22"/>
          <w:szCs w:val="22"/>
          <w:lang w:val="sr-Latn-ME"/>
        </w:rPr>
      </w:pPr>
    </w:p>
    <w:p w14:paraId="771280ED" w14:textId="77777777" w:rsidR="00072EA4" w:rsidRPr="005A2200" w:rsidRDefault="00072EA4" w:rsidP="005A2200">
      <w:pPr>
        <w:widowControl w:val="0"/>
        <w:tabs>
          <w:tab w:val="left" w:pos="540"/>
          <w:tab w:val="left" w:pos="569"/>
        </w:tabs>
        <w:jc w:val="both"/>
        <w:rPr>
          <w:rFonts w:asciiTheme="majorBidi" w:hAnsiTheme="majorBidi" w:cstheme="majorBidi"/>
          <w:b/>
          <w:bCs/>
          <w:sz w:val="22"/>
          <w:szCs w:val="22"/>
          <w:lang w:val="sr-Latn-ME"/>
        </w:rPr>
      </w:pPr>
    </w:p>
    <w:p w14:paraId="5DC02A4F"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5.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FARMAKOLOŠK</w:t>
      </w:r>
      <w:r w:rsidR="000D425A" w:rsidRPr="005A2200">
        <w:rPr>
          <w:rFonts w:asciiTheme="majorBidi" w:hAnsiTheme="majorBidi" w:cstheme="majorBidi"/>
          <w:b/>
          <w:bCs/>
          <w:sz w:val="22"/>
          <w:szCs w:val="22"/>
          <w:lang w:val="sr-Latn-ME"/>
        </w:rPr>
        <w:t>I</w:t>
      </w:r>
      <w:r w:rsidRPr="005A2200">
        <w:rPr>
          <w:rFonts w:asciiTheme="majorBidi" w:hAnsiTheme="majorBidi" w:cstheme="majorBidi"/>
          <w:b/>
          <w:bCs/>
          <w:sz w:val="22"/>
          <w:szCs w:val="22"/>
          <w:lang w:val="sr-Latn-ME"/>
        </w:rPr>
        <w:t xml:space="preserve"> PODACI</w:t>
      </w:r>
    </w:p>
    <w:p w14:paraId="3023EEB8"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p>
    <w:p w14:paraId="6D89D066"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5.1.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Farmakodinamski podaci</w:t>
      </w:r>
      <w:r w:rsidR="003A7059" w:rsidRPr="005A2200">
        <w:rPr>
          <w:rFonts w:asciiTheme="majorBidi" w:hAnsiTheme="majorBidi" w:cstheme="majorBidi"/>
          <w:b/>
          <w:bCs/>
          <w:sz w:val="22"/>
          <w:szCs w:val="22"/>
          <w:lang w:val="sr-Latn-ME"/>
        </w:rPr>
        <w:t xml:space="preserve"> </w:t>
      </w:r>
    </w:p>
    <w:p w14:paraId="5B0CC4CD" w14:textId="77777777" w:rsidR="00F45F77" w:rsidRPr="005A2200" w:rsidRDefault="00F45F77" w:rsidP="005A2200">
      <w:pPr>
        <w:widowControl w:val="0"/>
        <w:tabs>
          <w:tab w:val="left" w:pos="540"/>
          <w:tab w:val="left" w:pos="569"/>
        </w:tabs>
        <w:jc w:val="both"/>
        <w:rPr>
          <w:rFonts w:asciiTheme="majorBidi" w:hAnsiTheme="majorBidi" w:cstheme="majorBidi"/>
          <w:b/>
          <w:bCs/>
          <w:sz w:val="22"/>
          <w:szCs w:val="22"/>
          <w:lang w:val="sr-Latn-ME"/>
        </w:rPr>
      </w:pPr>
    </w:p>
    <w:p w14:paraId="13E6CE1B" w14:textId="536D8773"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Farmakoterapijska grupa:</w:t>
      </w:r>
      <w:r w:rsidR="00766713" w:rsidRPr="005A2200">
        <w:rPr>
          <w:rFonts w:asciiTheme="majorBidi" w:hAnsiTheme="majorBidi" w:cstheme="majorBidi"/>
          <w:sz w:val="22"/>
          <w:szCs w:val="22"/>
          <w:lang w:val="sr-Latn-ME"/>
        </w:rPr>
        <w:t xml:space="preserve"> </w:t>
      </w:r>
      <w:r w:rsidR="00766713" w:rsidRPr="005A2200">
        <w:rPr>
          <w:rFonts w:asciiTheme="majorBidi" w:hAnsiTheme="majorBidi" w:cstheme="majorBidi"/>
          <w:bCs/>
          <w:sz w:val="22"/>
          <w:szCs w:val="22"/>
          <w:lang w:val="sr-Latn-ME"/>
        </w:rPr>
        <w:t>Antivirusni l</w:t>
      </w:r>
      <w:r w:rsidR="00D87EC8" w:rsidRPr="005A2200">
        <w:rPr>
          <w:rFonts w:asciiTheme="majorBidi" w:hAnsiTheme="majorBidi" w:cstheme="majorBidi"/>
          <w:bCs/>
          <w:sz w:val="22"/>
          <w:szCs w:val="22"/>
          <w:lang w:val="sr-Latn-ME"/>
        </w:rPr>
        <w:t>j</w:t>
      </w:r>
      <w:r w:rsidR="00766713" w:rsidRPr="005A2200">
        <w:rPr>
          <w:rFonts w:asciiTheme="majorBidi" w:hAnsiTheme="majorBidi" w:cstheme="majorBidi"/>
          <w:bCs/>
          <w:sz w:val="22"/>
          <w:szCs w:val="22"/>
          <w:lang w:val="sr-Latn-ME"/>
        </w:rPr>
        <w:t>ekovi za sistemsku prim</w:t>
      </w:r>
      <w:r w:rsidR="00D87EC8" w:rsidRPr="005A2200">
        <w:rPr>
          <w:rFonts w:asciiTheme="majorBidi" w:hAnsiTheme="majorBidi" w:cstheme="majorBidi"/>
          <w:bCs/>
          <w:sz w:val="22"/>
          <w:szCs w:val="22"/>
          <w:lang w:val="sr-Latn-ME"/>
        </w:rPr>
        <w:t>j</w:t>
      </w:r>
      <w:r w:rsidR="00766713" w:rsidRPr="005A2200">
        <w:rPr>
          <w:rFonts w:asciiTheme="majorBidi" w:hAnsiTheme="majorBidi" w:cstheme="majorBidi"/>
          <w:bCs/>
          <w:sz w:val="22"/>
          <w:szCs w:val="22"/>
          <w:lang w:val="sr-Latn-ME"/>
        </w:rPr>
        <w:t>enu</w:t>
      </w:r>
    </w:p>
    <w:p w14:paraId="187DAF4A" w14:textId="77777777"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28BA5651" w14:textId="7E76137A"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ATC kod:</w:t>
      </w:r>
      <w:r w:rsidR="00766713" w:rsidRPr="005A2200">
        <w:rPr>
          <w:rFonts w:asciiTheme="majorBidi" w:hAnsiTheme="majorBidi" w:cstheme="majorBidi"/>
          <w:bCs/>
          <w:sz w:val="22"/>
          <w:szCs w:val="22"/>
          <w:lang w:val="sr-Latn-ME"/>
        </w:rPr>
        <w:t xml:space="preserve"> J05AG06</w:t>
      </w:r>
    </w:p>
    <w:p w14:paraId="12D633DF" w14:textId="3E90B1ED"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2A7F6EDF"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Mehanizam dejstva</w:t>
      </w:r>
    </w:p>
    <w:p w14:paraId="75CD20B3" w14:textId="77777777" w:rsidR="00766713"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je piridinonski nenukleozidni inhibitor reverzne transkriptaze HIV</w:t>
      </w:r>
      <w:r w:rsidRPr="005A2200">
        <w:rPr>
          <w:rFonts w:asciiTheme="majorBidi" w:hAnsiTheme="majorBidi" w:cstheme="majorBidi"/>
          <w:sz w:val="22"/>
          <w:szCs w:val="22"/>
          <w:lang w:val="sr-Latn-ME"/>
        </w:rPr>
        <w:noBreakHyphen/>
        <w:t>1 koji inhibira replikaciju HIV</w:t>
      </w:r>
      <w:r w:rsidRPr="005A2200">
        <w:rPr>
          <w:rFonts w:asciiTheme="majorBidi" w:hAnsiTheme="majorBidi" w:cstheme="majorBidi"/>
          <w:sz w:val="22"/>
          <w:szCs w:val="22"/>
          <w:lang w:val="sr-Latn-ME"/>
        </w:rPr>
        <w:noBreakHyphen/>
        <w:t>1 nekompetitivnom inhibicijom reverzne transkriptaze HIV</w:t>
      </w:r>
      <w:r w:rsidRPr="005A2200">
        <w:rPr>
          <w:rFonts w:asciiTheme="majorBidi" w:hAnsiTheme="majorBidi" w:cstheme="majorBidi"/>
          <w:sz w:val="22"/>
          <w:szCs w:val="22"/>
          <w:lang w:val="sr-Latn-ME"/>
        </w:rPr>
        <w:noBreakHyphen/>
        <w:t>1 (RT). Doravirin ne inhibira humane ćelijske DNK polimeraze α i ß ni mitohondrijsku DNK polimerazu γ.</w:t>
      </w:r>
    </w:p>
    <w:p w14:paraId="596C5C00" w14:textId="77777777" w:rsidR="00766713" w:rsidRPr="005A2200" w:rsidRDefault="00766713" w:rsidP="005A2200">
      <w:pPr>
        <w:widowControl w:val="0"/>
        <w:jc w:val="both"/>
        <w:rPr>
          <w:rFonts w:asciiTheme="majorBidi" w:hAnsiTheme="majorBidi" w:cstheme="majorBidi"/>
          <w:sz w:val="22"/>
          <w:szCs w:val="22"/>
          <w:lang w:val="sr-Latn-ME"/>
        </w:rPr>
      </w:pPr>
    </w:p>
    <w:p w14:paraId="2D125846"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Antivirusna aktivnost u kulturi ćelija</w:t>
      </w:r>
    </w:p>
    <w:p w14:paraId="33D13AF7" w14:textId="5B223347" w:rsidR="00766713"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je pokazao vr</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 EC</w:t>
      </w:r>
      <w:r w:rsidRPr="005A2200">
        <w:rPr>
          <w:rFonts w:asciiTheme="majorBidi" w:hAnsiTheme="majorBidi" w:cstheme="majorBidi"/>
          <w:sz w:val="22"/>
          <w:szCs w:val="22"/>
          <w:vertAlign w:val="subscript"/>
          <w:lang w:val="sr-Latn-ME"/>
        </w:rPr>
        <w:t>50</w:t>
      </w:r>
      <w:r w:rsidRPr="005A2200">
        <w:rPr>
          <w:rFonts w:asciiTheme="majorBidi" w:hAnsiTheme="majorBidi" w:cstheme="majorBidi"/>
          <w:sz w:val="22"/>
          <w:szCs w:val="22"/>
          <w:lang w:val="sr-Latn-ME"/>
        </w:rPr>
        <w:t xml:space="preserve"> od 12,0 ± 4,4 n</w:t>
      </w:r>
      <w:r w:rsidR="006B6FFC" w:rsidRPr="005A2200">
        <w:rPr>
          <w:rFonts w:asciiTheme="majorBidi" w:hAnsiTheme="majorBidi" w:cstheme="majorBidi"/>
          <w:sz w:val="22"/>
          <w:szCs w:val="22"/>
          <w:lang w:val="sr-Latn-ME"/>
        </w:rPr>
        <w:t>M</w:t>
      </w:r>
      <w:r w:rsidRPr="005A2200">
        <w:rPr>
          <w:rFonts w:asciiTheme="majorBidi" w:hAnsiTheme="majorBidi" w:cstheme="majorBidi"/>
          <w:sz w:val="22"/>
          <w:szCs w:val="22"/>
          <w:lang w:val="sr-Latn-ME"/>
        </w:rPr>
        <w:t xml:space="preserve"> protiv laboratorijskih sojeva HIV</w:t>
      </w:r>
      <w:r w:rsidRPr="005A2200">
        <w:rPr>
          <w:rFonts w:asciiTheme="majorBidi" w:hAnsiTheme="majorBidi" w:cstheme="majorBidi"/>
          <w:sz w:val="22"/>
          <w:szCs w:val="22"/>
          <w:lang w:val="sr-Latn-ME"/>
        </w:rPr>
        <w:noBreakHyphen/>
        <w:t>1 divljeg tipa kada se ispitivao u prisutnosti 100%</w:t>
      </w:r>
      <w:r w:rsidRPr="005A2200">
        <w:rPr>
          <w:rFonts w:asciiTheme="majorBidi" w:hAnsiTheme="majorBidi" w:cstheme="majorBidi"/>
          <w:sz w:val="22"/>
          <w:szCs w:val="22"/>
          <w:lang w:val="sr-Latn-ME"/>
        </w:rPr>
        <w:noBreakHyphen/>
        <w:t>tnog normalnog humanog seruma uz prim</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enu reporterskih ćelija MT4</w:t>
      </w:r>
      <w:r w:rsidRPr="005A2200">
        <w:rPr>
          <w:rFonts w:asciiTheme="majorBidi" w:hAnsiTheme="majorBidi" w:cstheme="majorBidi"/>
          <w:sz w:val="22"/>
          <w:szCs w:val="22"/>
          <w:lang w:val="sr-Latn-ME"/>
        </w:rPr>
        <w:noBreakHyphen/>
        <w:t>GFP. Doravirin je pokazao antivirusnu aktivnost protiv širokog panela primarnih izolata virusa HIV</w:t>
      </w:r>
      <w:r w:rsidRPr="005A2200">
        <w:rPr>
          <w:rFonts w:asciiTheme="majorBidi" w:hAnsiTheme="majorBidi" w:cstheme="majorBidi"/>
          <w:sz w:val="22"/>
          <w:szCs w:val="22"/>
          <w:lang w:val="sr-Latn-ME"/>
        </w:rPr>
        <w:noBreakHyphen/>
        <w:t>1 (A, A1, AE, AG, B, BF, C, D, G, H), uz vr</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ednosti EC</w:t>
      </w:r>
      <w:r w:rsidRPr="005A2200">
        <w:rPr>
          <w:rFonts w:asciiTheme="majorBidi" w:hAnsiTheme="majorBidi" w:cstheme="majorBidi"/>
          <w:sz w:val="22"/>
          <w:szCs w:val="22"/>
          <w:vertAlign w:val="subscript"/>
          <w:lang w:val="sr-Latn-ME"/>
        </w:rPr>
        <w:t>50</w:t>
      </w:r>
      <w:r w:rsidRPr="005A2200">
        <w:rPr>
          <w:rFonts w:asciiTheme="majorBidi" w:hAnsiTheme="majorBidi" w:cstheme="majorBidi"/>
          <w:sz w:val="22"/>
          <w:szCs w:val="22"/>
          <w:lang w:val="sr-Latn-ME"/>
        </w:rPr>
        <w:t xml:space="preserve"> u rasponu od 1,2 nM do 10,0 n</w:t>
      </w:r>
      <w:r w:rsidR="002F1E0B" w:rsidRPr="005A2200">
        <w:rPr>
          <w:rFonts w:asciiTheme="majorBidi" w:hAnsiTheme="majorBidi" w:cstheme="majorBidi"/>
          <w:sz w:val="22"/>
          <w:szCs w:val="22"/>
          <w:lang w:val="sr-Latn-ME"/>
        </w:rPr>
        <w:t>M</w:t>
      </w:r>
      <w:r w:rsidRPr="005A2200">
        <w:rPr>
          <w:rFonts w:asciiTheme="majorBidi" w:hAnsiTheme="majorBidi" w:cstheme="majorBidi"/>
          <w:sz w:val="22"/>
          <w:szCs w:val="22"/>
          <w:lang w:val="sr-Latn-ME"/>
        </w:rPr>
        <w:t xml:space="preserve">. </w:t>
      </w:r>
    </w:p>
    <w:p w14:paraId="7CCFDEC8"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4DA2A2AE" w14:textId="0BEAB7CF"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Antivirusna aktivnost u kombinaciji sa drugim antiviroticima za l</w:t>
      </w:r>
      <w:r w:rsidR="00D87EC8" w:rsidRPr="005A2200">
        <w:rPr>
          <w:rFonts w:asciiTheme="majorBidi" w:hAnsiTheme="majorBidi" w:cstheme="majorBidi"/>
          <w:sz w:val="22"/>
          <w:szCs w:val="22"/>
          <w:u w:val="single"/>
          <w:lang w:val="sr-Latn-ME"/>
        </w:rPr>
        <w:t>ij</w:t>
      </w:r>
      <w:r w:rsidRPr="005A2200">
        <w:rPr>
          <w:rFonts w:asciiTheme="majorBidi" w:hAnsiTheme="majorBidi" w:cstheme="majorBidi"/>
          <w:sz w:val="22"/>
          <w:szCs w:val="22"/>
          <w:u w:val="single"/>
          <w:lang w:val="sr-Latn-ME"/>
        </w:rPr>
        <w:t>ečenje HIV infekcije</w:t>
      </w:r>
    </w:p>
    <w:p w14:paraId="7347C925" w14:textId="77777777" w:rsidR="00766713"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Antivirusna aktivnost doravirina nije bila antagonistička kada se kombinovao sa NNRTI: delavirdinom, efavirenzom, etravirinom, nevirapinom ili rilpivirinom; NRTI: abakavirom, didanozinom, emtricitabinom, lamivudinom, stavudinom, tenofovirdizoproksilom ili zidovudinom; inhibitorima proteaze: darunavirom ili indinavirom; inhibitorom fuzije: enfuvirtidom; antagonistom koreceptora CCR5: maravirokom; ili inhibitorom prenosa lanca integraze: raltegravirom.</w:t>
      </w:r>
    </w:p>
    <w:p w14:paraId="23FC8BC7"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2A8B042C"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Rezistencija</w:t>
      </w:r>
    </w:p>
    <w:p w14:paraId="322BCC46"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p>
    <w:p w14:paraId="55486D6C"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i/>
          <w:sz w:val="22"/>
          <w:szCs w:val="22"/>
          <w:lang w:val="sr-Latn-ME"/>
        </w:rPr>
      </w:pPr>
      <w:r w:rsidRPr="005A2200">
        <w:rPr>
          <w:rFonts w:asciiTheme="majorBidi" w:hAnsiTheme="majorBidi" w:cstheme="majorBidi"/>
          <w:i/>
          <w:sz w:val="22"/>
          <w:szCs w:val="22"/>
          <w:lang w:val="sr-Latn-ME"/>
        </w:rPr>
        <w:t>U kulturi ćelija</w:t>
      </w:r>
    </w:p>
    <w:p w14:paraId="569AB9D3" w14:textId="34FACB35"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Sojevi rezistentni na doravirin izdvojeni su u ćelijskoj kulturi, počevši od HIV</w:t>
      </w:r>
      <w:r w:rsidRPr="005A2200">
        <w:rPr>
          <w:rFonts w:asciiTheme="majorBidi" w:hAnsiTheme="majorBidi" w:cstheme="majorBidi"/>
          <w:sz w:val="22"/>
          <w:szCs w:val="22"/>
          <w:lang w:val="sr-Latn-ME"/>
        </w:rPr>
        <w:noBreakHyphen/>
        <w:t>1 divljeg tipa različitog por</w:t>
      </w:r>
      <w:r w:rsidR="00D01DD5"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ekla i podtipova kao i HIV</w:t>
      </w:r>
      <w:r w:rsidRPr="005A2200">
        <w:rPr>
          <w:rFonts w:asciiTheme="majorBidi" w:hAnsiTheme="majorBidi" w:cstheme="majorBidi"/>
          <w:sz w:val="22"/>
          <w:szCs w:val="22"/>
          <w:lang w:val="sr-Latn-ME"/>
        </w:rPr>
        <w:noBreakHyphen/>
        <w:t>1 rezistentnog na NNRTI. Zapažene supstitucije aminokiselina u reverznoj transkiptazi koje su se pojavile tokom l</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ečenja uključivale su sl</w:t>
      </w:r>
      <w:r w:rsidR="004B2B47"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edeće: V106A, V106M, V106I, V108I, F227L, F227C, </w:t>
      </w:r>
      <w:bookmarkStart w:id="5" w:name="_Hlk119681416"/>
      <w:r w:rsidR="006F1130" w:rsidRPr="005A2200">
        <w:rPr>
          <w:rFonts w:asciiTheme="majorBidi" w:hAnsiTheme="majorBidi" w:cstheme="majorBidi"/>
          <w:sz w:val="22"/>
          <w:szCs w:val="22"/>
          <w:lang w:val="sr-Latn-ME"/>
        </w:rPr>
        <w:t xml:space="preserve">F227I, </w:t>
      </w:r>
      <w:bookmarkEnd w:id="5"/>
      <w:r w:rsidRPr="005A2200">
        <w:rPr>
          <w:rFonts w:asciiTheme="majorBidi" w:hAnsiTheme="majorBidi" w:cstheme="majorBidi"/>
          <w:sz w:val="22"/>
          <w:szCs w:val="22"/>
          <w:lang w:val="sr-Latn-ME"/>
        </w:rPr>
        <w:t xml:space="preserve">F227V, H221Y, M230I, L234I, P236L i Y318F. </w:t>
      </w:r>
      <w:r w:rsidR="006F1130" w:rsidRPr="005A2200">
        <w:rPr>
          <w:rFonts w:asciiTheme="majorBidi" w:hAnsiTheme="majorBidi" w:cstheme="majorBidi"/>
          <w:sz w:val="22"/>
          <w:szCs w:val="22"/>
          <w:lang w:val="sr-Latn-ME"/>
        </w:rPr>
        <w:t>Supstitucije V106A, V106M, V108I, H221Y, F227C, M230I, P236L i Y318F smanjile su osetljivost na doravirin 3,4-70 puta. Supstitucija Y318F u kombinaciji sa supstitucijama V106A, V106M, V108I i</w:t>
      </w:r>
      <w:r w:rsidR="007D3FE2" w:rsidRPr="005A2200">
        <w:rPr>
          <w:rFonts w:asciiTheme="majorBidi" w:hAnsiTheme="majorBidi" w:cstheme="majorBidi"/>
          <w:sz w:val="22"/>
          <w:szCs w:val="22"/>
          <w:lang w:val="sr-Latn-ME"/>
        </w:rPr>
        <w:t>li</w:t>
      </w:r>
      <w:r w:rsidR="006F1130" w:rsidRPr="005A2200">
        <w:rPr>
          <w:rFonts w:asciiTheme="majorBidi" w:hAnsiTheme="majorBidi" w:cstheme="majorBidi"/>
          <w:sz w:val="22"/>
          <w:szCs w:val="22"/>
          <w:lang w:val="sr-Latn-ME"/>
        </w:rPr>
        <w:t xml:space="preserve"> F227C dovela je do većeg smanjenja os</w:t>
      </w:r>
      <w:r w:rsidR="00583DCE" w:rsidRPr="005A2200">
        <w:rPr>
          <w:rFonts w:asciiTheme="majorBidi" w:hAnsiTheme="majorBidi" w:cstheme="majorBidi"/>
          <w:sz w:val="22"/>
          <w:szCs w:val="22"/>
          <w:lang w:val="sr-Latn-ME"/>
        </w:rPr>
        <w:t>j</w:t>
      </w:r>
      <w:r w:rsidR="006F1130" w:rsidRPr="005A2200">
        <w:rPr>
          <w:rFonts w:asciiTheme="majorBidi" w:hAnsiTheme="majorBidi" w:cstheme="majorBidi"/>
          <w:sz w:val="22"/>
          <w:szCs w:val="22"/>
          <w:lang w:val="sr-Latn-ME"/>
        </w:rPr>
        <w:t>etljivosti na doravirin nego samo supstitucija Y318F, koja je smanjila os</w:t>
      </w:r>
      <w:r w:rsidR="00583DCE" w:rsidRPr="005A2200">
        <w:rPr>
          <w:rFonts w:asciiTheme="majorBidi" w:hAnsiTheme="majorBidi" w:cstheme="majorBidi"/>
          <w:sz w:val="22"/>
          <w:szCs w:val="22"/>
          <w:lang w:val="sr-Latn-ME"/>
        </w:rPr>
        <w:t>j</w:t>
      </w:r>
      <w:r w:rsidR="006F1130" w:rsidRPr="005A2200">
        <w:rPr>
          <w:rFonts w:asciiTheme="majorBidi" w:hAnsiTheme="majorBidi" w:cstheme="majorBidi"/>
          <w:sz w:val="22"/>
          <w:szCs w:val="22"/>
          <w:lang w:val="sr-Latn-ME"/>
        </w:rPr>
        <w:t xml:space="preserve">etljivost na doravirin 10 puta. </w:t>
      </w:r>
      <w:r w:rsidRPr="005A2200">
        <w:rPr>
          <w:rFonts w:asciiTheme="majorBidi" w:hAnsiTheme="majorBidi" w:cstheme="majorBidi"/>
          <w:sz w:val="22"/>
          <w:szCs w:val="22"/>
          <w:lang w:val="sr-Latn-ME"/>
        </w:rPr>
        <w:t xml:space="preserve">U </w:t>
      </w:r>
      <w:r w:rsidRPr="005A2200">
        <w:rPr>
          <w:rFonts w:asciiTheme="majorBidi" w:hAnsiTheme="majorBidi" w:cstheme="majorBidi"/>
          <w:i/>
          <w:iCs/>
          <w:sz w:val="22"/>
          <w:szCs w:val="22"/>
          <w:lang w:val="sr-Latn-ME"/>
        </w:rPr>
        <w:t>in vitro</w:t>
      </w:r>
      <w:r w:rsidRPr="005A2200">
        <w:rPr>
          <w:rFonts w:asciiTheme="majorBidi" w:hAnsiTheme="majorBidi" w:cstheme="majorBidi"/>
          <w:sz w:val="22"/>
          <w:szCs w:val="22"/>
          <w:lang w:val="sr-Latn-ME"/>
        </w:rPr>
        <w:t xml:space="preserve"> studiji ni</w:t>
      </w:r>
      <w:r w:rsidR="004B2B47" w:rsidRPr="005A2200">
        <w:rPr>
          <w:rFonts w:asciiTheme="majorBidi" w:hAnsiTheme="majorBidi" w:cstheme="majorBidi"/>
          <w:sz w:val="22"/>
          <w:szCs w:val="22"/>
          <w:lang w:val="sr-Latn-ME"/>
        </w:rPr>
        <w:t>je</w:t>
      </w:r>
      <w:r w:rsidRPr="005A2200">
        <w:rPr>
          <w:rFonts w:asciiTheme="majorBidi" w:hAnsiTheme="majorBidi" w:cstheme="majorBidi"/>
          <w:sz w:val="22"/>
          <w:szCs w:val="22"/>
          <w:lang w:val="sr-Latn-ME"/>
        </w:rPr>
        <w:t>su izdvojene uobičajene mutacije koje</w:t>
      </w:r>
      <w:r w:rsidR="007577F7" w:rsidRPr="005A2200">
        <w:rPr>
          <w:rFonts w:asciiTheme="majorBidi" w:hAnsiTheme="majorBidi" w:cstheme="majorBidi"/>
          <w:sz w:val="22"/>
          <w:szCs w:val="22"/>
          <w:lang w:val="sr-Latn-ME"/>
        </w:rPr>
        <w:t xml:space="preserve"> obično</w:t>
      </w:r>
      <w:r w:rsidRPr="005A2200">
        <w:rPr>
          <w:rFonts w:asciiTheme="majorBidi" w:hAnsiTheme="majorBidi" w:cstheme="majorBidi"/>
          <w:sz w:val="22"/>
          <w:szCs w:val="22"/>
          <w:lang w:val="sr-Latn-ME"/>
        </w:rPr>
        <w:t xml:space="preserve"> uzrokuju rezistenciju na NNRTI (K103N, Y181C). Mutacija V106A (koja je dovela do prom</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od približno 19 puta u odnosu na početnu vr</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 javila se kao početna supstitucija kod virusa podtipa B, a mutacija V106A ili M kod virusa podtipa A i C. Nakon toga se uz supstituciju V106 javila i mutacija F227(L/C/V) ili L234I (dvostruke mutacije koje su dovele do prom</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&gt; 100 puta u odnosu na početnu vr</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w:t>
      </w:r>
    </w:p>
    <w:p w14:paraId="08D7BB95"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5743F422"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i/>
          <w:sz w:val="22"/>
          <w:szCs w:val="22"/>
          <w:lang w:val="sr-Latn-ME"/>
        </w:rPr>
      </w:pPr>
      <w:r w:rsidRPr="005A2200">
        <w:rPr>
          <w:rFonts w:asciiTheme="majorBidi" w:hAnsiTheme="majorBidi" w:cstheme="majorBidi"/>
          <w:i/>
          <w:sz w:val="22"/>
          <w:szCs w:val="22"/>
          <w:lang w:val="sr-Latn-ME"/>
        </w:rPr>
        <w:t>U kliničkim ispitivanjima</w:t>
      </w:r>
    </w:p>
    <w:p w14:paraId="64F98E3F" w14:textId="5B56ADFC" w:rsidR="00766713" w:rsidRPr="005A2200" w:rsidRDefault="00766713" w:rsidP="005A2200">
      <w:pPr>
        <w:widowControl w:val="0"/>
        <w:tabs>
          <w:tab w:val="left" w:pos="284"/>
        </w:tabs>
        <w:autoSpaceDE w:val="0"/>
        <w:autoSpaceDN w:val="0"/>
        <w:adjustRightInd w:val="0"/>
        <w:jc w:val="both"/>
        <w:rPr>
          <w:rFonts w:asciiTheme="majorBidi" w:hAnsiTheme="majorBidi" w:cstheme="majorBidi"/>
          <w:i/>
          <w:sz w:val="22"/>
          <w:szCs w:val="22"/>
          <w:lang w:val="sr-Latn-ME"/>
        </w:rPr>
      </w:pPr>
      <w:r w:rsidRPr="005A2200">
        <w:rPr>
          <w:rFonts w:asciiTheme="majorBidi" w:hAnsiTheme="majorBidi" w:cstheme="majorBidi"/>
          <w:i/>
          <w:sz w:val="22"/>
          <w:szCs w:val="22"/>
          <w:lang w:val="sr-Latn-ME"/>
        </w:rPr>
        <w:t>Prethodno nel</w:t>
      </w:r>
      <w:r w:rsidR="00D87EC8" w:rsidRPr="005A2200">
        <w:rPr>
          <w:rFonts w:asciiTheme="majorBidi" w:hAnsiTheme="majorBidi" w:cstheme="majorBidi"/>
          <w:i/>
          <w:sz w:val="22"/>
          <w:szCs w:val="22"/>
          <w:lang w:val="sr-Latn-ME"/>
        </w:rPr>
        <w:t>ij</w:t>
      </w:r>
      <w:r w:rsidRPr="005A2200">
        <w:rPr>
          <w:rFonts w:asciiTheme="majorBidi" w:hAnsiTheme="majorBidi" w:cstheme="majorBidi"/>
          <w:i/>
          <w:sz w:val="22"/>
          <w:szCs w:val="22"/>
          <w:lang w:val="sr-Latn-ME"/>
        </w:rPr>
        <w:t>ečeni odrasli ispitanici</w:t>
      </w:r>
    </w:p>
    <w:p w14:paraId="54D2F52E" w14:textId="4DE6FC8B" w:rsidR="00766713" w:rsidRPr="005A2200" w:rsidRDefault="00766713" w:rsidP="005A2200">
      <w:pPr>
        <w:widowControl w:val="0"/>
        <w:tabs>
          <w:tab w:val="left" w:pos="284"/>
          <w:tab w:val="left" w:pos="720"/>
        </w:tabs>
        <w:autoSpaceDE w:val="0"/>
        <w:autoSpaceDN w:val="0"/>
        <w:adjustRightInd w:val="0"/>
        <w:jc w:val="both"/>
        <w:rPr>
          <w:rFonts w:asciiTheme="majorBidi" w:hAnsiTheme="majorBidi" w:cstheme="majorBidi"/>
          <w:color w:val="000000"/>
          <w:sz w:val="22"/>
          <w:szCs w:val="22"/>
          <w:lang w:val="sr-Latn-ME"/>
        </w:rPr>
      </w:pPr>
      <w:bookmarkStart w:id="6" w:name="_Hlk1137591"/>
      <w:r w:rsidRPr="005A2200">
        <w:rPr>
          <w:rFonts w:asciiTheme="majorBidi" w:hAnsiTheme="majorBidi" w:cstheme="majorBidi"/>
          <w:color w:val="000000"/>
          <w:sz w:val="22"/>
          <w:szCs w:val="22"/>
          <w:lang w:val="sr-Latn-ME"/>
        </w:rPr>
        <w:t>U ispitivanjima faze 3, DRIVE</w:t>
      </w:r>
      <w:r w:rsidRPr="005A2200">
        <w:rPr>
          <w:rFonts w:asciiTheme="majorBidi" w:hAnsiTheme="majorBidi" w:cstheme="majorBidi"/>
          <w:color w:val="000000"/>
          <w:sz w:val="22"/>
          <w:szCs w:val="22"/>
          <w:lang w:val="sr-Latn-ME"/>
        </w:rPr>
        <w:noBreakHyphen/>
        <w:t>FORWARD i DRIVE</w:t>
      </w:r>
      <w:r w:rsidRPr="005A2200">
        <w:rPr>
          <w:rFonts w:asciiTheme="majorBidi" w:hAnsiTheme="majorBidi" w:cstheme="majorBidi"/>
          <w:color w:val="000000"/>
          <w:sz w:val="22"/>
          <w:szCs w:val="22"/>
          <w:lang w:val="sr-Latn-ME"/>
        </w:rPr>
        <w:noBreakHyphen/>
        <w:t>AHEAD, učestvovali su prethodno nel</w:t>
      </w:r>
      <w:r w:rsidR="00D87EC8" w:rsidRPr="005A2200">
        <w:rPr>
          <w:rFonts w:asciiTheme="majorBidi" w:hAnsiTheme="majorBidi" w:cstheme="majorBidi"/>
          <w:color w:val="000000"/>
          <w:sz w:val="22"/>
          <w:szCs w:val="22"/>
          <w:lang w:val="sr-Latn-ME"/>
        </w:rPr>
        <w:t>ij</w:t>
      </w:r>
      <w:r w:rsidRPr="005A2200">
        <w:rPr>
          <w:rFonts w:asciiTheme="majorBidi" w:hAnsiTheme="majorBidi" w:cstheme="majorBidi"/>
          <w:color w:val="000000"/>
          <w:sz w:val="22"/>
          <w:szCs w:val="22"/>
          <w:lang w:val="sr-Latn-ME"/>
        </w:rPr>
        <w:t xml:space="preserve">ečeni pacijenti (n=747), </w:t>
      </w:r>
      <w:r w:rsidR="00DE4670" w:rsidRPr="005A2200">
        <w:rPr>
          <w:rFonts w:asciiTheme="majorBidi" w:hAnsiTheme="majorBidi" w:cstheme="majorBidi"/>
          <w:color w:val="000000"/>
          <w:sz w:val="22"/>
          <w:szCs w:val="22"/>
          <w:lang w:val="sr-Latn-ME"/>
        </w:rPr>
        <w:t xml:space="preserve">gdje su </w:t>
      </w:r>
      <w:r w:rsidRPr="005A2200">
        <w:rPr>
          <w:rFonts w:asciiTheme="majorBidi" w:hAnsiTheme="majorBidi" w:cstheme="majorBidi"/>
          <w:color w:val="000000"/>
          <w:sz w:val="22"/>
          <w:szCs w:val="22"/>
          <w:lang w:val="sr-Latn-ME"/>
        </w:rPr>
        <w:t>sl</w:t>
      </w:r>
      <w:r w:rsidR="004B2B47" w:rsidRPr="005A2200">
        <w:rPr>
          <w:rFonts w:asciiTheme="majorBidi" w:hAnsiTheme="majorBidi" w:cstheme="majorBidi"/>
          <w:color w:val="000000"/>
          <w:sz w:val="22"/>
          <w:szCs w:val="22"/>
          <w:lang w:val="sr-Latn-ME"/>
        </w:rPr>
        <w:t>j</w:t>
      </w:r>
      <w:r w:rsidRPr="005A2200">
        <w:rPr>
          <w:rFonts w:asciiTheme="majorBidi" w:hAnsiTheme="majorBidi" w:cstheme="majorBidi"/>
          <w:color w:val="000000"/>
          <w:sz w:val="22"/>
          <w:szCs w:val="22"/>
          <w:lang w:val="sr-Latn-ME"/>
        </w:rPr>
        <w:t>edeće supstitucije povezane sa rezistencijom na NNRTI bile d</w:t>
      </w:r>
      <w:r w:rsidR="002329C4" w:rsidRPr="005A2200">
        <w:rPr>
          <w:rFonts w:asciiTheme="majorBidi" w:hAnsiTheme="majorBidi" w:cstheme="majorBidi"/>
          <w:color w:val="000000"/>
          <w:sz w:val="22"/>
          <w:szCs w:val="22"/>
          <w:lang w:val="sr-Latn-ME"/>
        </w:rPr>
        <w:t>i</w:t>
      </w:r>
      <w:r w:rsidRPr="005A2200">
        <w:rPr>
          <w:rFonts w:asciiTheme="majorBidi" w:hAnsiTheme="majorBidi" w:cstheme="majorBidi"/>
          <w:color w:val="000000"/>
          <w:sz w:val="22"/>
          <w:szCs w:val="22"/>
          <w:lang w:val="sr-Latn-ME"/>
        </w:rPr>
        <w:t>o kriterijuma za izuzeće: L100I, K101E, K101P, K103N, K103S, V106A, V106I, V106M, V108I, E138A, E138G, E138K, E138Q, E138R, V179L, Y181C,</w:t>
      </w:r>
      <w:r w:rsidR="007577F7" w:rsidRPr="005A2200">
        <w:rPr>
          <w:rFonts w:asciiTheme="majorBidi" w:hAnsiTheme="majorBidi" w:cstheme="majorBidi"/>
          <w:color w:val="000000"/>
          <w:sz w:val="22"/>
          <w:szCs w:val="22"/>
          <w:lang w:val="sr-Latn-ME"/>
        </w:rPr>
        <w:t xml:space="preserve"> </w:t>
      </w:r>
      <w:r w:rsidRPr="005A2200">
        <w:rPr>
          <w:rFonts w:asciiTheme="majorBidi" w:hAnsiTheme="majorBidi" w:cstheme="majorBidi"/>
          <w:color w:val="000000"/>
          <w:sz w:val="22"/>
          <w:szCs w:val="22"/>
          <w:lang w:val="sr-Latn-ME"/>
        </w:rPr>
        <w:t>Y181I, Y181V, Y188C, Y188H, Y188L, G190A, G190S, H221Y, L234I, M230I, M230L, P225H, F227C, F227L, F227V.</w:t>
      </w:r>
    </w:p>
    <w:p w14:paraId="3C14CDF0"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052D3D11" w14:textId="31733F82"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U podgrupi u kojoj je sprovedena analiza rezistencije (ispitanici kojima je nivo HIV</w:t>
      </w:r>
      <w:r w:rsidRPr="005A2200">
        <w:rPr>
          <w:rFonts w:asciiTheme="majorBidi" w:hAnsiTheme="majorBidi" w:cstheme="majorBidi"/>
          <w:sz w:val="22"/>
          <w:szCs w:val="22"/>
          <w:lang w:val="sr-Latn-ME"/>
        </w:rPr>
        <w:noBreakHyphen/>
        <w:t>1 RNK bio veći od 400 kopija/m</w:t>
      </w:r>
      <w:r w:rsidR="00DE4670"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xml:space="preserve"> u trenutku izostanka virološkog odgovora ili pr</w:t>
      </w:r>
      <w:r w:rsidR="00392150"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evremenog povlačenja iz ispitivanja i za koje su postojali podaci o rezistenciji) zapažena je sl</w:t>
      </w:r>
      <w:r w:rsidR="004B2B47"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edeća </w:t>
      </w:r>
      <w:r w:rsidRPr="005A2200">
        <w:rPr>
          <w:rFonts w:asciiTheme="majorBidi" w:hAnsiTheme="majorBidi" w:cstheme="majorBidi"/>
          <w:i/>
          <w:iCs/>
          <w:sz w:val="22"/>
          <w:szCs w:val="22"/>
          <w:lang w:val="sr-Latn-ME"/>
        </w:rPr>
        <w:t>de novo</w:t>
      </w:r>
      <w:r w:rsidRPr="005A2200">
        <w:rPr>
          <w:rFonts w:asciiTheme="majorBidi" w:hAnsiTheme="majorBidi" w:cstheme="majorBidi"/>
          <w:sz w:val="22"/>
          <w:szCs w:val="22"/>
          <w:lang w:val="sr-Latn-ME"/>
        </w:rPr>
        <w:t xml:space="preserve"> rezistencija</w:t>
      </w:r>
      <w:bookmarkEnd w:id="6"/>
      <w:r w:rsidRPr="005A2200">
        <w:rPr>
          <w:rFonts w:asciiTheme="majorBidi" w:hAnsiTheme="majorBidi" w:cstheme="majorBidi"/>
          <w:sz w:val="22"/>
          <w:szCs w:val="22"/>
          <w:lang w:val="sr-Latn-ME"/>
        </w:rPr>
        <w:t xml:space="preserve">. </w:t>
      </w:r>
    </w:p>
    <w:p w14:paraId="338C7697"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2EAE4849" w14:textId="6A2BA0C9"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r w:rsidRPr="005A2200">
        <w:rPr>
          <w:rFonts w:asciiTheme="majorBidi" w:hAnsiTheme="majorBidi" w:cstheme="majorBidi"/>
          <w:b/>
          <w:sz w:val="22"/>
          <w:szCs w:val="22"/>
          <w:lang w:val="sr-Latn-ME"/>
        </w:rPr>
        <w:t>Tabela 3. Razvoj rezistencije do 96. nedelje u populaciji sa izostankom virološkog odgovora definisanog planom ispitivanja i populaciji koja se pr</w:t>
      </w:r>
      <w:r w:rsidR="002329C4" w:rsidRPr="005A2200">
        <w:rPr>
          <w:rFonts w:asciiTheme="majorBidi" w:hAnsiTheme="majorBidi" w:cstheme="majorBidi"/>
          <w:b/>
          <w:sz w:val="22"/>
          <w:szCs w:val="22"/>
          <w:lang w:val="sr-Latn-ME"/>
        </w:rPr>
        <w:t>ij</w:t>
      </w:r>
      <w:r w:rsidRPr="005A2200">
        <w:rPr>
          <w:rFonts w:asciiTheme="majorBidi" w:hAnsiTheme="majorBidi" w:cstheme="majorBidi"/>
          <w:b/>
          <w:sz w:val="22"/>
          <w:szCs w:val="22"/>
          <w:lang w:val="sr-Latn-ME"/>
        </w:rPr>
        <w:t xml:space="preserve">evremeno povukla iz ispitivanja </w:t>
      </w:r>
    </w:p>
    <w:p w14:paraId="6F17F2A8"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r w:rsidRPr="005A2200">
        <w:rPr>
          <w:rFonts w:asciiTheme="majorBidi" w:hAnsiTheme="majorBidi" w:cstheme="majorBidi"/>
          <w:b/>
          <w:sz w:val="22"/>
          <w:szCs w:val="22"/>
          <w:lang w:val="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1644"/>
        <w:gridCol w:w="1798"/>
        <w:gridCol w:w="1602"/>
        <w:gridCol w:w="1700"/>
      </w:tblGrid>
      <w:tr w:rsidR="00766713" w:rsidRPr="005A2200" w14:paraId="05F46112" w14:textId="77777777" w:rsidTr="005A2200">
        <w:tc>
          <w:tcPr>
            <w:tcW w:w="2319" w:type="dxa"/>
            <w:vMerge w:val="restart"/>
            <w:tcBorders>
              <w:top w:val="single" w:sz="4" w:space="0" w:color="auto"/>
              <w:left w:val="single" w:sz="4" w:space="0" w:color="auto"/>
              <w:right w:val="single" w:sz="4" w:space="0" w:color="auto"/>
            </w:tcBorders>
          </w:tcPr>
          <w:p w14:paraId="04C50495"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p>
        </w:tc>
        <w:tc>
          <w:tcPr>
            <w:tcW w:w="3442" w:type="dxa"/>
            <w:gridSpan w:val="2"/>
            <w:tcBorders>
              <w:top w:val="single" w:sz="4" w:space="0" w:color="auto"/>
              <w:left w:val="single" w:sz="4" w:space="0" w:color="auto"/>
              <w:bottom w:val="single" w:sz="4" w:space="0" w:color="auto"/>
              <w:right w:val="single" w:sz="4" w:space="0" w:color="auto"/>
            </w:tcBorders>
            <w:hideMark/>
          </w:tcPr>
          <w:p w14:paraId="154D6AD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DRIVE</w:t>
            </w:r>
            <w:r w:rsidRPr="005A2200">
              <w:rPr>
                <w:rFonts w:asciiTheme="majorBidi" w:hAnsiTheme="majorBidi" w:cstheme="majorBidi"/>
                <w:sz w:val="22"/>
                <w:szCs w:val="22"/>
                <w:lang w:val="sr-Latn-ME"/>
              </w:rPr>
              <w:noBreakHyphen/>
              <w:t>FORWARD</w:t>
            </w:r>
          </w:p>
        </w:tc>
        <w:tc>
          <w:tcPr>
            <w:tcW w:w="3302" w:type="dxa"/>
            <w:gridSpan w:val="2"/>
            <w:tcBorders>
              <w:top w:val="single" w:sz="4" w:space="0" w:color="auto"/>
              <w:left w:val="single" w:sz="4" w:space="0" w:color="auto"/>
              <w:bottom w:val="single" w:sz="4" w:space="0" w:color="auto"/>
              <w:right w:val="single" w:sz="4" w:space="0" w:color="auto"/>
            </w:tcBorders>
            <w:hideMark/>
          </w:tcPr>
          <w:p w14:paraId="5607D7F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DRIVE</w:t>
            </w:r>
            <w:r w:rsidRPr="005A2200">
              <w:rPr>
                <w:rFonts w:asciiTheme="majorBidi" w:hAnsiTheme="majorBidi" w:cstheme="majorBidi"/>
                <w:sz w:val="22"/>
                <w:szCs w:val="22"/>
                <w:lang w:val="sr-Latn-ME"/>
              </w:rPr>
              <w:noBreakHyphen/>
              <w:t>AHEAD</w:t>
            </w:r>
          </w:p>
        </w:tc>
      </w:tr>
      <w:tr w:rsidR="00766713" w:rsidRPr="005A2200" w14:paraId="24A9B8FD" w14:textId="77777777" w:rsidTr="005A2200">
        <w:tc>
          <w:tcPr>
            <w:tcW w:w="2319" w:type="dxa"/>
            <w:vMerge/>
            <w:tcBorders>
              <w:left w:val="single" w:sz="4" w:space="0" w:color="auto"/>
              <w:bottom w:val="single" w:sz="4" w:space="0" w:color="auto"/>
              <w:right w:val="single" w:sz="4" w:space="0" w:color="auto"/>
            </w:tcBorders>
          </w:tcPr>
          <w:p w14:paraId="0B3C9036"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eastAsia="zh-CN"/>
              </w:rPr>
            </w:pPr>
          </w:p>
        </w:tc>
        <w:tc>
          <w:tcPr>
            <w:tcW w:w="1644" w:type="dxa"/>
            <w:tcBorders>
              <w:top w:val="single" w:sz="4" w:space="0" w:color="auto"/>
              <w:left w:val="single" w:sz="4" w:space="0" w:color="auto"/>
              <w:bottom w:val="single" w:sz="4" w:space="0" w:color="auto"/>
              <w:right w:val="single" w:sz="4" w:space="0" w:color="auto"/>
            </w:tcBorders>
            <w:hideMark/>
          </w:tcPr>
          <w:p w14:paraId="2D752296"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 +</w:t>
            </w:r>
          </w:p>
          <w:p w14:paraId="01BCAC76"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NRTI*</w:t>
            </w:r>
          </w:p>
          <w:p w14:paraId="3E30E7C9"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(383)</w:t>
            </w:r>
          </w:p>
        </w:tc>
        <w:tc>
          <w:tcPr>
            <w:tcW w:w="1798" w:type="dxa"/>
            <w:tcBorders>
              <w:top w:val="single" w:sz="4" w:space="0" w:color="auto"/>
              <w:left w:val="single" w:sz="4" w:space="0" w:color="auto"/>
              <w:bottom w:val="single" w:sz="4" w:space="0" w:color="auto"/>
              <w:right w:val="single" w:sz="4" w:space="0" w:color="auto"/>
            </w:tcBorders>
            <w:hideMark/>
          </w:tcPr>
          <w:p w14:paraId="7538D758"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DRV + r +</w:t>
            </w:r>
          </w:p>
          <w:p w14:paraId="20AA4D32"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NRTI*</w:t>
            </w:r>
          </w:p>
          <w:p w14:paraId="40604551"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(383)</w:t>
            </w:r>
          </w:p>
        </w:tc>
        <w:tc>
          <w:tcPr>
            <w:tcW w:w="1602" w:type="dxa"/>
            <w:tcBorders>
              <w:top w:val="single" w:sz="4" w:space="0" w:color="auto"/>
              <w:left w:val="single" w:sz="4" w:space="0" w:color="auto"/>
              <w:bottom w:val="single" w:sz="4" w:space="0" w:color="auto"/>
              <w:right w:val="single" w:sz="4" w:space="0" w:color="auto"/>
            </w:tcBorders>
            <w:hideMark/>
          </w:tcPr>
          <w:p w14:paraId="484FF936"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 xml:space="preserve">DOR/TDF/3TC </w:t>
            </w:r>
            <w:r w:rsidRPr="005A2200">
              <w:rPr>
                <w:rFonts w:asciiTheme="majorBidi" w:hAnsiTheme="majorBidi" w:cstheme="majorBidi"/>
                <w:sz w:val="22"/>
                <w:szCs w:val="22"/>
                <w:lang w:val="sr-Latn-ME"/>
              </w:rPr>
              <w:br/>
              <w:t>(364)</w:t>
            </w:r>
          </w:p>
        </w:tc>
        <w:tc>
          <w:tcPr>
            <w:tcW w:w="1700" w:type="dxa"/>
            <w:tcBorders>
              <w:top w:val="single" w:sz="4" w:space="0" w:color="auto"/>
              <w:left w:val="single" w:sz="4" w:space="0" w:color="auto"/>
              <w:bottom w:val="single" w:sz="4" w:space="0" w:color="auto"/>
              <w:right w:val="single" w:sz="4" w:space="0" w:color="auto"/>
            </w:tcBorders>
            <w:hideMark/>
          </w:tcPr>
          <w:p w14:paraId="3F185CB7"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 xml:space="preserve">EFV/TDF/FTC </w:t>
            </w:r>
            <w:r w:rsidRPr="005A2200">
              <w:rPr>
                <w:rFonts w:asciiTheme="majorBidi" w:hAnsiTheme="majorBidi" w:cstheme="majorBidi"/>
                <w:sz w:val="22"/>
                <w:szCs w:val="22"/>
                <w:lang w:val="sr-Latn-ME"/>
              </w:rPr>
              <w:br/>
              <w:t>(364)</w:t>
            </w:r>
          </w:p>
        </w:tc>
      </w:tr>
      <w:tr w:rsidR="00766713" w:rsidRPr="005A2200" w14:paraId="6818DFFF" w14:textId="77777777" w:rsidTr="005A2200">
        <w:tc>
          <w:tcPr>
            <w:tcW w:w="2319" w:type="dxa"/>
            <w:tcBorders>
              <w:top w:val="single" w:sz="4" w:space="0" w:color="auto"/>
              <w:left w:val="single" w:sz="4" w:space="0" w:color="auto"/>
              <w:bottom w:val="single" w:sz="4" w:space="0" w:color="auto"/>
              <w:right w:val="single" w:sz="4" w:space="0" w:color="auto"/>
            </w:tcBorders>
            <w:hideMark/>
          </w:tcPr>
          <w:p w14:paraId="1E2A99F4" w14:textId="485EC559"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Usp</w:t>
            </w:r>
            <w:r w:rsidR="00392150"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ešno sprovedena genotipizacija, n</w:t>
            </w:r>
          </w:p>
        </w:tc>
        <w:tc>
          <w:tcPr>
            <w:tcW w:w="1644" w:type="dxa"/>
            <w:tcBorders>
              <w:top w:val="single" w:sz="4" w:space="0" w:color="auto"/>
              <w:left w:val="single" w:sz="4" w:space="0" w:color="auto"/>
              <w:bottom w:val="single" w:sz="4" w:space="0" w:color="auto"/>
              <w:right w:val="single" w:sz="4" w:space="0" w:color="auto"/>
            </w:tcBorders>
            <w:hideMark/>
          </w:tcPr>
          <w:p w14:paraId="6360E986"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15</w:t>
            </w:r>
          </w:p>
        </w:tc>
        <w:tc>
          <w:tcPr>
            <w:tcW w:w="1798" w:type="dxa"/>
            <w:tcBorders>
              <w:top w:val="single" w:sz="4" w:space="0" w:color="auto"/>
              <w:left w:val="single" w:sz="4" w:space="0" w:color="auto"/>
              <w:bottom w:val="single" w:sz="4" w:space="0" w:color="auto"/>
              <w:right w:val="single" w:sz="4" w:space="0" w:color="auto"/>
            </w:tcBorders>
            <w:hideMark/>
          </w:tcPr>
          <w:p w14:paraId="17EBA940"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18</w:t>
            </w:r>
          </w:p>
        </w:tc>
        <w:tc>
          <w:tcPr>
            <w:tcW w:w="1602" w:type="dxa"/>
            <w:tcBorders>
              <w:top w:val="single" w:sz="4" w:space="0" w:color="auto"/>
              <w:left w:val="single" w:sz="4" w:space="0" w:color="auto"/>
              <w:bottom w:val="single" w:sz="4" w:space="0" w:color="auto"/>
              <w:right w:val="single" w:sz="4" w:space="0" w:color="auto"/>
            </w:tcBorders>
            <w:hideMark/>
          </w:tcPr>
          <w:p w14:paraId="46C8C17C"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32</w:t>
            </w:r>
          </w:p>
        </w:tc>
        <w:tc>
          <w:tcPr>
            <w:tcW w:w="1700" w:type="dxa"/>
            <w:tcBorders>
              <w:top w:val="single" w:sz="4" w:space="0" w:color="auto"/>
              <w:left w:val="single" w:sz="4" w:space="0" w:color="auto"/>
              <w:bottom w:val="single" w:sz="4" w:space="0" w:color="auto"/>
              <w:right w:val="single" w:sz="4" w:space="0" w:color="auto"/>
            </w:tcBorders>
            <w:hideMark/>
          </w:tcPr>
          <w:p w14:paraId="1EB38598"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33</w:t>
            </w:r>
          </w:p>
        </w:tc>
      </w:tr>
      <w:tr w:rsidR="00766713" w:rsidRPr="005A2200" w14:paraId="7236B63A" w14:textId="77777777" w:rsidTr="005A2200">
        <w:tc>
          <w:tcPr>
            <w:tcW w:w="2319" w:type="dxa"/>
            <w:tcBorders>
              <w:top w:val="single" w:sz="4" w:space="0" w:color="auto"/>
              <w:left w:val="single" w:sz="4" w:space="0" w:color="auto"/>
              <w:bottom w:val="single" w:sz="4" w:space="0" w:color="auto"/>
              <w:right w:val="single" w:sz="4" w:space="0" w:color="auto"/>
            </w:tcBorders>
          </w:tcPr>
          <w:p w14:paraId="1D563A4B"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Genotipska rezistencija na</w:t>
            </w:r>
          </w:p>
        </w:tc>
        <w:tc>
          <w:tcPr>
            <w:tcW w:w="1644" w:type="dxa"/>
            <w:tcBorders>
              <w:top w:val="single" w:sz="4" w:space="0" w:color="auto"/>
              <w:left w:val="single" w:sz="4" w:space="0" w:color="auto"/>
              <w:bottom w:val="single" w:sz="4" w:space="0" w:color="auto"/>
              <w:right w:val="single" w:sz="4" w:space="0" w:color="auto"/>
            </w:tcBorders>
          </w:tcPr>
          <w:p w14:paraId="1006FE01" w14:textId="77777777" w:rsidR="00766713" w:rsidRPr="005A2200" w:rsidDel="00C96452"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p>
        </w:tc>
        <w:tc>
          <w:tcPr>
            <w:tcW w:w="1798" w:type="dxa"/>
            <w:tcBorders>
              <w:top w:val="single" w:sz="4" w:space="0" w:color="auto"/>
              <w:left w:val="single" w:sz="4" w:space="0" w:color="auto"/>
              <w:bottom w:val="single" w:sz="4" w:space="0" w:color="auto"/>
              <w:right w:val="single" w:sz="4" w:space="0" w:color="auto"/>
            </w:tcBorders>
          </w:tcPr>
          <w:p w14:paraId="774B2D06" w14:textId="77777777" w:rsidR="00766713" w:rsidRPr="005A2200" w:rsidDel="00C96452"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p>
        </w:tc>
        <w:tc>
          <w:tcPr>
            <w:tcW w:w="1602" w:type="dxa"/>
            <w:tcBorders>
              <w:top w:val="single" w:sz="4" w:space="0" w:color="auto"/>
              <w:left w:val="single" w:sz="4" w:space="0" w:color="auto"/>
              <w:bottom w:val="single" w:sz="4" w:space="0" w:color="auto"/>
              <w:right w:val="single" w:sz="4" w:space="0" w:color="auto"/>
            </w:tcBorders>
          </w:tcPr>
          <w:p w14:paraId="1A0B3605"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p>
        </w:tc>
        <w:tc>
          <w:tcPr>
            <w:tcW w:w="1700" w:type="dxa"/>
            <w:tcBorders>
              <w:top w:val="single" w:sz="4" w:space="0" w:color="auto"/>
              <w:left w:val="single" w:sz="4" w:space="0" w:color="auto"/>
              <w:bottom w:val="single" w:sz="4" w:space="0" w:color="auto"/>
              <w:right w:val="single" w:sz="4" w:space="0" w:color="auto"/>
            </w:tcBorders>
          </w:tcPr>
          <w:p w14:paraId="3B241497" w14:textId="77777777" w:rsidR="00766713" w:rsidRPr="005A2200" w:rsidDel="00C96452"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p>
        </w:tc>
      </w:tr>
      <w:tr w:rsidR="00766713" w:rsidRPr="005A2200" w14:paraId="6CC619C1" w14:textId="77777777" w:rsidTr="005A2200">
        <w:tc>
          <w:tcPr>
            <w:tcW w:w="2319" w:type="dxa"/>
            <w:tcBorders>
              <w:top w:val="single" w:sz="4" w:space="0" w:color="auto"/>
              <w:left w:val="single" w:sz="4" w:space="0" w:color="auto"/>
              <w:bottom w:val="single" w:sz="4" w:space="0" w:color="auto"/>
              <w:right w:val="single" w:sz="4" w:space="0" w:color="auto"/>
            </w:tcBorders>
            <w:hideMark/>
          </w:tcPr>
          <w:p w14:paraId="37F9B2F3"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DOR ili kontrola (DRV ili EFV)</w:t>
            </w:r>
          </w:p>
        </w:tc>
        <w:tc>
          <w:tcPr>
            <w:tcW w:w="1644" w:type="dxa"/>
            <w:tcBorders>
              <w:top w:val="single" w:sz="4" w:space="0" w:color="auto"/>
              <w:left w:val="single" w:sz="4" w:space="0" w:color="auto"/>
              <w:bottom w:val="single" w:sz="4" w:space="0" w:color="auto"/>
              <w:right w:val="single" w:sz="4" w:space="0" w:color="auto"/>
            </w:tcBorders>
            <w:hideMark/>
          </w:tcPr>
          <w:p w14:paraId="0152F311"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2 (DOR)</w:t>
            </w:r>
          </w:p>
        </w:tc>
        <w:tc>
          <w:tcPr>
            <w:tcW w:w="1798" w:type="dxa"/>
            <w:tcBorders>
              <w:top w:val="single" w:sz="4" w:space="0" w:color="auto"/>
              <w:left w:val="single" w:sz="4" w:space="0" w:color="auto"/>
              <w:bottom w:val="single" w:sz="4" w:space="0" w:color="auto"/>
              <w:right w:val="single" w:sz="4" w:space="0" w:color="auto"/>
            </w:tcBorders>
            <w:hideMark/>
          </w:tcPr>
          <w:p w14:paraId="66437E08"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0 (DRV)</w:t>
            </w:r>
          </w:p>
        </w:tc>
        <w:tc>
          <w:tcPr>
            <w:tcW w:w="1602" w:type="dxa"/>
            <w:tcBorders>
              <w:top w:val="single" w:sz="4" w:space="0" w:color="auto"/>
              <w:left w:val="single" w:sz="4" w:space="0" w:color="auto"/>
              <w:bottom w:val="single" w:sz="4" w:space="0" w:color="auto"/>
              <w:right w:val="single" w:sz="4" w:space="0" w:color="auto"/>
            </w:tcBorders>
            <w:hideMark/>
          </w:tcPr>
          <w:p w14:paraId="4646F537"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8 (DOR)</w:t>
            </w:r>
          </w:p>
        </w:tc>
        <w:tc>
          <w:tcPr>
            <w:tcW w:w="1700" w:type="dxa"/>
            <w:tcBorders>
              <w:top w:val="single" w:sz="4" w:space="0" w:color="auto"/>
              <w:left w:val="single" w:sz="4" w:space="0" w:color="auto"/>
              <w:bottom w:val="single" w:sz="4" w:space="0" w:color="auto"/>
              <w:right w:val="single" w:sz="4" w:space="0" w:color="auto"/>
            </w:tcBorders>
            <w:hideMark/>
          </w:tcPr>
          <w:p w14:paraId="2B3A0B09"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14 (EFV)</w:t>
            </w:r>
          </w:p>
        </w:tc>
      </w:tr>
      <w:tr w:rsidR="00766713" w:rsidRPr="005A2200" w14:paraId="705F685A" w14:textId="77777777" w:rsidTr="005A2200">
        <w:tc>
          <w:tcPr>
            <w:tcW w:w="2319" w:type="dxa"/>
            <w:tcBorders>
              <w:top w:val="single" w:sz="4" w:space="0" w:color="auto"/>
              <w:left w:val="single" w:sz="4" w:space="0" w:color="auto"/>
              <w:bottom w:val="single" w:sz="4" w:space="0" w:color="auto"/>
              <w:right w:val="single" w:sz="4" w:space="0" w:color="auto"/>
            </w:tcBorders>
            <w:hideMark/>
          </w:tcPr>
          <w:p w14:paraId="06D6F7E1"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bookmarkStart w:id="7" w:name="_Hlk1137637"/>
            <w:r w:rsidRPr="005A2200">
              <w:rPr>
                <w:rFonts w:asciiTheme="majorBidi" w:hAnsiTheme="majorBidi" w:cstheme="majorBidi"/>
                <w:sz w:val="22"/>
                <w:szCs w:val="22"/>
                <w:lang w:val="sr-Latn-ME"/>
              </w:rPr>
              <w:t>NRTI osnovica</w:t>
            </w:r>
            <w:bookmarkEnd w:id="7"/>
          </w:p>
          <w:p w14:paraId="7FF02277" w14:textId="77777777" w:rsidR="00766713" w:rsidRPr="005A2200" w:rsidRDefault="00766713" w:rsidP="005A2200">
            <w:pPr>
              <w:widowControl w:val="0"/>
              <w:tabs>
                <w:tab w:val="left" w:pos="284"/>
                <w:tab w:val="left" w:pos="507"/>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samo M184I/V</w:t>
            </w:r>
          </w:p>
          <w:p w14:paraId="3A67241F" w14:textId="77777777" w:rsidR="00766713" w:rsidRPr="005A2200" w:rsidRDefault="00766713" w:rsidP="005A2200">
            <w:pPr>
              <w:widowControl w:val="0"/>
              <w:tabs>
                <w:tab w:val="left" w:pos="284"/>
                <w:tab w:val="left" w:pos="507"/>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samo K65R</w:t>
            </w:r>
          </w:p>
          <w:p w14:paraId="21E17A87" w14:textId="77777777" w:rsidR="00766713" w:rsidRPr="005A2200" w:rsidRDefault="00766713" w:rsidP="005A2200">
            <w:pPr>
              <w:widowControl w:val="0"/>
              <w:tabs>
                <w:tab w:val="left" w:pos="284"/>
                <w:tab w:val="left" w:pos="507"/>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K65R + M184I/V</w:t>
            </w:r>
          </w:p>
        </w:tc>
        <w:tc>
          <w:tcPr>
            <w:tcW w:w="1644" w:type="dxa"/>
            <w:tcBorders>
              <w:top w:val="single" w:sz="4" w:space="0" w:color="auto"/>
              <w:left w:val="single" w:sz="4" w:space="0" w:color="auto"/>
              <w:bottom w:val="single" w:sz="4" w:space="0" w:color="auto"/>
              <w:right w:val="single" w:sz="4" w:space="0" w:color="auto"/>
            </w:tcBorders>
            <w:hideMark/>
          </w:tcPr>
          <w:p w14:paraId="62264889"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2**</w:t>
            </w:r>
          </w:p>
          <w:p w14:paraId="71B99226"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2</w:t>
            </w:r>
          </w:p>
          <w:p w14:paraId="7728A899"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0</w:t>
            </w:r>
          </w:p>
          <w:p w14:paraId="35DE82D7" w14:textId="7E5BFCC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0</w:t>
            </w:r>
          </w:p>
        </w:tc>
        <w:tc>
          <w:tcPr>
            <w:tcW w:w="1798" w:type="dxa"/>
            <w:tcBorders>
              <w:top w:val="single" w:sz="4" w:space="0" w:color="auto"/>
              <w:left w:val="single" w:sz="4" w:space="0" w:color="auto"/>
              <w:bottom w:val="single" w:sz="4" w:space="0" w:color="auto"/>
              <w:right w:val="single" w:sz="4" w:space="0" w:color="auto"/>
            </w:tcBorders>
            <w:hideMark/>
          </w:tcPr>
          <w:p w14:paraId="344E3312"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0</w:t>
            </w:r>
          </w:p>
          <w:p w14:paraId="3709FF86"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0</w:t>
            </w:r>
          </w:p>
          <w:p w14:paraId="159C842F"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0</w:t>
            </w:r>
          </w:p>
          <w:p w14:paraId="63775EC2" w14:textId="4F2171C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0</w:t>
            </w:r>
          </w:p>
        </w:tc>
        <w:tc>
          <w:tcPr>
            <w:tcW w:w="1602" w:type="dxa"/>
            <w:tcBorders>
              <w:top w:val="single" w:sz="4" w:space="0" w:color="auto"/>
              <w:left w:val="single" w:sz="4" w:space="0" w:color="auto"/>
              <w:bottom w:val="single" w:sz="4" w:space="0" w:color="auto"/>
              <w:right w:val="single" w:sz="4" w:space="0" w:color="auto"/>
            </w:tcBorders>
            <w:hideMark/>
          </w:tcPr>
          <w:p w14:paraId="757B371A"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6</w:t>
            </w:r>
          </w:p>
          <w:p w14:paraId="12FDDF9A"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4</w:t>
            </w:r>
          </w:p>
          <w:p w14:paraId="3077D3DD"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1</w:t>
            </w:r>
          </w:p>
          <w:p w14:paraId="0007929E"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1</w:t>
            </w:r>
          </w:p>
        </w:tc>
        <w:tc>
          <w:tcPr>
            <w:tcW w:w="1700" w:type="dxa"/>
            <w:tcBorders>
              <w:top w:val="single" w:sz="4" w:space="0" w:color="auto"/>
              <w:left w:val="single" w:sz="4" w:space="0" w:color="auto"/>
              <w:bottom w:val="single" w:sz="4" w:space="0" w:color="auto"/>
              <w:right w:val="single" w:sz="4" w:space="0" w:color="auto"/>
            </w:tcBorders>
            <w:hideMark/>
          </w:tcPr>
          <w:p w14:paraId="3D9055E5"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5</w:t>
            </w:r>
          </w:p>
          <w:p w14:paraId="653C0942"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4</w:t>
            </w:r>
          </w:p>
          <w:p w14:paraId="4B3C1300"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0</w:t>
            </w:r>
          </w:p>
          <w:p w14:paraId="5AB1C1A9"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1</w:t>
            </w:r>
          </w:p>
        </w:tc>
      </w:tr>
      <w:tr w:rsidR="00766713" w:rsidRPr="005A2200" w14:paraId="23104005" w14:textId="77777777" w:rsidTr="005A2200">
        <w:tc>
          <w:tcPr>
            <w:tcW w:w="9063" w:type="dxa"/>
            <w:gridSpan w:val="5"/>
            <w:tcBorders>
              <w:top w:val="single" w:sz="4" w:space="0" w:color="auto"/>
              <w:left w:val="single" w:sz="4" w:space="0" w:color="auto"/>
              <w:bottom w:val="single" w:sz="4" w:space="0" w:color="auto"/>
              <w:right w:val="single" w:sz="4" w:space="0" w:color="auto"/>
            </w:tcBorders>
            <w:vAlign w:val="center"/>
          </w:tcPr>
          <w:p w14:paraId="17333D7C"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0"/>
                <w:szCs w:val="22"/>
                <w:lang w:val="sr-Latn-ME"/>
              </w:rPr>
            </w:pPr>
            <w:r w:rsidRPr="005A2200">
              <w:rPr>
                <w:rFonts w:asciiTheme="majorBidi" w:hAnsiTheme="majorBidi" w:cstheme="majorBidi"/>
                <w:sz w:val="20"/>
                <w:szCs w:val="22"/>
                <w:lang w:val="sr-Latn-ME"/>
              </w:rPr>
              <w:t>*NRTI u grupi koja je primala doravirin (DOR): FTC/TDF (333) ili ABC/3TC (50); NRTI u grupi koja je primala darunavir pojačan ritonavirom (DRV+r): FTC/TDF (335) ili ABC/3TC (48)</w:t>
            </w:r>
          </w:p>
          <w:p w14:paraId="23CA6A08"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hAnsiTheme="majorBidi" w:cstheme="majorBidi"/>
                <w:sz w:val="20"/>
                <w:szCs w:val="22"/>
                <w:lang w:val="sr-Latn-ME"/>
              </w:rPr>
            </w:pPr>
            <w:r w:rsidRPr="005A2200">
              <w:rPr>
                <w:rFonts w:asciiTheme="majorBidi" w:hAnsiTheme="majorBidi" w:cstheme="majorBidi"/>
                <w:sz w:val="20"/>
                <w:szCs w:val="22"/>
                <w:lang w:val="sr-Latn-ME"/>
              </w:rPr>
              <w:t>**Ispitanici su primali FTC/TDF</w:t>
            </w:r>
          </w:p>
          <w:p w14:paraId="27528049" w14:textId="77777777" w:rsidR="00766713" w:rsidRPr="005A2200" w:rsidRDefault="00766713" w:rsidP="005A2200">
            <w:pPr>
              <w:widowControl w:val="0"/>
              <w:tabs>
                <w:tab w:val="left" w:pos="284"/>
                <w:tab w:val="left" w:pos="720"/>
              </w:tabs>
              <w:kinsoku w:val="0"/>
              <w:overflowPunct w:val="0"/>
              <w:autoSpaceDE w:val="0"/>
              <w:autoSpaceDN w:val="0"/>
              <w:adjustRightInd w:val="0"/>
              <w:jc w:val="both"/>
              <w:rPr>
                <w:rFonts w:asciiTheme="majorBidi" w:eastAsia="SimSun" w:hAnsiTheme="majorBidi" w:cstheme="majorBidi"/>
                <w:sz w:val="22"/>
                <w:szCs w:val="22"/>
                <w:lang w:val="sr-Latn-ME"/>
              </w:rPr>
            </w:pPr>
            <w:r w:rsidRPr="005A2200">
              <w:rPr>
                <w:rFonts w:asciiTheme="majorBidi" w:hAnsiTheme="majorBidi" w:cstheme="majorBidi"/>
                <w:sz w:val="20"/>
                <w:szCs w:val="22"/>
                <w:lang w:val="sr-Latn-ME"/>
              </w:rPr>
              <w:t>ABC=abakavir; FTC=emtricitabin; DRV=darunavir; r=ritonavir</w:t>
            </w:r>
          </w:p>
        </w:tc>
      </w:tr>
    </w:tbl>
    <w:p w14:paraId="4174CEF1"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3933C633" w14:textId="2C7EC8C5"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Supstitucije u reverznoj transkriptazi povezane sa rezistencijom na doravirin koje su se pojavile tokom l</w:t>
      </w:r>
      <w:r w:rsidR="002329C4"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ečenja uključivale su jednu ili više sl</w:t>
      </w:r>
      <w:r w:rsidR="004B2B47"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edećih supstitucija: A98G, V106I, V106A, V106M/T, Y188L, H221Y, P225H, F227C, F227C/R i Y318Y/F. </w:t>
      </w:r>
    </w:p>
    <w:p w14:paraId="1247536B"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5557EEE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i/>
          <w:sz w:val="22"/>
          <w:szCs w:val="22"/>
          <w:lang w:val="sr-Latn-ME"/>
        </w:rPr>
      </w:pPr>
      <w:bookmarkStart w:id="8" w:name="_Hlk1555438"/>
      <w:r w:rsidRPr="005A2200">
        <w:rPr>
          <w:rFonts w:asciiTheme="majorBidi" w:hAnsiTheme="majorBidi" w:cstheme="majorBidi"/>
          <w:i/>
          <w:sz w:val="22"/>
          <w:szCs w:val="22"/>
          <w:lang w:val="sr-Latn-ME"/>
        </w:rPr>
        <w:t>Odrasli ispitanici kod kojih je postignuta virološka supresija</w:t>
      </w:r>
    </w:p>
    <w:p w14:paraId="29744B17" w14:textId="03AAF490"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Ispitivanje DRIVE-SHIFT uključilo je pacijente kod kojih je postignuta virološka supresija (N=670) i koji u anamnezi nemaju neusp</w:t>
      </w:r>
      <w:r w:rsidR="00DE4670"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ešno l</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ečenje (vid</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DE4670"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xml:space="preserve"> Kliničko iskustvo). Dokumentova</w:t>
      </w:r>
      <w:r w:rsidR="00DE4670" w:rsidRPr="005A2200">
        <w:rPr>
          <w:rFonts w:asciiTheme="majorBidi" w:hAnsiTheme="majorBidi" w:cstheme="majorBidi"/>
          <w:sz w:val="22"/>
          <w:szCs w:val="22"/>
          <w:lang w:val="sr-Latn-ME"/>
        </w:rPr>
        <w:t>no</w:t>
      </w:r>
      <w:r w:rsidRPr="005A2200">
        <w:rPr>
          <w:rFonts w:asciiTheme="majorBidi" w:hAnsiTheme="majorBidi" w:cstheme="majorBidi"/>
          <w:sz w:val="22"/>
          <w:szCs w:val="22"/>
          <w:lang w:val="sr-Latn-ME"/>
        </w:rPr>
        <w:t xml:space="preserve"> odsu</w:t>
      </w:r>
      <w:r w:rsidR="00DE4670" w:rsidRPr="005A2200">
        <w:rPr>
          <w:rFonts w:asciiTheme="majorBidi" w:hAnsiTheme="majorBidi" w:cstheme="majorBidi"/>
          <w:sz w:val="22"/>
          <w:szCs w:val="22"/>
          <w:lang w:val="sr-Latn-ME"/>
        </w:rPr>
        <w:t>stvo</w:t>
      </w:r>
      <w:r w:rsidRPr="005A2200">
        <w:rPr>
          <w:rFonts w:asciiTheme="majorBidi" w:hAnsiTheme="majorBidi" w:cstheme="majorBidi"/>
          <w:sz w:val="22"/>
          <w:szCs w:val="22"/>
          <w:lang w:val="sr-Latn-ME"/>
        </w:rPr>
        <w:t xml:space="preserve"> genotipske rezistencije (pr</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 uvođenja prve terapije) na doravirin, lamivudin i tenofovir bila je d</w:t>
      </w:r>
      <w:r w:rsidR="00D87EC8" w:rsidRPr="005A2200">
        <w:rPr>
          <w:rFonts w:asciiTheme="majorBidi" w:hAnsiTheme="majorBidi" w:cstheme="majorBidi"/>
          <w:sz w:val="22"/>
          <w:szCs w:val="22"/>
          <w:lang w:val="sr-Latn-ME"/>
        </w:rPr>
        <w:t>i</w:t>
      </w:r>
      <w:r w:rsidRPr="005A2200">
        <w:rPr>
          <w:rFonts w:asciiTheme="majorBidi" w:hAnsiTheme="majorBidi" w:cstheme="majorBidi"/>
          <w:sz w:val="22"/>
          <w:szCs w:val="22"/>
          <w:lang w:val="sr-Latn-ME"/>
        </w:rPr>
        <w:t>o kriterijuma uključivanja za pacijente koji su prešli sa režima zasnovanog na inhibitoru proteaze ili inhibitoru integraze. Isključujuće supstitucije povezane sa rezistencijom na NNRTI bile su one navedene</w:t>
      </w:r>
      <w:r w:rsidR="00DE4670" w:rsidRPr="005A2200">
        <w:rPr>
          <w:rFonts w:asciiTheme="majorBidi" w:hAnsiTheme="majorBidi" w:cstheme="majorBidi"/>
          <w:sz w:val="22"/>
          <w:szCs w:val="22"/>
          <w:lang w:val="sr-Latn-ME"/>
        </w:rPr>
        <w:t xml:space="preserve"> iznad</w:t>
      </w:r>
      <w:r w:rsidRPr="005A2200">
        <w:rPr>
          <w:rFonts w:asciiTheme="majorBidi" w:hAnsiTheme="majorBidi" w:cstheme="majorBidi"/>
          <w:sz w:val="22"/>
          <w:szCs w:val="22"/>
          <w:lang w:val="sr-Latn-ME"/>
        </w:rPr>
        <w:t xml:space="preserve"> (DRIVE-FORWARD i DRIVE-AHEAD), uz izuzetak supstitucija u reverznoj transkriptazi K103N, G190A i Y181C (prihvaćene u ispitivanju DRIVE-SHIFT). Dokumentacija o genotipizaciji rezistencije pr</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 l</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ečenja nije bila potrebna za pacijente koji su prešli sa režima zasnovanog na NNRTI.</w:t>
      </w:r>
    </w:p>
    <w:p w14:paraId="6D7175EA"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34C57391" w14:textId="5074FD78"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U kliničkom ispitivanju DRIVE-SHIFT, nijedan ispitanik nije razvio genotipsku niti fenotipsku rezistenciju na DOR, 3TC ili TDF uz terapiju DOR/3TC/TDF tokom početnih 48 ned</w:t>
      </w:r>
      <w:r w:rsidR="00C82EA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elja (prelazak bez odlaganja, N=447) ili tokom 24 nedelje (odloženi prelazak, N=209). Jedan ispitanik</w:t>
      </w:r>
      <w:r w:rsidR="00336ABB" w:rsidRPr="005A2200">
        <w:rPr>
          <w:rFonts w:asciiTheme="majorBidi" w:hAnsiTheme="majorBidi" w:cstheme="majorBidi"/>
          <w:sz w:val="22"/>
          <w:szCs w:val="22"/>
          <w:lang w:val="sr-Latn-ME"/>
        </w:rPr>
        <w:t xml:space="preserve"> je</w:t>
      </w:r>
      <w:r w:rsidRPr="005A2200">
        <w:rPr>
          <w:rFonts w:asciiTheme="majorBidi" w:hAnsiTheme="majorBidi" w:cstheme="majorBidi"/>
          <w:sz w:val="22"/>
          <w:szCs w:val="22"/>
          <w:lang w:val="sr-Latn-ME"/>
        </w:rPr>
        <w:t xml:space="preserve"> razvio mutaciju M184M/I u reverznoj transkriptazi i fenotipsku rezistenciju na 3TC i FTC tokom terapije početnim režimom. Ni kod jednog od 24 ispitanika (11 u grupi sa prelaskom bez odlaganja, 13 u grupi sa odloženim prelaskom) sa početnim mutacijama povezanima sa rezistencijom na NNRTI (K103N, G190A ili Y181C u reverznoj transkriptazi) nije došlo do izostanka virološkog odgovora do 48. ned</w:t>
      </w:r>
      <w:r w:rsidR="00C82EA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elje ili u trenutku prekida terapije.</w:t>
      </w:r>
    </w:p>
    <w:p w14:paraId="4B868DF9" w14:textId="77777777" w:rsidR="006F1130" w:rsidRPr="005A2200" w:rsidRDefault="006F1130" w:rsidP="005A2200">
      <w:pPr>
        <w:widowControl w:val="0"/>
        <w:tabs>
          <w:tab w:val="left" w:pos="284"/>
        </w:tabs>
        <w:autoSpaceDE w:val="0"/>
        <w:autoSpaceDN w:val="0"/>
        <w:adjustRightInd w:val="0"/>
        <w:jc w:val="both"/>
        <w:rPr>
          <w:rFonts w:asciiTheme="majorBidi" w:eastAsia="SimSun" w:hAnsiTheme="majorBidi" w:cstheme="majorBidi"/>
          <w:i/>
          <w:iCs/>
          <w:sz w:val="22"/>
          <w:szCs w:val="22"/>
          <w:lang w:val="sr-Latn-ME"/>
        </w:rPr>
      </w:pPr>
      <w:bookmarkStart w:id="9" w:name="_Hlk119681508"/>
      <w:bookmarkEnd w:id="8"/>
    </w:p>
    <w:p w14:paraId="040175BB" w14:textId="77777777" w:rsidR="006F1130" w:rsidRPr="005A2200" w:rsidRDefault="006F1130" w:rsidP="005A2200">
      <w:pPr>
        <w:widowControl w:val="0"/>
        <w:tabs>
          <w:tab w:val="left" w:pos="284"/>
        </w:tabs>
        <w:autoSpaceDE w:val="0"/>
        <w:autoSpaceDN w:val="0"/>
        <w:adjustRightInd w:val="0"/>
        <w:jc w:val="both"/>
        <w:rPr>
          <w:rFonts w:asciiTheme="majorBidi" w:eastAsia="SimSun" w:hAnsiTheme="majorBidi" w:cstheme="majorBidi"/>
          <w:i/>
          <w:iCs/>
          <w:sz w:val="22"/>
          <w:szCs w:val="22"/>
          <w:lang w:val="sr-Latn-ME"/>
        </w:rPr>
      </w:pPr>
      <w:r w:rsidRPr="005A2200">
        <w:rPr>
          <w:rFonts w:asciiTheme="majorBidi" w:eastAsia="SimSun" w:hAnsiTheme="majorBidi" w:cstheme="majorBidi"/>
          <w:i/>
          <w:iCs/>
          <w:sz w:val="22"/>
          <w:szCs w:val="22"/>
          <w:lang w:val="sr-Latn-ME"/>
        </w:rPr>
        <w:t>Pedijatrijski ispitanici</w:t>
      </w:r>
    </w:p>
    <w:p w14:paraId="470E4C78" w14:textId="09C87444" w:rsidR="006F1130" w:rsidRPr="005A2200" w:rsidRDefault="006F1130" w:rsidP="005A2200">
      <w:pPr>
        <w:widowControl w:val="0"/>
        <w:tabs>
          <w:tab w:val="left" w:pos="284"/>
        </w:tabs>
        <w:autoSpaceDE w:val="0"/>
        <w:autoSpaceDN w:val="0"/>
        <w:adjustRightInd w:val="0"/>
        <w:jc w:val="both"/>
        <w:rPr>
          <w:rFonts w:asciiTheme="majorBidi" w:eastAsia="SimSun" w:hAnsiTheme="majorBidi" w:cstheme="majorBidi"/>
          <w:sz w:val="22"/>
          <w:szCs w:val="22"/>
          <w:lang w:val="sr-Latn-ME"/>
        </w:rPr>
      </w:pPr>
      <w:r w:rsidRPr="005A2200">
        <w:rPr>
          <w:rFonts w:asciiTheme="majorBidi" w:eastAsia="SimSun" w:hAnsiTheme="majorBidi" w:cstheme="majorBidi"/>
          <w:sz w:val="22"/>
          <w:szCs w:val="22"/>
          <w:lang w:val="sr-Latn-ME"/>
        </w:rPr>
        <w:t>U kliničkom ispitivanju IMPAACT 2014 (Protokol 027), nijedan ispitanik koji je na početku ispitivanja postigao virološku supresiju nije ispunio kriterijume za analizu rezistencije. Razvoj rezistencije je proc</w:t>
      </w:r>
      <w:r w:rsidR="00583DCE" w:rsidRPr="005A2200">
        <w:rPr>
          <w:rFonts w:asciiTheme="majorBidi" w:eastAsia="SimSun" w:hAnsiTheme="majorBidi" w:cstheme="majorBidi"/>
          <w:sz w:val="22"/>
          <w:szCs w:val="22"/>
          <w:lang w:val="sr-Latn-ME"/>
        </w:rPr>
        <w:t>ij</w:t>
      </w:r>
      <w:r w:rsidRPr="005A2200">
        <w:rPr>
          <w:rFonts w:asciiTheme="majorBidi" w:eastAsia="SimSun" w:hAnsiTheme="majorBidi" w:cstheme="majorBidi"/>
          <w:sz w:val="22"/>
          <w:szCs w:val="22"/>
          <w:lang w:val="sr-Latn-ME"/>
        </w:rPr>
        <w:t>enjen kod jednog prethodno nel</w:t>
      </w:r>
      <w:r w:rsidR="00583DCE" w:rsidRPr="005A2200">
        <w:rPr>
          <w:rFonts w:asciiTheme="majorBidi" w:eastAsia="SimSun" w:hAnsiTheme="majorBidi" w:cstheme="majorBidi"/>
          <w:sz w:val="22"/>
          <w:szCs w:val="22"/>
          <w:lang w:val="sr-Latn-ME"/>
        </w:rPr>
        <w:t>ij</w:t>
      </w:r>
      <w:r w:rsidRPr="005A2200">
        <w:rPr>
          <w:rFonts w:asciiTheme="majorBidi" w:eastAsia="SimSun" w:hAnsiTheme="majorBidi" w:cstheme="majorBidi"/>
          <w:sz w:val="22"/>
          <w:szCs w:val="22"/>
          <w:lang w:val="sr-Latn-ME"/>
        </w:rPr>
        <w:t>ečenog ispitanika koji je ispunio protokolom definisane kriterijume za izostanak virološkog odgovora (definisan kao nivo HIV-1 RNK u plazmi ≥ 200 kopija/m</w:t>
      </w:r>
      <w:r w:rsidR="00FC377E" w:rsidRPr="005A2200">
        <w:rPr>
          <w:rFonts w:asciiTheme="majorBidi" w:eastAsia="SimSun" w:hAnsiTheme="majorBidi" w:cstheme="majorBidi"/>
          <w:sz w:val="22"/>
          <w:szCs w:val="22"/>
          <w:lang w:val="sr-Latn-ME"/>
        </w:rPr>
        <w:t>l</w:t>
      </w:r>
      <w:r w:rsidRPr="005A2200">
        <w:rPr>
          <w:rFonts w:asciiTheme="majorBidi" w:eastAsia="SimSun" w:hAnsiTheme="majorBidi" w:cstheme="majorBidi"/>
          <w:sz w:val="22"/>
          <w:szCs w:val="22"/>
          <w:lang w:val="sr-Latn-ME"/>
        </w:rPr>
        <w:t xml:space="preserve"> na 2 uzastopna m</w:t>
      </w:r>
      <w:r w:rsidR="00583DCE" w:rsidRPr="005A2200">
        <w:rPr>
          <w:rFonts w:asciiTheme="majorBidi" w:eastAsia="SimSun" w:hAnsiTheme="majorBidi" w:cstheme="majorBidi"/>
          <w:sz w:val="22"/>
          <w:szCs w:val="22"/>
          <w:lang w:val="sr-Latn-ME"/>
        </w:rPr>
        <w:t>j</w:t>
      </w:r>
      <w:r w:rsidRPr="005A2200">
        <w:rPr>
          <w:rFonts w:asciiTheme="majorBidi" w:eastAsia="SimSun" w:hAnsiTheme="majorBidi" w:cstheme="majorBidi"/>
          <w:sz w:val="22"/>
          <w:szCs w:val="22"/>
          <w:lang w:val="sr-Latn-ME"/>
        </w:rPr>
        <w:t xml:space="preserve">erenja u </w:t>
      </w:r>
      <w:r w:rsidR="00FC377E" w:rsidRPr="005A2200">
        <w:rPr>
          <w:rFonts w:asciiTheme="majorBidi" w:eastAsia="SimSun" w:hAnsiTheme="majorBidi" w:cstheme="majorBidi"/>
          <w:sz w:val="22"/>
          <w:szCs w:val="22"/>
          <w:lang w:val="sr-Latn-ME"/>
        </w:rPr>
        <w:t xml:space="preserve">24. nedjelji </w:t>
      </w:r>
      <w:r w:rsidRPr="005A2200">
        <w:rPr>
          <w:rFonts w:asciiTheme="majorBidi" w:eastAsia="SimSun" w:hAnsiTheme="majorBidi" w:cstheme="majorBidi"/>
          <w:sz w:val="22"/>
          <w:szCs w:val="22"/>
          <w:lang w:val="sr-Latn-ME"/>
        </w:rPr>
        <w:t>ili posl</w:t>
      </w:r>
      <w:r w:rsidR="00583DCE" w:rsidRPr="005A2200">
        <w:rPr>
          <w:rFonts w:asciiTheme="majorBidi" w:eastAsia="SimSun" w:hAnsiTheme="majorBidi" w:cstheme="majorBidi"/>
          <w:sz w:val="22"/>
          <w:szCs w:val="22"/>
          <w:lang w:val="sr-Latn-ME"/>
        </w:rPr>
        <w:t>ij</w:t>
      </w:r>
      <w:r w:rsidRPr="005A2200">
        <w:rPr>
          <w:rFonts w:asciiTheme="majorBidi" w:eastAsia="SimSun" w:hAnsiTheme="majorBidi" w:cstheme="majorBidi"/>
          <w:sz w:val="22"/>
          <w:szCs w:val="22"/>
          <w:lang w:val="sr-Latn-ME"/>
        </w:rPr>
        <w:t>e 24. ned</w:t>
      </w:r>
      <w:r w:rsidR="00583DCE" w:rsidRPr="005A2200">
        <w:rPr>
          <w:rFonts w:asciiTheme="majorBidi" w:eastAsia="SimSun" w:hAnsiTheme="majorBidi" w:cstheme="majorBidi"/>
          <w:sz w:val="22"/>
          <w:szCs w:val="22"/>
          <w:lang w:val="sr-Latn-ME"/>
        </w:rPr>
        <w:t>j</w:t>
      </w:r>
      <w:r w:rsidRPr="005A2200">
        <w:rPr>
          <w:rFonts w:asciiTheme="majorBidi" w:eastAsia="SimSun" w:hAnsiTheme="majorBidi" w:cstheme="majorBidi"/>
          <w:sz w:val="22"/>
          <w:szCs w:val="22"/>
          <w:lang w:val="sr-Latn-ME"/>
        </w:rPr>
        <w:t>elje</w:t>
      </w:r>
      <w:r w:rsidR="007D3FE2" w:rsidRPr="005A2200">
        <w:rPr>
          <w:rFonts w:asciiTheme="majorBidi" w:eastAsia="SimSun" w:hAnsiTheme="majorBidi" w:cstheme="majorBidi"/>
          <w:sz w:val="22"/>
          <w:szCs w:val="22"/>
          <w:lang w:val="sr-Latn-ME"/>
        </w:rPr>
        <w:t>)</w:t>
      </w:r>
      <w:r w:rsidRPr="005A2200">
        <w:rPr>
          <w:rFonts w:asciiTheme="majorBidi" w:eastAsia="SimSun" w:hAnsiTheme="majorBidi" w:cstheme="majorBidi"/>
          <w:sz w:val="22"/>
          <w:szCs w:val="22"/>
          <w:lang w:val="sr-Latn-ME"/>
        </w:rPr>
        <w:t>. Nije otkrivena pojava genotipske ili fenotipske rezistencije na doravirin.</w:t>
      </w:r>
    </w:p>
    <w:bookmarkEnd w:id="9"/>
    <w:p w14:paraId="15EF4856" w14:textId="77777777" w:rsidR="00766713" w:rsidRPr="005A2200" w:rsidRDefault="00766713" w:rsidP="005A2200">
      <w:pPr>
        <w:widowControl w:val="0"/>
        <w:tabs>
          <w:tab w:val="left" w:pos="284"/>
        </w:tabs>
        <w:autoSpaceDE w:val="0"/>
        <w:autoSpaceDN w:val="0"/>
        <w:adjustRightInd w:val="0"/>
        <w:jc w:val="both"/>
        <w:rPr>
          <w:rFonts w:asciiTheme="majorBidi" w:eastAsia="SimSun" w:hAnsiTheme="majorBidi" w:cstheme="majorBidi"/>
          <w:sz w:val="22"/>
          <w:szCs w:val="22"/>
          <w:lang w:val="sr-Latn-ME"/>
        </w:rPr>
      </w:pPr>
    </w:p>
    <w:p w14:paraId="17B6C9BC"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Ukrštena rezistencija</w:t>
      </w:r>
    </w:p>
    <w:p w14:paraId="5A65F781"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p>
    <w:p w14:paraId="14D4F146" w14:textId="1A839667" w:rsidR="00766713" w:rsidRPr="005A2200" w:rsidRDefault="00766713" w:rsidP="005A2200">
      <w:pPr>
        <w:widowControl w:val="0"/>
        <w:tabs>
          <w:tab w:val="left" w:pos="284"/>
        </w:tabs>
        <w:jc w:val="both"/>
        <w:rPr>
          <w:rFonts w:asciiTheme="majorBidi" w:eastAsia="SimSun" w:hAnsiTheme="majorBidi" w:cstheme="majorBidi"/>
          <w:sz w:val="22"/>
          <w:szCs w:val="22"/>
          <w:lang w:val="sr-Latn-ME"/>
        </w:rPr>
      </w:pPr>
      <w:r w:rsidRPr="005A2200">
        <w:rPr>
          <w:rFonts w:asciiTheme="majorBidi" w:hAnsiTheme="majorBidi" w:cstheme="majorBidi"/>
          <w:sz w:val="22"/>
          <w:szCs w:val="22"/>
          <w:lang w:val="sr-Latn-ME"/>
        </w:rPr>
        <w:t>Doravirin se ispitivao kod ograničenog broja pacijenata sa rezistencijom na NNRTI (K103N n=7, G190A n=1); svim pacijentima je nivo HIV</w:t>
      </w:r>
      <w:r w:rsidRPr="005A2200">
        <w:rPr>
          <w:rFonts w:asciiTheme="majorBidi" w:hAnsiTheme="majorBidi" w:cstheme="majorBidi"/>
          <w:sz w:val="22"/>
          <w:szCs w:val="22"/>
          <w:lang w:val="sr-Latn-ME"/>
        </w:rPr>
        <w:noBreakHyphen/>
        <w:t>1 RNK u 48. nedelji bio suprimiran na &lt; 40 kopija/m</w:t>
      </w:r>
      <w:r w:rsidR="00DE4670"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Nije utvrđena granična vr</w:t>
      </w:r>
      <w:r w:rsidR="00D87EC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 za smanjenje os</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etljivosti, uzrokovana različitim supstitucijama koje dovode do rezistencije na NNRTI, a koja bi bila povezana sa smanjenjem kliničke efikasnosti. </w:t>
      </w:r>
    </w:p>
    <w:p w14:paraId="4838C300" w14:textId="77777777" w:rsidR="00766713" w:rsidRPr="005A2200" w:rsidRDefault="00766713" w:rsidP="005A2200">
      <w:pPr>
        <w:widowControl w:val="0"/>
        <w:tabs>
          <w:tab w:val="left" w:pos="284"/>
        </w:tabs>
        <w:jc w:val="both"/>
        <w:rPr>
          <w:rFonts w:asciiTheme="majorBidi" w:eastAsia="SimSun" w:hAnsiTheme="majorBidi" w:cstheme="majorBidi"/>
          <w:sz w:val="22"/>
          <w:szCs w:val="22"/>
          <w:lang w:val="sr-Latn-ME"/>
        </w:rPr>
      </w:pPr>
    </w:p>
    <w:p w14:paraId="449DB629" w14:textId="75E5536C" w:rsidR="00766713" w:rsidRPr="005A2200" w:rsidRDefault="00766713" w:rsidP="005A2200">
      <w:pPr>
        <w:widowControl w:val="0"/>
        <w:tabs>
          <w:tab w:val="left" w:pos="284"/>
        </w:tabs>
        <w:jc w:val="both"/>
        <w:rPr>
          <w:rFonts w:asciiTheme="majorBidi" w:hAnsiTheme="majorBidi" w:cstheme="majorBidi"/>
          <w:sz w:val="22"/>
          <w:szCs w:val="22"/>
          <w:lang w:val="sr-Latn-ME"/>
        </w:rPr>
      </w:pPr>
      <w:bookmarkStart w:id="10" w:name="_Hlk1137685"/>
      <w:r w:rsidRPr="005A2200">
        <w:rPr>
          <w:rFonts w:asciiTheme="majorBidi" w:hAnsiTheme="majorBidi" w:cstheme="majorBidi"/>
          <w:sz w:val="22"/>
          <w:szCs w:val="22"/>
          <w:lang w:val="sr-Latn-ME"/>
        </w:rPr>
        <w:t>Laboratorijski sojevi HIV</w:t>
      </w:r>
      <w:r w:rsidRPr="005A2200">
        <w:rPr>
          <w:rFonts w:asciiTheme="majorBidi" w:hAnsiTheme="majorBidi" w:cstheme="majorBidi"/>
          <w:sz w:val="22"/>
          <w:szCs w:val="22"/>
          <w:lang w:val="sr-Latn-ME"/>
        </w:rPr>
        <w:noBreakHyphen/>
        <w:t>1 koji nose uobičajene mutacije povezane sa rezistencijom na NNRTI K103N, Y181C ili supstitucije K103N/Y181C u reverznoj transkriptazi pokazuju manje nego trostruko smanjenje os</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etljivosti na doravirin u odnosu na virus divljeg tipa kada su se ispitivali u prisutnosti 100%</w:t>
      </w:r>
      <w:r w:rsidRPr="005A2200">
        <w:rPr>
          <w:rFonts w:asciiTheme="majorBidi" w:hAnsiTheme="majorBidi" w:cstheme="majorBidi"/>
          <w:sz w:val="22"/>
          <w:szCs w:val="22"/>
          <w:lang w:val="sr-Latn-ME"/>
        </w:rPr>
        <w:noBreakHyphen/>
        <w:t xml:space="preserve">tnog normalnog humanog seruma. U </w:t>
      </w:r>
      <w:r w:rsidR="00DE4670" w:rsidRPr="005A2200">
        <w:rPr>
          <w:rFonts w:asciiTheme="majorBidi" w:hAnsiTheme="majorBidi" w:cstheme="majorBidi"/>
          <w:i/>
          <w:iCs/>
          <w:sz w:val="22"/>
          <w:szCs w:val="22"/>
          <w:lang w:val="sr-Latn-ME"/>
        </w:rPr>
        <w:t>in vitro</w:t>
      </w:r>
      <w:r w:rsidR="00DE4670" w:rsidRPr="005A2200">
        <w:rPr>
          <w:rFonts w:asciiTheme="majorBidi" w:hAnsiTheme="majorBidi" w:cstheme="majorBidi"/>
          <w:sz w:val="22"/>
          <w:szCs w:val="22"/>
          <w:lang w:val="sr-Latn-ME"/>
        </w:rPr>
        <w:t xml:space="preserve"> </w:t>
      </w:r>
      <w:r w:rsidRPr="005A2200">
        <w:rPr>
          <w:rFonts w:asciiTheme="majorBidi" w:hAnsiTheme="majorBidi" w:cstheme="majorBidi"/>
          <w:sz w:val="22"/>
          <w:szCs w:val="22"/>
          <w:lang w:val="sr-Latn-ME"/>
        </w:rPr>
        <w:t xml:space="preserve">ispitivanjima doravirin je u klinički relevantnim koncentracijama </w:t>
      </w:r>
      <w:r w:rsidR="00C82EA9" w:rsidRPr="005A2200">
        <w:rPr>
          <w:rFonts w:asciiTheme="majorBidi" w:hAnsiTheme="majorBidi" w:cstheme="majorBidi"/>
          <w:sz w:val="22"/>
          <w:szCs w:val="22"/>
          <w:lang w:val="sr-Latn-ME"/>
        </w:rPr>
        <w:t xml:space="preserve">uspio </w:t>
      </w:r>
      <w:r w:rsidRPr="005A2200">
        <w:rPr>
          <w:rFonts w:asciiTheme="majorBidi" w:hAnsiTheme="majorBidi" w:cstheme="majorBidi"/>
          <w:sz w:val="22"/>
          <w:szCs w:val="22"/>
          <w:lang w:val="sr-Latn-ME"/>
        </w:rPr>
        <w:t>da suprimira sl</w:t>
      </w:r>
      <w:r w:rsidR="00C82EA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edeće supstitucije povezane sa rezistencijom na NNRTI: K103N, Y181C i G190A.</w:t>
      </w:r>
    </w:p>
    <w:p w14:paraId="71621098"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5A237EEB" w14:textId="7476161E"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Kako bi se utvrdila os</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etljivost na doravirin u prisutnosti 10%</w:t>
      </w:r>
      <w:r w:rsidRPr="005A2200">
        <w:rPr>
          <w:rFonts w:asciiTheme="majorBidi" w:hAnsiTheme="majorBidi" w:cstheme="majorBidi"/>
          <w:sz w:val="22"/>
          <w:szCs w:val="22"/>
          <w:lang w:val="sr-Latn-ME"/>
        </w:rPr>
        <w:noBreakHyphen/>
        <w:t>tnog fetalnog goveđeg seruma, ispitivan je panel</w:t>
      </w:r>
      <w:r w:rsidR="00CD65D0" w:rsidRPr="005A2200">
        <w:rPr>
          <w:rFonts w:asciiTheme="majorBidi" w:hAnsiTheme="majorBidi" w:cstheme="majorBidi"/>
          <w:sz w:val="22"/>
          <w:szCs w:val="22"/>
          <w:lang w:val="sr-Latn-ME"/>
        </w:rPr>
        <w:t xml:space="preserve"> </w:t>
      </w:r>
      <w:r w:rsidRPr="005A2200">
        <w:rPr>
          <w:rFonts w:asciiTheme="majorBidi" w:hAnsiTheme="majorBidi" w:cstheme="majorBidi"/>
          <w:sz w:val="22"/>
          <w:szCs w:val="22"/>
          <w:lang w:val="sr-Latn-ME"/>
        </w:rPr>
        <w:t>od 96 različitih kliničkih izolata koji su sadržali mutacije povezane sa rezistencijom na NNRTI</w:t>
      </w:r>
      <w:r w:rsidRPr="005A2200">
        <w:rPr>
          <w:rFonts w:asciiTheme="majorBidi" w:hAnsiTheme="majorBidi" w:cstheme="majorBidi"/>
          <w:sz w:val="22"/>
          <w:szCs w:val="22"/>
          <w:lang w:val="sr-Latn-ME"/>
        </w:rPr>
        <w:noBreakHyphen/>
        <w:t>je. Klinički izolati koji su sadržali supstituciju Y188L ili supstitucije V106 u kombinaciji sa mutacijama A98G, H221Y, P225H, F227C ili Y318F pokazivali su više od 100 puta smanjenu os</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etljivost na doravirin. Uz ostale utvrđene supstitucije povezane sa rezistencijom na NNRTI </w:t>
      </w:r>
      <w:r w:rsidR="00C82EA9" w:rsidRPr="005A2200">
        <w:rPr>
          <w:rFonts w:asciiTheme="majorBidi" w:hAnsiTheme="majorBidi" w:cstheme="majorBidi"/>
          <w:sz w:val="22"/>
          <w:szCs w:val="22"/>
          <w:lang w:val="sr-Latn-ME"/>
        </w:rPr>
        <w:t xml:space="preserve">zabilježena </w:t>
      </w:r>
      <w:r w:rsidRPr="005A2200">
        <w:rPr>
          <w:rFonts w:asciiTheme="majorBidi" w:hAnsiTheme="majorBidi" w:cstheme="majorBidi"/>
          <w:sz w:val="22"/>
          <w:szCs w:val="22"/>
          <w:lang w:val="sr-Latn-ME"/>
        </w:rPr>
        <w:t>je prom</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za 5 – 10 puta (G190S [5,7 puta], K103N/P225H [7,9 puta], V108I/Y181C [6,9 puta], Y181V [5,1 put]). Klinički značaj smanjenja os</w:t>
      </w:r>
      <w:r w:rsidR="00D87E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etljivosti za 5 </w:t>
      </w:r>
      <w:r w:rsidRPr="005A2200">
        <w:rPr>
          <w:rFonts w:asciiTheme="majorBidi" w:hAnsiTheme="majorBidi" w:cstheme="majorBidi"/>
          <w:sz w:val="22"/>
          <w:szCs w:val="22"/>
          <w:lang w:val="sr-Latn-ME"/>
        </w:rPr>
        <w:noBreakHyphen/>
        <w:t> 10 puta nije poznat.</w:t>
      </w:r>
    </w:p>
    <w:p w14:paraId="1EC8E63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1C33EA6D" w14:textId="6FD22B11"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Supstitucije povezane sa rezistencijom na doravirin koje se javljaju tokom terapije mogu dovesti do ukrštene rezistencije na efavirenz, rilpivirin, nevirapin i etravirin. Od </w:t>
      </w:r>
      <w:r w:rsidR="006F1130" w:rsidRPr="005A2200">
        <w:rPr>
          <w:rFonts w:asciiTheme="majorBidi" w:hAnsiTheme="majorBidi" w:cstheme="majorBidi"/>
          <w:sz w:val="22"/>
          <w:szCs w:val="22"/>
          <w:lang w:val="sr-Latn-ME"/>
        </w:rPr>
        <w:t>8 </w:t>
      </w:r>
      <w:r w:rsidRPr="005A2200">
        <w:rPr>
          <w:rFonts w:asciiTheme="majorBidi" w:hAnsiTheme="majorBidi" w:cstheme="majorBidi"/>
          <w:sz w:val="22"/>
          <w:szCs w:val="22"/>
          <w:lang w:val="sr-Latn-ME"/>
        </w:rPr>
        <w:t xml:space="preserve">ispitanika kod kojih se razvila izražena rezistencija na doravirin u pivotalnim ispitivanjima, 6 ih je pokazalo fenotipsku rezistenciju na efavirenz i nevirapin, 3 na rilpivirin, dok su </w:t>
      </w:r>
      <w:r w:rsidR="006F1130" w:rsidRPr="005A2200">
        <w:rPr>
          <w:rFonts w:asciiTheme="majorBidi" w:hAnsiTheme="majorBidi" w:cstheme="majorBidi"/>
          <w:sz w:val="22"/>
          <w:szCs w:val="22"/>
          <w:lang w:val="sr-Latn-ME"/>
        </w:rPr>
        <w:t>3 </w:t>
      </w:r>
      <w:r w:rsidRPr="005A2200">
        <w:rPr>
          <w:rFonts w:asciiTheme="majorBidi" w:hAnsiTheme="majorBidi" w:cstheme="majorBidi"/>
          <w:sz w:val="22"/>
          <w:szCs w:val="22"/>
          <w:lang w:val="sr-Latn-ME"/>
        </w:rPr>
        <w:t>ispitanika pokazala d</w:t>
      </w:r>
      <w:r w:rsidR="00DF3DD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elimičnu rezistenciju na etravirin, što je utvrđeno testom </w:t>
      </w:r>
      <w:r w:rsidRPr="005A2200">
        <w:rPr>
          <w:rFonts w:asciiTheme="majorBidi" w:hAnsiTheme="majorBidi" w:cstheme="majorBidi"/>
          <w:i/>
          <w:iCs/>
          <w:sz w:val="22"/>
          <w:szCs w:val="22"/>
          <w:lang w:val="sr-Latn-ME"/>
        </w:rPr>
        <w:t>Monogram Phenosense</w:t>
      </w:r>
      <w:r w:rsidRPr="005A2200">
        <w:rPr>
          <w:rFonts w:asciiTheme="majorBidi" w:hAnsiTheme="majorBidi" w:cstheme="majorBidi"/>
          <w:sz w:val="22"/>
          <w:szCs w:val="22"/>
          <w:lang w:val="sr-Latn-ME"/>
        </w:rPr>
        <w:t>.</w:t>
      </w:r>
    </w:p>
    <w:bookmarkEnd w:id="10"/>
    <w:p w14:paraId="0EB51E69"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555C4835"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Kliničko iskustvo</w:t>
      </w:r>
    </w:p>
    <w:p w14:paraId="504AFD95"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i/>
          <w:sz w:val="22"/>
          <w:szCs w:val="22"/>
          <w:lang w:val="sr-Latn-ME"/>
        </w:rPr>
      </w:pPr>
    </w:p>
    <w:p w14:paraId="67EF1F48" w14:textId="32CFEB55" w:rsidR="00766713" w:rsidRPr="005A2200" w:rsidRDefault="00766713" w:rsidP="005A2200">
      <w:pPr>
        <w:widowControl w:val="0"/>
        <w:tabs>
          <w:tab w:val="left" w:pos="284"/>
        </w:tabs>
        <w:autoSpaceDE w:val="0"/>
        <w:autoSpaceDN w:val="0"/>
        <w:adjustRightInd w:val="0"/>
        <w:jc w:val="both"/>
        <w:rPr>
          <w:rFonts w:asciiTheme="majorBidi" w:eastAsia="SimSun" w:hAnsiTheme="majorBidi" w:cstheme="majorBidi"/>
          <w:i/>
          <w:sz w:val="22"/>
          <w:szCs w:val="22"/>
          <w:u w:val="single"/>
          <w:lang w:val="sr-Latn-ME"/>
        </w:rPr>
      </w:pPr>
      <w:r w:rsidRPr="005A2200">
        <w:rPr>
          <w:rFonts w:asciiTheme="majorBidi" w:hAnsiTheme="majorBidi" w:cstheme="majorBidi"/>
          <w:i/>
          <w:sz w:val="22"/>
          <w:szCs w:val="22"/>
          <w:lang w:val="sr-Latn-ME"/>
        </w:rPr>
        <w:t>Prethodno nel</w:t>
      </w:r>
      <w:r w:rsidR="00005723" w:rsidRPr="005A2200">
        <w:rPr>
          <w:rFonts w:asciiTheme="majorBidi" w:hAnsiTheme="majorBidi" w:cstheme="majorBidi"/>
          <w:i/>
          <w:sz w:val="22"/>
          <w:szCs w:val="22"/>
          <w:lang w:val="sr-Latn-ME"/>
        </w:rPr>
        <w:t>ij</w:t>
      </w:r>
      <w:r w:rsidRPr="005A2200">
        <w:rPr>
          <w:rFonts w:asciiTheme="majorBidi" w:hAnsiTheme="majorBidi" w:cstheme="majorBidi"/>
          <w:i/>
          <w:sz w:val="22"/>
          <w:szCs w:val="22"/>
          <w:lang w:val="sr-Latn-ME"/>
        </w:rPr>
        <w:t>ečeni odrasli ispitanici</w:t>
      </w:r>
    </w:p>
    <w:p w14:paraId="5B900B69" w14:textId="7F4C2D0A"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Efikasnost doravirina zasniva se na analizama 96</w:t>
      </w:r>
      <w:r w:rsidRPr="005A2200">
        <w:rPr>
          <w:rFonts w:asciiTheme="majorBidi" w:hAnsiTheme="majorBidi" w:cstheme="majorBidi"/>
          <w:sz w:val="22"/>
          <w:szCs w:val="22"/>
          <w:lang w:val="sr-Latn-ME"/>
        </w:rPr>
        <w:noBreakHyphen/>
        <w:t>ned</w:t>
      </w:r>
      <w:r w:rsidR="00DF3DD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eljnih podataka iz dva randomizirana, multicentrična, dvostruko sl</w:t>
      </w:r>
      <w:r w:rsidR="00DF3DD9"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epa, aktivnim l</w:t>
      </w:r>
      <w:r w:rsidR="00DF3DD9"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ekom kontrolisana ispitivanja faze 3 (DRIVE</w:t>
      </w:r>
      <w:r w:rsidRPr="005A2200">
        <w:rPr>
          <w:rFonts w:asciiTheme="majorBidi" w:hAnsiTheme="majorBidi" w:cstheme="majorBidi"/>
          <w:sz w:val="22"/>
          <w:szCs w:val="22"/>
          <w:lang w:val="sr-Latn-ME"/>
        </w:rPr>
        <w:noBreakHyphen/>
        <w:t>FORWARD i DRIVE</w:t>
      </w:r>
      <w:r w:rsidRPr="005A2200">
        <w:rPr>
          <w:rFonts w:asciiTheme="majorBidi" w:hAnsiTheme="majorBidi" w:cstheme="majorBidi"/>
          <w:sz w:val="22"/>
          <w:szCs w:val="22"/>
          <w:lang w:val="sr-Latn-ME"/>
        </w:rPr>
        <w:noBreakHyphen/>
        <w:t>AHEAD), sprovedena kod ispitanika sa HIV</w:t>
      </w:r>
      <w:r w:rsidRPr="005A2200">
        <w:rPr>
          <w:rFonts w:asciiTheme="majorBidi" w:hAnsiTheme="majorBidi" w:cstheme="majorBidi"/>
          <w:sz w:val="22"/>
          <w:szCs w:val="22"/>
          <w:lang w:val="sr-Latn-ME"/>
        </w:rPr>
        <w:noBreakHyphen/>
        <w:t>1 infekcijom koji prethodno ni</w:t>
      </w:r>
      <w:r w:rsidR="00DF3DD9" w:rsidRPr="005A2200">
        <w:rPr>
          <w:rFonts w:asciiTheme="majorBidi" w:hAnsiTheme="majorBidi" w:cstheme="majorBidi"/>
          <w:sz w:val="22"/>
          <w:szCs w:val="22"/>
          <w:lang w:val="sr-Latn-ME"/>
        </w:rPr>
        <w:t>je</w:t>
      </w:r>
      <w:r w:rsidRPr="005A2200">
        <w:rPr>
          <w:rFonts w:asciiTheme="majorBidi" w:hAnsiTheme="majorBidi" w:cstheme="majorBidi"/>
          <w:sz w:val="22"/>
          <w:szCs w:val="22"/>
          <w:lang w:val="sr-Latn-ME"/>
        </w:rPr>
        <w:t>su bili na terapiji antiretrovirusnim l</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ekovima (n=1494). Vid</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eti od</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eljak „Rezistencija“ za supstitucije povezane sa rezistencijom na NNRTI koje su bile d</w:t>
      </w:r>
      <w:r w:rsidR="00683288" w:rsidRPr="005A2200">
        <w:rPr>
          <w:rFonts w:asciiTheme="majorBidi" w:hAnsiTheme="majorBidi" w:cstheme="majorBidi"/>
          <w:sz w:val="22"/>
          <w:szCs w:val="22"/>
          <w:lang w:val="sr-Latn-ME"/>
        </w:rPr>
        <w:t>i</w:t>
      </w:r>
      <w:r w:rsidRPr="005A2200">
        <w:rPr>
          <w:rFonts w:asciiTheme="majorBidi" w:hAnsiTheme="majorBidi" w:cstheme="majorBidi"/>
          <w:sz w:val="22"/>
          <w:szCs w:val="22"/>
          <w:lang w:val="sr-Latn-ME"/>
        </w:rPr>
        <w:t>o kriterijuma za isključenje.</w:t>
      </w:r>
    </w:p>
    <w:p w14:paraId="40129775"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244934F4"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U ispitivanju DRIVE</w:t>
      </w:r>
      <w:r w:rsidRPr="005A2200">
        <w:rPr>
          <w:rFonts w:asciiTheme="majorBidi" w:hAnsiTheme="majorBidi" w:cstheme="majorBidi"/>
          <w:sz w:val="22"/>
          <w:szCs w:val="22"/>
          <w:lang w:val="sr-Latn-ME"/>
        </w:rPr>
        <w:noBreakHyphen/>
        <w:t>FORWARD randomizovano je 766 ispitanika, koji su primili najmanje 1 dozu</w:t>
      </w:r>
    </w:p>
    <w:p w14:paraId="27813920" w14:textId="68793EBF"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doravirina od 100 mg ili darunavira + ritonavira od 800 + 100 mg jednom dnevno, svaki u kombinaciji sa emtricitabinom/tenofovirdizoproksilom (FTC/TDF) ili abakavirom/lamivudinom (ABC/3TC), prema izboru ispitivača. Medijana uzrasta ispitanika na početku ispitivanja iznosila je 33 godine (raspon: 18 </w:t>
      </w:r>
      <w:r w:rsidRPr="005A2200">
        <w:rPr>
          <w:rFonts w:asciiTheme="majorBidi" w:hAnsiTheme="majorBidi" w:cstheme="majorBidi"/>
          <w:sz w:val="22"/>
          <w:szCs w:val="22"/>
          <w:lang w:val="sr-Latn-ME"/>
        </w:rPr>
        <w:noBreakHyphen/>
        <w:t> 69 godina), njih 86% imalo je broj CD4</w:t>
      </w:r>
      <w:r w:rsidRPr="005A2200">
        <w:rPr>
          <w:rFonts w:asciiTheme="majorBidi" w:hAnsiTheme="majorBidi" w:cstheme="majorBidi"/>
          <w:sz w:val="22"/>
          <w:szCs w:val="22"/>
          <w:vertAlign w:val="superscript"/>
          <w:lang w:val="sr-Latn-ME"/>
        </w:rPr>
        <w:t>+</w:t>
      </w:r>
      <w:r w:rsidRPr="005A2200">
        <w:rPr>
          <w:rFonts w:asciiTheme="majorBidi" w:hAnsiTheme="majorBidi" w:cstheme="majorBidi"/>
          <w:sz w:val="22"/>
          <w:szCs w:val="22"/>
          <w:lang w:val="sr-Latn-ME"/>
        </w:rPr>
        <w:t> T</w:t>
      </w:r>
      <w:r w:rsidRPr="005A2200">
        <w:rPr>
          <w:rFonts w:asciiTheme="majorBidi" w:hAnsiTheme="majorBidi" w:cstheme="majorBidi"/>
          <w:sz w:val="22"/>
          <w:szCs w:val="22"/>
          <w:lang w:val="sr-Latn-ME"/>
        </w:rPr>
        <w:noBreakHyphen/>
        <w:t>ćelija veći od 200 ćelija/mm</w:t>
      </w:r>
      <w:r w:rsidRPr="005A2200">
        <w:rPr>
          <w:rFonts w:asciiTheme="majorBidi" w:hAnsiTheme="majorBidi" w:cstheme="majorBidi"/>
          <w:sz w:val="22"/>
          <w:szCs w:val="22"/>
          <w:vertAlign w:val="superscript"/>
          <w:lang w:val="sr-Latn-ME"/>
        </w:rPr>
        <w:t>3</w:t>
      </w:r>
      <w:r w:rsidRPr="005A2200">
        <w:rPr>
          <w:rFonts w:asciiTheme="majorBidi" w:hAnsiTheme="majorBidi" w:cstheme="majorBidi"/>
          <w:sz w:val="22"/>
          <w:szCs w:val="22"/>
          <w:lang w:val="sr-Latn-ME"/>
        </w:rPr>
        <w:t>, 84% bili su muškarci, 27% ispitanika nije bilo b</w:t>
      </w:r>
      <w:r w:rsidR="005605C9"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ele rase, 4% istovremeno je imalo infekciju virusom hepatitisa B i/ili C, 10% imalo je AIDS u anamnezi, 20% imalo je nivo HIV</w:t>
      </w:r>
      <w:r w:rsidRPr="005A2200">
        <w:rPr>
          <w:rFonts w:asciiTheme="majorBidi" w:hAnsiTheme="majorBidi" w:cstheme="majorBidi"/>
          <w:sz w:val="22"/>
          <w:szCs w:val="22"/>
          <w:lang w:val="sr-Latn-ME"/>
        </w:rPr>
        <w:noBreakHyphen/>
        <w:t>1 RNK viši od 100 000 kopija/m</w:t>
      </w:r>
      <w:r w:rsidR="00CD65D0"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13% ih je primalo ABC/3TC, a 87% FTC/TDF; te karakteristike su bile slične u ob</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 tretirane grupe.</w:t>
      </w:r>
    </w:p>
    <w:p w14:paraId="23795B37"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01AD179D" w14:textId="0E691256"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U ispitivanju DRIVE</w:t>
      </w:r>
      <w:r w:rsidRPr="005A2200">
        <w:rPr>
          <w:rFonts w:asciiTheme="majorBidi" w:hAnsiTheme="majorBidi" w:cstheme="majorBidi"/>
          <w:sz w:val="22"/>
          <w:szCs w:val="22"/>
          <w:lang w:val="sr-Latn-ME"/>
        </w:rPr>
        <w:noBreakHyphen/>
        <w:t xml:space="preserve">AHEAD randomizovano je 728 ispitanika, koji su primili najmanje 1 dozu doravirina/lamivudina/tenofovirdizoproksila 100/300/245 mg (DOR/3TC/TDF) ili </w:t>
      </w:r>
      <w:r w:rsidRPr="005A2200">
        <w:rPr>
          <w:rFonts w:asciiTheme="majorBidi" w:hAnsiTheme="majorBidi" w:cstheme="majorBidi"/>
          <w:sz w:val="22"/>
          <w:szCs w:val="22"/>
          <w:lang w:val="sr-Latn-ME"/>
        </w:rPr>
        <w:lastRenderedPageBreak/>
        <w:t>efavirenza/emtricitabina/tenofovirdizoproksila (EFV/FTC/TDF) jednom dnevno. Medijana uzrasta ispitanika na početku ispitivanja iznosila je 31 godinu (raspon: 18 </w:t>
      </w:r>
      <w:r w:rsidRPr="005A2200">
        <w:rPr>
          <w:rFonts w:asciiTheme="majorBidi" w:hAnsiTheme="majorBidi" w:cstheme="majorBidi"/>
          <w:sz w:val="22"/>
          <w:szCs w:val="22"/>
          <w:lang w:val="sr-Latn-ME"/>
        </w:rPr>
        <w:noBreakHyphen/>
        <w:t> 70 godina), 85% bili su muškarci, 52% ispitanika nije bilo b</w:t>
      </w:r>
      <w:r w:rsidR="00392150"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ele rase, 3% istovremeno je imalo infekciju virusom hepatitisa B ili C, 14% imalo je AIDS u anamnezi, 21% imalo je nivo HIV</w:t>
      </w:r>
      <w:r w:rsidRPr="005A2200">
        <w:rPr>
          <w:rFonts w:asciiTheme="majorBidi" w:hAnsiTheme="majorBidi" w:cstheme="majorBidi"/>
          <w:sz w:val="22"/>
          <w:szCs w:val="22"/>
          <w:lang w:val="sr-Latn-ME"/>
        </w:rPr>
        <w:noBreakHyphen/>
        <w:t>1 RNK viši od 100 000 kopija/m</w:t>
      </w:r>
      <w:r w:rsidR="00CD65D0"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a 12% ih je imalo broj CD4</w:t>
      </w:r>
      <w:r w:rsidRPr="005A2200">
        <w:rPr>
          <w:rFonts w:asciiTheme="majorBidi" w:hAnsiTheme="majorBidi" w:cstheme="majorBidi"/>
          <w:sz w:val="22"/>
          <w:szCs w:val="22"/>
          <w:vertAlign w:val="superscript"/>
          <w:lang w:val="sr-Latn-ME"/>
        </w:rPr>
        <w:t>+</w:t>
      </w:r>
      <w:r w:rsidRPr="005A2200">
        <w:rPr>
          <w:rFonts w:asciiTheme="majorBidi" w:hAnsiTheme="majorBidi" w:cstheme="majorBidi"/>
          <w:sz w:val="22"/>
          <w:szCs w:val="22"/>
          <w:lang w:val="sr-Latn-ME"/>
        </w:rPr>
        <w:t> T</w:t>
      </w:r>
      <w:r w:rsidRPr="005A2200">
        <w:rPr>
          <w:rFonts w:asciiTheme="majorBidi" w:hAnsiTheme="majorBidi" w:cstheme="majorBidi"/>
          <w:sz w:val="22"/>
          <w:szCs w:val="22"/>
          <w:lang w:val="sr-Latn-ME"/>
        </w:rPr>
        <w:noBreakHyphen/>
        <w:t>ćelija &lt; 200 ćelija/mm</w:t>
      </w:r>
      <w:r w:rsidRPr="005A2200">
        <w:rPr>
          <w:rFonts w:asciiTheme="majorBidi" w:hAnsiTheme="majorBidi" w:cstheme="majorBidi"/>
          <w:sz w:val="22"/>
          <w:szCs w:val="22"/>
          <w:vertAlign w:val="superscript"/>
          <w:lang w:val="sr-Latn-ME"/>
        </w:rPr>
        <w:t>3</w:t>
      </w:r>
      <w:r w:rsidRPr="005A2200">
        <w:rPr>
          <w:rFonts w:asciiTheme="majorBidi" w:hAnsiTheme="majorBidi" w:cstheme="majorBidi"/>
          <w:sz w:val="22"/>
          <w:szCs w:val="22"/>
          <w:lang w:val="sr-Latn-ME"/>
        </w:rPr>
        <w:t>; ove karakteristike su bile slične između ob</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 tretirane grupe.</w:t>
      </w:r>
    </w:p>
    <w:p w14:paraId="686F9236"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1B4919F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Ishodi u 48. i 96. nedelji ispitivanja DRIVE</w:t>
      </w:r>
      <w:r w:rsidRPr="005A2200">
        <w:rPr>
          <w:rFonts w:asciiTheme="majorBidi" w:hAnsiTheme="majorBidi" w:cstheme="majorBidi"/>
          <w:sz w:val="22"/>
          <w:szCs w:val="22"/>
          <w:lang w:val="sr-Latn-ME"/>
        </w:rPr>
        <w:noBreakHyphen/>
        <w:t>FORWARD i DRIVE</w:t>
      </w:r>
      <w:r w:rsidRPr="005A2200">
        <w:rPr>
          <w:rFonts w:asciiTheme="majorBidi" w:hAnsiTheme="majorBidi" w:cstheme="majorBidi"/>
          <w:sz w:val="22"/>
          <w:szCs w:val="22"/>
          <w:lang w:val="sr-Latn-ME"/>
        </w:rPr>
        <w:noBreakHyphen/>
        <w:t xml:space="preserve">AHEAD prikazani su u Tabeli 4. Režimi zasnovani na doravirinu pokazali su konstantnu efikasnost kod svih demografskih i početnih prognostičkih faktora. </w:t>
      </w:r>
    </w:p>
    <w:p w14:paraId="5E758B8B"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5E772E88" w14:textId="6FF124C3"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r w:rsidRPr="005A2200">
        <w:rPr>
          <w:rFonts w:asciiTheme="majorBidi" w:hAnsiTheme="majorBidi" w:cstheme="majorBidi"/>
          <w:b/>
          <w:bCs/>
          <w:sz w:val="22"/>
          <w:szCs w:val="22"/>
          <w:lang w:val="sr-Latn-ME"/>
        </w:rPr>
        <w:t>Tabela 4:</w:t>
      </w:r>
      <w:r w:rsidRPr="005A2200">
        <w:rPr>
          <w:rFonts w:asciiTheme="majorBidi" w:hAnsiTheme="majorBidi" w:cstheme="majorBidi"/>
          <w:b/>
          <w:sz w:val="22"/>
          <w:szCs w:val="22"/>
          <w:lang w:val="sr-Latn-ME"/>
        </w:rPr>
        <w:t xml:space="preserve"> Odgovor sa obzirom na efikasnost (&lt;40 kopija/m</w:t>
      </w:r>
      <w:r w:rsidR="00CD65D0" w:rsidRPr="005A2200">
        <w:rPr>
          <w:rFonts w:asciiTheme="majorBidi" w:hAnsiTheme="majorBidi" w:cstheme="majorBidi"/>
          <w:b/>
          <w:sz w:val="22"/>
          <w:szCs w:val="22"/>
          <w:lang w:val="sr-Latn-ME"/>
        </w:rPr>
        <w:t>l</w:t>
      </w:r>
      <w:r w:rsidRPr="005A2200">
        <w:rPr>
          <w:rFonts w:asciiTheme="majorBidi" w:hAnsiTheme="majorBidi" w:cstheme="majorBidi"/>
          <w:b/>
          <w:sz w:val="22"/>
          <w:szCs w:val="22"/>
          <w:lang w:val="sr-Latn-ME"/>
        </w:rPr>
        <w:t xml:space="preserve">, pristup zasnovan na algoritmu za globalni snimak distribuiranog sistema, engl. </w:t>
      </w:r>
      <w:r w:rsidRPr="005A2200">
        <w:rPr>
          <w:rFonts w:asciiTheme="majorBidi" w:hAnsiTheme="majorBidi" w:cstheme="majorBidi"/>
          <w:b/>
          <w:i/>
          <w:sz w:val="22"/>
          <w:szCs w:val="22"/>
          <w:lang w:val="sr-Latn-ME"/>
        </w:rPr>
        <w:t>Snapshot approach</w:t>
      </w:r>
      <w:r w:rsidRPr="005A2200">
        <w:rPr>
          <w:rFonts w:asciiTheme="majorBidi" w:hAnsiTheme="majorBidi" w:cstheme="majorBidi"/>
          <w:b/>
          <w:sz w:val="22"/>
          <w:szCs w:val="22"/>
          <w:lang w:val="sr-Latn-ME"/>
        </w:rPr>
        <w:t>) u pivotalnim ispitivanjima</w:t>
      </w:r>
    </w:p>
    <w:p w14:paraId="1D410BD9"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862"/>
        <w:gridCol w:w="2110"/>
        <w:gridCol w:w="1683"/>
        <w:gridCol w:w="1659"/>
      </w:tblGrid>
      <w:tr w:rsidR="00766713" w:rsidRPr="005A2200" w14:paraId="0146581F" w14:textId="77777777" w:rsidTr="005A2200">
        <w:tc>
          <w:tcPr>
            <w:tcW w:w="0" w:type="auto"/>
            <w:tcBorders>
              <w:top w:val="single" w:sz="4" w:space="0" w:color="auto"/>
              <w:left w:val="single" w:sz="4" w:space="0" w:color="auto"/>
              <w:bottom w:val="single" w:sz="4" w:space="0" w:color="auto"/>
              <w:right w:val="single" w:sz="4" w:space="0" w:color="auto"/>
            </w:tcBorders>
          </w:tcPr>
          <w:p w14:paraId="637041A5" w14:textId="77777777" w:rsidR="00766713" w:rsidRPr="005A2200" w:rsidRDefault="00766713" w:rsidP="005A2200">
            <w:pPr>
              <w:widowControl w:val="0"/>
              <w:tabs>
                <w:tab w:val="left" w:pos="284"/>
              </w:tabs>
              <w:jc w:val="both"/>
              <w:rPr>
                <w:rFonts w:asciiTheme="majorBidi" w:hAnsiTheme="majorBidi" w:cstheme="majorBidi"/>
                <w:b/>
                <w:sz w:val="22"/>
                <w:szCs w:val="22"/>
                <w:lang w:val="sr-Latn-ME"/>
              </w:rPr>
            </w:pPr>
          </w:p>
        </w:tc>
        <w:tc>
          <w:tcPr>
            <w:tcW w:w="0" w:type="auto"/>
            <w:gridSpan w:val="2"/>
            <w:tcBorders>
              <w:top w:val="single" w:sz="4" w:space="0" w:color="auto"/>
              <w:left w:val="single" w:sz="4" w:space="0" w:color="auto"/>
              <w:bottom w:val="single" w:sz="4" w:space="0" w:color="auto"/>
              <w:right w:val="single" w:sz="4" w:space="0" w:color="auto"/>
            </w:tcBorders>
          </w:tcPr>
          <w:p w14:paraId="64935186" w14:textId="77777777" w:rsidR="00766713" w:rsidRPr="005A2200" w:rsidRDefault="00766713" w:rsidP="005A2200">
            <w:pPr>
              <w:widowControl w:val="0"/>
              <w:tabs>
                <w:tab w:val="left" w:pos="284"/>
              </w:tabs>
              <w:jc w:val="both"/>
              <w:rPr>
                <w:rFonts w:asciiTheme="majorBidi" w:hAnsiTheme="majorBidi" w:cstheme="majorBidi"/>
                <w:b/>
                <w:color w:val="1A1A1A"/>
                <w:sz w:val="22"/>
                <w:szCs w:val="22"/>
                <w:lang w:val="sr-Latn-ME"/>
              </w:rPr>
            </w:pPr>
            <w:r w:rsidRPr="005A2200">
              <w:rPr>
                <w:rFonts w:asciiTheme="majorBidi" w:hAnsiTheme="majorBidi" w:cstheme="majorBidi"/>
                <w:b/>
                <w:color w:val="1A1A1A"/>
                <w:sz w:val="22"/>
                <w:szCs w:val="22"/>
                <w:lang w:val="sr-Latn-ME"/>
              </w:rPr>
              <w:t>DRIVE-FORWARD</w:t>
            </w:r>
          </w:p>
          <w:p w14:paraId="02AB61D1" w14:textId="77777777" w:rsidR="00766713" w:rsidRPr="005A2200" w:rsidRDefault="00766713" w:rsidP="005A2200">
            <w:pPr>
              <w:widowControl w:val="0"/>
              <w:tabs>
                <w:tab w:val="left" w:pos="284"/>
              </w:tabs>
              <w:jc w:val="both"/>
              <w:rPr>
                <w:rFonts w:asciiTheme="majorBidi" w:hAnsiTheme="majorBidi" w:cstheme="majorBidi"/>
                <w:b/>
                <w:color w:val="1A1A1A"/>
                <w:sz w:val="22"/>
                <w:szCs w:val="22"/>
                <w:lang w:val="sr-Latn-ME"/>
              </w:rPr>
            </w:pPr>
          </w:p>
        </w:tc>
        <w:tc>
          <w:tcPr>
            <w:tcW w:w="0" w:type="auto"/>
            <w:gridSpan w:val="2"/>
            <w:tcBorders>
              <w:top w:val="single" w:sz="4" w:space="0" w:color="auto"/>
              <w:left w:val="single" w:sz="4" w:space="0" w:color="auto"/>
              <w:bottom w:val="single" w:sz="4" w:space="0" w:color="auto"/>
              <w:right w:val="single" w:sz="4" w:space="0" w:color="auto"/>
            </w:tcBorders>
          </w:tcPr>
          <w:p w14:paraId="03D44421" w14:textId="77777777" w:rsidR="00766713" w:rsidRPr="005A2200" w:rsidRDefault="00766713" w:rsidP="005A2200">
            <w:pPr>
              <w:widowControl w:val="0"/>
              <w:tabs>
                <w:tab w:val="left" w:pos="284"/>
              </w:tabs>
              <w:jc w:val="both"/>
              <w:rPr>
                <w:rFonts w:asciiTheme="majorBidi" w:hAnsiTheme="majorBidi" w:cstheme="majorBidi"/>
                <w:b/>
                <w:color w:val="1A1A1A"/>
                <w:sz w:val="22"/>
                <w:szCs w:val="22"/>
                <w:lang w:val="sr-Latn-ME"/>
              </w:rPr>
            </w:pPr>
            <w:r w:rsidRPr="005A2200">
              <w:rPr>
                <w:rFonts w:asciiTheme="majorBidi" w:hAnsiTheme="majorBidi" w:cstheme="majorBidi"/>
                <w:b/>
                <w:color w:val="1A1A1A"/>
                <w:sz w:val="22"/>
                <w:szCs w:val="22"/>
                <w:lang w:val="sr-Latn-ME"/>
              </w:rPr>
              <w:t>DRIVE-AHEAD</w:t>
            </w:r>
          </w:p>
        </w:tc>
      </w:tr>
      <w:tr w:rsidR="00766713" w:rsidRPr="005A2200" w14:paraId="4549A475" w14:textId="77777777" w:rsidTr="005A2200">
        <w:tc>
          <w:tcPr>
            <w:tcW w:w="0" w:type="auto"/>
            <w:shd w:val="clear" w:color="auto" w:fill="auto"/>
          </w:tcPr>
          <w:p w14:paraId="02AF553A"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p>
        </w:tc>
        <w:tc>
          <w:tcPr>
            <w:tcW w:w="0" w:type="auto"/>
            <w:shd w:val="clear" w:color="auto" w:fill="auto"/>
          </w:tcPr>
          <w:p w14:paraId="1B65509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b/>
                <w:sz w:val="22"/>
                <w:szCs w:val="22"/>
                <w:lang w:val="sr-Latn-ME"/>
              </w:rPr>
              <w:t>DOR + 2 NRTI (383)</w:t>
            </w:r>
          </w:p>
        </w:tc>
        <w:tc>
          <w:tcPr>
            <w:tcW w:w="0" w:type="auto"/>
            <w:shd w:val="clear" w:color="auto" w:fill="auto"/>
          </w:tcPr>
          <w:p w14:paraId="18D189F9"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b/>
                <w:color w:val="1A1A1A"/>
                <w:sz w:val="22"/>
                <w:szCs w:val="22"/>
                <w:lang w:val="sr-Latn-ME"/>
              </w:rPr>
              <w:t>DRV + r</w:t>
            </w:r>
            <w:r w:rsidRPr="005A2200">
              <w:rPr>
                <w:rFonts w:asciiTheme="majorBidi" w:eastAsia="Calibri" w:hAnsiTheme="majorBidi" w:cstheme="majorBidi"/>
                <w:b/>
                <w:sz w:val="22"/>
                <w:szCs w:val="22"/>
                <w:lang w:val="sr-Latn-ME"/>
              </w:rPr>
              <w:t xml:space="preserve"> + 2 NRTI (383)</w:t>
            </w:r>
          </w:p>
        </w:tc>
        <w:tc>
          <w:tcPr>
            <w:tcW w:w="0" w:type="auto"/>
            <w:shd w:val="clear" w:color="auto" w:fill="auto"/>
          </w:tcPr>
          <w:p w14:paraId="39A6DE96"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DOR/3TC/TDF</w:t>
            </w:r>
          </w:p>
          <w:p w14:paraId="51B6051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b/>
                <w:sz w:val="22"/>
                <w:szCs w:val="22"/>
                <w:lang w:val="sr-Latn-ME"/>
              </w:rPr>
              <w:t>(364)</w:t>
            </w:r>
          </w:p>
        </w:tc>
        <w:tc>
          <w:tcPr>
            <w:tcW w:w="0" w:type="auto"/>
            <w:shd w:val="clear" w:color="auto" w:fill="auto"/>
          </w:tcPr>
          <w:p w14:paraId="4EEF4DED"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EFV/FTC/TDF</w:t>
            </w:r>
          </w:p>
          <w:p w14:paraId="4D8D6AD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b/>
                <w:sz w:val="22"/>
                <w:szCs w:val="22"/>
                <w:lang w:val="sr-Latn-ME"/>
              </w:rPr>
              <w:t>(364)</w:t>
            </w:r>
          </w:p>
        </w:tc>
      </w:tr>
      <w:tr w:rsidR="00766713" w:rsidRPr="005A2200" w14:paraId="3AA60CA4" w14:textId="77777777" w:rsidTr="005A2200">
        <w:tc>
          <w:tcPr>
            <w:tcW w:w="0" w:type="auto"/>
            <w:shd w:val="clear" w:color="auto" w:fill="auto"/>
          </w:tcPr>
          <w:p w14:paraId="3537063B"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48. nedelja</w:t>
            </w:r>
          </w:p>
        </w:tc>
        <w:tc>
          <w:tcPr>
            <w:tcW w:w="0" w:type="auto"/>
            <w:shd w:val="clear" w:color="auto" w:fill="auto"/>
          </w:tcPr>
          <w:p w14:paraId="1AF6C43A"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83%</w:t>
            </w:r>
          </w:p>
        </w:tc>
        <w:tc>
          <w:tcPr>
            <w:tcW w:w="0" w:type="auto"/>
            <w:shd w:val="clear" w:color="auto" w:fill="auto"/>
          </w:tcPr>
          <w:p w14:paraId="07D2A0CB"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79%</w:t>
            </w:r>
          </w:p>
        </w:tc>
        <w:tc>
          <w:tcPr>
            <w:tcW w:w="0" w:type="auto"/>
            <w:shd w:val="clear" w:color="auto" w:fill="auto"/>
          </w:tcPr>
          <w:p w14:paraId="366F364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84%</w:t>
            </w:r>
          </w:p>
        </w:tc>
        <w:tc>
          <w:tcPr>
            <w:tcW w:w="0" w:type="auto"/>
            <w:shd w:val="clear" w:color="auto" w:fill="auto"/>
          </w:tcPr>
          <w:p w14:paraId="63832EC4"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80%</w:t>
            </w:r>
          </w:p>
        </w:tc>
      </w:tr>
      <w:tr w:rsidR="00766713" w:rsidRPr="005A2200" w14:paraId="6E06326E" w14:textId="77777777" w:rsidTr="005A2200">
        <w:tc>
          <w:tcPr>
            <w:tcW w:w="0" w:type="auto"/>
            <w:shd w:val="clear" w:color="auto" w:fill="auto"/>
          </w:tcPr>
          <w:p w14:paraId="0F3FB796"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Razlika (95 % CI)</w:t>
            </w:r>
          </w:p>
        </w:tc>
        <w:tc>
          <w:tcPr>
            <w:tcW w:w="0" w:type="auto"/>
            <w:gridSpan w:val="2"/>
            <w:shd w:val="clear" w:color="auto" w:fill="auto"/>
          </w:tcPr>
          <w:p w14:paraId="1A72BE53"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4,2% (-1,4%, 9,7 %)</w:t>
            </w:r>
          </w:p>
        </w:tc>
        <w:tc>
          <w:tcPr>
            <w:tcW w:w="0" w:type="auto"/>
            <w:gridSpan w:val="2"/>
            <w:shd w:val="clear" w:color="auto" w:fill="auto"/>
          </w:tcPr>
          <w:p w14:paraId="3EFC3EE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4,1% (-1,5 %, 9,7 %)</w:t>
            </w:r>
          </w:p>
        </w:tc>
      </w:tr>
      <w:tr w:rsidR="00766713" w:rsidRPr="005A2200" w14:paraId="3E494459" w14:textId="77777777" w:rsidTr="005A2200">
        <w:tc>
          <w:tcPr>
            <w:tcW w:w="0" w:type="auto"/>
            <w:shd w:val="clear" w:color="auto" w:fill="auto"/>
          </w:tcPr>
          <w:p w14:paraId="7EC9923B"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96. nedelja*</w:t>
            </w:r>
          </w:p>
        </w:tc>
        <w:tc>
          <w:tcPr>
            <w:tcW w:w="0" w:type="auto"/>
            <w:shd w:val="clear" w:color="auto" w:fill="auto"/>
          </w:tcPr>
          <w:p w14:paraId="15FBCD6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72% (N=379)</w:t>
            </w:r>
          </w:p>
        </w:tc>
        <w:tc>
          <w:tcPr>
            <w:tcW w:w="0" w:type="auto"/>
            <w:shd w:val="clear" w:color="auto" w:fill="auto"/>
          </w:tcPr>
          <w:p w14:paraId="7803DEE0"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64% (N=376)</w:t>
            </w:r>
          </w:p>
        </w:tc>
        <w:tc>
          <w:tcPr>
            <w:tcW w:w="0" w:type="auto"/>
            <w:shd w:val="clear" w:color="auto" w:fill="auto"/>
          </w:tcPr>
          <w:p w14:paraId="478A3E3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76% (N=364)</w:t>
            </w:r>
          </w:p>
        </w:tc>
        <w:tc>
          <w:tcPr>
            <w:tcW w:w="0" w:type="auto"/>
            <w:shd w:val="clear" w:color="auto" w:fill="auto"/>
          </w:tcPr>
          <w:p w14:paraId="1D82CEE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73% (N=364)</w:t>
            </w:r>
          </w:p>
        </w:tc>
      </w:tr>
      <w:tr w:rsidR="00766713" w:rsidRPr="005A2200" w14:paraId="0F958373" w14:textId="77777777" w:rsidTr="005A2200">
        <w:tc>
          <w:tcPr>
            <w:tcW w:w="0" w:type="auto"/>
            <w:shd w:val="clear" w:color="auto" w:fill="auto"/>
          </w:tcPr>
          <w:p w14:paraId="1BCFD38A"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Razlika (95 % CI)</w:t>
            </w:r>
          </w:p>
        </w:tc>
        <w:tc>
          <w:tcPr>
            <w:tcW w:w="0" w:type="auto"/>
            <w:gridSpan w:val="2"/>
            <w:shd w:val="clear" w:color="auto" w:fill="auto"/>
          </w:tcPr>
          <w:p w14:paraId="0EF31A5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7,6% (1,0%, 14,2%)</w:t>
            </w:r>
          </w:p>
        </w:tc>
        <w:tc>
          <w:tcPr>
            <w:tcW w:w="0" w:type="auto"/>
            <w:gridSpan w:val="2"/>
            <w:shd w:val="clear" w:color="auto" w:fill="auto"/>
          </w:tcPr>
          <w:p w14:paraId="1F475BB2"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3,3% (-3,1%, 9,6%)</w:t>
            </w:r>
          </w:p>
        </w:tc>
      </w:tr>
      <w:tr w:rsidR="00766713" w:rsidRPr="005A2200" w14:paraId="419C7C82" w14:textId="77777777" w:rsidTr="005A2200">
        <w:tc>
          <w:tcPr>
            <w:tcW w:w="0" w:type="auto"/>
            <w:gridSpan w:val="5"/>
            <w:shd w:val="clear" w:color="auto" w:fill="auto"/>
          </w:tcPr>
          <w:p w14:paraId="75E086B3" w14:textId="111C3D89"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Ishod u 48. ned</w:t>
            </w:r>
            <w:r w:rsidR="00DF3DD9" w:rsidRPr="005A2200">
              <w:rPr>
                <w:rFonts w:asciiTheme="majorBidi" w:eastAsia="Calibri" w:hAnsiTheme="majorBidi" w:cstheme="majorBidi"/>
                <w:b/>
                <w:sz w:val="22"/>
                <w:szCs w:val="22"/>
                <w:lang w:val="sr-Latn-ME"/>
              </w:rPr>
              <w:t>j</w:t>
            </w:r>
            <w:r w:rsidRPr="005A2200">
              <w:rPr>
                <w:rFonts w:asciiTheme="majorBidi" w:eastAsia="Calibri" w:hAnsiTheme="majorBidi" w:cstheme="majorBidi"/>
                <w:b/>
                <w:sz w:val="22"/>
                <w:szCs w:val="22"/>
                <w:lang w:val="sr-Latn-ME"/>
              </w:rPr>
              <w:t>elji (&lt;40 kopija/m</w:t>
            </w:r>
            <w:r w:rsidR="00CD65D0" w:rsidRPr="005A2200">
              <w:rPr>
                <w:rFonts w:asciiTheme="majorBidi" w:eastAsia="Calibri" w:hAnsiTheme="majorBidi" w:cstheme="majorBidi"/>
                <w:b/>
                <w:sz w:val="22"/>
                <w:szCs w:val="22"/>
                <w:lang w:val="sr-Latn-ME"/>
              </w:rPr>
              <w:t>l</w:t>
            </w:r>
            <w:r w:rsidRPr="005A2200">
              <w:rPr>
                <w:rFonts w:asciiTheme="majorBidi" w:eastAsia="Calibri" w:hAnsiTheme="majorBidi" w:cstheme="majorBidi"/>
                <w:b/>
                <w:sz w:val="22"/>
                <w:szCs w:val="22"/>
                <w:lang w:val="sr-Latn-ME"/>
              </w:rPr>
              <w:t>) prema početnim faktorima</w:t>
            </w:r>
          </w:p>
        </w:tc>
      </w:tr>
      <w:tr w:rsidR="00766713" w:rsidRPr="005A2200" w14:paraId="53CF8416" w14:textId="77777777" w:rsidTr="005A2200">
        <w:tc>
          <w:tcPr>
            <w:tcW w:w="0" w:type="auto"/>
            <w:gridSpan w:val="5"/>
            <w:shd w:val="clear" w:color="auto" w:fill="auto"/>
          </w:tcPr>
          <w:p w14:paraId="2B616E41" w14:textId="03716B71"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HIV-1 RNK kopija/m</w:t>
            </w:r>
            <w:r w:rsidR="00CD65D0" w:rsidRPr="005A2200">
              <w:rPr>
                <w:rFonts w:asciiTheme="majorBidi" w:eastAsia="Calibri" w:hAnsiTheme="majorBidi" w:cstheme="majorBidi"/>
                <w:sz w:val="22"/>
                <w:szCs w:val="22"/>
                <w:lang w:val="sr-Latn-ME"/>
              </w:rPr>
              <w:t>l</w:t>
            </w:r>
          </w:p>
        </w:tc>
      </w:tr>
      <w:tr w:rsidR="00766713" w:rsidRPr="005A2200" w14:paraId="52284544" w14:textId="77777777" w:rsidTr="005A2200">
        <w:tc>
          <w:tcPr>
            <w:tcW w:w="0" w:type="auto"/>
            <w:shd w:val="clear" w:color="auto" w:fill="auto"/>
          </w:tcPr>
          <w:p w14:paraId="5B0B1CFA"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100 000</w:t>
            </w:r>
          </w:p>
        </w:tc>
        <w:tc>
          <w:tcPr>
            <w:tcW w:w="0" w:type="auto"/>
            <w:shd w:val="clear" w:color="auto" w:fill="auto"/>
          </w:tcPr>
          <w:p w14:paraId="54638C9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256/285 (90%)</w:t>
            </w:r>
          </w:p>
        </w:tc>
        <w:tc>
          <w:tcPr>
            <w:tcW w:w="0" w:type="auto"/>
            <w:shd w:val="clear" w:color="auto" w:fill="auto"/>
          </w:tcPr>
          <w:p w14:paraId="0A167586"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248/282 (88%)</w:t>
            </w:r>
          </w:p>
        </w:tc>
        <w:tc>
          <w:tcPr>
            <w:tcW w:w="0" w:type="auto"/>
            <w:shd w:val="clear" w:color="auto" w:fill="auto"/>
          </w:tcPr>
          <w:p w14:paraId="1AA74D4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251/277 (91%)</w:t>
            </w:r>
          </w:p>
        </w:tc>
        <w:tc>
          <w:tcPr>
            <w:tcW w:w="0" w:type="auto"/>
            <w:shd w:val="clear" w:color="auto" w:fill="auto"/>
          </w:tcPr>
          <w:p w14:paraId="1F4C6E1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234/258 (91%)</w:t>
            </w:r>
          </w:p>
        </w:tc>
      </w:tr>
      <w:tr w:rsidR="00766713" w:rsidRPr="005A2200" w14:paraId="606F85DD" w14:textId="77777777" w:rsidTr="005A2200">
        <w:tc>
          <w:tcPr>
            <w:tcW w:w="0" w:type="auto"/>
            <w:shd w:val="clear" w:color="auto" w:fill="auto"/>
          </w:tcPr>
          <w:p w14:paraId="6DF6248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xml:space="preserve">&gt; 100 000  </w:t>
            </w:r>
          </w:p>
        </w:tc>
        <w:tc>
          <w:tcPr>
            <w:tcW w:w="0" w:type="auto"/>
            <w:shd w:val="clear" w:color="auto" w:fill="auto"/>
          </w:tcPr>
          <w:p w14:paraId="16E465A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63/79 (80%)</w:t>
            </w:r>
          </w:p>
        </w:tc>
        <w:tc>
          <w:tcPr>
            <w:tcW w:w="0" w:type="auto"/>
            <w:shd w:val="clear" w:color="auto" w:fill="auto"/>
          </w:tcPr>
          <w:p w14:paraId="531C6F0A"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54/72 (75%)</w:t>
            </w:r>
          </w:p>
        </w:tc>
        <w:tc>
          <w:tcPr>
            <w:tcW w:w="0" w:type="auto"/>
            <w:shd w:val="clear" w:color="auto" w:fill="auto"/>
          </w:tcPr>
          <w:p w14:paraId="04DCB564"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54/69 (78%)</w:t>
            </w:r>
          </w:p>
        </w:tc>
        <w:tc>
          <w:tcPr>
            <w:tcW w:w="0" w:type="auto"/>
            <w:shd w:val="clear" w:color="auto" w:fill="auto"/>
          </w:tcPr>
          <w:p w14:paraId="2227803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56/73 (77%)</w:t>
            </w:r>
          </w:p>
        </w:tc>
      </w:tr>
      <w:tr w:rsidR="00766713" w:rsidRPr="005A2200" w14:paraId="1A45E965" w14:textId="77777777" w:rsidTr="005A2200">
        <w:tc>
          <w:tcPr>
            <w:tcW w:w="0" w:type="auto"/>
            <w:gridSpan w:val="5"/>
            <w:shd w:val="clear" w:color="auto" w:fill="auto"/>
          </w:tcPr>
          <w:p w14:paraId="316F6A18" w14:textId="31338A25"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Broj CD4 ćelija, ćelija/µ</w:t>
            </w:r>
            <w:r w:rsidR="00CD65D0" w:rsidRPr="005A2200">
              <w:rPr>
                <w:rFonts w:asciiTheme="majorBidi" w:eastAsia="Calibri" w:hAnsiTheme="majorBidi" w:cstheme="majorBidi"/>
                <w:sz w:val="22"/>
                <w:szCs w:val="22"/>
                <w:lang w:val="sr-Latn-ME"/>
              </w:rPr>
              <w:t>l</w:t>
            </w:r>
          </w:p>
        </w:tc>
      </w:tr>
      <w:tr w:rsidR="00766713" w:rsidRPr="005A2200" w14:paraId="72934332" w14:textId="77777777" w:rsidTr="005A2200">
        <w:tc>
          <w:tcPr>
            <w:tcW w:w="0" w:type="auto"/>
            <w:shd w:val="clear" w:color="auto" w:fill="auto"/>
          </w:tcPr>
          <w:p w14:paraId="071796E5"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200</w:t>
            </w:r>
          </w:p>
        </w:tc>
        <w:tc>
          <w:tcPr>
            <w:tcW w:w="0" w:type="auto"/>
            <w:shd w:val="clear" w:color="auto" w:fill="auto"/>
          </w:tcPr>
          <w:p w14:paraId="2F048272"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34/41 (83%)</w:t>
            </w:r>
          </w:p>
        </w:tc>
        <w:tc>
          <w:tcPr>
            <w:tcW w:w="0" w:type="auto"/>
            <w:shd w:val="clear" w:color="auto" w:fill="auto"/>
          </w:tcPr>
          <w:p w14:paraId="5B0D0C2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43/61 (70%)</w:t>
            </w:r>
          </w:p>
        </w:tc>
        <w:tc>
          <w:tcPr>
            <w:tcW w:w="0" w:type="auto"/>
            <w:shd w:val="clear" w:color="auto" w:fill="auto"/>
          </w:tcPr>
          <w:p w14:paraId="1E99267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27/42 (64%)</w:t>
            </w:r>
          </w:p>
        </w:tc>
        <w:tc>
          <w:tcPr>
            <w:tcW w:w="0" w:type="auto"/>
            <w:shd w:val="clear" w:color="auto" w:fill="auto"/>
          </w:tcPr>
          <w:p w14:paraId="74657054"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35/43 (81%)</w:t>
            </w:r>
          </w:p>
        </w:tc>
      </w:tr>
      <w:tr w:rsidR="00766713" w:rsidRPr="005A2200" w14:paraId="5116E032" w14:textId="77777777" w:rsidTr="005A2200">
        <w:tc>
          <w:tcPr>
            <w:tcW w:w="0" w:type="auto"/>
            <w:shd w:val="clear" w:color="auto" w:fill="auto"/>
          </w:tcPr>
          <w:p w14:paraId="1685B899"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&gt; 200</w:t>
            </w:r>
          </w:p>
        </w:tc>
        <w:tc>
          <w:tcPr>
            <w:tcW w:w="0" w:type="auto"/>
            <w:shd w:val="clear" w:color="auto" w:fill="auto"/>
          </w:tcPr>
          <w:p w14:paraId="23077A8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285/323 (88%)</w:t>
            </w:r>
          </w:p>
        </w:tc>
        <w:tc>
          <w:tcPr>
            <w:tcW w:w="0" w:type="auto"/>
            <w:shd w:val="clear" w:color="auto" w:fill="auto"/>
          </w:tcPr>
          <w:p w14:paraId="70F5838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260/294 (88%)</w:t>
            </w:r>
          </w:p>
        </w:tc>
        <w:tc>
          <w:tcPr>
            <w:tcW w:w="0" w:type="auto"/>
            <w:shd w:val="clear" w:color="auto" w:fill="auto"/>
          </w:tcPr>
          <w:p w14:paraId="15C3F27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278/304 (91%)</w:t>
            </w:r>
          </w:p>
        </w:tc>
        <w:tc>
          <w:tcPr>
            <w:tcW w:w="0" w:type="auto"/>
            <w:shd w:val="clear" w:color="auto" w:fill="auto"/>
          </w:tcPr>
          <w:p w14:paraId="1939950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255/288 (89%)</w:t>
            </w:r>
          </w:p>
        </w:tc>
      </w:tr>
      <w:tr w:rsidR="00766713" w:rsidRPr="005A2200" w14:paraId="23A05E01" w14:textId="77777777" w:rsidTr="005A2200">
        <w:tc>
          <w:tcPr>
            <w:tcW w:w="0" w:type="auto"/>
            <w:gridSpan w:val="5"/>
            <w:shd w:val="clear" w:color="auto" w:fill="auto"/>
          </w:tcPr>
          <w:p w14:paraId="75A3AFE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Osnovna terapija NRTI</w:t>
            </w:r>
          </w:p>
        </w:tc>
      </w:tr>
      <w:tr w:rsidR="00766713" w:rsidRPr="005A2200" w14:paraId="33566E67" w14:textId="77777777" w:rsidTr="005A2200">
        <w:tc>
          <w:tcPr>
            <w:tcW w:w="0" w:type="auto"/>
            <w:shd w:val="clear" w:color="auto" w:fill="auto"/>
          </w:tcPr>
          <w:p w14:paraId="5A43169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xml:space="preserve">  TDF/FTC</w:t>
            </w:r>
          </w:p>
        </w:tc>
        <w:tc>
          <w:tcPr>
            <w:tcW w:w="0" w:type="auto"/>
            <w:shd w:val="clear" w:color="auto" w:fill="auto"/>
          </w:tcPr>
          <w:p w14:paraId="5AC78576"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276/316 (87%)</w:t>
            </w:r>
          </w:p>
        </w:tc>
        <w:tc>
          <w:tcPr>
            <w:tcW w:w="0" w:type="auto"/>
            <w:shd w:val="clear" w:color="auto" w:fill="auto"/>
          </w:tcPr>
          <w:p w14:paraId="3357E672"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267/312 (86%)</w:t>
            </w:r>
          </w:p>
        </w:tc>
        <w:tc>
          <w:tcPr>
            <w:tcW w:w="0" w:type="auto"/>
            <w:gridSpan w:val="2"/>
            <w:shd w:val="clear" w:color="auto" w:fill="auto"/>
          </w:tcPr>
          <w:p w14:paraId="4E307071"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NA</w:t>
            </w:r>
          </w:p>
        </w:tc>
      </w:tr>
      <w:tr w:rsidR="00766713" w:rsidRPr="005A2200" w14:paraId="5C3CB941" w14:textId="77777777" w:rsidTr="005A2200">
        <w:tc>
          <w:tcPr>
            <w:tcW w:w="0" w:type="auto"/>
            <w:shd w:val="clear" w:color="auto" w:fill="auto"/>
          </w:tcPr>
          <w:p w14:paraId="15D6269C"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ABC/3TC</w:t>
            </w:r>
          </w:p>
        </w:tc>
        <w:tc>
          <w:tcPr>
            <w:tcW w:w="0" w:type="auto"/>
            <w:shd w:val="clear" w:color="auto" w:fill="auto"/>
          </w:tcPr>
          <w:p w14:paraId="5393E332"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43/48 (90%)</w:t>
            </w:r>
          </w:p>
        </w:tc>
        <w:tc>
          <w:tcPr>
            <w:tcW w:w="0" w:type="auto"/>
            <w:shd w:val="clear" w:color="auto" w:fill="auto"/>
          </w:tcPr>
          <w:p w14:paraId="6B7FDBAA"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36/43 (84%)</w:t>
            </w:r>
          </w:p>
        </w:tc>
        <w:tc>
          <w:tcPr>
            <w:tcW w:w="0" w:type="auto"/>
            <w:gridSpan w:val="2"/>
            <w:shd w:val="clear" w:color="auto" w:fill="auto"/>
          </w:tcPr>
          <w:p w14:paraId="231AF52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NA</w:t>
            </w:r>
          </w:p>
        </w:tc>
      </w:tr>
      <w:tr w:rsidR="00766713" w:rsidRPr="005A2200" w14:paraId="170A4CC5" w14:textId="77777777" w:rsidTr="005A2200">
        <w:tc>
          <w:tcPr>
            <w:tcW w:w="0" w:type="auto"/>
            <w:gridSpan w:val="5"/>
            <w:shd w:val="clear" w:color="auto" w:fill="auto"/>
          </w:tcPr>
          <w:p w14:paraId="209BE0C3"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xml:space="preserve">Podtip virusa    </w:t>
            </w:r>
          </w:p>
        </w:tc>
      </w:tr>
      <w:tr w:rsidR="00766713" w:rsidRPr="005A2200" w14:paraId="7DA04B4C" w14:textId="77777777" w:rsidTr="005A2200">
        <w:tc>
          <w:tcPr>
            <w:tcW w:w="0" w:type="auto"/>
            <w:shd w:val="clear" w:color="auto" w:fill="auto"/>
          </w:tcPr>
          <w:p w14:paraId="012FD053"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B</w:t>
            </w:r>
          </w:p>
        </w:tc>
        <w:tc>
          <w:tcPr>
            <w:tcW w:w="0" w:type="auto"/>
            <w:shd w:val="clear" w:color="auto" w:fill="auto"/>
          </w:tcPr>
          <w:p w14:paraId="2257C0D1"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222/254 (87%)</w:t>
            </w:r>
          </w:p>
        </w:tc>
        <w:tc>
          <w:tcPr>
            <w:tcW w:w="0" w:type="auto"/>
            <w:shd w:val="clear" w:color="auto" w:fill="auto"/>
          </w:tcPr>
          <w:p w14:paraId="1B8CE26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219/255 (86%)</w:t>
            </w:r>
          </w:p>
        </w:tc>
        <w:tc>
          <w:tcPr>
            <w:tcW w:w="0" w:type="auto"/>
            <w:shd w:val="clear" w:color="auto" w:fill="auto"/>
          </w:tcPr>
          <w:p w14:paraId="06D64B8C"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194/222 (87%)</w:t>
            </w:r>
          </w:p>
        </w:tc>
        <w:tc>
          <w:tcPr>
            <w:tcW w:w="0" w:type="auto"/>
            <w:shd w:val="clear" w:color="auto" w:fill="auto"/>
          </w:tcPr>
          <w:p w14:paraId="661CE594"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199/226 (88%)</w:t>
            </w:r>
          </w:p>
        </w:tc>
      </w:tr>
      <w:tr w:rsidR="00766713" w:rsidRPr="005A2200" w14:paraId="0DB869E5" w14:textId="77777777" w:rsidTr="005A2200">
        <w:tc>
          <w:tcPr>
            <w:tcW w:w="0" w:type="auto"/>
            <w:shd w:val="clear" w:color="auto" w:fill="auto"/>
          </w:tcPr>
          <w:p w14:paraId="097593C1"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ne-B</w:t>
            </w:r>
          </w:p>
        </w:tc>
        <w:tc>
          <w:tcPr>
            <w:tcW w:w="0" w:type="auto"/>
            <w:shd w:val="clear" w:color="auto" w:fill="auto"/>
          </w:tcPr>
          <w:p w14:paraId="7EB21160"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97/110 (88%)</w:t>
            </w:r>
          </w:p>
        </w:tc>
        <w:tc>
          <w:tcPr>
            <w:tcW w:w="0" w:type="auto"/>
            <w:shd w:val="clear" w:color="auto" w:fill="auto"/>
          </w:tcPr>
          <w:p w14:paraId="10518DE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84/100 (84%)</w:t>
            </w:r>
          </w:p>
        </w:tc>
        <w:tc>
          <w:tcPr>
            <w:tcW w:w="0" w:type="auto"/>
            <w:shd w:val="clear" w:color="auto" w:fill="auto"/>
          </w:tcPr>
          <w:p w14:paraId="23BDC4D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109/122 (89%)</w:t>
            </w:r>
          </w:p>
        </w:tc>
        <w:tc>
          <w:tcPr>
            <w:tcW w:w="0" w:type="auto"/>
            <w:shd w:val="clear" w:color="auto" w:fill="auto"/>
          </w:tcPr>
          <w:p w14:paraId="4235317D"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91/105 (87%)</w:t>
            </w:r>
          </w:p>
        </w:tc>
      </w:tr>
      <w:tr w:rsidR="00766713" w:rsidRPr="005A2200" w14:paraId="39F121F9" w14:textId="77777777" w:rsidTr="005A2200">
        <w:tc>
          <w:tcPr>
            <w:tcW w:w="0" w:type="auto"/>
            <w:gridSpan w:val="5"/>
            <w:shd w:val="clear" w:color="auto" w:fill="auto"/>
          </w:tcPr>
          <w:p w14:paraId="76C335BA" w14:textId="286329B2"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Srednja vr</w:t>
            </w:r>
            <w:r w:rsidR="005605C9" w:rsidRPr="005A2200">
              <w:rPr>
                <w:rFonts w:asciiTheme="majorBidi" w:eastAsia="Calibri" w:hAnsiTheme="majorBidi" w:cstheme="majorBidi"/>
                <w:b/>
                <w:sz w:val="22"/>
                <w:szCs w:val="22"/>
                <w:lang w:val="sr-Latn-ME"/>
              </w:rPr>
              <w:t>ij</w:t>
            </w:r>
            <w:r w:rsidRPr="005A2200">
              <w:rPr>
                <w:rFonts w:asciiTheme="majorBidi" w:eastAsia="Calibri" w:hAnsiTheme="majorBidi" w:cstheme="majorBidi"/>
                <w:b/>
                <w:sz w:val="22"/>
                <w:szCs w:val="22"/>
                <w:lang w:val="sr-Latn-ME"/>
              </w:rPr>
              <w:t>ednost promene broja CD4 ćelija od početka ispitivanja</w:t>
            </w:r>
          </w:p>
        </w:tc>
      </w:tr>
      <w:tr w:rsidR="00766713" w:rsidRPr="005A2200" w14:paraId="0E290171" w14:textId="77777777" w:rsidTr="005A2200">
        <w:tc>
          <w:tcPr>
            <w:tcW w:w="0" w:type="auto"/>
            <w:shd w:val="clear" w:color="auto" w:fill="auto"/>
          </w:tcPr>
          <w:p w14:paraId="72B11B9B"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48. nedelja</w:t>
            </w:r>
          </w:p>
        </w:tc>
        <w:tc>
          <w:tcPr>
            <w:tcW w:w="0" w:type="auto"/>
            <w:shd w:val="clear" w:color="auto" w:fill="auto"/>
          </w:tcPr>
          <w:p w14:paraId="0F7CF476"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193</w:t>
            </w:r>
          </w:p>
        </w:tc>
        <w:tc>
          <w:tcPr>
            <w:tcW w:w="0" w:type="auto"/>
            <w:shd w:val="clear" w:color="auto" w:fill="auto"/>
          </w:tcPr>
          <w:p w14:paraId="47BAFCC1"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186</w:t>
            </w:r>
          </w:p>
        </w:tc>
        <w:tc>
          <w:tcPr>
            <w:tcW w:w="0" w:type="auto"/>
            <w:shd w:val="clear" w:color="auto" w:fill="auto"/>
          </w:tcPr>
          <w:p w14:paraId="6B7F4031"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198</w:t>
            </w:r>
          </w:p>
        </w:tc>
        <w:tc>
          <w:tcPr>
            <w:tcW w:w="0" w:type="auto"/>
            <w:shd w:val="clear" w:color="auto" w:fill="auto"/>
          </w:tcPr>
          <w:p w14:paraId="0BCE8DF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188</w:t>
            </w:r>
          </w:p>
        </w:tc>
      </w:tr>
      <w:tr w:rsidR="00766713" w:rsidRPr="005A2200" w14:paraId="6EE46D0E" w14:textId="77777777" w:rsidTr="005A2200">
        <w:tc>
          <w:tcPr>
            <w:tcW w:w="0" w:type="auto"/>
            <w:shd w:val="clear" w:color="auto" w:fill="auto"/>
          </w:tcPr>
          <w:p w14:paraId="5629152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96. nedelja</w:t>
            </w:r>
          </w:p>
        </w:tc>
        <w:tc>
          <w:tcPr>
            <w:tcW w:w="0" w:type="auto"/>
            <w:shd w:val="clear" w:color="auto" w:fill="auto"/>
          </w:tcPr>
          <w:p w14:paraId="011E6A5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224</w:t>
            </w:r>
          </w:p>
        </w:tc>
        <w:tc>
          <w:tcPr>
            <w:tcW w:w="0" w:type="auto"/>
            <w:shd w:val="clear" w:color="auto" w:fill="auto"/>
          </w:tcPr>
          <w:p w14:paraId="06E26346"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207</w:t>
            </w:r>
          </w:p>
        </w:tc>
        <w:tc>
          <w:tcPr>
            <w:tcW w:w="0" w:type="auto"/>
            <w:shd w:val="clear" w:color="auto" w:fill="auto"/>
          </w:tcPr>
          <w:p w14:paraId="36073BD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238</w:t>
            </w:r>
          </w:p>
        </w:tc>
        <w:tc>
          <w:tcPr>
            <w:tcW w:w="0" w:type="auto"/>
            <w:shd w:val="clear" w:color="auto" w:fill="auto"/>
          </w:tcPr>
          <w:p w14:paraId="4E8F6A0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223</w:t>
            </w:r>
          </w:p>
        </w:tc>
      </w:tr>
    </w:tbl>
    <w:p w14:paraId="4C38A759" w14:textId="2E8699F1"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0"/>
          <w:szCs w:val="22"/>
          <w:lang w:val="sr-Latn-ME"/>
        </w:rPr>
      </w:pPr>
      <w:r w:rsidRPr="005A2200">
        <w:rPr>
          <w:rFonts w:asciiTheme="majorBidi" w:hAnsiTheme="majorBidi" w:cstheme="majorBidi"/>
          <w:sz w:val="20"/>
          <w:szCs w:val="22"/>
          <w:lang w:val="sr-Latn-ME"/>
        </w:rPr>
        <w:t>*Za 96. ned</w:t>
      </w:r>
      <w:r w:rsidR="00DF3DD9" w:rsidRPr="005A2200">
        <w:rPr>
          <w:rFonts w:asciiTheme="majorBidi" w:hAnsiTheme="majorBidi" w:cstheme="majorBidi"/>
          <w:sz w:val="20"/>
          <w:szCs w:val="22"/>
          <w:lang w:val="sr-Latn-ME"/>
        </w:rPr>
        <w:t>j</w:t>
      </w:r>
      <w:r w:rsidRPr="005A2200">
        <w:rPr>
          <w:rFonts w:asciiTheme="majorBidi" w:hAnsiTheme="majorBidi" w:cstheme="majorBidi"/>
          <w:sz w:val="20"/>
          <w:szCs w:val="22"/>
          <w:lang w:val="sr-Latn-ME"/>
        </w:rPr>
        <w:t>elju, određeni ispitanici kojima je nedostajao HIV-1 RNK bili su isključeni iz analize.</w:t>
      </w:r>
    </w:p>
    <w:p w14:paraId="3478E583" w14:textId="77777777" w:rsidR="00766713" w:rsidRPr="005A2200" w:rsidRDefault="00766713" w:rsidP="005A2200">
      <w:pPr>
        <w:widowControl w:val="0"/>
        <w:tabs>
          <w:tab w:val="left" w:pos="284"/>
        </w:tabs>
        <w:jc w:val="both"/>
        <w:rPr>
          <w:rFonts w:asciiTheme="majorBidi" w:hAnsiTheme="majorBidi" w:cstheme="majorBidi"/>
          <w:vanish/>
          <w:sz w:val="22"/>
          <w:szCs w:val="22"/>
          <w:lang w:val="sr-Latn-ME"/>
        </w:rPr>
      </w:pPr>
    </w:p>
    <w:p w14:paraId="1D09A6D0" w14:textId="77777777" w:rsidR="00766713" w:rsidRPr="005A2200" w:rsidRDefault="00766713" w:rsidP="005A2200">
      <w:pPr>
        <w:widowControl w:val="0"/>
        <w:tabs>
          <w:tab w:val="left" w:pos="284"/>
        </w:tabs>
        <w:jc w:val="both"/>
        <w:rPr>
          <w:rFonts w:asciiTheme="majorBidi" w:hAnsiTheme="majorBidi" w:cstheme="majorBidi"/>
          <w:bCs/>
          <w:iCs/>
          <w:sz w:val="22"/>
          <w:szCs w:val="22"/>
          <w:u w:val="single"/>
          <w:lang w:val="sr-Latn-ME"/>
        </w:rPr>
      </w:pPr>
    </w:p>
    <w:p w14:paraId="16513356" w14:textId="4BDBDDCC"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P007 bilo je ispitivanje faze 2b sprovedeno kod odraslih ispitanika sa HIV</w:t>
      </w:r>
      <w:r w:rsidRPr="005A2200">
        <w:rPr>
          <w:rFonts w:asciiTheme="majorBidi" w:hAnsiTheme="majorBidi" w:cstheme="majorBidi"/>
          <w:sz w:val="22"/>
          <w:szCs w:val="22"/>
          <w:lang w:val="sr-Latn-ME"/>
        </w:rPr>
        <w:noBreakHyphen/>
        <w:t>1 infekcijom koji prethodno ni</w:t>
      </w:r>
      <w:r w:rsidR="00DF3DD9" w:rsidRPr="005A2200">
        <w:rPr>
          <w:rFonts w:asciiTheme="majorBidi" w:hAnsiTheme="majorBidi" w:cstheme="majorBidi"/>
          <w:sz w:val="22"/>
          <w:szCs w:val="22"/>
          <w:lang w:val="sr-Latn-ME"/>
        </w:rPr>
        <w:t>je</w:t>
      </w:r>
      <w:r w:rsidRPr="005A2200">
        <w:rPr>
          <w:rFonts w:asciiTheme="majorBidi" w:hAnsiTheme="majorBidi" w:cstheme="majorBidi"/>
          <w:sz w:val="22"/>
          <w:szCs w:val="22"/>
          <w:lang w:val="sr-Latn-ME"/>
        </w:rPr>
        <w:t>su bili na terapiji antiretrovirusnim l</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ekovima (n=340).</w:t>
      </w:r>
    </w:p>
    <w:p w14:paraId="442B1F71" w14:textId="19D8CA5E"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U prvom d</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elu ispitivanja (</w:t>
      </w:r>
      <w:r w:rsidRPr="005A2200">
        <w:rPr>
          <w:rFonts w:asciiTheme="majorBidi" w:hAnsiTheme="majorBidi" w:cstheme="majorBidi"/>
          <w:i/>
          <w:sz w:val="22"/>
          <w:szCs w:val="22"/>
          <w:lang w:val="sr-Latn-ME"/>
        </w:rPr>
        <w:t>Part I</w:t>
      </w:r>
      <w:r w:rsidRPr="005A2200">
        <w:rPr>
          <w:rFonts w:asciiTheme="majorBidi" w:hAnsiTheme="majorBidi" w:cstheme="majorBidi"/>
          <w:sz w:val="22"/>
          <w:szCs w:val="22"/>
          <w:lang w:val="sr-Latn-ME"/>
        </w:rPr>
        <w:t>) ispitanici su bili randomizovani za primanje jedne od 4 doze doravirina ili EFV</w:t>
      </w:r>
      <w:r w:rsidRPr="005A2200">
        <w:rPr>
          <w:rFonts w:asciiTheme="majorBidi" w:hAnsiTheme="majorBidi" w:cstheme="majorBidi"/>
          <w:sz w:val="22"/>
          <w:szCs w:val="22"/>
          <w:lang w:val="sr-Latn-ME"/>
        </w:rPr>
        <w:noBreakHyphen/>
        <w:t>a, oba u kombinaciji sa FTC</w:t>
      </w:r>
      <w:r w:rsidRPr="005A2200">
        <w:rPr>
          <w:rFonts w:asciiTheme="majorBidi" w:hAnsiTheme="majorBidi" w:cstheme="majorBidi"/>
          <w:sz w:val="22"/>
          <w:szCs w:val="22"/>
          <w:lang w:val="sr-Latn-ME"/>
        </w:rPr>
        <w:noBreakHyphen/>
        <w:t>om/TDF</w:t>
      </w:r>
      <w:r w:rsidRPr="005A2200">
        <w:rPr>
          <w:rFonts w:asciiTheme="majorBidi" w:hAnsiTheme="majorBidi" w:cstheme="majorBidi"/>
          <w:sz w:val="22"/>
          <w:szCs w:val="22"/>
          <w:lang w:val="sr-Latn-ME"/>
        </w:rPr>
        <w:noBreakHyphen/>
        <w:t>om. Nakon 24. ned</w:t>
      </w:r>
      <w:r w:rsidR="00DF3DD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elje svi ispitanici randomizovani za primanje doravirina prešli su na l</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ečenje doravirinom u dozi od 100 mg (ili su nastavili l</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ečenje tom dozom). U drugom d</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elu ispitivanja (</w:t>
      </w:r>
      <w:r w:rsidRPr="005A2200">
        <w:rPr>
          <w:rFonts w:asciiTheme="majorBidi" w:hAnsiTheme="majorBidi" w:cstheme="majorBidi"/>
          <w:i/>
          <w:sz w:val="22"/>
          <w:szCs w:val="22"/>
          <w:lang w:val="sr-Latn-ME"/>
        </w:rPr>
        <w:t>Part II</w:t>
      </w:r>
      <w:r w:rsidRPr="005A2200">
        <w:rPr>
          <w:rFonts w:asciiTheme="majorBidi" w:hAnsiTheme="majorBidi" w:cstheme="majorBidi"/>
          <w:sz w:val="22"/>
          <w:szCs w:val="22"/>
          <w:lang w:val="sr-Latn-ME"/>
        </w:rPr>
        <w:t>) su dodatni ispitanici randomizovani za primanje doravirina u dozi od 100 mg ili EFV</w:t>
      </w:r>
      <w:r w:rsidRPr="005A2200">
        <w:rPr>
          <w:rFonts w:asciiTheme="majorBidi" w:hAnsiTheme="majorBidi" w:cstheme="majorBidi"/>
          <w:sz w:val="22"/>
          <w:szCs w:val="22"/>
          <w:lang w:val="sr-Latn-ME"/>
        </w:rPr>
        <w:noBreakHyphen/>
        <w:t>a, oba u kombinaciji sa FTC</w:t>
      </w:r>
      <w:r w:rsidRPr="005A2200">
        <w:rPr>
          <w:rFonts w:asciiTheme="majorBidi" w:hAnsiTheme="majorBidi" w:cstheme="majorBidi"/>
          <w:sz w:val="22"/>
          <w:szCs w:val="22"/>
          <w:lang w:val="sr-Latn-ME"/>
        </w:rPr>
        <w:noBreakHyphen/>
        <w:t>om/TDF</w:t>
      </w:r>
      <w:r w:rsidRPr="005A2200">
        <w:rPr>
          <w:rFonts w:asciiTheme="majorBidi" w:hAnsiTheme="majorBidi" w:cstheme="majorBidi"/>
          <w:sz w:val="22"/>
          <w:szCs w:val="22"/>
          <w:lang w:val="sr-Latn-ME"/>
        </w:rPr>
        <w:noBreakHyphen/>
        <w:t>om. U oba su se d</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ela ispitivanja doravirin i EFV prim</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enjivali kao sl</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epa terapija, dok se kombinacija FTC/TDF prim</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enjivala otvoreno.</w:t>
      </w:r>
    </w:p>
    <w:p w14:paraId="45620A8B"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5D3B3DD4" w14:textId="1545E1E8"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r w:rsidRPr="005A2200">
        <w:rPr>
          <w:rFonts w:asciiTheme="majorBidi" w:hAnsiTheme="majorBidi" w:cstheme="majorBidi"/>
          <w:b/>
          <w:sz w:val="22"/>
          <w:szCs w:val="22"/>
          <w:lang w:val="sr-Latn-ME"/>
        </w:rPr>
        <w:t>Tabela 5: Odgovor s obzirom na efikasnost u 24. ned</w:t>
      </w:r>
      <w:r w:rsidR="00DF3DD9" w:rsidRPr="005A2200">
        <w:rPr>
          <w:rFonts w:asciiTheme="majorBidi" w:hAnsiTheme="majorBidi" w:cstheme="majorBidi"/>
          <w:b/>
          <w:sz w:val="22"/>
          <w:szCs w:val="22"/>
          <w:lang w:val="sr-Latn-ME"/>
        </w:rPr>
        <w:t>j</w:t>
      </w:r>
      <w:r w:rsidRPr="005A2200">
        <w:rPr>
          <w:rFonts w:asciiTheme="majorBidi" w:hAnsiTheme="majorBidi" w:cstheme="majorBidi"/>
          <w:b/>
          <w:sz w:val="22"/>
          <w:szCs w:val="22"/>
          <w:lang w:val="sr-Latn-ME"/>
        </w:rPr>
        <w:t xml:space="preserve">elji (Pristup utemeljen na algoritmu za globalni snimak distribuiranog sistema, engl. </w:t>
      </w:r>
      <w:r w:rsidRPr="005A2200">
        <w:rPr>
          <w:rFonts w:asciiTheme="majorBidi" w:hAnsiTheme="majorBidi" w:cstheme="majorBidi"/>
          <w:b/>
          <w:i/>
          <w:sz w:val="22"/>
          <w:szCs w:val="22"/>
          <w:lang w:val="sr-Latn-ME"/>
        </w:rPr>
        <w:t>Snapshot approach</w:t>
      </w:r>
      <w:r w:rsidRPr="005A2200">
        <w:rPr>
          <w:rFonts w:asciiTheme="majorBidi" w:hAnsiTheme="majorBidi" w:cstheme="majorBidi"/>
          <w:b/>
          <w:sz w:val="22"/>
          <w:szCs w:val="22"/>
          <w:lang w:val="sr-Latn-ME"/>
        </w:rPr>
        <w:t>)</w:t>
      </w:r>
    </w:p>
    <w:p w14:paraId="44BFC4DC"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241"/>
        <w:gridCol w:w="1150"/>
        <w:gridCol w:w="1266"/>
        <w:gridCol w:w="1266"/>
        <w:gridCol w:w="1106"/>
      </w:tblGrid>
      <w:tr w:rsidR="00766713" w:rsidRPr="005A2200" w14:paraId="10E807A6" w14:textId="77777777" w:rsidTr="002E01CF">
        <w:trPr>
          <w:tblHeader/>
        </w:trPr>
        <w:tc>
          <w:tcPr>
            <w:tcW w:w="0" w:type="auto"/>
            <w:shd w:val="clear" w:color="auto" w:fill="auto"/>
          </w:tcPr>
          <w:p w14:paraId="0BEFF368"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tc>
        <w:tc>
          <w:tcPr>
            <w:tcW w:w="0" w:type="auto"/>
            <w:shd w:val="clear" w:color="auto" w:fill="auto"/>
          </w:tcPr>
          <w:p w14:paraId="0F599B3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25 mg</w:t>
            </w:r>
          </w:p>
          <w:p w14:paraId="7BA3B2C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520DEEBB"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(N=40)</w:t>
            </w:r>
          </w:p>
          <w:p w14:paraId="7B8C5A91"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 (%)</w:t>
            </w:r>
          </w:p>
        </w:tc>
        <w:tc>
          <w:tcPr>
            <w:tcW w:w="0" w:type="auto"/>
            <w:shd w:val="clear" w:color="auto" w:fill="auto"/>
          </w:tcPr>
          <w:p w14:paraId="527B565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Doravirin </w:t>
            </w:r>
          </w:p>
          <w:p w14:paraId="60AB8C7C"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50 mg</w:t>
            </w:r>
          </w:p>
          <w:p w14:paraId="30396530"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24EBAABF"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(N=43)</w:t>
            </w:r>
          </w:p>
          <w:p w14:paraId="00021FBB"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 (%)</w:t>
            </w:r>
          </w:p>
        </w:tc>
        <w:tc>
          <w:tcPr>
            <w:tcW w:w="0" w:type="auto"/>
            <w:shd w:val="clear" w:color="auto" w:fill="auto"/>
          </w:tcPr>
          <w:p w14:paraId="6C880134"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100 mg</w:t>
            </w:r>
          </w:p>
          <w:p w14:paraId="38A3118B"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62E4C741"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(N=42)</w:t>
            </w:r>
          </w:p>
          <w:p w14:paraId="7DBCE692"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 (%)</w:t>
            </w:r>
          </w:p>
        </w:tc>
        <w:tc>
          <w:tcPr>
            <w:tcW w:w="0" w:type="auto"/>
            <w:shd w:val="clear" w:color="auto" w:fill="auto"/>
          </w:tcPr>
          <w:p w14:paraId="52E666B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200 mg</w:t>
            </w:r>
          </w:p>
          <w:p w14:paraId="6BFEBE0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26CC62E4"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(N=41)</w:t>
            </w:r>
          </w:p>
          <w:p w14:paraId="09FA8A97"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 (%)</w:t>
            </w:r>
          </w:p>
        </w:tc>
        <w:tc>
          <w:tcPr>
            <w:tcW w:w="0" w:type="auto"/>
            <w:shd w:val="clear" w:color="auto" w:fill="auto"/>
          </w:tcPr>
          <w:p w14:paraId="6BA37A7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Efavirenz </w:t>
            </w:r>
          </w:p>
          <w:p w14:paraId="799D856F"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600 mg</w:t>
            </w:r>
          </w:p>
          <w:p w14:paraId="2B14F6AD"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5E480E5B"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(N=42)</w:t>
            </w:r>
          </w:p>
          <w:p w14:paraId="0D5BAC27"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 (%)</w:t>
            </w:r>
          </w:p>
        </w:tc>
      </w:tr>
      <w:tr w:rsidR="00766713" w:rsidRPr="005A2200" w14:paraId="051B22D6" w14:textId="77777777" w:rsidTr="005A2200">
        <w:tc>
          <w:tcPr>
            <w:tcW w:w="0" w:type="auto"/>
            <w:shd w:val="clear" w:color="auto" w:fill="auto"/>
          </w:tcPr>
          <w:p w14:paraId="307A169D" w14:textId="21477AD8"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r w:rsidRPr="005A2200">
              <w:rPr>
                <w:rFonts w:asciiTheme="majorBidi" w:hAnsiTheme="majorBidi" w:cstheme="majorBidi"/>
                <w:b/>
                <w:sz w:val="22"/>
                <w:szCs w:val="22"/>
                <w:lang w:val="sr-Latn-ME"/>
              </w:rPr>
              <w:t>HIV</w:t>
            </w:r>
            <w:r w:rsidRPr="005A2200">
              <w:rPr>
                <w:rFonts w:asciiTheme="majorBidi" w:hAnsiTheme="majorBidi" w:cstheme="majorBidi"/>
                <w:b/>
                <w:sz w:val="22"/>
                <w:szCs w:val="22"/>
                <w:lang w:val="sr-Latn-ME"/>
              </w:rPr>
              <w:noBreakHyphen/>
              <w:t>1 RNK &lt; 40 kopija/m</w:t>
            </w:r>
            <w:r w:rsidR="00357A13" w:rsidRPr="005A2200">
              <w:rPr>
                <w:rFonts w:asciiTheme="majorBidi" w:hAnsiTheme="majorBidi" w:cstheme="majorBidi"/>
                <w:b/>
                <w:sz w:val="22"/>
                <w:szCs w:val="22"/>
                <w:lang w:val="sr-Latn-ME"/>
              </w:rPr>
              <w:t>l</w:t>
            </w:r>
            <w:r w:rsidRPr="005A2200">
              <w:rPr>
                <w:rFonts w:asciiTheme="majorBidi" w:hAnsiTheme="majorBidi" w:cstheme="majorBidi"/>
                <w:b/>
                <w:sz w:val="22"/>
                <w:szCs w:val="22"/>
                <w:vertAlign w:val="superscript"/>
                <w:lang w:val="sr-Latn-ME"/>
              </w:rPr>
              <w:t xml:space="preserve"> </w:t>
            </w:r>
          </w:p>
        </w:tc>
        <w:tc>
          <w:tcPr>
            <w:tcW w:w="0" w:type="auto"/>
            <w:shd w:val="clear" w:color="auto" w:fill="auto"/>
          </w:tcPr>
          <w:p w14:paraId="56C25E6C"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32 (80)</w:t>
            </w:r>
          </w:p>
        </w:tc>
        <w:tc>
          <w:tcPr>
            <w:tcW w:w="0" w:type="auto"/>
            <w:shd w:val="clear" w:color="auto" w:fill="auto"/>
          </w:tcPr>
          <w:p w14:paraId="79AD49D2"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32 (74)</w:t>
            </w:r>
          </w:p>
        </w:tc>
        <w:tc>
          <w:tcPr>
            <w:tcW w:w="0" w:type="auto"/>
            <w:shd w:val="clear" w:color="auto" w:fill="auto"/>
          </w:tcPr>
          <w:p w14:paraId="07F5EF69"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30 (71)</w:t>
            </w:r>
          </w:p>
        </w:tc>
        <w:tc>
          <w:tcPr>
            <w:tcW w:w="0" w:type="auto"/>
            <w:shd w:val="clear" w:color="auto" w:fill="auto"/>
          </w:tcPr>
          <w:p w14:paraId="00EE34D6"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33 (80)</w:t>
            </w:r>
          </w:p>
        </w:tc>
        <w:tc>
          <w:tcPr>
            <w:tcW w:w="0" w:type="auto"/>
            <w:shd w:val="clear" w:color="auto" w:fill="auto"/>
          </w:tcPr>
          <w:p w14:paraId="4D6DB73B"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27 (64)</w:t>
            </w:r>
          </w:p>
        </w:tc>
      </w:tr>
      <w:tr w:rsidR="00766713" w:rsidRPr="005A2200" w14:paraId="4E77EB28" w14:textId="77777777" w:rsidTr="005A2200">
        <w:tc>
          <w:tcPr>
            <w:tcW w:w="0" w:type="auto"/>
            <w:shd w:val="clear" w:color="auto" w:fill="auto"/>
          </w:tcPr>
          <w:p w14:paraId="7D1426DB"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r w:rsidRPr="005A2200">
              <w:rPr>
                <w:rFonts w:asciiTheme="majorBidi" w:hAnsiTheme="majorBidi" w:cstheme="majorBidi"/>
                <w:b/>
                <w:sz w:val="22"/>
                <w:szCs w:val="22"/>
                <w:lang w:val="sr-Latn-ME"/>
              </w:rPr>
              <w:t>Razlike između terapija</w:t>
            </w:r>
            <w:r w:rsidRPr="005A2200">
              <w:rPr>
                <w:rFonts w:asciiTheme="majorBidi" w:hAnsiTheme="majorBidi" w:cstheme="majorBidi"/>
                <w:b/>
                <w:sz w:val="22"/>
                <w:szCs w:val="22"/>
                <w:vertAlign w:val="superscript"/>
                <w:lang w:val="sr-Latn-ME"/>
              </w:rPr>
              <w:t xml:space="preserve"> †</w:t>
            </w:r>
            <w:r w:rsidRPr="005A2200">
              <w:rPr>
                <w:rFonts w:asciiTheme="majorBidi" w:hAnsiTheme="majorBidi" w:cstheme="majorBidi"/>
                <w:b/>
                <w:sz w:val="22"/>
                <w:szCs w:val="22"/>
                <w:lang w:val="sr-Latn-ME"/>
              </w:rPr>
              <w:t xml:space="preserve"> </w:t>
            </w:r>
          </w:p>
          <w:p w14:paraId="0923ABD4"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r w:rsidRPr="005A2200">
              <w:rPr>
                <w:rFonts w:asciiTheme="majorBidi" w:hAnsiTheme="majorBidi" w:cstheme="majorBidi"/>
                <w:b/>
                <w:sz w:val="22"/>
                <w:szCs w:val="22"/>
                <w:lang w:val="sr-Latn-ME"/>
              </w:rPr>
              <w:t>(95% CI)</w:t>
            </w:r>
            <w:r w:rsidRPr="005A2200">
              <w:rPr>
                <w:rFonts w:asciiTheme="majorBidi" w:hAnsiTheme="majorBidi" w:cstheme="majorBidi"/>
                <w:b/>
                <w:sz w:val="22"/>
                <w:szCs w:val="22"/>
                <w:vertAlign w:val="superscript"/>
                <w:lang w:val="sr-Latn-ME"/>
              </w:rPr>
              <w:t xml:space="preserve"> ††</w:t>
            </w:r>
          </w:p>
        </w:tc>
        <w:tc>
          <w:tcPr>
            <w:tcW w:w="0" w:type="auto"/>
            <w:shd w:val="clear" w:color="auto" w:fill="auto"/>
          </w:tcPr>
          <w:p w14:paraId="388398B1"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16 (</w:t>
            </w:r>
            <w:r w:rsidRPr="005A2200">
              <w:rPr>
                <w:rFonts w:asciiTheme="majorBidi" w:hAnsiTheme="majorBidi" w:cstheme="majorBidi"/>
                <w:sz w:val="22"/>
                <w:szCs w:val="22"/>
                <w:lang w:val="sr-Latn-ME"/>
              </w:rPr>
              <w:noBreakHyphen/>
              <w:t>4; 34)</w:t>
            </w:r>
          </w:p>
        </w:tc>
        <w:tc>
          <w:tcPr>
            <w:tcW w:w="0" w:type="auto"/>
            <w:shd w:val="clear" w:color="auto" w:fill="auto"/>
          </w:tcPr>
          <w:p w14:paraId="2B858C61"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10 (</w:t>
            </w:r>
            <w:r w:rsidRPr="005A2200">
              <w:rPr>
                <w:rFonts w:asciiTheme="majorBidi" w:hAnsiTheme="majorBidi" w:cstheme="majorBidi"/>
                <w:sz w:val="22"/>
                <w:szCs w:val="22"/>
                <w:lang w:val="sr-Latn-ME"/>
              </w:rPr>
              <w:noBreakHyphen/>
              <w:t>10; 29)</w:t>
            </w:r>
          </w:p>
        </w:tc>
        <w:tc>
          <w:tcPr>
            <w:tcW w:w="0" w:type="auto"/>
            <w:shd w:val="clear" w:color="auto" w:fill="auto"/>
          </w:tcPr>
          <w:p w14:paraId="3D67230E"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6,6 (</w:t>
            </w:r>
            <w:r w:rsidRPr="005A2200">
              <w:rPr>
                <w:rFonts w:asciiTheme="majorBidi" w:hAnsiTheme="majorBidi" w:cstheme="majorBidi"/>
                <w:sz w:val="22"/>
                <w:szCs w:val="22"/>
                <w:lang w:val="sr-Latn-ME"/>
              </w:rPr>
              <w:noBreakHyphen/>
              <w:t>13; 26)</w:t>
            </w:r>
          </w:p>
        </w:tc>
        <w:tc>
          <w:tcPr>
            <w:tcW w:w="0" w:type="auto"/>
            <w:shd w:val="clear" w:color="auto" w:fill="auto"/>
          </w:tcPr>
          <w:p w14:paraId="38B8A44E"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16 (</w:t>
            </w:r>
            <w:r w:rsidRPr="005A2200">
              <w:rPr>
                <w:rFonts w:asciiTheme="majorBidi" w:hAnsiTheme="majorBidi" w:cstheme="majorBidi"/>
                <w:sz w:val="22"/>
                <w:szCs w:val="22"/>
                <w:lang w:val="sr-Latn-ME"/>
              </w:rPr>
              <w:noBreakHyphen/>
              <w:t>3; 34)</w:t>
            </w:r>
          </w:p>
        </w:tc>
        <w:tc>
          <w:tcPr>
            <w:tcW w:w="0" w:type="auto"/>
            <w:shd w:val="clear" w:color="auto" w:fill="auto"/>
          </w:tcPr>
          <w:p w14:paraId="1E842479"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tc>
      </w:tr>
      <w:tr w:rsidR="00766713" w:rsidRPr="005A2200" w14:paraId="6444F1AC" w14:textId="77777777" w:rsidTr="005A2200">
        <w:tc>
          <w:tcPr>
            <w:tcW w:w="0" w:type="auto"/>
            <w:shd w:val="clear" w:color="auto" w:fill="auto"/>
          </w:tcPr>
          <w:p w14:paraId="69853605" w14:textId="66E2756F" w:rsidR="00766713" w:rsidRPr="005A2200" w:rsidRDefault="00766713" w:rsidP="005A2200">
            <w:pPr>
              <w:widowControl w:val="0"/>
              <w:tabs>
                <w:tab w:val="left" w:pos="284"/>
              </w:tabs>
              <w:autoSpaceDE w:val="0"/>
              <w:autoSpaceDN w:val="0"/>
              <w:adjustRightInd w:val="0"/>
              <w:jc w:val="both"/>
              <w:rPr>
                <w:rFonts w:asciiTheme="majorBidi" w:hAnsiTheme="majorBidi" w:cstheme="majorBidi"/>
                <w:b/>
                <w:sz w:val="22"/>
                <w:szCs w:val="22"/>
                <w:lang w:val="sr-Latn-ME"/>
              </w:rPr>
            </w:pPr>
            <w:r w:rsidRPr="005A2200">
              <w:rPr>
                <w:rFonts w:asciiTheme="majorBidi" w:hAnsiTheme="majorBidi" w:cstheme="majorBidi"/>
                <w:b/>
                <w:sz w:val="22"/>
                <w:szCs w:val="22"/>
                <w:lang w:val="sr-Latn-ME"/>
              </w:rPr>
              <w:t>Srednja vr</w:t>
            </w:r>
            <w:r w:rsidR="00683288" w:rsidRPr="005A2200">
              <w:rPr>
                <w:rFonts w:asciiTheme="majorBidi" w:hAnsiTheme="majorBidi" w:cstheme="majorBidi"/>
                <w:b/>
                <w:sz w:val="22"/>
                <w:szCs w:val="22"/>
                <w:lang w:val="sr-Latn-ME"/>
              </w:rPr>
              <w:t>ij</w:t>
            </w:r>
            <w:r w:rsidRPr="005A2200">
              <w:rPr>
                <w:rFonts w:asciiTheme="majorBidi" w:hAnsiTheme="majorBidi" w:cstheme="majorBidi"/>
                <w:b/>
                <w:sz w:val="22"/>
                <w:szCs w:val="22"/>
                <w:lang w:val="sr-Latn-ME"/>
              </w:rPr>
              <w:t>ednost prom</w:t>
            </w:r>
            <w:r w:rsidR="00683288" w:rsidRPr="005A2200">
              <w:rPr>
                <w:rFonts w:asciiTheme="majorBidi" w:hAnsiTheme="majorBidi" w:cstheme="majorBidi"/>
                <w:b/>
                <w:sz w:val="22"/>
                <w:szCs w:val="22"/>
                <w:lang w:val="sr-Latn-ME"/>
              </w:rPr>
              <w:t>j</w:t>
            </w:r>
            <w:r w:rsidRPr="005A2200">
              <w:rPr>
                <w:rFonts w:asciiTheme="majorBidi" w:hAnsiTheme="majorBidi" w:cstheme="majorBidi"/>
                <w:b/>
                <w:sz w:val="22"/>
                <w:szCs w:val="22"/>
                <w:lang w:val="sr-Latn-ME"/>
              </w:rPr>
              <w:t>ene broja CD4 ćelija od početka ispitivanja (ćelije/mm</w:t>
            </w:r>
            <w:r w:rsidRPr="005A2200">
              <w:rPr>
                <w:rFonts w:asciiTheme="majorBidi" w:hAnsiTheme="majorBidi" w:cstheme="majorBidi"/>
                <w:b/>
                <w:sz w:val="22"/>
                <w:szCs w:val="22"/>
                <w:vertAlign w:val="superscript"/>
                <w:lang w:val="sr-Latn-ME"/>
              </w:rPr>
              <w:t>3</w:t>
            </w:r>
            <w:r w:rsidRPr="005A2200">
              <w:rPr>
                <w:rFonts w:asciiTheme="majorBidi" w:hAnsiTheme="majorBidi" w:cstheme="majorBidi"/>
                <w:b/>
                <w:sz w:val="22"/>
                <w:szCs w:val="22"/>
                <w:lang w:val="sr-Latn-ME"/>
              </w:rPr>
              <w:t>)</w:t>
            </w:r>
            <w:r w:rsidRPr="005A2200">
              <w:rPr>
                <w:rFonts w:asciiTheme="majorBidi" w:hAnsiTheme="majorBidi" w:cstheme="majorBidi"/>
                <w:b/>
                <w:sz w:val="22"/>
                <w:szCs w:val="22"/>
                <w:vertAlign w:val="superscript"/>
                <w:lang w:val="sr-Latn-ME"/>
              </w:rPr>
              <w:t xml:space="preserve">**  </w:t>
            </w:r>
          </w:p>
        </w:tc>
        <w:tc>
          <w:tcPr>
            <w:tcW w:w="0" w:type="auto"/>
            <w:shd w:val="clear" w:color="auto" w:fill="auto"/>
          </w:tcPr>
          <w:p w14:paraId="36764B8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154</w:t>
            </w:r>
          </w:p>
        </w:tc>
        <w:tc>
          <w:tcPr>
            <w:tcW w:w="0" w:type="auto"/>
            <w:shd w:val="clear" w:color="auto" w:fill="auto"/>
          </w:tcPr>
          <w:p w14:paraId="733BB76E"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113 </w:t>
            </w:r>
          </w:p>
        </w:tc>
        <w:tc>
          <w:tcPr>
            <w:tcW w:w="0" w:type="auto"/>
            <w:shd w:val="clear" w:color="auto" w:fill="auto"/>
          </w:tcPr>
          <w:p w14:paraId="54F8E4CE"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134</w:t>
            </w:r>
          </w:p>
        </w:tc>
        <w:tc>
          <w:tcPr>
            <w:tcW w:w="0" w:type="auto"/>
            <w:shd w:val="clear" w:color="auto" w:fill="auto"/>
          </w:tcPr>
          <w:p w14:paraId="6B6E97C3"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141</w:t>
            </w:r>
          </w:p>
        </w:tc>
        <w:tc>
          <w:tcPr>
            <w:tcW w:w="0" w:type="auto"/>
            <w:shd w:val="clear" w:color="auto" w:fill="auto"/>
          </w:tcPr>
          <w:p w14:paraId="0CC10762"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121</w:t>
            </w:r>
          </w:p>
        </w:tc>
      </w:tr>
      <w:tr w:rsidR="00766713" w:rsidRPr="005A2200" w14:paraId="48C7991B" w14:textId="77777777" w:rsidTr="005A2200">
        <w:tc>
          <w:tcPr>
            <w:tcW w:w="0" w:type="auto"/>
            <w:gridSpan w:val="6"/>
            <w:shd w:val="clear" w:color="auto" w:fill="auto"/>
          </w:tcPr>
          <w:p w14:paraId="43F840BB" w14:textId="1A964C74" w:rsidR="00766713" w:rsidRPr="005A2200" w:rsidRDefault="00766713" w:rsidP="005A2200">
            <w:pPr>
              <w:widowControl w:val="0"/>
              <w:tabs>
                <w:tab w:val="left" w:pos="284"/>
              </w:tabs>
              <w:autoSpaceDE w:val="0"/>
              <w:autoSpaceDN w:val="0"/>
              <w:ind w:right="1"/>
              <w:jc w:val="both"/>
              <w:rPr>
                <w:rFonts w:asciiTheme="majorBidi" w:hAnsiTheme="majorBidi" w:cstheme="majorBidi"/>
                <w:sz w:val="20"/>
                <w:szCs w:val="22"/>
                <w:lang w:val="sr-Latn-ME"/>
              </w:rPr>
            </w:pPr>
            <w:r w:rsidRPr="005A2200">
              <w:rPr>
                <w:rFonts w:asciiTheme="majorBidi" w:hAnsiTheme="majorBidi" w:cstheme="majorBidi"/>
                <w:sz w:val="20"/>
                <w:szCs w:val="22"/>
                <w:vertAlign w:val="superscript"/>
                <w:lang w:val="sr-Latn-ME"/>
              </w:rPr>
              <w:t>†</w:t>
            </w:r>
            <w:r w:rsidRPr="005A2200">
              <w:rPr>
                <w:rFonts w:asciiTheme="majorBidi" w:hAnsiTheme="majorBidi" w:cstheme="majorBidi"/>
                <w:sz w:val="20"/>
                <w:szCs w:val="22"/>
                <w:lang w:val="sr-Latn-ME"/>
              </w:rPr>
              <w:t>Pozitivna vr</w:t>
            </w:r>
            <w:r w:rsidR="00683288" w:rsidRPr="005A2200">
              <w:rPr>
                <w:rFonts w:asciiTheme="majorBidi" w:hAnsiTheme="majorBidi" w:cstheme="majorBidi"/>
                <w:sz w:val="20"/>
                <w:szCs w:val="22"/>
                <w:lang w:val="sr-Latn-ME"/>
              </w:rPr>
              <w:t>ij</w:t>
            </w:r>
            <w:r w:rsidRPr="005A2200">
              <w:rPr>
                <w:rFonts w:asciiTheme="majorBidi" w:hAnsiTheme="majorBidi" w:cstheme="majorBidi"/>
                <w:sz w:val="20"/>
                <w:szCs w:val="22"/>
                <w:lang w:val="sr-Latn-ME"/>
              </w:rPr>
              <w:t>ednost u korist doravirina u odnosu na efavirenz.</w:t>
            </w:r>
          </w:p>
          <w:p w14:paraId="25D81955" w14:textId="1B1F1E5A" w:rsidR="00766713" w:rsidRPr="005A2200" w:rsidRDefault="00766713" w:rsidP="005A2200">
            <w:pPr>
              <w:widowControl w:val="0"/>
              <w:tabs>
                <w:tab w:val="left" w:pos="284"/>
              </w:tabs>
              <w:autoSpaceDE w:val="0"/>
              <w:autoSpaceDN w:val="0"/>
              <w:ind w:right="1"/>
              <w:jc w:val="both"/>
              <w:rPr>
                <w:rFonts w:asciiTheme="majorBidi" w:hAnsiTheme="majorBidi" w:cstheme="majorBidi"/>
                <w:sz w:val="20"/>
                <w:szCs w:val="22"/>
                <w:lang w:val="sr-Latn-ME"/>
              </w:rPr>
            </w:pPr>
            <w:r w:rsidRPr="005A2200">
              <w:rPr>
                <w:rFonts w:asciiTheme="majorBidi" w:hAnsiTheme="majorBidi" w:cstheme="majorBidi"/>
                <w:sz w:val="20"/>
                <w:szCs w:val="22"/>
                <w:vertAlign w:val="superscript"/>
                <w:lang w:val="sr-Latn-ME"/>
              </w:rPr>
              <w:t>††</w:t>
            </w:r>
            <w:r w:rsidRPr="005A2200">
              <w:rPr>
                <w:rFonts w:asciiTheme="majorBidi" w:hAnsiTheme="majorBidi" w:cstheme="majorBidi"/>
                <w:sz w:val="20"/>
                <w:szCs w:val="22"/>
                <w:lang w:val="sr-Latn-ME"/>
              </w:rPr>
              <w:t xml:space="preserve">Intervali pouzdanosti od 95% (95% CI) izračunati su Miettinenovom i Nurminenovom metodom, uz </w:t>
            </w:r>
            <w:r w:rsidR="0047142E" w:rsidRPr="005A2200">
              <w:rPr>
                <w:rFonts w:asciiTheme="majorBidi" w:hAnsiTheme="majorBidi" w:cstheme="majorBidi"/>
                <w:sz w:val="20"/>
                <w:szCs w:val="22"/>
                <w:lang w:val="sr-Latn-ME"/>
              </w:rPr>
              <w:t xml:space="preserve">pondere </w:t>
            </w:r>
            <w:r w:rsidRPr="005A2200">
              <w:rPr>
                <w:rFonts w:asciiTheme="majorBidi" w:hAnsiTheme="majorBidi" w:cstheme="majorBidi"/>
                <w:sz w:val="20"/>
                <w:szCs w:val="22"/>
                <w:lang w:val="sr-Latn-ME"/>
              </w:rPr>
              <w:t>proporcionalne veličini svakog stratuma (HBV</w:t>
            </w:r>
            <w:r w:rsidRPr="005A2200">
              <w:rPr>
                <w:rFonts w:asciiTheme="majorBidi" w:hAnsiTheme="majorBidi" w:cstheme="majorBidi"/>
                <w:sz w:val="20"/>
                <w:szCs w:val="22"/>
                <w:lang w:val="sr-Latn-ME"/>
              </w:rPr>
              <w:noBreakHyphen/>
              <w:t>1 RNK pri skriningu &gt; 100 000 kopija/m</w:t>
            </w:r>
            <w:r w:rsidR="00357A13" w:rsidRPr="005A2200">
              <w:rPr>
                <w:rFonts w:asciiTheme="majorBidi" w:hAnsiTheme="majorBidi" w:cstheme="majorBidi"/>
                <w:sz w:val="20"/>
                <w:szCs w:val="22"/>
                <w:lang w:val="sr-Latn-ME"/>
              </w:rPr>
              <w:t>l</w:t>
            </w:r>
            <w:r w:rsidRPr="005A2200">
              <w:rPr>
                <w:rFonts w:asciiTheme="majorBidi" w:hAnsiTheme="majorBidi" w:cstheme="majorBidi"/>
                <w:sz w:val="20"/>
                <w:szCs w:val="22"/>
                <w:lang w:val="sr-Latn-ME"/>
              </w:rPr>
              <w:t xml:space="preserve"> ili ≤ 100 000 kopija/m</w:t>
            </w:r>
            <w:r w:rsidR="00357A13" w:rsidRPr="005A2200">
              <w:rPr>
                <w:rFonts w:asciiTheme="majorBidi" w:hAnsiTheme="majorBidi" w:cstheme="majorBidi"/>
                <w:sz w:val="20"/>
                <w:szCs w:val="22"/>
                <w:lang w:val="sr-Latn-ME"/>
              </w:rPr>
              <w:t>l</w:t>
            </w:r>
            <w:r w:rsidRPr="005A2200">
              <w:rPr>
                <w:rFonts w:asciiTheme="majorBidi" w:hAnsiTheme="majorBidi" w:cstheme="majorBidi"/>
                <w:sz w:val="20"/>
                <w:szCs w:val="22"/>
                <w:lang w:val="sr-Latn-ME"/>
              </w:rPr>
              <w:t>)</w:t>
            </w:r>
          </w:p>
          <w:p w14:paraId="6E508BB9" w14:textId="4A0EBFC6" w:rsidR="00766713" w:rsidRPr="005A2200" w:rsidRDefault="00766713" w:rsidP="005A2200">
            <w:pPr>
              <w:widowControl w:val="0"/>
              <w:tabs>
                <w:tab w:val="left" w:pos="284"/>
              </w:tabs>
              <w:autoSpaceDE w:val="0"/>
              <w:autoSpaceDN w:val="0"/>
              <w:ind w:right="1"/>
              <w:jc w:val="both"/>
              <w:rPr>
                <w:rFonts w:asciiTheme="majorBidi" w:hAnsiTheme="majorBidi" w:cstheme="majorBidi"/>
                <w:sz w:val="20"/>
                <w:szCs w:val="22"/>
                <w:lang w:val="sr-Latn-ME"/>
              </w:rPr>
            </w:pPr>
            <w:r w:rsidRPr="005A2200">
              <w:rPr>
                <w:rFonts w:asciiTheme="majorBidi" w:hAnsiTheme="majorBidi" w:cstheme="majorBidi"/>
                <w:sz w:val="20"/>
                <w:szCs w:val="22"/>
                <w:vertAlign w:val="superscript"/>
                <w:lang w:val="sr-Latn-ME"/>
              </w:rPr>
              <w:t>**</w:t>
            </w:r>
            <w:r w:rsidRPr="005A2200">
              <w:rPr>
                <w:rFonts w:asciiTheme="majorBidi" w:hAnsiTheme="majorBidi" w:cstheme="majorBidi"/>
                <w:sz w:val="20"/>
                <w:szCs w:val="22"/>
                <w:lang w:val="sr-Latn-ME"/>
              </w:rPr>
              <w:t>Pristup za postupanje sa podacima koji nedostaju: Pristup utemeljen na opaženom neusp</w:t>
            </w:r>
            <w:r w:rsidR="00683288" w:rsidRPr="005A2200">
              <w:rPr>
                <w:rFonts w:asciiTheme="majorBidi" w:hAnsiTheme="majorBidi" w:cstheme="majorBidi"/>
                <w:sz w:val="20"/>
                <w:szCs w:val="22"/>
                <w:lang w:val="sr-Latn-ME"/>
              </w:rPr>
              <w:t>j</w:t>
            </w:r>
            <w:r w:rsidRPr="005A2200">
              <w:rPr>
                <w:rFonts w:asciiTheme="majorBidi" w:hAnsiTheme="majorBidi" w:cstheme="majorBidi"/>
                <w:sz w:val="20"/>
                <w:szCs w:val="22"/>
                <w:lang w:val="sr-Latn-ME"/>
              </w:rPr>
              <w:t>ehu l</w:t>
            </w:r>
            <w:r w:rsidR="00683288" w:rsidRPr="005A2200">
              <w:rPr>
                <w:rFonts w:asciiTheme="majorBidi" w:hAnsiTheme="majorBidi" w:cstheme="majorBidi"/>
                <w:sz w:val="20"/>
                <w:szCs w:val="22"/>
                <w:lang w:val="sr-Latn-ME"/>
              </w:rPr>
              <w:t>ij</w:t>
            </w:r>
            <w:r w:rsidRPr="005A2200">
              <w:rPr>
                <w:rFonts w:asciiTheme="majorBidi" w:hAnsiTheme="majorBidi" w:cstheme="majorBidi"/>
                <w:sz w:val="20"/>
                <w:szCs w:val="22"/>
                <w:lang w:val="sr-Latn-ME"/>
              </w:rPr>
              <w:t>ečenja (OF). Kod ispitanika koji su prekinuli dod</w:t>
            </w:r>
            <w:r w:rsidR="00683288" w:rsidRPr="005A2200">
              <w:rPr>
                <w:rFonts w:asciiTheme="majorBidi" w:hAnsiTheme="majorBidi" w:cstheme="majorBidi"/>
                <w:sz w:val="20"/>
                <w:szCs w:val="22"/>
                <w:lang w:val="sr-Latn-ME"/>
              </w:rPr>
              <w:t>ij</w:t>
            </w:r>
            <w:r w:rsidRPr="005A2200">
              <w:rPr>
                <w:rFonts w:asciiTheme="majorBidi" w:hAnsiTheme="majorBidi" w:cstheme="majorBidi"/>
                <w:sz w:val="20"/>
                <w:szCs w:val="22"/>
                <w:lang w:val="sr-Latn-ME"/>
              </w:rPr>
              <w:t xml:space="preserve">eljenu terapiju zbog nedostatka efikasnosti prenosio se početni broj CD4 ćelija. </w:t>
            </w:r>
          </w:p>
          <w:p w14:paraId="230D1ABD" w14:textId="32DFF9B4"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0"/>
                <w:szCs w:val="22"/>
                <w:lang w:val="sr-Latn-ME"/>
              </w:rPr>
            </w:pPr>
            <w:r w:rsidRPr="005A2200">
              <w:rPr>
                <w:rFonts w:asciiTheme="majorBidi" w:hAnsiTheme="majorBidi" w:cstheme="majorBidi"/>
                <w:sz w:val="20"/>
                <w:szCs w:val="22"/>
                <w:lang w:val="sr-Latn-ME"/>
              </w:rPr>
              <w:t>Napomena: I doravirin i efavirenz prim</w:t>
            </w:r>
            <w:r w:rsidR="00683288" w:rsidRPr="005A2200">
              <w:rPr>
                <w:rFonts w:asciiTheme="majorBidi" w:hAnsiTheme="majorBidi" w:cstheme="majorBidi"/>
                <w:sz w:val="20"/>
                <w:szCs w:val="22"/>
                <w:lang w:val="sr-Latn-ME"/>
              </w:rPr>
              <w:t>j</w:t>
            </w:r>
            <w:r w:rsidRPr="005A2200">
              <w:rPr>
                <w:rFonts w:asciiTheme="majorBidi" w:hAnsiTheme="majorBidi" w:cstheme="majorBidi"/>
                <w:sz w:val="20"/>
                <w:szCs w:val="22"/>
                <w:lang w:val="sr-Latn-ME"/>
              </w:rPr>
              <w:t>enjivali su se sa emtricitabinom/tenofovirdizoproksilom (FTC/TDF).</w:t>
            </w:r>
          </w:p>
        </w:tc>
      </w:tr>
    </w:tbl>
    <w:p w14:paraId="2C496F7C"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1846B740"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i/>
          <w:sz w:val="22"/>
          <w:szCs w:val="22"/>
          <w:lang w:val="sr-Latn-ME"/>
        </w:rPr>
      </w:pPr>
      <w:r w:rsidRPr="005A2200">
        <w:rPr>
          <w:rFonts w:asciiTheme="majorBidi" w:hAnsiTheme="majorBidi" w:cstheme="majorBidi"/>
          <w:i/>
          <w:sz w:val="22"/>
          <w:szCs w:val="22"/>
          <w:lang w:val="sr-Latn-ME"/>
        </w:rPr>
        <w:t>Odrasli ispitanici kod kojih je postignuta virološka supresija</w:t>
      </w:r>
    </w:p>
    <w:p w14:paraId="6BF0C580" w14:textId="6235F5CE"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Efikasnost prelaska na DOR/3TC/TDF sa početnog režima koji se sastojao od dva nukleozidna inhibitora reverzne transkriptaze u kombinaciji sa inhibitorom proteaze pojačanim ritonavirom ili kobicistatom ili elvitegravirom pojačanim kobicistatom, ili od NNRTI, proc</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enjena je u randomizovanom ispitivanju otvorenog tipa (DRIVE-SHIFT) kod odraslih ispitanika zaraženih HIV-om kod kojih je postignuta virološka supresija. Virološka supresija (HIV-1 RNK &lt; 40 kopija/m</w:t>
      </w:r>
      <w:r w:rsidR="00357A13"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je morala biti postignuta početnim režimom kod ispitanika tokom najmanje 6 m</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eseci pr</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 xml:space="preserve">e ulaska u ispitivanje, pri čemu u anamnezi nije </w:t>
      </w:r>
      <w:r w:rsidR="00DF3DD9" w:rsidRPr="005A2200">
        <w:rPr>
          <w:rFonts w:asciiTheme="majorBidi" w:hAnsiTheme="majorBidi" w:cstheme="majorBidi"/>
          <w:sz w:val="22"/>
          <w:szCs w:val="22"/>
          <w:lang w:val="sr-Latn-ME"/>
        </w:rPr>
        <w:t xml:space="preserve">zabilježen </w:t>
      </w:r>
      <w:r w:rsidRPr="005A2200">
        <w:rPr>
          <w:rFonts w:asciiTheme="majorBidi" w:hAnsiTheme="majorBidi" w:cstheme="majorBidi"/>
          <w:sz w:val="22"/>
          <w:szCs w:val="22"/>
          <w:lang w:val="sr-Latn-ME"/>
        </w:rPr>
        <w:t>izostanak virološkog odgovora, uz dokumentovan</w:t>
      </w:r>
      <w:r w:rsidR="00357A13" w:rsidRPr="005A2200">
        <w:rPr>
          <w:rFonts w:asciiTheme="majorBidi" w:hAnsiTheme="majorBidi" w:cstheme="majorBidi"/>
          <w:sz w:val="22"/>
          <w:szCs w:val="22"/>
          <w:lang w:val="sr-Latn-ME"/>
        </w:rPr>
        <w:t>o</w:t>
      </w:r>
      <w:r w:rsidRPr="005A2200">
        <w:rPr>
          <w:rFonts w:asciiTheme="majorBidi" w:hAnsiTheme="majorBidi" w:cstheme="majorBidi"/>
          <w:sz w:val="22"/>
          <w:szCs w:val="22"/>
          <w:lang w:val="sr-Latn-ME"/>
        </w:rPr>
        <w:t xml:space="preserve"> odsut</w:t>
      </w:r>
      <w:r w:rsidR="00357A13" w:rsidRPr="005A2200">
        <w:rPr>
          <w:rFonts w:asciiTheme="majorBidi" w:hAnsiTheme="majorBidi" w:cstheme="majorBidi"/>
          <w:sz w:val="22"/>
          <w:szCs w:val="22"/>
          <w:lang w:val="sr-Latn-ME"/>
        </w:rPr>
        <w:t>stvo</w:t>
      </w:r>
      <w:r w:rsidRPr="005A2200">
        <w:rPr>
          <w:rFonts w:asciiTheme="majorBidi" w:hAnsiTheme="majorBidi" w:cstheme="majorBidi"/>
          <w:sz w:val="22"/>
          <w:szCs w:val="22"/>
          <w:lang w:val="sr-Latn-ME"/>
        </w:rPr>
        <w:t xml:space="preserve"> supstitucija u reverznoj transkriptazi koje </w:t>
      </w:r>
      <w:r w:rsidR="00B05575" w:rsidRPr="005A2200">
        <w:rPr>
          <w:rFonts w:asciiTheme="majorBidi" w:hAnsiTheme="majorBidi" w:cstheme="majorBidi"/>
          <w:sz w:val="22"/>
          <w:szCs w:val="22"/>
          <w:lang w:val="sr-Latn-ME"/>
        </w:rPr>
        <w:t>uzrokuju</w:t>
      </w:r>
      <w:r w:rsidRPr="005A2200">
        <w:rPr>
          <w:rFonts w:asciiTheme="majorBidi" w:hAnsiTheme="majorBidi" w:cstheme="majorBidi"/>
          <w:sz w:val="22"/>
          <w:szCs w:val="22"/>
          <w:lang w:val="sr-Latn-ME"/>
        </w:rPr>
        <w:t xml:space="preserve"> rezistenciju na doravirin, lamivudin ili tenofovir (vid</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eti od</w:t>
      </w:r>
      <w:r w:rsidR="00DF3DD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eljak Rezistencija). Ispitanici su bili randomizovani ili na prelazak na DOR/3TC/TDF na početku [N=447, grupa sa prelaskom bez odlaganja, engl. </w:t>
      </w:r>
      <w:r w:rsidRPr="005A2200">
        <w:rPr>
          <w:rFonts w:asciiTheme="majorBidi" w:hAnsiTheme="majorBidi" w:cstheme="majorBidi"/>
          <w:i/>
          <w:sz w:val="22"/>
          <w:szCs w:val="22"/>
          <w:lang w:val="sr-Latn-ME"/>
        </w:rPr>
        <w:t>Immediate Switch Group</w:t>
      </w:r>
      <w:r w:rsidRPr="005A2200">
        <w:rPr>
          <w:rFonts w:asciiTheme="majorBidi" w:hAnsiTheme="majorBidi" w:cstheme="majorBidi"/>
          <w:sz w:val="22"/>
          <w:szCs w:val="22"/>
          <w:lang w:val="sr-Latn-ME"/>
        </w:rPr>
        <w:t xml:space="preserve"> (ISG)] ili su ostali pri svom početnom režimu do 24. ned</w:t>
      </w:r>
      <w:r w:rsidR="00DF3DD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elje, nakon čega su prešli na DOR/3TC/TDF [N=223, grupa sa odloženim prelaskom, engl. </w:t>
      </w:r>
      <w:r w:rsidRPr="005A2200">
        <w:rPr>
          <w:rFonts w:asciiTheme="majorBidi" w:hAnsiTheme="majorBidi" w:cstheme="majorBidi"/>
          <w:i/>
          <w:sz w:val="22"/>
          <w:szCs w:val="22"/>
          <w:lang w:val="sr-Latn-ME"/>
        </w:rPr>
        <w:t>Delayed Switch Group</w:t>
      </w:r>
      <w:r w:rsidRPr="005A2200">
        <w:rPr>
          <w:rFonts w:asciiTheme="majorBidi" w:hAnsiTheme="majorBidi" w:cstheme="majorBidi"/>
          <w:sz w:val="22"/>
          <w:szCs w:val="22"/>
          <w:lang w:val="sr-Latn-ME"/>
        </w:rPr>
        <w:t xml:space="preserve"> (DSG)]. Na početku ispitivanja medijana uzrasta ispitanika bila je 43 godine, 16% bile su žene, a 24% ispitanika ni</w:t>
      </w:r>
      <w:r w:rsidR="00DF3DD9" w:rsidRPr="005A2200">
        <w:rPr>
          <w:rFonts w:asciiTheme="majorBidi" w:hAnsiTheme="majorBidi" w:cstheme="majorBidi"/>
          <w:sz w:val="22"/>
          <w:szCs w:val="22"/>
          <w:lang w:val="sr-Latn-ME"/>
        </w:rPr>
        <w:t>je</w:t>
      </w:r>
      <w:r w:rsidRPr="005A2200">
        <w:rPr>
          <w:rFonts w:asciiTheme="majorBidi" w:hAnsiTheme="majorBidi" w:cstheme="majorBidi"/>
          <w:sz w:val="22"/>
          <w:szCs w:val="22"/>
          <w:lang w:val="sr-Latn-ME"/>
        </w:rPr>
        <w:t>su bili b</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 xml:space="preserve">elci. </w:t>
      </w:r>
    </w:p>
    <w:p w14:paraId="0ED5A2A2"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34CCE051" w14:textId="4B23B88D"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U ispitivanju DRIVE-SHIFT, prelazak na DOR/3TC/TDF bez odlaganja pokazao se neinferiornim u 48. ned</w:t>
      </w:r>
      <w:r w:rsidR="007609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elji u poređenju sa nastavkom početnog režima u 24. ned</w:t>
      </w:r>
      <w:r w:rsidR="007609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elji, što je proc</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enjeno prema odnosu ispitanika sa HIV-1 RNK &lt; 40 kopija/m</w:t>
      </w:r>
      <w:r w:rsidR="00357A13"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Rezultati l</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ečenja prikazani su u Tabeli 6. Prilikom upoređivanja u 24. ned</w:t>
      </w:r>
      <w:r w:rsidR="007609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elji ispitivanja, prim</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ećeni su dosl</w:t>
      </w:r>
      <w:r w:rsidR="007609C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edni rezultati u ob</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 terapijske grupe.</w:t>
      </w:r>
    </w:p>
    <w:p w14:paraId="32C6577F"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7E177554" w14:textId="77777777" w:rsidR="00766713" w:rsidRPr="005A2200" w:rsidRDefault="00766713" w:rsidP="005A2200">
      <w:pPr>
        <w:widowControl w:val="0"/>
        <w:tabs>
          <w:tab w:val="left" w:pos="284"/>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Tabela 6: Odgovor s obzirom na efikasnost (pristup zasnovan na algoritmu za globalni snimak distribuiranog sistema, engl. </w:t>
      </w:r>
      <w:r w:rsidRPr="005A2200">
        <w:rPr>
          <w:rFonts w:asciiTheme="majorBidi" w:hAnsiTheme="majorBidi" w:cstheme="majorBidi"/>
          <w:b/>
          <w:bCs/>
          <w:i/>
          <w:sz w:val="22"/>
          <w:szCs w:val="22"/>
          <w:lang w:val="sr-Latn-ME"/>
        </w:rPr>
        <w:t>Snapshot approach</w:t>
      </w:r>
      <w:r w:rsidRPr="005A2200">
        <w:rPr>
          <w:rFonts w:asciiTheme="majorBidi" w:hAnsiTheme="majorBidi" w:cstheme="majorBidi"/>
          <w:b/>
          <w:bCs/>
          <w:sz w:val="22"/>
          <w:szCs w:val="22"/>
          <w:lang w:val="sr-Latn-ME"/>
        </w:rPr>
        <w:t xml:space="preserve">) u ispitivanju DRIVE-SHIFT. </w:t>
      </w:r>
    </w:p>
    <w:p w14:paraId="64FD21AE"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2015"/>
        <w:gridCol w:w="1980"/>
      </w:tblGrid>
      <w:tr w:rsidR="00766713" w:rsidRPr="005A2200" w14:paraId="64C92B0C" w14:textId="77777777" w:rsidTr="005A2200">
        <w:trPr>
          <w:jc w:val="center"/>
        </w:trPr>
        <w:tc>
          <w:tcPr>
            <w:tcW w:w="4825" w:type="dxa"/>
            <w:vMerge w:val="restart"/>
            <w:tcBorders>
              <w:right w:val="single" w:sz="8" w:space="0" w:color="auto"/>
            </w:tcBorders>
            <w:shd w:val="clear" w:color="auto" w:fill="auto"/>
          </w:tcPr>
          <w:p w14:paraId="5E020E50"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p>
          <w:p w14:paraId="0FEC07CE"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p>
          <w:p w14:paraId="6CF41D29"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p>
          <w:p w14:paraId="6C0F97FE"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p>
          <w:p w14:paraId="2D46CCE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b/>
                <w:sz w:val="22"/>
                <w:szCs w:val="22"/>
                <w:lang w:val="sr-Latn-ME"/>
              </w:rPr>
              <w:t>Ishod</w:t>
            </w:r>
          </w:p>
        </w:tc>
        <w:tc>
          <w:tcPr>
            <w:tcW w:w="2015" w:type="dxa"/>
            <w:tcBorders>
              <w:left w:val="single" w:sz="8" w:space="0" w:color="auto"/>
              <w:bottom w:val="nil"/>
            </w:tcBorders>
            <w:shd w:val="clear" w:color="auto" w:fill="auto"/>
          </w:tcPr>
          <w:p w14:paraId="102FADD6"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b/>
                <w:sz w:val="22"/>
                <w:szCs w:val="22"/>
                <w:lang w:val="sr-Latn-ME"/>
              </w:rPr>
            </w:pPr>
          </w:p>
          <w:p w14:paraId="102C9E25"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DOR/3TC/TDF</w:t>
            </w:r>
          </w:p>
          <w:p w14:paraId="1ABBBC26"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b/>
                <w:sz w:val="22"/>
                <w:szCs w:val="22"/>
                <w:lang w:val="sr-Latn-ME"/>
              </w:rPr>
            </w:pPr>
            <w:r w:rsidRPr="005A2200">
              <w:rPr>
                <w:rFonts w:asciiTheme="majorBidi" w:eastAsia="Calibri" w:hAnsiTheme="majorBidi" w:cstheme="majorBidi"/>
                <w:b/>
                <w:bCs/>
                <w:sz w:val="22"/>
                <w:szCs w:val="22"/>
                <w:lang w:val="sr-Latn-ME"/>
              </w:rPr>
              <w:t>doziranje jednom dnevno</w:t>
            </w:r>
            <w:r w:rsidRPr="005A2200">
              <w:rPr>
                <w:rFonts w:asciiTheme="majorBidi" w:eastAsia="Calibri" w:hAnsiTheme="majorBidi" w:cstheme="majorBidi"/>
                <w:b/>
                <w:sz w:val="22"/>
                <w:szCs w:val="22"/>
                <w:lang w:val="sr-Latn-ME"/>
              </w:rPr>
              <w:t xml:space="preserve"> ISG </w:t>
            </w:r>
          </w:p>
        </w:tc>
        <w:tc>
          <w:tcPr>
            <w:tcW w:w="1980" w:type="dxa"/>
            <w:tcBorders>
              <w:bottom w:val="nil"/>
            </w:tcBorders>
            <w:shd w:val="clear" w:color="auto" w:fill="auto"/>
          </w:tcPr>
          <w:p w14:paraId="2F2DB4F4"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b/>
                <w:sz w:val="22"/>
                <w:szCs w:val="22"/>
                <w:lang w:val="sr-Latn-ME"/>
              </w:rPr>
            </w:pPr>
          </w:p>
          <w:p w14:paraId="0783C27F"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Početni režim</w:t>
            </w:r>
            <w:r w:rsidRPr="005A2200">
              <w:rPr>
                <w:rFonts w:asciiTheme="majorBidi" w:eastAsia="Calibri" w:hAnsiTheme="majorBidi" w:cstheme="majorBidi"/>
                <w:b/>
                <w:sz w:val="22"/>
                <w:szCs w:val="22"/>
                <w:lang w:val="sr-Latn-ME"/>
              </w:rPr>
              <w:br/>
              <w:t xml:space="preserve"> DSG</w:t>
            </w:r>
          </w:p>
        </w:tc>
      </w:tr>
      <w:tr w:rsidR="00766713" w:rsidRPr="005A2200" w14:paraId="2B2BFEE0" w14:textId="77777777" w:rsidTr="005A2200">
        <w:trPr>
          <w:jc w:val="center"/>
        </w:trPr>
        <w:tc>
          <w:tcPr>
            <w:tcW w:w="4825" w:type="dxa"/>
            <w:vMerge/>
            <w:tcBorders>
              <w:right w:val="single" w:sz="8" w:space="0" w:color="auto"/>
            </w:tcBorders>
            <w:shd w:val="clear" w:color="auto" w:fill="auto"/>
          </w:tcPr>
          <w:p w14:paraId="14854BF2"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p>
        </w:tc>
        <w:tc>
          <w:tcPr>
            <w:tcW w:w="2015" w:type="dxa"/>
            <w:tcBorders>
              <w:top w:val="nil"/>
              <w:left w:val="single" w:sz="8" w:space="0" w:color="auto"/>
            </w:tcBorders>
            <w:shd w:val="clear" w:color="auto" w:fill="auto"/>
          </w:tcPr>
          <w:p w14:paraId="58BF3B8F" w14:textId="1B886703"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48. ned</w:t>
            </w:r>
            <w:r w:rsidR="007609C8" w:rsidRPr="005A2200">
              <w:rPr>
                <w:rFonts w:asciiTheme="majorBidi" w:eastAsia="Calibri" w:hAnsiTheme="majorBidi" w:cstheme="majorBidi"/>
                <w:b/>
                <w:sz w:val="22"/>
                <w:szCs w:val="22"/>
                <w:lang w:val="sr-Latn-ME"/>
              </w:rPr>
              <w:t>j</w:t>
            </w:r>
            <w:r w:rsidRPr="005A2200">
              <w:rPr>
                <w:rFonts w:asciiTheme="majorBidi" w:eastAsia="Calibri" w:hAnsiTheme="majorBidi" w:cstheme="majorBidi"/>
                <w:b/>
                <w:sz w:val="22"/>
                <w:szCs w:val="22"/>
                <w:lang w:val="sr-Latn-ME"/>
              </w:rPr>
              <w:t xml:space="preserve">elja </w:t>
            </w:r>
          </w:p>
          <w:p w14:paraId="3B5CC314"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N=447</w:t>
            </w:r>
          </w:p>
        </w:tc>
        <w:tc>
          <w:tcPr>
            <w:tcW w:w="1980" w:type="dxa"/>
            <w:tcBorders>
              <w:top w:val="nil"/>
            </w:tcBorders>
            <w:shd w:val="clear" w:color="auto" w:fill="auto"/>
          </w:tcPr>
          <w:p w14:paraId="70B49FD8" w14:textId="509F6D54"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24. ned</w:t>
            </w:r>
            <w:r w:rsidR="007609C8" w:rsidRPr="005A2200">
              <w:rPr>
                <w:rFonts w:asciiTheme="majorBidi" w:eastAsia="Calibri" w:hAnsiTheme="majorBidi" w:cstheme="majorBidi"/>
                <w:b/>
                <w:sz w:val="22"/>
                <w:szCs w:val="22"/>
                <w:lang w:val="sr-Latn-ME"/>
              </w:rPr>
              <w:t>j</w:t>
            </w:r>
            <w:r w:rsidRPr="005A2200">
              <w:rPr>
                <w:rFonts w:asciiTheme="majorBidi" w:eastAsia="Calibri" w:hAnsiTheme="majorBidi" w:cstheme="majorBidi"/>
                <w:b/>
                <w:sz w:val="22"/>
                <w:szCs w:val="22"/>
                <w:lang w:val="sr-Latn-ME"/>
              </w:rPr>
              <w:t xml:space="preserve">elja </w:t>
            </w:r>
          </w:p>
          <w:p w14:paraId="5C65098B"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N=223</w:t>
            </w:r>
          </w:p>
        </w:tc>
      </w:tr>
      <w:tr w:rsidR="00766713" w:rsidRPr="005A2200" w14:paraId="309F20BC" w14:textId="77777777" w:rsidTr="005A2200">
        <w:trPr>
          <w:jc w:val="center"/>
        </w:trPr>
        <w:tc>
          <w:tcPr>
            <w:tcW w:w="4825" w:type="dxa"/>
            <w:tcBorders>
              <w:right w:val="single" w:sz="8" w:space="0" w:color="auto"/>
            </w:tcBorders>
            <w:shd w:val="clear" w:color="auto" w:fill="auto"/>
          </w:tcPr>
          <w:p w14:paraId="51DDA7FF" w14:textId="346BD576"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HIV-1 RNK &lt; 40 kopija/m</w:t>
            </w:r>
            <w:r w:rsidR="00357A13" w:rsidRPr="005A2200">
              <w:rPr>
                <w:rFonts w:asciiTheme="majorBidi" w:eastAsia="Calibri" w:hAnsiTheme="majorBidi" w:cstheme="majorBidi"/>
                <w:b/>
                <w:sz w:val="22"/>
                <w:szCs w:val="22"/>
                <w:lang w:val="sr-Latn-ME"/>
              </w:rPr>
              <w:t>l</w:t>
            </w:r>
          </w:p>
        </w:tc>
        <w:tc>
          <w:tcPr>
            <w:tcW w:w="2015" w:type="dxa"/>
            <w:tcBorders>
              <w:left w:val="single" w:sz="8" w:space="0" w:color="auto"/>
            </w:tcBorders>
            <w:shd w:val="clear" w:color="auto" w:fill="auto"/>
          </w:tcPr>
          <w:p w14:paraId="3F82CC8F"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90%</w:t>
            </w:r>
          </w:p>
        </w:tc>
        <w:tc>
          <w:tcPr>
            <w:tcW w:w="1980" w:type="dxa"/>
            <w:shd w:val="clear" w:color="auto" w:fill="auto"/>
          </w:tcPr>
          <w:p w14:paraId="17EE6B82" w14:textId="77777777"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93%</w:t>
            </w:r>
          </w:p>
        </w:tc>
      </w:tr>
      <w:tr w:rsidR="00766713" w:rsidRPr="005A2200" w14:paraId="0D10B39F" w14:textId="77777777" w:rsidTr="005A2200">
        <w:trPr>
          <w:jc w:val="center"/>
        </w:trPr>
        <w:tc>
          <w:tcPr>
            <w:tcW w:w="4825" w:type="dxa"/>
            <w:tcBorders>
              <w:right w:val="single" w:sz="8" w:space="0" w:color="auto"/>
            </w:tcBorders>
            <w:shd w:val="clear" w:color="auto" w:fill="auto"/>
          </w:tcPr>
          <w:p w14:paraId="63B7A336"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xml:space="preserve">   ISG-DSG, razlika (95 % CI)*</w:t>
            </w:r>
          </w:p>
        </w:tc>
        <w:tc>
          <w:tcPr>
            <w:tcW w:w="3995" w:type="dxa"/>
            <w:gridSpan w:val="2"/>
            <w:tcBorders>
              <w:left w:val="single" w:sz="8" w:space="0" w:color="auto"/>
            </w:tcBorders>
            <w:shd w:val="clear" w:color="auto" w:fill="auto"/>
          </w:tcPr>
          <w:p w14:paraId="16FD436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-3,6% (-8,0%; 0,9%)</w:t>
            </w:r>
          </w:p>
        </w:tc>
      </w:tr>
      <w:tr w:rsidR="00766713" w:rsidRPr="005A2200" w14:paraId="087A36E3" w14:textId="77777777" w:rsidTr="005A2200">
        <w:trPr>
          <w:jc w:val="center"/>
        </w:trPr>
        <w:tc>
          <w:tcPr>
            <w:tcW w:w="8820" w:type="dxa"/>
            <w:gridSpan w:val="3"/>
            <w:tcBorders>
              <w:bottom w:val="nil"/>
            </w:tcBorders>
            <w:shd w:val="clear" w:color="auto" w:fill="auto"/>
          </w:tcPr>
          <w:p w14:paraId="54C79A60" w14:textId="27E8DA59"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b/>
                <w:sz w:val="22"/>
                <w:szCs w:val="22"/>
                <w:lang w:val="sr-Latn-ME"/>
              </w:rPr>
              <w:t>Odnos (%) ispitanika sa HIV-1 RNK &lt; 40 kopija/m</w:t>
            </w:r>
            <w:r w:rsidR="00357A13" w:rsidRPr="005A2200">
              <w:rPr>
                <w:rFonts w:asciiTheme="majorBidi" w:hAnsiTheme="majorBidi" w:cstheme="majorBidi"/>
                <w:b/>
                <w:sz w:val="22"/>
                <w:szCs w:val="22"/>
                <w:lang w:val="sr-Latn-ME"/>
              </w:rPr>
              <w:t>l</w:t>
            </w:r>
            <w:r w:rsidRPr="005A2200">
              <w:rPr>
                <w:rFonts w:asciiTheme="majorBidi" w:hAnsiTheme="majorBidi" w:cstheme="majorBidi"/>
                <w:b/>
                <w:sz w:val="22"/>
                <w:szCs w:val="22"/>
                <w:lang w:val="sr-Latn-ME"/>
              </w:rPr>
              <w:t xml:space="preserve"> prema primljenom početnom režimu</w:t>
            </w:r>
          </w:p>
        </w:tc>
      </w:tr>
      <w:tr w:rsidR="00766713" w:rsidRPr="005A2200" w14:paraId="61BBC652" w14:textId="77777777" w:rsidTr="005A2200">
        <w:trPr>
          <w:jc w:val="center"/>
        </w:trPr>
        <w:tc>
          <w:tcPr>
            <w:tcW w:w="4825" w:type="dxa"/>
            <w:tcBorders>
              <w:top w:val="single" w:sz="4" w:space="0" w:color="auto"/>
              <w:left w:val="single" w:sz="4" w:space="0" w:color="auto"/>
              <w:bottom w:val="nil"/>
              <w:right w:val="single" w:sz="8" w:space="0" w:color="auto"/>
            </w:tcBorders>
            <w:shd w:val="clear" w:color="auto" w:fill="auto"/>
          </w:tcPr>
          <w:p w14:paraId="5398460E"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sz w:val="22"/>
                <w:szCs w:val="22"/>
                <w:lang w:val="sr-Latn-ME"/>
              </w:rPr>
              <w:t>Inhibitor proteaze pojačan ritonavirom ili kobicistatom</w:t>
            </w:r>
          </w:p>
        </w:tc>
        <w:tc>
          <w:tcPr>
            <w:tcW w:w="2015" w:type="dxa"/>
            <w:tcBorders>
              <w:top w:val="single" w:sz="4" w:space="0" w:color="auto"/>
              <w:left w:val="single" w:sz="8" w:space="0" w:color="auto"/>
              <w:bottom w:val="nil"/>
              <w:right w:val="single" w:sz="4" w:space="0" w:color="auto"/>
            </w:tcBorders>
            <w:shd w:val="clear" w:color="auto" w:fill="auto"/>
          </w:tcPr>
          <w:p w14:paraId="13C46BA5"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280/316 (89%)</w:t>
            </w:r>
          </w:p>
        </w:tc>
        <w:tc>
          <w:tcPr>
            <w:tcW w:w="1980" w:type="dxa"/>
            <w:tcBorders>
              <w:top w:val="single" w:sz="4" w:space="0" w:color="auto"/>
              <w:left w:val="single" w:sz="4" w:space="0" w:color="auto"/>
              <w:bottom w:val="nil"/>
              <w:right w:val="single" w:sz="4" w:space="0" w:color="auto"/>
            </w:tcBorders>
            <w:shd w:val="clear" w:color="auto" w:fill="auto"/>
          </w:tcPr>
          <w:p w14:paraId="71624346"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145/156 (93%)</w:t>
            </w:r>
          </w:p>
        </w:tc>
      </w:tr>
      <w:tr w:rsidR="00766713" w:rsidRPr="005A2200" w14:paraId="207F2539" w14:textId="77777777" w:rsidTr="005A2200">
        <w:trPr>
          <w:jc w:val="center"/>
        </w:trPr>
        <w:tc>
          <w:tcPr>
            <w:tcW w:w="4825" w:type="dxa"/>
            <w:tcBorders>
              <w:top w:val="single" w:sz="4" w:space="0" w:color="auto"/>
              <w:left w:val="single" w:sz="4" w:space="0" w:color="auto"/>
              <w:bottom w:val="nil"/>
              <w:right w:val="single" w:sz="8" w:space="0" w:color="auto"/>
            </w:tcBorders>
            <w:shd w:val="clear" w:color="auto" w:fill="auto"/>
          </w:tcPr>
          <w:p w14:paraId="7BB41539"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sz w:val="22"/>
                <w:szCs w:val="22"/>
                <w:lang w:val="sr-Latn-ME"/>
              </w:rPr>
              <w:t xml:space="preserve">Elvitegravir pojačan kobicistatom  </w:t>
            </w:r>
          </w:p>
        </w:tc>
        <w:tc>
          <w:tcPr>
            <w:tcW w:w="2015" w:type="dxa"/>
            <w:tcBorders>
              <w:top w:val="single" w:sz="4" w:space="0" w:color="auto"/>
              <w:left w:val="single" w:sz="8" w:space="0" w:color="auto"/>
              <w:bottom w:val="nil"/>
              <w:right w:val="single" w:sz="4" w:space="0" w:color="auto"/>
            </w:tcBorders>
            <w:shd w:val="clear" w:color="auto" w:fill="auto"/>
          </w:tcPr>
          <w:p w14:paraId="469F18F4"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23/25 (92%)</w:t>
            </w:r>
          </w:p>
        </w:tc>
        <w:tc>
          <w:tcPr>
            <w:tcW w:w="1980" w:type="dxa"/>
            <w:tcBorders>
              <w:top w:val="single" w:sz="4" w:space="0" w:color="auto"/>
              <w:left w:val="single" w:sz="4" w:space="0" w:color="auto"/>
              <w:bottom w:val="nil"/>
              <w:right w:val="single" w:sz="4" w:space="0" w:color="auto"/>
            </w:tcBorders>
            <w:shd w:val="clear" w:color="auto" w:fill="auto"/>
          </w:tcPr>
          <w:p w14:paraId="608D1C2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11/12 (92%)</w:t>
            </w:r>
          </w:p>
        </w:tc>
      </w:tr>
      <w:tr w:rsidR="00766713" w:rsidRPr="005A2200" w14:paraId="4E6340BC" w14:textId="77777777" w:rsidTr="005A2200">
        <w:trPr>
          <w:jc w:val="center"/>
        </w:trPr>
        <w:tc>
          <w:tcPr>
            <w:tcW w:w="4825" w:type="dxa"/>
            <w:tcBorders>
              <w:top w:val="single" w:sz="4" w:space="0" w:color="auto"/>
              <w:left w:val="single" w:sz="4" w:space="0" w:color="auto"/>
              <w:bottom w:val="nil"/>
              <w:right w:val="single" w:sz="8" w:space="0" w:color="auto"/>
            </w:tcBorders>
            <w:shd w:val="clear" w:color="auto" w:fill="auto"/>
          </w:tcPr>
          <w:p w14:paraId="48C3AFA2" w14:textId="7777777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sz w:val="22"/>
                <w:szCs w:val="22"/>
                <w:lang w:val="sr-Latn-ME"/>
              </w:rPr>
              <w:t xml:space="preserve">NNRTI  </w:t>
            </w:r>
          </w:p>
        </w:tc>
        <w:tc>
          <w:tcPr>
            <w:tcW w:w="2015" w:type="dxa"/>
            <w:tcBorders>
              <w:top w:val="single" w:sz="4" w:space="0" w:color="auto"/>
              <w:left w:val="single" w:sz="8" w:space="0" w:color="auto"/>
              <w:bottom w:val="nil"/>
              <w:right w:val="single" w:sz="4" w:space="0" w:color="auto"/>
            </w:tcBorders>
            <w:shd w:val="clear" w:color="auto" w:fill="auto"/>
          </w:tcPr>
          <w:p w14:paraId="1635AEF9"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98/106 (92%)</w:t>
            </w:r>
          </w:p>
        </w:tc>
        <w:tc>
          <w:tcPr>
            <w:tcW w:w="1980" w:type="dxa"/>
            <w:tcBorders>
              <w:top w:val="single" w:sz="4" w:space="0" w:color="auto"/>
              <w:left w:val="single" w:sz="4" w:space="0" w:color="auto"/>
              <w:bottom w:val="nil"/>
              <w:right w:val="single" w:sz="4" w:space="0" w:color="auto"/>
            </w:tcBorders>
            <w:shd w:val="clear" w:color="auto" w:fill="auto"/>
          </w:tcPr>
          <w:p w14:paraId="2486471F"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52/55 (95%)</w:t>
            </w:r>
          </w:p>
        </w:tc>
      </w:tr>
      <w:tr w:rsidR="00766713" w:rsidRPr="005A2200" w14:paraId="228338F5" w14:textId="77777777" w:rsidTr="002E01CF">
        <w:trPr>
          <w:cantSplit/>
          <w:jc w:val="center"/>
        </w:trPr>
        <w:tc>
          <w:tcPr>
            <w:tcW w:w="8820" w:type="dxa"/>
            <w:gridSpan w:val="3"/>
            <w:tcBorders>
              <w:top w:val="single" w:sz="4" w:space="0" w:color="auto"/>
              <w:left w:val="single" w:sz="4" w:space="0" w:color="auto"/>
              <w:bottom w:val="nil"/>
              <w:right w:val="single" w:sz="4" w:space="0" w:color="auto"/>
            </w:tcBorders>
            <w:shd w:val="clear" w:color="auto" w:fill="auto"/>
          </w:tcPr>
          <w:p w14:paraId="50B74948" w14:textId="2B0D50F0"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hAnsiTheme="majorBidi" w:cstheme="majorBidi"/>
                <w:b/>
                <w:sz w:val="22"/>
                <w:szCs w:val="22"/>
                <w:lang w:val="sr-Latn-ME"/>
              </w:rPr>
              <w:lastRenderedPageBreak/>
              <w:t>Odnos (%) ispitanika sa HIV-1 RNK &lt; 40 kopija/m</w:t>
            </w:r>
            <w:r w:rsidR="00357A13" w:rsidRPr="005A2200">
              <w:rPr>
                <w:rFonts w:asciiTheme="majorBidi" w:hAnsiTheme="majorBidi" w:cstheme="majorBidi"/>
                <w:b/>
                <w:sz w:val="22"/>
                <w:szCs w:val="22"/>
                <w:lang w:val="sr-Latn-ME"/>
              </w:rPr>
              <w:t>l</w:t>
            </w:r>
            <w:r w:rsidRPr="005A2200">
              <w:rPr>
                <w:rFonts w:asciiTheme="majorBidi" w:hAnsiTheme="majorBidi" w:cstheme="majorBidi"/>
                <w:b/>
                <w:sz w:val="22"/>
                <w:szCs w:val="22"/>
                <w:lang w:val="sr-Latn-ME"/>
              </w:rPr>
              <w:t xml:space="preserve"> prema broju CD4</w:t>
            </w:r>
            <w:r w:rsidRPr="005A2200">
              <w:rPr>
                <w:rFonts w:asciiTheme="majorBidi" w:hAnsiTheme="majorBidi" w:cstheme="majorBidi"/>
                <w:b/>
                <w:sz w:val="22"/>
                <w:szCs w:val="22"/>
                <w:vertAlign w:val="superscript"/>
                <w:lang w:val="sr-Latn-ME"/>
              </w:rPr>
              <w:t>+</w:t>
            </w:r>
            <w:r w:rsidRPr="005A2200">
              <w:rPr>
                <w:rFonts w:asciiTheme="majorBidi" w:hAnsiTheme="majorBidi" w:cstheme="majorBidi"/>
                <w:b/>
                <w:sz w:val="22"/>
                <w:szCs w:val="22"/>
                <w:lang w:val="sr-Latn-ME"/>
              </w:rPr>
              <w:t> T-ćelija od početka ispitivanja (broj ćelija/mm</w:t>
            </w:r>
            <w:r w:rsidRPr="005A2200">
              <w:rPr>
                <w:rFonts w:asciiTheme="majorBidi" w:hAnsiTheme="majorBidi" w:cstheme="majorBidi"/>
                <w:b/>
                <w:sz w:val="22"/>
                <w:szCs w:val="22"/>
                <w:vertAlign w:val="superscript"/>
                <w:lang w:val="sr-Latn-ME"/>
              </w:rPr>
              <w:t>3</w:t>
            </w:r>
            <w:r w:rsidRPr="005A2200">
              <w:rPr>
                <w:rFonts w:asciiTheme="majorBidi" w:hAnsiTheme="majorBidi" w:cstheme="majorBidi"/>
                <w:b/>
                <w:sz w:val="22"/>
                <w:szCs w:val="22"/>
                <w:lang w:val="sr-Latn-ME"/>
              </w:rPr>
              <w:t xml:space="preserve">) </w:t>
            </w:r>
          </w:p>
        </w:tc>
      </w:tr>
      <w:tr w:rsidR="00766713" w:rsidRPr="005A2200" w14:paraId="1E1A917B" w14:textId="77777777" w:rsidTr="005A2200">
        <w:trPr>
          <w:jc w:val="center"/>
        </w:trPr>
        <w:tc>
          <w:tcPr>
            <w:tcW w:w="4825" w:type="dxa"/>
            <w:tcBorders>
              <w:top w:val="single" w:sz="4" w:space="0" w:color="auto"/>
              <w:left w:val="single" w:sz="4" w:space="0" w:color="auto"/>
              <w:bottom w:val="nil"/>
              <w:right w:val="single" w:sz="8" w:space="0" w:color="auto"/>
            </w:tcBorders>
            <w:shd w:val="clear" w:color="auto" w:fill="auto"/>
          </w:tcPr>
          <w:p w14:paraId="1F2CD4C4"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     &lt; 200 ćelija/mm</w:t>
            </w:r>
            <w:r w:rsidRPr="005A2200">
              <w:rPr>
                <w:rFonts w:asciiTheme="majorBidi" w:hAnsiTheme="majorBidi" w:cstheme="majorBidi"/>
                <w:sz w:val="22"/>
                <w:szCs w:val="22"/>
                <w:vertAlign w:val="superscript"/>
                <w:lang w:val="sr-Latn-ME"/>
              </w:rPr>
              <w:t>3</w:t>
            </w:r>
          </w:p>
        </w:tc>
        <w:tc>
          <w:tcPr>
            <w:tcW w:w="2015" w:type="dxa"/>
            <w:tcBorders>
              <w:top w:val="single" w:sz="4" w:space="0" w:color="auto"/>
              <w:left w:val="single" w:sz="8" w:space="0" w:color="auto"/>
              <w:bottom w:val="nil"/>
              <w:right w:val="single" w:sz="4" w:space="0" w:color="auto"/>
            </w:tcBorders>
            <w:shd w:val="clear" w:color="auto" w:fill="auto"/>
          </w:tcPr>
          <w:p w14:paraId="15EB1AC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xml:space="preserve">10/13 (77%)                                    </w:t>
            </w:r>
          </w:p>
        </w:tc>
        <w:tc>
          <w:tcPr>
            <w:tcW w:w="1980" w:type="dxa"/>
            <w:tcBorders>
              <w:top w:val="single" w:sz="4" w:space="0" w:color="auto"/>
              <w:left w:val="single" w:sz="4" w:space="0" w:color="auto"/>
              <w:bottom w:val="nil"/>
              <w:right w:val="single" w:sz="4" w:space="0" w:color="auto"/>
            </w:tcBorders>
            <w:shd w:val="clear" w:color="auto" w:fill="auto"/>
          </w:tcPr>
          <w:p w14:paraId="776FFBC4"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xml:space="preserve">3/4 (75%)                                       </w:t>
            </w:r>
          </w:p>
        </w:tc>
      </w:tr>
      <w:tr w:rsidR="00766713" w:rsidRPr="005A2200" w14:paraId="3416A77A" w14:textId="77777777" w:rsidTr="005A2200">
        <w:trPr>
          <w:jc w:val="center"/>
        </w:trPr>
        <w:tc>
          <w:tcPr>
            <w:tcW w:w="4825" w:type="dxa"/>
            <w:tcBorders>
              <w:top w:val="single" w:sz="4" w:space="0" w:color="auto"/>
              <w:left w:val="single" w:sz="4" w:space="0" w:color="auto"/>
              <w:bottom w:val="nil"/>
              <w:right w:val="single" w:sz="8" w:space="0" w:color="auto"/>
            </w:tcBorders>
            <w:shd w:val="clear" w:color="auto" w:fill="auto"/>
          </w:tcPr>
          <w:p w14:paraId="7C4BD82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     ≥ 200 ćelija/mm</w:t>
            </w:r>
            <w:r w:rsidRPr="005A2200">
              <w:rPr>
                <w:rFonts w:asciiTheme="majorBidi" w:hAnsiTheme="majorBidi" w:cstheme="majorBidi"/>
                <w:sz w:val="22"/>
                <w:szCs w:val="22"/>
                <w:vertAlign w:val="superscript"/>
                <w:lang w:val="sr-Latn-ME"/>
              </w:rPr>
              <w:t>3</w:t>
            </w:r>
          </w:p>
        </w:tc>
        <w:tc>
          <w:tcPr>
            <w:tcW w:w="2015" w:type="dxa"/>
            <w:tcBorders>
              <w:top w:val="single" w:sz="4" w:space="0" w:color="auto"/>
              <w:left w:val="single" w:sz="8" w:space="0" w:color="auto"/>
              <w:bottom w:val="nil"/>
              <w:right w:val="single" w:sz="4" w:space="0" w:color="auto"/>
            </w:tcBorders>
            <w:shd w:val="clear" w:color="auto" w:fill="auto"/>
          </w:tcPr>
          <w:p w14:paraId="04B01A0D"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xml:space="preserve">384/426 (90%)                                   </w:t>
            </w:r>
          </w:p>
        </w:tc>
        <w:tc>
          <w:tcPr>
            <w:tcW w:w="1980" w:type="dxa"/>
            <w:tcBorders>
              <w:top w:val="single" w:sz="4" w:space="0" w:color="auto"/>
              <w:left w:val="single" w:sz="4" w:space="0" w:color="auto"/>
              <w:bottom w:val="nil"/>
              <w:right w:val="single" w:sz="4" w:space="0" w:color="auto"/>
            </w:tcBorders>
            <w:shd w:val="clear" w:color="auto" w:fill="auto"/>
          </w:tcPr>
          <w:p w14:paraId="72E41C18"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 xml:space="preserve">202/216 (94%)                                   </w:t>
            </w:r>
          </w:p>
        </w:tc>
      </w:tr>
      <w:tr w:rsidR="00766713" w:rsidRPr="005A2200" w14:paraId="5D5407C2" w14:textId="77777777" w:rsidTr="005A2200">
        <w:trPr>
          <w:jc w:val="center"/>
        </w:trPr>
        <w:tc>
          <w:tcPr>
            <w:tcW w:w="4825" w:type="dxa"/>
            <w:tcBorders>
              <w:right w:val="single" w:sz="8" w:space="0" w:color="auto"/>
            </w:tcBorders>
            <w:shd w:val="clear" w:color="auto" w:fill="auto"/>
          </w:tcPr>
          <w:p w14:paraId="6423B661" w14:textId="38E6E167" w:rsidR="00766713" w:rsidRPr="005A2200" w:rsidRDefault="00766713" w:rsidP="005A2200">
            <w:pPr>
              <w:widowControl w:val="0"/>
              <w:tabs>
                <w:tab w:val="left" w:pos="284"/>
              </w:tabs>
              <w:jc w:val="both"/>
              <w:rPr>
                <w:rFonts w:asciiTheme="majorBidi" w:eastAsia="Calibri" w:hAnsiTheme="majorBidi" w:cstheme="majorBidi"/>
                <w:b/>
                <w:sz w:val="22"/>
                <w:szCs w:val="22"/>
                <w:lang w:val="sr-Latn-ME"/>
              </w:rPr>
            </w:pPr>
            <w:r w:rsidRPr="005A2200">
              <w:rPr>
                <w:rFonts w:asciiTheme="majorBidi" w:eastAsia="Calibri" w:hAnsiTheme="majorBidi" w:cstheme="majorBidi"/>
                <w:b/>
                <w:sz w:val="22"/>
                <w:szCs w:val="22"/>
                <w:lang w:val="sr-Latn-ME"/>
              </w:rPr>
              <w:t>HIV-1 RNK ≥ 40 kopija/m</w:t>
            </w:r>
            <w:r w:rsidR="00357A13" w:rsidRPr="005A2200">
              <w:rPr>
                <w:rFonts w:asciiTheme="majorBidi" w:eastAsia="Calibri" w:hAnsiTheme="majorBidi" w:cstheme="majorBidi"/>
                <w:b/>
                <w:sz w:val="22"/>
                <w:szCs w:val="22"/>
                <w:lang w:val="sr-Latn-ME"/>
              </w:rPr>
              <w:t>l</w:t>
            </w:r>
            <w:r w:rsidRPr="005A2200">
              <w:rPr>
                <w:rFonts w:asciiTheme="majorBidi" w:hAnsiTheme="majorBidi" w:cstheme="majorBidi"/>
                <w:sz w:val="22"/>
                <w:szCs w:val="22"/>
                <w:vertAlign w:val="superscript"/>
                <w:lang w:val="sr-Latn-ME"/>
              </w:rPr>
              <w:t>†</w:t>
            </w:r>
          </w:p>
        </w:tc>
        <w:tc>
          <w:tcPr>
            <w:tcW w:w="2015" w:type="dxa"/>
            <w:tcBorders>
              <w:left w:val="single" w:sz="8" w:space="0" w:color="auto"/>
            </w:tcBorders>
            <w:shd w:val="clear" w:color="auto" w:fill="auto"/>
          </w:tcPr>
          <w:p w14:paraId="491896E2"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3%</w:t>
            </w:r>
          </w:p>
        </w:tc>
        <w:tc>
          <w:tcPr>
            <w:tcW w:w="1980" w:type="dxa"/>
            <w:shd w:val="clear" w:color="auto" w:fill="auto"/>
          </w:tcPr>
          <w:p w14:paraId="4F61284E"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     4%                                   </w:t>
            </w:r>
          </w:p>
        </w:tc>
      </w:tr>
      <w:tr w:rsidR="00766713" w:rsidRPr="005A2200" w14:paraId="20180FE4" w14:textId="77777777" w:rsidTr="005A2200">
        <w:trPr>
          <w:jc w:val="center"/>
        </w:trPr>
        <w:tc>
          <w:tcPr>
            <w:tcW w:w="4825" w:type="dxa"/>
            <w:tcBorders>
              <w:top w:val="single" w:sz="4" w:space="0" w:color="auto"/>
              <w:left w:val="single" w:sz="4" w:space="0" w:color="auto"/>
              <w:bottom w:val="nil"/>
              <w:right w:val="single" w:sz="8" w:space="0" w:color="auto"/>
            </w:tcBorders>
            <w:shd w:val="clear" w:color="auto" w:fill="auto"/>
          </w:tcPr>
          <w:p w14:paraId="7BBA8BFE"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b/>
                <w:sz w:val="22"/>
                <w:szCs w:val="22"/>
                <w:lang w:val="sr-Latn-ME"/>
              </w:rPr>
              <w:t>Bez viroloških podataka u okviru vremena ispitivanja</w:t>
            </w:r>
          </w:p>
        </w:tc>
        <w:tc>
          <w:tcPr>
            <w:tcW w:w="2015" w:type="dxa"/>
            <w:tcBorders>
              <w:top w:val="single" w:sz="4" w:space="0" w:color="auto"/>
              <w:left w:val="single" w:sz="8" w:space="0" w:color="auto"/>
              <w:bottom w:val="nil"/>
              <w:right w:val="single" w:sz="4" w:space="0" w:color="auto"/>
            </w:tcBorders>
            <w:shd w:val="clear" w:color="auto" w:fill="auto"/>
          </w:tcPr>
          <w:p w14:paraId="3E998C6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8%</w:t>
            </w:r>
          </w:p>
        </w:tc>
        <w:tc>
          <w:tcPr>
            <w:tcW w:w="1980" w:type="dxa"/>
            <w:tcBorders>
              <w:top w:val="single" w:sz="4" w:space="0" w:color="auto"/>
              <w:left w:val="single" w:sz="4" w:space="0" w:color="auto"/>
              <w:bottom w:val="nil"/>
              <w:right w:val="single" w:sz="4" w:space="0" w:color="auto"/>
            </w:tcBorders>
            <w:shd w:val="clear" w:color="auto" w:fill="auto"/>
          </w:tcPr>
          <w:p w14:paraId="23AC3272"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eastAsia="Calibri" w:hAnsiTheme="majorBidi" w:cstheme="majorBidi"/>
                <w:sz w:val="22"/>
                <w:szCs w:val="22"/>
                <w:lang w:val="sr-Latn-ME"/>
              </w:rPr>
              <w:t>3%</w:t>
            </w:r>
          </w:p>
        </w:tc>
      </w:tr>
      <w:tr w:rsidR="00766713" w:rsidRPr="005A2200" w14:paraId="2A40EAA4" w14:textId="77777777" w:rsidTr="005A2200">
        <w:trPr>
          <w:jc w:val="center"/>
        </w:trPr>
        <w:tc>
          <w:tcPr>
            <w:tcW w:w="4825" w:type="dxa"/>
            <w:tcBorders>
              <w:top w:val="nil"/>
              <w:left w:val="single" w:sz="4" w:space="0" w:color="auto"/>
              <w:bottom w:val="nil"/>
              <w:right w:val="single" w:sz="8" w:space="0" w:color="auto"/>
            </w:tcBorders>
            <w:shd w:val="clear" w:color="auto" w:fill="auto"/>
          </w:tcPr>
          <w:p w14:paraId="56265473"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   Prekid ispitivanja zbog neželjenog događaja ili smrti</w:t>
            </w:r>
            <w:r w:rsidRPr="005A2200">
              <w:rPr>
                <w:rFonts w:asciiTheme="majorBidi" w:hAnsiTheme="majorBidi" w:cstheme="majorBidi"/>
                <w:sz w:val="22"/>
                <w:szCs w:val="22"/>
                <w:vertAlign w:val="superscript"/>
                <w:lang w:val="sr-Latn-ME"/>
              </w:rPr>
              <w:t>‡</w:t>
            </w:r>
            <w:r w:rsidRPr="005A2200">
              <w:rPr>
                <w:rFonts w:asciiTheme="majorBidi" w:hAnsiTheme="majorBidi" w:cstheme="majorBidi"/>
                <w:sz w:val="22"/>
                <w:szCs w:val="22"/>
                <w:lang w:val="sr-Latn-ME"/>
              </w:rPr>
              <w:t xml:space="preserve">                                                                                                                                                   </w:t>
            </w:r>
          </w:p>
        </w:tc>
        <w:tc>
          <w:tcPr>
            <w:tcW w:w="2015" w:type="dxa"/>
            <w:tcBorders>
              <w:top w:val="nil"/>
              <w:left w:val="single" w:sz="8" w:space="0" w:color="auto"/>
              <w:bottom w:val="nil"/>
              <w:right w:val="single" w:sz="4" w:space="0" w:color="auto"/>
            </w:tcBorders>
            <w:shd w:val="clear" w:color="auto" w:fill="auto"/>
          </w:tcPr>
          <w:p w14:paraId="1782A994"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3%                                   </w:t>
            </w:r>
          </w:p>
        </w:tc>
        <w:tc>
          <w:tcPr>
            <w:tcW w:w="1980" w:type="dxa"/>
            <w:tcBorders>
              <w:top w:val="nil"/>
              <w:left w:val="single" w:sz="4" w:space="0" w:color="auto"/>
              <w:bottom w:val="nil"/>
              <w:right w:val="single" w:sz="4" w:space="0" w:color="auto"/>
            </w:tcBorders>
            <w:shd w:val="clear" w:color="auto" w:fill="auto"/>
          </w:tcPr>
          <w:p w14:paraId="0AB05887"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     0                                               </w:t>
            </w:r>
          </w:p>
        </w:tc>
      </w:tr>
      <w:tr w:rsidR="00766713" w:rsidRPr="005A2200" w14:paraId="33BE4993" w14:textId="77777777" w:rsidTr="005A2200">
        <w:trPr>
          <w:jc w:val="center"/>
        </w:trPr>
        <w:tc>
          <w:tcPr>
            <w:tcW w:w="4825" w:type="dxa"/>
            <w:tcBorders>
              <w:top w:val="nil"/>
              <w:left w:val="single" w:sz="4" w:space="0" w:color="auto"/>
              <w:bottom w:val="nil"/>
              <w:right w:val="single" w:sz="8" w:space="0" w:color="auto"/>
            </w:tcBorders>
            <w:shd w:val="clear" w:color="auto" w:fill="auto"/>
          </w:tcPr>
          <w:p w14:paraId="177666E1"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   Prekid ispitivanja zbog drugih uzroka</w:t>
            </w:r>
            <w:r w:rsidRPr="005A2200">
              <w:rPr>
                <w:rFonts w:asciiTheme="majorBidi" w:hAnsiTheme="majorBidi" w:cstheme="majorBidi"/>
                <w:sz w:val="22"/>
                <w:szCs w:val="22"/>
                <w:vertAlign w:val="superscript"/>
                <w:lang w:val="sr-Latn-ME"/>
              </w:rPr>
              <w:t>§</w:t>
            </w:r>
            <w:r w:rsidRPr="005A2200">
              <w:rPr>
                <w:rFonts w:asciiTheme="majorBidi" w:hAnsiTheme="majorBidi" w:cstheme="majorBidi"/>
                <w:sz w:val="22"/>
                <w:szCs w:val="22"/>
                <w:lang w:val="sr-Latn-ME"/>
              </w:rPr>
              <w:t xml:space="preserve">                                                                                                                                                    </w:t>
            </w:r>
          </w:p>
        </w:tc>
        <w:tc>
          <w:tcPr>
            <w:tcW w:w="2015" w:type="dxa"/>
            <w:tcBorders>
              <w:top w:val="nil"/>
              <w:left w:val="single" w:sz="8" w:space="0" w:color="auto"/>
              <w:bottom w:val="nil"/>
              <w:right w:val="single" w:sz="4" w:space="0" w:color="auto"/>
            </w:tcBorders>
            <w:shd w:val="clear" w:color="auto" w:fill="auto"/>
          </w:tcPr>
          <w:p w14:paraId="34557C4A"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4%</w:t>
            </w:r>
          </w:p>
        </w:tc>
        <w:tc>
          <w:tcPr>
            <w:tcW w:w="1980" w:type="dxa"/>
            <w:tcBorders>
              <w:top w:val="nil"/>
              <w:left w:val="single" w:sz="4" w:space="0" w:color="auto"/>
              <w:bottom w:val="nil"/>
              <w:right w:val="single" w:sz="4" w:space="0" w:color="auto"/>
            </w:tcBorders>
            <w:shd w:val="clear" w:color="auto" w:fill="auto"/>
          </w:tcPr>
          <w:p w14:paraId="4E8DDF59" w14:textId="77777777"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  3%                                   </w:t>
            </w:r>
          </w:p>
        </w:tc>
      </w:tr>
      <w:tr w:rsidR="00766713" w:rsidRPr="005A2200" w14:paraId="3E8E54F3" w14:textId="77777777" w:rsidTr="005A2200">
        <w:trPr>
          <w:jc w:val="center"/>
        </w:trPr>
        <w:tc>
          <w:tcPr>
            <w:tcW w:w="4825" w:type="dxa"/>
            <w:tcBorders>
              <w:top w:val="nil"/>
              <w:left w:val="single" w:sz="4" w:space="0" w:color="auto"/>
              <w:bottom w:val="single" w:sz="4" w:space="0" w:color="auto"/>
              <w:right w:val="single" w:sz="8" w:space="0" w:color="auto"/>
            </w:tcBorders>
            <w:shd w:val="clear" w:color="auto" w:fill="auto"/>
          </w:tcPr>
          <w:p w14:paraId="261969FD" w14:textId="44BF68BA" w:rsidR="00766713" w:rsidRPr="005A2200" w:rsidRDefault="00766713" w:rsidP="005A2200">
            <w:pPr>
              <w:widowControl w:val="0"/>
              <w:tabs>
                <w:tab w:val="left" w:pos="284"/>
              </w:tabs>
              <w:jc w:val="both"/>
              <w:rPr>
                <w:rFonts w:asciiTheme="majorBidi" w:eastAsia="Calibri" w:hAnsiTheme="majorBidi" w:cstheme="majorBidi"/>
                <w:sz w:val="22"/>
                <w:szCs w:val="22"/>
                <w:lang w:val="sr-Latn-ME"/>
              </w:rPr>
            </w:pPr>
            <w:r w:rsidRPr="005A2200">
              <w:rPr>
                <w:rFonts w:asciiTheme="majorBidi" w:hAnsiTheme="majorBidi" w:cstheme="majorBidi"/>
                <w:sz w:val="22"/>
                <w:szCs w:val="22"/>
                <w:lang w:val="sr-Latn-ME"/>
              </w:rPr>
              <w:t xml:space="preserve">   Podaci iz okvira ispitivanja nedostaju, ali je ispitivani l</w:t>
            </w:r>
            <w:r w:rsidR="00683288"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 prim</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enjivan u ispitivanju                                                                                                                                                                 </w:t>
            </w:r>
          </w:p>
        </w:tc>
        <w:tc>
          <w:tcPr>
            <w:tcW w:w="2015" w:type="dxa"/>
            <w:tcBorders>
              <w:top w:val="nil"/>
              <w:left w:val="single" w:sz="8" w:space="0" w:color="auto"/>
              <w:bottom w:val="single" w:sz="4" w:space="0" w:color="auto"/>
              <w:right w:val="single" w:sz="4" w:space="0" w:color="auto"/>
            </w:tcBorders>
            <w:shd w:val="clear" w:color="auto" w:fill="auto"/>
          </w:tcPr>
          <w:p w14:paraId="3803E3B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     0                                               </w:t>
            </w:r>
          </w:p>
        </w:tc>
        <w:tc>
          <w:tcPr>
            <w:tcW w:w="1980" w:type="dxa"/>
            <w:tcBorders>
              <w:top w:val="nil"/>
              <w:left w:val="single" w:sz="4" w:space="0" w:color="auto"/>
              <w:bottom w:val="single" w:sz="4" w:space="0" w:color="auto"/>
              <w:right w:val="single" w:sz="4" w:space="0" w:color="auto"/>
            </w:tcBorders>
            <w:shd w:val="clear" w:color="auto" w:fill="auto"/>
          </w:tcPr>
          <w:p w14:paraId="0844481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     0                                               </w:t>
            </w:r>
          </w:p>
        </w:tc>
      </w:tr>
      <w:tr w:rsidR="00766713" w:rsidRPr="005A2200" w14:paraId="47F27693" w14:textId="77777777" w:rsidTr="005A2200">
        <w:trPr>
          <w:jc w:val="center"/>
        </w:trPr>
        <w:tc>
          <w:tcPr>
            <w:tcW w:w="8820" w:type="dxa"/>
            <w:gridSpan w:val="3"/>
            <w:tcBorders>
              <w:top w:val="single" w:sz="4" w:space="0" w:color="auto"/>
            </w:tcBorders>
            <w:shd w:val="clear" w:color="auto" w:fill="auto"/>
          </w:tcPr>
          <w:p w14:paraId="755DC9C3" w14:textId="64520321" w:rsidR="00766713" w:rsidRPr="005A2200" w:rsidRDefault="00766713" w:rsidP="005A2200">
            <w:pPr>
              <w:widowControl w:val="0"/>
              <w:tabs>
                <w:tab w:val="left" w:pos="284"/>
              </w:tabs>
              <w:autoSpaceDE w:val="0"/>
              <w:autoSpaceDN w:val="0"/>
              <w:adjustRightInd w:val="0"/>
              <w:ind w:right="1"/>
              <w:jc w:val="both"/>
              <w:rPr>
                <w:rFonts w:asciiTheme="majorBidi" w:hAnsiTheme="majorBidi" w:cstheme="majorBidi"/>
                <w:sz w:val="20"/>
                <w:szCs w:val="22"/>
                <w:lang w:val="sr-Latn-ME"/>
              </w:rPr>
            </w:pPr>
            <w:r w:rsidRPr="005A2200">
              <w:rPr>
                <w:rFonts w:asciiTheme="majorBidi" w:hAnsiTheme="majorBidi" w:cstheme="majorBidi"/>
                <w:sz w:val="20"/>
                <w:szCs w:val="22"/>
                <w:lang w:val="sr-Latn-ME"/>
              </w:rPr>
              <w:t>*</w:t>
            </w:r>
            <w:bookmarkStart w:id="11" w:name="_Hlk3895693"/>
            <w:r w:rsidRPr="005A2200">
              <w:rPr>
                <w:rFonts w:asciiTheme="majorBidi" w:hAnsiTheme="majorBidi" w:cstheme="majorBidi"/>
                <w:sz w:val="20"/>
                <w:szCs w:val="22"/>
                <w:lang w:val="sr-Latn-ME"/>
              </w:rPr>
              <w:t>Interval pouzdanosti od 95% (95% CI) za razliku u l</w:t>
            </w:r>
            <w:r w:rsidR="00683288" w:rsidRPr="005A2200">
              <w:rPr>
                <w:rFonts w:asciiTheme="majorBidi" w:hAnsiTheme="majorBidi" w:cstheme="majorBidi"/>
                <w:sz w:val="20"/>
                <w:szCs w:val="22"/>
                <w:lang w:val="sr-Latn-ME"/>
              </w:rPr>
              <w:t>ij</w:t>
            </w:r>
            <w:r w:rsidRPr="005A2200">
              <w:rPr>
                <w:rFonts w:asciiTheme="majorBidi" w:hAnsiTheme="majorBidi" w:cstheme="majorBidi"/>
                <w:sz w:val="20"/>
                <w:szCs w:val="22"/>
                <w:lang w:val="sr-Latn-ME"/>
              </w:rPr>
              <w:t xml:space="preserve">ečenju izračunat je koristeći </w:t>
            </w:r>
            <w:r w:rsidRPr="005A2200">
              <w:rPr>
                <w:rFonts w:asciiTheme="majorBidi" w:hAnsiTheme="majorBidi" w:cstheme="majorBidi"/>
                <w:i/>
                <w:iCs/>
                <w:sz w:val="20"/>
                <w:szCs w:val="22"/>
                <w:lang w:val="sr-Latn-ME"/>
              </w:rPr>
              <w:t>Mantel-Haenszel</w:t>
            </w:r>
            <w:r w:rsidRPr="005A2200">
              <w:rPr>
                <w:rFonts w:asciiTheme="majorBidi" w:hAnsiTheme="majorBidi" w:cstheme="majorBidi"/>
                <w:sz w:val="20"/>
                <w:szCs w:val="22"/>
                <w:lang w:val="sr-Latn-ME"/>
              </w:rPr>
              <w:t xml:space="preserve"> metodu prilagođenu stratumu. </w:t>
            </w:r>
            <w:bookmarkEnd w:id="11"/>
          </w:p>
          <w:p w14:paraId="2A1235BA" w14:textId="3C1CBB05" w:rsidR="00766713" w:rsidRPr="005A2200" w:rsidRDefault="00766713" w:rsidP="005A2200">
            <w:pPr>
              <w:widowControl w:val="0"/>
              <w:tabs>
                <w:tab w:val="left" w:pos="284"/>
              </w:tabs>
              <w:autoSpaceDE w:val="0"/>
              <w:autoSpaceDN w:val="0"/>
              <w:adjustRightInd w:val="0"/>
              <w:ind w:right="1"/>
              <w:jc w:val="both"/>
              <w:rPr>
                <w:rFonts w:asciiTheme="majorBidi" w:hAnsiTheme="majorBidi" w:cstheme="majorBidi"/>
                <w:sz w:val="20"/>
                <w:szCs w:val="22"/>
                <w:lang w:val="sr-Latn-ME"/>
              </w:rPr>
            </w:pPr>
            <w:r w:rsidRPr="005A2200">
              <w:rPr>
                <w:rFonts w:asciiTheme="majorBidi" w:hAnsiTheme="majorBidi" w:cstheme="majorBidi"/>
                <w:sz w:val="20"/>
                <w:szCs w:val="22"/>
                <w:vertAlign w:val="superscript"/>
                <w:lang w:val="sr-Latn-ME"/>
              </w:rPr>
              <w:t>†</w:t>
            </w:r>
            <w:r w:rsidRPr="005A2200">
              <w:rPr>
                <w:rFonts w:asciiTheme="majorBidi" w:hAnsiTheme="majorBidi" w:cstheme="majorBidi"/>
                <w:sz w:val="20"/>
                <w:szCs w:val="22"/>
                <w:lang w:val="sr-Latn-ME"/>
              </w:rPr>
              <w:t>Uključuje ispitanike koji su prekinuli ispitivanje pr</w:t>
            </w:r>
            <w:r w:rsidR="00683288" w:rsidRPr="005A2200">
              <w:rPr>
                <w:rFonts w:asciiTheme="majorBidi" w:hAnsiTheme="majorBidi" w:cstheme="majorBidi"/>
                <w:sz w:val="20"/>
                <w:szCs w:val="22"/>
                <w:lang w:val="sr-Latn-ME"/>
              </w:rPr>
              <w:t>ij</w:t>
            </w:r>
            <w:r w:rsidRPr="005A2200">
              <w:rPr>
                <w:rFonts w:asciiTheme="majorBidi" w:hAnsiTheme="majorBidi" w:cstheme="majorBidi"/>
                <w:sz w:val="20"/>
                <w:szCs w:val="22"/>
                <w:lang w:val="sr-Latn-ME"/>
              </w:rPr>
              <w:t>e 48. ned</w:t>
            </w:r>
            <w:r w:rsidR="007609C8" w:rsidRPr="005A2200">
              <w:rPr>
                <w:rFonts w:asciiTheme="majorBidi" w:hAnsiTheme="majorBidi" w:cstheme="majorBidi"/>
                <w:sz w:val="20"/>
                <w:szCs w:val="22"/>
                <w:lang w:val="sr-Latn-ME"/>
              </w:rPr>
              <w:t>j</w:t>
            </w:r>
            <w:r w:rsidRPr="005A2200">
              <w:rPr>
                <w:rFonts w:asciiTheme="majorBidi" w:hAnsiTheme="majorBidi" w:cstheme="majorBidi"/>
                <w:sz w:val="20"/>
                <w:szCs w:val="22"/>
                <w:lang w:val="sr-Latn-ME"/>
              </w:rPr>
              <w:t>elje za ISG ili pre 24. ned</w:t>
            </w:r>
            <w:r w:rsidR="007609C8" w:rsidRPr="005A2200">
              <w:rPr>
                <w:rFonts w:asciiTheme="majorBidi" w:hAnsiTheme="majorBidi" w:cstheme="majorBidi"/>
                <w:sz w:val="20"/>
                <w:szCs w:val="22"/>
                <w:lang w:val="sr-Latn-ME"/>
              </w:rPr>
              <w:t>j</w:t>
            </w:r>
            <w:r w:rsidRPr="005A2200">
              <w:rPr>
                <w:rFonts w:asciiTheme="majorBidi" w:hAnsiTheme="majorBidi" w:cstheme="majorBidi"/>
                <w:sz w:val="20"/>
                <w:szCs w:val="22"/>
                <w:lang w:val="sr-Latn-ME"/>
              </w:rPr>
              <w:t>elje za DSG zbog nedostatka ili gubitka efikasnosti i ispitanike koji su imali HIV-1 RNK ≥ 40 kopija/m</w:t>
            </w:r>
            <w:r w:rsidR="00357A13" w:rsidRPr="005A2200">
              <w:rPr>
                <w:rFonts w:asciiTheme="majorBidi" w:hAnsiTheme="majorBidi" w:cstheme="majorBidi"/>
                <w:sz w:val="20"/>
                <w:szCs w:val="22"/>
                <w:lang w:val="sr-Latn-ME"/>
              </w:rPr>
              <w:t>l</w:t>
            </w:r>
            <w:r w:rsidRPr="005A2200">
              <w:rPr>
                <w:rFonts w:asciiTheme="majorBidi" w:hAnsiTheme="majorBidi" w:cstheme="majorBidi"/>
                <w:sz w:val="20"/>
                <w:szCs w:val="22"/>
                <w:lang w:val="sr-Latn-ME"/>
              </w:rPr>
              <w:t xml:space="preserve"> u 48. ned</w:t>
            </w:r>
            <w:r w:rsidR="007609C8" w:rsidRPr="005A2200">
              <w:rPr>
                <w:rFonts w:asciiTheme="majorBidi" w:hAnsiTheme="majorBidi" w:cstheme="majorBidi"/>
                <w:sz w:val="20"/>
                <w:szCs w:val="22"/>
                <w:lang w:val="sr-Latn-ME"/>
              </w:rPr>
              <w:t>j</w:t>
            </w:r>
            <w:r w:rsidRPr="005A2200">
              <w:rPr>
                <w:rFonts w:asciiTheme="majorBidi" w:hAnsiTheme="majorBidi" w:cstheme="majorBidi"/>
                <w:sz w:val="20"/>
                <w:szCs w:val="22"/>
                <w:lang w:val="sr-Latn-ME"/>
              </w:rPr>
              <w:t>elji za ISG okvir i u 24. ned</w:t>
            </w:r>
            <w:r w:rsidR="007609C8" w:rsidRPr="005A2200">
              <w:rPr>
                <w:rFonts w:asciiTheme="majorBidi" w:hAnsiTheme="majorBidi" w:cstheme="majorBidi"/>
                <w:sz w:val="20"/>
                <w:szCs w:val="22"/>
                <w:lang w:val="sr-Latn-ME"/>
              </w:rPr>
              <w:t>j</w:t>
            </w:r>
            <w:r w:rsidRPr="005A2200">
              <w:rPr>
                <w:rFonts w:asciiTheme="majorBidi" w:hAnsiTheme="majorBidi" w:cstheme="majorBidi"/>
                <w:sz w:val="20"/>
                <w:szCs w:val="22"/>
                <w:lang w:val="sr-Latn-ME"/>
              </w:rPr>
              <w:t>elji za DSG okvir.</w:t>
            </w:r>
          </w:p>
          <w:p w14:paraId="17A3EC07" w14:textId="37475D35" w:rsidR="00766713" w:rsidRPr="005A2200" w:rsidRDefault="00766713" w:rsidP="005A2200">
            <w:pPr>
              <w:widowControl w:val="0"/>
              <w:tabs>
                <w:tab w:val="left" w:pos="284"/>
              </w:tabs>
              <w:autoSpaceDE w:val="0"/>
              <w:autoSpaceDN w:val="0"/>
              <w:adjustRightInd w:val="0"/>
              <w:ind w:right="1"/>
              <w:jc w:val="both"/>
              <w:rPr>
                <w:rFonts w:asciiTheme="majorBidi" w:hAnsiTheme="majorBidi" w:cstheme="majorBidi"/>
                <w:sz w:val="20"/>
                <w:szCs w:val="22"/>
                <w:lang w:val="sr-Latn-ME"/>
              </w:rPr>
            </w:pPr>
            <w:r w:rsidRPr="005A2200">
              <w:rPr>
                <w:rFonts w:asciiTheme="majorBidi" w:hAnsiTheme="majorBidi" w:cstheme="majorBidi"/>
                <w:sz w:val="20"/>
                <w:szCs w:val="22"/>
                <w:vertAlign w:val="superscript"/>
                <w:lang w:val="sr-Latn-ME"/>
              </w:rPr>
              <w:t>‡</w:t>
            </w:r>
            <w:r w:rsidRPr="005A2200">
              <w:rPr>
                <w:rFonts w:asciiTheme="majorBidi" w:hAnsiTheme="majorBidi" w:cstheme="majorBidi"/>
                <w:sz w:val="20"/>
                <w:szCs w:val="22"/>
                <w:lang w:val="sr-Latn-ME"/>
              </w:rPr>
              <w:t xml:space="preserve">Uključuje ispitanike koji su prekinuli ispitivanje zbog neželjenog događaja (engl. </w:t>
            </w:r>
            <w:r w:rsidRPr="005A2200">
              <w:rPr>
                <w:rFonts w:asciiTheme="majorBidi" w:hAnsiTheme="majorBidi" w:cstheme="majorBidi"/>
                <w:i/>
                <w:sz w:val="20"/>
                <w:szCs w:val="22"/>
                <w:lang w:val="sr-Latn-ME"/>
              </w:rPr>
              <w:t xml:space="preserve">Adverse event, </w:t>
            </w:r>
            <w:r w:rsidRPr="005A2200">
              <w:rPr>
                <w:rFonts w:asciiTheme="majorBidi" w:hAnsiTheme="majorBidi" w:cstheme="majorBidi"/>
                <w:sz w:val="20"/>
                <w:szCs w:val="22"/>
                <w:lang w:val="sr-Latn-ME"/>
              </w:rPr>
              <w:t>AE) ili smrti, ako je ovakav ishod rezultirao nedostatkom viroloških podataka o l</w:t>
            </w:r>
            <w:r w:rsidR="00683288" w:rsidRPr="005A2200">
              <w:rPr>
                <w:rFonts w:asciiTheme="majorBidi" w:hAnsiTheme="majorBidi" w:cstheme="majorBidi"/>
                <w:sz w:val="20"/>
                <w:szCs w:val="22"/>
                <w:lang w:val="sr-Latn-ME"/>
              </w:rPr>
              <w:t>ij</w:t>
            </w:r>
            <w:r w:rsidRPr="005A2200">
              <w:rPr>
                <w:rFonts w:asciiTheme="majorBidi" w:hAnsiTheme="majorBidi" w:cstheme="majorBidi"/>
                <w:sz w:val="20"/>
                <w:szCs w:val="22"/>
                <w:lang w:val="sr-Latn-ME"/>
              </w:rPr>
              <w:t>ečenju u određenom vremenskom okviru.</w:t>
            </w:r>
          </w:p>
          <w:p w14:paraId="06A278A7" w14:textId="4CBF7DC7" w:rsidR="00766713" w:rsidRPr="005A2200" w:rsidRDefault="00766713" w:rsidP="005A2200">
            <w:pPr>
              <w:widowControl w:val="0"/>
              <w:tabs>
                <w:tab w:val="left" w:pos="284"/>
              </w:tabs>
              <w:autoSpaceDE w:val="0"/>
              <w:autoSpaceDN w:val="0"/>
              <w:adjustRightInd w:val="0"/>
              <w:ind w:right="1"/>
              <w:jc w:val="both"/>
              <w:rPr>
                <w:rFonts w:asciiTheme="majorBidi" w:hAnsiTheme="majorBidi" w:cstheme="majorBidi"/>
                <w:sz w:val="20"/>
                <w:szCs w:val="22"/>
                <w:lang w:val="sr-Latn-ME"/>
              </w:rPr>
            </w:pPr>
            <w:r w:rsidRPr="005A2200">
              <w:rPr>
                <w:rFonts w:asciiTheme="majorBidi" w:hAnsiTheme="majorBidi" w:cstheme="majorBidi"/>
                <w:sz w:val="20"/>
                <w:szCs w:val="22"/>
                <w:vertAlign w:val="superscript"/>
                <w:lang w:val="sr-Latn-ME"/>
              </w:rPr>
              <w:t>§</w:t>
            </w:r>
            <w:r w:rsidRPr="005A2200">
              <w:rPr>
                <w:rFonts w:asciiTheme="majorBidi" w:hAnsiTheme="majorBidi" w:cstheme="majorBidi"/>
                <w:sz w:val="20"/>
                <w:szCs w:val="22"/>
                <w:lang w:val="sr-Latn-ME"/>
              </w:rPr>
              <w:t>Drugi uzroci uključuju: gubitak praćenja, neusklađenost sa l</w:t>
            </w:r>
            <w:r w:rsidR="00683288" w:rsidRPr="005A2200">
              <w:rPr>
                <w:rFonts w:asciiTheme="majorBidi" w:hAnsiTheme="majorBidi" w:cstheme="majorBidi"/>
                <w:sz w:val="20"/>
                <w:szCs w:val="22"/>
                <w:lang w:val="sr-Latn-ME"/>
              </w:rPr>
              <w:t>ij</w:t>
            </w:r>
            <w:r w:rsidRPr="005A2200">
              <w:rPr>
                <w:rFonts w:asciiTheme="majorBidi" w:hAnsiTheme="majorBidi" w:cstheme="majorBidi"/>
                <w:sz w:val="20"/>
                <w:szCs w:val="22"/>
                <w:lang w:val="sr-Latn-ME"/>
              </w:rPr>
              <w:t>ekom u ispitivanju, odluku l</w:t>
            </w:r>
            <w:r w:rsidR="00683288" w:rsidRPr="005A2200">
              <w:rPr>
                <w:rFonts w:asciiTheme="majorBidi" w:hAnsiTheme="majorBidi" w:cstheme="majorBidi"/>
                <w:sz w:val="20"/>
                <w:szCs w:val="22"/>
                <w:lang w:val="sr-Latn-ME"/>
              </w:rPr>
              <w:t>j</w:t>
            </w:r>
            <w:r w:rsidRPr="005A2200">
              <w:rPr>
                <w:rFonts w:asciiTheme="majorBidi" w:hAnsiTheme="majorBidi" w:cstheme="majorBidi"/>
                <w:sz w:val="20"/>
                <w:szCs w:val="22"/>
                <w:lang w:val="sr-Latn-ME"/>
              </w:rPr>
              <w:t>ekara, odstupanje od protokola, povlačenje ispitanika.</w:t>
            </w:r>
          </w:p>
          <w:p w14:paraId="21FB434F"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color w:val="000000"/>
                <w:sz w:val="20"/>
                <w:szCs w:val="22"/>
                <w:lang w:val="sr-Latn-ME"/>
              </w:rPr>
            </w:pPr>
            <w:r w:rsidRPr="005A2200">
              <w:rPr>
                <w:rFonts w:asciiTheme="majorBidi" w:hAnsiTheme="majorBidi" w:cstheme="majorBidi"/>
                <w:color w:val="000000"/>
                <w:sz w:val="20"/>
                <w:szCs w:val="22"/>
                <w:lang w:val="sr-Latn-ME"/>
              </w:rPr>
              <w:t>Početni režim = inhibitor proteaze pojačan ritonavirom ili kobicistatom (posebno atazanavir, darunavir ili lopinavir), ili</w:t>
            </w:r>
          </w:p>
          <w:p w14:paraId="3F5200B8" w14:textId="329486BB" w:rsidR="00766713" w:rsidRPr="005A2200" w:rsidRDefault="00766713" w:rsidP="005A2200">
            <w:pPr>
              <w:widowControl w:val="0"/>
              <w:tabs>
                <w:tab w:val="left" w:pos="284"/>
              </w:tabs>
              <w:autoSpaceDE w:val="0"/>
              <w:autoSpaceDN w:val="0"/>
              <w:adjustRightInd w:val="0"/>
              <w:jc w:val="both"/>
              <w:rPr>
                <w:rFonts w:asciiTheme="majorBidi" w:eastAsia="Calibri" w:hAnsiTheme="majorBidi" w:cstheme="majorBidi"/>
                <w:sz w:val="22"/>
                <w:szCs w:val="22"/>
                <w:lang w:val="sr-Latn-ME"/>
              </w:rPr>
            </w:pPr>
            <w:r w:rsidRPr="005A2200">
              <w:rPr>
                <w:rFonts w:asciiTheme="majorBidi" w:hAnsiTheme="majorBidi" w:cstheme="majorBidi"/>
                <w:color w:val="000000"/>
                <w:sz w:val="20"/>
                <w:szCs w:val="22"/>
                <w:lang w:val="sr-Latn-ME"/>
              </w:rPr>
              <w:t>elvitegravir pojačan kobicistatom, ili NNRTI (posebno efavirenz, nevirapin ili rilpivirin), svaki prim</w:t>
            </w:r>
            <w:r w:rsidR="00683288" w:rsidRPr="005A2200">
              <w:rPr>
                <w:rFonts w:asciiTheme="majorBidi" w:hAnsiTheme="majorBidi" w:cstheme="majorBidi"/>
                <w:color w:val="000000"/>
                <w:sz w:val="20"/>
                <w:szCs w:val="22"/>
                <w:lang w:val="sr-Latn-ME"/>
              </w:rPr>
              <w:t>ij</w:t>
            </w:r>
            <w:r w:rsidRPr="005A2200">
              <w:rPr>
                <w:rFonts w:asciiTheme="majorBidi" w:hAnsiTheme="majorBidi" w:cstheme="majorBidi"/>
                <w:color w:val="000000"/>
                <w:sz w:val="20"/>
                <w:szCs w:val="22"/>
                <w:lang w:val="sr-Latn-ME"/>
              </w:rPr>
              <w:t xml:space="preserve">enjen sa dva NRTI. </w:t>
            </w:r>
          </w:p>
        </w:tc>
      </w:tr>
    </w:tbl>
    <w:p w14:paraId="3BBBB62D"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2B48AED8" w14:textId="77777777"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1E686DC9" w14:textId="77777777" w:rsidR="00766713" w:rsidRPr="005A2200" w:rsidRDefault="00766713" w:rsidP="005A2200">
      <w:pPr>
        <w:widowControl w:val="0"/>
        <w:jc w:val="both"/>
        <w:rPr>
          <w:rFonts w:asciiTheme="majorBidi" w:hAnsiTheme="majorBidi" w:cstheme="majorBidi"/>
          <w:color w:val="000000"/>
          <w:sz w:val="22"/>
          <w:szCs w:val="22"/>
          <w:u w:val="single"/>
          <w:lang w:val="sr-Latn-ME"/>
        </w:rPr>
      </w:pPr>
      <w:r w:rsidRPr="005A2200">
        <w:rPr>
          <w:rFonts w:asciiTheme="majorBidi" w:hAnsiTheme="majorBidi" w:cstheme="majorBidi"/>
          <w:color w:val="000000"/>
          <w:sz w:val="22"/>
          <w:szCs w:val="22"/>
          <w:u w:val="single"/>
          <w:lang w:val="sr-Latn-ME"/>
        </w:rPr>
        <w:t>Prekid terapije zbog neželjenih efekata</w:t>
      </w:r>
    </w:p>
    <w:p w14:paraId="27487F47" w14:textId="77777777" w:rsidR="00766713" w:rsidRPr="005A2200" w:rsidRDefault="00766713" w:rsidP="005A2200">
      <w:pPr>
        <w:widowControl w:val="0"/>
        <w:jc w:val="both"/>
        <w:rPr>
          <w:rFonts w:asciiTheme="majorBidi" w:eastAsia="SimSun" w:hAnsiTheme="majorBidi" w:cstheme="majorBidi"/>
          <w:color w:val="000000"/>
          <w:sz w:val="22"/>
          <w:szCs w:val="22"/>
          <w:u w:val="single"/>
          <w:lang w:val="sr-Latn-ME"/>
        </w:rPr>
      </w:pPr>
    </w:p>
    <w:p w14:paraId="234796AB" w14:textId="353F72B4" w:rsidR="00766713" w:rsidRPr="005A2200" w:rsidRDefault="00766713" w:rsidP="005A2200">
      <w:pPr>
        <w:widowControl w:val="0"/>
        <w:tabs>
          <w:tab w:val="left" w:pos="284"/>
        </w:tabs>
        <w:autoSpaceDE w:val="0"/>
        <w:autoSpaceDN w:val="0"/>
        <w:adjustRightInd w:val="0"/>
        <w:jc w:val="both"/>
        <w:rPr>
          <w:rFonts w:asciiTheme="majorBidi" w:eastAsia="SimSun" w:hAnsiTheme="majorBidi" w:cstheme="majorBidi"/>
          <w:color w:val="000000"/>
          <w:sz w:val="22"/>
          <w:szCs w:val="22"/>
          <w:lang w:val="sr-Latn-ME"/>
        </w:rPr>
      </w:pPr>
      <w:r w:rsidRPr="005A2200">
        <w:rPr>
          <w:rFonts w:asciiTheme="majorBidi" w:hAnsiTheme="majorBidi" w:cstheme="majorBidi"/>
          <w:color w:val="000000"/>
          <w:sz w:val="22"/>
          <w:szCs w:val="22"/>
          <w:lang w:val="sr-Latn-ME"/>
        </w:rPr>
        <w:t>U analizi objedinjenih podataka iz dva ispitivanja sprovedena kod pacijenata koji prethodno ni</w:t>
      </w:r>
      <w:r w:rsidR="007609C8" w:rsidRPr="005A2200">
        <w:rPr>
          <w:rFonts w:asciiTheme="majorBidi" w:hAnsiTheme="majorBidi" w:cstheme="majorBidi"/>
          <w:color w:val="000000"/>
          <w:sz w:val="22"/>
          <w:szCs w:val="22"/>
          <w:lang w:val="sr-Latn-ME"/>
        </w:rPr>
        <w:t>je</w:t>
      </w:r>
      <w:r w:rsidRPr="005A2200">
        <w:rPr>
          <w:rFonts w:asciiTheme="majorBidi" w:hAnsiTheme="majorBidi" w:cstheme="majorBidi"/>
          <w:color w:val="000000"/>
          <w:sz w:val="22"/>
          <w:szCs w:val="22"/>
          <w:lang w:val="sr-Latn-ME"/>
        </w:rPr>
        <w:t>su bili na terapiji (P007 i DRIVE</w:t>
      </w:r>
      <w:r w:rsidRPr="005A2200">
        <w:rPr>
          <w:rFonts w:asciiTheme="majorBidi" w:hAnsiTheme="majorBidi" w:cstheme="majorBidi"/>
          <w:color w:val="000000"/>
          <w:sz w:val="22"/>
          <w:szCs w:val="22"/>
          <w:lang w:val="sr-Latn-ME"/>
        </w:rPr>
        <w:noBreakHyphen/>
        <w:t xml:space="preserve">AHEAD), </w:t>
      </w:r>
      <w:r w:rsidR="007609C8" w:rsidRPr="005A2200">
        <w:rPr>
          <w:rFonts w:asciiTheme="majorBidi" w:hAnsiTheme="majorBidi" w:cstheme="majorBidi"/>
          <w:color w:val="000000"/>
          <w:sz w:val="22"/>
          <w:szCs w:val="22"/>
          <w:lang w:val="sr-Latn-ME"/>
        </w:rPr>
        <w:t xml:space="preserve">zabilježen </w:t>
      </w:r>
      <w:r w:rsidRPr="005A2200">
        <w:rPr>
          <w:rFonts w:asciiTheme="majorBidi" w:hAnsiTheme="majorBidi" w:cstheme="majorBidi"/>
          <w:color w:val="000000"/>
          <w:sz w:val="22"/>
          <w:szCs w:val="22"/>
          <w:lang w:val="sr-Latn-ME"/>
        </w:rPr>
        <w:t>je manji ud</w:t>
      </w:r>
      <w:r w:rsidR="00683288" w:rsidRPr="005A2200">
        <w:rPr>
          <w:rFonts w:asciiTheme="majorBidi" w:hAnsiTheme="majorBidi" w:cstheme="majorBidi"/>
          <w:color w:val="000000"/>
          <w:sz w:val="22"/>
          <w:szCs w:val="22"/>
          <w:lang w:val="sr-Latn-ME"/>
        </w:rPr>
        <w:t>i</w:t>
      </w:r>
      <w:r w:rsidRPr="005A2200">
        <w:rPr>
          <w:rFonts w:asciiTheme="majorBidi" w:hAnsiTheme="majorBidi" w:cstheme="majorBidi"/>
          <w:color w:val="000000"/>
          <w:sz w:val="22"/>
          <w:szCs w:val="22"/>
          <w:lang w:val="sr-Latn-ME"/>
        </w:rPr>
        <w:t>o ispitanika koji su prekinuli l</w:t>
      </w:r>
      <w:r w:rsidR="00683288" w:rsidRPr="005A2200">
        <w:rPr>
          <w:rFonts w:asciiTheme="majorBidi" w:hAnsiTheme="majorBidi" w:cstheme="majorBidi"/>
          <w:color w:val="000000"/>
          <w:sz w:val="22"/>
          <w:szCs w:val="22"/>
          <w:lang w:val="sr-Latn-ME"/>
        </w:rPr>
        <w:t>ij</w:t>
      </w:r>
      <w:r w:rsidRPr="005A2200">
        <w:rPr>
          <w:rFonts w:asciiTheme="majorBidi" w:hAnsiTheme="majorBidi" w:cstheme="majorBidi"/>
          <w:color w:val="000000"/>
          <w:sz w:val="22"/>
          <w:szCs w:val="22"/>
          <w:lang w:val="sr-Latn-ME"/>
        </w:rPr>
        <w:t>ečenje zbog razvoja neželjenih efekata do 48. ned</w:t>
      </w:r>
      <w:r w:rsidR="007609C8" w:rsidRPr="005A2200">
        <w:rPr>
          <w:rFonts w:asciiTheme="majorBidi" w:hAnsiTheme="majorBidi" w:cstheme="majorBidi"/>
          <w:color w:val="000000"/>
          <w:sz w:val="22"/>
          <w:szCs w:val="22"/>
          <w:lang w:val="sr-Latn-ME"/>
        </w:rPr>
        <w:t>j</w:t>
      </w:r>
      <w:r w:rsidRPr="005A2200">
        <w:rPr>
          <w:rFonts w:asciiTheme="majorBidi" w:hAnsiTheme="majorBidi" w:cstheme="majorBidi"/>
          <w:color w:val="000000"/>
          <w:sz w:val="22"/>
          <w:szCs w:val="22"/>
          <w:lang w:val="sr-Latn-ME"/>
        </w:rPr>
        <w:t xml:space="preserve">elje u objedinjenim grupama na terapiji doravirinom (100 mg) (2,8%) u poređenju sa </w:t>
      </w:r>
      <w:r w:rsidR="007C4006" w:rsidRPr="005A2200">
        <w:rPr>
          <w:rFonts w:asciiTheme="majorBidi" w:hAnsiTheme="majorBidi" w:cstheme="majorBidi"/>
          <w:color w:val="000000"/>
          <w:sz w:val="22"/>
          <w:szCs w:val="22"/>
          <w:lang w:val="sr-Latn-ME"/>
        </w:rPr>
        <w:t>objedinjenim</w:t>
      </w:r>
      <w:r w:rsidRPr="005A2200">
        <w:rPr>
          <w:rFonts w:asciiTheme="majorBidi" w:hAnsiTheme="majorBidi" w:cstheme="majorBidi"/>
          <w:color w:val="000000"/>
          <w:sz w:val="22"/>
          <w:szCs w:val="22"/>
          <w:lang w:val="sr-Latn-ME"/>
        </w:rPr>
        <w:t xml:space="preserve"> grupama na terapiji EFV</w:t>
      </w:r>
      <w:r w:rsidRPr="005A2200">
        <w:rPr>
          <w:rFonts w:asciiTheme="majorBidi" w:hAnsiTheme="majorBidi" w:cstheme="majorBidi"/>
          <w:color w:val="000000"/>
          <w:sz w:val="22"/>
          <w:szCs w:val="22"/>
          <w:lang w:val="sr-Latn-ME"/>
        </w:rPr>
        <w:noBreakHyphen/>
        <w:t xml:space="preserve">om (6,1%) (razlika između terapija: </w:t>
      </w:r>
      <w:r w:rsidRPr="005A2200">
        <w:rPr>
          <w:rFonts w:asciiTheme="majorBidi" w:hAnsiTheme="majorBidi" w:cstheme="majorBidi"/>
          <w:color w:val="000000"/>
          <w:sz w:val="22"/>
          <w:szCs w:val="22"/>
          <w:lang w:val="sr-Latn-ME"/>
        </w:rPr>
        <w:noBreakHyphen/>
        <w:t>3,4%; p</w:t>
      </w:r>
      <w:r w:rsidRPr="005A2200">
        <w:rPr>
          <w:rFonts w:asciiTheme="majorBidi" w:hAnsiTheme="majorBidi" w:cstheme="majorBidi"/>
          <w:color w:val="000000"/>
          <w:sz w:val="22"/>
          <w:szCs w:val="22"/>
          <w:lang w:val="sr-Latn-ME"/>
        </w:rPr>
        <w:noBreakHyphen/>
        <w:t>vr</w:t>
      </w:r>
      <w:r w:rsidR="00683288" w:rsidRPr="005A2200">
        <w:rPr>
          <w:rFonts w:asciiTheme="majorBidi" w:hAnsiTheme="majorBidi" w:cstheme="majorBidi"/>
          <w:color w:val="000000"/>
          <w:sz w:val="22"/>
          <w:szCs w:val="22"/>
          <w:lang w:val="sr-Latn-ME"/>
        </w:rPr>
        <w:t>ij</w:t>
      </w:r>
      <w:r w:rsidRPr="005A2200">
        <w:rPr>
          <w:rFonts w:asciiTheme="majorBidi" w:hAnsiTheme="majorBidi" w:cstheme="majorBidi"/>
          <w:color w:val="000000"/>
          <w:sz w:val="22"/>
          <w:szCs w:val="22"/>
          <w:lang w:val="sr-Latn-ME"/>
        </w:rPr>
        <w:t xml:space="preserve">ednost: 0,012). </w:t>
      </w:r>
    </w:p>
    <w:p w14:paraId="0C6BE9B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22F2429D" w14:textId="77777777" w:rsidR="00766713" w:rsidRPr="005A2200" w:rsidRDefault="00766713" w:rsidP="005A2200">
      <w:pPr>
        <w:widowControl w:val="0"/>
        <w:tabs>
          <w:tab w:val="left" w:pos="284"/>
        </w:tabs>
        <w:jc w:val="both"/>
        <w:rPr>
          <w:rFonts w:asciiTheme="majorBidi" w:hAnsiTheme="majorBidi" w:cstheme="majorBidi"/>
          <w:bCs/>
          <w:iCs/>
          <w:sz w:val="22"/>
          <w:szCs w:val="22"/>
          <w:u w:val="single"/>
          <w:lang w:val="sr-Latn-ME"/>
        </w:rPr>
      </w:pPr>
      <w:r w:rsidRPr="005A2200">
        <w:rPr>
          <w:rFonts w:asciiTheme="majorBidi" w:hAnsiTheme="majorBidi" w:cstheme="majorBidi"/>
          <w:bCs/>
          <w:iCs/>
          <w:sz w:val="22"/>
          <w:szCs w:val="22"/>
          <w:u w:val="single"/>
          <w:lang w:val="sr-Latn-ME"/>
        </w:rPr>
        <w:t>Pedijatrijska populacija</w:t>
      </w:r>
    </w:p>
    <w:p w14:paraId="42F243CC" w14:textId="77777777" w:rsidR="00766713" w:rsidRPr="005A2200" w:rsidRDefault="00766713" w:rsidP="005A2200">
      <w:pPr>
        <w:widowControl w:val="0"/>
        <w:tabs>
          <w:tab w:val="left" w:pos="284"/>
        </w:tabs>
        <w:jc w:val="both"/>
        <w:rPr>
          <w:rFonts w:asciiTheme="majorBidi" w:hAnsiTheme="majorBidi" w:cstheme="majorBidi"/>
          <w:bCs/>
          <w:iCs/>
          <w:sz w:val="22"/>
          <w:szCs w:val="22"/>
          <w:lang w:val="sr-Latn-ME"/>
        </w:rPr>
      </w:pPr>
    </w:p>
    <w:p w14:paraId="3A8576E6" w14:textId="77777777" w:rsidR="003D25A2" w:rsidRPr="005A2200" w:rsidRDefault="003D25A2"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Efikasnost doravirina je procjenjivana u kombinaciji sa lamivudinom i tenofovirdizoproksilom (DOR/3TC/TDF) u otvorenom ispitivanju sa jednom grupom kod pedijatrijskih pacijenata sa HIV-1 infekcijom uzrasta od 12 do &lt; 18 godina (IMPAACT 2014 (Protokol 027)).</w:t>
      </w:r>
    </w:p>
    <w:p w14:paraId="2D2F17CB" w14:textId="77777777" w:rsidR="003D25A2" w:rsidRPr="005A2200" w:rsidRDefault="003D25A2"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02B0901B" w14:textId="28A68216" w:rsidR="003D25A2" w:rsidRPr="005A2200" w:rsidRDefault="003D25A2"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Na početku ispitivanja, medijana starosti ispitanika bila je 15 godina (raspon: 12-17 godina), 58% su bile žene, 78% su bili Azijati, a 22% su bili crnci, a medijana broja CD4+ T ćelija je iznosila 713 ćelija/mm</w:t>
      </w:r>
      <w:r w:rsidRPr="005A2200">
        <w:rPr>
          <w:rFonts w:asciiTheme="majorBidi" w:hAnsiTheme="majorBidi" w:cstheme="majorBidi"/>
          <w:sz w:val="22"/>
          <w:szCs w:val="22"/>
          <w:vertAlign w:val="superscript"/>
          <w:lang w:val="sr-Latn-ME"/>
        </w:rPr>
        <w:t>3</w:t>
      </w:r>
      <w:r w:rsidRPr="005A2200">
        <w:rPr>
          <w:rFonts w:asciiTheme="majorBidi" w:hAnsiTheme="majorBidi" w:cstheme="majorBidi"/>
          <w:sz w:val="22"/>
          <w:szCs w:val="22"/>
          <w:lang w:val="sr-Latn-ME"/>
        </w:rPr>
        <w:t xml:space="preserve"> (opseg: 84 – 1397). Nakon prelaska na DOR/3TC/TDF, 95% (41/43) ispitanika koji su postigli virološku supresiju održalo je supresiju (HIV-1 RNK &lt; 50 kopija/m</w:t>
      </w:r>
      <w:r w:rsidR="00852566"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u 24. nedjelji, a 93% (40/43) je održalo supresiju (HIV-1 RNK &lt; 50 kopija/m</w:t>
      </w:r>
      <w:r w:rsidR="00852566"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u 48. nedjelji.</w:t>
      </w:r>
    </w:p>
    <w:p w14:paraId="4A95089E" w14:textId="77777777" w:rsidR="003D25A2" w:rsidRPr="005A2200" w:rsidRDefault="003D25A2"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631FBCE1" w14:textId="01C137A3"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Evropska agencija za l</w:t>
      </w:r>
      <w:r w:rsidR="00683288"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ekove odložila je obavezu podnošenja rezultata ispitivanja doravirina u jednoj ili više podgrupa pedijatrijske populacije u terapiji infekcije virusom humane imunodeficijencije 1 (HIV</w:t>
      </w:r>
      <w:r w:rsidRPr="005A2200">
        <w:rPr>
          <w:rFonts w:asciiTheme="majorBidi" w:hAnsiTheme="majorBidi" w:cstheme="majorBidi"/>
          <w:sz w:val="22"/>
          <w:szCs w:val="22"/>
          <w:lang w:val="sr-Latn-ME"/>
        </w:rPr>
        <w:noBreakHyphen/>
        <w:t>1).</w:t>
      </w:r>
      <w:r w:rsidRPr="005A2200">
        <w:rPr>
          <w:rFonts w:asciiTheme="majorBidi" w:hAnsiTheme="majorBidi" w:cstheme="majorBidi"/>
          <w:color w:val="1A1A1A"/>
          <w:sz w:val="22"/>
          <w:szCs w:val="22"/>
          <w:lang w:val="sr-Latn-ME"/>
        </w:rPr>
        <w:t xml:space="preserve"> Vid</w:t>
      </w:r>
      <w:r w:rsidR="00683288" w:rsidRPr="005A2200">
        <w:rPr>
          <w:rFonts w:asciiTheme="majorBidi" w:hAnsiTheme="majorBidi" w:cstheme="majorBidi"/>
          <w:color w:val="1A1A1A"/>
          <w:sz w:val="22"/>
          <w:szCs w:val="22"/>
          <w:lang w:val="sr-Latn-ME"/>
        </w:rPr>
        <w:t>j</w:t>
      </w:r>
      <w:r w:rsidRPr="005A2200">
        <w:rPr>
          <w:rFonts w:asciiTheme="majorBidi" w:hAnsiTheme="majorBidi" w:cstheme="majorBidi"/>
          <w:color w:val="1A1A1A"/>
          <w:sz w:val="22"/>
          <w:szCs w:val="22"/>
          <w:lang w:val="sr-Latn-ME"/>
        </w:rPr>
        <w:t xml:space="preserve">eti </w:t>
      </w:r>
      <w:r w:rsidR="007C4006" w:rsidRPr="005A2200">
        <w:rPr>
          <w:rFonts w:asciiTheme="majorBidi" w:hAnsiTheme="majorBidi" w:cstheme="majorBidi"/>
          <w:color w:val="1A1A1A"/>
          <w:sz w:val="22"/>
          <w:szCs w:val="22"/>
          <w:lang w:val="sr-Latn-ME"/>
        </w:rPr>
        <w:t>dio</w:t>
      </w:r>
      <w:r w:rsidRPr="005A2200">
        <w:rPr>
          <w:rFonts w:asciiTheme="majorBidi" w:hAnsiTheme="majorBidi" w:cstheme="majorBidi"/>
          <w:color w:val="1A1A1A"/>
          <w:sz w:val="22"/>
          <w:szCs w:val="22"/>
          <w:lang w:val="sr-Latn-ME"/>
        </w:rPr>
        <w:t xml:space="preserve"> 4.2 za informacije o pedijatrijskoj prim</w:t>
      </w:r>
      <w:r w:rsidR="00683288" w:rsidRPr="005A2200">
        <w:rPr>
          <w:rFonts w:asciiTheme="majorBidi" w:hAnsiTheme="majorBidi" w:cstheme="majorBidi"/>
          <w:color w:val="1A1A1A"/>
          <w:sz w:val="22"/>
          <w:szCs w:val="22"/>
          <w:lang w:val="sr-Latn-ME"/>
        </w:rPr>
        <w:t>j</w:t>
      </w:r>
      <w:r w:rsidRPr="005A2200">
        <w:rPr>
          <w:rFonts w:asciiTheme="majorBidi" w:hAnsiTheme="majorBidi" w:cstheme="majorBidi"/>
          <w:color w:val="1A1A1A"/>
          <w:sz w:val="22"/>
          <w:szCs w:val="22"/>
          <w:lang w:val="sr-Latn-ME"/>
        </w:rPr>
        <w:t>eni.</w:t>
      </w:r>
    </w:p>
    <w:p w14:paraId="0F8E3041" w14:textId="095E1C9E" w:rsidR="002E37A5" w:rsidRPr="005A2200" w:rsidRDefault="002E37A5" w:rsidP="005A2200">
      <w:pPr>
        <w:widowControl w:val="0"/>
        <w:tabs>
          <w:tab w:val="left" w:pos="540"/>
          <w:tab w:val="left" w:pos="569"/>
        </w:tabs>
        <w:jc w:val="both"/>
        <w:rPr>
          <w:rFonts w:asciiTheme="majorBidi" w:hAnsiTheme="majorBidi" w:cstheme="majorBidi"/>
          <w:b/>
          <w:bCs/>
          <w:sz w:val="22"/>
          <w:szCs w:val="22"/>
          <w:lang w:val="sr-Latn-ME"/>
        </w:rPr>
      </w:pPr>
    </w:p>
    <w:p w14:paraId="5CDDE462"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5.2.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Farmakokinetički podaci</w:t>
      </w:r>
      <w:r w:rsidR="003A7059" w:rsidRPr="005A2200">
        <w:rPr>
          <w:rFonts w:asciiTheme="majorBidi" w:hAnsiTheme="majorBidi" w:cstheme="majorBidi"/>
          <w:b/>
          <w:bCs/>
          <w:sz w:val="22"/>
          <w:szCs w:val="22"/>
          <w:lang w:val="sr-Latn-ME"/>
        </w:rPr>
        <w:t xml:space="preserve"> </w:t>
      </w:r>
    </w:p>
    <w:p w14:paraId="478F7B56" w14:textId="01FFA714"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2A6B54F0" w14:textId="77777777" w:rsidR="00766713" w:rsidRPr="005A2200" w:rsidRDefault="00766713" w:rsidP="005A2200">
      <w:pPr>
        <w:widowControl w:val="0"/>
        <w:tabs>
          <w:tab w:val="left" w:pos="284"/>
        </w:tabs>
        <w:ind w:left="567" w:hanging="567"/>
        <w:jc w:val="both"/>
        <w:outlineLvl w:val="0"/>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Resorpcija</w:t>
      </w:r>
    </w:p>
    <w:p w14:paraId="72A63627" w14:textId="77777777" w:rsidR="00766713" w:rsidRPr="005A2200" w:rsidRDefault="00766713" w:rsidP="005A2200">
      <w:pPr>
        <w:widowControl w:val="0"/>
        <w:tabs>
          <w:tab w:val="left" w:pos="284"/>
        </w:tabs>
        <w:ind w:left="567" w:hanging="567"/>
        <w:jc w:val="both"/>
        <w:outlineLvl w:val="0"/>
        <w:rPr>
          <w:rFonts w:asciiTheme="majorBidi" w:hAnsiTheme="majorBidi" w:cstheme="majorBidi"/>
          <w:sz w:val="22"/>
          <w:szCs w:val="22"/>
          <w:u w:val="single"/>
          <w:lang w:val="sr-Latn-ME"/>
        </w:rPr>
      </w:pPr>
    </w:p>
    <w:p w14:paraId="6D78747F" w14:textId="7E97F364"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Farmakokinetika doravirina ispitivala se kod zdravih ispitanika i ispitanika sa HIV</w:t>
      </w:r>
      <w:r w:rsidRPr="005A2200">
        <w:rPr>
          <w:rFonts w:asciiTheme="majorBidi" w:hAnsiTheme="majorBidi" w:cstheme="majorBidi"/>
          <w:sz w:val="22"/>
          <w:szCs w:val="22"/>
          <w:lang w:val="sr-Latn-ME"/>
        </w:rPr>
        <w:noBreakHyphen/>
        <w:t>1 infekcijom. Farmakokinetika doravirina slična je kod zdravih ispitanika i onih sa HIV</w:t>
      </w:r>
      <w:r w:rsidRPr="005A2200">
        <w:rPr>
          <w:rFonts w:asciiTheme="majorBidi" w:hAnsiTheme="majorBidi" w:cstheme="majorBidi"/>
          <w:sz w:val="22"/>
          <w:szCs w:val="22"/>
          <w:lang w:val="sr-Latn-ME"/>
        </w:rPr>
        <w:noBreakHyphen/>
        <w:t xml:space="preserve">1 infekcijom. Stanje </w:t>
      </w:r>
      <w:r w:rsidRPr="005A2200">
        <w:rPr>
          <w:rFonts w:asciiTheme="majorBidi" w:hAnsiTheme="majorBidi" w:cstheme="majorBidi"/>
          <w:sz w:val="22"/>
          <w:szCs w:val="22"/>
          <w:lang w:val="sr-Latn-ME"/>
        </w:rPr>
        <w:lastRenderedPageBreak/>
        <w:t xml:space="preserve">dinamičke ravnoteže obično </w:t>
      </w:r>
      <w:r w:rsidR="007C4006" w:rsidRPr="005A2200">
        <w:rPr>
          <w:rFonts w:asciiTheme="majorBidi" w:hAnsiTheme="majorBidi" w:cstheme="majorBidi"/>
          <w:sz w:val="22"/>
          <w:szCs w:val="22"/>
          <w:lang w:val="sr-Latn-ME"/>
        </w:rPr>
        <w:t>je postignuto</w:t>
      </w:r>
      <w:r w:rsidRPr="005A2200">
        <w:rPr>
          <w:rFonts w:asciiTheme="majorBidi" w:hAnsiTheme="majorBidi" w:cstheme="majorBidi"/>
          <w:sz w:val="22"/>
          <w:szCs w:val="22"/>
          <w:lang w:val="sr-Latn-ME"/>
        </w:rPr>
        <w:t xml:space="preserve"> do 2. dana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jednom dnevno, uz odnos akumulacije od 1,2 do 1,4 za PIK</w:t>
      </w:r>
      <w:r w:rsidRPr="005A2200">
        <w:rPr>
          <w:rFonts w:asciiTheme="majorBidi" w:hAnsiTheme="majorBidi" w:cstheme="majorBidi"/>
          <w:sz w:val="22"/>
          <w:szCs w:val="22"/>
          <w:vertAlign w:val="subscript"/>
          <w:lang w:val="sr-Latn-ME"/>
        </w:rPr>
        <w:t>0-24</w:t>
      </w:r>
      <w:r w:rsidRPr="005A2200">
        <w:rPr>
          <w:rFonts w:asciiTheme="majorBidi" w:hAnsiTheme="majorBidi" w:cstheme="majorBidi"/>
          <w:sz w:val="22"/>
          <w:szCs w:val="22"/>
          <w:lang w:val="sr-Latn-ME"/>
        </w:rPr>
        <w:t>, 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i 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U nastavku se navode podaci zasnovani na populaci</w:t>
      </w:r>
      <w:r w:rsidR="007C4006" w:rsidRPr="005A2200">
        <w:rPr>
          <w:rFonts w:asciiTheme="majorBidi" w:hAnsiTheme="majorBidi" w:cstheme="majorBidi"/>
          <w:sz w:val="22"/>
          <w:szCs w:val="22"/>
          <w:lang w:val="sr-Latn-ME"/>
        </w:rPr>
        <w:t>onoj</w:t>
      </w:r>
      <w:r w:rsidRPr="005A2200">
        <w:rPr>
          <w:rFonts w:asciiTheme="majorBidi" w:hAnsiTheme="majorBidi" w:cstheme="majorBidi"/>
          <w:sz w:val="22"/>
          <w:szCs w:val="22"/>
          <w:lang w:val="sr-Latn-ME"/>
        </w:rPr>
        <w:t xml:space="preserve"> farmakokinetičkoj analizi farmakokinetike doravirina u stanju dinamičke ravnoteže nakon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doze od 100 mg jednom dnevno kod ispitanika sa HIV</w:t>
      </w:r>
      <w:r w:rsidRPr="005A2200">
        <w:rPr>
          <w:rFonts w:asciiTheme="majorBidi" w:hAnsiTheme="majorBidi" w:cstheme="majorBidi"/>
          <w:sz w:val="22"/>
          <w:szCs w:val="22"/>
          <w:lang w:val="sr-Latn-ME"/>
        </w:rPr>
        <w:noBreakHyphen/>
        <w:t>1 infekcijom.</w:t>
      </w:r>
    </w:p>
    <w:p w14:paraId="411A0F91"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8"/>
        <w:gridCol w:w="1639"/>
        <w:gridCol w:w="1759"/>
        <w:gridCol w:w="1697"/>
      </w:tblGrid>
      <w:tr w:rsidR="00766713" w:rsidRPr="005A2200" w14:paraId="5C534AB1" w14:textId="77777777" w:rsidTr="005A2200">
        <w:trPr>
          <w:jc w:val="center"/>
        </w:trPr>
        <w:tc>
          <w:tcPr>
            <w:tcW w:w="0" w:type="auto"/>
            <w:shd w:val="clear" w:color="auto" w:fill="auto"/>
            <w:vAlign w:val="center"/>
          </w:tcPr>
          <w:p w14:paraId="1FD40904" w14:textId="77777777" w:rsidR="00766713" w:rsidRPr="005A2200" w:rsidRDefault="00766713" w:rsidP="005A2200">
            <w:pPr>
              <w:widowControl w:val="0"/>
              <w:ind w:hanging="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Parametar</w:t>
            </w:r>
          </w:p>
          <w:p w14:paraId="246AA20A" w14:textId="77777777" w:rsidR="00766713" w:rsidRPr="005A2200" w:rsidRDefault="00766713" w:rsidP="005A2200">
            <w:pPr>
              <w:widowControl w:val="0"/>
              <w:ind w:hanging="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GM (% CV)</w:t>
            </w:r>
          </w:p>
        </w:tc>
        <w:tc>
          <w:tcPr>
            <w:tcW w:w="0" w:type="auto"/>
            <w:shd w:val="clear" w:color="auto" w:fill="auto"/>
            <w:tcMar>
              <w:left w:w="6" w:type="dxa"/>
              <w:right w:w="6" w:type="dxa"/>
            </w:tcMar>
            <w:vAlign w:val="center"/>
          </w:tcPr>
          <w:p w14:paraId="29D72D54" w14:textId="77777777" w:rsidR="00766713" w:rsidRPr="005A2200" w:rsidRDefault="00766713" w:rsidP="005A2200">
            <w:pPr>
              <w:widowControl w:val="0"/>
              <w:ind w:firstLine="317"/>
              <w:jc w:val="both"/>
              <w:rPr>
                <w:rFonts w:asciiTheme="majorBidi" w:hAnsiTheme="majorBidi" w:cstheme="majorBidi"/>
                <w:sz w:val="22"/>
                <w:szCs w:val="22"/>
                <w:vertAlign w:val="subscript"/>
                <w:lang w:val="sr-Latn-ME"/>
              </w:rPr>
            </w:pPr>
            <w:r w:rsidRPr="005A2200">
              <w:rPr>
                <w:rFonts w:asciiTheme="majorBidi" w:hAnsiTheme="majorBidi" w:cstheme="majorBidi"/>
                <w:sz w:val="22"/>
                <w:szCs w:val="22"/>
                <w:lang w:val="sr-Latn-ME"/>
              </w:rPr>
              <w:t>PIK</w:t>
            </w:r>
            <w:r w:rsidRPr="005A2200">
              <w:rPr>
                <w:rFonts w:asciiTheme="majorBidi" w:hAnsiTheme="majorBidi" w:cstheme="majorBidi"/>
                <w:sz w:val="22"/>
                <w:szCs w:val="22"/>
                <w:vertAlign w:val="subscript"/>
                <w:lang w:val="sr-Latn-ME"/>
              </w:rPr>
              <w:t xml:space="preserve">0-24 </w:t>
            </w:r>
          </w:p>
          <w:p w14:paraId="3EF2C53C" w14:textId="16D95C8A" w:rsidR="00766713" w:rsidRPr="005A2200" w:rsidRDefault="00B4225B" w:rsidP="005A2200">
            <w:pPr>
              <w:widowControl w:val="0"/>
              <w:ind w:firstLine="317"/>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µg</w:t>
            </w:r>
            <w:r w:rsidR="005255D5" w:rsidRPr="005A2200">
              <w:rPr>
                <w:lang w:val="sr-Latn-ME"/>
              </w:rPr>
              <w:t>•</w:t>
            </w:r>
            <w:r w:rsidRPr="005A2200">
              <w:rPr>
                <w:rFonts w:asciiTheme="majorBidi" w:hAnsiTheme="majorBidi" w:cstheme="majorBidi"/>
                <w:sz w:val="22"/>
                <w:szCs w:val="22"/>
                <w:lang w:val="sr-Latn-ME"/>
              </w:rPr>
              <w:t>h/m</w:t>
            </w:r>
            <w:r w:rsidR="00852566" w:rsidRPr="005A2200">
              <w:rPr>
                <w:rFonts w:asciiTheme="majorBidi" w:hAnsiTheme="majorBidi" w:cstheme="majorBidi"/>
                <w:sz w:val="22"/>
                <w:szCs w:val="22"/>
                <w:lang w:val="sr-Latn-ME"/>
              </w:rPr>
              <w:t>l</w:t>
            </w:r>
          </w:p>
        </w:tc>
        <w:tc>
          <w:tcPr>
            <w:tcW w:w="0" w:type="auto"/>
            <w:shd w:val="clear" w:color="auto" w:fill="auto"/>
            <w:tcMar>
              <w:left w:w="6" w:type="dxa"/>
              <w:right w:w="6" w:type="dxa"/>
            </w:tcMar>
            <w:vAlign w:val="center"/>
          </w:tcPr>
          <w:p w14:paraId="028560D9" w14:textId="77777777" w:rsidR="00766713" w:rsidRPr="005A2200" w:rsidRDefault="00766713" w:rsidP="005A2200">
            <w:pPr>
              <w:widowControl w:val="0"/>
              <w:ind w:firstLine="317"/>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max</w:t>
            </w:r>
          </w:p>
          <w:p w14:paraId="51E11456" w14:textId="2BBFC5BE" w:rsidR="00766713" w:rsidRPr="005A2200" w:rsidRDefault="00B4225B" w:rsidP="005A2200">
            <w:pPr>
              <w:widowControl w:val="0"/>
              <w:ind w:firstLine="317"/>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µg/m</w:t>
            </w:r>
            <w:r w:rsidR="00852566" w:rsidRPr="005A2200">
              <w:rPr>
                <w:rFonts w:asciiTheme="majorBidi" w:hAnsiTheme="majorBidi" w:cstheme="majorBidi"/>
                <w:sz w:val="22"/>
                <w:szCs w:val="22"/>
                <w:lang w:val="sr-Latn-ME"/>
              </w:rPr>
              <w:t>l</w:t>
            </w:r>
          </w:p>
        </w:tc>
        <w:tc>
          <w:tcPr>
            <w:tcW w:w="0" w:type="auto"/>
            <w:shd w:val="clear" w:color="auto" w:fill="auto"/>
            <w:tcMar>
              <w:left w:w="6" w:type="dxa"/>
              <w:right w:w="6" w:type="dxa"/>
            </w:tcMar>
            <w:vAlign w:val="center"/>
          </w:tcPr>
          <w:p w14:paraId="42D6073A" w14:textId="77777777" w:rsidR="00766713" w:rsidRPr="005A2200" w:rsidRDefault="00766713" w:rsidP="005A2200">
            <w:pPr>
              <w:widowControl w:val="0"/>
              <w:ind w:firstLine="317"/>
              <w:jc w:val="both"/>
              <w:rPr>
                <w:rFonts w:asciiTheme="majorBidi" w:hAnsiTheme="majorBidi" w:cstheme="majorBidi"/>
                <w:sz w:val="22"/>
                <w:szCs w:val="22"/>
                <w:vertAlign w:val="subscript"/>
                <w:lang w:val="sr-Latn-ME"/>
              </w:rPr>
            </w:pPr>
            <w:r w:rsidRPr="005A2200">
              <w:rPr>
                <w:rFonts w:asciiTheme="majorBidi" w:hAnsiTheme="majorBidi" w:cstheme="majorBidi"/>
                <w:sz w:val="22"/>
                <w:szCs w:val="22"/>
                <w:lang w:val="sr-Latn-ME"/>
              </w:rPr>
              <w:t>C</w:t>
            </w:r>
            <w:r w:rsidRPr="005A2200">
              <w:rPr>
                <w:rFonts w:asciiTheme="majorBidi" w:hAnsiTheme="majorBidi" w:cstheme="majorBidi"/>
                <w:sz w:val="22"/>
                <w:szCs w:val="22"/>
                <w:vertAlign w:val="subscript"/>
                <w:lang w:val="sr-Latn-ME"/>
              </w:rPr>
              <w:t>24</w:t>
            </w:r>
          </w:p>
          <w:p w14:paraId="27E020B3" w14:textId="7711D8EB" w:rsidR="00766713" w:rsidRPr="005A2200" w:rsidRDefault="00B4225B" w:rsidP="005A2200">
            <w:pPr>
              <w:widowControl w:val="0"/>
              <w:ind w:firstLine="317"/>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µg/m</w:t>
            </w:r>
            <w:r w:rsidR="00852566" w:rsidRPr="005A2200">
              <w:rPr>
                <w:rFonts w:asciiTheme="majorBidi" w:hAnsiTheme="majorBidi" w:cstheme="majorBidi"/>
                <w:sz w:val="22"/>
                <w:szCs w:val="22"/>
                <w:lang w:val="sr-Latn-ME"/>
              </w:rPr>
              <w:t>l</w:t>
            </w:r>
          </w:p>
        </w:tc>
      </w:tr>
      <w:tr w:rsidR="00766713" w:rsidRPr="005A2200" w14:paraId="4F9AD858" w14:textId="77777777" w:rsidTr="005A2200">
        <w:trPr>
          <w:jc w:val="center"/>
        </w:trPr>
        <w:tc>
          <w:tcPr>
            <w:tcW w:w="0" w:type="auto"/>
            <w:shd w:val="clear" w:color="auto" w:fill="auto"/>
            <w:vAlign w:val="center"/>
          </w:tcPr>
          <w:p w14:paraId="1B301610" w14:textId="3BAB50DE" w:rsidR="00766713" w:rsidRPr="005A2200" w:rsidRDefault="00766713" w:rsidP="005A2200">
            <w:pPr>
              <w:widowControl w:val="0"/>
              <w:ind w:hanging="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100 mg jednom dnevno</w:t>
            </w:r>
          </w:p>
        </w:tc>
        <w:tc>
          <w:tcPr>
            <w:tcW w:w="0" w:type="auto"/>
            <w:shd w:val="clear" w:color="auto" w:fill="auto"/>
            <w:tcMar>
              <w:left w:w="6" w:type="dxa"/>
              <w:right w:w="6" w:type="dxa"/>
            </w:tcMar>
            <w:vAlign w:val="center"/>
          </w:tcPr>
          <w:p w14:paraId="1ECB133C" w14:textId="3D648926" w:rsidR="00766713" w:rsidRPr="005A2200" w:rsidRDefault="00B4225B" w:rsidP="005A2200">
            <w:pPr>
              <w:widowControl w:val="0"/>
              <w:ind w:firstLine="317"/>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16,1</w:t>
            </w:r>
            <w:r w:rsidR="00766713" w:rsidRPr="005A2200">
              <w:rPr>
                <w:rFonts w:asciiTheme="majorBidi" w:hAnsiTheme="majorBidi" w:cstheme="majorBidi"/>
                <w:sz w:val="22"/>
                <w:szCs w:val="22"/>
                <w:lang w:val="sr-Latn-ME"/>
              </w:rPr>
              <w:t xml:space="preserve"> (29)</w:t>
            </w:r>
          </w:p>
        </w:tc>
        <w:tc>
          <w:tcPr>
            <w:tcW w:w="0" w:type="auto"/>
            <w:shd w:val="clear" w:color="auto" w:fill="auto"/>
            <w:tcMar>
              <w:left w:w="6" w:type="dxa"/>
              <w:right w:w="6" w:type="dxa"/>
            </w:tcMar>
            <w:vAlign w:val="center"/>
          </w:tcPr>
          <w:p w14:paraId="6FADAE90" w14:textId="54EE4315" w:rsidR="00766713" w:rsidRPr="005A2200" w:rsidRDefault="00B4225B" w:rsidP="005A2200">
            <w:pPr>
              <w:widowControl w:val="0"/>
              <w:ind w:firstLine="317"/>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0,962 </w:t>
            </w:r>
            <w:r w:rsidR="00766713" w:rsidRPr="005A2200">
              <w:rPr>
                <w:rFonts w:asciiTheme="majorBidi" w:hAnsiTheme="majorBidi" w:cstheme="majorBidi"/>
                <w:sz w:val="22"/>
                <w:szCs w:val="22"/>
                <w:lang w:val="sr-Latn-ME"/>
              </w:rPr>
              <w:t xml:space="preserve"> (19)</w:t>
            </w:r>
          </w:p>
        </w:tc>
        <w:tc>
          <w:tcPr>
            <w:tcW w:w="0" w:type="auto"/>
            <w:shd w:val="clear" w:color="auto" w:fill="auto"/>
            <w:tcMar>
              <w:left w:w="6" w:type="dxa"/>
              <w:right w:w="6" w:type="dxa"/>
            </w:tcMar>
            <w:vAlign w:val="center"/>
          </w:tcPr>
          <w:p w14:paraId="750EB0A0" w14:textId="53905305" w:rsidR="00766713" w:rsidRPr="005A2200" w:rsidRDefault="00B4225B" w:rsidP="005A2200">
            <w:pPr>
              <w:widowControl w:val="0"/>
              <w:ind w:firstLine="317"/>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0,396</w:t>
            </w:r>
            <w:r w:rsidRPr="005A2200" w:rsidDel="00B4225B">
              <w:rPr>
                <w:rFonts w:asciiTheme="majorBidi" w:hAnsiTheme="majorBidi" w:cstheme="majorBidi"/>
                <w:sz w:val="22"/>
                <w:szCs w:val="22"/>
                <w:lang w:val="sr-Latn-ME"/>
              </w:rPr>
              <w:t xml:space="preserve"> </w:t>
            </w:r>
            <w:r w:rsidR="00766713" w:rsidRPr="005A2200">
              <w:rPr>
                <w:rFonts w:asciiTheme="majorBidi" w:hAnsiTheme="majorBidi" w:cstheme="majorBidi"/>
                <w:sz w:val="22"/>
                <w:szCs w:val="22"/>
                <w:lang w:val="sr-Latn-ME"/>
              </w:rPr>
              <w:t>(63)</w:t>
            </w:r>
          </w:p>
        </w:tc>
      </w:tr>
      <w:tr w:rsidR="00766713" w:rsidRPr="005A2200" w14:paraId="4C2226F0" w14:textId="77777777" w:rsidTr="005A2200">
        <w:trPr>
          <w:jc w:val="center"/>
        </w:trPr>
        <w:tc>
          <w:tcPr>
            <w:tcW w:w="0" w:type="auto"/>
            <w:gridSpan w:val="4"/>
            <w:shd w:val="clear" w:color="auto" w:fill="auto"/>
            <w:vAlign w:val="center"/>
          </w:tcPr>
          <w:p w14:paraId="026A894E" w14:textId="0CB7E542" w:rsidR="00766713" w:rsidRPr="005A2200" w:rsidRDefault="00766713" w:rsidP="005A2200">
            <w:pPr>
              <w:widowControl w:val="0"/>
              <w:ind w:hanging="2"/>
              <w:jc w:val="both"/>
              <w:rPr>
                <w:rFonts w:asciiTheme="majorBidi" w:hAnsiTheme="majorBidi" w:cstheme="majorBidi"/>
                <w:sz w:val="22"/>
                <w:szCs w:val="22"/>
                <w:lang w:val="sr-Latn-ME"/>
              </w:rPr>
            </w:pPr>
            <w:r w:rsidRPr="005A2200">
              <w:rPr>
                <w:rFonts w:asciiTheme="majorBidi" w:hAnsiTheme="majorBidi" w:cstheme="majorBidi"/>
                <w:sz w:val="20"/>
                <w:szCs w:val="22"/>
                <w:lang w:val="sr-Latn-ME"/>
              </w:rPr>
              <w:t xml:space="preserve">GM (engl. </w:t>
            </w:r>
            <w:r w:rsidRPr="005A2200">
              <w:rPr>
                <w:rFonts w:asciiTheme="majorBidi" w:hAnsiTheme="majorBidi" w:cstheme="majorBidi"/>
                <w:i/>
                <w:iCs/>
                <w:sz w:val="20"/>
                <w:szCs w:val="22"/>
                <w:lang w:val="sr-Latn-ME"/>
              </w:rPr>
              <w:t>geometric mean</w:t>
            </w:r>
            <w:r w:rsidRPr="005A2200">
              <w:rPr>
                <w:rFonts w:asciiTheme="majorBidi" w:hAnsiTheme="majorBidi" w:cstheme="majorBidi"/>
                <w:sz w:val="20"/>
                <w:szCs w:val="22"/>
                <w:lang w:val="sr-Latn-ME"/>
              </w:rPr>
              <w:t>): geometrijska srednja vr</w:t>
            </w:r>
            <w:r w:rsidR="00B91336" w:rsidRPr="005A2200">
              <w:rPr>
                <w:rFonts w:asciiTheme="majorBidi" w:hAnsiTheme="majorBidi" w:cstheme="majorBidi"/>
                <w:sz w:val="20"/>
                <w:szCs w:val="22"/>
                <w:lang w:val="sr-Latn-ME"/>
              </w:rPr>
              <w:t>ij</w:t>
            </w:r>
            <w:r w:rsidRPr="005A2200">
              <w:rPr>
                <w:rFonts w:asciiTheme="majorBidi" w:hAnsiTheme="majorBidi" w:cstheme="majorBidi"/>
                <w:sz w:val="20"/>
                <w:szCs w:val="22"/>
                <w:lang w:val="sr-Latn-ME"/>
              </w:rPr>
              <w:t xml:space="preserve">ednost, % CV (engl. </w:t>
            </w:r>
            <w:r w:rsidRPr="005A2200">
              <w:rPr>
                <w:rFonts w:asciiTheme="majorBidi" w:hAnsiTheme="majorBidi" w:cstheme="majorBidi"/>
                <w:i/>
                <w:iCs/>
                <w:sz w:val="20"/>
                <w:szCs w:val="22"/>
                <w:lang w:val="sr-Latn-ME"/>
              </w:rPr>
              <w:t>geometric coefficient of variation</w:t>
            </w:r>
            <w:r w:rsidRPr="005A2200">
              <w:rPr>
                <w:rFonts w:asciiTheme="majorBidi" w:hAnsiTheme="majorBidi" w:cstheme="majorBidi"/>
                <w:sz w:val="20"/>
                <w:szCs w:val="22"/>
                <w:lang w:val="sr-Latn-ME"/>
              </w:rPr>
              <w:t>): geometrijski koeficijent varijacije</w:t>
            </w:r>
          </w:p>
        </w:tc>
      </w:tr>
    </w:tbl>
    <w:p w14:paraId="553CA878" w14:textId="77777777" w:rsidR="00766713" w:rsidRPr="005A2200" w:rsidRDefault="00766713" w:rsidP="005A2200">
      <w:pPr>
        <w:widowControl w:val="0"/>
        <w:tabs>
          <w:tab w:val="left" w:pos="284"/>
        </w:tabs>
        <w:ind w:left="567" w:hanging="567"/>
        <w:jc w:val="both"/>
        <w:outlineLvl w:val="0"/>
        <w:rPr>
          <w:rFonts w:asciiTheme="majorBidi" w:hAnsiTheme="majorBidi" w:cstheme="majorBidi"/>
          <w:b/>
          <w:sz w:val="22"/>
          <w:szCs w:val="22"/>
          <w:lang w:val="sr-Latn-ME"/>
        </w:rPr>
      </w:pPr>
    </w:p>
    <w:p w14:paraId="1317E7ED" w14:textId="791F403E"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Maksimalne koncentracije u plazmi nakon peroralne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postižu se 2 sata nakon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Proc</w:t>
      </w:r>
      <w:r w:rsidR="00B9133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enjena apsolutna bioraspoloživost doravirina iznosi približno 64% za tabletu od 100 mg.</w:t>
      </w:r>
    </w:p>
    <w:p w14:paraId="17292AE5"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p>
    <w:p w14:paraId="215F44B9" w14:textId="3EF07585"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Uticaj hrane na resorpciju nakon peroralne prim</w:t>
      </w:r>
      <w:r w:rsidR="00B91336" w:rsidRPr="005A2200">
        <w:rPr>
          <w:rFonts w:asciiTheme="majorBidi" w:hAnsiTheme="majorBidi" w:cstheme="majorBidi"/>
          <w:sz w:val="22"/>
          <w:szCs w:val="22"/>
          <w:u w:val="single"/>
          <w:lang w:val="sr-Latn-ME"/>
        </w:rPr>
        <w:t>j</w:t>
      </w:r>
      <w:r w:rsidRPr="005A2200">
        <w:rPr>
          <w:rFonts w:asciiTheme="majorBidi" w:hAnsiTheme="majorBidi" w:cstheme="majorBidi"/>
          <w:sz w:val="22"/>
          <w:szCs w:val="22"/>
          <w:u w:val="single"/>
          <w:lang w:val="sr-Latn-ME"/>
        </w:rPr>
        <w:t xml:space="preserve">ene </w:t>
      </w:r>
    </w:p>
    <w:p w14:paraId="5EDC2327" w14:textId="29D957D8"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ena jedne tablete doravirina uz obrok bogat masnoćama kod zdravih ispitanika povećala je PIK i C</w:t>
      </w:r>
      <w:r w:rsidRPr="005A2200">
        <w:rPr>
          <w:rFonts w:asciiTheme="majorBidi" w:hAnsiTheme="majorBidi" w:cstheme="majorBidi"/>
          <w:sz w:val="22"/>
          <w:szCs w:val="22"/>
          <w:vertAlign w:val="subscript"/>
          <w:lang w:val="sr-Latn-ME"/>
        </w:rPr>
        <w:t>24</w:t>
      </w:r>
      <w:r w:rsidRPr="005A2200">
        <w:rPr>
          <w:rFonts w:asciiTheme="majorBidi" w:hAnsiTheme="majorBidi" w:cstheme="majorBidi"/>
          <w:sz w:val="22"/>
          <w:szCs w:val="22"/>
          <w:lang w:val="sr-Latn-ME"/>
        </w:rPr>
        <w:t xml:space="preserve"> doravirina za 16% odnosno 36%, dok na C</w:t>
      </w:r>
      <w:r w:rsidRPr="005A2200">
        <w:rPr>
          <w:rFonts w:asciiTheme="majorBidi" w:hAnsiTheme="majorBidi" w:cstheme="majorBidi"/>
          <w:sz w:val="22"/>
          <w:szCs w:val="22"/>
          <w:vertAlign w:val="subscript"/>
          <w:lang w:val="sr-Latn-ME"/>
        </w:rPr>
        <w:t>max</w:t>
      </w:r>
      <w:r w:rsidRPr="005A2200">
        <w:rPr>
          <w:rFonts w:asciiTheme="majorBidi" w:hAnsiTheme="majorBidi" w:cstheme="majorBidi"/>
          <w:sz w:val="22"/>
          <w:szCs w:val="22"/>
          <w:lang w:val="sr-Latn-ME"/>
        </w:rPr>
        <w:t xml:space="preserve"> nije značajno uticala. </w:t>
      </w:r>
    </w:p>
    <w:p w14:paraId="3E3D86FB"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59700FAB"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Distribucija</w:t>
      </w:r>
    </w:p>
    <w:p w14:paraId="3B15EDB6"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534D29BF" w14:textId="7E627363"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Na osnovu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intravenske mikrodoze utvrđeno je da volumen distribucije doravirina iznosi 60,5</w:t>
      </w:r>
      <w:r w:rsidR="007C4006"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 Vezivanje doravirina za proteine u plazmi iznosi približno 76%.</w:t>
      </w:r>
    </w:p>
    <w:p w14:paraId="52475AEE"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16782E6F"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Biotransformacija</w:t>
      </w:r>
    </w:p>
    <w:p w14:paraId="1B9A273A"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03DF99D1"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Prema podacima </w:t>
      </w:r>
      <w:r w:rsidRPr="005A2200">
        <w:rPr>
          <w:rFonts w:asciiTheme="majorBidi" w:hAnsiTheme="majorBidi" w:cstheme="majorBidi"/>
          <w:i/>
          <w:iCs/>
          <w:sz w:val="22"/>
          <w:szCs w:val="22"/>
          <w:lang w:val="sr-Latn-ME"/>
        </w:rPr>
        <w:t>in vitro</w:t>
      </w:r>
      <w:r w:rsidRPr="005A2200">
        <w:rPr>
          <w:rFonts w:asciiTheme="majorBidi" w:hAnsiTheme="majorBidi" w:cstheme="majorBidi"/>
          <w:sz w:val="22"/>
          <w:szCs w:val="22"/>
          <w:lang w:val="sr-Latn-ME"/>
        </w:rPr>
        <w:t>, doravirin se primarno metaboliše putem enzima CYP3A.</w:t>
      </w:r>
    </w:p>
    <w:p w14:paraId="341C8DD1"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467948D1"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Eliminacija</w:t>
      </w:r>
    </w:p>
    <w:p w14:paraId="35EB551D"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u w:val="single"/>
          <w:lang w:val="sr-Latn-ME"/>
        </w:rPr>
      </w:pPr>
    </w:p>
    <w:p w14:paraId="202D158D" w14:textId="21F1A749"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ima terminaln</w:t>
      </w:r>
      <w:r w:rsidR="0037552A" w:rsidRPr="005A2200">
        <w:rPr>
          <w:rFonts w:asciiTheme="majorBidi" w:hAnsiTheme="majorBidi" w:cstheme="majorBidi"/>
          <w:sz w:val="22"/>
          <w:szCs w:val="22"/>
          <w:lang w:val="sr-Latn-ME"/>
        </w:rPr>
        <w:t>o poluvrijeme eliminacije</w:t>
      </w:r>
      <w:r w:rsidRPr="005A2200">
        <w:rPr>
          <w:rFonts w:asciiTheme="majorBidi" w:hAnsiTheme="majorBidi" w:cstheme="majorBidi"/>
          <w:sz w:val="22"/>
          <w:szCs w:val="22"/>
          <w:lang w:val="sr-Latn-ME"/>
        </w:rPr>
        <w:t xml:space="preserve"> (t</w:t>
      </w:r>
      <w:r w:rsidRPr="005A2200">
        <w:rPr>
          <w:rFonts w:asciiTheme="majorBidi" w:hAnsiTheme="majorBidi" w:cstheme="majorBidi"/>
          <w:sz w:val="22"/>
          <w:szCs w:val="22"/>
          <w:vertAlign w:val="subscript"/>
          <w:lang w:val="sr-Latn-ME"/>
        </w:rPr>
        <w:t>1/2</w:t>
      </w:r>
      <w:r w:rsidRPr="005A2200">
        <w:rPr>
          <w:rFonts w:asciiTheme="majorBidi" w:hAnsiTheme="majorBidi" w:cstheme="majorBidi"/>
          <w:sz w:val="22"/>
          <w:szCs w:val="22"/>
          <w:lang w:val="sr-Latn-ME"/>
        </w:rPr>
        <w:t>) od približno 15 sati. Doravirin se primarno eliminiše oksidativnim metabolizmom posredovanim CYP3A4. Izlučivanje l</w:t>
      </w:r>
      <w:r w:rsidR="00B9133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eka putem žuči u neprom</w:t>
      </w:r>
      <w:r w:rsidR="00B9133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enjenom obliku može doprin</w:t>
      </w:r>
      <w:r w:rsidR="007C400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eti eliminaciji doravirina, ali se ne očekuje da će taj put eliminacije biti značajan. Izlučivanje neprom</w:t>
      </w:r>
      <w:r w:rsidR="00B9133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enjenog l</w:t>
      </w:r>
      <w:r w:rsidR="00B9133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eka urinom je neznatno.</w:t>
      </w:r>
    </w:p>
    <w:p w14:paraId="7CA077CB"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iCs/>
          <w:sz w:val="22"/>
          <w:szCs w:val="22"/>
          <w:lang w:val="sr-Latn-ME"/>
        </w:rPr>
      </w:pPr>
      <w:r w:rsidRPr="005A2200">
        <w:rPr>
          <w:rFonts w:asciiTheme="majorBidi" w:hAnsiTheme="majorBidi" w:cstheme="majorBidi"/>
          <w:iCs/>
          <w:sz w:val="22"/>
          <w:szCs w:val="22"/>
          <w:lang w:val="sr-Latn-ME"/>
        </w:rPr>
        <w:t xml:space="preserve"> </w:t>
      </w:r>
    </w:p>
    <w:p w14:paraId="3320A214" w14:textId="77777777" w:rsidR="00766713" w:rsidRPr="005A2200" w:rsidRDefault="00766713" w:rsidP="005A2200">
      <w:pPr>
        <w:widowControl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Oštećenje funkcije bubrega</w:t>
      </w:r>
    </w:p>
    <w:p w14:paraId="05F6B282" w14:textId="77777777" w:rsidR="00766713" w:rsidRPr="005A2200" w:rsidRDefault="00766713" w:rsidP="005A2200">
      <w:pPr>
        <w:widowControl w:val="0"/>
        <w:jc w:val="both"/>
        <w:rPr>
          <w:rFonts w:asciiTheme="majorBidi" w:hAnsiTheme="majorBidi" w:cstheme="majorBidi"/>
          <w:sz w:val="22"/>
          <w:szCs w:val="22"/>
          <w:lang w:val="sr-Latn-ME"/>
        </w:rPr>
      </w:pPr>
    </w:p>
    <w:p w14:paraId="642AE583" w14:textId="32DF00EC"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se u maloj 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eri izlučuje putem bubrega. U ispitivanju u kojem se 8 ispitanika sa teškim oštećenjem funkcije bubrega upoređivalo sa 8 ispitanika bez oštećenja funkcije bubrega izloženost doravirinu nakon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jedne doze bila je 31% veća kod ispitanika sa teškim oštećenjem funkcije bubrega. U populaci</w:t>
      </w:r>
      <w:r w:rsidR="007C4006" w:rsidRPr="005A2200">
        <w:rPr>
          <w:rFonts w:asciiTheme="majorBidi" w:hAnsiTheme="majorBidi" w:cstheme="majorBidi"/>
          <w:sz w:val="22"/>
          <w:szCs w:val="22"/>
          <w:lang w:val="sr-Latn-ME"/>
        </w:rPr>
        <w:t>onoj</w:t>
      </w:r>
      <w:r w:rsidRPr="005A2200">
        <w:rPr>
          <w:rFonts w:asciiTheme="majorBidi" w:hAnsiTheme="majorBidi" w:cstheme="majorBidi"/>
          <w:sz w:val="22"/>
          <w:szCs w:val="22"/>
          <w:lang w:val="sr-Latn-ME"/>
        </w:rPr>
        <w:t xml:space="preserve"> farmakokinetičkoj analizi, koja je uključivala ispitanike kojima je klirens kreatinina (CrCl) bio između 17 i 317 m</w:t>
      </w:r>
      <w:r w:rsidR="007C4006"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/min, funkcija bubrega nije klinički značajno uticala na farmakokinetiku doravirina. Nije potrebno prilagođavati dozu kod pacijenata sa blagim, um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erenim ili teškim oštećenjem funkcije bubrega. Doravirin se nije ispitivao kod pacijenata u završnom stadijumu bubrežne bolesti ni kod pacijenata na dijalizi (vid</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7C4006"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4.2).</w:t>
      </w:r>
    </w:p>
    <w:p w14:paraId="5CB3CCF2"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iCs/>
          <w:sz w:val="22"/>
          <w:szCs w:val="22"/>
          <w:lang w:val="sr-Latn-ME"/>
        </w:rPr>
      </w:pPr>
    </w:p>
    <w:p w14:paraId="78CA5181" w14:textId="77777777" w:rsidR="00766713" w:rsidRPr="005A2200" w:rsidRDefault="00766713" w:rsidP="005A2200">
      <w:pPr>
        <w:widowControl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Oštećenje funkcije jetre</w:t>
      </w:r>
    </w:p>
    <w:p w14:paraId="04A5A9CB" w14:textId="77777777" w:rsidR="00766713" w:rsidRPr="005A2200" w:rsidRDefault="00766713" w:rsidP="005A2200">
      <w:pPr>
        <w:widowControl w:val="0"/>
        <w:jc w:val="both"/>
        <w:rPr>
          <w:rFonts w:asciiTheme="majorBidi" w:hAnsiTheme="majorBidi" w:cstheme="majorBidi"/>
          <w:sz w:val="22"/>
          <w:szCs w:val="22"/>
          <w:lang w:val="sr-Latn-ME"/>
        </w:rPr>
      </w:pPr>
    </w:p>
    <w:p w14:paraId="626F81D3" w14:textId="6BAA6D05"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se primarno metaboliše i eliminiše putem jetre. Nije bilo klinički značajne razlike u farmakokinetici doravirina u ispitivanju u kojem se 8 ispitanika sa um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erenim oštećenjem funkcije jetre (svrstanih u kategoriju „</w:t>
      </w:r>
      <w:r w:rsidRPr="005A2200">
        <w:rPr>
          <w:rFonts w:asciiTheme="majorBidi" w:hAnsiTheme="majorBidi" w:cstheme="majorBidi"/>
          <w:i/>
          <w:iCs/>
          <w:sz w:val="22"/>
          <w:szCs w:val="22"/>
          <w:lang w:val="sr-Latn-ME"/>
        </w:rPr>
        <w:t>Child</w:t>
      </w:r>
      <w:r w:rsidRPr="005A2200">
        <w:rPr>
          <w:rFonts w:asciiTheme="majorBidi" w:hAnsiTheme="majorBidi" w:cstheme="majorBidi"/>
          <w:i/>
          <w:iCs/>
          <w:sz w:val="22"/>
          <w:szCs w:val="22"/>
          <w:lang w:val="sr-Latn-ME"/>
        </w:rPr>
        <w:noBreakHyphen/>
        <w:t>Pugh</w:t>
      </w:r>
      <w:r w:rsidRPr="005A2200">
        <w:rPr>
          <w:rFonts w:asciiTheme="majorBidi" w:hAnsiTheme="majorBidi" w:cstheme="majorBidi"/>
          <w:sz w:val="22"/>
          <w:szCs w:val="22"/>
          <w:lang w:val="sr-Latn-ME"/>
        </w:rPr>
        <w:t xml:space="preserve"> stepen B“</w:t>
      </w:r>
      <w:r w:rsidR="00862082" w:rsidRPr="005A2200">
        <w:rPr>
          <w:rFonts w:asciiTheme="majorBidi" w:hAnsiTheme="majorBidi" w:cstheme="majorBidi"/>
          <w:sz w:val="22"/>
          <w:szCs w:val="22"/>
          <w:lang w:val="sr-Latn-ME"/>
        </w:rPr>
        <w:t xml:space="preserve"> </w:t>
      </w:r>
      <w:r w:rsidRPr="005A2200">
        <w:rPr>
          <w:rFonts w:asciiTheme="majorBidi" w:hAnsiTheme="majorBidi" w:cstheme="majorBidi"/>
          <w:sz w:val="22"/>
          <w:szCs w:val="22"/>
          <w:lang w:val="sr-Latn-ME"/>
        </w:rPr>
        <w:t>prvenstveno zbog povišenih rezultata za encefalopatiju i ascites) upoređivalo sa 8 ispitanika bez oštećenja funkcije jetre. Nije potrebno prilagođavati dozu kod pacijenata sa blagim ili um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erenim oštećenjem funkcije jetre. Doravirin se nije ispitivao kod ispitanika sa teškim oštećenjem funkcije jetre (</w:t>
      </w:r>
      <w:r w:rsidRPr="005A2200">
        <w:rPr>
          <w:rFonts w:asciiTheme="majorBidi" w:hAnsiTheme="majorBidi" w:cstheme="majorBidi"/>
          <w:i/>
          <w:iCs/>
          <w:sz w:val="22"/>
          <w:szCs w:val="22"/>
          <w:lang w:val="sr-Latn-ME"/>
        </w:rPr>
        <w:t>Child</w:t>
      </w:r>
      <w:r w:rsidRPr="005A2200">
        <w:rPr>
          <w:rFonts w:asciiTheme="majorBidi" w:hAnsiTheme="majorBidi" w:cstheme="majorBidi"/>
          <w:i/>
          <w:iCs/>
          <w:sz w:val="22"/>
          <w:szCs w:val="22"/>
          <w:lang w:val="sr-Latn-ME"/>
        </w:rPr>
        <w:noBreakHyphen/>
        <w:t>Pugh</w:t>
      </w:r>
      <w:r w:rsidRPr="005A2200">
        <w:rPr>
          <w:rFonts w:asciiTheme="majorBidi" w:hAnsiTheme="majorBidi" w:cstheme="majorBidi"/>
          <w:sz w:val="22"/>
          <w:szCs w:val="22"/>
          <w:lang w:val="sr-Latn-ME"/>
        </w:rPr>
        <w:t xml:space="preserve"> stepen C) (vid</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eti </w:t>
      </w:r>
      <w:r w:rsidR="00121114" w:rsidRPr="005A2200">
        <w:rPr>
          <w:rFonts w:asciiTheme="majorBidi" w:hAnsiTheme="majorBidi" w:cstheme="majorBidi"/>
          <w:sz w:val="22"/>
          <w:szCs w:val="22"/>
          <w:lang w:val="sr-Latn-ME"/>
        </w:rPr>
        <w:t>dio</w:t>
      </w:r>
      <w:r w:rsidRPr="005A2200">
        <w:rPr>
          <w:rFonts w:asciiTheme="majorBidi" w:hAnsiTheme="majorBidi" w:cstheme="majorBidi"/>
          <w:sz w:val="22"/>
          <w:szCs w:val="22"/>
          <w:lang w:val="sr-Latn-ME"/>
        </w:rPr>
        <w:t xml:space="preserve"> 4.2).</w:t>
      </w:r>
    </w:p>
    <w:p w14:paraId="6AD45484"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p>
    <w:p w14:paraId="1FD905EA" w14:textId="77777777" w:rsidR="00267B20" w:rsidRPr="005A2200" w:rsidRDefault="00267B20" w:rsidP="005A2200">
      <w:pPr>
        <w:widowControl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Pedijatrijska populacija</w:t>
      </w:r>
    </w:p>
    <w:p w14:paraId="7721808C" w14:textId="63028454" w:rsidR="00267B20" w:rsidRPr="005A2200" w:rsidRDefault="00267B20"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Srednje vr</w:t>
      </w:r>
      <w:r w:rsidR="00583DCE"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ednosti izloženosti doravirinu kod 54 pedijatrijska pacijenta uzrasta od 12 do &lt; 18 godina i t</w:t>
      </w:r>
      <w:r w:rsidR="00583DCE"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elesne mase od najmanje 35 kg l</w:t>
      </w:r>
      <w:r w:rsidR="00583DCE"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 xml:space="preserve">ečenih doravirinom ili doravirinom/lamivudinom/tenofovir </w:t>
      </w:r>
      <w:r w:rsidRPr="005A2200">
        <w:rPr>
          <w:rFonts w:asciiTheme="majorBidi" w:hAnsiTheme="majorBidi" w:cstheme="majorBidi"/>
          <w:sz w:val="22"/>
          <w:szCs w:val="22"/>
          <w:lang w:val="sr-Latn-ME"/>
        </w:rPr>
        <w:lastRenderedPageBreak/>
        <w:t>dizoproksilom u ispitivanju IMPAACT 2014 (Protokol 027) bile su slične onima kod odraslih pacijenata</w:t>
      </w:r>
      <w:r w:rsidR="00780246" w:rsidRPr="005A2200">
        <w:rPr>
          <w:rFonts w:asciiTheme="majorBidi" w:hAnsiTheme="majorBidi" w:cstheme="majorBidi"/>
          <w:sz w:val="22"/>
          <w:szCs w:val="22"/>
          <w:lang w:val="sr-Latn-ME"/>
        </w:rPr>
        <w:t xml:space="preserve"> nakon</w:t>
      </w:r>
      <w:r w:rsidRPr="005A2200">
        <w:rPr>
          <w:rFonts w:asciiTheme="majorBidi" w:hAnsiTheme="majorBidi" w:cstheme="majorBidi"/>
          <w:sz w:val="22"/>
          <w:szCs w:val="22"/>
          <w:lang w:val="sr-Latn-ME"/>
        </w:rPr>
        <w:t xml:space="preserve"> prim</w:t>
      </w:r>
      <w:r w:rsidR="00583DCE"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doravirina ili doravirina/lamivudina/tenofovir dizoproksila (</w:t>
      </w:r>
      <w:r w:rsidR="00852566" w:rsidRPr="005A2200">
        <w:rPr>
          <w:rFonts w:asciiTheme="majorBidi" w:hAnsiTheme="majorBidi" w:cstheme="majorBidi"/>
          <w:sz w:val="22"/>
          <w:szCs w:val="22"/>
          <w:lang w:val="sr-Latn-ME"/>
        </w:rPr>
        <w:t>T</w:t>
      </w:r>
      <w:r w:rsidRPr="005A2200">
        <w:rPr>
          <w:rFonts w:asciiTheme="majorBidi" w:hAnsiTheme="majorBidi" w:cstheme="majorBidi"/>
          <w:sz w:val="22"/>
          <w:szCs w:val="22"/>
          <w:lang w:val="sr-Latn-ME"/>
        </w:rPr>
        <w:t>abela 7).</w:t>
      </w:r>
    </w:p>
    <w:p w14:paraId="474B9CFD" w14:textId="20F48180" w:rsidR="00267B20" w:rsidRPr="005A2200" w:rsidRDefault="00267B20" w:rsidP="005A2200">
      <w:pPr>
        <w:widowControl w:val="0"/>
        <w:jc w:val="both"/>
        <w:rPr>
          <w:rFonts w:asciiTheme="majorBidi" w:hAnsiTheme="majorBidi" w:cstheme="majorBidi"/>
          <w:sz w:val="22"/>
          <w:szCs w:val="22"/>
          <w:u w:val="single"/>
          <w:lang w:val="sr-Latn-ME"/>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4310"/>
      </w:tblGrid>
      <w:tr w:rsidR="00267B20" w:rsidRPr="005A2200" w14:paraId="55E6413E" w14:textId="77777777" w:rsidTr="005A2200">
        <w:tc>
          <w:tcPr>
            <w:tcW w:w="0" w:type="auto"/>
            <w:gridSpan w:val="2"/>
            <w:tcBorders>
              <w:top w:val="nil"/>
              <w:left w:val="nil"/>
              <w:bottom w:val="single" w:sz="4" w:space="0" w:color="auto"/>
              <w:right w:val="nil"/>
            </w:tcBorders>
            <w:shd w:val="clear" w:color="auto" w:fill="auto"/>
          </w:tcPr>
          <w:p w14:paraId="2C5CC5C1" w14:textId="77777777" w:rsidR="00267B20" w:rsidRDefault="00267B20" w:rsidP="005A2200">
            <w:pPr>
              <w:widowControl w:val="0"/>
              <w:tabs>
                <w:tab w:val="left" w:pos="567"/>
              </w:tabs>
              <w:jc w:val="center"/>
              <w:rPr>
                <w:b/>
                <w:sz w:val="22"/>
                <w:szCs w:val="22"/>
                <w:lang w:val="sr-Latn-ME"/>
              </w:rPr>
            </w:pPr>
            <w:r w:rsidRPr="005A2200">
              <w:rPr>
                <w:b/>
                <w:sz w:val="22"/>
                <w:szCs w:val="22"/>
                <w:lang w:val="sr-Latn-ME"/>
              </w:rPr>
              <w:t>Tabela 7: Farmakokinetika doravirina u stanju dinamičke ravnoteže nakon prim</w:t>
            </w:r>
            <w:r w:rsidR="00583DCE" w:rsidRPr="005A2200">
              <w:rPr>
                <w:b/>
                <w:sz w:val="22"/>
                <w:szCs w:val="22"/>
                <w:lang w:val="sr-Latn-ME"/>
              </w:rPr>
              <w:t>j</w:t>
            </w:r>
            <w:r w:rsidRPr="005A2200">
              <w:rPr>
                <w:b/>
                <w:sz w:val="22"/>
                <w:szCs w:val="22"/>
                <w:lang w:val="sr-Latn-ME"/>
              </w:rPr>
              <w:t>ene doravirina ili doravirina/lamivudina/tenofovir dizoproksila kod pedijatrijskih pacijenata sa HIV infekcijom uzrasta od 12 do &lt; 18 godina i t</w:t>
            </w:r>
            <w:r w:rsidR="00583DCE" w:rsidRPr="005A2200">
              <w:rPr>
                <w:b/>
                <w:sz w:val="22"/>
                <w:szCs w:val="22"/>
                <w:lang w:val="sr-Latn-ME"/>
              </w:rPr>
              <w:t>j</w:t>
            </w:r>
            <w:r w:rsidRPr="005A2200">
              <w:rPr>
                <w:b/>
                <w:sz w:val="22"/>
                <w:szCs w:val="22"/>
                <w:lang w:val="sr-Latn-ME"/>
              </w:rPr>
              <w:t>elesne mase od najmanje 35 kg</w:t>
            </w:r>
          </w:p>
          <w:p w14:paraId="1EFC7376" w14:textId="2814430B" w:rsidR="002061FD" w:rsidRPr="005A2200" w:rsidRDefault="002061FD" w:rsidP="005A2200">
            <w:pPr>
              <w:widowControl w:val="0"/>
              <w:tabs>
                <w:tab w:val="left" w:pos="567"/>
              </w:tabs>
              <w:jc w:val="center"/>
              <w:rPr>
                <w:b/>
                <w:sz w:val="22"/>
                <w:szCs w:val="22"/>
                <w:lang w:val="sr-Latn-ME"/>
              </w:rPr>
            </w:pPr>
          </w:p>
        </w:tc>
      </w:tr>
      <w:tr w:rsidR="00267B20" w:rsidRPr="005A2200" w14:paraId="2398BB01" w14:textId="77777777" w:rsidTr="005A2200">
        <w:tc>
          <w:tcPr>
            <w:tcW w:w="0" w:type="auto"/>
            <w:tcBorders>
              <w:bottom w:val="single" w:sz="4" w:space="0" w:color="auto"/>
            </w:tcBorders>
            <w:shd w:val="clear" w:color="auto" w:fill="auto"/>
          </w:tcPr>
          <w:p w14:paraId="7D61DD62" w14:textId="77777777" w:rsidR="00267B20" w:rsidRPr="005A2200" w:rsidRDefault="00267B20" w:rsidP="005A2200">
            <w:pPr>
              <w:widowControl w:val="0"/>
              <w:tabs>
                <w:tab w:val="left" w:pos="567"/>
              </w:tabs>
              <w:spacing w:line="260" w:lineRule="exact"/>
              <w:jc w:val="center"/>
              <w:rPr>
                <w:b/>
                <w:sz w:val="22"/>
                <w:szCs w:val="22"/>
                <w:lang w:val="sr-Latn-ME"/>
              </w:rPr>
            </w:pPr>
            <w:r w:rsidRPr="005A2200">
              <w:rPr>
                <w:b/>
                <w:sz w:val="22"/>
                <w:szCs w:val="22"/>
                <w:lang w:val="sr-Latn-ME"/>
              </w:rPr>
              <w:t>Parametar*</w:t>
            </w:r>
          </w:p>
        </w:tc>
        <w:tc>
          <w:tcPr>
            <w:tcW w:w="0" w:type="auto"/>
            <w:tcBorders>
              <w:bottom w:val="single" w:sz="4" w:space="0" w:color="auto"/>
            </w:tcBorders>
            <w:shd w:val="clear" w:color="auto" w:fill="auto"/>
          </w:tcPr>
          <w:p w14:paraId="2E76EE17" w14:textId="77777777" w:rsidR="00267B20" w:rsidRPr="005A2200" w:rsidRDefault="00267B20" w:rsidP="005A2200">
            <w:pPr>
              <w:widowControl w:val="0"/>
              <w:tabs>
                <w:tab w:val="left" w:pos="567"/>
              </w:tabs>
              <w:spacing w:line="260" w:lineRule="exact"/>
              <w:jc w:val="center"/>
              <w:rPr>
                <w:b/>
                <w:sz w:val="22"/>
                <w:szCs w:val="22"/>
                <w:vertAlign w:val="superscript"/>
                <w:lang w:val="sr-Latn-ME"/>
              </w:rPr>
            </w:pPr>
            <w:r w:rsidRPr="005A2200">
              <w:rPr>
                <w:b/>
                <w:sz w:val="22"/>
                <w:szCs w:val="22"/>
                <w:lang w:val="sr-Latn-ME"/>
              </w:rPr>
              <w:t>Doravirin</w:t>
            </w:r>
            <w:r w:rsidRPr="005A2200">
              <w:rPr>
                <w:b/>
                <w:sz w:val="22"/>
                <w:szCs w:val="22"/>
                <w:vertAlign w:val="superscript"/>
                <w:lang w:val="sr-Latn-ME"/>
              </w:rPr>
              <w:t>†</w:t>
            </w:r>
          </w:p>
        </w:tc>
      </w:tr>
      <w:tr w:rsidR="00267B20" w:rsidRPr="005A2200" w14:paraId="391C3418" w14:textId="77777777" w:rsidTr="005A2200">
        <w:tc>
          <w:tcPr>
            <w:tcW w:w="0" w:type="auto"/>
            <w:shd w:val="clear" w:color="auto" w:fill="auto"/>
            <w:vAlign w:val="center"/>
          </w:tcPr>
          <w:p w14:paraId="354AD641" w14:textId="77777777" w:rsidR="00267B20" w:rsidRPr="005A2200" w:rsidRDefault="00267B20" w:rsidP="005A2200">
            <w:pPr>
              <w:widowControl w:val="0"/>
              <w:tabs>
                <w:tab w:val="left" w:pos="567"/>
              </w:tabs>
              <w:spacing w:line="260" w:lineRule="exact"/>
              <w:jc w:val="center"/>
              <w:rPr>
                <w:sz w:val="22"/>
                <w:szCs w:val="22"/>
                <w:vertAlign w:val="subscript"/>
                <w:lang w:val="sr-Latn-ME"/>
              </w:rPr>
            </w:pPr>
            <w:r w:rsidRPr="005A2200">
              <w:rPr>
                <w:sz w:val="22"/>
                <w:szCs w:val="22"/>
                <w:lang w:val="sr-Latn-ME"/>
              </w:rPr>
              <w:t>PIK</w:t>
            </w:r>
            <w:r w:rsidRPr="005A2200">
              <w:rPr>
                <w:sz w:val="22"/>
                <w:szCs w:val="22"/>
                <w:vertAlign w:val="subscript"/>
                <w:lang w:val="sr-Latn-ME"/>
              </w:rPr>
              <w:t>0-24</w:t>
            </w:r>
          </w:p>
          <w:p w14:paraId="130A3AA2" w14:textId="729B6480" w:rsidR="00267B20" w:rsidRPr="005A2200" w:rsidRDefault="00267B20" w:rsidP="005A2200">
            <w:pPr>
              <w:widowControl w:val="0"/>
              <w:tabs>
                <w:tab w:val="left" w:pos="567"/>
              </w:tabs>
              <w:spacing w:line="260" w:lineRule="exact"/>
              <w:jc w:val="center"/>
              <w:rPr>
                <w:sz w:val="22"/>
                <w:szCs w:val="22"/>
                <w:lang w:val="sr-Latn-ME"/>
              </w:rPr>
            </w:pPr>
            <w:r w:rsidRPr="005A2200">
              <w:rPr>
                <w:sz w:val="22"/>
                <w:szCs w:val="22"/>
                <w:lang w:val="sr-Latn-ME"/>
              </w:rPr>
              <w:t>(µg•h/m</w:t>
            </w:r>
            <w:r w:rsidR="00852566" w:rsidRPr="005A2200">
              <w:rPr>
                <w:sz w:val="22"/>
                <w:szCs w:val="22"/>
                <w:lang w:val="sr-Latn-ME"/>
              </w:rPr>
              <w:t>l</w:t>
            </w:r>
            <w:r w:rsidRPr="005A2200">
              <w:rPr>
                <w:sz w:val="22"/>
                <w:szCs w:val="22"/>
                <w:lang w:val="sr-Latn-ME"/>
              </w:rPr>
              <w:t>)</w:t>
            </w:r>
          </w:p>
        </w:tc>
        <w:tc>
          <w:tcPr>
            <w:tcW w:w="0" w:type="auto"/>
            <w:shd w:val="clear" w:color="auto" w:fill="auto"/>
            <w:vAlign w:val="center"/>
          </w:tcPr>
          <w:p w14:paraId="0A78031D" w14:textId="77777777" w:rsidR="00267B20" w:rsidRPr="005A2200" w:rsidRDefault="00267B20" w:rsidP="005A2200">
            <w:pPr>
              <w:widowControl w:val="0"/>
              <w:tabs>
                <w:tab w:val="left" w:pos="567"/>
              </w:tabs>
              <w:spacing w:line="260" w:lineRule="exact"/>
              <w:jc w:val="center"/>
              <w:rPr>
                <w:sz w:val="22"/>
                <w:szCs w:val="22"/>
                <w:lang w:val="sr-Latn-ME"/>
              </w:rPr>
            </w:pPr>
            <w:r w:rsidRPr="005A2200">
              <w:rPr>
                <w:sz w:val="22"/>
                <w:szCs w:val="22"/>
                <w:lang w:val="sr-Latn-ME"/>
              </w:rPr>
              <w:t>16,4 (24)</w:t>
            </w:r>
          </w:p>
        </w:tc>
      </w:tr>
      <w:tr w:rsidR="00267B20" w:rsidRPr="005A2200" w14:paraId="2382E948" w14:textId="77777777" w:rsidTr="005A2200">
        <w:tc>
          <w:tcPr>
            <w:tcW w:w="0" w:type="auto"/>
            <w:shd w:val="clear" w:color="auto" w:fill="auto"/>
            <w:vAlign w:val="center"/>
          </w:tcPr>
          <w:p w14:paraId="0A075E47" w14:textId="77777777" w:rsidR="00267B20" w:rsidRPr="005A2200" w:rsidRDefault="00267B20" w:rsidP="005A2200">
            <w:pPr>
              <w:widowControl w:val="0"/>
              <w:tabs>
                <w:tab w:val="left" w:pos="567"/>
              </w:tabs>
              <w:spacing w:line="260" w:lineRule="exact"/>
              <w:jc w:val="center"/>
              <w:rPr>
                <w:sz w:val="22"/>
                <w:szCs w:val="22"/>
                <w:vertAlign w:val="subscript"/>
                <w:lang w:val="sr-Latn-ME"/>
              </w:rPr>
            </w:pPr>
            <w:r w:rsidRPr="005A2200">
              <w:rPr>
                <w:sz w:val="22"/>
                <w:szCs w:val="22"/>
                <w:lang w:val="sr-Latn-ME"/>
              </w:rPr>
              <w:t>C</w:t>
            </w:r>
            <w:r w:rsidRPr="005A2200">
              <w:rPr>
                <w:sz w:val="22"/>
                <w:szCs w:val="22"/>
                <w:vertAlign w:val="subscript"/>
                <w:lang w:val="sr-Latn-ME"/>
              </w:rPr>
              <w:t>max</w:t>
            </w:r>
          </w:p>
          <w:p w14:paraId="57B8904D" w14:textId="4E6B8879" w:rsidR="00267B20" w:rsidRPr="005A2200" w:rsidRDefault="00267B20" w:rsidP="005A2200">
            <w:pPr>
              <w:widowControl w:val="0"/>
              <w:tabs>
                <w:tab w:val="left" w:pos="567"/>
              </w:tabs>
              <w:spacing w:line="260" w:lineRule="exact"/>
              <w:jc w:val="center"/>
              <w:rPr>
                <w:sz w:val="22"/>
                <w:szCs w:val="22"/>
                <w:lang w:val="sr-Latn-ME"/>
              </w:rPr>
            </w:pPr>
            <w:r w:rsidRPr="005A2200">
              <w:rPr>
                <w:sz w:val="22"/>
                <w:szCs w:val="22"/>
                <w:lang w:val="sr-Latn-ME"/>
              </w:rPr>
              <w:t>(µg/m</w:t>
            </w:r>
            <w:r w:rsidR="00852566" w:rsidRPr="005A2200">
              <w:rPr>
                <w:sz w:val="22"/>
                <w:szCs w:val="22"/>
                <w:lang w:val="sr-Latn-ME"/>
              </w:rPr>
              <w:t>l</w:t>
            </w:r>
            <w:r w:rsidRPr="005A2200">
              <w:rPr>
                <w:sz w:val="22"/>
                <w:szCs w:val="22"/>
                <w:lang w:val="sr-Latn-ME"/>
              </w:rPr>
              <w:t>)</w:t>
            </w:r>
          </w:p>
        </w:tc>
        <w:tc>
          <w:tcPr>
            <w:tcW w:w="0" w:type="auto"/>
            <w:shd w:val="clear" w:color="auto" w:fill="auto"/>
          </w:tcPr>
          <w:p w14:paraId="5E84B0E3" w14:textId="77777777" w:rsidR="00267B20" w:rsidRPr="005A2200" w:rsidRDefault="00267B20" w:rsidP="005A2200">
            <w:pPr>
              <w:widowControl w:val="0"/>
              <w:tabs>
                <w:tab w:val="left" w:pos="567"/>
              </w:tabs>
              <w:spacing w:line="260" w:lineRule="exact"/>
              <w:jc w:val="center"/>
              <w:rPr>
                <w:sz w:val="22"/>
                <w:szCs w:val="22"/>
                <w:lang w:val="sr-Latn-ME"/>
              </w:rPr>
            </w:pPr>
            <w:r w:rsidRPr="005A2200">
              <w:rPr>
                <w:sz w:val="22"/>
                <w:szCs w:val="22"/>
                <w:lang w:val="sr-Latn-ME"/>
              </w:rPr>
              <w:t>1,03 (16)</w:t>
            </w:r>
          </w:p>
        </w:tc>
      </w:tr>
      <w:tr w:rsidR="00267B20" w:rsidRPr="005A2200" w14:paraId="5211DB16" w14:textId="77777777" w:rsidTr="005A2200">
        <w:tc>
          <w:tcPr>
            <w:tcW w:w="0" w:type="auto"/>
            <w:shd w:val="clear" w:color="auto" w:fill="auto"/>
            <w:vAlign w:val="center"/>
          </w:tcPr>
          <w:p w14:paraId="703C2973" w14:textId="77777777" w:rsidR="00267B20" w:rsidRPr="005A2200" w:rsidRDefault="00267B20" w:rsidP="005A2200">
            <w:pPr>
              <w:widowControl w:val="0"/>
              <w:tabs>
                <w:tab w:val="left" w:pos="567"/>
              </w:tabs>
              <w:spacing w:line="260" w:lineRule="exact"/>
              <w:jc w:val="center"/>
              <w:rPr>
                <w:sz w:val="22"/>
                <w:szCs w:val="22"/>
                <w:lang w:val="sr-Latn-ME"/>
              </w:rPr>
            </w:pPr>
            <w:r w:rsidRPr="005A2200">
              <w:rPr>
                <w:sz w:val="22"/>
                <w:szCs w:val="22"/>
                <w:lang w:val="sr-Latn-ME"/>
              </w:rPr>
              <w:t>C</w:t>
            </w:r>
            <w:r w:rsidRPr="005A2200">
              <w:rPr>
                <w:sz w:val="22"/>
                <w:szCs w:val="22"/>
                <w:vertAlign w:val="subscript"/>
                <w:lang w:val="sr-Latn-ME"/>
              </w:rPr>
              <w:t>24</w:t>
            </w:r>
          </w:p>
          <w:p w14:paraId="4F0F06C1" w14:textId="0E5F5B1C" w:rsidR="00267B20" w:rsidRPr="005A2200" w:rsidRDefault="00267B20" w:rsidP="005A2200">
            <w:pPr>
              <w:widowControl w:val="0"/>
              <w:tabs>
                <w:tab w:val="left" w:pos="567"/>
              </w:tabs>
              <w:spacing w:line="260" w:lineRule="exact"/>
              <w:jc w:val="center"/>
              <w:rPr>
                <w:sz w:val="22"/>
                <w:szCs w:val="22"/>
                <w:lang w:val="sr-Latn-ME"/>
              </w:rPr>
            </w:pPr>
            <w:r w:rsidRPr="005A2200">
              <w:rPr>
                <w:sz w:val="22"/>
                <w:szCs w:val="22"/>
                <w:lang w:val="sr-Latn-ME"/>
              </w:rPr>
              <w:t>(µg/m</w:t>
            </w:r>
            <w:r w:rsidR="00852566" w:rsidRPr="005A2200">
              <w:rPr>
                <w:sz w:val="22"/>
                <w:szCs w:val="22"/>
                <w:lang w:val="sr-Latn-ME"/>
              </w:rPr>
              <w:t>l</w:t>
            </w:r>
            <w:r w:rsidRPr="005A2200">
              <w:rPr>
                <w:sz w:val="22"/>
                <w:szCs w:val="22"/>
                <w:lang w:val="sr-Latn-ME"/>
              </w:rPr>
              <w:t>)</w:t>
            </w:r>
          </w:p>
        </w:tc>
        <w:tc>
          <w:tcPr>
            <w:tcW w:w="0" w:type="auto"/>
            <w:shd w:val="clear" w:color="auto" w:fill="auto"/>
          </w:tcPr>
          <w:p w14:paraId="0E82FC33" w14:textId="77777777" w:rsidR="00267B20" w:rsidRPr="005A2200" w:rsidRDefault="00267B20" w:rsidP="005A2200">
            <w:pPr>
              <w:widowControl w:val="0"/>
              <w:tabs>
                <w:tab w:val="left" w:pos="567"/>
              </w:tabs>
              <w:spacing w:line="260" w:lineRule="exact"/>
              <w:jc w:val="center"/>
              <w:rPr>
                <w:sz w:val="22"/>
                <w:szCs w:val="22"/>
                <w:lang w:val="sr-Latn-ME"/>
              </w:rPr>
            </w:pPr>
            <w:r w:rsidRPr="005A2200">
              <w:rPr>
                <w:sz w:val="22"/>
                <w:szCs w:val="22"/>
                <w:lang w:val="sr-Latn-ME"/>
              </w:rPr>
              <w:t>0,379 (42)</w:t>
            </w:r>
          </w:p>
        </w:tc>
      </w:tr>
      <w:tr w:rsidR="00267B20" w:rsidRPr="005A2200" w14:paraId="5787BD9A" w14:textId="77777777" w:rsidTr="005A2200">
        <w:tc>
          <w:tcPr>
            <w:tcW w:w="0" w:type="auto"/>
            <w:gridSpan w:val="2"/>
            <w:tcBorders>
              <w:bottom w:val="single" w:sz="4" w:space="0" w:color="auto"/>
            </w:tcBorders>
            <w:shd w:val="clear" w:color="auto" w:fill="auto"/>
          </w:tcPr>
          <w:p w14:paraId="120EBB6E" w14:textId="32AB18E4" w:rsidR="00267B20" w:rsidRPr="005A2200" w:rsidRDefault="00267B20" w:rsidP="005A2200">
            <w:pPr>
              <w:widowControl w:val="0"/>
              <w:tabs>
                <w:tab w:val="left" w:pos="567"/>
              </w:tabs>
              <w:rPr>
                <w:sz w:val="20"/>
                <w:szCs w:val="22"/>
                <w:lang w:val="sr-Latn-ME"/>
              </w:rPr>
            </w:pPr>
            <w:r w:rsidRPr="005A2200">
              <w:rPr>
                <w:sz w:val="20"/>
                <w:szCs w:val="22"/>
                <w:lang w:val="sr-Latn-ME"/>
              </w:rPr>
              <w:t>*Izražen kao geometrijska srednja vr</w:t>
            </w:r>
            <w:r w:rsidR="00583DCE" w:rsidRPr="005A2200">
              <w:rPr>
                <w:sz w:val="20"/>
                <w:szCs w:val="22"/>
                <w:lang w:val="sr-Latn-ME"/>
              </w:rPr>
              <w:t>ij</w:t>
            </w:r>
            <w:r w:rsidRPr="005A2200">
              <w:rPr>
                <w:sz w:val="20"/>
                <w:szCs w:val="22"/>
                <w:lang w:val="sr-Latn-ME"/>
              </w:rPr>
              <w:t>ednost (% CV: geometrijski koeficijent varijacije)</w:t>
            </w:r>
          </w:p>
          <w:p w14:paraId="5A3915AB" w14:textId="77777777" w:rsidR="00267B20" w:rsidRPr="005A2200" w:rsidRDefault="00267B20" w:rsidP="005A2200">
            <w:pPr>
              <w:widowControl w:val="0"/>
              <w:tabs>
                <w:tab w:val="left" w:pos="567"/>
              </w:tabs>
              <w:rPr>
                <w:sz w:val="20"/>
                <w:szCs w:val="22"/>
                <w:lang w:val="sr-Latn-ME"/>
              </w:rPr>
            </w:pPr>
            <w:r w:rsidRPr="005A2200">
              <w:rPr>
                <w:sz w:val="20"/>
                <w:szCs w:val="22"/>
                <w:vertAlign w:val="superscript"/>
                <w:lang w:val="sr-Latn-ME"/>
              </w:rPr>
              <w:t>†</w:t>
            </w:r>
            <w:r w:rsidRPr="005A2200">
              <w:rPr>
                <w:sz w:val="20"/>
                <w:szCs w:val="22"/>
                <w:lang w:val="sr-Latn-ME"/>
              </w:rPr>
              <w:t>Iz populacione farmakokinetičke analize (n=54)</w:t>
            </w:r>
          </w:p>
          <w:p w14:paraId="5B012F7D" w14:textId="53CD61C9" w:rsidR="00267B20" w:rsidRPr="005A2200" w:rsidRDefault="00267B20" w:rsidP="005A2200">
            <w:pPr>
              <w:widowControl w:val="0"/>
              <w:tabs>
                <w:tab w:val="left" w:pos="567"/>
              </w:tabs>
              <w:rPr>
                <w:sz w:val="22"/>
                <w:szCs w:val="22"/>
                <w:lang w:val="sr-Latn-ME"/>
              </w:rPr>
            </w:pPr>
            <w:r w:rsidRPr="005A2200">
              <w:rPr>
                <w:sz w:val="20"/>
                <w:szCs w:val="22"/>
                <w:lang w:val="sr-Latn-ME"/>
              </w:rPr>
              <w:t>Skraćenice: PIK=površina ispod krive koncentracija vr</w:t>
            </w:r>
            <w:r w:rsidR="00583DCE" w:rsidRPr="005A2200">
              <w:rPr>
                <w:sz w:val="20"/>
                <w:szCs w:val="22"/>
                <w:lang w:val="sr-Latn-ME"/>
              </w:rPr>
              <w:t>ij</w:t>
            </w:r>
            <w:r w:rsidRPr="005A2200">
              <w:rPr>
                <w:sz w:val="20"/>
                <w:szCs w:val="22"/>
                <w:lang w:val="sr-Latn-ME"/>
              </w:rPr>
              <w:t>eme; C</w:t>
            </w:r>
            <w:r w:rsidRPr="005A2200">
              <w:rPr>
                <w:sz w:val="20"/>
                <w:szCs w:val="22"/>
                <w:vertAlign w:val="subscript"/>
                <w:lang w:val="sr-Latn-ME"/>
              </w:rPr>
              <w:t>max</w:t>
            </w:r>
            <w:r w:rsidRPr="005A2200">
              <w:rPr>
                <w:sz w:val="20"/>
                <w:szCs w:val="22"/>
                <w:lang w:val="sr-Latn-ME"/>
              </w:rPr>
              <w:t>= maksimalna koncentracija; C</w:t>
            </w:r>
            <w:r w:rsidRPr="005A2200">
              <w:rPr>
                <w:sz w:val="20"/>
                <w:szCs w:val="22"/>
                <w:vertAlign w:val="subscript"/>
                <w:lang w:val="sr-Latn-ME"/>
              </w:rPr>
              <w:t>24</w:t>
            </w:r>
            <w:r w:rsidRPr="005A2200">
              <w:rPr>
                <w:sz w:val="20"/>
                <w:szCs w:val="22"/>
                <w:lang w:val="sr-Latn-ME"/>
              </w:rPr>
              <w:t>=koncentracija nakon 24 sata</w:t>
            </w:r>
          </w:p>
        </w:tc>
      </w:tr>
    </w:tbl>
    <w:p w14:paraId="051E5B3D" w14:textId="77777777" w:rsidR="005A2200" w:rsidRDefault="005A2200" w:rsidP="005A2200">
      <w:pPr>
        <w:widowControl w:val="0"/>
        <w:jc w:val="both"/>
        <w:rPr>
          <w:rFonts w:asciiTheme="majorBidi" w:hAnsiTheme="majorBidi" w:cstheme="majorBidi"/>
          <w:sz w:val="22"/>
          <w:szCs w:val="22"/>
          <w:u w:val="single"/>
          <w:lang w:val="sr-Latn-ME"/>
        </w:rPr>
      </w:pPr>
    </w:p>
    <w:p w14:paraId="6EBB3620" w14:textId="3C78E60D" w:rsidR="00766713" w:rsidRPr="005A2200" w:rsidRDefault="00766713" w:rsidP="005A2200">
      <w:pPr>
        <w:widowControl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Starije osobe</w:t>
      </w:r>
    </w:p>
    <w:p w14:paraId="1F18524D" w14:textId="77777777" w:rsidR="00766713" w:rsidRPr="005A2200" w:rsidRDefault="00766713" w:rsidP="005A2200">
      <w:pPr>
        <w:widowControl w:val="0"/>
        <w:jc w:val="both"/>
        <w:rPr>
          <w:rFonts w:asciiTheme="majorBidi" w:hAnsiTheme="majorBidi" w:cstheme="majorBidi"/>
          <w:sz w:val="22"/>
          <w:szCs w:val="22"/>
          <w:lang w:val="sr-Latn-ME"/>
        </w:rPr>
      </w:pPr>
    </w:p>
    <w:p w14:paraId="031A2460" w14:textId="04253A74" w:rsidR="00766713"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Iako je u ispitivanje faze 1 i populaci</w:t>
      </w:r>
      <w:r w:rsidR="00862082" w:rsidRPr="005A2200">
        <w:rPr>
          <w:rFonts w:asciiTheme="majorBidi" w:hAnsiTheme="majorBidi" w:cstheme="majorBidi"/>
          <w:sz w:val="22"/>
          <w:szCs w:val="22"/>
          <w:lang w:val="sr-Latn-ME"/>
        </w:rPr>
        <w:t>onu</w:t>
      </w:r>
      <w:r w:rsidRPr="005A2200">
        <w:rPr>
          <w:rFonts w:asciiTheme="majorBidi" w:hAnsiTheme="majorBidi" w:cstheme="majorBidi"/>
          <w:sz w:val="22"/>
          <w:szCs w:val="22"/>
          <w:lang w:val="sr-Latn-ME"/>
        </w:rPr>
        <w:t xml:space="preserve"> farmakokinetičku analizu bio uključen ograničen broj ispitanika starosti od 65 ili više godina (n=36), ni</w:t>
      </w:r>
      <w:r w:rsidR="00CE0EB4" w:rsidRPr="005A2200">
        <w:rPr>
          <w:rFonts w:asciiTheme="majorBidi" w:hAnsiTheme="majorBidi" w:cstheme="majorBidi"/>
          <w:sz w:val="22"/>
          <w:szCs w:val="22"/>
          <w:lang w:val="sr-Latn-ME"/>
        </w:rPr>
        <w:t>je</w:t>
      </w:r>
      <w:r w:rsidRPr="005A2200">
        <w:rPr>
          <w:rFonts w:asciiTheme="majorBidi" w:hAnsiTheme="majorBidi" w:cstheme="majorBidi"/>
          <w:sz w:val="22"/>
          <w:szCs w:val="22"/>
          <w:lang w:val="sr-Latn-ME"/>
        </w:rPr>
        <w:t>su utvrđene klinički značajne razlike u farmakokinetici doravirina kod ispitanika starosti od najmanje 65 godina u poređenju sa onim mlađim od 65 godina. Nije potrebno prilagođavati dozu.</w:t>
      </w:r>
    </w:p>
    <w:p w14:paraId="1CF22688"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p>
    <w:p w14:paraId="10BCF6F8" w14:textId="77777777" w:rsidR="00766713" w:rsidRPr="005A2200" w:rsidRDefault="00766713" w:rsidP="005A2200">
      <w:pPr>
        <w:widowControl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Pol</w:t>
      </w:r>
    </w:p>
    <w:p w14:paraId="3C5B3E1E" w14:textId="77777777" w:rsidR="00766713" w:rsidRPr="005A2200" w:rsidRDefault="00766713" w:rsidP="005A2200">
      <w:pPr>
        <w:widowControl w:val="0"/>
        <w:jc w:val="both"/>
        <w:rPr>
          <w:rFonts w:asciiTheme="majorBidi" w:hAnsiTheme="majorBidi" w:cstheme="majorBidi"/>
          <w:sz w:val="22"/>
          <w:szCs w:val="22"/>
          <w:lang w:val="sr-Latn-ME"/>
        </w:rPr>
      </w:pPr>
    </w:p>
    <w:p w14:paraId="136ADD51" w14:textId="47E0B2FB"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w:t>
      </w:r>
      <w:r w:rsidR="00CE0EB4" w:rsidRPr="005A2200">
        <w:rPr>
          <w:rFonts w:asciiTheme="majorBidi" w:hAnsiTheme="majorBidi" w:cstheme="majorBidi"/>
          <w:sz w:val="22"/>
          <w:szCs w:val="22"/>
          <w:lang w:val="sr-Latn-ME"/>
        </w:rPr>
        <w:t>je</w:t>
      </w:r>
      <w:r w:rsidRPr="005A2200">
        <w:rPr>
          <w:rFonts w:asciiTheme="majorBidi" w:hAnsiTheme="majorBidi" w:cstheme="majorBidi"/>
          <w:sz w:val="22"/>
          <w:szCs w:val="22"/>
          <w:lang w:val="sr-Latn-ME"/>
        </w:rPr>
        <w:t>su utvrđene klinički značajne razlike u farmakokinetici doravirina između muškaraca i žena.</w:t>
      </w:r>
    </w:p>
    <w:p w14:paraId="05B92CCB" w14:textId="77777777" w:rsidR="00766713" w:rsidRPr="005A2200" w:rsidRDefault="00766713" w:rsidP="005A2200">
      <w:pPr>
        <w:widowControl w:val="0"/>
        <w:numPr>
          <w:ilvl w:val="12"/>
          <w:numId w:val="0"/>
        </w:numPr>
        <w:tabs>
          <w:tab w:val="left" w:pos="284"/>
        </w:tabs>
        <w:ind w:right="-2"/>
        <w:jc w:val="both"/>
        <w:rPr>
          <w:rFonts w:asciiTheme="majorBidi" w:hAnsiTheme="majorBidi" w:cstheme="majorBidi"/>
          <w:sz w:val="22"/>
          <w:szCs w:val="22"/>
          <w:lang w:val="sr-Latn-ME"/>
        </w:rPr>
      </w:pPr>
    </w:p>
    <w:p w14:paraId="2BF81C59" w14:textId="77777777" w:rsidR="00766713" w:rsidRPr="005A2200" w:rsidRDefault="00766713" w:rsidP="005A2200">
      <w:pPr>
        <w:widowControl w:val="0"/>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Rasa</w:t>
      </w:r>
    </w:p>
    <w:p w14:paraId="68644970" w14:textId="77777777" w:rsidR="00766713" w:rsidRPr="005A2200" w:rsidRDefault="00766713" w:rsidP="005A2200">
      <w:pPr>
        <w:widowControl w:val="0"/>
        <w:jc w:val="both"/>
        <w:rPr>
          <w:rFonts w:asciiTheme="majorBidi" w:hAnsiTheme="majorBidi" w:cstheme="majorBidi"/>
          <w:sz w:val="22"/>
          <w:szCs w:val="22"/>
          <w:lang w:val="sr-Latn-ME"/>
        </w:rPr>
      </w:pPr>
    </w:p>
    <w:p w14:paraId="6A6235FC" w14:textId="23401B55" w:rsidR="00766713" w:rsidRPr="005A2200" w:rsidRDefault="00766713" w:rsidP="005A2200">
      <w:pPr>
        <w:widowControl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U populaci</w:t>
      </w:r>
      <w:r w:rsidR="00121114" w:rsidRPr="005A2200">
        <w:rPr>
          <w:rFonts w:asciiTheme="majorBidi" w:hAnsiTheme="majorBidi" w:cstheme="majorBidi"/>
          <w:sz w:val="22"/>
          <w:szCs w:val="22"/>
          <w:lang w:val="sr-Latn-ME"/>
        </w:rPr>
        <w:t>onoj</w:t>
      </w:r>
      <w:r w:rsidRPr="005A2200">
        <w:rPr>
          <w:rFonts w:asciiTheme="majorBidi" w:hAnsiTheme="majorBidi" w:cstheme="majorBidi"/>
          <w:sz w:val="22"/>
          <w:szCs w:val="22"/>
          <w:lang w:val="sr-Latn-ME"/>
        </w:rPr>
        <w:t xml:space="preserve"> farmakokinetičkoj analizi podataka o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eni doravirina kod zdravih ispitanika i ispitanika sa HIV</w:t>
      </w:r>
      <w:r w:rsidRPr="005A2200">
        <w:rPr>
          <w:rFonts w:asciiTheme="majorBidi" w:hAnsiTheme="majorBidi" w:cstheme="majorBidi"/>
          <w:sz w:val="22"/>
          <w:szCs w:val="22"/>
          <w:lang w:val="sr-Latn-ME"/>
        </w:rPr>
        <w:noBreakHyphen/>
        <w:t>1 infekcijom ni</w:t>
      </w:r>
      <w:r w:rsidR="00CE0EB4" w:rsidRPr="005A2200">
        <w:rPr>
          <w:rFonts w:asciiTheme="majorBidi" w:hAnsiTheme="majorBidi" w:cstheme="majorBidi"/>
          <w:sz w:val="22"/>
          <w:szCs w:val="22"/>
          <w:lang w:val="sr-Latn-ME"/>
        </w:rPr>
        <w:t>je</w:t>
      </w:r>
      <w:r w:rsidRPr="005A2200">
        <w:rPr>
          <w:rFonts w:asciiTheme="majorBidi" w:hAnsiTheme="majorBidi" w:cstheme="majorBidi"/>
          <w:sz w:val="22"/>
          <w:szCs w:val="22"/>
          <w:lang w:val="sr-Latn-ME"/>
        </w:rPr>
        <w:t>su utvrđene klinički značajne razlike u farmakokinetici doravirina s obzirom na rasu.</w:t>
      </w:r>
    </w:p>
    <w:p w14:paraId="47B94A7C"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667B761F"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5.3.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 xml:space="preserve">Pretklinički podaci o bezbjednosti </w:t>
      </w:r>
    </w:p>
    <w:p w14:paraId="296F61F9" w14:textId="77777777" w:rsidR="00836B35" w:rsidRPr="005A2200" w:rsidRDefault="00836B35" w:rsidP="005A2200">
      <w:pPr>
        <w:widowControl w:val="0"/>
        <w:tabs>
          <w:tab w:val="left" w:pos="540"/>
          <w:tab w:val="left" w:pos="569"/>
        </w:tabs>
        <w:jc w:val="both"/>
        <w:rPr>
          <w:rFonts w:asciiTheme="majorBidi" w:hAnsiTheme="majorBidi" w:cstheme="majorBidi"/>
          <w:bCs/>
          <w:sz w:val="22"/>
          <w:szCs w:val="22"/>
          <w:lang w:val="sr-Latn-ME"/>
        </w:rPr>
      </w:pPr>
    </w:p>
    <w:p w14:paraId="3944498E" w14:textId="77777777"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Reproduktivna toksičnost</w:t>
      </w:r>
    </w:p>
    <w:p w14:paraId="0BC6B18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6094E221" w14:textId="4FA20ADA"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Ispitivanja efekta peroralno prim</w:t>
      </w:r>
      <w:r w:rsidR="00B9133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 xml:space="preserve">enjenog doravirina na reprodukciju sprovedena su na pacovima i </w:t>
      </w:r>
      <w:r w:rsidR="00121114" w:rsidRPr="005A2200">
        <w:rPr>
          <w:rFonts w:asciiTheme="majorBidi" w:hAnsiTheme="majorBidi" w:cstheme="majorBidi"/>
          <w:sz w:val="22"/>
          <w:szCs w:val="22"/>
          <w:lang w:val="sr-Latn-ME"/>
        </w:rPr>
        <w:t>kunićima</w:t>
      </w:r>
      <w:r w:rsidRPr="005A2200">
        <w:rPr>
          <w:rFonts w:asciiTheme="majorBidi" w:hAnsiTheme="majorBidi" w:cstheme="majorBidi"/>
          <w:sz w:val="22"/>
          <w:szCs w:val="22"/>
          <w:lang w:val="sr-Latn-ME"/>
        </w:rPr>
        <w:t xml:space="preserve"> pri stepenima izloženosti približno 9 puta (pacovi) i 8 puta (</w:t>
      </w:r>
      <w:r w:rsidR="00127B09" w:rsidRPr="005A2200">
        <w:rPr>
          <w:rFonts w:asciiTheme="majorBidi" w:hAnsiTheme="majorBidi" w:cstheme="majorBidi"/>
          <w:sz w:val="22"/>
          <w:szCs w:val="22"/>
          <w:lang w:val="sr-Latn-ME"/>
        </w:rPr>
        <w:t>kunići</w:t>
      </w:r>
      <w:r w:rsidRPr="005A2200">
        <w:rPr>
          <w:rFonts w:asciiTheme="majorBidi" w:hAnsiTheme="majorBidi" w:cstheme="majorBidi"/>
          <w:sz w:val="22"/>
          <w:szCs w:val="22"/>
          <w:lang w:val="sr-Latn-ME"/>
        </w:rPr>
        <w:t>) većim od onih koje se postižu kod ljudi kod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ene preporučene doze za ljude, bez učinaka na embriofetalni razvoj (pacovi i </w:t>
      </w:r>
      <w:r w:rsidR="00862082" w:rsidRPr="005A2200">
        <w:rPr>
          <w:rFonts w:asciiTheme="majorBidi" w:hAnsiTheme="majorBidi" w:cstheme="majorBidi"/>
          <w:sz w:val="22"/>
          <w:szCs w:val="22"/>
          <w:lang w:val="sr-Latn-ME"/>
        </w:rPr>
        <w:t>kunići</w:t>
      </w:r>
      <w:r w:rsidRPr="005A2200">
        <w:rPr>
          <w:rFonts w:asciiTheme="majorBidi" w:hAnsiTheme="majorBidi" w:cstheme="majorBidi"/>
          <w:sz w:val="22"/>
          <w:szCs w:val="22"/>
          <w:lang w:val="sr-Latn-ME"/>
        </w:rPr>
        <w:t>) ili prenatalni/postnatalni razvoj (pacovi). Ispitivanja sprovedena na skotnim ženkama pacova i kunića pokazala su da se doravirin prenosi na plod kroz p</w:t>
      </w:r>
      <w:r w:rsidR="00121114" w:rsidRPr="005A2200">
        <w:rPr>
          <w:rFonts w:asciiTheme="majorBidi" w:hAnsiTheme="majorBidi" w:cstheme="majorBidi"/>
          <w:sz w:val="22"/>
          <w:szCs w:val="22"/>
          <w:lang w:val="sr-Latn-ME"/>
        </w:rPr>
        <w:t>lacentu</w:t>
      </w:r>
      <w:r w:rsidRPr="005A2200">
        <w:rPr>
          <w:rFonts w:asciiTheme="majorBidi" w:hAnsiTheme="majorBidi" w:cstheme="majorBidi"/>
          <w:sz w:val="22"/>
          <w:szCs w:val="22"/>
          <w:lang w:val="sr-Latn-ME"/>
        </w:rPr>
        <w:t xml:space="preserve"> i postiž</w:t>
      </w:r>
      <w:r w:rsidR="00121114" w:rsidRPr="005A2200">
        <w:rPr>
          <w:rFonts w:asciiTheme="majorBidi" w:hAnsiTheme="majorBidi" w:cstheme="majorBidi"/>
          <w:sz w:val="22"/>
          <w:szCs w:val="22"/>
          <w:lang w:val="sr-Latn-ME"/>
        </w:rPr>
        <w:t>e</w:t>
      </w:r>
      <w:r w:rsidRPr="005A2200">
        <w:rPr>
          <w:rFonts w:asciiTheme="majorBidi" w:hAnsiTheme="majorBidi" w:cstheme="majorBidi"/>
          <w:sz w:val="22"/>
          <w:szCs w:val="22"/>
          <w:lang w:val="sr-Latn-ME"/>
        </w:rPr>
        <w:t xml:space="preserve"> koncentracije u plazmi ploda koje iznose do 40% (</w:t>
      </w:r>
      <w:r w:rsidR="00121114" w:rsidRPr="005A2200">
        <w:rPr>
          <w:rFonts w:asciiTheme="majorBidi" w:hAnsiTheme="majorBidi" w:cstheme="majorBidi"/>
          <w:sz w:val="22"/>
          <w:szCs w:val="22"/>
          <w:lang w:val="sr-Latn-ME"/>
        </w:rPr>
        <w:t>kunići</w:t>
      </w:r>
      <w:r w:rsidRPr="005A2200">
        <w:rPr>
          <w:rFonts w:asciiTheme="majorBidi" w:hAnsiTheme="majorBidi" w:cstheme="majorBidi"/>
          <w:sz w:val="22"/>
          <w:szCs w:val="22"/>
          <w:lang w:val="sr-Latn-ME"/>
        </w:rPr>
        <w:t xml:space="preserve">) odnosno 52% (pacovi) </w:t>
      </w:r>
      <w:r w:rsidR="00121114" w:rsidRPr="005A2200">
        <w:rPr>
          <w:rFonts w:asciiTheme="majorBidi" w:hAnsiTheme="majorBidi" w:cstheme="majorBidi"/>
          <w:sz w:val="22"/>
          <w:szCs w:val="22"/>
          <w:lang w:val="sr-Latn-ME"/>
        </w:rPr>
        <w:t xml:space="preserve">od </w:t>
      </w:r>
      <w:r w:rsidRPr="005A2200">
        <w:rPr>
          <w:rFonts w:asciiTheme="majorBidi" w:hAnsiTheme="majorBidi" w:cstheme="majorBidi"/>
          <w:sz w:val="22"/>
          <w:szCs w:val="22"/>
          <w:lang w:val="sr-Latn-ME"/>
        </w:rPr>
        <w:t>koncentracija zabel</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eženih kod skotnih ženki 20. dana gestacije.</w:t>
      </w:r>
    </w:p>
    <w:p w14:paraId="4AB3E94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730901BC" w14:textId="16873F04"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Doravirin se nakon peroralne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izlučivao u ml</w:t>
      </w:r>
      <w:r w:rsidR="00B9133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eko ženki pacova u</w:t>
      </w:r>
      <w:r w:rsidR="00862082" w:rsidRPr="005A2200">
        <w:rPr>
          <w:rFonts w:asciiTheme="majorBidi" w:hAnsiTheme="majorBidi" w:cstheme="majorBidi"/>
          <w:sz w:val="22"/>
          <w:szCs w:val="22"/>
          <w:lang w:val="sr-Latn-ME"/>
        </w:rPr>
        <w:t xml:space="preserve"> toku</w:t>
      </w:r>
      <w:r w:rsidRPr="005A2200">
        <w:rPr>
          <w:rFonts w:asciiTheme="majorBidi" w:hAnsiTheme="majorBidi" w:cstheme="majorBidi"/>
          <w:sz w:val="22"/>
          <w:szCs w:val="22"/>
          <w:lang w:val="sr-Latn-ME"/>
        </w:rPr>
        <w:t xml:space="preserve"> laktacij</w:t>
      </w:r>
      <w:r w:rsidR="00862082" w:rsidRPr="005A2200">
        <w:rPr>
          <w:rFonts w:asciiTheme="majorBidi" w:hAnsiTheme="majorBidi" w:cstheme="majorBidi"/>
          <w:sz w:val="22"/>
          <w:szCs w:val="22"/>
          <w:lang w:val="sr-Latn-ME"/>
        </w:rPr>
        <w:t>e</w:t>
      </w:r>
      <w:r w:rsidRPr="005A2200">
        <w:rPr>
          <w:rFonts w:asciiTheme="majorBidi" w:hAnsiTheme="majorBidi" w:cstheme="majorBidi"/>
          <w:sz w:val="22"/>
          <w:szCs w:val="22"/>
          <w:lang w:val="sr-Latn-ME"/>
        </w:rPr>
        <w:t>, a koncentracije u ml</w:t>
      </w:r>
      <w:r w:rsidR="00B9133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eku bile su približno 1,5 puta veće od koncentracija u plazmi skotne ženke.</w:t>
      </w:r>
    </w:p>
    <w:p w14:paraId="3B948B4C"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4CB0C224" w14:textId="77777777"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Karcinogeneza</w:t>
      </w:r>
    </w:p>
    <w:p w14:paraId="3414CF9F"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1D6DD9DC" w14:textId="0E131D6D"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Dugoročna ispitivanja karcinogenosti peroralno </w:t>
      </w:r>
      <w:r w:rsidR="00CE0EB4" w:rsidRPr="005A2200">
        <w:rPr>
          <w:rFonts w:asciiTheme="majorBidi" w:hAnsiTheme="majorBidi" w:cstheme="majorBidi"/>
          <w:sz w:val="22"/>
          <w:szCs w:val="22"/>
          <w:lang w:val="sr-Latn-ME"/>
        </w:rPr>
        <w:t xml:space="preserve">primijenjenog </w:t>
      </w:r>
      <w:r w:rsidRPr="005A2200">
        <w:rPr>
          <w:rFonts w:asciiTheme="majorBidi" w:hAnsiTheme="majorBidi" w:cstheme="majorBidi"/>
          <w:sz w:val="22"/>
          <w:szCs w:val="22"/>
          <w:lang w:val="sr-Latn-ME"/>
        </w:rPr>
        <w:t>doravirina na miševima i pacovima ni</w:t>
      </w:r>
      <w:r w:rsidR="00CE0EB4" w:rsidRPr="005A2200">
        <w:rPr>
          <w:rFonts w:asciiTheme="majorBidi" w:hAnsiTheme="majorBidi" w:cstheme="majorBidi"/>
          <w:sz w:val="22"/>
          <w:szCs w:val="22"/>
          <w:lang w:val="sr-Latn-ME"/>
        </w:rPr>
        <w:t>je</w:t>
      </w:r>
      <w:r w:rsidRPr="005A2200">
        <w:rPr>
          <w:rFonts w:asciiTheme="majorBidi" w:hAnsiTheme="majorBidi" w:cstheme="majorBidi"/>
          <w:sz w:val="22"/>
          <w:szCs w:val="22"/>
          <w:lang w:val="sr-Latn-ME"/>
        </w:rPr>
        <w:t xml:space="preserve">su pokazala dokaze karcinogenog potencijala pri </w:t>
      </w:r>
      <w:r w:rsidR="00CE0EB4" w:rsidRPr="005A2200">
        <w:rPr>
          <w:rFonts w:asciiTheme="majorBidi" w:hAnsiTheme="majorBidi" w:cstheme="majorBidi"/>
          <w:sz w:val="22"/>
          <w:szCs w:val="22"/>
          <w:lang w:val="sr-Latn-ME"/>
        </w:rPr>
        <w:t xml:space="preserve">procijenjenoj </w:t>
      </w:r>
      <w:r w:rsidRPr="005A2200">
        <w:rPr>
          <w:rFonts w:asciiTheme="majorBidi" w:hAnsiTheme="majorBidi" w:cstheme="majorBidi"/>
          <w:sz w:val="22"/>
          <w:szCs w:val="22"/>
          <w:lang w:val="sr-Latn-ME"/>
        </w:rPr>
        <w:t>izloženosti do 6 puta (miševi) i 7 puta (pacovi) većoj od one koja se postiže kod ljudi kod prim</w:t>
      </w:r>
      <w:r w:rsidR="005605C9"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ene preporučene doze za ljude.</w:t>
      </w:r>
    </w:p>
    <w:p w14:paraId="1A4B9142"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60105DA0" w14:textId="77777777"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lastRenderedPageBreak/>
        <w:t>Mutageneza</w:t>
      </w:r>
    </w:p>
    <w:p w14:paraId="6EE4BC5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581AEB3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Doravirin nije bio genotoksičan u nizu testova </w:t>
      </w:r>
      <w:r w:rsidRPr="005A2200">
        <w:rPr>
          <w:rFonts w:asciiTheme="majorBidi" w:hAnsiTheme="majorBidi" w:cstheme="majorBidi"/>
          <w:i/>
          <w:iCs/>
          <w:sz w:val="22"/>
          <w:szCs w:val="22"/>
          <w:lang w:val="sr-Latn-ME"/>
        </w:rPr>
        <w:t>in vitro</w:t>
      </w:r>
      <w:r w:rsidRPr="005A2200">
        <w:rPr>
          <w:rFonts w:asciiTheme="majorBidi" w:hAnsiTheme="majorBidi" w:cstheme="majorBidi"/>
          <w:sz w:val="22"/>
          <w:szCs w:val="22"/>
          <w:lang w:val="sr-Latn-ME"/>
        </w:rPr>
        <w:t xml:space="preserve"> ili </w:t>
      </w:r>
      <w:r w:rsidRPr="005A2200">
        <w:rPr>
          <w:rFonts w:asciiTheme="majorBidi" w:hAnsiTheme="majorBidi" w:cstheme="majorBidi"/>
          <w:i/>
          <w:iCs/>
          <w:sz w:val="22"/>
          <w:szCs w:val="22"/>
          <w:lang w:val="sr-Latn-ME"/>
        </w:rPr>
        <w:t>in vivo</w:t>
      </w:r>
      <w:r w:rsidRPr="005A2200">
        <w:rPr>
          <w:rFonts w:asciiTheme="majorBidi" w:hAnsiTheme="majorBidi" w:cstheme="majorBidi"/>
          <w:sz w:val="22"/>
          <w:szCs w:val="22"/>
          <w:lang w:val="sr-Latn-ME"/>
        </w:rPr>
        <w:t>.</w:t>
      </w:r>
    </w:p>
    <w:p w14:paraId="1BBE7613" w14:textId="77777777"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p>
    <w:p w14:paraId="74C46940" w14:textId="77777777"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Poremećaj plodnosti</w:t>
      </w:r>
    </w:p>
    <w:p w14:paraId="2E06BEDA"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53D47BC0" w14:textId="255C252B"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Nije bilo efekata na plodnost, sposobnost parenja ni na rani razvoj embriona kada se doravirin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enjivao na pacovima u dozama pri kojima je postignuta izloženost do 7 puta veća od one koja se postiže kod ljudi prilikom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ene preporučene doze za ljude. </w:t>
      </w:r>
    </w:p>
    <w:p w14:paraId="5B0AAB60" w14:textId="77777777" w:rsidR="00072EA4" w:rsidRPr="005A2200" w:rsidRDefault="00072EA4" w:rsidP="005A2200">
      <w:pPr>
        <w:widowControl w:val="0"/>
        <w:tabs>
          <w:tab w:val="left" w:pos="284"/>
        </w:tabs>
        <w:autoSpaceDE w:val="0"/>
        <w:autoSpaceDN w:val="0"/>
        <w:adjustRightInd w:val="0"/>
        <w:jc w:val="both"/>
        <w:rPr>
          <w:rFonts w:asciiTheme="majorBidi" w:hAnsiTheme="majorBidi" w:cstheme="majorBidi"/>
          <w:sz w:val="22"/>
          <w:szCs w:val="22"/>
          <w:lang w:val="sr-Latn-ME"/>
        </w:rPr>
      </w:pPr>
    </w:p>
    <w:p w14:paraId="310E57B6" w14:textId="77777777" w:rsidR="00396DFD" w:rsidRPr="005A2200" w:rsidRDefault="00396DFD" w:rsidP="005A2200">
      <w:pPr>
        <w:widowControl w:val="0"/>
        <w:tabs>
          <w:tab w:val="left" w:pos="540"/>
          <w:tab w:val="left" w:pos="569"/>
        </w:tabs>
        <w:jc w:val="both"/>
        <w:rPr>
          <w:rFonts w:asciiTheme="majorBidi" w:hAnsiTheme="majorBidi" w:cstheme="majorBidi"/>
          <w:b/>
          <w:bCs/>
          <w:sz w:val="22"/>
          <w:szCs w:val="22"/>
          <w:lang w:val="sr-Latn-ME"/>
        </w:rPr>
      </w:pPr>
    </w:p>
    <w:p w14:paraId="0E47BB2F"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6.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FARMACEUTSKI PODACI</w:t>
      </w:r>
    </w:p>
    <w:p w14:paraId="70E4BA49" w14:textId="77777777" w:rsidR="00836B35" w:rsidRPr="005A2200" w:rsidRDefault="00836B35" w:rsidP="005A2200">
      <w:pPr>
        <w:widowControl w:val="0"/>
        <w:tabs>
          <w:tab w:val="left" w:pos="540"/>
          <w:tab w:val="left" w:pos="569"/>
        </w:tabs>
        <w:jc w:val="both"/>
        <w:rPr>
          <w:rFonts w:asciiTheme="majorBidi" w:hAnsiTheme="majorBidi" w:cstheme="majorBidi"/>
          <w:bCs/>
          <w:sz w:val="22"/>
          <w:szCs w:val="22"/>
          <w:lang w:val="sr-Latn-ME"/>
        </w:rPr>
      </w:pPr>
    </w:p>
    <w:p w14:paraId="11CB75EA"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6.1.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Lista pomoćnih supstanci</w:t>
      </w:r>
      <w:r w:rsidR="002E0135" w:rsidRPr="005A2200">
        <w:rPr>
          <w:rFonts w:asciiTheme="majorBidi" w:hAnsiTheme="majorBidi" w:cstheme="majorBidi"/>
          <w:b/>
          <w:bCs/>
          <w:sz w:val="22"/>
          <w:szCs w:val="22"/>
          <w:lang w:val="sr-Latn-ME"/>
        </w:rPr>
        <w:t xml:space="preserve"> (ekscipijenasa)</w:t>
      </w:r>
    </w:p>
    <w:p w14:paraId="45773AFE" w14:textId="27BD5A32"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1B737BFA" w14:textId="77777777"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 xml:space="preserve">Jezgro tablete: </w:t>
      </w:r>
    </w:p>
    <w:p w14:paraId="3867F04D" w14:textId="0E5CA7BB"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kroskarmeloza</w:t>
      </w:r>
      <w:r w:rsidR="001F47EE" w:rsidRPr="005A2200">
        <w:rPr>
          <w:rFonts w:asciiTheme="majorBidi" w:hAnsiTheme="majorBidi" w:cstheme="majorBidi"/>
          <w:sz w:val="22"/>
          <w:szCs w:val="22"/>
          <w:lang w:val="sr-Latn-ME"/>
        </w:rPr>
        <w:t xml:space="preserve"> </w:t>
      </w:r>
      <w:r w:rsidRPr="005A2200">
        <w:rPr>
          <w:rFonts w:asciiTheme="majorBidi" w:hAnsiTheme="majorBidi" w:cstheme="majorBidi"/>
          <w:sz w:val="22"/>
          <w:szCs w:val="22"/>
          <w:lang w:val="sr-Latn-ME"/>
        </w:rPr>
        <w:t>natrijum (E468)</w:t>
      </w:r>
    </w:p>
    <w:p w14:paraId="067A8295"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hipromeloza acetat sukcinat</w:t>
      </w:r>
    </w:p>
    <w:p w14:paraId="24F041FB"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laktoza, monohidrat </w:t>
      </w:r>
    </w:p>
    <w:p w14:paraId="30200856" w14:textId="139B6F34"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magnezijum</w:t>
      </w:r>
      <w:r w:rsidR="001F47EE" w:rsidRPr="005A2200">
        <w:rPr>
          <w:rFonts w:asciiTheme="majorBidi" w:hAnsiTheme="majorBidi" w:cstheme="majorBidi"/>
          <w:sz w:val="22"/>
          <w:szCs w:val="22"/>
          <w:lang w:val="sr-Latn-ME"/>
        </w:rPr>
        <w:t xml:space="preserve"> </w:t>
      </w:r>
      <w:r w:rsidRPr="005A2200">
        <w:rPr>
          <w:rFonts w:asciiTheme="majorBidi" w:hAnsiTheme="majorBidi" w:cstheme="majorBidi"/>
          <w:sz w:val="22"/>
          <w:szCs w:val="22"/>
          <w:lang w:val="sr-Latn-ME"/>
        </w:rPr>
        <w:t>stearat (E470b)</w:t>
      </w:r>
    </w:p>
    <w:p w14:paraId="57EC900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celuloza, mikrokristalna (E460)</w:t>
      </w:r>
    </w:p>
    <w:p w14:paraId="295E2CA5" w14:textId="4D05CF31"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silicijum</w:t>
      </w:r>
      <w:r w:rsidR="001F47EE" w:rsidRPr="005A2200">
        <w:rPr>
          <w:rFonts w:asciiTheme="majorBidi" w:hAnsiTheme="majorBidi" w:cstheme="majorBidi"/>
          <w:sz w:val="22"/>
          <w:szCs w:val="22"/>
          <w:lang w:val="sr-Latn-ME"/>
        </w:rPr>
        <w:t xml:space="preserve"> </w:t>
      </w:r>
      <w:r w:rsidRPr="005A2200">
        <w:rPr>
          <w:rFonts w:asciiTheme="majorBidi" w:hAnsiTheme="majorBidi" w:cstheme="majorBidi"/>
          <w:sz w:val="22"/>
          <w:szCs w:val="22"/>
          <w:lang w:val="sr-Latn-ME"/>
        </w:rPr>
        <w:t>dioksid koloidni, bezvodni (E551)</w:t>
      </w:r>
    </w:p>
    <w:p w14:paraId="1CE3701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p>
    <w:p w14:paraId="5C4FD408" w14:textId="77777777" w:rsidR="00766713" w:rsidRPr="005A2200" w:rsidRDefault="00766713" w:rsidP="005A2200">
      <w:pPr>
        <w:widowControl w:val="0"/>
        <w:tabs>
          <w:tab w:val="left" w:pos="284"/>
        </w:tabs>
        <w:jc w:val="both"/>
        <w:rPr>
          <w:rFonts w:asciiTheme="majorBidi" w:hAnsiTheme="majorBidi" w:cstheme="majorBidi"/>
          <w:sz w:val="22"/>
          <w:szCs w:val="22"/>
          <w:u w:val="single"/>
          <w:lang w:val="sr-Latn-ME"/>
        </w:rPr>
      </w:pPr>
      <w:r w:rsidRPr="005A2200">
        <w:rPr>
          <w:rFonts w:asciiTheme="majorBidi" w:hAnsiTheme="majorBidi" w:cstheme="majorBidi"/>
          <w:sz w:val="22"/>
          <w:szCs w:val="22"/>
          <w:u w:val="single"/>
          <w:lang w:val="sr-Latn-ME"/>
        </w:rPr>
        <w:t>Film (omotač) tablete:</w:t>
      </w:r>
    </w:p>
    <w:p w14:paraId="7D862127" w14:textId="77777777" w:rsidR="00766713" w:rsidRPr="005A2200" w:rsidRDefault="00766713" w:rsidP="005A2200">
      <w:pPr>
        <w:widowControl w:val="0"/>
        <w:tabs>
          <w:tab w:val="left" w:pos="284"/>
        </w:tabs>
        <w:jc w:val="both"/>
        <w:rPr>
          <w:rFonts w:asciiTheme="majorBidi" w:hAnsiTheme="majorBidi" w:cstheme="majorBidi"/>
          <w:i/>
          <w:sz w:val="22"/>
          <w:szCs w:val="22"/>
          <w:lang w:val="sr-Latn-ME"/>
        </w:rPr>
      </w:pPr>
      <w:r w:rsidRPr="005A2200">
        <w:rPr>
          <w:rFonts w:asciiTheme="majorBidi" w:hAnsiTheme="majorBidi" w:cstheme="majorBidi"/>
          <w:sz w:val="22"/>
          <w:szCs w:val="22"/>
          <w:lang w:val="sr-Latn-ME"/>
        </w:rPr>
        <w:t>karnauba vosak (E903)</w:t>
      </w:r>
    </w:p>
    <w:p w14:paraId="1DB2C4BD"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hipromeloza (E464)</w:t>
      </w:r>
    </w:p>
    <w:p w14:paraId="6E324BF7"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laktoza, monohidrat </w:t>
      </w:r>
    </w:p>
    <w:p w14:paraId="1A99439C" w14:textId="72EA7891"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titan</w:t>
      </w:r>
      <w:r w:rsidR="001F47EE" w:rsidRPr="005A2200">
        <w:rPr>
          <w:rFonts w:asciiTheme="majorBidi" w:hAnsiTheme="majorBidi" w:cstheme="majorBidi"/>
          <w:sz w:val="22"/>
          <w:szCs w:val="22"/>
          <w:lang w:val="sr-Latn-ME"/>
        </w:rPr>
        <w:t xml:space="preserve"> </w:t>
      </w:r>
      <w:r w:rsidRPr="005A2200">
        <w:rPr>
          <w:rFonts w:asciiTheme="majorBidi" w:hAnsiTheme="majorBidi" w:cstheme="majorBidi"/>
          <w:sz w:val="22"/>
          <w:szCs w:val="22"/>
          <w:lang w:val="sr-Latn-ME"/>
        </w:rPr>
        <w:t>dioksid (E171)</w:t>
      </w:r>
    </w:p>
    <w:p w14:paraId="04C37B56"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triacetin (E1518)</w:t>
      </w:r>
    </w:p>
    <w:p w14:paraId="263A08E2"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0A1F09D4"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6.2.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Inkompatibilnost</w:t>
      </w:r>
      <w:r w:rsidR="002846DB" w:rsidRPr="005A2200">
        <w:rPr>
          <w:rFonts w:asciiTheme="majorBidi" w:hAnsiTheme="majorBidi" w:cstheme="majorBidi"/>
          <w:b/>
          <w:bCs/>
          <w:sz w:val="22"/>
          <w:szCs w:val="22"/>
          <w:lang w:val="sr-Latn-ME"/>
        </w:rPr>
        <w:t>i</w:t>
      </w:r>
    </w:p>
    <w:p w14:paraId="63C8BE8A" w14:textId="3E5F944A"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746E1E86" w14:textId="59197D5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Nije prim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en</w:t>
      </w:r>
      <w:r w:rsidR="00AF67A0" w:rsidRPr="005A2200">
        <w:rPr>
          <w:rFonts w:asciiTheme="majorBidi" w:hAnsiTheme="majorBidi" w:cstheme="majorBidi"/>
          <w:sz w:val="22"/>
          <w:szCs w:val="22"/>
          <w:lang w:val="sr-Latn-ME"/>
        </w:rPr>
        <w:t>l</w:t>
      </w:r>
      <w:r w:rsidRPr="005A2200">
        <w:rPr>
          <w:rFonts w:asciiTheme="majorBidi" w:hAnsiTheme="majorBidi" w:cstheme="majorBidi"/>
          <w:sz w:val="22"/>
          <w:szCs w:val="22"/>
          <w:lang w:val="sr-Latn-ME"/>
        </w:rPr>
        <w:t>jivo.</w:t>
      </w:r>
    </w:p>
    <w:p w14:paraId="73C8ABA7"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27429AA3"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6.3.</w:t>
      </w:r>
      <w:r w:rsidR="00C05DF8" w:rsidRPr="005A2200">
        <w:rPr>
          <w:rFonts w:asciiTheme="majorBidi" w:hAnsiTheme="majorBidi" w:cstheme="majorBidi"/>
          <w:b/>
          <w:bCs/>
          <w:sz w:val="22"/>
          <w:szCs w:val="22"/>
          <w:lang w:val="sr-Latn-ME"/>
        </w:rPr>
        <w:t xml:space="preserve">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Rok upotrebe</w:t>
      </w:r>
    </w:p>
    <w:p w14:paraId="41332546" w14:textId="1AC345C1"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4E9D0859" w14:textId="1D08C204"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30 m</w:t>
      </w:r>
      <w:r w:rsidR="00B91336"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eseci.</w:t>
      </w:r>
    </w:p>
    <w:p w14:paraId="79561159" w14:textId="77777777"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Nakon prvog otvaranja boce koristiti u roku od 35 dana.</w:t>
      </w:r>
    </w:p>
    <w:p w14:paraId="5057AD37"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6229C1E6"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6.4.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Posebne mjere upozorenja pri čuvanju</w:t>
      </w:r>
      <w:r w:rsidR="00F8570A" w:rsidRPr="005A2200">
        <w:rPr>
          <w:rFonts w:asciiTheme="majorBidi" w:hAnsiTheme="majorBidi" w:cstheme="majorBidi"/>
          <w:b/>
          <w:bCs/>
          <w:sz w:val="22"/>
          <w:szCs w:val="22"/>
          <w:lang w:val="sr-Latn-ME"/>
        </w:rPr>
        <w:t xml:space="preserve"> lijeka</w:t>
      </w:r>
    </w:p>
    <w:p w14:paraId="77007BBA" w14:textId="37566B8E" w:rsidR="00EC2532" w:rsidRPr="005A2200" w:rsidRDefault="00EC2532" w:rsidP="005A2200">
      <w:pPr>
        <w:widowControl w:val="0"/>
        <w:tabs>
          <w:tab w:val="left" w:pos="540"/>
          <w:tab w:val="left" w:pos="569"/>
        </w:tabs>
        <w:jc w:val="both"/>
        <w:rPr>
          <w:rFonts w:asciiTheme="majorBidi" w:hAnsiTheme="majorBidi" w:cstheme="majorBidi"/>
          <w:bCs/>
          <w:sz w:val="22"/>
          <w:szCs w:val="22"/>
          <w:lang w:val="sr-Latn-ME"/>
        </w:rPr>
      </w:pPr>
    </w:p>
    <w:p w14:paraId="0968FFFB" w14:textId="6B407FD0" w:rsidR="00766713" w:rsidRPr="005A2200" w:rsidRDefault="007767B7" w:rsidP="005A2200">
      <w:pPr>
        <w:widowControl w:val="0"/>
        <w:tabs>
          <w:tab w:val="left" w:pos="540"/>
          <w:tab w:val="left" w:pos="569"/>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 xml:space="preserve">Lijek čuvati u originalnoj boci, a bocu čuvati dobro zatvorenu radi zaštite od vlage. Ne uklanjati desikant iz boce. Ovaj lijek ne zahtijeva posebne temperaturne uslove čuvanja. Za uslove čuvanja nakon prvog otvaranja boce vidjeti </w:t>
      </w:r>
      <w:r w:rsidR="00390224" w:rsidRPr="005A2200">
        <w:rPr>
          <w:rFonts w:asciiTheme="majorBidi" w:hAnsiTheme="majorBidi" w:cstheme="majorBidi"/>
          <w:sz w:val="22"/>
          <w:szCs w:val="22"/>
          <w:lang w:val="sr-Latn-ME"/>
        </w:rPr>
        <w:t xml:space="preserve">dio </w:t>
      </w:r>
      <w:r w:rsidRPr="005A2200">
        <w:rPr>
          <w:rFonts w:asciiTheme="majorBidi" w:hAnsiTheme="majorBidi" w:cstheme="majorBidi"/>
          <w:sz w:val="22"/>
          <w:szCs w:val="22"/>
          <w:lang w:val="sr-Latn-ME"/>
        </w:rPr>
        <w:t>6.3.</w:t>
      </w:r>
    </w:p>
    <w:p w14:paraId="5D704689" w14:textId="77777777" w:rsidR="00AF67A0" w:rsidRPr="005A2200" w:rsidRDefault="00AF67A0" w:rsidP="005A2200">
      <w:pPr>
        <w:widowControl w:val="0"/>
        <w:tabs>
          <w:tab w:val="left" w:pos="540"/>
          <w:tab w:val="left" w:pos="569"/>
        </w:tabs>
        <w:jc w:val="both"/>
        <w:rPr>
          <w:rFonts w:asciiTheme="majorBidi" w:hAnsiTheme="majorBidi" w:cstheme="majorBidi"/>
          <w:bCs/>
          <w:sz w:val="22"/>
          <w:szCs w:val="22"/>
          <w:lang w:val="sr-Latn-ME"/>
        </w:rPr>
      </w:pPr>
    </w:p>
    <w:p w14:paraId="68979357"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6.5. </w:t>
      </w:r>
      <w:r w:rsidR="00480FB1" w:rsidRPr="005A2200">
        <w:rPr>
          <w:rFonts w:asciiTheme="majorBidi" w:hAnsiTheme="majorBidi" w:cstheme="majorBidi"/>
          <w:b/>
          <w:bCs/>
          <w:sz w:val="22"/>
          <w:szCs w:val="22"/>
          <w:lang w:val="sr-Latn-ME"/>
        </w:rPr>
        <w:tab/>
      </w:r>
      <w:r w:rsidR="002846DB" w:rsidRPr="005A2200">
        <w:rPr>
          <w:rFonts w:asciiTheme="majorBidi" w:hAnsiTheme="majorBidi" w:cstheme="majorBidi"/>
          <w:b/>
          <w:bCs/>
          <w:sz w:val="22"/>
          <w:szCs w:val="22"/>
          <w:lang w:val="sr-Latn-ME"/>
        </w:rPr>
        <w:t xml:space="preserve">Vrsta i sadržaj </w:t>
      </w:r>
      <w:r w:rsidR="00F8570A" w:rsidRPr="005A2200">
        <w:rPr>
          <w:rFonts w:asciiTheme="majorBidi" w:hAnsiTheme="majorBidi" w:cstheme="majorBidi"/>
          <w:b/>
          <w:bCs/>
          <w:sz w:val="22"/>
          <w:szCs w:val="22"/>
          <w:lang w:val="sr-Latn-ME"/>
        </w:rPr>
        <w:t>pakovanja</w:t>
      </w:r>
      <w:r w:rsidR="00C06864" w:rsidRPr="005A2200">
        <w:rPr>
          <w:rFonts w:asciiTheme="majorBidi" w:hAnsiTheme="majorBidi" w:cstheme="majorBidi"/>
          <w:b/>
          <w:bCs/>
          <w:sz w:val="22"/>
          <w:szCs w:val="22"/>
          <w:lang w:val="sr-Latn-ME"/>
        </w:rPr>
        <w:t xml:space="preserve"> </w:t>
      </w:r>
    </w:p>
    <w:p w14:paraId="19FC6BB7" w14:textId="73974E0B"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448CA0ED" w14:textId="45733B84" w:rsidR="00766713" w:rsidRPr="005A2200" w:rsidRDefault="00766713" w:rsidP="005A2200">
      <w:pPr>
        <w:widowControl w:val="0"/>
        <w:tabs>
          <w:tab w:val="left" w:pos="284"/>
        </w:tabs>
        <w:jc w:val="both"/>
        <w:outlineLvl w:val="0"/>
        <w:rPr>
          <w:rFonts w:asciiTheme="majorBidi" w:hAnsiTheme="majorBidi" w:cstheme="majorBidi"/>
          <w:sz w:val="22"/>
          <w:szCs w:val="22"/>
          <w:lang w:val="sr-Latn-ME"/>
        </w:rPr>
      </w:pPr>
      <w:r w:rsidRPr="005A2200">
        <w:rPr>
          <w:rFonts w:asciiTheme="majorBidi" w:hAnsiTheme="majorBidi" w:cstheme="majorBidi"/>
          <w:sz w:val="22"/>
          <w:szCs w:val="22"/>
          <w:lang w:val="sr-Latn-ME"/>
        </w:rPr>
        <w:t>Svako pakovanje sadrži bocu od polietilena visoke gustine (HDPE) sa polipropilenskim sigurnosnim zatvaračem za d</w:t>
      </w:r>
      <w:r w:rsidR="00392150"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ecu koje sadrži silika</w:t>
      </w:r>
      <w:r w:rsidRPr="005A2200">
        <w:rPr>
          <w:rFonts w:asciiTheme="majorBidi" w:hAnsiTheme="majorBidi" w:cstheme="majorBidi"/>
          <w:sz w:val="22"/>
          <w:szCs w:val="22"/>
          <w:lang w:val="sr-Latn-ME"/>
        </w:rPr>
        <w:noBreakHyphen/>
        <w:t xml:space="preserve">gel kao sredstvo za sušenje (desikant). </w:t>
      </w:r>
    </w:p>
    <w:p w14:paraId="62068474" w14:textId="77777777" w:rsidR="00766713" w:rsidRPr="005A2200" w:rsidRDefault="00766713" w:rsidP="005A2200">
      <w:pPr>
        <w:widowControl w:val="0"/>
        <w:tabs>
          <w:tab w:val="left" w:pos="284"/>
        </w:tabs>
        <w:jc w:val="both"/>
        <w:outlineLvl w:val="0"/>
        <w:rPr>
          <w:rFonts w:asciiTheme="majorBidi" w:hAnsiTheme="majorBidi" w:cstheme="majorBidi"/>
          <w:sz w:val="22"/>
          <w:szCs w:val="22"/>
          <w:lang w:val="sr-Latn-ME"/>
        </w:rPr>
      </w:pPr>
    </w:p>
    <w:p w14:paraId="2F14469C" w14:textId="727F34F3" w:rsidR="00766713" w:rsidRPr="005A2200" w:rsidRDefault="00766713" w:rsidP="005A2200">
      <w:pPr>
        <w:widowControl w:val="0"/>
        <w:tabs>
          <w:tab w:val="left" w:pos="284"/>
        </w:tabs>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Dostupna j</w:t>
      </w:r>
      <w:r w:rsidR="00AF67A0" w:rsidRPr="005A2200">
        <w:rPr>
          <w:rFonts w:asciiTheme="majorBidi" w:hAnsiTheme="majorBidi" w:cstheme="majorBidi"/>
          <w:sz w:val="22"/>
          <w:szCs w:val="22"/>
          <w:lang w:val="sr-Latn-ME"/>
        </w:rPr>
        <w:t>e</w:t>
      </w:r>
      <w:r w:rsidRPr="005A2200">
        <w:rPr>
          <w:rFonts w:asciiTheme="majorBidi" w:hAnsiTheme="majorBidi" w:cstheme="majorBidi"/>
          <w:sz w:val="22"/>
          <w:szCs w:val="22"/>
          <w:lang w:val="sr-Latn-ME"/>
        </w:rPr>
        <w:t xml:space="preserve"> sl</w:t>
      </w:r>
      <w:r w:rsidR="00805A3F" w:rsidRPr="005A2200">
        <w:rPr>
          <w:rFonts w:asciiTheme="majorBidi" w:hAnsiTheme="majorBidi" w:cstheme="majorBidi"/>
          <w:sz w:val="22"/>
          <w:szCs w:val="22"/>
          <w:lang w:val="sr-Latn-ME"/>
        </w:rPr>
        <w:t>j</w:t>
      </w:r>
      <w:r w:rsidRPr="005A2200">
        <w:rPr>
          <w:rFonts w:asciiTheme="majorBidi" w:hAnsiTheme="majorBidi" w:cstheme="majorBidi"/>
          <w:sz w:val="22"/>
          <w:szCs w:val="22"/>
          <w:lang w:val="sr-Latn-ME"/>
        </w:rPr>
        <w:t xml:space="preserve">edeća veličina pakovanja: </w:t>
      </w:r>
    </w:p>
    <w:p w14:paraId="37E59ACD" w14:textId="6B6A264A" w:rsidR="00766713" w:rsidRPr="005A2200" w:rsidRDefault="00766713" w:rsidP="005A2200">
      <w:pPr>
        <w:widowControl w:val="0"/>
        <w:tabs>
          <w:tab w:val="left" w:pos="284"/>
        </w:tabs>
        <w:kinsoku w:val="0"/>
        <w:overflowPunct w:val="0"/>
        <w:autoSpaceDE w:val="0"/>
        <w:autoSpaceDN w:val="0"/>
        <w:adjustRightInd w:val="0"/>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1 boca sa 30 film tableta.</w:t>
      </w:r>
    </w:p>
    <w:p w14:paraId="0E99FD07" w14:textId="77777777" w:rsidR="00766713" w:rsidRPr="005A2200" w:rsidRDefault="00766713" w:rsidP="005A2200">
      <w:pPr>
        <w:widowControl w:val="0"/>
        <w:tabs>
          <w:tab w:val="left" w:pos="540"/>
          <w:tab w:val="left" w:pos="569"/>
        </w:tabs>
        <w:jc w:val="both"/>
        <w:rPr>
          <w:rFonts w:asciiTheme="majorBidi" w:hAnsiTheme="majorBidi" w:cstheme="majorBidi"/>
          <w:bCs/>
          <w:sz w:val="22"/>
          <w:szCs w:val="22"/>
          <w:lang w:val="sr-Latn-ME"/>
        </w:rPr>
      </w:pPr>
    </w:p>
    <w:p w14:paraId="03BD0FAB" w14:textId="77777777" w:rsidR="002846DB"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6.6.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color w:val="000000"/>
          <w:sz w:val="22"/>
          <w:szCs w:val="22"/>
          <w:lang w:val="sr-Latn-ME"/>
        </w:rPr>
        <w:t>Posebne mjere opreza pri odlaganju materijala koji treba odbaciti nakon primjene lijeka</w:t>
      </w:r>
      <w:r w:rsidRPr="005A2200">
        <w:rPr>
          <w:rFonts w:asciiTheme="majorBidi" w:hAnsiTheme="majorBidi" w:cstheme="majorBidi"/>
          <w:b/>
          <w:bCs/>
          <w:sz w:val="22"/>
          <w:szCs w:val="22"/>
          <w:lang w:val="sr-Latn-ME"/>
        </w:rPr>
        <w:t xml:space="preserve"> </w:t>
      </w:r>
      <w:r w:rsidR="00310F03" w:rsidRPr="005A2200">
        <w:rPr>
          <w:rFonts w:asciiTheme="majorBidi" w:hAnsiTheme="majorBidi" w:cstheme="majorBidi"/>
          <w:b/>
          <w:bCs/>
          <w:sz w:val="22"/>
          <w:szCs w:val="22"/>
          <w:lang w:val="sr-Latn-ME"/>
        </w:rPr>
        <w:t>(i druga uputs</w:t>
      </w:r>
      <w:r w:rsidR="004109FA" w:rsidRPr="005A2200">
        <w:rPr>
          <w:rFonts w:asciiTheme="majorBidi" w:hAnsiTheme="majorBidi" w:cstheme="majorBidi"/>
          <w:b/>
          <w:bCs/>
          <w:sz w:val="22"/>
          <w:szCs w:val="22"/>
          <w:lang w:val="sr-Latn-ME"/>
        </w:rPr>
        <w:t>t</w:t>
      </w:r>
      <w:r w:rsidR="00310F03" w:rsidRPr="005A2200">
        <w:rPr>
          <w:rFonts w:asciiTheme="majorBidi" w:hAnsiTheme="majorBidi" w:cstheme="majorBidi"/>
          <w:b/>
          <w:bCs/>
          <w:sz w:val="22"/>
          <w:szCs w:val="22"/>
          <w:lang w:val="sr-Latn-ME"/>
        </w:rPr>
        <w:t xml:space="preserve">va za rukovanje lijekom) </w:t>
      </w:r>
    </w:p>
    <w:p w14:paraId="070ED1D7" w14:textId="77777777" w:rsidR="00B66A70" w:rsidRPr="005A2200" w:rsidRDefault="00B66A70" w:rsidP="005A2200">
      <w:pPr>
        <w:widowControl w:val="0"/>
        <w:tabs>
          <w:tab w:val="left" w:pos="540"/>
          <w:tab w:val="left" w:pos="569"/>
        </w:tabs>
        <w:jc w:val="both"/>
        <w:rPr>
          <w:rFonts w:asciiTheme="majorBidi" w:hAnsiTheme="majorBidi" w:cstheme="majorBidi"/>
          <w:b/>
          <w:bCs/>
          <w:sz w:val="22"/>
          <w:szCs w:val="22"/>
          <w:lang w:val="sr-Latn-ME"/>
        </w:rPr>
      </w:pPr>
    </w:p>
    <w:p w14:paraId="4CA2558C" w14:textId="151F47AA" w:rsidR="00766713" w:rsidRPr="005A2200" w:rsidRDefault="00766713" w:rsidP="005A2200">
      <w:pPr>
        <w:widowControl w:val="0"/>
        <w:tabs>
          <w:tab w:val="left" w:pos="284"/>
        </w:tabs>
        <w:jc w:val="both"/>
        <w:rPr>
          <w:rFonts w:asciiTheme="majorBidi" w:hAnsiTheme="majorBidi" w:cstheme="majorBidi"/>
          <w:sz w:val="22"/>
          <w:szCs w:val="22"/>
          <w:lang w:val="sr-Latn-ME"/>
        </w:rPr>
      </w:pPr>
      <w:r w:rsidRPr="005A2200">
        <w:rPr>
          <w:rFonts w:asciiTheme="majorBidi" w:hAnsiTheme="majorBidi" w:cstheme="majorBidi"/>
          <w:sz w:val="22"/>
          <w:szCs w:val="22"/>
          <w:lang w:val="sr-Latn-ME"/>
        </w:rPr>
        <w:t>Svu neiskorišćenu količinu l</w:t>
      </w:r>
      <w:r w:rsidR="00B91336" w:rsidRPr="005A2200">
        <w:rPr>
          <w:rFonts w:asciiTheme="majorBidi" w:hAnsiTheme="majorBidi" w:cstheme="majorBidi"/>
          <w:sz w:val="22"/>
          <w:szCs w:val="22"/>
          <w:lang w:val="sr-Latn-ME"/>
        </w:rPr>
        <w:t>ij</w:t>
      </w:r>
      <w:r w:rsidRPr="005A2200">
        <w:rPr>
          <w:rFonts w:asciiTheme="majorBidi" w:hAnsiTheme="majorBidi" w:cstheme="majorBidi"/>
          <w:sz w:val="22"/>
          <w:szCs w:val="22"/>
          <w:lang w:val="sr-Latn-ME"/>
        </w:rPr>
        <w:t>eka ili otpadnog materij</w:t>
      </w:r>
      <w:r w:rsidR="00AF67A0" w:rsidRPr="005A2200">
        <w:rPr>
          <w:rFonts w:asciiTheme="majorBidi" w:hAnsiTheme="majorBidi" w:cstheme="majorBidi"/>
          <w:sz w:val="22"/>
          <w:szCs w:val="22"/>
          <w:lang w:val="sr-Latn-ME"/>
        </w:rPr>
        <w:t>a</w:t>
      </w:r>
      <w:r w:rsidRPr="005A2200">
        <w:rPr>
          <w:rFonts w:asciiTheme="majorBidi" w:hAnsiTheme="majorBidi" w:cstheme="majorBidi"/>
          <w:sz w:val="22"/>
          <w:szCs w:val="22"/>
          <w:lang w:val="sr-Latn-ME"/>
        </w:rPr>
        <w:t xml:space="preserve">la nakon njegove upotrebe treba ukloniti, u skladu </w:t>
      </w:r>
      <w:r w:rsidRPr="005A2200">
        <w:rPr>
          <w:rFonts w:asciiTheme="majorBidi" w:hAnsiTheme="majorBidi" w:cstheme="majorBidi"/>
          <w:sz w:val="22"/>
          <w:szCs w:val="22"/>
          <w:lang w:val="sr-Latn-ME"/>
        </w:rPr>
        <w:lastRenderedPageBreak/>
        <w:t>sa važećim propisima.</w:t>
      </w:r>
    </w:p>
    <w:p w14:paraId="5E94D9DA" w14:textId="7BBC248E"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39D35AEC" w14:textId="77777777" w:rsidR="00072EA4" w:rsidRPr="005A2200" w:rsidRDefault="00072EA4" w:rsidP="005A2200">
      <w:pPr>
        <w:widowControl w:val="0"/>
        <w:tabs>
          <w:tab w:val="left" w:pos="540"/>
          <w:tab w:val="left" w:pos="569"/>
        </w:tabs>
        <w:jc w:val="both"/>
        <w:rPr>
          <w:rFonts w:asciiTheme="majorBidi" w:hAnsiTheme="majorBidi" w:cstheme="majorBidi"/>
          <w:bCs/>
          <w:sz w:val="22"/>
          <w:szCs w:val="22"/>
          <w:lang w:val="sr-Latn-ME"/>
        </w:rPr>
      </w:pPr>
    </w:p>
    <w:p w14:paraId="0F767B9B" w14:textId="77777777" w:rsidR="00F8570A"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7.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NOSILAC DOZVOLE</w:t>
      </w:r>
      <w:r w:rsidR="00483928" w:rsidRPr="005A2200">
        <w:rPr>
          <w:rFonts w:asciiTheme="majorBidi" w:hAnsiTheme="majorBidi" w:cstheme="majorBidi"/>
          <w:b/>
          <w:bCs/>
          <w:sz w:val="22"/>
          <w:szCs w:val="22"/>
          <w:lang w:val="sr-Latn-ME"/>
        </w:rPr>
        <w:t xml:space="preserve"> </w:t>
      </w:r>
    </w:p>
    <w:p w14:paraId="4F70A301" w14:textId="77777777" w:rsidR="00C61BE0" w:rsidRPr="005A2200" w:rsidRDefault="00C61BE0" w:rsidP="005A2200">
      <w:pPr>
        <w:widowControl w:val="0"/>
        <w:tabs>
          <w:tab w:val="left" w:pos="540"/>
          <w:tab w:val="left" w:pos="569"/>
        </w:tabs>
        <w:jc w:val="both"/>
        <w:rPr>
          <w:rFonts w:asciiTheme="majorBidi" w:hAnsiTheme="majorBidi" w:cstheme="majorBidi"/>
          <w:bCs/>
          <w:sz w:val="22"/>
          <w:szCs w:val="22"/>
          <w:lang w:val="sr-Latn-ME"/>
        </w:rPr>
      </w:pPr>
    </w:p>
    <w:p w14:paraId="45109108" w14:textId="459A7B53" w:rsidR="00101C7D" w:rsidRPr="005A2200" w:rsidRDefault="00101C7D"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Glosarij d.o.o., Vojislavljevića 76, Podgorica, Crna Gora</w:t>
      </w:r>
    </w:p>
    <w:p w14:paraId="527A07FA" w14:textId="77777777" w:rsidR="00072EA4" w:rsidRPr="005A2200" w:rsidRDefault="00072EA4" w:rsidP="005A2200">
      <w:pPr>
        <w:widowControl w:val="0"/>
        <w:tabs>
          <w:tab w:val="left" w:pos="540"/>
          <w:tab w:val="left" w:pos="569"/>
        </w:tabs>
        <w:jc w:val="both"/>
        <w:rPr>
          <w:rFonts w:asciiTheme="majorBidi" w:hAnsiTheme="majorBidi" w:cstheme="majorBidi"/>
          <w:bCs/>
          <w:sz w:val="22"/>
          <w:szCs w:val="22"/>
          <w:lang w:val="sr-Latn-ME"/>
        </w:rPr>
      </w:pPr>
    </w:p>
    <w:p w14:paraId="2F2A31F5" w14:textId="77777777" w:rsidR="00C37FD7" w:rsidRPr="005A2200" w:rsidRDefault="00C37FD7" w:rsidP="005A2200">
      <w:pPr>
        <w:widowControl w:val="0"/>
        <w:tabs>
          <w:tab w:val="left" w:pos="540"/>
          <w:tab w:val="left" w:pos="569"/>
        </w:tabs>
        <w:jc w:val="both"/>
        <w:rPr>
          <w:rFonts w:asciiTheme="majorBidi" w:hAnsiTheme="majorBidi" w:cstheme="majorBidi"/>
          <w:bCs/>
          <w:sz w:val="22"/>
          <w:szCs w:val="22"/>
          <w:lang w:val="sr-Latn-ME"/>
        </w:rPr>
      </w:pPr>
    </w:p>
    <w:p w14:paraId="00CB609F"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8.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BROJ DOZVOLE</w:t>
      </w:r>
      <w:r w:rsidR="008A6D43" w:rsidRPr="005A2200">
        <w:rPr>
          <w:rFonts w:asciiTheme="majorBidi" w:hAnsiTheme="majorBidi" w:cstheme="majorBidi"/>
          <w:b/>
          <w:bCs/>
          <w:sz w:val="22"/>
          <w:szCs w:val="22"/>
          <w:lang w:val="sr-Latn-ME"/>
        </w:rPr>
        <w:t xml:space="preserve"> ZA STAVLJANJE LIJEKA U PROMET</w:t>
      </w:r>
    </w:p>
    <w:p w14:paraId="1546545C" w14:textId="42BB6243"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29B58154" w14:textId="4FE55545" w:rsidR="00072EA4" w:rsidRPr="005A2200" w:rsidRDefault="00072EA4"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2030/22/2404 - 5562</w:t>
      </w:r>
    </w:p>
    <w:p w14:paraId="2C051FEB" w14:textId="77777777" w:rsidR="00072EA4" w:rsidRPr="005A2200" w:rsidRDefault="00072EA4" w:rsidP="005A2200">
      <w:pPr>
        <w:widowControl w:val="0"/>
        <w:tabs>
          <w:tab w:val="left" w:pos="540"/>
          <w:tab w:val="left" w:pos="569"/>
        </w:tabs>
        <w:jc w:val="both"/>
        <w:rPr>
          <w:rFonts w:asciiTheme="majorBidi" w:hAnsiTheme="majorBidi" w:cstheme="majorBidi"/>
          <w:bCs/>
          <w:sz w:val="22"/>
          <w:szCs w:val="22"/>
          <w:lang w:val="sr-Latn-ME"/>
        </w:rPr>
      </w:pPr>
    </w:p>
    <w:p w14:paraId="461F016C" w14:textId="77777777" w:rsidR="00F45F77" w:rsidRPr="005A2200" w:rsidRDefault="00F45F77" w:rsidP="005A2200">
      <w:pPr>
        <w:widowControl w:val="0"/>
        <w:tabs>
          <w:tab w:val="left" w:pos="540"/>
          <w:tab w:val="left" w:pos="569"/>
        </w:tabs>
        <w:jc w:val="both"/>
        <w:rPr>
          <w:rFonts w:asciiTheme="majorBidi" w:hAnsiTheme="majorBidi" w:cstheme="majorBidi"/>
          <w:bCs/>
          <w:sz w:val="22"/>
          <w:szCs w:val="22"/>
          <w:lang w:val="sr-Latn-ME"/>
        </w:rPr>
      </w:pPr>
    </w:p>
    <w:p w14:paraId="2E8673D3" w14:textId="77777777" w:rsidR="0072020E" w:rsidRPr="005A2200" w:rsidRDefault="0072020E" w:rsidP="005A2200">
      <w:pPr>
        <w:widowControl w:val="0"/>
        <w:tabs>
          <w:tab w:val="left" w:pos="540"/>
          <w:tab w:val="left" w:pos="569"/>
        </w:tabs>
        <w:jc w:val="both"/>
        <w:rPr>
          <w:rFonts w:asciiTheme="majorBidi" w:hAnsiTheme="majorBidi" w:cstheme="majorBidi"/>
          <w:b/>
          <w:bCs/>
          <w:sz w:val="22"/>
          <w:szCs w:val="22"/>
          <w:lang w:val="sr-Latn-ME"/>
        </w:rPr>
      </w:pPr>
      <w:r w:rsidRPr="005A2200">
        <w:rPr>
          <w:rFonts w:asciiTheme="majorBidi" w:hAnsiTheme="majorBidi" w:cstheme="majorBidi"/>
          <w:b/>
          <w:bCs/>
          <w:sz w:val="22"/>
          <w:szCs w:val="22"/>
          <w:lang w:val="sr-Latn-ME"/>
        </w:rPr>
        <w:t xml:space="preserve">9. </w:t>
      </w:r>
      <w:r w:rsidR="00480FB1" w:rsidRPr="005A2200">
        <w:rPr>
          <w:rFonts w:asciiTheme="majorBidi" w:hAnsiTheme="majorBidi" w:cstheme="majorBidi"/>
          <w:b/>
          <w:bCs/>
          <w:sz w:val="22"/>
          <w:szCs w:val="22"/>
          <w:lang w:val="sr-Latn-ME"/>
        </w:rPr>
        <w:tab/>
      </w:r>
      <w:r w:rsidRPr="005A2200">
        <w:rPr>
          <w:rFonts w:asciiTheme="majorBidi" w:hAnsiTheme="majorBidi" w:cstheme="majorBidi"/>
          <w:b/>
          <w:bCs/>
          <w:sz w:val="22"/>
          <w:szCs w:val="22"/>
          <w:lang w:val="sr-Latn-ME"/>
        </w:rPr>
        <w:t xml:space="preserve">DATUM </w:t>
      </w:r>
      <w:r w:rsidR="00C05DF8" w:rsidRPr="005A2200">
        <w:rPr>
          <w:rFonts w:asciiTheme="majorBidi" w:hAnsiTheme="majorBidi" w:cstheme="majorBidi"/>
          <w:b/>
          <w:bCs/>
          <w:sz w:val="22"/>
          <w:szCs w:val="22"/>
          <w:lang w:val="sr-Latn-ME"/>
        </w:rPr>
        <w:t xml:space="preserve">PRVE </w:t>
      </w:r>
      <w:r w:rsidR="008A6D43" w:rsidRPr="005A2200">
        <w:rPr>
          <w:rFonts w:asciiTheme="majorBidi" w:hAnsiTheme="majorBidi" w:cstheme="majorBidi"/>
          <w:b/>
          <w:bCs/>
          <w:sz w:val="22"/>
          <w:szCs w:val="22"/>
          <w:lang w:val="sr-Latn-ME"/>
        </w:rPr>
        <w:t>DOZVOLE</w:t>
      </w:r>
      <w:r w:rsidR="00C05DF8" w:rsidRPr="005A2200">
        <w:rPr>
          <w:rFonts w:asciiTheme="majorBidi" w:hAnsiTheme="majorBidi" w:cstheme="majorBidi"/>
          <w:b/>
          <w:bCs/>
          <w:sz w:val="22"/>
          <w:szCs w:val="22"/>
          <w:lang w:val="sr-Latn-ME"/>
        </w:rPr>
        <w:t>/OBNOVE DOZVOLE</w:t>
      </w:r>
      <w:r w:rsidR="008A6D43" w:rsidRPr="005A2200">
        <w:rPr>
          <w:rFonts w:asciiTheme="majorBidi" w:hAnsiTheme="majorBidi" w:cstheme="majorBidi"/>
          <w:b/>
          <w:bCs/>
          <w:sz w:val="22"/>
          <w:szCs w:val="22"/>
          <w:lang w:val="sr-Latn-ME"/>
        </w:rPr>
        <w:t xml:space="preserve"> ZA STAVLJANJE LIJEKA U PROMET</w:t>
      </w:r>
    </w:p>
    <w:p w14:paraId="771630E1" w14:textId="277298A1" w:rsidR="0072020E" w:rsidRPr="005A2200" w:rsidRDefault="0072020E" w:rsidP="005A2200">
      <w:pPr>
        <w:widowControl w:val="0"/>
        <w:tabs>
          <w:tab w:val="left" w:pos="540"/>
          <w:tab w:val="left" w:pos="569"/>
        </w:tabs>
        <w:jc w:val="both"/>
        <w:rPr>
          <w:rFonts w:asciiTheme="majorBidi" w:hAnsiTheme="majorBidi" w:cstheme="majorBidi"/>
          <w:bCs/>
          <w:sz w:val="22"/>
          <w:szCs w:val="22"/>
          <w:lang w:val="sr-Latn-ME"/>
        </w:rPr>
      </w:pPr>
    </w:p>
    <w:p w14:paraId="725631CD" w14:textId="03FDC3B7" w:rsidR="00072EA4" w:rsidRPr="005A2200" w:rsidRDefault="00072EA4" w:rsidP="005A2200">
      <w:pPr>
        <w:widowControl w:val="0"/>
        <w:tabs>
          <w:tab w:val="left" w:pos="540"/>
          <w:tab w:val="left" w:pos="569"/>
        </w:tabs>
        <w:jc w:val="both"/>
        <w:rPr>
          <w:rFonts w:asciiTheme="majorBidi" w:hAnsiTheme="majorBidi" w:cstheme="majorBidi"/>
          <w:bCs/>
          <w:sz w:val="22"/>
          <w:szCs w:val="22"/>
          <w:lang w:val="sr-Latn-ME"/>
        </w:rPr>
      </w:pPr>
      <w:r w:rsidRPr="005A2200">
        <w:rPr>
          <w:rFonts w:asciiTheme="majorBidi" w:hAnsiTheme="majorBidi" w:cstheme="majorBidi"/>
          <w:bCs/>
          <w:sz w:val="22"/>
          <w:szCs w:val="22"/>
          <w:lang w:val="sr-Latn-ME"/>
        </w:rPr>
        <w:t>29.09.2022.</w:t>
      </w:r>
    </w:p>
    <w:p w14:paraId="3949E666" w14:textId="77777777" w:rsidR="00072EA4" w:rsidRPr="005A2200" w:rsidRDefault="00072EA4" w:rsidP="005A2200">
      <w:pPr>
        <w:widowControl w:val="0"/>
        <w:tabs>
          <w:tab w:val="left" w:pos="540"/>
          <w:tab w:val="left" w:pos="569"/>
        </w:tabs>
        <w:jc w:val="both"/>
        <w:rPr>
          <w:rFonts w:asciiTheme="majorBidi" w:hAnsiTheme="majorBidi" w:cstheme="majorBidi"/>
          <w:bCs/>
          <w:sz w:val="22"/>
          <w:szCs w:val="22"/>
          <w:lang w:val="sr-Latn-ME"/>
        </w:rPr>
      </w:pPr>
    </w:p>
    <w:p w14:paraId="295E0FAA" w14:textId="77777777" w:rsidR="00836B35" w:rsidRPr="005A2200" w:rsidRDefault="00836B35" w:rsidP="005A2200">
      <w:pPr>
        <w:widowControl w:val="0"/>
        <w:tabs>
          <w:tab w:val="left" w:pos="540"/>
          <w:tab w:val="left" w:pos="569"/>
        </w:tabs>
        <w:jc w:val="both"/>
        <w:rPr>
          <w:rFonts w:asciiTheme="majorBidi" w:hAnsiTheme="majorBidi" w:cstheme="majorBidi"/>
          <w:bCs/>
          <w:sz w:val="22"/>
          <w:szCs w:val="22"/>
          <w:lang w:val="sr-Latn-ME"/>
        </w:rPr>
      </w:pPr>
    </w:p>
    <w:p w14:paraId="188BC434" w14:textId="77777777" w:rsidR="003F6A59" w:rsidRPr="005A2200" w:rsidRDefault="0072020E" w:rsidP="005A2200">
      <w:pPr>
        <w:widowControl w:val="0"/>
        <w:tabs>
          <w:tab w:val="left" w:pos="540"/>
          <w:tab w:val="left" w:pos="569"/>
        </w:tabs>
        <w:ind w:left="540" w:hanging="540"/>
        <w:jc w:val="both"/>
        <w:rPr>
          <w:rFonts w:asciiTheme="majorBidi" w:hAnsiTheme="majorBidi" w:cstheme="majorBidi"/>
          <w:bCs/>
          <w:sz w:val="22"/>
          <w:szCs w:val="22"/>
          <w:lang w:val="sr-Latn-ME"/>
        </w:rPr>
      </w:pPr>
      <w:r w:rsidRPr="005A2200">
        <w:rPr>
          <w:rFonts w:asciiTheme="majorBidi" w:hAnsiTheme="majorBidi" w:cstheme="majorBidi"/>
          <w:b/>
          <w:bCs/>
          <w:sz w:val="22"/>
          <w:szCs w:val="22"/>
          <w:lang w:val="sr-Latn-ME"/>
        </w:rPr>
        <w:t xml:space="preserve">10. </w:t>
      </w:r>
      <w:r w:rsidR="00480FB1" w:rsidRPr="005A2200">
        <w:rPr>
          <w:rFonts w:asciiTheme="majorBidi" w:hAnsiTheme="majorBidi" w:cstheme="majorBidi"/>
          <w:b/>
          <w:bCs/>
          <w:sz w:val="22"/>
          <w:szCs w:val="22"/>
          <w:lang w:val="sr-Latn-ME"/>
        </w:rPr>
        <w:tab/>
      </w:r>
      <w:r w:rsidR="002846DB" w:rsidRPr="005A2200">
        <w:rPr>
          <w:rFonts w:asciiTheme="majorBidi" w:hAnsiTheme="majorBidi" w:cstheme="majorBidi"/>
          <w:b/>
          <w:bCs/>
          <w:sz w:val="22"/>
          <w:szCs w:val="22"/>
          <w:lang w:val="sr-Latn-ME"/>
        </w:rPr>
        <w:t>D</w:t>
      </w:r>
      <w:r w:rsidR="00EC2532" w:rsidRPr="005A2200">
        <w:rPr>
          <w:rFonts w:asciiTheme="majorBidi" w:hAnsiTheme="majorBidi" w:cstheme="majorBidi"/>
          <w:b/>
          <w:bCs/>
          <w:sz w:val="22"/>
          <w:szCs w:val="22"/>
          <w:lang w:val="sr-Latn-ME"/>
        </w:rPr>
        <w:t xml:space="preserve">ATUM REVIZIJE TEKSTA </w:t>
      </w:r>
    </w:p>
    <w:p w14:paraId="44F2B164" w14:textId="77777777" w:rsidR="003F6A59" w:rsidRPr="005A2200" w:rsidRDefault="003F6A59" w:rsidP="005A2200">
      <w:pPr>
        <w:widowControl w:val="0"/>
        <w:tabs>
          <w:tab w:val="left" w:pos="540"/>
          <w:tab w:val="left" w:pos="569"/>
        </w:tabs>
        <w:rPr>
          <w:rFonts w:asciiTheme="majorBidi" w:hAnsiTheme="majorBidi" w:cstheme="majorBidi"/>
          <w:bCs/>
          <w:sz w:val="22"/>
          <w:szCs w:val="22"/>
          <w:lang w:val="sr-Latn-ME"/>
        </w:rPr>
      </w:pPr>
    </w:p>
    <w:p w14:paraId="3FC36D8A" w14:textId="7C83414B" w:rsidR="003F6A59" w:rsidRPr="005A2200" w:rsidRDefault="005A2200" w:rsidP="005A2200">
      <w:pPr>
        <w:widowControl w:val="0"/>
        <w:rPr>
          <w:rFonts w:asciiTheme="majorBidi" w:hAnsiTheme="majorBidi" w:cstheme="majorBidi"/>
          <w:sz w:val="22"/>
          <w:szCs w:val="22"/>
          <w:lang w:val="sr-Latn-ME"/>
        </w:rPr>
      </w:pPr>
      <w:r>
        <w:rPr>
          <w:rFonts w:asciiTheme="majorBidi" w:hAnsiTheme="majorBidi" w:cstheme="majorBidi"/>
          <w:sz w:val="22"/>
          <w:szCs w:val="22"/>
          <w:lang w:val="sr-Latn-ME"/>
        </w:rPr>
        <w:t>Februar, 2025. godine</w:t>
      </w:r>
    </w:p>
    <w:sectPr w:rsidR="003F6A59" w:rsidRPr="005A2200" w:rsidSect="002E01CF">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51392" w14:textId="77777777" w:rsidR="00615CA4" w:rsidRDefault="00615CA4">
      <w:r>
        <w:separator/>
      </w:r>
    </w:p>
  </w:endnote>
  <w:endnote w:type="continuationSeparator" w:id="0">
    <w:p w14:paraId="7D669671" w14:textId="77777777" w:rsidR="00615CA4" w:rsidRDefault="0061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7FD8" w14:textId="6267A3BF" w:rsidR="005A2200" w:rsidRPr="00B23F69" w:rsidRDefault="005A2200" w:rsidP="00F050D0">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76489">
      <w:rPr>
        <w:noProof/>
        <w:sz w:val="22"/>
        <w:szCs w:val="22"/>
      </w:rPr>
      <w:t>23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76489">
      <w:rPr>
        <w:noProof/>
        <w:sz w:val="22"/>
        <w:szCs w:val="22"/>
      </w:rPr>
      <w:t>23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C22DB" w14:textId="77777777" w:rsidR="00615CA4" w:rsidRDefault="00615CA4">
      <w:r>
        <w:separator/>
      </w:r>
    </w:p>
  </w:footnote>
  <w:footnote w:type="continuationSeparator" w:id="0">
    <w:p w14:paraId="0F9DE374" w14:textId="77777777" w:rsidR="00615CA4" w:rsidRDefault="00615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62A0F5E"/>
    <w:multiLevelType w:val="hybridMultilevel"/>
    <w:tmpl w:val="6C0EC3C4"/>
    <w:lvl w:ilvl="0" w:tplc="7F320CC2">
      <w:start w:val="1"/>
      <w:numFmt w:val="bullet"/>
      <w:lvlText w:val=""/>
      <w:lvlJc w:val="left"/>
      <w:pPr>
        <w:ind w:left="720" w:hanging="360"/>
      </w:pPr>
      <w:rPr>
        <w:rFonts w:ascii="Symbol" w:hAnsi="Symbol" w:hint="default"/>
      </w:rPr>
    </w:lvl>
    <w:lvl w:ilvl="1" w:tplc="C5502306" w:tentative="1">
      <w:start w:val="1"/>
      <w:numFmt w:val="bullet"/>
      <w:lvlText w:val="o"/>
      <w:lvlJc w:val="left"/>
      <w:pPr>
        <w:ind w:left="1440" w:hanging="360"/>
      </w:pPr>
      <w:rPr>
        <w:rFonts w:ascii="Courier New" w:hAnsi="Courier New" w:cs="Courier New" w:hint="default"/>
      </w:rPr>
    </w:lvl>
    <w:lvl w:ilvl="2" w:tplc="F488C7DE" w:tentative="1">
      <w:start w:val="1"/>
      <w:numFmt w:val="bullet"/>
      <w:lvlText w:val=""/>
      <w:lvlJc w:val="left"/>
      <w:pPr>
        <w:ind w:left="2160" w:hanging="360"/>
      </w:pPr>
      <w:rPr>
        <w:rFonts w:ascii="Wingdings" w:hAnsi="Wingdings" w:hint="default"/>
      </w:rPr>
    </w:lvl>
    <w:lvl w:ilvl="3" w:tplc="2534BD7A" w:tentative="1">
      <w:start w:val="1"/>
      <w:numFmt w:val="bullet"/>
      <w:lvlText w:val=""/>
      <w:lvlJc w:val="left"/>
      <w:pPr>
        <w:ind w:left="2880" w:hanging="360"/>
      </w:pPr>
      <w:rPr>
        <w:rFonts w:ascii="Symbol" w:hAnsi="Symbol" w:hint="default"/>
      </w:rPr>
    </w:lvl>
    <w:lvl w:ilvl="4" w:tplc="709A5BD8" w:tentative="1">
      <w:start w:val="1"/>
      <w:numFmt w:val="bullet"/>
      <w:lvlText w:val="o"/>
      <w:lvlJc w:val="left"/>
      <w:pPr>
        <w:ind w:left="3600" w:hanging="360"/>
      </w:pPr>
      <w:rPr>
        <w:rFonts w:ascii="Courier New" w:hAnsi="Courier New" w:cs="Courier New" w:hint="default"/>
      </w:rPr>
    </w:lvl>
    <w:lvl w:ilvl="5" w:tplc="F168CA38" w:tentative="1">
      <w:start w:val="1"/>
      <w:numFmt w:val="bullet"/>
      <w:lvlText w:val=""/>
      <w:lvlJc w:val="left"/>
      <w:pPr>
        <w:ind w:left="4320" w:hanging="360"/>
      </w:pPr>
      <w:rPr>
        <w:rFonts w:ascii="Wingdings" w:hAnsi="Wingdings" w:hint="default"/>
      </w:rPr>
    </w:lvl>
    <w:lvl w:ilvl="6" w:tplc="808AB11E" w:tentative="1">
      <w:start w:val="1"/>
      <w:numFmt w:val="bullet"/>
      <w:lvlText w:val=""/>
      <w:lvlJc w:val="left"/>
      <w:pPr>
        <w:ind w:left="5040" w:hanging="360"/>
      </w:pPr>
      <w:rPr>
        <w:rFonts w:ascii="Symbol" w:hAnsi="Symbol" w:hint="default"/>
      </w:rPr>
    </w:lvl>
    <w:lvl w:ilvl="7" w:tplc="623C1EB0" w:tentative="1">
      <w:start w:val="1"/>
      <w:numFmt w:val="bullet"/>
      <w:lvlText w:val="o"/>
      <w:lvlJc w:val="left"/>
      <w:pPr>
        <w:ind w:left="5760" w:hanging="360"/>
      </w:pPr>
      <w:rPr>
        <w:rFonts w:ascii="Courier New" w:hAnsi="Courier New" w:cs="Courier New" w:hint="default"/>
      </w:rPr>
    </w:lvl>
    <w:lvl w:ilvl="8" w:tplc="8E14F6AA"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A8B7F69"/>
    <w:multiLevelType w:val="hybridMultilevel"/>
    <w:tmpl w:val="6EEE28AA"/>
    <w:lvl w:ilvl="0" w:tplc="94F87D1C">
      <w:start w:val="1"/>
      <w:numFmt w:val="bullet"/>
      <w:lvlText w:val=""/>
      <w:lvlJc w:val="left"/>
      <w:pPr>
        <w:ind w:left="720" w:hanging="360"/>
      </w:pPr>
      <w:rPr>
        <w:rFonts w:ascii="Symbol" w:hAnsi="Symbol" w:hint="default"/>
      </w:rPr>
    </w:lvl>
    <w:lvl w:ilvl="1" w:tplc="14821F58" w:tentative="1">
      <w:start w:val="1"/>
      <w:numFmt w:val="bullet"/>
      <w:lvlText w:val="o"/>
      <w:lvlJc w:val="left"/>
      <w:pPr>
        <w:ind w:left="1440" w:hanging="360"/>
      </w:pPr>
      <w:rPr>
        <w:rFonts w:ascii="Courier New" w:hAnsi="Courier New" w:cs="Courier New" w:hint="default"/>
      </w:rPr>
    </w:lvl>
    <w:lvl w:ilvl="2" w:tplc="C5FCEF1A" w:tentative="1">
      <w:start w:val="1"/>
      <w:numFmt w:val="bullet"/>
      <w:lvlText w:val=""/>
      <w:lvlJc w:val="left"/>
      <w:pPr>
        <w:ind w:left="2160" w:hanging="360"/>
      </w:pPr>
      <w:rPr>
        <w:rFonts w:ascii="Wingdings" w:hAnsi="Wingdings" w:hint="default"/>
      </w:rPr>
    </w:lvl>
    <w:lvl w:ilvl="3" w:tplc="7A1E5D54" w:tentative="1">
      <w:start w:val="1"/>
      <w:numFmt w:val="bullet"/>
      <w:lvlText w:val=""/>
      <w:lvlJc w:val="left"/>
      <w:pPr>
        <w:ind w:left="2880" w:hanging="360"/>
      </w:pPr>
      <w:rPr>
        <w:rFonts w:ascii="Symbol" w:hAnsi="Symbol" w:hint="default"/>
      </w:rPr>
    </w:lvl>
    <w:lvl w:ilvl="4" w:tplc="D9E4C236" w:tentative="1">
      <w:start w:val="1"/>
      <w:numFmt w:val="bullet"/>
      <w:lvlText w:val="o"/>
      <w:lvlJc w:val="left"/>
      <w:pPr>
        <w:ind w:left="3600" w:hanging="360"/>
      </w:pPr>
      <w:rPr>
        <w:rFonts w:ascii="Courier New" w:hAnsi="Courier New" w:cs="Courier New" w:hint="default"/>
      </w:rPr>
    </w:lvl>
    <w:lvl w:ilvl="5" w:tplc="4328BAC4" w:tentative="1">
      <w:start w:val="1"/>
      <w:numFmt w:val="bullet"/>
      <w:lvlText w:val=""/>
      <w:lvlJc w:val="left"/>
      <w:pPr>
        <w:ind w:left="4320" w:hanging="360"/>
      </w:pPr>
      <w:rPr>
        <w:rFonts w:ascii="Wingdings" w:hAnsi="Wingdings" w:hint="default"/>
      </w:rPr>
    </w:lvl>
    <w:lvl w:ilvl="6" w:tplc="79E48BA6" w:tentative="1">
      <w:start w:val="1"/>
      <w:numFmt w:val="bullet"/>
      <w:lvlText w:val=""/>
      <w:lvlJc w:val="left"/>
      <w:pPr>
        <w:ind w:left="5040" w:hanging="360"/>
      </w:pPr>
      <w:rPr>
        <w:rFonts w:ascii="Symbol" w:hAnsi="Symbol" w:hint="default"/>
      </w:rPr>
    </w:lvl>
    <w:lvl w:ilvl="7" w:tplc="DB0C15FA" w:tentative="1">
      <w:start w:val="1"/>
      <w:numFmt w:val="bullet"/>
      <w:lvlText w:val="o"/>
      <w:lvlJc w:val="left"/>
      <w:pPr>
        <w:ind w:left="5760" w:hanging="360"/>
      </w:pPr>
      <w:rPr>
        <w:rFonts w:ascii="Courier New" w:hAnsi="Courier New" w:cs="Courier New" w:hint="default"/>
      </w:rPr>
    </w:lvl>
    <w:lvl w:ilvl="8" w:tplc="8FDC7AEE"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3"/>
  </w:num>
  <w:num w:numId="3">
    <w:abstractNumId w:val="1"/>
  </w:num>
  <w:num w:numId="4">
    <w:abstractNumId w:val="12"/>
  </w:num>
  <w:num w:numId="5">
    <w:abstractNumId w:val="6"/>
  </w:num>
  <w:num w:numId="6">
    <w:abstractNumId w:val="2"/>
  </w:num>
  <w:num w:numId="7">
    <w:abstractNumId w:val="10"/>
  </w:num>
  <w:num w:numId="8">
    <w:abstractNumId w:val="5"/>
  </w:num>
  <w:num w:numId="9">
    <w:abstractNumId w:val="8"/>
  </w:num>
  <w:num w:numId="10">
    <w:abstractNumId w:val="14"/>
  </w:num>
  <w:num w:numId="11">
    <w:abstractNumId w:val="7"/>
  </w:num>
  <w:num w:numId="12">
    <w:abstractNumId w:val="3"/>
  </w:num>
  <w:num w:numId="13">
    <w:abstractNumId w:val="0"/>
    <w:lvlOverride w:ilvl="0">
      <w:startOverride w:val="7"/>
    </w:lvlOverride>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4AE"/>
    <w:rsid w:val="00000528"/>
    <w:rsid w:val="00005723"/>
    <w:rsid w:val="00012548"/>
    <w:rsid w:val="00016F65"/>
    <w:rsid w:val="000176CA"/>
    <w:rsid w:val="00022D6E"/>
    <w:rsid w:val="00036FA0"/>
    <w:rsid w:val="0003793F"/>
    <w:rsid w:val="00057E35"/>
    <w:rsid w:val="000708E8"/>
    <w:rsid w:val="00072EA4"/>
    <w:rsid w:val="00076726"/>
    <w:rsid w:val="00080303"/>
    <w:rsid w:val="00096448"/>
    <w:rsid w:val="000A3F58"/>
    <w:rsid w:val="000D10C8"/>
    <w:rsid w:val="000D2343"/>
    <w:rsid w:val="000D3449"/>
    <w:rsid w:val="000D425A"/>
    <w:rsid w:val="000D60CC"/>
    <w:rsid w:val="000E2084"/>
    <w:rsid w:val="000E6F55"/>
    <w:rsid w:val="000F77FA"/>
    <w:rsid w:val="00101C7D"/>
    <w:rsid w:val="00107BF7"/>
    <w:rsid w:val="00120A4D"/>
    <w:rsid w:val="00121114"/>
    <w:rsid w:val="00124D2B"/>
    <w:rsid w:val="00126F53"/>
    <w:rsid w:val="00127B09"/>
    <w:rsid w:val="00132E4C"/>
    <w:rsid w:val="001433B1"/>
    <w:rsid w:val="0014766D"/>
    <w:rsid w:val="001536CC"/>
    <w:rsid w:val="001752C4"/>
    <w:rsid w:val="00182CCE"/>
    <w:rsid w:val="0019071F"/>
    <w:rsid w:val="001A3FBA"/>
    <w:rsid w:val="001A5518"/>
    <w:rsid w:val="001B1C6A"/>
    <w:rsid w:val="001C1263"/>
    <w:rsid w:val="001C1417"/>
    <w:rsid w:val="001C32F1"/>
    <w:rsid w:val="001E390B"/>
    <w:rsid w:val="001F0BF6"/>
    <w:rsid w:val="001F42FB"/>
    <w:rsid w:val="001F47EE"/>
    <w:rsid w:val="001F505E"/>
    <w:rsid w:val="001F719A"/>
    <w:rsid w:val="002031B3"/>
    <w:rsid w:val="002061FD"/>
    <w:rsid w:val="002126AF"/>
    <w:rsid w:val="00215931"/>
    <w:rsid w:val="00224C91"/>
    <w:rsid w:val="00227BDB"/>
    <w:rsid w:val="00230D15"/>
    <w:rsid w:val="002329C4"/>
    <w:rsid w:val="00234CB1"/>
    <w:rsid w:val="002352F8"/>
    <w:rsid w:val="00247990"/>
    <w:rsid w:val="002510A5"/>
    <w:rsid w:val="00254A0A"/>
    <w:rsid w:val="00261F36"/>
    <w:rsid w:val="00266046"/>
    <w:rsid w:val="00267B20"/>
    <w:rsid w:val="002846DB"/>
    <w:rsid w:val="00284CCD"/>
    <w:rsid w:val="002A1E11"/>
    <w:rsid w:val="002C6637"/>
    <w:rsid w:val="002D2D5A"/>
    <w:rsid w:val="002E0135"/>
    <w:rsid w:val="002E01CF"/>
    <w:rsid w:val="002E37A5"/>
    <w:rsid w:val="002E59ED"/>
    <w:rsid w:val="002F1E0B"/>
    <w:rsid w:val="002F48F3"/>
    <w:rsid w:val="00310F03"/>
    <w:rsid w:val="00314D73"/>
    <w:rsid w:val="003247D2"/>
    <w:rsid w:val="00336ABB"/>
    <w:rsid w:val="003445C1"/>
    <w:rsid w:val="00352CC0"/>
    <w:rsid w:val="00355B61"/>
    <w:rsid w:val="00357A13"/>
    <w:rsid w:val="00362686"/>
    <w:rsid w:val="00366C36"/>
    <w:rsid w:val="00367D34"/>
    <w:rsid w:val="00371510"/>
    <w:rsid w:val="0037552A"/>
    <w:rsid w:val="00390224"/>
    <w:rsid w:val="00392150"/>
    <w:rsid w:val="00392C21"/>
    <w:rsid w:val="00396DFD"/>
    <w:rsid w:val="003A7059"/>
    <w:rsid w:val="003B4D58"/>
    <w:rsid w:val="003B7A36"/>
    <w:rsid w:val="003C17AB"/>
    <w:rsid w:val="003C20C8"/>
    <w:rsid w:val="003C7823"/>
    <w:rsid w:val="003D25A2"/>
    <w:rsid w:val="003E0F17"/>
    <w:rsid w:val="003E1DCC"/>
    <w:rsid w:val="003E4958"/>
    <w:rsid w:val="003F11A1"/>
    <w:rsid w:val="003F5C9B"/>
    <w:rsid w:val="003F6A59"/>
    <w:rsid w:val="004065C8"/>
    <w:rsid w:val="0041083F"/>
    <w:rsid w:val="004109FA"/>
    <w:rsid w:val="00411B4B"/>
    <w:rsid w:val="00415BEE"/>
    <w:rsid w:val="00427F85"/>
    <w:rsid w:val="00436F42"/>
    <w:rsid w:val="004378B4"/>
    <w:rsid w:val="00446628"/>
    <w:rsid w:val="00451314"/>
    <w:rsid w:val="00452E9D"/>
    <w:rsid w:val="004534C7"/>
    <w:rsid w:val="004671AA"/>
    <w:rsid w:val="0047142E"/>
    <w:rsid w:val="00471831"/>
    <w:rsid w:val="00480FB1"/>
    <w:rsid w:val="00483928"/>
    <w:rsid w:val="004876D9"/>
    <w:rsid w:val="00492EF9"/>
    <w:rsid w:val="004B2B47"/>
    <w:rsid w:val="004B425F"/>
    <w:rsid w:val="004B6BDA"/>
    <w:rsid w:val="004C331F"/>
    <w:rsid w:val="004D0169"/>
    <w:rsid w:val="004D5CD3"/>
    <w:rsid w:val="004D6103"/>
    <w:rsid w:val="004E3BCE"/>
    <w:rsid w:val="004E70AD"/>
    <w:rsid w:val="004F0E97"/>
    <w:rsid w:val="00501DD1"/>
    <w:rsid w:val="00515C21"/>
    <w:rsid w:val="005255D5"/>
    <w:rsid w:val="00530BD7"/>
    <w:rsid w:val="00533BEE"/>
    <w:rsid w:val="00545CD2"/>
    <w:rsid w:val="005476F3"/>
    <w:rsid w:val="005605C9"/>
    <w:rsid w:val="0057243F"/>
    <w:rsid w:val="00572527"/>
    <w:rsid w:val="00573E40"/>
    <w:rsid w:val="00576348"/>
    <w:rsid w:val="00583DCE"/>
    <w:rsid w:val="005A0B2E"/>
    <w:rsid w:val="005A2200"/>
    <w:rsid w:val="005A23D2"/>
    <w:rsid w:val="005A36CB"/>
    <w:rsid w:val="005B49B8"/>
    <w:rsid w:val="005C0741"/>
    <w:rsid w:val="005C536E"/>
    <w:rsid w:val="005C5DCB"/>
    <w:rsid w:val="005C5EF4"/>
    <w:rsid w:val="005E2E0B"/>
    <w:rsid w:val="005E7A7D"/>
    <w:rsid w:val="00602457"/>
    <w:rsid w:val="00615CA4"/>
    <w:rsid w:val="00644FC3"/>
    <w:rsid w:val="00646BD1"/>
    <w:rsid w:val="006561C2"/>
    <w:rsid w:val="00671CB3"/>
    <w:rsid w:val="00674BAF"/>
    <w:rsid w:val="00676489"/>
    <w:rsid w:val="00682200"/>
    <w:rsid w:val="00683288"/>
    <w:rsid w:val="006834C4"/>
    <w:rsid w:val="0069138F"/>
    <w:rsid w:val="00692BF6"/>
    <w:rsid w:val="006A0C5B"/>
    <w:rsid w:val="006A1497"/>
    <w:rsid w:val="006B0BD1"/>
    <w:rsid w:val="006B5404"/>
    <w:rsid w:val="006B6FFC"/>
    <w:rsid w:val="006D1AFC"/>
    <w:rsid w:val="006D20A5"/>
    <w:rsid w:val="006D37BF"/>
    <w:rsid w:val="006F1019"/>
    <w:rsid w:val="006F1088"/>
    <w:rsid w:val="006F1130"/>
    <w:rsid w:val="006F27A8"/>
    <w:rsid w:val="00702E22"/>
    <w:rsid w:val="0071264C"/>
    <w:rsid w:val="0072020E"/>
    <w:rsid w:val="007577F7"/>
    <w:rsid w:val="007609C8"/>
    <w:rsid w:val="007618A2"/>
    <w:rsid w:val="00766713"/>
    <w:rsid w:val="00770B75"/>
    <w:rsid w:val="007767B7"/>
    <w:rsid w:val="00780246"/>
    <w:rsid w:val="00786071"/>
    <w:rsid w:val="007A3ECB"/>
    <w:rsid w:val="007C4006"/>
    <w:rsid w:val="007D08A6"/>
    <w:rsid w:val="007D3FE2"/>
    <w:rsid w:val="007D7BB3"/>
    <w:rsid w:val="007E7A55"/>
    <w:rsid w:val="00805A3F"/>
    <w:rsid w:val="00824AB9"/>
    <w:rsid w:val="0083075C"/>
    <w:rsid w:val="008359EF"/>
    <w:rsid w:val="00835FE5"/>
    <w:rsid w:val="00836B35"/>
    <w:rsid w:val="00843BDE"/>
    <w:rsid w:val="00852566"/>
    <w:rsid w:val="00862082"/>
    <w:rsid w:val="00866D8B"/>
    <w:rsid w:val="0087588C"/>
    <w:rsid w:val="00885C71"/>
    <w:rsid w:val="00887F29"/>
    <w:rsid w:val="0089705C"/>
    <w:rsid w:val="008A6D43"/>
    <w:rsid w:val="008B491E"/>
    <w:rsid w:val="008C1A28"/>
    <w:rsid w:val="008C2E98"/>
    <w:rsid w:val="008D3371"/>
    <w:rsid w:val="008E49BD"/>
    <w:rsid w:val="008E53E9"/>
    <w:rsid w:val="008E5771"/>
    <w:rsid w:val="008F4ACF"/>
    <w:rsid w:val="00920AB2"/>
    <w:rsid w:val="00924166"/>
    <w:rsid w:val="009301E4"/>
    <w:rsid w:val="00940B9B"/>
    <w:rsid w:val="0094194D"/>
    <w:rsid w:val="0095676E"/>
    <w:rsid w:val="00956983"/>
    <w:rsid w:val="00963CF0"/>
    <w:rsid w:val="00964BB1"/>
    <w:rsid w:val="00976A21"/>
    <w:rsid w:val="009775D9"/>
    <w:rsid w:val="009826F6"/>
    <w:rsid w:val="00982761"/>
    <w:rsid w:val="00997175"/>
    <w:rsid w:val="009A1847"/>
    <w:rsid w:val="009B062A"/>
    <w:rsid w:val="009E7C6F"/>
    <w:rsid w:val="009F1793"/>
    <w:rsid w:val="009F2D23"/>
    <w:rsid w:val="00A01D69"/>
    <w:rsid w:val="00A02335"/>
    <w:rsid w:val="00A0352F"/>
    <w:rsid w:val="00A14A23"/>
    <w:rsid w:val="00A22C8A"/>
    <w:rsid w:val="00A46C9A"/>
    <w:rsid w:val="00A619F3"/>
    <w:rsid w:val="00A62055"/>
    <w:rsid w:val="00A62A73"/>
    <w:rsid w:val="00A725FB"/>
    <w:rsid w:val="00A87C05"/>
    <w:rsid w:val="00A87FF6"/>
    <w:rsid w:val="00AA09EC"/>
    <w:rsid w:val="00AA0A3B"/>
    <w:rsid w:val="00AA2763"/>
    <w:rsid w:val="00AA33B6"/>
    <w:rsid w:val="00AB50CA"/>
    <w:rsid w:val="00AB6D64"/>
    <w:rsid w:val="00AC53CE"/>
    <w:rsid w:val="00AD2193"/>
    <w:rsid w:val="00AF2AC7"/>
    <w:rsid w:val="00AF67A0"/>
    <w:rsid w:val="00AF74CE"/>
    <w:rsid w:val="00B00726"/>
    <w:rsid w:val="00B05575"/>
    <w:rsid w:val="00B10294"/>
    <w:rsid w:val="00B116AD"/>
    <w:rsid w:val="00B208DB"/>
    <w:rsid w:val="00B23F69"/>
    <w:rsid w:val="00B35649"/>
    <w:rsid w:val="00B4225B"/>
    <w:rsid w:val="00B60619"/>
    <w:rsid w:val="00B66A70"/>
    <w:rsid w:val="00B67366"/>
    <w:rsid w:val="00B80EE1"/>
    <w:rsid w:val="00B84135"/>
    <w:rsid w:val="00B91336"/>
    <w:rsid w:val="00BA234F"/>
    <w:rsid w:val="00BE38F4"/>
    <w:rsid w:val="00C04D34"/>
    <w:rsid w:val="00C05DF8"/>
    <w:rsid w:val="00C06864"/>
    <w:rsid w:val="00C10F54"/>
    <w:rsid w:val="00C23D8D"/>
    <w:rsid w:val="00C37AA3"/>
    <w:rsid w:val="00C37FD7"/>
    <w:rsid w:val="00C43419"/>
    <w:rsid w:val="00C44CF3"/>
    <w:rsid w:val="00C4530F"/>
    <w:rsid w:val="00C61BE0"/>
    <w:rsid w:val="00C6707E"/>
    <w:rsid w:val="00C70B0E"/>
    <w:rsid w:val="00C7619D"/>
    <w:rsid w:val="00C773CA"/>
    <w:rsid w:val="00C82EA9"/>
    <w:rsid w:val="00C83785"/>
    <w:rsid w:val="00C94C0D"/>
    <w:rsid w:val="00C97FDF"/>
    <w:rsid w:val="00CA1FEB"/>
    <w:rsid w:val="00CA36A4"/>
    <w:rsid w:val="00CD4F85"/>
    <w:rsid w:val="00CD65D0"/>
    <w:rsid w:val="00CD6F02"/>
    <w:rsid w:val="00CE0EB4"/>
    <w:rsid w:val="00CE246D"/>
    <w:rsid w:val="00CF07A0"/>
    <w:rsid w:val="00CF3E03"/>
    <w:rsid w:val="00D0082A"/>
    <w:rsid w:val="00D01DD5"/>
    <w:rsid w:val="00D21455"/>
    <w:rsid w:val="00D23FE9"/>
    <w:rsid w:val="00D3159E"/>
    <w:rsid w:val="00D47634"/>
    <w:rsid w:val="00D62CF6"/>
    <w:rsid w:val="00D709B3"/>
    <w:rsid w:val="00D87EC8"/>
    <w:rsid w:val="00DA2ED6"/>
    <w:rsid w:val="00DB76B8"/>
    <w:rsid w:val="00DC2EA1"/>
    <w:rsid w:val="00DD6AAF"/>
    <w:rsid w:val="00DE3F5C"/>
    <w:rsid w:val="00DE4670"/>
    <w:rsid w:val="00DF08BE"/>
    <w:rsid w:val="00DF1D20"/>
    <w:rsid w:val="00DF3DD9"/>
    <w:rsid w:val="00E11E6C"/>
    <w:rsid w:val="00E12913"/>
    <w:rsid w:val="00E21324"/>
    <w:rsid w:val="00E246B9"/>
    <w:rsid w:val="00E31FEA"/>
    <w:rsid w:val="00E45169"/>
    <w:rsid w:val="00E47787"/>
    <w:rsid w:val="00E51C30"/>
    <w:rsid w:val="00E64180"/>
    <w:rsid w:val="00E74AEE"/>
    <w:rsid w:val="00E868E5"/>
    <w:rsid w:val="00E9237A"/>
    <w:rsid w:val="00E939FA"/>
    <w:rsid w:val="00EA5765"/>
    <w:rsid w:val="00EB09F9"/>
    <w:rsid w:val="00EB3263"/>
    <w:rsid w:val="00EB6B8A"/>
    <w:rsid w:val="00EC2532"/>
    <w:rsid w:val="00ED6DE8"/>
    <w:rsid w:val="00ED7812"/>
    <w:rsid w:val="00EE67D5"/>
    <w:rsid w:val="00EF3B86"/>
    <w:rsid w:val="00F050D0"/>
    <w:rsid w:val="00F06ACA"/>
    <w:rsid w:val="00F22E2D"/>
    <w:rsid w:val="00F317E9"/>
    <w:rsid w:val="00F34554"/>
    <w:rsid w:val="00F45E40"/>
    <w:rsid w:val="00F45F77"/>
    <w:rsid w:val="00F5167F"/>
    <w:rsid w:val="00F52258"/>
    <w:rsid w:val="00F54A3A"/>
    <w:rsid w:val="00F73AEF"/>
    <w:rsid w:val="00F74540"/>
    <w:rsid w:val="00F751B8"/>
    <w:rsid w:val="00F769EC"/>
    <w:rsid w:val="00F8570A"/>
    <w:rsid w:val="00F860E5"/>
    <w:rsid w:val="00F91C7B"/>
    <w:rsid w:val="00FC377E"/>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305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66713"/>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766713"/>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766713"/>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uiPriority w:val="99"/>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766713"/>
    <w:pPr>
      <w:ind w:left="720"/>
      <w:contextualSpacing/>
    </w:pPr>
  </w:style>
  <w:style w:type="character" w:customStyle="1" w:styleId="Heading1Char">
    <w:name w:val="Heading 1 Char"/>
    <w:basedOn w:val="DefaultParagraphFont"/>
    <w:link w:val="Heading1"/>
    <w:rsid w:val="00766713"/>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766713"/>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766713"/>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766713"/>
  </w:style>
  <w:style w:type="character" w:customStyle="1" w:styleId="Heading2Char">
    <w:name w:val="Heading 2 Char"/>
    <w:basedOn w:val="DefaultParagraphFont"/>
    <w:link w:val="Heading2"/>
    <w:rsid w:val="00766713"/>
    <w:rPr>
      <w:rFonts w:ascii="Arial" w:hAnsi="Arial" w:cs="Arial"/>
      <w:i/>
      <w:iCs/>
      <w:color w:val="999999"/>
      <w:sz w:val="18"/>
      <w:szCs w:val="24"/>
      <w:lang w:val="en-US" w:eastAsia="en-US"/>
    </w:rPr>
  </w:style>
  <w:style w:type="character" w:customStyle="1" w:styleId="HeaderChar">
    <w:name w:val="Header Char"/>
    <w:basedOn w:val="DefaultParagraphFont"/>
    <w:link w:val="Header"/>
    <w:rsid w:val="00766713"/>
    <w:rPr>
      <w:sz w:val="24"/>
      <w:szCs w:val="24"/>
      <w:lang w:val="en-US" w:eastAsia="en-US"/>
    </w:rPr>
  </w:style>
  <w:style w:type="character" w:customStyle="1" w:styleId="FooterChar">
    <w:name w:val="Footer Char"/>
    <w:basedOn w:val="DefaultParagraphFont"/>
    <w:link w:val="Footer"/>
    <w:uiPriority w:val="99"/>
    <w:rsid w:val="00766713"/>
    <w:rPr>
      <w:sz w:val="24"/>
      <w:szCs w:val="24"/>
      <w:lang w:val="en-US" w:eastAsia="en-US"/>
    </w:rPr>
  </w:style>
  <w:style w:type="character" w:customStyle="1" w:styleId="CommentSubjectChar">
    <w:name w:val="Comment Subject Char"/>
    <w:basedOn w:val="CommentTextChar"/>
    <w:link w:val="CommentSubject"/>
    <w:semiHidden/>
    <w:rsid w:val="00766713"/>
    <w:rPr>
      <w:b/>
      <w:bCs/>
      <w:lang w:val="en-US" w:eastAsia="en-US"/>
    </w:rPr>
  </w:style>
  <w:style w:type="character" w:customStyle="1" w:styleId="BalloonTextChar">
    <w:name w:val="Balloon Text Char"/>
    <w:basedOn w:val="DefaultParagraphFont"/>
    <w:link w:val="BalloonText"/>
    <w:semiHidden/>
    <w:rsid w:val="00766713"/>
    <w:rPr>
      <w:rFonts w:ascii="Tahoma" w:hAnsi="Tahoma" w:cs="Tahoma"/>
      <w:sz w:val="16"/>
      <w:szCs w:val="16"/>
      <w:lang w:val="en-US" w:eastAsia="en-US"/>
    </w:rPr>
  </w:style>
  <w:style w:type="paragraph" w:customStyle="1" w:styleId="NASLOV123">
    <w:name w:val="NASLOV 123"/>
    <w:basedOn w:val="Normal"/>
    <w:qFormat/>
    <w:rsid w:val="00766713"/>
    <w:pPr>
      <w:tabs>
        <w:tab w:val="left" w:pos="284"/>
      </w:tabs>
      <w:spacing w:before="200" w:after="200"/>
    </w:pPr>
    <w:rPr>
      <w:b/>
      <w:sz w:val="22"/>
      <w:szCs w:val="22"/>
    </w:rPr>
  </w:style>
  <w:style w:type="paragraph" w:customStyle="1" w:styleId="BodyText1">
    <w:name w:val="BodyText1"/>
    <w:basedOn w:val="Normal"/>
    <w:uiPriority w:val="99"/>
    <w:rsid w:val="00766713"/>
    <w:pPr>
      <w:spacing w:before="4"/>
      <w:ind w:firstLine="317"/>
    </w:pPr>
    <w:rPr>
      <w:rFonts w:ascii="Helvetica" w:hAnsi="Helvetica"/>
      <w:sz w:val="16"/>
      <w:lang w:val="hr-HR"/>
    </w:rPr>
  </w:style>
  <w:style w:type="paragraph" w:customStyle="1" w:styleId="Default">
    <w:name w:val="Default"/>
    <w:rsid w:val="00766713"/>
    <w:pPr>
      <w:autoSpaceDE w:val="0"/>
      <w:autoSpaceDN w:val="0"/>
      <w:adjustRightInd w:val="0"/>
    </w:pPr>
    <w:rPr>
      <w:color w:val="000000"/>
      <w:sz w:val="24"/>
      <w:szCs w:val="24"/>
      <w:lang w:val="hr-HR" w:eastAsia="en-US"/>
    </w:rPr>
  </w:style>
  <w:style w:type="numbering" w:customStyle="1" w:styleId="NoList2">
    <w:name w:val="No List2"/>
    <w:next w:val="NoList"/>
    <w:uiPriority w:val="99"/>
    <w:semiHidden/>
    <w:unhideWhenUsed/>
    <w:rsid w:val="00766713"/>
  </w:style>
  <w:style w:type="paragraph" w:styleId="Revision">
    <w:name w:val="Revision"/>
    <w:hidden/>
    <w:uiPriority w:val="99"/>
    <w:semiHidden/>
    <w:rsid w:val="00F45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giflow-eforms.who-umc.org/me/me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5A11-4555-4EE8-91C1-54E1231263F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B3DF9F-A36F-4403-8DAF-796575A8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8536</Words>
  <Characters>48658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2024-11-19T10:12:00Z</dcterms:created>
  <dcterms:modified xsi:type="dcterms:W3CDTF">2025-02-20T08:04:00Z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2024-11-19T10:13:09Z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0f0444ad-638a-405e-8138-a1a24d0a3477</vt:lpwstr>
  </property>
  <property fmtid="{D5CDD505-2E9C-101B-9397-08002B2CF9AE}" pid="8" name="MSIP_Label_e81acc0d-dcc4-4dc9-a2c5-be70b05a2fe6_ContentBits">
    <vt:lpwstr>0</vt:lpwstr>
  </property>
  <property fmtid="{D5CDD505-2E9C-101B-9397-08002B2CF9AE}" pid="9" name="_NewReviewCycle">
    <vt:lpwstr/>
  </property>
</Properties>
</file>