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78649" w14:textId="77777777" w:rsidR="002510A5" w:rsidRPr="00986187" w:rsidRDefault="002510A5" w:rsidP="00F3153C">
      <w:pPr>
        <w:widowControl w:val="0"/>
        <w:jc w:val="center"/>
        <w:rPr>
          <w:b/>
          <w:bCs/>
          <w:iCs/>
          <w:sz w:val="22"/>
          <w:szCs w:val="22"/>
          <w:u w:val="single"/>
          <w:lang w:val="sr-Latn-ME"/>
        </w:rPr>
      </w:pPr>
      <w:r w:rsidRPr="00986187">
        <w:rPr>
          <w:b/>
          <w:bCs/>
          <w:iCs/>
          <w:sz w:val="22"/>
          <w:szCs w:val="22"/>
          <w:u w:val="single"/>
          <w:lang w:val="sr-Latn-ME"/>
        </w:rPr>
        <w:t>SAŽETAK KARAKTERISTIKA LIJEKA</w:t>
      </w:r>
    </w:p>
    <w:p w14:paraId="67475870" w14:textId="3023CA85" w:rsidR="00C37FD7" w:rsidRPr="00986187" w:rsidRDefault="00C37FD7" w:rsidP="00F3153C">
      <w:pPr>
        <w:widowControl w:val="0"/>
        <w:tabs>
          <w:tab w:val="left" w:pos="540"/>
          <w:tab w:val="left" w:pos="569"/>
        </w:tabs>
        <w:rPr>
          <w:bCs/>
          <w:sz w:val="22"/>
          <w:szCs w:val="22"/>
          <w:lang w:val="sr-Latn-ME"/>
        </w:rPr>
      </w:pPr>
    </w:p>
    <w:p w14:paraId="681D2715" w14:textId="77777777" w:rsidR="00DF0D23" w:rsidRPr="00986187" w:rsidRDefault="00DF0D23" w:rsidP="00F3153C">
      <w:pPr>
        <w:widowControl w:val="0"/>
        <w:tabs>
          <w:tab w:val="left" w:pos="540"/>
          <w:tab w:val="left" w:pos="569"/>
        </w:tabs>
        <w:rPr>
          <w:bCs/>
          <w:sz w:val="22"/>
          <w:szCs w:val="22"/>
          <w:lang w:val="sr-Latn-ME"/>
        </w:rPr>
      </w:pPr>
    </w:p>
    <w:p w14:paraId="3718AA30" w14:textId="77777777" w:rsidR="00EC2532"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1.</w:t>
      </w:r>
      <w:r w:rsidR="00F5167F" w:rsidRPr="00986187">
        <w:rPr>
          <w:b/>
          <w:bCs/>
          <w:sz w:val="22"/>
          <w:szCs w:val="22"/>
          <w:lang w:val="sr-Latn-ME"/>
        </w:rPr>
        <w:tab/>
      </w:r>
      <w:r w:rsidR="002846DB" w:rsidRPr="00986187">
        <w:rPr>
          <w:b/>
          <w:bCs/>
          <w:sz w:val="22"/>
          <w:szCs w:val="22"/>
          <w:lang w:val="sr-Latn-ME"/>
        </w:rPr>
        <w:t xml:space="preserve">NAZIV </w:t>
      </w:r>
      <w:r w:rsidRPr="00986187">
        <w:rPr>
          <w:b/>
          <w:bCs/>
          <w:sz w:val="22"/>
          <w:szCs w:val="22"/>
          <w:lang w:val="sr-Latn-ME"/>
        </w:rPr>
        <w:t>LIJEKA</w:t>
      </w:r>
    </w:p>
    <w:p w14:paraId="55AB0F9A" w14:textId="77777777" w:rsidR="0042377A" w:rsidRPr="00986187" w:rsidRDefault="0042377A" w:rsidP="00F3153C">
      <w:pPr>
        <w:widowControl w:val="0"/>
        <w:tabs>
          <w:tab w:val="left" w:pos="540"/>
          <w:tab w:val="left" w:pos="569"/>
        </w:tabs>
        <w:rPr>
          <w:b/>
          <w:bCs/>
          <w:sz w:val="22"/>
          <w:szCs w:val="22"/>
          <w:lang w:val="sr-Latn-ME"/>
        </w:rPr>
      </w:pPr>
    </w:p>
    <w:p w14:paraId="4845CF26" w14:textId="33920221" w:rsidR="000D425A" w:rsidRPr="00986187" w:rsidRDefault="00786033" w:rsidP="00F3153C">
      <w:pPr>
        <w:pStyle w:val="Header"/>
        <w:widowControl w:val="0"/>
        <w:tabs>
          <w:tab w:val="left" w:pos="284"/>
        </w:tabs>
        <w:jc w:val="both"/>
        <w:rPr>
          <w:sz w:val="22"/>
          <w:szCs w:val="22"/>
          <w:lang w:val="sr-Latn-ME"/>
        </w:rPr>
      </w:pPr>
      <w:r w:rsidRPr="00986187">
        <w:rPr>
          <w:bCs/>
          <w:sz w:val="22"/>
          <w:szCs w:val="22"/>
          <w:lang w:val="sr-Latn-ME"/>
        </w:rPr>
        <w:t>ENGERIX</w:t>
      </w:r>
      <w:r w:rsidRPr="00986187">
        <w:rPr>
          <w:sz w:val="22"/>
          <w:szCs w:val="22"/>
          <w:vertAlign w:val="superscript"/>
          <w:lang w:val="sr-Latn-ME"/>
        </w:rPr>
        <w:t xml:space="preserve"> </w:t>
      </w:r>
      <w:r w:rsidR="00121EFE" w:rsidRPr="00986187">
        <w:rPr>
          <w:sz w:val="22"/>
          <w:szCs w:val="22"/>
          <w:lang w:val="sr-Latn-ME"/>
        </w:rPr>
        <w:t xml:space="preserve"> B, 10 </w:t>
      </w:r>
      <w:proofErr w:type="spellStart"/>
      <w:r w:rsidR="006B1CA3" w:rsidRPr="00986187">
        <w:rPr>
          <w:sz w:val="22"/>
          <w:szCs w:val="22"/>
          <w:lang w:val="sr-Latn-ME"/>
        </w:rPr>
        <w:t>mc</w:t>
      </w:r>
      <w:r w:rsidR="00DF0D23" w:rsidRPr="00986187">
        <w:rPr>
          <w:sz w:val="22"/>
          <w:szCs w:val="22"/>
          <w:lang w:val="sr-Latn-ME"/>
        </w:rPr>
        <w:t>g</w:t>
      </w:r>
      <w:proofErr w:type="spellEnd"/>
      <w:r w:rsidR="00121EFE" w:rsidRPr="00986187">
        <w:rPr>
          <w:sz w:val="22"/>
          <w:szCs w:val="22"/>
          <w:lang w:val="sr-Latn-ME"/>
        </w:rPr>
        <w:t>/</w:t>
      </w:r>
      <w:r w:rsidR="0042377A" w:rsidRPr="00986187">
        <w:rPr>
          <w:sz w:val="22"/>
          <w:szCs w:val="22"/>
          <w:lang w:val="sr-Latn-ME"/>
        </w:rPr>
        <w:t>0</w:t>
      </w:r>
      <w:r w:rsidR="00DF0D23" w:rsidRPr="00986187">
        <w:rPr>
          <w:sz w:val="22"/>
          <w:szCs w:val="22"/>
          <w:lang w:val="sr-Latn-ME"/>
        </w:rPr>
        <w:t>.</w:t>
      </w:r>
      <w:r w:rsidR="0042377A" w:rsidRPr="00986187">
        <w:rPr>
          <w:sz w:val="22"/>
          <w:szCs w:val="22"/>
          <w:lang w:val="sr-Latn-ME"/>
        </w:rPr>
        <w:t>5</w:t>
      </w:r>
      <w:r w:rsidR="00121EFE" w:rsidRPr="00986187">
        <w:rPr>
          <w:sz w:val="22"/>
          <w:szCs w:val="22"/>
          <w:lang w:val="sr-Latn-ME"/>
        </w:rPr>
        <w:t xml:space="preserve"> ml, suspenzija za injekciju</w:t>
      </w:r>
    </w:p>
    <w:p w14:paraId="3928CB3B" w14:textId="77777777" w:rsidR="00121EFE" w:rsidRPr="00986187" w:rsidRDefault="00121EFE" w:rsidP="00F3153C">
      <w:pPr>
        <w:pStyle w:val="Header"/>
        <w:widowControl w:val="0"/>
        <w:tabs>
          <w:tab w:val="left" w:pos="284"/>
        </w:tabs>
        <w:jc w:val="both"/>
        <w:rPr>
          <w:sz w:val="22"/>
          <w:szCs w:val="22"/>
          <w:lang w:val="sr-Latn-ME" w:eastAsia="x-none"/>
        </w:rPr>
      </w:pPr>
    </w:p>
    <w:p w14:paraId="6D097BE2" w14:textId="77777777" w:rsidR="006D20A5" w:rsidRPr="00986187" w:rsidRDefault="006D20A5" w:rsidP="00F3153C">
      <w:pPr>
        <w:widowControl w:val="0"/>
        <w:rPr>
          <w:sz w:val="22"/>
          <w:szCs w:val="22"/>
          <w:lang w:val="sr-Latn-ME"/>
        </w:rPr>
      </w:pPr>
      <w:r w:rsidRPr="00986187">
        <w:rPr>
          <w:sz w:val="22"/>
          <w:szCs w:val="22"/>
          <w:lang w:val="sr-Latn-ME"/>
        </w:rPr>
        <w:t>INN:</w:t>
      </w:r>
      <w:r w:rsidR="00121EFE" w:rsidRPr="00986187">
        <w:rPr>
          <w:sz w:val="22"/>
          <w:szCs w:val="22"/>
          <w:lang w:val="sr-Latn-ME"/>
        </w:rPr>
        <w:t xml:space="preserve"> vakcina protiv hepatitisa B, </w:t>
      </w:r>
      <w:proofErr w:type="spellStart"/>
      <w:r w:rsidR="00121EFE" w:rsidRPr="00986187">
        <w:rPr>
          <w:sz w:val="22"/>
          <w:szCs w:val="22"/>
          <w:lang w:val="sr-Latn-ME"/>
        </w:rPr>
        <w:t>rekombinantna</w:t>
      </w:r>
      <w:proofErr w:type="spellEnd"/>
    </w:p>
    <w:p w14:paraId="1FE28B0F" w14:textId="77777777" w:rsidR="006D20A5" w:rsidRPr="00986187" w:rsidRDefault="006D20A5" w:rsidP="00F3153C">
      <w:pPr>
        <w:widowControl w:val="0"/>
        <w:rPr>
          <w:bCs/>
          <w:sz w:val="22"/>
          <w:szCs w:val="22"/>
          <w:lang w:val="sr-Latn-ME"/>
        </w:rPr>
      </w:pPr>
    </w:p>
    <w:p w14:paraId="50FD7EF6" w14:textId="77777777" w:rsidR="00530BD7" w:rsidRPr="00986187" w:rsidRDefault="00530BD7" w:rsidP="00F3153C">
      <w:pPr>
        <w:widowControl w:val="0"/>
        <w:rPr>
          <w:bCs/>
          <w:sz w:val="22"/>
          <w:szCs w:val="22"/>
          <w:lang w:val="sr-Latn-ME"/>
        </w:rPr>
      </w:pPr>
    </w:p>
    <w:p w14:paraId="27FC8C45"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2. </w:t>
      </w:r>
      <w:r w:rsidR="00F5167F" w:rsidRPr="00986187">
        <w:rPr>
          <w:b/>
          <w:bCs/>
          <w:sz w:val="22"/>
          <w:szCs w:val="22"/>
          <w:lang w:val="sr-Latn-ME"/>
        </w:rPr>
        <w:tab/>
      </w:r>
      <w:r w:rsidRPr="00986187">
        <w:rPr>
          <w:b/>
          <w:bCs/>
          <w:sz w:val="22"/>
          <w:szCs w:val="22"/>
          <w:lang w:val="sr-Latn-ME"/>
        </w:rPr>
        <w:t>KVALITATIVNI I KVANTITATIVNI SASTAV</w:t>
      </w:r>
    </w:p>
    <w:p w14:paraId="502438FC" w14:textId="77777777" w:rsidR="0042377A" w:rsidRPr="00986187" w:rsidRDefault="0042377A" w:rsidP="00F3153C">
      <w:pPr>
        <w:widowControl w:val="0"/>
        <w:tabs>
          <w:tab w:val="left" w:pos="540"/>
          <w:tab w:val="left" w:pos="569"/>
        </w:tabs>
        <w:rPr>
          <w:b/>
          <w:bCs/>
          <w:sz w:val="22"/>
          <w:szCs w:val="22"/>
          <w:lang w:val="sr-Latn-ME"/>
        </w:rPr>
      </w:pPr>
    </w:p>
    <w:p w14:paraId="1E9DF1EF" w14:textId="1005210A" w:rsidR="00121EFE" w:rsidRPr="00986187" w:rsidRDefault="00121EFE" w:rsidP="00F3153C">
      <w:pPr>
        <w:pStyle w:val="Header"/>
        <w:widowControl w:val="0"/>
        <w:tabs>
          <w:tab w:val="left" w:pos="284"/>
        </w:tabs>
        <w:jc w:val="both"/>
        <w:rPr>
          <w:sz w:val="22"/>
          <w:szCs w:val="22"/>
          <w:lang w:val="sr-Latn-ME" w:eastAsia="x-none"/>
        </w:rPr>
      </w:pPr>
      <w:r w:rsidRPr="00986187">
        <w:rPr>
          <w:sz w:val="22"/>
          <w:szCs w:val="22"/>
          <w:lang w:val="sr-Latn-ME"/>
        </w:rPr>
        <w:t>Jedna doza (</w:t>
      </w:r>
      <w:r w:rsidR="0042377A" w:rsidRPr="00986187">
        <w:rPr>
          <w:sz w:val="22"/>
          <w:szCs w:val="22"/>
          <w:lang w:val="sr-Latn-ME"/>
        </w:rPr>
        <w:t>0</w:t>
      </w:r>
      <w:r w:rsidR="00DF0D23" w:rsidRPr="00986187">
        <w:rPr>
          <w:sz w:val="22"/>
          <w:szCs w:val="22"/>
          <w:lang w:val="sr-Latn-ME"/>
        </w:rPr>
        <w:t>.</w:t>
      </w:r>
      <w:r w:rsidR="0042377A" w:rsidRPr="00986187">
        <w:rPr>
          <w:sz w:val="22"/>
          <w:szCs w:val="22"/>
          <w:lang w:val="sr-Latn-ME"/>
        </w:rPr>
        <w:t>5</w:t>
      </w:r>
      <w:r w:rsidRPr="00986187">
        <w:rPr>
          <w:sz w:val="22"/>
          <w:szCs w:val="22"/>
          <w:lang w:val="sr-Latn-ME"/>
        </w:rPr>
        <w:t xml:space="preserve"> ml) sadrži 10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 xml:space="preserve"> </w:t>
      </w:r>
      <w:r w:rsidR="009106AC" w:rsidRPr="00986187">
        <w:rPr>
          <w:sz w:val="22"/>
          <w:szCs w:val="22"/>
          <w:lang w:val="sr-Latn-ME"/>
        </w:rPr>
        <w:t xml:space="preserve">prečišćenog </w:t>
      </w:r>
      <w:r w:rsidRPr="00986187">
        <w:rPr>
          <w:sz w:val="22"/>
          <w:szCs w:val="22"/>
          <w:lang w:val="sr-Latn-ME"/>
        </w:rPr>
        <w:t xml:space="preserve">hepatitis B površinskog </w:t>
      </w:r>
      <w:proofErr w:type="spellStart"/>
      <w:r w:rsidRPr="00986187">
        <w:rPr>
          <w:sz w:val="22"/>
          <w:szCs w:val="22"/>
          <w:lang w:val="sr-Latn-ME"/>
        </w:rPr>
        <w:t>antigena</w:t>
      </w:r>
      <w:proofErr w:type="spellEnd"/>
      <w:r w:rsidRPr="00986187">
        <w:rPr>
          <w:sz w:val="22"/>
          <w:szCs w:val="22"/>
          <w:lang w:val="sr-Latn-ME"/>
        </w:rPr>
        <w:t xml:space="preserve"> (</w:t>
      </w:r>
      <w:proofErr w:type="spellStart"/>
      <w:r w:rsidRPr="00986187">
        <w:rPr>
          <w:sz w:val="22"/>
          <w:szCs w:val="22"/>
          <w:lang w:val="sr-Latn-ME"/>
        </w:rPr>
        <w:t>HBsAg</w:t>
      </w:r>
      <w:proofErr w:type="spellEnd"/>
      <w:r w:rsidRPr="00986187">
        <w:rPr>
          <w:sz w:val="22"/>
          <w:szCs w:val="22"/>
          <w:lang w:val="sr-Latn-ME"/>
        </w:rPr>
        <w:t>)</w:t>
      </w:r>
      <w:r w:rsidR="00121D86" w:rsidRPr="00986187">
        <w:rPr>
          <w:sz w:val="22"/>
          <w:szCs w:val="22"/>
          <w:lang w:val="sr-Latn-ME"/>
        </w:rPr>
        <w:t>.</w:t>
      </w:r>
      <w:r w:rsidRPr="00986187">
        <w:rPr>
          <w:sz w:val="22"/>
          <w:szCs w:val="22"/>
          <w:vertAlign w:val="superscript"/>
          <w:lang w:val="sr-Latn-ME"/>
        </w:rPr>
        <w:t>1,2</w:t>
      </w:r>
      <w:r w:rsidRPr="00986187">
        <w:rPr>
          <w:sz w:val="22"/>
          <w:szCs w:val="22"/>
          <w:lang w:val="sr-Latn-ME"/>
        </w:rPr>
        <w:t xml:space="preserve"> </w:t>
      </w:r>
    </w:p>
    <w:p w14:paraId="2C572083" w14:textId="77777777" w:rsidR="00121EFE" w:rsidRPr="00986187" w:rsidRDefault="00121EFE" w:rsidP="00F3153C">
      <w:pPr>
        <w:pStyle w:val="Header"/>
        <w:widowControl w:val="0"/>
        <w:tabs>
          <w:tab w:val="left" w:pos="284"/>
        </w:tabs>
        <w:jc w:val="both"/>
        <w:rPr>
          <w:sz w:val="22"/>
          <w:szCs w:val="22"/>
          <w:vertAlign w:val="superscript"/>
          <w:lang w:val="sr-Latn-ME"/>
        </w:rPr>
      </w:pPr>
    </w:p>
    <w:p w14:paraId="25870E65" w14:textId="77777777" w:rsidR="00121EFE" w:rsidRPr="00986187" w:rsidRDefault="00121EFE" w:rsidP="00F3153C">
      <w:pPr>
        <w:pStyle w:val="Header"/>
        <w:widowControl w:val="0"/>
        <w:tabs>
          <w:tab w:val="left" w:pos="284"/>
        </w:tabs>
        <w:jc w:val="both"/>
        <w:rPr>
          <w:sz w:val="22"/>
          <w:szCs w:val="22"/>
          <w:lang w:val="sr-Latn-ME"/>
        </w:rPr>
      </w:pPr>
      <w:r w:rsidRPr="00986187">
        <w:rPr>
          <w:sz w:val="22"/>
          <w:szCs w:val="22"/>
          <w:vertAlign w:val="superscript"/>
          <w:lang w:val="sr-Latn-ME"/>
        </w:rPr>
        <w:t>1</w:t>
      </w:r>
      <w:r w:rsidRPr="00986187">
        <w:rPr>
          <w:sz w:val="22"/>
          <w:szCs w:val="22"/>
          <w:lang w:val="sr-Latn-ME"/>
        </w:rPr>
        <w:t xml:space="preserve"> </w:t>
      </w:r>
      <w:proofErr w:type="spellStart"/>
      <w:r w:rsidRPr="00986187">
        <w:rPr>
          <w:sz w:val="22"/>
          <w:szCs w:val="22"/>
          <w:lang w:val="sr-Latn-ME"/>
        </w:rPr>
        <w:t>Adsorbovan</w:t>
      </w:r>
      <w:proofErr w:type="spellEnd"/>
      <w:r w:rsidRPr="00986187">
        <w:rPr>
          <w:sz w:val="22"/>
          <w:szCs w:val="22"/>
          <w:lang w:val="sr-Latn-ME"/>
        </w:rPr>
        <w:t xml:space="preserve"> na aluminijum hidroksid, </w:t>
      </w:r>
      <w:proofErr w:type="spellStart"/>
      <w:r w:rsidRPr="00986187">
        <w:rPr>
          <w:sz w:val="22"/>
          <w:szCs w:val="22"/>
          <w:lang w:val="sr-Latn-ME"/>
        </w:rPr>
        <w:t>hidrirani</w:t>
      </w:r>
      <w:proofErr w:type="spellEnd"/>
      <w:r w:rsidRPr="00986187">
        <w:rPr>
          <w:sz w:val="22"/>
          <w:szCs w:val="22"/>
          <w:lang w:val="sr-Latn-ME"/>
        </w:rPr>
        <w:t>; Ukupno: 0.25 mg Al</w:t>
      </w:r>
      <w:r w:rsidRPr="00986187">
        <w:rPr>
          <w:sz w:val="22"/>
          <w:szCs w:val="22"/>
          <w:vertAlign w:val="superscript"/>
          <w:lang w:val="sr-Latn-ME"/>
        </w:rPr>
        <w:t>3+</w:t>
      </w:r>
    </w:p>
    <w:p w14:paraId="493FF323" w14:textId="77777777" w:rsidR="00121EFE" w:rsidRPr="00986187" w:rsidRDefault="00121EFE" w:rsidP="00F3153C">
      <w:pPr>
        <w:pStyle w:val="Header"/>
        <w:widowControl w:val="0"/>
        <w:jc w:val="both"/>
        <w:rPr>
          <w:sz w:val="22"/>
          <w:szCs w:val="22"/>
          <w:lang w:val="sr-Latn-ME"/>
        </w:rPr>
      </w:pPr>
      <w:r w:rsidRPr="00986187">
        <w:rPr>
          <w:sz w:val="22"/>
          <w:szCs w:val="22"/>
          <w:vertAlign w:val="superscript"/>
          <w:lang w:val="sr-Latn-ME"/>
        </w:rPr>
        <w:t>2</w:t>
      </w:r>
      <w:r w:rsidRPr="00986187">
        <w:rPr>
          <w:sz w:val="22"/>
          <w:szCs w:val="22"/>
          <w:lang w:val="sr-Latn-ME"/>
        </w:rPr>
        <w:t xml:space="preserve"> Proizveden na ćelijama </w:t>
      </w:r>
      <w:proofErr w:type="spellStart"/>
      <w:r w:rsidRPr="00986187">
        <w:rPr>
          <w:sz w:val="22"/>
          <w:szCs w:val="22"/>
          <w:lang w:val="sr-Latn-ME"/>
        </w:rPr>
        <w:t>kvasnica</w:t>
      </w:r>
      <w:proofErr w:type="spellEnd"/>
      <w:r w:rsidRPr="00986187">
        <w:rPr>
          <w:sz w:val="22"/>
          <w:szCs w:val="22"/>
          <w:lang w:val="sr-Latn-ME"/>
        </w:rPr>
        <w:t xml:space="preserve"> (</w:t>
      </w:r>
      <w:proofErr w:type="spellStart"/>
      <w:r w:rsidRPr="00986187">
        <w:rPr>
          <w:sz w:val="22"/>
          <w:szCs w:val="22"/>
          <w:lang w:val="sr-Latn-ME"/>
        </w:rPr>
        <w:t>Saccharomyces</w:t>
      </w:r>
      <w:proofErr w:type="spellEnd"/>
      <w:r w:rsidRPr="00986187">
        <w:rPr>
          <w:sz w:val="22"/>
          <w:szCs w:val="22"/>
          <w:lang w:val="sr-Latn-ME"/>
        </w:rPr>
        <w:t xml:space="preserve"> </w:t>
      </w:r>
      <w:proofErr w:type="spellStart"/>
      <w:r w:rsidRPr="00986187">
        <w:rPr>
          <w:sz w:val="22"/>
          <w:szCs w:val="22"/>
          <w:lang w:val="sr-Latn-ME"/>
        </w:rPr>
        <w:t>cerevisiae</w:t>
      </w:r>
      <w:proofErr w:type="spellEnd"/>
      <w:r w:rsidRPr="00986187">
        <w:rPr>
          <w:sz w:val="22"/>
          <w:szCs w:val="22"/>
          <w:lang w:val="sr-Latn-ME"/>
        </w:rPr>
        <w:t xml:space="preserve">) tehnologijom </w:t>
      </w:r>
      <w:proofErr w:type="spellStart"/>
      <w:r w:rsidRPr="00986187">
        <w:rPr>
          <w:sz w:val="22"/>
          <w:szCs w:val="22"/>
          <w:lang w:val="sr-Latn-ME"/>
        </w:rPr>
        <w:t>rekombinantne</w:t>
      </w:r>
      <w:proofErr w:type="spellEnd"/>
      <w:r w:rsidRPr="00986187">
        <w:rPr>
          <w:sz w:val="22"/>
          <w:szCs w:val="22"/>
          <w:lang w:val="sr-Latn-ME"/>
        </w:rPr>
        <w:t xml:space="preserve"> DNK</w:t>
      </w:r>
    </w:p>
    <w:p w14:paraId="355F5344" w14:textId="77777777" w:rsidR="005A0B2E" w:rsidRPr="00986187" w:rsidRDefault="005A0B2E" w:rsidP="00F3153C">
      <w:pPr>
        <w:widowControl w:val="0"/>
        <w:rPr>
          <w:sz w:val="22"/>
          <w:szCs w:val="22"/>
          <w:lang w:val="sr-Latn-ME"/>
        </w:rPr>
      </w:pPr>
    </w:p>
    <w:p w14:paraId="250A3178" w14:textId="77777777" w:rsidR="0003793F" w:rsidRPr="00986187" w:rsidRDefault="0003793F" w:rsidP="00F3153C">
      <w:pPr>
        <w:widowControl w:val="0"/>
        <w:rPr>
          <w:sz w:val="22"/>
          <w:szCs w:val="22"/>
          <w:lang w:val="sr-Latn-ME"/>
        </w:rPr>
      </w:pPr>
      <w:r w:rsidRPr="00986187">
        <w:rPr>
          <w:sz w:val="22"/>
          <w:szCs w:val="22"/>
          <w:lang w:val="sr-Latn-ME"/>
        </w:rPr>
        <w:t xml:space="preserve">Za spisak svih </w:t>
      </w:r>
      <w:proofErr w:type="spellStart"/>
      <w:r w:rsidRPr="00986187">
        <w:rPr>
          <w:sz w:val="22"/>
          <w:szCs w:val="22"/>
          <w:lang w:val="sr-Latn-ME"/>
        </w:rPr>
        <w:t>ekscipijenasa</w:t>
      </w:r>
      <w:proofErr w:type="spellEnd"/>
      <w:r w:rsidRPr="00986187">
        <w:rPr>
          <w:sz w:val="22"/>
          <w:szCs w:val="22"/>
          <w:lang w:val="sr-Latn-ME"/>
        </w:rPr>
        <w:t>, pogledati dio 6.1.</w:t>
      </w:r>
    </w:p>
    <w:p w14:paraId="30D7A81F" w14:textId="12D41D0E" w:rsidR="00C37FD7" w:rsidRPr="00986187" w:rsidRDefault="00C37FD7" w:rsidP="00F3153C">
      <w:pPr>
        <w:widowControl w:val="0"/>
        <w:rPr>
          <w:sz w:val="22"/>
          <w:szCs w:val="22"/>
          <w:lang w:val="sr-Latn-ME"/>
        </w:rPr>
      </w:pPr>
    </w:p>
    <w:p w14:paraId="6E6B587B" w14:textId="77777777" w:rsidR="00DF0D23" w:rsidRPr="00986187" w:rsidRDefault="00DF0D23" w:rsidP="00F3153C">
      <w:pPr>
        <w:widowControl w:val="0"/>
        <w:rPr>
          <w:sz w:val="22"/>
          <w:szCs w:val="22"/>
          <w:lang w:val="sr-Latn-ME"/>
        </w:rPr>
      </w:pPr>
    </w:p>
    <w:p w14:paraId="5C597B1C"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3. </w:t>
      </w:r>
      <w:r w:rsidR="00F5167F" w:rsidRPr="00986187">
        <w:rPr>
          <w:b/>
          <w:bCs/>
          <w:sz w:val="22"/>
          <w:szCs w:val="22"/>
          <w:lang w:val="sr-Latn-ME"/>
        </w:rPr>
        <w:tab/>
      </w:r>
      <w:r w:rsidRPr="00986187">
        <w:rPr>
          <w:b/>
          <w:bCs/>
          <w:sz w:val="22"/>
          <w:szCs w:val="22"/>
          <w:lang w:val="sr-Latn-ME"/>
        </w:rPr>
        <w:t>FARMACEUTSKI OBLIK</w:t>
      </w:r>
      <w:r w:rsidR="009F2D23" w:rsidRPr="00986187">
        <w:rPr>
          <w:b/>
          <w:bCs/>
          <w:sz w:val="22"/>
          <w:szCs w:val="22"/>
          <w:lang w:val="sr-Latn-ME"/>
        </w:rPr>
        <w:t xml:space="preserve"> </w:t>
      </w:r>
    </w:p>
    <w:p w14:paraId="5ADFFDD0" w14:textId="77777777" w:rsidR="0042377A" w:rsidRPr="00986187" w:rsidRDefault="0042377A" w:rsidP="00F3153C">
      <w:pPr>
        <w:widowControl w:val="0"/>
        <w:tabs>
          <w:tab w:val="left" w:pos="540"/>
          <w:tab w:val="left" w:pos="569"/>
        </w:tabs>
        <w:rPr>
          <w:b/>
          <w:bCs/>
          <w:sz w:val="22"/>
          <w:szCs w:val="22"/>
          <w:lang w:val="sr-Latn-ME"/>
        </w:rPr>
      </w:pPr>
    </w:p>
    <w:p w14:paraId="6FD4D6CF" w14:textId="4DFBA476" w:rsidR="00121EFE" w:rsidRPr="00986187" w:rsidRDefault="00121EFE" w:rsidP="00F3153C">
      <w:pPr>
        <w:pStyle w:val="Header"/>
        <w:widowControl w:val="0"/>
        <w:tabs>
          <w:tab w:val="left" w:pos="284"/>
        </w:tabs>
        <w:jc w:val="both"/>
        <w:rPr>
          <w:sz w:val="22"/>
          <w:szCs w:val="22"/>
          <w:lang w:val="sr-Latn-ME" w:eastAsia="x-none"/>
        </w:rPr>
      </w:pPr>
      <w:r w:rsidRPr="00986187">
        <w:rPr>
          <w:sz w:val="22"/>
          <w:szCs w:val="22"/>
          <w:lang w:val="sr-Latn-ME"/>
        </w:rPr>
        <w:t>Suspenzija za injekciju</w:t>
      </w:r>
      <w:r w:rsidR="00DF0D23" w:rsidRPr="00986187">
        <w:rPr>
          <w:sz w:val="22"/>
          <w:szCs w:val="22"/>
          <w:lang w:val="sr-Latn-ME"/>
        </w:rPr>
        <w:t>.</w:t>
      </w:r>
    </w:p>
    <w:p w14:paraId="5341A3C8" w14:textId="7D10C178" w:rsidR="00121EFE" w:rsidRPr="00986187" w:rsidRDefault="00121EFE" w:rsidP="00F3153C">
      <w:pPr>
        <w:widowControl w:val="0"/>
        <w:tabs>
          <w:tab w:val="left" w:pos="720"/>
        </w:tabs>
        <w:jc w:val="both"/>
        <w:rPr>
          <w:sz w:val="22"/>
          <w:szCs w:val="22"/>
          <w:lang w:val="sr-Latn-ME"/>
        </w:rPr>
      </w:pPr>
      <w:r w:rsidRPr="00986187">
        <w:rPr>
          <w:sz w:val="22"/>
          <w:szCs w:val="22"/>
          <w:lang w:val="sr-Latn-ME"/>
        </w:rPr>
        <w:t>Suspenzija mutno bijele boje</w:t>
      </w:r>
      <w:r w:rsidR="006B1CA3" w:rsidRPr="00986187">
        <w:rPr>
          <w:sz w:val="22"/>
          <w:szCs w:val="22"/>
          <w:lang w:val="sr-Latn-ME"/>
        </w:rPr>
        <w:t xml:space="preserve">, koja stajanjem </w:t>
      </w:r>
      <w:proofErr w:type="spellStart"/>
      <w:r w:rsidR="006B1CA3" w:rsidRPr="00986187">
        <w:rPr>
          <w:sz w:val="22"/>
          <w:szCs w:val="22"/>
          <w:lang w:val="sr-Latn-ME"/>
        </w:rPr>
        <w:t>sedimentira</w:t>
      </w:r>
      <w:proofErr w:type="spellEnd"/>
      <w:r w:rsidR="006B1CA3" w:rsidRPr="00986187">
        <w:rPr>
          <w:sz w:val="22"/>
          <w:szCs w:val="22"/>
          <w:lang w:val="sr-Latn-ME"/>
        </w:rPr>
        <w:t xml:space="preserve">, dajući talog bijele boje i bezbojan </w:t>
      </w:r>
      <w:proofErr w:type="spellStart"/>
      <w:r w:rsidR="006B1CA3" w:rsidRPr="00986187">
        <w:rPr>
          <w:sz w:val="22"/>
          <w:szCs w:val="22"/>
          <w:lang w:val="sr-Latn-ME"/>
        </w:rPr>
        <w:t>supernatant</w:t>
      </w:r>
      <w:proofErr w:type="spellEnd"/>
      <w:r w:rsidR="00F2258E" w:rsidRPr="00986187">
        <w:rPr>
          <w:sz w:val="22"/>
          <w:szCs w:val="22"/>
          <w:lang w:val="sr-Latn-ME"/>
        </w:rPr>
        <w:t>.</w:t>
      </w:r>
    </w:p>
    <w:p w14:paraId="18350EBE" w14:textId="42CB3F78" w:rsidR="00EC2532" w:rsidRPr="00986187" w:rsidRDefault="00EC2532" w:rsidP="00F3153C">
      <w:pPr>
        <w:widowControl w:val="0"/>
        <w:rPr>
          <w:bCs/>
          <w:sz w:val="22"/>
          <w:szCs w:val="22"/>
          <w:lang w:val="sr-Latn-ME"/>
        </w:rPr>
      </w:pPr>
    </w:p>
    <w:p w14:paraId="0A4EA6E7" w14:textId="77777777" w:rsidR="00DF0D23" w:rsidRPr="00986187" w:rsidRDefault="00DF0D23" w:rsidP="00F3153C">
      <w:pPr>
        <w:widowControl w:val="0"/>
        <w:rPr>
          <w:bCs/>
          <w:sz w:val="22"/>
          <w:szCs w:val="22"/>
          <w:lang w:val="sr-Latn-ME"/>
        </w:rPr>
      </w:pPr>
    </w:p>
    <w:p w14:paraId="468355C1"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4. </w:t>
      </w:r>
      <w:r w:rsidR="00480FB1" w:rsidRPr="00986187">
        <w:rPr>
          <w:b/>
          <w:bCs/>
          <w:sz w:val="22"/>
          <w:szCs w:val="22"/>
          <w:lang w:val="sr-Latn-ME"/>
        </w:rPr>
        <w:tab/>
      </w:r>
      <w:r w:rsidRPr="00986187">
        <w:rPr>
          <w:b/>
          <w:bCs/>
          <w:sz w:val="22"/>
          <w:szCs w:val="22"/>
          <w:lang w:val="sr-Latn-ME"/>
        </w:rPr>
        <w:t>KLINIČKI PODACI</w:t>
      </w:r>
    </w:p>
    <w:p w14:paraId="377DB8F0" w14:textId="77777777" w:rsidR="00CD6F02" w:rsidRPr="00986187" w:rsidRDefault="00CD6F02" w:rsidP="00F3153C">
      <w:pPr>
        <w:widowControl w:val="0"/>
        <w:tabs>
          <w:tab w:val="left" w:pos="540"/>
          <w:tab w:val="left" w:pos="569"/>
        </w:tabs>
        <w:rPr>
          <w:bCs/>
          <w:sz w:val="22"/>
          <w:szCs w:val="22"/>
          <w:lang w:val="sr-Latn-ME"/>
        </w:rPr>
      </w:pPr>
    </w:p>
    <w:p w14:paraId="6D2C9146"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4.1. </w:t>
      </w:r>
      <w:r w:rsidR="00480FB1" w:rsidRPr="00986187">
        <w:rPr>
          <w:b/>
          <w:bCs/>
          <w:sz w:val="22"/>
          <w:szCs w:val="22"/>
          <w:lang w:val="sr-Latn-ME"/>
        </w:rPr>
        <w:tab/>
      </w:r>
      <w:r w:rsidRPr="00986187">
        <w:rPr>
          <w:b/>
          <w:bCs/>
          <w:sz w:val="22"/>
          <w:szCs w:val="22"/>
          <w:lang w:val="sr-Latn-ME"/>
        </w:rPr>
        <w:t>Terapijske indikacije</w:t>
      </w:r>
    </w:p>
    <w:p w14:paraId="0DAFDC65" w14:textId="77777777" w:rsidR="001A02AA" w:rsidRPr="00986187" w:rsidRDefault="001A02AA" w:rsidP="00F3153C">
      <w:pPr>
        <w:widowControl w:val="0"/>
        <w:jc w:val="both"/>
        <w:rPr>
          <w:sz w:val="22"/>
          <w:szCs w:val="22"/>
          <w:lang w:val="sr-Latn-ME"/>
        </w:rPr>
      </w:pPr>
    </w:p>
    <w:p w14:paraId="61CE0C36" w14:textId="54DC657E" w:rsidR="00121EFE" w:rsidRPr="00986187" w:rsidRDefault="00121EFE" w:rsidP="00F3153C">
      <w:pPr>
        <w:widowControl w:val="0"/>
        <w:jc w:val="both"/>
        <w:rPr>
          <w:sz w:val="22"/>
          <w:szCs w:val="22"/>
          <w:lang w:val="sr-Latn-ME"/>
        </w:rPr>
      </w:pPr>
      <w:r w:rsidRPr="00986187">
        <w:rPr>
          <w:sz w:val="22"/>
          <w:szCs w:val="22"/>
          <w:lang w:val="sr-Latn-ME"/>
        </w:rPr>
        <w:t xml:space="preserve">Vakcina </w:t>
      </w:r>
      <w:r w:rsidR="00786033" w:rsidRPr="00986187">
        <w:rPr>
          <w:bCs/>
          <w:sz w:val="22"/>
          <w:szCs w:val="22"/>
          <w:lang w:val="sr-Latn-ME"/>
        </w:rPr>
        <w:t>ENGERIX</w:t>
      </w:r>
      <w:r w:rsidRPr="00986187">
        <w:rPr>
          <w:sz w:val="22"/>
          <w:szCs w:val="22"/>
          <w:lang w:val="sr-Latn-ME"/>
        </w:rPr>
        <w:t xml:space="preserve"> B za djecu </w:t>
      </w:r>
      <w:proofErr w:type="spellStart"/>
      <w:r w:rsidRPr="00986187">
        <w:rPr>
          <w:sz w:val="22"/>
          <w:szCs w:val="22"/>
          <w:lang w:val="sr-Latn-ME"/>
        </w:rPr>
        <w:t>indikovana</w:t>
      </w:r>
      <w:proofErr w:type="spellEnd"/>
      <w:r w:rsidRPr="00986187">
        <w:rPr>
          <w:sz w:val="22"/>
          <w:szCs w:val="22"/>
          <w:lang w:val="sr-Latn-ME"/>
        </w:rPr>
        <w:t xml:space="preserve"> je za aktivnu imunizaciju </w:t>
      </w:r>
      <w:r w:rsidR="00013266" w:rsidRPr="00986187">
        <w:rPr>
          <w:sz w:val="22"/>
          <w:szCs w:val="22"/>
          <w:lang w:val="sr-Latn-ME"/>
        </w:rPr>
        <w:t xml:space="preserve">novorođenčadi, odojčadi, djece i adolescenata uzrasta do, i uključujući 15 godina, </w:t>
      </w:r>
      <w:r w:rsidRPr="00986187">
        <w:rPr>
          <w:sz w:val="22"/>
          <w:szCs w:val="22"/>
          <w:lang w:val="sr-Latn-ME"/>
        </w:rPr>
        <w:t xml:space="preserve">protiv infekcija svim poznatim </w:t>
      </w:r>
      <w:proofErr w:type="spellStart"/>
      <w:r w:rsidRPr="00986187">
        <w:rPr>
          <w:sz w:val="22"/>
          <w:szCs w:val="22"/>
          <w:lang w:val="sr-Latn-ME"/>
        </w:rPr>
        <w:t>podtipovima</w:t>
      </w:r>
      <w:proofErr w:type="spellEnd"/>
      <w:r w:rsidRPr="00986187">
        <w:rPr>
          <w:sz w:val="22"/>
          <w:szCs w:val="22"/>
          <w:lang w:val="sr-Latn-ME"/>
        </w:rPr>
        <w:t xml:space="preserve"> </w:t>
      </w:r>
      <w:r w:rsidR="001A02AA" w:rsidRPr="00986187">
        <w:rPr>
          <w:sz w:val="22"/>
          <w:szCs w:val="22"/>
          <w:lang w:val="sr-Latn-ME"/>
        </w:rPr>
        <w:t xml:space="preserve">virusa </w:t>
      </w:r>
      <w:r w:rsidRPr="00986187">
        <w:rPr>
          <w:sz w:val="22"/>
          <w:szCs w:val="22"/>
          <w:lang w:val="sr-Latn-ME"/>
        </w:rPr>
        <w:t>hepatitis</w:t>
      </w:r>
      <w:r w:rsidR="001A02AA" w:rsidRPr="00986187">
        <w:rPr>
          <w:sz w:val="22"/>
          <w:szCs w:val="22"/>
          <w:lang w:val="sr-Latn-ME"/>
        </w:rPr>
        <w:t>a</w:t>
      </w:r>
      <w:r w:rsidRPr="00986187">
        <w:rPr>
          <w:sz w:val="22"/>
          <w:szCs w:val="22"/>
          <w:lang w:val="sr-Latn-ME"/>
        </w:rPr>
        <w:t xml:space="preserve"> B (HBV) kod</w:t>
      </w:r>
      <w:r w:rsidRPr="00986187">
        <w:rPr>
          <w:color w:val="FF0000"/>
          <w:sz w:val="22"/>
          <w:szCs w:val="22"/>
          <w:lang w:val="sr-Latn-ME"/>
        </w:rPr>
        <w:t xml:space="preserve"> </w:t>
      </w:r>
      <w:r w:rsidRPr="00986187">
        <w:rPr>
          <w:sz w:val="22"/>
          <w:szCs w:val="22"/>
          <w:lang w:val="sr-Latn-ME"/>
        </w:rPr>
        <w:t xml:space="preserve">osoba bez odgovarajućeg imuniteta. Kategorije </w:t>
      </w:r>
      <w:proofErr w:type="spellStart"/>
      <w:r w:rsidRPr="00986187">
        <w:rPr>
          <w:sz w:val="22"/>
          <w:szCs w:val="22"/>
          <w:lang w:val="sr-Latn-ME"/>
        </w:rPr>
        <w:t>ljudi</w:t>
      </w:r>
      <w:proofErr w:type="spellEnd"/>
      <w:r w:rsidRPr="00986187">
        <w:rPr>
          <w:sz w:val="22"/>
          <w:szCs w:val="22"/>
          <w:lang w:val="sr-Latn-ME"/>
        </w:rPr>
        <w:t xml:space="preserve"> unutar populacije koj</w:t>
      </w:r>
      <w:r w:rsidR="001A02AA" w:rsidRPr="00986187">
        <w:rPr>
          <w:sz w:val="22"/>
          <w:szCs w:val="22"/>
          <w:lang w:val="sr-Latn-ME"/>
        </w:rPr>
        <w:t>u</w:t>
      </w:r>
      <w:r w:rsidRPr="00986187">
        <w:rPr>
          <w:sz w:val="22"/>
          <w:szCs w:val="22"/>
          <w:lang w:val="sr-Latn-ME"/>
        </w:rPr>
        <w:t xml:space="preserve"> treba imunizovati određene su na osnovu zvaničnih preporuka.</w:t>
      </w:r>
    </w:p>
    <w:p w14:paraId="38B74F1B" w14:textId="77777777" w:rsidR="00121EFE" w:rsidRPr="00986187" w:rsidRDefault="00121EFE" w:rsidP="00F3153C">
      <w:pPr>
        <w:widowControl w:val="0"/>
        <w:ind w:left="720"/>
        <w:jc w:val="both"/>
        <w:rPr>
          <w:sz w:val="22"/>
          <w:szCs w:val="22"/>
          <w:highlight w:val="yellow"/>
          <w:lang w:val="sr-Latn-ME"/>
        </w:rPr>
      </w:pPr>
    </w:p>
    <w:p w14:paraId="6B629054" w14:textId="262E6A97" w:rsidR="00121EFE" w:rsidRPr="00986187" w:rsidRDefault="00121EFE" w:rsidP="00F3153C">
      <w:pPr>
        <w:widowControl w:val="0"/>
        <w:jc w:val="both"/>
        <w:rPr>
          <w:sz w:val="22"/>
          <w:szCs w:val="22"/>
          <w:lang w:val="sr-Latn-ME"/>
        </w:rPr>
      </w:pPr>
      <w:r w:rsidRPr="00986187">
        <w:rPr>
          <w:sz w:val="22"/>
          <w:szCs w:val="22"/>
          <w:lang w:val="sr-Latn-ME"/>
        </w:rPr>
        <w:t xml:space="preserve">Može se očekivati da će se imunizacijom vakcinom </w:t>
      </w:r>
      <w:r w:rsidR="00786033" w:rsidRPr="00986187">
        <w:rPr>
          <w:bCs/>
          <w:sz w:val="22"/>
          <w:szCs w:val="22"/>
          <w:lang w:val="sr-Latn-ME"/>
        </w:rPr>
        <w:t>ENGERIX</w:t>
      </w:r>
      <w:r w:rsidRPr="00986187">
        <w:rPr>
          <w:sz w:val="22"/>
          <w:szCs w:val="22"/>
          <w:lang w:val="sr-Latn-ME"/>
        </w:rPr>
        <w:t xml:space="preserve"> B za djecu spriječiti infekcija virusom hepatitisa D, s obzirom na to da u odsustvu infekcije </w:t>
      </w:r>
      <w:r w:rsidR="00385690" w:rsidRPr="00986187">
        <w:rPr>
          <w:sz w:val="22"/>
          <w:szCs w:val="22"/>
          <w:lang w:val="sr-Latn-ME"/>
        </w:rPr>
        <w:t xml:space="preserve">virusom </w:t>
      </w:r>
      <w:r w:rsidRPr="00986187">
        <w:rPr>
          <w:sz w:val="22"/>
          <w:szCs w:val="22"/>
          <w:lang w:val="sr-Latn-ME"/>
        </w:rPr>
        <w:t>hepatitis</w:t>
      </w:r>
      <w:r w:rsidR="00CF6512" w:rsidRPr="00986187">
        <w:rPr>
          <w:sz w:val="22"/>
          <w:szCs w:val="22"/>
          <w:lang w:val="sr-Latn-ME"/>
        </w:rPr>
        <w:t>a</w:t>
      </w:r>
      <w:r w:rsidRPr="00986187">
        <w:rPr>
          <w:sz w:val="22"/>
          <w:szCs w:val="22"/>
          <w:lang w:val="sr-Latn-ME"/>
        </w:rPr>
        <w:t xml:space="preserve"> B ne dolazi do infekcije virusom hepatitisa D (prouzrokovane delta agensom).</w:t>
      </w:r>
    </w:p>
    <w:p w14:paraId="3F47D855" w14:textId="77777777" w:rsidR="00411B4B" w:rsidRPr="00986187" w:rsidRDefault="00411B4B" w:rsidP="00F3153C">
      <w:pPr>
        <w:widowControl w:val="0"/>
        <w:tabs>
          <w:tab w:val="left" w:pos="540"/>
          <w:tab w:val="left" w:pos="569"/>
        </w:tabs>
        <w:rPr>
          <w:bCs/>
          <w:sz w:val="22"/>
          <w:szCs w:val="22"/>
          <w:lang w:val="sr-Latn-ME"/>
        </w:rPr>
      </w:pPr>
    </w:p>
    <w:p w14:paraId="42430B6C"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4.2. </w:t>
      </w:r>
      <w:r w:rsidR="00480FB1" w:rsidRPr="00986187">
        <w:rPr>
          <w:b/>
          <w:bCs/>
          <w:sz w:val="22"/>
          <w:szCs w:val="22"/>
          <w:lang w:val="sr-Latn-ME"/>
        </w:rPr>
        <w:tab/>
      </w:r>
      <w:r w:rsidRPr="00986187">
        <w:rPr>
          <w:b/>
          <w:bCs/>
          <w:sz w:val="22"/>
          <w:szCs w:val="22"/>
          <w:lang w:val="sr-Latn-ME"/>
        </w:rPr>
        <w:t>Doziranje i način primjene</w:t>
      </w:r>
    </w:p>
    <w:p w14:paraId="211A0035" w14:textId="77777777" w:rsidR="0072020E" w:rsidRPr="00986187" w:rsidRDefault="0072020E" w:rsidP="00F3153C">
      <w:pPr>
        <w:widowControl w:val="0"/>
        <w:tabs>
          <w:tab w:val="left" w:pos="540"/>
          <w:tab w:val="left" w:pos="569"/>
        </w:tabs>
        <w:rPr>
          <w:bCs/>
          <w:sz w:val="22"/>
          <w:szCs w:val="22"/>
          <w:lang w:val="sr-Latn-ME"/>
        </w:rPr>
      </w:pPr>
    </w:p>
    <w:p w14:paraId="7D86C026" w14:textId="44EBF9AD" w:rsidR="00121EFE" w:rsidRPr="00986187" w:rsidRDefault="00121EFE" w:rsidP="00F3153C">
      <w:pPr>
        <w:widowControl w:val="0"/>
        <w:tabs>
          <w:tab w:val="left" w:pos="540"/>
          <w:tab w:val="left" w:pos="569"/>
        </w:tabs>
        <w:jc w:val="both"/>
        <w:rPr>
          <w:sz w:val="22"/>
          <w:szCs w:val="22"/>
          <w:lang w:val="sr-Latn-ME"/>
        </w:rPr>
      </w:pPr>
      <w:r w:rsidRPr="00986187">
        <w:rPr>
          <w:sz w:val="22"/>
          <w:szCs w:val="22"/>
          <w:lang w:val="sr-Latn-ME"/>
        </w:rPr>
        <w:t>Doziranje</w:t>
      </w:r>
    </w:p>
    <w:p w14:paraId="35867C46" w14:textId="77777777" w:rsidR="00121EFE" w:rsidRPr="00986187" w:rsidRDefault="00121EFE" w:rsidP="00F3153C">
      <w:pPr>
        <w:widowControl w:val="0"/>
        <w:tabs>
          <w:tab w:val="left" w:pos="540"/>
          <w:tab w:val="left" w:pos="569"/>
        </w:tabs>
        <w:jc w:val="both"/>
        <w:rPr>
          <w:b/>
          <w:bCs/>
          <w:sz w:val="22"/>
          <w:szCs w:val="22"/>
          <w:lang w:val="sr-Latn-ME"/>
        </w:rPr>
      </w:pPr>
    </w:p>
    <w:p w14:paraId="035A56AF" w14:textId="77777777" w:rsidR="00121EFE" w:rsidRPr="00986187" w:rsidRDefault="00121EFE" w:rsidP="00F3153C">
      <w:pPr>
        <w:widowControl w:val="0"/>
        <w:jc w:val="both"/>
        <w:rPr>
          <w:sz w:val="22"/>
          <w:szCs w:val="22"/>
          <w:u w:val="single"/>
          <w:lang w:val="sr-Latn-ME"/>
        </w:rPr>
      </w:pPr>
      <w:r w:rsidRPr="00986187">
        <w:rPr>
          <w:sz w:val="22"/>
          <w:szCs w:val="22"/>
          <w:u w:val="single"/>
          <w:lang w:val="sr-Latn-ME"/>
        </w:rPr>
        <w:t>Doze</w:t>
      </w:r>
    </w:p>
    <w:p w14:paraId="28C886DA" w14:textId="77777777" w:rsidR="001A02AA" w:rsidRPr="00986187" w:rsidRDefault="001A02AA" w:rsidP="00F3153C">
      <w:pPr>
        <w:widowControl w:val="0"/>
        <w:jc w:val="both"/>
        <w:rPr>
          <w:sz w:val="22"/>
          <w:szCs w:val="22"/>
          <w:u w:val="single"/>
          <w:lang w:val="sr-Latn-ME"/>
        </w:rPr>
      </w:pPr>
    </w:p>
    <w:p w14:paraId="3BBC3577" w14:textId="06DB1C8C" w:rsidR="00121EFE" w:rsidRPr="00986187" w:rsidRDefault="00385690" w:rsidP="00F3153C">
      <w:pPr>
        <w:widowControl w:val="0"/>
        <w:jc w:val="both"/>
        <w:rPr>
          <w:sz w:val="22"/>
          <w:szCs w:val="22"/>
          <w:lang w:val="sr-Latn-ME"/>
        </w:rPr>
      </w:pPr>
      <w:r w:rsidRPr="00986187">
        <w:rPr>
          <w:bCs/>
          <w:sz w:val="22"/>
          <w:szCs w:val="22"/>
          <w:lang w:val="sr-Latn-ME"/>
        </w:rPr>
        <w:t xml:space="preserve">Vakcina </w:t>
      </w:r>
      <w:r w:rsidR="00786033" w:rsidRPr="00986187">
        <w:rPr>
          <w:bCs/>
          <w:sz w:val="22"/>
          <w:szCs w:val="22"/>
          <w:lang w:val="sr-Latn-ME"/>
        </w:rPr>
        <w:t>ENGERIX</w:t>
      </w:r>
      <w:r w:rsidR="00121EFE" w:rsidRPr="00986187">
        <w:rPr>
          <w:sz w:val="22"/>
          <w:szCs w:val="22"/>
          <w:lang w:val="sr-Latn-ME"/>
        </w:rPr>
        <w:t xml:space="preserve"> B za djecu u dozi od 10 </w:t>
      </w:r>
      <w:proofErr w:type="spellStart"/>
      <w:r w:rsidR="00B62C04" w:rsidRPr="00986187">
        <w:rPr>
          <w:sz w:val="22"/>
          <w:szCs w:val="22"/>
          <w:lang w:val="sr-Latn-ME"/>
        </w:rPr>
        <w:t>mc</w:t>
      </w:r>
      <w:r w:rsidR="00DF0D23" w:rsidRPr="00986187">
        <w:rPr>
          <w:sz w:val="22"/>
          <w:szCs w:val="22"/>
          <w:lang w:val="sr-Latn-ME"/>
        </w:rPr>
        <w:t>g</w:t>
      </w:r>
      <w:proofErr w:type="spellEnd"/>
      <w:r w:rsidR="00121EFE" w:rsidRPr="00986187">
        <w:rPr>
          <w:sz w:val="22"/>
          <w:szCs w:val="22"/>
          <w:lang w:val="sr-Latn-ME"/>
        </w:rPr>
        <w:t>/</w:t>
      </w:r>
      <w:r w:rsidR="00DF0D23" w:rsidRPr="00986187">
        <w:rPr>
          <w:sz w:val="22"/>
          <w:szCs w:val="22"/>
          <w:lang w:val="sr-Latn-ME"/>
        </w:rPr>
        <w:t xml:space="preserve">0.5 </w:t>
      </w:r>
      <w:r w:rsidR="00121EFE" w:rsidRPr="00986187">
        <w:rPr>
          <w:sz w:val="22"/>
          <w:szCs w:val="22"/>
          <w:lang w:val="sr-Latn-ME"/>
        </w:rPr>
        <w:t xml:space="preserve">ml </w:t>
      </w:r>
      <w:proofErr w:type="spellStart"/>
      <w:r w:rsidR="00121EFE" w:rsidRPr="00986187">
        <w:rPr>
          <w:sz w:val="22"/>
          <w:szCs w:val="22"/>
          <w:lang w:val="sr-Latn-ME"/>
        </w:rPr>
        <w:t>indikovana</w:t>
      </w:r>
      <w:proofErr w:type="spellEnd"/>
      <w:r w:rsidR="00121EFE" w:rsidRPr="00986187">
        <w:rPr>
          <w:sz w:val="22"/>
          <w:szCs w:val="22"/>
          <w:lang w:val="sr-Latn-ME"/>
        </w:rPr>
        <w:t xml:space="preserve"> je za primjenu kod novorođenčadi i djece do</w:t>
      </w:r>
      <w:r w:rsidRPr="00986187">
        <w:rPr>
          <w:sz w:val="22"/>
          <w:szCs w:val="22"/>
          <w:lang w:val="sr-Latn-ME"/>
        </w:rPr>
        <w:t>, uključujući i</w:t>
      </w:r>
      <w:r w:rsidR="00121EFE" w:rsidRPr="00986187">
        <w:rPr>
          <w:sz w:val="22"/>
          <w:szCs w:val="22"/>
          <w:lang w:val="sr-Latn-ME"/>
        </w:rPr>
        <w:t xml:space="preserve"> 15</w:t>
      </w:r>
      <w:r w:rsidRPr="00986187">
        <w:rPr>
          <w:sz w:val="22"/>
          <w:szCs w:val="22"/>
          <w:lang w:val="sr-Latn-ME"/>
        </w:rPr>
        <w:t>godina</w:t>
      </w:r>
      <w:r w:rsidR="00121EFE" w:rsidRPr="00986187">
        <w:rPr>
          <w:sz w:val="22"/>
          <w:szCs w:val="22"/>
          <w:lang w:val="sr-Latn-ME"/>
        </w:rPr>
        <w:t xml:space="preserve">. </w:t>
      </w:r>
      <w:r w:rsidRPr="00986187">
        <w:rPr>
          <w:sz w:val="22"/>
          <w:szCs w:val="22"/>
          <w:lang w:val="sr-Latn-ME"/>
        </w:rPr>
        <w:t xml:space="preserve">Vakcina </w:t>
      </w:r>
      <w:r w:rsidR="00786033" w:rsidRPr="00986187">
        <w:rPr>
          <w:bCs/>
          <w:sz w:val="22"/>
          <w:szCs w:val="22"/>
          <w:lang w:val="sr-Latn-ME"/>
        </w:rPr>
        <w:t>ENGERIX</w:t>
      </w:r>
      <w:r w:rsidR="00121EFE" w:rsidRPr="00986187">
        <w:rPr>
          <w:sz w:val="22"/>
          <w:szCs w:val="22"/>
          <w:lang w:val="sr-Latn-ME"/>
        </w:rPr>
        <w:t xml:space="preserve"> B u dozi od 20 </w:t>
      </w:r>
      <w:proofErr w:type="spellStart"/>
      <w:r w:rsidR="00B62C04" w:rsidRPr="00986187">
        <w:rPr>
          <w:sz w:val="22"/>
          <w:szCs w:val="22"/>
          <w:lang w:val="sr-Latn-ME"/>
        </w:rPr>
        <w:t>mc</w:t>
      </w:r>
      <w:r w:rsidR="00DF0D23" w:rsidRPr="00986187">
        <w:rPr>
          <w:sz w:val="22"/>
          <w:szCs w:val="22"/>
          <w:lang w:val="sr-Latn-ME"/>
        </w:rPr>
        <w:t>g</w:t>
      </w:r>
      <w:proofErr w:type="spellEnd"/>
      <w:r w:rsidR="00121EFE" w:rsidRPr="00986187">
        <w:rPr>
          <w:sz w:val="22"/>
          <w:szCs w:val="22"/>
          <w:lang w:val="sr-Latn-ME"/>
        </w:rPr>
        <w:t xml:space="preserve">/ml </w:t>
      </w:r>
      <w:proofErr w:type="spellStart"/>
      <w:r w:rsidR="00121EFE" w:rsidRPr="00986187">
        <w:rPr>
          <w:sz w:val="22"/>
          <w:szCs w:val="22"/>
          <w:lang w:val="sr-Latn-ME"/>
        </w:rPr>
        <w:t>indikovana</w:t>
      </w:r>
      <w:proofErr w:type="spellEnd"/>
      <w:r w:rsidR="00121EFE" w:rsidRPr="00986187">
        <w:rPr>
          <w:sz w:val="22"/>
          <w:szCs w:val="22"/>
          <w:lang w:val="sr-Latn-ME"/>
        </w:rPr>
        <w:t xml:space="preserve"> je za primjenu kod osoba uzrasta 16 godina i starijih.</w:t>
      </w:r>
    </w:p>
    <w:p w14:paraId="6E3E2A2D" w14:textId="640ECD7E" w:rsidR="00385690" w:rsidRPr="00986187" w:rsidRDefault="00385690" w:rsidP="00F3153C">
      <w:pPr>
        <w:widowControl w:val="0"/>
        <w:jc w:val="both"/>
        <w:rPr>
          <w:sz w:val="22"/>
          <w:szCs w:val="22"/>
          <w:lang w:val="sr-Latn-ME"/>
        </w:rPr>
      </w:pPr>
    </w:p>
    <w:p w14:paraId="3E5BF16B" w14:textId="55A420F5" w:rsidR="00121EFE" w:rsidRPr="00986187" w:rsidRDefault="00385690" w:rsidP="00F3153C">
      <w:pPr>
        <w:widowControl w:val="0"/>
        <w:jc w:val="both"/>
        <w:rPr>
          <w:sz w:val="22"/>
          <w:szCs w:val="22"/>
          <w:lang w:val="sr-Latn-ME"/>
        </w:rPr>
      </w:pPr>
      <w:r w:rsidRPr="00986187">
        <w:rPr>
          <w:sz w:val="22"/>
          <w:szCs w:val="22"/>
          <w:lang w:val="sr-Latn-ME"/>
        </w:rPr>
        <w:t>Osim toga</w:t>
      </w:r>
      <w:r w:rsidR="00121EFE" w:rsidRPr="00986187">
        <w:rPr>
          <w:sz w:val="22"/>
          <w:szCs w:val="22"/>
          <w:lang w:val="sr-Latn-ME"/>
        </w:rPr>
        <w:t xml:space="preserve">, </w:t>
      </w:r>
      <w:r w:rsidR="00786033" w:rsidRPr="00986187">
        <w:rPr>
          <w:bCs/>
          <w:sz w:val="22"/>
          <w:szCs w:val="22"/>
          <w:lang w:val="sr-Latn-ME"/>
        </w:rPr>
        <w:t>ENGERIX</w:t>
      </w:r>
      <w:r w:rsidR="00121EFE" w:rsidRPr="00986187">
        <w:rPr>
          <w:sz w:val="22"/>
          <w:szCs w:val="22"/>
          <w:lang w:val="sr-Latn-ME"/>
        </w:rPr>
        <w:t xml:space="preserve"> B u dozi od 20 </w:t>
      </w:r>
      <w:proofErr w:type="spellStart"/>
      <w:r w:rsidR="00B62C04" w:rsidRPr="00986187">
        <w:rPr>
          <w:sz w:val="22"/>
          <w:szCs w:val="22"/>
          <w:lang w:val="sr-Latn-ME"/>
        </w:rPr>
        <w:t>mc</w:t>
      </w:r>
      <w:r w:rsidR="00DF0D23" w:rsidRPr="00986187">
        <w:rPr>
          <w:sz w:val="22"/>
          <w:szCs w:val="22"/>
          <w:lang w:val="sr-Latn-ME"/>
        </w:rPr>
        <w:t>g</w:t>
      </w:r>
      <w:proofErr w:type="spellEnd"/>
      <w:r w:rsidR="00121EFE" w:rsidRPr="00986187">
        <w:rPr>
          <w:sz w:val="22"/>
          <w:szCs w:val="22"/>
          <w:lang w:val="sr-Latn-ME"/>
        </w:rPr>
        <w:t>/ml može se primijeniti kod osoba od 11</w:t>
      </w:r>
      <w:r w:rsidRPr="00986187">
        <w:rPr>
          <w:sz w:val="22"/>
          <w:szCs w:val="22"/>
          <w:lang w:val="sr-Latn-ME"/>
        </w:rPr>
        <w:t xml:space="preserve"> do, uključujući i </w:t>
      </w:r>
      <w:r w:rsidR="00121EFE" w:rsidRPr="00986187">
        <w:rPr>
          <w:sz w:val="22"/>
          <w:szCs w:val="22"/>
          <w:lang w:val="sr-Latn-ME"/>
        </w:rPr>
        <w:t xml:space="preserve">15 </w:t>
      </w:r>
      <w:r w:rsidRPr="00986187">
        <w:rPr>
          <w:sz w:val="22"/>
          <w:szCs w:val="22"/>
          <w:lang w:val="sr-Latn-ME"/>
        </w:rPr>
        <w:t>godina</w:t>
      </w:r>
      <w:r w:rsidR="00121EFE" w:rsidRPr="00986187">
        <w:rPr>
          <w:sz w:val="22"/>
          <w:szCs w:val="22"/>
          <w:lang w:val="sr-Latn-ME"/>
        </w:rPr>
        <w:t xml:space="preserve">, </w:t>
      </w:r>
      <w:r w:rsidRPr="00986187">
        <w:rPr>
          <w:sz w:val="22"/>
          <w:szCs w:val="22"/>
          <w:lang w:val="sr-Latn-ME"/>
        </w:rPr>
        <w:t>prema</w:t>
      </w:r>
      <w:r w:rsidR="00121EFE" w:rsidRPr="00986187">
        <w:rPr>
          <w:sz w:val="22"/>
          <w:szCs w:val="22"/>
          <w:lang w:val="sr-Latn-ME"/>
        </w:rPr>
        <w:t xml:space="preserve"> šemi vakcinacije</w:t>
      </w:r>
      <w:r w:rsidRPr="00986187">
        <w:rPr>
          <w:sz w:val="22"/>
          <w:szCs w:val="22"/>
          <w:lang w:val="sr-Latn-ME"/>
        </w:rPr>
        <w:t xml:space="preserve"> sa 2 doze</w:t>
      </w:r>
      <w:r w:rsidR="00121EFE" w:rsidRPr="00986187">
        <w:rPr>
          <w:sz w:val="22"/>
          <w:szCs w:val="22"/>
          <w:lang w:val="sr-Latn-ME"/>
        </w:rPr>
        <w:t xml:space="preserve">, u situacijama kada postoji mali rizik od infekcije </w:t>
      </w:r>
      <w:r w:rsidRPr="00986187">
        <w:rPr>
          <w:sz w:val="22"/>
          <w:szCs w:val="22"/>
          <w:lang w:val="sr-Latn-ME"/>
        </w:rPr>
        <w:t xml:space="preserve">virusom </w:t>
      </w:r>
      <w:r w:rsidR="00121EFE" w:rsidRPr="00986187">
        <w:rPr>
          <w:sz w:val="22"/>
          <w:szCs w:val="22"/>
          <w:lang w:val="sr-Latn-ME"/>
        </w:rPr>
        <w:t>hepatitis</w:t>
      </w:r>
      <w:r w:rsidRPr="00986187">
        <w:rPr>
          <w:sz w:val="22"/>
          <w:szCs w:val="22"/>
          <w:lang w:val="sr-Latn-ME"/>
        </w:rPr>
        <w:t>a</w:t>
      </w:r>
      <w:r w:rsidR="00121EFE" w:rsidRPr="00986187">
        <w:rPr>
          <w:sz w:val="22"/>
          <w:szCs w:val="22"/>
          <w:lang w:val="sr-Latn-ME"/>
        </w:rPr>
        <w:t xml:space="preserve"> B u toku </w:t>
      </w:r>
      <w:r w:rsidRPr="00986187">
        <w:rPr>
          <w:sz w:val="22"/>
          <w:szCs w:val="22"/>
          <w:lang w:val="sr-Latn-ME"/>
        </w:rPr>
        <w:t xml:space="preserve">samog ciklusa </w:t>
      </w:r>
      <w:r w:rsidR="00121EFE" w:rsidRPr="00986187">
        <w:rPr>
          <w:sz w:val="22"/>
          <w:szCs w:val="22"/>
          <w:lang w:val="sr-Latn-ME"/>
        </w:rPr>
        <w:t xml:space="preserve">vakcinacije, i kada se sa sigurnošću može </w:t>
      </w:r>
      <w:proofErr w:type="spellStart"/>
      <w:r w:rsidR="00CF6512" w:rsidRPr="00986187">
        <w:rPr>
          <w:sz w:val="22"/>
          <w:szCs w:val="22"/>
          <w:lang w:val="sr-Latn-ME"/>
        </w:rPr>
        <w:t>o</w:t>
      </w:r>
      <w:r w:rsidR="00121EFE" w:rsidRPr="00986187">
        <w:rPr>
          <w:sz w:val="22"/>
          <w:szCs w:val="22"/>
          <w:lang w:val="sr-Latn-ME"/>
        </w:rPr>
        <w:t>bezbijediti</w:t>
      </w:r>
      <w:proofErr w:type="spellEnd"/>
      <w:r w:rsidR="00121EFE" w:rsidRPr="00986187">
        <w:rPr>
          <w:sz w:val="22"/>
          <w:szCs w:val="22"/>
          <w:lang w:val="sr-Latn-ME"/>
        </w:rPr>
        <w:t xml:space="preserve"> </w:t>
      </w:r>
      <w:r w:rsidRPr="00986187">
        <w:rPr>
          <w:sz w:val="22"/>
          <w:szCs w:val="22"/>
          <w:lang w:val="sr-Latn-ME"/>
        </w:rPr>
        <w:t xml:space="preserve">kompletiranje cijelog ciklusa vakcinacije </w:t>
      </w:r>
      <w:r w:rsidR="00121EFE" w:rsidRPr="00986187">
        <w:rPr>
          <w:sz w:val="22"/>
          <w:szCs w:val="22"/>
          <w:lang w:val="sr-Latn-ME"/>
        </w:rPr>
        <w:t xml:space="preserve">(vidjeti </w:t>
      </w:r>
      <w:r w:rsidRPr="00986187">
        <w:rPr>
          <w:sz w:val="22"/>
          <w:szCs w:val="22"/>
          <w:lang w:val="sr-Latn-ME"/>
        </w:rPr>
        <w:t xml:space="preserve">dio </w:t>
      </w:r>
      <w:r w:rsidR="00121EFE" w:rsidRPr="00986187">
        <w:rPr>
          <w:sz w:val="22"/>
          <w:szCs w:val="22"/>
          <w:lang w:val="sr-Latn-ME"/>
        </w:rPr>
        <w:t xml:space="preserve">5.1 i Sažetak karakteristika lijeka </w:t>
      </w:r>
      <w:r w:rsidR="00786033" w:rsidRPr="00986187">
        <w:rPr>
          <w:bCs/>
          <w:sz w:val="22"/>
          <w:szCs w:val="22"/>
          <w:lang w:val="sr-Latn-ME"/>
        </w:rPr>
        <w:t>ENGERIX</w:t>
      </w:r>
      <w:r w:rsidR="00121EFE" w:rsidRPr="00986187">
        <w:rPr>
          <w:sz w:val="22"/>
          <w:szCs w:val="22"/>
          <w:lang w:val="sr-Latn-ME"/>
        </w:rPr>
        <w:t xml:space="preserve"> B, u dozi od 20 </w:t>
      </w:r>
      <w:proofErr w:type="spellStart"/>
      <w:r w:rsidR="00B62C04" w:rsidRPr="00986187">
        <w:rPr>
          <w:sz w:val="22"/>
          <w:szCs w:val="22"/>
          <w:lang w:val="sr-Latn-ME"/>
        </w:rPr>
        <w:t>mc</w:t>
      </w:r>
      <w:r w:rsidR="00DF0D23" w:rsidRPr="00986187">
        <w:rPr>
          <w:sz w:val="22"/>
          <w:szCs w:val="22"/>
          <w:lang w:val="sr-Latn-ME"/>
        </w:rPr>
        <w:t>g</w:t>
      </w:r>
      <w:proofErr w:type="spellEnd"/>
      <w:r w:rsidR="00121EFE" w:rsidRPr="00986187">
        <w:rPr>
          <w:sz w:val="22"/>
          <w:szCs w:val="22"/>
          <w:lang w:val="sr-Latn-ME"/>
        </w:rPr>
        <w:t>/ml).</w:t>
      </w:r>
    </w:p>
    <w:p w14:paraId="684971E2" w14:textId="77777777" w:rsidR="00121EFE" w:rsidRPr="00986187" w:rsidRDefault="00121EFE" w:rsidP="00F3153C">
      <w:pPr>
        <w:widowControl w:val="0"/>
        <w:jc w:val="both"/>
        <w:rPr>
          <w:sz w:val="22"/>
          <w:szCs w:val="22"/>
          <w:lang w:val="sr-Latn-ME"/>
        </w:rPr>
      </w:pPr>
    </w:p>
    <w:p w14:paraId="64A2C709" w14:textId="27DD2F90" w:rsidR="00121EFE" w:rsidRPr="00986187" w:rsidRDefault="00385690" w:rsidP="00F3153C">
      <w:pPr>
        <w:widowControl w:val="0"/>
        <w:jc w:val="both"/>
        <w:rPr>
          <w:sz w:val="22"/>
          <w:szCs w:val="22"/>
          <w:u w:val="single"/>
          <w:lang w:val="sr-Latn-ME"/>
        </w:rPr>
      </w:pPr>
      <w:r w:rsidRPr="00986187">
        <w:rPr>
          <w:sz w:val="22"/>
          <w:szCs w:val="22"/>
          <w:u w:val="single"/>
          <w:lang w:val="sr-Latn-ME"/>
        </w:rPr>
        <w:t xml:space="preserve">Šeme </w:t>
      </w:r>
      <w:r w:rsidR="00121EFE" w:rsidRPr="00986187">
        <w:rPr>
          <w:sz w:val="22"/>
          <w:szCs w:val="22"/>
          <w:u w:val="single"/>
          <w:lang w:val="sr-Latn-ME"/>
        </w:rPr>
        <w:t>primarne imunizacije</w:t>
      </w:r>
    </w:p>
    <w:p w14:paraId="53BA9F9A" w14:textId="77777777" w:rsidR="00121EFE" w:rsidRPr="00986187" w:rsidRDefault="00121EFE" w:rsidP="00F3153C">
      <w:pPr>
        <w:widowControl w:val="0"/>
        <w:jc w:val="both"/>
        <w:rPr>
          <w:sz w:val="22"/>
          <w:szCs w:val="22"/>
          <w:u w:val="single"/>
          <w:lang w:val="sr-Latn-ME"/>
        </w:rPr>
      </w:pPr>
    </w:p>
    <w:p w14:paraId="3989B009" w14:textId="11DBC1E5" w:rsidR="00121EFE" w:rsidRPr="00986187" w:rsidRDefault="00121EFE" w:rsidP="00F3153C">
      <w:pPr>
        <w:widowControl w:val="0"/>
        <w:numPr>
          <w:ilvl w:val="0"/>
          <w:numId w:val="12"/>
        </w:numPr>
        <w:jc w:val="both"/>
        <w:rPr>
          <w:sz w:val="22"/>
          <w:szCs w:val="22"/>
          <w:lang w:val="sr-Latn-ME"/>
        </w:rPr>
      </w:pPr>
      <w:r w:rsidRPr="00986187">
        <w:rPr>
          <w:sz w:val="22"/>
          <w:szCs w:val="22"/>
          <w:lang w:val="sr-Latn-ME"/>
        </w:rPr>
        <w:lastRenderedPageBreak/>
        <w:t>Osobe uzrasta do</w:t>
      </w:r>
      <w:r w:rsidR="00385690" w:rsidRPr="00986187">
        <w:rPr>
          <w:sz w:val="22"/>
          <w:szCs w:val="22"/>
          <w:lang w:val="sr-Latn-ME"/>
        </w:rPr>
        <w:t>, uključujući i</w:t>
      </w:r>
      <w:r w:rsidRPr="00986187">
        <w:rPr>
          <w:sz w:val="22"/>
          <w:szCs w:val="22"/>
          <w:lang w:val="sr-Latn-ME"/>
        </w:rPr>
        <w:t xml:space="preserve"> 15 godin</w:t>
      </w:r>
      <w:r w:rsidR="00385690" w:rsidRPr="00986187">
        <w:rPr>
          <w:sz w:val="22"/>
          <w:szCs w:val="22"/>
          <w:lang w:val="sr-Latn-ME"/>
        </w:rPr>
        <w:t>a</w:t>
      </w:r>
      <w:r w:rsidRPr="00986187">
        <w:rPr>
          <w:sz w:val="22"/>
          <w:szCs w:val="22"/>
          <w:lang w:val="sr-Latn-ME"/>
        </w:rPr>
        <w:t>:</w:t>
      </w:r>
    </w:p>
    <w:p w14:paraId="723321FB" w14:textId="77777777" w:rsidR="00121EFE" w:rsidRPr="00986187" w:rsidRDefault="00121EFE" w:rsidP="00F3153C">
      <w:pPr>
        <w:widowControl w:val="0"/>
        <w:ind w:left="720"/>
        <w:jc w:val="both"/>
        <w:rPr>
          <w:sz w:val="22"/>
          <w:szCs w:val="22"/>
          <w:lang w:val="sr-Latn-ME"/>
        </w:rPr>
      </w:pPr>
    </w:p>
    <w:p w14:paraId="2EAB9CC9" w14:textId="77777777" w:rsidR="00121EFE" w:rsidRPr="00986187" w:rsidRDefault="00121EFE" w:rsidP="00F3153C">
      <w:pPr>
        <w:widowControl w:val="0"/>
        <w:jc w:val="both"/>
        <w:rPr>
          <w:sz w:val="22"/>
          <w:szCs w:val="22"/>
          <w:lang w:val="sr-Latn-ME"/>
        </w:rPr>
      </w:pPr>
      <w:r w:rsidRPr="00986187">
        <w:rPr>
          <w:sz w:val="22"/>
          <w:szCs w:val="22"/>
          <w:lang w:val="sr-Latn-ME"/>
        </w:rPr>
        <w:t>Mogu se preporučiti dvije šeme primarne imunizacije:</w:t>
      </w:r>
    </w:p>
    <w:p w14:paraId="08AA9594" w14:textId="77777777" w:rsidR="00121EFE" w:rsidRPr="00986187" w:rsidRDefault="00121EFE" w:rsidP="00F3153C">
      <w:pPr>
        <w:widowControl w:val="0"/>
        <w:ind w:left="720"/>
        <w:jc w:val="both"/>
        <w:rPr>
          <w:sz w:val="22"/>
          <w:szCs w:val="22"/>
          <w:lang w:val="sr-Latn-ME"/>
        </w:rPr>
      </w:pPr>
    </w:p>
    <w:p w14:paraId="1338F7FB" w14:textId="73CD2E34" w:rsidR="00121EFE" w:rsidRPr="00986187" w:rsidRDefault="00121EFE" w:rsidP="00F3153C">
      <w:pPr>
        <w:widowControl w:val="0"/>
        <w:numPr>
          <w:ilvl w:val="0"/>
          <w:numId w:val="13"/>
        </w:numPr>
        <w:tabs>
          <w:tab w:val="left" w:pos="284"/>
        </w:tabs>
        <w:jc w:val="both"/>
        <w:rPr>
          <w:sz w:val="22"/>
          <w:szCs w:val="22"/>
          <w:lang w:val="sr-Latn-ME"/>
        </w:rPr>
      </w:pPr>
      <w:r w:rsidRPr="00986187">
        <w:rPr>
          <w:sz w:val="22"/>
          <w:szCs w:val="22"/>
          <w:lang w:val="sr-Latn-ME"/>
        </w:rPr>
        <w:t>Šema</w:t>
      </w:r>
      <w:r w:rsidR="00385690" w:rsidRPr="00986187">
        <w:rPr>
          <w:sz w:val="22"/>
          <w:szCs w:val="22"/>
          <w:lang w:val="sr-Latn-ME"/>
        </w:rPr>
        <w:t xml:space="preserve"> vakcinacije</w:t>
      </w:r>
      <w:r w:rsidRPr="00986187">
        <w:rPr>
          <w:sz w:val="22"/>
          <w:szCs w:val="22"/>
          <w:lang w:val="sr-Latn-ME"/>
        </w:rPr>
        <w:t xml:space="preserve"> sa primjenom doza vakcine u nultom, prvom i šestom mjesecu daje optimalnu zaštitu u sedmom mjesecu i</w:t>
      </w:r>
      <w:r w:rsidR="00385690" w:rsidRPr="00986187">
        <w:rPr>
          <w:sz w:val="22"/>
          <w:szCs w:val="22"/>
          <w:lang w:val="sr-Latn-ME"/>
        </w:rPr>
        <w:t xml:space="preserve"> dovodi do</w:t>
      </w:r>
      <w:r w:rsidRPr="00986187">
        <w:rPr>
          <w:sz w:val="22"/>
          <w:szCs w:val="22"/>
          <w:lang w:val="sr-Latn-ME"/>
        </w:rPr>
        <w:t xml:space="preserve"> visok</w:t>
      </w:r>
      <w:r w:rsidR="00385690" w:rsidRPr="00986187">
        <w:rPr>
          <w:sz w:val="22"/>
          <w:szCs w:val="22"/>
          <w:lang w:val="sr-Latn-ME"/>
        </w:rPr>
        <w:t xml:space="preserve">e koncentracije </w:t>
      </w:r>
      <w:r w:rsidRPr="00986187">
        <w:rPr>
          <w:sz w:val="22"/>
          <w:szCs w:val="22"/>
          <w:lang w:val="sr-Latn-ME"/>
        </w:rPr>
        <w:t>antitijela.</w:t>
      </w:r>
    </w:p>
    <w:p w14:paraId="0B8E07EB" w14:textId="77777777" w:rsidR="00121EFE" w:rsidRPr="00986187" w:rsidRDefault="00121EFE" w:rsidP="00F3153C">
      <w:pPr>
        <w:widowControl w:val="0"/>
        <w:ind w:left="720"/>
        <w:jc w:val="both"/>
        <w:rPr>
          <w:sz w:val="22"/>
          <w:szCs w:val="22"/>
          <w:lang w:val="sr-Latn-ME"/>
        </w:rPr>
      </w:pPr>
    </w:p>
    <w:p w14:paraId="62D26A88" w14:textId="715F821E" w:rsidR="00121EFE" w:rsidRPr="00986187" w:rsidRDefault="00121EFE" w:rsidP="00F3153C">
      <w:pPr>
        <w:widowControl w:val="0"/>
        <w:numPr>
          <w:ilvl w:val="0"/>
          <w:numId w:val="13"/>
        </w:numPr>
        <w:tabs>
          <w:tab w:val="left" w:pos="284"/>
        </w:tabs>
        <w:jc w:val="both"/>
        <w:rPr>
          <w:sz w:val="22"/>
          <w:szCs w:val="22"/>
          <w:lang w:val="sr-Latn-ME"/>
        </w:rPr>
      </w:pPr>
      <w:r w:rsidRPr="00986187">
        <w:rPr>
          <w:sz w:val="22"/>
          <w:szCs w:val="22"/>
          <w:lang w:val="sr-Latn-ME"/>
        </w:rPr>
        <w:t xml:space="preserve">Ubrzana šema imunizacije sa primjenom vakcine u nultom, prvom i drugom mjesecu obezbjeđuje bržu zaštitu i očekuje se da dovodi do bolje saradnje pacijenta. Kod </w:t>
      </w:r>
      <w:r w:rsidR="00385690" w:rsidRPr="00986187">
        <w:rPr>
          <w:sz w:val="22"/>
          <w:szCs w:val="22"/>
          <w:lang w:val="sr-Latn-ME"/>
        </w:rPr>
        <w:t xml:space="preserve">ove </w:t>
      </w:r>
      <w:r w:rsidRPr="00986187">
        <w:rPr>
          <w:sz w:val="22"/>
          <w:szCs w:val="22"/>
          <w:lang w:val="sr-Latn-ME"/>
        </w:rPr>
        <w:t xml:space="preserve">šeme imunizacije, potrebno je primijeniti četvrtu dozu vakcine u dvanaestom mjesecu, kako bi se osigurala dugotrajna zaštita, s obzirom na to da je koncentracija antitijela poslije primjene treće doze niža nego koncentracija antitijela postignuta nakon primjene vakcine  u nultom, prvom i šestom mjesecu. Kod odojčadi, </w:t>
      </w:r>
      <w:r w:rsidR="00385690" w:rsidRPr="00986187">
        <w:rPr>
          <w:sz w:val="22"/>
          <w:szCs w:val="22"/>
          <w:lang w:val="sr-Latn-ME"/>
        </w:rPr>
        <w:t xml:space="preserve">ova </w:t>
      </w:r>
      <w:r w:rsidRPr="00986187">
        <w:rPr>
          <w:sz w:val="22"/>
          <w:szCs w:val="22"/>
          <w:lang w:val="sr-Latn-ME"/>
        </w:rPr>
        <w:t>šema imunizacije će omogućiti istovremenu primjenu vakcine protiv hepatitisa B sa drugim vakcinama koje se primjenjuju u navedenom uzrastu.</w:t>
      </w:r>
    </w:p>
    <w:p w14:paraId="3D4DCB08" w14:textId="77777777" w:rsidR="00121EFE" w:rsidRPr="00986187" w:rsidRDefault="00121EFE" w:rsidP="00F3153C">
      <w:pPr>
        <w:widowControl w:val="0"/>
        <w:ind w:left="720"/>
        <w:jc w:val="both"/>
        <w:rPr>
          <w:sz w:val="22"/>
          <w:szCs w:val="22"/>
          <w:lang w:val="sr-Latn-ME"/>
        </w:rPr>
      </w:pPr>
    </w:p>
    <w:p w14:paraId="6C72D3C3" w14:textId="77777777" w:rsidR="00121EFE" w:rsidRPr="00986187" w:rsidRDefault="00121EFE" w:rsidP="00F3153C">
      <w:pPr>
        <w:widowControl w:val="0"/>
        <w:numPr>
          <w:ilvl w:val="0"/>
          <w:numId w:val="12"/>
        </w:numPr>
        <w:jc w:val="both"/>
        <w:rPr>
          <w:sz w:val="22"/>
          <w:szCs w:val="22"/>
          <w:lang w:val="sr-Latn-ME"/>
        </w:rPr>
      </w:pPr>
      <w:r w:rsidRPr="00986187">
        <w:rPr>
          <w:sz w:val="22"/>
          <w:szCs w:val="22"/>
          <w:lang w:val="sr-Latn-ME"/>
        </w:rPr>
        <w:t xml:space="preserve">Pacijenti sa </w:t>
      </w:r>
      <w:proofErr w:type="spellStart"/>
      <w:r w:rsidRPr="00986187">
        <w:rPr>
          <w:sz w:val="22"/>
          <w:szCs w:val="22"/>
          <w:lang w:val="sr-Latn-ME"/>
        </w:rPr>
        <w:t>renalnom</w:t>
      </w:r>
      <w:proofErr w:type="spellEnd"/>
      <w:r w:rsidRPr="00986187">
        <w:rPr>
          <w:sz w:val="22"/>
          <w:szCs w:val="22"/>
          <w:lang w:val="sr-Latn-ME"/>
        </w:rPr>
        <w:t xml:space="preserve"> </w:t>
      </w:r>
      <w:proofErr w:type="spellStart"/>
      <w:r w:rsidRPr="00986187">
        <w:rPr>
          <w:sz w:val="22"/>
          <w:szCs w:val="22"/>
          <w:lang w:val="sr-Latn-ME"/>
        </w:rPr>
        <w:t>insuficijencijom</w:t>
      </w:r>
      <w:proofErr w:type="spellEnd"/>
      <w:r w:rsidRPr="00986187">
        <w:rPr>
          <w:sz w:val="22"/>
          <w:szCs w:val="22"/>
          <w:lang w:val="sr-Latn-ME"/>
        </w:rPr>
        <w:t xml:space="preserve">, uključujući pacijente koji su na </w:t>
      </w:r>
      <w:proofErr w:type="spellStart"/>
      <w:r w:rsidRPr="00986187">
        <w:rPr>
          <w:sz w:val="22"/>
          <w:szCs w:val="22"/>
          <w:lang w:val="sr-Latn-ME"/>
        </w:rPr>
        <w:t>hemodijalizi</w:t>
      </w:r>
      <w:proofErr w:type="spellEnd"/>
      <w:r w:rsidRPr="00986187">
        <w:rPr>
          <w:sz w:val="22"/>
          <w:szCs w:val="22"/>
          <w:lang w:val="sr-Latn-ME"/>
        </w:rPr>
        <w:t>:</w:t>
      </w:r>
    </w:p>
    <w:p w14:paraId="0C32C239" w14:textId="77777777" w:rsidR="00121EFE" w:rsidRPr="00986187" w:rsidRDefault="00121EFE" w:rsidP="00F3153C">
      <w:pPr>
        <w:widowControl w:val="0"/>
        <w:jc w:val="both"/>
        <w:rPr>
          <w:sz w:val="22"/>
          <w:szCs w:val="22"/>
          <w:lang w:val="sr-Latn-ME"/>
        </w:rPr>
      </w:pPr>
    </w:p>
    <w:p w14:paraId="1251CB38" w14:textId="3500D073" w:rsidR="00121EFE" w:rsidRPr="00986187" w:rsidRDefault="00121EFE" w:rsidP="00F3153C">
      <w:pPr>
        <w:widowControl w:val="0"/>
        <w:jc w:val="both"/>
        <w:rPr>
          <w:sz w:val="22"/>
          <w:szCs w:val="22"/>
          <w:lang w:val="sr-Latn-ME"/>
        </w:rPr>
      </w:pPr>
      <w:r w:rsidRPr="00986187">
        <w:rPr>
          <w:sz w:val="22"/>
          <w:szCs w:val="22"/>
          <w:lang w:val="sr-Latn-ME"/>
        </w:rPr>
        <w:t xml:space="preserve">Prilikom primjene hepatitis B vakcine, kod pacijenata sa </w:t>
      </w:r>
      <w:proofErr w:type="spellStart"/>
      <w:r w:rsidRPr="00986187">
        <w:rPr>
          <w:sz w:val="22"/>
          <w:szCs w:val="22"/>
          <w:lang w:val="sr-Latn-ME"/>
        </w:rPr>
        <w:t>renalnom</w:t>
      </w:r>
      <w:proofErr w:type="spellEnd"/>
      <w:r w:rsidRPr="00986187">
        <w:rPr>
          <w:sz w:val="22"/>
          <w:szCs w:val="22"/>
          <w:lang w:val="sr-Latn-ME"/>
        </w:rPr>
        <w:t xml:space="preserve"> </w:t>
      </w:r>
      <w:proofErr w:type="spellStart"/>
      <w:r w:rsidRPr="00986187">
        <w:rPr>
          <w:sz w:val="22"/>
          <w:szCs w:val="22"/>
          <w:lang w:val="sr-Latn-ME"/>
        </w:rPr>
        <w:t>insuficijencijom</w:t>
      </w:r>
      <w:proofErr w:type="spellEnd"/>
      <w:r w:rsidRPr="00986187">
        <w:rPr>
          <w:sz w:val="22"/>
          <w:szCs w:val="22"/>
          <w:lang w:val="sr-Latn-ME"/>
        </w:rPr>
        <w:t xml:space="preserve">, uključujući pacijente koji su na </w:t>
      </w:r>
      <w:proofErr w:type="spellStart"/>
      <w:r w:rsidRPr="00986187">
        <w:rPr>
          <w:sz w:val="22"/>
          <w:szCs w:val="22"/>
          <w:lang w:val="sr-Latn-ME"/>
        </w:rPr>
        <w:t>hemodijalizi</w:t>
      </w:r>
      <w:proofErr w:type="spellEnd"/>
      <w:r w:rsidRPr="00986187">
        <w:rPr>
          <w:sz w:val="22"/>
          <w:szCs w:val="22"/>
          <w:lang w:val="sr-Latn-ME"/>
        </w:rPr>
        <w:t xml:space="preserve">, doći će do smanjenog imunog odgovora. Kod navedene grupe pacijenata može se primijeniti ili 0, 1, 2, 12 ili 0, 1, 6 šema imunizacije primjenom vakcine </w:t>
      </w:r>
      <w:r w:rsidR="00786033" w:rsidRPr="00986187">
        <w:rPr>
          <w:sz w:val="22"/>
          <w:szCs w:val="22"/>
          <w:lang w:val="sr-Latn-ME"/>
        </w:rPr>
        <w:t>ENGERIX</w:t>
      </w:r>
      <w:r w:rsidRPr="00986187">
        <w:rPr>
          <w:sz w:val="22"/>
          <w:szCs w:val="22"/>
          <w:vertAlign w:val="superscript"/>
          <w:lang w:val="sr-Latn-ME"/>
        </w:rPr>
        <w:t xml:space="preserve"> </w:t>
      </w:r>
      <w:r w:rsidRPr="00986187">
        <w:rPr>
          <w:sz w:val="22"/>
          <w:szCs w:val="22"/>
          <w:lang w:val="sr-Latn-ME"/>
        </w:rPr>
        <w:t xml:space="preserve">B u dozi od 10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w:t>
      </w:r>
      <w:r w:rsidR="00DF0D23" w:rsidRPr="00986187">
        <w:rPr>
          <w:sz w:val="22"/>
          <w:szCs w:val="22"/>
          <w:lang w:val="sr-Latn-ME"/>
        </w:rPr>
        <w:t xml:space="preserve">0.5 </w:t>
      </w:r>
      <w:r w:rsidRPr="00986187">
        <w:rPr>
          <w:sz w:val="22"/>
          <w:szCs w:val="22"/>
          <w:lang w:val="sr-Latn-ME"/>
        </w:rPr>
        <w:t xml:space="preserve">ml. Na osnovu iskustva nakon primjene vakcine kod odraslih osoba, vakcinacija većom dozom </w:t>
      </w:r>
      <w:proofErr w:type="spellStart"/>
      <w:r w:rsidRPr="00986187">
        <w:rPr>
          <w:sz w:val="22"/>
          <w:szCs w:val="22"/>
          <w:lang w:val="sr-Latn-ME"/>
        </w:rPr>
        <w:t>antigena</w:t>
      </w:r>
      <w:proofErr w:type="spellEnd"/>
      <w:r w:rsidRPr="00986187">
        <w:rPr>
          <w:sz w:val="22"/>
          <w:szCs w:val="22"/>
          <w:lang w:val="sr-Latn-ME"/>
        </w:rPr>
        <w:t xml:space="preserve"> može dovesti do pojačanog imunog odgovora. Potrebno je razmotriti </w:t>
      </w:r>
      <w:proofErr w:type="spellStart"/>
      <w:r w:rsidRPr="00986187">
        <w:rPr>
          <w:sz w:val="22"/>
          <w:szCs w:val="22"/>
          <w:lang w:val="sr-Latn-ME"/>
        </w:rPr>
        <w:t>serološko</w:t>
      </w:r>
      <w:proofErr w:type="spellEnd"/>
      <w:r w:rsidRPr="00986187">
        <w:rPr>
          <w:sz w:val="22"/>
          <w:szCs w:val="22"/>
          <w:lang w:val="sr-Latn-ME"/>
        </w:rPr>
        <w:t xml:space="preserve"> testiranje nakon vakcinacije. Primjena dodatne doze vakcine može biti neophodna kako bi se osigurao zaštitni anti-</w:t>
      </w:r>
      <w:proofErr w:type="spellStart"/>
      <w:r w:rsidRPr="00986187">
        <w:rPr>
          <w:sz w:val="22"/>
          <w:szCs w:val="22"/>
          <w:lang w:val="sr-Latn-ME"/>
        </w:rPr>
        <w:t>HBs</w:t>
      </w:r>
      <w:proofErr w:type="spellEnd"/>
      <w:r w:rsidRPr="00986187">
        <w:rPr>
          <w:sz w:val="22"/>
          <w:szCs w:val="22"/>
          <w:lang w:val="sr-Latn-ME"/>
        </w:rPr>
        <w:t xml:space="preserve"> nivo </w:t>
      </w:r>
      <w:r w:rsidR="00735461" w:rsidRPr="00986187">
        <w:rPr>
          <w:sz w:val="22"/>
          <w:szCs w:val="22"/>
          <w:lang w:val="sr-Latn-ME"/>
        </w:rPr>
        <w:t>≥</w:t>
      </w:r>
      <w:r w:rsidRPr="00986187">
        <w:rPr>
          <w:sz w:val="22"/>
          <w:szCs w:val="22"/>
          <w:lang w:val="sr-Latn-ME"/>
        </w:rPr>
        <w:t xml:space="preserve"> 10 </w:t>
      </w:r>
      <w:proofErr w:type="spellStart"/>
      <w:r w:rsidR="00013266" w:rsidRPr="00986187">
        <w:rPr>
          <w:sz w:val="22"/>
          <w:szCs w:val="22"/>
          <w:lang w:val="sr-Latn-ME"/>
        </w:rPr>
        <w:t>m</w:t>
      </w:r>
      <w:r w:rsidRPr="00986187">
        <w:rPr>
          <w:sz w:val="22"/>
          <w:szCs w:val="22"/>
          <w:lang w:val="sr-Latn-ME"/>
        </w:rPr>
        <w:t>IJ</w:t>
      </w:r>
      <w:proofErr w:type="spellEnd"/>
      <w:r w:rsidRPr="00986187">
        <w:rPr>
          <w:sz w:val="22"/>
          <w:szCs w:val="22"/>
          <w:lang w:val="sr-Latn-ME"/>
        </w:rPr>
        <w:t>/</w:t>
      </w:r>
      <w:r w:rsidR="00013266" w:rsidRPr="00986187">
        <w:rPr>
          <w:sz w:val="22"/>
          <w:szCs w:val="22"/>
          <w:lang w:val="sr-Latn-ME"/>
        </w:rPr>
        <w:t>m</w:t>
      </w:r>
      <w:r w:rsidRPr="00986187">
        <w:rPr>
          <w:sz w:val="22"/>
          <w:szCs w:val="22"/>
          <w:lang w:val="sr-Latn-ME"/>
        </w:rPr>
        <w:t>l.</w:t>
      </w:r>
    </w:p>
    <w:p w14:paraId="66EDD3E5" w14:textId="77777777" w:rsidR="00121EFE" w:rsidRPr="00986187" w:rsidRDefault="00121EFE" w:rsidP="00F3153C">
      <w:pPr>
        <w:widowControl w:val="0"/>
        <w:jc w:val="both"/>
        <w:rPr>
          <w:sz w:val="22"/>
          <w:szCs w:val="22"/>
          <w:lang w:val="sr-Latn-ME"/>
        </w:rPr>
      </w:pPr>
    </w:p>
    <w:p w14:paraId="4CE6ED01" w14:textId="77777777" w:rsidR="00121EFE" w:rsidRPr="00986187" w:rsidRDefault="00121EFE" w:rsidP="00F3153C">
      <w:pPr>
        <w:widowControl w:val="0"/>
        <w:numPr>
          <w:ilvl w:val="0"/>
          <w:numId w:val="12"/>
        </w:numPr>
        <w:jc w:val="both"/>
        <w:rPr>
          <w:sz w:val="22"/>
          <w:szCs w:val="22"/>
          <w:lang w:val="sr-Latn-ME"/>
        </w:rPr>
      </w:pPr>
      <w:r w:rsidRPr="00986187">
        <w:rPr>
          <w:sz w:val="22"/>
          <w:szCs w:val="22"/>
          <w:lang w:val="sr-Latn-ME"/>
        </w:rPr>
        <w:t>Poznata ili pretpostavljena ekspozicija HBV:</w:t>
      </w:r>
    </w:p>
    <w:p w14:paraId="521F2005" w14:textId="77777777" w:rsidR="00121EFE" w:rsidRPr="00986187" w:rsidRDefault="00121EFE" w:rsidP="00F3153C">
      <w:pPr>
        <w:widowControl w:val="0"/>
        <w:jc w:val="both"/>
        <w:rPr>
          <w:sz w:val="22"/>
          <w:szCs w:val="22"/>
          <w:lang w:val="sr-Latn-ME"/>
        </w:rPr>
      </w:pPr>
    </w:p>
    <w:p w14:paraId="0F1C45CC" w14:textId="1A30CA52" w:rsidR="00121EFE" w:rsidRPr="00986187" w:rsidRDefault="00121EFE" w:rsidP="00F3153C">
      <w:pPr>
        <w:widowControl w:val="0"/>
        <w:jc w:val="both"/>
        <w:rPr>
          <w:sz w:val="22"/>
          <w:szCs w:val="22"/>
          <w:lang w:val="sr-Latn-ME"/>
        </w:rPr>
      </w:pPr>
      <w:r w:rsidRPr="00986187">
        <w:rPr>
          <w:sz w:val="22"/>
          <w:szCs w:val="22"/>
          <w:lang w:val="sr-Latn-ME"/>
        </w:rPr>
        <w:t xml:space="preserve">U situacijama u kojima je  nedavno došlo do izloženosti HBV (na primjer, ubod kontaminiranom iglom) prva doza vakcine </w:t>
      </w:r>
      <w:r w:rsidR="00786033" w:rsidRPr="00986187">
        <w:rPr>
          <w:bCs/>
          <w:sz w:val="22"/>
          <w:szCs w:val="22"/>
          <w:lang w:val="sr-Latn-ME"/>
        </w:rPr>
        <w:t>ENGERIX</w:t>
      </w:r>
      <w:r w:rsidRPr="00986187">
        <w:rPr>
          <w:sz w:val="22"/>
          <w:szCs w:val="22"/>
          <w:lang w:val="sr-Latn-ME"/>
        </w:rPr>
        <w:t xml:space="preserve"> B za djecu može se primijeniti istovremeno sa primjenom </w:t>
      </w:r>
      <w:r w:rsidRPr="00986187">
        <w:rPr>
          <w:color w:val="000000"/>
          <w:sz w:val="22"/>
          <w:szCs w:val="22"/>
          <w:lang w:val="sr-Latn-ME"/>
        </w:rPr>
        <w:t xml:space="preserve">hepatitis B </w:t>
      </w:r>
      <w:proofErr w:type="spellStart"/>
      <w:r w:rsidRPr="00986187">
        <w:rPr>
          <w:color w:val="000000"/>
          <w:sz w:val="22"/>
          <w:szCs w:val="22"/>
          <w:lang w:val="sr-Latn-ME"/>
        </w:rPr>
        <w:t>imunoglobulina</w:t>
      </w:r>
      <w:proofErr w:type="spellEnd"/>
      <w:r w:rsidRPr="00986187">
        <w:rPr>
          <w:color w:val="000000"/>
          <w:sz w:val="22"/>
          <w:szCs w:val="22"/>
          <w:lang w:val="sr-Latn-ME"/>
        </w:rPr>
        <w:t xml:space="preserve"> (</w:t>
      </w:r>
      <w:proofErr w:type="spellStart"/>
      <w:r w:rsidRPr="00986187">
        <w:rPr>
          <w:sz w:val="22"/>
          <w:szCs w:val="22"/>
          <w:lang w:val="sr-Latn-ME"/>
        </w:rPr>
        <w:t>HBIg</w:t>
      </w:r>
      <w:proofErr w:type="spellEnd"/>
      <w:r w:rsidRPr="00986187">
        <w:rPr>
          <w:sz w:val="22"/>
          <w:szCs w:val="22"/>
          <w:lang w:val="sr-Latn-ME"/>
        </w:rPr>
        <w:t xml:space="preserve">) </w:t>
      </w:r>
      <w:r w:rsidR="00385690" w:rsidRPr="00986187">
        <w:rPr>
          <w:color w:val="000000"/>
          <w:sz w:val="22"/>
          <w:szCs w:val="22"/>
          <w:lang w:val="sr-Latn-ME"/>
        </w:rPr>
        <w:t xml:space="preserve">na </w:t>
      </w:r>
      <w:r w:rsidRPr="00986187">
        <w:rPr>
          <w:color w:val="000000"/>
          <w:sz w:val="22"/>
          <w:szCs w:val="22"/>
          <w:lang w:val="sr-Latn-ME"/>
        </w:rPr>
        <w:t>posebno</w:t>
      </w:r>
      <w:r w:rsidR="00385690" w:rsidRPr="00986187">
        <w:rPr>
          <w:color w:val="000000"/>
          <w:sz w:val="22"/>
          <w:szCs w:val="22"/>
          <w:lang w:val="sr-Latn-ME"/>
        </w:rPr>
        <w:t>m</w:t>
      </w:r>
      <w:r w:rsidRPr="00986187">
        <w:rPr>
          <w:color w:val="000000"/>
          <w:sz w:val="22"/>
          <w:szCs w:val="22"/>
          <w:lang w:val="sr-Latn-ME"/>
        </w:rPr>
        <w:t xml:space="preserve"> </w:t>
      </w:r>
      <w:r w:rsidR="00385690" w:rsidRPr="00986187">
        <w:rPr>
          <w:color w:val="000000"/>
          <w:sz w:val="22"/>
          <w:szCs w:val="22"/>
          <w:lang w:val="sr-Latn-ME"/>
        </w:rPr>
        <w:t xml:space="preserve">mjestu </w:t>
      </w:r>
      <w:proofErr w:type="spellStart"/>
      <w:r w:rsidRPr="00986187">
        <w:rPr>
          <w:color w:val="000000"/>
          <w:sz w:val="22"/>
          <w:szCs w:val="22"/>
          <w:lang w:val="sr-Latn-ME"/>
        </w:rPr>
        <w:t>injiciranja</w:t>
      </w:r>
      <w:proofErr w:type="spellEnd"/>
      <w:r w:rsidRPr="00986187">
        <w:rPr>
          <w:sz w:val="22"/>
          <w:szCs w:val="22"/>
          <w:lang w:val="sr-Latn-ME"/>
        </w:rPr>
        <w:t xml:space="preserve"> (vidjeti </w:t>
      </w:r>
      <w:r w:rsidR="00385690" w:rsidRPr="00986187">
        <w:rPr>
          <w:sz w:val="22"/>
          <w:szCs w:val="22"/>
          <w:lang w:val="sr-Latn-ME"/>
        </w:rPr>
        <w:t xml:space="preserve">dio </w:t>
      </w:r>
      <w:r w:rsidRPr="00986187">
        <w:rPr>
          <w:sz w:val="22"/>
          <w:szCs w:val="22"/>
          <w:lang w:val="sr-Latn-ME"/>
        </w:rPr>
        <w:t>4.5). Preporučena šema imunizacije je primjena doze vakcine u nultom, prvom, drugom i dvanaestom mjesecu.</w:t>
      </w:r>
    </w:p>
    <w:p w14:paraId="4AAE5EC1" w14:textId="77777777" w:rsidR="00121EFE" w:rsidRPr="00986187" w:rsidRDefault="00121EFE" w:rsidP="00F3153C">
      <w:pPr>
        <w:widowControl w:val="0"/>
        <w:ind w:left="720"/>
        <w:jc w:val="both"/>
        <w:rPr>
          <w:sz w:val="22"/>
          <w:szCs w:val="22"/>
          <w:lang w:val="sr-Latn-ME"/>
        </w:rPr>
      </w:pPr>
    </w:p>
    <w:p w14:paraId="1E75DC12" w14:textId="77777777" w:rsidR="00121EFE" w:rsidRPr="00986187" w:rsidRDefault="00121EFE" w:rsidP="00F3153C">
      <w:pPr>
        <w:widowControl w:val="0"/>
        <w:numPr>
          <w:ilvl w:val="0"/>
          <w:numId w:val="12"/>
        </w:numPr>
        <w:jc w:val="both"/>
        <w:rPr>
          <w:sz w:val="22"/>
          <w:szCs w:val="22"/>
          <w:lang w:val="sr-Latn-ME"/>
        </w:rPr>
      </w:pPr>
      <w:r w:rsidRPr="00986187">
        <w:rPr>
          <w:sz w:val="22"/>
          <w:szCs w:val="22"/>
          <w:lang w:val="sr-Latn-ME"/>
        </w:rPr>
        <w:t>Novorođenčad majki koje su HBV nosioci:</w:t>
      </w:r>
    </w:p>
    <w:p w14:paraId="2A885CBB" w14:textId="77777777" w:rsidR="00121EFE" w:rsidRPr="00986187" w:rsidRDefault="00121EFE" w:rsidP="00F3153C">
      <w:pPr>
        <w:widowControl w:val="0"/>
        <w:jc w:val="both"/>
        <w:rPr>
          <w:sz w:val="22"/>
          <w:szCs w:val="22"/>
          <w:lang w:val="sr-Latn-ME"/>
        </w:rPr>
      </w:pPr>
    </w:p>
    <w:p w14:paraId="4C5A42A2" w14:textId="234EB8B0" w:rsidR="00121EFE" w:rsidRPr="00986187" w:rsidRDefault="00121EFE" w:rsidP="00F3153C">
      <w:pPr>
        <w:widowControl w:val="0"/>
        <w:jc w:val="both"/>
        <w:rPr>
          <w:color w:val="FF0000"/>
          <w:sz w:val="22"/>
          <w:szCs w:val="22"/>
          <w:lang w:val="sr-Latn-ME"/>
        </w:rPr>
      </w:pPr>
      <w:r w:rsidRPr="00986187">
        <w:rPr>
          <w:sz w:val="22"/>
          <w:szCs w:val="22"/>
          <w:lang w:val="sr-Latn-ME"/>
        </w:rPr>
        <w:t xml:space="preserve">Imunizacija </w:t>
      </w:r>
      <w:r w:rsidR="00385690" w:rsidRPr="00986187">
        <w:rPr>
          <w:sz w:val="22"/>
          <w:szCs w:val="22"/>
          <w:lang w:val="sr-Latn-ME"/>
        </w:rPr>
        <w:t xml:space="preserve">ove </w:t>
      </w:r>
      <w:r w:rsidRPr="00986187">
        <w:rPr>
          <w:sz w:val="22"/>
          <w:szCs w:val="22"/>
          <w:lang w:val="sr-Latn-ME"/>
        </w:rPr>
        <w:t xml:space="preserve">novorođenčadi </w:t>
      </w:r>
      <w:r w:rsidR="00385690" w:rsidRPr="00986187">
        <w:rPr>
          <w:sz w:val="22"/>
          <w:szCs w:val="22"/>
          <w:lang w:val="sr-Latn-ME"/>
        </w:rPr>
        <w:t xml:space="preserve">vakcinom </w:t>
      </w:r>
      <w:r w:rsidR="00786033" w:rsidRPr="00986187">
        <w:rPr>
          <w:bCs/>
          <w:sz w:val="22"/>
          <w:szCs w:val="22"/>
          <w:lang w:val="sr-Latn-ME"/>
        </w:rPr>
        <w:t>ENGERIX</w:t>
      </w:r>
      <w:r w:rsidRPr="00986187">
        <w:rPr>
          <w:sz w:val="22"/>
          <w:szCs w:val="22"/>
          <w:lang w:val="sr-Latn-ME"/>
        </w:rPr>
        <w:t xml:space="preserve"> B za djecu u dozi od 10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w:t>
      </w:r>
      <w:r w:rsidR="00DF0D23" w:rsidRPr="00986187">
        <w:rPr>
          <w:sz w:val="22"/>
          <w:szCs w:val="22"/>
          <w:lang w:val="sr-Latn-ME"/>
        </w:rPr>
        <w:t xml:space="preserve">0.5 </w:t>
      </w:r>
      <w:r w:rsidRPr="00986187">
        <w:rPr>
          <w:sz w:val="22"/>
          <w:szCs w:val="22"/>
          <w:lang w:val="sr-Latn-ME"/>
        </w:rPr>
        <w:t>ml treba da započne po rođenju i može se koristiti bilo koja od sljedeće dvije šeme imunizacije: u nultom, prvom, drugom i dvanaestom mjesecu, ili u nultom, prvom i šestom mjesecu. Ipak, prva</w:t>
      </w:r>
      <w:r w:rsidRPr="00986187">
        <w:rPr>
          <w:color w:val="FF0000"/>
          <w:sz w:val="22"/>
          <w:szCs w:val="22"/>
          <w:lang w:val="sr-Latn-ME"/>
        </w:rPr>
        <w:t xml:space="preserve"> </w:t>
      </w:r>
      <w:r w:rsidRPr="00986187">
        <w:rPr>
          <w:sz w:val="22"/>
          <w:szCs w:val="22"/>
          <w:lang w:val="sr-Latn-ME"/>
        </w:rPr>
        <w:t xml:space="preserve">šema imunizacije obezbjeđuje mnogo brži imuni odgovor. </w:t>
      </w:r>
      <w:r w:rsidRPr="00986187">
        <w:rPr>
          <w:color w:val="000000"/>
          <w:sz w:val="22"/>
          <w:szCs w:val="22"/>
          <w:lang w:val="sr-Latn-ME"/>
        </w:rPr>
        <w:t xml:space="preserve">Ukoliko je moguće, istovremeno sa </w:t>
      </w:r>
      <w:r w:rsidR="00385690" w:rsidRPr="00986187">
        <w:rPr>
          <w:color w:val="000000"/>
          <w:sz w:val="22"/>
          <w:szCs w:val="22"/>
          <w:lang w:val="sr-Latn-ME"/>
        </w:rPr>
        <w:t xml:space="preserve">vakcinom </w:t>
      </w:r>
      <w:r w:rsidR="00786033" w:rsidRPr="00986187">
        <w:rPr>
          <w:bCs/>
          <w:sz w:val="22"/>
          <w:szCs w:val="22"/>
          <w:lang w:val="sr-Latn-ME"/>
        </w:rPr>
        <w:t>ENGERIX</w:t>
      </w:r>
      <w:r w:rsidRPr="00986187">
        <w:rPr>
          <w:sz w:val="22"/>
          <w:szCs w:val="22"/>
          <w:lang w:val="sr-Latn-ME"/>
        </w:rPr>
        <w:t xml:space="preserve"> B za djecu </w:t>
      </w:r>
      <w:r w:rsidRPr="00986187">
        <w:rPr>
          <w:color w:val="000000"/>
          <w:sz w:val="22"/>
          <w:szCs w:val="22"/>
          <w:lang w:val="sr-Latn-ME"/>
        </w:rPr>
        <w:t>potrebno je primijeniti</w:t>
      </w:r>
      <w:r w:rsidRPr="00986187">
        <w:rPr>
          <w:color w:val="FF0000"/>
          <w:sz w:val="22"/>
          <w:szCs w:val="22"/>
          <w:lang w:val="sr-Latn-ME"/>
        </w:rPr>
        <w:t xml:space="preserve"> </w:t>
      </w:r>
      <w:r w:rsidRPr="00986187">
        <w:rPr>
          <w:color w:val="000000"/>
          <w:sz w:val="22"/>
          <w:szCs w:val="22"/>
          <w:lang w:val="sr-Latn-ME"/>
        </w:rPr>
        <w:t xml:space="preserve">hepatitis B </w:t>
      </w:r>
      <w:proofErr w:type="spellStart"/>
      <w:r w:rsidRPr="00986187">
        <w:rPr>
          <w:color w:val="000000"/>
          <w:sz w:val="22"/>
          <w:szCs w:val="22"/>
          <w:lang w:val="sr-Latn-ME"/>
        </w:rPr>
        <w:t>imunoglobuline</w:t>
      </w:r>
      <w:proofErr w:type="spellEnd"/>
      <w:r w:rsidRPr="00986187">
        <w:rPr>
          <w:color w:val="000000"/>
          <w:sz w:val="22"/>
          <w:szCs w:val="22"/>
          <w:lang w:val="sr-Latn-ME"/>
        </w:rPr>
        <w:t xml:space="preserve"> (</w:t>
      </w:r>
      <w:proofErr w:type="spellStart"/>
      <w:r w:rsidRPr="00986187">
        <w:rPr>
          <w:color w:val="000000"/>
          <w:sz w:val="22"/>
          <w:szCs w:val="22"/>
          <w:lang w:val="sr-Latn-ME"/>
        </w:rPr>
        <w:t>HBIg</w:t>
      </w:r>
      <w:proofErr w:type="spellEnd"/>
      <w:r w:rsidRPr="00986187">
        <w:rPr>
          <w:color w:val="000000"/>
          <w:sz w:val="22"/>
          <w:szCs w:val="22"/>
          <w:lang w:val="sr-Latn-ME"/>
        </w:rPr>
        <w:t xml:space="preserve">) </w:t>
      </w:r>
      <w:r w:rsidR="00385690" w:rsidRPr="00986187">
        <w:rPr>
          <w:color w:val="000000"/>
          <w:sz w:val="22"/>
          <w:szCs w:val="22"/>
          <w:lang w:val="sr-Latn-ME"/>
        </w:rPr>
        <w:t xml:space="preserve">na </w:t>
      </w:r>
      <w:r w:rsidRPr="00986187">
        <w:rPr>
          <w:color w:val="000000"/>
          <w:sz w:val="22"/>
          <w:szCs w:val="22"/>
          <w:lang w:val="sr-Latn-ME"/>
        </w:rPr>
        <w:t>posebno</w:t>
      </w:r>
      <w:r w:rsidR="00385690" w:rsidRPr="00986187">
        <w:rPr>
          <w:color w:val="000000"/>
          <w:sz w:val="22"/>
          <w:szCs w:val="22"/>
          <w:lang w:val="sr-Latn-ME"/>
        </w:rPr>
        <w:t>m</w:t>
      </w:r>
      <w:r w:rsidRPr="00986187">
        <w:rPr>
          <w:color w:val="000000"/>
          <w:sz w:val="22"/>
          <w:szCs w:val="22"/>
          <w:lang w:val="sr-Latn-ME"/>
        </w:rPr>
        <w:t xml:space="preserve"> </w:t>
      </w:r>
      <w:r w:rsidR="00385690" w:rsidRPr="00986187">
        <w:rPr>
          <w:color w:val="000000"/>
          <w:sz w:val="22"/>
          <w:szCs w:val="22"/>
          <w:lang w:val="sr-Latn-ME"/>
        </w:rPr>
        <w:t xml:space="preserve">mjestu </w:t>
      </w:r>
      <w:proofErr w:type="spellStart"/>
      <w:r w:rsidRPr="00986187">
        <w:rPr>
          <w:color w:val="000000"/>
          <w:sz w:val="22"/>
          <w:szCs w:val="22"/>
          <w:lang w:val="sr-Latn-ME"/>
        </w:rPr>
        <w:t>injiciranja</w:t>
      </w:r>
      <w:proofErr w:type="spellEnd"/>
      <w:r w:rsidRPr="00986187">
        <w:rPr>
          <w:color w:val="000000"/>
          <w:sz w:val="22"/>
          <w:szCs w:val="22"/>
          <w:lang w:val="sr-Latn-ME"/>
        </w:rPr>
        <w:t>, budući da se tako povećava zaštitni efekat.</w:t>
      </w:r>
    </w:p>
    <w:p w14:paraId="3DBB0C61" w14:textId="77777777" w:rsidR="00121EFE" w:rsidRPr="00986187" w:rsidRDefault="00121EFE" w:rsidP="00F3153C">
      <w:pPr>
        <w:widowControl w:val="0"/>
        <w:jc w:val="both"/>
        <w:rPr>
          <w:sz w:val="22"/>
          <w:szCs w:val="22"/>
          <w:lang w:val="sr-Latn-ME"/>
        </w:rPr>
      </w:pPr>
    </w:p>
    <w:p w14:paraId="4BD6C2AC" w14:textId="77777777" w:rsidR="00121EFE" w:rsidRPr="00986187" w:rsidRDefault="00121EFE" w:rsidP="00F3153C">
      <w:pPr>
        <w:widowControl w:val="0"/>
        <w:jc w:val="both"/>
        <w:rPr>
          <w:sz w:val="22"/>
          <w:szCs w:val="22"/>
          <w:lang w:val="sr-Latn-ME"/>
        </w:rPr>
      </w:pPr>
      <w:r w:rsidRPr="00986187">
        <w:rPr>
          <w:sz w:val="22"/>
          <w:szCs w:val="22"/>
          <w:lang w:val="sr-Latn-ME"/>
        </w:rPr>
        <w:t xml:space="preserve">Navedene šeme imunizacije mogu se prilagoditi tako da odgovaraju zvaničnim preporukama primjene ostalih vakcina u navedenom uzrastu. </w:t>
      </w:r>
    </w:p>
    <w:p w14:paraId="08F72DBC" w14:textId="77777777" w:rsidR="00121EFE" w:rsidRPr="00986187" w:rsidRDefault="00121EFE" w:rsidP="00F3153C">
      <w:pPr>
        <w:widowControl w:val="0"/>
        <w:jc w:val="both"/>
        <w:rPr>
          <w:sz w:val="22"/>
          <w:szCs w:val="22"/>
          <w:lang w:val="sr-Latn-ME"/>
        </w:rPr>
      </w:pPr>
    </w:p>
    <w:p w14:paraId="0DA23255" w14:textId="77777777" w:rsidR="00121EFE" w:rsidRPr="00986187" w:rsidRDefault="00121EFE" w:rsidP="00F3153C">
      <w:pPr>
        <w:widowControl w:val="0"/>
        <w:jc w:val="both"/>
        <w:rPr>
          <w:sz w:val="22"/>
          <w:szCs w:val="22"/>
          <w:lang w:val="sr-Latn-ME"/>
        </w:rPr>
      </w:pPr>
      <w:proofErr w:type="spellStart"/>
      <w:r w:rsidRPr="00986187">
        <w:rPr>
          <w:sz w:val="22"/>
          <w:szCs w:val="22"/>
          <w:u w:val="single"/>
          <w:lang w:val="sr-Latn-ME"/>
        </w:rPr>
        <w:t>Buster</w:t>
      </w:r>
      <w:proofErr w:type="spellEnd"/>
      <w:r w:rsidRPr="00986187">
        <w:rPr>
          <w:sz w:val="22"/>
          <w:szCs w:val="22"/>
          <w:u w:val="single"/>
          <w:lang w:val="sr-Latn-ME"/>
        </w:rPr>
        <w:t xml:space="preserve"> doze</w:t>
      </w:r>
    </w:p>
    <w:p w14:paraId="2271A0BA" w14:textId="77777777" w:rsidR="00121EFE" w:rsidRPr="00986187" w:rsidRDefault="00121EFE" w:rsidP="00F3153C">
      <w:pPr>
        <w:widowControl w:val="0"/>
        <w:ind w:left="720"/>
        <w:jc w:val="both"/>
        <w:rPr>
          <w:sz w:val="22"/>
          <w:szCs w:val="22"/>
          <w:lang w:val="sr-Latn-ME"/>
        </w:rPr>
      </w:pPr>
    </w:p>
    <w:p w14:paraId="7C2FBBBC" w14:textId="59EE58E8" w:rsidR="00121EFE" w:rsidRPr="00986187" w:rsidRDefault="00121EFE" w:rsidP="00F3153C">
      <w:pPr>
        <w:widowControl w:val="0"/>
        <w:jc w:val="both"/>
        <w:rPr>
          <w:sz w:val="22"/>
          <w:szCs w:val="22"/>
          <w:lang w:val="sr-Latn-ME"/>
        </w:rPr>
      </w:pPr>
      <w:r w:rsidRPr="00986187">
        <w:rPr>
          <w:sz w:val="22"/>
          <w:szCs w:val="22"/>
          <w:lang w:val="sr-Latn-ME"/>
        </w:rPr>
        <w:t xml:space="preserve">Na osnovu postojećih podataka, ne nalaže se potreba za primjenom </w:t>
      </w:r>
      <w:proofErr w:type="spellStart"/>
      <w:r w:rsidRPr="00986187">
        <w:rPr>
          <w:sz w:val="22"/>
          <w:szCs w:val="22"/>
          <w:lang w:val="sr-Latn-ME"/>
        </w:rPr>
        <w:t>buster</w:t>
      </w:r>
      <w:proofErr w:type="spellEnd"/>
      <w:r w:rsidRPr="00986187">
        <w:rPr>
          <w:sz w:val="22"/>
          <w:szCs w:val="22"/>
          <w:lang w:val="sr-Latn-ME"/>
        </w:rPr>
        <w:t xml:space="preserve"> doze kod </w:t>
      </w:r>
      <w:proofErr w:type="spellStart"/>
      <w:r w:rsidRPr="00986187">
        <w:rPr>
          <w:sz w:val="22"/>
          <w:szCs w:val="22"/>
          <w:lang w:val="sr-Latn-ME"/>
        </w:rPr>
        <w:t>imunokompetentnih</w:t>
      </w:r>
      <w:proofErr w:type="spellEnd"/>
      <w:r w:rsidRPr="00986187">
        <w:rPr>
          <w:sz w:val="22"/>
          <w:szCs w:val="22"/>
          <w:lang w:val="sr-Latn-ME"/>
        </w:rPr>
        <w:t xml:space="preserve"> osoba koje su odgovorile na kompletnu šemu primarne vakcinacije.</w:t>
      </w:r>
    </w:p>
    <w:p w14:paraId="4E421607" w14:textId="27D59FDD" w:rsidR="00121EFE" w:rsidRPr="00986187" w:rsidRDefault="00121EFE" w:rsidP="00F3153C">
      <w:pPr>
        <w:widowControl w:val="0"/>
        <w:jc w:val="both"/>
        <w:rPr>
          <w:sz w:val="22"/>
          <w:szCs w:val="22"/>
          <w:lang w:val="sr-Latn-ME"/>
        </w:rPr>
      </w:pPr>
      <w:r w:rsidRPr="00986187">
        <w:rPr>
          <w:sz w:val="22"/>
          <w:szCs w:val="22"/>
          <w:lang w:val="sr-Latn-ME"/>
        </w:rPr>
        <w:t xml:space="preserve">Međutim, kod </w:t>
      </w:r>
      <w:proofErr w:type="spellStart"/>
      <w:r w:rsidRPr="00986187">
        <w:rPr>
          <w:sz w:val="22"/>
          <w:szCs w:val="22"/>
          <w:lang w:val="sr-Latn-ME"/>
        </w:rPr>
        <w:t>imunokompromitovanih</w:t>
      </w:r>
      <w:proofErr w:type="spellEnd"/>
      <w:r w:rsidRPr="00986187">
        <w:rPr>
          <w:sz w:val="22"/>
          <w:szCs w:val="22"/>
          <w:lang w:val="sr-Latn-ME"/>
        </w:rPr>
        <w:t xml:space="preserve"> osoba (na primjer, osobe sa hroničnom </w:t>
      </w:r>
      <w:proofErr w:type="spellStart"/>
      <w:r w:rsidRPr="00986187">
        <w:rPr>
          <w:sz w:val="22"/>
          <w:szCs w:val="22"/>
          <w:lang w:val="sr-Latn-ME"/>
        </w:rPr>
        <w:t>insuficijencijom</w:t>
      </w:r>
      <w:proofErr w:type="spellEnd"/>
      <w:r w:rsidRPr="00986187">
        <w:rPr>
          <w:sz w:val="22"/>
          <w:szCs w:val="22"/>
          <w:lang w:val="sr-Latn-ME"/>
        </w:rPr>
        <w:t xml:space="preserve"> bubrega, pacijenti na </w:t>
      </w:r>
      <w:proofErr w:type="spellStart"/>
      <w:r w:rsidRPr="00986187">
        <w:rPr>
          <w:sz w:val="22"/>
          <w:szCs w:val="22"/>
          <w:lang w:val="sr-Latn-ME"/>
        </w:rPr>
        <w:t>hemodijalizi</w:t>
      </w:r>
      <w:proofErr w:type="spellEnd"/>
      <w:r w:rsidRPr="00986187">
        <w:rPr>
          <w:sz w:val="22"/>
          <w:szCs w:val="22"/>
          <w:lang w:val="sr-Latn-ME"/>
        </w:rPr>
        <w:t xml:space="preserve">, HIV pozitivne osobe), potrebno je primijeniti </w:t>
      </w:r>
      <w:proofErr w:type="spellStart"/>
      <w:r w:rsidRPr="00986187">
        <w:rPr>
          <w:sz w:val="22"/>
          <w:szCs w:val="22"/>
          <w:lang w:val="sr-Latn-ME"/>
        </w:rPr>
        <w:t>buster</w:t>
      </w:r>
      <w:proofErr w:type="spellEnd"/>
      <w:r w:rsidRPr="00986187">
        <w:rPr>
          <w:sz w:val="22"/>
          <w:szCs w:val="22"/>
          <w:lang w:val="sr-Latn-ME"/>
        </w:rPr>
        <w:t xml:space="preserve"> dozu kako bi se održala koncentracija anti-</w:t>
      </w:r>
      <w:proofErr w:type="spellStart"/>
      <w:r w:rsidRPr="00986187">
        <w:rPr>
          <w:sz w:val="22"/>
          <w:szCs w:val="22"/>
          <w:lang w:val="sr-Latn-ME"/>
        </w:rPr>
        <w:t>HBs</w:t>
      </w:r>
      <w:proofErr w:type="spellEnd"/>
      <w:r w:rsidRPr="00986187">
        <w:rPr>
          <w:sz w:val="22"/>
          <w:szCs w:val="22"/>
          <w:lang w:val="sr-Latn-ME"/>
        </w:rPr>
        <w:t xml:space="preserve"> antitijela jednaka ili viša od prihvaćenog nivoa zaštite od 10 </w:t>
      </w:r>
      <w:proofErr w:type="spellStart"/>
      <w:r w:rsidR="00013266" w:rsidRPr="00986187">
        <w:rPr>
          <w:sz w:val="22"/>
          <w:szCs w:val="22"/>
          <w:lang w:val="sr-Latn-ME"/>
        </w:rPr>
        <w:t>m</w:t>
      </w:r>
      <w:r w:rsidRPr="00986187">
        <w:rPr>
          <w:sz w:val="22"/>
          <w:szCs w:val="22"/>
          <w:lang w:val="sr-Latn-ME"/>
        </w:rPr>
        <w:t>IJ</w:t>
      </w:r>
      <w:proofErr w:type="spellEnd"/>
      <w:r w:rsidRPr="00986187">
        <w:rPr>
          <w:sz w:val="22"/>
          <w:szCs w:val="22"/>
          <w:lang w:val="sr-Latn-ME"/>
        </w:rPr>
        <w:t>/</w:t>
      </w:r>
      <w:r w:rsidR="00013266" w:rsidRPr="00986187">
        <w:rPr>
          <w:sz w:val="22"/>
          <w:szCs w:val="22"/>
          <w:lang w:val="sr-Latn-ME"/>
        </w:rPr>
        <w:t>ml</w:t>
      </w:r>
      <w:r w:rsidRPr="00986187">
        <w:rPr>
          <w:sz w:val="22"/>
          <w:szCs w:val="22"/>
          <w:lang w:val="sr-Latn-ME"/>
        </w:rPr>
        <w:t xml:space="preserve">. Kod </w:t>
      </w:r>
      <w:proofErr w:type="spellStart"/>
      <w:r w:rsidRPr="00986187">
        <w:rPr>
          <w:sz w:val="22"/>
          <w:szCs w:val="22"/>
          <w:lang w:val="sr-Latn-ME"/>
        </w:rPr>
        <w:t>imunokompromitovanih</w:t>
      </w:r>
      <w:proofErr w:type="spellEnd"/>
      <w:r w:rsidRPr="00986187">
        <w:rPr>
          <w:sz w:val="22"/>
          <w:szCs w:val="22"/>
          <w:lang w:val="sr-Latn-ME"/>
        </w:rPr>
        <w:t xml:space="preserve"> osoba, nakon završetka vakcinacije, preporučuje se testiranje svakih 6 do 12 mjeseci.</w:t>
      </w:r>
    </w:p>
    <w:p w14:paraId="5853F8C3" w14:textId="77777777" w:rsidR="00121EFE" w:rsidRPr="00986187" w:rsidRDefault="00121EFE" w:rsidP="00F3153C">
      <w:pPr>
        <w:widowControl w:val="0"/>
        <w:ind w:left="720"/>
        <w:jc w:val="both"/>
        <w:rPr>
          <w:sz w:val="22"/>
          <w:szCs w:val="22"/>
          <w:lang w:val="sr-Latn-ME"/>
        </w:rPr>
      </w:pPr>
    </w:p>
    <w:p w14:paraId="287B3219" w14:textId="77777777" w:rsidR="00121EFE" w:rsidRPr="00986187" w:rsidRDefault="00121EFE" w:rsidP="00F3153C">
      <w:pPr>
        <w:widowControl w:val="0"/>
        <w:jc w:val="both"/>
        <w:rPr>
          <w:sz w:val="22"/>
          <w:szCs w:val="22"/>
          <w:lang w:val="sr-Latn-ME"/>
        </w:rPr>
      </w:pPr>
      <w:r w:rsidRPr="00986187">
        <w:rPr>
          <w:sz w:val="22"/>
          <w:szCs w:val="22"/>
          <w:lang w:val="sr-Latn-ME"/>
        </w:rPr>
        <w:t xml:space="preserve">Potrebno je uzeti u obzir nacionalne preporuke o primjeni </w:t>
      </w:r>
      <w:proofErr w:type="spellStart"/>
      <w:r w:rsidRPr="00986187">
        <w:rPr>
          <w:sz w:val="22"/>
          <w:szCs w:val="22"/>
          <w:lang w:val="sr-Latn-ME"/>
        </w:rPr>
        <w:t>buster</w:t>
      </w:r>
      <w:proofErr w:type="spellEnd"/>
      <w:r w:rsidRPr="00986187">
        <w:rPr>
          <w:sz w:val="22"/>
          <w:szCs w:val="22"/>
          <w:lang w:val="sr-Latn-ME"/>
        </w:rPr>
        <w:t xml:space="preserve"> doza.</w:t>
      </w:r>
    </w:p>
    <w:p w14:paraId="193DBA15" w14:textId="77777777" w:rsidR="00121EFE" w:rsidRPr="00986187" w:rsidRDefault="00121EFE" w:rsidP="00F3153C">
      <w:pPr>
        <w:widowControl w:val="0"/>
        <w:ind w:left="720"/>
        <w:jc w:val="both"/>
        <w:rPr>
          <w:sz w:val="22"/>
          <w:szCs w:val="22"/>
          <w:lang w:val="sr-Latn-ME"/>
        </w:rPr>
      </w:pPr>
    </w:p>
    <w:p w14:paraId="701878AA" w14:textId="77777777" w:rsidR="00121EFE" w:rsidRPr="00986187" w:rsidRDefault="00121EFE" w:rsidP="00F3153C">
      <w:pPr>
        <w:widowControl w:val="0"/>
        <w:jc w:val="both"/>
        <w:rPr>
          <w:sz w:val="22"/>
          <w:szCs w:val="22"/>
          <w:lang w:val="sr-Latn-ME"/>
        </w:rPr>
      </w:pPr>
      <w:proofErr w:type="spellStart"/>
      <w:r w:rsidRPr="00986187">
        <w:rPr>
          <w:sz w:val="22"/>
          <w:szCs w:val="22"/>
          <w:u w:val="single"/>
          <w:lang w:val="sr-Latn-ME"/>
        </w:rPr>
        <w:t>Zamjenljivost</w:t>
      </w:r>
      <w:proofErr w:type="spellEnd"/>
      <w:r w:rsidRPr="00986187">
        <w:rPr>
          <w:sz w:val="22"/>
          <w:szCs w:val="22"/>
          <w:u w:val="single"/>
          <w:lang w:val="sr-Latn-ME"/>
        </w:rPr>
        <w:t xml:space="preserve"> hepatitis B vakcina</w:t>
      </w:r>
    </w:p>
    <w:p w14:paraId="75DA0512" w14:textId="77777777" w:rsidR="00121EFE" w:rsidRPr="00986187" w:rsidRDefault="00121EFE" w:rsidP="00F3153C">
      <w:pPr>
        <w:widowControl w:val="0"/>
        <w:ind w:left="720"/>
        <w:jc w:val="both"/>
        <w:rPr>
          <w:sz w:val="22"/>
          <w:szCs w:val="22"/>
          <w:lang w:val="sr-Latn-ME"/>
        </w:rPr>
      </w:pPr>
    </w:p>
    <w:p w14:paraId="4801725C" w14:textId="1B72600B" w:rsidR="00121EFE" w:rsidRPr="00986187" w:rsidRDefault="00121EFE" w:rsidP="00F3153C">
      <w:pPr>
        <w:widowControl w:val="0"/>
        <w:jc w:val="both"/>
        <w:rPr>
          <w:sz w:val="22"/>
          <w:szCs w:val="22"/>
          <w:lang w:val="sr-Latn-ME"/>
        </w:rPr>
      </w:pPr>
      <w:r w:rsidRPr="00986187">
        <w:rPr>
          <w:sz w:val="22"/>
          <w:szCs w:val="22"/>
          <w:lang w:val="sr-Latn-ME"/>
        </w:rPr>
        <w:t xml:space="preserve">Vidjeti </w:t>
      </w:r>
      <w:r w:rsidR="00385690" w:rsidRPr="00986187">
        <w:rPr>
          <w:sz w:val="22"/>
          <w:szCs w:val="22"/>
          <w:lang w:val="sr-Latn-ME"/>
        </w:rPr>
        <w:t xml:space="preserve">dio </w:t>
      </w:r>
      <w:r w:rsidRPr="00986187">
        <w:rPr>
          <w:sz w:val="22"/>
          <w:szCs w:val="22"/>
          <w:lang w:val="sr-Latn-ME"/>
        </w:rPr>
        <w:t>4.5. Interakcije sa drugim ljekovima i drug</w:t>
      </w:r>
      <w:r w:rsidR="00C47FF9" w:rsidRPr="00986187">
        <w:rPr>
          <w:sz w:val="22"/>
          <w:szCs w:val="22"/>
          <w:lang w:val="sr-Latn-ME"/>
        </w:rPr>
        <w:t>e vrste</w:t>
      </w:r>
      <w:r w:rsidRPr="00986187">
        <w:rPr>
          <w:sz w:val="22"/>
          <w:szCs w:val="22"/>
          <w:lang w:val="sr-Latn-ME"/>
        </w:rPr>
        <w:t xml:space="preserve"> interakcija.</w:t>
      </w:r>
    </w:p>
    <w:p w14:paraId="7A8CFFC5" w14:textId="77777777" w:rsidR="00121EFE" w:rsidRPr="00986187" w:rsidRDefault="00121EFE" w:rsidP="00F3153C">
      <w:pPr>
        <w:widowControl w:val="0"/>
        <w:ind w:left="720"/>
        <w:jc w:val="both"/>
        <w:rPr>
          <w:sz w:val="22"/>
          <w:szCs w:val="22"/>
          <w:lang w:val="sr-Latn-ME"/>
        </w:rPr>
      </w:pPr>
    </w:p>
    <w:p w14:paraId="0E3D2C4B" w14:textId="77777777" w:rsidR="00121EFE" w:rsidRPr="00986187" w:rsidRDefault="00121EFE" w:rsidP="00F3153C">
      <w:pPr>
        <w:widowControl w:val="0"/>
        <w:jc w:val="both"/>
        <w:rPr>
          <w:bCs/>
          <w:sz w:val="22"/>
          <w:szCs w:val="22"/>
          <w:lang w:val="sr-Latn-ME"/>
        </w:rPr>
      </w:pPr>
      <w:r w:rsidRPr="00986187">
        <w:rPr>
          <w:bCs/>
          <w:sz w:val="22"/>
          <w:szCs w:val="22"/>
          <w:u w:val="single"/>
          <w:lang w:val="sr-Latn-ME"/>
        </w:rPr>
        <w:t>Način primjene</w:t>
      </w:r>
    </w:p>
    <w:p w14:paraId="5BD8F94F" w14:textId="77777777" w:rsidR="00121EFE" w:rsidRPr="00986187" w:rsidRDefault="00121EFE" w:rsidP="00F3153C">
      <w:pPr>
        <w:widowControl w:val="0"/>
        <w:ind w:left="720"/>
        <w:jc w:val="both"/>
        <w:rPr>
          <w:sz w:val="22"/>
          <w:szCs w:val="22"/>
          <w:lang w:val="sr-Latn-ME"/>
        </w:rPr>
      </w:pPr>
    </w:p>
    <w:p w14:paraId="2DE13127" w14:textId="2E27B4FA" w:rsidR="00121EFE" w:rsidRPr="00986187" w:rsidRDefault="00121EFE" w:rsidP="00F3153C">
      <w:pPr>
        <w:widowControl w:val="0"/>
        <w:jc w:val="both"/>
        <w:rPr>
          <w:sz w:val="22"/>
          <w:szCs w:val="22"/>
          <w:lang w:val="sr-Latn-ME"/>
        </w:rPr>
      </w:pPr>
      <w:r w:rsidRPr="00986187">
        <w:rPr>
          <w:sz w:val="22"/>
          <w:szCs w:val="22"/>
          <w:lang w:val="sr-Latn-ME"/>
        </w:rPr>
        <w:t xml:space="preserve">Vakcinu </w:t>
      </w:r>
      <w:r w:rsidR="00786033" w:rsidRPr="00986187">
        <w:rPr>
          <w:bCs/>
          <w:sz w:val="22"/>
          <w:szCs w:val="22"/>
          <w:lang w:val="sr-Latn-ME"/>
        </w:rPr>
        <w:t>ENGERIX</w:t>
      </w:r>
      <w:r w:rsidRPr="00986187">
        <w:rPr>
          <w:sz w:val="22"/>
          <w:szCs w:val="22"/>
          <w:lang w:val="sr-Latn-ME"/>
        </w:rPr>
        <w:t xml:space="preserve"> B za djecu treba primijeniti intramuskularno, u </w:t>
      </w:r>
      <w:proofErr w:type="spellStart"/>
      <w:r w:rsidR="00385690" w:rsidRPr="00986187">
        <w:rPr>
          <w:sz w:val="22"/>
          <w:szCs w:val="22"/>
          <w:lang w:val="sr-Latn-ME"/>
        </w:rPr>
        <w:t>deltoidno</w:t>
      </w:r>
      <w:proofErr w:type="spellEnd"/>
      <w:r w:rsidR="00385690" w:rsidRPr="00986187">
        <w:rPr>
          <w:sz w:val="22"/>
          <w:szCs w:val="22"/>
          <w:lang w:val="sr-Latn-ME"/>
        </w:rPr>
        <w:t xml:space="preserve"> područje</w:t>
      </w:r>
      <w:r w:rsidRPr="00986187">
        <w:rPr>
          <w:sz w:val="22"/>
          <w:szCs w:val="22"/>
          <w:lang w:val="sr-Latn-ME"/>
        </w:rPr>
        <w:t xml:space="preserve"> kod djece, ili u </w:t>
      </w:r>
      <w:proofErr w:type="spellStart"/>
      <w:r w:rsidRPr="00986187">
        <w:rPr>
          <w:sz w:val="22"/>
          <w:szCs w:val="22"/>
          <w:lang w:val="sr-Latn-ME"/>
        </w:rPr>
        <w:t>anterolateralni</w:t>
      </w:r>
      <w:proofErr w:type="spellEnd"/>
      <w:r w:rsidRPr="00986187">
        <w:rPr>
          <w:sz w:val="22"/>
          <w:szCs w:val="22"/>
          <w:lang w:val="sr-Latn-ME"/>
        </w:rPr>
        <w:t xml:space="preserve"> </w:t>
      </w:r>
      <w:proofErr w:type="spellStart"/>
      <w:r w:rsidRPr="00986187">
        <w:rPr>
          <w:sz w:val="22"/>
          <w:szCs w:val="22"/>
          <w:lang w:val="sr-Latn-ME"/>
        </w:rPr>
        <w:t>predio</w:t>
      </w:r>
      <w:proofErr w:type="spellEnd"/>
      <w:r w:rsidR="00385690" w:rsidRPr="00986187">
        <w:rPr>
          <w:sz w:val="22"/>
          <w:szCs w:val="22"/>
          <w:lang w:val="sr-Latn-ME"/>
        </w:rPr>
        <w:t xml:space="preserve"> butine</w:t>
      </w:r>
      <w:r w:rsidRPr="00986187">
        <w:rPr>
          <w:sz w:val="22"/>
          <w:szCs w:val="22"/>
          <w:lang w:val="sr-Latn-ME"/>
        </w:rPr>
        <w:t xml:space="preserve"> kod novorođenčadi, odojčadi i male djece.</w:t>
      </w:r>
    </w:p>
    <w:p w14:paraId="33277CC3" w14:textId="77777777" w:rsidR="00121EFE" w:rsidRPr="00986187" w:rsidRDefault="00121EFE" w:rsidP="00F3153C">
      <w:pPr>
        <w:widowControl w:val="0"/>
        <w:ind w:left="720"/>
        <w:jc w:val="both"/>
        <w:rPr>
          <w:sz w:val="22"/>
          <w:szCs w:val="22"/>
          <w:lang w:val="sr-Latn-ME"/>
        </w:rPr>
      </w:pPr>
    </w:p>
    <w:p w14:paraId="0CEA0548" w14:textId="77777777" w:rsidR="00121EFE" w:rsidRPr="00986187" w:rsidRDefault="00121EFE" w:rsidP="00F3153C">
      <w:pPr>
        <w:widowControl w:val="0"/>
        <w:jc w:val="both"/>
        <w:rPr>
          <w:sz w:val="22"/>
          <w:szCs w:val="22"/>
          <w:lang w:val="sr-Latn-ME"/>
        </w:rPr>
      </w:pPr>
      <w:r w:rsidRPr="00986187">
        <w:rPr>
          <w:sz w:val="22"/>
          <w:szCs w:val="22"/>
          <w:lang w:val="sr-Latn-ME"/>
        </w:rPr>
        <w:t xml:space="preserve">Izuzetno, vakcina se može primijeniti </w:t>
      </w:r>
      <w:proofErr w:type="spellStart"/>
      <w:r w:rsidRPr="00986187">
        <w:rPr>
          <w:sz w:val="22"/>
          <w:szCs w:val="22"/>
          <w:lang w:val="sr-Latn-ME"/>
        </w:rPr>
        <w:t>subkutano</w:t>
      </w:r>
      <w:proofErr w:type="spellEnd"/>
      <w:r w:rsidRPr="00986187">
        <w:rPr>
          <w:sz w:val="22"/>
          <w:szCs w:val="22"/>
          <w:lang w:val="sr-Latn-ME"/>
        </w:rPr>
        <w:t xml:space="preserve"> kod pacijenata sa </w:t>
      </w:r>
      <w:proofErr w:type="spellStart"/>
      <w:r w:rsidRPr="00986187">
        <w:rPr>
          <w:sz w:val="22"/>
          <w:szCs w:val="22"/>
          <w:lang w:val="sr-Latn-ME"/>
        </w:rPr>
        <w:t>trombocitopenijom</w:t>
      </w:r>
      <w:proofErr w:type="spellEnd"/>
      <w:r w:rsidRPr="00986187">
        <w:rPr>
          <w:sz w:val="22"/>
          <w:szCs w:val="22"/>
          <w:lang w:val="sr-Latn-ME"/>
        </w:rPr>
        <w:t xml:space="preserve"> ili poremećajima koagulacije.</w:t>
      </w:r>
    </w:p>
    <w:p w14:paraId="08D956BA" w14:textId="77777777" w:rsidR="00452E9D" w:rsidRPr="00986187" w:rsidRDefault="00452E9D" w:rsidP="00F3153C">
      <w:pPr>
        <w:widowControl w:val="0"/>
        <w:tabs>
          <w:tab w:val="left" w:pos="540"/>
          <w:tab w:val="left" w:pos="569"/>
        </w:tabs>
        <w:rPr>
          <w:bCs/>
          <w:sz w:val="22"/>
          <w:szCs w:val="22"/>
          <w:lang w:val="sr-Latn-ME"/>
        </w:rPr>
      </w:pPr>
    </w:p>
    <w:p w14:paraId="14E0E08F"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4.3. </w:t>
      </w:r>
      <w:r w:rsidR="00480FB1" w:rsidRPr="00986187">
        <w:rPr>
          <w:b/>
          <w:bCs/>
          <w:sz w:val="22"/>
          <w:szCs w:val="22"/>
          <w:lang w:val="sr-Latn-ME"/>
        </w:rPr>
        <w:tab/>
      </w:r>
      <w:proofErr w:type="spellStart"/>
      <w:r w:rsidRPr="00986187">
        <w:rPr>
          <w:b/>
          <w:bCs/>
          <w:sz w:val="22"/>
          <w:szCs w:val="22"/>
          <w:lang w:val="sr-Latn-ME"/>
        </w:rPr>
        <w:t>Kontraindikacije</w:t>
      </w:r>
      <w:proofErr w:type="spellEnd"/>
    </w:p>
    <w:p w14:paraId="188D4D74" w14:textId="77777777" w:rsidR="00E01A0E" w:rsidRPr="00986187" w:rsidRDefault="00E01A0E" w:rsidP="00F3153C">
      <w:pPr>
        <w:widowControl w:val="0"/>
        <w:tabs>
          <w:tab w:val="left" w:pos="540"/>
          <w:tab w:val="left" w:pos="569"/>
        </w:tabs>
        <w:rPr>
          <w:b/>
          <w:bCs/>
          <w:sz w:val="22"/>
          <w:szCs w:val="22"/>
          <w:lang w:val="sr-Latn-ME"/>
        </w:rPr>
      </w:pPr>
    </w:p>
    <w:p w14:paraId="12139044" w14:textId="4C4C755A" w:rsidR="00143DE6" w:rsidRPr="00986187" w:rsidRDefault="00143DE6" w:rsidP="00F3153C">
      <w:pPr>
        <w:widowControl w:val="0"/>
        <w:jc w:val="both"/>
        <w:rPr>
          <w:sz w:val="22"/>
          <w:szCs w:val="22"/>
          <w:lang w:val="sr-Latn-ME"/>
        </w:rPr>
      </w:pPr>
      <w:r w:rsidRPr="00986187">
        <w:rPr>
          <w:sz w:val="22"/>
          <w:szCs w:val="22"/>
          <w:lang w:val="sr-Latn-ME"/>
        </w:rPr>
        <w:t xml:space="preserve">Vakcinu </w:t>
      </w:r>
      <w:r w:rsidRPr="00986187">
        <w:rPr>
          <w:bCs/>
          <w:sz w:val="22"/>
          <w:szCs w:val="22"/>
          <w:lang w:val="sr-Latn-ME"/>
        </w:rPr>
        <w:t>ENGERIX</w:t>
      </w:r>
      <w:r w:rsidRPr="00986187">
        <w:rPr>
          <w:sz w:val="22"/>
          <w:szCs w:val="22"/>
          <w:lang w:val="sr-Latn-ME"/>
        </w:rPr>
        <w:t xml:space="preserve"> B za djecu ne treba primjenjivati </w:t>
      </w:r>
      <w:r w:rsidR="00E01A0E" w:rsidRPr="00986187">
        <w:rPr>
          <w:sz w:val="22"/>
          <w:szCs w:val="22"/>
          <w:lang w:val="sr-Latn-ME"/>
        </w:rPr>
        <w:t xml:space="preserve">kod osoba </w:t>
      </w:r>
      <w:r w:rsidRPr="00986187">
        <w:rPr>
          <w:sz w:val="22"/>
          <w:szCs w:val="22"/>
          <w:lang w:val="sr-Latn-ME"/>
        </w:rPr>
        <w:t xml:space="preserve">sa poznatom preosjetljivošću na aktivnu supstancu ili bilo koji sastojak vakcine naveden u </w:t>
      </w:r>
      <w:r w:rsidR="00E01A0E" w:rsidRPr="00986187">
        <w:rPr>
          <w:sz w:val="22"/>
          <w:szCs w:val="22"/>
          <w:lang w:val="sr-Latn-ME"/>
        </w:rPr>
        <w:t xml:space="preserve">dijelu </w:t>
      </w:r>
      <w:r w:rsidRPr="00986187">
        <w:rPr>
          <w:sz w:val="22"/>
          <w:szCs w:val="22"/>
          <w:lang w:val="sr-Latn-ME"/>
        </w:rPr>
        <w:t xml:space="preserve">6.1, ili osobama koje su pokazale znake preosjetljivosti nakon prethodne primijenjene vakcine </w:t>
      </w:r>
      <w:r w:rsidRPr="00986187">
        <w:rPr>
          <w:bCs/>
          <w:sz w:val="22"/>
          <w:szCs w:val="22"/>
          <w:lang w:val="sr-Latn-ME"/>
        </w:rPr>
        <w:t>ENGERIX</w:t>
      </w:r>
      <w:r w:rsidRPr="00986187">
        <w:rPr>
          <w:sz w:val="22"/>
          <w:szCs w:val="22"/>
          <w:lang w:val="sr-Latn-ME"/>
        </w:rPr>
        <w:t xml:space="preserve"> B za djecu.</w:t>
      </w:r>
    </w:p>
    <w:p w14:paraId="13922AAA" w14:textId="77777777" w:rsidR="00143DE6" w:rsidRPr="00986187" w:rsidRDefault="00143DE6" w:rsidP="00F3153C">
      <w:pPr>
        <w:widowControl w:val="0"/>
        <w:jc w:val="both"/>
        <w:rPr>
          <w:sz w:val="22"/>
          <w:szCs w:val="22"/>
          <w:lang w:val="sr-Latn-ME"/>
        </w:rPr>
      </w:pPr>
    </w:p>
    <w:p w14:paraId="697B8ACE" w14:textId="77777777" w:rsidR="00143DE6" w:rsidRPr="00986187" w:rsidRDefault="00143DE6" w:rsidP="00F3153C">
      <w:pPr>
        <w:widowControl w:val="0"/>
        <w:jc w:val="both"/>
        <w:rPr>
          <w:sz w:val="22"/>
          <w:szCs w:val="22"/>
          <w:lang w:val="sr-Latn-ME"/>
        </w:rPr>
      </w:pPr>
      <w:r w:rsidRPr="00986187">
        <w:rPr>
          <w:sz w:val="22"/>
          <w:szCs w:val="22"/>
          <w:lang w:val="sr-Latn-ME"/>
        </w:rPr>
        <w:t xml:space="preserve">Primjenu vakcine </w:t>
      </w:r>
      <w:r w:rsidRPr="00986187">
        <w:rPr>
          <w:bCs/>
          <w:sz w:val="22"/>
          <w:szCs w:val="22"/>
          <w:lang w:val="sr-Latn-ME"/>
        </w:rPr>
        <w:t>ENGERIX</w:t>
      </w:r>
      <w:r w:rsidRPr="00986187">
        <w:rPr>
          <w:sz w:val="22"/>
          <w:szCs w:val="22"/>
          <w:lang w:val="sr-Latn-ME"/>
        </w:rPr>
        <w:t xml:space="preserve"> B za djecu, kao i primjenu drugih vakcina, potrebno je odložiti kod osoba sa teškim febrilnim akutnim stanjima. Prisustvo blaže infekcije, međutim, ne predstavlja </w:t>
      </w:r>
      <w:proofErr w:type="spellStart"/>
      <w:r w:rsidRPr="00986187">
        <w:rPr>
          <w:sz w:val="22"/>
          <w:szCs w:val="22"/>
          <w:lang w:val="sr-Latn-ME"/>
        </w:rPr>
        <w:t>kontraindikaciju</w:t>
      </w:r>
      <w:proofErr w:type="spellEnd"/>
      <w:r w:rsidRPr="00986187">
        <w:rPr>
          <w:sz w:val="22"/>
          <w:szCs w:val="22"/>
          <w:lang w:val="sr-Latn-ME"/>
        </w:rPr>
        <w:t xml:space="preserve"> za imunizaciju.</w:t>
      </w:r>
    </w:p>
    <w:p w14:paraId="4388F2E0" w14:textId="77777777" w:rsidR="0072020E" w:rsidRPr="00986187" w:rsidRDefault="0072020E" w:rsidP="00F3153C">
      <w:pPr>
        <w:widowControl w:val="0"/>
        <w:tabs>
          <w:tab w:val="left" w:pos="540"/>
          <w:tab w:val="left" w:pos="569"/>
        </w:tabs>
        <w:rPr>
          <w:bCs/>
          <w:sz w:val="22"/>
          <w:szCs w:val="22"/>
          <w:lang w:val="sr-Latn-ME"/>
        </w:rPr>
      </w:pPr>
    </w:p>
    <w:p w14:paraId="77DA66BF"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 xml:space="preserve">4.4. </w:t>
      </w:r>
      <w:r w:rsidR="00480FB1" w:rsidRPr="00986187">
        <w:rPr>
          <w:b/>
          <w:bCs/>
          <w:sz w:val="22"/>
          <w:szCs w:val="22"/>
          <w:lang w:val="sr-Latn-ME"/>
        </w:rPr>
        <w:tab/>
      </w:r>
      <w:r w:rsidRPr="00986187">
        <w:rPr>
          <w:b/>
          <w:bCs/>
          <w:sz w:val="22"/>
          <w:szCs w:val="22"/>
          <w:lang w:val="sr-Latn-ME"/>
        </w:rPr>
        <w:t>Posebna upozorenja i mjere opreza pri upotrebi lijeka</w:t>
      </w:r>
    </w:p>
    <w:p w14:paraId="6CEEBC02" w14:textId="77777777" w:rsidR="00E01A0E" w:rsidRPr="00986187" w:rsidRDefault="00E01A0E" w:rsidP="00F3153C">
      <w:pPr>
        <w:widowControl w:val="0"/>
        <w:jc w:val="both"/>
        <w:rPr>
          <w:sz w:val="22"/>
          <w:szCs w:val="22"/>
          <w:lang w:val="sr-Latn-ME"/>
        </w:rPr>
      </w:pPr>
    </w:p>
    <w:p w14:paraId="6196B674" w14:textId="0B3D9B32" w:rsidR="00013266" w:rsidRPr="00986187" w:rsidRDefault="00013266" w:rsidP="00F3153C">
      <w:pPr>
        <w:widowControl w:val="0"/>
        <w:jc w:val="both"/>
        <w:rPr>
          <w:sz w:val="22"/>
          <w:szCs w:val="22"/>
          <w:u w:val="single"/>
          <w:lang w:val="sr-Latn-ME"/>
        </w:rPr>
      </w:pPr>
      <w:proofErr w:type="spellStart"/>
      <w:r w:rsidRPr="00986187">
        <w:rPr>
          <w:sz w:val="22"/>
          <w:szCs w:val="22"/>
          <w:u w:val="single"/>
          <w:lang w:val="sr-Latn-ME"/>
        </w:rPr>
        <w:t>Sljedljivost</w:t>
      </w:r>
      <w:proofErr w:type="spellEnd"/>
    </w:p>
    <w:p w14:paraId="521DB3AC" w14:textId="0CFD15DD" w:rsidR="00013266" w:rsidRPr="00986187" w:rsidRDefault="00013266" w:rsidP="00F3153C">
      <w:pPr>
        <w:widowControl w:val="0"/>
        <w:jc w:val="both"/>
        <w:rPr>
          <w:sz w:val="22"/>
          <w:szCs w:val="22"/>
          <w:lang w:val="sr-Latn-ME"/>
        </w:rPr>
      </w:pPr>
      <w:r w:rsidRPr="00986187">
        <w:rPr>
          <w:sz w:val="22"/>
          <w:szCs w:val="22"/>
          <w:lang w:val="sr-Latn-ME"/>
        </w:rPr>
        <w:t xml:space="preserve">Kako bi se poboljšala </w:t>
      </w:r>
      <w:proofErr w:type="spellStart"/>
      <w:r w:rsidRPr="00986187">
        <w:rPr>
          <w:sz w:val="22"/>
          <w:szCs w:val="22"/>
          <w:lang w:val="sr-Latn-ME"/>
        </w:rPr>
        <w:t>sljed</w:t>
      </w:r>
      <w:r w:rsidR="00B62C04" w:rsidRPr="00986187">
        <w:rPr>
          <w:sz w:val="22"/>
          <w:szCs w:val="22"/>
          <w:lang w:val="sr-Latn-ME"/>
        </w:rPr>
        <w:t>lj</w:t>
      </w:r>
      <w:r w:rsidRPr="00986187">
        <w:rPr>
          <w:sz w:val="22"/>
          <w:szCs w:val="22"/>
          <w:lang w:val="sr-Latn-ME"/>
        </w:rPr>
        <w:t>ivost</w:t>
      </w:r>
      <w:proofErr w:type="spellEnd"/>
      <w:r w:rsidRPr="00986187">
        <w:rPr>
          <w:sz w:val="22"/>
          <w:szCs w:val="22"/>
          <w:lang w:val="sr-Latn-ME"/>
        </w:rPr>
        <w:t xml:space="preserve"> bioloških ljekova, naziv i broj serije primijenjenog lijeka potrebno je</w:t>
      </w:r>
    </w:p>
    <w:p w14:paraId="6CC78DC3" w14:textId="5882B9AE" w:rsidR="00013266" w:rsidRPr="00986187" w:rsidRDefault="00013266" w:rsidP="00F3153C">
      <w:pPr>
        <w:widowControl w:val="0"/>
        <w:jc w:val="both"/>
        <w:rPr>
          <w:sz w:val="22"/>
          <w:szCs w:val="22"/>
          <w:lang w:val="sr-Latn-ME"/>
        </w:rPr>
      </w:pPr>
      <w:r w:rsidRPr="00986187">
        <w:rPr>
          <w:sz w:val="22"/>
          <w:szCs w:val="22"/>
          <w:lang w:val="sr-Latn-ME"/>
        </w:rPr>
        <w:t>jasno evidentirati.</w:t>
      </w:r>
    </w:p>
    <w:p w14:paraId="13554689" w14:textId="77777777" w:rsidR="00013266" w:rsidRPr="00986187" w:rsidRDefault="00013266" w:rsidP="00F3153C">
      <w:pPr>
        <w:widowControl w:val="0"/>
        <w:jc w:val="both"/>
        <w:rPr>
          <w:sz w:val="22"/>
          <w:szCs w:val="22"/>
          <w:lang w:val="sr-Latn-ME"/>
        </w:rPr>
      </w:pPr>
    </w:p>
    <w:p w14:paraId="351FCF49" w14:textId="033A7A34" w:rsidR="00013266" w:rsidRPr="00986187" w:rsidRDefault="00013266" w:rsidP="00F3153C">
      <w:pPr>
        <w:widowControl w:val="0"/>
        <w:jc w:val="both"/>
        <w:rPr>
          <w:sz w:val="22"/>
          <w:szCs w:val="22"/>
          <w:u w:val="single"/>
          <w:lang w:val="sr-Latn-ME"/>
        </w:rPr>
      </w:pPr>
      <w:r w:rsidRPr="00986187">
        <w:rPr>
          <w:sz w:val="22"/>
          <w:szCs w:val="22"/>
          <w:u w:val="single"/>
          <w:lang w:val="sr-Latn-ME"/>
        </w:rPr>
        <w:t>Mjere opreza pri upotrebi</w:t>
      </w:r>
    </w:p>
    <w:p w14:paraId="10A49265" w14:textId="2C5C5327" w:rsidR="00143DE6" w:rsidRPr="00986187" w:rsidRDefault="00143DE6" w:rsidP="00F3153C">
      <w:pPr>
        <w:widowControl w:val="0"/>
        <w:jc w:val="both"/>
        <w:rPr>
          <w:sz w:val="22"/>
          <w:szCs w:val="22"/>
          <w:lang w:val="sr-Latn-ME"/>
        </w:rPr>
      </w:pPr>
      <w:r w:rsidRPr="00986187">
        <w:rPr>
          <w:sz w:val="22"/>
          <w:szCs w:val="22"/>
          <w:lang w:val="sr-Latn-ME"/>
        </w:rPr>
        <w:t xml:space="preserve">Nakon primjene vakcine, ili ponekad i prije primjene, naročito kod mladih osoba, može doći do pojave sinkope (gubitka svijesti), kao posljedica psihološke reakcije na injekcioni način primjene. Navedena pojava može biti udružena sa pojedinim neurološkim znacima, kao što su prolazne vizuelne smetnje, </w:t>
      </w:r>
      <w:proofErr w:type="spellStart"/>
      <w:r w:rsidRPr="00986187">
        <w:rPr>
          <w:sz w:val="22"/>
          <w:szCs w:val="22"/>
          <w:lang w:val="sr-Latn-ME"/>
        </w:rPr>
        <w:t>parestezija</w:t>
      </w:r>
      <w:proofErr w:type="spellEnd"/>
      <w:r w:rsidRPr="00986187">
        <w:rPr>
          <w:sz w:val="22"/>
          <w:szCs w:val="22"/>
          <w:lang w:val="sr-Latn-ME"/>
        </w:rPr>
        <w:t xml:space="preserve"> i </w:t>
      </w:r>
      <w:proofErr w:type="spellStart"/>
      <w:r w:rsidRPr="00986187">
        <w:rPr>
          <w:sz w:val="22"/>
          <w:szCs w:val="22"/>
          <w:lang w:val="sr-Latn-ME"/>
        </w:rPr>
        <w:t>klonično-tonični</w:t>
      </w:r>
      <w:proofErr w:type="spellEnd"/>
      <w:r w:rsidRPr="00986187">
        <w:rPr>
          <w:sz w:val="22"/>
          <w:szCs w:val="22"/>
          <w:lang w:val="sr-Latn-ME"/>
        </w:rPr>
        <w:t xml:space="preserve"> pokreti ekstremiteta prilikom oporavka. Veoma je važno preduzeti adekvatne mjere kako ne bi došlo do </w:t>
      </w:r>
      <w:proofErr w:type="spellStart"/>
      <w:r w:rsidRPr="00986187">
        <w:rPr>
          <w:sz w:val="22"/>
          <w:szCs w:val="22"/>
          <w:lang w:val="sr-Latn-ME"/>
        </w:rPr>
        <w:t>povreda</w:t>
      </w:r>
      <w:proofErr w:type="spellEnd"/>
      <w:r w:rsidRPr="00986187">
        <w:rPr>
          <w:sz w:val="22"/>
          <w:szCs w:val="22"/>
          <w:lang w:val="sr-Latn-ME"/>
        </w:rPr>
        <w:t xml:space="preserve"> prilikom gubitka svijesti.</w:t>
      </w:r>
    </w:p>
    <w:p w14:paraId="07BFD460" w14:textId="77777777" w:rsidR="00E01A0E" w:rsidRPr="00986187" w:rsidRDefault="00E01A0E" w:rsidP="00F3153C">
      <w:pPr>
        <w:widowControl w:val="0"/>
        <w:jc w:val="both"/>
        <w:rPr>
          <w:sz w:val="22"/>
          <w:szCs w:val="22"/>
          <w:lang w:val="sr-Latn-ME"/>
        </w:rPr>
      </w:pPr>
    </w:p>
    <w:p w14:paraId="69183012" w14:textId="77777777" w:rsidR="00013266" w:rsidRPr="00986187" w:rsidRDefault="00013266" w:rsidP="00F3153C">
      <w:pPr>
        <w:widowControl w:val="0"/>
        <w:jc w:val="both"/>
        <w:rPr>
          <w:sz w:val="22"/>
          <w:szCs w:val="22"/>
          <w:lang w:val="sr-Latn-ME"/>
        </w:rPr>
      </w:pPr>
      <w:r w:rsidRPr="00986187">
        <w:rPr>
          <w:sz w:val="22"/>
          <w:szCs w:val="22"/>
          <w:lang w:val="sr-Latn-ME"/>
        </w:rPr>
        <w:t xml:space="preserve">Vakcinu </w:t>
      </w:r>
      <w:r w:rsidRPr="00986187">
        <w:rPr>
          <w:bCs/>
          <w:sz w:val="22"/>
          <w:szCs w:val="22"/>
          <w:lang w:val="sr-Latn-ME"/>
        </w:rPr>
        <w:t>ENGERIX</w:t>
      </w:r>
      <w:r w:rsidRPr="00986187">
        <w:rPr>
          <w:sz w:val="22"/>
          <w:szCs w:val="22"/>
          <w:lang w:val="sr-Latn-ME"/>
        </w:rPr>
        <w:t xml:space="preserve"> B za djecu ne treba primjenjivati </w:t>
      </w:r>
      <w:proofErr w:type="spellStart"/>
      <w:r w:rsidRPr="00986187">
        <w:rPr>
          <w:sz w:val="22"/>
          <w:szCs w:val="22"/>
          <w:lang w:val="sr-Latn-ME"/>
        </w:rPr>
        <w:t>glutealno</w:t>
      </w:r>
      <w:proofErr w:type="spellEnd"/>
      <w:r w:rsidRPr="00986187">
        <w:rPr>
          <w:sz w:val="22"/>
          <w:szCs w:val="22"/>
          <w:lang w:val="sr-Latn-ME"/>
        </w:rPr>
        <w:t xml:space="preserve"> ili </w:t>
      </w:r>
      <w:proofErr w:type="spellStart"/>
      <w:r w:rsidRPr="00986187">
        <w:rPr>
          <w:sz w:val="22"/>
          <w:szCs w:val="22"/>
          <w:lang w:val="sr-Latn-ME"/>
        </w:rPr>
        <w:t>intradermalno</w:t>
      </w:r>
      <w:proofErr w:type="spellEnd"/>
      <w:r w:rsidRPr="00986187">
        <w:rPr>
          <w:sz w:val="22"/>
          <w:szCs w:val="22"/>
          <w:lang w:val="sr-Latn-ME"/>
        </w:rPr>
        <w:t>, jer bi se tako mogao umanjiti imuni odgovor.</w:t>
      </w:r>
    </w:p>
    <w:p w14:paraId="5FF909B7" w14:textId="77777777" w:rsidR="00013266" w:rsidRPr="00986187" w:rsidRDefault="00013266" w:rsidP="00F3153C">
      <w:pPr>
        <w:widowControl w:val="0"/>
        <w:ind w:left="720"/>
        <w:jc w:val="both"/>
        <w:rPr>
          <w:sz w:val="22"/>
          <w:szCs w:val="22"/>
          <w:lang w:val="sr-Latn-ME"/>
        </w:rPr>
      </w:pPr>
    </w:p>
    <w:p w14:paraId="6FF68FE3" w14:textId="77777777" w:rsidR="00013266" w:rsidRPr="00986187" w:rsidRDefault="00013266" w:rsidP="00F3153C">
      <w:pPr>
        <w:widowControl w:val="0"/>
        <w:jc w:val="both"/>
        <w:rPr>
          <w:sz w:val="22"/>
          <w:szCs w:val="22"/>
          <w:lang w:val="sr-Latn-ME"/>
        </w:rPr>
      </w:pPr>
      <w:r w:rsidRPr="00986187">
        <w:rPr>
          <w:sz w:val="22"/>
          <w:szCs w:val="22"/>
          <w:lang w:val="sr-Latn-ME"/>
        </w:rPr>
        <w:t xml:space="preserve">Vakcina </w:t>
      </w:r>
      <w:r w:rsidRPr="00986187">
        <w:rPr>
          <w:bCs/>
          <w:sz w:val="22"/>
          <w:szCs w:val="22"/>
          <w:lang w:val="sr-Latn-ME"/>
        </w:rPr>
        <w:t>ENGERIX</w:t>
      </w:r>
      <w:r w:rsidRPr="00986187">
        <w:rPr>
          <w:sz w:val="22"/>
          <w:szCs w:val="22"/>
          <w:lang w:val="sr-Latn-ME"/>
        </w:rPr>
        <w:t xml:space="preserve"> B za djecu se ni pod kojim okolnostima ne smije primjenjivati </w:t>
      </w:r>
      <w:proofErr w:type="spellStart"/>
      <w:r w:rsidRPr="00986187">
        <w:rPr>
          <w:sz w:val="22"/>
          <w:szCs w:val="22"/>
          <w:lang w:val="sr-Latn-ME"/>
        </w:rPr>
        <w:t>intravaskularno</w:t>
      </w:r>
      <w:proofErr w:type="spellEnd"/>
      <w:r w:rsidRPr="00986187">
        <w:rPr>
          <w:sz w:val="22"/>
          <w:szCs w:val="22"/>
          <w:lang w:val="sr-Latn-ME"/>
        </w:rPr>
        <w:t>.</w:t>
      </w:r>
    </w:p>
    <w:p w14:paraId="60FAF292" w14:textId="77777777" w:rsidR="00013266" w:rsidRPr="00986187" w:rsidRDefault="00013266" w:rsidP="00F3153C">
      <w:pPr>
        <w:widowControl w:val="0"/>
        <w:ind w:left="720"/>
        <w:jc w:val="both"/>
        <w:rPr>
          <w:sz w:val="22"/>
          <w:szCs w:val="22"/>
          <w:lang w:val="sr-Latn-ME"/>
        </w:rPr>
      </w:pPr>
    </w:p>
    <w:p w14:paraId="1638B5AA" w14:textId="77777777" w:rsidR="00013266" w:rsidRPr="00986187" w:rsidRDefault="00013266" w:rsidP="00F3153C">
      <w:pPr>
        <w:widowControl w:val="0"/>
        <w:jc w:val="both"/>
        <w:rPr>
          <w:sz w:val="22"/>
          <w:szCs w:val="22"/>
          <w:lang w:val="sr-Latn-ME"/>
        </w:rPr>
      </w:pPr>
      <w:r w:rsidRPr="00986187">
        <w:rPr>
          <w:sz w:val="22"/>
          <w:szCs w:val="22"/>
          <w:lang w:val="sr-Latn-ME"/>
        </w:rPr>
        <w:t xml:space="preserve">Kao i kod svih vakcina koje se primjenjuju injekciono, neophodno je imati spreman odgovarajući medicinski tretman u slučaju rijetke </w:t>
      </w:r>
      <w:proofErr w:type="spellStart"/>
      <w:r w:rsidRPr="00986187">
        <w:rPr>
          <w:sz w:val="22"/>
          <w:szCs w:val="22"/>
          <w:lang w:val="sr-Latn-ME"/>
        </w:rPr>
        <w:t>anafilaktičke</w:t>
      </w:r>
      <w:proofErr w:type="spellEnd"/>
      <w:r w:rsidRPr="00986187">
        <w:rPr>
          <w:sz w:val="22"/>
          <w:szCs w:val="22"/>
          <w:lang w:val="sr-Latn-ME"/>
        </w:rPr>
        <w:t xml:space="preserve"> reakcije koja može nastati nakon primjene vakcine.</w:t>
      </w:r>
    </w:p>
    <w:p w14:paraId="6D89F133" w14:textId="77777777" w:rsidR="00013266" w:rsidRPr="00986187" w:rsidRDefault="00013266" w:rsidP="00F3153C">
      <w:pPr>
        <w:widowControl w:val="0"/>
        <w:jc w:val="both"/>
        <w:rPr>
          <w:sz w:val="22"/>
          <w:szCs w:val="22"/>
          <w:lang w:val="sr-Latn-ME"/>
        </w:rPr>
      </w:pPr>
    </w:p>
    <w:p w14:paraId="745F4F12" w14:textId="438B8C1E" w:rsidR="00013266" w:rsidRPr="00986187" w:rsidRDefault="00013266" w:rsidP="00F3153C">
      <w:pPr>
        <w:widowControl w:val="0"/>
        <w:jc w:val="both"/>
        <w:rPr>
          <w:sz w:val="22"/>
          <w:szCs w:val="22"/>
          <w:u w:val="single"/>
          <w:lang w:val="sr-Latn-ME"/>
        </w:rPr>
      </w:pPr>
      <w:r w:rsidRPr="00986187">
        <w:rPr>
          <w:sz w:val="22"/>
          <w:szCs w:val="22"/>
          <w:u w:val="single"/>
          <w:lang w:val="sr-Latn-ME"/>
        </w:rPr>
        <w:t>Zaštita</w:t>
      </w:r>
    </w:p>
    <w:p w14:paraId="1490DA7A" w14:textId="02FC07A4" w:rsidR="00143DE6" w:rsidRPr="00986187" w:rsidRDefault="00143DE6" w:rsidP="00F3153C">
      <w:pPr>
        <w:widowControl w:val="0"/>
        <w:jc w:val="both"/>
        <w:rPr>
          <w:sz w:val="22"/>
          <w:szCs w:val="22"/>
          <w:lang w:val="sr-Latn-ME"/>
        </w:rPr>
      </w:pPr>
      <w:proofErr w:type="spellStart"/>
      <w:r w:rsidRPr="00986187">
        <w:rPr>
          <w:sz w:val="22"/>
          <w:szCs w:val="22"/>
          <w:lang w:val="sr-Latn-ME"/>
        </w:rPr>
        <w:t>Usljed</w:t>
      </w:r>
      <w:proofErr w:type="spellEnd"/>
      <w:r w:rsidRPr="00986187">
        <w:rPr>
          <w:sz w:val="22"/>
          <w:szCs w:val="22"/>
          <w:lang w:val="sr-Latn-ME"/>
        </w:rPr>
        <w:t xml:space="preserve"> dugog perioda inkubacije </w:t>
      </w:r>
      <w:r w:rsidR="00E01A0E" w:rsidRPr="00986187">
        <w:rPr>
          <w:sz w:val="22"/>
          <w:szCs w:val="22"/>
          <w:lang w:val="sr-Latn-ME"/>
        </w:rPr>
        <w:t xml:space="preserve">virusa </w:t>
      </w:r>
      <w:r w:rsidRPr="00986187">
        <w:rPr>
          <w:sz w:val="22"/>
          <w:szCs w:val="22"/>
          <w:lang w:val="sr-Latn-ME"/>
        </w:rPr>
        <w:t>hepatitis</w:t>
      </w:r>
      <w:r w:rsidR="00E01A0E" w:rsidRPr="00986187">
        <w:rPr>
          <w:sz w:val="22"/>
          <w:szCs w:val="22"/>
          <w:lang w:val="sr-Latn-ME"/>
        </w:rPr>
        <w:t>a</w:t>
      </w:r>
      <w:r w:rsidRPr="00986187">
        <w:rPr>
          <w:sz w:val="22"/>
          <w:szCs w:val="22"/>
          <w:lang w:val="sr-Latn-ME"/>
        </w:rPr>
        <w:t xml:space="preserve"> B, postoji mogućnost, da u vrijeme imunizacije, bude prisutna još neprepoznata infekcija. U  navedenim slučajevima može se desiti da primjena vakcine ne dovede do sprječavanja </w:t>
      </w:r>
      <w:r w:rsidR="00E01A0E" w:rsidRPr="00986187">
        <w:rPr>
          <w:sz w:val="22"/>
          <w:szCs w:val="22"/>
          <w:lang w:val="sr-Latn-ME"/>
        </w:rPr>
        <w:t xml:space="preserve">infekcije </w:t>
      </w:r>
      <w:r w:rsidRPr="00986187">
        <w:rPr>
          <w:sz w:val="22"/>
          <w:szCs w:val="22"/>
          <w:lang w:val="sr-Latn-ME"/>
        </w:rPr>
        <w:t>hepatitis</w:t>
      </w:r>
      <w:r w:rsidR="00E01A0E" w:rsidRPr="00986187">
        <w:rPr>
          <w:sz w:val="22"/>
          <w:szCs w:val="22"/>
          <w:lang w:val="sr-Latn-ME"/>
        </w:rPr>
        <w:t>om</w:t>
      </w:r>
      <w:r w:rsidRPr="00986187">
        <w:rPr>
          <w:sz w:val="22"/>
          <w:szCs w:val="22"/>
          <w:lang w:val="sr-Latn-ME"/>
        </w:rPr>
        <w:t xml:space="preserve"> B.</w:t>
      </w:r>
    </w:p>
    <w:p w14:paraId="141A2D20" w14:textId="77777777" w:rsidR="00143DE6" w:rsidRPr="00986187" w:rsidRDefault="00143DE6" w:rsidP="00F3153C">
      <w:pPr>
        <w:widowControl w:val="0"/>
        <w:ind w:left="720"/>
        <w:jc w:val="both"/>
        <w:rPr>
          <w:sz w:val="22"/>
          <w:szCs w:val="22"/>
          <w:lang w:val="sr-Latn-ME"/>
        </w:rPr>
      </w:pPr>
    </w:p>
    <w:p w14:paraId="4B41DDF2" w14:textId="24387D5B" w:rsidR="00143DE6" w:rsidRPr="00986187" w:rsidRDefault="00143DE6" w:rsidP="00F3153C">
      <w:pPr>
        <w:widowControl w:val="0"/>
        <w:jc w:val="both"/>
        <w:rPr>
          <w:sz w:val="22"/>
          <w:szCs w:val="22"/>
          <w:lang w:val="sr-Latn-ME"/>
        </w:rPr>
      </w:pPr>
      <w:r w:rsidRPr="00986187">
        <w:rPr>
          <w:sz w:val="22"/>
          <w:szCs w:val="22"/>
          <w:lang w:val="sr-Latn-ME"/>
        </w:rPr>
        <w:t xml:space="preserve">Primjena vakcine neće spriječiti infekciju prouzrokovanu drugim </w:t>
      </w:r>
      <w:r w:rsidR="00E01A0E" w:rsidRPr="00986187">
        <w:rPr>
          <w:sz w:val="22"/>
          <w:szCs w:val="22"/>
          <w:lang w:val="sr-Latn-ME"/>
        </w:rPr>
        <w:t xml:space="preserve">poznatim </w:t>
      </w:r>
      <w:r w:rsidRPr="00986187">
        <w:rPr>
          <w:sz w:val="22"/>
          <w:szCs w:val="22"/>
          <w:lang w:val="sr-Latn-ME"/>
        </w:rPr>
        <w:t xml:space="preserve">patogenim </w:t>
      </w:r>
      <w:r w:rsidR="00E01A0E" w:rsidRPr="00986187">
        <w:rPr>
          <w:sz w:val="22"/>
          <w:szCs w:val="22"/>
          <w:lang w:val="sr-Latn-ME"/>
        </w:rPr>
        <w:t>uzročnicima</w:t>
      </w:r>
      <w:r w:rsidRPr="00986187">
        <w:rPr>
          <w:sz w:val="22"/>
          <w:szCs w:val="22"/>
          <w:lang w:val="sr-Latn-ME"/>
        </w:rPr>
        <w:t>, kao što su virusi hepatitisa A, hepatitisa C i hepatitisa E.</w:t>
      </w:r>
    </w:p>
    <w:p w14:paraId="38EC6508" w14:textId="77777777" w:rsidR="00143DE6" w:rsidRPr="00986187" w:rsidRDefault="00143DE6" w:rsidP="00F3153C">
      <w:pPr>
        <w:widowControl w:val="0"/>
        <w:ind w:left="720"/>
        <w:jc w:val="both"/>
        <w:rPr>
          <w:sz w:val="22"/>
          <w:szCs w:val="22"/>
          <w:lang w:val="sr-Latn-ME"/>
        </w:rPr>
      </w:pPr>
    </w:p>
    <w:p w14:paraId="5FECAEC2" w14:textId="262DC515" w:rsidR="00143DE6" w:rsidRPr="00986187" w:rsidRDefault="00143DE6" w:rsidP="00F3153C">
      <w:pPr>
        <w:widowControl w:val="0"/>
        <w:jc w:val="both"/>
        <w:rPr>
          <w:sz w:val="22"/>
          <w:szCs w:val="22"/>
          <w:lang w:val="sr-Latn-ME"/>
        </w:rPr>
      </w:pPr>
      <w:r w:rsidRPr="00986187">
        <w:rPr>
          <w:sz w:val="22"/>
          <w:szCs w:val="22"/>
          <w:lang w:val="sr-Latn-ME"/>
        </w:rPr>
        <w:t xml:space="preserve">Kao i prilikom primjene drugih vakcina, može se desiti da se zaštitni imuni odgovor neće </w:t>
      </w:r>
      <w:r w:rsidR="00E01A0E" w:rsidRPr="00986187">
        <w:rPr>
          <w:sz w:val="22"/>
          <w:szCs w:val="22"/>
          <w:lang w:val="sr-Latn-ME"/>
        </w:rPr>
        <w:t xml:space="preserve">postići </w:t>
      </w:r>
      <w:r w:rsidRPr="00986187">
        <w:rPr>
          <w:sz w:val="22"/>
          <w:szCs w:val="22"/>
          <w:lang w:val="sr-Latn-ME"/>
        </w:rPr>
        <w:t>kod svih vakcinisanih osoba.</w:t>
      </w:r>
    </w:p>
    <w:p w14:paraId="15F933ED" w14:textId="77777777" w:rsidR="00143DE6" w:rsidRPr="00986187" w:rsidRDefault="00143DE6" w:rsidP="00F3153C">
      <w:pPr>
        <w:widowControl w:val="0"/>
        <w:ind w:left="720"/>
        <w:jc w:val="both"/>
        <w:rPr>
          <w:sz w:val="22"/>
          <w:szCs w:val="22"/>
          <w:lang w:val="sr-Latn-ME"/>
        </w:rPr>
      </w:pPr>
    </w:p>
    <w:p w14:paraId="1449D0B6" w14:textId="01D426F5" w:rsidR="00143DE6" w:rsidRPr="00986187" w:rsidRDefault="00143DE6" w:rsidP="00F3153C">
      <w:pPr>
        <w:widowControl w:val="0"/>
        <w:jc w:val="both"/>
        <w:rPr>
          <w:sz w:val="22"/>
          <w:szCs w:val="22"/>
          <w:lang w:val="sr-Latn-ME"/>
        </w:rPr>
      </w:pPr>
      <w:r w:rsidRPr="00986187">
        <w:rPr>
          <w:sz w:val="22"/>
          <w:szCs w:val="22"/>
          <w:lang w:val="sr-Latn-ME"/>
        </w:rPr>
        <w:t xml:space="preserve">Zapaženo je da brojni faktori kao što su muški pol, gojaznost, pušenje, način primjene vakcine i pojedine hronične bolesti, smanjuju imuni odgovor </w:t>
      </w:r>
      <w:r w:rsidR="00E01A0E" w:rsidRPr="00986187">
        <w:rPr>
          <w:sz w:val="22"/>
          <w:szCs w:val="22"/>
          <w:lang w:val="sr-Latn-ME"/>
        </w:rPr>
        <w:t>na vakcinu protiv</w:t>
      </w:r>
      <w:r w:rsidRPr="00986187">
        <w:rPr>
          <w:sz w:val="22"/>
          <w:szCs w:val="22"/>
          <w:lang w:val="sr-Latn-ME"/>
        </w:rPr>
        <w:t xml:space="preserve"> hepatitis</w:t>
      </w:r>
      <w:r w:rsidR="00E01A0E" w:rsidRPr="00986187">
        <w:rPr>
          <w:sz w:val="22"/>
          <w:szCs w:val="22"/>
          <w:lang w:val="sr-Latn-ME"/>
        </w:rPr>
        <w:t>a</w:t>
      </w:r>
      <w:r w:rsidRPr="00986187">
        <w:rPr>
          <w:sz w:val="22"/>
          <w:szCs w:val="22"/>
          <w:lang w:val="sr-Latn-ME"/>
        </w:rPr>
        <w:t xml:space="preserve"> B. Kod osoba kod kojih postoji rizik da se</w:t>
      </w:r>
      <w:r w:rsidR="00E01A0E" w:rsidRPr="00986187">
        <w:rPr>
          <w:sz w:val="22"/>
          <w:szCs w:val="22"/>
          <w:lang w:val="sr-Latn-ME"/>
        </w:rPr>
        <w:t xml:space="preserve"> ne postigne </w:t>
      </w:r>
      <w:proofErr w:type="spellStart"/>
      <w:r w:rsidR="0065199A" w:rsidRPr="00986187">
        <w:rPr>
          <w:sz w:val="22"/>
          <w:szCs w:val="22"/>
          <w:lang w:val="sr-Latn-ME"/>
        </w:rPr>
        <w:t>serološka</w:t>
      </w:r>
      <w:proofErr w:type="spellEnd"/>
      <w:r w:rsidR="0065199A" w:rsidRPr="00986187">
        <w:rPr>
          <w:sz w:val="22"/>
          <w:szCs w:val="22"/>
          <w:lang w:val="sr-Latn-ME"/>
        </w:rPr>
        <w:t xml:space="preserve"> zaštita</w:t>
      </w:r>
      <w:r w:rsidRPr="00986187">
        <w:rPr>
          <w:sz w:val="22"/>
          <w:szCs w:val="22"/>
          <w:lang w:val="sr-Latn-ME"/>
        </w:rPr>
        <w:t xml:space="preserve"> nakon </w:t>
      </w:r>
      <w:r w:rsidR="00E01A0E" w:rsidRPr="00986187">
        <w:rPr>
          <w:sz w:val="22"/>
          <w:szCs w:val="22"/>
          <w:lang w:val="sr-Latn-ME"/>
        </w:rPr>
        <w:t>kompletiranog ciklusa imunizacije</w:t>
      </w:r>
      <w:r w:rsidR="0065199A" w:rsidRPr="00986187">
        <w:rPr>
          <w:sz w:val="22"/>
          <w:szCs w:val="22"/>
          <w:lang w:val="sr-Latn-ME"/>
        </w:rPr>
        <w:t xml:space="preserve"> </w:t>
      </w:r>
      <w:r w:rsidR="00E01A0E" w:rsidRPr="00986187">
        <w:rPr>
          <w:sz w:val="22"/>
          <w:szCs w:val="22"/>
          <w:lang w:val="sr-Latn-ME"/>
        </w:rPr>
        <w:t xml:space="preserve">vakcinom </w:t>
      </w:r>
      <w:r w:rsidRPr="00986187">
        <w:rPr>
          <w:bCs/>
          <w:sz w:val="22"/>
          <w:szCs w:val="22"/>
          <w:lang w:val="sr-Latn-ME"/>
        </w:rPr>
        <w:t>ENGERIX</w:t>
      </w:r>
      <w:r w:rsidRPr="00986187">
        <w:rPr>
          <w:sz w:val="22"/>
          <w:szCs w:val="22"/>
          <w:lang w:val="sr-Latn-ME"/>
        </w:rPr>
        <w:t xml:space="preserve"> B za djecu, potrebno je razmotriti </w:t>
      </w:r>
      <w:proofErr w:type="spellStart"/>
      <w:r w:rsidRPr="00986187">
        <w:rPr>
          <w:sz w:val="22"/>
          <w:szCs w:val="22"/>
          <w:lang w:val="sr-Latn-ME"/>
        </w:rPr>
        <w:t>serološka</w:t>
      </w:r>
      <w:proofErr w:type="spellEnd"/>
      <w:r w:rsidRPr="00986187">
        <w:rPr>
          <w:sz w:val="22"/>
          <w:szCs w:val="22"/>
          <w:lang w:val="sr-Latn-ME"/>
        </w:rPr>
        <w:t xml:space="preserve"> testiranja. Kod osoba koje nijesu </w:t>
      </w:r>
      <w:r w:rsidR="00E01A0E" w:rsidRPr="00986187">
        <w:rPr>
          <w:sz w:val="22"/>
          <w:szCs w:val="22"/>
          <w:lang w:val="sr-Latn-ME"/>
        </w:rPr>
        <w:t xml:space="preserve">razvile </w:t>
      </w:r>
      <w:r w:rsidRPr="00986187">
        <w:rPr>
          <w:sz w:val="22"/>
          <w:szCs w:val="22"/>
          <w:lang w:val="sr-Latn-ME"/>
        </w:rPr>
        <w:t xml:space="preserve">imuni odgovor, ili, </w:t>
      </w:r>
      <w:r w:rsidRPr="00986187">
        <w:rPr>
          <w:sz w:val="22"/>
          <w:szCs w:val="22"/>
          <w:lang w:val="sr-Latn-ME"/>
        </w:rPr>
        <w:lastRenderedPageBreak/>
        <w:t xml:space="preserve">koje su </w:t>
      </w:r>
      <w:r w:rsidR="00E01A0E" w:rsidRPr="00986187">
        <w:rPr>
          <w:sz w:val="22"/>
          <w:szCs w:val="22"/>
          <w:lang w:val="sr-Latn-ME"/>
        </w:rPr>
        <w:t xml:space="preserve">razvile </w:t>
      </w:r>
      <w:proofErr w:type="spellStart"/>
      <w:r w:rsidRPr="00986187">
        <w:rPr>
          <w:sz w:val="22"/>
          <w:szCs w:val="22"/>
          <w:lang w:val="sr-Latn-ME"/>
        </w:rPr>
        <w:t>suboptimalni</w:t>
      </w:r>
      <w:proofErr w:type="spellEnd"/>
      <w:r w:rsidRPr="00986187">
        <w:rPr>
          <w:sz w:val="22"/>
          <w:szCs w:val="22"/>
          <w:lang w:val="sr-Latn-ME"/>
        </w:rPr>
        <w:t xml:space="preserve"> imuni odgovor na sprovedenu vakcinaciju, potrebno je razmotriti primjenu dodatnih doza vakcine.</w:t>
      </w:r>
    </w:p>
    <w:p w14:paraId="6ED87FC6" w14:textId="77777777" w:rsidR="00143DE6" w:rsidRPr="00986187" w:rsidRDefault="00143DE6" w:rsidP="00F3153C">
      <w:pPr>
        <w:widowControl w:val="0"/>
        <w:ind w:left="720"/>
        <w:jc w:val="both"/>
        <w:rPr>
          <w:sz w:val="22"/>
          <w:szCs w:val="22"/>
          <w:lang w:val="sr-Latn-ME"/>
        </w:rPr>
      </w:pPr>
    </w:p>
    <w:p w14:paraId="4BE20344" w14:textId="77777777" w:rsidR="00013266" w:rsidRPr="00986187" w:rsidRDefault="00013266" w:rsidP="00F3153C">
      <w:pPr>
        <w:widowControl w:val="0"/>
        <w:jc w:val="both"/>
        <w:rPr>
          <w:sz w:val="22"/>
          <w:szCs w:val="22"/>
          <w:u w:val="single"/>
          <w:lang w:val="sr-Latn-ME"/>
        </w:rPr>
      </w:pPr>
      <w:r w:rsidRPr="00986187">
        <w:rPr>
          <w:sz w:val="22"/>
          <w:szCs w:val="22"/>
          <w:u w:val="single"/>
          <w:lang w:val="sr-Latn-ME"/>
        </w:rPr>
        <w:t>Posebne populacije</w:t>
      </w:r>
    </w:p>
    <w:p w14:paraId="02AACED6" w14:textId="36265551" w:rsidR="00143DE6" w:rsidRPr="00986187" w:rsidRDefault="00143DE6" w:rsidP="00F3153C">
      <w:pPr>
        <w:widowControl w:val="0"/>
        <w:jc w:val="both"/>
        <w:rPr>
          <w:sz w:val="22"/>
          <w:szCs w:val="22"/>
          <w:lang w:val="sr-Latn-ME"/>
        </w:rPr>
      </w:pPr>
      <w:r w:rsidRPr="00986187">
        <w:rPr>
          <w:sz w:val="22"/>
          <w:szCs w:val="22"/>
          <w:lang w:val="sr-Latn-ME"/>
        </w:rPr>
        <w:t>Pacijenti sa hroničnim oboljenjima jetre ili HIV infekcijom</w:t>
      </w:r>
      <w:r w:rsidR="00E01A0E" w:rsidRPr="00986187">
        <w:rPr>
          <w:sz w:val="22"/>
          <w:szCs w:val="22"/>
          <w:lang w:val="sr-Latn-ME"/>
        </w:rPr>
        <w:t>, kao i</w:t>
      </w:r>
      <w:r w:rsidRPr="00986187">
        <w:rPr>
          <w:sz w:val="22"/>
          <w:szCs w:val="22"/>
          <w:lang w:val="sr-Latn-ME"/>
        </w:rPr>
        <w:t xml:space="preserve"> nosioci </w:t>
      </w:r>
      <w:r w:rsidR="00E01A0E" w:rsidRPr="00986187">
        <w:rPr>
          <w:sz w:val="22"/>
          <w:szCs w:val="22"/>
          <w:lang w:val="sr-Latn-ME"/>
        </w:rPr>
        <w:t xml:space="preserve">virusa </w:t>
      </w:r>
      <w:r w:rsidRPr="00986187">
        <w:rPr>
          <w:sz w:val="22"/>
          <w:szCs w:val="22"/>
          <w:lang w:val="sr-Latn-ME"/>
        </w:rPr>
        <w:t>hepatitis</w:t>
      </w:r>
      <w:r w:rsidR="00E01A0E" w:rsidRPr="00986187">
        <w:rPr>
          <w:sz w:val="22"/>
          <w:szCs w:val="22"/>
          <w:lang w:val="sr-Latn-ME"/>
        </w:rPr>
        <w:t>a</w:t>
      </w:r>
      <w:r w:rsidRPr="00986187">
        <w:rPr>
          <w:sz w:val="22"/>
          <w:szCs w:val="22"/>
          <w:lang w:val="sr-Latn-ME"/>
        </w:rPr>
        <w:t xml:space="preserve"> C ne treba da budu </w:t>
      </w:r>
      <w:r w:rsidR="00E01A0E" w:rsidRPr="00986187">
        <w:rPr>
          <w:sz w:val="22"/>
          <w:szCs w:val="22"/>
          <w:lang w:val="sr-Latn-ME"/>
        </w:rPr>
        <w:t xml:space="preserve">unaprijed </w:t>
      </w:r>
      <w:r w:rsidRPr="00986187">
        <w:rPr>
          <w:sz w:val="22"/>
          <w:szCs w:val="22"/>
          <w:lang w:val="sr-Latn-ME"/>
        </w:rPr>
        <w:t xml:space="preserve">isključeni iz vakcinacije protiv </w:t>
      </w:r>
      <w:r w:rsidR="00E01A0E" w:rsidRPr="00986187">
        <w:rPr>
          <w:sz w:val="22"/>
          <w:szCs w:val="22"/>
          <w:lang w:val="sr-Latn-ME"/>
        </w:rPr>
        <w:t xml:space="preserve">virusa </w:t>
      </w:r>
      <w:r w:rsidRPr="00986187">
        <w:rPr>
          <w:sz w:val="22"/>
          <w:szCs w:val="22"/>
          <w:lang w:val="sr-Latn-ME"/>
        </w:rPr>
        <w:t>hepatitis</w:t>
      </w:r>
      <w:r w:rsidR="00E01A0E" w:rsidRPr="00986187">
        <w:rPr>
          <w:sz w:val="22"/>
          <w:szCs w:val="22"/>
          <w:lang w:val="sr-Latn-ME"/>
        </w:rPr>
        <w:t>a</w:t>
      </w:r>
      <w:r w:rsidRPr="00986187">
        <w:rPr>
          <w:sz w:val="22"/>
          <w:szCs w:val="22"/>
          <w:lang w:val="sr-Latn-ME"/>
        </w:rPr>
        <w:t xml:space="preserve"> B. </w:t>
      </w:r>
      <w:r w:rsidR="00E01A0E" w:rsidRPr="00986187">
        <w:rPr>
          <w:sz w:val="22"/>
          <w:szCs w:val="22"/>
          <w:lang w:val="sr-Latn-ME"/>
        </w:rPr>
        <w:t>Vakcinacija</w:t>
      </w:r>
      <w:r w:rsidRPr="00986187">
        <w:rPr>
          <w:sz w:val="22"/>
          <w:szCs w:val="22"/>
          <w:lang w:val="sr-Latn-ME"/>
        </w:rPr>
        <w:t xml:space="preserve"> se preporučuje kod </w:t>
      </w:r>
      <w:r w:rsidR="00E01A0E" w:rsidRPr="00986187">
        <w:rPr>
          <w:sz w:val="22"/>
          <w:szCs w:val="22"/>
          <w:lang w:val="sr-Latn-ME"/>
        </w:rPr>
        <w:t xml:space="preserve">ovih </w:t>
      </w:r>
      <w:r w:rsidRPr="00986187">
        <w:rPr>
          <w:sz w:val="22"/>
          <w:szCs w:val="22"/>
          <w:lang w:val="sr-Latn-ME"/>
        </w:rPr>
        <w:t xml:space="preserve">pacijenata s obzirom na to da se kod </w:t>
      </w:r>
      <w:r w:rsidR="00E01A0E" w:rsidRPr="00986187">
        <w:rPr>
          <w:sz w:val="22"/>
          <w:szCs w:val="22"/>
          <w:lang w:val="sr-Latn-ME"/>
        </w:rPr>
        <w:t>njih</w:t>
      </w:r>
      <w:r w:rsidRPr="00986187">
        <w:rPr>
          <w:sz w:val="22"/>
          <w:szCs w:val="22"/>
          <w:lang w:val="sr-Latn-ME"/>
        </w:rPr>
        <w:t xml:space="preserve"> može javiti teška HBV infekcija: potrebno je da ljekar razmotri primjenu vakcine protiv </w:t>
      </w:r>
      <w:r w:rsidR="00E01A0E" w:rsidRPr="00986187">
        <w:rPr>
          <w:sz w:val="22"/>
          <w:szCs w:val="22"/>
          <w:lang w:val="sr-Latn-ME"/>
        </w:rPr>
        <w:t xml:space="preserve">virusa </w:t>
      </w:r>
      <w:r w:rsidRPr="00986187">
        <w:rPr>
          <w:sz w:val="22"/>
          <w:szCs w:val="22"/>
          <w:lang w:val="sr-Latn-ME"/>
        </w:rPr>
        <w:t>hepatitis</w:t>
      </w:r>
      <w:r w:rsidR="00E01A0E" w:rsidRPr="00986187">
        <w:rPr>
          <w:sz w:val="22"/>
          <w:szCs w:val="22"/>
          <w:lang w:val="sr-Latn-ME"/>
        </w:rPr>
        <w:t>a</w:t>
      </w:r>
      <w:r w:rsidRPr="00986187">
        <w:rPr>
          <w:sz w:val="22"/>
          <w:szCs w:val="22"/>
          <w:lang w:val="sr-Latn-ME"/>
        </w:rPr>
        <w:t xml:space="preserve"> B kod svakog pacijenta ponaosob. Kod pacijenata inficiranih HIV</w:t>
      </w:r>
      <w:r w:rsidR="00E01A0E" w:rsidRPr="00986187">
        <w:rPr>
          <w:sz w:val="22"/>
          <w:szCs w:val="22"/>
          <w:lang w:val="sr-Latn-ME"/>
        </w:rPr>
        <w:t>-om</w:t>
      </w:r>
      <w:r w:rsidRPr="00986187">
        <w:rPr>
          <w:sz w:val="22"/>
          <w:szCs w:val="22"/>
          <w:lang w:val="sr-Latn-ME"/>
        </w:rPr>
        <w:t xml:space="preserve">, kao i kod pacijenata sa bubrežnom </w:t>
      </w:r>
      <w:proofErr w:type="spellStart"/>
      <w:r w:rsidRPr="00986187">
        <w:rPr>
          <w:sz w:val="22"/>
          <w:szCs w:val="22"/>
          <w:lang w:val="sr-Latn-ME"/>
        </w:rPr>
        <w:t>insuficijencijom</w:t>
      </w:r>
      <w:proofErr w:type="spellEnd"/>
      <w:r w:rsidRPr="00986187">
        <w:rPr>
          <w:sz w:val="22"/>
          <w:szCs w:val="22"/>
          <w:lang w:val="sr-Latn-ME"/>
        </w:rPr>
        <w:t xml:space="preserve">, uključujući pacijente na </w:t>
      </w:r>
      <w:proofErr w:type="spellStart"/>
      <w:r w:rsidRPr="00986187">
        <w:rPr>
          <w:sz w:val="22"/>
          <w:szCs w:val="22"/>
          <w:lang w:val="sr-Latn-ME"/>
        </w:rPr>
        <w:t>hemodijalizi</w:t>
      </w:r>
      <w:proofErr w:type="spellEnd"/>
      <w:r w:rsidR="00E01A0E" w:rsidRPr="00986187">
        <w:rPr>
          <w:sz w:val="22"/>
          <w:szCs w:val="22"/>
          <w:lang w:val="sr-Latn-ME"/>
        </w:rPr>
        <w:t>, te</w:t>
      </w:r>
      <w:r w:rsidRPr="00986187">
        <w:rPr>
          <w:sz w:val="22"/>
          <w:szCs w:val="22"/>
          <w:lang w:val="sr-Latn-ME"/>
        </w:rPr>
        <w:t xml:space="preserve"> kod osoba sa poremećajem imunog sistema, postoji mogućnost da se nakon primarne imunizacije ne dobije adekvatna koncentracija anti-</w:t>
      </w:r>
      <w:proofErr w:type="spellStart"/>
      <w:r w:rsidRPr="00986187">
        <w:rPr>
          <w:sz w:val="22"/>
          <w:szCs w:val="22"/>
          <w:lang w:val="sr-Latn-ME"/>
        </w:rPr>
        <w:t>HBs</w:t>
      </w:r>
      <w:proofErr w:type="spellEnd"/>
      <w:r w:rsidRPr="00986187">
        <w:rPr>
          <w:sz w:val="22"/>
          <w:szCs w:val="22"/>
          <w:lang w:val="sr-Latn-ME"/>
        </w:rPr>
        <w:t xml:space="preserve"> antitijela, pa može biti potrebna primjena dodatnih doza vakcine.</w:t>
      </w:r>
    </w:p>
    <w:p w14:paraId="6DCD9D9D" w14:textId="77777777" w:rsidR="00143DE6" w:rsidRPr="00986187" w:rsidRDefault="00143DE6" w:rsidP="00F3153C">
      <w:pPr>
        <w:widowControl w:val="0"/>
        <w:ind w:left="720"/>
        <w:jc w:val="both"/>
        <w:rPr>
          <w:sz w:val="22"/>
          <w:szCs w:val="22"/>
          <w:lang w:val="sr-Latn-ME"/>
        </w:rPr>
      </w:pPr>
    </w:p>
    <w:p w14:paraId="1337D350" w14:textId="7EC2C768" w:rsidR="00143DE6" w:rsidRPr="00986187" w:rsidRDefault="00013266" w:rsidP="00F3153C">
      <w:pPr>
        <w:widowControl w:val="0"/>
        <w:jc w:val="both"/>
        <w:rPr>
          <w:sz w:val="22"/>
          <w:szCs w:val="22"/>
          <w:u w:val="single"/>
          <w:lang w:val="sr-Latn-ME"/>
        </w:rPr>
      </w:pPr>
      <w:r w:rsidRPr="00986187">
        <w:rPr>
          <w:sz w:val="22"/>
          <w:szCs w:val="22"/>
          <w:u w:val="single"/>
          <w:lang w:val="sr-Latn-ME"/>
        </w:rPr>
        <w:t>Prijevremeno rođena djeca</w:t>
      </w:r>
    </w:p>
    <w:p w14:paraId="5FB24DB9" w14:textId="77777777" w:rsidR="00143DE6" w:rsidRPr="00986187" w:rsidRDefault="00143DE6" w:rsidP="00F3153C">
      <w:pPr>
        <w:widowControl w:val="0"/>
        <w:jc w:val="both"/>
        <w:rPr>
          <w:sz w:val="22"/>
          <w:szCs w:val="22"/>
          <w:lang w:val="sr-Latn-ME"/>
        </w:rPr>
      </w:pPr>
      <w:r w:rsidRPr="00986187">
        <w:rPr>
          <w:sz w:val="22"/>
          <w:szCs w:val="22"/>
          <w:lang w:val="sr-Latn-ME"/>
        </w:rPr>
        <w:t xml:space="preserve">Potrebno je razmotriti potencijalni rizik od pojave </w:t>
      </w:r>
      <w:proofErr w:type="spellStart"/>
      <w:r w:rsidRPr="00986187">
        <w:rPr>
          <w:sz w:val="22"/>
          <w:szCs w:val="22"/>
          <w:lang w:val="sr-Latn-ME"/>
        </w:rPr>
        <w:t>apneje</w:t>
      </w:r>
      <w:proofErr w:type="spellEnd"/>
      <w:r w:rsidRPr="00986187">
        <w:rPr>
          <w:sz w:val="22"/>
          <w:szCs w:val="22"/>
          <w:lang w:val="sr-Latn-ME"/>
        </w:rPr>
        <w:t xml:space="preserve"> i potrebu za respiratornim monitoringom unutar perioda od 48 do 72 časa nakon primjene primarne imunizacije kod prijevremeno rođenih beba (rođenih prije ili u toku 28. nedjelje </w:t>
      </w:r>
      <w:proofErr w:type="spellStart"/>
      <w:r w:rsidRPr="00986187">
        <w:rPr>
          <w:sz w:val="22"/>
          <w:szCs w:val="22"/>
          <w:lang w:val="sr-Latn-ME"/>
        </w:rPr>
        <w:t>gestacije</w:t>
      </w:r>
      <w:proofErr w:type="spellEnd"/>
      <w:r w:rsidRPr="00986187">
        <w:rPr>
          <w:sz w:val="22"/>
          <w:szCs w:val="22"/>
          <w:lang w:val="sr-Latn-ME"/>
        </w:rPr>
        <w:t xml:space="preserve">) i posebno kod odojčadi sa respiratornom nezrelošću u anamnezi. Budući da je u navedenoj grupi odojčadi korist od vakcinacije velika, primjenu vakcine ne treba obustaviti ili odložiti.   </w:t>
      </w:r>
    </w:p>
    <w:p w14:paraId="359C7AD9" w14:textId="77777777" w:rsidR="00013266" w:rsidRPr="00986187" w:rsidRDefault="00013266" w:rsidP="00F3153C">
      <w:pPr>
        <w:widowControl w:val="0"/>
        <w:jc w:val="both"/>
        <w:rPr>
          <w:sz w:val="22"/>
          <w:szCs w:val="22"/>
          <w:lang w:val="sr-Latn-ME"/>
        </w:rPr>
      </w:pPr>
    </w:p>
    <w:p w14:paraId="31BD9908" w14:textId="61C785A4" w:rsidR="00013266" w:rsidRPr="00986187" w:rsidRDefault="00013266" w:rsidP="00F3153C">
      <w:pPr>
        <w:widowControl w:val="0"/>
        <w:jc w:val="both"/>
        <w:rPr>
          <w:sz w:val="22"/>
          <w:szCs w:val="22"/>
          <w:u w:val="single"/>
          <w:lang w:val="sr-Latn-ME"/>
        </w:rPr>
      </w:pPr>
      <w:r w:rsidRPr="00986187">
        <w:rPr>
          <w:sz w:val="22"/>
          <w:szCs w:val="22"/>
          <w:u w:val="single"/>
          <w:lang w:val="sr-Latn-ME"/>
        </w:rPr>
        <w:t>Sadržaj natrijuma</w:t>
      </w:r>
    </w:p>
    <w:p w14:paraId="012012B3" w14:textId="53D77D6E" w:rsidR="00013266" w:rsidRPr="00986187" w:rsidRDefault="00013266" w:rsidP="00F3153C">
      <w:pPr>
        <w:widowControl w:val="0"/>
        <w:tabs>
          <w:tab w:val="left" w:pos="540"/>
          <w:tab w:val="left" w:pos="569"/>
        </w:tabs>
        <w:rPr>
          <w:bCs/>
          <w:sz w:val="22"/>
          <w:szCs w:val="22"/>
          <w:lang w:val="sr-Latn-ME"/>
        </w:rPr>
      </w:pPr>
      <w:r w:rsidRPr="00986187">
        <w:rPr>
          <w:bCs/>
          <w:sz w:val="22"/>
          <w:szCs w:val="22"/>
          <w:lang w:val="sr-Latn-ME"/>
        </w:rPr>
        <w:t xml:space="preserve">Ova vakcina sadrži manje od 1 </w:t>
      </w:r>
      <w:proofErr w:type="spellStart"/>
      <w:r w:rsidRPr="00986187">
        <w:rPr>
          <w:bCs/>
          <w:sz w:val="22"/>
          <w:szCs w:val="22"/>
          <w:lang w:val="sr-Latn-ME"/>
        </w:rPr>
        <w:t>mmol</w:t>
      </w:r>
      <w:proofErr w:type="spellEnd"/>
      <w:r w:rsidRPr="00986187">
        <w:rPr>
          <w:bCs/>
          <w:sz w:val="22"/>
          <w:szCs w:val="22"/>
          <w:lang w:val="sr-Latn-ME"/>
        </w:rPr>
        <w:t xml:space="preserve"> (23</w:t>
      </w:r>
      <w:r w:rsidR="00735461" w:rsidRPr="00986187">
        <w:rPr>
          <w:bCs/>
          <w:sz w:val="22"/>
          <w:szCs w:val="22"/>
          <w:lang w:val="sr-Latn-ME"/>
        </w:rPr>
        <w:t xml:space="preserve"> </w:t>
      </w:r>
      <w:r w:rsidRPr="00986187">
        <w:rPr>
          <w:bCs/>
          <w:sz w:val="22"/>
          <w:szCs w:val="22"/>
          <w:lang w:val="sr-Latn-ME"/>
        </w:rPr>
        <w:t>mg) natrijuma po dozi, odnosno suštinski je „bez natrijuma“.</w:t>
      </w:r>
    </w:p>
    <w:p w14:paraId="65432D07" w14:textId="467A09D6" w:rsidR="00013266" w:rsidRPr="00986187" w:rsidRDefault="00013266" w:rsidP="00F3153C">
      <w:pPr>
        <w:widowControl w:val="0"/>
        <w:tabs>
          <w:tab w:val="left" w:pos="540"/>
          <w:tab w:val="left" w:pos="569"/>
        </w:tabs>
        <w:rPr>
          <w:bCs/>
          <w:sz w:val="22"/>
          <w:szCs w:val="22"/>
          <w:lang w:val="sr-Latn-ME"/>
        </w:rPr>
      </w:pPr>
    </w:p>
    <w:p w14:paraId="3769FA8D" w14:textId="77777777" w:rsidR="00411B4B" w:rsidRPr="00986187" w:rsidRDefault="00411B4B" w:rsidP="00F3153C">
      <w:pPr>
        <w:widowControl w:val="0"/>
        <w:tabs>
          <w:tab w:val="left" w:pos="540"/>
          <w:tab w:val="left" w:pos="569"/>
        </w:tabs>
        <w:rPr>
          <w:b/>
          <w:bCs/>
          <w:sz w:val="22"/>
          <w:szCs w:val="22"/>
          <w:lang w:val="sr-Latn-ME"/>
        </w:rPr>
      </w:pPr>
      <w:r w:rsidRPr="00986187">
        <w:rPr>
          <w:b/>
          <w:bCs/>
          <w:sz w:val="22"/>
          <w:szCs w:val="22"/>
          <w:lang w:val="sr-Latn-ME"/>
        </w:rPr>
        <w:t>4.5.</w:t>
      </w:r>
      <w:r w:rsidR="000D60CC" w:rsidRPr="00986187">
        <w:rPr>
          <w:b/>
          <w:bCs/>
          <w:sz w:val="22"/>
          <w:szCs w:val="22"/>
          <w:lang w:val="sr-Latn-ME"/>
        </w:rPr>
        <w:tab/>
      </w:r>
      <w:r w:rsidRPr="00986187">
        <w:rPr>
          <w:b/>
          <w:bCs/>
          <w:sz w:val="22"/>
          <w:szCs w:val="22"/>
          <w:lang w:val="sr-Latn-ME"/>
        </w:rPr>
        <w:t>Interakcije sa drugim ljekovima i druge vrste interakcija</w:t>
      </w:r>
    </w:p>
    <w:p w14:paraId="67A5CDA0" w14:textId="77777777" w:rsidR="00FA197A" w:rsidRPr="00986187" w:rsidRDefault="00FA197A" w:rsidP="00F3153C">
      <w:pPr>
        <w:widowControl w:val="0"/>
        <w:tabs>
          <w:tab w:val="left" w:pos="540"/>
          <w:tab w:val="left" w:pos="569"/>
        </w:tabs>
        <w:rPr>
          <w:b/>
          <w:bCs/>
          <w:sz w:val="22"/>
          <w:szCs w:val="22"/>
          <w:lang w:val="sr-Latn-ME"/>
        </w:rPr>
      </w:pPr>
    </w:p>
    <w:p w14:paraId="77BDB6BB" w14:textId="63C2F3FD" w:rsidR="0091541A" w:rsidRPr="00986187" w:rsidRDefault="0091541A" w:rsidP="00F3153C">
      <w:pPr>
        <w:widowControl w:val="0"/>
        <w:jc w:val="both"/>
        <w:rPr>
          <w:sz w:val="22"/>
          <w:szCs w:val="22"/>
          <w:lang w:val="sr-Latn-ME"/>
        </w:rPr>
      </w:pPr>
      <w:r w:rsidRPr="00986187">
        <w:rPr>
          <w:sz w:val="22"/>
          <w:szCs w:val="22"/>
          <w:lang w:val="sr-Latn-ME"/>
        </w:rPr>
        <w:t xml:space="preserve">Istovremena primjena vakcine </w:t>
      </w:r>
      <w:r w:rsidRPr="00986187">
        <w:rPr>
          <w:bCs/>
          <w:sz w:val="22"/>
          <w:szCs w:val="22"/>
          <w:lang w:val="sr-Latn-ME"/>
        </w:rPr>
        <w:t>ENGERIX</w:t>
      </w:r>
      <w:r w:rsidRPr="00986187">
        <w:rPr>
          <w:sz w:val="22"/>
          <w:szCs w:val="22"/>
          <w:lang w:val="sr-Latn-ME"/>
        </w:rPr>
        <w:t xml:space="preserve"> B za djecu i standardne doze </w:t>
      </w:r>
      <w:r w:rsidRPr="00986187">
        <w:rPr>
          <w:color w:val="000000"/>
          <w:sz w:val="22"/>
          <w:szCs w:val="22"/>
          <w:lang w:val="sr-Latn-ME"/>
        </w:rPr>
        <w:t xml:space="preserve">hepatitis B </w:t>
      </w:r>
      <w:proofErr w:type="spellStart"/>
      <w:r w:rsidRPr="00986187">
        <w:rPr>
          <w:color w:val="000000"/>
          <w:sz w:val="22"/>
          <w:szCs w:val="22"/>
          <w:lang w:val="sr-Latn-ME"/>
        </w:rPr>
        <w:t>imunoglobulina</w:t>
      </w:r>
      <w:proofErr w:type="spellEnd"/>
      <w:r w:rsidRPr="00986187">
        <w:rPr>
          <w:color w:val="000000"/>
          <w:sz w:val="22"/>
          <w:szCs w:val="22"/>
          <w:lang w:val="sr-Latn-ME"/>
        </w:rPr>
        <w:t xml:space="preserve"> (</w:t>
      </w:r>
      <w:proofErr w:type="spellStart"/>
      <w:r w:rsidRPr="00986187">
        <w:rPr>
          <w:color w:val="000000"/>
          <w:sz w:val="22"/>
          <w:szCs w:val="22"/>
          <w:lang w:val="sr-Latn-ME"/>
        </w:rPr>
        <w:t>HBIg</w:t>
      </w:r>
      <w:proofErr w:type="spellEnd"/>
      <w:r w:rsidRPr="00986187">
        <w:rPr>
          <w:color w:val="000000"/>
          <w:sz w:val="22"/>
          <w:szCs w:val="22"/>
          <w:lang w:val="sr-Latn-ME"/>
        </w:rPr>
        <w:t>)</w:t>
      </w:r>
      <w:r w:rsidRPr="00986187">
        <w:rPr>
          <w:sz w:val="22"/>
          <w:szCs w:val="22"/>
          <w:lang w:val="sr-Latn-ME"/>
        </w:rPr>
        <w:t xml:space="preserve"> ne dovodi do smanjenja koncentracije anti-</w:t>
      </w:r>
      <w:proofErr w:type="spellStart"/>
      <w:r w:rsidRPr="00986187">
        <w:rPr>
          <w:sz w:val="22"/>
          <w:szCs w:val="22"/>
          <w:lang w:val="sr-Latn-ME"/>
        </w:rPr>
        <w:t>HBs</w:t>
      </w:r>
      <w:proofErr w:type="spellEnd"/>
      <w:r w:rsidRPr="00986187">
        <w:rPr>
          <w:sz w:val="22"/>
          <w:szCs w:val="22"/>
          <w:lang w:val="sr-Latn-ME"/>
        </w:rPr>
        <w:t xml:space="preserve"> antitijela, uz uslov da se vakcina i hepatitis B </w:t>
      </w:r>
      <w:proofErr w:type="spellStart"/>
      <w:r w:rsidRPr="00986187">
        <w:rPr>
          <w:sz w:val="22"/>
          <w:szCs w:val="22"/>
          <w:lang w:val="sr-Latn-ME"/>
        </w:rPr>
        <w:t>imunoglobulini</w:t>
      </w:r>
      <w:proofErr w:type="spellEnd"/>
      <w:r w:rsidRPr="00986187">
        <w:rPr>
          <w:sz w:val="22"/>
          <w:szCs w:val="22"/>
          <w:lang w:val="sr-Latn-ME"/>
        </w:rPr>
        <w:t xml:space="preserve"> </w:t>
      </w:r>
      <w:r w:rsidR="00FA197A" w:rsidRPr="00986187">
        <w:rPr>
          <w:sz w:val="22"/>
          <w:szCs w:val="22"/>
          <w:lang w:val="sr-Latn-ME"/>
        </w:rPr>
        <w:t xml:space="preserve">primjenjuju </w:t>
      </w:r>
      <w:r w:rsidRPr="00986187">
        <w:rPr>
          <w:sz w:val="22"/>
          <w:szCs w:val="22"/>
          <w:lang w:val="sr-Latn-ME"/>
        </w:rPr>
        <w:t xml:space="preserve">na različitim mjestima </w:t>
      </w:r>
      <w:proofErr w:type="spellStart"/>
      <w:r w:rsidR="00FA197A" w:rsidRPr="00986187">
        <w:rPr>
          <w:sz w:val="22"/>
          <w:szCs w:val="22"/>
          <w:lang w:val="sr-Latn-ME"/>
        </w:rPr>
        <w:t>injiciranja</w:t>
      </w:r>
      <w:proofErr w:type="spellEnd"/>
      <w:r w:rsidRPr="00986187">
        <w:rPr>
          <w:sz w:val="22"/>
          <w:szCs w:val="22"/>
          <w:lang w:val="sr-Latn-ME"/>
        </w:rPr>
        <w:t>.</w:t>
      </w:r>
    </w:p>
    <w:p w14:paraId="44181706" w14:textId="77777777" w:rsidR="0091541A" w:rsidRPr="00986187" w:rsidRDefault="0091541A" w:rsidP="00F3153C">
      <w:pPr>
        <w:widowControl w:val="0"/>
        <w:ind w:left="720"/>
        <w:jc w:val="both"/>
        <w:rPr>
          <w:sz w:val="22"/>
          <w:szCs w:val="22"/>
          <w:lang w:val="sr-Latn-ME"/>
        </w:rPr>
      </w:pPr>
    </w:p>
    <w:p w14:paraId="6B381B04" w14:textId="77777777" w:rsidR="0091541A" w:rsidRPr="00986187" w:rsidRDefault="0091541A" w:rsidP="00F3153C">
      <w:pPr>
        <w:widowControl w:val="0"/>
        <w:jc w:val="both"/>
        <w:rPr>
          <w:sz w:val="22"/>
          <w:szCs w:val="22"/>
          <w:lang w:val="sr-Latn-ME"/>
        </w:rPr>
      </w:pPr>
      <w:r w:rsidRPr="00986187">
        <w:rPr>
          <w:sz w:val="22"/>
          <w:szCs w:val="22"/>
          <w:lang w:val="sr-Latn-ME"/>
        </w:rPr>
        <w:t xml:space="preserve">Vakcina </w:t>
      </w:r>
      <w:r w:rsidRPr="00986187">
        <w:rPr>
          <w:bCs/>
          <w:sz w:val="22"/>
          <w:szCs w:val="22"/>
          <w:lang w:val="sr-Latn-ME"/>
        </w:rPr>
        <w:t>ENGERIX</w:t>
      </w:r>
      <w:r w:rsidRPr="00986187">
        <w:rPr>
          <w:sz w:val="22"/>
          <w:szCs w:val="22"/>
          <w:lang w:val="sr-Latn-ME"/>
        </w:rPr>
        <w:t xml:space="preserve"> B za djecu se može istovremeno primjenjivati sa vakcinama protiv </w:t>
      </w:r>
      <w:proofErr w:type="spellStart"/>
      <w:r w:rsidRPr="00986187">
        <w:rPr>
          <w:i/>
          <w:sz w:val="22"/>
          <w:szCs w:val="22"/>
          <w:lang w:val="sr-Latn-ME"/>
        </w:rPr>
        <w:t>Haemophilus</w:t>
      </w:r>
      <w:proofErr w:type="spellEnd"/>
      <w:r w:rsidRPr="00986187">
        <w:rPr>
          <w:i/>
          <w:sz w:val="22"/>
          <w:szCs w:val="22"/>
          <w:lang w:val="sr-Latn-ME"/>
        </w:rPr>
        <w:t xml:space="preserve"> </w:t>
      </w:r>
      <w:proofErr w:type="spellStart"/>
      <w:r w:rsidRPr="00986187">
        <w:rPr>
          <w:i/>
          <w:sz w:val="22"/>
          <w:szCs w:val="22"/>
          <w:lang w:val="sr-Latn-ME"/>
        </w:rPr>
        <w:t>influenzae</w:t>
      </w:r>
      <w:proofErr w:type="spellEnd"/>
      <w:r w:rsidRPr="00986187">
        <w:rPr>
          <w:sz w:val="22"/>
          <w:szCs w:val="22"/>
          <w:lang w:val="sr-Latn-ME"/>
        </w:rPr>
        <w:t xml:space="preserve"> tip b, protiv hepatitisa A, BCG vakcinom, vakcinama protiv poliomijelitisa, </w:t>
      </w:r>
      <w:proofErr w:type="spellStart"/>
      <w:r w:rsidRPr="00986187">
        <w:rPr>
          <w:sz w:val="22"/>
          <w:szCs w:val="22"/>
          <w:lang w:val="sr-Latn-ME"/>
        </w:rPr>
        <w:t>morbila</w:t>
      </w:r>
      <w:proofErr w:type="spellEnd"/>
      <w:r w:rsidRPr="00986187">
        <w:rPr>
          <w:sz w:val="22"/>
          <w:szCs w:val="22"/>
          <w:lang w:val="sr-Latn-ME"/>
        </w:rPr>
        <w:t xml:space="preserve">, zauški, </w:t>
      </w:r>
      <w:proofErr w:type="spellStart"/>
      <w:r w:rsidRPr="00986187">
        <w:rPr>
          <w:sz w:val="22"/>
          <w:szCs w:val="22"/>
          <w:lang w:val="sr-Latn-ME"/>
        </w:rPr>
        <w:t>rubele</w:t>
      </w:r>
      <w:proofErr w:type="spellEnd"/>
      <w:r w:rsidRPr="00986187">
        <w:rPr>
          <w:sz w:val="22"/>
          <w:szCs w:val="22"/>
          <w:lang w:val="sr-Latn-ME"/>
        </w:rPr>
        <w:t xml:space="preserve">, difterije, tetanusa i </w:t>
      </w:r>
      <w:proofErr w:type="spellStart"/>
      <w:r w:rsidRPr="00986187">
        <w:rPr>
          <w:sz w:val="22"/>
          <w:szCs w:val="22"/>
          <w:lang w:val="sr-Latn-ME"/>
        </w:rPr>
        <w:t>pertusisa</w:t>
      </w:r>
      <w:proofErr w:type="spellEnd"/>
      <w:r w:rsidRPr="00986187">
        <w:rPr>
          <w:sz w:val="22"/>
          <w:szCs w:val="22"/>
          <w:lang w:val="sr-Latn-ME"/>
        </w:rPr>
        <w:t>.</w:t>
      </w:r>
    </w:p>
    <w:p w14:paraId="6271607D" w14:textId="77777777" w:rsidR="0091541A" w:rsidRPr="00986187" w:rsidRDefault="0091541A" w:rsidP="00F3153C">
      <w:pPr>
        <w:widowControl w:val="0"/>
        <w:jc w:val="both"/>
        <w:rPr>
          <w:sz w:val="22"/>
          <w:szCs w:val="22"/>
          <w:lang w:val="sr-Latn-ME"/>
        </w:rPr>
      </w:pPr>
    </w:p>
    <w:p w14:paraId="328F74F3" w14:textId="218050F3" w:rsidR="0091541A" w:rsidRPr="00986187" w:rsidRDefault="0091541A" w:rsidP="00F3153C">
      <w:pPr>
        <w:widowControl w:val="0"/>
        <w:jc w:val="both"/>
        <w:rPr>
          <w:sz w:val="22"/>
          <w:szCs w:val="22"/>
          <w:lang w:val="sr-Latn-ME"/>
        </w:rPr>
      </w:pPr>
      <w:r w:rsidRPr="00986187">
        <w:rPr>
          <w:sz w:val="22"/>
          <w:szCs w:val="22"/>
          <w:lang w:val="sr-Latn-ME"/>
        </w:rPr>
        <w:t xml:space="preserve">Vakcina ENGERIX B se može istovremeno primijeniti sa vakcinom protiv humanog papiloma virusa (HPV). Istovremenom primjenom vakcine ENGERIX B i vakcine </w:t>
      </w:r>
      <w:proofErr w:type="spellStart"/>
      <w:r w:rsidRPr="00986187">
        <w:rPr>
          <w:sz w:val="22"/>
          <w:szCs w:val="22"/>
          <w:lang w:val="sr-Latn-ME"/>
        </w:rPr>
        <w:t>Cervarix</w:t>
      </w:r>
      <w:proofErr w:type="spellEnd"/>
      <w:r w:rsidRPr="00986187">
        <w:rPr>
          <w:sz w:val="22"/>
          <w:szCs w:val="22"/>
          <w:vertAlign w:val="superscript"/>
          <w:lang w:val="sr-Latn-ME"/>
        </w:rPr>
        <w:t xml:space="preserve">® </w:t>
      </w:r>
      <w:r w:rsidRPr="00986187">
        <w:rPr>
          <w:sz w:val="22"/>
          <w:szCs w:val="22"/>
          <w:lang w:val="sr-Latn-ME"/>
        </w:rPr>
        <w:t xml:space="preserve">(HPV vakcina) nije pokazana klinički značajna interferencija u stvaranju antitijela na HPV </w:t>
      </w:r>
      <w:proofErr w:type="spellStart"/>
      <w:r w:rsidRPr="00986187">
        <w:rPr>
          <w:sz w:val="22"/>
          <w:szCs w:val="22"/>
          <w:lang w:val="sr-Latn-ME"/>
        </w:rPr>
        <w:t>antigene</w:t>
      </w:r>
      <w:proofErr w:type="spellEnd"/>
      <w:r w:rsidRPr="00986187">
        <w:rPr>
          <w:sz w:val="22"/>
          <w:szCs w:val="22"/>
          <w:lang w:val="sr-Latn-ME"/>
        </w:rPr>
        <w:t xml:space="preserve">. </w:t>
      </w:r>
      <w:r w:rsidR="00FA197A" w:rsidRPr="00986187">
        <w:rPr>
          <w:sz w:val="22"/>
          <w:szCs w:val="22"/>
          <w:lang w:val="sr-Latn-ME"/>
        </w:rPr>
        <w:t>G</w:t>
      </w:r>
      <w:r w:rsidRPr="00986187">
        <w:rPr>
          <w:sz w:val="22"/>
          <w:szCs w:val="22"/>
          <w:lang w:val="sr-Latn-ME"/>
        </w:rPr>
        <w:t>eometrijsk</w:t>
      </w:r>
      <w:r w:rsidR="00FA197A" w:rsidRPr="00986187">
        <w:rPr>
          <w:sz w:val="22"/>
          <w:szCs w:val="22"/>
          <w:lang w:val="sr-Latn-ME"/>
        </w:rPr>
        <w:t>a</w:t>
      </w:r>
      <w:r w:rsidRPr="00986187">
        <w:rPr>
          <w:sz w:val="22"/>
          <w:szCs w:val="22"/>
          <w:lang w:val="sr-Latn-ME"/>
        </w:rPr>
        <w:t xml:space="preserve"> </w:t>
      </w:r>
      <w:r w:rsidR="00FA197A" w:rsidRPr="00986187">
        <w:rPr>
          <w:sz w:val="22"/>
          <w:szCs w:val="22"/>
          <w:lang w:val="sr-Latn-ME"/>
        </w:rPr>
        <w:t xml:space="preserve">srednja </w:t>
      </w:r>
      <w:r w:rsidRPr="00986187">
        <w:rPr>
          <w:sz w:val="22"/>
          <w:szCs w:val="22"/>
          <w:lang w:val="sr-Latn-ME"/>
        </w:rPr>
        <w:t xml:space="preserve">vrijednost </w:t>
      </w:r>
      <w:r w:rsidR="00FA197A" w:rsidRPr="00986187">
        <w:rPr>
          <w:sz w:val="22"/>
          <w:szCs w:val="22"/>
          <w:lang w:val="sr-Latn-ME"/>
        </w:rPr>
        <w:t xml:space="preserve">koncentracije </w:t>
      </w:r>
      <w:r w:rsidRPr="00986187">
        <w:rPr>
          <w:sz w:val="22"/>
          <w:szCs w:val="22"/>
          <w:lang w:val="sr-Latn-ME"/>
        </w:rPr>
        <w:t>anti-HBS antitijela, nakon istovremene primjene navedenih vakcina, bil</w:t>
      </w:r>
      <w:r w:rsidR="00FA197A" w:rsidRPr="00986187">
        <w:rPr>
          <w:sz w:val="22"/>
          <w:szCs w:val="22"/>
          <w:lang w:val="sr-Latn-ME"/>
        </w:rPr>
        <w:t>a</w:t>
      </w:r>
      <w:r w:rsidRPr="00986187">
        <w:rPr>
          <w:sz w:val="22"/>
          <w:szCs w:val="22"/>
          <w:lang w:val="sr-Latn-ME"/>
        </w:rPr>
        <w:t xml:space="preserve"> </w:t>
      </w:r>
      <w:r w:rsidR="00FA197A" w:rsidRPr="00986187">
        <w:rPr>
          <w:sz w:val="22"/>
          <w:szCs w:val="22"/>
          <w:lang w:val="sr-Latn-ME"/>
        </w:rPr>
        <w:t>je niža</w:t>
      </w:r>
      <w:r w:rsidRPr="00986187">
        <w:rPr>
          <w:sz w:val="22"/>
          <w:szCs w:val="22"/>
          <w:lang w:val="sr-Latn-ME"/>
        </w:rPr>
        <w:t xml:space="preserve">, međutim klinički značaj </w:t>
      </w:r>
      <w:r w:rsidR="00FA197A" w:rsidRPr="00986187">
        <w:rPr>
          <w:sz w:val="22"/>
          <w:szCs w:val="22"/>
          <w:lang w:val="sr-Latn-ME"/>
        </w:rPr>
        <w:t xml:space="preserve">ovog </w:t>
      </w:r>
      <w:r w:rsidRPr="00986187">
        <w:rPr>
          <w:sz w:val="22"/>
          <w:szCs w:val="22"/>
          <w:lang w:val="sr-Latn-ME"/>
        </w:rPr>
        <w:t xml:space="preserve">zapažanja nije poznat s obzirom na to da </w:t>
      </w:r>
      <w:proofErr w:type="spellStart"/>
      <w:r w:rsidRPr="00986187">
        <w:rPr>
          <w:sz w:val="22"/>
          <w:szCs w:val="22"/>
          <w:lang w:val="sr-Latn-ME"/>
        </w:rPr>
        <w:t>seroprotektivni</w:t>
      </w:r>
      <w:proofErr w:type="spellEnd"/>
      <w:r w:rsidRPr="00986187">
        <w:rPr>
          <w:sz w:val="22"/>
          <w:szCs w:val="22"/>
          <w:lang w:val="sr-Latn-ME"/>
        </w:rPr>
        <w:t xml:space="preserve"> nivoi ostaju </w:t>
      </w:r>
      <w:proofErr w:type="spellStart"/>
      <w:r w:rsidRPr="00986187">
        <w:rPr>
          <w:sz w:val="22"/>
          <w:szCs w:val="22"/>
          <w:lang w:val="sr-Latn-ME"/>
        </w:rPr>
        <w:t>nepromijenjeni</w:t>
      </w:r>
      <w:proofErr w:type="spellEnd"/>
      <w:r w:rsidRPr="00986187">
        <w:rPr>
          <w:sz w:val="22"/>
          <w:szCs w:val="22"/>
          <w:lang w:val="sr-Latn-ME"/>
        </w:rPr>
        <w:t>. Procenat osoba koje su postigle koncentraciju anti-</w:t>
      </w:r>
      <w:proofErr w:type="spellStart"/>
      <w:r w:rsidRPr="00986187">
        <w:rPr>
          <w:sz w:val="22"/>
          <w:szCs w:val="22"/>
          <w:lang w:val="sr-Latn-ME"/>
        </w:rPr>
        <w:t>HBs</w:t>
      </w:r>
      <w:proofErr w:type="spellEnd"/>
      <w:r w:rsidRPr="00986187">
        <w:rPr>
          <w:sz w:val="22"/>
          <w:szCs w:val="22"/>
          <w:lang w:val="sr-Latn-ME"/>
        </w:rPr>
        <w:t xml:space="preserve"> antitijela ≥ 10</w:t>
      </w:r>
      <w:r w:rsidR="00CF6512" w:rsidRPr="00986187">
        <w:rPr>
          <w:sz w:val="22"/>
          <w:szCs w:val="22"/>
          <w:lang w:val="sr-Latn-ME"/>
        </w:rPr>
        <w:t xml:space="preserve"> </w:t>
      </w:r>
      <w:proofErr w:type="spellStart"/>
      <w:r w:rsidRPr="00986187">
        <w:rPr>
          <w:sz w:val="22"/>
          <w:szCs w:val="22"/>
          <w:lang w:val="sr-Latn-ME"/>
        </w:rPr>
        <w:t>mIJ</w:t>
      </w:r>
      <w:proofErr w:type="spellEnd"/>
      <w:r w:rsidRPr="00986187">
        <w:rPr>
          <w:sz w:val="22"/>
          <w:szCs w:val="22"/>
          <w:lang w:val="sr-Latn-ME"/>
        </w:rPr>
        <w:t xml:space="preserve">/ml iznosio je 97.9% nakon istovremene </w:t>
      </w:r>
      <w:r w:rsidR="00FA197A" w:rsidRPr="00986187">
        <w:rPr>
          <w:sz w:val="22"/>
          <w:szCs w:val="22"/>
          <w:lang w:val="sr-Latn-ME"/>
        </w:rPr>
        <w:t>vakcinacije</w:t>
      </w:r>
      <w:r w:rsidRPr="00986187">
        <w:rPr>
          <w:sz w:val="22"/>
          <w:szCs w:val="22"/>
          <w:lang w:val="sr-Latn-ME"/>
        </w:rPr>
        <w:t xml:space="preserve"> i 100% nakon primjene vakcine </w:t>
      </w:r>
      <w:r w:rsidRPr="00986187">
        <w:rPr>
          <w:bCs/>
          <w:sz w:val="22"/>
          <w:szCs w:val="22"/>
          <w:lang w:val="sr-Latn-ME"/>
        </w:rPr>
        <w:t>ENGERIX</w:t>
      </w:r>
      <w:r w:rsidRPr="00986187">
        <w:rPr>
          <w:sz w:val="22"/>
          <w:szCs w:val="22"/>
          <w:lang w:val="sr-Latn-ME"/>
        </w:rPr>
        <w:t xml:space="preserve"> B.</w:t>
      </w:r>
    </w:p>
    <w:p w14:paraId="44866A70" w14:textId="77777777" w:rsidR="0091541A" w:rsidRPr="00986187" w:rsidRDefault="0091541A" w:rsidP="00F3153C">
      <w:pPr>
        <w:widowControl w:val="0"/>
        <w:ind w:left="720"/>
        <w:jc w:val="both"/>
        <w:rPr>
          <w:sz w:val="22"/>
          <w:szCs w:val="22"/>
          <w:lang w:val="sr-Latn-ME"/>
        </w:rPr>
      </w:pPr>
    </w:p>
    <w:p w14:paraId="73AE348F" w14:textId="7CF33AEC" w:rsidR="0091541A" w:rsidRPr="00986187" w:rsidRDefault="0091541A" w:rsidP="00F3153C">
      <w:pPr>
        <w:widowControl w:val="0"/>
        <w:jc w:val="both"/>
        <w:rPr>
          <w:sz w:val="22"/>
          <w:szCs w:val="22"/>
          <w:lang w:val="sr-Latn-ME"/>
        </w:rPr>
      </w:pPr>
      <w:r w:rsidRPr="00986187">
        <w:rPr>
          <w:sz w:val="22"/>
          <w:szCs w:val="22"/>
          <w:lang w:val="sr-Latn-ME"/>
        </w:rPr>
        <w:t xml:space="preserve">Različite vakcine koje se primjenjuju injekcionim putem, potrebno je uvijek </w:t>
      </w:r>
      <w:r w:rsidR="00FA197A" w:rsidRPr="00986187">
        <w:rPr>
          <w:sz w:val="22"/>
          <w:szCs w:val="22"/>
          <w:lang w:val="sr-Latn-ME"/>
        </w:rPr>
        <w:t xml:space="preserve">primijeniti </w:t>
      </w:r>
      <w:r w:rsidRPr="00986187">
        <w:rPr>
          <w:sz w:val="22"/>
          <w:szCs w:val="22"/>
          <w:lang w:val="sr-Latn-ME"/>
        </w:rPr>
        <w:t xml:space="preserve">na različitim mjestima </w:t>
      </w:r>
      <w:proofErr w:type="spellStart"/>
      <w:r w:rsidR="00FA197A" w:rsidRPr="00986187">
        <w:rPr>
          <w:sz w:val="22"/>
          <w:szCs w:val="22"/>
          <w:lang w:val="sr-Latn-ME"/>
        </w:rPr>
        <w:t>injiciranja</w:t>
      </w:r>
      <w:proofErr w:type="spellEnd"/>
      <w:r w:rsidRPr="00986187">
        <w:rPr>
          <w:sz w:val="22"/>
          <w:szCs w:val="22"/>
          <w:lang w:val="sr-Latn-ME"/>
        </w:rPr>
        <w:t>.</w:t>
      </w:r>
    </w:p>
    <w:p w14:paraId="7D234509" w14:textId="77777777" w:rsidR="0091541A" w:rsidRPr="00986187" w:rsidRDefault="0091541A" w:rsidP="00F3153C">
      <w:pPr>
        <w:widowControl w:val="0"/>
        <w:ind w:left="720"/>
        <w:jc w:val="both"/>
        <w:rPr>
          <w:sz w:val="22"/>
          <w:szCs w:val="22"/>
          <w:lang w:val="sr-Latn-ME"/>
        </w:rPr>
      </w:pPr>
    </w:p>
    <w:p w14:paraId="4D1C6A79" w14:textId="0B75A748" w:rsidR="00E501A9" w:rsidRPr="00986187" w:rsidRDefault="00E501A9" w:rsidP="00F3153C">
      <w:pPr>
        <w:widowControl w:val="0"/>
        <w:tabs>
          <w:tab w:val="left" w:pos="540"/>
          <w:tab w:val="left" w:pos="569"/>
        </w:tabs>
        <w:jc w:val="both"/>
        <w:rPr>
          <w:sz w:val="22"/>
          <w:szCs w:val="22"/>
          <w:lang w:val="sr-Latn-ME"/>
        </w:rPr>
      </w:pPr>
      <w:r w:rsidRPr="00986187">
        <w:rPr>
          <w:sz w:val="22"/>
          <w:szCs w:val="22"/>
          <w:lang w:val="sr-Latn-ME"/>
        </w:rPr>
        <w:t xml:space="preserve">Vakcina </w:t>
      </w:r>
      <w:r w:rsidRPr="00986187">
        <w:rPr>
          <w:bCs/>
          <w:sz w:val="22"/>
          <w:szCs w:val="22"/>
          <w:lang w:val="sr-Latn-ME"/>
        </w:rPr>
        <w:t>ENGERIX</w:t>
      </w:r>
      <w:r w:rsidRPr="00986187">
        <w:rPr>
          <w:sz w:val="22"/>
          <w:szCs w:val="22"/>
          <w:lang w:val="sr-Latn-ME"/>
        </w:rPr>
        <w:t xml:space="preserve"> B za djecu može se koristiti za kompletiranje primarne imunizacije koja je započeta bilo kojom vakcinom protiv hepatitisa B dobijenom ili iz plazme ili genetskim inž</w:t>
      </w:r>
      <w:r w:rsidR="000C55AD" w:rsidRPr="00986187">
        <w:rPr>
          <w:sz w:val="22"/>
          <w:szCs w:val="22"/>
          <w:lang w:val="sr-Latn-ME"/>
        </w:rPr>
        <w:t>e</w:t>
      </w:r>
      <w:r w:rsidRPr="00986187">
        <w:rPr>
          <w:sz w:val="22"/>
          <w:szCs w:val="22"/>
          <w:lang w:val="sr-Latn-ME"/>
        </w:rPr>
        <w:t xml:space="preserve">njeringom. Vakcina ENGERIX B se može primijeniti kao </w:t>
      </w:r>
      <w:proofErr w:type="spellStart"/>
      <w:r w:rsidRPr="00986187">
        <w:rPr>
          <w:sz w:val="22"/>
          <w:szCs w:val="22"/>
          <w:lang w:val="sr-Latn-ME"/>
        </w:rPr>
        <w:t>buster</w:t>
      </w:r>
      <w:proofErr w:type="spellEnd"/>
      <w:r w:rsidRPr="00986187">
        <w:rPr>
          <w:sz w:val="22"/>
          <w:szCs w:val="22"/>
          <w:lang w:val="sr-Latn-ME"/>
        </w:rPr>
        <w:t xml:space="preserve"> doza kod osoba kod kojih je primarna imunizacija sprovedena nekom drugom vakcinom protiv hepatitisa B dobijenom ili iz plazme ili genetskim inž</w:t>
      </w:r>
      <w:r w:rsidR="000C55AD" w:rsidRPr="00986187">
        <w:rPr>
          <w:sz w:val="22"/>
          <w:szCs w:val="22"/>
          <w:lang w:val="sr-Latn-ME"/>
        </w:rPr>
        <w:t>e</w:t>
      </w:r>
      <w:r w:rsidRPr="00986187">
        <w:rPr>
          <w:sz w:val="22"/>
          <w:szCs w:val="22"/>
          <w:lang w:val="sr-Latn-ME"/>
        </w:rPr>
        <w:t>njeringom.</w:t>
      </w:r>
    </w:p>
    <w:p w14:paraId="562D75B4" w14:textId="77777777" w:rsidR="0072020E" w:rsidRPr="00986187" w:rsidRDefault="0072020E" w:rsidP="00F3153C">
      <w:pPr>
        <w:widowControl w:val="0"/>
        <w:tabs>
          <w:tab w:val="left" w:pos="540"/>
          <w:tab w:val="left" w:pos="569"/>
        </w:tabs>
        <w:rPr>
          <w:bCs/>
          <w:sz w:val="22"/>
          <w:szCs w:val="22"/>
          <w:lang w:val="sr-Latn-ME"/>
        </w:rPr>
      </w:pPr>
    </w:p>
    <w:p w14:paraId="195A3749" w14:textId="0DDB4DDB" w:rsidR="002A0D9C" w:rsidRPr="00986187" w:rsidRDefault="002A0D9C" w:rsidP="00F3153C">
      <w:pPr>
        <w:widowControl w:val="0"/>
        <w:tabs>
          <w:tab w:val="left" w:pos="540"/>
          <w:tab w:val="left" w:pos="569"/>
        </w:tabs>
        <w:jc w:val="both"/>
        <w:rPr>
          <w:bCs/>
          <w:sz w:val="22"/>
          <w:szCs w:val="22"/>
          <w:lang w:val="sr-Latn-ME"/>
        </w:rPr>
      </w:pPr>
      <w:r w:rsidRPr="00986187">
        <w:rPr>
          <w:bCs/>
          <w:sz w:val="22"/>
          <w:szCs w:val="22"/>
          <w:lang w:val="sr-Latn-ME"/>
        </w:rPr>
        <w:t xml:space="preserve">Može se očekivati da se kod pacijenata koji primaju </w:t>
      </w:r>
      <w:proofErr w:type="spellStart"/>
      <w:r w:rsidRPr="00986187">
        <w:rPr>
          <w:bCs/>
          <w:sz w:val="22"/>
          <w:szCs w:val="22"/>
          <w:lang w:val="sr-Latn-ME"/>
        </w:rPr>
        <w:t>imunosupresi</w:t>
      </w:r>
      <w:r w:rsidR="00735461" w:rsidRPr="00986187">
        <w:rPr>
          <w:bCs/>
          <w:sz w:val="22"/>
          <w:szCs w:val="22"/>
          <w:lang w:val="sr-Latn-ME"/>
        </w:rPr>
        <w:t>v</w:t>
      </w:r>
      <w:r w:rsidRPr="00986187">
        <w:rPr>
          <w:bCs/>
          <w:sz w:val="22"/>
          <w:szCs w:val="22"/>
          <w:lang w:val="sr-Latn-ME"/>
        </w:rPr>
        <w:t>nu</w:t>
      </w:r>
      <w:proofErr w:type="spellEnd"/>
      <w:r w:rsidRPr="00986187">
        <w:rPr>
          <w:bCs/>
          <w:sz w:val="22"/>
          <w:szCs w:val="22"/>
          <w:lang w:val="sr-Latn-ME"/>
        </w:rPr>
        <w:t xml:space="preserve"> terapiju ili kod pacijenata s </w:t>
      </w:r>
      <w:proofErr w:type="spellStart"/>
      <w:r w:rsidRPr="00986187">
        <w:rPr>
          <w:bCs/>
          <w:sz w:val="22"/>
          <w:szCs w:val="22"/>
          <w:lang w:val="sr-Latn-ME"/>
        </w:rPr>
        <w:t>imunodeficijencijom</w:t>
      </w:r>
      <w:proofErr w:type="spellEnd"/>
      <w:r w:rsidRPr="00986187">
        <w:rPr>
          <w:bCs/>
          <w:sz w:val="22"/>
          <w:szCs w:val="22"/>
          <w:lang w:val="sr-Latn-ME"/>
        </w:rPr>
        <w:t xml:space="preserve"> možda neće postići adekvatan imuni odgovor (vidjeti dio 4.4).</w:t>
      </w:r>
    </w:p>
    <w:p w14:paraId="2E71DD9F" w14:textId="77777777" w:rsidR="002A0D9C" w:rsidRPr="00986187" w:rsidRDefault="002A0D9C" w:rsidP="00F3153C">
      <w:pPr>
        <w:widowControl w:val="0"/>
        <w:tabs>
          <w:tab w:val="left" w:pos="540"/>
          <w:tab w:val="left" w:pos="569"/>
        </w:tabs>
        <w:rPr>
          <w:bCs/>
          <w:sz w:val="22"/>
          <w:szCs w:val="22"/>
          <w:lang w:val="sr-Latn-ME"/>
        </w:rPr>
      </w:pPr>
    </w:p>
    <w:p w14:paraId="29095AC0" w14:textId="77777777" w:rsidR="0072020E" w:rsidRPr="00986187" w:rsidRDefault="0072020E" w:rsidP="00F3153C">
      <w:pPr>
        <w:widowControl w:val="0"/>
        <w:tabs>
          <w:tab w:val="left" w:pos="540"/>
          <w:tab w:val="left" w:pos="569"/>
        </w:tabs>
        <w:rPr>
          <w:b/>
          <w:sz w:val="22"/>
          <w:szCs w:val="22"/>
          <w:lang w:val="sr-Latn-ME"/>
        </w:rPr>
      </w:pPr>
      <w:r w:rsidRPr="00986187">
        <w:rPr>
          <w:b/>
          <w:bCs/>
          <w:sz w:val="22"/>
          <w:szCs w:val="22"/>
          <w:lang w:val="sr-Latn-ME"/>
        </w:rPr>
        <w:t xml:space="preserve">4.6. </w:t>
      </w:r>
      <w:r w:rsidR="00480FB1" w:rsidRPr="00986187">
        <w:rPr>
          <w:b/>
          <w:bCs/>
          <w:sz w:val="22"/>
          <w:szCs w:val="22"/>
          <w:lang w:val="sr-Latn-ME"/>
        </w:rPr>
        <w:tab/>
      </w:r>
      <w:r w:rsidR="006D20A5" w:rsidRPr="00986187">
        <w:rPr>
          <w:b/>
          <w:sz w:val="22"/>
          <w:szCs w:val="22"/>
          <w:lang w:val="sr-Latn-ME"/>
        </w:rPr>
        <w:t>Plodnost, trudnoća i dojenje</w:t>
      </w:r>
    </w:p>
    <w:p w14:paraId="66EB41DA" w14:textId="77777777" w:rsidR="002031B3" w:rsidRPr="00986187" w:rsidRDefault="002031B3" w:rsidP="00F3153C">
      <w:pPr>
        <w:widowControl w:val="0"/>
        <w:tabs>
          <w:tab w:val="left" w:pos="540"/>
          <w:tab w:val="left" w:pos="569"/>
        </w:tabs>
        <w:rPr>
          <w:sz w:val="22"/>
          <w:szCs w:val="22"/>
          <w:u w:val="single"/>
          <w:lang w:val="sr-Latn-ME"/>
        </w:rPr>
      </w:pPr>
    </w:p>
    <w:p w14:paraId="5E37BAE5" w14:textId="77777777" w:rsidR="00FA197A" w:rsidRPr="00986187" w:rsidRDefault="00FA197A" w:rsidP="00F3153C">
      <w:pPr>
        <w:widowControl w:val="0"/>
        <w:tabs>
          <w:tab w:val="left" w:pos="540"/>
          <w:tab w:val="left" w:pos="569"/>
        </w:tabs>
        <w:rPr>
          <w:sz w:val="22"/>
          <w:szCs w:val="22"/>
          <w:u w:val="single"/>
          <w:lang w:val="sr-Latn-ME"/>
        </w:rPr>
      </w:pPr>
      <w:r w:rsidRPr="00986187">
        <w:rPr>
          <w:sz w:val="22"/>
          <w:szCs w:val="22"/>
          <w:u w:val="single"/>
          <w:lang w:val="sr-Latn-ME"/>
        </w:rPr>
        <w:t>Plodnost</w:t>
      </w:r>
    </w:p>
    <w:p w14:paraId="1B09B8FD" w14:textId="77777777" w:rsidR="00FA197A" w:rsidRPr="00986187" w:rsidRDefault="00FA197A" w:rsidP="00F3153C">
      <w:pPr>
        <w:widowControl w:val="0"/>
        <w:jc w:val="both"/>
        <w:rPr>
          <w:sz w:val="22"/>
          <w:szCs w:val="22"/>
          <w:lang w:val="sr-Latn-ME"/>
        </w:rPr>
      </w:pPr>
      <w:r w:rsidRPr="00986187">
        <w:rPr>
          <w:sz w:val="22"/>
          <w:szCs w:val="22"/>
          <w:lang w:val="sr-Latn-ME"/>
        </w:rPr>
        <w:t xml:space="preserve">Primjena vakcine </w:t>
      </w:r>
      <w:r w:rsidRPr="00986187">
        <w:rPr>
          <w:bCs/>
          <w:sz w:val="22"/>
          <w:szCs w:val="22"/>
          <w:lang w:val="sr-Latn-ME"/>
        </w:rPr>
        <w:t>ENGERIX</w:t>
      </w:r>
      <w:r w:rsidRPr="00986187">
        <w:rPr>
          <w:sz w:val="22"/>
          <w:szCs w:val="22"/>
          <w:lang w:val="sr-Latn-ME"/>
        </w:rPr>
        <w:t xml:space="preserve"> B za djecu nije procjenjivana u studijama koje se odnose na fertilitet.</w:t>
      </w:r>
    </w:p>
    <w:p w14:paraId="7BABD7C8" w14:textId="77777777" w:rsidR="00FA197A" w:rsidRPr="00986187" w:rsidRDefault="00FA197A" w:rsidP="00F3153C">
      <w:pPr>
        <w:widowControl w:val="0"/>
        <w:jc w:val="both"/>
        <w:rPr>
          <w:sz w:val="22"/>
          <w:szCs w:val="22"/>
          <w:lang w:val="sr-Latn-ME"/>
        </w:rPr>
      </w:pPr>
    </w:p>
    <w:p w14:paraId="6A4A3AAF" w14:textId="77777777" w:rsidR="007A3ECB" w:rsidRPr="00986187" w:rsidRDefault="007A3ECB" w:rsidP="00F3153C">
      <w:pPr>
        <w:widowControl w:val="0"/>
        <w:tabs>
          <w:tab w:val="left" w:pos="540"/>
          <w:tab w:val="left" w:pos="569"/>
        </w:tabs>
        <w:rPr>
          <w:sz w:val="22"/>
          <w:szCs w:val="22"/>
          <w:u w:val="single"/>
          <w:lang w:val="sr-Latn-ME"/>
        </w:rPr>
      </w:pPr>
      <w:r w:rsidRPr="00986187">
        <w:rPr>
          <w:sz w:val="22"/>
          <w:szCs w:val="22"/>
          <w:u w:val="single"/>
          <w:lang w:val="sr-Latn-ME"/>
        </w:rPr>
        <w:t>Trudnoća</w:t>
      </w:r>
    </w:p>
    <w:p w14:paraId="3CBA3A65" w14:textId="77777777" w:rsidR="009F181F" w:rsidRPr="00986187" w:rsidRDefault="009F181F" w:rsidP="00F3153C">
      <w:pPr>
        <w:widowControl w:val="0"/>
        <w:jc w:val="both"/>
        <w:rPr>
          <w:sz w:val="22"/>
          <w:szCs w:val="22"/>
          <w:lang w:val="sr-Latn-ME"/>
        </w:rPr>
      </w:pPr>
      <w:r w:rsidRPr="00986187">
        <w:rPr>
          <w:sz w:val="22"/>
          <w:szCs w:val="22"/>
          <w:lang w:val="sr-Latn-ME"/>
        </w:rPr>
        <w:t xml:space="preserve">Uticaj </w:t>
      </w:r>
      <w:proofErr w:type="spellStart"/>
      <w:r w:rsidRPr="00986187">
        <w:rPr>
          <w:sz w:val="22"/>
          <w:szCs w:val="22"/>
          <w:lang w:val="sr-Latn-ME"/>
        </w:rPr>
        <w:t>HbsAg</w:t>
      </w:r>
      <w:proofErr w:type="spellEnd"/>
      <w:r w:rsidRPr="00986187">
        <w:rPr>
          <w:sz w:val="22"/>
          <w:szCs w:val="22"/>
          <w:lang w:val="sr-Latn-ME"/>
        </w:rPr>
        <w:t xml:space="preserve"> na </w:t>
      </w:r>
      <w:proofErr w:type="spellStart"/>
      <w:r w:rsidRPr="00986187">
        <w:rPr>
          <w:sz w:val="22"/>
          <w:szCs w:val="22"/>
          <w:lang w:val="sr-Latn-ME"/>
        </w:rPr>
        <w:t>fetalni</w:t>
      </w:r>
      <w:proofErr w:type="spellEnd"/>
      <w:r w:rsidRPr="00986187">
        <w:rPr>
          <w:sz w:val="22"/>
          <w:szCs w:val="22"/>
          <w:lang w:val="sr-Latn-ME"/>
        </w:rPr>
        <w:t xml:space="preserve"> razvoj nije procjenjivan.</w:t>
      </w:r>
    </w:p>
    <w:p w14:paraId="4F5F00F8" w14:textId="77777777" w:rsidR="009F181F" w:rsidRPr="00986187" w:rsidRDefault="009F181F" w:rsidP="00F3153C">
      <w:pPr>
        <w:widowControl w:val="0"/>
        <w:ind w:left="720"/>
        <w:jc w:val="both"/>
        <w:rPr>
          <w:sz w:val="22"/>
          <w:szCs w:val="22"/>
          <w:lang w:val="sr-Latn-ME"/>
        </w:rPr>
      </w:pPr>
    </w:p>
    <w:p w14:paraId="0AB5007D" w14:textId="797A8423" w:rsidR="009F181F" w:rsidRPr="00986187" w:rsidRDefault="009F181F" w:rsidP="00F3153C">
      <w:pPr>
        <w:widowControl w:val="0"/>
        <w:jc w:val="both"/>
        <w:rPr>
          <w:sz w:val="22"/>
          <w:szCs w:val="22"/>
          <w:lang w:val="sr-Latn-ME"/>
        </w:rPr>
      </w:pPr>
      <w:r w:rsidRPr="00986187">
        <w:rPr>
          <w:sz w:val="22"/>
          <w:szCs w:val="22"/>
          <w:lang w:val="sr-Latn-ME"/>
        </w:rPr>
        <w:t xml:space="preserve">Kao i kod ostalih </w:t>
      </w:r>
      <w:proofErr w:type="spellStart"/>
      <w:r w:rsidRPr="00986187">
        <w:rPr>
          <w:sz w:val="22"/>
          <w:szCs w:val="22"/>
          <w:lang w:val="sr-Latn-ME"/>
        </w:rPr>
        <w:t>inaktivisanih</w:t>
      </w:r>
      <w:proofErr w:type="spellEnd"/>
      <w:r w:rsidRPr="00986187">
        <w:rPr>
          <w:sz w:val="22"/>
          <w:szCs w:val="22"/>
          <w:lang w:val="sr-Latn-ME"/>
        </w:rPr>
        <w:t xml:space="preserve"> virusnih vakcina ne očekuje se štetno dejstvo na fetus. </w:t>
      </w:r>
      <w:r w:rsidR="00FA197A" w:rsidRPr="00986187">
        <w:rPr>
          <w:sz w:val="22"/>
          <w:szCs w:val="22"/>
          <w:lang w:val="sr-Latn-ME"/>
        </w:rPr>
        <w:t>Tokom trudnoće, v</w:t>
      </w:r>
      <w:r w:rsidRPr="00986187">
        <w:rPr>
          <w:sz w:val="22"/>
          <w:szCs w:val="22"/>
          <w:lang w:val="sr-Latn-ME"/>
        </w:rPr>
        <w:t xml:space="preserve">akcinu </w:t>
      </w:r>
      <w:r w:rsidRPr="00986187">
        <w:rPr>
          <w:bCs/>
          <w:sz w:val="22"/>
          <w:szCs w:val="22"/>
          <w:lang w:val="sr-Latn-ME"/>
        </w:rPr>
        <w:t>ENGERIX</w:t>
      </w:r>
      <w:r w:rsidRPr="00986187">
        <w:rPr>
          <w:sz w:val="22"/>
          <w:szCs w:val="22"/>
          <w:lang w:val="sr-Latn-ME"/>
        </w:rPr>
        <w:t xml:space="preserve"> B za djecu treba koristiti samo kada je </w:t>
      </w:r>
      <w:r w:rsidR="00FA197A" w:rsidRPr="00986187">
        <w:rPr>
          <w:sz w:val="22"/>
          <w:szCs w:val="22"/>
          <w:lang w:val="sr-Latn-ME"/>
        </w:rPr>
        <w:t>jasno izražena potreba</w:t>
      </w:r>
      <w:r w:rsidRPr="00986187">
        <w:rPr>
          <w:sz w:val="22"/>
          <w:szCs w:val="22"/>
          <w:lang w:val="sr-Latn-ME"/>
        </w:rPr>
        <w:t>, i kada potencijalna korist od primjene vakcine prevazilazi moguće rizike po fetus.</w:t>
      </w:r>
    </w:p>
    <w:p w14:paraId="5CE07F72" w14:textId="77777777" w:rsidR="002031B3" w:rsidRPr="00986187" w:rsidRDefault="002031B3" w:rsidP="00F3153C">
      <w:pPr>
        <w:widowControl w:val="0"/>
        <w:tabs>
          <w:tab w:val="left" w:pos="540"/>
          <w:tab w:val="left" w:pos="569"/>
        </w:tabs>
        <w:rPr>
          <w:sz w:val="22"/>
          <w:szCs w:val="22"/>
          <w:u w:val="single"/>
          <w:lang w:val="sr-Latn-ME"/>
        </w:rPr>
      </w:pPr>
    </w:p>
    <w:p w14:paraId="2B860F8F" w14:textId="77777777" w:rsidR="0072020E" w:rsidRPr="00986187" w:rsidRDefault="007A3ECB" w:rsidP="00F3153C">
      <w:pPr>
        <w:widowControl w:val="0"/>
        <w:tabs>
          <w:tab w:val="left" w:pos="540"/>
          <w:tab w:val="left" w:pos="569"/>
        </w:tabs>
        <w:rPr>
          <w:b/>
          <w:bCs/>
          <w:sz w:val="22"/>
          <w:szCs w:val="22"/>
          <w:lang w:val="sr-Latn-ME"/>
        </w:rPr>
      </w:pPr>
      <w:r w:rsidRPr="00986187">
        <w:rPr>
          <w:sz w:val="22"/>
          <w:szCs w:val="22"/>
          <w:u w:val="single"/>
          <w:lang w:val="sr-Latn-ME"/>
        </w:rPr>
        <w:t xml:space="preserve">Dojenje </w:t>
      </w:r>
    </w:p>
    <w:p w14:paraId="510F9DF1" w14:textId="77777777" w:rsidR="009F181F" w:rsidRPr="00986187" w:rsidRDefault="009F181F" w:rsidP="00F3153C">
      <w:pPr>
        <w:widowControl w:val="0"/>
        <w:jc w:val="both"/>
        <w:rPr>
          <w:sz w:val="22"/>
          <w:szCs w:val="22"/>
          <w:lang w:val="sr-Latn-ME"/>
        </w:rPr>
      </w:pPr>
      <w:r w:rsidRPr="00986187">
        <w:rPr>
          <w:sz w:val="22"/>
          <w:szCs w:val="22"/>
          <w:lang w:val="sr-Latn-ME"/>
        </w:rPr>
        <w:t xml:space="preserve">Efekat vakcine </w:t>
      </w:r>
      <w:r w:rsidRPr="00986187">
        <w:rPr>
          <w:bCs/>
          <w:sz w:val="22"/>
          <w:szCs w:val="22"/>
          <w:lang w:val="sr-Latn-ME"/>
        </w:rPr>
        <w:t>ENGERIX</w:t>
      </w:r>
      <w:r w:rsidRPr="00986187">
        <w:rPr>
          <w:sz w:val="22"/>
          <w:szCs w:val="22"/>
          <w:lang w:val="sr-Latn-ME"/>
        </w:rPr>
        <w:t xml:space="preserve"> B za djecu na odojčad majki koje su primile vakcinu nije ispitivan u kliničkim studijama, s obzirom na to da podaci o ekskreciji u humano mlijeko nijesu raspoloživi.</w:t>
      </w:r>
    </w:p>
    <w:p w14:paraId="5F2AFAD8" w14:textId="77777777" w:rsidR="009F181F" w:rsidRPr="00986187" w:rsidRDefault="009F181F" w:rsidP="00F3153C">
      <w:pPr>
        <w:widowControl w:val="0"/>
        <w:jc w:val="both"/>
        <w:rPr>
          <w:sz w:val="22"/>
          <w:szCs w:val="22"/>
          <w:lang w:val="sr-Latn-ME"/>
        </w:rPr>
      </w:pPr>
    </w:p>
    <w:p w14:paraId="2C23137B" w14:textId="7C0E39C7" w:rsidR="00521046" w:rsidRPr="00986187" w:rsidRDefault="00FA197A" w:rsidP="00F3153C">
      <w:pPr>
        <w:widowControl w:val="0"/>
        <w:tabs>
          <w:tab w:val="left" w:pos="540"/>
          <w:tab w:val="left" w:pos="569"/>
        </w:tabs>
        <w:rPr>
          <w:sz w:val="22"/>
          <w:szCs w:val="22"/>
          <w:u w:val="single"/>
          <w:lang w:val="sr-Latn-ME"/>
        </w:rPr>
      </w:pPr>
      <w:r w:rsidRPr="00986187">
        <w:rPr>
          <w:sz w:val="22"/>
          <w:szCs w:val="22"/>
          <w:lang w:val="sr-Latn-ME"/>
        </w:rPr>
        <w:t xml:space="preserve">Dojenje nije </w:t>
      </w:r>
      <w:proofErr w:type="spellStart"/>
      <w:r w:rsidRPr="00986187">
        <w:rPr>
          <w:sz w:val="22"/>
          <w:szCs w:val="22"/>
          <w:lang w:val="sr-Latn-ME"/>
        </w:rPr>
        <w:t>kontraindikacija</w:t>
      </w:r>
      <w:proofErr w:type="spellEnd"/>
      <w:r w:rsidRPr="00986187">
        <w:rPr>
          <w:sz w:val="22"/>
          <w:szCs w:val="22"/>
          <w:lang w:val="sr-Latn-ME"/>
        </w:rPr>
        <w:t xml:space="preserve"> za primjenu ove vakcine.</w:t>
      </w:r>
      <w:r w:rsidRPr="00986187" w:rsidDel="00CD5AA2">
        <w:rPr>
          <w:sz w:val="22"/>
          <w:szCs w:val="22"/>
          <w:lang w:val="sr-Latn-ME"/>
        </w:rPr>
        <w:t xml:space="preserve"> </w:t>
      </w:r>
    </w:p>
    <w:p w14:paraId="46DD6A82" w14:textId="77777777" w:rsidR="00227BDB" w:rsidRPr="00986187" w:rsidRDefault="00227BDB" w:rsidP="00F3153C">
      <w:pPr>
        <w:widowControl w:val="0"/>
        <w:tabs>
          <w:tab w:val="left" w:pos="540"/>
          <w:tab w:val="left" w:pos="569"/>
        </w:tabs>
        <w:ind w:left="540" w:hanging="540"/>
        <w:rPr>
          <w:b/>
          <w:bCs/>
          <w:sz w:val="22"/>
          <w:szCs w:val="22"/>
          <w:lang w:val="sr-Latn-ME"/>
        </w:rPr>
      </w:pPr>
    </w:p>
    <w:p w14:paraId="374BC695" w14:textId="5962CFBD" w:rsidR="0072020E" w:rsidRPr="00986187" w:rsidRDefault="0072020E" w:rsidP="00F3153C">
      <w:pPr>
        <w:widowControl w:val="0"/>
        <w:tabs>
          <w:tab w:val="left" w:pos="540"/>
          <w:tab w:val="left" w:pos="569"/>
        </w:tabs>
        <w:ind w:left="540" w:hanging="540"/>
        <w:rPr>
          <w:b/>
          <w:bCs/>
          <w:sz w:val="22"/>
          <w:szCs w:val="22"/>
          <w:lang w:val="sr-Latn-ME"/>
        </w:rPr>
      </w:pPr>
      <w:r w:rsidRPr="00986187">
        <w:rPr>
          <w:b/>
          <w:bCs/>
          <w:sz w:val="22"/>
          <w:szCs w:val="22"/>
          <w:lang w:val="sr-Latn-ME"/>
        </w:rPr>
        <w:t xml:space="preserve">4.7. </w:t>
      </w:r>
      <w:r w:rsidR="00480FB1" w:rsidRPr="00986187">
        <w:rPr>
          <w:b/>
          <w:bCs/>
          <w:sz w:val="22"/>
          <w:szCs w:val="22"/>
          <w:lang w:val="sr-Latn-ME"/>
        </w:rPr>
        <w:tab/>
      </w:r>
      <w:r w:rsidRPr="00986187">
        <w:rPr>
          <w:b/>
          <w:bCs/>
          <w:sz w:val="22"/>
          <w:szCs w:val="22"/>
          <w:lang w:val="sr-Latn-ME"/>
        </w:rPr>
        <w:t xml:space="preserve">Uticaj na </w:t>
      </w:r>
      <w:r w:rsidR="002031B3" w:rsidRPr="00986187">
        <w:rPr>
          <w:b/>
          <w:bCs/>
          <w:sz w:val="22"/>
          <w:szCs w:val="22"/>
          <w:lang w:val="sr-Latn-ME"/>
        </w:rPr>
        <w:t xml:space="preserve">sposobnost </w:t>
      </w:r>
      <w:r w:rsidR="00F34554" w:rsidRPr="00986187">
        <w:rPr>
          <w:b/>
          <w:bCs/>
          <w:sz w:val="22"/>
          <w:szCs w:val="22"/>
          <w:lang w:val="sr-Latn-ME"/>
        </w:rPr>
        <w:t>upravljanja vozili</w:t>
      </w:r>
      <w:r w:rsidRPr="00986187">
        <w:rPr>
          <w:b/>
          <w:bCs/>
          <w:sz w:val="22"/>
          <w:szCs w:val="22"/>
          <w:lang w:val="sr-Latn-ME"/>
        </w:rPr>
        <w:t>m</w:t>
      </w:r>
      <w:r w:rsidR="00F34554" w:rsidRPr="00986187">
        <w:rPr>
          <w:b/>
          <w:bCs/>
          <w:sz w:val="22"/>
          <w:szCs w:val="22"/>
          <w:lang w:val="sr-Latn-ME"/>
        </w:rPr>
        <w:t>a</w:t>
      </w:r>
      <w:r w:rsidRPr="00986187">
        <w:rPr>
          <w:b/>
          <w:bCs/>
          <w:sz w:val="22"/>
          <w:szCs w:val="22"/>
          <w:lang w:val="sr-Latn-ME"/>
        </w:rPr>
        <w:t xml:space="preserve"> i </w:t>
      </w:r>
      <w:r w:rsidR="000D3449" w:rsidRPr="00986187">
        <w:rPr>
          <w:b/>
          <w:bCs/>
          <w:sz w:val="22"/>
          <w:szCs w:val="22"/>
          <w:lang w:val="sr-Latn-ME"/>
        </w:rPr>
        <w:t xml:space="preserve">rukovanje </w:t>
      </w:r>
      <w:r w:rsidRPr="00986187">
        <w:rPr>
          <w:b/>
          <w:bCs/>
          <w:sz w:val="22"/>
          <w:szCs w:val="22"/>
          <w:lang w:val="sr-Latn-ME"/>
        </w:rPr>
        <w:t>mašinama</w:t>
      </w:r>
    </w:p>
    <w:p w14:paraId="3EC872D5" w14:textId="77777777" w:rsidR="00DF0D23" w:rsidRPr="00986187" w:rsidRDefault="00DF0D23" w:rsidP="00F3153C">
      <w:pPr>
        <w:widowControl w:val="0"/>
        <w:tabs>
          <w:tab w:val="left" w:pos="540"/>
          <w:tab w:val="left" w:pos="569"/>
        </w:tabs>
        <w:ind w:left="540" w:hanging="540"/>
        <w:rPr>
          <w:b/>
          <w:bCs/>
          <w:sz w:val="22"/>
          <w:szCs w:val="22"/>
          <w:lang w:val="sr-Latn-ME"/>
        </w:rPr>
      </w:pPr>
    </w:p>
    <w:p w14:paraId="710E154C" w14:textId="2B50F41C" w:rsidR="002B615B" w:rsidRPr="00986187" w:rsidRDefault="00FA197A" w:rsidP="00F3153C">
      <w:pPr>
        <w:pStyle w:val="Header"/>
        <w:widowControl w:val="0"/>
        <w:tabs>
          <w:tab w:val="left" w:pos="284"/>
        </w:tabs>
        <w:jc w:val="both"/>
        <w:rPr>
          <w:b/>
          <w:bCs/>
          <w:sz w:val="22"/>
          <w:szCs w:val="22"/>
          <w:lang w:val="sr-Latn-ME"/>
        </w:rPr>
      </w:pPr>
      <w:r w:rsidRPr="00986187">
        <w:rPr>
          <w:sz w:val="22"/>
          <w:szCs w:val="22"/>
          <w:lang w:val="sr-Latn-ME"/>
        </w:rPr>
        <w:t>Lijek ENGERIX B za djecu nema ili ima neznatan uticaj na</w:t>
      </w:r>
      <w:r w:rsidRPr="00986187" w:rsidDel="00FA197A">
        <w:rPr>
          <w:sz w:val="22"/>
          <w:szCs w:val="22"/>
          <w:lang w:val="sr-Latn-ME"/>
        </w:rPr>
        <w:t xml:space="preserve"> </w:t>
      </w:r>
      <w:r w:rsidR="002B615B" w:rsidRPr="00986187">
        <w:rPr>
          <w:sz w:val="22"/>
          <w:szCs w:val="22"/>
          <w:lang w:val="sr-Latn-ME"/>
        </w:rPr>
        <w:t>sposobnost upravljanja motornim vozilima i rukovanje mašinama.</w:t>
      </w:r>
    </w:p>
    <w:p w14:paraId="4453F647" w14:textId="77777777" w:rsidR="002B615B" w:rsidRPr="00986187" w:rsidRDefault="002B615B" w:rsidP="00F3153C">
      <w:pPr>
        <w:widowControl w:val="0"/>
        <w:tabs>
          <w:tab w:val="left" w:pos="540"/>
          <w:tab w:val="left" w:pos="569"/>
        </w:tabs>
        <w:rPr>
          <w:b/>
          <w:bCs/>
          <w:sz w:val="22"/>
          <w:szCs w:val="22"/>
          <w:lang w:val="sr-Latn-ME"/>
        </w:rPr>
      </w:pPr>
    </w:p>
    <w:p w14:paraId="641BCA66" w14:textId="7BC1BF93"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4.8. </w:t>
      </w:r>
      <w:r w:rsidR="00480FB1" w:rsidRPr="00986187">
        <w:rPr>
          <w:b/>
          <w:bCs/>
          <w:sz w:val="22"/>
          <w:szCs w:val="22"/>
          <w:lang w:val="sr-Latn-ME"/>
        </w:rPr>
        <w:tab/>
      </w:r>
      <w:r w:rsidRPr="00986187">
        <w:rPr>
          <w:b/>
          <w:bCs/>
          <w:sz w:val="22"/>
          <w:szCs w:val="22"/>
          <w:lang w:val="sr-Latn-ME"/>
        </w:rPr>
        <w:t>Neželjena dejstva</w:t>
      </w:r>
    </w:p>
    <w:p w14:paraId="52DF63C9" w14:textId="77777777" w:rsidR="00DF0D23" w:rsidRPr="00986187" w:rsidRDefault="00DF0D23" w:rsidP="00F3153C">
      <w:pPr>
        <w:widowControl w:val="0"/>
        <w:tabs>
          <w:tab w:val="left" w:pos="540"/>
          <w:tab w:val="left" w:pos="569"/>
        </w:tabs>
        <w:rPr>
          <w:b/>
          <w:bCs/>
          <w:sz w:val="22"/>
          <w:szCs w:val="22"/>
          <w:lang w:val="sr-Latn-ME"/>
        </w:rPr>
      </w:pPr>
    </w:p>
    <w:p w14:paraId="19308545" w14:textId="6E988943" w:rsidR="002C2C46" w:rsidRPr="00986187" w:rsidRDefault="002C2C46" w:rsidP="00F3153C">
      <w:pPr>
        <w:pStyle w:val="Header"/>
        <w:widowControl w:val="0"/>
        <w:tabs>
          <w:tab w:val="left" w:pos="284"/>
        </w:tabs>
        <w:rPr>
          <w:sz w:val="22"/>
          <w:szCs w:val="22"/>
          <w:u w:val="single"/>
          <w:lang w:val="sr-Latn-ME"/>
        </w:rPr>
      </w:pPr>
      <w:r w:rsidRPr="00986187">
        <w:rPr>
          <w:sz w:val="22"/>
          <w:szCs w:val="22"/>
          <w:u w:val="single"/>
          <w:lang w:val="sr-Latn-ME"/>
        </w:rPr>
        <w:t xml:space="preserve">Sažetak </w:t>
      </w:r>
      <w:proofErr w:type="spellStart"/>
      <w:r w:rsidRPr="00986187">
        <w:rPr>
          <w:sz w:val="22"/>
          <w:szCs w:val="22"/>
          <w:u w:val="single"/>
          <w:lang w:val="sr-Latn-ME"/>
        </w:rPr>
        <w:t>bezbjednosnog</w:t>
      </w:r>
      <w:proofErr w:type="spellEnd"/>
      <w:r w:rsidRPr="00986187">
        <w:rPr>
          <w:sz w:val="22"/>
          <w:szCs w:val="22"/>
          <w:u w:val="single"/>
          <w:lang w:val="sr-Latn-ME"/>
        </w:rPr>
        <w:t xml:space="preserve"> profila</w:t>
      </w:r>
    </w:p>
    <w:p w14:paraId="36450721" w14:textId="77777777" w:rsidR="002C2C46" w:rsidRPr="00986187" w:rsidRDefault="002C2C46" w:rsidP="00F3153C">
      <w:pPr>
        <w:widowControl w:val="0"/>
        <w:jc w:val="both"/>
        <w:rPr>
          <w:sz w:val="22"/>
          <w:szCs w:val="22"/>
          <w:lang w:val="sr-Latn-ME"/>
        </w:rPr>
      </w:pPr>
      <w:proofErr w:type="spellStart"/>
      <w:r w:rsidRPr="00986187">
        <w:rPr>
          <w:sz w:val="22"/>
          <w:szCs w:val="22"/>
          <w:lang w:val="sr-Latn-ME"/>
        </w:rPr>
        <w:t>Bezbjednosni</w:t>
      </w:r>
      <w:proofErr w:type="spellEnd"/>
      <w:r w:rsidRPr="00986187">
        <w:rPr>
          <w:sz w:val="22"/>
          <w:szCs w:val="22"/>
          <w:lang w:val="sr-Latn-ME"/>
        </w:rPr>
        <w:t xml:space="preserve"> profil naveden u daljem tekstu zasniva se na podacima dobijenim iz 23 studije sprovedene na 5329 pacijenata.</w:t>
      </w:r>
    </w:p>
    <w:p w14:paraId="112F4D3D" w14:textId="77777777" w:rsidR="002C2C46" w:rsidRPr="00986187" w:rsidRDefault="002C2C46" w:rsidP="00F3153C">
      <w:pPr>
        <w:pStyle w:val="Header"/>
        <w:widowControl w:val="0"/>
        <w:tabs>
          <w:tab w:val="left" w:pos="284"/>
        </w:tabs>
        <w:jc w:val="both"/>
        <w:rPr>
          <w:bCs/>
          <w:sz w:val="22"/>
          <w:szCs w:val="22"/>
          <w:lang w:val="sr-Latn-ME"/>
        </w:rPr>
      </w:pPr>
      <w:r w:rsidRPr="00986187">
        <w:rPr>
          <w:bCs/>
          <w:sz w:val="22"/>
          <w:szCs w:val="22"/>
          <w:lang w:val="sr-Latn-ME"/>
        </w:rPr>
        <w:t>Postojeća formulacija vakcine ENGERIX</w:t>
      </w:r>
      <w:r w:rsidRPr="00986187">
        <w:rPr>
          <w:sz w:val="22"/>
          <w:szCs w:val="22"/>
          <w:lang w:val="sr-Latn-ME"/>
        </w:rPr>
        <w:t xml:space="preserve"> B</w:t>
      </w:r>
      <w:r w:rsidRPr="00986187">
        <w:rPr>
          <w:bCs/>
          <w:sz w:val="22"/>
          <w:szCs w:val="22"/>
          <w:lang w:val="sr-Latn-ME"/>
        </w:rPr>
        <w:t xml:space="preserve"> za djecu ne sadrži </w:t>
      </w:r>
      <w:proofErr w:type="spellStart"/>
      <w:r w:rsidRPr="00986187">
        <w:rPr>
          <w:bCs/>
          <w:sz w:val="22"/>
          <w:szCs w:val="22"/>
          <w:lang w:val="sr-Latn-ME"/>
        </w:rPr>
        <w:t>tiomersal</w:t>
      </w:r>
      <w:proofErr w:type="spellEnd"/>
      <w:r w:rsidRPr="00986187">
        <w:rPr>
          <w:bCs/>
          <w:sz w:val="22"/>
          <w:szCs w:val="22"/>
          <w:lang w:val="sr-Latn-ME"/>
        </w:rPr>
        <w:t xml:space="preserve"> (organsko jedinjenje žive). Navedena neželjena dejstva zabilježena su pri primjeni formulacije koja sadrži </w:t>
      </w:r>
      <w:proofErr w:type="spellStart"/>
      <w:r w:rsidRPr="00986187">
        <w:rPr>
          <w:bCs/>
          <w:sz w:val="22"/>
          <w:szCs w:val="22"/>
          <w:lang w:val="sr-Latn-ME"/>
        </w:rPr>
        <w:t>tiomersal</w:t>
      </w:r>
      <w:proofErr w:type="spellEnd"/>
      <w:r w:rsidRPr="00986187">
        <w:rPr>
          <w:bCs/>
          <w:sz w:val="22"/>
          <w:szCs w:val="22"/>
          <w:lang w:val="sr-Latn-ME"/>
        </w:rPr>
        <w:t xml:space="preserve"> kao i formulacije koja ne sadrži </w:t>
      </w:r>
      <w:proofErr w:type="spellStart"/>
      <w:r w:rsidRPr="00986187">
        <w:rPr>
          <w:bCs/>
          <w:sz w:val="22"/>
          <w:szCs w:val="22"/>
          <w:lang w:val="sr-Latn-ME"/>
        </w:rPr>
        <w:t>tiomersal</w:t>
      </w:r>
      <w:proofErr w:type="spellEnd"/>
      <w:r w:rsidRPr="00986187">
        <w:rPr>
          <w:bCs/>
          <w:sz w:val="22"/>
          <w:szCs w:val="22"/>
          <w:lang w:val="sr-Latn-ME"/>
        </w:rPr>
        <w:t>.</w:t>
      </w:r>
    </w:p>
    <w:p w14:paraId="5EB2E53D" w14:textId="05B3AF71" w:rsidR="002C2C46" w:rsidRPr="00986187" w:rsidRDefault="002C2C46" w:rsidP="00F3153C">
      <w:pPr>
        <w:widowControl w:val="0"/>
        <w:jc w:val="both"/>
        <w:rPr>
          <w:bCs/>
          <w:sz w:val="22"/>
          <w:szCs w:val="22"/>
          <w:lang w:val="sr-Latn-ME"/>
        </w:rPr>
      </w:pPr>
      <w:r w:rsidRPr="00986187">
        <w:rPr>
          <w:bCs/>
          <w:sz w:val="22"/>
          <w:szCs w:val="22"/>
          <w:lang w:val="sr-Latn-ME"/>
        </w:rPr>
        <w:t xml:space="preserve">U jednoj kliničkoj studiji sprovedenoj sa postojećom formulacijom (formulacija bez </w:t>
      </w:r>
      <w:proofErr w:type="spellStart"/>
      <w:r w:rsidRPr="00986187">
        <w:rPr>
          <w:bCs/>
          <w:sz w:val="22"/>
          <w:szCs w:val="22"/>
          <w:lang w:val="sr-Latn-ME"/>
        </w:rPr>
        <w:t>tiomersala</w:t>
      </w:r>
      <w:proofErr w:type="spellEnd"/>
      <w:r w:rsidRPr="00986187">
        <w:rPr>
          <w:bCs/>
          <w:sz w:val="22"/>
          <w:szCs w:val="22"/>
          <w:lang w:val="sr-Latn-ME"/>
        </w:rPr>
        <w:t xml:space="preserve">), </w:t>
      </w:r>
      <w:proofErr w:type="spellStart"/>
      <w:r w:rsidRPr="00986187">
        <w:rPr>
          <w:bCs/>
          <w:sz w:val="22"/>
          <w:szCs w:val="22"/>
          <w:lang w:val="sr-Latn-ME"/>
        </w:rPr>
        <w:t>incidenca</w:t>
      </w:r>
      <w:proofErr w:type="spellEnd"/>
      <w:r w:rsidRPr="00986187">
        <w:rPr>
          <w:bCs/>
          <w:sz w:val="22"/>
          <w:szCs w:val="22"/>
          <w:lang w:val="sr-Latn-ME"/>
        </w:rPr>
        <w:t xml:space="preserve"> pojave bola, crvenila, otoka, pospanosti, iritacije, gubitka apetita i groznice je bila uporediva sa </w:t>
      </w:r>
      <w:proofErr w:type="spellStart"/>
      <w:r w:rsidRPr="00986187">
        <w:rPr>
          <w:bCs/>
          <w:sz w:val="22"/>
          <w:szCs w:val="22"/>
          <w:lang w:val="sr-Latn-ME"/>
        </w:rPr>
        <w:t>incidencom</w:t>
      </w:r>
      <w:proofErr w:type="spellEnd"/>
      <w:r w:rsidRPr="00986187">
        <w:rPr>
          <w:bCs/>
          <w:sz w:val="22"/>
          <w:szCs w:val="22"/>
          <w:lang w:val="sr-Latn-ME"/>
        </w:rPr>
        <w:t xml:space="preserve"> pojave praćenom u kliničkim studijama sprovedenim sa formulacijom vakcine koja sadrži </w:t>
      </w:r>
      <w:proofErr w:type="spellStart"/>
      <w:r w:rsidRPr="00986187">
        <w:rPr>
          <w:bCs/>
          <w:sz w:val="22"/>
          <w:szCs w:val="22"/>
          <w:lang w:val="sr-Latn-ME"/>
        </w:rPr>
        <w:t>tiomersal</w:t>
      </w:r>
      <w:proofErr w:type="spellEnd"/>
      <w:r w:rsidRPr="00986187">
        <w:rPr>
          <w:bCs/>
          <w:sz w:val="22"/>
          <w:szCs w:val="22"/>
          <w:lang w:val="sr-Latn-ME"/>
        </w:rPr>
        <w:t>.</w:t>
      </w:r>
    </w:p>
    <w:p w14:paraId="10114B53" w14:textId="77777777" w:rsidR="002C2C46" w:rsidRPr="00986187" w:rsidRDefault="002C2C46" w:rsidP="00F3153C">
      <w:pPr>
        <w:widowControl w:val="0"/>
        <w:jc w:val="both"/>
        <w:rPr>
          <w:sz w:val="22"/>
          <w:szCs w:val="22"/>
          <w:lang w:val="sr-Latn-ME"/>
        </w:rPr>
      </w:pPr>
    </w:p>
    <w:p w14:paraId="07FDCE8C" w14:textId="77777777" w:rsidR="002C2C46" w:rsidRPr="00986187" w:rsidRDefault="002C2C46" w:rsidP="00F3153C">
      <w:pPr>
        <w:widowControl w:val="0"/>
        <w:rPr>
          <w:b/>
          <w:sz w:val="22"/>
          <w:szCs w:val="22"/>
          <w:lang w:val="sr-Latn-ME"/>
        </w:rPr>
      </w:pPr>
      <w:r w:rsidRPr="00986187">
        <w:rPr>
          <w:b/>
          <w:sz w:val="22"/>
          <w:szCs w:val="22"/>
          <w:lang w:val="sr-Latn-ME"/>
        </w:rPr>
        <w:t>Tabelarni prikaz neželjenih dejstava</w:t>
      </w:r>
    </w:p>
    <w:p w14:paraId="51C2C62C" w14:textId="5BB18D9E" w:rsidR="002C2C46" w:rsidRPr="00986187" w:rsidRDefault="002C2C46" w:rsidP="00F3153C">
      <w:pPr>
        <w:widowControl w:val="0"/>
        <w:jc w:val="both"/>
        <w:rPr>
          <w:sz w:val="22"/>
          <w:szCs w:val="22"/>
          <w:lang w:val="sr-Latn-ME"/>
        </w:rPr>
      </w:pPr>
      <w:r w:rsidRPr="00986187">
        <w:rPr>
          <w:sz w:val="22"/>
          <w:szCs w:val="22"/>
          <w:lang w:val="sr-Latn-ME"/>
        </w:rPr>
        <w:t>Učestalost pojave po primijenjenoj dozi definisana je na sljedeći način:</w:t>
      </w:r>
    </w:p>
    <w:p w14:paraId="38395EF6" w14:textId="77777777" w:rsidR="002C2C46" w:rsidRPr="00986187" w:rsidRDefault="002C2C46" w:rsidP="00F3153C">
      <w:pPr>
        <w:widowControl w:val="0"/>
        <w:jc w:val="both"/>
        <w:rPr>
          <w:sz w:val="22"/>
          <w:szCs w:val="22"/>
          <w:lang w:val="sr-Latn-ME"/>
        </w:rPr>
      </w:pPr>
      <w:r w:rsidRPr="00986187">
        <w:rPr>
          <w:sz w:val="22"/>
          <w:szCs w:val="22"/>
          <w:lang w:val="sr-Latn-ME"/>
        </w:rPr>
        <w:t>Veoma česta:</w:t>
      </w:r>
      <w:r w:rsidRPr="00986187">
        <w:rPr>
          <w:sz w:val="22"/>
          <w:szCs w:val="22"/>
          <w:lang w:val="sr-Latn-ME"/>
        </w:rPr>
        <w:tab/>
      </w:r>
      <w:r w:rsidRPr="00986187">
        <w:rPr>
          <w:sz w:val="22"/>
          <w:szCs w:val="22"/>
          <w:lang w:val="sr-Latn-ME"/>
        </w:rPr>
        <w:tab/>
      </w:r>
      <w:r w:rsidRPr="00986187">
        <w:rPr>
          <w:sz w:val="22"/>
          <w:szCs w:val="22"/>
          <w:lang w:val="sr-Latn-ME"/>
        </w:rPr>
        <w:tab/>
        <w:t>(</w:t>
      </w:r>
      <w:r w:rsidRPr="00986187">
        <w:rPr>
          <w:sz w:val="22"/>
          <w:szCs w:val="22"/>
          <w:lang w:val="sr-Latn-ME"/>
        </w:rPr>
        <w:sym w:font="Symbol" w:char="F0B3"/>
      </w:r>
      <w:r w:rsidRPr="00986187">
        <w:rPr>
          <w:sz w:val="22"/>
          <w:szCs w:val="22"/>
          <w:lang w:val="sr-Latn-ME"/>
        </w:rPr>
        <w:t>1/10)</w:t>
      </w:r>
    </w:p>
    <w:p w14:paraId="0BFCE4C7" w14:textId="77777777" w:rsidR="002C2C46" w:rsidRPr="00986187" w:rsidRDefault="002C2C46" w:rsidP="00F3153C">
      <w:pPr>
        <w:widowControl w:val="0"/>
        <w:jc w:val="both"/>
        <w:rPr>
          <w:sz w:val="22"/>
          <w:szCs w:val="22"/>
          <w:lang w:val="sr-Latn-ME"/>
        </w:rPr>
      </w:pPr>
      <w:r w:rsidRPr="00986187">
        <w:rPr>
          <w:sz w:val="22"/>
          <w:szCs w:val="22"/>
          <w:lang w:val="sr-Latn-ME"/>
        </w:rPr>
        <w:t>Česta:</w:t>
      </w:r>
      <w:r w:rsidRPr="00986187">
        <w:rPr>
          <w:sz w:val="22"/>
          <w:szCs w:val="22"/>
          <w:lang w:val="sr-Latn-ME"/>
        </w:rPr>
        <w:tab/>
      </w:r>
      <w:r w:rsidRPr="00986187">
        <w:rPr>
          <w:sz w:val="22"/>
          <w:szCs w:val="22"/>
          <w:lang w:val="sr-Latn-ME"/>
        </w:rPr>
        <w:tab/>
      </w:r>
      <w:r w:rsidRPr="00986187">
        <w:rPr>
          <w:sz w:val="22"/>
          <w:szCs w:val="22"/>
          <w:lang w:val="sr-Latn-ME"/>
        </w:rPr>
        <w:tab/>
      </w:r>
      <w:r w:rsidRPr="00986187">
        <w:rPr>
          <w:sz w:val="22"/>
          <w:szCs w:val="22"/>
          <w:lang w:val="sr-Latn-ME"/>
        </w:rPr>
        <w:tab/>
        <w:t>(</w:t>
      </w:r>
      <w:r w:rsidRPr="00986187">
        <w:rPr>
          <w:sz w:val="22"/>
          <w:szCs w:val="22"/>
          <w:lang w:val="sr-Latn-ME"/>
        </w:rPr>
        <w:sym w:font="Symbol" w:char="F0B3"/>
      </w:r>
      <w:r w:rsidRPr="00986187">
        <w:rPr>
          <w:sz w:val="22"/>
          <w:szCs w:val="22"/>
          <w:lang w:val="sr-Latn-ME"/>
        </w:rPr>
        <w:t>1/100 do &lt;1/10)</w:t>
      </w:r>
    </w:p>
    <w:p w14:paraId="7FE15EDC" w14:textId="77777777" w:rsidR="002C2C46" w:rsidRPr="00986187" w:rsidRDefault="002C2C46" w:rsidP="00F3153C">
      <w:pPr>
        <w:widowControl w:val="0"/>
        <w:jc w:val="both"/>
        <w:rPr>
          <w:sz w:val="22"/>
          <w:szCs w:val="22"/>
          <w:lang w:val="sr-Latn-ME"/>
        </w:rPr>
      </w:pPr>
      <w:r w:rsidRPr="00986187">
        <w:rPr>
          <w:sz w:val="22"/>
          <w:szCs w:val="22"/>
          <w:lang w:val="sr-Latn-ME"/>
        </w:rPr>
        <w:t>Povremena:</w:t>
      </w:r>
      <w:r w:rsidRPr="00986187">
        <w:rPr>
          <w:sz w:val="22"/>
          <w:szCs w:val="22"/>
          <w:lang w:val="sr-Latn-ME"/>
        </w:rPr>
        <w:tab/>
      </w:r>
      <w:r w:rsidRPr="00986187">
        <w:rPr>
          <w:sz w:val="22"/>
          <w:szCs w:val="22"/>
          <w:lang w:val="sr-Latn-ME"/>
        </w:rPr>
        <w:tab/>
      </w:r>
      <w:r w:rsidRPr="00986187">
        <w:rPr>
          <w:sz w:val="22"/>
          <w:szCs w:val="22"/>
          <w:lang w:val="sr-Latn-ME"/>
        </w:rPr>
        <w:tab/>
        <w:t>(</w:t>
      </w:r>
      <w:r w:rsidRPr="00986187">
        <w:rPr>
          <w:sz w:val="22"/>
          <w:szCs w:val="22"/>
          <w:lang w:val="sr-Latn-ME"/>
        </w:rPr>
        <w:sym w:font="Symbol" w:char="F0B3"/>
      </w:r>
      <w:r w:rsidRPr="00986187">
        <w:rPr>
          <w:sz w:val="22"/>
          <w:szCs w:val="22"/>
          <w:lang w:val="sr-Latn-ME"/>
        </w:rPr>
        <w:t>1/1000 do &lt;1/100)</w:t>
      </w:r>
    </w:p>
    <w:p w14:paraId="04012373" w14:textId="77777777" w:rsidR="002C2C46" w:rsidRPr="00986187" w:rsidRDefault="002C2C46" w:rsidP="00F3153C">
      <w:pPr>
        <w:widowControl w:val="0"/>
        <w:jc w:val="both"/>
        <w:rPr>
          <w:sz w:val="22"/>
          <w:szCs w:val="22"/>
          <w:lang w:val="sr-Latn-ME"/>
        </w:rPr>
      </w:pPr>
      <w:r w:rsidRPr="00986187">
        <w:rPr>
          <w:sz w:val="22"/>
          <w:szCs w:val="22"/>
          <w:lang w:val="sr-Latn-ME"/>
        </w:rPr>
        <w:t>Rijetka:</w:t>
      </w:r>
      <w:r w:rsidRPr="00986187">
        <w:rPr>
          <w:sz w:val="22"/>
          <w:szCs w:val="22"/>
          <w:lang w:val="sr-Latn-ME"/>
        </w:rPr>
        <w:tab/>
      </w:r>
      <w:r w:rsidRPr="00986187">
        <w:rPr>
          <w:sz w:val="22"/>
          <w:szCs w:val="22"/>
          <w:lang w:val="sr-Latn-ME"/>
        </w:rPr>
        <w:tab/>
      </w:r>
      <w:r w:rsidRPr="00986187">
        <w:rPr>
          <w:sz w:val="22"/>
          <w:szCs w:val="22"/>
          <w:lang w:val="sr-Latn-ME"/>
        </w:rPr>
        <w:tab/>
      </w:r>
      <w:r w:rsidRPr="00986187">
        <w:rPr>
          <w:sz w:val="22"/>
          <w:szCs w:val="22"/>
          <w:lang w:val="sr-Latn-ME"/>
        </w:rPr>
        <w:tab/>
        <w:t>(</w:t>
      </w:r>
      <w:r w:rsidRPr="00986187">
        <w:rPr>
          <w:sz w:val="22"/>
          <w:szCs w:val="22"/>
          <w:lang w:val="sr-Latn-ME"/>
        </w:rPr>
        <w:sym w:font="Symbol" w:char="F0B3"/>
      </w:r>
      <w:r w:rsidRPr="00986187">
        <w:rPr>
          <w:sz w:val="22"/>
          <w:szCs w:val="22"/>
          <w:lang w:val="sr-Latn-ME"/>
        </w:rPr>
        <w:t>1/10.000 do &lt;1/1000)</w:t>
      </w:r>
    </w:p>
    <w:p w14:paraId="3AB99A44" w14:textId="77777777" w:rsidR="002C2C46" w:rsidRPr="00986187" w:rsidRDefault="002C2C46" w:rsidP="00F3153C">
      <w:pPr>
        <w:widowControl w:val="0"/>
        <w:jc w:val="both"/>
        <w:rPr>
          <w:sz w:val="22"/>
          <w:szCs w:val="22"/>
          <w:lang w:val="sr-Latn-ME"/>
        </w:rPr>
      </w:pPr>
      <w:r w:rsidRPr="00986187">
        <w:rPr>
          <w:sz w:val="22"/>
          <w:szCs w:val="22"/>
          <w:lang w:val="sr-Latn-ME"/>
        </w:rPr>
        <w:t>Veoma rijetka:</w:t>
      </w:r>
      <w:r w:rsidRPr="00986187">
        <w:rPr>
          <w:sz w:val="22"/>
          <w:szCs w:val="22"/>
          <w:lang w:val="sr-Latn-ME"/>
        </w:rPr>
        <w:tab/>
      </w:r>
      <w:r w:rsidRPr="00986187">
        <w:rPr>
          <w:sz w:val="22"/>
          <w:szCs w:val="22"/>
          <w:lang w:val="sr-Latn-ME"/>
        </w:rPr>
        <w:tab/>
      </w:r>
      <w:r w:rsidRPr="00986187">
        <w:rPr>
          <w:sz w:val="22"/>
          <w:szCs w:val="22"/>
          <w:lang w:val="sr-Latn-ME"/>
        </w:rPr>
        <w:tab/>
        <w:t>(&lt;1/10.000)</w:t>
      </w:r>
    </w:p>
    <w:p w14:paraId="64D2E467" w14:textId="77777777" w:rsidR="002C2C46" w:rsidRPr="00986187" w:rsidRDefault="002C2C46" w:rsidP="00F3153C">
      <w:pPr>
        <w:widowControl w:val="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795"/>
        <w:gridCol w:w="3154"/>
      </w:tblGrid>
      <w:tr w:rsidR="002C2C46" w:rsidRPr="00986187" w14:paraId="01224C16" w14:textId="77777777" w:rsidTr="00F3153C">
        <w:tc>
          <w:tcPr>
            <w:tcW w:w="1718" w:type="pct"/>
          </w:tcPr>
          <w:p w14:paraId="09912281" w14:textId="2F54FCDF" w:rsidR="002C2C46" w:rsidRPr="00986187" w:rsidRDefault="002C2C46" w:rsidP="00F3153C">
            <w:pPr>
              <w:widowControl w:val="0"/>
              <w:tabs>
                <w:tab w:val="left" w:pos="180"/>
                <w:tab w:val="center" w:pos="2016"/>
              </w:tabs>
              <w:jc w:val="center"/>
              <w:rPr>
                <w:sz w:val="22"/>
                <w:szCs w:val="22"/>
                <w:lang w:val="sr-Latn-ME"/>
              </w:rPr>
            </w:pPr>
            <w:r w:rsidRPr="00986187">
              <w:rPr>
                <w:b/>
                <w:sz w:val="22"/>
                <w:szCs w:val="22"/>
                <w:lang w:val="sr-Latn-ME"/>
              </w:rPr>
              <w:t>Klasa sistema organa</w:t>
            </w:r>
          </w:p>
        </w:tc>
        <w:tc>
          <w:tcPr>
            <w:tcW w:w="1542" w:type="pct"/>
          </w:tcPr>
          <w:p w14:paraId="1FE57599" w14:textId="77777777" w:rsidR="002C2C46" w:rsidRPr="00986187" w:rsidRDefault="002C2C46" w:rsidP="00F3153C">
            <w:pPr>
              <w:widowControl w:val="0"/>
              <w:jc w:val="center"/>
              <w:rPr>
                <w:sz w:val="22"/>
                <w:szCs w:val="22"/>
                <w:lang w:val="sr-Latn-ME"/>
              </w:rPr>
            </w:pPr>
            <w:r w:rsidRPr="00986187">
              <w:rPr>
                <w:b/>
                <w:sz w:val="22"/>
                <w:szCs w:val="22"/>
                <w:lang w:val="sr-Latn-ME"/>
              </w:rPr>
              <w:t>Učestalost</w:t>
            </w:r>
          </w:p>
        </w:tc>
        <w:tc>
          <w:tcPr>
            <w:tcW w:w="1740" w:type="pct"/>
          </w:tcPr>
          <w:p w14:paraId="40DD340A" w14:textId="77777777" w:rsidR="002C2C46" w:rsidRPr="00986187" w:rsidRDefault="002C2C46" w:rsidP="00F3153C">
            <w:pPr>
              <w:widowControl w:val="0"/>
              <w:jc w:val="center"/>
              <w:rPr>
                <w:sz w:val="22"/>
                <w:szCs w:val="22"/>
                <w:lang w:val="sr-Latn-ME"/>
              </w:rPr>
            </w:pPr>
            <w:r w:rsidRPr="00986187">
              <w:rPr>
                <w:b/>
                <w:sz w:val="22"/>
                <w:szCs w:val="22"/>
                <w:lang w:val="sr-Latn-ME"/>
              </w:rPr>
              <w:t>Neželjeno dejstvo</w:t>
            </w:r>
          </w:p>
        </w:tc>
      </w:tr>
      <w:tr w:rsidR="002C2C46" w:rsidRPr="00986187" w14:paraId="3B02CE8F" w14:textId="77777777" w:rsidTr="00F3153C">
        <w:tc>
          <w:tcPr>
            <w:tcW w:w="5000" w:type="pct"/>
            <w:gridSpan w:val="3"/>
          </w:tcPr>
          <w:p w14:paraId="1BCDA36A" w14:textId="77777777" w:rsidR="002C2C46" w:rsidRPr="00986187" w:rsidRDefault="002C2C46" w:rsidP="00F3153C">
            <w:pPr>
              <w:widowControl w:val="0"/>
              <w:rPr>
                <w:b/>
                <w:sz w:val="22"/>
                <w:szCs w:val="22"/>
                <w:lang w:val="sr-Latn-ME"/>
              </w:rPr>
            </w:pPr>
            <w:r w:rsidRPr="00986187">
              <w:rPr>
                <w:b/>
                <w:sz w:val="22"/>
                <w:szCs w:val="22"/>
                <w:lang w:val="sr-Latn-ME"/>
              </w:rPr>
              <w:t>Klinička ispitivanja</w:t>
            </w:r>
          </w:p>
        </w:tc>
      </w:tr>
      <w:tr w:rsidR="002C2C46" w:rsidRPr="00986187" w14:paraId="2833C2FF" w14:textId="77777777" w:rsidTr="00F3153C">
        <w:tc>
          <w:tcPr>
            <w:tcW w:w="1718" w:type="pct"/>
          </w:tcPr>
          <w:p w14:paraId="75BB1A00" w14:textId="77777777" w:rsidR="002C2C46" w:rsidRPr="00986187" w:rsidRDefault="002C2C46" w:rsidP="00F3153C">
            <w:pPr>
              <w:widowControl w:val="0"/>
              <w:rPr>
                <w:sz w:val="22"/>
                <w:szCs w:val="22"/>
                <w:lang w:val="sr-Latn-ME"/>
              </w:rPr>
            </w:pPr>
            <w:r w:rsidRPr="00986187">
              <w:rPr>
                <w:sz w:val="22"/>
                <w:szCs w:val="22"/>
                <w:lang w:val="sr-Latn-ME"/>
              </w:rPr>
              <w:t>Poremećaji na nivou krvi i limfnog sistema</w:t>
            </w:r>
          </w:p>
        </w:tc>
        <w:tc>
          <w:tcPr>
            <w:tcW w:w="1542" w:type="pct"/>
          </w:tcPr>
          <w:p w14:paraId="25E176A0" w14:textId="77777777" w:rsidR="002C2C46" w:rsidRPr="00986187" w:rsidRDefault="002C2C46" w:rsidP="00F3153C">
            <w:pPr>
              <w:widowControl w:val="0"/>
              <w:rPr>
                <w:sz w:val="22"/>
                <w:szCs w:val="22"/>
                <w:lang w:val="sr-Latn-ME"/>
              </w:rPr>
            </w:pPr>
            <w:r w:rsidRPr="00986187">
              <w:rPr>
                <w:sz w:val="22"/>
                <w:szCs w:val="22"/>
                <w:lang w:val="sr-Latn-ME"/>
              </w:rPr>
              <w:t>Rijetko</w:t>
            </w:r>
          </w:p>
        </w:tc>
        <w:tc>
          <w:tcPr>
            <w:tcW w:w="1740" w:type="pct"/>
          </w:tcPr>
          <w:p w14:paraId="55909F15" w14:textId="77777777" w:rsidR="002C2C46" w:rsidRPr="00986187" w:rsidRDefault="002C2C46" w:rsidP="00F3153C">
            <w:pPr>
              <w:widowControl w:val="0"/>
              <w:rPr>
                <w:sz w:val="22"/>
                <w:szCs w:val="22"/>
                <w:lang w:val="sr-Latn-ME"/>
              </w:rPr>
            </w:pPr>
            <w:proofErr w:type="spellStart"/>
            <w:r w:rsidRPr="00986187">
              <w:rPr>
                <w:sz w:val="22"/>
                <w:szCs w:val="22"/>
                <w:lang w:val="sr-Latn-ME"/>
              </w:rPr>
              <w:t>Limfadenopatija</w:t>
            </w:r>
            <w:proofErr w:type="spellEnd"/>
          </w:p>
        </w:tc>
      </w:tr>
      <w:tr w:rsidR="002C2C46" w:rsidRPr="00986187" w14:paraId="3F3A3E40" w14:textId="77777777" w:rsidTr="00F3153C">
        <w:tc>
          <w:tcPr>
            <w:tcW w:w="1718" w:type="pct"/>
          </w:tcPr>
          <w:p w14:paraId="64CC665C" w14:textId="77777777" w:rsidR="002C2C46" w:rsidRPr="00986187" w:rsidRDefault="002C2C46" w:rsidP="00F3153C">
            <w:pPr>
              <w:widowControl w:val="0"/>
              <w:rPr>
                <w:sz w:val="22"/>
                <w:szCs w:val="22"/>
                <w:lang w:val="sr-Latn-ME"/>
              </w:rPr>
            </w:pPr>
            <w:r w:rsidRPr="00986187">
              <w:rPr>
                <w:sz w:val="22"/>
                <w:szCs w:val="22"/>
                <w:lang w:val="sr-Latn-ME"/>
              </w:rPr>
              <w:t>Poremećaji metabolizma i ishrane</w:t>
            </w:r>
          </w:p>
        </w:tc>
        <w:tc>
          <w:tcPr>
            <w:tcW w:w="1542" w:type="pct"/>
          </w:tcPr>
          <w:p w14:paraId="107FBA55" w14:textId="77777777" w:rsidR="002C2C46" w:rsidRPr="00986187" w:rsidRDefault="002C2C46" w:rsidP="00F3153C">
            <w:pPr>
              <w:widowControl w:val="0"/>
              <w:rPr>
                <w:sz w:val="22"/>
                <w:szCs w:val="22"/>
                <w:lang w:val="sr-Latn-ME"/>
              </w:rPr>
            </w:pPr>
            <w:r w:rsidRPr="00986187">
              <w:rPr>
                <w:sz w:val="22"/>
                <w:szCs w:val="22"/>
                <w:lang w:val="sr-Latn-ME"/>
              </w:rPr>
              <w:t>Često</w:t>
            </w:r>
          </w:p>
        </w:tc>
        <w:tc>
          <w:tcPr>
            <w:tcW w:w="1740" w:type="pct"/>
          </w:tcPr>
          <w:p w14:paraId="0F1BF95E" w14:textId="77777777" w:rsidR="002C2C46" w:rsidRPr="00986187" w:rsidRDefault="002C2C46" w:rsidP="00F3153C">
            <w:pPr>
              <w:widowControl w:val="0"/>
              <w:rPr>
                <w:sz w:val="22"/>
                <w:szCs w:val="22"/>
                <w:lang w:val="sr-Latn-ME"/>
              </w:rPr>
            </w:pPr>
            <w:r w:rsidRPr="00986187">
              <w:rPr>
                <w:sz w:val="22"/>
                <w:szCs w:val="22"/>
                <w:lang w:val="sr-Latn-ME"/>
              </w:rPr>
              <w:t>Gubitak apetita</w:t>
            </w:r>
          </w:p>
        </w:tc>
      </w:tr>
      <w:tr w:rsidR="002C2C46" w:rsidRPr="00986187" w14:paraId="30EF9A7B" w14:textId="77777777" w:rsidTr="00F3153C">
        <w:tc>
          <w:tcPr>
            <w:tcW w:w="1718" w:type="pct"/>
          </w:tcPr>
          <w:p w14:paraId="3872F272" w14:textId="77777777" w:rsidR="002C2C46" w:rsidRPr="00986187" w:rsidRDefault="002C2C46" w:rsidP="00F3153C">
            <w:pPr>
              <w:widowControl w:val="0"/>
              <w:rPr>
                <w:sz w:val="22"/>
                <w:szCs w:val="22"/>
                <w:lang w:val="sr-Latn-ME"/>
              </w:rPr>
            </w:pPr>
            <w:r w:rsidRPr="00986187">
              <w:rPr>
                <w:sz w:val="22"/>
                <w:szCs w:val="22"/>
                <w:lang w:val="sr-Latn-ME"/>
              </w:rPr>
              <w:t>Psihijatrijski poremećaji</w:t>
            </w:r>
          </w:p>
        </w:tc>
        <w:tc>
          <w:tcPr>
            <w:tcW w:w="1542" w:type="pct"/>
          </w:tcPr>
          <w:p w14:paraId="2CCBC70C" w14:textId="77777777" w:rsidR="002C2C46" w:rsidRPr="00986187" w:rsidRDefault="002C2C46" w:rsidP="00F3153C">
            <w:pPr>
              <w:widowControl w:val="0"/>
              <w:rPr>
                <w:sz w:val="22"/>
                <w:szCs w:val="22"/>
                <w:lang w:val="sr-Latn-ME"/>
              </w:rPr>
            </w:pPr>
            <w:r w:rsidRPr="00986187">
              <w:rPr>
                <w:sz w:val="22"/>
                <w:szCs w:val="22"/>
                <w:lang w:val="sr-Latn-ME"/>
              </w:rPr>
              <w:t>Veoma često</w:t>
            </w:r>
          </w:p>
        </w:tc>
        <w:tc>
          <w:tcPr>
            <w:tcW w:w="1740" w:type="pct"/>
          </w:tcPr>
          <w:p w14:paraId="209FE3B7" w14:textId="77777777" w:rsidR="002C2C46" w:rsidRPr="00986187" w:rsidRDefault="002C2C46" w:rsidP="00F3153C">
            <w:pPr>
              <w:widowControl w:val="0"/>
              <w:rPr>
                <w:sz w:val="22"/>
                <w:szCs w:val="22"/>
                <w:lang w:val="sr-Latn-ME"/>
              </w:rPr>
            </w:pPr>
            <w:proofErr w:type="spellStart"/>
            <w:r w:rsidRPr="00986187">
              <w:rPr>
                <w:sz w:val="22"/>
                <w:szCs w:val="22"/>
                <w:lang w:val="sr-Latn-ME"/>
              </w:rPr>
              <w:t>Iritabilnost</w:t>
            </w:r>
            <w:proofErr w:type="spellEnd"/>
          </w:p>
        </w:tc>
      </w:tr>
      <w:tr w:rsidR="002C2C46" w:rsidRPr="00986187" w14:paraId="5768CFAD" w14:textId="77777777" w:rsidTr="00F3153C">
        <w:tc>
          <w:tcPr>
            <w:tcW w:w="1718" w:type="pct"/>
          </w:tcPr>
          <w:p w14:paraId="73062098" w14:textId="77777777" w:rsidR="002C2C46" w:rsidRPr="00986187" w:rsidRDefault="002C2C46" w:rsidP="00F3153C">
            <w:pPr>
              <w:widowControl w:val="0"/>
              <w:rPr>
                <w:sz w:val="22"/>
                <w:szCs w:val="22"/>
                <w:lang w:val="sr-Latn-ME"/>
              </w:rPr>
            </w:pPr>
            <w:r w:rsidRPr="00986187">
              <w:rPr>
                <w:sz w:val="22"/>
                <w:szCs w:val="22"/>
                <w:lang w:val="sr-Latn-ME"/>
              </w:rPr>
              <w:t>Poremećaji nervnog  sistema</w:t>
            </w:r>
            <w:r w:rsidRPr="00986187" w:rsidDel="004C6FE8">
              <w:rPr>
                <w:sz w:val="22"/>
                <w:szCs w:val="22"/>
                <w:lang w:val="sr-Latn-ME"/>
              </w:rPr>
              <w:t xml:space="preserve"> </w:t>
            </w:r>
          </w:p>
        </w:tc>
        <w:tc>
          <w:tcPr>
            <w:tcW w:w="1542" w:type="pct"/>
          </w:tcPr>
          <w:p w14:paraId="4D1D6519" w14:textId="77777777" w:rsidR="002C2C46" w:rsidRPr="00986187" w:rsidRDefault="002C2C46" w:rsidP="00F3153C">
            <w:pPr>
              <w:widowControl w:val="0"/>
              <w:rPr>
                <w:sz w:val="22"/>
                <w:szCs w:val="22"/>
                <w:lang w:val="sr-Latn-ME"/>
              </w:rPr>
            </w:pPr>
            <w:r w:rsidRPr="00986187">
              <w:rPr>
                <w:sz w:val="22"/>
                <w:szCs w:val="22"/>
                <w:lang w:val="sr-Latn-ME"/>
              </w:rPr>
              <w:t>Veoma često</w:t>
            </w:r>
          </w:p>
          <w:p w14:paraId="7BBC4FE9" w14:textId="77777777" w:rsidR="002C2C46" w:rsidRPr="00986187" w:rsidRDefault="002C2C46" w:rsidP="00F3153C">
            <w:pPr>
              <w:widowControl w:val="0"/>
              <w:rPr>
                <w:sz w:val="22"/>
                <w:szCs w:val="22"/>
                <w:lang w:val="sr-Latn-ME"/>
              </w:rPr>
            </w:pPr>
            <w:r w:rsidRPr="00986187">
              <w:rPr>
                <w:sz w:val="22"/>
                <w:szCs w:val="22"/>
                <w:lang w:val="sr-Latn-ME"/>
              </w:rPr>
              <w:t xml:space="preserve">Često </w:t>
            </w:r>
          </w:p>
          <w:p w14:paraId="0252AA10" w14:textId="77777777" w:rsidR="002C2C46" w:rsidRPr="00986187" w:rsidRDefault="002C2C46" w:rsidP="00F3153C">
            <w:pPr>
              <w:widowControl w:val="0"/>
              <w:rPr>
                <w:sz w:val="22"/>
                <w:szCs w:val="22"/>
                <w:lang w:val="sr-Latn-ME"/>
              </w:rPr>
            </w:pPr>
            <w:r w:rsidRPr="00986187">
              <w:rPr>
                <w:sz w:val="22"/>
                <w:szCs w:val="22"/>
                <w:lang w:val="sr-Latn-ME"/>
              </w:rPr>
              <w:t>Povremeno</w:t>
            </w:r>
          </w:p>
          <w:p w14:paraId="3852EA93" w14:textId="77777777" w:rsidR="002C2C46" w:rsidRPr="00986187" w:rsidRDefault="002C2C46" w:rsidP="00F3153C">
            <w:pPr>
              <w:widowControl w:val="0"/>
              <w:rPr>
                <w:sz w:val="22"/>
                <w:szCs w:val="22"/>
                <w:lang w:val="sr-Latn-ME"/>
              </w:rPr>
            </w:pPr>
            <w:r w:rsidRPr="00986187">
              <w:rPr>
                <w:sz w:val="22"/>
                <w:szCs w:val="22"/>
                <w:lang w:val="sr-Latn-ME"/>
              </w:rPr>
              <w:t>Rijetko</w:t>
            </w:r>
          </w:p>
        </w:tc>
        <w:tc>
          <w:tcPr>
            <w:tcW w:w="1740" w:type="pct"/>
          </w:tcPr>
          <w:p w14:paraId="5FFDDD2C" w14:textId="77777777" w:rsidR="002C2C46" w:rsidRPr="00986187" w:rsidRDefault="002C2C46" w:rsidP="00F3153C">
            <w:pPr>
              <w:widowControl w:val="0"/>
              <w:rPr>
                <w:sz w:val="22"/>
                <w:szCs w:val="22"/>
                <w:lang w:val="sr-Latn-ME"/>
              </w:rPr>
            </w:pPr>
            <w:r w:rsidRPr="00986187">
              <w:rPr>
                <w:sz w:val="22"/>
                <w:szCs w:val="22"/>
                <w:lang w:val="sr-Latn-ME"/>
              </w:rPr>
              <w:t>Glavobolja</w:t>
            </w:r>
          </w:p>
          <w:p w14:paraId="291AD4AD" w14:textId="77777777" w:rsidR="002C2C46" w:rsidRPr="00986187" w:rsidRDefault="002C2C46" w:rsidP="00F3153C">
            <w:pPr>
              <w:widowControl w:val="0"/>
              <w:rPr>
                <w:sz w:val="22"/>
                <w:szCs w:val="22"/>
                <w:lang w:val="sr-Latn-ME"/>
              </w:rPr>
            </w:pPr>
            <w:r w:rsidRPr="00986187">
              <w:rPr>
                <w:sz w:val="22"/>
                <w:szCs w:val="22"/>
                <w:lang w:val="sr-Latn-ME"/>
              </w:rPr>
              <w:t>Pospanost</w:t>
            </w:r>
          </w:p>
          <w:p w14:paraId="055DB5B6" w14:textId="77777777" w:rsidR="002C2C46" w:rsidRPr="00986187" w:rsidRDefault="002C2C46" w:rsidP="00F3153C">
            <w:pPr>
              <w:widowControl w:val="0"/>
              <w:rPr>
                <w:sz w:val="22"/>
                <w:szCs w:val="22"/>
                <w:lang w:val="sr-Latn-ME"/>
              </w:rPr>
            </w:pPr>
            <w:r w:rsidRPr="00986187">
              <w:rPr>
                <w:sz w:val="22"/>
                <w:szCs w:val="22"/>
                <w:lang w:val="sr-Latn-ME"/>
              </w:rPr>
              <w:t>Vrtoglavica</w:t>
            </w:r>
          </w:p>
          <w:p w14:paraId="7710B7D1" w14:textId="77777777" w:rsidR="002C2C46" w:rsidRPr="00986187" w:rsidRDefault="002C2C46" w:rsidP="00F3153C">
            <w:pPr>
              <w:widowControl w:val="0"/>
              <w:rPr>
                <w:sz w:val="22"/>
                <w:szCs w:val="22"/>
                <w:lang w:val="sr-Latn-ME"/>
              </w:rPr>
            </w:pPr>
            <w:proofErr w:type="spellStart"/>
            <w:r w:rsidRPr="00986187">
              <w:rPr>
                <w:sz w:val="22"/>
                <w:szCs w:val="22"/>
                <w:lang w:val="sr-Latn-ME"/>
              </w:rPr>
              <w:t>Parestezije</w:t>
            </w:r>
            <w:proofErr w:type="spellEnd"/>
          </w:p>
        </w:tc>
      </w:tr>
      <w:tr w:rsidR="002C2C46" w:rsidRPr="00986187" w14:paraId="58B4F863" w14:textId="77777777" w:rsidTr="00F3153C">
        <w:tc>
          <w:tcPr>
            <w:tcW w:w="1718" w:type="pct"/>
          </w:tcPr>
          <w:p w14:paraId="6AF3F856" w14:textId="77777777" w:rsidR="002C2C46" w:rsidRPr="00986187" w:rsidRDefault="002C2C46" w:rsidP="00F3153C">
            <w:pPr>
              <w:widowControl w:val="0"/>
              <w:rPr>
                <w:sz w:val="22"/>
                <w:szCs w:val="22"/>
                <w:lang w:val="sr-Latn-ME"/>
              </w:rPr>
            </w:pPr>
            <w:r w:rsidRPr="00986187">
              <w:rPr>
                <w:sz w:val="22"/>
                <w:szCs w:val="22"/>
                <w:lang w:val="sr-Latn-ME"/>
              </w:rPr>
              <w:t>Gastrointestinalni poremećaji</w:t>
            </w:r>
          </w:p>
        </w:tc>
        <w:tc>
          <w:tcPr>
            <w:tcW w:w="1542" w:type="pct"/>
          </w:tcPr>
          <w:p w14:paraId="2C8AE8F0" w14:textId="77777777" w:rsidR="002C2C46" w:rsidRPr="00986187" w:rsidRDefault="002C2C46" w:rsidP="00F3153C">
            <w:pPr>
              <w:widowControl w:val="0"/>
              <w:rPr>
                <w:sz w:val="22"/>
                <w:szCs w:val="22"/>
                <w:lang w:val="sr-Latn-ME"/>
              </w:rPr>
            </w:pPr>
            <w:r w:rsidRPr="00986187">
              <w:rPr>
                <w:sz w:val="22"/>
                <w:szCs w:val="22"/>
                <w:lang w:val="sr-Latn-ME"/>
              </w:rPr>
              <w:t>Često</w:t>
            </w:r>
          </w:p>
        </w:tc>
        <w:tc>
          <w:tcPr>
            <w:tcW w:w="1740" w:type="pct"/>
          </w:tcPr>
          <w:p w14:paraId="68171607" w14:textId="77777777" w:rsidR="002C2C46" w:rsidRPr="00986187" w:rsidRDefault="002C2C46" w:rsidP="00F3153C">
            <w:pPr>
              <w:widowControl w:val="0"/>
              <w:rPr>
                <w:sz w:val="22"/>
                <w:szCs w:val="22"/>
                <w:lang w:val="sr-Latn-ME"/>
              </w:rPr>
            </w:pPr>
            <w:r w:rsidRPr="00986187">
              <w:rPr>
                <w:sz w:val="22"/>
                <w:szCs w:val="22"/>
                <w:lang w:val="sr-Latn-ME"/>
              </w:rPr>
              <w:t xml:space="preserve">Gastrointestinalni simptomi (kao što su </w:t>
            </w:r>
            <w:proofErr w:type="spellStart"/>
            <w:r w:rsidRPr="00986187">
              <w:rPr>
                <w:sz w:val="22"/>
                <w:szCs w:val="22"/>
                <w:lang w:val="sr-Latn-ME"/>
              </w:rPr>
              <w:t>nauzeja</w:t>
            </w:r>
            <w:proofErr w:type="spellEnd"/>
            <w:r w:rsidRPr="00986187">
              <w:rPr>
                <w:sz w:val="22"/>
                <w:szCs w:val="22"/>
                <w:lang w:val="sr-Latn-ME"/>
              </w:rPr>
              <w:t>, povraćanje, dijareja, abdominalni bol)</w:t>
            </w:r>
          </w:p>
        </w:tc>
      </w:tr>
      <w:tr w:rsidR="002C2C46" w:rsidRPr="00986187" w14:paraId="2AE6D03B" w14:textId="77777777" w:rsidTr="00F3153C">
        <w:tc>
          <w:tcPr>
            <w:tcW w:w="1718" w:type="pct"/>
          </w:tcPr>
          <w:p w14:paraId="31A9D2BF" w14:textId="77777777" w:rsidR="002C2C46" w:rsidRPr="00986187" w:rsidRDefault="002C2C46" w:rsidP="00F3153C">
            <w:pPr>
              <w:widowControl w:val="0"/>
              <w:rPr>
                <w:sz w:val="22"/>
                <w:szCs w:val="22"/>
                <w:lang w:val="sr-Latn-ME"/>
              </w:rPr>
            </w:pPr>
            <w:r w:rsidRPr="00986187">
              <w:rPr>
                <w:sz w:val="22"/>
                <w:szCs w:val="22"/>
                <w:lang w:val="sr-Latn-ME"/>
              </w:rPr>
              <w:t>Poremećaji na nivou kože i potkožnog tkiva</w:t>
            </w:r>
            <w:r w:rsidRPr="00986187" w:rsidDel="00C51F46">
              <w:rPr>
                <w:sz w:val="22"/>
                <w:szCs w:val="22"/>
                <w:lang w:val="sr-Latn-ME"/>
              </w:rPr>
              <w:t xml:space="preserve"> </w:t>
            </w:r>
          </w:p>
        </w:tc>
        <w:tc>
          <w:tcPr>
            <w:tcW w:w="1542" w:type="pct"/>
          </w:tcPr>
          <w:p w14:paraId="5B06A8A0" w14:textId="77777777" w:rsidR="002C2C46" w:rsidRPr="00986187" w:rsidRDefault="002C2C46" w:rsidP="00F3153C">
            <w:pPr>
              <w:widowControl w:val="0"/>
              <w:rPr>
                <w:sz w:val="22"/>
                <w:szCs w:val="22"/>
                <w:lang w:val="sr-Latn-ME"/>
              </w:rPr>
            </w:pPr>
            <w:r w:rsidRPr="00986187">
              <w:rPr>
                <w:sz w:val="22"/>
                <w:szCs w:val="22"/>
                <w:lang w:val="sr-Latn-ME"/>
              </w:rPr>
              <w:t>Rijetko</w:t>
            </w:r>
          </w:p>
        </w:tc>
        <w:tc>
          <w:tcPr>
            <w:tcW w:w="1740" w:type="pct"/>
          </w:tcPr>
          <w:p w14:paraId="297FE7A8" w14:textId="1EE2D564" w:rsidR="002C2C46" w:rsidRPr="00986187" w:rsidRDefault="002C2C46" w:rsidP="00F3153C">
            <w:pPr>
              <w:widowControl w:val="0"/>
              <w:rPr>
                <w:sz w:val="22"/>
                <w:szCs w:val="22"/>
                <w:lang w:val="sr-Latn-ME"/>
              </w:rPr>
            </w:pPr>
            <w:r w:rsidRPr="00986187">
              <w:rPr>
                <w:sz w:val="22"/>
                <w:szCs w:val="22"/>
                <w:lang w:val="sr-Latn-ME"/>
              </w:rPr>
              <w:t xml:space="preserve">Urtikarija, </w:t>
            </w:r>
            <w:proofErr w:type="spellStart"/>
            <w:r w:rsidRPr="00986187">
              <w:rPr>
                <w:sz w:val="22"/>
                <w:szCs w:val="22"/>
                <w:lang w:val="sr-Latn-ME"/>
              </w:rPr>
              <w:t>pruritus</w:t>
            </w:r>
            <w:proofErr w:type="spellEnd"/>
            <w:r w:rsidRPr="00986187">
              <w:rPr>
                <w:sz w:val="22"/>
                <w:szCs w:val="22"/>
                <w:lang w:val="sr-Latn-ME"/>
              </w:rPr>
              <w:t xml:space="preserve">, </w:t>
            </w:r>
            <w:r w:rsidR="009C74CF" w:rsidRPr="00986187">
              <w:rPr>
                <w:sz w:val="22"/>
                <w:szCs w:val="22"/>
                <w:lang w:val="sr-Latn-ME"/>
              </w:rPr>
              <w:t>osip</w:t>
            </w:r>
          </w:p>
        </w:tc>
      </w:tr>
      <w:tr w:rsidR="002C2C46" w:rsidRPr="00986187" w14:paraId="6CA23B8F" w14:textId="77777777" w:rsidTr="00F3153C">
        <w:tc>
          <w:tcPr>
            <w:tcW w:w="1718" w:type="pct"/>
          </w:tcPr>
          <w:p w14:paraId="73CF23BF" w14:textId="77777777" w:rsidR="002C2C46" w:rsidRPr="00986187" w:rsidRDefault="002C2C46" w:rsidP="00F3153C">
            <w:pPr>
              <w:widowControl w:val="0"/>
              <w:rPr>
                <w:sz w:val="22"/>
                <w:szCs w:val="22"/>
                <w:lang w:val="sr-Latn-ME"/>
              </w:rPr>
            </w:pPr>
            <w:r w:rsidRPr="00986187">
              <w:rPr>
                <w:sz w:val="22"/>
                <w:szCs w:val="22"/>
                <w:lang w:val="sr-Latn-ME"/>
              </w:rPr>
              <w:lastRenderedPageBreak/>
              <w:t>Poremećaji mišićnog-skeletnog, vezivnog i koštanog sistema</w:t>
            </w:r>
            <w:r w:rsidRPr="00986187" w:rsidDel="00C51F46">
              <w:rPr>
                <w:i/>
                <w:sz w:val="22"/>
                <w:szCs w:val="22"/>
                <w:lang w:val="sr-Latn-ME"/>
              </w:rPr>
              <w:t xml:space="preserve"> </w:t>
            </w:r>
          </w:p>
        </w:tc>
        <w:tc>
          <w:tcPr>
            <w:tcW w:w="1542" w:type="pct"/>
          </w:tcPr>
          <w:p w14:paraId="6C9B5F0E" w14:textId="77777777" w:rsidR="002C2C46" w:rsidRPr="00986187" w:rsidRDefault="002C2C46" w:rsidP="00F3153C">
            <w:pPr>
              <w:widowControl w:val="0"/>
              <w:rPr>
                <w:sz w:val="22"/>
                <w:szCs w:val="22"/>
                <w:lang w:val="sr-Latn-ME"/>
              </w:rPr>
            </w:pPr>
            <w:r w:rsidRPr="00986187">
              <w:rPr>
                <w:sz w:val="22"/>
                <w:szCs w:val="22"/>
                <w:lang w:val="sr-Latn-ME"/>
              </w:rPr>
              <w:t>Povremeno</w:t>
            </w:r>
          </w:p>
          <w:p w14:paraId="1F9A81EA" w14:textId="77777777" w:rsidR="002C2C46" w:rsidRPr="00986187" w:rsidRDefault="002C2C46" w:rsidP="00F3153C">
            <w:pPr>
              <w:widowControl w:val="0"/>
              <w:rPr>
                <w:sz w:val="22"/>
                <w:szCs w:val="22"/>
                <w:lang w:val="sr-Latn-ME"/>
              </w:rPr>
            </w:pPr>
            <w:r w:rsidRPr="00986187">
              <w:rPr>
                <w:sz w:val="22"/>
                <w:szCs w:val="22"/>
                <w:lang w:val="sr-Latn-ME"/>
              </w:rPr>
              <w:t>Rijetko</w:t>
            </w:r>
          </w:p>
        </w:tc>
        <w:tc>
          <w:tcPr>
            <w:tcW w:w="1740" w:type="pct"/>
          </w:tcPr>
          <w:p w14:paraId="0576C228" w14:textId="77777777" w:rsidR="002C2C46" w:rsidRPr="00986187" w:rsidRDefault="002C2C46" w:rsidP="00F3153C">
            <w:pPr>
              <w:widowControl w:val="0"/>
              <w:rPr>
                <w:sz w:val="22"/>
                <w:szCs w:val="22"/>
                <w:lang w:val="sr-Latn-ME"/>
              </w:rPr>
            </w:pPr>
            <w:proofErr w:type="spellStart"/>
            <w:r w:rsidRPr="00986187">
              <w:rPr>
                <w:sz w:val="22"/>
                <w:szCs w:val="22"/>
                <w:lang w:val="sr-Latn-ME"/>
              </w:rPr>
              <w:t>Mialgija</w:t>
            </w:r>
            <w:proofErr w:type="spellEnd"/>
          </w:p>
          <w:p w14:paraId="38032B55" w14:textId="77777777" w:rsidR="002C2C46" w:rsidRPr="00986187" w:rsidRDefault="002C2C46" w:rsidP="00F3153C">
            <w:pPr>
              <w:widowControl w:val="0"/>
              <w:rPr>
                <w:sz w:val="22"/>
                <w:szCs w:val="22"/>
                <w:lang w:val="sr-Latn-ME"/>
              </w:rPr>
            </w:pPr>
            <w:proofErr w:type="spellStart"/>
            <w:r w:rsidRPr="00986187">
              <w:rPr>
                <w:sz w:val="22"/>
                <w:szCs w:val="22"/>
                <w:lang w:val="sr-Latn-ME"/>
              </w:rPr>
              <w:t>Artralgija</w:t>
            </w:r>
            <w:proofErr w:type="spellEnd"/>
          </w:p>
        </w:tc>
      </w:tr>
      <w:tr w:rsidR="002C2C46" w:rsidRPr="00986187" w14:paraId="430E19C9" w14:textId="77777777" w:rsidTr="00F3153C">
        <w:tc>
          <w:tcPr>
            <w:tcW w:w="1718" w:type="pct"/>
          </w:tcPr>
          <w:p w14:paraId="26D3DB6E" w14:textId="77777777" w:rsidR="002C2C46" w:rsidRPr="00986187" w:rsidRDefault="002C2C46" w:rsidP="00F3153C">
            <w:pPr>
              <w:widowControl w:val="0"/>
              <w:rPr>
                <w:sz w:val="22"/>
                <w:szCs w:val="22"/>
                <w:lang w:val="sr-Latn-ME"/>
              </w:rPr>
            </w:pPr>
            <w:r w:rsidRPr="00986187">
              <w:rPr>
                <w:sz w:val="22"/>
                <w:szCs w:val="22"/>
                <w:lang w:val="sr-Latn-ME"/>
              </w:rPr>
              <w:t>Opšti poremećaji i reakcije na mjestu primjene</w:t>
            </w:r>
            <w:r w:rsidRPr="00986187" w:rsidDel="00C51F46">
              <w:rPr>
                <w:i/>
                <w:sz w:val="22"/>
                <w:szCs w:val="22"/>
                <w:lang w:val="sr-Latn-ME"/>
              </w:rPr>
              <w:t xml:space="preserve"> </w:t>
            </w:r>
          </w:p>
        </w:tc>
        <w:tc>
          <w:tcPr>
            <w:tcW w:w="1542" w:type="pct"/>
          </w:tcPr>
          <w:p w14:paraId="2895D5D1" w14:textId="13550B76" w:rsidR="002C2C46" w:rsidRPr="00986187" w:rsidRDefault="002C2C46" w:rsidP="00F3153C">
            <w:pPr>
              <w:widowControl w:val="0"/>
              <w:rPr>
                <w:sz w:val="22"/>
                <w:szCs w:val="22"/>
                <w:lang w:val="sr-Latn-ME"/>
              </w:rPr>
            </w:pPr>
            <w:r w:rsidRPr="00986187">
              <w:rPr>
                <w:sz w:val="22"/>
                <w:szCs w:val="22"/>
                <w:lang w:val="sr-Latn-ME"/>
              </w:rPr>
              <w:t>Veoma često</w:t>
            </w:r>
          </w:p>
          <w:p w14:paraId="40A55F18" w14:textId="77777777" w:rsidR="00BC6BA1" w:rsidRPr="00986187" w:rsidRDefault="00BC6BA1" w:rsidP="00F3153C">
            <w:pPr>
              <w:widowControl w:val="0"/>
              <w:rPr>
                <w:sz w:val="22"/>
                <w:szCs w:val="22"/>
                <w:lang w:val="sr-Latn-ME"/>
              </w:rPr>
            </w:pPr>
          </w:p>
          <w:p w14:paraId="17387803" w14:textId="77777777" w:rsidR="002C2C46" w:rsidRPr="00986187" w:rsidRDefault="002C2C46" w:rsidP="00F3153C">
            <w:pPr>
              <w:widowControl w:val="0"/>
              <w:rPr>
                <w:sz w:val="22"/>
                <w:szCs w:val="22"/>
                <w:lang w:val="sr-Latn-ME"/>
              </w:rPr>
            </w:pPr>
            <w:r w:rsidRPr="00986187">
              <w:rPr>
                <w:sz w:val="22"/>
                <w:szCs w:val="22"/>
                <w:lang w:val="sr-Latn-ME"/>
              </w:rPr>
              <w:t>Često</w:t>
            </w:r>
          </w:p>
          <w:p w14:paraId="6C60D0B2" w14:textId="649E888D" w:rsidR="002C2C46" w:rsidRPr="00986187" w:rsidRDefault="002C2C46" w:rsidP="00F3153C">
            <w:pPr>
              <w:widowControl w:val="0"/>
              <w:rPr>
                <w:sz w:val="22"/>
                <w:szCs w:val="22"/>
                <w:lang w:val="sr-Latn-ME"/>
              </w:rPr>
            </w:pPr>
          </w:p>
          <w:p w14:paraId="7FDD0B13" w14:textId="55CBFF17" w:rsidR="00791EE2" w:rsidRPr="00986187" w:rsidRDefault="00791EE2" w:rsidP="00F3153C">
            <w:pPr>
              <w:widowControl w:val="0"/>
              <w:rPr>
                <w:sz w:val="22"/>
                <w:szCs w:val="22"/>
                <w:lang w:val="sr-Latn-ME"/>
              </w:rPr>
            </w:pPr>
          </w:p>
          <w:p w14:paraId="5933330D" w14:textId="77777777" w:rsidR="002C2C46" w:rsidRPr="00986187" w:rsidRDefault="002C2C46" w:rsidP="00F3153C">
            <w:pPr>
              <w:widowControl w:val="0"/>
              <w:rPr>
                <w:sz w:val="22"/>
                <w:szCs w:val="22"/>
                <w:lang w:val="sr-Latn-ME"/>
              </w:rPr>
            </w:pPr>
          </w:p>
          <w:p w14:paraId="1C3A5344" w14:textId="77777777" w:rsidR="002C2C46" w:rsidRPr="00986187" w:rsidRDefault="002C2C46" w:rsidP="00F3153C">
            <w:pPr>
              <w:widowControl w:val="0"/>
              <w:rPr>
                <w:sz w:val="22"/>
                <w:szCs w:val="22"/>
                <w:lang w:val="sr-Latn-ME"/>
              </w:rPr>
            </w:pPr>
            <w:r w:rsidRPr="00986187">
              <w:rPr>
                <w:sz w:val="22"/>
                <w:szCs w:val="22"/>
                <w:lang w:val="sr-Latn-ME"/>
              </w:rPr>
              <w:t>Povremeno</w:t>
            </w:r>
          </w:p>
        </w:tc>
        <w:tc>
          <w:tcPr>
            <w:tcW w:w="1740" w:type="pct"/>
          </w:tcPr>
          <w:p w14:paraId="04990D81" w14:textId="5F955C2C" w:rsidR="002C2C46" w:rsidRPr="00986187" w:rsidRDefault="002C2C46" w:rsidP="00F3153C">
            <w:pPr>
              <w:widowControl w:val="0"/>
              <w:rPr>
                <w:sz w:val="22"/>
                <w:szCs w:val="22"/>
                <w:lang w:val="sr-Latn-ME"/>
              </w:rPr>
            </w:pPr>
            <w:r w:rsidRPr="00986187">
              <w:rPr>
                <w:sz w:val="22"/>
                <w:szCs w:val="22"/>
                <w:lang w:val="sr-Latn-ME"/>
              </w:rPr>
              <w:t>Bol i crvenilo na m</w:t>
            </w:r>
            <w:r w:rsidR="00B62C04" w:rsidRPr="00986187">
              <w:rPr>
                <w:sz w:val="22"/>
                <w:szCs w:val="22"/>
                <w:lang w:val="sr-Latn-ME"/>
              </w:rPr>
              <w:t>j</w:t>
            </w:r>
            <w:r w:rsidRPr="00986187">
              <w:rPr>
                <w:sz w:val="22"/>
                <w:szCs w:val="22"/>
                <w:lang w:val="sr-Latn-ME"/>
              </w:rPr>
              <w:t>estu prim</w:t>
            </w:r>
            <w:r w:rsidR="00B62C04" w:rsidRPr="00986187">
              <w:rPr>
                <w:sz w:val="22"/>
                <w:szCs w:val="22"/>
                <w:lang w:val="sr-Latn-ME"/>
              </w:rPr>
              <w:t>j</w:t>
            </w:r>
            <w:r w:rsidRPr="00986187">
              <w:rPr>
                <w:sz w:val="22"/>
                <w:szCs w:val="22"/>
                <w:lang w:val="sr-Latn-ME"/>
              </w:rPr>
              <w:t>ene, umor</w:t>
            </w:r>
          </w:p>
          <w:p w14:paraId="7EA7D15F" w14:textId="6C2C1A1D" w:rsidR="002C2C46" w:rsidRPr="00986187" w:rsidRDefault="002C2C46" w:rsidP="00F3153C">
            <w:pPr>
              <w:widowControl w:val="0"/>
              <w:rPr>
                <w:sz w:val="22"/>
                <w:szCs w:val="22"/>
                <w:lang w:val="sr-Latn-ME"/>
              </w:rPr>
            </w:pPr>
            <w:r w:rsidRPr="00986187">
              <w:rPr>
                <w:sz w:val="22"/>
                <w:szCs w:val="22"/>
                <w:lang w:val="sr-Latn-ME"/>
              </w:rPr>
              <w:t>Groznica (t</w:t>
            </w:r>
            <w:r w:rsidR="00CF6512" w:rsidRPr="00986187">
              <w:rPr>
                <w:sz w:val="22"/>
                <w:szCs w:val="22"/>
                <w:lang w:val="sr-Latn-ME"/>
              </w:rPr>
              <w:t>j</w:t>
            </w:r>
            <w:r w:rsidRPr="00986187">
              <w:rPr>
                <w:sz w:val="22"/>
                <w:szCs w:val="22"/>
                <w:lang w:val="sr-Latn-ME"/>
              </w:rPr>
              <w:t>elesna temperatura ≥ 37.5°C), slabost, otok na m</w:t>
            </w:r>
            <w:r w:rsidR="00CF6512" w:rsidRPr="00986187">
              <w:rPr>
                <w:sz w:val="22"/>
                <w:szCs w:val="22"/>
                <w:lang w:val="sr-Latn-ME"/>
              </w:rPr>
              <w:t>j</w:t>
            </w:r>
            <w:r w:rsidRPr="00986187">
              <w:rPr>
                <w:sz w:val="22"/>
                <w:szCs w:val="22"/>
                <w:lang w:val="sr-Latn-ME"/>
              </w:rPr>
              <w:t>estu prim</w:t>
            </w:r>
            <w:r w:rsidR="00CF6512" w:rsidRPr="00986187">
              <w:rPr>
                <w:sz w:val="22"/>
                <w:szCs w:val="22"/>
                <w:lang w:val="sr-Latn-ME"/>
              </w:rPr>
              <w:t>j</w:t>
            </w:r>
            <w:r w:rsidRPr="00986187">
              <w:rPr>
                <w:sz w:val="22"/>
                <w:szCs w:val="22"/>
                <w:lang w:val="sr-Latn-ME"/>
              </w:rPr>
              <w:t>ene, reakcija na m</w:t>
            </w:r>
            <w:r w:rsidR="00CF6512" w:rsidRPr="00986187">
              <w:rPr>
                <w:sz w:val="22"/>
                <w:szCs w:val="22"/>
                <w:lang w:val="sr-Latn-ME"/>
              </w:rPr>
              <w:t>j</w:t>
            </w:r>
            <w:r w:rsidRPr="00986187">
              <w:rPr>
                <w:sz w:val="22"/>
                <w:szCs w:val="22"/>
                <w:lang w:val="sr-Latn-ME"/>
              </w:rPr>
              <w:t>estu prim</w:t>
            </w:r>
            <w:r w:rsidR="00CF6512" w:rsidRPr="00986187">
              <w:rPr>
                <w:sz w:val="22"/>
                <w:szCs w:val="22"/>
                <w:lang w:val="sr-Latn-ME"/>
              </w:rPr>
              <w:t>j</w:t>
            </w:r>
            <w:r w:rsidRPr="00986187">
              <w:rPr>
                <w:sz w:val="22"/>
                <w:szCs w:val="22"/>
                <w:lang w:val="sr-Latn-ME"/>
              </w:rPr>
              <w:t xml:space="preserve">ene (kao što je </w:t>
            </w:r>
            <w:proofErr w:type="spellStart"/>
            <w:r w:rsidRPr="00986187">
              <w:rPr>
                <w:sz w:val="22"/>
                <w:szCs w:val="22"/>
                <w:lang w:val="sr-Latn-ME"/>
              </w:rPr>
              <w:t>induracija</w:t>
            </w:r>
            <w:proofErr w:type="spellEnd"/>
            <w:r w:rsidRPr="00986187">
              <w:rPr>
                <w:sz w:val="22"/>
                <w:szCs w:val="22"/>
                <w:lang w:val="sr-Latn-ME"/>
              </w:rPr>
              <w:t>)</w:t>
            </w:r>
          </w:p>
          <w:p w14:paraId="07181C9B" w14:textId="77777777" w:rsidR="002C2C46" w:rsidRPr="00986187" w:rsidRDefault="002C2C46" w:rsidP="00F3153C">
            <w:pPr>
              <w:widowControl w:val="0"/>
              <w:rPr>
                <w:sz w:val="22"/>
                <w:szCs w:val="22"/>
                <w:lang w:val="sr-Latn-ME"/>
              </w:rPr>
            </w:pPr>
            <w:r w:rsidRPr="00986187">
              <w:rPr>
                <w:sz w:val="22"/>
                <w:szCs w:val="22"/>
                <w:lang w:val="sr-Latn-ME"/>
              </w:rPr>
              <w:t>Stanje slično gripu</w:t>
            </w:r>
          </w:p>
        </w:tc>
      </w:tr>
      <w:tr w:rsidR="002C2C46" w:rsidRPr="00986187" w14:paraId="0EE730B2" w14:textId="77777777" w:rsidTr="00F3153C">
        <w:tc>
          <w:tcPr>
            <w:tcW w:w="5000" w:type="pct"/>
            <w:gridSpan w:val="3"/>
          </w:tcPr>
          <w:p w14:paraId="0F0005B2" w14:textId="77777777" w:rsidR="002C2C46" w:rsidRPr="00986187" w:rsidRDefault="002C2C46" w:rsidP="00F3153C">
            <w:pPr>
              <w:widowControl w:val="0"/>
              <w:rPr>
                <w:b/>
                <w:sz w:val="22"/>
                <w:szCs w:val="22"/>
                <w:lang w:val="sr-Latn-ME"/>
              </w:rPr>
            </w:pPr>
            <w:proofErr w:type="spellStart"/>
            <w:r w:rsidRPr="00986187">
              <w:rPr>
                <w:b/>
                <w:sz w:val="22"/>
                <w:szCs w:val="22"/>
                <w:lang w:val="sr-Latn-ME"/>
              </w:rPr>
              <w:t>Postmarketinški</w:t>
            </w:r>
            <w:proofErr w:type="spellEnd"/>
            <w:r w:rsidRPr="00986187">
              <w:rPr>
                <w:b/>
                <w:sz w:val="22"/>
                <w:szCs w:val="22"/>
                <w:lang w:val="sr-Latn-ME"/>
              </w:rPr>
              <w:t xml:space="preserve"> podaci</w:t>
            </w:r>
          </w:p>
        </w:tc>
      </w:tr>
      <w:tr w:rsidR="002C2C46" w:rsidRPr="00986187" w14:paraId="3E93DCE0" w14:textId="77777777" w:rsidTr="00F3153C">
        <w:tc>
          <w:tcPr>
            <w:tcW w:w="1718" w:type="pct"/>
          </w:tcPr>
          <w:p w14:paraId="5643C486" w14:textId="77777777" w:rsidR="002C2C46" w:rsidRPr="00986187" w:rsidRDefault="002C2C46" w:rsidP="00F3153C">
            <w:pPr>
              <w:widowControl w:val="0"/>
              <w:rPr>
                <w:sz w:val="22"/>
                <w:szCs w:val="22"/>
                <w:lang w:val="sr-Latn-ME"/>
              </w:rPr>
            </w:pPr>
            <w:r w:rsidRPr="00986187">
              <w:rPr>
                <w:sz w:val="22"/>
                <w:szCs w:val="22"/>
                <w:lang w:val="sr-Latn-ME"/>
              </w:rPr>
              <w:t xml:space="preserve">Infekcije i </w:t>
            </w:r>
            <w:proofErr w:type="spellStart"/>
            <w:r w:rsidRPr="00986187">
              <w:rPr>
                <w:sz w:val="22"/>
                <w:szCs w:val="22"/>
                <w:lang w:val="sr-Latn-ME"/>
              </w:rPr>
              <w:t>infestacije</w:t>
            </w:r>
            <w:proofErr w:type="spellEnd"/>
          </w:p>
        </w:tc>
        <w:tc>
          <w:tcPr>
            <w:tcW w:w="1542" w:type="pct"/>
          </w:tcPr>
          <w:p w14:paraId="00D73ACD"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5BF77016" w14:textId="77777777" w:rsidR="002C2C46" w:rsidRPr="00986187" w:rsidRDefault="002C2C46" w:rsidP="00F3153C">
            <w:pPr>
              <w:widowControl w:val="0"/>
              <w:rPr>
                <w:sz w:val="22"/>
                <w:szCs w:val="22"/>
                <w:lang w:val="sr-Latn-ME"/>
              </w:rPr>
            </w:pPr>
            <w:r w:rsidRPr="00986187">
              <w:rPr>
                <w:sz w:val="22"/>
                <w:szCs w:val="22"/>
                <w:lang w:val="sr-Latn-ME"/>
              </w:rPr>
              <w:t>Meningitis</w:t>
            </w:r>
          </w:p>
        </w:tc>
      </w:tr>
      <w:tr w:rsidR="002C2C46" w:rsidRPr="00986187" w14:paraId="36D9984D" w14:textId="77777777" w:rsidTr="00F3153C">
        <w:tc>
          <w:tcPr>
            <w:tcW w:w="1718" w:type="pct"/>
          </w:tcPr>
          <w:p w14:paraId="498D5D5C" w14:textId="77777777" w:rsidR="002C2C46" w:rsidRPr="00986187" w:rsidRDefault="002C2C46" w:rsidP="00F3153C">
            <w:pPr>
              <w:widowControl w:val="0"/>
              <w:rPr>
                <w:sz w:val="22"/>
                <w:szCs w:val="22"/>
                <w:lang w:val="sr-Latn-ME"/>
              </w:rPr>
            </w:pPr>
            <w:r w:rsidRPr="00986187">
              <w:rPr>
                <w:sz w:val="22"/>
                <w:szCs w:val="22"/>
                <w:lang w:val="sr-Latn-ME"/>
              </w:rPr>
              <w:t>Poremećaji na nivou krvi i limfnog sistema</w:t>
            </w:r>
          </w:p>
        </w:tc>
        <w:tc>
          <w:tcPr>
            <w:tcW w:w="1542" w:type="pct"/>
          </w:tcPr>
          <w:p w14:paraId="4F43600C"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66C88D17" w14:textId="77777777" w:rsidR="002C2C46" w:rsidRPr="00986187" w:rsidRDefault="002C2C46" w:rsidP="00F3153C">
            <w:pPr>
              <w:widowControl w:val="0"/>
              <w:rPr>
                <w:sz w:val="22"/>
                <w:szCs w:val="22"/>
                <w:lang w:val="sr-Latn-ME"/>
              </w:rPr>
            </w:pPr>
            <w:proofErr w:type="spellStart"/>
            <w:r w:rsidRPr="00986187">
              <w:rPr>
                <w:sz w:val="22"/>
                <w:szCs w:val="22"/>
                <w:lang w:val="sr-Latn-ME"/>
              </w:rPr>
              <w:t>Trombocitopenija</w:t>
            </w:r>
            <w:proofErr w:type="spellEnd"/>
          </w:p>
        </w:tc>
      </w:tr>
      <w:tr w:rsidR="002C2C46" w:rsidRPr="00986187" w14:paraId="75F7B19C" w14:textId="77777777" w:rsidTr="00F3153C">
        <w:tc>
          <w:tcPr>
            <w:tcW w:w="1718" w:type="pct"/>
          </w:tcPr>
          <w:p w14:paraId="54B49FDB" w14:textId="77777777" w:rsidR="002C2C46" w:rsidRPr="00986187" w:rsidRDefault="002C2C46" w:rsidP="00F3153C">
            <w:pPr>
              <w:widowControl w:val="0"/>
              <w:rPr>
                <w:sz w:val="22"/>
                <w:szCs w:val="22"/>
                <w:lang w:val="sr-Latn-ME"/>
              </w:rPr>
            </w:pPr>
            <w:r w:rsidRPr="00986187">
              <w:rPr>
                <w:sz w:val="22"/>
                <w:szCs w:val="22"/>
                <w:lang w:val="sr-Latn-ME"/>
              </w:rPr>
              <w:t>Imunološki poremećaji</w:t>
            </w:r>
          </w:p>
        </w:tc>
        <w:tc>
          <w:tcPr>
            <w:tcW w:w="1542" w:type="pct"/>
          </w:tcPr>
          <w:p w14:paraId="30658541"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41B5C948" w14:textId="77777777" w:rsidR="002C2C46" w:rsidRPr="00986187" w:rsidRDefault="002C2C46" w:rsidP="00F3153C">
            <w:pPr>
              <w:widowControl w:val="0"/>
              <w:rPr>
                <w:sz w:val="22"/>
                <w:szCs w:val="22"/>
                <w:lang w:val="sr-Latn-ME"/>
              </w:rPr>
            </w:pPr>
            <w:proofErr w:type="spellStart"/>
            <w:r w:rsidRPr="00986187">
              <w:rPr>
                <w:sz w:val="22"/>
                <w:szCs w:val="22"/>
                <w:lang w:val="sr-Latn-ME"/>
              </w:rPr>
              <w:t>Anafilaksa</w:t>
            </w:r>
            <w:proofErr w:type="spellEnd"/>
            <w:r w:rsidRPr="00986187">
              <w:rPr>
                <w:sz w:val="22"/>
                <w:szCs w:val="22"/>
                <w:lang w:val="sr-Latn-ME"/>
              </w:rPr>
              <w:t xml:space="preserve">, alergijske reakcije uključujući </w:t>
            </w:r>
            <w:proofErr w:type="spellStart"/>
            <w:r w:rsidRPr="00986187">
              <w:rPr>
                <w:sz w:val="22"/>
                <w:szCs w:val="22"/>
                <w:lang w:val="sr-Latn-ME"/>
              </w:rPr>
              <w:t>anafilaktoidne</w:t>
            </w:r>
            <w:proofErr w:type="spellEnd"/>
            <w:r w:rsidRPr="00986187">
              <w:rPr>
                <w:sz w:val="22"/>
                <w:szCs w:val="22"/>
                <w:lang w:val="sr-Latn-ME"/>
              </w:rPr>
              <w:t xml:space="preserve"> </w:t>
            </w:r>
            <w:r w:rsidRPr="00986187">
              <w:rPr>
                <w:color w:val="000000"/>
                <w:sz w:val="22"/>
                <w:szCs w:val="22"/>
                <w:lang w:val="sr-Latn-ME"/>
              </w:rPr>
              <w:t>reakcije i mimikrija imunog odgovora</w:t>
            </w:r>
          </w:p>
        </w:tc>
      </w:tr>
      <w:tr w:rsidR="002C2C46" w:rsidRPr="00986187" w14:paraId="046B0936" w14:textId="77777777" w:rsidTr="00F3153C">
        <w:tc>
          <w:tcPr>
            <w:tcW w:w="1718" w:type="pct"/>
          </w:tcPr>
          <w:p w14:paraId="3A65A170" w14:textId="77777777" w:rsidR="002C2C46" w:rsidRPr="00986187" w:rsidRDefault="002C2C46" w:rsidP="00F3153C">
            <w:pPr>
              <w:widowControl w:val="0"/>
              <w:rPr>
                <w:sz w:val="22"/>
                <w:szCs w:val="22"/>
                <w:lang w:val="sr-Latn-ME"/>
              </w:rPr>
            </w:pPr>
            <w:r w:rsidRPr="00986187">
              <w:rPr>
                <w:sz w:val="22"/>
                <w:szCs w:val="22"/>
                <w:lang w:val="sr-Latn-ME"/>
              </w:rPr>
              <w:t>Poremećaji nervnog  sistema</w:t>
            </w:r>
          </w:p>
        </w:tc>
        <w:tc>
          <w:tcPr>
            <w:tcW w:w="1542" w:type="pct"/>
          </w:tcPr>
          <w:p w14:paraId="67EF1196"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5982A7C5" w14:textId="77777777" w:rsidR="002C2C46" w:rsidRPr="00986187" w:rsidRDefault="002C2C46" w:rsidP="00F3153C">
            <w:pPr>
              <w:widowControl w:val="0"/>
              <w:rPr>
                <w:sz w:val="22"/>
                <w:szCs w:val="22"/>
                <w:lang w:val="sr-Latn-ME"/>
              </w:rPr>
            </w:pPr>
            <w:r w:rsidRPr="00986187">
              <w:rPr>
                <w:sz w:val="22"/>
                <w:szCs w:val="22"/>
                <w:lang w:val="sr-Latn-ME"/>
              </w:rPr>
              <w:t xml:space="preserve">Encefalitis, </w:t>
            </w:r>
            <w:proofErr w:type="spellStart"/>
            <w:r w:rsidRPr="00986187">
              <w:rPr>
                <w:sz w:val="22"/>
                <w:szCs w:val="22"/>
                <w:lang w:val="sr-Latn-ME"/>
              </w:rPr>
              <w:t>encefalopatija</w:t>
            </w:r>
            <w:proofErr w:type="spellEnd"/>
            <w:r w:rsidRPr="00986187">
              <w:rPr>
                <w:sz w:val="22"/>
                <w:szCs w:val="22"/>
                <w:lang w:val="sr-Latn-ME"/>
              </w:rPr>
              <w:t xml:space="preserve">, konvulzije, paraliza, neuritis (uključujući </w:t>
            </w:r>
            <w:proofErr w:type="spellStart"/>
            <w:r w:rsidRPr="00986187">
              <w:rPr>
                <w:sz w:val="22"/>
                <w:szCs w:val="22"/>
                <w:lang w:val="sr-Latn-ME"/>
              </w:rPr>
              <w:t>Guillain-Barre</w:t>
            </w:r>
            <w:proofErr w:type="spellEnd"/>
            <w:r w:rsidRPr="00986187">
              <w:rPr>
                <w:sz w:val="22"/>
                <w:szCs w:val="22"/>
                <w:lang w:val="sr-Latn-ME"/>
              </w:rPr>
              <w:t xml:space="preserve"> sindrom, optički neuritis i multipla skleroza), neuropatija, </w:t>
            </w:r>
            <w:proofErr w:type="spellStart"/>
            <w:r w:rsidRPr="00986187">
              <w:rPr>
                <w:sz w:val="22"/>
                <w:szCs w:val="22"/>
                <w:lang w:val="sr-Latn-ME"/>
              </w:rPr>
              <w:t>hipoastezija</w:t>
            </w:r>
            <w:proofErr w:type="spellEnd"/>
          </w:p>
        </w:tc>
      </w:tr>
      <w:tr w:rsidR="002C2C46" w:rsidRPr="00986187" w14:paraId="23DA2FB4" w14:textId="77777777" w:rsidTr="00F3153C">
        <w:tc>
          <w:tcPr>
            <w:tcW w:w="1718" w:type="pct"/>
          </w:tcPr>
          <w:p w14:paraId="194D0B86" w14:textId="77777777" w:rsidR="002C2C46" w:rsidRPr="00986187" w:rsidRDefault="002C2C46" w:rsidP="00F3153C">
            <w:pPr>
              <w:widowControl w:val="0"/>
              <w:rPr>
                <w:sz w:val="22"/>
                <w:szCs w:val="22"/>
                <w:lang w:val="sr-Latn-ME"/>
              </w:rPr>
            </w:pPr>
            <w:r w:rsidRPr="00986187">
              <w:rPr>
                <w:sz w:val="22"/>
                <w:szCs w:val="22"/>
                <w:lang w:val="sr-Latn-ME"/>
              </w:rPr>
              <w:t>Vaskularni poremećaji</w:t>
            </w:r>
          </w:p>
        </w:tc>
        <w:tc>
          <w:tcPr>
            <w:tcW w:w="1542" w:type="pct"/>
          </w:tcPr>
          <w:p w14:paraId="3BBFE248"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4B58AC63" w14:textId="77777777" w:rsidR="002C2C46" w:rsidRPr="00986187" w:rsidRDefault="002C2C46" w:rsidP="00F3153C">
            <w:pPr>
              <w:widowControl w:val="0"/>
              <w:rPr>
                <w:sz w:val="22"/>
                <w:szCs w:val="22"/>
                <w:lang w:val="sr-Latn-ME"/>
              </w:rPr>
            </w:pPr>
            <w:proofErr w:type="spellStart"/>
            <w:r w:rsidRPr="00986187">
              <w:rPr>
                <w:sz w:val="22"/>
                <w:szCs w:val="22"/>
                <w:lang w:val="sr-Latn-ME"/>
              </w:rPr>
              <w:t>Vaskulitis</w:t>
            </w:r>
            <w:proofErr w:type="spellEnd"/>
            <w:r w:rsidRPr="00986187">
              <w:rPr>
                <w:sz w:val="22"/>
                <w:szCs w:val="22"/>
                <w:lang w:val="sr-Latn-ME"/>
              </w:rPr>
              <w:t xml:space="preserve">, </w:t>
            </w:r>
            <w:proofErr w:type="spellStart"/>
            <w:r w:rsidRPr="00986187">
              <w:rPr>
                <w:sz w:val="22"/>
                <w:szCs w:val="22"/>
                <w:lang w:val="sr-Latn-ME"/>
              </w:rPr>
              <w:t>hipotenzija</w:t>
            </w:r>
            <w:proofErr w:type="spellEnd"/>
          </w:p>
        </w:tc>
      </w:tr>
      <w:tr w:rsidR="002C2C46" w:rsidRPr="00986187" w14:paraId="367DB311" w14:textId="77777777" w:rsidTr="00F3153C">
        <w:tc>
          <w:tcPr>
            <w:tcW w:w="1718" w:type="pct"/>
          </w:tcPr>
          <w:p w14:paraId="0464C8C9" w14:textId="77777777" w:rsidR="002C2C46" w:rsidRPr="00986187" w:rsidRDefault="002C2C46" w:rsidP="00F3153C">
            <w:pPr>
              <w:widowControl w:val="0"/>
              <w:rPr>
                <w:sz w:val="22"/>
                <w:szCs w:val="22"/>
                <w:lang w:val="sr-Latn-ME"/>
              </w:rPr>
            </w:pPr>
            <w:r w:rsidRPr="00986187">
              <w:rPr>
                <w:sz w:val="22"/>
                <w:szCs w:val="22"/>
                <w:lang w:val="sr-Latn-ME"/>
              </w:rPr>
              <w:t xml:space="preserve">Respiratorni, torakalni i </w:t>
            </w:r>
            <w:proofErr w:type="spellStart"/>
            <w:r w:rsidRPr="00986187">
              <w:rPr>
                <w:sz w:val="22"/>
                <w:szCs w:val="22"/>
                <w:lang w:val="sr-Latn-ME"/>
              </w:rPr>
              <w:t>medijastinalni</w:t>
            </w:r>
            <w:proofErr w:type="spellEnd"/>
            <w:r w:rsidRPr="00986187">
              <w:rPr>
                <w:sz w:val="22"/>
                <w:szCs w:val="22"/>
                <w:lang w:val="sr-Latn-ME"/>
              </w:rPr>
              <w:t xml:space="preserve"> poremećaji</w:t>
            </w:r>
          </w:p>
        </w:tc>
        <w:tc>
          <w:tcPr>
            <w:tcW w:w="1542" w:type="pct"/>
          </w:tcPr>
          <w:p w14:paraId="297789EF"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69F3512A" w14:textId="2DBB73BD" w:rsidR="002C2C46" w:rsidRPr="00986187" w:rsidRDefault="002C2C46" w:rsidP="00F3153C">
            <w:pPr>
              <w:widowControl w:val="0"/>
              <w:rPr>
                <w:sz w:val="22"/>
                <w:szCs w:val="22"/>
                <w:lang w:val="sr-Latn-ME"/>
              </w:rPr>
            </w:pPr>
            <w:proofErr w:type="spellStart"/>
            <w:r w:rsidRPr="00986187">
              <w:rPr>
                <w:sz w:val="22"/>
                <w:szCs w:val="22"/>
                <w:lang w:val="sr-Latn-ME"/>
              </w:rPr>
              <w:t>Apneja</w:t>
            </w:r>
            <w:proofErr w:type="spellEnd"/>
            <w:r w:rsidRPr="00986187">
              <w:rPr>
                <w:sz w:val="22"/>
                <w:szCs w:val="22"/>
                <w:lang w:val="sr-Latn-ME"/>
              </w:rPr>
              <w:t xml:space="preserve"> kod veoma prijevremeno rođene djece (rođene prije ili u toku 28</w:t>
            </w:r>
            <w:r w:rsidR="009C74CF" w:rsidRPr="00986187">
              <w:rPr>
                <w:sz w:val="22"/>
                <w:szCs w:val="22"/>
                <w:lang w:val="sr-Latn-ME"/>
              </w:rPr>
              <w:t>.</w:t>
            </w:r>
            <w:r w:rsidRPr="00986187">
              <w:rPr>
                <w:sz w:val="22"/>
                <w:szCs w:val="22"/>
                <w:lang w:val="sr-Latn-ME"/>
              </w:rPr>
              <w:t xml:space="preserve"> </w:t>
            </w:r>
            <w:proofErr w:type="spellStart"/>
            <w:r w:rsidRPr="00986187">
              <w:rPr>
                <w:sz w:val="22"/>
                <w:szCs w:val="22"/>
                <w:lang w:val="sr-Latn-ME"/>
              </w:rPr>
              <w:t>gestacijske</w:t>
            </w:r>
            <w:proofErr w:type="spellEnd"/>
            <w:r w:rsidRPr="00986187">
              <w:rPr>
                <w:sz w:val="22"/>
                <w:szCs w:val="22"/>
                <w:lang w:val="sr-Latn-ME"/>
              </w:rPr>
              <w:t xml:space="preserve"> nedjelje) (vidjeti </w:t>
            </w:r>
            <w:r w:rsidR="00DF0D23" w:rsidRPr="00986187">
              <w:rPr>
                <w:sz w:val="22"/>
                <w:szCs w:val="22"/>
                <w:lang w:val="sr-Latn-ME"/>
              </w:rPr>
              <w:t xml:space="preserve">dio </w:t>
            </w:r>
            <w:r w:rsidRPr="00986187">
              <w:rPr>
                <w:sz w:val="22"/>
                <w:szCs w:val="22"/>
                <w:lang w:val="sr-Latn-ME"/>
              </w:rPr>
              <w:t>4.4)</w:t>
            </w:r>
          </w:p>
        </w:tc>
      </w:tr>
      <w:tr w:rsidR="002C2C46" w:rsidRPr="00986187" w14:paraId="2EB2CE78" w14:textId="77777777" w:rsidTr="00F3153C">
        <w:tc>
          <w:tcPr>
            <w:tcW w:w="1718" w:type="pct"/>
          </w:tcPr>
          <w:p w14:paraId="0F4B61DB" w14:textId="77777777" w:rsidR="002C2C46" w:rsidRPr="00986187" w:rsidRDefault="002C2C46" w:rsidP="00F3153C">
            <w:pPr>
              <w:widowControl w:val="0"/>
              <w:rPr>
                <w:sz w:val="22"/>
                <w:szCs w:val="22"/>
                <w:lang w:val="sr-Latn-ME"/>
              </w:rPr>
            </w:pPr>
            <w:r w:rsidRPr="00986187">
              <w:rPr>
                <w:sz w:val="22"/>
                <w:szCs w:val="22"/>
                <w:lang w:val="sr-Latn-ME"/>
              </w:rPr>
              <w:t>Poremećaji na nivou kože i potkožnog tkiva</w:t>
            </w:r>
            <w:r w:rsidRPr="00986187" w:rsidDel="00C51F46">
              <w:rPr>
                <w:sz w:val="22"/>
                <w:szCs w:val="22"/>
                <w:lang w:val="sr-Latn-ME"/>
              </w:rPr>
              <w:t xml:space="preserve"> </w:t>
            </w:r>
          </w:p>
        </w:tc>
        <w:tc>
          <w:tcPr>
            <w:tcW w:w="1542" w:type="pct"/>
          </w:tcPr>
          <w:p w14:paraId="59F5B765"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4289774E" w14:textId="77777777" w:rsidR="002C2C46" w:rsidRPr="00986187" w:rsidRDefault="002C2C46" w:rsidP="00F3153C">
            <w:pPr>
              <w:widowControl w:val="0"/>
              <w:rPr>
                <w:sz w:val="22"/>
                <w:szCs w:val="22"/>
                <w:lang w:val="sr-Latn-ME"/>
              </w:rPr>
            </w:pPr>
            <w:proofErr w:type="spellStart"/>
            <w:r w:rsidRPr="00986187">
              <w:rPr>
                <w:sz w:val="22"/>
                <w:szCs w:val="22"/>
                <w:lang w:val="sr-Latn-ME"/>
              </w:rPr>
              <w:t>Erythema</w:t>
            </w:r>
            <w:proofErr w:type="spellEnd"/>
            <w:r w:rsidRPr="00986187">
              <w:rPr>
                <w:sz w:val="22"/>
                <w:szCs w:val="22"/>
                <w:lang w:val="sr-Latn-ME"/>
              </w:rPr>
              <w:t xml:space="preserve"> </w:t>
            </w:r>
            <w:proofErr w:type="spellStart"/>
            <w:r w:rsidRPr="00986187">
              <w:rPr>
                <w:sz w:val="22"/>
                <w:szCs w:val="22"/>
                <w:lang w:val="sr-Latn-ME"/>
              </w:rPr>
              <w:t>multiforme</w:t>
            </w:r>
            <w:proofErr w:type="spellEnd"/>
            <w:r w:rsidRPr="00986187">
              <w:rPr>
                <w:sz w:val="22"/>
                <w:szCs w:val="22"/>
                <w:lang w:val="sr-Latn-ME"/>
              </w:rPr>
              <w:t xml:space="preserve">, </w:t>
            </w:r>
            <w:proofErr w:type="spellStart"/>
            <w:r w:rsidRPr="00986187">
              <w:rPr>
                <w:sz w:val="22"/>
                <w:szCs w:val="22"/>
                <w:lang w:val="sr-Latn-ME"/>
              </w:rPr>
              <w:t>angioneurotski</w:t>
            </w:r>
            <w:proofErr w:type="spellEnd"/>
            <w:r w:rsidRPr="00986187">
              <w:rPr>
                <w:sz w:val="22"/>
                <w:szCs w:val="22"/>
                <w:lang w:val="sr-Latn-ME"/>
              </w:rPr>
              <w:t xml:space="preserve"> </w:t>
            </w:r>
            <w:proofErr w:type="spellStart"/>
            <w:r w:rsidRPr="00986187">
              <w:rPr>
                <w:sz w:val="22"/>
                <w:szCs w:val="22"/>
                <w:lang w:val="sr-Latn-ME"/>
              </w:rPr>
              <w:t>edem</w:t>
            </w:r>
            <w:proofErr w:type="spellEnd"/>
            <w:r w:rsidRPr="00986187">
              <w:rPr>
                <w:sz w:val="22"/>
                <w:szCs w:val="22"/>
                <w:lang w:val="sr-Latn-ME"/>
              </w:rPr>
              <w:t xml:space="preserve">, </w:t>
            </w:r>
            <w:proofErr w:type="spellStart"/>
            <w:r w:rsidRPr="00986187">
              <w:rPr>
                <w:sz w:val="22"/>
                <w:szCs w:val="22"/>
                <w:lang w:val="sr-Latn-ME"/>
              </w:rPr>
              <w:t>lichen</w:t>
            </w:r>
            <w:proofErr w:type="spellEnd"/>
            <w:r w:rsidRPr="00986187">
              <w:rPr>
                <w:sz w:val="22"/>
                <w:szCs w:val="22"/>
                <w:lang w:val="sr-Latn-ME"/>
              </w:rPr>
              <w:t xml:space="preserve"> </w:t>
            </w:r>
            <w:proofErr w:type="spellStart"/>
            <w:r w:rsidRPr="00986187">
              <w:rPr>
                <w:sz w:val="22"/>
                <w:szCs w:val="22"/>
                <w:lang w:val="sr-Latn-ME"/>
              </w:rPr>
              <w:t>planus</w:t>
            </w:r>
            <w:proofErr w:type="spellEnd"/>
          </w:p>
        </w:tc>
      </w:tr>
      <w:tr w:rsidR="002C2C46" w:rsidRPr="00986187" w14:paraId="64C7F410" w14:textId="77777777" w:rsidTr="00F3153C">
        <w:tc>
          <w:tcPr>
            <w:tcW w:w="1718" w:type="pct"/>
          </w:tcPr>
          <w:p w14:paraId="1CA790FC" w14:textId="77777777" w:rsidR="002C2C46" w:rsidRPr="00986187" w:rsidRDefault="002C2C46" w:rsidP="00F3153C">
            <w:pPr>
              <w:widowControl w:val="0"/>
              <w:rPr>
                <w:sz w:val="22"/>
                <w:szCs w:val="22"/>
                <w:lang w:val="sr-Latn-ME"/>
              </w:rPr>
            </w:pPr>
            <w:r w:rsidRPr="00986187">
              <w:rPr>
                <w:sz w:val="22"/>
                <w:szCs w:val="22"/>
                <w:lang w:val="sr-Latn-ME"/>
              </w:rPr>
              <w:t xml:space="preserve">Poremećaji mišićno-skeletnog, vezivnog i koštanog tkiva </w:t>
            </w:r>
          </w:p>
        </w:tc>
        <w:tc>
          <w:tcPr>
            <w:tcW w:w="1542" w:type="pct"/>
          </w:tcPr>
          <w:p w14:paraId="6371E0A5" w14:textId="77777777" w:rsidR="002C2C46" w:rsidRPr="00986187" w:rsidRDefault="002C2C46" w:rsidP="00F3153C">
            <w:pPr>
              <w:widowControl w:val="0"/>
              <w:rPr>
                <w:sz w:val="22"/>
                <w:szCs w:val="22"/>
                <w:lang w:val="sr-Latn-ME"/>
              </w:rPr>
            </w:pPr>
            <w:r w:rsidRPr="00986187">
              <w:rPr>
                <w:sz w:val="22"/>
                <w:szCs w:val="22"/>
                <w:lang w:val="sr-Latn-ME"/>
              </w:rPr>
              <w:t>Nepoznato (učestalost nije moguće procijeniti na osnovu dostupnih podataka)</w:t>
            </w:r>
          </w:p>
        </w:tc>
        <w:tc>
          <w:tcPr>
            <w:tcW w:w="1740" w:type="pct"/>
          </w:tcPr>
          <w:p w14:paraId="22C416A0" w14:textId="77777777" w:rsidR="002C2C46" w:rsidRPr="00986187" w:rsidRDefault="002C2C46" w:rsidP="00F3153C">
            <w:pPr>
              <w:widowControl w:val="0"/>
              <w:rPr>
                <w:sz w:val="22"/>
                <w:szCs w:val="22"/>
                <w:lang w:val="sr-Latn-ME"/>
              </w:rPr>
            </w:pPr>
            <w:r w:rsidRPr="00986187">
              <w:rPr>
                <w:sz w:val="22"/>
                <w:szCs w:val="22"/>
                <w:lang w:val="sr-Latn-ME"/>
              </w:rPr>
              <w:t>Artritis, slabost mišića</w:t>
            </w:r>
          </w:p>
          <w:p w14:paraId="57A4B531" w14:textId="77777777" w:rsidR="002C2C46" w:rsidRPr="00986187" w:rsidRDefault="002C2C46" w:rsidP="00F3153C">
            <w:pPr>
              <w:widowControl w:val="0"/>
              <w:rPr>
                <w:sz w:val="22"/>
                <w:szCs w:val="22"/>
                <w:lang w:val="sr-Latn-ME"/>
              </w:rPr>
            </w:pPr>
          </w:p>
        </w:tc>
      </w:tr>
    </w:tbl>
    <w:p w14:paraId="65EAECCA" w14:textId="77777777" w:rsidR="002C2C46" w:rsidRPr="00986187" w:rsidRDefault="002C2C46" w:rsidP="00F3153C">
      <w:pPr>
        <w:widowControl w:val="0"/>
        <w:tabs>
          <w:tab w:val="left" w:pos="1590"/>
        </w:tabs>
        <w:rPr>
          <w:sz w:val="22"/>
          <w:szCs w:val="22"/>
          <w:lang w:val="sr-Latn-ME"/>
        </w:rPr>
      </w:pPr>
      <w:r w:rsidRPr="00986187">
        <w:rPr>
          <w:sz w:val="22"/>
          <w:szCs w:val="22"/>
          <w:lang w:val="sr-Latn-ME"/>
        </w:rPr>
        <w:tab/>
      </w:r>
    </w:p>
    <w:p w14:paraId="5CE53E0F" w14:textId="77777777" w:rsidR="00FA197A" w:rsidRPr="00986187" w:rsidRDefault="00FA197A" w:rsidP="00F3153C">
      <w:pPr>
        <w:widowControl w:val="0"/>
        <w:rPr>
          <w:rFonts w:eastAsia="Calibri"/>
          <w:sz w:val="22"/>
          <w:szCs w:val="22"/>
          <w:u w:val="single"/>
          <w:lang w:val="sr-Latn-ME"/>
        </w:rPr>
      </w:pPr>
      <w:r w:rsidRPr="00986187">
        <w:rPr>
          <w:rFonts w:eastAsia="Calibri"/>
          <w:sz w:val="22"/>
          <w:szCs w:val="22"/>
          <w:u w:val="single"/>
          <w:lang w:val="sr-Latn-ME"/>
        </w:rPr>
        <w:t>Prijavljivanje sumnji na neželjena dejstva</w:t>
      </w:r>
    </w:p>
    <w:p w14:paraId="618A9A7E" w14:textId="77777777" w:rsidR="00FA197A" w:rsidRPr="00986187" w:rsidRDefault="00FA197A" w:rsidP="00F3153C">
      <w:pPr>
        <w:widowControl w:val="0"/>
        <w:jc w:val="both"/>
        <w:rPr>
          <w:rFonts w:eastAsia="Calibri"/>
          <w:sz w:val="22"/>
          <w:szCs w:val="22"/>
          <w:lang w:val="sr-Latn-ME"/>
        </w:rPr>
      </w:pPr>
      <w:r w:rsidRPr="00986187">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w:t>
      </w:r>
      <w:proofErr w:type="spellStart"/>
      <w:r w:rsidRPr="00986187">
        <w:rPr>
          <w:rFonts w:eastAsia="Calibri"/>
          <w:sz w:val="22"/>
          <w:szCs w:val="22"/>
          <w:lang w:val="sr-Latn-ME"/>
        </w:rPr>
        <w:t>CInMED</w:t>
      </w:r>
      <w:proofErr w:type="spellEnd"/>
      <w:r w:rsidRPr="00986187">
        <w:rPr>
          <w:rFonts w:eastAsia="Calibri"/>
          <w:sz w:val="22"/>
          <w:szCs w:val="22"/>
          <w:lang w:val="sr-Latn-ME"/>
        </w:rPr>
        <w:t>):</w:t>
      </w:r>
    </w:p>
    <w:p w14:paraId="1D55B3D5" w14:textId="77777777" w:rsidR="00FA197A" w:rsidRPr="00986187" w:rsidRDefault="00FA197A" w:rsidP="00F3153C">
      <w:pPr>
        <w:pStyle w:val="NoSpacing"/>
        <w:widowControl w:val="0"/>
        <w:jc w:val="both"/>
        <w:rPr>
          <w:rFonts w:eastAsia="Calibri"/>
          <w:sz w:val="22"/>
          <w:szCs w:val="22"/>
          <w:lang w:val="sr-Latn-ME"/>
        </w:rPr>
      </w:pPr>
      <w:r w:rsidRPr="00986187">
        <w:rPr>
          <w:rFonts w:eastAsia="Calibri"/>
          <w:sz w:val="22"/>
          <w:szCs w:val="22"/>
          <w:lang w:val="sr-Latn-ME"/>
        </w:rPr>
        <w:t xml:space="preserve">Institut za ljekove i medicinska sredstva </w:t>
      </w:r>
    </w:p>
    <w:p w14:paraId="7BE0C6F8" w14:textId="77777777" w:rsidR="00FA197A" w:rsidRPr="00986187" w:rsidRDefault="00FA197A" w:rsidP="00F3153C">
      <w:pPr>
        <w:pStyle w:val="NoSpacing"/>
        <w:widowControl w:val="0"/>
        <w:jc w:val="both"/>
        <w:rPr>
          <w:rFonts w:eastAsia="Calibri"/>
          <w:sz w:val="22"/>
          <w:szCs w:val="22"/>
          <w:lang w:val="sr-Latn-ME"/>
        </w:rPr>
      </w:pPr>
      <w:r w:rsidRPr="00986187">
        <w:rPr>
          <w:rFonts w:eastAsia="Calibri"/>
          <w:sz w:val="22"/>
          <w:szCs w:val="22"/>
          <w:lang w:val="sr-Latn-ME"/>
        </w:rPr>
        <w:t xml:space="preserve">Odjeljenje za </w:t>
      </w:r>
      <w:proofErr w:type="spellStart"/>
      <w:r w:rsidRPr="00986187">
        <w:rPr>
          <w:rFonts w:eastAsia="Calibri"/>
          <w:sz w:val="22"/>
          <w:szCs w:val="22"/>
          <w:lang w:val="sr-Latn-ME"/>
        </w:rPr>
        <w:t>farmakovigilancu</w:t>
      </w:r>
      <w:proofErr w:type="spellEnd"/>
    </w:p>
    <w:p w14:paraId="793E1B11" w14:textId="77777777" w:rsidR="00FA197A" w:rsidRPr="00986187" w:rsidRDefault="00FA197A" w:rsidP="00F3153C">
      <w:pPr>
        <w:pStyle w:val="NoSpacing"/>
        <w:widowControl w:val="0"/>
        <w:jc w:val="both"/>
        <w:rPr>
          <w:rFonts w:eastAsia="Calibri"/>
          <w:sz w:val="22"/>
          <w:szCs w:val="22"/>
          <w:lang w:val="sr-Latn-ME"/>
        </w:rPr>
      </w:pPr>
      <w:r w:rsidRPr="00986187">
        <w:rPr>
          <w:rFonts w:eastAsia="Calibri"/>
          <w:sz w:val="22"/>
          <w:szCs w:val="22"/>
          <w:lang w:val="sr-Latn-ME"/>
        </w:rPr>
        <w:t>Bulevar Ivana Crnojevića 64a, 81000 Podgorica</w:t>
      </w:r>
    </w:p>
    <w:p w14:paraId="5EA1487F" w14:textId="77777777" w:rsidR="00FA197A" w:rsidRPr="00986187" w:rsidRDefault="00FA197A" w:rsidP="00F3153C">
      <w:pPr>
        <w:pStyle w:val="NoSpacing"/>
        <w:widowControl w:val="0"/>
        <w:rPr>
          <w:rFonts w:eastAsia="Calibri"/>
          <w:sz w:val="22"/>
          <w:szCs w:val="22"/>
          <w:lang w:val="sr-Latn-ME"/>
        </w:rPr>
      </w:pPr>
    </w:p>
    <w:p w14:paraId="6C670A93" w14:textId="77777777" w:rsidR="00FA197A" w:rsidRPr="00986187" w:rsidRDefault="00FA197A" w:rsidP="00F3153C">
      <w:pPr>
        <w:pStyle w:val="NoSpacing"/>
        <w:widowControl w:val="0"/>
        <w:jc w:val="both"/>
        <w:rPr>
          <w:rFonts w:eastAsia="Calibri"/>
          <w:sz w:val="22"/>
          <w:szCs w:val="22"/>
          <w:lang w:val="sr-Latn-ME"/>
        </w:rPr>
      </w:pPr>
      <w:r w:rsidRPr="00986187">
        <w:rPr>
          <w:rFonts w:eastAsia="Calibri"/>
          <w:sz w:val="22"/>
          <w:szCs w:val="22"/>
          <w:lang w:val="sr-Latn-ME"/>
        </w:rPr>
        <w:t>tel: +382 (0) 20 310 280</w:t>
      </w:r>
    </w:p>
    <w:p w14:paraId="480D8C75" w14:textId="77777777" w:rsidR="00FA197A" w:rsidRPr="00986187" w:rsidRDefault="00FA197A" w:rsidP="00F3153C">
      <w:pPr>
        <w:pStyle w:val="NoSpacing"/>
        <w:widowControl w:val="0"/>
        <w:tabs>
          <w:tab w:val="left" w:pos="6720"/>
        </w:tabs>
        <w:jc w:val="both"/>
        <w:rPr>
          <w:rFonts w:eastAsia="Calibri"/>
          <w:sz w:val="22"/>
          <w:szCs w:val="22"/>
          <w:lang w:val="sr-Latn-ME"/>
        </w:rPr>
      </w:pPr>
      <w:proofErr w:type="spellStart"/>
      <w:r w:rsidRPr="00986187">
        <w:rPr>
          <w:rFonts w:eastAsia="Calibri"/>
          <w:sz w:val="22"/>
          <w:szCs w:val="22"/>
          <w:lang w:val="sr-Latn-ME"/>
        </w:rPr>
        <w:t>fax</w:t>
      </w:r>
      <w:proofErr w:type="spellEnd"/>
      <w:r w:rsidRPr="00986187">
        <w:rPr>
          <w:rFonts w:eastAsia="Calibri"/>
          <w:sz w:val="22"/>
          <w:szCs w:val="22"/>
          <w:lang w:val="sr-Latn-ME"/>
        </w:rPr>
        <w:t>: +382 (0) 20 310 581</w:t>
      </w:r>
      <w:r w:rsidRPr="00986187">
        <w:rPr>
          <w:rFonts w:eastAsia="Calibri"/>
          <w:sz w:val="22"/>
          <w:szCs w:val="22"/>
          <w:lang w:val="sr-Latn-ME"/>
        </w:rPr>
        <w:tab/>
      </w:r>
    </w:p>
    <w:p w14:paraId="4AD24370" w14:textId="77777777" w:rsidR="00FA197A" w:rsidRPr="00986187" w:rsidRDefault="00E43E69" w:rsidP="00F3153C">
      <w:pPr>
        <w:pStyle w:val="NoSpacing"/>
        <w:widowControl w:val="0"/>
        <w:jc w:val="both"/>
        <w:rPr>
          <w:rFonts w:eastAsia="Calibri"/>
          <w:sz w:val="22"/>
          <w:szCs w:val="22"/>
          <w:lang w:val="sr-Latn-ME"/>
        </w:rPr>
      </w:pPr>
      <w:hyperlink r:id="rId8" w:history="1">
        <w:r w:rsidR="00FA197A" w:rsidRPr="00986187">
          <w:rPr>
            <w:rStyle w:val="Hyperlink"/>
            <w:rFonts w:eastAsia="Calibri"/>
            <w:sz w:val="22"/>
            <w:szCs w:val="22"/>
            <w:lang w:val="sr-Latn-ME"/>
          </w:rPr>
          <w:t>www.cinmed.me</w:t>
        </w:r>
      </w:hyperlink>
    </w:p>
    <w:p w14:paraId="7F71FED8" w14:textId="77777777" w:rsidR="00FA197A" w:rsidRPr="00986187" w:rsidRDefault="00E43E69" w:rsidP="00F3153C">
      <w:pPr>
        <w:pStyle w:val="NoSpacing"/>
        <w:widowControl w:val="0"/>
        <w:jc w:val="both"/>
        <w:rPr>
          <w:rFonts w:eastAsia="Calibri"/>
          <w:color w:val="0000FF"/>
          <w:sz w:val="22"/>
          <w:szCs w:val="22"/>
          <w:u w:val="single"/>
          <w:lang w:val="sr-Latn-ME"/>
        </w:rPr>
      </w:pPr>
      <w:hyperlink r:id="rId9" w:history="1">
        <w:r w:rsidR="00FA197A" w:rsidRPr="00986187">
          <w:rPr>
            <w:rStyle w:val="Hyperlink"/>
            <w:rFonts w:eastAsia="Calibri"/>
            <w:sz w:val="22"/>
            <w:szCs w:val="22"/>
            <w:lang w:val="sr-Latn-ME"/>
          </w:rPr>
          <w:t>nezeljenadejstva@cinmed.me</w:t>
        </w:r>
      </w:hyperlink>
    </w:p>
    <w:p w14:paraId="534A9888" w14:textId="77777777" w:rsidR="00FA197A" w:rsidRPr="00986187" w:rsidRDefault="00FA197A" w:rsidP="00F3153C">
      <w:pPr>
        <w:pStyle w:val="NoSpacing"/>
        <w:widowControl w:val="0"/>
        <w:jc w:val="both"/>
        <w:rPr>
          <w:rFonts w:eastAsia="Calibri"/>
          <w:sz w:val="22"/>
          <w:szCs w:val="22"/>
          <w:lang w:val="sr-Latn-ME"/>
        </w:rPr>
      </w:pPr>
      <w:r w:rsidRPr="00986187">
        <w:rPr>
          <w:rFonts w:eastAsia="Calibri"/>
          <w:sz w:val="22"/>
          <w:szCs w:val="22"/>
          <w:lang w:val="sr-Latn-ME"/>
        </w:rPr>
        <w:t>putem IS zdravstvene zaštite</w:t>
      </w:r>
    </w:p>
    <w:p w14:paraId="6FCA812E" w14:textId="77777777" w:rsidR="00FA197A" w:rsidRPr="00986187" w:rsidRDefault="00FA197A" w:rsidP="00F3153C">
      <w:pPr>
        <w:pStyle w:val="NoSpacing"/>
        <w:widowControl w:val="0"/>
        <w:jc w:val="both"/>
        <w:rPr>
          <w:rFonts w:eastAsia="Calibri"/>
          <w:sz w:val="22"/>
          <w:szCs w:val="22"/>
          <w:lang w:val="sr-Latn-ME"/>
        </w:rPr>
      </w:pPr>
      <w:r w:rsidRPr="00986187">
        <w:rPr>
          <w:rFonts w:eastAsia="Calibri"/>
          <w:sz w:val="22"/>
          <w:szCs w:val="22"/>
          <w:lang w:val="sr-Latn-ME"/>
        </w:rPr>
        <w:t xml:space="preserve">QR kod za </w:t>
      </w:r>
      <w:proofErr w:type="spellStart"/>
      <w:r w:rsidRPr="00986187">
        <w:rPr>
          <w:rFonts w:eastAsia="Calibri"/>
          <w:sz w:val="22"/>
          <w:szCs w:val="22"/>
          <w:lang w:val="sr-Latn-ME"/>
        </w:rPr>
        <w:t>online</w:t>
      </w:r>
      <w:proofErr w:type="spellEnd"/>
      <w:r w:rsidRPr="00986187">
        <w:rPr>
          <w:rFonts w:eastAsia="Calibri"/>
          <w:sz w:val="22"/>
          <w:szCs w:val="22"/>
          <w:lang w:val="sr-Latn-ME"/>
        </w:rPr>
        <w:t xml:space="preserve"> prijavu sumnje na neželjeno dejstvo lijeka:</w:t>
      </w:r>
    </w:p>
    <w:p w14:paraId="46CAB181" w14:textId="0CFA5A53" w:rsidR="00FA197A" w:rsidRPr="00986187" w:rsidRDefault="00FA197A" w:rsidP="00F3153C">
      <w:pPr>
        <w:pStyle w:val="NoSpacing"/>
        <w:widowControl w:val="0"/>
        <w:rPr>
          <w:rFonts w:eastAsia="Calibri"/>
          <w:sz w:val="22"/>
          <w:szCs w:val="22"/>
          <w:lang w:val="sr-Latn-ME"/>
        </w:rPr>
      </w:pPr>
    </w:p>
    <w:p w14:paraId="69087C00" w14:textId="77777777" w:rsidR="00FA197A" w:rsidRPr="00986187" w:rsidRDefault="00FA197A" w:rsidP="00F3153C">
      <w:pPr>
        <w:widowControl w:val="0"/>
        <w:tabs>
          <w:tab w:val="left" w:pos="540"/>
          <w:tab w:val="left" w:pos="569"/>
        </w:tabs>
        <w:rPr>
          <w:b/>
          <w:bCs/>
          <w:sz w:val="22"/>
          <w:szCs w:val="22"/>
          <w:lang w:val="sr-Latn-ME"/>
        </w:rPr>
      </w:pPr>
      <w:r w:rsidRPr="00986187">
        <w:rPr>
          <w:b/>
          <w:bCs/>
          <w:noProof/>
          <w:sz w:val="22"/>
          <w:szCs w:val="22"/>
          <w:lang w:val="sr-Latn-ME"/>
        </w:rPr>
        <w:lastRenderedPageBreak/>
        <w:drawing>
          <wp:inline distT="0" distB="0" distL="0" distR="0" wp14:anchorId="0589F98D" wp14:editId="06078DEB">
            <wp:extent cx="980796" cy="972000"/>
            <wp:effectExtent l="0" t="0" r="0" b="0"/>
            <wp:docPr id="10" name="Picture 9" descr="A qr code on a white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59039C9" w14:textId="77777777" w:rsidR="00836B35" w:rsidRPr="00986187" w:rsidRDefault="00836B35" w:rsidP="00F3153C">
      <w:pPr>
        <w:widowControl w:val="0"/>
        <w:tabs>
          <w:tab w:val="left" w:pos="540"/>
          <w:tab w:val="left" w:pos="569"/>
        </w:tabs>
        <w:rPr>
          <w:b/>
          <w:bCs/>
          <w:sz w:val="22"/>
          <w:szCs w:val="22"/>
          <w:lang w:val="sr-Latn-ME"/>
        </w:rPr>
      </w:pPr>
    </w:p>
    <w:p w14:paraId="6905CEC0" w14:textId="77777777" w:rsidR="00CD6F02"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4.9. </w:t>
      </w:r>
      <w:r w:rsidR="00480FB1" w:rsidRPr="00986187">
        <w:rPr>
          <w:b/>
          <w:bCs/>
          <w:sz w:val="22"/>
          <w:szCs w:val="22"/>
          <w:lang w:val="sr-Latn-ME"/>
        </w:rPr>
        <w:tab/>
      </w:r>
      <w:proofErr w:type="spellStart"/>
      <w:r w:rsidRPr="00986187">
        <w:rPr>
          <w:b/>
          <w:bCs/>
          <w:sz w:val="22"/>
          <w:szCs w:val="22"/>
          <w:lang w:val="sr-Latn-ME"/>
        </w:rPr>
        <w:t>Predoziranje</w:t>
      </w:r>
      <w:proofErr w:type="spellEnd"/>
      <w:r w:rsidR="002846DB" w:rsidRPr="00986187">
        <w:rPr>
          <w:b/>
          <w:bCs/>
          <w:sz w:val="22"/>
          <w:szCs w:val="22"/>
          <w:lang w:val="sr-Latn-ME"/>
        </w:rPr>
        <w:t xml:space="preserve"> </w:t>
      </w:r>
    </w:p>
    <w:p w14:paraId="0040D041" w14:textId="77777777" w:rsidR="00FA197A" w:rsidRPr="00986187" w:rsidRDefault="00FA197A" w:rsidP="00F3153C">
      <w:pPr>
        <w:widowControl w:val="0"/>
        <w:tabs>
          <w:tab w:val="left" w:pos="540"/>
          <w:tab w:val="left" w:pos="569"/>
        </w:tabs>
        <w:rPr>
          <w:b/>
          <w:bCs/>
          <w:sz w:val="22"/>
          <w:szCs w:val="22"/>
          <w:lang w:val="sr-Latn-ME"/>
        </w:rPr>
      </w:pPr>
    </w:p>
    <w:p w14:paraId="1ED989D2" w14:textId="77777777" w:rsidR="00CD6F02" w:rsidRPr="00986187" w:rsidRDefault="00331FFC" w:rsidP="00F3153C">
      <w:pPr>
        <w:pStyle w:val="Header"/>
        <w:widowControl w:val="0"/>
        <w:tabs>
          <w:tab w:val="left" w:pos="284"/>
        </w:tabs>
        <w:jc w:val="both"/>
        <w:rPr>
          <w:sz w:val="22"/>
          <w:szCs w:val="22"/>
          <w:lang w:val="sr-Latn-ME"/>
        </w:rPr>
      </w:pPr>
      <w:r w:rsidRPr="00986187">
        <w:rPr>
          <w:sz w:val="22"/>
          <w:szCs w:val="22"/>
          <w:lang w:val="sr-Latn-ME"/>
        </w:rPr>
        <w:t xml:space="preserve">Zabilježeni su slučajevi </w:t>
      </w:r>
      <w:proofErr w:type="spellStart"/>
      <w:r w:rsidRPr="00986187">
        <w:rPr>
          <w:sz w:val="22"/>
          <w:szCs w:val="22"/>
          <w:lang w:val="sr-Latn-ME"/>
        </w:rPr>
        <w:t>predoziranja</w:t>
      </w:r>
      <w:proofErr w:type="spellEnd"/>
      <w:r w:rsidRPr="00986187">
        <w:rPr>
          <w:sz w:val="22"/>
          <w:szCs w:val="22"/>
          <w:lang w:val="sr-Latn-ME"/>
        </w:rPr>
        <w:t xml:space="preserve"> tokom </w:t>
      </w:r>
      <w:proofErr w:type="spellStart"/>
      <w:r w:rsidRPr="00986187">
        <w:rPr>
          <w:sz w:val="22"/>
          <w:szCs w:val="22"/>
          <w:lang w:val="sr-Latn-ME"/>
        </w:rPr>
        <w:t>postmarketinškog</w:t>
      </w:r>
      <w:proofErr w:type="spellEnd"/>
      <w:r w:rsidRPr="00986187">
        <w:rPr>
          <w:sz w:val="22"/>
          <w:szCs w:val="22"/>
          <w:lang w:val="sr-Latn-ME"/>
        </w:rPr>
        <w:t xml:space="preserve"> praćenja. Neželjena dejstva prijavljena nakon </w:t>
      </w:r>
      <w:proofErr w:type="spellStart"/>
      <w:r w:rsidRPr="00986187">
        <w:rPr>
          <w:sz w:val="22"/>
          <w:szCs w:val="22"/>
          <w:lang w:val="sr-Latn-ME"/>
        </w:rPr>
        <w:t>predoziranja</w:t>
      </w:r>
      <w:proofErr w:type="spellEnd"/>
      <w:r w:rsidRPr="00986187">
        <w:rPr>
          <w:sz w:val="22"/>
          <w:szCs w:val="22"/>
          <w:lang w:val="sr-Latn-ME"/>
        </w:rPr>
        <w:t xml:space="preserve"> bila su slična onima koja se javljaju nakon adekvatnog doziranja.</w:t>
      </w:r>
    </w:p>
    <w:p w14:paraId="1A89109D" w14:textId="039057A5" w:rsidR="00227BDB" w:rsidRPr="00986187" w:rsidRDefault="00227BDB" w:rsidP="00F3153C">
      <w:pPr>
        <w:widowControl w:val="0"/>
        <w:tabs>
          <w:tab w:val="left" w:pos="540"/>
          <w:tab w:val="left" w:pos="569"/>
        </w:tabs>
        <w:rPr>
          <w:b/>
          <w:bCs/>
          <w:sz w:val="22"/>
          <w:szCs w:val="22"/>
          <w:lang w:val="sr-Latn-ME"/>
        </w:rPr>
      </w:pPr>
    </w:p>
    <w:p w14:paraId="537F132B" w14:textId="77777777" w:rsidR="00BC6BA1" w:rsidRPr="00986187" w:rsidRDefault="00BC6BA1" w:rsidP="00F3153C">
      <w:pPr>
        <w:widowControl w:val="0"/>
        <w:tabs>
          <w:tab w:val="left" w:pos="540"/>
          <w:tab w:val="left" w:pos="569"/>
        </w:tabs>
        <w:rPr>
          <w:b/>
          <w:bCs/>
          <w:sz w:val="22"/>
          <w:szCs w:val="22"/>
          <w:lang w:val="sr-Latn-ME"/>
        </w:rPr>
      </w:pPr>
    </w:p>
    <w:p w14:paraId="174F09EA"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5. </w:t>
      </w:r>
      <w:r w:rsidR="00480FB1" w:rsidRPr="00986187">
        <w:rPr>
          <w:b/>
          <w:bCs/>
          <w:sz w:val="22"/>
          <w:szCs w:val="22"/>
          <w:lang w:val="sr-Latn-ME"/>
        </w:rPr>
        <w:tab/>
      </w:r>
      <w:r w:rsidRPr="00986187">
        <w:rPr>
          <w:b/>
          <w:bCs/>
          <w:sz w:val="22"/>
          <w:szCs w:val="22"/>
          <w:lang w:val="sr-Latn-ME"/>
        </w:rPr>
        <w:t>FARMAKOLOŠK</w:t>
      </w:r>
      <w:r w:rsidR="000D425A" w:rsidRPr="00986187">
        <w:rPr>
          <w:b/>
          <w:bCs/>
          <w:sz w:val="22"/>
          <w:szCs w:val="22"/>
          <w:lang w:val="sr-Latn-ME"/>
        </w:rPr>
        <w:t>I</w:t>
      </w:r>
      <w:r w:rsidRPr="00986187">
        <w:rPr>
          <w:b/>
          <w:bCs/>
          <w:sz w:val="22"/>
          <w:szCs w:val="22"/>
          <w:lang w:val="sr-Latn-ME"/>
        </w:rPr>
        <w:t xml:space="preserve"> PODACI</w:t>
      </w:r>
    </w:p>
    <w:p w14:paraId="4E3C164C" w14:textId="77777777" w:rsidR="0072020E" w:rsidRPr="00986187" w:rsidRDefault="0072020E" w:rsidP="00F3153C">
      <w:pPr>
        <w:widowControl w:val="0"/>
        <w:tabs>
          <w:tab w:val="left" w:pos="540"/>
          <w:tab w:val="left" w:pos="569"/>
        </w:tabs>
        <w:rPr>
          <w:b/>
          <w:bCs/>
          <w:sz w:val="22"/>
          <w:szCs w:val="22"/>
          <w:lang w:val="sr-Latn-ME"/>
        </w:rPr>
      </w:pPr>
    </w:p>
    <w:p w14:paraId="7230359A"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5.1. </w:t>
      </w:r>
      <w:r w:rsidR="00480FB1" w:rsidRPr="00986187">
        <w:rPr>
          <w:b/>
          <w:bCs/>
          <w:sz w:val="22"/>
          <w:szCs w:val="22"/>
          <w:lang w:val="sr-Latn-ME"/>
        </w:rPr>
        <w:tab/>
      </w:r>
      <w:proofErr w:type="spellStart"/>
      <w:r w:rsidRPr="00986187">
        <w:rPr>
          <w:b/>
          <w:bCs/>
          <w:sz w:val="22"/>
          <w:szCs w:val="22"/>
          <w:lang w:val="sr-Latn-ME"/>
        </w:rPr>
        <w:t>Farmakodinamski</w:t>
      </w:r>
      <w:proofErr w:type="spellEnd"/>
      <w:r w:rsidRPr="00986187">
        <w:rPr>
          <w:b/>
          <w:bCs/>
          <w:sz w:val="22"/>
          <w:szCs w:val="22"/>
          <w:lang w:val="sr-Latn-ME"/>
        </w:rPr>
        <w:t xml:space="preserve"> podaci</w:t>
      </w:r>
      <w:r w:rsidR="003A7059" w:rsidRPr="00986187">
        <w:rPr>
          <w:b/>
          <w:bCs/>
          <w:sz w:val="22"/>
          <w:szCs w:val="22"/>
          <w:lang w:val="sr-Latn-ME"/>
        </w:rPr>
        <w:t xml:space="preserve"> </w:t>
      </w:r>
    </w:p>
    <w:p w14:paraId="3E854689" w14:textId="77777777" w:rsidR="00F45F77" w:rsidRPr="00986187" w:rsidRDefault="00F45F77" w:rsidP="00F3153C">
      <w:pPr>
        <w:widowControl w:val="0"/>
        <w:tabs>
          <w:tab w:val="left" w:pos="540"/>
          <w:tab w:val="left" w:pos="569"/>
        </w:tabs>
        <w:rPr>
          <w:b/>
          <w:bCs/>
          <w:sz w:val="22"/>
          <w:szCs w:val="22"/>
          <w:lang w:val="sr-Latn-ME"/>
        </w:rPr>
      </w:pPr>
    </w:p>
    <w:p w14:paraId="19EFDDB3" w14:textId="77777777" w:rsidR="0072020E" w:rsidRPr="00986187" w:rsidRDefault="0072020E" w:rsidP="00F3153C">
      <w:pPr>
        <w:widowControl w:val="0"/>
        <w:tabs>
          <w:tab w:val="left" w:pos="540"/>
          <w:tab w:val="left" w:pos="569"/>
        </w:tabs>
        <w:rPr>
          <w:bCs/>
          <w:sz w:val="22"/>
          <w:szCs w:val="22"/>
          <w:lang w:val="sr-Latn-ME"/>
        </w:rPr>
      </w:pPr>
      <w:proofErr w:type="spellStart"/>
      <w:r w:rsidRPr="00986187">
        <w:rPr>
          <w:bCs/>
          <w:sz w:val="22"/>
          <w:szCs w:val="22"/>
          <w:lang w:val="sr-Latn-ME"/>
        </w:rPr>
        <w:t>Farmakoterapijska</w:t>
      </w:r>
      <w:proofErr w:type="spellEnd"/>
      <w:r w:rsidRPr="00986187">
        <w:rPr>
          <w:bCs/>
          <w:sz w:val="22"/>
          <w:szCs w:val="22"/>
          <w:lang w:val="sr-Latn-ME"/>
        </w:rPr>
        <w:t xml:space="preserve"> grupa:</w:t>
      </w:r>
      <w:r w:rsidR="006C18B0" w:rsidRPr="00986187">
        <w:rPr>
          <w:sz w:val="22"/>
          <w:szCs w:val="22"/>
          <w:lang w:val="sr-Latn-ME"/>
        </w:rPr>
        <w:t xml:space="preserve"> Vakcine protiv žutica (hepatitisa)</w:t>
      </w:r>
    </w:p>
    <w:p w14:paraId="2218CD08" w14:textId="77777777" w:rsidR="0072020E" w:rsidRPr="00986187" w:rsidRDefault="0072020E" w:rsidP="00F3153C">
      <w:pPr>
        <w:widowControl w:val="0"/>
        <w:tabs>
          <w:tab w:val="left" w:pos="540"/>
          <w:tab w:val="left" w:pos="569"/>
        </w:tabs>
        <w:rPr>
          <w:bCs/>
          <w:sz w:val="22"/>
          <w:szCs w:val="22"/>
          <w:lang w:val="sr-Latn-ME"/>
        </w:rPr>
      </w:pPr>
    </w:p>
    <w:p w14:paraId="2C7E7DCE" w14:textId="77777777" w:rsidR="0072020E" w:rsidRPr="00986187" w:rsidRDefault="0072020E" w:rsidP="00F3153C">
      <w:pPr>
        <w:widowControl w:val="0"/>
        <w:tabs>
          <w:tab w:val="left" w:pos="540"/>
          <w:tab w:val="left" w:pos="569"/>
        </w:tabs>
        <w:jc w:val="both"/>
        <w:rPr>
          <w:sz w:val="22"/>
          <w:szCs w:val="22"/>
          <w:lang w:val="sr-Latn-ME"/>
        </w:rPr>
      </w:pPr>
      <w:r w:rsidRPr="00986187">
        <w:rPr>
          <w:bCs/>
          <w:sz w:val="22"/>
          <w:szCs w:val="22"/>
          <w:lang w:val="sr-Latn-ME"/>
        </w:rPr>
        <w:t>ATC kod:</w:t>
      </w:r>
      <w:r w:rsidR="006C18B0" w:rsidRPr="00986187">
        <w:rPr>
          <w:sz w:val="22"/>
          <w:szCs w:val="22"/>
          <w:lang w:val="sr-Latn-ME"/>
        </w:rPr>
        <w:t xml:space="preserve"> J07BC01</w:t>
      </w:r>
    </w:p>
    <w:p w14:paraId="76E46FB2" w14:textId="77777777" w:rsidR="00FA197A" w:rsidRPr="00986187" w:rsidRDefault="00FA197A" w:rsidP="00F3153C">
      <w:pPr>
        <w:widowControl w:val="0"/>
        <w:tabs>
          <w:tab w:val="left" w:pos="540"/>
          <w:tab w:val="left" w:pos="569"/>
        </w:tabs>
        <w:jc w:val="both"/>
        <w:rPr>
          <w:sz w:val="22"/>
          <w:szCs w:val="22"/>
          <w:lang w:val="sr-Latn-ME"/>
        </w:rPr>
      </w:pPr>
    </w:p>
    <w:p w14:paraId="0BAD0FC5" w14:textId="77777777" w:rsidR="00F01C00" w:rsidRPr="00986187" w:rsidRDefault="00F01C00" w:rsidP="00F3153C">
      <w:pPr>
        <w:pStyle w:val="Header"/>
        <w:widowControl w:val="0"/>
        <w:tabs>
          <w:tab w:val="left" w:pos="1188"/>
        </w:tabs>
        <w:rPr>
          <w:b/>
          <w:sz w:val="22"/>
          <w:szCs w:val="22"/>
          <w:lang w:val="sr-Latn-ME"/>
        </w:rPr>
      </w:pPr>
      <w:r w:rsidRPr="00986187">
        <w:rPr>
          <w:b/>
          <w:sz w:val="22"/>
          <w:szCs w:val="22"/>
          <w:lang w:val="sr-Latn-ME"/>
        </w:rPr>
        <w:t>Mehanizam dejstva</w:t>
      </w:r>
    </w:p>
    <w:p w14:paraId="0942BA6F" w14:textId="77777777" w:rsidR="00F01C00" w:rsidRPr="00986187" w:rsidRDefault="00F01C00" w:rsidP="00F3153C">
      <w:pPr>
        <w:widowControl w:val="0"/>
        <w:jc w:val="both"/>
        <w:rPr>
          <w:sz w:val="22"/>
          <w:szCs w:val="22"/>
          <w:lang w:val="sr-Latn-ME"/>
        </w:rPr>
      </w:pPr>
    </w:p>
    <w:p w14:paraId="5FF6DAD6" w14:textId="378C4448" w:rsidR="00F01C00" w:rsidRPr="00986187" w:rsidRDefault="00F01C00" w:rsidP="00F3153C">
      <w:pPr>
        <w:widowControl w:val="0"/>
        <w:jc w:val="both"/>
        <w:rPr>
          <w:sz w:val="22"/>
          <w:szCs w:val="22"/>
          <w:lang w:val="sr-Latn-ME"/>
        </w:rPr>
      </w:pPr>
      <w:r w:rsidRPr="00986187">
        <w:rPr>
          <w:sz w:val="22"/>
          <w:szCs w:val="22"/>
          <w:lang w:val="sr-Latn-ME"/>
        </w:rPr>
        <w:t xml:space="preserve">Vakcina </w:t>
      </w:r>
      <w:r w:rsidRPr="00986187">
        <w:rPr>
          <w:bCs/>
          <w:sz w:val="22"/>
          <w:szCs w:val="22"/>
          <w:lang w:val="sr-Latn-ME"/>
        </w:rPr>
        <w:t>ENGERIX</w:t>
      </w:r>
      <w:r w:rsidRPr="00986187">
        <w:rPr>
          <w:sz w:val="22"/>
          <w:szCs w:val="22"/>
          <w:lang w:val="sr-Latn-ME"/>
        </w:rPr>
        <w:t xml:space="preserve"> B za djecu indukuje specifična </w:t>
      </w:r>
      <w:proofErr w:type="spellStart"/>
      <w:r w:rsidRPr="00986187">
        <w:rPr>
          <w:sz w:val="22"/>
          <w:szCs w:val="22"/>
          <w:lang w:val="sr-Latn-ME"/>
        </w:rPr>
        <w:t>humoralna</w:t>
      </w:r>
      <w:proofErr w:type="spellEnd"/>
      <w:r w:rsidRPr="00986187">
        <w:rPr>
          <w:sz w:val="22"/>
          <w:szCs w:val="22"/>
          <w:lang w:val="sr-Latn-ME"/>
        </w:rPr>
        <w:t xml:space="preserve"> antitijela protiv </w:t>
      </w:r>
      <w:proofErr w:type="spellStart"/>
      <w:r w:rsidRPr="00986187">
        <w:rPr>
          <w:sz w:val="22"/>
          <w:szCs w:val="22"/>
          <w:lang w:val="sr-Latn-ME"/>
        </w:rPr>
        <w:t>HbsAg</w:t>
      </w:r>
      <w:proofErr w:type="spellEnd"/>
      <w:r w:rsidRPr="00986187">
        <w:rPr>
          <w:sz w:val="22"/>
          <w:szCs w:val="22"/>
          <w:lang w:val="sr-Latn-ME"/>
        </w:rPr>
        <w:t xml:space="preserve"> (anti-</w:t>
      </w:r>
      <w:proofErr w:type="spellStart"/>
      <w:r w:rsidRPr="00986187">
        <w:rPr>
          <w:sz w:val="22"/>
          <w:szCs w:val="22"/>
          <w:lang w:val="sr-Latn-ME"/>
        </w:rPr>
        <w:t>HBs</w:t>
      </w:r>
      <w:proofErr w:type="spellEnd"/>
      <w:r w:rsidRPr="00986187">
        <w:rPr>
          <w:sz w:val="22"/>
          <w:szCs w:val="22"/>
          <w:lang w:val="sr-Latn-ME"/>
        </w:rPr>
        <w:t xml:space="preserve"> antitijela). Koncentracija anti-</w:t>
      </w:r>
      <w:proofErr w:type="spellStart"/>
      <w:r w:rsidRPr="00986187">
        <w:rPr>
          <w:sz w:val="22"/>
          <w:szCs w:val="22"/>
          <w:lang w:val="sr-Latn-ME"/>
        </w:rPr>
        <w:t>HBs</w:t>
      </w:r>
      <w:proofErr w:type="spellEnd"/>
      <w:r w:rsidRPr="00986187">
        <w:rPr>
          <w:sz w:val="22"/>
          <w:szCs w:val="22"/>
          <w:lang w:val="sr-Latn-ME"/>
        </w:rPr>
        <w:t xml:space="preserve"> antitijela ≥ 10</w:t>
      </w:r>
      <w:r w:rsidR="002A0D9C" w:rsidRPr="00986187">
        <w:rPr>
          <w:sz w:val="22"/>
          <w:szCs w:val="22"/>
          <w:lang w:val="sr-Latn-ME"/>
        </w:rPr>
        <w:t xml:space="preserve">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odgovara zaštitnom nivou od HBV infekcije.</w:t>
      </w:r>
    </w:p>
    <w:p w14:paraId="1C362B85" w14:textId="77777777" w:rsidR="00F01C00" w:rsidRPr="00986187" w:rsidRDefault="00F01C00" w:rsidP="00F3153C">
      <w:pPr>
        <w:widowControl w:val="0"/>
        <w:jc w:val="both"/>
        <w:rPr>
          <w:b/>
          <w:sz w:val="22"/>
          <w:szCs w:val="22"/>
          <w:lang w:val="sr-Latn-ME"/>
        </w:rPr>
      </w:pPr>
    </w:p>
    <w:p w14:paraId="653056BF" w14:textId="77777777" w:rsidR="00F01C00" w:rsidRPr="00986187" w:rsidRDefault="00F01C00" w:rsidP="00F3153C">
      <w:pPr>
        <w:widowControl w:val="0"/>
        <w:jc w:val="both"/>
        <w:rPr>
          <w:sz w:val="22"/>
          <w:szCs w:val="22"/>
          <w:lang w:val="sr-Latn-ME"/>
        </w:rPr>
      </w:pPr>
      <w:proofErr w:type="spellStart"/>
      <w:r w:rsidRPr="00986187">
        <w:rPr>
          <w:b/>
          <w:sz w:val="22"/>
          <w:szCs w:val="22"/>
          <w:lang w:val="sr-Latn-ME"/>
        </w:rPr>
        <w:t>Farmakodinamska</w:t>
      </w:r>
      <w:proofErr w:type="spellEnd"/>
      <w:r w:rsidRPr="00986187">
        <w:rPr>
          <w:b/>
          <w:sz w:val="22"/>
          <w:szCs w:val="22"/>
          <w:lang w:val="sr-Latn-ME"/>
        </w:rPr>
        <w:t xml:space="preserve"> dejstva</w:t>
      </w:r>
    </w:p>
    <w:p w14:paraId="0A7CB787" w14:textId="77777777" w:rsidR="00F01C00" w:rsidRPr="00986187" w:rsidRDefault="00F01C00" w:rsidP="00F3153C">
      <w:pPr>
        <w:widowControl w:val="0"/>
        <w:ind w:left="720"/>
        <w:jc w:val="both"/>
        <w:rPr>
          <w:sz w:val="22"/>
          <w:szCs w:val="22"/>
          <w:highlight w:val="yellow"/>
          <w:lang w:val="sr-Latn-ME"/>
        </w:rPr>
      </w:pPr>
    </w:p>
    <w:p w14:paraId="32FD4FAC" w14:textId="1B246017" w:rsidR="002A0D9C" w:rsidRPr="00986187" w:rsidRDefault="002A0D9C" w:rsidP="00F3153C">
      <w:pPr>
        <w:pStyle w:val="ListParagraph"/>
        <w:widowControl w:val="0"/>
        <w:numPr>
          <w:ilvl w:val="0"/>
          <w:numId w:val="17"/>
        </w:numPr>
        <w:jc w:val="both"/>
        <w:rPr>
          <w:sz w:val="22"/>
          <w:szCs w:val="22"/>
          <w:lang w:val="sr-Latn-ME"/>
        </w:rPr>
      </w:pPr>
      <w:bookmarkStart w:id="0" w:name="_Hlk184820337"/>
      <w:r w:rsidRPr="00986187">
        <w:rPr>
          <w:sz w:val="22"/>
          <w:szCs w:val="22"/>
          <w:u w:val="single"/>
          <w:lang w:val="sr-Latn-ME"/>
        </w:rPr>
        <w:t>Osobe sa povećanim rizik</w:t>
      </w:r>
      <w:r w:rsidR="00735461" w:rsidRPr="00986187">
        <w:rPr>
          <w:sz w:val="22"/>
          <w:szCs w:val="22"/>
          <w:u w:val="single"/>
          <w:lang w:val="sr-Latn-ME"/>
        </w:rPr>
        <w:t>om</w:t>
      </w:r>
      <w:r w:rsidRPr="00986187">
        <w:rPr>
          <w:sz w:val="22"/>
          <w:szCs w:val="22"/>
          <w:u w:val="single"/>
          <w:lang w:val="sr-Latn-ME"/>
        </w:rPr>
        <w:t xml:space="preserve"> od izlaganja HBV-u</w:t>
      </w:r>
      <w:bookmarkEnd w:id="0"/>
    </w:p>
    <w:p w14:paraId="43C1609E" w14:textId="7EB15CFB" w:rsidR="00F01C00" w:rsidRPr="00986187" w:rsidRDefault="00F01C00" w:rsidP="00F3153C">
      <w:pPr>
        <w:widowControl w:val="0"/>
        <w:jc w:val="both"/>
        <w:rPr>
          <w:sz w:val="22"/>
          <w:szCs w:val="22"/>
          <w:lang w:val="sr-Latn-ME"/>
        </w:rPr>
      </w:pPr>
      <w:r w:rsidRPr="00986187">
        <w:rPr>
          <w:sz w:val="22"/>
          <w:szCs w:val="22"/>
          <w:lang w:val="sr-Latn-ME"/>
        </w:rPr>
        <w:t xml:space="preserve">U </w:t>
      </w:r>
      <w:proofErr w:type="spellStart"/>
      <w:r w:rsidRPr="00986187">
        <w:rPr>
          <w:sz w:val="22"/>
          <w:szCs w:val="22"/>
          <w:lang w:val="sr-Latn-ME"/>
        </w:rPr>
        <w:t>postmarketinškim</w:t>
      </w:r>
      <w:proofErr w:type="spellEnd"/>
      <w:r w:rsidRPr="00986187">
        <w:rPr>
          <w:sz w:val="22"/>
          <w:szCs w:val="22"/>
          <w:lang w:val="sr-Latn-ME"/>
        </w:rPr>
        <w:t xml:space="preserve"> ispitivanjima, kod novorođenčadi, djece i odraslih koji su </w:t>
      </w:r>
      <w:r w:rsidR="00FA197A" w:rsidRPr="00986187">
        <w:rPr>
          <w:sz w:val="22"/>
          <w:szCs w:val="22"/>
          <w:lang w:val="sr-Latn-ME"/>
        </w:rPr>
        <w:t xml:space="preserve">izloženi </w:t>
      </w:r>
      <w:r w:rsidRPr="00986187">
        <w:rPr>
          <w:sz w:val="22"/>
          <w:szCs w:val="22"/>
          <w:lang w:val="sr-Latn-ME"/>
        </w:rPr>
        <w:t>riziku, pokazana je efikasnost zaštite između 95% i 100%.</w:t>
      </w:r>
    </w:p>
    <w:p w14:paraId="6CA47865" w14:textId="77777777" w:rsidR="00F01C00" w:rsidRPr="00986187" w:rsidRDefault="00F01C00" w:rsidP="00F3153C">
      <w:pPr>
        <w:widowControl w:val="0"/>
        <w:ind w:left="720"/>
        <w:jc w:val="both"/>
        <w:rPr>
          <w:sz w:val="22"/>
          <w:szCs w:val="22"/>
          <w:lang w:val="sr-Latn-ME"/>
        </w:rPr>
      </w:pPr>
    </w:p>
    <w:p w14:paraId="7CABA337" w14:textId="1BA29ABC" w:rsidR="00F01C00" w:rsidRPr="00986187" w:rsidRDefault="00F01C00" w:rsidP="00F3153C">
      <w:pPr>
        <w:widowControl w:val="0"/>
        <w:jc w:val="both"/>
        <w:rPr>
          <w:sz w:val="22"/>
          <w:szCs w:val="22"/>
          <w:lang w:val="sr-Latn-ME"/>
        </w:rPr>
      </w:pPr>
      <w:r w:rsidRPr="00986187">
        <w:rPr>
          <w:sz w:val="22"/>
          <w:szCs w:val="22"/>
          <w:lang w:val="sr-Latn-ME"/>
        </w:rPr>
        <w:t xml:space="preserve">Kod zdravih osoba </w:t>
      </w:r>
      <w:r w:rsidR="00FA197A" w:rsidRPr="00986187">
        <w:rPr>
          <w:sz w:val="22"/>
          <w:szCs w:val="22"/>
          <w:lang w:val="sr-Latn-ME"/>
        </w:rPr>
        <w:t>u području</w:t>
      </w:r>
      <w:r w:rsidRPr="00986187">
        <w:rPr>
          <w:sz w:val="22"/>
          <w:szCs w:val="22"/>
          <w:lang w:val="sr-Latn-ME"/>
        </w:rPr>
        <w:t xml:space="preserve"> </w:t>
      </w:r>
      <w:r w:rsidR="00FA197A" w:rsidRPr="00986187">
        <w:rPr>
          <w:sz w:val="22"/>
          <w:szCs w:val="22"/>
          <w:lang w:val="sr-Latn-ME"/>
        </w:rPr>
        <w:t xml:space="preserve">visokog </w:t>
      </w:r>
      <w:r w:rsidRPr="00986187">
        <w:rPr>
          <w:sz w:val="22"/>
          <w:szCs w:val="22"/>
          <w:lang w:val="sr-Latn-ME"/>
        </w:rPr>
        <w:t>rizik</w:t>
      </w:r>
      <w:r w:rsidR="00735461" w:rsidRPr="00986187">
        <w:rPr>
          <w:sz w:val="22"/>
          <w:szCs w:val="22"/>
          <w:lang w:val="sr-Latn-ME"/>
        </w:rPr>
        <w:t>a</w:t>
      </w:r>
      <w:r w:rsidRPr="00986187">
        <w:rPr>
          <w:sz w:val="22"/>
          <w:szCs w:val="22"/>
          <w:lang w:val="sr-Latn-ME"/>
        </w:rPr>
        <w:t xml:space="preserve">, mjesec dana nakon </w:t>
      </w:r>
      <w:r w:rsidR="00735461" w:rsidRPr="00986187">
        <w:rPr>
          <w:sz w:val="22"/>
          <w:szCs w:val="22"/>
          <w:lang w:val="sr-Latn-ME"/>
        </w:rPr>
        <w:t>posljednje</w:t>
      </w:r>
      <w:r w:rsidRPr="00986187">
        <w:rPr>
          <w:sz w:val="22"/>
          <w:szCs w:val="22"/>
          <w:lang w:val="sr-Latn-ME"/>
        </w:rPr>
        <w:t xml:space="preserve"> primljene doze vakcine,</w:t>
      </w:r>
      <w:r w:rsidRPr="00986187">
        <w:rPr>
          <w:color w:val="FF0000"/>
          <w:sz w:val="22"/>
          <w:szCs w:val="22"/>
          <w:lang w:val="sr-Latn-ME"/>
        </w:rPr>
        <w:t xml:space="preserve"> </w:t>
      </w:r>
      <w:r w:rsidRPr="00986187">
        <w:rPr>
          <w:sz w:val="22"/>
          <w:szCs w:val="22"/>
          <w:lang w:val="sr-Latn-ME"/>
        </w:rPr>
        <w:t xml:space="preserve">zaštitna efikasnost od 95% (serum anti </w:t>
      </w:r>
      <w:proofErr w:type="spellStart"/>
      <w:r w:rsidRPr="00986187">
        <w:rPr>
          <w:sz w:val="22"/>
          <w:szCs w:val="22"/>
          <w:lang w:val="sr-Latn-ME"/>
        </w:rPr>
        <w:t>HBs</w:t>
      </w:r>
      <w:proofErr w:type="spellEnd"/>
      <w:r w:rsidRPr="00986187">
        <w:rPr>
          <w:sz w:val="22"/>
          <w:szCs w:val="22"/>
          <w:lang w:val="sr-Latn-ME"/>
        </w:rPr>
        <w:t xml:space="preserve"> </w:t>
      </w:r>
      <w:proofErr w:type="spellStart"/>
      <w:r w:rsidRPr="00986187">
        <w:rPr>
          <w:sz w:val="22"/>
          <w:szCs w:val="22"/>
          <w:lang w:val="sr-Latn-ME"/>
        </w:rPr>
        <w:t>IgG</w:t>
      </w:r>
      <w:proofErr w:type="spellEnd"/>
      <w:r w:rsidRPr="00986187">
        <w:rPr>
          <w:sz w:val="22"/>
          <w:szCs w:val="22"/>
          <w:lang w:val="sr-Latn-ME"/>
        </w:rPr>
        <w:t xml:space="preserve"> ≥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dokazana je kod novorođenčadi </w:t>
      </w:r>
      <w:proofErr w:type="spellStart"/>
      <w:r w:rsidRPr="00986187">
        <w:rPr>
          <w:sz w:val="22"/>
          <w:szCs w:val="22"/>
          <w:lang w:val="sr-Latn-ME"/>
        </w:rPr>
        <w:t>HBeAg</w:t>
      </w:r>
      <w:proofErr w:type="spellEnd"/>
      <w:r w:rsidRPr="00986187">
        <w:rPr>
          <w:sz w:val="22"/>
          <w:szCs w:val="22"/>
          <w:lang w:val="sr-Latn-ME"/>
        </w:rPr>
        <w:t xml:space="preserve"> pozitivnih majki, koja su imunizovana prema šemi 0, 1, 2 i 12 ili 0, 1 i 6 bez istovremene primjene </w:t>
      </w:r>
      <w:r w:rsidRPr="00986187">
        <w:rPr>
          <w:color w:val="000000"/>
          <w:sz w:val="22"/>
          <w:szCs w:val="22"/>
          <w:lang w:val="sr-Latn-ME"/>
        </w:rPr>
        <w:t xml:space="preserve">hepatitis B </w:t>
      </w:r>
      <w:proofErr w:type="spellStart"/>
      <w:r w:rsidRPr="00986187">
        <w:rPr>
          <w:color w:val="000000"/>
          <w:sz w:val="22"/>
          <w:szCs w:val="22"/>
          <w:lang w:val="sr-Latn-ME"/>
        </w:rPr>
        <w:t>imunoglobulina</w:t>
      </w:r>
      <w:proofErr w:type="spellEnd"/>
      <w:r w:rsidRPr="00986187">
        <w:rPr>
          <w:color w:val="000000"/>
          <w:sz w:val="22"/>
          <w:szCs w:val="22"/>
          <w:lang w:val="sr-Latn-ME"/>
        </w:rPr>
        <w:t xml:space="preserve"> (</w:t>
      </w:r>
      <w:proofErr w:type="spellStart"/>
      <w:r w:rsidRPr="00986187">
        <w:rPr>
          <w:sz w:val="22"/>
          <w:szCs w:val="22"/>
          <w:lang w:val="sr-Latn-ME"/>
        </w:rPr>
        <w:t>HBIg</w:t>
      </w:r>
      <w:proofErr w:type="spellEnd"/>
      <w:r w:rsidRPr="00986187">
        <w:rPr>
          <w:sz w:val="22"/>
          <w:szCs w:val="22"/>
          <w:lang w:val="sr-Latn-ME"/>
        </w:rPr>
        <w:t xml:space="preserve">) na rođenju. Međutim, istovremena primjena </w:t>
      </w:r>
      <w:r w:rsidRPr="00986187">
        <w:rPr>
          <w:color w:val="000000"/>
          <w:sz w:val="22"/>
          <w:szCs w:val="22"/>
          <w:lang w:val="sr-Latn-ME"/>
        </w:rPr>
        <w:t xml:space="preserve">hepatitis B </w:t>
      </w:r>
      <w:proofErr w:type="spellStart"/>
      <w:r w:rsidRPr="00986187">
        <w:rPr>
          <w:color w:val="000000"/>
          <w:sz w:val="22"/>
          <w:szCs w:val="22"/>
          <w:lang w:val="sr-Latn-ME"/>
        </w:rPr>
        <w:t>imunoglobulina</w:t>
      </w:r>
      <w:proofErr w:type="spellEnd"/>
      <w:r w:rsidRPr="00986187">
        <w:rPr>
          <w:color w:val="000000"/>
          <w:sz w:val="22"/>
          <w:szCs w:val="22"/>
          <w:lang w:val="sr-Latn-ME"/>
        </w:rPr>
        <w:t xml:space="preserve"> (</w:t>
      </w:r>
      <w:proofErr w:type="spellStart"/>
      <w:r w:rsidRPr="00986187">
        <w:rPr>
          <w:sz w:val="22"/>
          <w:szCs w:val="22"/>
          <w:lang w:val="sr-Latn-ME"/>
        </w:rPr>
        <w:t>HBIg</w:t>
      </w:r>
      <w:proofErr w:type="spellEnd"/>
      <w:r w:rsidRPr="00986187">
        <w:rPr>
          <w:sz w:val="22"/>
          <w:szCs w:val="22"/>
          <w:lang w:val="sr-Latn-ME"/>
        </w:rPr>
        <w:t>) i vakcine ENGERIX B na rođenju povećava zaštitnu efikasnost do 98%.</w:t>
      </w:r>
    </w:p>
    <w:p w14:paraId="5FA15DCE" w14:textId="77777777" w:rsidR="00F01C00" w:rsidRPr="00986187" w:rsidRDefault="00F01C00" w:rsidP="00F3153C">
      <w:pPr>
        <w:widowControl w:val="0"/>
        <w:jc w:val="both"/>
        <w:rPr>
          <w:sz w:val="22"/>
          <w:szCs w:val="22"/>
          <w:lang w:val="sr-Latn-ME"/>
        </w:rPr>
      </w:pPr>
    </w:p>
    <w:p w14:paraId="4C98862C" w14:textId="005D314A" w:rsidR="00F01C00" w:rsidRPr="00986187" w:rsidRDefault="00F01C00" w:rsidP="00F3153C">
      <w:pPr>
        <w:widowControl w:val="0"/>
        <w:jc w:val="both"/>
        <w:rPr>
          <w:sz w:val="22"/>
          <w:szCs w:val="22"/>
          <w:lang w:val="sr-Latn-ME"/>
        </w:rPr>
      </w:pPr>
      <w:r w:rsidRPr="00986187">
        <w:rPr>
          <w:sz w:val="22"/>
          <w:szCs w:val="22"/>
          <w:lang w:val="sr-Latn-ME"/>
        </w:rPr>
        <w:t>Novorođenčad od majki koje su</w:t>
      </w:r>
      <w:r w:rsidR="004B3148" w:rsidRPr="00986187">
        <w:rPr>
          <w:sz w:val="22"/>
          <w:szCs w:val="22"/>
          <w:lang w:val="sr-Latn-ME"/>
        </w:rPr>
        <w:t xml:space="preserve"> bile</w:t>
      </w:r>
      <w:r w:rsidRPr="00986187">
        <w:rPr>
          <w:sz w:val="22"/>
          <w:szCs w:val="22"/>
          <w:lang w:val="sr-Latn-ME"/>
        </w:rPr>
        <w:t xml:space="preserve"> nosioci virusa hepatitis B (</w:t>
      </w:r>
      <w:proofErr w:type="spellStart"/>
      <w:r w:rsidRPr="00986187">
        <w:rPr>
          <w:sz w:val="22"/>
          <w:szCs w:val="22"/>
          <w:lang w:val="sr-Latn-ME"/>
        </w:rPr>
        <w:t>HBsAg</w:t>
      </w:r>
      <w:proofErr w:type="spellEnd"/>
      <w:r w:rsidRPr="00986187">
        <w:rPr>
          <w:sz w:val="22"/>
          <w:szCs w:val="22"/>
          <w:lang w:val="sr-Latn-ME"/>
        </w:rPr>
        <w:t xml:space="preserve"> pozitivne sa ili bez anti-</w:t>
      </w:r>
      <w:proofErr w:type="spellStart"/>
      <w:r w:rsidRPr="00986187">
        <w:rPr>
          <w:sz w:val="22"/>
          <w:szCs w:val="22"/>
          <w:lang w:val="sr-Latn-ME"/>
        </w:rPr>
        <w:t>HBs</w:t>
      </w:r>
      <w:proofErr w:type="spellEnd"/>
      <w:r w:rsidRPr="00986187">
        <w:rPr>
          <w:sz w:val="22"/>
          <w:szCs w:val="22"/>
          <w:lang w:val="sr-Latn-ME"/>
        </w:rPr>
        <w:t xml:space="preserve"> antitijela) i koja ni</w:t>
      </w:r>
      <w:r w:rsidR="004B3148" w:rsidRPr="00986187">
        <w:rPr>
          <w:sz w:val="22"/>
          <w:szCs w:val="22"/>
          <w:lang w:val="sr-Latn-ME"/>
        </w:rPr>
        <w:t>je</w:t>
      </w:r>
      <w:r w:rsidRPr="00986187">
        <w:rPr>
          <w:sz w:val="22"/>
          <w:szCs w:val="22"/>
          <w:lang w:val="sr-Latn-ME"/>
        </w:rPr>
        <w:t>su primila</w:t>
      </w:r>
      <w:r w:rsidRPr="00986187">
        <w:rPr>
          <w:color w:val="000000"/>
          <w:sz w:val="22"/>
          <w:szCs w:val="22"/>
          <w:lang w:val="sr-Latn-ME"/>
        </w:rPr>
        <w:t xml:space="preserve"> hepatitis B </w:t>
      </w:r>
      <w:proofErr w:type="spellStart"/>
      <w:r w:rsidRPr="00986187">
        <w:rPr>
          <w:color w:val="000000"/>
          <w:sz w:val="22"/>
          <w:szCs w:val="22"/>
          <w:lang w:val="sr-Latn-ME"/>
        </w:rPr>
        <w:t>imunoglobuline</w:t>
      </w:r>
      <w:proofErr w:type="spellEnd"/>
      <w:r w:rsidRPr="00986187">
        <w:rPr>
          <w:color w:val="000000"/>
          <w:sz w:val="22"/>
          <w:szCs w:val="22"/>
          <w:lang w:val="sr-Latn-ME"/>
        </w:rPr>
        <w:t xml:space="preserve"> (</w:t>
      </w:r>
      <w:proofErr w:type="spellStart"/>
      <w:r w:rsidRPr="00986187">
        <w:rPr>
          <w:sz w:val="22"/>
          <w:szCs w:val="22"/>
          <w:lang w:val="sr-Latn-ME"/>
        </w:rPr>
        <w:t>HBIg</w:t>
      </w:r>
      <w:proofErr w:type="spellEnd"/>
      <w:r w:rsidRPr="00986187">
        <w:rPr>
          <w:sz w:val="22"/>
          <w:szCs w:val="22"/>
          <w:lang w:val="sr-Latn-ME"/>
        </w:rPr>
        <w:t xml:space="preserve">) na rođenju, primila su dozu </w:t>
      </w:r>
      <w:proofErr w:type="spellStart"/>
      <w:r w:rsidRPr="00986187">
        <w:rPr>
          <w:sz w:val="22"/>
          <w:szCs w:val="22"/>
          <w:lang w:val="sr-Latn-ME"/>
        </w:rPr>
        <w:t>revakcine</w:t>
      </w:r>
      <w:proofErr w:type="spellEnd"/>
      <w:r w:rsidRPr="00986187">
        <w:rPr>
          <w:sz w:val="22"/>
          <w:szCs w:val="22"/>
          <w:lang w:val="sr-Latn-ME"/>
        </w:rPr>
        <w:t xml:space="preserve"> </w:t>
      </w:r>
      <w:proofErr w:type="spellStart"/>
      <w:r w:rsidRPr="00986187">
        <w:rPr>
          <w:sz w:val="22"/>
          <w:szCs w:val="22"/>
          <w:lang w:val="sr-Latn-ME"/>
        </w:rPr>
        <w:t>Engerix</w:t>
      </w:r>
      <w:proofErr w:type="spellEnd"/>
      <w:r w:rsidRPr="00986187">
        <w:rPr>
          <w:sz w:val="22"/>
          <w:szCs w:val="22"/>
          <w:lang w:val="sr-Latn-ME"/>
        </w:rPr>
        <w:t xml:space="preserve"> B dvadeset godina nakon primarne vakcinacije (šema</w:t>
      </w:r>
      <w:r w:rsidR="004B3148" w:rsidRPr="00986187">
        <w:rPr>
          <w:sz w:val="22"/>
          <w:szCs w:val="22"/>
          <w:lang w:val="sr-Latn-ME"/>
        </w:rPr>
        <w:t xml:space="preserve"> sa 3 i 4 doze</w:t>
      </w:r>
      <w:r w:rsidRPr="00986187">
        <w:rPr>
          <w:sz w:val="22"/>
          <w:szCs w:val="22"/>
          <w:lang w:val="sr-Latn-ME"/>
        </w:rPr>
        <w:t>).</w:t>
      </w:r>
    </w:p>
    <w:p w14:paraId="126013C3" w14:textId="77777777" w:rsidR="00F01C00" w:rsidRPr="00986187" w:rsidRDefault="00F01C00" w:rsidP="00F3153C">
      <w:pPr>
        <w:widowControl w:val="0"/>
        <w:jc w:val="both"/>
        <w:rPr>
          <w:sz w:val="22"/>
          <w:szCs w:val="22"/>
          <w:lang w:val="sr-Latn-ME"/>
        </w:rPr>
      </w:pPr>
    </w:p>
    <w:p w14:paraId="0AE2E826" w14:textId="77777777" w:rsidR="00F01C00" w:rsidRPr="00986187" w:rsidRDefault="00F01C00" w:rsidP="00F3153C">
      <w:pPr>
        <w:widowControl w:val="0"/>
        <w:jc w:val="both"/>
        <w:rPr>
          <w:sz w:val="22"/>
          <w:szCs w:val="22"/>
          <w:lang w:val="sr-Latn-ME"/>
        </w:rPr>
      </w:pPr>
      <w:r w:rsidRPr="00986187">
        <w:rPr>
          <w:sz w:val="22"/>
          <w:szCs w:val="22"/>
          <w:lang w:val="sr-Latn-ME"/>
        </w:rPr>
        <w:t xml:space="preserve">Stepen </w:t>
      </w:r>
      <w:proofErr w:type="spellStart"/>
      <w:r w:rsidRPr="00986187">
        <w:rPr>
          <w:sz w:val="22"/>
          <w:szCs w:val="22"/>
          <w:lang w:val="sr-Latn-ME"/>
        </w:rPr>
        <w:t>seroprotekcije</w:t>
      </w:r>
      <w:proofErr w:type="spellEnd"/>
      <w:r w:rsidRPr="00986187">
        <w:rPr>
          <w:sz w:val="22"/>
          <w:szCs w:val="22"/>
          <w:lang w:val="sr-Latn-ME"/>
        </w:rPr>
        <w:t xml:space="preserve"> je procijenjen prije i poslije revakcinacije:</w:t>
      </w:r>
    </w:p>
    <w:p w14:paraId="7D9DFBD5" w14:textId="77777777" w:rsidR="00985906" w:rsidRPr="00986187" w:rsidRDefault="00985906" w:rsidP="00F3153C">
      <w:pPr>
        <w:widowControl w:val="0"/>
        <w:jc w:val="both"/>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5076"/>
        <w:gridCol w:w="617"/>
        <w:gridCol w:w="616"/>
        <w:gridCol w:w="732"/>
        <w:gridCol w:w="953"/>
        <w:gridCol w:w="1069"/>
      </w:tblGrid>
      <w:tr w:rsidR="00F01C00" w:rsidRPr="00986187" w14:paraId="05492619" w14:textId="77777777" w:rsidTr="00F3153C">
        <w:tc>
          <w:tcPr>
            <w:tcW w:w="2800" w:type="pct"/>
            <w:vMerge w:val="restart"/>
            <w:tcMar>
              <w:top w:w="0" w:type="dxa"/>
              <w:left w:w="108" w:type="dxa"/>
              <w:bottom w:w="0" w:type="dxa"/>
              <w:right w:w="108" w:type="dxa"/>
            </w:tcMar>
            <w:hideMark/>
          </w:tcPr>
          <w:p w14:paraId="3DF0B825"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 xml:space="preserve">Stepen </w:t>
            </w:r>
            <w:proofErr w:type="spellStart"/>
            <w:r w:rsidRPr="00986187">
              <w:rPr>
                <w:rFonts w:ascii="Times New Roman" w:eastAsia="Calibri" w:hAnsi="Times New Roman"/>
                <w:b/>
                <w:sz w:val="22"/>
                <w:szCs w:val="22"/>
                <w:lang w:val="sr-Latn-ME" w:eastAsia="en-GB"/>
              </w:rPr>
              <w:t>seroprotekcije</w:t>
            </w:r>
            <w:proofErr w:type="spellEnd"/>
          </w:p>
        </w:tc>
        <w:tc>
          <w:tcPr>
            <w:tcW w:w="340" w:type="pct"/>
            <w:vMerge w:val="restart"/>
            <w:tcMar>
              <w:top w:w="0" w:type="dxa"/>
              <w:left w:w="108" w:type="dxa"/>
              <w:bottom w:w="0" w:type="dxa"/>
              <w:right w:w="108" w:type="dxa"/>
            </w:tcMar>
            <w:hideMark/>
          </w:tcPr>
          <w:p w14:paraId="56D54213"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N</w:t>
            </w:r>
          </w:p>
        </w:tc>
        <w:tc>
          <w:tcPr>
            <w:tcW w:w="340" w:type="pct"/>
            <w:vMerge w:val="restart"/>
            <w:tcMar>
              <w:top w:w="0" w:type="dxa"/>
              <w:left w:w="108" w:type="dxa"/>
              <w:bottom w:w="0" w:type="dxa"/>
              <w:right w:w="108" w:type="dxa"/>
            </w:tcMar>
            <w:hideMark/>
          </w:tcPr>
          <w:p w14:paraId="4E54BC8D"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n</w:t>
            </w:r>
          </w:p>
        </w:tc>
        <w:tc>
          <w:tcPr>
            <w:tcW w:w="404" w:type="pct"/>
            <w:vMerge w:val="restart"/>
            <w:tcMar>
              <w:top w:w="0" w:type="dxa"/>
              <w:left w:w="108" w:type="dxa"/>
              <w:bottom w:w="0" w:type="dxa"/>
              <w:right w:w="108" w:type="dxa"/>
            </w:tcMar>
            <w:hideMark/>
          </w:tcPr>
          <w:p w14:paraId="23D24B69"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w:t>
            </w:r>
          </w:p>
        </w:tc>
        <w:tc>
          <w:tcPr>
            <w:tcW w:w="1117" w:type="pct"/>
            <w:gridSpan w:val="2"/>
            <w:tcMar>
              <w:top w:w="0" w:type="dxa"/>
              <w:left w:w="108" w:type="dxa"/>
              <w:bottom w:w="0" w:type="dxa"/>
              <w:right w:w="108" w:type="dxa"/>
            </w:tcMar>
            <w:hideMark/>
          </w:tcPr>
          <w:p w14:paraId="55A3BAFC" w14:textId="77777777" w:rsidR="00F01C00" w:rsidRPr="00986187" w:rsidRDefault="00F01C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95% CI</w:t>
            </w:r>
          </w:p>
        </w:tc>
      </w:tr>
      <w:tr w:rsidR="00F01C00" w:rsidRPr="00986187" w14:paraId="0F78DB11" w14:textId="77777777" w:rsidTr="00F3153C">
        <w:tc>
          <w:tcPr>
            <w:tcW w:w="2800" w:type="pct"/>
            <w:vMerge/>
            <w:vAlign w:val="center"/>
            <w:hideMark/>
          </w:tcPr>
          <w:p w14:paraId="62474AAC"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p>
        </w:tc>
        <w:tc>
          <w:tcPr>
            <w:tcW w:w="340" w:type="pct"/>
            <w:vMerge/>
            <w:vAlign w:val="center"/>
            <w:hideMark/>
          </w:tcPr>
          <w:p w14:paraId="64088E29"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p>
        </w:tc>
        <w:tc>
          <w:tcPr>
            <w:tcW w:w="340" w:type="pct"/>
            <w:vMerge/>
            <w:vAlign w:val="center"/>
            <w:hideMark/>
          </w:tcPr>
          <w:p w14:paraId="3742A764"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p>
        </w:tc>
        <w:tc>
          <w:tcPr>
            <w:tcW w:w="404" w:type="pct"/>
            <w:vMerge/>
            <w:vAlign w:val="center"/>
            <w:hideMark/>
          </w:tcPr>
          <w:p w14:paraId="131C81C5" w14:textId="77777777" w:rsidR="00F01C00" w:rsidRPr="00986187" w:rsidRDefault="00F01C00" w:rsidP="00F3153C">
            <w:pPr>
              <w:pStyle w:val="tabletextNS"/>
              <w:widowControl w:val="0"/>
              <w:jc w:val="both"/>
              <w:rPr>
                <w:rFonts w:ascii="Times New Roman" w:eastAsia="Calibri" w:hAnsi="Times New Roman"/>
                <w:b/>
                <w:sz w:val="22"/>
                <w:szCs w:val="22"/>
                <w:lang w:val="sr-Latn-ME" w:eastAsia="en-GB"/>
              </w:rPr>
            </w:pPr>
          </w:p>
        </w:tc>
        <w:tc>
          <w:tcPr>
            <w:tcW w:w="526" w:type="pct"/>
            <w:tcMar>
              <w:top w:w="0" w:type="dxa"/>
              <w:left w:w="108" w:type="dxa"/>
              <w:bottom w:w="0" w:type="dxa"/>
              <w:right w:w="108" w:type="dxa"/>
            </w:tcMar>
            <w:hideMark/>
          </w:tcPr>
          <w:p w14:paraId="47AB1F42" w14:textId="77777777" w:rsidR="00F01C00" w:rsidRPr="00986187" w:rsidRDefault="00F01C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LL</w:t>
            </w:r>
          </w:p>
        </w:tc>
        <w:tc>
          <w:tcPr>
            <w:tcW w:w="591" w:type="pct"/>
            <w:tcMar>
              <w:top w:w="0" w:type="dxa"/>
              <w:left w:w="108" w:type="dxa"/>
              <w:bottom w:w="0" w:type="dxa"/>
              <w:right w:w="108" w:type="dxa"/>
            </w:tcMar>
            <w:hideMark/>
          </w:tcPr>
          <w:p w14:paraId="0ADB05C4" w14:textId="77777777" w:rsidR="00F01C00" w:rsidRPr="00986187" w:rsidRDefault="00F01C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UL</w:t>
            </w:r>
          </w:p>
        </w:tc>
      </w:tr>
      <w:tr w:rsidR="00F01C00" w:rsidRPr="00986187" w14:paraId="6D5F2EB9" w14:textId="77777777" w:rsidTr="00F3153C">
        <w:tc>
          <w:tcPr>
            <w:tcW w:w="2800" w:type="pct"/>
            <w:tcMar>
              <w:top w:w="0" w:type="dxa"/>
              <w:left w:w="108" w:type="dxa"/>
              <w:bottom w:w="0" w:type="dxa"/>
              <w:right w:w="108" w:type="dxa"/>
            </w:tcMar>
            <w:hideMark/>
          </w:tcPr>
          <w:p w14:paraId="2A78CAC2"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Prije revakcinacije</w:t>
            </w:r>
          </w:p>
        </w:tc>
        <w:tc>
          <w:tcPr>
            <w:tcW w:w="340" w:type="pct"/>
            <w:tcMar>
              <w:top w:w="0" w:type="dxa"/>
              <w:left w:w="108" w:type="dxa"/>
              <w:bottom w:w="0" w:type="dxa"/>
              <w:right w:w="108" w:type="dxa"/>
            </w:tcMar>
          </w:tcPr>
          <w:p w14:paraId="77073510"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72</w:t>
            </w:r>
          </w:p>
        </w:tc>
        <w:tc>
          <w:tcPr>
            <w:tcW w:w="340" w:type="pct"/>
            <w:tcMar>
              <w:top w:w="0" w:type="dxa"/>
              <w:left w:w="108" w:type="dxa"/>
              <w:bottom w:w="0" w:type="dxa"/>
              <w:right w:w="108" w:type="dxa"/>
            </w:tcMar>
          </w:tcPr>
          <w:p w14:paraId="6A8B96AE"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39</w:t>
            </w:r>
          </w:p>
        </w:tc>
        <w:tc>
          <w:tcPr>
            <w:tcW w:w="404" w:type="pct"/>
            <w:tcMar>
              <w:top w:w="0" w:type="dxa"/>
              <w:left w:w="108" w:type="dxa"/>
              <w:bottom w:w="0" w:type="dxa"/>
              <w:right w:w="108" w:type="dxa"/>
            </w:tcMar>
          </w:tcPr>
          <w:p w14:paraId="08207266"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54.2</w:t>
            </w:r>
          </w:p>
        </w:tc>
        <w:tc>
          <w:tcPr>
            <w:tcW w:w="526" w:type="pct"/>
            <w:tcMar>
              <w:top w:w="0" w:type="dxa"/>
              <w:left w:w="108" w:type="dxa"/>
              <w:bottom w:w="0" w:type="dxa"/>
              <w:right w:w="108" w:type="dxa"/>
            </w:tcMar>
          </w:tcPr>
          <w:p w14:paraId="5FD156B8"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42.0</w:t>
            </w:r>
          </w:p>
        </w:tc>
        <w:tc>
          <w:tcPr>
            <w:tcW w:w="591" w:type="pct"/>
            <w:tcMar>
              <w:top w:w="0" w:type="dxa"/>
              <w:left w:w="108" w:type="dxa"/>
              <w:bottom w:w="0" w:type="dxa"/>
              <w:right w:w="108" w:type="dxa"/>
            </w:tcMar>
          </w:tcPr>
          <w:p w14:paraId="7CF8BC5D"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66.0</w:t>
            </w:r>
          </w:p>
        </w:tc>
      </w:tr>
      <w:tr w:rsidR="00F01C00" w:rsidRPr="00986187" w14:paraId="1C698790" w14:textId="77777777" w:rsidTr="00F3153C">
        <w:tc>
          <w:tcPr>
            <w:tcW w:w="2800" w:type="pct"/>
            <w:tcMar>
              <w:top w:w="0" w:type="dxa"/>
              <w:left w:w="108" w:type="dxa"/>
              <w:bottom w:w="0" w:type="dxa"/>
              <w:right w:w="108" w:type="dxa"/>
            </w:tcMar>
            <w:hideMark/>
          </w:tcPr>
          <w:p w14:paraId="7790619F"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Poslije revakcinacije</w:t>
            </w:r>
          </w:p>
        </w:tc>
        <w:tc>
          <w:tcPr>
            <w:tcW w:w="340" w:type="pct"/>
            <w:tcMar>
              <w:top w:w="0" w:type="dxa"/>
              <w:left w:w="108" w:type="dxa"/>
              <w:bottom w:w="0" w:type="dxa"/>
              <w:right w:w="108" w:type="dxa"/>
            </w:tcMar>
          </w:tcPr>
          <w:p w14:paraId="78FDF8AF"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75</w:t>
            </w:r>
          </w:p>
        </w:tc>
        <w:tc>
          <w:tcPr>
            <w:tcW w:w="340" w:type="pct"/>
            <w:tcMar>
              <w:top w:w="0" w:type="dxa"/>
              <w:left w:w="108" w:type="dxa"/>
              <w:bottom w:w="0" w:type="dxa"/>
              <w:right w:w="108" w:type="dxa"/>
            </w:tcMar>
          </w:tcPr>
          <w:p w14:paraId="423A4F61"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74</w:t>
            </w:r>
          </w:p>
        </w:tc>
        <w:tc>
          <w:tcPr>
            <w:tcW w:w="404" w:type="pct"/>
            <w:tcMar>
              <w:top w:w="0" w:type="dxa"/>
              <w:left w:w="108" w:type="dxa"/>
              <w:bottom w:w="0" w:type="dxa"/>
              <w:right w:w="108" w:type="dxa"/>
            </w:tcMar>
          </w:tcPr>
          <w:p w14:paraId="5204152D"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98.7</w:t>
            </w:r>
          </w:p>
        </w:tc>
        <w:tc>
          <w:tcPr>
            <w:tcW w:w="526" w:type="pct"/>
            <w:tcMar>
              <w:top w:w="0" w:type="dxa"/>
              <w:left w:w="108" w:type="dxa"/>
              <w:bottom w:w="0" w:type="dxa"/>
              <w:right w:w="108" w:type="dxa"/>
            </w:tcMar>
          </w:tcPr>
          <w:p w14:paraId="01AD507E"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92.8</w:t>
            </w:r>
          </w:p>
        </w:tc>
        <w:tc>
          <w:tcPr>
            <w:tcW w:w="591" w:type="pct"/>
            <w:tcMar>
              <w:top w:w="0" w:type="dxa"/>
              <w:left w:w="108" w:type="dxa"/>
              <w:bottom w:w="0" w:type="dxa"/>
              <w:right w:w="108" w:type="dxa"/>
            </w:tcMar>
          </w:tcPr>
          <w:p w14:paraId="70F5AFE3" w14:textId="77777777" w:rsidR="00F01C00" w:rsidRPr="00986187" w:rsidRDefault="00F01C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100</w:t>
            </w:r>
          </w:p>
        </w:tc>
      </w:tr>
      <w:tr w:rsidR="00113500" w:rsidRPr="00986187" w14:paraId="2DD9D639" w14:textId="77777777" w:rsidTr="00F3153C">
        <w:tc>
          <w:tcPr>
            <w:tcW w:w="5000" w:type="pct"/>
            <w:gridSpan w:val="6"/>
            <w:tcMar>
              <w:top w:w="0" w:type="dxa"/>
              <w:left w:w="108" w:type="dxa"/>
              <w:bottom w:w="0" w:type="dxa"/>
              <w:right w:w="108" w:type="dxa"/>
            </w:tcMar>
          </w:tcPr>
          <w:p w14:paraId="73CA4CA6" w14:textId="77777777" w:rsidR="00113500" w:rsidRPr="00986187" w:rsidRDefault="00113500" w:rsidP="00F3153C">
            <w:pPr>
              <w:widowControl w:val="0"/>
              <w:jc w:val="both"/>
              <w:rPr>
                <w:sz w:val="22"/>
                <w:szCs w:val="22"/>
                <w:lang w:val="sr-Latn-ME"/>
              </w:rPr>
            </w:pPr>
            <w:r w:rsidRPr="00986187">
              <w:rPr>
                <w:sz w:val="22"/>
                <w:szCs w:val="22"/>
                <w:lang w:val="sr-Latn-ME"/>
              </w:rPr>
              <w:t>N = broj ispitanika sa raspoloživim rezultatima</w:t>
            </w:r>
          </w:p>
          <w:p w14:paraId="32EB67AE" w14:textId="4816E9F9" w:rsidR="00113500" w:rsidRPr="00986187" w:rsidRDefault="00113500" w:rsidP="00F3153C">
            <w:pPr>
              <w:widowControl w:val="0"/>
              <w:jc w:val="both"/>
              <w:rPr>
                <w:sz w:val="22"/>
                <w:szCs w:val="22"/>
                <w:lang w:val="sr-Latn-ME"/>
              </w:rPr>
            </w:pPr>
            <w:r w:rsidRPr="00986187">
              <w:rPr>
                <w:sz w:val="22"/>
                <w:szCs w:val="22"/>
                <w:lang w:val="sr-Latn-ME"/>
              </w:rPr>
              <w:t xml:space="preserve">n = broj ispitanika sa koncentracijom antitijela koja odgovara oko 10 </w:t>
            </w:r>
            <w:proofErr w:type="spellStart"/>
            <w:r w:rsidR="00735461" w:rsidRPr="00986187">
              <w:rPr>
                <w:sz w:val="22"/>
                <w:szCs w:val="22"/>
                <w:lang w:val="sr-Latn-ME"/>
              </w:rPr>
              <w:t>mIJ</w:t>
            </w:r>
            <w:proofErr w:type="spellEnd"/>
            <w:r w:rsidR="00735461" w:rsidRPr="00986187">
              <w:rPr>
                <w:sz w:val="22"/>
                <w:szCs w:val="22"/>
                <w:lang w:val="sr-Latn-ME"/>
              </w:rPr>
              <w:t>/ml</w:t>
            </w:r>
          </w:p>
          <w:p w14:paraId="0BF53CEE" w14:textId="321AE0D5" w:rsidR="00113500" w:rsidRPr="00986187" w:rsidRDefault="00113500" w:rsidP="00F3153C">
            <w:pPr>
              <w:widowControl w:val="0"/>
              <w:jc w:val="both"/>
              <w:rPr>
                <w:sz w:val="22"/>
                <w:szCs w:val="22"/>
                <w:lang w:val="sr-Latn-ME"/>
              </w:rPr>
            </w:pPr>
            <w:r w:rsidRPr="00986187">
              <w:rPr>
                <w:sz w:val="22"/>
                <w:szCs w:val="22"/>
                <w:lang w:val="sr-Latn-ME"/>
              </w:rPr>
              <w:t xml:space="preserve">% = procenat ispitanika sa koncentracijom antitijela koja odgovara oko 10 </w:t>
            </w:r>
            <w:proofErr w:type="spellStart"/>
            <w:r w:rsidR="00735461" w:rsidRPr="00986187">
              <w:rPr>
                <w:sz w:val="22"/>
                <w:szCs w:val="22"/>
                <w:lang w:val="sr-Latn-ME"/>
              </w:rPr>
              <w:t>mIJ</w:t>
            </w:r>
            <w:proofErr w:type="spellEnd"/>
            <w:r w:rsidR="00735461" w:rsidRPr="00986187">
              <w:rPr>
                <w:sz w:val="22"/>
                <w:szCs w:val="22"/>
                <w:lang w:val="sr-Latn-ME"/>
              </w:rPr>
              <w:t>/ml</w:t>
            </w:r>
          </w:p>
          <w:p w14:paraId="5A2F2B36" w14:textId="77777777" w:rsidR="00113500" w:rsidRPr="00986187" w:rsidRDefault="00113500" w:rsidP="00F3153C">
            <w:pPr>
              <w:widowControl w:val="0"/>
              <w:jc w:val="both"/>
              <w:rPr>
                <w:sz w:val="22"/>
                <w:szCs w:val="22"/>
                <w:lang w:val="sr-Latn-ME"/>
              </w:rPr>
            </w:pPr>
            <w:r w:rsidRPr="00986187">
              <w:rPr>
                <w:sz w:val="22"/>
                <w:szCs w:val="22"/>
                <w:lang w:val="sr-Latn-ME"/>
              </w:rPr>
              <w:t>95% CI = 95% interval povjerenja; LL = donja granica, UL = gornja granica</w:t>
            </w:r>
          </w:p>
          <w:p w14:paraId="26C34FD1" w14:textId="6355D54B" w:rsidR="00113500" w:rsidRPr="00986187" w:rsidRDefault="00113500" w:rsidP="00F3153C">
            <w:pPr>
              <w:widowControl w:val="0"/>
              <w:jc w:val="both"/>
              <w:rPr>
                <w:sz w:val="22"/>
                <w:szCs w:val="22"/>
                <w:lang w:val="sr-Latn-ME"/>
              </w:rPr>
            </w:pPr>
            <w:r w:rsidRPr="00986187">
              <w:rPr>
                <w:sz w:val="22"/>
                <w:szCs w:val="22"/>
                <w:lang w:val="sr-Latn-ME"/>
              </w:rPr>
              <w:t>Prije = u vrijeme revakcinacije / Poslije = mjesec dana nakon revakcinacije</w:t>
            </w:r>
          </w:p>
        </w:tc>
      </w:tr>
    </w:tbl>
    <w:p w14:paraId="0B00A8BF" w14:textId="77777777" w:rsidR="00F01C00" w:rsidRPr="00986187" w:rsidRDefault="00F01C00" w:rsidP="00F3153C">
      <w:pPr>
        <w:widowControl w:val="0"/>
        <w:jc w:val="both"/>
        <w:rPr>
          <w:sz w:val="22"/>
          <w:szCs w:val="22"/>
          <w:lang w:val="sr-Latn-ME"/>
        </w:rPr>
      </w:pPr>
    </w:p>
    <w:p w14:paraId="33565445" w14:textId="2FB1EF40" w:rsidR="00F01C00" w:rsidRPr="00986187" w:rsidRDefault="001F61D7" w:rsidP="00F3153C">
      <w:pPr>
        <w:widowControl w:val="0"/>
        <w:jc w:val="both"/>
        <w:rPr>
          <w:sz w:val="22"/>
          <w:szCs w:val="22"/>
          <w:lang w:val="sr-Latn-ME"/>
        </w:rPr>
      </w:pPr>
      <w:r w:rsidRPr="00986187">
        <w:rPr>
          <w:sz w:val="22"/>
          <w:szCs w:val="22"/>
          <w:lang w:val="sr-Latn-ME"/>
        </w:rPr>
        <w:t xml:space="preserve">Takođe je procjenjivan i </w:t>
      </w:r>
      <w:proofErr w:type="spellStart"/>
      <w:r w:rsidRPr="00986187">
        <w:rPr>
          <w:sz w:val="22"/>
          <w:szCs w:val="22"/>
          <w:lang w:val="sr-Latn-ME"/>
        </w:rPr>
        <w:t>a</w:t>
      </w:r>
      <w:r w:rsidR="00F01C00" w:rsidRPr="00986187">
        <w:rPr>
          <w:sz w:val="22"/>
          <w:szCs w:val="22"/>
          <w:lang w:val="sr-Latn-ME"/>
        </w:rPr>
        <w:t>namnestički</w:t>
      </w:r>
      <w:proofErr w:type="spellEnd"/>
      <w:r w:rsidR="00F01C00" w:rsidRPr="00986187">
        <w:rPr>
          <w:sz w:val="22"/>
          <w:szCs w:val="22"/>
          <w:lang w:val="sr-Latn-ME"/>
        </w:rPr>
        <w:t xml:space="preserve"> odgovor </w:t>
      </w:r>
      <w:r w:rsidRPr="00986187">
        <w:rPr>
          <w:sz w:val="22"/>
          <w:szCs w:val="22"/>
          <w:lang w:val="sr-Latn-ME"/>
        </w:rPr>
        <w:t xml:space="preserve">prije </w:t>
      </w:r>
      <w:proofErr w:type="spellStart"/>
      <w:r w:rsidRPr="00986187">
        <w:rPr>
          <w:sz w:val="22"/>
          <w:szCs w:val="22"/>
          <w:lang w:val="sr-Latn-ME"/>
        </w:rPr>
        <w:t>vremena</w:t>
      </w:r>
      <w:proofErr w:type="spellEnd"/>
      <w:r w:rsidR="00F01C00" w:rsidRPr="00986187">
        <w:rPr>
          <w:sz w:val="22"/>
          <w:szCs w:val="22"/>
          <w:lang w:val="sr-Latn-ME"/>
        </w:rPr>
        <w:t xml:space="preserve"> revakcinacije:</w:t>
      </w:r>
    </w:p>
    <w:p w14:paraId="11EBAD57" w14:textId="77777777" w:rsidR="00F01C00" w:rsidRPr="00986187" w:rsidRDefault="00F01C00" w:rsidP="00F3153C">
      <w:pPr>
        <w:widowControl w:val="0"/>
        <w:jc w:val="both"/>
        <w:rPr>
          <w:rFonts w:eastAsia="Calibri"/>
          <w:sz w:val="22"/>
          <w:szCs w:val="22"/>
          <w:lang w:val="sr-Latn-ME" w:eastAsia="en-GB"/>
        </w:rPr>
      </w:pPr>
    </w:p>
    <w:tbl>
      <w:tblPr>
        <w:tblW w:w="5000" w:type="pct"/>
        <w:tblBorders>
          <w:top w:val="single" w:sz="2" w:space="0" w:color="auto"/>
          <w:left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99"/>
        <w:gridCol w:w="919"/>
        <w:gridCol w:w="852"/>
        <w:gridCol w:w="914"/>
        <w:gridCol w:w="999"/>
        <w:gridCol w:w="1184"/>
      </w:tblGrid>
      <w:tr w:rsidR="00F01C00" w:rsidRPr="00986187" w14:paraId="03395FA8" w14:textId="77777777" w:rsidTr="00791EE2">
        <w:trPr>
          <w:cantSplit/>
          <w:tblHeader/>
        </w:trPr>
        <w:tc>
          <w:tcPr>
            <w:tcW w:w="2315" w:type="pct"/>
            <w:vMerge w:val="restart"/>
            <w:tcBorders>
              <w:top w:val="single" w:sz="2" w:space="0" w:color="auto"/>
              <w:left w:val="single" w:sz="2" w:space="0" w:color="auto"/>
              <w:bottom w:val="single" w:sz="2" w:space="0" w:color="auto"/>
              <w:right w:val="single" w:sz="2" w:space="0" w:color="auto"/>
            </w:tcBorders>
          </w:tcPr>
          <w:p w14:paraId="1965A705" w14:textId="77777777" w:rsidR="00F01C00" w:rsidRPr="00986187" w:rsidRDefault="00F01C00" w:rsidP="00F3153C">
            <w:pPr>
              <w:pStyle w:val="tabletextNS"/>
              <w:widowControl w:val="0"/>
              <w:jc w:val="both"/>
              <w:rPr>
                <w:rFonts w:ascii="Times New Roman" w:hAnsi="Times New Roman"/>
                <w:sz w:val="22"/>
                <w:szCs w:val="22"/>
                <w:lang w:val="sr-Latn-ME"/>
              </w:rPr>
            </w:pPr>
          </w:p>
        </w:tc>
        <w:tc>
          <w:tcPr>
            <w:tcW w:w="2685" w:type="pct"/>
            <w:gridSpan w:val="5"/>
            <w:tcBorders>
              <w:top w:val="single" w:sz="2" w:space="0" w:color="auto"/>
              <w:left w:val="single" w:sz="2" w:space="0" w:color="auto"/>
              <w:bottom w:val="single" w:sz="2" w:space="0" w:color="auto"/>
              <w:right w:val="single" w:sz="2" w:space="0" w:color="auto"/>
            </w:tcBorders>
            <w:hideMark/>
          </w:tcPr>
          <w:p w14:paraId="6BC51812" w14:textId="77777777" w:rsidR="00F01C00" w:rsidRPr="00986187" w:rsidRDefault="00F01C00" w:rsidP="00F3153C">
            <w:pPr>
              <w:pStyle w:val="tabletextNS"/>
              <w:widowControl w:val="0"/>
              <w:jc w:val="both"/>
              <w:rPr>
                <w:rFonts w:ascii="Times New Roman" w:hAnsi="Times New Roman"/>
                <w:b/>
                <w:sz w:val="22"/>
                <w:szCs w:val="22"/>
                <w:lang w:val="sr-Latn-ME"/>
              </w:rPr>
            </w:pPr>
            <w:proofErr w:type="spellStart"/>
            <w:r w:rsidRPr="00986187">
              <w:rPr>
                <w:rFonts w:ascii="Times New Roman" w:hAnsi="Times New Roman"/>
                <w:b/>
                <w:bCs/>
                <w:sz w:val="22"/>
                <w:szCs w:val="22"/>
                <w:lang w:val="sr-Latn-ME"/>
              </w:rPr>
              <w:t>Anamnestički</w:t>
            </w:r>
            <w:proofErr w:type="spellEnd"/>
            <w:r w:rsidRPr="00986187">
              <w:rPr>
                <w:rFonts w:ascii="Times New Roman" w:hAnsi="Times New Roman"/>
                <w:b/>
                <w:bCs/>
                <w:sz w:val="22"/>
                <w:szCs w:val="22"/>
                <w:lang w:val="sr-Latn-ME"/>
              </w:rPr>
              <w:t xml:space="preserve"> odgovor</w:t>
            </w:r>
          </w:p>
        </w:tc>
      </w:tr>
      <w:tr w:rsidR="00F01C00" w:rsidRPr="00986187" w14:paraId="14A92BB5" w14:textId="77777777" w:rsidTr="00791EE2">
        <w:trPr>
          <w:cantSplit/>
          <w:tblHeader/>
        </w:trPr>
        <w:tc>
          <w:tcPr>
            <w:tcW w:w="2315" w:type="pct"/>
            <w:vMerge/>
            <w:tcBorders>
              <w:top w:val="single" w:sz="2" w:space="0" w:color="auto"/>
              <w:left w:val="single" w:sz="2" w:space="0" w:color="auto"/>
              <w:bottom w:val="single" w:sz="2" w:space="0" w:color="auto"/>
              <w:right w:val="single" w:sz="2" w:space="0" w:color="auto"/>
            </w:tcBorders>
            <w:vAlign w:val="center"/>
            <w:hideMark/>
          </w:tcPr>
          <w:p w14:paraId="4B175FE9" w14:textId="77777777" w:rsidR="00F01C00" w:rsidRPr="00986187" w:rsidRDefault="00F01C00" w:rsidP="00F3153C">
            <w:pPr>
              <w:pStyle w:val="tabletextNS"/>
              <w:widowControl w:val="0"/>
              <w:jc w:val="both"/>
              <w:rPr>
                <w:rFonts w:ascii="Times New Roman" w:hAnsi="Times New Roman"/>
                <w:sz w:val="22"/>
                <w:szCs w:val="22"/>
                <w:lang w:val="sr-Latn-ME"/>
              </w:rPr>
            </w:pPr>
          </w:p>
        </w:tc>
        <w:tc>
          <w:tcPr>
            <w:tcW w:w="1481" w:type="pct"/>
            <w:gridSpan w:val="3"/>
            <w:tcBorders>
              <w:top w:val="single" w:sz="2" w:space="0" w:color="auto"/>
              <w:left w:val="single" w:sz="2" w:space="0" w:color="auto"/>
              <w:bottom w:val="single" w:sz="2" w:space="0" w:color="auto"/>
              <w:right w:val="single" w:sz="2" w:space="0" w:color="auto"/>
            </w:tcBorders>
          </w:tcPr>
          <w:p w14:paraId="5AC74A1B" w14:textId="77777777" w:rsidR="00F01C00" w:rsidRPr="00986187" w:rsidRDefault="00F01C00" w:rsidP="00F3153C">
            <w:pPr>
              <w:pStyle w:val="tabletextNS"/>
              <w:widowControl w:val="0"/>
              <w:jc w:val="both"/>
              <w:rPr>
                <w:rFonts w:ascii="Times New Roman" w:hAnsi="Times New Roman"/>
                <w:b/>
                <w:sz w:val="22"/>
                <w:szCs w:val="22"/>
                <w:lang w:val="sr-Latn-ME"/>
              </w:rPr>
            </w:pPr>
          </w:p>
        </w:tc>
        <w:tc>
          <w:tcPr>
            <w:tcW w:w="1204" w:type="pct"/>
            <w:gridSpan w:val="2"/>
            <w:tcBorders>
              <w:top w:val="single" w:sz="2" w:space="0" w:color="auto"/>
              <w:left w:val="single" w:sz="2" w:space="0" w:color="auto"/>
              <w:bottom w:val="single" w:sz="2" w:space="0" w:color="auto"/>
              <w:right w:val="single" w:sz="2" w:space="0" w:color="auto"/>
            </w:tcBorders>
            <w:hideMark/>
          </w:tcPr>
          <w:p w14:paraId="2A72E432" w14:textId="77777777" w:rsidR="00F01C00" w:rsidRPr="00986187" w:rsidRDefault="00F01C00" w:rsidP="00F3153C">
            <w:pPr>
              <w:pStyle w:val="tabletextNS"/>
              <w:widowControl w:val="0"/>
              <w:jc w:val="center"/>
              <w:rPr>
                <w:rFonts w:ascii="Times New Roman" w:hAnsi="Times New Roman"/>
                <w:b/>
                <w:sz w:val="22"/>
                <w:szCs w:val="22"/>
                <w:lang w:val="sr-Latn-ME"/>
              </w:rPr>
            </w:pPr>
            <w:r w:rsidRPr="00986187">
              <w:rPr>
                <w:rFonts w:ascii="Times New Roman" w:hAnsi="Times New Roman"/>
                <w:b/>
                <w:bCs/>
                <w:sz w:val="22"/>
                <w:szCs w:val="22"/>
                <w:lang w:val="sr-Latn-ME"/>
              </w:rPr>
              <w:t>95% CI</w:t>
            </w:r>
          </w:p>
        </w:tc>
      </w:tr>
      <w:tr w:rsidR="00F01C00" w:rsidRPr="00986187" w14:paraId="3DA664CC" w14:textId="77777777" w:rsidTr="00791EE2">
        <w:trPr>
          <w:cantSplit/>
          <w:tblHeader/>
        </w:trPr>
        <w:tc>
          <w:tcPr>
            <w:tcW w:w="2315" w:type="pct"/>
            <w:tcBorders>
              <w:top w:val="single" w:sz="2" w:space="0" w:color="auto"/>
              <w:left w:val="single" w:sz="2" w:space="0" w:color="auto"/>
              <w:bottom w:val="single" w:sz="2" w:space="0" w:color="auto"/>
              <w:right w:val="single" w:sz="2" w:space="0" w:color="auto"/>
            </w:tcBorders>
            <w:hideMark/>
          </w:tcPr>
          <w:p w14:paraId="38FE748E" w14:textId="77777777" w:rsidR="00F01C00" w:rsidRPr="00986187" w:rsidRDefault="00F01C00" w:rsidP="00F3153C">
            <w:pPr>
              <w:pStyle w:val="tabletextNS"/>
              <w:widowControl w:val="0"/>
              <w:jc w:val="both"/>
              <w:rPr>
                <w:rFonts w:ascii="Times New Roman" w:hAnsi="Times New Roman"/>
                <w:b/>
                <w:sz w:val="22"/>
                <w:szCs w:val="22"/>
                <w:lang w:val="sr-Latn-ME"/>
              </w:rPr>
            </w:pPr>
            <w:r w:rsidRPr="00986187">
              <w:rPr>
                <w:rFonts w:ascii="Times New Roman" w:hAnsi="Times New Roman"/>
                <w:b/>
                <w:bCs/>
                <w:sz w:val="22"/>
                <w:szCs w:val="22"/>
                <w:lang w:val="sr-Latn-ME"/>
              </w:rPr>
              <w:t>Status u vrijeme revakcinacije</w:t>
            </w:r>
          </w:p>
        </w:tc>
        <w:tc>
          <w:tcPr>
            <w:tcW w:w="507" w:type="pct"/>
            <w:tcBorders>
              <w:top w:val="single" w:sz="2" w:space="0" w:color="auto"/>
              <w:left w:val="single" w:sz="2" w:space="0" w:color="auto"/>
              <w:bottom w:val="single" w:sz="2" w:space="0" w:color="auto"/>
              <w:right w:val="single" w:sz="2" w:space="0" w:color="auto"/>
            </w:tcBorders>
            <w:hideMark/>
          </w:tcPr>
          <w:p w14:paraId="14CA2F19" w14:textId="77777777" w:rsidR="00F01C00" w:rsidRPr="00986187" w:rsidRDefault="00F01C00" w:rsidP="00F3153C">
            <w:pPr>
              <w:pStyle w:val="tabletextNS"/>
              <w:widowControl w:val="0"/>
              <w:jc w:val="both"/>
              <w:rPr>
                <w:rFonts w:ascii="Times New Roman" w:hAnsi="Times New Roman"/>
                <w:b/>
                <w:sz w:val="22"/>
                <w:szCs w:val="22"/>
                <w:lang w:val="sr-Latn-ME"/>
              </w:rPr>
            </w:pPr>
            <w:r w:rsidRPr="00986187">
              <w:rPr>
                <w:rFonts w:ascii="Times New Roman" w:hAnsi="Times New Roman"/>
                <w:b/>
                <w:sz w:val="22"/>
                <w:szCs w:val="22"/>
                <w:lang w:val="sr-Latn-ME"/>
              </w:rPr>
              <w:t>N</w:t>
            </w:r>
          </w:p>
        </w:tc>
        <w:tc>
          <w:tcPr>
            <w:tcW w:w="470" w:type="pct"/>
            <w:tcBorders>
              <w:top w:val="single" w:sz="2" w:space="0" w:color="auto"/>
              <w:left w:val="single" w:sz="2" w:space="0" w:color="auto"/>
              <w:bottom w:val="single" w:sz="2" w:space="0" w:color="auto"/>
              <w:right w:val="single" w:sz="2" w:space="0" w:color="auto"/>
            </w:tcBorders>
            <w:hideMark/>
          </w:tcPr>
          <w:p w14:paraId="2B7D9ECF" w14:textId="77777777" w:rsidR="00F01C00" w:rsidRPr="00986187" w:rsidRDefault="00F01C00" w:rsidP="00F3153C">
            <w:pPr>
              <w:pStyle w:val="tabletextNS"/>
              <w:widowControl w:val="0"/>
              <w:jc w:val="both"/>
              <w:rPr>
                <w:rFonts w:ascii="Times New Roman" w:hAnsi="Times New Roman"/>
                <w:b/>
                <w:sz w:val="22"/>
                <w:szCs w:val="22"/>
                <w:lang w:val="sr-Latn-ME"/>
              </w:rPr>
            </w:pPr>
            <w:r w:rsidRPr="00986187">
              <w:rPr>
                <w:rFonts w:ascii="Times New Roman" w:hAnsi="Times New Roman"/>
                <w:b/>
                <w:sz w:val="22"/>
                <w:szCs w:val="22"/>
                <w:lang w:val="sr-Latn-ME"/>
              </w:rPr>
              <w:t>n</w:t>
            </w:r>
          </w:p>
        </w:tc>
        <w:tc>
          <w:tcPr>
            <w:tcW w:w="504" w:type="pct"/>
            <w:tcBorders>
              <w:top w:val="single" w:sz="2" w:space="0" w:color="auto"/>
              <w:left w:val="single" w:sz="2" w:space="0" w:color="auto"/>
              <w:bottom w:val="single" w:sz="2" w:space="0" w:color="auto"/>
              <w:right w:val="single" w:sz="2" w:space="0" w:color="auto"/>
            </w:tcBorders>
            <w:hideMark/>
          </w:tcPr>
          <w:p w14:paraId="0D42450B" w14:textId="77777777" w:rsidR="00F01C00" w:rsidRPr="00986187" w:rsidRDefault="00F01C00" w:rsidP="00F3153C">
            <w:pPr>
              <w:pStyle w:val="tabletextNS"/>
              <w:widowControl w:val="0"/>
              <w:jc w:val="both"/>
              <w:rPr>
                <w:rFonts w:ascii="Times New Roman" w:hAnsi="Times New Roman"/>
                <w:b/>
                <w:sz w:val="22"/>
                <w:szCs w:val="22"/>
                <w:lang w:val="sr-Latn-ME"/>
              </w:rPr>
            </w:pPr>
            <w:r w:rsidRPr="00986187">
              <w:rPr>
                <w:rFonts w:ascii="Times New Roman" w:hAnsi="Times New Roman"/>
                <w:b/>
                <w:sz w:val="22"/>
                <w:szCs w:val="22"/>
                <w:lang w:val="sr-Latn-ME"/>
              </w:rPr>
              <w:t>%</w:t>
            </w:r>
          </w:p>
        </w:tc>
        <w:tc>
          <w:tcPr>
            <w:tcW w:w="551" w:type="pct"/>
            <w:tcBorders>
              <w:top w:val="single" w:sz="2" w:space="0" w:color="auto"/>
              <w:left w:val="single" w:sz="2" w:space="0" w:color="auto"/>
              <w:bottom w:val="single" w:sz="2" w:space="0" w:color="auto"/>
              <w:right w:val="single" w:sz="2" w:space="0" w:color="auto"/>
            </w:tcBorders>
            <w:hideMark/>
          </w:tcPr>
          <w:p w14:paraId="425F624E" w14:textId="77777777" w:rsidR="00F01C00" w:rsidRPr="00986187" w:rsidRDefault="00F01C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LL</w:t>
            </w:r>
          </w:p>
        </w:tc>
        <w:tc>
          <w:tcPr>
            <w:tcW w:w="653" w:type="pct"/>
            <w:tcBorders>
              <w:top w:val="single" w:sz="2" w:space="0" w:color="auto"/>
              <w:left w:val="single" w:sz="2" w:space="0" w:color="auto"/>
              <w:bottom w:val="single" w:sz="2" w:space="0" w:color="auto"/>
              <w:right w:val="single" w:sz="2" w:space="0" w:color="auto"/>
            </w:tcBorders>
            <w:hideMark/>
          </w:tcPr>
          <w:p w14:paraId="604B23B9" w14:textId="77777777" w:rsidR="00F01C00" w:rsidRPr="00986187" w:rsidRDefault="00F01C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UL</w:t>
            </w:r>
          </w:p>
        </w:tc>
      </w:tr>
      <w:tr w:rsidR="00F01C00" w:rsidRPr="00986187" w14:paraId="584A30F1" w14:textId="77777777" w:rsidTr="00791EE2">
        <w:trPr>
          <w:cantSplit/>
        </w:trPr>
        <w:tc>
          <w:tcPr>
            <w:tcW w:w="2315" w:type="pct"/>
            <w:tcBorders>
              <w:top w:val="single" w:sz="2" w:space="0" w:color="auto"/>
              <w:left w:val="single" w:sz="2" w:space="0" w:color="auto"/>
              <w:bottom w:val="single" w:sz="2" w:space="0" w:color="auto"/>
              <w:right w:val="single" w:sz="2" w:space="0" w:color="auto"/>
            </w:tcBorders>
            <w:hideMark/>
          </w:tcPr>
          <w:p w14:paraId="3375B1DD" w14:textId="4C300A05"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 xml:space="preserve">Ispitanici &lt; 10 </w:t>
            </w:r>
            <w:proofErr w:type="spellStart"/>
            <w:r w:rsidR="00735461" w:rsidRPr="00986187">
              <w:rPr>
                <w:rFonts w:ascii="Times New Roman" w:hAnsi="Times New Roman"/>
                <w:sz w:val="22"/>
                <w:szCs w:val="22"/>
                <w:lang w:val="sr-Latn-ME"/>
              </w:rPr>
              <w:t>mIJ</w:t>
            </w:r>
            <w:proofErr w:type="spellEnd"/>
            <w:r w:rsidR="00735461" w:rsidRPr="00986187">
              <w:rPr>
                <w:rFonts w:ascii="Times New Roman" w:hAnsi="Times New Roman"/>
                <w:sz w:val="22"/>
                <w:szCs w:val="22"/>
                <w:lang w:val="sr-Latn-ME"/>
              </w:rPr>
              <w:t>/ml</w:t>
            </w:r>
          </w:p>
        </w:tc>
        <w:tc>
          <w:tcPr>
            <w:tcW w:w="507" w:type="pct"/>
            <w:tcBorders>
              <w:top w:val="single" w:sz="2" w:space="0" w:color="auto"/>
              <w:left w:val="single" w:sz="2" w:space="0" w:color="auto"/>
              <w:bottom w:val="single" w:sz="2" w:space="0" w:color="auto"/>
              <w:right w:val="single" w:sz="2" w:space="0" w:color="auto"/>
            </w:tcBorders>
            <w:hideMark/>
          </w:tcPr>
          <w:p w14:paraId="45353743"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33</w:t>
            </w:r>
          </w:p>
        </w:tc>
        <w:tc>
          <w:tcPr>
            <w:tcW w:w="470" w:type="pct"/>
            <w:tcBorders>
              <w:top w:val="single" w:sz="2" w:space="0" w:color="auto"/>
              <w:left w:val="single" w:sz="2" w:space="0" w:color="auto"/>
              <w:bottom w:val="single" w:sz="2" w:space="0" w:color="auto"/>
              <w:right w:val="single" w:sz="2" w:space="0" w:color="auto"/>
            </w:tcBorders>
            <w:hideMark/>
          </w:tcPr>
          <w:p w14:paraId="2595E639"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31</w:t>
            </w:r>
          </w:p>
        </w:tc>
        <w:tc>
          <w:tcPr>
            <w:tcW w:w="504" w:type="pct"/>
            <w:tcBorders>
              <w:top w:val="single" w:sz="2" w:space="0" w:color="auto"/>
              <w:left w:val="single" w:sz="2" w:space="0" w:color="auto"/>
              <w:bottom w:val="single" w:sz="2" w:space="0" w:color="auto"/>
              <w:right w:val="single" w:sz="2" w:space="0" w:color="auto"/>
            </w:tcBorders>
            <w:hideMark/>
          </w:tcPr>
          <w:p w14:paraId="02ADED3B"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93.9</w:t>
            </w:r>
          </w:p>
        </w:tc>
        <w:tc>
          <w:tcPr>
            <w:tcW w:w="551" w:type="pct"/>
            <w:tcBorders>
              <w:top w:val="single" w:sz="2" w:space="0" w:color="auto"/>
              <w:left w:val="single" w:sz="2" w:space="0" w:color="auto"/>
              <w:bottom w:val="single" w:sz="2" w:space="0" w:color="auto"/>
              <w:right w:val="single" w:sz="2" w:space="0" w:color="auto"/>
            </w:tcBorders>
            <w:hideMark/>
          </w:tcPr>
          <w:p w14:paraId="65729FB6"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79.8</w:t>
            </w:r>
          </w:p>
        </w:tc>
        <w:tc>
          <w:tcPr>
            <w:tcW w:w="653" w:type="pct"/>
            <w:tcBorders>
              <w:top w:val="single" w:sz="2" w:space="0" w:color="auto"/>
              <w:left w:val="single" w:sz="2" w:space="0" w:color="auto"/>
              <w:bottom w:val="single" w:sz="2" w:space="0" w:color="auto"/>
              <w:right w:val="single" w:sz="2" w:space="0" w:color="auto"/>
            </w:tcBorders>
            <w:hideMark/>
          </w:tcPr>
          <w:p w14:paraId="7965FA8F"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99.3</w:t>
            </w:r>
          </w:p>
        </w:tc>
      </w:tr>
      <w:tr w:rsidR="00F01C00" w:rsidRPr="00986187" w14:paraId="4EE55A37" w14:textId="77777777" w:rsidTr="00791EE2">
        <w:trPr>
          <w:cantSplit/>
        </w:trPr>
        <w:tc>
          <w:tcPr>
            <w:tcW w:w="2315" w:type="pct"/>
            <w:tcBorders>
              <w:top w:val="single" w:sz="2" w:space="0" w:color="auto"/>
              <w:left w:val="single" w:sz="2" w:space="0" w:color="auto"/>
              <w:bottom w:val="single" w:sz="2" w:space="0" w:color="auto"/>
              <w:right w:val="single" w:sz="2" w:space="0" w:color="auto"/>
            </w:tcBorders>
            <w:hideMark/>
          </w:tcPr>
          <w:p w14:paraId="31446418" w14:textId="69FD35F5"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 xml:space="preserve">Ispitanici ≥ 10 </w:t>
            </w:r>
            <w:proofErr w:type="spellStart"/>
            <w:r w:rsidR="00735461" w:rsidRPr="00986187">
              <w:rPr>
                <w:rFonts w:ascii="Times New Roman" w:hAnsi="Times New Roman"/>
                <w:sz w:val="22"/>
                <w:szCs w:val="22"/>
                <w:lang w:val="sr-Latn-ME"/>
              </w:rPr>
              <w:t>mIJ</w:t>
            </w:r>
            <w:proofErr w:type="spellEnd"/>
            <w:r w:rsidR="00735461" w:rsidRPr="00986187">
              <w:rPr>
                <w:rFonts w:ascii="Times New Roman" w:hAnsi="Times New Roman"/>
                <w:sz w:val="22"/>
                <w:szCs w:val="22"/>
                <w:lang w:val="sr-Latn-ME"/>
              </w:rPr>
              <w:t>/ml</w:t>
            </w:r>
          </w:p>
        </w:tc>
        <w:tc>
          <w:tcPr>
            <w:tcW w:w="507" w:type="pct"/>
            <w:tcBorders>
              <w:top w:val="single" w:sz="2" w:space="0" w:color="auto"/>
              <w:left w:val="single" w:sz="2" w:space="0" w:color="auto"/>
              <w:bottom w:val="single" w:sz="2" w:space="0" w:color="auto"/>
              <w:right w:val="single" w:sz="2" w:space="0" w:color="auto"/>
            </w:tcBorders>
            <w:hideMark/>
          </w:tcPr>
          <w:p w14:paraId="27C0BEB1"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39</w:t>
            </w:r>
          </w:p>
        </w:tc>
        <w:tc>
          <w:tcPr>
            <w:tcW w:w="470" w:type="pct"/>
            <w:tcBorders>
              <w:top w:val="single" w:sz="2" w:space="0" w:color="auto"/>
              <w:left w:val="single" w:sz="2" w:space="0" w:color="auto"/>
              <w:bottom w:val="single" w:sz="2" w:space="0" w:color="auto"/>
              <w:right w:val="single" w:sz="2" w:space="0" w:color="auto"/>
            </w:tcBorders>
            <w:hideMark/>
          </w:tcPr>
          <w:p w14:paraId="28605B34"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39</w:t>
            </w:r>
          </w:p>
        </w:tc>
        <w:tc>
          <w:tcPr>
            <w:tcW w:w="504" w:type="pct"/>
            <w:tcBorders>
              <w:top w:val="single" w:sz="2" w:space="0" w:color="auto"/>
              <w:left w:val="single" w:sz="2" w:space="0" w:color="auto"/>
              <w:bottom w:val="single" w:sz="2" w:space="0" w:color="auto"/>
              <w:right w:val="single" w:sz="2" w:space="0" w:color="auto"/>
            </w:tcBorders>
            <w:hideMark/>
          </w:tcPr>
          <w:p w14:paraId="139797A2"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100</w:t>
            </w:r>
          </w:p>
        </w:tc>
        <w:tc>
          <w:tcPr>
            <w:tcW w:w="551" w:type="pct"/>
            <w:tcBorders>
              <w:top w:val="single" w:sz="2" w:space="0" w:color="auto"/>
              <w:left w:val="single" w:sz="2" w:space="0" w:color="auto"/>
              <w:bottom w:val="single" w:sz="2" w:space="0" w:color="auto"/>
              <w:right w:val="single" w:sz="2" w:space="0" w:color="auto"/>
            </w:tcBorders>
            <w:hideMark/>
          </w:tcPr>
          <w:p w14:paraId="39A0EF1A"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91.0</w:t>
            </w:r>
          </w:p>
        </w:tc>
        <w:tc>
          <w:tcPr>
            <w:tcW w:w="653" w:type="pct"/>
            <w:tcBorders>
              <w:top w:val="single" w:sz="2" w:space="0" w:color="auto"/>
              <w:left w:val="single" w:sz="2" w:space="0" w:color="auto"/>
              <w:bottom w:val="single" w:sz="2" w:space="0" w:color="auto"/>
              <w:right w:val="single" w:sz="2" w:space="0" w:color="auto"/>
            </w:tcBorders>
            <w:hideMark/>
          </w:tcPr>
          <w:p w14:paraId="6E019CB2"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100</w:t>
            </w:r>
          </w:p>
        </w:tc>
      </w:tr>
      <w:tr w:rsidR="00F01C00" w:rsidRPr="00986187" w14:paraId="5BA83297" w14:textId="77777777" w:rsidTr="0066785F">
        <w:trPr>
          <w:cantSplit/>
        </w:trPr>
        <w:tc>
          <w:tcPr>
            <w:tcW w:w="2315" w:type="pct"/>
            <w:tcBorders>
              <w:top w:val="nil"/>
              <w:left w:val="single" w:sz="2" w:space="0" w:color="auto"/>
              <w:bottom w:val="single" w:sz="4" w:space="0" w:color="auto"/>
              <w:right w:val="single" w:sz="2" w:space="0" w:color="auto"/>
            </w:tcBorders>
            <w:hideMark/>
          </w:tcPr>
          <w:p w14:paraId="4FC2CC11"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Ukupno</w:t>
            </w:r>
          </w:p>
        </w:tc>
        <w:tc>
          <w:tcPr>
            <w:tcW w:w="507" w:type="pct"/>
            <w:tcBorders>
              <w:top w:val="nil"/>
              <w:left w:val="single" w:sz="2" w:space="0" w:color="auto"/>
              <w:bottom w:val="single" w:sz="4" w:space="0" w:color="auto"/>
              <w:right w:val="single" w:sz="2" w:space="0" w:color="auto"/>
            </w:tcBorders>
            <w:hideMark/>
          </w:tcPr>
          <w:p w14:paraId="7F1B8B14"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72</w:t>
            </w:r>
          </w:p>
        </w:tc>
        <w:tc>
          <w:tcPr>
            <w:tcW w:w="470" w:type="pct"/>
            <w:tcBorders>
              <w:top w:val="nil"/>
              <w:left w:val="single" w:sz="2" w:space="0" w:color="auto"/>
              <w:bottom w:val="single" w:sz="4" w:space="0" w:color="auto"/>
              <w:right w:val="single" w:sz="2" w:space="0" w:color="auto"/>
            </w:tcBorders>
            <w:hideMark/>
          </w:tcPr>
          <w:p w14:paraId="5EB3757A"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70</w:t>
            </w:r>
          </w:p>
        </w:tc>
        <w:tc>
          <w:tcPr>
            <w:tcW w:w="504" w:type="pct"/>
            <w:tcBorders>
              <w:top w:val="nil"/>
              <w:left w:val="single" w:sz="2" w:space="0" w:color="auto"/>
              <w:bottom w:val="single" w:sz="4" w:space="0" w:color="auto"/>
              <w:right w:val="single" w:sz="2" w:space="0" w:color="auto"/>
            </w:tcBorders>
            <w:hideMark/>
          </w:tcPr>
          <w:p w14:paraId="25AEA2DD"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97.2</w:t>
            </w:r>
          </w:p>
        </w:tc>
        <w:tc>
          <w:tcPr>
            <w:tcW w:w="551" w:type="pct"/>
            <w:tcBorders>
              <w:top w:val="nil"/>
              <w:left w:val="single" w:sz="2" w:space="0" w:color="auto"/>
              <w:bottom w:val="single" w:sz="4" w:space="0" w:color="auto"/>
              <w:right w:val="single" w:sz="2" w:space="0" w:color="auto"/>
            </w:tcBorders>
            <w:hideMark/>
          </w:tcPr>
          <w:p w14:paraId="37AAAE16"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90.3</w:t>
            </w:r>
          </w:p>
        </w:tc>
        <w:tc>
          <w:tcPr>
            <w:tcW w:w="653" w:type="pct"/>
            <w:tcBorders>
              <w:top w:val="nil"/>
              <w:left w:val="single" w:sz="2" w:space="0" w:color="auto"/>
              <w:bottom w:val="single" w:sz="4" w:space="0" w:color="auto"/>
              <w:right w:val="single" w:sz="2" w:space="0" w:color="auto"/>
            </w:tcBorders>
            <w:hideMark/>
          </w:tcPr>
          <w:p w14:paraId="29E54581" w14:textId="77777777" w:rsidR="00F01C00" w:rsidRPr="00986187" w:rsidRDefault="00F01C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99.7</w:t>
            </w:r>
          </w:p>
        </w:tc>
      </w:tr>
      <w:tr w:rsidR="00113500" w:rsidRPr="00986187" w14:paraId="26E027B7" w14:textId="77777777" w:rsidTr="009C74CF">
        <w:trPr>
          <w:cantSplit/>
        </w:trPr>
        <w:tc>
          <w:tcPr>
            <w:tcW w:w="5000" w:type="pct"/>
            <w:gridSpan w:val="6"/>
            <w:tcBorders>
              <w:top w:val="single" w:sz="4" w:space="0" w:color="auto"/>
              <w:left w:val="single" w:sz="4" w:space="0" w:color="auto"/>
              <w:bottom w:val="single" w:sz="4" w:space="0" w:color="auto"/>
              <w:right w:val="single" w:sz="4" w:space="0" w:color="auto"/>
            </w:tcBorders>
          </w:tcPr>
          <w:p w14:paraId="6929DEC6" w14:textId="77777777" w:rsidR="00113500" w:rsidRPr="00986187" w:rsidRDefault="00113500" w:rsidP="00F3153C">
            <w:pPr>
              <w:widowControl w:val="0"/>
              <w:jc w:val="both"/>
              <w:rPr>
                <w:sz w:val="22"/>
                <w:szCs w:val="22"/>
                <w:lang w:val="sr-Latn-ME"/>
              </w:rPr>
            </w:pPr>
            <w:proofErr w:type="spellStart"/>
            <w:r w:rsidRPr="00986187">
              <w:rPr>
                <w:sz w:val="22"/>
                <w:szCs w:val="22"/>
                <w:lang w:val="sr-Latn-ME"/>
              </w:rPr>
              <w:t>Stratifikacija</w:t>
            </w:r>
            <w:proofErr w:type="spellEnd"/>
            <w:r w:rsidRPr="00986187">
              <w:rPr>
                <w:sz w:val="22"/>
                <w:szCs w:val="22"/>
                <w:lang w:val="sr-Latn-ME"/>
              </w:rPr>
              <w:t xml:space="preserve"> na osnovu posljednjeg </w:t>
            </w:r>
            <w:proofErr w:type="spellStart"/>
            <w:r w:rsidRPr="00986187">
              <w:rPr>
                <w:sz w:val="22"/>
                <w:szCs w:val="22"/>
                <w:lang w:val="sr-Latn-ME"/>
              </w:rPr>
              <w:t>zabilježenog</w:t>
            </w:r>
            <w:proofErr w:type="spellEnd"/>
            <w:r w:rsidRPr="00986187">
              <w:rPr>
                <w:sz w:val="22"/>
                <w:szCs w:val="22"/>
                <w:lang w:val="sr-Latn-ME"/>
              </w:rPr>
              <w:t xml:space="preserve"> mjerenja prije revakcinacije:</w:t>
            </w:r>
          </w:p>
          <w:p w14:paraId="06543A3C" w14:textId="1023FC18" w:rsidR="00113500" w:rsidRPr="00986187" w:rsidRDefault="00113500" w:rsidP="00F3153C">
            <w:pPr>
              <w:widowControl w:val="0"/>
              <w:numPr>
                <w:ilvl w:val="0"/>
                <w:numId w:val="14"/>
              </w:numPr>
              <w:tabs>
                <w:tab w:val="left" w:pos="284"/>
              </w:tabs>
              <w:ind w:left="284" w:hanging="142"/>
              <w:jc w:val="both"/>
              <w:rPr>
                <w:sz w:val="22"/>
                <w:szCs w:val="22"/>
                <w:lang w:val="sr-Latn-ME"/>
              </w:rPr>
            </w:pPr>
            <w:r w:rsidRPr="00986187">
              <w:rPr>
                <w:sz w:val="22"/>
                <w:szCs w:val="22"/>
                <w:lang w:val="sr-Latn-ME"/>
              </w:rPr>
              <w:t xml:space="preserve">ispitanici &lt;10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 ispitanici sa koncentracijom antitijela &lt;10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prije doze </w:t>
            </w:r>
            <w:proofErr w:type="spellStart"/>
            <w:r w:rsidRPr="00986187">
              <w:rPr>
                <w:sz w:val="22"/>
                <w:szCs w:val="22"/>
                <w:lang w:val="sr-Latn-ME"/>
              </w:rPr>
              <w:t>revakcine</w:t>
            </w:r>
            <w:proofErr w:type="spellEnd"/>
          </w:p>
          <w:p w14:paraId="684ABD47" w14:textId="1C52AAD0" w:rsidR="00113500" w:rsidRPr="00986187" w:rsidRDefault="00113500" w:rsidP="00F3153C">
            <w:pPr>
              <w:widowControl w:val="0"/>
              <w:numPr>
                <w:ilvl w:val="0"/>
                <w:numId w:val="14"/>
              </w:numPr>
              <w:tabs>
                <w:tab w:val="left" w:pos="284"/>
              </w:tabs>
              <w:ind w:left="284" w:hanging="142"/>
              <w:jc w:val="both"/>
              <w:rPr>
                <w:sz w:val="22"/>
                <w:szCs w:val="22"/>
                <w:lang w:val="sr-Latn-ME"/>
              </w:rPr>
            </w:pPr>
            <w:r w:rsidRPr="00986187">
              <w:rPr>
                <w:sz w:val="22"/>
                <w:szCs w:val="22"/>
                <w:lang w:val="sr-Latn-ME"/>
              </w:rPr>
              <w:t xml:space="preserve">ispitanici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 ispitanici sa koncentracijom antitijela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prije doze </w:t>
            </w:r>
            <w:proofErr w:type="spellStart"/>
            <w:r w:rsidRPr="00986187">
              <w:rPr>
                <w:sz w:val="22"/>
                <w:szCs w:val="22"/>
                <w:lang w:val="sr-Latn-ME"/>
              </w:rPr>
              <w:t>revakcine</w:t>
            </w:r>
            <w:proofErr w:type="spellEnd"/>
          </w:p>
          <w:p w14:paraId="164C3073" w14:textId="77777777" w:rsidR="00113500" w:rsidRPr="00986187" w:rsidRDefault="00113500" w:rsidP="00F3153C">
            <w:pPr>
              <w:widowControl w:val="0"/>
              <w:tabs>
                <w:tab w:val="left" w:pos="284"/>
              </w:tabs>
              <w:jc w:val="both"/>
              <w:rPr>
                <w:sz w:val="22"/>
                <w:szCs w:val="22"/>
                <w:lang w:val="sr-Latn-ME"/>
              </w:rPr>
            </w:pPr>
            <w:proofErr w:type="spellStart"/>
            <w:r w:rsidRPr="00986187">
              <w:rPr>
                <w:sz w:val="22"/>
                <w:szCs w:val="22"/>
                <w:lang w:val="sr-Latn-ME"/>
              </w:rPr>
              <w:t>Anamnestički</w:t>
            </w:r>
            <w:proofErr w:type="spellEnd"/>
            <w:r w:rsidRPr="00986187">
              <w:rPr>
                <w:sz w:val="22"/>
                <w:szCs w:val="22"/>
                <w:lang w:val="sr-Latn-ME"/>
              </w:rPr>
              <w:t xml:space="preserve"> odgovor je definisan kao: </w:t>
            </w:r>
          </w:p>
          <w:p w14:paraId="03EB7596" w14:textId="2A6FB2A6" w:rsidR="00113500" w:rsidRPr="00986187" w:rsidRDefault="00113500" w:rsidP="00F3153C">
            <w:pPr>
              <w:widowControl w:val="0"/>
              <w:numPr>
                <w:ilvl w:val="0"/>
                <w:numId w:val="15"/>
              </w:numPr>
              <w:tabs>
                <w:tab w:val="left" w:pos="284"/>
              </w:tabs>
              <w:ind w:left="284" w:hanging="142"/>
              <w:jc w:val="both"/>
              <w:rPr>
                <w:sz w:val="22"/>
                <w:szCs w:val="22"/>
                <w:lang w:val="sr-Latn-ME"/>
              </w:rPr>
            </w:pPr>
            <w:r w:rsidRPr="00986187">
              <w:rPr>
                <w:sz w:val="22"/>
                <w:szCs w:val="22"/>
                <w:lang w:val="sr-Latn-ME"/>
              </w:rPr>
              <w:t>koncentracija anti-</w:t>
            </w:r>
            <w:proofErr w:type="spellStart"/>
            <w:r w:rsidRPr="00986187">
              <w:rPr>
                <w:sz w:val="22"/>
                <w:szCs w:val="22"/>
                <w:lang w:val="sr-Latn-ME"/>
              </w:rPr>
              <w:t>HBs</w:t>
            </w:r>
            <w:proofErr w:type="spellEnd"/>
            <w:r w:rsidRPr="00986187">
              <w:rPr>
                <w:sz w:val="22"/>
                <w:szCs w:val="22"/>
                <w:lang w:val="sr-Latn-ME"/>
              </w:rPr>
              <w:t xml:space="preserve"> antitijela  ≥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kod ispitanika koji su bili </w:t>
            </w:r>
            <w:proofErr w:type="spellStart"/>
            <w:r w:rsidRPr="00986187">
              <w:rPr>
                <w:sz w:val="22"/>
                <w:szCs w:val="22"/>
                <w:lang w:val="sr-Latn-ME"/>
              </w:rPr>
              <w:t>seronegativni</w:t>
            </w:r>
            <w:proofErr w:type="spellEnd"/>
            <w:r w:rsidRPr="00986187">
              <w:rPr>
                <w:sz w:val="22"/>
                <w:szCs w:val="22"/>
                <w:lang w:val="sr-Latn-ME"/>
              </w:rPr>
              <w:t xml:space="preserve"> prije doze </w:t>
            </w:r>
            <w:proofErr w:type="spellStart"/>
            <w:r w:rsidRPr="00986187">
              <w:rPr>
                <w:sz w:val="22"/>
                <w:szCs w:val="22"/>
                <w:lang w:val="sr-Latn-ME"/>
              </w:rPr>
              <w:t>revakcine</w:t>
            </w:r>
            <w:proofErr w:type="spellEnd"/>
            <w:r w:rsidRPr="00986187">
              <w:rPr>
                <w:sz w:val="22"/>
                <w:szCs w:val="22"/>
                <w:lang w:val="sr-Latn-ME"/>
              </w:rPr>
              <w:t>, ili</w:t>
            </w:r>
          </w:p>
          <w:p w14:paraId="7B0AABBE" w14:textId="77777777" w:rsidR="00113500" w:rsidRPr="00986187" w:rsidRDefault="00113500" w:rsidP="00F3153C">
            <w:pPr>
              <w:widowControl w:val="0"/>
              <w:numPr>
                <w:ilvl w:val="0"/>
                <w:numId w:val="15"/>
              </w:numPr>
              <w:tabs>
                <w:tab w:val="left" w:pos="284"/>
              </w:tabs>
              <w:ind w:left="284" w:hanging="142"/>
              <w:jc w:val="both"/>
              <w:rPr>
                <w:sz w:val="22"/>
                <w:szCs w:val="22"/>
                <w:lang w:val="sr-Latn-ME"/>
              </w:rPr>
            </w:pPr>
            <w:r w:rsidRPr="00986187">
              <w:rPr>
                <w:sz w:val="22"/>
                <w:szCs w:val="22"/>
                <w:lang w:val="sr-Latn-ME"/>
              </w:rPr>
              <w:t>Porast u koncentraciji anti-</w:t>
            </w:r>
            <w:proofErr w:type="spellStart"/>
            <w:r w:rsidRPr="00986187">
              <w:rPr>
                <w:sz w:val="22"/>
                <w:szCs w:val="22"/>
                <w:lang w:val="sr-Latn-ME"/>
              </w:rPr>
              <w:t>HBs</w:t>
            </w:r>
            <w:proofErr w:type="spellEnd"/>
            <w:r w:rsidRPr="00986187">
              <w:rPr>
                <w:sz w:val="22"/>
                <w:szCs w:val="22"/>
                <w:lang w:val="sr-Latn-ME"/>
              </w:rPr>
              <w:t xml:space="preserve"> antitijela najmanje četiri puta kod ispitanika koji su bili </w:t>
            </w:r>
            <w:proofErr w:type="spellStart"/>
            <w:r w:rsidRPr="00986187">
              <w:rPr>
                <w:sz w:val="22"/>
                <w:szCs w:val="22"/>
                <w:lang w:val="sr-Latn-ME"/>
              </w:rPr>
              <w:t>seropozitivni</w:t>
            </w:r>
            <w:proofErr w:type="spellEnd"/>
            <w:r w:rsidRPr="00986187">
              <w:rPr>
                <w:sz w:val="22"/>
                <w:szCs w:val="22"/>
                <w:lang w:val="sr-Latn-ME"/>
              </w:rPr>
              <w:t xml:space="preserve"> prije doze </w:t>
            </w:r>
            <w:proofErr w:type="spellStart"/>
            <w:r w:rsidRPr="00986187">
              <w:rPr>
                <w:sz w:val="22"/>
                <w:szCs w:val="22"/>
                <w:lang w:val="sr-Latn-ME"/>
              </w:rPr>
              <w:t>revakcine</w:t>
            </w:r>
            <w:proofErr w:type="spellEnd"/>
            <w:r w:rsidRPr="00986187">
              <w:rPr>
                <w:sz w:val="22"/>
                <w:szCs w:val="22"/>
                <w:lang w:val="sr-Latn-ME"/>
              </w:rPr>
              <w:t xml:space="preserve"> </w:t>
            </w:r>
          </w:p>
          <w:p w14:paraId="636B9753" w14:textId="77777777" w:rsidR="00113500" w:rsidRPr="00986187" w:rsidRDefault="00113500" w:rsidP="00F3153C">
            <w:pPr>
              <w:widowControl w:val="0"/>
              <w:tabs>
                <w:tab w:val="left" w:pos="284"/>
              </w:tabs>
              <w:jc w:val="both"/>
              <w:rPr>
                <w:sz w:val="22"/>
                <w:szCs w:val="22"/>
                <w:lang w:val="sr-Latn-ME"/>
              </w:rPr>
            </w:pPr>
            <w:r w:rsidRPr="00986187">
              <w:rPr>
                <w:sz w:val="22"/>
                <w:szCs w:val="22"/>
                <w:lang w:val="sr-Latn-ME"/>
              </w:rPr>
              <w:t>N = broj ispitanika sa raspoloživim rezultatima prije i poslije vakcinacije</w:t>
            </w:r>
          </w:p>
          <w:p w14:paraId="31993C5F" w14:textId="77777777" w:rsidR="00113500" w:rsidRPr="00986187" w:rsidRDefault="00113500" w:rsidP="00F3153C">
            <w:pPr>
              <w:widowControl w:val="0"/>
              <w:jc w:val="both"/>
              <w:rPr>
                <w:sz w:val="22"/>
                <w:szCs w:val="22"/>
                <w:lang w:val="sr-Latn-ME"/>
              </w:rPr>
            </w:pPr>
            <w:r w:rsidRPr="00986187">
              <w:rPr>
                <w:sz w:val="22"/>
                <w:szCs w:val="22"/>
                <w:lang w:val="sr-Latn-ME"/>
              </w:rPr>
              <w:t>n = broj ispitanika</w:t>
            </w:r>
          </w:p>
          <w:p w14:paraId="5EADCD98" w14:textId="77777777" w:rsidR="00113500" w:rsidRPr="00986187" w:rsidRDefault="00113500" w:rsidP="00F3153C">
            <w:pPr>
              <w:widowControl w:val="0"/>
              <w:jc w:val="both"/>
              <w:rPr>
                <w:sz w:val="22"/>
                <w:szCs w:val="22"/>
                <w:lang w:val="sr-Latn-ME"/>
              </w:rPr>
            </w:pPr>
            <w:r w:rsidRPr="00986187">
              <w:rPr>
                <w:sz w:val="22"/>
                <w:szCs w:val="22"/>
                <w:lang w:val="sr-Latn-ME"/>
              </w:rPr>
              <w:t>% = procenat ispitanika</w:t>
            </w:r>
          </w:p>
          <w:p w14:paraId="4531E9B9" w14:textId="393FE2E9" w:rsidR="00113500" w:rsidRPr="00986187" w:rsidRDefault="00113500" w:rsidP="00F3153C">
            <w:pPr>
              <w:widowControl w:val="0"/>
              <w:jc w:val="both"/>
              <w:rPr>
                <w:sz w:val="22"/>
                <w:szCs w:val="22"/>
                <w:lang w:val="sr-Latn-ME"/>
              </w:rPr>
            </w:pPr>
            <w:r w:rsidRPr="00986187">
              <w:rPr>
                <w:sz w:val="22"/>
                <w:szCs w:val="22"/>
                <w:lang w:val="sr-Latn-ME"/>
              </w:rPr>
              <w:t>95% CI = tačno 95% interval povjerenja; LL = donja granica, UL = gornja granica</w:t>
            </w:r>
          </w:p>
        </w:tc>
      </w:tr>
      <w:tr w:rsidR="00F01C00" w:rsidRPr="00986187" w14:paraId="2D201256" w14:textId="77777777" w:rsidTr="009C74CF">
        <w:trPr>
          <w:cantSplit/>
        </w:trPr>
        <w:tc>
          <w:tcPr>
            <w:tcW w:w="5000" w:type="pct"/>
            <w:gridSpan w:val="6"/>
            <w:tcBorders>
              <w:top w:val="single" w:sz="4" w:space="0" w:color="auto"/>
              <w:left w:val="single" w:sz="2" w:space="0" w:color="auto"/>
              <w:bottom w:val="single" w:sz="2" w:space="0" w:color="auto"/>
              <w:right w:val="single" w:sz="2" w:space="0" w:color="auto"/>
            </w:tcBorders>
            <w:hideMark/>
          </w:tcPr>
          <w:p w14:paraId="5EA9A4B1" w14:textId="77777777" w:rsidR="00F01C00" w:rsidRPr="00986187" w:rsidRDefault="00F01C00" w:rsidP="00F3153C">
            <w:pPr>
              <w:pStyle w:val="tabletextNS"/>
              <w:widowControl w:val="0"/>
              <w:jc w:val="both"/>
              <w:rPr>
                <w:rFonts w:ascii="Times New Roman" w:hAnsi="Times New Roman"/>
                <w:sz w:val="22"/>
                <w:szCs w:val="22"/>
                <w:lang w:val="sr-Latn-ME"/>
              </w:rPr>
            </w:pPr>
          </w:p>
        </w:tc>
      </w:tr>
    </w:tbl>
    <w:p w14:paraId="7B5EF07B" w14:textId="77777777" w:rsidR="00F01C00" w:rsidRPr="00986187" w:rsidRDefault="00F01C00" w:rsidP="00F3153C">
      <w:pPr>
        <w:widowControl w:val="0"/>
        <w:jc w:val="both"/>
        <w:rPr>
          <w:sz w:val="22"/>
          <w:szCs w:val="22"/>
          <w:lang w:val="sr-Latn-ME"/>
        </w:rPr>
      </w:pPr>
    </w:p>
    <w:p w14:paraId="0AC998E4" w14:textId="77777777" w:rsidR="002A0D9C" w:rsidRPr="00986187" w:rsidRDefault="002A0D9C" w:rsidP="00F3153C">
      <w:pPr>
        <w:pStyle w:val="ListParagraph"/>
        <w:widowControl w:val="0"/>
        <w:numPr>
          <w:ilvl w:val="0"/>
          <w:numId w:val="18"/>
        </w:numPr>
        <w:jc w:val="both"/>
        <w:rPr>
          <w:sz w:val="22"/>
          <w:szCs w:val="22"/>
          <w:u w:val="single"/>
          <w:lang w:val="sr-Latn-ME"/>
        </w:rPr>
      </w:pPr>
      <w:r w:rsidRPr="00986187">
        <w:rPr>
          <w:sz w:val="22"/>
          <w:szCs w:val="22"/>
          <w:u w:val="single"/>
          <w:lang w:val="sr-Latn-ME"/>
        </w:rPr>
        <w:t>Opšta pedijatrijska populacija</w:t>
      </w:r>
    </w:p>
    <w:p w14:paraId="3A6D3CAB" w14:textId="77777777" w:rsidR="00113500" w:rsidRPr="00986187" w:rsidRDefault="00113500" w:rsidP="00F3153C">
      <w:pPr>
        <w:pStyle w:val="ListParagraph"/>
        <w:widowControl w:val="0"/>
        <w:jc w:val="both"/>
        <w:rPr>
          <w:sz w:val="22"/>
          <w:szCs w:val="22"/>
          <w:u w:val="single"/>
          <w:lang w:val="sr-Latn-ME"/>
        </w:rPr>
      </w:pPr>
    </w:p>
    <w:p w14:paraId="043C89C3" w14:textId="6D0126B8" w:rsidR="00F01C00" w:rsidRPr="00986187" w:rsidRDefault="00113500" w:rsidP="00F3153C">
      <w:pPr>
        <w:pStyle w:val="ListParagraph"/>
        <w:widowControl w:val="0"/>
        <w:numPr>
          <w:ilvl w:val="0"/>
          <w:numId w:val="15"/>
        </w:numPr>
        <w:jc w:val="both"/>
        <w:rPr>
          <w:sz w:val="22"/>
          <w:szCs w:val="22"/>
          <w:lang w:val="sr-Latn-ME"/>
        </w:rPr>
      </w:pPr>
      <w:r w:rsidRPr="00986187">
        <w:rPr>
          <w:sz w:val="22"/>
          <w:szCs w:val="22"/>
          <w:lang w:val="sr-Latn-ME"/>
        </w:rPr>
        <w:t xml:space="preserve"> Stope </w:t>
      </w:r>
      <w:proofErr w:type="spellStart"/>
      <w:r w:rsidRPr="00986187">
        <w:rPr>
          <w:sz w:val="22"/>
          <w:szCs w:val="22"/>
          <w:lang w:val="sr-Latn-ME"/>
        </w:rPr>
        <w:t>serološke</w:t>
      </w:r>
      <w:proofErr w:type="spellEnd"/>
      <w:r w:rsidRPr="00986187">
        <w:rPr>
          <w:sz w:val="22"/>
          <w:szCs w:val="22"/>
          <w:lang w:val="sr-Latn-ME"/>
        </w:rPr>
        <w:t xml:space="preserve"> zaštite kod zdravih ispitanika </w:t>
      </w:r>
      <w:r w:rsidR="00F01C00" w:rsidRPr="00986187">
        <w:rPr>
          <w:sz w:val="22"/>
          <w:szCs w:val="22"/>
          <w:lang w:val="sr-Latn-ME"/>
        </w:rPr>
        <w:t>uzrasta do</w:t>
      </w:r>
      <w:r w:rsidR="006C2547" w:rsidRPr="00986187">
        <w:rPr>
          <w:sz w:val="22"/>
          <w:szCs w:val="22"/>
          <w:lang w:val="sr-Latn-ME"/>
        </w:rPr>
        <w:t>, uključujući i</w:t>
      </w:r>
      <w:r w:rsidR="00F01C00" w:rsidRPr="00986187">
        <w:rPr>
          <w:sz w:val="22"/>
          <w:szCs w:val="22"/>
          <w:lang w:val="sr-Latn-ME"/>
        </w:rPr>
        <w:t xml:space="preserve"> 15 godin</w:t>
      </w:r>
      <w:r w:rsidR="006C2547" w:rsidRPr="00986187">
        <w:rPr>
          <w:sz w:val="22"/>
          <w:szCs w:val="22"/>
          <w:lang w:val="sr-Latn-ME"/>
        </w:rPr>
        <w:t>a</w:t>
      </w:r>
    </w:p>
    <w:p w14:paraId="217DA0AF" w14:textId="77777777" w:rsidR="00F01C00" w:rsidRPr="00986187" w:rsidRDefault="00F01C00" w:rsidP="00F3153C">
      <w:pPr>
        <w:widowControl w:val="0"/>
        <w:jc w:val="both"/>
        <w:rPr>
          <w:sz w:val="22"/>
          <w:szCs w:val="22"/>
          <w:lang w:val="sr-Latn-ME"/>
        </w:rPr>
      </w:pPr>
    </w:p>
    <w:p w14:paraId="6B8A1ECE" w14:textId="4E2E3628" w:rsidR="00F01C00" w:rsidRPr="00986187" w:rsidRDefault="00F01C00" w:rsidP="00F3153C">
      <w:pPr>
        <w:widowControl w:val="0"/>
        <w:jc w:val="both"/>
        <w:rPr>
          <w:sz w:val="22"/>
          <w:szCs w:val="22"/>
          <w:lang w:val="sr-Latn-ME"/>
        </w:rPr>
      </w:pPr>
      <w:r w:rsidRPr="00986187">
        <w:rPr>
          <w:sz w:val="22"/>
          <w:szCs w:val="22"/>
          <w:lang w:val="sr-Latn-ME"/>
        </w:rPr>
        <w:t xml:space="preserve">U tabeli datoj u daljem tekstu, prikazan je rezultat stepena </w:t>
      </w:r>
      <w:proofErr w:type="spellStart"/>
      <w:r w:rsidRPr="00986187">
        <w:rPr>
          <w:sz w:val="22"/>
          <w:szCs w:val="22"/>
          <w:lang w:val="sr-Latn-ME"/>
        </w:rPr>
        <w:t>seroprotekcije</w:t>
      </w:r>
      <w:proofErr w:type="spellEnd"/>
      <w:r w:rsidRPr="00986187">
        <w:rPr>
          <w:sz w:val="22"/>
          <w:szCs w:val="22"/>
          <w:lang w:val="sr-Latn-ME"/>
        </w:rPr>
        <w:t xml:space="preserve"> (procenat osoba sa koncentracijom anti-</w:t>
      </w:r>
      <w:proofErr w:type="spellStart"/>
      <w:r w:rsidRPr="00986187">
        <w:rPr>
          <w:sz w:val="22"/>
          <w:szCs w:val="22"/>
          <w:lang w:val="sr-Latn-ME"/>
        </w:rPr>
        <w:t>HBs</w:t>
      </w:r>
      <w:proofErr w:type="spellEnd"/>
      <w:r w:rsidRPr="00986187">
        <w:rPr>
          <w:sz w:val="22"/>
          <w:szCs w:val="22"/>
          <w:lang w:val="sr-Latn-ME"/>
        </w:rPr>
        <w:t xml:space="preserve"> antitijela ≥ 10</w:t>
      </w:r>
      <w:r w:rsidR="00113500" w:rsidRPr="00986187">
        <w:rPr>
          <w:sz w:val="22"/>
          <w:szCs w:val="22"/>
          <w:lang w:val="sr-Latn-ME"/>
        </w:rPr>
        <w:t xml:space="preserve">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dobijen iz kliničkih studija nakon primjene vakcine prema različitim šemama pomenutim u </w:t>
      </w:r>
      <w:r w:rsidR="006C2547" w:rsidRPr="00986187">
        <w:rPr>
          <w:sz w:val="22"/>
          <w:szCs w:val="22"/>
          <w:lang w:val="sr-Latn-ME"/>
        </w:rPr>
        <w:t xml:space="preserve">dijelu </w:t>
      </w:r>
      <w:r w:rsidRPr="00986187">
        <w:rPr>
          <w:sz w:val="22"/>
          <w:szCs w:val="22"/>
          <w:lang w:val="sr-Latn-ME"/>
        </w:rPr>
        <w:t>4.2.</w:t>
      </w:r>
    </w:p>
    <w:p w14:paraId="2CCCBEBF" w14:textId="77777777" w:rsidR="00F01C00" w:rsidRPr="00986187" w:rsidRDefault="00F01C00" w:rsidP="00F3153C">
      <w:pPr>
        <w:widowControl w:val="0"/>
        <w:jc w:val="both"/>
        <w:rPr>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7"/>
        <w:gridCol w:w="2952"/>
        <w:gridCol w:w="3163"/>
      </w:tblGrid>
      <w:tr w:rsidR="00F01C00" w:rsidRPr="00986187" w14:paraId="038DD713" w14:textId="77777777" w:rsidTr="00DF0D23">
        <w:tc>
          <w:tcPr>
            <w:tcW w:w="2957" w:type="dxa"/>
            <w:shd w:val="clear" w:color="auto" w:fill="F2F2F2"/>
          </w:tcPr>
          <w:p w14:paraId="45BE6D3E" w14:textId="77777777" w:rsidR="00F01C00" w:rsidRPr="00986187" w:rsidRDefault="00F01C00" w:rsidP="00F3153C">
            <w:pPr>
              <w:widowControl w:val="0"/>
              <w:jc w:val="both"/>
              <w:rPr>
                <w:sz w:val="22"/>
                <w:szCs w:val="22"/>
                <w:lang w:val="sr-Latn-ME"/>
              </w:rPr>
            </w:pPr>
            <w:r w:rsidRPr="00986187">
              <w:rPr>
                <w:sz w:val="22"/>
                <w:szCs w:val="22"/>
                <w:lang w:val="sr-Latn-ME"/>
              </w:rPr>
              <w:t>Populacija</w:t>
            </w:r>
          </w:p>
        </w:tc>
        <w:tc>
          <w:tcPr>
            <w:tcW w:w="2952" w:type="dxa"/>
            <w:shd w:val="clear" w:color="auto" w:fill="F2F2F2"/>
          </w:tcPr>
          <w:p w14:paraId="3571C4C8" w14:textId="77777777" w:rsidR="00F01C00" w:rsidRPr="00986187" w:rsidRDefault="00F01C00" w:rsidP="00F3153C">
            <w:pPr>
              <w:widowControl w:val="0"/>
              <w:jc w:val="both"/>
              <w:rPr>
                <w:sz w:val="22"/>
                <w:szCs w:val="22"/>
                <w:lang w:val="sr-Latn-ME"/>
              </w:rPr>
            </w:pPr>
            <w:r w:rsidRPr="00986187">
              <w:rPr>
                <w:sz w:val="22"/>
                <w:szCs w:val="22"/>
                <w:lang w:val="sr-Latn-ME"/>
              </w:rPr>
              <w:t>Šema</w:t>
            </w:r>
          </w:p>
        </w:tc>
        <w:tc>
          <w:tcPr>
            <w:tcW w:w="3163" w:type="dxa"/>
            <w:shd w:val="clear" w:color="auto" w:fill="F2F2F2"/>
          </w:tcPr>
          <w:p w14:paraId="6896FDA7" w14:textId="6BF87D81" w:rsidR="00F01C00" w:rsidRPr="00986187" w:rsidRDefault="00F01C00" w:rsidP="00F3153C">
            <w:pPr>
              <w:widowControl w:val="0"/>
              <w:jc w:val="both"/>
              <w:rPr>
                <w:sz w:val="22"/>
                <w:szCs w:val="22"/>
                <w:lang w:val="sr-Latn-ME"/>
              </w:rPr>
            </w:pPr>
            <w:r w:rsidRPr="00986187">
              <w:rPr>
                <w:sz w:val="22"/>
                <w:szCs w:val="22"/>
                <w:lang w:val="sr-Latn-ME"/>
              </w:rPr>
              <w:t xml:space="preserve">Stopa postignute </w:t>
            </w:r>
            <w:proofErr w:type="spellStart"/>
            <w:r w:rsidR="00380064" w:rsidRPr="00986187">
              <w:rPr>
                <w:sz w:val="22"/>
                <w:szCs w:val="22"/>
                <w:lang w:val="sr-Latn-ME"/>
              </w:rPr>
              <w:t>serološke</w:t>
            </w:r>
            <w:proofErr w:type="spellEnd"/>
            <w:r w:rsidR="00380064" w:rsidRPr="00986187">
              <w:rPr>
                <w:sz w:val="22"/>
                <w:szCs w:val="22"/>
                <w:lang w:val="sr-Latn-ME"/>
              </w:rPr>
              <w:t xml:space="preserve"> </w:t>
            </w:r>
            <w:r w:rsidRPr="00986187">
              <w:rPr>
                <w:sz w:val="22"/>
                <w:szCs w:val="22"/>
                <w:lang w:val="sr-Latn-ME"/>
              </w:rPr>
              <w:t>zaštite</w:t>
            </w:r>
          </w:p>
        </w:tc>
      </w:tr>
      <w:tr w:rsidR="00F01C00" w:rsidRPr="00986187" w14:paraId="6427255C" w14:textId="77777777" w:rsidTr="00DF0D23">
        <w:trPr>
          <w:trHeight w:val="413"/>
        </w:trPr>
        <w:tc>
          <w:tcPr>
            <w:tcW w:w="2957" w:type="dxa"/>
            <w:vMerge w:val="restart"/>
            <w:vAlign w:val="center"/>
          </w:tcPr>
          <w:p w14:paraId="73809A7D" w14:textId="3D862BC8" w:rsidR="00F01C00" w:rsidRPr="00986187" w:rsidRDefault="00F01C00" w:rsidP="00F3153C">
            <w:pPr>
              <w:widowControl w:val="0"/>
              <w:jc w:val="both"/>
              <w:rPr>
                <w:sz w:val="22"/>
                <w:szCs w:val="22"/>
                <w:lang w:val="sr-Latn-ME"/>
              </w:rPr>
            </w:pPr>
            <w:r w:rsidRPr="00986187">
              <w:rPr>
                <w:sz w:val="22"/>
                <w:szCs w:val="22"/>
                <w:lang w:val="sr-Latn-ME"/>
              </w:rPr>
              <w:t>Zdrave osobe uzrasta do</w:t>
            </w:r>
            <w:r w:rsidR="006C2547" w:rsidRPr="00986187">
              <w:rPr>
                <w:sz w:val="22"/>
                <w:szCs w:val="22"/>
                <w:lang w:val="sr-Latn-ME"/>
              </w:rPr>
              <w:t xml:space="preserve">, </w:t>
            </w:r>
            <w:r w:rsidRPr="00986187">
              <w:rPr>
                <w:sz w:val="22"/>
                <w:szCs w:val="22"/>
                <w:lang w:val="sr-Latn-ME"/>
              </w:rPr>
              <w:t>uključujući i 15</w:t>
            </w:r>
            <w:r w:rsidR="006C2547" w:rsidRPr="00986187">
              <w:rPr>
                <w:sz w:val="22"/>
                <w:szCs w:val="22"/>
                <w:lang w:val="sr-Latn-ME"/>
              </w:rPr>
              <w:t xml:space="preserve"> </w:t>
            </w:r>
            <w:r w:rsidRPr="00986187">
              <w:rPr>
                <w:sz w:val="22"/>
                <w:szCs w:val="22"/>
                <w:lang w:val="sr-Latn-ME"/>
              </w:rPr>
              <w:t>godin</w:t>
            </w:r>
            <w:r w:rsidR="006C2547" w:rsidRPr="00986187">
              <w:rPr>
                <w:sz w:val="22"/>
                <w:szCs w:val="22"/>
                <w:lang w:val="sr-Latn-ME"/>
              </w:rPr>
              <w:t>a</w:t>
            </w:r>
          </w:p>
        </w:tc>
        <w:tc>
          <w:tcPr>
            <w:tcW w:w="2952" w:type="dxa"/>
            <w:vAlign w:val="center"/>
          </w:tcPr>
          <w:p w14:paraId="27B39C28" w14:textId="77777777" w:rsidR="00F01C00" w:rsidRPr="00986187" w:rsidRDefault="00F01C00" w:rsidP="00F3153C">
            <w:pPr>
              <w:widowControl w:val="0"/>
              <w:jc w:val="both"/>
              <w:rPr>
                <w:sz w:val="22"/>
                <w:szCs w:val="22"/>
                <w:lang w:val="sr-Latn-ME"/>
              </w:rPr>
            </w:pPr>
            <w:r w:rsidRPr="00986187">
              <w:rPr>
                <w:sz w:val="22"/>
                <w:szCs w:val="22"/>
                <w:lang w:val="sr-Latn-ME"/>
              </w:rPr>
              <w:t xml:space="preserve">nulti, prvi i šesti mjesec </w:t>
            </w:r>
          </w:p>
        </w:tc>
        <w:tc>
          <w:tcPr>
            <w:tcW w:w="3163" w:type="dxa"/>
            <w:vAlign w:val="center"/>
          </w:tcPr>
          <w:p w14:paraId="307A6FFE" w14:textId="77777777" w:rsidR="00F01C00" w:rsidRPr="00986187" w:rsidRDefault="00F01C00" w:rsidP="00F3153C">
            <w:pPr>
              <w:widowControl w:val="0"/>
              <w:jc w:val="both"/>
              <w:rPr>
                <w:sz w:val="22"/>
                <w:szCs w:val="22"/>
                <w:lang w:val="sr-Latn-ME"/>
              </w:rPr>
            </w:pPr>
            <w:r w:rsidRPr="00986187">
              <w:rPr>
                <w:sz w:val="22"/>
                <w:szCs w:val="22"/>
                <w:lang w:val="sr-Latn-ME"/>
              </w:rPr>
              <w:t>7. mjesec: ≥ 96%</w:t>
            </w:r>
          </w:p>
        </w:tc>
      </w:tr>
      <w:tr w:rsidR="00F01C00" w:rsidRPr="00986187" w14:paraId="48AE9F1D" w14:textId="77777777" w:rsidTr="00DF0D23">
        <w:tc>
          <w:tcPr>
            <w:tcW w:w="2957" w:type="dxa"/>
            <w:vMerge/>
          </w:tcPr>
          <w:p w14:paraId="4CD11C34" w14:textId="77777777" w:rsidR="00F01C00" w:rsidRPr="00986187" w:rsidRDefault="00F01C00" w:rsidP="00F3153C">
            <w:pPr>
              <w:widowControl w:val="0"/>
              <w:jc w:val="both"/>
              <w:rPr>
                <w:sz w:val="22"/>
                <w:szCs w:val="22"/>
                <w:lang w:val="sr-Latn-ME"/>
              </w:rPr>
            </w:pPr>
          </w:p>
        </w:tc>
        <w:tc>
          <w:tcPr>
            <w:tcW w:w="2952" w:type="dxa"/>
            <w:vAlign w:val="center"/>
          </w:tcPr>
          <w:p w14:paraId="0D33D24E" w14:textId="77777777" w:rsidR="00F01C00" w:rsidRPr="00986187" w:rsidRDefault="00F01C00" w:rsidP="00F3153C">
            <w:pPr>
              <w:widowControl w:val="0"/>
              <w:jc w:val="both"/>
              <w:rPr>
                <w:sz w:val="22"/>
                <w:szCs w:val="22"/>
                <w:lang w:val="sr-Latn-ME"/>
              </w:rPr>
            </w:pPr>
            <w:r w:rsidRPr="00986187">
              <w:rPr>
                <w:sz w:val="22"/>
                <w:szCs w:val="22"/>
                <w:lang w:val="sr-Latn-ME"/>
              </w:rPr>
              <w:t>nulti, prvi, drugi i dvanaesti mjesec</w:t>
            </w:r>
          </w:p>
        </w:tc>
        <w:tc>
          <w:tcPr>
            <w:tcW w:w="3163" w:type="dxa"/>
            <w:vAlign w:val="center"/>
          </w:tcPr>
          <w:p w14:paraId="1817C4E4" w14:textId="77777777" w:rsidR="00F01C00" w:rsidRPr="00986187" w:rsidRDefault="00F01C00" w:rsidP="00F3153C">
            <w:pPr>
              <w:widowControl w:val="0"/>
              <w:jc w:val="both"/>
              <w:rPr>
                <w:sz w:val="22"/>
                <w:szCs w:val="22"/>
                <w:lang w:val="sr-Latn-ME"/>
              </w:rPr>
            </w:pPr>
            <w:r w:rsidRPr="00986187">
              <w:rPr>
                <w:sz w:val="22"/>
                <w:szCs w:val="22"/>
                <w:lang w:val="sr-Latn-ME"/>
              </w:rPr>
              <w:t>1. mjesec: 15%</w:t>
            </w:r>
          </w:p>
          <w:p w14:paraId="62E92E66" w14:textId="77777777" w:rsidR="00F01C00" w:rsidRPr="00986187" w:rsidRDefault="00F01C00" w:rsidP="00F3153C">
            <w:pPr>
              <w:widowControl w:val="0"/>
              <w:jc w:val="both"/>
              <w:rPr>
                <w:sz w:val="22"/>
                <w:szCs w:val="22"/>
                <w:lang w:val="sr-Latn-ME"/>
              </w:rPr>
            </w:pPr>
            <w:r w:rsidRPr="00986187">
              <w:rPr>
                <w:sz w:val="22"/>
                <w:szCs w:val="22"/>
                <w:lang w:val="sr-Latn-ME"/>
              </w:rPr>
              <w:t>3. mjesec: 89%</w:t>
            </w:r>
          </w:p>
          <w:p w14:paraId="26A5FB83" w14:textId="77777777" w:rsidR="00F01C00" w:rsidRPr="00986187" w:rsidRDefault="00F01C00" w:rsidP="00F3153C">
            <w:pPr>
              <w:widowControl w:val="0"/>
              <w:jc w:val="both"/>
              <w:rPr>
                <w:sz w:val="22"/>
                <w:szCs w:val="22"/>
                <w:lang w:val="sr-Latn-ME"/>
              </w:rPr>
            </w:pPr>
            <w:r w:rsidRPr="00986187">
              <w:rPr>
                <w:sz w:val="22"/>
                <w:szCs w:val="22"/>
                <w:lang w:val="sr-Latn-ME"/>
              </w:rPr>
              <w:t>13. mjesec: 95.8%</w:t>
            </w:r>
          </w:p>
        </w:tc>
      </w:tr>
    </w:tbl>
    <w:p w14:paraId="6E1B0329" w14:textId="77777777" w:rsidR="00F01C00" w:rsidRPr="00986187" w:rsidRDefault="00F01C00" w:rsidP="00F3153C">
      <w:pPr>
        <w:widowControl w:val="0"/>
        <w:jc w:val="both"/>
        <w:rPr>
          <w:sz w:val="22"/>
          <w:szCs w:val="22"/>
          <w:lang w:val="sr-Latn-ME"/>
        </w:rPr>
      </w:pPr>
    </w:p>
    <w:p w14:paraId="1D551DC1" w14:textId="77777777" w:rsidR="00F01C00" w:rsidRPr="00986187" w:rsidRDefault="00F01C00" w:rsidP="00F3153C">
      <w:pPr>
        <w:widowControl w:val="0"/>
        <w:jc w:val="both"/>
        <w:rPr>
          <w:sz w:val="22"/>
          <w:szCs w:val="22"/>
          <w:lang w:val="sr-Latn-ME"/>
        </w:rPr>
      </w:pPr>
      <w:r w:rsidRPr="00986187">
        <w:rPr>
          <w:sz w:val="22"/>
          <w:szCs w:val="22"/>
          <w:lang w:val="sr-Latn-ME"/>
        </w:rPr>
        <w:t xml:space="preserve">Podaci navedeni u tabeli dobijeni su nakon primjene vakcine koja sadrži </w:t>
      </w:r>
      <w:proofErr w:type="spellStart"/>
      <w:r w:rsidRPr="00986187">
        <w:rPr>
          <w:sz w:val="22"/>
          <w:szCs w:val="22"/>
          <w:lang w:val="sr-Latn-ME"/>
        </w:rPr>
        <w:t>tiomersal</w:t>
      </w:r>
      <w:proofErr w:type="spellEnd"/>
      <w:r w:rsidRPr="00986187">
        <w:rPr>
          <w:sz w:val="22"/>
          <w:szCs w:val="22"/>
          <w:lang w:val="sr-Latn-ME"/>
        </w:rPr>
        <w:t xml:space="preserve">. Dvije dodatne kliničke studije sprovedene na zdravim odraslim osobama i djeci koja su primila postojeću formulaciju vakcine ENGERIX B koja ne sadrži </w:t>
      </w:r>
      <w:proofErr w:type="spellStart"/>
      <w:r w:rsidRPr="00986187">
        <w:rPr>
          <w:sz w:val="22"/>
          <w:szCs w:val="22"/>
          <w:lang w:val="sr-Latn-ME"/>
        </w:rPr>
        <w:t>tiomersal</w:t>
      </w:r>
      <w:proofErr w:type="spellEnd"/>
      <w:r w:rsidRPr="00986187">
        <w:rPr>
          <w:sz w:val="22"/>
          <w:szCs w:val="22"/>
          <w:lang w:val="sr-Latn-ME"/>
        </w:rPr>
        <w:t xml:space="preserve">, pokazale su podjednak stepen </w:t>
      </w:r>
      <w:proofErr w:type="spellStart"/>
      <w:r w:rsidRPr="00986187">
        <w:rPr>
          <w:sz w:val="22"/>
          <w:szCs w:val="22"/>
          <w:lang w:val="sr-Latn-ME"/>
        </w:rPr>
        <w:t>seroprotekcije</w:t>
      </w:r>
      <w:proofErr w:type="spellEnd"/>
      <w:r w:rsidRPr="00986187">
        <w:rPr>
          <w:sz w:val="22"/>
          <w:szCs w:val="22"/>
          <w:lang w:val="sr-Latn-ME"/>
        </w:rPr>
        <w:t xml:space="preserve"> u poređenju sa primjenom vakcine ENGERIX B koja sadrži </w:t>
      </w:r>
      <w:proofErr w:type="spellStart"/>
      <w:r w:rsidRPr="00986187">
        <w:rPr>
          <w:sz w:val="22"/>
          <w:szCs w:val="22"/>
          <w:lang w:val="sr-Latn-ME"/>
        </w:rPr>
        <w:t>tiomersal</w:t>
      </w:r>
      <w:proofErr w:type="spellEnd"/>
      <w:r w:rsidRPr="00986187">
        <w:rPr>
          <w:sz w:val="22"/>
          <w:szCs w:val="22"/>
          <w:lang w:val="sr-Latn-ME"/>
        </w:rPr>
        <w:t>.</w:t>
      </w:r>
    </w:p>
    <w:p w14:paraId="65633147" w14:textId="77777777" w:rsidR="00F01C00" w:rsidRPr="00986187" w:rsidRDefault="00F01C00" w:rsidP="00F3153C">
      <w:pPr>
        <w:widowControl w:val="0"/>
        <w:jc w:val="both"/>
        <w:rPr>
          <w:sz w:val="22"/>
          <w:szCs w:val="22"/>
          <w:lang w:val="sr-Latn-ME"/>
        </w:rPr>
      </w:pPr>
    </w:p>
    <w:p w14:paraId="29666B87" w14:textId="54E6DF08" w:rsidR="00F01C00" w:rsidRPr="00986187" w:rsidRDefault="00113500" w:rsidP="00F3153C">
      <w:pPr>
        <w:pStyle w:val="ListParagraph"/>
        <w:widowControl w:val="0"/>
        <w:numPr>
          <w:ilvl w:val="0"/>
          <w:numId w:val="15"/>
        </w:numPr>
        <w:jc w:val="both"/>
        <w:rPr>
          <w:sz w:val="22"/>
          <w:szCs w:val="22"/>
          <w:lang w:val="sr-Latn-ME"/>
        </w:rPr>
      </w:pPr>
      <w:r w:rsidRPr="00986187">
        <w:rPr>
          <w:sz w:val="22"/>
          <w:szCs w:val="22"/>
          <w:lang w:val="sr-Latn-ME"/>
        </w:rPr>
        <w:t xml:space="preserve"> Postojanost imunog odgovora kod zdravih ispitanika </w:t>
      </w:r>
      <w:r w:rsidR="00F01C00" w:rsidRPr="00986187">
        <w:rPr>
          <w:sz w:val="22"/>
          <w:szCs w:val="22"/>
          <w:lang w:val="sr-Latn-ME"/>
        </w:rPr>
        <w:t>uzrasta od 11</w:t>
      </w:r>
      <w:r w:rsidR="006C2547" w:rsidRPr="00986187">
        <w:rPr>
          <w:sz w:val="22"/>
          <w:szCs w:val="22"/>
          <w:lang w:val="sr-Latn-ME"/>
        </w:rPr>
        <w:t xml:space="preserve"> </w:t>
      </w:r>
      <w:r w:rsidR="00F01C00" w:rsidRPr="00986187">
        <w:rPr>
          <w:sz w:val="22"/>
          <w:szCs w:val="22"/>
          <w:lang w:val="sr-Latn-ME"/>
        </w:rPr>
        <w:t>do</w:t>
      </w:r>
      <w:r w:rsidR="006C2547" w:rsidRPr="00986187">
        <w:rPr>
          <w:sz w:val="22"/>
          <w:szCs w:val="22"/>
          <w:lang w:val="sr-Latn-ME"/>
        </w:rPr>
        <w:t>, uključujući i</w:t>
      </w:r>
      <w:r w:rsidR="00F01C00" w:rsidRPr="00986187">
        <w:rPr>
          <w:sz w:val="22"/>
          <w:szCs w:val="22"/>
          <w:lang w:val="sr-Latn-ME"/>
        </w:rPr>
        <w:t xml:space="preserve"> 15 godin</w:t>
      </w:r>
      <w:r w:rsidR="006C2547" w:rsidRPr="00986187">
        <w:rPr>
          <w:sz w:val="22"/>
          <w:szCs w:val="22"/>
          <w:lang w:val="sr-Latn-ME"/>
        </w:rPr>
        <w:t>a</w:t>
      </w:r>
    </w:p>
    <w:p w14:paraId="5937E1C0" w14:textId="77777777" w:rsidR="00F01C00" w:rsidRPr="00986187" w:rsidRDefault="00F01C00" w:rsidP="00F3153C">
      <w:pPr>
        <w:widowControl w:val="0"/>
        <w:jc w:val="both"/>
        <w:rPr>
          <w:sz w:val="22"/>
          <w:szCs w:val="22"/>
          <w:lang w:val="sr-Latn-ME"/>
        </w:rPr>
      </w:pPr>
    </w:p>
    <w:p w14:paraId="4FDC5612" w14:textId="2DA8C540" w:rsidR="00F01C00" w:rsidRPr="00986187" w:rsidRDefault="00113500" w:rsidP="00F3153C">
      <w:pPr>
        <w:widowControl w:val="0"/>
        <w:jc w:val="both"/>
        <w:rPr>
          <w:sz w:val="22"/>
          <w:szCs w:val="22"/>
          <w:lang w:val="sr-Latn-ME"/>
        </w:rPr>
      </w:pPr>
      <w:r w:rsidRPr="00986187">
        <w:rPr>
          <w:sz w:val="22"/>
          <w:szCs w:val="22"/>
          <w:lang w:val="sr-Latn-ME"/>
        </w:rPr>
        <w:t xml:space="preserve">Dugotrajan imuni odgovor procijenjen je u kliničkom ispitivanju kod ispitanika koji su u vrijeme primarne vakcinacije bili uzrasta od 11 do, uključujući i 15 godina. </w:t>
      </w:r>
      <w:r w:rsidR="00F01C00" w:rsidRPr="00986187">
        <w:rPr>
          <w:sz w:val="22"/>
          <w:szCs w:val="22"/>
          <w:lang w:val="sr-Latn-ME"/>
        </w:rPr>
        <w:t xml:space="preserve">U tabeli datoj u daljem tekstu, prikazani su  rezultati stepena </w:t>
      </w:r>
      <w:proofErr w:type="spellStart"/>
      <w:r w:rsidRPr="00986187">
        <w:rPr>
          <w:sz w:val="22"/>
          <w:szCs w:val="22"/>
          <w:lang w:val="sr-Latn-ME"/>
        </w:rPr>
        <w:t>serološke</w:t>
      </w:r>
      <w:proofErr w:type="spellEnd"/>
      <w:r w:rsidRPr="00986187">
        <w:rPr>
          <w:sz w:val="22"/>
          <w:szCs w:val="22"/>
          <w:lang w:val="sr-Latn-ME"/>
        </w:rPr>
        <w:t xml:space="preserve"> zaštite </w:t>
      </w:r>
      <w:r w:rsidR="00F01C00" w:rsidRPr="00986187">
        <w:rPr>
          <w:sz w:val="22"/>
          <w:szCs w:val="22"/>
          <w:lang w:val="sr-Latn-ME"/>
        </w:rPr>
        <w:t>(procenat osoba sa koncentracijom anti-</w:t>
      </w:r>
      <w:proofErr w:type="spellStart"/>
      <w:r w:rsidR="00F01C00" w:rsidRPr="00986187">
        <w:rPr>
          <w:sz w:val="22"/>
          <w:szCs w:val="22"/>
          <w:lang w:val="sr-Latn-ME"/>
        </w:rPr>
        <w:t>HBs</w:t>
      </w:r>
      <w:proofErr w:type="spellEnd"/>
      <w:r w:rsidR="00F01C00" w:rsidRPr="00986187">
        <w:rPr>
          <w:sz w:val="22"/>
          <w:szCs w:val="22"/>
          <w:lang w:val="sr-Latn-ME"/>
        </w:rPr>
        <w:t xml:space="preserve"> antitijela ≥ 10 </w:t>
      </w:r>
      <w:proofErr w:type="spellStart"/>
      <w:r w:rsidRPr="00986187">
        <w:rPr>
          <w:sz w:val="22"/>
          <w:szCs w:val="22"/>
          <w:lang w:val="sr-Latn-ME"/>
        </w:rPr>
        <w:t>m</w:t>
      </w:r>
      <w:r w:rsidR="00F01C00" w:rsidRPr="00986187">
        <w:rPr>
          <w:sz w:val="22"/>
          <w:szCs w:val="22"/>
          <w:lang w:val="sr-Latn-ME"/>
        </w:rPr>
        <w:t>IJ</w:t>
      </w:r>
      <w:proofErr w:type="spellEnd"/>
      <w:r w:rsidR="00F01C00" w:rsidRPr="00986187">
        <w:rPr>
          <w:sz w:val="22"/>
          <w:szCs w:val="22"/>
          <w:lang w:val="sr-Latn-ME"/>
        </w:rPr>
        <w:t>/</w:t>
      </w:r>
      <w:proofErr w:type="spellStart"/>
      <w:r w:rsidRPr="00986187">
        <w:rPr>
          <w:sz w:val="22"/>
          <w:szCs w:val="22"/>
          <w:lang w:val="sr-Latn-ME"/>
        </w:rPr>
        <w:t>m</w:t>
      </w:r>
      <w:r w:rsidR="00F01C00" w:rsidRPr="00986187">
        <w:rPr>
          <w:sz w:val="22"/>
          <w:szCs w:val="22"/>
          <w:lang w:val="sr-Latn-ME"/>
        </w:rPr>
        <w:t>L</w:t>
      </w:r>
      <w:proofErr w:type="spellEnd"/>
      <w:r w:rsidR="00F01C00" w:rsidRPr="00986187">
        <w:rPr>
          <w:sz w:val="22"/>
          <w:szCs w:val="22"/>
          <w:lang w:val="sr-Latn-ME"/>
        </w:rPr>
        <w:t>) dobijeni iz komparativne studije dvije različite doze i šeme vakcinacije koji su procjenjivani do 66. mjeseca nakon primjene prve doze u primarnoj vakcinaciji (</w:t>
      </w:r>
      <w:proofErr w:type="spellStart"/>
      <w:r w:rsidR="00F01C00" w:rsidRPr="00986187">
        <w:rPr>
          <w:i/>
          <w:sz w:val="22"/>
          <w:szCs w:val="22"/>
          <w:lang w:val="sr-Latn-ME"/>
        </w:rPr>
        <w:t>According</w:t>
      </w:r>
      <w:proofErr w:type="spellEnd"/>
      <w:r w:rsidR="00F01C00" w:rsidRPr="00986187">
        <w:rPr>
          <w:i/>
          <w:sz w:val="22"/>
          <w:szCs w:val="22"/>
          <w:lang w:val="sr-Latn-ME"/>
        </w:rPr>
        <w:t xml:space="preserve"> To </w:t>
      </w:r>
      <w:proofErr w:type="spellStart"/>
      <w:r w:rsidR="00F01C00" w:rsidRPr="00986187">
        <w:rPr>
          <w:i/>
          <w:sz w:val="22"/>
          <w:szCs w:val="22"/>
          <w:lang w:val="sr-Latn-ME"/>
        </w:rPr>
        <w:t>Protocol</w:t>
      </w:r>
      <w:proofErr w:type="spellEnd"/>
      <w:r w:rsidR="00F01C00" w:rsidRPr="00986187">
        <w:rPr>
          <w:i/>
          <w:sz w:val="22"/>
          <w:szCs w:val="22"/>
          <w:lang w:val="sr-Latn-ME"/>
        </w:rPr>
        <w:t xml:space="preserve"> - </w:t>
      </w:r>
      <w:r w:rsidR="00F01C00" w:rsidRPr="00986187">
        <w:rPr>
          <w:sz w:val="22"/>
          <w:szCs w:val="22"/>
          <w:lang w:val="sr-Latn-ME"/>
        </w:rPr>
        <w:t>ATP kohorta za efikasnost):</w:t>
      </w:r>
    </w:p>
    <w:p w14:paraId="52DEC9C7" w14:textId="77777777" w:rsidR="00F01C00" w:rsidRPr="00986187" w:rsidRDefault="00F01C00" w:rsidP="00F3153C">
      <w:pPr>
        <w:widowControl w:val="0"/>
        <w:jc w:val="both"/>
        <w:rPr>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8"/>
        <w:gridCol w:w="804"/>
        <w:gridCol w:w="851"/>
        <w:gridCol w:w="992"/>
        <w:gridCol w:w="851"/>
        <w:gridCol w:w="992"/>
        <w:gridCol w:w="1134"/>
        <w:gridCol w:w="850"/>
      </w:tblGrid>
      <w:tr w:rsidR="006F33A0" w:rsidRPr="00986187" w14:paraId="5C808926" w14:textId="77777777" w:rsidTr="006F33A0">
        <w:tc>
          <w:tcPr>
            <w:tcW w:w="2598"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244EFB2" w14:textId="77777777" w:rsidR="006F33A0" w:rsidRPr="00986187" w:rsidRDefault="006F33A0" w:rsidP="00F3153C">
            <w:pPr>
              <w:widowControl w:val="0"/>
              <w:jc w:val="center"/>
              <w:rPr>
                <w:sz w:val="22"/>
                <w:szCs w:val="22"/>
                <w:lang w:val="sr-Latn-ME"/>
              </w:rPr>
            </w:pPr>
            <w:r w:rsidRPr="00986187">
              <w:rPr>
                <w:sz w:val="22"/>
                <w:szCs w:val="22"/>
                <w:lang w:val="sr-Latn-ME"/>
              </w:rPr>
              <w:br/>
              <w:t>Šema vakcinacije</w:t>
            </w:r>
          </w:p>
        </w:tc>
        <w:tc>
          <w:tcPr>
            <w:tcW w:w="6474"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69AC60D8" w14:textId="77777777" w:rsidR="006F33A0" w:rsidRPr="00986187" w:rsidRDefault="006F33A0" w:rsidP="00F3153C">
            <w:pPr>
              <w:widowControl w:val="0"/>
              <w:jc w:val="center"/>
              <w:rPr>
                <w:sz w:val="22"/>
                <w:szCs w:val="22"/>
                <w:lang w:val="sr-Latn-ME"/>
              </w:rPr>
            </w:pPr>
            <w:r w:rsidRPr="00986187">
              <w:rPr>
                <w:sz w:val="22"/>
                <w:szCs w:val="22"/>
                <w:lang w:val="sr-Latn-ME"/>
              </w:rPr>
              <w:t>Broj mjeseci nakon primjene prve doze vakcine</w:t>
            </w:r>
          </w:p>
        </w:tc>
      </w:tr>
      <w:tr w:rsidR="006F33A0" w:rsidRPr="00986187" w14:paraId="07165A22" w14:textId="77777777" w:rsidTr="00DF0D23">
        <w:tc>
          <w:tcPr>
            <w:tcW w:w="2598" w:type="dxa"/>
            <w:vMerge/>
            <w:tcBorders>
              <w:top w:val="single" w:sz="4" w:space="0" w:color="auto"/>
              <w:left w:val="single" w:sz="4" w:space="0" w:color="auto"/>
              <w:bottom w:val="single" w:sz="4" w:space="0" w:color="auto"/>
              <w:right w:val="single" w:sz="4" w:space="0" w:color="auto"/>
            </w:tcBorders>
            <w:vAlign w:val="center"/>
            <w:hideMark/>
          </w:tcPr>
          <w:p w14:paraId="0F6E9972" w14:textId="77777777" w:rsidR="006F33A0" w:rsidRPr="00986187" w:rsidRDefault="006F33A0" w:rsidP="00F3153C">
            <w:pPr>
              <w:widowControl w:val="0"/>
              <w:rPr>
                <w:sz w:val="22"/>
                <w:szCs w:val="22"/>
                <w:lang w:val="sr-Latn-ME"/>
              </w:rPr>
            </w:pPr>
          </w:p>
        </w:tc>
        <w:tc>
          <w:tcPr>
            <w:tcW w:w="804" w:type="dxa"/>
            <w:tcBorders>
              <w:top w:val="single" w:sz="4" w:space="0" w:color="auto"/>
              <w:left w:val="single" w:sz="4" w:space="0" w:color="auto"/>
              <w:bottom w:val="single" w:sz="4" w:space="0" w:color="auto"/>
              <w:right w:val="single" w:sz="4" w:space="0" w:color="auto"/>
            </w:tcBorders>
            <w:shd w:val="clear" w:color="auto" w:fill="BFBFBF"/>
            <w:hideMark/>
          </w:tcPr>
          <w:p w14:paraId="210176FE" w14:textId="77777777" w:rsidR="006F33A0" w:rsidRPr="00986187" w:rsidRDefault="006F33A0" w:rsidP="00F3153C">
            <w:pPr>
              <w:widowControl w:val="0"/>
              <w:jc w:val="center"/>
              <w:rPr>
                <w:sz w:val="22"/>
                <w:szCs w:val="22"/>
                <w:lang w:val="sr-Latn-ME"/>
              </w:rPr>
            </w:pPr>
            <w:r w:rsidRPr="00986187">
              <w:rPr>
                <w:sz w:val="22"/>
                <w:szCs w:val="22"/>
                <w:lang w:val="sr-Latn-ME"/>
              </w:rPr>
              <w:t>2</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503EBA2D" w14:textId="77777777" w:rsidR="006F33A0" w:rsidRPr="00986187" w:rsidRDefault="006F33A0" w:rsidP="00F3153C">
            <w:pPr>
              <w:widowControl w:val="0"/>
              <w:jc w:val="center"/>
              <w:rPr>
                <w:sz w:val="22"/>
                <w:szCs w:val="22"/>
                <w:lang w:val="sr-Latn-ME"/>
              </w:rPr>
            </w:pPr>
            <w:r w:rsidRPr="00986187">
              <w:rPr>
                <w:sz w:val="22"/>
                <w:szCs w:val="22"/>
                <w:lang w:val="sr-Latn-ME"/>
              </w:rPr>
              <w:t>6</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11792A44" w14:textId="77777777" w:rsidR="006F33A0" w:rsidRPr="00986187" w:rsidRDefault="006F33A0" w:rsidP="00F3153C">
            <w:pPr>
              <w:widowControl w:val="0"/>
              <w:jc w:val="center"/>
              <w:rPr>
                <w:sz w:val="22"/>
                <w:szCs w:val="22"/>
                <w:lang w:val="sr-Latn-ME"/>
              </w:rPr>
            </w:pPr>
            <w:r w:rsidRPr="00986187">
              <w:rPr>
                <w:sz w:val="22"/>
                <w:szCs w:val="22"/>
                <w:lang w:val="sr-Latn-ME"/>
              </w:rPr>
              <w:t>7</w:t>
            </w:r>
          </w:p>
        </w:tc>
        <w:tc>
          <w:tcPr>
            <w:tcW w:w="851" w:type="dxa"/>
            <w:tcBorders>
              <w:top w:val="single" w:sz="4" w:space="0" w:color="auto"/>
              <w:left w:val="single" w:sz="4" w:space="0" w:color="auto"/>
              <w:bottom w:val="single" w:sz="4" w:space="0" w:color="auto"/>
              <w:right w:val="single" w:sz="4" w:space="0" w:color="auto"/>
            </w:tcBorders>
            <w:shd w:val="clear" w:color="auto" w:fill="BFBFBF"/>
            <w:hideMark/>
          </w:tcPr>
          <w:p w14:paraId="705724FA" w14:textId="77777777" w:rsidR="006F33A0" w:rsidRPr="00986187" w:rsidRDefault="006F33A0" w:rsidP="00F3153C">
            <w:pPr>
              <w:widowControl w:val="0"/>
              <w:jc w:val="center"/>
              <w:rPr>
                <w:sz w:val="22"/>
                <w:szCs w:val="22"/>
                <w:lang w:val="sr-Latn-ME"/>
              </w:rPr>
            </w:pPr>
            <w:r w:rsidRPr="00986187">
              <w:rPr>
                <w:sz w:val="22"/>
                <w:szCs w:val="22"/>
                <w:lang w:val="sr-Latn-ME"/>
              </w:rPr>
              <w:t>30</w:t>
            </w:r>
          </w:p>
        </w:tc>
        <w:tc>
          <w:tcPr>
            <w:tcW w:w="992" w:type="dxa"/>
            <w:tcBorders>
              <w:top w:val="single" w:sz="4" w:space="0" w:color="auto"/>
              <w:left w:val="single" w:sz="4" w:space="0" w:color="auto"/>
              <w:bottom w:val="single" w:sz="4" w:space="0" w:color="auto"/>
              <w:right w:val="single" w:sz="4" w:space="0" w:color="auto"/>
            </w:tcBorders>
            <w:shd w:val="clear" w:color="auto" w:fill="BFBFBF"/>
            <w:hideMark/>
          </w:tcPr>
          <w:p w14:paraId="5A328673" w14:textId="77777777" w:rsidR="006F33A0" w:rsidRPr="00986187" w:rsidRDefault="006F33A0" w:rsidP="00F3153C">
            <w:pPr>
              <w:widowControl w:val="0"/>
              <w:jc w:val="center"/>
              <w:rPr>
                <w:sz w:val="22"/>
                <w:szCs w:val="22"/>
                <w:lang w:val="sr-Latn-ME"/>
              </w:rPr>
            </w:pPr>
            <w:r w:rsidRPr="00986187">
              <w:rPr>
                <w:sz w:val="22"/>
                <w:szCs w:val="22"/>
                <w:lang w:val="sr-Latn-ME"/>
              </w:rPr>
              <w:t>42</w:t>
            </w:r>
          </w:p>
        </w:tc>
        <w:tc>
          <w:tcPr>
            <w:tcW w:w="1134" w:type="dxa"/>
            <w:tcBorders>
              <w:top w:val="single" w:sz="4" w:space="0" w:color="auto"/>
              <w:left w:val="single" w:sz="4" w:space="0" w:color="auto"/>
              <w:bottom w:val="single" w:sz="4" w:space="0" w:color="auto"/>
              <w:right w:val="single" w:sz="4" w:space="0" w:color="auto"/>
            </w:tcBorders>
            <w:shd w:val="clear" w:color="auto" w:fill="BFBFBF"/>
            <w:hideMark/>
          </w:tcPr>
          <w:p w14:paraId="5F5CDEE4" w14:textId="77777777" w:rsidR="006F33A0" w:rsidRPr="00986187" w:rsidRDefault="006F33A0" w:rsidP="00F3153C">
            <w:pPr>
              <w:widowControl w:val="0"/>
              <w:jc w:val="center"/>
              <w:rPr>
                <w:sz w:val="22"/>
                <w:szCs w:val="22"/>
                <w:lang w:val="sr-Latn-ME"/>
              </w:rPr>
            </w:pPr>
            <w:r w:rsidRPr="00986187">
              <w:rPr>
                <w:sz w:val="22"/>
                <w:szCs w:val="22"/>
                <w:lang w:val="sr-Latn-ME"/>
              </w:rPr>
              <w:t>54</w:t>
            </w:r>
          </w:p>
        </w:tc>
        <w:tc>
          <w:tcPr>
            <w:tcW w:w="850" w:type="dxa"/>
            <w:tcBorders>
              <w:top w:val="single" w:sz="4" w:space="0" w:color="auto"/>
              <w:left w:val="single" w:sz="4" w:space="0" w:color="auto"/>
              <w:bottom w:val="single" w:sz="4" w:space="0" w:color="auto"/>
              <w:right w:val="single" w:sz="4" w:space="0" w:color="auto"/>
            </w:tcBorders>
            <w:shd w:val="clear" w:color="auto" w:fill="BFBFBF"/>
            <w:hideMark/>
          </w:tcPr>
          <w:p w14:paraId="08DFA700" w14:textId="77777777" w:rsidR="006F33A0" w:rsidRPr="00986187" w:rsidRDefault="006F33A0" w:rsidP="00F3153C">
            <w:pPr>
              <w:widowControl w:val="0"/>
              <w:jc w:val="center"/>
              <w:rPr>
                <w:sz w:val="22"/>
                <w:szCs w:val="22"/>
                <w:lang w:val="sr-Latn-ME"/>
              </w:rPr>
            </w:pPr>
            <w:r w:rsidRPr="00986187">
              <w:rPr>
                <w:sz w:val="22"/>
                <w:szCs w:val="22"/>
                <w:lang w:val="sr-Latn-ME"/>
              </w:rPr>
              <w:t>66</w:t>
            </w:r>
          </w:p>
        </w:tc>
      </w:tr>
      <w:tr w:rsidR="006F33A0" w:rsidRPr="00986187" w14:paraId="4AB0384C" w14:textId="77777777" w:rsidTr="00DF0D23">
        <w:tc>
          <w:tcPr>
            <w:tcW w:w="2598" w:type="dxa"/>
            <w:vMerge/>
            <w:tcBorders>
              <w:top w:val="single" w:sz="4" w:space="0" w:color="auto"/>
              <w:left w:val="single" w:sz="4" w:space="0" w:color="auto"/>
              <w:bottom w:val="single" w:sz="4" w:space="0" w:color="auto"/>
              <w:right w:val="single" w:sz="4" w:space="0" w:color="auto"/>
            </w:tcBorders>
            <w:vAlign w:val="center"/>
            <w:hideMark/>
          </w:tcPr>
          <w:p w14:paraId="7F8C877D" w14:textId="77777777" w:rsidR="006F33A0" w:rsidRPr="00986187" w:rsidRDefault="006F33A0" w:rsidP="00F3153C">
            <w:pPr>
              <w:widowControl w:val="0"/>
              <w:rPr>
                <w:sz w:val="22"/>
                <w:szCs w:val="22"/>
                <w:lang w:val="sr-Latn-ME"/>
              </w:rPr>
            </w:pPr>
          </w:p>
        </w:tc>
        <w:tc>
          <w:tcPr>
            <w:tcW w:w="6474"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D36CF01" w14:textId="77777777" w:rsidR="006F33A0" w:rsidRPr="00986187" w:rsidRDefault="006F33A0" w:rsidP="00F3153C">
            <w:pPr>
              <w:widowControl w:val="0"/>
              <w:jc w:val="center"/>
              <w:rPr>
                <w:sz w:val="22"/>
                <w:szCs w:val="22"/>
                <w:lang w:val="sr-Latn-ME"/>
              </w:rPr>
            </w:pPr>
            <w:r w:rsidRPr="00986187">
              <w:rPr>
                <w:sz w:val="22"/>
                <w:szCs w:val="22"/>
                <w:lang w:val="sr-Latn-ME"/>
              </w:rPr>
              <w:t xml:space="preserve">Stepen </w:t>
            </w:r>
            <w:proofErr w:type="spellStart"/>
            <w:r w:rsidRPr="00986187">
              <w:rPr>
                <w:sz w:val="22"/>
                <w:szCs w:val="22"/>
                <w:lang w:val="sr-Latn-ME"/>
              </w:rPr>
              <w:t>seroprotekcije</w:t>
            </w:r>
            <w:proofErr w:type="spellEnd"/>
          </w:p>
        </w:tc>
      </w:tr>
      <w:tr w:rsidR="006F33A0" w:rsidRPr="00986187" w14:paraId="791EE59A" w14:textId="77777777" w:rsidTr="006F33A0">
        <w:tc>
          <w:tcPr>
            <w:tcW w:w="2598" w:type="dxa"/>
            <w:tcBorders>
              <w:top w:val="single" w:sz="4" w:space="0" w:color="auto"/>
              <w:left w:val="single" w:sz="4" w:space="0" w:color="auto"/>
              <w:bottom w:val="single" w:sz="4" w:space="0" w:color="auto"/>
              <w:right w:val="single" w:sz="4" w:space="0" w:color="auto"/>
            </w:tcBorders>
            <w:vAlign w:val="center"/>
            <w:hideMark/>
          </w:tcPr>
          <w:p w14:paraId="656C9AC4" w14:textId="5D34BA0B" w:rsidR="006F33A0" w:rsidRPr="00986187" w:rsidRDefault="006F33A0" w:rsidP="00F3153C">
            <w:pPr>
              <w:widowControl w:val="0"/>
              <w:jc w:val="center"/>
              <w:rPr>
                <w:sz w:val="22"/>
                <w:szCs w:val="22"/>
                <w:lang w:val="sr-Latn-ME"/>
              </w:rPr>
            </w:pPr>
            <w:r w:rsidRPr="00986187">
              <w:rPr>
                <w:sz w:val="22"/>
                <w:szCs w:val="22"/>
                <w:lang w:val="sr-Latn-ME"/>
              </w:rPr>
              <w:t>ENGERIX</w:t>
            </w:r>
            <w:r w:rsidRPr="00986187">
              <w:rPr>
                <w:sz w:val="22"/>
                <w:szCs w:val="22"/>
                <w:vertAlign w:val="superscript"/>
                <w:lang w:val="sr-Latn-ME"/>
              </w:rPr>
              <w:t xml:space="preserve"> </w:t>
            </w:r>
            <w:r w:rsidRPr="00986187">
              <w:rPr>
                <w:sz w:val="22"/>
                <w:szCs w:val="22"/>
                <w:lang w:val="sr-Latn-ME"/>
              </w:rPr>
              <w:t xml:space="preserve">B                    10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w:t>
            </w:r>
            <w:r w:rsidR="00DF0D23" w:rsidRPr="00986187">
              <w:rPr>
                <w:sz w:val="22"/>
                <w:szCs w:val="22"/>
                <w:lang w:val="sr-Latn-ME"/>
              </w:rPr>
              <w:t xml:space="preserve">0.5 </w:t>
            </w:r>
            <w:r w:rsidRPr="00986187">
              <w:rPr>
                <w:sz w:val="22"/>
                <w:szCs w:val="22"/>
                <w:lang w:val="sr-Latn-ME"/>
              </w:rPr>
              <w:t>ml</w:t>
            </w:r>
          </w:p>
          <w:p w14:paraId="127A4545" w14:textId="77777777" w:rsidR="006F33A0" w:rsidRPr="00986187" w:rsidRDefault="006F33A0" w:rsidP="00F3153C">
            <w:pPr>
              <w:widowControl w:val="0"/>
              <w:jc w:val="center"/>
              <w:rPr>
                <w:sz w:val="22"/>
                <w:szCs w:val="22"/>
                <w:lang w:val="sr-Latn-ME"/>
              </w:rPr>
            </w:pPr>
            <w:r w:rsidRPr="00986187">
              <w:rPr>
                <w:sz w:val="22"/>
                <w:szCs w:val="22"/>
                <w:lang w:val="sr-Latn-ME"/>
              </w:rPr>
              <w:t>(nulti, prvi, šesti mjesec)</w:t>
            </w:r>
          </w:p>
        </w:tc>
        <w:tc>
          <w:tcPr>
            <w:tcW w:w="804" w:type="dxa"/>
            <w:tcBorders>
              <w:top w:val="single" w:sz="4" w:space="0" w:color="auto"/>
              <w:left w:val="single" w:sz="4" w:space="0" w:color="auto"/>
              <w:bottom w:val="single" w:sz="4" w:space="0" w:color="auto"/>
              <w:right w:val="single" w:sz="4" w:space="0" w:color="auto"/>
            </w:tcBorders>
            <w:vAlign w:val="center"/>
            <w:hideMark/>
          </w:tcPr>
          <w:p w14:paraId="77C02967" w14:textId="77777777" w:rsidR="006F33A0" w:rsidRPr="00986187" w:rsidRDefault="006F33A0" w:rsidP="00F3153C">
            <w:pPr>
              <w:widowControl w:val="0"/>
              <w:jc w:val="center"/>
              <w:rPr>
                <w:sz w:val="22"/>
                <w:szCs w:val="22"/>
                <w:lang w:val="sr-Latn-ME"/>
              </w:rPr>
            </w:pPr>
            <w:r w:rsidRPr="00986187">
              <w:rPr>
                <w:sz w:val="22"/>
                <w:szCs w:val="22"/>
                <w:lang w:val="sr-Latn-ME"/>
              </w:rPr>
              <w:t>55.8%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013D3F" w14:textId="77777777" w:rsidR="006F33A0" w:rsidRPr="00986187" w:rsidRDefault="006F33A0" w:rsidP="00F3153C">
            <w:pPr>
              <w:widowControl w:val="0"/>
              <w:jc w:val="center"/>
              <w:rPr>
                <w:sz w:val="22"/>
                <w:szCs w:val="22"/>
                <w:lang w:val="sr-Latn-ME"/>
              </w:rPr>
            </w:pPr>
            <w:r w:rsidRPr="00986187">
              <w:rPr>
                <w:sz w:val="22"/>
                <w:szCs w:val="22"/>
                <w:lang w:val="sr-Latn-ME"/>
              </w:rPr>
              <w:t>87.6%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9751DC" w14:textId="77777777" w:rsidR="006F33A0" w:rsidRPr="00986187" w:rsidRDefault="006F33A0" w:rsidP="00F3153C">
            <w:pPr>
              <w:widowControl w:val="0"/>
              <w:jc w:val="center"/>
              <w:rPr>
                <w:sz w:val="22"/>
                <w:szCs w:val="22"/>
                <w:lang w:val="sr-Latn-ME"/>
              </w:rPr>
            </w:pPr>
            <w:r w:rsidRPr="00986187">
              <w:rPr>
                <w:sz w:val="22"/>
                <w:szCs w:val="22"/>
                <w:lang w:val="sr-Latn-ME"/>
              </w:rPr>
              <w:t>98.2%*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2C32B2" w14:textId="77777777" w:rsidR="006F33A0" w:rsidRPr="00986187" w:rsidRDefault="006F33A0" w:rsidP="00F3153C">
            <w:pPr>
              <w:widowControl w:val="0"/>
              <w:jc w:val="center"/>
              <w:rPr>
                <w:sz w:val="22"/>
                <w:szCs w:val="22"/>
                <w:lang w:val="sr-Latn-ME"/>
              </w:rPr>
            </w:pPr>
            <w:r w:rsidRPr="00986187">
              <w:rPr>
                <w:sz w:val="22"/>
                <w:szCs w:val="22"/>
                <w:lang w:val="sr-Latn-ME"/>
              </w:rPr>
              <w:t>96.9%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A1C556" w14:textId="77777777" w:rsidR="006F33A0" w:rsidRPr="00986187" w:rsidRDefault="006F33A0" w:rsidP="00F3153C">
            <w:pPr>
              <w:widowControl w:val="0"/>
              <w:jc w:val="center"/>
              <w:rPr>
                <w:sz w:val="22"/>
                <w:szCs w:val="22"/>
                <w:lang w:val="sr-Latn-ME"/>
              </w:rPr>
            </w:pPr>
            <w:r w:rsidRPr="00986187">
              <w:rPr>
                <w:sz w:val="22"/>
                <w:szCs w:val="22"/>
                <w:lang w:val="sr-Latn-ME"/>
              </w:rPr>
              <w:t>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1C3296" w14:textId="77777777" w:rsidR="006F33A0" w:rsidRPr="00986187" w:rsidRDefault="006F33A0" w:rsidP="00F3153C">
            <w:pPr>
              <w:widowControl w:val="0"/>
              <w:jc w:val="center"/>
              <w:rPr>
                <w:sz w:val="22"/>
                <w:szCs w:val="22"/>
                <w:lang w:val="sr-Latn-ME"/>
              </w:rPr>
            </w:pPr>
            <w:r w:rsidRPr="00986187">
              <w:rPr>
                <w:sz w:val="22"/>
                <w:szCs w:val="22"/>
                <w:lang w:val="sr-Latn-ME"/>
              </w:rPr>
              <w:t>94.7%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FCD5CC3" w14:textId="77777777" w:rsidR="006F33A0" w:rsidRPr="00986187" w:rsidRDefault="006F33A0" w:rsidP="00F3153C">
            <w:pPr>
              <w:widowControl w:val="0"/>
              <w:jc w:val="center"/>
              <w:rPr>
                <w:sz w:val="22"/>
                <w:szCs w:val="22"/>
                <w:lang w:val="sr-Latn-ME"/>
              </w:rPr>
            </w:pPr>
            <w:r w:rsidRPr="00986187">
              <w:rPr>
                <w:sz w:val="22"/>
                <w:szCs w:val="22"/>
                <w:lang w:val="sr-Latn-ME"/>
              </w:rPr>
              <w:t>91.4%</w:t>
            </w:r>
          </w:p>
        </w:tc>
      </w:tr>
      <w:tr w:rsidR="006F33A0" w:rsidRPr="00986187" w14:paraId="142D2ADF" w14:textId="77777777" w:rsidTr="006F33A0">
        <w:tc>
          <w:tcPr>
            <w:tcW w:w="2598" w:type="dxa"/>
            <w:tcBorders>
              <w:top w:val="single" w:sz="4" w:space="0" w:color="auto"/>
              <w:left w:val="single" w:sz="4" w:space="0" w:color="auto"/>
              <w:bottom w:val="single" w:sz="4" w:space="0" w:color="auto"/>
              <w:right w:val="single" w:sz="4" w:space="0" w:color="auto"/>
            </w:tcBorders>
            <w:vAlign w:val="center"/>
            <w:hideMark/>
          </w:tcPr>
          <w:p w14:paraId="53A32FBE" w14:textId="5DE4A11D" w:rsidR="006F33A0" w:rsidRPr="00986187" w:rsidRDefault="006F33A0" w:rsidP="00F3153C">
            <w:pPr>
              <w:widowControl w:val="0"/>
              <w:jc w:val="center"/>
              <w:rPr>
                <w:sz w:val="22"/>
                <w:szCs w:val="22"/>
                <w:lang w:val="sr-Latn-ME"/>
              </w:rPr>
            </w:pPr>
            <w:r w:rsidRPr="00986187">
              <w:rPr>
                <w:sz w:val="22"/>
                <w:szCs w:val="22"/>
                <w:lang w:val="sr-Latn-ME"/>
              </w:rPr>
              <w:t>ENGERIX</w:t>
            </w:r>
            <w:r w:rsidRPr="00986187">
              <w:rPr>
                <w:sz w:val="22"/>
                <w:szCs w:val="22"/>
                <w:vertAlign w:val="superscript"/>
                <w:lang w:val="sr-Latn-ME"/>
              </w:rPr>
              <w:t xml:space="preserve"> </w:t>
            </w:r>
            <w:r w:rsidRPr="00986187">
              <w:rPr>
                <w:sz w:val="22"/>
                <w:szCs w:val="22"/>
                <w:lang w:val="sr-Latn-ME"/>
              </w:rPr>
              <w:t xml:space="preserve">B                          20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/ml</w:t>
            </w:r>
          </w:p>
          <w:p w14:paraId="366B802A" w14:textId="77777777" w:rsidR="006F33A0" w:rsidRPr="00986187" w:rsidRDefault="006F33A0" w:rsidP="00F3153C">
            <w:pPr>
              <w:widowControl w:val="0"/>
              <w:jc w:val="center"/>
              <w:rPr>
                <w:sz w:val="22"/>
                <w:szCs w:val="22"/>
                <w:lang w:val="sr-Latn-ME"/>
              </w:rPr>
            </w:pPr>
            <w:r w:rsidRPr="00986187">
              <w:rPr>
                <w:sz w:val="22"/>
                <w:szCs w:val="22"/>
                <w:lang w:val="sr-Latn-ME"/>
              </w:rPr>
              <w:t>(nulti, šesti mjesec)</w:t>
            </w:r>
          </w:p>
        </w:tc>
        <w:tc>
          <w:tcPr>
            <w:tcW w:w="804" w:type="dxa"/>
            <w:tcBorders>
              <w:top w:val="single" w:sz="4" w:space="0" w:color="auto"/>
              <w:left w:val="single" w:sz="4" w:space="0" w:color="auto"/>
              <w:bottom w:val="single" w:sz="4" w:space="0" w:color="auto"/>
              <w:right w:val="single" w:sz="4" w:space="0" w:color="auto"/>
            </w:tcBorders>
            <w:vAlign w:val="center"/>
            <w:hideMark/>
          </w:tcPr>
          <w:p w14:paraId="55209390" w14:textId="77777777" w:rsidR="006F33A0" w:rsidRPr="00986187" w:rsidRDefault="006F33A0" w:rsidP="00F3153C">
            <w:pPr>
              <w:widowControl w:val="0"/>
              <w:jc w:val="center"/>
              <w:rPr>
                <w:sz w:val="22"/>
                <w:szCs w:val="22"/>
                <w:lang w:val="sr-Latn-ME"/>
              </w:rPr>
            </w:pPr>
            <w:r w:rsidRPr="00986187">
              <w:rPr>
                <w:sz w:val="22"/>
                <w:szCs w:val="22"/>
                <w:lang w:val="sr-Latn-ME"/>
              </w:rPr>
              <w:t>11.3%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C9E004" w14:textId="77777777" w:rsidR="006F33A0" w:rsidRPr="00986187" w:rsidRDefault="006F33A0" w:rsidP="00F3153C">
            <w:pPr>
              <w:widowControl w:val="0"/>
              <w:jc w:val="center"/>
              <w:rPr>
                <w:sz w:val="22"/>
                <w:szCs w:val="22"/>
                <w:lang w:val="sr-Latn-ME"/>
              </w:rPr>
            </w:pPr>
            <w:r w:rsidRPr="00986187">
              <w:rPr>
                <w:sz w:val="22"/>
                <w:szCs w:val="22"/>
                <w:lang w:val="sr-Latn-ME"/>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A3D817" w14:textId="77777777" w:rsidR="006F33A0" w:rsidRPr="00986187" w:rsidRDefault="006F33A0" w:rsidP="00F3153C">
            <w:pPr>
              <w:widowControl w:val="0"/>
              <w:jc w:val="center"/>
              <w:rPr>
                <w:sz w:val="22"/>
                <w:szCs w:val="22"/>
                <w:lang w:val="sr-Latn-ME"/>
              </w:rPr>
            </w:pPr>
            <w:r w:rsidRPr="00986187">
              <w:rPr>
                <w:sz w:val="22"/>
                <w:szCs w:val="22"/>
                <w:lang w:val="sr-Latn-ME"/>
              </w:rPr>
              <w:t>96.7%*</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A5ADA4" w14:textId="77777777" w:rsidR="006F33A0" w:rsidRPr="00986187" w:rsidRDefault="006F33A0" w:rsidP="00F3153C">
            <w:pPr>
              <w:widowControl w:val="0"/>
              <w:jc w:val="center"/>
              <w:rPr>
                <w:sz w:val="22"/>
                <w:szCs w:val="22"/>
                <w:lang w:val="sr-Latn-ME"/>
              </w:rPr>
            </w:pPr>
            <w:r w:rsidRPr="00986187">
              <w:rPr>
                <w:sz w:val="22"/>
                <w:szCs w:val="22"/>
                <w:lang w:val="sr-Latn-ME"/>
              </w:rPr>
              <w:t>87.1%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34AC3" w14:textId="77777777" w:rsidR="006F33A0" w:rsidRPr="00986187" w:rsidRDefault="006F33A0" w:rsidP="00F3153C">
            <w:pPr>
              <w:widowControl w:val="0"/>
              <w:jc w:val="center"/>
              <w:rPr>
                <w:sz w:val="22"/>
                <w:szCs w:val="22"/>
                <w:lang w:val="sr-Latn-ME"/>
              </w:rPr>
            </w:pPr>
            <w:r w:rsidRPr="00986187">
              <w:rPr>
                <w:sz w:val="22"/>
                <w:szCs w:val="22"/>
                <w:lang w:val="sr-Latn-ME"/>
              </w:rPr>
              <w:t>83.7%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8010C" w14:textId="77777777" w:rsidR="006F33A0" w:rsidRPr="00986187" w:rsidRDefault="006F33A0" w:rsidP="00F3153C">
            <w:pPr>
              <w:widowControl w:val="0"/>
              <w:jc w:val="center"/>
              <w:rPr>
                <w:sz w:val="22"/>
                <w:szCs w:val="22"/>
                <w:lang w:val="sr-Latn-ME"/>
              </w:rPr>
            </w:pPr>
            <w:r w:rsidRPr="00986187">
              <w:rPr>
                <w:sz w:val="22"/>
                <w:szCs w:val="22"/>
                <w:lang w:val="sr-Latn-ME"/>
              </w:rPr>
              <w:t>84.4%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32CD38C" w14:textId="77777777" w:rsidR="006F33A0" w:rsidRPr="00986187" w:rsidRDefault="006F33A0" w:rsidP="00F3153C">
            <w:pPr>
              <w:widowControl w:val="0"/>
              <w:jc w:val="center"/>
              <w:rPr>
                <w:sz w:val="22"/>
                <w:szCs w:val="22"/>
                <w:lang w:val="sr-Latn-ME"/>
              </w:rPr>
            </w:pPr>
            <w:r w:rsidRPr="00986187">
              <w:rPr>
                <w:sz w:val="22"/>
                <w:szCs w:val="22"/>
                <w:lang w:val="sr-Latn-ME"/>
              </w:rPr>
              <w:t>79.5%</w:t>
            </w:r>
          </w:p>
        </w:tc>
      </w:tr>
      <w:tr w:rsidR="00113500" w:rsidRPr="00986187" w14:paraId="2D9DAC0C" w14:textId="77777777" w:rsidTr="00791EE2">
        <w:tc>
          <w:tcPr>
            <w:tcW w:w="9072" w:type="dxa"/>
            <w:gridSpan w:val="8"/>
            <w:tcBorders>
              <w:top w:val="single" w:sz="4" w:space="0" w:color="auto"/>
              <w:left w:val="single" w:sz="4" w:space="0" w:color="auto"/>
              <w:bottom w:val="single" w:sz="4" w:space="0" w:color="auto"/>
              <w:right w:val="single" w:sz="4" w:space="0" w:color="auto"/>
            </w:tcBorders>
            <w:vAlign w:val="center"/>
          </w:tcPr>
          <w:p w14:paraId="39EBFEE0" w14:textId="18CD0C5F" w:rsidR="00113500" w:rsidRPr="00986187" w:rsidRDefault="00113500" w:rsidP="00F3153C">
            <w:pPr>
              <w:widowControl w:val="0"/>
              <w:jc w:val="both"/>
              <w:rPr>
                <w:sz w:val="22"/>
                <w:szCs w:val="22"/>
                <w:lang w:val="sr-Latn-ME"/>
              </w:rPr>
            </w:pPr>
            <w:r w:rsidRPr="00986187">
              <w:rPr>
                <w:sz w:val="22"/>
                <w:szCs w:val="22"/>
                <w:vertAlign w:val="superscript"/>
                <w:lang w:val="sr-Latn-ME"/>
              </w:rPr>
              <w:lastRenderedPageBreak/>
              <w:t>*</w:t>
            </w:r>
            <w:r w:rsidRPr="00986187">
              <w:rPr>
                <w:sz w:val="22"/>
                <w:szCs w:val="22"/>
                <w:lang w:val="sr-Latn-ME"/>
              </w:rPr>
              <w:t xml:space="preserve"> U 7. mjesecu je koncentraciju anti </w:t>
            </w:r>
            <w:proofErr w:type="spellStart"/>
            <w:r w:rsidRPr="00986187">
              <w:rPr>
                <w:sz w:val="22"/>
                <w:szCs w:val="22"/>
                <w:lang w:val="sr-Latn-ME"/>
              </w:rPr>
              <w:t>HBs</w:t>
            </w:r>
            <w:proofErr w:type="spellEnd"/>
            <w:r w:rsidRPr="00986187">
              <w:rPr>
                <w:sz w:val="22"/>
                <w:szCs w:val="22"/>
                <w:lang w:val="sr-Latn-ME"/>
              </w:rPr>
              <w:t xml:space="preserve"> antitijela </w:t>
            </w:r>
            <w:r w:rsidRPr="00986187">
              <w:rPr>
                <w:sz w:val="22"/>
                <w:szCs w:val="22"/>
                <w:lang w:val="sr-Latn-ME"/>
              </w:rPr>
              <w:sym w:font="Symbol" w:char="F0B3"/>
            </w:r>
            <w:r w:rsidRPr="00986187">
              <w:rPr>
                <w:sz w:val="22"/>
                <w:szCs w:val="22"/>
                <w:lang w:val="sr-Latn-ME"/>
              </w:rPr>
              <w:t xml:space="preserve"> 100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postiglo 97.3% osoba uzrasta od 11 do 15 godina</w:t>
            </w:r>
            <w:r w:rsidRPr="00986187" w:rsidDel="00374354">
              <w:rPr>
                <w:sz w:val="22"/>
                <w:szCs w:val="22"/>
                <w:lang w:val="sr-Latn-ME"/>
              </w:rPr>
              <w:t xml:space="preserve"> </w:t>
            </w:r>
            <w:r w:rsidRPr="00986187">
              <w:rPr>
                <w:sz w:val="22"/>
                <w:szCs w:val="22"/>
                <w:lang w:val="sr-Latn-ME"/>
              </w:rPr>
              <w:t xml:space="preserve">ili nakon primjene vakcine ENGERIX B u dozi od 20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 xml:space="preserve">/ml (0, 6 šema vakcinacije), odnosno 88.8% osoba istog uzrasta nakon primjene vakcine ENGERIX B u dozi od 10 </w:t>
            </w:r>
            <w:proofErr w:type="spellStart"/>
            <w:r w:rsidR="00B62C04" w:rsidRPr="00986187">
              <w:rPr>
                <w:sz w:val="22"/>
                <w:szCs w:val="22"/>
                <w:lang w:val="sr-Latn-ME"/>
              </w:rPr>
              <w:t>mc</w:t>
            </w:r>
            <w:r w:rsidR="00DF0D23" w:rsidRPr="00986187">
              <w:rPr>
                <w:sz w:val="22"/>
                <w:szCs w:val="22"/>
                <w:lang w:val="sr-Latn-ME"/>
              </w:rPr>
              <w:t>g</w:t>
            </w:r>
            <w:proofErr w:type="spellEnd"/>
            <w:r w:rsidRPr="00986187">
              <w:rPr>
                <w:sz w:val="22"/>
                <w:szCs w:val="22"/>
                <w:lang w:val="sr-Latn-ME"/>
              </w:rPr>
              <w:t>/</w:t>
            </w:r>
            <w:r w:rsidR="00DF0D23" w:rsidRPr="00986187">
              <w:rPr>
                <w:sz w:val="22"/>
                <w:szCs w:val="22"/>
                <w:lang w:val="sr-Latn-ME"/>
              </w:rPr>
              <w:t xml:space="preserve">0.5 </w:t>
            </w:r>
            <w:r w:rsidRPr="00986187">
              <w:rPr>
                <w:sz w:val="22"/>
                <w:szCs w:val="22"/>
                <w:lang w:val="sr-Latn-ME"/>
              </w:rPr>
              <w:t xml:space="preserve">ml (0, 1, 6 šema vakcinacije). Geometrijska srednja vrijednost koncentracije iznosila je 7238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odnosno 2739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w:t>
            </w:r>
          </w:p>
        </w:tc>
      </w:tr>
    </w:tbl>
    <w:p w14:paraId="6F18A3DC" w14:textId="77777777" w:rsidR="00F01C00" w:rsidRPr="00986187" w:rsidRDefault="00F01C00" w:rsidP="00F3153C">
      <w:pPr>
        <w:widowControl w:val="0"/>
        <w:jc w:val="both"/>
        <w:rPr>
          <w:sz w:val="22"/>
          <w:szCs w:val="22"/>
          <w:vertAlign w:val="superscript"/>
          <w:lang w:val="sr-Latn-ME"/>
        </w:rPr>
      </w:pPr>
    </w:p>
    <w:p w14:paraId="6E65FA5A" w14:textId="5325BC26" w:rsidR="00F01C00" w:rsidRPr="00986187" w:rsidRDefault="00F01C00" w:rsidP="00F3153C">
      <w:pPr>
        <w:widowControl w:val="0"/>
        <w:jc w:val="both"/>
        <w:rPr>
          <w:sz w:val="22"/>
          <w:szCs w:val="22"/>
          <w:lang w:val="sr-Latn-ME"/>
        </w:rPr>
      </w:pPr>
      <w:r w:rsidRPr="00986187">
        <w:rPr>
          <w:sz w:val="22"/>
          <w:szCs w:val="22"/>
          <w:lang w:val="sr-Latn-ME"/>
        </w:rPr>
        <w:t xml:space="preserve">Sve vakcinisane osobe iz obije grupe (N=74) primile su kontrolnu dozu 72 do 78 mjeseci nakon primarne vakcinacije. Nakon mjesec dana, u anamnezi svih ispitanika zabilježen je porast </w:t>
      </w:r>
      <w:r w:rsidR="008B1056" w:rsidRPr="00986187">
        <w:rPr>
          <w:sz w:val="22"/>
          <w:szCs w:val="22"/>
          <w:lang w:val="sr-Latn-ME"/>
        </w:rPr>
        <w:t xml:space="preserve">geometrijske </w:t>
      </w:r>
      <w:r w:rsidRPr="00986187">
        <w:rPr>
          <w:sz w:val="22"/>
          <w:szCs w:val="22"/>
          <w:lang w:val="sr-Latn-ME"/>
        </w:rPr>
        <w:t>srednje vrijednosti koncentracije antitijela 108</w:t>
      </w:r>
      <w:r w:rsidR="008B1056" w:rsidRPr="00986187">
        <w:rPr>
          <w:sz w:val="22"/>
          <w:szCs w:val="22"/>
          <w:lang w:val="sr-Latn-ME"/>
        </w:rPr>
        <w:t>, odnosno</w:t>
      </w:r>
      <w:r w:rsidRPr="00986187">
        <w:rPr>
          <w:sz w:val="22"/>
          <w:szCs w:val="22"/>
          <w:lang w:val="sr-Latn-ME"/>
        </w:rPr>
        <w:t xml:space="preserve"> 95 puta</w:t>
      </w:r>
      <w:r w:rsidR="008B1056" w:rsidRPr="00986187">
        <w:rPr>
          <w:sz w:val="22"/>
          <w:szCs w:val="22"/>
          <w:lang w:val="sr-Latn-ME"/>
        </w:rPr>
        <w:t>,</w:t>
      </w:r>
      <w:r w:rsidRPr="00986187">
        <w:rPr>
          <w:sz w:val="22"/>
          <w:szCs w:val="22"/>
          <w:lang w:val="sr-Latn-ME"/>
        </w:rPr>
        <w:t xml:space="preserve"> </w:t>
      </w:r>
      <w:r w:rsidR="008B1056" w:rsidRPr="00986187">
        <w:rPr>
          <w:sz w:val="22"/>
          <w:szCs w:val="22"/>
          <w:lang w:val="sr-Latn-ME"/>
        </w:rPr>
        <w:t xml:space="preserve">od trenutka </w:t>
      </w:r>
      <w:r w:rsidRPr="00986187">
        <w:rPr>
          <w:sz w:val="22"/>
          <w:szCs w:val="22"/>
          <w:lang w:val="sr-Latn-ME"/>
        </w:rPr>
        <w:t xml:space="preserve">prije i </w:t>
      </w:r>
      <w:r w:rsidR="008B1056" w:rsidRPr="00986187">
        <w:rPr>
          <w:sz w:val="22"/>
          <w:szCs w:val="22"/>
          <w:lang w:val="sr-Latn-ME"/>
        </w:rPr>
        <w:t xml:space="preserve">do trenutka </w:t>
      </w:r>
      <w:r w:rsidRPr="00986187">
        <w:rPr>
          <w:sz w:val="22"/>
          <w:szCs w:val="22"/>
          <w:lang w:val="sr-Latn-ME"/>
        </w:rPr>
        <w:t>nakon primjene dvije doze (0, 6 - šema vakcinacije)</w:t>
      </w:r>
      <w:r w:rsidR="008B1056" w:rsidRPr="00986187">
        <w:rPr>
          <w:sz w:val="22"/>
          <w:szCs w:val="22"/>
          <w:lang w:val="sr-Latn-ME"/>
        </w:rPr>
        <w:t>, odnosno</w:t>
      </w:r>
      <w:r w:rsidRPr="00986187">
        <w:rPr>
          <w:sz w:val="22"/>
          <w:szCs w:val="22"/>
          <w:lang w:val="sr-Latn-ME"/>
        </w:rPr>
        <w:t xml:space="preserve"> tri doze (0, 1 i 6 – šema vakcinacije). Pokazano je da su sve osobe imale odgovarajući </w:t>
      </w:r>
      <w:proofErr w:type="spellStart"/>
      <w:r w:rsidRPr="00986187">
        <w:rPr>
          <w:sz w:val="22"/>
          <w:szCs w:val="22"/>
          <w:lang w:val="sr-Latn-ME"/>
        </w:rPr>
        <w:t>seroprotektivni</w:t>
      </w:r>
      <w:proofErr w:type="spellEnd"/>
      <w:r w:rsidRPr="00986187">
        <w:rPr>
          <w:sz w:val="22"/>
          <w:szCs w:val="22"/>
          <w:lang w:val="sr-Latn-ME"/>
        </w:rPr>
        <w:t xml:space="preserve"> nivo. Navedeni podaci pokazuju da je došlo do indukovanja imunološke memorije kod svih osoba koje su pokazale imunološki odgovor nakon primarne vakcinacije, čak i kod onih osoba koje su izgubile </w:t>
      </w:r>
      <w:proofErr w:type="spellStart"/>
      <w:r w:rsidRPr="00986187">
        <w:rPr>
          <w:sz w:val="22"/>
          <w:szCs w:val="22"/>
          <w:lang w:val="sr-Latn-ME"/>
        </w:rPr>
        <w:t>seroprotektivne</w:t>
      </w:r>
      <w:proofErr w:type="spellEnd"/>
      <w:r w:rsidRPr="00986187">
        <w:rPr>
          <w:sz w:val="22"/>
          <w:szCs w:val="22"/>
          <w:lang w:val="sr-Latn-ME"/>
        </w:rPr>
        <w:t xml:space="preserve"> nivoe u 66. mjesecu nakon primjene prve doze. </w:t>
      </w:r>
    </w:p>
    <w:p w14:paraId="59423CC4" w14:textId="77777777" w:rsidR="00F01C00" w:rsidRPr="00986187" w:rsidRDefault="00F01C00" w:rsidP="00F3153C">
      <w:pPr>
        <w:widowControl w:val="0"/>
        <w:jc w:val="both"/>
        <w:rPr>
          <w:sz w:val="22"/>
          <w:szCs w:val="22"/>
          <w:lang w:val="sr-Latn-ME"/>
        </w:rPr>
      </w:pPr>
    </w:p>
    <w:p w14:paraId="1FB9550F" w14:textId="378985B3" w:rsidR="00113500" w:rsidRPr="00986187" w:rsidRDefault="00113500" w:rsidP="00F3153C">
      <w:pPr>
        <w:pStyle w:val="ListParagraph"/>
        <w:widowControl w:val="0"/>
        <w:numPr>
          <w:ilvl w:val="0"/>
          <w:numId w:val="15"/>
        </w:numPr>
        <w:jc w:val="both"/>
        <w:rPr>
          <w:sz w:val="22"/>
          <w:szCs w:val="22"/>
          <w:lang w:val="sr-Latn-ME"/>
        </w:rPr>
      </w:pPr>
      <w:r w:rsidRPr="00986187">
        <w:rPr>
          <w:sz w:val="22"/>
          <w:szCs w:val="22"/>
          <w:lang w:val="sr-Latn-ME"/>
        </w:rPr>
        <w:t>Postojanost imunog odgovora i ponov</w:t>
      </w:r>
      <w:r w:rsidR="00735461" w:rsidRPr="00986187">
        <w:rPr>
          <w:sz w:val="22"/>
          <w:szCs w:val="22"/>
          <w:lang w:val="sr-Latn-ME"/>
        </w:rPr>
        <w:t>n</w:t>
      </w:r>
      <w:r w:rsidRPr="00986187">
        <w:rPr>
          <w:sz w:val="22"/>
          <w:szCs w:val="22"/>
          <w:lang w:val="sr-Latn-ME"/>
        </w:rPr>
        <w:t>a vakcinacija osoba uzrasta od 15 do 16 godina, 14 godina nakon primarne vakcinacije</w:t>
      </w:r>
    </w:p>
    <w:p w14:paraId="566931B5" w14:textId="77777777" w:rsidR="00113500" w:rsidRPr="00986187" w:rsidRDefault="00113500" w:rsidP="00F3153C">
      <w:pPr>
        <w:pStyle w:val="ListParagraph"/>
        <w:widowControl w:val="0"/>
        <w:jc w:val="both"/>
        <w:rPr>
          <w:sz w:val="22"/>
          <w:szCs w:val="22"/>
          <w:lang w:val="sr-Latn-ME"/>
        </w:rPr>
      </w:pPr>
    </w:p>
    <w:p w14:paraId="03717EBA" w14:textId="392190E8" w:rsidR="00113500" w:rsidRPr="00986187" w:rsidRDefault="00113500" w:rsidP="00F3153C">
      <w:pPr>
        <w:widowControl w:val="0"/>
        <w:jc w:val="both"/>
        <w:rPr>
          <w:sz w:val="22"/>
          <w:szCs w:val="22"/>
          <w:lang w:val="sr-Latn-ME"/>
        </w:rPr>
      </w:pPr>
      <w:r w:rsidRPr="00986187">
        <w:rPr>
          <w:sz w:val="22"/>
          <w:szCs w:val="22"/>
          <w:lang w:val="sr-Latn-ME"/>
        </w:rPr>
        <w:t xml:space="preserve">Stope </w:t>
      </w:r>
      <w:proofErr w:type="spellStart"/>
      <w:r w:rsidRPr="00986187">
        <w:rPr>
          <w:sz w:val="22"/>
          <w:szCs w:val="22"/>
          <w:lang w:val="sr-Latn-ME"/>
        </w:rPr>
        <w:t>serološke</w:t>
      </w:r>
      <w:proofErr w:type="spellEnd"/>
      <w:r w:rsidRPr="00986187">
        <w:rPr>
          <w:sz w:val="22"/>
          <w:szCs w:val="22"/>
          <w:lang w:val="sr-Latn-ME"/>
        </w:rPr>
        <w:t xml:space="preserve"> zaštite prije i nakon primjene revakcinacije procijenjene su kod osoba uzrasta od 15 do 16 godina, koje su vakcinisane s tri doze vakcine </w:t>
      </w:r>
      <w:proofErr w:type="spellStart"/>
      <w:r w:rsidRPr="00986187">
        <w:rPr>
          <w:sz w:val="22"/>
          <w:szCs w:val="22"/>
          <w:lang w:val="sr-Latn-ME"/>
        </w:rPr>
        <w:t>Engerix</w:t>
      </w:r>
      <w:proofErr w:type="spellEnd"/>
      <w:r w:rsidRPr="00986187">
        <w:rPr>
          <w:sz w:val="22"/>
          <w:szCs w:val="22"/>
          <w:lang w:val="sr-Latn-ME"/>
        </w:rPr>
        <w:t xml:space="preserve"> B tokom prve dvije godine života.</w:t>
      </w:r>
    </w:p>
    <w:p w14:paraId="182CDF5D" w14:textId="77777777" w:rsidR="00113500" w:rsidRPr="00986187" w:rsidRDefault="00113500" w:rsidP="00F3153C">
      <w:pPr>
        <w:widowControl w:val="0"/>
        <w:jc w:val="both"/>
        <w:rPr>
          <w:sz w:val="22"/>
          <w:szCs w:val="22"/>
          <w:lang w:val="sr-Latn-ME"/>
        </w:rPr>
      </w:pPr>
    </w:p>
    <w:tbl>
      <w:tblPr>
        <w:tblW w:w="5000" w:type="pct"/>
        <w:tblCellMar>
          <w:left w:w="0" w:type="dxa"/>
          <w:right w:w="0" w:type="dxa"/>
        </w:tblCellMar>
        <w:tblLook w:val="04A0" w:firstRow="1" w:lastRow="0" w:firstColumn="1" w:lastColumn="0" w:noHBand="0" w:noVBand="1"/>
      </w:tblPr>
      <w:tblGrid>
        <w:gridCol w:w="5076"/>
        <w:gridCol w:w="617"/>
        <w:gridCol w:w="616"/>
        <w:gridCol w:w="732"/>
        <w:gridCol w:w="953"/>
        <w:gridCol w:w="1069"/>
      </w:tblGrid>
      <w:tr w:rsidR="00113500" w:rsidRPr="00986187" w14:paraId="1479C6CC" w14:textId="77777777" w:rsidTr="00F3153C">
        <w:tc>
          <w:tcPr>
            <w:tcW w:w="2800" w:type="pct"/>
            <w:vMerge w:val="restar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E584943" w14:textId="77777777" w:rsidR="00113500" w:rsidRPr="00986187" w:rsidRDefault="00113500" w:rsidP="00F3153C">
            <w:pPr>
              <w:pStyle w:val="tabletextNS"/>
              <w:widowControl w:val="0"/>
              <w:jc w:val="both"/>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 xml:space="preserve">Stepen </w:t>
            </w:r>
            <w:proofErr w:type="spellStart"/>
            <w:r w:rsidRPr="00986187">
              <w:rPr>
                <w:rFonts w:ascii="Times New Roman" w:eastAsia="Calibri" w:hAnsi="Times New Roman"/>
                <w:b/>
                <w:sz w:val="22"/>
                <w:szCs w:val="22"/>
                <w:lang w:val="sr-Latn-ME" w:eastAsia="en-GB"/>
              </w:rPr>
              <w:t>seroprotekcije</w:t>
            </w:r>
            <w:proofErr w:type="spellEnd"/>
          </w:p>
        </w:tc>
        <w:tc>
          <w:tcPr>
            <w:tcW w:w="340"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4BFF81FB"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N</w:t>
            </w:r>
          </w:p>
        </w:tc>
        <w:tc>
          <w:tcPr>
            <w:tcW w:w="340"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42A50BA"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n</w:t>
            </w:r>
          </w:p>
        </w:tc>
        <w:tc>
          <w:tcPr>
            <w:tcW w:w="404" w:type="pct"/>
            <w:vMerge w:val="restar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667C18C"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w:t>
            </w:r>
          </w:p>
        </w:tc>
        <w:tc>
          <w:tcPr>
            <w:tcW w:w="1117" w:type="pct"/>
            <w:gridSpan w:val="2"/>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578C065"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95% CI</w:t>
            </w:r>
          </w:p>
        </w:tc>
      </w:tr>
      <w:tr w:rsidR="00113500" w:rsidRPr="00986187" w14:paraId="508106E6" w14:textId="77777777" w:rsidTr="00F3153C">
        <w:tc>
          <w:tcPr>
            <w:tcW w:w="2800" w:type="pct"/>
            <w:vMerge/>
            <w:tcBorders>
              <w:top w:val="single" w:sz="4" w:space="0" w:color="auto"/>
              <w:left w:val="single" w:sz="4" w:space="0" w:color="auto"/>
              <w:bottom w:val="single" w:sz="4" w:space="0" w:color="auto"/>
              <w:right w:val="single" w:sz="8" w:space="0" w:color="auto"/>
            </w:tcBorders>
            <w:vAlign w:val="center"/>
            <w:hideMark/>
          </w:tcPr>
          <w:p w14:paraId="1ECC4D5D" w14:textId="77777777" w:rsidR="00113500" w:rsidRPr="00986187" w:rsidRDefault="00113500" w:rsidP="00F3153C">
            <w:pPr>
              <w:pStyle w:val="tabletextNS"/>
              <w:widowControl w:val="0"/>
              <w:jc w:val="both"/>
              <w:rPr>
                <w:rFonts w:ascii="Times New Roman" w:eastAsia="Calibri" w:hAnsi="Times New Roman"/>
                <w:b/>
                <w:sz w:val="22"/>
                <w:szCs w:val="22"/>
                <w:lang w:val="sr-Latn-ME" w:eastAsia="en-GB"/>
              </w:rPr>
            </w:pPr>
          </w:p>
        </w:tc>
        <w:tc>
          <w:tcPr>
            <w:tcW w:w="340" w:type="pct"/>
            <w:vMerge/>
            <w:tcBorders>
              <w:top w:val="single" w:sz="4" w:space="0" w:color="auto"/>
              <w:left w:val="nil"/>
              <w:bottom w:val="single" w:sz="4" w:space="0" w:color="auto"/>
              <w:right w:val="single" w:sz="8" w:space="0" w:color="auto"/>
            </w:tcBorders>
            <w:vAlign w:val="center"/>
            <w:hideMark/>
          </w:tcPr>
          <w:p w14:paraId="1EC0A6AE"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p>
        </w:tc>
        <w:tc>
          <w:tcPr>
            <w:tcW w:w="340" w:type="pct"/>
            <w:vMerge/>
            <w:tcBorders>
              <w:top w:val="single" w:sz="4" w:space="0" w:color="auto"/>
              <w:left w:val="nil"/>
              <w:bottom w:val="single" w:sz="4" w:space="0" w:color="auto"/>
              <w:right w:val="single" w:sz="8" w:space="0" w:color="auto"/>
            </w:tcBorders>
            <w:vAlign w:val="center"/>
            <w:hideMark/>
          </w:tcPr>
          <w:p w14:paraId="5FC71609"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p>
        </w:tc>
        <w:tc>
          <w:tcPr>
            <w:tcW w:w="404" w:type="pct"/>
            <w:vMerge/>
            <w:tcBorders>
              <w:top w:val="single" w:sz="4" w:space="0" w:color="auto"/>
              <w:left w:val="nil"/>
              <w:bottom w:val="single" w:sz="4" w:space="0" w:color="auto"/>
              <w:right w:val="single" w:sz="8" w:space="0" w:color="auto"/>
            </w:tcBorders>
            <w:vAlign w:val="center"/>
            <w:hideMark/>
          </w:tcPr>
          <w:p w14:paraId="73A53347" w14:textId="77777777" w:rsidR="00113500" w:rsidRPr="00986187" w:rsidRDefault="00113500" w:rsidP="00F3153C">
            <w:pPr>
              <w:pStyle w:val="tabletextNS"/>
              <w:widowControl w:val="0"/>
              <w:jc w:val="center"/>
              <w:rPr>
                <w:rFonts w:ascii="Times New Roman" w:eastAsia="Calibri" w:hAnsi="Times New Roman"/>
                <w:b/>
                <w:sz w:val="22"/>
                <w:szCs w:val="22"/>
                <w:lang w:val="sr-Latn-ME" w:eastAsia="en-GB"/>
              </w:rPr>
            </w:pPr>
          </w:p>
        </w:tc>
        <w:tc>
          <w:tcPr>
            <w:tcW w:w="52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3AD2D18" w14:textId="48508E33" w:rsidR="00113500" w:rsidRPr="00986187" w:rsidRDefault="001135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LL</w:t>
            </w:r>
          </w:p>
        </w:tc>
        <w:tc>
          <w:tcPr>
            <w:tcW w:w="591" w:type="pct"/>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5A7C6C3" w14:textId="0052A6C9" w:rsidR="00113500" w:rsidRPr="00986187" w:rsidRDefault="00113500" w:rsidP="00F3153C">
            <w:pPr>
              <w:pStyle w:val="tabletextNS"/>
              <w:widowControl w:val="0"/>
              <w:jc w:val="center"/>
              <w:rPr>
                <w:rFonts w:ascii="Times New Roman" w:eastAsia="Calibri" w:hAnsi="Times New Roman"/>
                <w:b/>
                <w:sz w:val="22"/>
                <w:szCs w:val="22"/>
                <w:lang w:val="sr-Latn-ME" w:eastAsia="en-GB"/>
              </w:rPr>
            </w:pPr>
            <w:r w:rsidRPr="00986187">
              <w:rPr>
                <w:rFonts w:ascii="Times New Roman" w:eastAsia="Calibri" w:hAnsi="Times New Roman"/>
                <w:b/>
                <w:sz w:val="22"/>
                <w:szCs w:val="22"/>
                <w:lang w:val="sr-Latn-ME" w:eastAsia="en-GB"/>
              </w:rPr>
              <w:t>UL</w:t>
            </w:r>
          </w:p>
        </w:tc>
      </w:tr>
      <w:tr w:rsidR="00113500" w:rsidRPr="00986187" w14:paraId="3C4AF79E" w14:textId="77777777" w:rsidTr="00F3153C">
        <w:tc>
          <w:tcPr>
            <w:tcW w:w="2800"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0F27A27" w14:textId="77777777" w:rsidR="00113500" w:rsidRPr="00986187" w:rsidRDefault="001135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Prije revakcinacije</w:t>
            </w:r>
          </w:p>
        </w:tc>
        <w:tc>
          <w:tcPr>
            <w:tcW w:w="34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44E06A" w14:textId="49DEABD3"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292</w:t>
            </w:r>
          </w:p>
        </w:tc>
        <w:tc>
          <w:tcPr>
            <w:tcW w:w="340"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A622FD3" w14:textId="06360C61"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191</w:t>
            </w:r>
          </w:p>
        </w:tc>
        <w:tc>
          <w:tcPr>
            <w:tcW w:w="404"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3D1BDFF" w14:textId="11E3C482"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65,4</w:t>
            </w:r>
          </w:p>
        </w:tc>
        <w:tc>
          <w:tcPr>
            <w:tcW w:w="526"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0729B5B" w14:textId="5878F1AE"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59,6</w:t>
            </w:r>
          </w:p>
        </w:tc>
        <w:tc>
          <w:tcPr>
            <w:tcW w:w="591" w:type="pct"/>
            <w:tcBorders>
              <w:top w:val="single" w:sz="4" w:space="0" w:color="auto"/>
              <w:left w:val="nil"/>
              <w:bottom w:val="single" w:sz="4" w:space="0" w:color="auto"/>
              <w:right w:val="single" w:sz="4" w:space="0" w:color="auto"/>
            </w:tcBorders>
            <w:tcMar>
              <w:top w:w="0" w:type="dxa"/>
              <w:left w:w="108" w:type="dxa"/>
              <w:bottom w:w="0" w:type="dxa"/>
              <w:right w:w="108" w:type="dxa"/>
            </w:tcMar>
          </w:tcPr>
          <w:p w14:paraId="07BEC2FC" w14:textId="1F1D8A18"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70,9</w:t>
            </w:r>
          </w:p>
        </w:tc>
      </w:tr>
      <w:tr w:rsidR="00113500" w:rsidRPr="00986187" w14:paraId="32DFFDF3" w14:textId="77777777" w:rsidTr="00DF0D23">
        <w:tc>
          <w:tcPr>
            <w:tcW w:w="28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0A3979" w14:textId="77777777" w:rsidR="00113500" w:rsidRPr="00986187" w:rsidRDefault="00113500" w:rsidP="00F3153C">
            <w:pPr>
              <w:pStyle w:val="tabletextNS"/>
              <w:widowControl w:val="0"/>
              <w:jc w:val="both"/>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Poslije revakcinacije</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B9EF6" w14:textId="6E100655"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292</w:t>
            </w: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E3290" w14:textId="52506E5E"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286</w:t>
            </w:r>
          </w:p>
        </w:tc>
        <w:tc>
          <w:tcPr>
            <w:tcW w:w="4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68711" w14:textId="1FBA101F"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97,9</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87F53" w14:textId="3D33D480"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95,6</w:t>
            </w:r>
          </w:p>
        </w:tc>
        <w:tc>
          <w:tcPr>
            <w:tcW w:w="5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97F93" w14:textId="1665B3E8" w:rsidR="00113500" w:rsidRPr="00986187" w:rsidRDefault="00113500" w:rsidP="00F3153C">
            <w:pPr>
              <w:pStyle w:val="tabletextNS"/>
              <w:widowControl w:val="0"/>
              <w:jc w:val="center"/>
              <w:rPr>
                <w:rFonts w:ascii="Times New Roman" w:eastAsia="Calibri" w:hAnsi="Times New Roman"/>
                <w:sz w:val="22"/>
                <w:szCs w:val="22"/>
                <w:lang w:val="sr-Latn-ME" w:eastAsia="en-GB"/>
              </w:rPr>
            </w:pPr>
            <w:r w:rsidRPr="00986187">
              <w:rPr>
                <w:rFonts w:ascii="Times New Roman" w:eastAsia="Calibri" w:hAnsi="Times New Roman"/>
                <w:sz w:val="22"/>
                <w:szCs w:val="22"/>
                <w:lang w:val="sr-Latn-ME" w:eastAsia="en-GB"/>
              </w:rPr>
              <w:t>99,2</w:t>
            </w:r>
          </w:p>
        </w:tc>
      </w:tr>
      <w:tr w:rsidR="00113500" w:rsidRPr="00986187" w14:paraId="74ADF290" w14:textId="77777777" w:rsidTr="00113500">
        <w:tc>
          <w:tcPr>
            <w:tcW w:w="5000"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E926D" w14:textId="77777777" w:rsidR="00113500" w:rsidRPr="00986187" w:rsidRDefault="00113500" w:rsidP="00F3153C">
            <w:pPr>
              <w:widowControl w:val="0"/>
              <w:jc w:val="both"/>
              <w:rPr>
                <w:sz w:val="22"/>
                <w:szCs w:val="22"/>
                <w:lang w:val="sr-Latn-ME"/>
              </w:rPr>
            </w:pPr>
            <w:r w:rsidRPr="00986187">
              <w:rPr>
                <w:sz w:val="22"/>
                <w:szCs w:val="22"/>
                <w:lang w:val="sr-Latn-ME"/>
              </w:rPr>
              <w:t>N = broj ispitanika sa raspoloživim rezultatima</w:t>
            </w:r>
          </w:p>
          <w:p w14:paraId="54443683" w14:textId="69AFDF49" w:rsidR="00113500" w:rsidRPr="00986187" w:rsidRDefault="00113500" w:rsidP="00F3153C">
            <w:pPr>
              <w:widowControl w:val="0"/>
              <w:jc w:val="both"/>
              <w:rPr>
                <w:sz w:val="22"/>
                <w:szCs w:val="22"/>
                <w:lang w:val="sr-Latn-ME"/>
              </w:rPr>
            </w:pPr>
            <w:r w:rsidRPr="00986187">
              <w:rPr>
                <w:sz w:val="22"/>
                <w:szCs w:val="22"/>
                <w:lang w:val="sr-Latn-ME"/>
              </w:rPr>
              <w:t xml:space="preserve">n = broj ispitanika sa koncentracijom jednakom ili višom od 10 </w:t>
            </w:r>
            <w:proofErr w:type="spellStart"/>
            <w:r w:rsidR="00735461" w:rsidRPr="00986187">
              <w:rPr>
                <w:sz w:val="22"/>
                <w:szCs w:val="22"/>
                <w:lang w:val="sr-Latn-ME"/>
              </w:rPr>
              <w:t>mIJ</w:t>
            </w:r>
            <w:proofErr w:type="spellEnd"/>
            <w:r w:rsidR="00735461" w:rsidRPr="00986187">
              <w:rPr>
                <w:sz w:val="22"/>
                <w:szCs w:val="22"/>
                <w:lang w:val="sr-Latn-ME"/>
              </w:rPr>
              <w:t>/ml</w:t>
            </w:r>
          </w:p>
          <w:p w14:paraId="57EC3467" w14:textId="1B15D96D" w:rsidR="00113500" w:rsidRPr="00986187" w:rsidRDefault="00113500" w:rsidP="00F3153C">
            <w:pPr>
              <w:widowControl w:val="0"/>
              <w:jc w:val="both"/>
              <w:rPr>
                <w:sz w:val="22"/>
                <w:szCs w:val="22"/>
                <w:lang w:val="sr-Latn-ME"/>
              </w:rPr>
            </w:pPr>
            <w:r w:rsidRPr="00986187">
              <w:rPr>
                <w:sz w:val="22"/>
                <w:szCs w:val="22"/>
                <w:lang w:val="sr-Latn-ME"/>
              </w:rPr>
              <w:t xml:space="preserve">% = procenat ispitanika sa koncentracijom jednakom ili višom od 10 </w:t>
            </w:r>
            <w:proofErr w:type="spellStart"/>
            <w:r w:rsidR="00735461" w:rsidRPr="00986187">
              <w:rPr>
                <w:sz w:val="22"/>
                <w:szCs w:val="22"/>
                <w:lang w:val="sr-Latn-ME"/>
              </w:rPr>
              <w:t>mIJ</w:t>
            </w:r>
            <w:proofErr w:type="spellEnd"/>
            <w:r w:rsidR="00735461" w:rsidRPr="00986187">
              <w:rPr>
                <w:sz w:val="22"/>
                <w:szCs w:val="22"/>
                <w:lang w:val="sr-Latn-ME"/>
              </w:rPr>
              <w:t>/ml</w:t>
            </w:r>
          </w:p>
          <w:p w14:paraId="1BA33414" w14:textId="77777777" w:rsidR="00113500" w:rsidRPr="00986187" w:rsidRDefault="00113500" w:rsidP="00F3153C">
            <w:pPr>
              <w:widowControl w:val="0"/>
              <w:jc w:val="both"/>
              <w:rPr>
                <w:sz w:val="22"/>
                <w:szCs w:val="22"/>
                <w:lang w:val="sr-Latn-ME"/>
              </w:rPr>
            </w:pPr>
            <w:r w:rsidRPr="00986187">
              <w:rPr>
                <w:sz w:val="22"/>
                <w:szCs w:val="22"/>
                <w:lang w:val="sr-Latn-ME"/>
              </w:rPr>
              <w:t>95% CI = 95% interval povjerenja; LL = donja granica, UL = gornja granica</w:t>
            </w:r>
          </w:p>
          <w:p w14:paraId="42BA0065" w14:textId="57132C02" w:rsidR="00113500" w:rsidRPr="00986187" w:rsidRDefault="00113500" w:rsidP="00F3153C">
            <w:pPr>
              <w:widowControl w:val="0"/>
              <w:jc w:val="both"/>
              <w:rPr>
                <w:rFonts w:eastAsia="Calibri"/>
                <w:sz w:val="22"/>
                <w:szCs w:val="22"/>
                <w:lang w:val="sr-Latn-ME" w:eastAsia="en-GB"/>
              </w:rPr>
            </w:pPr>
            <w:r w:rsidRPr="00986187">
              <w:rPr>
                <w:sz w:val="22"/>
                <w:szCs w:val="22"/>
                <w:lang w:val="sr-Latn-ME"/>
              </w:rPr>
              <w:t xml:space="preserve">Prije = prije </w:t>
            </w:r>
            <w:proofErr w:type="spellStart"/>
            <w:r w:rsidRPr="00986187">
              <w:rPr>
                <w:sz w:val="22"/>
                <w:szCs w:val="22"/>
                <w:lang w:val="sr-Latn-ME"/>
              </w:rPr>
              <w:t>vremena</w:t>
            </w:r>
            <w:proofErr w:type="spellEnd"/>
            <w:r w:rsidRPr="00986187">
              <w:rPr>
                <w:sz w:val="22"/>
                <w:szCs w:val="22"/>
                <w:lang w:val="sr-Latn-ME"/>
              </w:rPr>
              <w:t xml:space="preserve"> revakcinacije / Poslije = mjesec dana nakon revakcinacije</w:t>
            </w:r>
          </w:p>
        </w:tc>
      </w:tr>
    </w:tbl>
    <w:p w14:paraId="4F4E6DFA" w14:textId="77777777" w:rsidR="00113500" w:rsidRPr="00986187" w:rsidRDefault="00113500" w:rsidP="00F3153C">
      <w:pPr>
        <w:widowControl w:val="0"/>
        <w:jc w:val="both"/>
        <w:rPr>
          <w:sz w:val="22"/>
          <w:szCs w:val="22"/>
          <w:lang w:val="sr-Latn-ME"/>
        </w:rPr>
      </w:pPr>
    </w:p>
    <w:p w14:paraId="73835290" w14:textId="3042DF46" w:rsidR="00113500" w:rsidRPr="00986187" w:rsidRDefault="00113500" w:rsidP="00F3153C">
      <w:pPr>
        <w:widowControl w:val="0"/>
        <w:jc w:val="both"/>
        <w:rPr>
          <w:sz w:val="22"/>
          <w:szCs w:val="22"/>
          <w:lang w:val="sr-Latn-ME"/>
        </w:rPr>
      </w:pPr>
      <w:r w:rsidRPr="00986187">
        <w:rPr>
          <w:sz w:val="22"/>
          <w:szCs w:val="22"/>
          <w:lang w:val="sr-Latn-ME"/>
        </w:rPr>
        <w:t xml:space="preserve">Procijenjen je </w:t>
      </w:r>
      <w:proofErr w:type="spellStart"/>
      <w:r w:rsidRPr="00986187">
        <w:rPr>
          <w:sz w:val="22"/>
          <w:szCs w:val="22"/>
          <w:lang w:val="sr-Latn-ME"/>
        </w:rPr>
        <w:t>anamnestički</w:t>
      </w:r>
      <w:proofErr w:type="spellEnd"/>
      <w:r w:rsidRPr="00986187">
        <w:rPr>
          <w:sz w:val="22"/>
          <w:szCs w:val="22"/>
          <w:lang w:val="sr-Latn-ME"/>
        </w:rPr>
        <w:t xml:space="preserve"> odgovor prema </w:t>
      </w:r>
      <w:proofErr w:type="spellStart"/>
      <w:r w:rsidRPr="00986187">
        <w:rPr>
          <w:sz w:val="22"/>
          <w:szCs w:val="22"/>
          <w:lang w:val="sr-Latn-ME"/>
        </w:rPr>
        <w:t>serološkoj</w:t>
      </w:r>
      <w:proofErr w:type="spellEnd"/>
      <w:r w:rsidRPr="00986187">
        <w:rPr>
          <w:sz w:val="22"/>
          <w:szCs w:val="22"/>
          <w:lang w:val="sr-Latn-ME"/>
        </w:rPr>
        <w:t xml:space="preserve"> zaštiti prije revakcinacije kod osoba od 15 do 16 godina koje su vakcinisane sa 3 doze vakcine </w:t>
      </w:r>
      <w:proofErr w:type="spellStart"/>
      <w:r w:rsidRPr="00986187">
        <w:rPr>
          <w:sz w:val="22"/>
          <w:szCs w:val="22"/>
          <w:lang w:val="sr-Latn-ME"/>
        </w:rPr>
        <w:t>Engerix</w:t>
      </w:r>
      <w:proofErr w:type="spellEnd"/>
      <w:r w:rsidRPr="00986187">
        <w:rPr>
          <w:sz w:val="22"/>
          <w:szCs w:val="22"/>
          <w:lang w:val="sr-Latn-ME"/>
        </w:rPr>
        <w:t xml:space="preserve"> B </w:t>
      </w:r>
      <w:r w:rsidR="00985906" w:rsidRPr="00986187">
        <w:rPr>
          <w:sz w:val="22"/>
          <w:szCs w:val="22"/>
          <w:lang w:val="sr-Latn-ME"/>
        </w:rPr>
        <w:t xml:space="preserve">tokom </w:t>
      </w:r>
      <w:r w:rsidRPr="00986187">
        <w:rPr>
          <w:sz w:val="22"/>
          <w:szCs w:val="22"/>
          <w:lang w:val="sr-Latn-ME"/>
        </w:rPr>
        <w:t>prve dvije godine života:</w:t>
      </w:r>
    </w:p>
    <w:p w14:paraId="6171F018" w14:textId="77777777" w:rsidR="00113500" w:rsidRPr="00986187" w:rsidRDefault="00113500" w:rsidP="00F3153C">
      <w:pPr>
        <w:widowControl w:val="0"/>
        <w:jc w:val="both"/>
        <w:rPr>
          <w:sz w:val="22"/>
          <w:szCs w:val="22"/>
          <w:lang w:val="sr-Latn-ME"/>
        </w:rPr>
      </w:pPr>
    </w:p>
    <w:tbl>
      <w:tblPr>
        <w:tblW w:w="5000" w:type="pct"/>
        <w:tblBorders>
          <w:top w:val="single" w:sz="2" w:space="0" w:color="auto"/>
          <w:left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4199"/>
        <w:gridCol w:w="919"/>
        <w:gridCol w:w="852"/>
        <w:gridCol w:w="914"/>
        <w:gridCol w:w="999"/>
        <w:gridCol w:w="1184"/>
      </w:tblGrid>
      <w:tr w:rsidR="00113500" w:rsidRPr="00986187" w14:paraId="317265E1" w14:textId="77777777" w:rsidTr="00791EE2">
        <w:trPr>
          <w:cantSplit/>
          <w:tblHeader/>
        </w:trPr>
        <w:tc>
          <w:tcPr>
            <w:tcW w:w="2315" w:type="pct"/>
            <w:vMerge w:val="restart"/>
            <w:tcBorders>
              <w:top w:val="single" w:sz="2" w:space="0" w:color="auto"/>
              <w:left w:val="single" w:sz="2" w:space="0" w:color="auto"/>
              <w:bottom w:val="single" w:sz="2" w:space="0" w:color="auto"/>
              <w:right w:val="single" w:sz="2" w:space="0" w:color="auto"/>
            </w:tcBorders>
          </w:tcPr>
          <w:p w14:paraId="08B4E506" w14:textId="77777777" w:rsidR="00113500" w:rsidRPr="00986187" w:rsidRDefault="00113500" w:rsidP="00F3153C">
            <w:pPr>
              <w:pStyle w:val="tabletextNS"/>
              <w:widowControl w:val="0"/>
              <w:jc w:val="both"/>
              <w:rPr>
                <w:rFonts w:ascii="Times New Roman" w:hAnsi="Times New Roman"/>
                <w:sz w:val="22"/>
                <w:szCs w:val="22"/>
                <w:lang w:val="sr-Latn-ME"/>
              </w:rPr>
            </w:pPr>
          </w:p>
        </w:tc>
        <w:tc>
          <w:tcPr>
            <w:tcW w:w="2685" w:type="pct"/>
            <w:gridSpan w:val="5"/>
            <w:tcBorders>
              <w:top w:val="single" w:sz="2" w:space="0" w:color="auto"/>
              <w:left w:val="single" w:sz="2" w:space="0" w:color="auto"/>
              <w:bottom w:val="single" w:sz="2" w:space="0" w:color="auto"/>
              <w:right w:val="single" w:sz="2" w:space="0" w:color="auto"/>
            </w:tcBorders>
            <w:hideMark/>
          </w:tcPr>
          <w:p w14:paraId="1EC2C7A9" w14:textId="77777777" w:rsidR="00113500" w:rsidRPr="00986187" w:rsidRDefault="00113500" w:rsidP="00F3153C">
            <w:pPr>
              <w:pStyle w:val="tabletextNS"/>
              <w:widowControl w:val="0"/>
              <w:jc w:val="center"/>
              <w:rPr>
                <w:rFonts w:ascii="Times New Roman" w:hAnsi="Times New Roman"/>
                <w:b/>
                <w:sz w:val="22"/>
                <w:szCs w:val="22"/>
                <w:lang w:val="sr-Latn-ME"/>
              </w:rPr>
            </w:pPr>
            <w:proofErr w:type="spellStart"/>
            <w:r w:rsidRPr="00986187">
              <w:rPr>
                <w:rFonts w:ascii="Times New Roman" w:hAnsi="Times New Roman"/>
                <w:b/>
                <w:bCs/>
                <w:sz w:val="22"/>
                <w:szCs w:val="22"/>
                <w:lang w:val="sr-Latn-ME"/>
              </w:rPr>
              <w:t>Anamnestički</w:t>
            </w:r>
            <w:proofErr w:type="spellEnd"/>
            <w:r w:rsidRPr="00986187">
              <w:rPr>
                <w:rFonts w:ascii="Times New Roman" w:hAnsi="Times New Roman"/>
                <w:b/>
                <w:bCs/>
                <w:sz w:val="22"/>
                <w:szCs w:val="22"/>
                <w:lang w:val="sr-Latn-ME"/>
              </w:rPr>
              <w:t xml:space="preserve"> odgovor</w:t>
            </w:r>
          </w:p>
        </w:tc>
      </w:tr>
      <w:tr w:rsidR="00113500" w:rsidRPr="00986187" w14:paraId="7ABA7E47" w14:textId="77777777" w:rsidTr="00791EE2">
        <w:trPr>
          <w:cantSplit/>
          <w:tblHeader/>
        </w:trPr>
        <w:tc>
          <w:tcPr>
            <w:tcW w:w="2315" w:type="pct"/>
            <w:vMerge/>
            <w:tcBorders>
              <w:top w:val="single" w:sz="2" w:space="0" w:color="auto"/>
              <w:left w:val="single" w:sz="2" w:space="0" w:color="auto"/>
              <w:bottom w:val="single" w:sz="2" w:space="0" w:color="auto"/>
              <w:right w:val="single" w:sz="2" w:space="0" w:color="auto"/>
            </w:tcBorders>
            <w:vAlign w:val="center"/>
            <w:hideMark/>
          </w:tcPr>
          <w:p w14:paraId="0CBB2728" w14:textId="77777777" w:rsidR="00113500" w:rsidRPr="00986187" w:rsidRDefault="00113500" w:rsidP="00F3153C">
            <w:pPr>
              <w:pStyle w:val="tabletextNS"/>
              <w:widowControl w:val="0"/>
              <w:jc w:val="both"/>
              <w:rPr>
                <w:rFonts w:ascii="Times New Roman" w:hAnsi="Times New Roman"/>
                <w:sz w:val="22"/>
                <w:szCs w:val="22"/>
                <w:lang w:val="sr-Latn-ME"/>
              </w:rPr>
            </w:pPr>
          </w:p>
        </w:tc>
        <w:tc>
          <w:tcPr>
            <w:tcW w:w="1481" w:type="pct"/>
            <w:gridSpan w:val="3"/>
            <w:tcBorders>
              <w:top w:val="single" w:sz="2" w:space="0" w:color="auto"/>
              <w:left w:val="single" w:sz="2" w:space="0" w:color="auto"/>
              <w:bottom w:val="single" w:sz="2" w:space="0" w:color="auto"/>
              <w:right w:val="single" w:sz="2" w:space="0" w:color="auto"/>
            </w:tcBorders>
          </w:tcPr>
          <w:p w14:paraId="02D9E8C6" w14:textId="77777777" w:rsidR="00113500" w:rsidRPr="00986187" w:rsidRDefault="00113500" w:rsidP="00F3153C">
            <w:pPr>
              <w:pStyle w:val="tabletextNS"/>
              <w:widowControl w:val="0"/>
              <w:jc w:val="center"/>
              <w:rPr>
                <w:rFonts w:ascii="Times New Roman" w:hAnsi="Times New Roman"/>
                <w:b/>
                <w:sz w:val="22"/>
                <w:szCs w:val="22"/>
                <w:lang w:val="sr-Latn-ME"/>
              </w:rPr>
            </w:pPr>
          </w:p>
        </w:tc>
        <w:tc>
          <w:tcPr>
            <w:tcW w:w="1204" w:type="pct"/>
            <w:gridSpan w:val="2"/>
            <w:tcBorders>
              <w:top w:val="single" w:sz="2" w:space="0" w:color="auto"/>
              <w:left w:val="single" w:sz="2" w:space="0" w:color="auto"/>
              <w:bottom w:val="single" w:sz="2" w:space="0" w:color="auto"/>
              <w:right w:val="single" w:sz="2" w:space="0" w:color="auto"/>
            </w:tcBorders>
            <w:hideMark/>
          </w:tcPr>
          <w:p w14:paraId="7CC3B317" w14:textId="77777777" w:rsidR="00113500" w:rsidRPr="00986187" w:rsidRDefault="00113500" w:rsidP="00F3153C">
            <w:pPr>
              <w:pStyle w:val="tabletextNS"/>
              <w:widowControl w:val="0"/>
              <w:jc w:val="center"/>
              <w:rPr>
                <w:rFonts w:ascii="Times New Roman" w:hAnsi="Times New Roman"/>
                <w:b/>
                <w:sz w:val="22"/>
                <w:szCs w:val="22"/>
                <w:lang w:val="sr-Latn-ME"/>
              </w:rPr>
            </w:pPr>
            <w:r w:rsidRPr="00986187">
              <w:rPr>
                <w:rFonts w:ascii="Times New Roman" w:hAnsi="Times New Roman"/>
                <w:b/>
                <w:bCs/>
                <w:sz w:val="22"/>
                <w:szCs w:val="22"/>
                <w:lang w:val="sr-Latn-ME"/>
              </w:rPr>
              <w:t>95% CI</w:t>
            </w:r>
          </w:p>
        </w:tc>
      </w:tr>
      <w:tr w:rsidR="00113500" w:rsidRPr="00986187" w14:paraId="638D910A" w14:textId="77777777" w:rsidTr="00791EE2">
        <w:trPr>
          <w:cantSplit/>
          <w:tblHeader/>
        </w:trPr>
        <w:tc>
          <w:tcPr>
            <w:tcW w:w="2315" w:type="pct"/>
            <w:tcBorders>
              <w:top w:val="single" w:sz="2" w:space="0" w:color="auto"/>
              <w:left w:val="single" w:sz="2" w:space="0" w:color="auto"/>
              <w:bottom w:val="single" w:sz="2" w:space="0" w:color="auto"/>
              <w:right w:val="single" w:sz="2" w:space="0" w:color="auto"/>
            </w:tcBorders>
            <w:hideMark/>
          </w:tcPr>
          <w:p w14:paraId="5F8B638D" w14:textId="77777777" w:rsidR="00113500" w:rsidRPr="00986187" w:rsidRDefault="00113500" w:rsidP="00F3153C">
            <w:pPr>
              <w:pStyle w:val="tabletextNS"/>
              <w:widowControl w:val="0"/>
              <w:jc w:val="both"/>
              <w:rPr>
                <w:rFonts w:ascii="Times New Roman" w:hAnsi="Times New Roman"/>
                <w:b/>
                <w:sz w:val="22"/>
                <w:szCs w:val="22"/>
                <w:lang w:val="sr-Latn-ME"/>
              </w:rPr>
            </w:pPr>
            <w:r w:rsidRPr="00986187">
              <w:rPr>
                <w:rFonts w:ascii="Times New Roman" w:hAnsi="Times New Roman"/>
                <w:b/>
                <w:bCs/>
                <w:sz w:val="22"/>
                <w:szCs w:val="22"/>
                <w:lang w:val="sr-Latn-ME"/>
              </w:rPr>
              <w:t>Status u vrijeme revakcinacije</w:t>
            </w:r>
          </w:p>
        </w:tc>
        <w:tc>
          <w:tcPr>
            <w:tcW w:w="507" w:type="pct"/>
            <w:tcBorders>
              <w:top w:val="single" w:sz="2" w:space="0" w:color="auto"/>
              <w:left w:val="single" w:sz="2" w:space="0" w:color="auto"/>
              <w:bottom w:val="single" w:sz="2" w:space="0" w:color="auto"/>
              <w:right w:val="single" w:sz="2" w:space="0" w:color="auto"/>
            </w:tcBorders>
            <w:hideMark/>
          </w:tcPr>
          <w:p w14:paraId="0176F882" w14:textId="77777777" w:rsidR="00113500" w:rsidRPr="00986187" w:rsidRDefault="001135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N</w:t>
            </w:r>
          </w:p>
        </w:tc>
        <w:tc>
          <w:tcPr>
            <w:tcW w:w="470" w:type="pct"/>
            <w:tcBorders>
              <w:top w:val="single" w:sz="2" w:space="0" w:color="auto"/>
              <w:left w:val="single" w:sz="2" w:space="0" w:color="auto"/>
              <w:bottom w:val="single" w:sz="2" w:space="0" w:color="auto"/>
              <w:right w:val="single" w:sz="2" w:space="0" w:color="auto"/>
            </w:tcBorders>
            <w:hideMark/>
          </w:tcPr>
          <w:p w14:paraId="4C28565D" w14:textId="77777777" w:rsidR="00113500" w:rsidRPr="00986187" w:rsidRDefault="001135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n</w:t>
            </w:r>
          </w:p>
        </w:tc>
        <w:tc>
          <w:tcPr>
            <w:tcW w:w="504" w:type="pct"/>
            <w:tcBorders>
              <w:top w:val="single" w:sz="2" w:space="0" w:color="auto"/>
              <w:left w:val="single" w:sz="2" w:space="0" w:color="auto"/>
              <w:bottom w:val="single" w:sz="2" w:space="0" w:color="auto"/>
              <w:right w:val="single" w:sz="2" w:space="0" w:color="auto"/>
            </w:tcBorders>
            <w:hideMark/>
          </w:tcPr>
          <w:p w14:paraId="4285FE09" w14:textId="77777777" w:rsidR="00113500" w:rsidRPr="00986187" w:rsidRDefault="001135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w:t>
            </w:r>
          </w:p>
        </w:tc>
        <w:tc>
          <w:tcPr>
            <w:tcW w:w="551" w:type="pct"/>
            <w:tcBorders>
              <w:top w:val="single" w:sz="2" w:space="0" w:color="auto"/>
              <w:left w:val="single" w:sz="2" w:space="0" w:color="auto"/>
              <w:bottom w:val="single" w:sz="2" w:space="0" w:color="auto"/>
              <w:right w:val="single" w:sz="2" w:space="0" w:color="auto"/>
            </w:tcBorders>
            <w:hideMark/>
          </w:tcPr>
          <w:p w14:paraId="296F72D1" w14:textId="77777777" w:rsidR="00113500" w:rsidRPr="00986187" w:rsidRDefault="001135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LL</w:t>
            </w:r>
          </w:p>
        </w:tc>
        <w:tc>
          <w:tcPr>
            <w:tcW w:w="653" w:type="pct"/>
            <w:tcBorders>
              <w:top w:val="single" w:sz="2" w:space="0" w:color="auto"/>
              <w:left w:val="single" w:sz="2" w:space="0" w:color="auto"/>
              <w:bottom w:val="single" w:sz="2" w:space="0" w:color="auto"/>
              <w:right w:val="single" w:sz="2" w:space="0" w:color="auto"/>
            </w:tcBorders>
            <w:hideMark/>
          </w:tcPr>
          <w:p w14:paraId="339483B5" w14:textId="77777777" w:rsidR="00113500" w:rsidRPr="00986187" w:rsidRDefault="00113500" w:rsidP="00F3153C">
            <w:pPr>
              <w:pStyle w:val="tabletextNS"/>
              <w:widowControl w:val="0"/>
              <w:jc w:val="center"/>
              <w:rPr>
                <w:rFonts w:ascii="Times New Roman" w:hAnsi="Times New Roman"/>
                <w:b/>
                <w:sz w:val="22"/>
                <w:szCs w:val="22"/>
                <w:lang w:val="sr-Latn-ME"/>
              </w:rPr>
            </w:pPr>
            <w:r w:rsidRPr="00986187">
              <w:rPr>
                <w:rFonts w:ascii="Times New Roman" w:hAnsi="Times New Roman"/>
                <w:b/>
                <w:sz w:val="22"/>
                <w:szCs w:val="22"/>
                <w:lang w:val="sr-Latn-ME"/>
              </w:rPr>
              <w:t>UL</w:t>
            </w:r>
          </w:p>
        </w:tc>
      </w:tr>
      <w:tr w:rsidR="00113500" w:rsidRPr="00986187" w14:paraId="21229FD2" w14:textId="77777777" w:rsidTr="00DF0D23">
        <w:trPr>
          <w:cantSplit/>
        </w:trPr>
        <w:tc>
          <w:tcPr>
            <w:tcW w:w="2315" w:type="pct"/>
            <w:tcBorders>
              <w:top w:val="single" w:sz="2" w:space="0" w:color="auto"/>
              <w:left w:val="single" w:sz="2" w:space="0" w:color="auto"/>
              <w:bottom w:val="single" w:sz="2" w:space="0" w:color="auto"/>
              <w:right w:val="single" w:sz="2" w:space="0" w:color="auto"/>
            </w:tcBorders>
            <w:hideMark/>
          </w:tcPr>
          <w:p w14:paraId="4902281D" w14:textId="107C4E82" w:rsidR="00113500" w:rsidRPr="00986187" w:rsidRDefault="001135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 xml:space="preserve">Ispitanici &lt; 10 </w:t>
            </w:r>
            <w:proofErr w:type="spellStart"/>
            <w:r w:rsidR="00735461" w:rsidRPr="00986187">
              <w:rPr>
                <w:rFonts w:ascii="Times New Roman" w:hAnsi="Times New Roman"/>
                <w:sz w:val="22"/>
                <w:szCs w:val="22"/>
                <w:lang w:val="sr-Latn-ME"/>
              </w:rPr>
              <w:t>mIJ</w:t>
            </w:r>
            <w:proofErr w:type="spellEnd"/>
            <w:r w:rsidR="00735461" w:rsidRPr="00986187">
              <w:rPr>
                <w:rFonts w:ascii="Times New Roman" w:hAnsi="Times New Roman"/>
                <w:sz w:val="22"/>
                <w:szCs w:val="22"/>
                <w:lang w:val="sr-Latn-ME"/>
              </w:rPr>
              <w:t>/ml</w:t>
            </w:r>
          </w:p>
        </w:tc>
        <w:tc>
          <w:tcPr>
            <w:tcW w:w="507" w:type="pct"/>
            <w:tcBorders>
              <w:top w:val="single" w:sz="2" w:space="0" w:color="auto"/>
              <w:left w:val="single" w:sz="2" w:space="0" w:color="auto"/>
              <w:bottom w:val="single" w:sz="2" w:space="0" w:color="auto"/>
              <w:right w:val="single" w:sz="2" w:space="0" w:color="auto"/>
            </w:tcBorders>
          </w:tcPr>
          <w:p w14:paraId="72C9C78F" w14:textId="1F47F878"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101</w:t>
            </w:r>
          </w:p>
        </w:tc>
        <w:tc>
          <w:tcPr>
            <w:tcW w:w="470" w:type="pct"/>
            <w:tcBorders>
              <w:top w:val="single" w:sz="2" w:space="0" w:color="auto"/>
              <w:left w:val="single" w:sz="2" w:space="0" w:color="auto"/>
              <w:bottom w:val="single" w:sz="2" w:space="0" w:color="auto"/>
              <w:right w:val="single" w:sz="2" w:space="0" w:color="auto"/>
            </w:tcBorders>
            <w:hideMark/>
          </w:tcPr>
          <w:p w14:paraId="41F9AFC9" w14:textId="164AD5C3"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95</w:t>
            </w:r>
          </w:p>
        </w:tc>
        <w:tc>
          <w:tcPr>
            <w:tcW w:w="504" w:type="pct"/>
            <w:tcBorders>
              <w:top w:val="single" w:sz="2" w:space="0" w:color="auto"/>
              <w:left w:val="single" w:sz="2" w:space="0" w:color="auto"/>
              <w:bottom w:val="single" w:sz="2" w:space="0" w:color="auto"/>
              <w:right w:val="single" w:sz="2" w:space="0" w:color="auto"/>
            </w:tcBorders>
          </w:tcPr>
          <w:p w14:paraId="22D98F28" w14:textId="3A493426"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94,1</w:t>
            </w:r>
          </w:p>
        </w:tc>
        <w:tc>
          <w:tcPr>
            <w:tcW w:w="551" w:type="pct"/>
            <w:tcBorders>
              <w:top w:val="single" w:sz="2" w:space="0" w:color="auto"/>
              <w:left w:val="single" w:sz="2" w:space="0" w:color="auto"/>
              <w:bottom w:val="single" w:sz="2" w:space="0" w:color="auto"/>
              <w:right w:val="single" w:sz="2" w:space="0" w:color="auto"/>
            </w:tcBorders>
          </w:tcPr>
          <w:p w14:paraId="0F55C2E8" w14:textId="2C428A71"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87,5</w:t>
            </w:r>
          </w:p>
        </w:tc>
        <w:tc>
          <w:tcPr>
            <w:tcW w:w="653" w:type="pct"/>
            <w:tcBorders>
              <w:top w:val="single" w:sz="2" w:space="0" w:color="auto"/>
              <w:left w:val="single" w:sz="2" w:space="0" w:color="auto"/>
              <w:bottom w:val="single" w:sz="2" w:space="0" w:color="auto"/>
              <w:right w:val="single" w:sz="2" w:space="0" w:color="auto"/>
            </w:tcBorders>
          </w:tcPr>
          <w:p w14:paraId="6822FBCC" w14:textId="5059A168"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97,8</w:t>
            </w:r>
          </w:p>
        </w:tc>
      </w:tr>
      <w:tr w:rsidR="00113500" w:rsidRPr="00986187" w14:paraId="3312C858" w14:textId="77777777" w:rsidTr="00DF0D23">
        <w:trPr>
          <w:cantSplit/>
        </w:trPr>
        <w:tc>
          <w:tcPr>
            <w:tcW w:w="2315" w:type="pct"/>
            <w:tcBorders>
              <w:top w:val="single" w:sz="2" w:space="0" w:color="auto"/>
              <w:left w:val="single" w:sz="2" w:space="0" w:color="auto"/>
              <w:bottom w:val="single" w:sz="2" w:space="0" w:color="auto"/>
              <w:right w:val="single" w:sz="2" w:space="0" w:color="auto"/>
            </w:tcBorders>
            <w:hideMark/>
          </w:tcPr>
          <w:p w14:paraId="485A058B" w14:textId="0BDC8F0C" w:rsidR="00113500" w:rsidRPr="00986187" w:rsidRDefault="001135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 xml:space="preserve">Ispitanici ≥ 10 </w:t>
            </w:r>
            <w:proofErr w:type="spellStart"/>
            <w:r w:rsidR="00735461" w:rsidRPr="00986187">
              <w:rPr>
                <w:rFonts w:ascii="Times New Roman" w:hAnsi="Times New Roman"/>
                <w:sz w:val="22"/>
                <w:szCs w:val="22"/>
                <w:lang w:val="sr-Latn-ME"/>
              </w:rPr>
              <w:t>mIJ</w:t>
            </w:r>
            <w:proofErr w:type="spellEnd"/>
            <w:r w:rsidR="00735461" w:rsidRPr="00986187">
              <w:rPr>
                <w:rFonts w:ascii="Times New Roman" w:hAnsi="Times New Roman"/>
                <w:sz w:val="22"/>
                <w:szCs w:val="22"/>
                <w:lang w:val="sr-Latn-ME"/>
              </w:rPr>
              <w:t>/ml</w:t>
            </w:r>
          </w:p>
        </w:tc>
        <w:tc>
          <w:tcPr>
            <w:tcW w:w="507" w:type="pct"/>
            <w:tcBorders>
              <w:top w:val="single" w:sz="2" w:space="0" w:color="auto"/>
              <w:left w:val="single" w:sz="2" w:space="0" w:color="auto"/>
              <w:bottom w:val="single" w:sz="2" w:space="0" w:color="auto"/>
              <w:right w:val="single" w:sz="2" w:space="0" w:color="auto"/>
            </w:tcBorders>
          </w:tcPr>
          <w:p w14:paraId="40937F8F" w14:textId="33C86901"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190</w:t>
            </w:r>
          </w:p>
        </w:tc>
        <w:tc>
          <w:tcPr>
            <w:tcW w:w="470" w:type="pct"/>
            <w:tcBorders>
              <w:top w:val="single" w:sz="2" w:space="0" w:color="auto"/>
              <w:left w:val="single" w:sz="2" w:space="0" w:color="auto"/>
              <w:bottom w:val="single" w:sz="2" w:space="0" w:color="auto"/>
              <w:right w:val="single" w:sz="2" w:space="0" w:color="auto"/>
            </w:tcBorders>
            <w:hideMark/>
          </w:tcPr>
          <w:p w14:paraId="75917786" w14:textId="4BE181B7"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187</w:t>
            </w:r>
          </w:p>
        </w:tc>
        <w:tc>
          <w:tcPr>
            <w:tcW w:w="504" w:type="pct"/>
            <w:tcBorders>
              <w:top w:val="single" w:sz="2" w:space="0" w:color="auto"/>
              <w:left w:val="single" w:sz="2" w:space="0" w:color="auto"/>
              <w:bottom w:val="single" w:sz="2" w:space="0" w:color="auto"/>
              <w:right w:val="single" w:sz="2" w:space="0" w:color="auto"/>
            </w:tcBorders>
          </w:tcPr>
          <w:p w14:paraId="68A34311" w14:textId="44370CBF"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98,4</w:t>
            </w:r>
          </w:p>
        </w:tc>
        <w:tc>
          <w:tcPr>
            <w:tcW w:w="551" w:type="pct"/>
            <w:tcBorders>
              <w:top w:val="single" w:sz="2" w:space="0" w:color="auto"/>
              <w:left w:val="single" w:sz="2" w:space="0" w:color="auto"/>
              <w:bottom w:val="single" w:sz="2" w:space="0" w:color="auto"/>
              <w:right w:val="single" w:sz="2" w:space="0" w:color="auto"/>
            </w:tcBorders>
          </w:tcPr>
          <w:p w14:paraId="5A50D8E3" w14:textId="344339E0"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95,5</w:t>
            </w:r>
          </w:p>
        </w:tc>
        <w:tc>
          <w:tcPr>
            <w:tcW w:w="653" w:type="pct"/>
            <w:tcBorders>
              <w:top w:val="single" w:sz="2" w:space="0" w:color="auto"/>
              <w:left w:val="single" w:sz="2" w:space="0" w:color="auto"/>
              <w:bottom w:val="single" w:sz="2" w:space="0" w:color="auto"/>
              <w:right w:val="single" w:sz="2" w:space="0" w:color="auto"/>
            </w:tcBorders>
          </w:tcPr>
          <w:p w14:paraId="6A9D6403" w14:textId="7F23AC35"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99,7</w:t>
            </w:r>
          </w:p>
        </w:tc>
      </w:tr>
      <w:tr w:rsidR="00113500" w:rsidRPr="00986187" w14:paraId="1189B1F2" w14:textId="77777777" w:rsidTr="00DF0D23">
        <w:trPr>
          <w:cantSplit/>
        </w:trPr>
        <w:tc>
          <w:tcPr>
            <w:tcW w:w="2315" w:type="pct"/>
            <w:tcBorders>
              <w:top w:val="single" w:sz="2" w:space="0" w:color="auto"/>
              <w:left w:val="single" w:sz="2" w:space="0" w:color="auto"/>
              <w:bottom w:val="single" w:sz="4" w:space="0" w:color="auto"/>
              <w:right w:val="single" w:sz="2" w:space="0" w:color="auto"/>
            </w:tcBorders>
            <w:hideMark/>
          </w:tcPr>
          <w:p w14:paraId="729C981B" w14:textId="77777777" w:rsidR="00113500" w:rsidRPr="00986187" w:rsidRDefault="00113500" w:rsidP="00F3153C">
            <w:pPr>
              <w:pStyle w:val="tabletextNS"/>
              <w:widowControl w:val="0"/>
              <w:jc w:val="both"/>
              <w:rPr>
                <w:rFonts w:ascii="Times New Roman" w:hAnsi="Times New Roman"/>
                <w:sz w:val="22"/>
                <w:szCs w:val="22"/>
                <w:lang w:val="sr-Latn-ME"/>
              </w:rPr>
            </w:pPr>
            <w:r w:rsidRPr="00986187">
              <w:rPr>
                <w:rFonts w:ascii="Times New Roman" w:hAnsi="Times New Roman"/>
                <w:sz w:val="22"/>
                <w:szCs w:val="22"/>
                <w:lang w:val="sr-Latn-ME"/>
              </w:rPr>
              <w:t>Ukupno</w:t>
            </w:r>
          </w:p>
        </w:tc>
        <w:tc>
          <w:tcPr>
            <w:tcW w:w="507" w:type="pct"/>
            <w:tcBorders>
              <w:top w:val="single" w:sz="2" w:space="0" w:color="auto"/>
              <w:left w:val="single" w:sz="2" w:space="0" w:color="auto"/>
              <w:bottom w:val="single" w:sz="4" w:space="0" w:color="auto"/>
              <w:right w:val="single" w:sz="2" w:space="0" w:color="auto"/>
            </w:tcBorders>
          </w:tcPr>
          <w:p w14:paraId="7C84303A" w14:textId="75F22506"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291</w:t>
            </w:r>
          </w:p>
        </w:tc>
        <w:tc>
          <w:tcPr>
            <w:tcW w:w="470" w:type="pct"/>
            <w:tcBorders>
              <w:top w:val="single" w:sz="2" w:space="0" w:color="auto"/>
              <w:left w:val="single" w:sz="2" w:space="0" w:color="auto"/>
              <w:bottom w:val="single" w:sz="4" w:space="0" w:color="auto"/>
              <w:right w:val="single" w:sz="2" w:space="0" w:color="auto"/>
            </w:tcBorders>
            <w:hideMark/>
          </w:tcPr>
          <w:p w14:paraId="763B1AFA" w14:textId="1F4B6C4E"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282</w:t>
            </w:r>
          </w:p>
        </w:tc>
        <w:tc>
          <w:tcPr>
            <w:tcW w:w="504" w:type="pct"/>
            <w:tcBorders>
              <w:top w:val="single" w:sz="2" w:space="0" w:color="auto"/>
              <w:left w:val="single" w:sz="2" w:space="0" w:color="auto"/>
              <w:bottom w:val="single" w:sz="4" w:space="0" w:color="auto"/>
              <w:right w:val="single" w:sz="2" w:space="0" w:color="auto"/>
            </w:tcBorders>
          </w:tcPr>
          <w:p w14:paraId="5486D70A" w14:textId="7D88D920"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96,9</w:t>
            </w:r>
          </w:p>
        </w:tc>
        <w:tc>
          <w:tcPr>
            <w:tcW w:w="551" w:type="pct"/>
            <w:tcBorders>
              <w:top w:val="single" w:sz="2" w:space="0" w:color="auto"/>
              <w:left w:val="single" w:sz="2" w:space="0" w:color="auto"/>
              <w:bottom w:val="single" w:sz="4" w:space="0" w:color="auto"/>
              <w:right w:val="single" w:sz="2" w:space="0" w:color="auto"/>
            </w:tcBorders>
          </w:tcPr>
          <w:p w14:paraId="53F47BF7" w14:textId="127DA1CC"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94,2</w:t>
            </w:r>
          </w:p>
        </w:tc>
        <w:tc>
          <w:tcPr>
            <w:tcW w:w="653" w:type="pct"/>
            <w:tcBorders>
              <w:top w:val="single" w:sz="2" w:space="0" w:color="auto"/>
              <w:left w:val="single" w:sz="2" w:space="0" w:color="auto"/>
              <w:bottom w:val="single" w:sz="4" w:space="0" w:color="auto"/>
              <w:right w:val="single" w:sz="2" w:space="0" w:color="auto"/>
            </w:tcBorders>
          </w:tcPr>
          <w:p w14:paraId="65448AB2" w14:textId="5BE036EB" w:rsidR="00113500" w:rsidRPr="00986187" w:rsidRDefault="00113500" w:rsidP="00F3153C">
            <w:pPr>
              <w:pStyle w:val="tabletextNS"/>
              <w:widowControl w:val="0"/>
              <w:jc w:val="center"/>
              <w:rPr>
                <w:rFonts w:ascii="Times New Roman" w:hAnsi="Times New Roman"/>
                <w:sz w:val="22"/>
                <w:szCs w:val="22"/>
                <w:lang w:val="sr-Latn-ME"/>
              </w:rPr>
            </w:pPr>
            <w:r w:rsidRPr="00986187">
              <w:rPr>
                <w:rFonts w:ascii="Times New Roman" w:hAnsi="Times New Roman"/>
                <w:sz w:val="22"/>
                <w:szCs w:val="22"/>
                <w:lang w:val="sr-Latn-ME"/>
              </w:rPr>
              <w:t>98,6</w:t>
            </w:r>
          </w:p>
        </w:tc>
      </w:tr>
      <w:tr w:rsidR="00113500" w:rsidRPr="00986187" w14:paraId="44F2F097" w14:textId="77777777" w:rsidTr="00DF0D23">
        <w:trPr>
          <w:cantSplit/>
        </w:trPr>
        <w:tc>
          <w:tcPr>
            <w:tcW w:w="5000" w:type="pct"/>
            <w:gridSpan w:val="6"/>
            <w:tcBorders>
              <w:top w:val="single" w:sz="4" w:space="0" w:color="auto"/>
              <w:left w:val="single" w:sz="4" w:space="0" w:color="auto"/>
              <w:bottom w:val="single" w:sz="4" w:space="0" w:color="auto"/>
              <w:right w:val="single" w:sz="4" w:space="0" w:color="auto"/>
            </w:tcBorders>
          </w:tcPr>
          <w:p w14:paraId="056AB0D9" w14:textId="77777777" w:rsidR="00113500" w:rsidRPr="00986187" w:rsidRDefault="00113500" w:rsidP="00F3153C">
            <w:pPr>
              <w:widowControl w:val="0"/>
              <w:jc w:val="both"/>
              <w:rPr>
                <w:sz w:val="22"/>
                <w:szCs w:val="22"/>
                <w:lang w:val="sr-Latn-ME"/>
              </w:rPr>
            </w:pPr>
            <w:proofErr w:type="spellStart"/>
            <w:r w:rsidRPr="00986187">
              <w:rPr>
                <w:sz w:val="22"/>
                <w:szCs w:val="22"/>
                <w:lang w:val="sr-Latn-ME"/>
              </w:rPr>
              <w:t>Stratifikacija</w:t>
            </w:r>
            <w:proofErr w:type="spellEnd"/>
            <w:r w:rsidRPr="00986187">
              <w:rPr>
                <w:sz w:val="22"/>
                <w:szCs w:val="22"/>
                <w:lang w:val="sr-Latn-ME"/>
              </w:rPr>
              <w:t xml:space="preserve"> na osnovu posljednjeg </w:t>
            </w:r>
            <w:proofErr w:type="spellStart"/>
            <w:r w:rsidRPr="00986187">
              <w:rPr>
                <w:sz w:val="22"/>
                <w:szCs w:val="22"/>
                <w:lang w:val="sr-Latn-ME"/>
              </w:rPr>
              <w:t>zabilježenog</w:t>
            </w:r>
            <w:proofErr w:type="spellEnd"/>
            <w:r w:rsidRPr="00986187">
              <w:rPr>
                <w:sz w:val="22"/>
                <w:szCs w:val="22"/>
                <w:lang w:val="sr-Latn-ME"/>
              </w:rPr>
              <w:t xml:space="preserve"> mjerenja prije revakcinacije:</w:t>
            </w:r>
          </w:p>
          <w:p w14:paraId="690F2EF9" w14:textId="6C32B71C" w:rsidR="00113500" w:rsidRPr="00986187" w:rsidRDefault="00113500" w:rsidP="00F3153C">
            <w:pPr>
              <w:widowControl w:val="0"/>
              <w:numPr>
                <w:ilvl w:val="0"/>
                <w:numId w:val="14"/>
              </w:numPr>
              <w:tabs>
                <w:tab w:val="left" w:pos="284"/>
              </w:tabs>
              <w:ind w:left="284" w:hanging="142"/>
              <w:jc w:val="both"/>
              <w:rPr>
                <w:sz w:val="22"/>
                <w:szCs w:val="22"/>
                <w:lang w:val="sr-Latn-ME"/>
              </w:rPr>
            </w:pPr>
            <w:r w:rsidRPr="00986187">
              <w:rPr>
                <w:sz w:val="22"/>
                <w:szCs w:val="22"/>
                <w:lang w:val="sr-Latn-ME"/>
              </w:rPr>
              <w:t xml:space="preserve">ispitanici &lt;10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 ispitanici sa koncentracijom antitijela &lt;10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prije doze </w:t>
            </w:r>
            <w:proofErr w:type="spellStart"/>
            <w:r w:rsidRPr="00986187">
              <w:rPr>
                <w:sz w:val="22"/>
                <w:szCs w:val="22"/>
                <w:lang w:val="sr-Latn-ME"/>
              </w:rPr>
              <w:t>revakcine</w:t>
            </w:r>
            <w:proofErr w:type="spellEnd"/>
          </w:p>
          <w:p w14:paraId="068A04DD" w14:textId="6BF52AB8" w:rsidR="00113500" w:rsidRPr="00986187" w:rsidRDefault="00113500" w:rsidP="00F3153C">
            <w:pPr>
              <w:widowControl w:val="0"/>
              <w:numPr>
                <w:ilvl w:val="0"/>
                <w:numId w:val="14"/>
              </w:numPr>
              <w:tabs>
                <w:tab w:val="left" w:pos="284"/>
              </w:tabs>
              <w:ind w:left="284" w:hanging="142"/>
              <w:jc w:val="both"/>
              <w:rPr>
                <w:sz w:val="22"/>
                <w:szCs w:val="22"/>
                <w:lang w:val="sr-Latn-ME"/>
              </w:rPr>
            </w:pPr>
            <w:r w:rsidRPr="00986187">
              <w:rPr>
                <w:sz w:val="22"/>
                <w:szCs w:val="22"/>
                <w:lang w:val="sr-Latn-ME"/>
              </w:rPr>
              <w:t xml:space="preserve">ispitanici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 ispitanici sa koncentracijom antitijela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prije doze </w:t>
            </w:r>
            <w:proofErr w:type="spellStart"/>
            <w:r w:rsidRPr="00986187">
              <w:rPr>
                <w:sz w:val="22"/>
                <w:szCs w:val="22"/>
                <w:lang w:val="sr-Latn-ME"/>
              </w:rPr>
              <w:t>revakcine</w:t>
            </w:r>
            <w:proofErr w:type="spellEnd"/>
          </w:p>
          <w:p w14:paraId="77E9562B" w14:textId="77777777" w:rsidR="00113500" w:rsidRPr="00986187" w:rsidRDefault="00113500" w:rsidP="00F3153C">
            <w:pPr>
              <w:widowControl w:val="0"/>
              <w:tabs>
                <w:tab w:val="left" w:pos="284"/>
              </w:tabs>
              <w:jc w:val="both"/>
              <w:rPr>
                <w:sz w:val="22"/>
                <w:szCs w:val="22"/>
                <w:lang w:val="sr-Latn-ME"/>
              </w:rPr>
            </w:pPr>
            <w:proofErr w:type="spellStart"/>
            <w:r w:rsidRPr="00986187">
              <w:rPr>
                <w:sz w:val="22"/>
                <w:szCs w:val="22"/>
                <w:lang w:val="sr-Latn-ME"/>
              </w:rPr>
              <w:t>Anamnestički</w:t>
            </w:r>
            <w:proofErr w:type="spellEnd"/>
            <w:r w:rsidRPr="00986187">
              <w:rPr>
                <w:sz w:val="22"/>
                <w:szCs w:val="22"/>
                <w:lang w:val="sr-Latn-ME"/>
              </w:rPr>
              <w:t xml:space="preserve"> odgovor je definisan kao: </w:t>
            </w:r>
          </w:p>
          <w:p w14:paraId="4D9B9F30" w14:textId="3774D08D" w:rsidR="00113500" w:rsidRPr="00986187" w:rsidRDefault="00113500" w:rsidP="00F3153C">
            <w:pPr>
              <w:widowControl w:val="0"/>
              <w:numPr>
                <w:ilvl w:val="0"/>
                <w:numId w:val="15"/>
              </w:numPr>
              <w:tabs>
                <w:tab w:val="left" w:pos="284"/>
              </w:tabs>
              <w:ind w:left="284" w:hanging="142"/>
              <w:jc w:val="both"/>
              <w:rPr>
                <w:sz w:val="22"/>
                <w:szCs w:val="22"/>
                <w:lang w:val="sr-Latn-ME"/>
              </w:rPr>
            </w:pPr>
            <w:r w:rsidRPr="00986187">
              <w:rPr>
                <w:sz w:val="22"/>
                <w:szCs w:val="22"/>
                <w:lang w:val="sr-Latn-ME"/>
              </w:rPr>
              <w:t>koncentracija anti-</w:t>
            </w:r>
            <w:proofErr w:type="spellStart"/>
            <w:r w:rsidRPr="00986187">
              <w:rPr>
                <w:sz w:val="22"/>
                <w:szCs w:val="22"/>
                <w:lang w:val="sr-Latn-ME"/>
              </w:rPr>
              <w:t>HBs</w:t>
            </w:r>
            <w:proofErr w:type="spellEnd"/>
            <w:r w:rsidRPr="00986187">
              <w:rPr>
                <w:sz w:val="22"/>
                <w:szCs w:val="22"/>
                <w:lang w:val="sr-Latn-ME"/>
              </w:rPr>
              <w:t xml:space="preserve"> antitijela  ≥ 10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kod ispitanika koji su bili </w:t>
            </w:r>
            <w:proofErr w:type="spellStart"/>
            <w:r w:rsidRPr="00986187">
              <w:rPr>
                <w:sz w:val="22"/>
                <w:szCs w:val="22"/>
                <w:lang w:val="sr-Latn-ME"/>
              </w:rPr>
              <w:t>seronegativni</w:t>
            </w:r>
            <w:proofErr w:type="spellEnd"/>
            <w:r w:rsidRPr="00986187">
              <w:rPr>
                <w:sz w:val="22"/>
                <w:szCs w:val="22"/>
                <w:lang w:val="sr-Latn-ME"/>
              </w:rPr>
              <w:t xml:space="preserve"> prije doze </w:t>
            </w:r>
            <w:proofErr w:type="spellStart"/>
            <w:r w:rsidRPr="00986187">
              <w:rPr>
                <w:sz w:val="22"/>
                <w:szCs w:val="22"/>
                <w:lang w:val="sr-Latn-ME"/>
              </w:rPr>
              <w:t>revakcine</w:t>
            </w:r>
            <w:proofErr w:type="spellEnd"/>
            <w:r w:rsidRPr="00986187">
              <w:rPr>
                <w:sz w:val="22"/>
                <w:szCs w:val="22"/>
                <w:lang w:val="sr-Latn-ME"/>
              </w:rPr>
              <w:t>, ili</w:t>
            </w:r>
          </w:p>
          <w:p w14:paraId="6636E01C" w14:textId="77777777" w:rsidR="00113500" w:rsidRPr="00986187" w:rsidRDefault="00113500" w:rsidP="00F3153C">
            <w:pPr>
              <w:widowControl w:val="0"/>
              <w:numPr>
                <w:ilvl w:val="0"/>
                <w:numId w:val="15"/>
              </w:numPr>
              <w:tabs>
                <w:tab w:val="left" w:pos="284"/>
              </w:tabs>
              <w:ind w:left="284" w:hanging="142"/>
              <w:jc w:val="both"/>
              <w:rPr>
                <w:sz w:val="22"/>
                <w:szCs w:val="22"/>
                <w:lang w:val="sr-Latn-ME"/>
              </w:rPr>
            </w:pPr>
            <w:r w:rsidRPr="00986187">
              <w:rPr>
                <w:sz w:val="22"/>
                <w:szCs w:val="22"/>
                <w:lang w:val="sr-Latn-ME"/>
              </w:rPr>
              <w:t>Porast u koncentraciji anti-</w:t>
            </w:r>
            <w:proofErr w:type="spellStart"/>
            <w:r w:rsidRPr="00986187">
              <w:rPr>
                <w:sz w:val="22"/>
                <w:szCs w:val="22"/>
                <w:lang w:val="sr-Latn-ME"/>
              </w:rPr>
              <w:t>HBs</w:t>
            </w:r>
            <w:proofErr w:type="spellEnd"/>
            <w:r w:rsidRPr="00986187">
              <w:rPr>
                <w:sz w:val="22"/>
                <w:szCs w:val="22"/>
                <w:lang w:val="sr-Latn-ME"/>
              </w:rPr>
              <w:t xml:space="preserve"> antitijela najmanje četiri puta kod ispitanika koji su bili </w:t>
            </w:r>
            <w:proofErr w:type="spellStart"/>
            <w:r w:rsidRPr="00986187">
              <w:rPr>
                <w:sz w:val="22"/>
                <w:szCs w:val="22"/>
                <w:lang w:val="sr-Latn-ME"/>
              </w:rPr>
              <w:t>seropozitivni</w:t>
            </w:r>
            <w:proofErr w:type="spellEnd"/>
            <w:r w:rsidRPr="00986187">
              <w:rPr>
                <w:sz w:val="22"/>
                <w:szCs w:val="22"/>
                <w:lang w:val="sr-Latn-ME"/>
              </w:rPr>
              <w:t xml:space="preserve"> prije doze </w:t>
            </w:r>
            <w:proofErr w:type="spellStart"/>
            <w:r w:rsidRPr="00986187">
              <w:rPr>
                <w:sz w:val="22"/>
                <w:szCs w:val="22"/>
                <w:lang w:val="sr-Latn-ME"/>
              </w:rPr>
              <w:t>revakcine</w:t>
            </w:r>
            <w:proofErr w:type="spellEnd"/>
            <w:r w:rsidRPr="00986187">
              <w:rPr>
                <w:sz w:val="22"/>
                <w:szCs w:val="22"/>
                <w:lang w:val="sr-Latn-ME"/>
              </w:rPr>
              <w:t xml:space="preserve"> </w:t>
            </w:r>
          </w:p>
          <w:p w14:paraId="62406CAF" w14:textId="77777777" w:rsidR="00113500" w:rsidRPr="00986187" w:rsidRDefault="00113500" w:rsidP="00F3153C">
            <w:pPr>
              <w:widowControl w:val="0"/>
              <w:tabs>
                <w:tab w:val="left" w:pos="284"/>
              </w:tabs>
              <w:jc w:val="both"/>
              <w:rPr>
                <w:sz w:val="22"/>
                <w:szCs w:val="22"/>
                <w:lang w:val="sr-Latn-ME"/>
              </w:rPr>
            </w:pPr>
            <w:r w:rsidRPr="00986187">
              <w:rPr>
                <w:sz w:val="22"/>
                <w:szCs w:val="22"/>
                <w:lang w:val="sr-Latn-ME"/>
              </w:rPr>
              <w:t>N = broj ispitanika sa raspoloživim rezultatima prije i poslije vakcinacije</w:t>
            </w:r>
          </w:p>
          <w:p w14:paraId="5C965F99" w14:textId="77777777" w:rsidR="00113500" w:rsidRPr="00986187" w:rsidRDefault="00113500" w:rsidP="00F3153C">
            <w:pPr>
              <w:widowControl w:val="0"/>
              <w:jc w:val="both"/>
              <w:rPr>
                <w:sz w:val="22"/>
                <w:szCs w:val="22"/>
                <w:lang w:val="sr-Latn-ME"/>
              </w:rPr>
            </w:pPr>
            <w:r w:rsidRPr="00986187">
              <w:rPr>
                <w:sz w:val="22"/>
                <w:szCs w:val="22"/>
                <w:lang w:val="sr-Latn-ME"/>
              </w:rPr>
              <w:t>n = broj ispitanika</w:t>
            </w:r>
          </w:p>
          <w:p w14:paraId="0FDE4B40" w14:textId="77777777" w:rsidR="00113500" w:rsidRPr="00986187" w:rsidRDefault="00113500" w:rsidP="00F3153C">
            <w:pPr>
              <w:widowControl w:val="0"/>
              <w:jc w:val="both"/>
              <w:rPr>
                <w:sz w:val="22"/>
                <w:szCs w:val="22"/>
                <w:lang w:val="sr-Latn-ME"/>
              </w:rPr>
            </w:pPr>
            <w:r w:rsidRPr="00986187">
              <w:rPr>
                <w:sz w:val="22"/>
                <w:szCs w:val="22"/>
                <w:lang w:val="sr-Latn-ME"/>
              </w:rPr>
              <w:t>% = procenat ispitanika sa odgovorom na vakcinaciju</w:t>
            </w:r>
          </w:p>
          <w:p w14:paraId="0D34FDA2" w14:textId="1702B842" w:rsidR="00113500" w:rsidRPr="00986187" w:rsidRDefault="00113500" w:rsidP="00F3153C">
            <w:pPr>
              <w:widowControl w:val="0"/>
              <w:jc w:val="both"/>
              <w:rPr>
                <w:sz w:val="22"/>
                <w:szCs w:val="22"/>
                <w:lang w:val="sr-Latn-ME"/>
              </w:rPr>
            </w:pPr>
            <w:r w:rsidRPr="00986187">
              <w:rPr>
                <w:sz w:val="22"/>
                <w:szCs w:val="22"/>
                <w:lang w:val="sr-Latn-ME"/>
              </w:rPr>
              <w:t>95% CI = tačno 95% interval povjerenja; LL = donja granica, UL = gornja granica</w:t>
            </w:r>
          </w:p>
        </w:tc>
      </w:tr>
      <w:tr w:rsidR="00113500" w:rsidRPr="00986187" w14:paraId="40383562" w14:textId="77777777" w:rsidTr="00DF0D23">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6A7C5E3D" w14:textId="77777777" w:rsidR="00113500" w:rsidRPr="00986187" w:rsidRDefault="00113500" w:rsidP="00F3153C">
            <w:pPr>
              <w:pStyle w:val="tabletextNS"/>
              <w:widowControl w:val="0"/>
              <w:jc w:val="both"/>
              <w:rPr>
                <w:rFonts w:ascii="Times New Roman" w:hAnsi="Times New Roman"/>
                <w:sz w:val="22"/>
                <w:szCs w:val="22"/>
                <w:lang w:val="sr-Latn-ME"/>
              </w:rPr>
            </w:pPr>
          </w:p>
        </w:tc>
      </w:tr>
    </w:tbl>
    <w:p w14:paraId="14987800" w14:textId="77777777" w:rsidR="00113500" w:rsidRPr="00986187" w:rsidRDefault="00113500" w:rsidP="00F3153C">
      <w:pPr>
        <w:widowControl w:val="0"/>
        <w:jc w:val="both"/>
        <w:rPr>
          <w:sz w:val="22"/>
          <w:szCs w:val="22"/>
          <w:lang w:val="sr-Latn-ME"/>
        </w:rPr>
      </w:pPr>
    </w:p>
    <w:p w14:paraId="03CF96F8" w14:textId="745067B8" w:rsidR="00113500" w:rsidRPr="00986187" w:rsidRDefault="00113500" w:rsidP="00F3153C">
      <w:pPr>
        <w:widowControl w:val="0"/>
        <w:jc w:val="both"/>
        <w:rPr>
          <w:sz w:val="22"/>
          <w:szCs w:val="22"/>
          <w:lang w:val="sr-Latn-ME"/>
        </w:rPr>
      </w:pPr>
      <w:r w:rsidRPr="00986187">
        <w:rPr>
          <w:sz w:val="22"/>
          <w:szCs w:val="22"/>
          <w:lang w:val="sr-Latn-ME"/>
        </w:rPr>
        <w:t>Rezultat za primarnu mjeru ishoda u ispitivanju, definisanu kao postotak ispitanika s koncentracijom</w:t>
      </w:r>
    </w:p>
    <w:p w14:paraId="62F6FBF2" w14:textId="794FBDB9" w:rsidR="00113500" w:rsidRPr="00986187" w:rsidRDefault="00113500" w:rsidP="00F3153C">
      <w:pPr>
        <w:widowControl w:val="0"/>
        <w:jc w:val="both"/>
        <w:rPr>
          <w:sz w:val="22"/>
          <w:szCs w:val="22"/>
          <w:lang w:val="sr-Latn-ME"/>
        </w:rPr>
      </w:pPr>
      <w:r w:rsidRPr="00986187">
        <w:rPr>
          <w:sz w:val="22"/>
          <w:szCs w:val="22"/>
          <w:lang w:val="sr-Latn-ME"/>
        </w:rPr>
        <w:t>anti-</w:t>
      </w:r>
      <w:proofErr w:type="spellStart"/>
      <w:r w:rsidRPr="00986187">
        <w:rPr>
          <w:sz w:val="22"/>
          <w:szCs w:val="22"/>
          <w:lang w:val="sr-Latn-ME"/>
        </w:rPr>
        <w:t>HBs</w:t>
      </w:r>
      <w:proofErr w:type="spellEnd"/>
      <w:r w:rsidRPr="00986187">
        <w:rPr>
          <w:sz w:val="22"/>
          <w:szCs w:val="22"/>
          <w:lang w:val="sr-Latn-ME"/>
        </w:rPr>
        <w:t xml:space="preserve"> antitijela ≥ 100 </w:t>
      </w:r>
      <w:proofErr w:type="spellStart"/>
      <w:r w:rsidR="00735461" w:rsidRPr="00986187">
        <w:rPr>
          <w:sz w:val="22"/>
          <w:szCs w:val="22"/>
          <w:lang w:val="sr-Latn-ME"/>
        </w:rPr>
        <w:t>mIJ</w:t>
      </w:r>
      <w:proofErr w:type="spellEnd"/>
      <w:r w:rsidR="00735461" w:rsidRPr="00986187">
        <w:rPr>
          <w:sz w:val="22"/>
          <w:szCs w:val="22"/>
          <w:lang w:val="sr-Latn-ME"/>
        </w:rPr>
        <w:t>/ml</w:t>
      </w:r>
      <w:r w:rsidRPr="00986187">
        <w:rPr>
          <w:sz w:val="22"/>
          <w:szCs w:val="22"/>
          <w:lang w:val="sr-Latn-ME"/>
        </w:rPr>
        <w:t xml:space="preserve"> mjesec dana nakon revakcinacije, iznosio je 90,8% (95% CI: 86,8; 93,8). Kao odgovor na revakcinaciju, GMC anti-</w:t>
      </w:r>
      <w:proofErr w:type="spellStart"/>
      <w:r w:rsidRPr="00986187">
        <w:rPr>
          <w:sz w:val="22"/>
          <w:szCs w:val="22"/>
          <w:lang w:val="sr-Latn-ME"/>
        </w:rPr>
        <w:t>HBs</w:t>
      </w:r>
      <w:proofErr w:type="spellEnd"/>
      <w:r w:rsidRPr="00986187">
        <w:rPr>
          <w:sz w:val="22"/>
          <w:szCs w:val="22"/>
          <w:lang w:val="sr-Latn-ME"/>
        </w:rPr>
        <w:t xml:space="preserve"> antitijela povećao se 156 puta (s 26,5 na 4134,9 </w:t>
      </w:r>
      <w:proofErr w:type="spellStart"/>
      <w:r w:rsidR="00735461" w:rsidRPr="00986187">
        <w:rPr>
          <w:sz w:val="22"/>
          <w:szCs w:val="22"/>
          <w:lang w:val="sr-Latn-ME"/>
        </w:rPr>
        <w:lastRenderedPageBreak/>
        <w:t>mIJ</w:t>
      </w:r>
      <w:proofErr w:type="spellEnd"/>
      <w:r w:rsidR="00735461" w:rsidRPr="00986187">
        <w:rPr>
          <w:sz w:val="22"/>
          <w:szCs w:val="22"/>
          <w:lang w:val="sr-Latn-ME"/>
        </w:rPr>
        <w:t>/ml</w:t>
      </w:r>
      <w:r w:rsidRPr="00986187">
        <w:rPr>
          <w:sz w:val="22"/>
          <w:szCs w:val="22"/>
          <w:lang w:val="sr-Latn-ME"/>
        </w:rPr>
        <w:t>).</w:t>
      </w:r>
    </w:p>
    <w:p w14:paraId="382C603C" w14:textId="7DBDBC8E" w:rsidR="00113500" w:rsidRPr="00986187" w:rsidRDefault="00113500" w:rsidP="00F3153C">
      <w:pPr>
        <w:widowControl w:val="0"/>
        <w:jc w:val="both"/>
        <w:rPr>
          <w:sz w:val="22"/>
          <w:szCs w:val="22"/>
          <w:lang w:val="sr-Latn-ME"/>
        </w:rPr>
      </w:pPr>
      <w:r w:rsidRPr="00986187">
        <w:rPr>
          <w:sz w:val="22"/>
          <w:szCs w:val="22"/>
          <w:lang w:val="sr-Latn-ME"/>
        </w:rPr>
        <w:t xml:space="preserve">Slični podaci s obzirom na stope </w:t>
      </w:r>
      <w:proofErr w:type="spellStart"/>
      <w:r w:rsidRPr="00986187">
        <w:rPr>
          <w:sz w:val="22"/>
          <w:szCs w:val="22"/>
          <w:lang w:val="sr-Latn-ME"/>
        </w:rPr>
        <w:t>serološke</w:t>
      </w:r>
      <w:proofErr w:type="spellEnd"/>
      <w:r w:rsidRPr="00986187">
        <w:rPr>
          <w:sz w:val="22"/>
          <w:szCs w:val="22"/>
          <w:lang w:val="sr-Latn-ME"/>
        </w:rPr>
        <w:t xml:space="preserve"> zaštite i </w:t>
      </w:r>
      <w:proofErr w:type="spellStart"/>
      <w:r w:rsidRPr="00986187">
        <w:rPr>
          <w:sz w:val="22"/>
          <w:szCs w:val="22"/>
          <w:lang w:val="sr-Latn-ME"/>
        </w:rPr>
        <w:t>anamnestički</w:t>
      </w:r>
      <w:proofErr w:type="spellEnd"/>
      <w:r w:rsidRPr="00986187">
        <w:rPr>
          <w:sz w:val="22"/>
          <w:szCs w:val="22"/>
          <w:lang w:val="sr-Latn-ME"/>
        </w:rPr>
        <w:t xml:space="preserve"> odgovor dobijeni su i kod ispitanika</w:t>
      </w:r>
    </w:p>
    <w:p w14:paraId="0A6DBD09" w14:textId="03056C47" w:rsidR="00113500" w:rsidRPr="00986187" w:rsidRDefault="00113500" w:rsidP="00F3153C">
      <w:pPr>
        <w:widowControl w:val="0"/>
        <w:jc w:val="both"/>
        <w:rPr>
          <w:sz w:val="22"/>
          <w:szCs w:val="22"/>
          <w:lang w:val="sr-Latn-ME"/>
        </w:rPr>
      </w:pPr>
      <w:r w:rsidRPr="00986187">
        <w:rPr>
          <w:sz w:val="22"/>
          <w:szCs w:val="22"/>
          <w:lang w:val="sr-Latn-ME"/>
        </w:rPr>
        <w:t>(N=279</w:t>
      </w:r>
      <w:r w:rsidR="0068274A" w:rsidRPr="00986187">
        <w:rPr>
          <w:sz w:val="22"/>
          <w:szCs w:val="22"/>
          <w:lang w:val="sr-Latn-ME"/>
        </w:rPr>
        <w:t xml:space="preserve">) </w:t>
      </w:r>
      <w:r w:rsidRPr="00986187">
        <w:rPr>
          <w:sz w:val="22"/>
          <w:szCs w:val="22"/>
          <w:lang w:val="sr-Latn-ME"/>
        </w:rPr>
        <w:t>uzrasta od 12 do 13 godina.</w:t>
      </w:r>
    </w:p>
    <w:p w14:paraId="3FC4165F" w14:textId="77777777" w:rsidR="00113500" w:rsidRPr="00986187" w:rsidRDefault="00113500" w:rsidP="00F3153C">
      <w:pPr>
        <w:widowControl w:val="0"/>
        <w:jc w:val="both"/>
        <w:rPr>
          <w:sz w:val="22"/>
          <w:szCs w:val="22"/>
          <w:lang w:val="sr-Latn-ME"/>
        </w:rPr>
      </w:pPr>
    </w:p>
    <w:p w14:paraId="2063C616" w14:textId="77777777" w:rsidR="00F01C00" w:rsidRPr="00986187" w:rsidRDefault="00F01C00" w:rsidP="00F3153C">
      <w:pPr>
        <w:widowControl w:val="0"/>
        <w:jc w:val="both"/>
        <w:rPr>
          <w:sz w:val="22"/>
          <w:szCs w:val="22"/>
          <w:lang w:val="sr-Latn-ME"/>
        </w:rPr>
      </w:pPr>
      <w:r w:rsidRPr="00986187">
        <w:rPr>
          <w:sz w:val="22"/>
          <w:szCs w:val="22"/>
          <w:u w:val="single"/>
          <w:lang w:val="sr-Latn-ME"/>
        </w:rPr>
        <w:t xml:space="preserve">Smanjenje </w:t>
      </w:r>
      <w:proofErr w:type="spellStart"/>
      <w:r w:rsidRPr="00986187">
        <w:rPr>
          <w:sz w:val="22"/>
          <w:szCs w:val="22"/>
          <w:u w:val="single"/>
          <w:lang w:val="sr-Latn-ME"/>
        </w:rPr>
        <w:t>incidence</w:t>
      </w:r>
      <w:proofErr w:type="spellEnd"/>
      <w:r w:rsidRPr="00986187">
        <w:rPr>
          <w:sz w:val="22"/>
          <w:szCs w:val="22"/>
          <w:u w:val="single"/>
          <w:lang w:val="sr-Latn-ME"/>
        </w:rPr>
        <w:t xml:space="preserve"> </w:t>
      </w:r>
      <w:proofErr w:type="spellStart"/>
      <w:r w:rsidRPr="00986187">
        <w:rPr>
          <w:sz w:val="22"/>
          <w:szCs w:val="22"/>
          <w:u w:val="single"/>
          <w:lang w:val="sr-Latn-ME"/>
        </w:rPr>
        <w:t>hepatocelularnog</w:t>
      </w:r>
      <w:proofErr w:type="spellEnd"/>
      <w:r w:rsidRPr="00986187">
        <w:rPr>
          <w:sz w:val="22"/>
          <w:szCs w:val="22"/>
          <w:u w:val="single"/>
          <w:lang w:val="sr-Latn-ME"/>
        </w:rPr>
        <w:t xml:space="preserve"> </w:t>
      </w:r>
      <w:proofErr w:type="spellStart"/>
      <w:r w:rsidRPr="00986187">
        <w:rPr>
          <w:sz w:val="22"/>
          <w:szCs w:val="22"/>
          <w:u w:val="single"/>
          <w:lang w:val="sr-Latn-ME"/>
        </w:rPr>
        <w:t>karcinoma</w:t>
      </w:r>
      <w:proofErr w:type="spellEnd"/>
      <w:r w:rsidRPr="00986187">
        <w:rPr>
          <w:sz w:val="22"/>
          <w:szCs w:val="22"/>
          <w:u w:val="single"/>
          <w:lang w:val="sr-Latn-ME"/>
        </w:rPr>
        <w:t xml:space="preserve"> kod djece</w:t>
      </w:r>
    </w:p>
    <w:p w14:paraId="2EB2ECDF" w14:textId="77777777" w:rsidR="00F01C00" w:rsidRPr="00986187" w:rsidRDefault="00F01C00" w:rsidP="00F3153C">
      <w:pPr>
        <w:widowControl w:val="0"/>
        <w:jc w:val="both"/>
        <w:rPr>
          <w:sz w:val="22"/>
          <w:szCs w:val="22"/>
          <w:lang w:val="sr-Latn-ME"/>
        </w:rPr>
      </w:pPr>
      <w:r w:rsidRPr="00986187">
        <w:rPr>
          <w:sz w:val="22"/>
          <w:szCs w:val="22"/>
          <w:lang w:val="sr-Latn-ME"/>
        </w:rPr>
        <w:t xml:space="preserve">Pokazana je jasna povezanost pojave hepatitis B infekcije i </w:t>
      </w:r>
      <w:proofErr w:type="spellStart"/>
      <w:r w:rsidRPr="00986187">
        <w:rPr>
          <w:sz w:val="22"/>
          <w:szCs w:val="22"/>
          <w:lang w:val="sr-Latn-ME"/>
        </w:rPr>
        <w:t>hepatocelularnog</w:t>
      </w:r>
      <w:proofErr w:type="spellEnd"/>
      <w:r w:rsidRPr="00986187">
        <w:rPr>
          <w:sz w:val="22"/>
          <w:szCs w:val="22"/>
          <w:lang w:val="sr-Latn-ME"/>
        </w:rPr>
        <w:t xml:space="preserve"> </w:t>
      </w:r>
      <w:proofErr w:type="spellStart"/>
      <w:r w:rsidRPr="00986187">
        <w:rPr>
          <w:sz w:val="22"/>
          <w:szCs w:val="22"/>
          <w:lang w:val="sr-Latn-ME"/>
        </w:rPr>
        <w:t>karcinoma</w:t>
      </w:r>
      <w:proofErr w:type="spellEnd"/>
      <w:r w:rsidRPr="00986187">
        <w:rPr>
          <w:sz w:val="22"/>
          <w:szCs w:val="22"/>
          <w:lang w:val="sr-Latn-ME"/>
        </w:rPr>
        <w:t xml:space="preserve"> (HCC). </w:t>
      </w:r>
    </w:p>
    <w:p w14:paraId="2135E74D" w14:textId="3019B250" w:rsidR="00F01C00" w:rsidRPr="00986187" w:rsidRDefault="00F01C00" w:rsidP="00F3153C">
      <w:pPr>
        <w:widowControl w:val="0"/>
        <w:jc w:val="both"/>
        <w:rPr>
          <w:sz w:val="22"/>
          <w:szCs w:val="22"/>
          <w:lang w:val="sr-Latn-ME"/>
        </w:rPr>
      </w:pPr>
      <w:r w:rsidRPr="00986187">
        <w:rPr>
          <w:sz w:val="22"/>
          <w:szCs w:val="22"/>
          <w:lang w:val="sr-Latn-ME"/>
        </w:rPr>
        <w:t xml:space="preserve">Smanjenje </w:t>
      </w:r>
      <w:proofErr w:type="spellStart"/>
      <w:r w:rsidRPr="00986187">
        <w:rPr>
          <w:sz w:val="22"/>
          <w:szCs w:val="22"/>
          <w:lang w:val="sr-Latn-ME"/>
        </w:rPr>
        <w:t>incidence</w:t>
      </w:r>
      <w:proofErr w:type="spellEnd"/>
      <w:r w:rsidRPr="00986187">
        <w:rPr>
          <w:sz w:val="22"/>
          <w:szCs w:val="22"/>
          <w:lang w:val="sr-Latn-ME"/>
        </w:rPr>
        <w:t xml:space="preserve"> </w:t>
      </w:r>
      <w:proofErr w:type="spellStart"/>
      <w:r w:rsidRPr="00986187">
        <w:rPr>
          <w:sz w:val="22"/>
          <w:szCs w:val="22"/>
          <w:lang w:val="sr-Latn-ME"/>
        </w:rPr>
        <w:t>hepatocelularnog</w:t>
      </w:r>
      <w:proofErr w:type="spellEnd"/>
      <w:r w:rsidRPr="00986187">
        <w:rPr>
          <w:sz w:val="22"/>
          <w:szCs w:val="22"/>
          <w:lang w:val="sr-Latn-ME"/>
        </w:rPr>
        <w:t xml:space="preserve"> </w:t>
      </w:r>
      <w:proofErr w:type="spellStart"/>
      <w:r w:rsidRPr="00986187">
        <w:rPr>
          <w:sz w:val="22"/>
          <w:szCs w:val="22"/>
          <w:lang w:val="sr-Latn-ME"/>
        </w:rPr>
        <w:t>karcinoma</w:t>
      </w:r>
      <w:proofErr w:type="spellEnd"/>
      <w:r w:rsidRPr="00986187">
        <w:rPr>
          <w:sz w:val="22"/>
          <w:szCs w:val="22"/>
          <w:lang w:val="sr-Latn-ME"/>
        </w:rPr>
        <w:t xml:space="preserve"> (HCC) zapaženo je na Tajvanu, kod djece od 6 do 14 godin</w:t>
      </w:r>
      <w:r w:rsidR="008B1056" w:rsidRPr="00986187">
        <w:rPr>
          <w:sz w:val="22"/>
          <w:szCs w:val="22"/>
          <w:lang w:val="sr-Latn-ME"/>
        </w:rPr>
        <w:t>a</w:t>
      </w:r>
      <w:r w:rsidRPr="00986187">
        <w:rPr>
          <w:sz w:val="22"/>
          <w:szCs w:val="22"/>
          <w:lang w:val="sr-Latn-ME"/>
        </w:rPr>
        <w:t xml:space="preserve"> nakon vakcinacije protiv hepatitisa B. </w:t>
      </w:r>
    </w:p>
    <w:p w14:paraId="2BF748F8" w14:textId="77777777" w:rsidR="002E37A5" w:rsidRPr="00986187" w:rsidRDefault="002E37A5" w:rsidP="00F3153C">
      <w:pPr>
        <w:widowControl w:val="0"/>
        <w:tabs>
          <w:tab w:val="left" w:pos="540"/>
          <w:tab w:val="left" w:pos="569"/>
        </w:tabs>
        <w:rPr>
          <w:b/>
          <w:bCs/>
          <w:sz w:val="22"/>
          <w:szCs w:val="22"/>
          <w:lang w:val="sr-Latn-ME"/>
        </w:rPr>
      </w:pPr>
    </w:p>
    <w:p w14:paraId="48B71D52"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5.2. </w:t>
      </w:r>
      <w:r w:rsidR="00480FB1" w:rsidRPr="00986187">
        <w:rPr>
          <w:b/>
          <w:bCs/>
          <w:sz w:val="22"/>
          <w:szCs w:val="22"/>
          <w:lang w:val="sr-Latn-ME"/>
        </w:rPr>
        <w:tab/>
      </w:r>
      <w:proofErr w:type="spellStart"/>
      <w:r w:rsidRPr="00986187">
        <w:rPr>
          <w:b/>
          <w:bCs/>
          <w:sz w:val="22"/>
          <w:szCs w:val="22"/>
          <w:lang w:val="sr-Latn-ME"/>
        </w:rPr>
        <w:t>Farmakokinetički</w:t>
      </w:r>
      <w:proofErr w:type="spellEnd"/>
      <w:r w:rsidRPr="00986187">
        <w:rPr>
          <w:b/>
          <w:bCs/>
          <w:sz w:val="22"/>
          <w:szCs w:val="22"/>
          <w:lang w:val="sr-Latn-ME"/>
        </w:rPr>
        <w:t xml:space="preserve"> podaci</w:t>
      </w:r>
      <w:r w:rsidR="003A7059" w:rsidRPr="00986187">
        <w:rPr>
          <w:b/>
          <w:bCs/>
          <w:sz w:val="22"/>
          <w:szCs w:val="22"/>
          <w:lang w:val="sr-Latn-ME"/>
        </w:rPr>
        <w:t xml:space="preserve"> </w:t>
      </w:r>
    </w:p>
    <w:p w14:paraId="6DC94660" w14:textId="77777777" w:rsidR="008B1056" w:rsidRPr="00986187" w:rsidRDefault="008B1056" w:rsidP="00F3153C">
      <w:pPr>
        <w:pStyle w:val="Header"/>
        <w:widowControl w:val="0"/>
        <w:tabs>
          <w:tab w:val="left" w:pos="284"/>
        </w:tabs>
        <w:jc w:val="both"/>
        <w:rPr>
          <w:sz w:val="22"/>
          <w:szCs w:val="22"/>
          <w:lang w:val="sr-Latn-ME"/>
        </w:rPr>
      </w:pPr>
    </w:p>
    <w:p w14:paraId="33ECBAB7" w14:textId="3D93E51C" w:rsidR="00F65CB6" w:rsidRPr="00986187" w:rsidRDefault="00F65CB6" w:rsidP="00F3153C">
      <w:pPr>
        <w:pStyle w:val="Header"/>
        <w:widowControl w:val="0"/>
        <w:tabs>
          <w:tab w:val="left" w:pos="284"/>
        </w:tabs>
        <w:jc w:val="both"/>
        <w:rPr>
          <w:sz w:val="22"/>
          <w:szCs w:val="22"/>
          <w:lang w:val="sr-Latn-ME"/>
        </w:rPr>
      </w:pPr>
      <w:r w:rsidRPr="00986187">
        <w:rPr>
          <w:sz w:val="22"/>
          <w:szCs w:val="22"/>
          <w:lang w:val="sr-Latn-ME"/>
        </w:rPr>
        <w:t>Nije primjenljivo.</w:t>
      </w:r>
    </w:p>
    <w:p w14:paraId="1BC3D5D9" w14:textId="77777777" w:rsidR="0072020E" w:rsidRPr="00986187" w:rsidRDefault="0072020E" w:rsidP="00F3153C">
      <w:pPr>
        <w:widowControl w:val="0"/>
        <w:tabs>
          <w:tab w:val="left" w:pos="540"/>
          <w:tab w:val="left" w:pos="569"/>
        </w:tabs>
        <w:rPr>
          <w:bCs/>
          <w:sz w:val="22"/>
          <w:szCs w:val="22"/>
          <w:lang w:val="sr-Latn-ME"/>
        </w:rPr>
      </w:pPr>
    </w:p>
    <w:p w14:paraId="42EFB7BB"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5.3. </w:t>
      </w:r>
      <w:r w:rsidR="00480FB1" w:rsidRPr="00986187">
        <w:rPr>
          <w:b/>
          <w:bCs/>
          <w:sz w:val="22"/>
          <w:szCs w:val="22"/>
          <w:lang w:val="sr-Latn-ME"/>
        </w:rPr>
        <w:tab/>
      </w:r>
      <w:proofErr w:type="spellStart"/>
      <w:r w:rsidRPr="00986187">
        <w:rPr>
          <w:b/>
          <w:bCs/>
          <w:sz w:val="22"/>
          <w:szCs w:val="22"/>
          <w:lang w:val="sr-Latn-ME"/>
        </w:rPr>
        <w:t>Pretklinički</w:t>
      </w:r>
      <w:proofErr w:type="spellEnd"/>
      <w:r w:rsidRPr="00986187">
        <w:rPr>
          <w:b/>
          <w:bCs/>
          <w:sz w:val="22"/>
          <w:szCs w:val="22"/>
          <w:lang w:val="sr-Latn-ME"/>
        </w:rPr>
        <w:t xml:space="preserve"> podaci o bezbjednosti </w:t>
      </w:r>
    </w:p>
    <w:p w14:paraId="0C4000B5" w14:textId="77777777" w:rsidR="008B1056" w:rsidRPr="00986187" w:rsidRDefault="008B1056" w:rsidP="00F3153C">
      <w:pPr>
        <w:pStyle w:val="Header"/>
        <w:widowControl w:val="0"/>
        <w:tabs>
          <w:tab w:val="left" w:pos="284"/>
        </w:tabs>
        <w:jc w:val="both"/>
        <w:rPr>
          <w:sz w:val="22"/>
          <w:szCs w:val="22"/>
          <w:lang w:val="sr-Latn-ME"/>
        </w:rPr>
      </w:pPr>
    </w:p>
    <w:p w14:paraId="016848DE" w14:textId="3B64272F" w:rsidR="00836B35" w:rsidRPr="00986187" w:rsidRDefault="00F65CB6" w:rsidP="00F3153C">
      <w:pPr>
        <w:pStyle w:val="Header"/>
        <w:widowControl w:val="0"/>
        <w:tabs>
          <w:tab w:val="left" w:pos="284"/>
        </w:tabs>
        <w:jc w:val="both"/>
        <w:rPr>
          <w:sz w:val="22"/>
          <w:szCs w:val="22"/>
          <w:lang w:val="sr-Latn-ME"/>
        </w:rPr>
      </w:pPr>
      <w:proofErr w:type="spellStart"/>
      <w:r w:rsidRPr="00986187">
        <w:rPr>
          <w:sz w:val="22"/>
          <w:szCs w:val="22"/>
          <w:lang w:val="sr-Latn-ME"/>
        </w:rPr>
        <w:t>Pretklinički</w:t>
      </w:r>
      <w:proofErr w:type="spellEnd"/>
      <w:r w:rsidRPr="00986187">
        <w:rPr>
          <w:sz w:val="22"/>
          <w:szCs w:val="22"/>
          <w:lang w:val="sr-Latn-ME"/>
        </w:rPr>
        <w:t xml:space="preserve"> podaci o bezbjednosti zadovoljavaju zahtjeve Svjetske zdravstvene organizacije.</w:t>
      </w:r>
    </w:p>
    <w:p w14:paraId="18C02E83" w14:textId="44AE5DB6" w:rsidR="00396DFD" w:rsidRPr="00986187" w:rsidRDefault="00396DFD" w:rsidP="00F3153C">
      <w:pPr>
        <w:widowControl w:val="0"/>
        <w:tabs>
          <w:tab w:val="left" w:pos="540"/>
          <w:tab w:val="left" w:pos="569"/>
        </w:tabs>
        <w:rPr>
          <w:b/>
          <w:bCs/>
          <w:sz w:val="22"/>
          <w:szCs w:val="22"/>
          <w:lang w:val="sr-Latn-ME"/>
        </w:rPr>
      </w:pPr>
    </w:p>
    <w:p w14:paraId="704DD8EB" w14:textId="77777777" w:rsidR="00BC6BA1" w:rsidRPr="00986187" w:rsidRDefault="00BC6BA1" w:rsidP="00F3153C">
      <w:pPr>
        <w:widowControl w:val="0"/>
        <w:tabs>
          <w:tab w:val="left" w:pos="540"/>
          <w:tab w:val="left" w:pos="569"/>
        </w:tabs>
        <w:rPr>
          <w:b/>
          <w:bCs/>
          <w:sz w:val="22"/>
          <w:szCs w:val="22"/>
          <w:lang w:val="sr-Latn-ME"/>
        </w:rPr>
      </w:pPr>
    </w:p>
    <w:p w14:paraId="1FC52478"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6. </w:t>
      </w:r>
      <w:r w:rsidR="00480FB1" w:rsidRPr="00986187">
        <w:rPr>
          <w:b/>
          <w:bCs/>
          <w:sz w:val="22"/>
          <w:szCs w:val="22"/>
          <w:lang w:val="sr-Latn-ME"/>
        </w:rPr>
        <w:tab/>
      </w:r>
      <w:r w:rsidRPr="00986187">
        <w:rPr>
          <w:b/>
          <w:bCs/>
          <w:sz w:val="22"/>
          <w:szCs w:val="22"/>
          <w:lang w:val="sr-Latn-ME"/>
        </w:rPr>
        <w:t>FARMACEUTSKI PODACI</w:t>
      </w:r>
    </w:p>
    <w:p w14:paraId="6914DC81" w14:textId="77777777" w:rsidR="00836B35" w:rsidRPr="00986187" w:rsidRDefault="00836B35" w:rsidP="00F3153C">
      <w:pPr>
        <w:widowControl w:val="0"/>
        <w:tabs>
          <w:tab w:val="left" w:pos="540"/>
          <w:tab w:val="left" w:pos="569"/>
        </w:tabs>
        <w:rPr>
          <w:bCs/>
          <w:sz w:val="22"/>
          <w:szCs w:val="22"/>
          <w:lang w:val="sr-Latn-ME"/>
        </w:rPr>
      </w:pPr>
    </w:p>
    <w:p w14:paraId="605C3F4E"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6.1. </w:t>
      </w:r>
      <w:r w:rsidR="00480FB1" w:rsidRPr="00986187">
        <w:rPr>
          <w:b/>
          <w:bCs/>
          <w:sz w:val="22"/>
          <w:szCs w:val="22"/>
          <w:lang w:val="sr-Latn-ME"/>
        </w:rPr>
        <w:tab/>
      </w:r>
      <w:r w:rsidRPr="00986187">
        <w:rPr>
          <w:b/>
          <w:bCs/>
          <w:sz w:val="22"/>
          <w:szCs w:val="22"/>
          <w:lang w:val="sr-Latn-ME"/>
        </w:rPr>
        <w:t>Lista pomoćnih supstanci</w:t>
      </w:r>
      <w:r w:rsidR="002E0135" w:rsidRPr="00986187">
        <w:rPr>
          <w:b/>
          <w:bCs/>
          <w:sz w:val="22"/>
          <w:szCs w:val="22"/>
          <w:lang w:val="sr-Latn-ME"/>
        </w:rPr>
        <w:t xml:space="preserve"> (</w:t>
      </w:r>
      <w:proofErr w:type="spellStart"/>
      <w:r w:rsidR="002E0135" w:rsidRPr="00986187">
        <w:rPr>
          <w:b/>
          <w:bCs/>
          <w:sz w:val="22"/>
          <w:szCs w:val="22"/>
          <w:lang w:val="sr-Latn-ME"/>
        </w:rPr>
        <w:t>ekscipijenasa</w:t>
      </w:r>
      <w:proofErr w:type="spellEnd"/>
      <w:r w:rsidR="002E0135" w:rsidRPr="00986187">
        <w:rPr>
          <w:b/>
          <w:bCs/>
          <w:sz w:val="22"/>
          <w:szCs w:val="22"/>
          <w:lang w:val="sr-Latn-ME"/>
        </w:rPr>
        <w:t>)</w:t>
      </w:r>
    </w:p>
    <w:p w14:paraId="70C1D9A0" w14:textId="77777777" w:rsidR="008B1056" w:rsidRPr="00986187" w:rsidRDefault="008B1056" w:rsidP="00F3153C">
      <w:pPr>
        <w:pStyle w:val="Header"/>
        <w:widowControl w:val="0"/>
        <w:tabs>
          <w:tab w:val="left" w:pos="284"/>
        </w:tabs>
        <w:jc w:val="both"/>
        <w:rPr>
          <w:sz w:val="22"/>
          <w:szCs w:val="22"/>
          <w:lang w:val="sr-Latn-ME"/>
        </w:rPr>
      </w:pPr>
    </w:p>
    <w:p w14:paraId="4DF56DD9" w14:textId="5D5A6AD8" w:rsidR="00997B6E" w:rsidRPr="00986187" w:rsidRDefault="00997B6E" w:rsidP="00F3153C">
      <w:pPr>
        <w:pStyle w:val="Header"/>
        <w:widowControl w:val="0"/>
        <w:tabs>
          <w:tab w:val="left" w:pos="284"/>
        </w:tabs>
        <w:jc w:val="both"/>
        <w:rPr>
          <w:sz w:val="22"/>
          <w:szCs w:val="22"/>
          <w:lang w:val="sr-Latn-ME"/>
        </w:rPr>
      </w:pPr>
      <w:r w:rsidRPr="00986187">
        <w:rPr>
          <w:sz w:val="22"/>
          <w:szCs w:val="22"/>
          <w:lang w:val="sr-Latn-ME"/>
        </w:rPr>
        <w:t>Natrijum hlorid</w:t>
      </w:r>
    </w:p>
    <w:p w14:paraId="5B8407DB" w14:textId="3D13C802" w:rsidR="00997B6E" w:rsidRPr="00986187" w:rsidRDefault="00997B6E" w:rsidP="00F3153C">
      <w:pPr>
        <w:pStyle w:val="Header"/>
        <w:widowControl w:val="0"/>
        <w:tabs>
          <w:tab w:val="left" w:pos="284"/>
        </w:tabs>
        <w:jc w:val="both"/>
        <w:rPr>
          <w:sz w:val="22"/>
          <w:szCs w:val="22"/>
          <w:lang w:val="sr-Latn-ME"/>
        </w:rPr>
      </w:pPr>
      <w:proofErr w:type="spellStart"/>
      <w:r w:rsidRPr="00986187">
        <w:rPr>
          <w:sz w:val="22"/>
          <w:szCs w:val="22"/>
          <w:lang w:val="sr-Latn-ME"/>
        </w:rPr>
        <w:t>Dinatrijum</w:t>
      </w:r>
      <w:proofErr w:type="spellEnd"/>
      <w:r w:rsidRPr="00986187">
        <w:rPr>
          <w:sz w:val="22"/>
          <w:szCs w:val="22"/>
          <w:lang w:val="sr-Latn-ME"/>
        </w:rPr>
        <w:t xml:space="preserve"> fosfat </w:t>
      </w:r>
      <w:proofErr w:type="spellStart"/>
      <w:r w:rsidRPr="00986187">
        <w:rPr>
          <w:sz w:val="22"/>
          <w:szCs w:val="22"/>
          <w:lang w:val="sr-Latn-ME"/>
        </w:rPr>
        <w:t>dihidrat</w:t>
      </w:r>
      <w:proofErr w:type="spellEnd"/>
    </w:p>
    <w:p w14:paraId="732E3738" w14:textId="14A768C5" w:rsidR="00997B6E" w:rsidRPr="00986187" w:rsidRDefault="00997B6E" w:rsidP="00F3153C">
      <w:pPr>
        <w:pStyle w:val="Header"/>
        <w:widowControl w:val="0"/>
        <w:tabs>
          <w:tab w:val="left" w:pos="284"/>
        </w:tabs>
        <w:jc w:val="both"/>
        <w:rPr>
          <w:sz w:val="22"/>
          <w:szCs w:val="22"/>
          <w:lang w:val="sr-Latn-ME"/>
        </w:rPr>
      </w:pPr>
      <w:r w:rsidRPr="00986187">
        <w:rPr>
          <w:sz w:val="22"/>
          <w:szCs w:val="22"/>
          <w:lang w:val="sr-Latn-ME"/>
        </w:rPr>
        <w:t xml:space="preserve">Natrijum </w:t>
      </w:r>
      <w:proofErr w:type="spellStart"/>
      <w:r w:rsidRPr="00986187">
        <w:rPr>
          <w:sz w:val="22"/>
          <w:szCs w:val="22"/>
          <w:lang w:val="sr-Latn-ME"/>
        </w:rPr>
        <w:t>dihidrogenfostat</w:t>
      </w:r>
      <w:proofErr w:type="spellEnd"/>
      <w:r w:rsidRPr="00986187">
        <w:rPr>
          <w:sz w:val="22"/>
          <w:szCs w:val="22"/>
          <w:lang w:val="sr-Latn-ME"/>
        </w:rPr>
        <w:t xml:space="preserve"> </w:t>
      </w:r>
      <w:proofErr w:type="spellStart"/>
      <w:r w:rsidRPr="00986187">
        <w:rPr>
          <w:sz w:val="22"/>
          <w:szCs w:val="22"/>
          <w:lang w:val="sr-Latn-ME"/>
        </w:rPr>
        <w:t>dihidrat</w:t>
      </w:r>
      <w:proofErr w:type="spellEnd"/>
    </w:p>
    <w:p w14:paraId="4F09574E" w14:textId="77777777" w:rsidR="00997B6E" w:rsidRPr="00986187" w:rsidRDefault="00997B6E" w:rsidP="00F3153C">
      <w:pPr>
        <w:widowControl w:val="0"/>
        <w:tabs>
          <w:tab w:val="left" w:pos="540"/>
          <w:tab w:val="left" w:pos="569"/>
        </w:tabs>
        <w:jc w:val="both"/>
        <w:rPr>
          <w:sz w:val="22"/>
          <w:szCs w:val="22"/>
          <w:lang w:val="sr-Latn-ME"/>
        </w:rPr>
      </w:pPr>
      <w:r w:rsidRPr="00986187">
        <w:rPr>
          <w:sz w:val="22"/>
          <w:szCs w:val="22"/>
          <w:lang w:val="sr-Latn-ME"/>
        </w:rPr>
        <w:t>Voda za injekcije</w:t>
      </w:r>
    </w:p>
    <w:p w14:paraId="34671DD5" w14:textId="77777777" w:rsidR="00997B6E" w:rsidRPr="00986187" w:rsidRDefault="00997B6E" w:rsidP="00F3153C">
      <w:pPr>
        <w:widowControl w:val="0"/>
        <w:tabs>
          <w:tab w:val="left" w:pos="540"/>
          <w:tab w:val="left" w:pos="569"/>
        </w:tabs>
        <w:jc w:val="both"/>
        <w:rPr>
          <w:sz w:val="22"/>
          <w:szCs w:val="22"/>
          <w:lang w:val="sr-Latn-ME"/>
        </w:rPr>
      </w:pPr>
    </w:p>
    <w:p w14:paraId="72F04DB1" w14:textId="64DA7789" w:rsidR="00997B6E" w:rsidRPr="00986187" w:rsidRDefault="00997B6E" w:rsidP="00F3153C">
      <w:pPr>
        <w:widowControl w:val="0"/>
        <w:tabs>
          <w:tab w:val="left" w:pos="540"/>
          <w:tab w:val="left" w:pos="569"/>
        </w:tabs>
        <w:jc w:val="both"/>
        <w:rPr>
          <w:sz w:val="22"/>
          <w:szCs w:val="22"/>
          <w:lang w:val="sr-Latn-ME"/>
        </w:rPr>
      </w:pPr>
      <w:r w:rsidRPr="00986187">
        <w:rPr>
          <w:sz w:val="22"/>
          <w:szCs w:val="22"/>
          <w:lang w:val="sr-Latn-ME"/>
        </w:rPr>
        <w:t xml:space="preserve">Za </w:t>
      </w:r>
      <w:proofErr w:type="spellStart"/>
      <w:r w:rsidRPr="00986187">
        <w:rPr>
          <w:sz w:val="22"/>
          <w:szCs w:val="22"/>
          <w:lang w:val="sr-Latn-ME"/>
        </w:rPr>
        <w:t>adsorbens</w:t>
      </w:r>
      <w:proofErr w:type="spellEnd"/>
      <w:r w:rsidRPr="00986187">
        <w:rPr>
          <w:sz w:val="22"/>
          <w:szCs w:val="22"/>
          <w:lang w:val="sr-Latn-ME"/>
        </w:rPr>
        <w:t xml:space="preserve"> vidjeti </w:t>
      </w:r>
      <w:r w:rsidR="008B1056" w:rsidRPr="00986187">
        <w:rPr>
          <w:sz w:val="22"/>
          <w:szCs w:val="22"/>
          <w:lang w:val="sr-Latn-ME"/>
        </w:rPr>
        <w:t xml:space="preserve">dio </w:t>
      </w:r>
      <w:r w:rsidRPr="00986187">
        <w:rPr>
          <w:sz w:val="22"/>
          <w:szCs w:val="22"/>
          <w:lang w:val="sr-Latn-ME"/>
        </w:rPr>
        <w:t>2.</w:t>
      </w:r>
    </w:p>
    <w:p w14:paraId="07E16CED" w14:textId="77777777" w:rsidR="0072020E" w:rsidRPr="00986187" w:rsidRDefault="0072020E" w:rsidP="00F3153C">
      <w:pPr>
        <w:widowControl w:val="0"/>
        <w:tabs>
          <w:tab w:val="left" w:pos="540"/>
          <w:tab w:val="left" w:pos="569"/>
        </w:tabs>
        <w:rPr>
          <w:bCs/>
          <w:sz w:val="22"/>
          <w:szCs w:val="22"/>
          <w:lang w:val="sr-Latn-ME"/>
        </w:rPr>
      </w:pPr>
    </w:p>
    <w:p w14:paraId="6E1C69AE"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6.2. </w:t>
      </w:r>
      <w:r w:rsidR="00480FB1" w:rsidRPr="00986187">
        <w:rPr>
          <w:b/>
          <w:bCs/>
          <w:sz w:val="22"/>
          <w:szCs w:val="22"/>
          <w:lang w:val="sr-Latn-ME"/>
        </w:rPr>
        <w:tab/>
      </w:r>
      <w:r w:rsidRPr="00986187">
        <w:rPr>
          <w:b/>
          <w:bCs/>
          <w:sz w:val="22"/>
          <w:szCs w:val="22"/>
          <w:lang w:val="sr-Latn-ME"/>
        </w:rPr>
        <w:t>Inkompatibilnost</w:t>
      </w:r>
      <w:r w:rsidR="002846DB" w:rsidRPr="00986187">
        <w:rPr>
          <w:b/>
          <w:bCs/>
          <w:sz w:val="22"/>
          <w:szCs w:val="22"/>
          <w:lang w:val="sr-Latn-ME"/>
        </w:rPr>
        <w:t>i</w:t>
      </w:r>
    </w:p>
    <w:p w14:paraId="30401AF4" w14:textId="77777777" w:rsidR="008B1056" w:rsidRPr="00986187" w:rsidRDefault="008B1056" w:rsidP="00F3153C">
      <w:pPr>
        <w:widowControl w:val="0"/>
        <w:tabs>
          <w:tab w:val="left" w:pos="540"/>
          <w:tab w:val="left" w:pos="569"/>
        </w:tabs>
        <w:jc w:val="both"/>
        <w:rPr>
          <w:sz w:val="22"/>
          <w:szCs w:val="22"/>
          <w:lang w:val="sr-Latn-ME"/>
        </w:rPr>
      </w:pPr>
    </w:p>
    <w:p w14:paraId="530F3125" w14:textId="589536D3" w:rsidR="00997B6E" w:rsidRPr="00986187" w:rsidRDefault="00B62C04" w:rsidP="00F3153C">
      <w:pPr>
        <w:widowControl w:val="0"/>
        <w:tabs>
          <w:tab w:val="left" w:pos="540"/>
          <w:tab w:val="left" w:pos="569"/>
        </w:tabs>
        <w:jc w:val="both"/>
        <w:rPr>
          <w:b/>
          <w:bCs/>
          <w:sz w:val="22"/>
          <w:szCs w:val="22"/>
          <w:lang w:val="sr-Latn-ME"/>
        </w:rPr>
      </w:pPr>
      <w:r w:rsidRPr="00986187">
        <w:rPr>
          <w:sz w:val="22"/>
          <w:szCs w:val="22"/>
          <w:lang w:val="sr-Latn-ME"/>
        </w:rPr>
        <w:t>U odsustvu</w:t>
      </w:r>
      <w:r w:rsidR="00997B6E" w:rsidRPr="00986187">
        <w:rPr>
          <w:sz w:val="22"/>
          <w:szCs w:val="22"/>
          <w:lang w:val="sr-Latn-ME"/>
        </w:rPr>
        <w:t xml:space="preserve"> studija kompatibilnosti</w:t>
      </w:r>
      <w:r w:rsidRPr="00986187">
        <w:rPr>
          <w:sz w:val="22"/>
          <w:szCs w:val="22"/>
          <w:lang w:val="sr-Latn-ME"/>
        </w:rPr>
        <w:t>,</w:t>
      </w:r>
      <w:r w:rsidR="00997B6E" w:rsidRPr="00986187">
        <w:rPr>
          <w:sz w:val="22"/>
          <w:szCs w:val="22"/>
          <w:lang w:val="sr-Latn-ME"/>
        </w:rPr>
        <w:t xml:space="preserve"> ovaj lijek </w:t>
      </w:r>
      <w:r w:rsidR="00055089" w:rsidRPr="00986187">
        <w:rPr>
          <w:sz w:val="22"/>
          <w:szCs w:val="22"/>
          <w:lang w:val="sr-Latn-ME"/>
        </w:rPr>
        <w:t xml:space="preserve">se </w:t>
      </w:r>
      <w:r w:rsidR="00997B6E" w:rsidRPr="00986187">
        <w:rPr>
          <w:sz w:val="22"/>
          <w:szCs w:val="22"/>
          <w:lang w:val="sr-Latn-ME"/>
        </w:rPr>
        <w:t xml:space="preserve">ne </w:t>
      </w:r>
      <w:r w:rsidRPr="00986187">
        <w:rPr>
          <w:sz w:val="22"/>
          <w:szCs w:val="22"/>
          <w:lang w:val="sr-Latn-ME"/>
        </w:rPr>
        <w:t xml:space="preserve">smije </w:t>
      </w:r>
      <w:r w:rsidR="00997B6E" w:rsidRPr="00986187">
        <w:rPr>
          <w:sz w:val="22"/>
          <w:szCs w:val="22"/>
          <w:lang w:val="sr-Latn-ME"/>
        </w:rPr>
        <w:t xml:space="preserve">miješati sa </w:t>
      </w:r>
      <w:r w:rsidRPr="00986187">
        <w:rPr>
          <w:sz w:val="22"/>
          <w:szCs w:val="22"/>
          <w:lang w:val="sr-Latn-ME"/>
        </w:rPr>
        <w:t xml:space="preserve">drugim </w:t>
      </w:r>
      <w:r w:rsidR="00997B6E" w:rsidRPr="00986187">
        <w:rPr>
          <w:sz w:val="22"/>
          <w:szCs w:val="22"/>
          <w:lang w:val="sr-Latn-ME"/>
        </w:rPr>
        <w:t>ljekovima.</w:t>
      </w:r>
    </w:p>
    <w:p w14:paraId="08DD38E1" w14:textId="77777777" w:rsidR="0072020E" w:rsidRPr="00986187" w:rsidRDefault="0072020E" w:rsidP="00F3153C">
      <w:pPr>
        <w:widowControl w:val="0"/>
        <w:tabs>
          <w:tab w:val="left" w:pos="540"/>
          <w:tab w:val="left" w:pos="569"/>
        </w:tabs>
        <w:rPr>
          <w:bCs/>
          <w:sz w:val="22"/>
          <w:szCs w:val="22"/>
          <w:lang w:val="sr-Latn-ME"/>
        </w:rPr>
      </w:pPr>
    </w:p>
    <w:p w14:paraId="29DBBA73"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6.3.</w:t>
      </w:r>
      <w:r w:rsidR="00C05DF8" w:rsidRPr="00986187">
        <w:rPr>
          <w:b/>
          <w:bCs/>
          <w:sz w:val="22"/>
          <w:szCs w:val="22"/>
          <w:lang w:val="sr-Latn-ME"/>
        </w:rPr>
        <w:t xml:space="preserve"> </w:t>
      </w:r>
      <w:r w:rsidR="00480FB1" w:rsidRPr="00986187">
        <w:rPr>
          <w:b/>
          <w:bCs/>
          <w:sz w:val="22"/>
          <w:szCs w:val="22"/>
          <w:lang w:val="sr-Latn-ME"/>
        </w:rPr>
        <w:tab/>
      </w:r>
      <w:r w:rsidRPr="00986187">
        <w:rPr>
          <w:b/>
          <w:bCs/>
          <w:sz w:val="22"/>
          <w:szCs w:val="22"/>
          <w:lang w:val="sr-Latn-ME"/>
        </w:rPr>
        <w:t>Rok upotrebe</w:t>
      </w:r>
    </w:p>
    <w:p w14:paraId="0DC511FC" w14:textId="77777777" w:rsidR="008B1056" w:rsidRPr="00986187" w:rsidRDefault="008B1056" w:rsidP="00F3153C">
      <w:pPr>
        <w:pStyle w:val="Header"/>
        <w:widowControl w:val="0"/>
        <w:jc w:val="both"/>
        <w:rPr>
          <w:sz w:val="22"/>
          <w:szCs w:val="22"/>
          <w:lang w:val="sr-Latn-ME"/>
        </w:rPr>
      </w:pPr>
    </w:p>
    <w:p w14:paraId="6D8C95C8" w14:textId="0EA291EE" w:rsidR="00997B6E" w:rsidRPr="00986187" w:rsidRDefault="00997B6E" w:rsidP="00F3153C">
      <w:pPr>
        <w:pStyle w:val="Header"/>
        <w:widowControl w:val="0"/>
        <w:jc w:val="both"/>
        <w:rPr>
          <w:sz w:val="22"/>
          <w:szCs w:val="22"/>
          <w:lang w:val="sr-Latn-ME"/>
        </w:rPr>
      </w:pPr>
      <w:r w:rsidRPr="00986187">
        <w:rPr>
          <w:sz w:val="22"/>
          <w:szCs w:val="22"/>
          <w:lang w:val="sr-Latn-ME"/>
        </w:rPr>
        <w:t>3 godine</w:t>
      </w:r>
    </w:p>
    <w:p w14:paraId="455B08DA" w14:textId="77777777" w:rsidR="0072020E" w:rsidRPr="00986187" w:rsidRDefault="0072020E" w:rsidP="00F3153C">
      <w:pPr>
        <w:widowControl w:val="0"/>
        <w:tabs>
          <w:tab w:val="left" w:pos="540"/>
          <w:tab w:val="left" w:pos="569"/>
        </w:tabs>
        <w:rPr>
          <w:bCs/>
          <w:sz w:val="22"/>
          <w:szCs w:val="22"/>
          <w:lang w:val="sr-Latn-ME"/>
        </w:rPr>
      </w:pPr>
    </w:p>
    <w:p w14:paraId="506F5BF3"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6.4. </w:t>
      </w:r>
      <w:r w:rsidR="00480FB1" w:rsidRPr="00986187">
        <w:rPr>
          <w:b/>
          <w:bCs/>
          <w:sz w:val="22"/>
          <w:szCs w:val="22"/>
          <w:lang w:val="sr-Latn-ME"/>
        </w:rPr>
        <w:tab/>
      </w:r>
      <w:r w:rsidRPr="00986187">
        <w:rPr>
          <w:b/>
          <w:bCs/>
          <w:sz w:val="22"/>
          <w:szCs w:val="22"/>
          <w:lang w:val="sr-Latn-ME"/>
        </w:rPr>
        <w:t>Posebne mjere upozorenja pri čuvanju</w:t>
      </w:r>
      <w:r w:rsidR="00F8570A" w:rsidRPr="00986187">
        <w:rPr>
          <w:b/>
          <w:bCs/>
          <w:sz w:val="22"/>
          <w:szCs w:val="22"/>
          <w:lang w:val="sr-Latn-ME"/>
        </w:rPr>
        <w:t xml:space="preserve"> lijeka</w:t>
      </w:r>
    </w:p>
    <w:p w14:paraId="4FDCF135" w14:textId="77777777" w:rsidR="008B1056" w:rsidRPr="00986187" w:rsidRDefault="008B1056" w:rsidP="00F3153C">
      <w:pPr>
        <w:pStyle w:val="Header"/>
        <w:widowControl w:val="0"/>
        <w:tabs>
          <w:tab w:val="left" w:pos="284"/>
        </w:tabs>
        <w:jc w:val="both"/>
        <w:rPr>
          <w:sz w:val="22"/>
          <w:szCs w:val="22"/>
          <w:lang w:val="sr-Latn-ME"/>
        </w:rPr>
      </w:pPr>
    </w:p>
    <w:p w14:paraId="5B27616D" w14:textId="212FC3A3" w:rsidR="00997B6E" w:rsidRPr="00986187" w:rsidRDefault="00997B6E" w:rsidP="00F3153C">
      <w:pPr>
        <w:pStyle w:val="Header"/>
        <w:widowControl w:val="0"/>
        <w:tabs>
          <w:tab w:val="left" w:pos="284"/>
        </w:tabs>
        <w:jc w:val="both"/>
        <w:rPr>
          <w:sz w:val="22"/>
          <w:szCs w:val="22"/>
          <w:lang w:val="sr-Latn-ME"/>
        </w:rPr>
      </w:pPr>
      <w:r w:rsidRPr="00986187">
        <w:rPr>
          <w:sz w:val="22"/>
          <w:szCs w:val="22"/>
          <w:lang w:val="sr-Latn-ME"/>
        </w:rPr>
        <w:t xml:space="preserve">Čuvati u frižideru </w:t>
      </w:r>
      <w:r w:rsidR="00B62C04" w:rsidRPr="00986187">
        <w:rPr>
          <w:sz w:val="22"/>
          <w:szCs w:val="22"/>
          <w:lang w:val="sr-Latn-ME"/>
        </w:rPr>
        <w:t xml:space="preserve">na temperaturi od </w:t>
      </w:r>
      <w:r w:rsidRPr="00986187">
        <w:rPr>
          <w:sz w:val="22"/>
          <w:szCs w:val="22"/>
          <w:lang w:val="sr-Latn-ME"/>
        </w:rPr>
        <w:t>2°C do 8°C.</w:t>
      </w:r>
    </w:p>
    <w:p w14:paraId="0FF95D22" w14:textId="76B905D6" w:rsidR="00B62C04" w:rsidRPr="00986187" w:rsidRDefault="00B62C04" w:rsidP="00F3153C">
      <w:pPr>
        <w:pStyle w:val="Header"/>
        <w:widowControl w:val="0"/>
        <w:tabs>
          <w:tab w:val="left" w:pos="284"/>
        </w:tabs>
        <w:jc w:val="both"/>
        <w:rPr>
          <w:sz w:val="22"/>
          <w:szCs w:val="22"/>
          <w:lang w:val="sr-Latn-ME"/>
        </w:rPr>
      </w:pPr>
      <w:r w:rsidRPr="00986187">
        <w:rPr>
          <w:sz w:val="22"/>
          <w:szCs w:val="22"/>
          <w:lang w:val="sr-Latn-ME"/>
        </w:rPr>
        <w:t>Čuvati u originalnom pakovanju.</w:t>
      </w:r>
    </w:p>
    <w:p w14:paraId="10D17EDF" w14:textId="2D8598EA" w:rsidR="00997B6E" w:rsidRPr="00986187" w:rsidRDefault="00997B6E" w:rsidP="00F3153C">
      <w:pPr>
        <w:pStyle w:val="Header"/>
        <w:widowControl w:val="0"/>
        <w:tabs>
          <w:tab w:val="left" w:pos="284"/>
        </w:tabs>
        <w:jc w:val="both"/>
        <w:rPr>
          <w:sz w:val="22"/>
          <w:szCs w:val="22"/>
          <w:lang w:val="sr-Latn-ME"/>
        </w:rPr>
      </w:pPr>
      <w:r w:rsidRPr="00986187">
        <w:rPr>
          <w:sz w:val="22"/>
          <w:szCs w:val="22"/>
          <w:lang w:val="sr-Latn-ME"/>
        </w:rPr>
        <w:t>Ne zamrzavati</w:t>
      </w:r>
      <w:r w:rsidR="008B1056" w:rsidRPr="00986187">
        <w:rPr>
          <w:sz w:val="22"/>
          <w:szCs w:val="22"/>
          <w:lang w:val="sr-Latn-ME"/>
        </w:rPr>
        <w:t>.</w:t>
      </w:r>
    </w:p>
    <w:p w14:paraId="42161DDB" w14:textId="7B1B6A34" w:rsidR="008B1056" w:rsidRPr="00986187" w:rsidRDefault="008B1056" w:rsidP="00F3153C">
      <w:pPr>
        <w:pStyle w:val="Header"/>
        <w:widowControl w:val="0"/>
        <w:tabs>
          <w:tab w:val="left" w:pos="284"/>
        </w:tabs>
        <w:jc w:val="both"/>
        <w:rPr>
          <w:sz w:val="22"/>
          <w:szCs w:val="22"/>
          <w:lang w:val="sr-Latn-ME"/>
        </w:rPr>
      </w:pPr>
      <w:r w:rsidRPr="00986187">
        <w:rPr>
          <w:sz w:val="22"/>
          <w:szCs w:val="22"/>
          <w:lang w:val="sr-Latn-ME"/>
        </w:rPr>
        <w:t>Studije stabilnosti su pokazale da je lijek ENGERIX B za djecu stabilan do 3 dana na temperaturi do 37°C ili do 7 dana na temperaturi do 25°C. Ove informacije mogu poslužiti zdravstvenim radnicima kao smjernice</w:t>
      </w:r>
      <w:r w:rsidR="00B62C04" w:rsidRPr="00986187">
        <w:rPr>
          <w:sz w:val="22"/>
          <w:szCs w:val="22"/>
          <w:lang w:val="sr-Latn-ME"/>
        </w:rPr>
        <w:t>,</w:t>
      </w:r>
      <w:r w:rsidRPr="00986187">
        <w:rPr>
          <w:sz w:val="22"/>
          <w:szCs w:val="22"/>
          <w:lang w:val="sr-Latn-ME"/>
        </w:rPr>
        <w:t xml:space="preserve"> samo u slučaju trenutnih temperaturnih odstupanja.</w:t>
      </w:r>
    </w:p>
    <w:p w14:paraId="4FFCF68B" w14:textId="77777777" w:rsidR="00863007" w:rsidRPr="00986187" w:rsidRDefault="00863007" w:rsidP="00F3153C">
      <w:pPr>
        <w:widowControl w:val="0"/>
        <w:tabs>
          <w:tab w:val="left" w:pos="540"/>
          <w:tab w:val="left" w:pos="569"/>
        </w:tabs>
        <w:rPr>
          <w:b/>
          <w:bCs/>
          <w:sz w:val="22"/>
          <w:szCs w:val="22"/>
          <w:lang w:val="sr-Latn-ME"/>
        </w:rPr>
      </w:pPr>
    </w:p>
    <w:p w14:paraId="368B21EA"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6.5. </w:t>
      </w:r>
      <w:r w:rsidR="00480FB1" w:rsidRPr="00986187">
        <w:rPr>
          <w:b/>
          <w:bCs/>
          <w:sz w:val="22"/>
          <w:szCs w:val="22"/>
          <w:lang w:val="sr-Latn-ME"/>
        </w:rPr>
        <w:tab/>
      </w:r>
      <w:r w:rsidR="002846DB" w:rsidRPr="00986187">
        <w:rPr>
          <w:b/>
          <w:bCs/>
          <w:sz w:val="22"/>
          <w:szCs w:val="22"/>
          <w:lang w:val="sr-Latn-ME"/>
        </w:rPr>
        <w:t xml:space="preserve">Vrsta i sadržaj </w:t>
      </w:r>
      <w:r w:rsidR="00F8570A" w:rsidRPr="00986187">
        <w:rPr>
          <w:b/>
          <w:bCs/>
          <w:sz w:val="22"/>
          <w:szCs w:val="22"/>
          <w:lang w:val="sr-Latn-ME"/>
        </w:rPr>
        <w:t>pakovanja</w:t>
      </w:r>
      <w:r w:rsidR="00C06864" w:rsidRPr="00986187">
        <w:rPr>
          <w:b/>
          <w:bCs/>
          <w:sz w:val="22"/>
          <w:szCs w:val="22"/>
          <w:lang w:val="sr-Latn-ME"/>
        </w:rPr>
        <w:t xml:space="preserve"> </w:t>
      </w:r>
    </w:p>
    <w:p w14:paraId="23D1CCBD" w14:textId="77777777" w:rsidR="008B1056" w:rsidRPr="00986187" w:rsidRDefault="008B1056" w:rsidP="00F3153C">
      <w:pPr>
        <w:widowControl w:val="0"/>
        <w:tabs>
          <w:tab w:val="left" w:pos="540"/>
          <w:tab w:val="left" w:pos="569"/>
        </w:tabs>
        <w:rPr>
          <w:sz w:val="22"/>
          <w:szCs w:val="22"/>
          <w:lang w:val="sr-Latn-ME"/>
        </w:rPr>
      </w:pPr>
    </w:p>
    <w:p w14:paraId="12E6DEB7" w14:textId="430B80DB" w:rsidR="007E6A05" w:rsidRPr="00986187" w:rsidRDefault="007E6A05" w:rsidP="00055089">
      <w:pPr>
        <w:widowControl w:val="0"/>
        <w:tabs>
          <w:tab w:val="left" w:pos="540"/>
          <w:tab w:val="left" w:pos="569"/>
        </w:tabs>
        <w:jc w:val="both"/>
        <w:rPr>
          <w:sz w:val="22"/>
          <w:szCs w:val="22"/>
          <w:lang w:val="sr-Latn-ME"/>
        </w:rPr>
      </w:pPr>
      <w:r w:rsidRPr="00986187">
        <w:rPr>
          <w:sz w:val="22"/>
          <w:szCs w:val="22"/>
          <w:lang w:val="sr-Latn-ME"/>
        </w:rPr>
        <w:t xml:space="preserve">Unutrašnje pakovanje lijeka je </w:t>
      </w:r>
      <w:r w:rsidR="00863007" w:rsidRPr="00986187">
        <w:rPr>
          <w:sz w:val="22"/>
          <w:szCs w:val="22"/>
          <w:lang w:val="sr-Latn-ME"/>
        </w:rPr>
        <w:t>bočic</w:t>
      </w:r>
      <w:r w:rsidRPr="00986187">
        <w:rPr>
          <w:sz w:val="22"/>
          <w:szCs w:val="22"/>
          <w:lang w:val="sr-Latn-ME"/>
        </w:rPr>
        <w:t>a</w:t>
      </w:r>
      <w:r w:rsidR="00863007" w:rsidRPr="00986187">
        <w:rPr>
          <w:sz w:val="22"/>
          <w:szCs w:val="22"/>
          <w:lang w:val="sr-Latn-ME"/>
        </w:rPr>
        <w:t xml:space="preserve"> od stakla tip I sa </w:t>
      </w:r>
      <w:r w:rsidRPr="00986187">
        <w:rPr>
          <w:sz w:val="22"/>
          <w:szCs w:val="22"/>
          <w:lang w:val="sr-Latn-ME"/>
        </w:rPr>
        <w:t xml:space="preserve">čepom </w:t>
      </w:r>
      <w:r w:rsidR="00863007" w:rsidRPr="00986187">
        <w:rPr>
          <w:sz w:val="22"/>
          <w:szCs w:val="22"/>
          <w:lang w:val="sr-Latn-ME"/>
        </w:rPr>
        <w:t xml:space="preserve">od </w:t>
      </w:r>
      <w:proofErr w:type="spellStart"/>
      <w:r w:rsidR="00863007" w:rsidRPr="00986187">
        <w:rPr>
          <w:sz w:val="22"/>
          <w:szCs w:val="22"/>
          <w:lang w:val="sr-Latn-ME"/>
        </w:rPr>
        <w:t>butil</w:t>
      </w:r>
      <w:proofErr w:type="spellEnd"/>
      <w:r w:rsidR="00863007" w:rsidRPr="00986187">
        <w:rPr>
          <w:sz w:val="22"/>
          <w:szCs w:val="22"/>
          <w:lang w:val="sr-Latn-ME"/>
        </w:rPr>
        <w:t xml:space="preserve"> gume</w:t>
      </w:r>
      <w:r w:rsidRPr="00986187">
        <w:rPr>
          <w:sz w:val="22"/>
          <w:szCs w:val="22"/>
          <w:lang w:val="sr-Latn-ME"/>
        </w:rPr>
        <w:t>, aluminijumskim prstenom i sigurnosnim plastičnim poklopcem, koja sadrži</w:t>
      </w:r>
      <w:r w:rsidR="00863007" w:rsidRPr="00986187">
        <w:rPr>
          <w:sz w:val="22"/>
          <w:szCs w:val="22"/>
          <w:lang w:val="sr-Latn-ME"/>
        </w:rPr>
        <w:t xml:space="preserve"> </w:t>
      </w:r>
      <w:r w:rsidRPr="00986187">
        <w:rPr>
          <w:sz w:val="22"/>
          <w:szCs w:val="22"/>
          <w:lang w:val="sr-Latn-ME"/>
        </w:rPr>
        <w:t>0.5 ml suspenzije za injekciju.</w:t>
      </w:r>
    </w:p>
    <w:p w14:paraId="6D53CF12" w14:textId="77777777" w:rsidR="007E6A05" w:rsidRPr="00986187" w:rsidRDefault="007E6A05" w:rsidP="00055089">
      <w:pPr>
        <w:widowControl w:val="0"/>
        <w:tabs>
          <w:tab w:val="left" w:pos="540"/>
          <w:tab w:val="left" w:pos="569"/>
        </w:tabs>
        <w:jc w:val="both"/>
        <w:rPr>
          <w:sz w:val="22"/>
          <w:szCs w:val="22"/>
          <w:lang w:val="sr-Latn-ME"/>
        </w:rPr>
      </w:pPr>
    </w:p>
    <w:p w14:paraId="12A0EBAC" w14:textId="738D351C" w:rsidR="0072020E" w:rsidRPr="00986187" w:rsidRDefault="007E6A05" w:rsidP="00055089">
      <w:pPr>
        <w:widowControl w:val="0"/>
        <w:tabs>
          <w:tab w:val="left" w:pos="540"/>
          <w:tab w:val="left" w:pos="569"/>
        </w:tabs>
        <w:jc w:val="both"/>
        <w:rPr>
          <w:sz w:val="22"/>
          <w:szCs w:val="22"/>
          <w:lang w:val="sr-Latn-ME"/>
        </w:rPr>
      </w:pPr>
      <w:r w:rsidRPr="00986187">
        <w:rPr>
          <w:sz w:val="22"/>
          <w:szCs w:val="22"/>
          <w:lang w:val="sr-Latn-ME"/>
        </w:rPr>
        <w:t xml:space="preserve">Spoljašnje pakovanje lijeka je </w:t>
      </w:r>
      <w:proofErr w:type="spellStart"/>
      <w:r w:rsidRPr="00986187">
        <w:rPr>
          <w:sz w:val="22"/>
          <w:szCs w:val="22"/>
          <w:lang w:val="sr-Latn-ME"/>
        </w:rPr>
        <w:t>složiva</w:t>
      </w:r>
      <w:proofErr w:type="spellEnd"/>
      <w:r w:rsidRPr="00986187">
        <w:rPr>
          <w:sz w:val="22"/>
          <w:szCs w:val="22"/>
          <w:lang w:val="sr-Latn-ME"/>
        </w:rPr>
        <w:t xml:space="preserve"> kartonska kutija u kojoj se nalazi 100 bočica i Uputstvo za lijek</w:t>
      </w:r>
      <w:r w:rsidR="00863007" w:rsidRPr="00986187">
        <w:rPr>
          <w:sz w:val="22"/>
          <w:szCs w:val="22"/>
          <w:lang w:val="sr-Latn-ME"/>
        </w:rPr>
        <w:t>.</w:t>
      </w:r>
    </w:p>
    <w:p w14:paraId="427DDAE9" w14:textId="77777777" w:rsidR="00DF1B0C" w:rsidRPr="00986187" w:rsidRDefault="00DF1B0C" w:rsidP="00F3153C">
      <w:pPr>
        <w:widowControl w:val="0"/>
        <w:tabs>
          <w:tab w:val="left" w:pos="540"/>
          <w:tab w:val="left" w:pos="569"/>
        </w:tabs>
        <w:rPr>
          <w:bCs/>
          <w:sz w:val="22"/>
          <w:szCs w:val="22"/>
          <w:lang w:val="sr-Latn-ME"/>
        </w:rPr>
      </w:pPr>
    </w:p>
    <w:p w14:paraId="7143E3AD" w14:textId="5ADC0186" w:rsidR="002846DB"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6.6. </w:t>
      </w:r>
      <w:r w:rsidR="00480FB1" w:rsidRPr="00986187">
        <w:rPr>
          <w:b/>
          <w:bCs/>
          <w:sz w:val="22"/>
          <w:szCs w:val="22"/>
          <w:lang w:val="sr-Latn-ME"/>
        </w:rPr>
        <w:tab/>
      </w:r>
      <w:r w:rsidRPr="00986187">
        <w:rPr>
          <w:b/>
          <w:bCs/>
          <w:color w:val="000000"/>
          <w:sz w:val="22"/>
          <w:szCs w:val="22"/>
          <w:lang w:val="sr-Latn-ME"/>
        </w:rPr>
        <w:t>Posebne mjere opreza pri odlaganju materijala koji treba odbaciti nakon primjene lijeka</w:t>
      </w:r>
      <w:r w:rsidRPr="00986187">
        <w:rPr>
          <w:b/>
          <w:bCs/>
          <w:sz w:val="22"/>
          <w:szCs w:val="22"/>
          <w:lang w:val="sr-Latn-ME"/>
        </w:rPr>
        <w:t xml:space="preserve"> </w:t>
      </w:r>
      <w:r w:rsidR="00310F03" w:rsidRPr="00986187">
        <w:rPr>
          <w:b/>
          <w:bCs/>
          <w:sz w:val="22"/>
          <w:szCs w:val="22"/>
          <w:lang w:val="sr-Latn-ME"/>
        </w:rPr>
        <w:t>(i druga uputs</w:t>
      </w:r>
      <w:r w:rsidR="007E6A05" w:rsidRPr="00986187">
        <w:rPr>
          <w:b/>
          <w:bCs/>
          <w:sz w:val="22"/>
          <w:szCs w:val="22"/>
          <w:lang w:val="sr-Latn-ME"/>
        </w:rPr>
        <w:t>t</w:t>
      </w:r>
      <w:r w:rsidR="00310F03" w:rsidRPr="00986187">
        <w:rPr>
          <w:b/>
          <w:bCs/>
          <w:sz w:val="22"/>
          <w:szCs w:val="22"/>
          <w:lang w:val="sr-Latn-ME"/>
        </w:rPr>
        <w:t xml:space="preserve">va za rukovanje lijekom) </w:t>
      </w:r>
    </w:p>
    <w:p w14:paraId="1DFB5E9C" w14:textId="77777777" w:rsidR="008B1056" w:rsidRPr="00986187" w:rsidRDefault="008B1056" w:rsidP="00F3153C">
      <w:pPr>
        <w:pStyle w:val="Header"/>
        <w:widowControl w:val="0"/>
        <w:tabs>
          <w:tab w:val="left" w:pos="284"/>
        </w:tabs>
        <w:jc w:val="both"/>
        <w:rPr>
          <w:sz w:val="22"/>
          <w:szCs w:val="22"/>
          <w:lang w:val="sr-Latn-ME"/>
        </w:rPr>
      </w:pPr>
    </w:p>
    <w:p w14:paraId="5482452E" w14:textId="6764B833" w:rsidR="00E165EA" w:rsidRPr="00986187" w:rsidRDefault="00E165EA" w:rsidP="00F3153C">
      <w:pPr>
        <w:pStyle w:val="Header"/>
        <w:widowControl w:val="0"/>
        <w:tabs>
          <w:tab w:val="left" w:pos="284"/>
        </w:tabs>
        <w:jc w:val="both"/>
        <w:rPr>
          <w:sz w:val="22"/>
          <w:szCs w:val="22"/>
          <w:lang w:val="sr-Latn-ME"/>
        </w:rPr>
      </w:pPr>
      <w:r w:rsidRPr="00986187">
        <w:rPr>
          <w:sz w:val="22"/>
          <w:szCs w:val="22"/>
          <w:lang w:val="sr-Latn-ME"/>
        </w:rPr>
        <w:t xml:space="preserve">U periodu čuvanja, sadržaj bočice vakcine može </w:t>
      </w:r>
      <w:proofErr w:type="spellStart"/>
      <w:r w:rsidRPr="00986187">
        <w:rPr>
          <w:sz w:val="22"/>
          <w:szCs w:val="22"/>
          <w:lang w:val="sr-Latn-ME"/>
        </w:rPr>
        <w:t>sedimentirati</w:t>
      </w:r>
      <w:proofErr w:type="spellEnd"/>
      <w:r w:rsidRPr="00986187">
        <w:rPr>
          <w:sz w:val="22"/>
          <w:szCs w:val="22"/>
          <w:lang w:val="sr-Latn-ME"/>
        </w:rPr>
        <w:t xml:space="preserve">, dati talog bijele boje i bezbojan </w:t>
      </w:r>
      <w:proofErr w:type="spellStart"/>
      <w:r w:rsidRPr="00986187">
        <w:rPr>
          <w:sz w:val="22"/>
          <w:szCs w:val="22"/>
          <w:lang w:val="sr-Latn-ME"/>
        </w:rPr>
        <w:lastRenderedPageBreak/>
        <w:t>supernatant</w:t>
      </w:r>
      <w:proofErr w:type="spellEnd"/>
      <w:r w:rsidRPr="00986187">
        <w:rPr>
          <w:sz w:val="22"/>
          <w:szCs w:val="22"/>
          <w:lang w:val="sr-Latn-ME"/>
        </w:rPr>
        <w:t>. Nakon što se bočica promućka, dobija se suspenzija bijele boje.</w:t>
      </w:r>
    </w:p>
    <w:p w14:paraId="24A4CDC1" w14:textId="77777777" w:rsidR="00E165EA" w:rsidRPr="00986187" w:rsidRDefault="00E165EA" w:rsidP="00F3153C">
      <w:pPr>
        <w:pStyle w:val="Header"/>
        <w:widowControl w:val="0"/>
        <w:tabs>
          <w:tab w:val="left" w:pos="284"/>
        </w:tabs>
        <w:jc w:val="both"/>
        <w:rPr>
          <w:sz w:val="22"/>
          <w:szCs w:val="22"/>
          <w:lang w:val="sr-Latn-ME"/>
        </w:rPr>
      </w:pPr>
    </w:p>
    <w:p w14:paraId="617628FF" w14:textId="481C7028" w:rsidR="00E165EA" w:rsidRPr="00986187" w:rsidRDefault="00E165EA" w:rsidP="00F3153C">
      <w:pPr>
        <w:pStyle w:val="Header"/>
        <w:widowControl w:val="0"/>
        <w:tabs>
          <w:tab w:val="left" w:pos="284"/>
        </w:tabs>
        <w:jc w:val="both"/>
        <w:rPr>
          <w:sz w:val="22"/>
          <w:szCs w:val="22"/>
          <w:lang w:val="sr-Latn-ME"/>
        </w:rPr>
      </w:pPr>
      <w:r w:rsidRPr="00986187">
        <w:rPr>
          <w:sz w:val="22"/>
          <w:szCs w:val="22"/>
          <w:lang w:val="sr-Latn-ME"/>
        </w:rPr>
        <w:t>Prije primjene</w:t>
      </w:r>
      <w:r w:rsidR="007E6A05" w:rsidRPr="00986187">
        <w:rPr>
          <w:sz w:val="22"/>
          <w:szCs w:val="22"/>
          <w:lang w:val="sr-Latn-ME"/>
        </w:rPr>
        <w:t>,</w:t>
      </w:r>
      <w:r w:rsidRPr="00986187">
        <w:rPr>
          <w:sz w:val="22"/>
          <w:szCs w:val="22"/>
          <w:lang w:val="sr-Latn-ME"/>
        </w:rPr>
        <w:t xml:space="preserve"> vakcin</w:t>
      </w:r>
      <w:r w:rsidR="007E6A05" w:rsidRPr="00986187">
        <w:rPr>
          <w:sz w:val="22"/>
          <w:szCs w:val="22"/>
          <w:lang w:val="sr-Latn-ME"/>
        </w:rPr>
        <w:t>u treba</w:t>
      </w:r>
      <w:r w:rsidRPr="00986187">
        <w:rPr>
          <w:sz w:val="22"/>
          <w:szCs w:val="22"/>
          <w:lang w:val="sr-Latn-ME"/>
        </w:rPr>
        <w:t xml:space="preserve"> vizuelno </w:t>
      </w:r>
      <w:r w:rsidR="007E6A05" w:rsidRPr="00986187">
        <w:rPr>
          <w:sz w:val="22"/>
          <w:szCs w:val="22"/>
          <w:lang w:val="sr-Latn-ME"/>
        </w:rPr>
        <w:t>pregledati na</w:t>
      </w:r>
      <w:r w:rsidRPr="00986187">
        <w:rPr>
          <w:sz w:val="22"/>
          <w:szCs w:val="22"/>
          <w:lang w:val="sr-Latn-ME"/>
        </w:rPr>
        <w:t xml:space="preserve"> </w:t>
      </w:r>
      <w:r w:rsidR="007D1BE5" w:rsidRPr="00986187">
        <w:rPr>
          <w:sz w:val="22"/>
          <w:szCs w:val="22"/>
          <w:lang w:val="sr-Latn-ME"/>
        </w:rPr>
        <w:t>prisustvo</w:t>
      </w:r>
      <w:r w:rsidRPr="00986187">
        <w:rPr>
          <w:sz w:val="22"/>
          <w:szCs w:val="22"/>
          <w:lang w:val="sr-Latn-ME"/>
        </w:rPr>
        <w:t xml:space="preserve"> stranih čestica ili </w:t>
      </w:r>
      <w:r w:rsidR="007E6A05" w:rsidRPr="00986187">
        <w:rPr>
          <w:sz w:val="22"/>
          <w:szCs w:val="22"/>
          <w:lang w:val="sr-Latn-ME"/>
        </w:rPr>
        <w:t xml:space="preserve">promjenu </w:t>
      </w:r>
      <w:r w:rsidRPr="00986187">
        <w:rPr>
          <w:sz w:val="22"/>
          <w:szCs w:val="22"/>
          <w:lang w:val="sr-Latn-ME"/>
        </w:rPr>
        <w:t>u izgledu vakcine. Ukoliko primijetite bilo št</w:t>
      </w:r>
      <w:r w:rsidR="007E6A05" w:rsidRPr="00986187">
        <w:rPr>
          <w:sz w:val="22"/>
          <w:szCs w:val="22"/>
          <w:lang w:val="sr-Latn-ME"/>
        </w:rPr>
        <w:t>a</w:t>
      </w:r>
      <w:r w:rsidRPr="00986187">
        <w:rPr>
          <w:sz w:val="22"/>
          <w:szCs w:val="22"/>
          <w:lang w:val="sr-Latn-ME"/>
        </w:rPr>
        <w:t xml:space="preserve"> od navedenog, nemojte primjenjivati vakcinu.</w:t>
      </w:r>
    </w:p>
    <w:p w14:paraId="0D0FAE35" w14:textId="77777777" w:rsidR="00E165EA" w:rsidRPr="00986187" w:rsidRDefault="00E165EA" w:rsidP="00F3153C">
      <w:pPr>
        <w:pStyle w:val="Header"/>
        <w:widowControl w:val="0"/>
        <w:tabs>
          <w:tab w:val="left" w:pos="284"/>
        </w:tabs>
        <w:jc w:val="both"/>
        <w:rPr>
          <w:sz w:val="22"/>
          <w:szCs w:val="22"/>
          <w:lang w:val="sr-Latn-ME"/>
        </w:rPr>
      </w:pPr>
    </w:p>
    <w:p w14:paraId="2D9AEC7D" w14:textId="7FD464D8" w:rsidR="00E165EA" w:rsidRPr="00986187" w:rsidRDefault="007E6A05" w:rsidP="00F3153C">
      <w:pPr>
        <w:widowControl w:val="0"/>
        <w:tabs>
          <w:tab w:val="left" w:pos="540"/>
          <w:tab w:val="left" w:pos="569"/>
        </w:tabs>
        <w:jc w:val="both"/>
        <w:rPr>
          <w:sz w:val="22"/>
          <w:szCs w:val="22"/>
          <w:lang w:val="sr-Latn-ME"/>
        </w:rPr>
      </w:pPr>
      <w:r w:rsidRPr="00986187">
        <w:rPr>
          <w:sz w:val="22"/>
          <w:szCs w:val="22"/>
          <w:lang w:val="sr-Latn-ME"/>
        </w:rPr>
        <w:t>C</w:t>
      </w:r>
      <w:r w:rsidR="00E165EA" w:rsidRPr="00986187">
        <w:rPr>
          <w:sz w:val="22"/>
          <w:szCs w:val="22"/>
          <w:lang w:val="sr-Latn-ME"/>
        </w:rPr>
        <w:t>jel</w:t>
      </w:r>
      <w:r w:rsidRPr="00986187">
        <w:rPr>
          <w:sz w:val="22"/>
          <w:szCs w:val="22"/>
          <w:lang w:val="sr-Latn-ME"/>
        </w:rPr>
        <w:t>okupan</w:t>
      </w:r>
      <w:r w:rsidR="00E165EA" w:rsidRPr="00986187">
        <w:rPr>
          <w:sz w:val="22"/>
          <w:szCs w:val="22"/>
          <w:lang w:val="sr-Latn-ME"/>
        </w:rPr>
        <w:t xml:space="preserve"> sadržaj bočice</w:t>
      </w:r>
      <w:r w:rsidRPr="00986187">
        <w:rPr>
          <w:sz w:val="22"/>
          <w:szCs w:val="22"/>
          <w:lang w:val="sr-Latn-ME"/>
        </w:rPr>
        <w:t xml:space="preserve"> </w:t>
      </w:r>
      <w:r w:rsidR="0015485D" w:rsidRPr="00986187">
        <w:rPr>
          <w:sz w:val="22"/>
          <w:szCs w:val="22"/>
          <w:lang w:val="sr-Latn-ME"/>
        </w:rPr>
        <w:t>se mora izvu</w:t>
      </w:r>
      <w:r w:rsidRPr="00986187">
        <w:rPr>
          <w:sz w:val="22"/>
          <w:szCs w:val="22"/>
          <w:lang w:val="sr-Latn-ME"/>
        </w:rPr>
        <w:t>ći</w:t>
      </w:r>
      <w:r w:rsidR="00E165EA" w:rsidRPr="00986187">
        <w:rPr>
          <w:sz w:val="22"/>
          <w:szCs w:val="22"/>
          <w:lang w:val="sr-Latn-ME"/>
        </w:rPr>
        <w:t xml:space="preserve"> u špric i odmah primijeniti.</w:t>
      </w:r>
    </w:p>
    <w:p w14:paraId="2B6F4AF5" w14:textId="77777777" w:rsidR="00E165EA" w:rsidRPr="00986187" w:rsidRDefault="00E165EA" w:rsidP="00F3153C">
      <w:pPr>
        <w:widowControl w:val="0"/>
        <w:tabs>
          <w:tab w:val="left" w:pos="540"/>
          <w:tab w:val="left" w:pos="569"/>
        </w:tabs>
        <w:jc w:val="both"/>
        <w:rPr>
          <w:sz w:val="22"/>
          <w:szCs w:val="22"/>
          <w:lang w:val="sr-Latn-ME"/>
        </w:rPr>
      </w:pPr>
    </w:p>
    <w:p w14:paraId="4EDCD94F" w14:textId="4C33D189" w:rsidR="0072020E" w:rsidRPr="00986187" w:rsidRDefault="007E6A05" w:rsidP="00114D22">
      <w:pPr>
        <w:widowControl w:val="0"/>
        <w:tabs>
          <w:tab w:val="left" w:pos="540"/>
          <w:tab w:val="left" w:pos="569"/>
        </w:tabs>
        <w:jc w:val="both"/>
        <w:rPr>
          <w:bCs/>
          <w:sz w:val="22"/>
          <w:szCs w:val="22"/>
          <w:lang w:val="sr-Latn-ME"/>
        </w:rPr>
      </w:pPr>
      <w:r w:rsidRPr="00986187">
        <w:rPr>
          <w:sz w:val="22"/>
          <w:szCs w:val="22"/>
          <w:lang w:val="sr-Latn-ME"/>
        </w:rPr>
        <w:t>Svu neiskorišćenu količinu lijeka ili otpadnog materijala nakon njegove upotrebe treba ukloniti u skladu sa važećim propisima</w:t>
      </w:r>
      <w:r w:rsidR="003359DD" w:rsidRPr="00986187">
        <w:rPr>
          <w:sz w:val="22"/>
          <w:szCs w:val="22"/>
          <w:lang w:val="sr-Latn-ME"/>
        </w:rPr>
        <w:t>.</w:t>
      </w:r>
      <w:r w:rsidRPr="00986187" w:rsidDel="007E6A05">
        <w:rPr>
          <w:sz w:val="22"/>
          <w:szCs w:val="22"/>
          <w:lang w:val="sr-Latn-ME"/>
        </w:rPr>
        <w:t xml:space="preserve"> </w:t>
      </w:r>
    </w:p>
    <w:p w14:paraId="5D862CE1" w14:textId="25FCF1E0" w:rsidR="00DF0D23" w:rsidRPr="00986187" w:rsidRDefault="00DF0D23" w:rsidP="00F3153C">
      <w:pPr>
        <w:widowControl w:val="0"/>
        <w:tabs>
          <w:tab w:val="left" w:pos="540"/>
          <w:tab w:val="left" w:pos="569"/>
        </w:tabs>
        <w:rPr>
          <w:bCs/>
          <w:sz w:val="22"/>
          <w:szCs w:val="22"/>
          <w:lang w:val="sr-Latn-ME"/>
        </w:rPr>
      </w:pPr>
    </w:p>
    <w:p w14:paraId="73D7DC43" w14:textId="77777777" w:rsidR="0015485D" w:rsidRPr="00986187" w:rsidRDefault="0015485D" w:rsidP="00F3153C">
      <w:pPr>
        <w:widowControl w:val="0"/>
        <w:tabs>
          <w:tab w:val="left" w:pos="540"/>
          <w:tab w:val="left" w:pos="569"/>
        </w:tabs>
        <w:rPr>
          <w:bCs/>
          <w:sz w:val="22"/>
          <w:szCs w:val="22"/>
          <w:lang w:val="sr-Latn-ME"/>
        </w:rPr>
      </w:pPr>
    </w:p>
    <w:p w14:paraId="098980D2" w14:textId="77777777" w:rsidR="00F8570A"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7. </w:t>
      </w:r>
      <w:r w:rsidR="00480FB1" w:rsidRPr="00986187">
        <w:rPr>
          <w:b/>
          <w:bCs/>
          <w:sz w:val="22"/>
          <w:szCs w:val="22"/>
          <w:lang w:val="sr-Latn-ME"/>
        </w:rPr>
        <w:tab/>
      </w:r>
      <w:r w:rsidRPr="00986187">
        <w:rPr>
          <w:b/>
          <w:bCs/>
          <w:sz w:val="22"/>
          <w:szCs w:val="22"/>
          <w:lang w:val="sr-Latn-ME"/>
        </w:rPr>
        <w:t>NOSILAC DOZVOLE</w:t>
      </w:r>
      <w:r w:rsidR="00483928" w:rsidRPr="00986187">
        <w:rPr>
          <w:b/>
          <w:bCs/>
          <w:sz w:val="22"/>
          <w:szCs w:val="22"/>
          <w:lang w:val="sr-Latn-ME"/>
        </w:rPr>
        <w:t xml:space="preserve"> </w:t>
      </w:r>
    </w:p>
    <w:p w14:paraId="43257019" w14:textId="77777777" w:rsidR="00113500" w:rsidRPr="00986187" w:rsidRDefault="00113500" w:rsidP="00F3153C">
      <w:pPr>
        <w:widowControl w:val="0"/>
        <w:autoSpaceDE w:val="0"/>
        <w:autoSpaceDN w:val="0"/>
        <w:rPr>
          <w:bCs/>
          <w:sz w:val="22"/>
          <w:szCs w:val="22"/>
          <w:lang w:val="sr-Latn-ME"/>
        </w:rPr>
      </w:pPr>
    </w:p>
    <w:p w14:paraId="453BE00D" w14:textId="07F19B38" w:rsidR="006D760C" w:rsidRPr="00986187" w:rsidRDefault="006D760C" w:rsidP="00F3153C">
      <w:pPr>
        <w:widowControl w:val="0"/>
        <w:autoSpaceDE w:val="0"/>
        <w:autoSpaceDN w:val="0"/>
        <w:rPr>
          <w:bCs/>
          <w:sz w:val="22"/>
          <w:szCs w:val="22"/>
          <w:lang w:val="sr-Latn-ME"/>
        </w:rPr>
      </w:pPr>
      <w:r w:rsidRPr="00986187">
        <w:rPr>
          <w:bCs/>
          <w:sz w:val="22"/>
          <w:szCs w:val="22"/>
          <w:lang w:val="sr-Latn-ME"/>
        </w:rPr>
        <w:t xml:space="preserve">Evropa </w:t>
      </w:r>
      <w:proofErr w:type="spellStart"/>
      <w:r w:rsidRPr="00986187">
        <w:rPr>
          <w:bCs/>
          <w:sz w:val="22"/>
          <w:szCs w:val="22"/>
          <w:lang w:val="sr-Latn-ME"/>
        </w:rPr>
        <w:t>Lek</w:t>
      </w:r>
      <w:proofErr w:type="spellEnd"/>
      <w:r w:rsidRPr="00986187">
        <w:rPr>
          <w:bCs/>
          <w:sz w:val="22"/>
          <w:szCs w:val="22"/>
          <w:lang w:val="sr-Latn-ME"/>
        </w:rPr>
        <w:t xml:space="preserve"> Pharma </w:t>
      </w:r>
      <w:proofErr w:type="spellStart"/>
      <w:r w:rsidRPr="00986187">
        <w:rPr>
          <w:bCs/>
          <w:sz w:val="22"/>
          <w:szCs w:val="22"/>
          <w:lang w:val="sr-Latn-ME"/>
        </w:rPr>
        <w:t>d.o.o</w:t>
      </w:r>
      <w:proofErr w:type="spellEnd"/>
      <w:r w:rsidRPr="00986187">
        <w:rPr>
          <w:bCs/>
          <w:sz w:val="22"/>
          <w:szCs w:val="22"/>
          <w:lang w:val="sr-Latn-ME"/>
        </w:rPr>
        <w:t>. Podgorica</w:t>
      </w:r>
      <w:r w:rsidR="0015485D" w:rsidRPr="00986187">
        <w:rPr>
          <w:bCs/>
          <w:sz w:val="22"/>
          <w:szCs w:val="22"/>
          <w:lang w:val="sr-Latn-ME"/>
        </w:rPr>
        <w:t>,</w:t>
      </w:r>
    </w:p>
    <w:p w14:paraId="0B07391E" w14:textId="4C9FEC3E" w:rsidR="00C61BE0" w:rsidRPr="00986187" w:rsidRDefault="006D760C" w:rsidP="00F3153C">
      <w:pPr>
        <w:pStyle w:val="Header"/>
        <w:widowControl w:val="0"/>
        <w:tabs>
          <w:tab w:val="left" w:pos="284"/>
        </w:tabs>
        <w:jc w:val="both"/>
        <w:rPr>
          <w:sz w:val="22"/>
          <w:szCs w:val="22"/>
          <w:lang w:val="sr-Latn-ME"/>
        </w:rPr>
      </w:pPr>
      <w:r w:rsidRPr="00986187">
        <w:rPr>
          <w:bCs/>
          <w:sz w:val="22"/>
          <w:szCs w:val="22"/>
          <w:lang w:val="sr-Latn-ME"/>
        </w:rPr>
        <w:t xml:space="preserve">Kritskog odreda 4/1, </w:t>
      </w:r>
      <w:r w:rsidR="00694138" w:rsidRPr="00986187">
        <w:rPr>
          <w:sz w:val="22"/>
          <w:szCs w:val="22"/>
          <w:lang w:val="sr-Latn-ME"/>
        </w:rPr>
        <w:t>81000 Podgorica, Crna Gora</w:t>
      </w:r>
    </w:p>
    <w:p w14:paraId="2F26EAAC" w14:textId="41C19017" w:rsidR="00C37FD7" w:rsidRPr="00986187" w:rsidRDefault="00C37FD7" w:rsidP="00F3153C">
      <w:pPr>
        <w:widowControl w:val="0"/>
        <w:tabs>
          <w:tab w:val="left" w:pos="540"/>
          <w:tab w:val="left" w:pos="569"/>
        </w:tabs>
        <w:rPr>
          <w:bCs/>
          <w:sz w:val="22"/>
          <w:szCs w:val="22"/>
          <w:lang w:val="sr-Latn-ME"/>
        </w:rPr>
      </w:pPr>
    </w:p>
    <w:p w14:paraId="39C19DFE" w14:textId="77777777" w:rsidR="00DF0D23" w:rsidRPr="00986187" w:rsidRDefault="00DF0D23" w:rsidP="00F3153C">
      <w:pPr>
        <w:widowControl w:val="0"/>
        <w:tabs>
          <w:tab w:val="left" w:pos="540"/>
          <w:tab w:val="left" w:pos="569"/>
        </w:tabs>
        <w:rPr>
          <w:bCs/>
          <w:sz w:val="22"/>
          <w:szCs w:val="22"/>
          <w:lang w:val="sr-Latn-ME"/>
        </w:rPr>
      </w:pPr>
    </w:p>
    <w:p w14:paraId="030599DC"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8. </w:t>
      </w:r>
      <w:r w:rsidR="00480FB1" w:rsidRPr="00986187">
        <w:rPr>
          <w:b/>
          <w:bCs/>
          <w:sz w:val="22"/>
          <w:szCs w:val="22"/>
          <w:lang w:val="sr-Latn-ME"/>
        </w:rPr>
        <w:tab/>
      </w:r>
      <w:r w:rsidRPr="00986187">
        <w:rPr>
          <w:b/>
          <w:bCs/>
          <w:sz w:val="22"/>
          <w:szCs w:val="22"/>
          <w:lang w:val="sr-Latn-ME"/>
        </w:rPr>
        <w:t>BROJ DOZVOLE</w:t>
      </w:r>
      <w:r w:rsidR="008A6D43" w:rsidRPr="00986187">
        <w:rPr>
          <w:b/>
          <w:bCs/>
          <w:sz w:val="22"/>
          <w:szCs w:val="22"/>
          <w:lang w:val="sr-Latn-ME"/>
        </w:rPr>
        <w:t xml:space="preserve"> ZA STAVLJANJE LIJEKA U PROMET</w:t>
      </w:r>
    </w:p>
    <w:p w14:paraId="2EF159D2" w14:textId="77777777" w:rsidR="00113500" w:rsidRPr="00986187" w:rsidRDefault="00113500" w:rsidP="00F3153C">
      <w:pPr>
        <w:widowControl w:val="0"/>
        <w:tabs>
          <w:tab w:val="left" w:pos="540"/>
          <w:tab w:val="left" w:pos="569"/>
        </w:tabs>
        <w:jc w:val="both"/>
        <w:rPr>
          <w:bCs/>
          <w:sz w:val="22"/>
          <w:szCs w:val="22"/>
          <w:lang w:val="sr-Latn-ME"/>
        </w:rPr>
      </w:pPr>
    </w:p>
    <w:p w14:paraId="1725B628" w14:textId="77777777" w:rsidR="00986187" w:rsidRPr="00986187" w:rsidRDefault="00986187" w:rsidP="00F3153C">
      <w:pPr>
        <w:widowControl w:val="0"/>
        <w:tabs>
          <w:tab w:val="left" w:pos="540"/>
          <w:tab w:val="left" w:pos="569"/>
        </w:tabs>
        <w:rPr>
          <w:bCs/>
          <w:sz w:val="22"/>
          <w:szCs w:val="22"/>
          <w:lang w:val="sr-Latn-ME"/>
        </w:rPr>
      </w:pPr>
      <w:r w:rsidRPr="00986187">
        <w:rPr>
          <w:bCs/>
          <w:sz w:val="22"/>
          <w:szCs w:val="22"/>
          <w:lang w:val="sr-Latn-ME"/>
        </w:rPr>
        <w:t xml:space="preserve">2030/25/1012 – 1675 </w:t>
      </w:r>
    </w:p>
    <w:p w14:paraId="05D3EF4E" w14:textId="6E037ED5" w:rsidR="00F45F77" w:rsidRPr="00986187" w:rsidRDefault="00986187" w:rsidP="00F3153C">
      <w:pPr>
        <w:widowControl w:val="0"/>
        <w:tabs>
          <w:tab w:val="left" w:pos="540"/>
          <w:tab w:val="left" w:pos="569"/>
        </w:tabs>
        <w:rPr>
          <w:bCs/>
          <w:sz w:val="22"/>
          <w:szCs w:val="22"/>
          <w:lang w:val="sr-Latn-ME"/>
        </w:rPr>
      </w:pPr>
      <w:r w:rsidRPr="00986187">
        <w:rPr>
          <w:bCs/>
          <w:sz w:val="22"/>
          <w:szCs w:val="22"/>
          <w:lang w:val="sr-Latn-ME"/>
        </w:rPr>
        <w:t xml:space="preserve"> </w:t>
      </w:r>
    </w:p>
    <w:p w14:paraId="67D2C8B6" w14:textId="77777777" w:rsidR="00DF0D23" w:rsidRPr="00986187" w:rsidRDefault="00DF0D23" w:rsidP="00F3153C">
      <w:pPr>
        <w:widowControl w:val="0"/>
        <w:tabs>
          <w:tab w:val="left" w:pos="540"/>
          <w:tab w:val="left" w:pos="569"/>
        </w:tabs>
        <w:rPr>
          <w:bCs/>
          <w:sz w:val="22"/>
          <w:szCs w:val="22"/>
          <w:lang w:val="sr-Latn-ME"/>
        </w:rPr>
      </w:pPr>
    </w:p>
    <w:p w14:paraId="2E904533" w14:textId="77777777" w:rsidR="0072020E" w:rsidRPr="00986187" w:rsidRDefault="0072020E" w:rsidP="00F3153C">
      <w:pPr>
        <w:widowControl w:val="0"/>
        <w:tabs>
          <w:tab w:val="left" w:pos="540"/>
          <w:tab w:val="left" w:pos="569"/>
        </w:tabs>
        <w:rPr>
          <w:b/>
          <w:bCs/>
          <w:sz w:val="22"/>
          <w:szCs w:val="22"/>
          <w:lang w:val="sr-Latn-ME"/>
        </w:rPr>
      </w:pPr>
      <w:r w:rsidRPr="00986187">
        <w:rPr>
          <w:b/>
          <w:bCs/>
          <w:sz w:val="22"/>
          <w:szCs w:val="22"/>
          <w:lang w:val="sr-Latn-ME"/>
        </w:rPr>
        <w:t xml:space="preserve">9. </w:t>
      </w:r>
      <w:r w:rsidR="00480FB1" w:rsidRPr="00986187">
        <w:rPr>
          <w:b/>
          <w:bCs/>
          <w:sz w:val="22"/>
          <w:szCs w:val="22"/>
          <w:lang w:val="sr-Latn-ME"/>
        </w:rPr>
        <w:tab/>
      </w:r>
      <w:r w:rsidRPr="00986187">
        <w:rPr>
          <w:b/>
          <w:bCs/>
          <w:sz w:val="22"/>
          <w:szCs w:val="22"/>
          <w:lang w:val="sr-Latn-ME"/>
        </w:rPr>
        <w:t xml:space="preserve">DATUM </w:t>
      </w:r>
      <w:r w:rsidR="00C05DF8" w:rsidRPr="00986187">
        <w:rPr>
          <w:b/>
          <w:bCs/>
          <w:sz w:val="22"/>
          <w:szCs w:val="22"/>
          <w:lang w:val="sr-Latn-ME"/>
        </w:rPr>
        <w:t xml:space="preserve">PRVE </w:t>
      </w:r>
      <w:r w:rsidR="008A6D43" w:rsidRPr="00986187">
        <w:rPr>
          <w:b/>
          <w:bCs/>
          <w:sz w:val="22"/>
          <w:szCs w:val="22"/>
          <w:lang w:val="sr-Latn-ME"/>
        </w:rPr>
        <w:t>DOZVOLE</w:t>
      </w:r>
      <w:r w:rsidR="00C05DF8" w:rsidRPr="00986187">
        <w:rPr>
          <w:b/>
          <w:bCs/>
          <w:sz w:val="22"/>
          <w:szCs w:val="22"/>
          <w:lang w:val="sr-Latn-ME"/>
        </w:rPr>
        <w:t>/OBNOVE DOZVOLE</w:t>
      </w:r>
      <w:r w:rsidR="008A6D43" w:rsidRPr="00986187">
        <w:rPr>
          <w:b/>
          <w:bCs/>
          <w:sz w:val="22"/>
          <w:szCs w:val="22"/>
          <w:lang w:val="sr-Latn-ME"/>
        </w:rPr>
        <w:t xml:space="preserve"> ZA STAVLJANJE LIJEKA U PROMET</w:t>
      </w:r>
    </w:p>
    <w:p w14:paraId="5A3EC521" w14:textId="77777777" w:rsidR="00113500" w:rsidRPr="00986187" w:rsidRDefault="00113500" w:rsidP="00F3153C">
      <w:pPr>
        <w:pStyle w:val="Header"/>
        <w:widowControl w:val="0"/>
        <w:tabs>
          <w:tab w:val="left" w:pos="284"/>
        </w:tabs>
        <w:jc w:val="both"/>
        <w:rPr>
          <w:bCs/>
          <w:sz w:val="22"/>
          <w:szCs w:val="22"/>
          <w:lang w:val="sr-Latn-ME"/>
        </w:rPr>
      </w:pPr>
    </w:p>
    <w:p w14:paraId="07869133" w14:textId="0649FA84" w:rsidR="0072020E" w:rsidRPr="00986187" w:rsidRDefault="0015485D" w:rsidP="00F3153C">
      <w:pPr>
        <w:widowControl w:val="0"/>
        <w:jc w:val="both"/>
        <w:rPr>
          <w:sz w:val="22"/>
          <w:szCs w:val="22"/>
          <w:lang w:val="sr-Latn-ME"/>
        </w:rPr>
      </w:pPr>
      <w:r w:rsidRPr="00986187">
        <w:rPr>
          <w:bCs/>
          <w:sz w:val="22"/>
          <w:szCs w:val="22"/>
          <w:lang w:val="sr-Latn-ME"/>
        </w:rPr>
        <w:t xml:space="preserve">Datum prve dozvole: </w:t>
      </w:r>
      <w:r w:rsidR="00694138" w:rsidRPr="00986187">
        <w:rPr>
          <w:bCs/>
          <w:sz w:val="22"/>
          <w:szCs w:val="22"/>
          <w:lang w:val="sr-Latn-ME"/>
        </w:rPr>
        <w:t>18.09.2015. godine</w:t>
      </w:r>
    </w:p>
    <w:p w14:paraId="507CF4AB" w14:textId="76D688C9" w:rsidR="00836B35" w:rsidRPr="00986187" w:rsidRDefault="0015485D" w:rsidP="00F3153C">
      <w:pPr>
        <w:widowControl w:val="0"/>
        <w:tabs>
          <w:tab w:val="left" w:pos="540"/>
          <w:tab w:val="left" w:pos="569"/>
        </w:tabs>
        <w:rPr>
          <w:bCs/>
          <w:sz w:val="22"/>
          <w:szCs w:val="22"/>
          <w:lang w:val="sr-Latn-ME"/>
        </w:rPr>
      </w:pPr>
      <w:r w:rsidRPr="00986187">
        <w:rPr>
          <w:bCs/>
          <w:sz w:val="22"/>
          <w:szCs w:val="22"/>
          <w:lang w:val="sr-Latn-ME"/>
        </w:rPr>
        <w:t>Datum posljednje obnove dozvole:</w:t>
      </w:r>
      <w:r w:rsidR="00986187" w:rsidRPr="00986187">
        <w:rPr>
          <w:bCs/>
          <w:sz w:val="22"/>
          <w:szCs w:val="22"/>
          <w:lang w:val="sr-Latn-ME"/>
        </w:rPr>
        <w:t xml:space="preserve"> </w:t>
      </w:r>
      <w:r w:rsidR="00986187" w:rsidRPr="00986187">
        <w:rPr>
          <w:bCs/>
          <w:sz w:val="22"/>
          <w:szCs w:val="22"/>
          <w:lang w:val="sr-Latn-ME"/>
        </w:rPr>
        <w:t>21.02.2025. godine</w:t>
      </w:r>
    </w:p>
    <w:p w14:paraId="584F818B" w14:textId="77777777" w:rsidR="0015485D" w:rsidRPr="00986187" w:rsidRDefault="0015485D" w:rsidP="00F3153C">
      <w:pPr>
        <w:widowControl w:val="0"/>
        <w:tabs>
          <w:tab w:val="left" w:pos="540"/>
          <w:tab w:val="left" w:pos="569"/>
        </w:tabs>
        <w:rPr>
          <w:bCs/>
          <w:sz w:val="22"/>
          <w:szCs w:val="22"/>
          <w:lang w:val="sr-Latn-ME"/>
        </w:rPr>
      </w:pPr>
    </w:p>
    <w:p w14:paraId="34341749" w14:textId="77777777" w:rsidR="00DF0D23" w:rsidRPr="00986187" w:rsidRDefault="00DF0D23" w:rsidP="00F3153C">
      <w:pPr>
        <w:widowControl w:val="0"/>
        <w:tabs>
          <w:tab w:val="left" w:pos="540"/>
          <w:tab w:val="left" w:pos="569"/>
        </w:tabs>
        <w:rPr>
          <w:bCs/>
          <w:sz w:val="22"/>
          <w:szCs w:val="22"/>
          <w:lang w:val="sr-Latn-ME"/>
        </w:rPr>
      </w:pPr>
      <w:bookmarkStart w:id="1" w:name="_GoBack"/>
      <w:bookmarkEnd w:id="1"/>
    </w:p>
    <w:p w14:paraId="64C3253A" w14:textId="77777777" w:rsidR="003F6A59" w:rsidRPr="00986187" w:rsidRDefault="0072020E" w:rsidP="00F3153C">
      <w:pPr>
        <w:widowControl w:val="0"/>
        <w:tabs>
          <w:tab w:val="left" w:pos="540"/>
          <w:tab w:val="left" w:pos="569"/>
        </w:tabs>
        <w:ind w:left="540" w:hanging="540"/>
        <w:rPr>
          <w:bCs/>
          <w:sz w:val="22"/>
          <w:szCs w:val="22"/>
          <w:lang w:val="sr-Latn-ME"/>
        </w:rPr>
      </w:pPr>
      <w:r w:rsidRPr="00986187">
        <w:rPr>
          <w:b/>
          <w:bCs/>
          <w:sz w:val="22"/>
          <w:szCs w:val="22"/>
          <w:lang w:val="sr-Latn-ME"/>
        </w:rPr>
        <w:t xml:space="preserve">10. </w:t>
      </w:r>
      <w:r w:rsidR="00480FB1" w:rsidRPr="00986187">
        <w:rPr>
          <w:b/>
          <w:bCs/>
          <w:sz w:val="22"/>
          <w:szCs w:val="22"/>
          <w:lang w:val="sr-Latn-ME"/>
        </w:rPr>
        <w:tab/>
      </w:r>
      <w:r w:rsidR="002846DB" w:rsidRPr="00986187">
        <w:rPr>
          <w:b/>
          <w:bCs/>
          <w:sz w:val="22"/>
          <w:szCs w:val="22"/>
          <w:lang w:val="sr-Latn-ME"/>
        </w:rPr>
        <w:t>D</w:t>
      </w:r>
      <w:r w:rsidR="00EC2532" w:rsidRPr="00986187">
        <w:rPr>
          <w:b/>
          <w:bCs/>
          <w:sz w:val="22"/>
          <w:szCs w:val="22"/>
          <w:lang w:val="sr-Latn-ME"/>
        </w:rPr>
        <w:t xml:space="preserve">ATUM REVIZIJE TEKSTA </w:t>
      </w:r>
    </w:p>
    <w:p w14:paraId="715DD06A" w14:textId="31E2801E" w:rsidR="003F6A59" w:rsidRPr="00986187" w:rsidRDefault="003F6A59" w:rsidP="00F3153C">
      <w:pPr>
        <w:widowControl w:val="0"/>
        <w:rPr>
          <w:sz w:val="22"/>
          <w:szCs w:val="22"/>
          <w:lang w:val="sr-Latn-ME"/>
        </w:rPr>
      </w:pPr>
    </w:p>
    <w:p w14:paraId="5959CC26" w14:textId="135BD3B9" w:rsidR="00DF0D23" w:rsidRPr="00986187" w:rsidRDefault="00986187" w:rsidP="00F3153C">
      <w:pPr>
        <w:widowControl w:val="0"/>
        <w:rPr>
          <w:sz w:val="22"/>
          <w:szCs w:val="22"/>
          <w:lang w:val="sr-Latn-ME"/>
        </w:rPr>
      </w:pPr>
      <w:r w:rsidRPr="00986187">
        <w:rPr>
          <w:sz w:val="22"/>
          <w:szCs w:val="22"/>
          <w:lang w:val="sr-Latn-ME"/>
        </w:rPr>
        <w:t>Februar, 2025. godine</w:t>
      </w:r>
    </w:p>
    <w:sectPr w:rsidR="00DF0D23" w:rsidRPr="00986187" w:rsidSect="00F3153C">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72176" w14:textId="77777777" w:rsidR="00E43E69" w:rsidRDefault="00E43E69">
      <w:r>
        <w:separator/>
      </w:r>
    </w:p>
  </w:endnote>
  <w:endnote w:type="continuationSeparator" w:id="0">
    <w:p w14:paraId="5E30E11D" w14:textId="77777777" w:rsidR="00E43E69" w:rsidRDefault="00E4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907C" w14:textId="0483FDE9" w:rsidR="006B1CA3" w:rsidRPr="00B23F69" w:rsidRDefault="006B1CA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986187">
      <w:rPr>
        <w:noProof/>
        <w:sz w:val="22"/>
        <w:szCs w:val="22"/>
      </w:rPr>
      <w:t>11</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986187">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082BF" w14:textId="77777777" w:rsidR="00E43E69" w:rsidRDefault="00E43E69">
      <w:r>
        <w:separator/>
      </w:r>
    </w:p>
  </w:footnote>
  <w:footnote w:type="continuationSeparator" w:id="0">
    <w:p w14:paraId="4DE737BA" w14:textId="77777777" w:rsidR="00E43E69" w:rsidRDefault="00E4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5.9pt;height:13.5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EA1C63"/>
    <w:multiLevelType w:val="hybridMultilevel"/>
    <w:tmpl w:val="35DE0476"/>
    <w:lvl w:ilvl="0" w:tplc="FFFFFFFF">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65803"/>
    <w:multiLevelType w:val="hybridMultilevel"/>
    <w:tmpl w:val="E7262A86"/>
    <w:lvl w:ilvl="0" w:tplc="081A0001">
      <w:start w:val="1"/>
      <w:numFmt w:val="bullet"/>
      <w:lvlText w:val=""/>
      <w:lvlJc w:val="left"/>
      <w:pPr>
        <w:tabs>
          <w:tab w:val="num" w:pos="720"/>
        </w:tabs>
        <w:ind w:left="720" w:hanging="360"/>
      </w:pPr>
      <w:rPr>
        <w:rFonts w:ascii="Symbol" w:hAnsi="Symbo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start w:val="1"/>
      <w:numFmt w:val="bullet"/>
      <w:lvlText w:val=""/>
      <w:lvlJc w:val="left"/>
      <w:pPr>
        <w:tabs>
          <w:tab w:val="num" w:pos="2160"/>
        </w:tabs>
        <w:ind w:left="2160" w:hanging="360"/>
      </w:pPr>
      <w:rPr>
        <w:rFonts w:ascii="Wingdings" w:hAnsi="Wingdings" w:hint="default"/>
      </w:rPr>
    </w:lvl>
    <w:lvl w:ilvl="3" w:tplc="081A0001">
      <w:start w:val="1"/>
      <w:numFmt w:val="bullet"/>
      <w:lvlText w:val=""/>
      <w:lvlJc w:val="left"/>
      <w:pPr>
        <w:tabs>
          <w:tab w:val="num" w:pos="2880"/>
        </w:tabs>
        <w:ind w:left="2880" w:hanging="360"/>
      </w:pPr>
      <w:rPr>
        <w:rFonts w:ascii="Symbol" w:hAnsi="Symbol" w:hint="default"/>
      </w:rPr>
    </w:lvl>
    <w:lvl w:ilvl="4" w:tplc="081A0003">
      <w:start w:val="1"/>
      <w:numFmt w:val="bullet"/>
      <w:lvlText w:val="o"/>
      <w:lvlJc w:val="left"/>
      <w:pPr>
        <w:tabs>
          <w:tab w:val="num" w:pos="3600"/>
        </w:tabs>
        <w:ind w:left="3600" w:hanging="360"/>
      </w:pPr>
      <w:rPr>
        <w:rFonts w:ascii="Courier New" w:hAnsi="Courier New" w:cs="Courier New" w:hint="default"/>
      </w:rPr>
    </w:lvl>
    <w:lvl w:ilvl="5" w:tplc="081A0005">
      <w:start w:val="1"/>
      <w:numFmt w:val="bullet"/>
      <w:lvlText w:val=""/>
      <w:lvlJc w:val="left"/>
      <w:pPr>
        <w:tabs>
          <w:tab w:val="num" w:pos="4320"/>
        </w:tabs>
        <w:ind w:left="4320" w:hanging="360"/>
      </w:pPr>
      <w:rPr>
        <w:rFonts w:ascii="Wingdings" w:hAnsi="Wingdings" w:hint="default"/>
      </w:rPr>
    </w:lvl>
    <w:lvl w:ilvl="6" w:tplc="081A0001">
      <w:start w:val="1"/>
      <w:numFmt w:val="bullet"/>
      <w:lvlText w:val=""/>
      <w:lvlJc w:val="left"/>
      <w:pPr>
        <w:tabs>
          <w:tab w:val="num" w:pos="5040"/>
        </w:tabs>
        <w:ind w:left="5040" w:hanging="360"/>
      </w:pPr>
      <w:rPr>
        <w:rFonts w:ascii="Symbol" w:hAnsi="Symbol" w:hint="default"/>
      </w:rPr>
    </w:lvl>
    <w:lvl w:ilvl="7" w:tplc="081A0003">
      <w:start w:val="1"/>
      <w:numFmt w:val="bullet"/>
      <w:lvlText w:val="o"/>
      <w:lvlJc w:val="left"/>
      <w:pPr>
        <w:tabs>
          <w:tab w:val="num" w:pos="5760"/>
        </w:tabs>
        <w:ind w:left="5760" w:hanging="360"/>
      </w:pPr>
      <w:rPr>
        <w:rFonts w:ascii="Courier New" w:hAnsi="Courier New" w:cs="Courier New" w:hint="default"/>
      </w:rPr>
    </w:lvl>
    <w:lvl w:ilvl="8" w:tplc="081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31251A2D"/>
    <w:multiLevelType w:val="hybridMultilevel"/>
    <w:tmpl w:val="01EC03E8"/>
    <w:lvl w:ilvl="0" w:tplc="396C72BE">
      <w:start w:val="2"/>
      <w:numFmt w:val="bullet"/>
      <w:lvlText w:val="-"/>
      <w:lvlJc w:val="left"/>
      <w:pPr>
        <w:ind w:left="720" w:hanging="360"/>
      </w:pPr>
      <w:rPr>
        <w:rFonts w:ascii="Times New Roman" w:eastAsia="MT Extr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603043A"/>
    <w:multiLevelType w:val="hybridMultilevel"/>
    <w:tmpl w:val="256E3D20"/>
    <w:lvl w:ilvl="0" w:tplc="E8A45B3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E35C95"/>
    <w:multiLevelType w:val="singleLevel"/>
    <w:tmpl w:val="FFFFFFFF"/>
    <w:lvl w:ilvl="0">
      <w:start w:val="4"/>
      <w:numFmt w:val="bullet"/>
      <w:lvlText w:val="-"/>
      <w:legacy w:legacy="1" w:legacySpace="0" w:legacyIndent="360"/>
      <w:lvlJc w:val="left"/>
      <w:pPr>
        <w:ind w:left="360" w:hanging="360"/>
      </w:pPr>
    </w:lvl>
  </w:abstractNum>
  <w:abstractNum w:abstractNumId="14" w15:restartNumberingAfterBreak="0">
    <w:nsid w:val="676C548C"/>
    <w:multiLevelType w:val="hybridMultilevel"/>
    <w:tmpl w:val="D23A82AC"/>
    <w:lvl w:ilvl="0" w:tplc="E8A45B3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69DF701A"/>
    <w:multiLevelType w:val="hybridMultilevel"/>
    <w:tmpl w:val="5CCED5D0"/>
    <w:lvl w:ilvl="0" w:tplc="22DCBB06">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16"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0"/>
  </w:num>
  <w:num w:numId="4">
    <w:abstractNumId w:val="11"/>
  </w:num>
  <w:num w:numId="5">
    <w:abstractNumId w:val="6"/>
  </w:num>
  <w:num w:numId="6">
    <w:abstractNumId w:val="1"/>
  </w:num>
  <w:num w:numId="7">
    <w:abstractNumId w:val="10"/>
  </w:num>
  <w:num w:numId="8">
    <w:abstractNumId w:val="4"/>
  </w:num>
  <w:num w:numId="9">
    <w:abstractNumId w:val="8"/>
  </w:num>
  <w:num w:numId="10">
    <w:abstractNumId w:val="17"/>
  </w:num>
  <w:num w:numId="11">
    <w:abstractNumId w:val="7"/>
  </w:num>
  <w:num w:numId="12">
    <w:abstractNumId w:val="15"/>
  </w:num>
  <w:num w:numId="13">
    <w:abstractNumId w:val="5"/>
  </w:num>
  <w:num w:numId="14">
    <w:abstractNumId w:val="2"/>
  </w:num>
  <w:num w:numId="15">
    <w:abstractNumId w:val="9"/>
  </w:num>
  <w:num w:numId="16">
    <w:abstractNumId w:val="1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266"/>
    <w:rsid w:val="000176CA"/>
    <w:rsid w:val="000358D5"/>
    <w:rsid w:val="00036FA0"/>
    <w:rsid w:val="0003793F"/>
    <w:rsid w:val="00055089"/>
    <w:rsid w:val="00057E35"/>
    <w:rsid w:val="00076726"/>
    <w:rsid w:val="00080303"/>
    <w:rsid w:val="00080B74"/>
    <w:rsid w:val="000A3F58"/>
    <w:rsid w:val="000C55AD"/>
    <w:rsid w:val="000D2343"/>
    <w:rsid w:val="000D3449"/>
    <w:rsid w:val="000D425A"/>
    <w:rsid w:val="000D60CC"/>
    <w:rsid w:val="000E2084"/>
    <w:rsid w:val="000E6F55"/>
    <w:rsid w:val="000F77FA"/>
    <w:rsid w:val="00107BF7"/>
    <w:rsid w:val="00113500"/>
    <w:rsid w:val="00114D22"/>
    <w:rsid w:val="00121D86"/>
    <w:rsid w:val="00121EFE"/>
    <w:rsid w:val="00126F53"/>
    <w:rsid w:val="00143DE6"/>
    <w:rsid w:val="0014766D"/>
    <w:rsid w:val="001536CC"/>
    <w:rsid w:val="0015485D"/>
    <w:rsid w:val="001A02AA"/>
    <w:rsid w:val="001A3FBA"/>
    <w:rsid w:val="001A5518"/>
    <w:rsid w:val="001B1C6A"/>
    <w:rsid w:val="001C1263"/>
    <w:rsid w:val="001C1417"/>
    <w:rsid w:val="001D5B58"/>
    <w:rsid w:val="001E390B"/>
    <w:rsid w:val="001F2585"/>
    <w:rsid w:val="001F42FB"/>
    <w:rsid w:val="001F61D7"/>
    <w:rsid w:val="001F719A"/>
    <w:rsid w:val="002031B3"/>
    <w:rsid w:val="00215931"/>
    <w:rsid w:val="00227BDB"/>
    <w:rsid w:val="00234CB1"/>
    <w:rsid w:val="002352F8"/>
    <w:rsid w:val="002510A5"/>
    <w:rsid w:val="00254A0A"/>
    <w:rsid w:val="00266046"/>
    <w:rsid w:val="002846DB"/>
    <w:rsid w:val="00284CCD"/>
    <w:rsid w:val="002A0D9C"/>
    <w:rsid w:val="002B615B"/>
    <w:rsid w:val="002C0BA3"/>
    <w:rsid w:val="002C2C46"/>
    <w:rsid w:val="002C6637"/>
    <w:rsid w:val="002E0135"/>
    <w:rsid w:val="002E37A5"/>
    <w:rsid w:val="00310F03"/>
    <w:rsid w:val="003247D2"/>
    <w:rsid w:val="00331FFC"/>
    <w:rsid w:val="003359DD"/>
    <w:rsid w:val="00336ED7"/>
    <w:rsid w:val="003445C1"/>
    <w:rsid w:val="00355B61"/>
    <w:rsid w:val="00362686"/>
    <w:rsid w:val="00371510"/>
    <w:rsid w:val="00380064"/>
    <w:rsid w:val="00385690"/>
    <w:rsid w:val="00396DFD"/>
    <w:rsid w:val="003A7059"/>
    <w:rsid w:val="003B7A36"/>
    <w:rsid w:val="003C17AB"/>
    <w:rsid w:val="003C7823"/>
    <w:rsid w:val="003E1DCC"/>
    <w:rsid w:val="003F6A59"/>
    <w:rsid w:val="004065C8"/>
    <w:rsid w:val="00411B4B"/>
    <w:rsid w:val="00415BEE"/>
    <w:rsid w:val="0042377A"/>
    <w:rsid w:val="00427F85"/>
    <w:rsid w:val="00433928"/>
    <w:rsid w:val="00436F42"/>
    <w:rsid w:val="004378B4"/>
    <w:rsid w:val="00451314"/>
    <w:rsid w:val="00452E9D"/>
    <w:rsid w:val="004534C7"/>
    <w:rsid w:val="004671AA"/>
    <w:rsid w:val="00480FB1"/>
    <w:rsid w:val="00483928"/>
    <w:rsid w:val="004B3148"/>
    <w:rsid w:val="004B64D9"/>
    <w:rsid w:val="004B6D07"/>
    <w:rsid w:val="004D6103"/>
    <w:rsid w:val="004E3BCE"/>
    <w:rsid w:val="004F0E97"/>
    <w:rsid w:val="00515C21"/>
    <w:rsid w:val="005165FF"/>
    <w:rsid w:val="00521046"/>
    <w:rsid w:val="00526B6C"/>
    <w:rsid w:val="00530BD7"/>
    <w:rsid w:val="00545CD2"/>
    <w:rsid w:val="005476F3"/>
    <w:rsid w:val="00565C2A"/>
    <w:rsid w:val="00572527"/>
    <w:rsid w:val="00573E40"/>
    <w:rsid w:val="00576348"/>
    <w:rsid w:val="005A0B2E"/>
    <w:rsid w:val="005A23D2"/>
    <w:rsid w:val="005A36CB"/>
    <w:rsid w:val="005B49B8"/>
    <w:rsid w:val="005C0741"/>
    <w:rsid w:val="005C5EF4"/>
    <w:rsid w:val="005E2E0B"/>
    <w:rsid w:val="005E7A7D"/>
    <w:rsid w:val="00646BD1"/>
    <w:rsid w:val="0065199A"/>
    <w:rsid w:val="006561C2"/>
    <w:rsid w:val="0066785F"/>
    <w:rsid w:val="00671CB3"/>
    <w:rsid w:val="00674BAF"/>
    <w:rsid w:val="00682200"/>
    <w:rsid w:val="0068274A"/>
    <w:rsid w:val="00694138"/>
    <w:rsid w:val="006A1497"/>
    <w:rsid w:val="006A62D5"/>
    <w:rsid w:val="006B0BD1"/>
    <w:rsid w:val="006B1CA3"/>
    <w:rsid w:val="006C08D3"/>
    <w:rsid w:val="006C18B0"/>
    <w:rsid w:val="006C2547"/>
    <w:rsid w:val="006D20A5"/>
    <w:rsid w:val="006D37BF"/>
    <w:rsid w:val="006D760C"/>
    <w:rsid w:val="006F33A0"/>
    <w:rsid w:val="00702E22"/>
    <w:rsid w:val="0072020E"/>
    <w:rsid w:val="00735461"/>
    <w:rsid w:val="00786033"/>
    <w:rsid w:val="00786071"/>
    <w:rsid w:val="007918BB"/>
    <w:rsid w:val="00791EE2"/>
    <w:rsid w:val="007A3ECB"/>
    <w:rsid w:val="007D1BE5"/>
    <w:rsid w:val="007E6A05"/>
    <w:rsid w:val="00824AB9"/>
    <w:rsid w:val="00831324"/>
    <w:rsid w:val="00836B35"/>
    <w:rsid w:val="00843BDE"/>
    <w:rsid w:val="00854D3B"/>
    <w:rsid w:val="00863007"/>
    <w:rsid w:val="0087098A"/>
    <w:rsid w:val="0089705C"/>
    <w:rsid w:val="008A6D43"/>
    <w:rsid w:val="008B1056"/>
    <w:rsid w:val="008B491E"/>
    <w:rsid w:val="008C1A28"/>
    <w:rsid w:val="008C2E98"/>
    <w:rsid w:val="008E49BD"/>
    <w:rsid w:val="008E53E9"/>
    <w:rsid w:val="008E5771"/>
    <w:rsid w:val="009106AC"/>
    <w:rsid w:val="0091541A"/>
    <w:rsid w:val="00920EA7"/>
    <w:rsid w:val="00925091"/>
    <w:rsid w:val="00940B9B"/>
    <w:rsid w:val="0095477A"/>
    <w:rsid w:val="0095676E"/>
    <w:rsid w:val="00956983"/>
    <w:rsid w:val="00962CFB"/>
    <w:rsid w:val="00963CF0"/>
    <w:rsid w:val="00964BB1"/>
    <w:rsid w:val="009775D9"/>
    <w:rsid w:val="00985906"/>
    <w:rsid w:val="00986187"/>
    <w:rsid w:val="0099505A"/>
    <w:rsid w:val="00997175"/>
    <w:rsid w:val="00997B6E"/>
    <w:rsid w:val="009A1847"/>
    <w:rsid w:val="009B062A"/>
    <w:rsid w:val="009C74CF"/>
    <w:rsid w:val="009E7C6F"/>
    <w:rsid w:val="009F1793"/>
    <w:rsid w:val="009F181F"/>
    <w:rsid w:val="009F2D23"/>
    <w:rsid w:val="00A01D69"/>
    <w:rsid w:val="00A02335"/>
    <w:rsid w:val="00A46C9A"/>
    <w:rsid w:val="00A529F8"/>
    <w:rsid w:val="00A619F3"/>
    <w:rsid w:val="00A62A73"/>
    <w:rsid w:val="00A87FF6"/>
    <w:rsid w:val="00A974B8"/>
    <w:rsid w:val="00AA0A3B"/>
    <w:rsid w:val="00AB50CA"/>
    <w:rsid w:val="00AC53CE"/>
    <w:rsid w:val="00AD2193"/>
    <w:rsid w:val="00AF2AC7"/>
    <w:rsid w:val="00AF3362"/>
    <w:rsid w:val="00AF74CE"/>
    <w:rsid w:val="00B208DB"/>
    <w:rsid w:val="00B23F69"/>
    <w:rsid w:val="00B60619"/>
    <w:rsid w:val="00B62C04"/>
    <w:rsid w:val="00B65F9A"/>
    <w:rsid w:val="00B66A70"/>
    <w:rsid w:val="00B67366"/>
    <w:rsid w:val="00B80EE1"/>
    <w:rsid w:val="00B84135"/>
    <w:rsid w:val="00BC6BA1"/>
    <w:rsid w:val="00BE3B0B"/>
    <w:rsid w:val="00C04D34"/>
    <w:rsid w:val="00C05DF8"/>
    <w:rsid w:val="00C06864"/>
    <w:rsid w:val="00C10F54"/>
    <w:rsid w:val="00C23D8D"/>
    <w:rsid w:val="00C37AA3"/>
    <w:rsid w:val="00C37FD7"/>
    <w:rsid w:val="00C43419"/>
    <w:rsid w:val="00C44CF3"/>
    <w:rsid w:val="00C47FF9"/>
    <w:rsid w:val="00C61BE0"/>
    <w:rsid w:val="00C70B0E"/>
    <w:rsid w:val="00C773CA"/>
    <w:rsid w:val="00C83785"/>
    <w:rsid w:val="00C94C0D"/>
    <w:rsid w:val="00CA1FEB"/>
    <w:rsid w:val="00CC1A67"/>
    <w:rsid w:val="00CD4F85"/>
    <w:rsid w:val="00CD6F02"/>
    <w:rsid w:val="00CE246D"/>
    <w:rsid w:val="00CF07A0"/>
    <w:rsid w:val="00CF3E03"/>
    <w:rsid w:val="00CF6512"/>
    <w:rsid w:val="00D0082A"/>
    <w:rsid w:val="00D1151F"/>
    <w:rsid w:val="00D13288"/>
    <w:rsid w:val="00D21455"/>
    <w:rsid w:val="00D47634"/>
    <w:rsid w:val="00D709B3"/>
    <w:rsid w:val="00D711B2"/>
    <w:rsid w:val="00D96CC0"/>
    <w:rsid w:val="00DA2ED6"/>
    <w:rsid w:val="00DB76B8"/>
    <w:rsid w:val="00DC2EA1"/>
    <w:rsid w:val="00DC38F1"/>
    <w:rsid w:val="00DC4818"/>
    <w:rsid w:val="00DD6AAF"/>
    <w:rsid w:val="00DE3F5C"/>
    <w:rsid w:val="00DE47C6"/>
    <w:rsid w:val="00DF0D23"/>
    <w:rsid w:val="00DF1B0C"/>
    <w:rsid w:val="00DF1D20"/>
    <w:rsid w:val="00DF7182"/>
    <w:rsid w:val="00E01A0E"/>
    <w:rsid w:val="00E12527"/>
    <w:rsid w:val="00E165EA"/>
    <w:rsid w:val="00E21324"/>
    <w:rsid w:val="00E246B9"/>
    <w:rsid w:val="00E31FEA"/>
    <w:rsid w:val="00E43E69"/>
    <w:rsid w:val="00E45169"/>
    <w:rsid w:val="00E47787"/>
    <w:rsid w:val="00E501A9"/>
    <w:rsid w:val="00E51C30"/>
    <w:rsid w:val="00E64180"/>
    <w:rsid w:val="00E74AEE"/>
    <w:rsid w:val="00E84BAF"/>
    <w:rsid w:val="00E868E5"/>
    <w:rsid w:val="00E9237A"/>
    <w:rsid w:val="00E939FA"/>
    <w:rsid w:val="00EA5765"/>
    <w:rsid w:val="00EC2532"/>
    <w:rsid w:val="00ED7812"/>
    <w:rsid w:val="00EF0165"/>
    <w:rsid w:val="00EF3B86"/>
    <w:rsid w:val="00F01C00"/>
    <w:rsid w:val="00F0224D"/>
    <w:rsid w:val="00F2258E"/>
    <w:rsid w:val="00F3153C"/>
    <w:rsid w:val="00F317E9"/>
    <w:rsid w:val="00F34554"/>
    <w:rsid w:val="00F40763"/>
    <w:rsid w:val="00F45F77"/>
    <w:rsid w:val="00F5167F"/>
    <w:rsid w:val="00F52258"/>
    <w:rsid w:val="00F555BA"/>
    <w:rsid w:val="00F56AE3"/>
    <w:rsid w:val="00F65CB6"/>
    <w:rsid w:val="00F80BC1"/>
    <w:rsid w:val="00F8570A"/>
    <w:rsid w:val="00F91C7B"/>
    <w:rsid w:val="00FA197A"/>
    <w:rsid w:val="00FA1E70"/>
    <w:rsid w:val="00FE02F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0E38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A974B8"/>
    <w:rPr>
      <w:sz w:val="24"/>
      <w:szCs w:val="24"/>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Char Char"/>
    <w:locked/>
    <w:rsid w:val="00121EFE"/>
    <w:rPr>
      <w:sz w:val="24"/>
      <w:szCs w:val="24"/>
      <w:lang w:val="x-none" w:eastAsia="x-none"/>
    </w:rPr>
  </w:style>
  <w:style w:type="paragraph" w:customStyle="1" w:styleId="tabletextNS">
    <w:name w:val="table:textNS"/>
    <w:basedOn w:val="Normal"/>
    <w:link w:val="tabletextNSChar"/>
    <w:rsid w:val="00F01C00"/>
    <w:rPr>
      <w:rFonts w:ascii="Arial Narrow" w:hAnsi="Arial Narrow"/>
      <w:lang w:val="x-none"/>
    </w:rPr>
  </w:style>
  <w:style w:type="character" w:customStyle="1" w:styleId="tabletextNSChar">
    <w:name w:val="table:textNS Char"/>
    <w:link w:val="tabletextNS"/>
    <w:rsid w:val="00F01C00"/>
    <w:rPr>
      <w:rFonts w:ascii="Arial Narrow" w:hAnsi="Arial Narrow"/>
      <w:sz w:val="24"/>
      <w:szCs w:val="24"/>
      <w:lang w:val="x-none" w:eastAsia="en-US"/>
    </w:rPr>
  </w:style>
  <w:style w:type="paragraph" w:styleId="Revision">
    <w:name w:val="Revision"/>
    <w:hidden/>
    <w:uiPriority w:val="99"/>
    <w:semiHidden/>
    <w:rsid w:val="0042377A"/>
    <w:rPr>
      <w:sz w:val="24"/>
      <w:szCs w:val="24"/>
      <w:lang w:val="en-US" w:eastAsia="en-US"/>
    </w:rPr>
  </w:style>
  <w:style w:type="paragraph" w:styleId="ListParagraph">
    <w:name w:val="List Paragraph"/>
    <w:basedOn w:val="Normal"/>
    <w:uiPriority w:val="34"/>
    <w:qFormat/>
    <w:rsid w:val="0042377A"/>
    <w:pPr>
      <w:ind w:left="720"/>
      <w:contextualSpacing/>
    </w:pPr>
  </w:style>
  <w:style w:type="character" w:styleId="Hyperlink">
    <w:name w:val="Hyperlink"/>
    <w:basedOn w:val="DefaultParagraphFont"/>
    <w:rsid w:val="00FA19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136">
      <w:bodyDiv w:val="1"/>
      <w:marLeft w:val="0"/>
      <w:marRight w:val="0"/>
      <w:marTop w:val="0"/>
      <w:marBottom w:val="0"/>
      <w:divBdr>
        <w:top w:val="none" w:sz="0" w:space="0" w:color="auto"/>
        <w:left w:val="none" w:sz="0" w:space="0" w:color="auto"/>
        <w:bottom w:val="none" w:sz="0" w:space="0" w:color="auto"/>
        <w:right w:val="none" w:sz="0" w:space="0" w:color="auto"/>
      </w:divBdr>
    </w:div>
    <w:div w:id="237248754">
      <w:bodyDiv w:val="1"/>
      <w:marLeft w:val="0"/>
      <w:marRight w:val="0"/>
      <w:marTop w:val="0"/>
      <w:marBottom w:val="0"/>
      <w:divBdr>
        <w:top w:val="none" w:sz="0" w:space="0" w:color="auto"/>
        <w:left w:val="none" w:sz="0" w:space="0" w:color="auto"/>
        <w:bottom w:val="none" w:sz="0" w:space="0" w:color="auto"/>
        <w:right w:val="none" w:sz="0" w:space="0" w:color="auto"/>
      </w:divBdr>
    </w:div>
    <w:div w:id="267280179">
      <w:bodyDiv w:val="1"/>
      <w:marLeft w:val="0"/>
      <w:marRight w:val="0"/>
      <w:marTop w:val="0"/>
      <w:marBottom w:val="0"/>
      <w:divBdr>
        <w:top w:val="none" w:sz="0" w:space="0" w:color="auto"/>
        <w:left w:val="none" w:sz="0" w:space="0" w:color="auto"/>
        <w:bottom w:val="none" w:sz="0" w:space="0" w:color="auto"/>
        <w:right w:val="none" w:sz="0" w:space="0" w:color="auto"/>
      </w:divBdr>
    </w:div>
    <w:div w:id="957905761">
      <w:bodyDiv w:val="1"/>
      <w:marLeft w:val="0"/>
      <w:marRight w:val="0"/>
      <w:marTop w:val="0"/>
      <w:marBottom w:val="0"/>
      <w:divBdr>
        <w:top w:val="none" w:sz="0" w:space="0" w:color="auto"/>
        <w:left w:val="none" w:sz="0" w:space="0" w:color="auto"/>
        <w:bottom w:val="none" w:sz="0" w:space="0" w:color="auto"/>
        <w:right w:val="none" w:sz="0" w:space="0" w:color="auto"/>
      </w:divBdr>
    </w:div>
    <w:div w:id="989215784">
      <w:bodyDiv w:val="1"/>
      <w:marLeft w:val="0"/>
      <w:marRight w:val="0"/>
      <w:marTop w:val="0"/>
      <w:marBottom w:val="0"/>
      <w:divBdr>
        <w:top w:val="none" w:sz="0" w:space="0" w:color="auto"/>
        <w:left w:val="none" w:sz="0" w:space="0" w:color="auto"/>
        <w:bottom w:val="none" w:sz="0" w:space="0" w:color="auto"/>
        <w:right w:val="none" w:sz="0" w:space="0" w:color="auto"/>
      </w:divBdr>
    </w:div>
    <w:div w:id="994801120">
      <w:bodyDiv w:val="1"/>
      <w:marLeft w:val="0"/>
      <w:marRight w:val="0"/>
      <w:marTop w:val="0"/>
      <w:marBottom w:val="0"/>
      <w:divBdr>
        <w:top w:val="none" w:sz="0" w:space="0" w:color="auto"/>
        <w:left w:val="none" w:sz="0" w:space="0" w:color="auto"/>
        <w:bottom w:val="none" w:sz="0" w:space="0" w:color="auto"/>
        <w:right w:val="none" w:sz="0" w:space="0" w:color="auto"/>
      </w:divBdr>
    </w:div>
    <w:div w:id="1081096001">
      <w:bodyDiv w:val="1"/>
      <w:marLeft w:val="0"/>
      <w:marRight w:val="0"/>
      <w:marTop w:val="0"/>
      <w:marBottom w:val="0"/>
      <w:divBdr>
        <w:top w:val="none" w:sz="0" w:space="0" w:color="auto"/>
        <w:left w:val="none" w:sz="0" w:space="0" w:color="auto"/>
        <w:bottom w:val="none" w:sz="0" w:space="0" w:color="auto"/>
        <w:right w:val="none" w:sz="0" w:space="0" w:color="auto"/>
      </w:divBdr>
    </w:div>
    <w:div w:id="1878155245">
      <w:bodyDiv w:val="1"/>
      <w:marLeft w:val="0"/>
      <w:marRight w:val="0"/>
      <w:marTop w:val="0"/>
      <w:marBottom w:val="0"/>
      <w:divBdr>
        <w:top w:val="none" w:sz="0" w:space="0" w:color="auto"/>
        <w:left w:val="none" w:sz="0" w:space="0" w:color="auto"/>
        <w:bottom w:val="none" w:sz="0" w:space="0" w:color="auto"/>
        <w:right w:val="none" w:sz="0" w:space="0" w:color="auto"/>
      </w:divBdr>
    </w:div>
    <w:div w:id="199013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8616-77F2-4D46-A7EB-309FFC8CD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4185</Words>
  <Characters>23858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27988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Ninoslava Lalatović</cp:lastModifiedBy>
  <cp:revision>5</cp:revision>
  <dcterms:created xsi:type="dcterms:W3CDTF">2025-02-21T12:09:00Z</dcterms:created>
  <dcterms:modified xsi:type="dcterms:W3CDTF">2025-02-21T13:24:00Z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