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227B9" w14:textId="77777777" w:rsidR="002510A5" w:rsidRPr="00F23EEB" w:rsidRDefault="002510A5" w:rsidP="00F23EEB">
      <w:pPr>
        <w:widowControl w:val="0"/>
        <w:jc w:val="center"/>
        <w:rPr>
          <w:b/>
          <w:bCs/>
          <w:iCs/>
          <w:sz w:val="22"/>
          <w:szCs w:val="22"/>
          <w:u w:val="single"/>
          <w:lang w:val="sr-Latn-ME"/>
        </w:rPr>
      </w:pPr>
      <w:r w:rsidRPr="00F23EEB">
        <w:rPr>
          <w:b/>
          <w:bCs/>
          <w:iCs/>
          <w:sz w:val="22"/>
          <w:szCs w:val="22"/>
          <w:u w:val="single"/>
          <w:lang w:val="sr-Latn-ME"/>
        </w:rPr>
        <w:t>SAŽETAK KARAKTERISTIKA LIJEKA</w:t>
      </w:r>
    </w:p>
    <w:p w14:paraId="56176D50" w14:textId="6DC662DC" w:rsidR="00C37FD7" w:rsidRPr="00F23EEB" w:rsidRDefault="00C37FD7" w:rsidP="00F23EEB">
      <w:pPr>
        <w:widowControl w:val="0"/>
        <w:tabs>
          <w:tab w:val="left" w:pos="540"/>
          <w:tab w:val="left" w:pos="569"/>
        </w:tabs>
        <w:rPr>
          <w:bCs/>
          <w:sz w:val="22"/>
          <w:szCs w:val="22"/>
          <w:lang w:val="sr-Latn-ME"/>
        </w:rPr>
      </w:pPr>
    </w:p>
    <w:p w14:paraId="6ECB72A7" w14:textId="77777777" w:rsidR="00F23EEB" w:rsidRPr="00F23EEB" w:rsidRDefault="00F23EEB" w:rsidP="00F23EEB">
      <w:pPr>
        <w:widowControl w:val="0"/>
        <w:tabs>
          <w:tab w:val="left" w:pos="540"/>
          <w:tab w:val="left" w:pos="569"/>
        </w:tabs>
        <w:rPr>
          <w:bCs/>
          <w:sz w:val="22"/>
          <w:szCs w:val="22"/>
          <w:lang w:val="sr-Latn-ME"/>
        </w:rPr>
      </w:pPr>
    </w:p>
    <w:p w14:paraId="5BC97153" w14:textId="77777777" w:rsidR="00411B4B" w:rsidRPr="00F23EEB" w:rsidRDefault="00411B4B" w:rsidP="00F23EEB">
      <w:pPr>
        <w:widowControl w:val="0"/>
        <w:tabs>
          <w:tab w:val="left" w:pos="540"/>
          <w:tab w:val="left" w:pos="569"/>
        </w:tabs>
        <w:rPr>
          <w:b/>
          <w:bCs/>
          <w:sz w:val="22"/>
          <w:szCs w:val="22"/>
          <w:lang w:val="sr-Latn-ME"/>
        </w:rPr>
      </w:pPr>
      <w:r w:rsidRPr="00F23EEB">
        <w:rPr>
          <w:b/>
          <w:bCs/>
          <w:sz w:val="22"/>
          <w:szCs w:val="22"/>
          <w:lang w:val="sr-Latn-ME"/>
        </w:rPr>
        <w:t>1.</w:t>
      </w:r>
      <w:r w:rsidR="00F5167F" w:rsidRPr="00F23EEB">
        <w:rPr>
          <w:b/>
          <w:bCs/>
          <w:sz w:val="22"/>
          <w:szCs w:val="22"/>
          <w:lang w:val="sr-Latn-ME"/>
        </w:rPr>
        <w:tab/>
      </w:r>
      <w:r w:rsidR="002846DB" w:rsidRPr="00F23EEB">
        <w:rPr>
          <w:b/>
          <w:bCs/>
          <w:sz w:val="22"/>
          <w:szCs w:val="22"/>
          <w:lang w:val="sr-Latn-ME"/>
        </w:rPr>
        <w:t xml:space="preserve">NAZIV </w:t>
      </w:r>
      <w:r w:rsidRPr="00F23EEB">
        <w:rPr>
          <w:b/>
          <w:bCs/>
          <w:sz w:val="22"/>
          <w:szCs w:val="22"/>
          <w:lang w:val="sr-Latn-ME"/>
        </w:rPr>
        <w:t>LIJEKA</w:t>
      </w:r>
    </w:p>
    <w:p w14:paraId="5A0D6022" w14:textId="77777777" w:rsidR="00EC2532" w:rsidRPr="00F23EEB" w:rsidRDefault="00EC2532" w:rsidP="00F23EEB">
      <w:pPr>
        <w:widowControl w:val="0"/>
        <w:rPr>
          <w:sz w:val="22"/>
          <w:szCs w:val="22"/>
          <w:lang w:val="sr-Latn-ME"/>
        </w:rPr>
      </w:pPr>
    </w:p>
    <w:p w14:paraId="0E0BAE1E" w14:textId="308650B3" w:rsidR="008524B7" w:rsidRPr="00F23EEB" w:rsidRDefault="008524B7" w:rsidP="00F23EEB">
      <w:pPr>
        <w:pStyle w:val="Header"/>
        <w:widowControl w:val="0"/>
        <w:rPr>
          <w:sz w:val="22"/>
          <w:szCs w:val="22"/>
          <w:lang w:val="sr-Latn-ME"/>
        </w:rPr>
      </w:pPr>
      <w:r w:rsidRPr="00F23EEB">
        <w:rPr>
          <w:sz w:val="22"/>
          <w:szCs w:val="22"/>
          <w:lang w:val="sr-Latn-ME"/>
        </w:rPr>
        <w:t>RIOPAN, 800 mg/10ml, oralna suspenzija</w:t>
      </w:r>
    </w:p>
    <w:p w14:paraId="71237BDA" w14:textId="2BD2ABB6" w:rsidR="008524B7" w:rsidRPr="00F23EEB" w:rsidRDefault="008524B7" w:rsidP="00F23EEB">
      <w:pPr>
        <w:pStyle w:val="Header"/>
        <w:widowControl w:val="0"/>
        <w:rPr>
          <w:sz w:val="22"/>
          <w:szCs w:val="22"/>
          <w:lang w:val="sr-Latn-ME"/>
        </w:rPr>
      </w:pPr>
      <w:r w:rsidRPr="00F23EEB">
        <w:rPr>
          <w:sz w:val="22"/>
          <w:szCs w:val="22"/>
          <w:lang w:val="sr-Latn-ME"/>
        </w:rPr>
        <w:t>RIOPAN, 1600 mg/10ml, oralna suspenzija</w:t>
      </w:r>
    </w:p>
    <w:p w14:paraId="4E97D6F7" w14:textId="77777777" w:rsidR="000D425A" w:rsidRPr="00F23EEB" w:rsidRDefault="000D425A" w:rsidP="00F23EEB">
      <w:pPr>
        <w:widowControl w:val="0"/>
        <w:rPr>
          <w:bCs/>
          <w:sz w:val="22"/>
          <w:szCs w:val="22"/>
          <w:lang w:val="sr-Latn-ME"/>
        </w:rPr>
      </w:pPr>
    </w:p>
    <w:p w14:paraId="321E974D" w14:textId="7FD3C280" w:rsidR="006D20A5" w:rsidRPr="00F23EEB" w:rsidRDefault="006D20A5" w:rsidP="00F23EEB">
      <w:pPr>
        <w:widowControl w:val="0"/>
        <w:rPr>
          <w:sz w:val="22"/>
          <w:szCs w:val="22"/>
          <w:lang w:val="sr-Latn-ME"/>
        </w:rPr>
      </w:pPr>
      <w:r w:rsidRPr="00F23EEB">
        <w:rPr>
          <w:sz w:val="22"/>
          <w:szCs w:val="22"/>
          <w:lang w:val="sr-Latn-ME"/>
        </w:rPr>
        <w:t>INN:</w:t>
      </w:r>
      <w:r w:rsidR="008524B7" w:rsidRPr="00F23EEB">
        <w:rPr>
          <w:sz w:val="22"/>
          <w:szCs w:val="22"/>
          <w:lang w:val="sr-Latn-ME"/>
        </w:rPr>
        <w:t xml:space="preserve"> magaldrat</w:t>
      </w:r>
    </w:p>
    <w:p w14:paraId="5A9F2915" w14:textId="77777777" w:rsidR="006D20A5" w:rsidRPr="00F23EEB" w:rsidRDefault="006D20A5" w:rsidP="00F23EEB">
      <w:pPr>
        <w:widowControl w:val="0"/>
        <w:rPr>
          <w:bCs/>
          <w:sz w:val="22"/>
          <w:szCs w:val="22"/>
          <w:lang w:val="sr-Latn-ME"/>
        </w:rPr>
      </w:pPr>
    </w:p>
    <w:p w14:paraId="26F7E8BE" w14:textId="77777777" w:rsidR="00530BD7" w:rsidRPr="00F23EEB" w:rsidRDefault="00530BD7" w:rsidP="00F23EEB">
      <w:pPr>
        <w:widowControl w:val="0"/>
        <w:rPr>
          <w:bCs/>
          <w:sz w:val="22"/>
          <w:szCs w:val="22"/>
          <w:lang w:val="sr-Latn-ME"/>
        </w:rPr>
      </w:pPr>
    </w:p>
    <w:p w14:paraId="0FA879E6" w14:textId="77777777" w:rsidR="00411B4B" w:rsidRPr="00F23EEB" w:rsidRDefault="00411B4B" w:rsidP="00F23EEB">
      <w:pPr>
        <w:widowControl w:val="0"/>
        <w:tabs>
          <w:tab w:val="left" w:pos="540"/>
          <w:tab w:val="left" w:pos="569"/>
        </w:tabs>
        <w:rPr>
          <w:b/>
          <w:bCs/>
          <w:sz w:val="22"/>
          <w:szCs w:val="22"/>
          <w:lang w:val="sr-Latn-ME"/>
        </w:rPr>
      </w:pPr>
      <w:r w:rsidRPr="00F23EEB">
        <w:rPr>
          <w:b/>
          <w:bCs/>
          <w:sz w:val="22"/>
          <w:szCs w:val="22"/>
          <w:lang w:val="sr-Latn-ME"/>
        </w:rPr>
        <w:t xml:space="preserve">2. </w:t>
      </w:r>
      <w:r w:rsidR="00F5167F" w:rsidRPr="00F23EEB">
        <w:rPr>
          <w:b/>
          <w:bCs/>
          <w:sz w:val="22"/>
          <w:szCs w:val="22"/>
          <w:lang w:val="sr-Latn-ME"/>
        </w:rPr>
        <w:tab/>
      </w:r>
      <w:r w:rsidRPr="00F23EEB">
        <w:rPr>
          <w:b/>
          <w:bCs/>
          <w:sz w:val="22"/>
          <w:szCs w:val="22"/>
          <w:lang w:val="sr-Latn-ME"/>
        </w:rPr>
        <w:t>KVALITATIVNI I KVANTITATIVNI SASTAV</w:t>
      </w:r>
    </w:p>
    <w:p w14:paraId="4D591ADC" w14:textId="7FB30E09" w:rsidR="005A0B2E" w:rsidRPr="00F23EEB" w:rsidRDefault="005A0B2E" w:rsidP="00F23EEB">
      <w:pPr>
        <w:widowControl w:val="0"/>
        <w:rPr>
          <w:sz w:val="22"/>
          <w:szCs w:val="22"/>
          <w:lang w:val="sr-Latn-ME"/>
        </w:rPr>
      </w:pPr>
    </w:p>
    <w:p w14:paraId="73D6A858" w14:textId="77777777" w:rsidR="008524B7" w:rsidRPr="00F23EEB" w:rsidRDefault="008524B7" w:rsidP="00F23EEB">
      <w:pPr>
        <w:widowControl w:val="0"/>
        <w:jc w:val="both"/>
        <w:rPr>
          <w:sz w:val="22"/>
          <w:szCs w:val="22"/>
          <w:lang w:val="sr-Latn-ME"/>
        </w:rPr>
      </w:pPr>
      <w:r w:rsidRPr="00F23EEB">
        <w:rPr>
          <w:sz w:val="22"/>
          <w:szCs w:val="22"/>
          <w:lang w:val="sr-Latn-ME"/>
        </w:rPr>
        <w:t>1 kesica od 10 ml sadrži kao aktivnu supstancu magaldrat suspenziju 10%, što odgovara 800 mg magaldrata, bezvodnog (sa sposobnošću neutralizacije 22.6 mmol HCl).</w:t>
      </w:r>
    </w:p>
    <w:p w14:paraId="132E6895" w14:textId="0D0525AB" w:rsidR="008524B7" w:rsidRPr="00F23EEB" w:rsidRDefault="008524B7" w:rsidP="00F23EEB">
      <w:pPr>
        <w:widowControl w:val="0"/>
        <w:jc w:val="both"/>
        <w:rPr>
          <w:sz w:val="22"/>
          <w:szCs w:val="22"/>
          <w:lang w:val="sr-Latn-ME"/>
        </w:rPr>
      </w:pPr>
      <w:r w:rsidRPr="00F23EEB">
        <w:rPr>
          <w:sz w:val="22"/>
          <w:szCs w:val="22"/>
          <w:lang w:val="sr-Latn-ME"/>
        </w:rPr>
        <w:t>1 kesica od 10 ml sadrži kao aktivnu supstancu magaldrat suspenziju 20%, što odgovara 1600 mg magaldrata, bezvodnog (sa sposobnošću neutralizacije 45.2 mmol HCl).</w:t>
      </w:r>
    </w:p>
    <w:p w14:paraId="149239CF" w14:textId="77777777" w:rsidR="008524B7" w:rsidRPr="00F23EEB" w:rsidRDefault="008524B7" w:rsidP="00F23EEB">
      <w:pPr>
        <w:widowControl w:val="0"/>
        <w:jc w:val="both"/>
        <w:rPr>
          <w:sz w:val="22"/>
          <w:szCs w:val="22"/>
          <w:lang w:val="sr-Latn-ME"/>
        </w:rPr>
      </w:pPr>
    </w:p>
    <w:p w14:paraId="6E684D80" w14:textId="77777777" w:rsidR="0003793F" w:rsidRPr="00F23EEB" w:rsidRDefault="0003793F" w:rsidP="00F23EEB">
      <w:pPr>
        <w:widowControl w:val="0"/>
        <w:jc w:val="both"/>
        <w:rPr>
          <w:sz w:val="22"/>
          <w:szCs w:val="22"/>
          <w:lang w:val="sr-Latn-ME"/>
        </w:rPr>
      </w:pPr>
      <w:r w:rsidRPr="00F23EEB">
        <w:rPr>
          <w:sz w:val="22"/>
          <w:szCs w:val="22"/>
          <w:lang w:val="sr-Latn-ME"/>
        </w:rPr>
        <w:t>Za spisak svih ekscipijenasa, pogledati dio 6.1.</w:t>
      </w:r>
    </w:p>
    <w:p w14:paraId="327210B3" w14:textId="77777777" w:rsidR="0003793F" w:rsidRPr="00F23EEB" w:rsidRDefault="0003793F" w:rsidP="00F23EEB">
      <w:pPr>
        <w:widowControl w:val="0"/>
        <w:rPr>
          <w:sz w:val="22"/>
          <w:szCs w:val="22"/>
          <w:lang w:val="sr-Latn-ME"/>
        </w:rPr>
      </w:pPr>
    </w:p>
    <w:p w14:paraId="5CF77DC4" w14:textId="77777777" w:rsidR="00C37FD7" w:rsidRPr="00F23EEB" w:rsidRDefault="00C37FD7" w:rsidP="00F23EEB">
      <w:pPr>
        <w:widowControl w:val="0"/>
        <w:jc w:val="both"/>
        <w:rPr>
          <w:sz w:val="22"/>
          <w:szCs w:val="22"/>
          <w:lang w:val="sr-Latn-ME"/>
        </w:rPr>
      </w:pPr>
    </w:p>
    <w:p w14:paraId="1DA0A0C5"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 xml:space="preserve">3. </w:t>
      </w:r>
      <w:r w:rsidR="00F5167F" w:rsidRPr="00F23EEB">
        <w:rPr>
          <w:b/>
          <w:bCs/>
          <w:sz w:val="22"/>
          <w:szCs w:val="22"/>
          <w:lang w:val="sr-Latn-ME"/>
        </w:rPr>
        <w:tab/>
      </w:r>
      <w:r w:rsidRPr="00F23EEB">
        <w:rPr>
          <w:b/>
          <w:bCs/>
          <w:sz w:val="22"/>
          <w:szCs w:val="22"/>
          <w:lang w:val="sr-Latn-ME"/>
        </w:rPr>
        <w:t>FARMACEUTSKI OBLIK</w:t>
      </w:r>
      <w:r w:rsidR="009F2D23" w:rsidRPr="00F23EEB">
        <w:rPr>
          <w:b/>
          <w:bCs/>
          <w:sz w:val="22"/>
          <w:szCs w:val="22"/>
          <w:lang w:val="sr-Latn-ME"/>
        </w:rPr>
        <w:t xml:space="preserve"> </w:t>
      </w:r>
    </w:p>
    <w:p w14:paraId="364473DE" w14:textId="58CC5260" w:rsidR="00411B4B" w:rsidRPr="00F23EEB" w:rsidRDefault="00411B4B" w:rsidP="00F23EEB">
      <w:pPr>
        <w:widowControl w:val="0"/>
        <w:jc w:val="both"/>
        <w:rPr>
          <w:bCs/>
          <w:sz w:val="22"/>
          <w:szCs w:val="22"/>
          <w:lang w:val="sr-Latn-ME"/>
        </w:rPr>
      </w:pPr>
    </w:p>
    <w:p w14:paraId="27523678" w14:textId="77777777" w:rsidR="008524B7" w:rsidRPr="00F23EEB" w:rsidRDefault="008524B7" w:rsidP="00F23EEB">
      <w:pPr>
        <w:widowControl w:val="0"/>
        <w:jc w:val="both"/>
        <w:rPr>
          <w:bCs/>
          <w:sz w:val="22"/>
          <w:szCs w:val="22"/>
          <w:lang w:val="sr-Latn-ME"/>
        </w:rPr>
      </w:pPr>
      <w:r w:rsidRPr="00F23EEB">
        <w:rPr>
          <w:bCs/>
          <w:sz w:val="22"/>
          <w:szCs w:val="22"/>
          <w:lang w:val="sr-Latn-ME"/>
        </w:rPr>
        <w:t>Oralna suspenzija.</w:t>
      </w:r>
    </w:p>
    <w:p w14:paraId="3181127B" w14:textId="18006EB7" w:rsidR="008524B7" w:rsidRPr="00F23EEB" w:rsidRDefault="008524B7" w:rsidP="00F23EEB">
      <w:pPr>
        <w:widowControl w:val="0"/>
        <w:jc w:val="both"/>
        <w:rPr>
          <w:bCs/>
          <w:sz w:val="22"/>
          <w:szCs w:val="22"/>
          <w:lang w:val="sr-Latn-ME"/>
        </w:rPr>
      </w:pPr>
      <w:r w:rsidRPr="00F23EEB">
        <w:rPr>
          <w:bCs/>
          <w:sz w:val="22"/>
          <w:szCs w:val="22"/>
          <w:lang w:val="sr-Latn-ME"/>
        </w:rPr>
        <w:t>Suspenzija bijele do blijedo žute boje, mirisa na karamel.</w:t>
      </w:r>
    </w:p>
    <w:p w14:paraId="7B1DDE5E" w14:textId="77777777" w:rsidR="00EC2532" w:rsidRPr="00F23EEB" w:rsidRDefault="00EC2532" w:rsidP="00F23EEB">
      <w:pPr>
        <w:widowControl w:val="0"/>
        <w:jc w:val="both"/>
        <w:rPr>
          <w:bCs/>
          <w:sz w:val="22"/>
          <w:szCs w:val="22"/>
          <w:lang w:val="sr-Latn-ME"/>
        </w:rPr>
      </w:pPr>
    </w:p>
    <w:p w14:paraId="43E8AA5E"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 xml:space="preserve">4. </w:t>
      </w:r>
      <w:r w:rsidR="00480FB1" w:rsidRPr="00F23EEB">
        <w:rPr>
          <w:b/>
          <w:bCs/>
          <w:sz w:val="22"/>
          <w:szCs w:val="22"/>
          <w:lang w:val="sr-Latn-ME"/>
        </w:rPr>
        <w:tab/>
      </w:r>
      <w:r w:rsidRPr="00F23EEB">
        <w:rPr>
          <w:b/>
          <w:bCs/>
          <w:sz w:val="22"/>
          <w:szCs w:val="22"/>
          <w:lang w:val="sr-Latn-ME"/>
        </w:rPr>
        <w:t>KLINIČKI PODACI</w:t>
      </w:r>
    </w:p>
    <w:p w14:paraId="4FDCB97B" w14:textId="77777777" w:rsidR="00CD6F02" w:rsidRPr="00F23EEB" w:rsidRDefault="00CD6F02" w:rsidP="00F23EEB">
      <w:pPr>
        <w:widowControl w:val="0"/>
        <w:tabs>
          <w:tab w:val="left" w:pos="540"/>
          <w:tab w:val="left" w:pos="569"/>
        </w:tabs>
        <w:jc w:val="both"/>
        <w:rPr>
          <w:bCs/>
          <w:sz w:val="22"/>
          <w:szCs w:val="22"/>
          <w:lang w:val="sr-Latn-ME"/>
        </w:rPr>
      </w:pPr>
    </w:p>
    <w:p w14:paraId="61C47BA6"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 xml:space="preserve">4.1. </w:t>
      </w:r>
      <w:r w:rsidR="00480FB1" w:rsidRPr="00F23EEB">
        <w:rPr>
          <w:b/>
          <w:bCs/>
          <w:sz w:val="22"/>
          <w:szCs w:val="22"/>
          <w:lang w:val="sr-Latn-ME"/>
        </w:rPr>
        <w:tab/>
      </w:r>
      <w:r w:rsidRPr="00F23EEB">
        <w:rPr>
          <w:b/>
          <w:bCs/>
          <w:sz w:val="22"/>
          <w:szCs w:val="22"/>
          <w:lang w:val="sr-Latn-ME"/>
        </w:rPr>
        <w:t>Terapijske indikacije</w:t>
      </w:r>
    </w:p>
    <w:p w14:paraId="49C87296" w14:textId="311377FF" w:rsidR="00411B4B" w:rsidRPr="00F23EEB" w:rsidRDefault="00411B4B" w:rsidP="00F23EEB">
      <w:pPr>
        <w:widowControl w:val="0"/>
        <w:tabs>
          <w:tab w:val="left" w:pos="540"/>
          <w:tab w:val="left" w:pos="569"/>
        </w:tabs>
        <w:jc w:val="both"/>
        <w:rPr>
          <w:bCs/>
          <w:sz w:val="22"/>
          <w:szCs w:val="22"/>
          <w:lang w:val="sr-Latn-ME"/>
        </w:rPr>
      </w:pPr>
    </w:p>
    <w:p w14:paraId="7CCF5D02" w14:textId="1E1D9EF8" w:rsidR="00AB23CA" w:rsidRPr="00F23EEB" w:rsidRDefault="00AB23CA" w:rsidP="00F23EEB">
      <w:pPr>
        <w:pStyle w:val="Header"/>
        <w:widowControl w:val="0"/>
        <w:numPr>
          <w:ilvl w:val="0"/>
          <w:numId w:val="12"/>
        </w:numPr>
        <w:tabs>
          <w:tab w:val="clear" w:pos="4320"/>
          <w:tab w:val="clear" w:pos="8640"/>
          <w:tab w:val="left" w:pos="284"/>
        </w:tabs>
        <w:jc w:val="both"/>
        <w:rPr>
          <w:sz w:val="22"/>
          <w:szCs w:val="22"/>
          <w:lang w:val="sr-Latn-ME"/>
        </w:rPr>
      </w:pPr>
      <w:r w:rsidRPr="00F23EEB">
        <w:rPr>
          <w:sz w:val="22"/>
          <w:szCs w:val="22"/>
          <w:lang w:val="sr-Latn-ME"/>
        </w:rPr>
        <w:t>Simptomatsko liječenje tegoba nastalih usljed kiselog sadržaja želuca: gorušica, refluks želudačne kiseline</w:t>
      </w:r>
    </w:p>
    <w:p w14:paraId="3A302211" w14:textId="7168413E" w:rsidR="00AB23CA" w:rsidRPr="00F23EEB" w:rsidRDefault="00AB23CA" w:rsidP="00F23EEB">
      <w:pPr>
        <w:pStyle w:val="Header"/>
        <w:widowControl w:val="0"/>
        <w:numPr>
          <w:ilvl w:val="0"/>
          <w:numId w:val="12"/>
        </w:numPr>
        <w:tabs>
          <w:tab w:val="clear" w:pos="4320"/>
          <w:tab w:val="clear" w:pos="8640"/>
          <w:tab w:val="left" w:pos="284"/>
        </w:tabs>
        <w:jc w:val="both"/>
        <w:rPr>
          <w:sz w:val="22"/>
          <w:szCs w:val="22"/>
          <w:lang w:val="sr-Latn-ME"/>
        </w:rPr>
      </w:pPr>
      <w:r w:rsidRPr="00F23EEB">
        <w:rPr>
          <w:sz w:val="22"/>
          <w:szCs w:val="22"/>
          <w:lang w:val="sr-Latn-ME"/>
        </w:rPr>
        <w:t>Simptomatsko liječenje ulkusa želuca i duodenuma</w:t>
      </w:r>
    </w:p>
    <w:p w14:paraId="0438345C" w14:textId="6397C841" w:rsidR="008524B7" w:rsidRPr="00F23EEB" w:rsidRDefault="008524B7" w:rsidP="00F23EEB">
      <w:pPr>
        <w:widowControl w:val="0"/>
        <w:tabs>
          <w:tab w:val="left" w:pos="540"/>
          <w:tab w:val="left" w:pos="569"/>
        </w:tabs>
        <w:jc w:val="both"/>
        <w:rPr>
          <w:bCs/>
          <w:sz w:val="22"/>
          <w:szCs w:val="22"/>
          <w:lang w:val="sr-Latn-ME"/>
        </w:rPr>
      </w:pPr>
    </w:p>
    <w:p w14:paraId="29E0B1D2"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 xml:space="preserve">4.2. </w:t>
      </w:r>
      <w:r w:rsidR="00480FB1" w:rsidRPr="00F23EEB">
        <w:rPr>
          <w:b/>
          <w:bCs/>
          <w:sz w:val="22"/>
          <w:szCs w:val="22"/>
          <w:lang w:val="sr-Latn-ME"/>
        </w:rPr>
        <w:tab/>
      </w:r>
      <w:r w:rsidRPr="00F23EEB">
        <w:rPr>
          <w:b/>
          <w:bCs/>
          <w:sz w:val="22"/>
          <w:szCs w:val="22"/>
          <w:lang w:val="sr-Latn-ME"/>
        </w:rPr>
        <w:t>Doziranje i način primjene</w:t>
      </w:r>
    </w:p>
    <w:p w14:paraId="2C128A26" w14:textId="77777777" w:rsidR="0072020E" w:rsidRPr="00F23EEB" w:rsidRDefault="0072020E" w:rsidP="00F23EEB">
      <w:pPr>
        <w:widowControl w:val="0"/>
        <w:tabs>
          <w:tab w:val="left" w:pos="540"/>
          <w:tab w:val="left" w:pos="569"/>
        </w:tabs>
        <w:jc w:val="both"/>
        <w:rPr>
          <w:bCs/>
          <w:sz w:val="22"/>
          <w:szCs w:val="22"/>
          <w:lang w:val="sr-Latn-ME"/>
        </w:rPr>
      </w:pPr>
    </w:p>
    <w:p w14:paraId="6B40D875" w14:textId="77777777" w:rsidR="008524B7" w:rsidRPr="00F23EEB" w:rsidRDefault="008524B7" w:rsidP="00F23EEB">
      <w:pPr>
        <w:widowControl w:val="0"/>
        <w:autoSpaceDE w:val="0"/>
        <w:autoSpaceDN w:val="0"/>
        <w:adjustRightInd w:val="0"/>
        <w:jc w:val="both"/>
        <w:rPr>
          <w:iCs/>
          <w:color w:val="000000"/>
          <w:sz w:val="22"/>
          <w:szCs w:val="22"/>
          <w:u w:val="single"/>
          <w:lang w:val="sr-Latn-ME"/>
        </w:rPr>
      </w:pPr>
      <w:r w:rsidRPr="00F23EEB">
        <w:rPr>
          <w:iCs/>
          <w:color w:val="000000"/>
          <w:sz w:val="22"/>
          <w:szCs w:val="22"/>
          <w:u w:val="single"/>
          <w:lang w:val="sr-Latn-ME"/>
        </w:rPr>
        <w:t>Doziranje za odrasle i djecu stariju od 12 godina:</w:t>
      </w:r>
    </w:p>
    <w:p w14:paraId="31BCEFB3" w14:textId="77777777" w:rsidR="008524B7" w:rsidRPr="00F23EEB" w:rsidRDefault="008524B7" w:rsidP="00F23EEB">
      <w:pPr>
        <w:widowControl w:val="0"/>
        <w:autoSpaceDE w:val="0"/>
        <w:autoSpaceDN w:val="0"/>
        <w:adjustRightInd w:val="0"/>
        <w:jc w:val="both"/>
        <w:rPr>
          <w:color w:val="000000"/>
          <w:sz w:val="22"/>
          <w:szCs w:val="22"/>
          <w:lang w:val="sr-Latn-ME"/>
        </w:rPr>
      </w:pPr>
    </w:p>
    <w:p w14:paraId="38446EC9" w14:textId="77777777" w:rsidR="008524B7" w:rsidRPr="00F23EEB" w:rsidRDefault="008524B7" w:rsidP="00F23EEB">
      <w:pPr>
        <w:widowControl w:val="0"/>
        <w:autoSpaceDE w:val="0"/>
        <w:autoSpaceDN w:val="0"/>
        <w:adjustRightInd w:val="0"/>
        <w:jc w:val="both"/>
        <w:rPr>
          <w:iCs/>
          <w:color w:val="000000"/>
          <w:sz w:val="22"/>
          <w:szCs w:val="22"/>
          <w:lang w:val="sr-Latn-ME"/>
        </w:rPr>
      </w:pPr>
      <w:r w:rsidRPr="00F23EEB">
        <w:rPr>
          <w:iCs/>
          <w:color w:val="000000"/>
          <w:sz w:val="22"/>
          <w:szCs w:val="22"/>
          <w:lang w:val="sr-Latn-ME"/>
        </w:rPr>
        <w:t xml:space="preserve">Po potrebi 1 </w:t>
      </w:r>
      <w:r w:rsidRPr="00F23EEB">
        <w:rPr>
          <w:iCs/>
          <w:sz w:val="22"/>
          <w:szCs w:val="22"/>
          <w:lang w:val="sr-Latn-ME"/>
        </w:rPr>
        <w:t xml:space="preserve">kesica (Riopan 1600mg/10ml) ili 1-2 kesice (Riopan 800mg/10ml) </w:t>
      </w:r>
      <w:r w:rsidRPr="00F23EEB">
        <w:rPr>
          <w:iCs/>
          <w:color w:val="000000"/>
          <w:sz w:val="22"/>
          <w:szCs w:val="22"/>
          <w:lang w:val="sr-Latn-ME"/>
        </w:rPr>
        <w:t xml:space="preserve">nekoliko puta dnevno. </w:t>
      </w:r>
      <w:r w:rsidRPr="00F23EEB">
        <w:rPr>
          <w:sz w:val="22"/>
          <w:szCs w:val="22"/>
          <w:lang w:val="sr-Latn-ME"/>
        </w:rPr>
        <w:t>Riopan treba da se upotrebljava samo za kratkotrajnu simptomatsku terapiju.</w:t>
      </w:r>
    </w:p>
    <w:p w14:paraId="345AD6CF" w14:textId="77777777" w:rsidR="008524B7" w:rsidRPr="00F23EEB" w:rsidRDefault="008524B7" w:rsidP="00F23EEB">
      <w:pPr>
        <w:widowControl w:val="0"/>
        <w:autoSpaceDE w:val="0"/>
        <w:autoSpaceDN w:val="0"/>
        <w:adjustRightInd w:val="0"/>
        <w:jc w:val="both"/>
        <w:rPr>
          <w:iCs/>
          <w:color w:val="000000"/>
          <w:sz w:val="22"/>
          <w:szCs w:val="22"/>
          <w:lang w:val="sr-Latn-ME"/>
        </w:rPr>
      </w:pPr>
    </w:p>
    <w:p w14:paraId="1BEF891C"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Ne prekoračivati dnevnu dozu od 6400mg magaldrata što odgovara 8 kesica lijeka Riopan 800mg/10ml ili 4 kesice lijeka Riopan 1600mg/10ml.</w:t>
      </w:r>
    </w:p>
    <w:p w14:paraId="4F6BBCB4" w14:textId="77777777" w:rsidR="008524B7" w:rsidRPr="00F23EEB" w:rsidRDefault="008524B7" w:rsidP="00F23EEB">
      <w:pPr>
        <w:widowControl w:val="0"/>
        <w:autoSpaceDE w:val="0"/>
        <w:autoSpaceDN w:val="0"/>
        <w:adjustRightInd w:val="0"/>
        <w:jc w:val="both"/>
        <w:rPr>
          <w:iCs/>
          <w:color w:val="000000"/>
          <w:sz w:val="22"/>
          <w:szCs w:val="22"/>
          <w:lang w:val="sr-Latn-ME"/>
        </w:rPr>
      </w:pPr>
    </w:p>
    <w:p w14:paraId="733334CE" w14:textId="77777777" w:rsidR="008524B7" w:rsidRPr="00F23EEB" w:rsidRDefault="008524B7" w:rsidP="00F23EEB">
      <w:pPr>
        <w:pStyle w:val="EMEAEnBodyText"/>
        <w:widowControl w:val="0"/>
        <w:tabs>
          <w:tab w:val="left" w:pos="567"/>
        </w:tabs>
        <w:autoSpaceDE w:val="0"/>
        <w:autoSpaceDN w:val="0"/>
        <w:adjustRightInd w:val="0"/>
        <w:spacing w:before="0" w:after="0"/>
        <w:rPr>
          <w:noProof w:val="0"/>
          <w:szCs w:val="22"/>
        </w:rPr>
      </w:pPr>
      <w:r w:rsidRPr="00F23EEB">
        <w:rPr>
          <w:noProof w:val="0"/>
          <w:szCs w:val="22"/>
        </w:rPr>
        <w:t>Ako se u toku terapije simptomi održavaju duže od dvije nedjelje, potrebna su dodatna klinička ispitivanja da se isključi eventualno maligno oboljenje.</w:t>
      </w:r>
    </w:p>
    <w:p w14:paraId="0E7DC6DD" w14:textId="77777777" w:rsidR="008524B7" w:rsidRPr="00F23EEB" w:rsidRDefault="008524B7" w:rsidP="00F23EEB">
      <w:pPr>
        <w:widowControl w:val="0"/>
        <w:autoSpaceDE w:val="0"/>
        <w:autoSpaceDN w:val="0"/>
        <w:adjustRightInd w:val="0"/>
        <w:jc w:val="both"/>
        <w:rPr>
          <w:color w:val="000000"/>
          <w:sz w:val="22"/>
          <w:szCs w:val="22"/>
          <w:lang w:val="sr-Latn-ME"/>
        </w:rPr>
      </w:pPr>
    </w:p>
    <w:p w14:paraId="0A42C1DD" w14:textId="77777777" w:rsidR="008524B7" w:rsidRPr="00F23EEB" w:rsidRDefault="008524B7" w:rsidP="00F23EEB">
      <w:pPr>
        <w:widowControl w:val="0"/>
        <w:autoSpaceDE w:val="0"/>
        <w:autoSpaceDN w:val="0"/>
        <w:adjustRightInd w:val="0"/>
        <w:jc w:val="both"/>
        <w:rPr>
          <w:sz w:val="22"/>
          <w:szCs w:val="22"/>
          <w:lang w:val="sr-Latn-ME"/>
        </w:rPr>
      </w:pPr>
      <w:r w:rsidRPr="00F23EEB">
        <w:rPr>
          <w:sz w:val="22"/>
          <w:szCs w:val="22"/>
          <w:u w:val="single"/>
          <w:lang w:val="sr-Latn-ME"/>
        </w:rPr>
        <w:t>Bubrežni poremećaji</w:t>
      </w:r>
      <w:r w:rsidRPr="00F23EEB">
        <w:rPr>
          <w:sz w:val="22"/>
          <w:szCs w:val="22"/>
          <w:lang w:val="sr-Latn-ME"/>
        </w:rPr>
        <w:t xml:space="preserve">: </w:t>
      </w:r>
    </w:p>
    <w:p w14:paraId="3E13E9E4" w14:textId="77777777" w:rsidR="008524B7" w:rsidRPr="00F23EEB" w:rsidRDefault="008524B7" w:rsidP="00F23EEB">
      <w:pPr>
        <w:widowControl w:val="0"/>
        <w:tabs>
          <w:tab w:val="left" w:pos="540"/>
          <w:tab w:val="left" w:pos="569"/>
        </w:tabs>
        <w:jc w:val="both"/>
        <w:rPr>
          <w:sz w:val="22"/>
          <w:szCs w:val="22"/>
          <w:lang w:val="sr-Latn-ME"/>
        </w:rPr>
      </w:pPr>
      <w:r w:rsidRPr="00F23EEB">
        <w:rPr>
          <w:sz w:val="22"/>
          <w:szCs w:val="22"/>
          <w:lang w:val="sr-Latn-ME"/>
        </w:rPr>
        <w:t>Vidjeti odjeljak 4.4.</w:t>
      </w:r>
    </w:p>
    <w:p w14:paraId="1D00A8EC" w14:textId="77777777" w:rsidR="008524B7" w:rsidRPr="00F23EEB" w:rsidRDefault="008524B7" w:rsidP="00F23EEB">
      <w:pPr>
        <w:widowControl w:val="0"/>
        <w:tabs>
          <w:tab w:val="left" w:pos="540"/>
          <w:tab w:val="left" w:pos="569"/>
        </w:tabs>
        <w:jc w:val="both"/>
        <w:rPr>
          <w:sz w:val="22"/>
          <w:szCs w:val="22"/>
          <w:lang w:val="sr-Latn-ME"/>
        </w:rPr>
      </w:pPr>
    </w:p>
    <w:p w14:paraId="3D5D1816" w14:textId="77777777" w:rsidR="008524B7" w:rsidRPr="00F23EEB" w:rsidRDefault="008524B7" w:rsidP="00F23EEB">
      <w:pPr>
        <w:widowControl w:val="0"/>
        <w:autoSpaceDE w:val="0"/>
        <w:autoSpaceDN w:val="0"/>
        <w:adjustRightInd w:val="0"/>
        <w:jc w:val="both"/>
        <w:rPr>
          <w:iCs/>
          <w:sz w:val="22"/>
          <w:szCs w:val="22"/>
          <w:lang w:val="sr-Latn-ME"/>
        </w:rPr>
      </w:pPr>
      <w:r w:rsidRPr="00F23EEB">
        <w:rPr>
          <w:bCs/>
          <w:color w:val="000000"/>
          <w:sz w:val="22"/>
          <w:szCs w:val="22"/>
          <w:u w:val="single"/>
          <w:lang w:val="sr-Latn-ME"/>
        </w:rPr>
        <w:t>Djeca</w:t>
      </w:r>
      <w:r w:rsidRPr="00F23EEB">
        <w:rPr>
          <w:bCs/>
          <w:color w:val="000000"/>
          <w:sz w:val="22"/>
          <w:szCs w:val="22"/>
          <w:lang w:val="sr-Latn-ME"/>
        </w:rPr>
        <w:t>:</w:t>
      </w:r>
    </w:p>
    <w:p w14:paraId="3771E03B"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sz w:val="22"/>
          <w:szCs w:val="22"/>
          <w:lang w:val="sr-Latn-ME"/>
        </w:rPr>
        <w:t>Zbog nedostatka podataka Riopan</w:t>
      </w:r>
      <w:r w:rsidRPr="00F23EEB">
        <w:rPr>
          <w:color w:val="000000"/>
          <w:sz w:val="22"/>
          <w:szCs w:val="22"/>
          <w:lang w:val="sr-Latn-ME"/>
        </w:rPr>
        <w:t xml:space="preserve"> ne smije da se koristi kod djece mlađe od 12 godina.</w:t>
      </w:r>
    </w:p>
    <w:p w14:paraId="26B401EA" w14:textId="77777777" w:rsidR="008524B7" w:rsidRPr="00F23EEB" w:rsidRDefault="008524B7" w:rsidP="00F23EEB">
      <w:pPr>
        <w:widowControl w:val="0"/>
        <w:autoSpaceDE w:val="0"/>
        <w:autoSpaceDN w:val="0"/>
        <w:adjustRightInd w:val="0"/>
        <w:jc w:val="both"/>
        <w:rPr>
          <w:color w:val="000000"/>
          <w:sz w:val="22"/>
          <w:szCs w:val="22"/>
          <w:lang w:val="sr-Latn-ME"/>
        </w:rPr>
      </w:pPr>
    </w:p>
    <w:p w14:paraId="62BA369D" w14:textId="77777777" w:rsidR="008524B7" w:rsidRPr="00F23EEB" w:rsidRDefault="008524B7" w:rsidP="00F23EEB">
      <w:pPr>
        <w:widowControl w:val="0"/>
        <w:autoSpaceDE w:val="0"/>
        <w:autoSpaceDN w:val="0"/>
        <w:adjustRightInd w:val="0"/>
        <w:jc w:val="both"/>
        <w:rPr>
          <w:iCs/>
          <w:sz w:val="22"/>
          <w:szCs w:val="22"/>
          <w:u w:val="single"/>
          <w:lang w:val="sr-Latn-ME"/>
        </w:rPr>
      </w:pPr>
      <w:r w:rsidRPr="00F23EEB">
        <w:rPr>
          <w:iCs/>
          <w:sz w:val="22"/>
          <w:szCs w:val="22"/>
          <w:u w:val="single"/>
          <w:lang w:val="sr-Latn-ME"/>
        </w:rPr>
        <w:t>Stariji pacijenti:</w:t>
      </w:r>
    </w:p>
    <w:p w14:paraId="1CCDFF40"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Nije potrebno podešavanje doze.</w:t>
      </w:r>
    </w:p>
    <w:p w14:paraId="25C60867" w14:textId="77777777" w:rsidR="008524B7" w:rsidRPr="00F23EEB" w:rsidRDefault="008524B7" w:rsidP="00F23EEB">
      <w:pPr>
        <w:pStyle w:val="EMEAEnBodyText"/>
        <w:widowControl w:val="0"/>
        <w:tabs>
          <w:tab w:val="left" w:pos="567"/>
        </w:tabs>
        <w:autoSpaceDE w:val="0"/>
        <w:autoSpaceDN w:val="0"/>
        <w:adjustRightInd w:val="0"/>
        <w:spacing w:before="0" w:after="0"/>
        <w:rPr>
          <w:iCs/>
          <w:noProof w:val="0"/>
          <w:szCs w:val="22"/>
        </w:rPr>
      </w:pPr>
    </w:p>
    <w:p w14:paraId="393D1C34" w14:textId="77777777" w:rsidR="008524B7" w:rsidRPr="00F23EEB" w:rsidRDefault="008524B7" w:rsidP="00F23EEB">
      <w:pPr>
        <w:widowControl w:val="0"/>
        <w:autoSpaceDE w:val="0"/>
        <w:autoSpaceDN w:val="0"/>
        <w:adjustRightInd w:val="0"/>
        <w:jc w:val="both"/>
        <w:rPr>
          <w:iCs/>
          <w:sz w:val="22"/>
          <w:szCs w:val="22"/>
          <w:u w:val="single"/>
          <w:lang w:val="sr-Latn-ME"/>
        </w:rPr>
      </w:pPr>
      <w:r w:rsidRPr="00F23EEB">
        <w:rPr>
          <w:iCs/>
          <w:sz w:val="22"/>
          <w:szCs w:val="22"/>
          <w:u w:val="single"/>
          <w:lang w:val="sr-Latn-ME"/>
        </w:rPr>
        <w:t>Način primjene:</w:t>
      </w:r>
    </w:p>
    <w:p w14:paraId="786FC6FC" w14:textId="77777777" w:rsidR="008524B7" w:rsidRPr="00F23EEB" w:rsidRDefault="008524B7" w:rsidP="00F23EEB">
      <w:pPr>
        <w:widowControl w:val="0"/>
        <w:tabs>
          <w:tab w:val="left" w:pos="540"/>
          <w:tab w:val="left" w:pos="569"/>
        </w:tabs>
        <w:jc w:val="both"/>
        <w:rPr>
          <w:iCs/>
          <w:color w:val="000000"/>
          <w:sz w:val="22"/>
          <w:szCs w:val="22"/>
          <w:lang w:val="sr-Latn-ME"/>
        </w:rPr>
      </w:pPr>
      <w:r w:rsidRPr="00F23EEB">
        <w:rPr>
          <w:iCs/>
          <w:color w:val="000000"/>
          <w:sz w:val="22"/>
          <w:szCs w:val="22"/>
          <w:lang w:val="sr-Latn-ME"/>
        </w:rPr>
        <w:t>Prije upotrebe kesicu lijeka Riopan protresti. Oralna suspenzija može da se pije nerazblažena ili razblažena sa vodom.</w:t>
      </w:r>
    </w:p>
    <w:p w14:paraId="6642F052" w14:textId="77777777" w:rsidR="00452E9D" w:rsidRPr="00F23EEB" w:rsidRDefault="00452E9D" w:rsidP="00F23EEB">
      <w:pPr>
        <w:widowControl w:val="0"/>
        <w:tabs>
          <w:tab w:val="left" w:pos="540"/>
          <w:tab w:val="left" w:pos="569"/>
        </w:tabs>
        <w:jc w:val="both"/>
        <w:rPr>
          <w:bCs/>
          <w:sz w:val="22"/>
          <w:szCs w:val="22"/>
          <w:lang w:val="sr-Latn-ME"/>
        </w:rPr>
      </w:pPr>
    </w:p>
    <w:p w14:paraId="310A54C1"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 xml:space="preserve">4.3. </w:t>
      </w:r>
      <w:r w:rsidR="00480FB1" w:rsidRPr="00F23EEB">
        <w:rPr>
          <w:b/>
          <w:bCs/>
          <w:sz w:val="22"/>
          <w:szCs w:val="22"/>
          <w:lang w:val="sr-Latn-ME"/>
        </w:rPr>
        <w:tab/>
      </w:r>
      <w:r w:rsidRPr="00F23EEB">
        <w:rPr>
          <w:b/>
          <w:bCs/>
          <w:sz w:val="22"/>
          <w:szCs w:val="22"/>
          <w:lang w:val="sr-Latn-ME"/>
        </w:rPr>
        <w:t>Kontraindikacije</w:t>
      </w:r>
    </w:p>
    <w:p w14:paraId="74623738" w14:textId="34C99845" w:rsidR="0072020E" w:rsidRPr="00F23EEB" w:rsidRDefault="0072020E" w:rsidP="00F23EEB">
      <w:pPr>
        <w:widowControl w:val="0"/>
        <w:tabs>
          <w:tab w:val="left" w:pos="540"/>
          <w:tab w:val="left" w:pos="569"/>
        </w:tabs>
        <w:jc w:val="both"/>
        <w:rPr>
          <w:bCs/>
          <w:sz w:val="22"/>
          <w:szCs w:val="22"/>
          <w:lang w:val="sr-Latn-ME"/>
        </w:rPr>
      </w:pPr>
    </w:p>
    <w:p w14:paraId="51D0A3C6" w14:textId="77777777"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Preosjetljivost na magaldrat ili bilo koji od sastojaka lijeka.</w:t>
      </w:r>
    </w:p>
    <w:p w14:paraId="34E364B6" w14:textId="4C27D68B"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Ukoliko postoji jak bol u trbuhu ili mogućnost da se radi o ileusu.</w:t>
      </w:r>
    </w:p>
    <w:p w14:paraId="6E860927" w14:textId="77777777" w:rsidR="008524B7" w:rsidRPr="00F23EEB" w:rsidRDefault="008524B7" w:rsidP="00F23EEB">
      <w:pPr>
        <w:widowControl w:val="0"/>
        <w:tabs>
          <w:tab w:val="left" w:pos="540"/>
          <w:tab w:val="left" w:pos="569"/>
        </w:tabs>
        <w:jc w:val="both"/>
        <w:rPr>
          <w:bCs/>
          <w:sz w:val="22"/>
          <w:szCs w:val="22"/>
          <w:lang w:val="sr-Latn-ME"/>
        </w:rPr>
      </w:pPr>
    </w:p>
    <w:p w14:paraId="76ED47A4"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 xml:space="preserve">4.4. </w:t>
      </w:r>
      <w:r w:rsidR="00480FB1" w:rsidRPr="00F23EEB">
        <w:rPr>
          <w:b/>
          <w:bCs/>
          <w:sz w:val="22"/>
          <w:szCs w:val="22"/>
          <w:lang w:val="sr-Latn-ME"/>
        </w:rPr>
        <w:tab/>
      </w:r>
      <w:r w:rsidRPr="00F23EEB">
        <w:rPr>
          <w:b/>
          <w:bCs/>
          <w:sz w:val="22"/>
          <w:szCs w:val="22"/>
          <w:lang w:val="sr-Latn-ME"/>
        </w:rPr>
        <w:t>Posebna upozorenja i mjere opreza pri upotrebi lijeka</w:t>
      </w:r>
    </w:p>
    <w:p w14:paraId="3A1932B9" w14:textId="050CBB9F" w:rsidR="008524B7" w:rsidRPr="00F23EEB" w:rsidRDefault="008524B7" w:rsidP="00F23EEB">
      <w:pPr>
        <w:widowControl w:val="0"/>
        <w:tabs>
          <w:tab w:val="left" w:pos="540"/>
          <w:tab w:val="left" w:pos="569"/>
        </w:tabs>
        <w:jc w:val="both"/>
        <w:rPr>
          <w:bCs/>
          <w:sz w:val="22"/>
          <w:szCs w:val="22"/>
          <w:lang w:val="sr-Latn-ME"/>
        </w:rPr>
      </w:pPr>
      <w:bookmarkStart w:id="0" w:name="_GoBack"/>
      <w:bookmarkEnd w:id="0"/>
    </w:p>
    <w:p w14:paraId="74A962EE" w14:textId="005DED28" w:rsidR="00AB23CA" w:rsidRPr="00F23EEB" w:rsidRDefault="00AB23CA" w:rsidP="00F23EEB">
      <w:pPr>
        <w:widowControl w:val="0"/>
        <w:autoSpaceDE w:val="0"/>
        <w:autoSpaceDN w:val="0"/>
        <w:adjustRightInd w:val="0"/>
        <w:jc w:val="both"/>
        <w:rPr>
          <w:sz w:val="22"/>
          <w:szCs w:val="22"/>
          <w:lang w:val="sr-Latn-ME"/>
        </w:rPr>
      </w:pPr>
      <w:r w:rsidRPr="00F23EEB">
        <w:rPr>
          <w:color w:val="000000"/>
          <w:sz w:val="22"/>
          <w:szCs w:val="22"/>
          <w:lang w:val="sr-Latn-ME"/>
        </w:rPr>
        <w:t>Kod pacijenata sa oštećenom funkcijom bubrega (klirens kreatinina &lt;30 mL/min</w:t>
      </w:r>
      <w:r w:rsidRPr="00F23EEB">
        <w:rPr>
          <w:sz w:val="22"/>
          <w:szCs w:val="22"/>
          <w:lang w:val="sr-Latn-ME"/>
        </w:rPr>
        <w:t>) posebno kod pacijenata na dijalizi, kod pacijenata koji imaju Alchajmerovu bolest i druge oblike demencije, kao i kod pacijenata na ishrani siromašnoj fosfatima ili sa poremećajem metabolizma kostiju, produžena primena visokih doza magaldrata dozvoljena je samo uz medicinski nadzor i uz redovno praćenje koncentracije magnezijuma i alumunijuma u serumu zbog rizika od intoksikacije aluminijumom, hipermagnezijemije i hipofosfatemije (videti dio 4.8.).</w:t>
      </w:r>
    </w:p>
    <w:p w14:paraId="2145342E" w14:textId="77777777" w:rsidR="00AB23CA" w:rsidRPr="00F23EEB" w:rsidRDefault="00AB23CA" w:rsidP="00F23EEB">
      <w:pPr>
        <w:widowControl w:val="0"/>
        <w:autoSpaceDE w:val="0"/>
        <w:autoSpaceDN w:val="0"/>
        <w:adjustRightInd w:val="0"/>
        <w:jc w:val="both"/>
        <w:rPr>
          <w:sz w:val="22"/>
          <w:szCs w:val="22"/>
          <w:lang w:val="sr-Latn-ME"/>
        </w:rPr>
      </w:pPr>
    </w:p>
    <w:p w14:paraId="76EF9BF4" w14:textId="53B81455" w:rsidR="00AB23CA" w:rsidRPr="00F23EEB" w:rsidRDefault="00AB23CA" w:rsidP="00F23EEB">
      <w:pPr>
        <w:widowControl w:val="0"/>
        <w:autoSpaceDE w:val="0"/>
        <w:autoSpaceDN w:val="0"/>
        <w:adjustRightInd w:val="0"/>
        <w:jc w:val="both"/>
        <w:rPr>
          <w:sz w:val="22"/>
          <w:szCs w:val="22"/>
          <w:lang w:val="sr-Latn-ME"/>
        </w:rPr>
      </w:pPr>
      <w:r w:rsidRPr="00F23EEB">
        <w:rPr>
          <w:sz w:val="22"/>
          <w:szCs w:val="22"/>
          <w:lang w:val="sr-Latn-ME"/>
        </w:rPr>
        <w:t>Zbog rizika od preopterećenja aluminijumom, treba izbegavati kontinuirani unos lijeka Riopan, a u slučaju produžene upotrebe potrebna je redovna kontrola aluminijuma u serumu. Koncentracija aluminijuma u serumu ne sme da prekorači 40 mikrograma/l.</w:t>
      </w:r>
    </w:p>
    <w:p w14:paraId="7B7E6FB2" w14:textId="77777777" w:rsidR="00A93D95" w:rsidRPr="00F23EEB" w:rsidRDefault="00A93D95" w:rsidP="00F23EEB">
      <w:pPr>
        <w:widowControl w:val="0"/>
        <w:tabs>
          <w:tab w:val="left" w:pos="540"/>
          <w:tab w:val="left" w:pos="569"/>
        </w:tabs>
        <w:jc w:val="both"/>
        <w:rPr>
          <w:bCs/>
          <w:sz w:val="22"/>
          <w:szCs w:val="22"/>
          <w:lang w:val="sr-Latn-ME"/>
        </w:rPr>
      </w:pPr>
    </w:p>
    <w:p w14:paraId="7AEA3B54" w14:textId="77777777"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Vrlo rijetko, poslije višegodišnje upotrebe visokih doza, zbog smanjene resorpcije kalcijuma i fosfata može da dođe do osteomalacije.</w:t>
      </w:r>
    </w:p>
    <w:p w14:paraId="06F30A71" w14:textId="77777777"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 xml:space="preserve"> </w:t>
      </w:r>
    </w:p>
    <w:p w14:paraId="34E44D85" w14:textId="14F9BCF2"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U slučaju održavanja ili djelimičnog povlačenja tegoba i/ili povremenog vraćanja tegoba treba isključiti postojanje neke od težih bolesti.</w:t>
      </w:r>
    </w:p>
    <w:p w14:paraId="4BD24184" w14:textId="77777777" w:rsidR="00A93D95" w:rsidRPr="00F23EEB" w:rsidRDefault="00A93D95" w:rsidP="00F23EEB">
      <w:pPr>
        <w:widowControl w:val="0"/>
        <w:tabs>
          <w:tab w:val="left" w:pos="540"/>
          <w:tab w:val="left" w:pos="569"/>
        </w:tabs>
        <w:jc w:val="both"/>
        <w:rPr>
          <w:bCs/>
          <w:sz w:val="22"/>
          <w:szCs w:val="22"/>
          <w:lang w:val="sr-Latn-ME"/>
        </w:rPr>
      </w:pPr>
    </w:p>
    <w:p w14:paraId="5DA4EB6F" w14:textId="27DE127F" w:rsidR="00AB23CA"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Kod pacijenata sa ulkusom želuca i dudodenuma potrebno je uraditi test na H. pylori i u slučaju pozitivnog nalaza treba primjeniti standardnu terapiju koja najčešće poslije uspješne eradikacije bakterije dovodi do izlječenja ulkusa.</w:t>
      </w:r>
    </w:p>
    <w:p w14:paraId="24689AA8" w14:textId="29D1BFB9" w:rsidR="00A93D95" w:rsidRPr="00F23EEB" w:rsidRDefault="00AB23CA" w:rsidP="00F23EEB">
      <w:pPr>
        <w:widowControl w:val="0"/>
        <w:tabs>
          <w:tab w:val="left" w:pos="540"/>
          <w:tab w:val="left" w:pos="569"/>
        </w:tabs>
        <w:jc w:val="both"/>
        <w:rPr>
          <w:bCs/>
          <w:sz w:val="22"/>
          <w:szCs w:val="22"/>
          <w:lang w:val="sr-Latn-ME"/>
        </w:rPr>
      </w:pPr>
      <w:r w:rsidRPr="00F23EEB">
        <w:rPr>
          <w:bCs/>
          <w:sz w:val="22"/>
          <w:szCs w:val="22"/>
          <w:lang w:val="sr-Latn-ME"/>
        </w:rPr>
        <w:t>Ovaj lijek sadrži manje od 1 mmol (23 mg) natrijuma po dozi, suštinski je bez natrijuma. Zbog niskog sadržaja natrijuma pogodan je za pacijente sa povišenim krvnim pritiskom.</w:t>
      </w:r>
    </w:p>
    <w:p w14:paraId="59C1702C" w14:textId="77777777" w:rsidR="00AB23CA" w:rsidRPr="00F23EEB" w:rsidRDefault="00AB23CA" w:rsidP="00F23EEB">
      <w:pPr>
        <w:widowControl w:val="0"/>
        <w:tabs>
          <w:tab w:val="left" w:pos="540"/>
          <w:tab w:val="left" w:pos="569"/>
        </w:tabs>
        <w:jc w:val="both"/>
        <w:rPr>
          <w:bCs/>
          <w:sz w:val="22"/>
          <w:szCs w:val="22"/>
          <w:lang w:val="sr-Latn-ME"/>
        </w:rPr>
      </w:pPr>
    </w:p>
    <w:p w14:paraId="777F64E1" w14:textId="5957E71F" w:rsidR="008524B7" w:rsidRPr="00F23EEB" w:rsidRDefault="00A93D95" w:rsidP="00F23EEB">
      <w:pPr>
        <w:widowControl w:val="0"/>
        <w:tabs>
          <w:tab w:val="left" w:pos="540"/>
          <w:tab w:val="left" w:pos="569"/>
        </w:tabs>
        <w:jc w:val="both"/>
        <w:rPr>
          <w:bCs/>
          <w:sz w:val="22"/>
          <w:szCs w:val="22"/>
          <w:lang w:val="sr-Latn-ME"/>
        </w:rPr>
      </w:pPr>
      <w:r w:rsidRPr="00F23EEB">
        <w:rPr>
          <w:bCs/>
          <w:sz w:val="22"/>
          <w:szCs w:val="22"/>
          <w:lang w:val="sr-Latn-ME"/>
        </w:rPr>
        <w:t xml:space="preserve">Ovaj lijek </w:t>
      </w:r>
      <w:r w:rsidR="008524B7" w:rsidRPr="00F23EEB">
        <w:rPr>
          <w:bCs/>
          <w:sz w:val="22"/>
          <w:szCs w:val="22"/>
          <w:lang w:val="sr-Latn-ME"/>
        </w:rPr>
        <w:t>ne sadrži šećer i pogodan je za dijabetičare.</w:t>
      </w:r>
    </w:p>
    <w:p w14:paraId="30353DF9" w14:textId="77777777" w:rsidR="00AB23CA" w:rsidRPr="00F23EEB" w:rsidRDefault="00AB23CA" w:rsidP="00F23EEB">
      <w:pPr>
        <w:widowControl w:val="0"/>
        <w:tabs>
          <w:tab w:val="left" w:pos="540"/>
          <w:tab w:val="left" w:pos="569"/>
        </w:tabs>
        <w:jc w:val="both"/>
        <w:rPr>
          <w:bCs/>
          <w:sz w:val="22"/>
          <w:szCs w:val="22"/>
          <w:lang w:val="sr-Latn-ME"/>
        </w:rPr>
      </w:pPr>
    </w:p>
    <w:p w14:paraId="63053E1A" w14:textId="32B88D3F" w:rsidR="008524B7" w:rsidRPr="00F23EEB" w:rsidRDefault="00AB23CA" w:rsidP="00F23EEB">
      <w:pPr>
        <w:widowControl w:val="0"/>
        <w:tabs>
          <w:tab w:val="left" w:pos="540"/>
          <w:tab w:val="left" w:pos="569"/>
        </w:tabs>
        <w:jc w:val="both"/>
        <w:rPr>
          <w:bCs/>
          <w:sz w:val="22"/>
          <w:szCs w:val="22"/>
          <w:lang w:val="sr-Latn-ME"/>
        </w:rPr>
      </w:pPr>
      <w:r w:rsidRPr="00F23EEB">
        <w:rPr>
          <w:bCs/>
          <w:sz w:val="22"/>
          <w:szCs w:val="22"/>
          <w:lang w:val="sr-Latn-ME"/>
        </w:rPr>
        <w:t>Ne postoje studije o bezbednosti i efikasnosti magaldrata kod dece i adolescenata, pa upotreba kod dece mlađe od 12 godina nije preporučljiva.</w:t>
      </w:r>
    </w:p>
    <w:p w14:paraId="2E93D569" w14:textId="77777777" w:rsidR="00AB23CA" w:rsidRPr="00F23EEB" w:rsidRDefault="00AB23CA" w:rsidP="00F23EEB">
      <w:pPr>
        <w:widowControl w:val="0"/>
        <w:tabs>
          <w:tab w:val="left" w:pos="540"/>
          <w:tab w:val="left" w:pos="569"/>
        </w:tabs>
        <w:jc w:val="both"/>
        <w:rPr>
          <w:bCs/>
          <w:sz w:val="22"/>
          <w:szCs w:val="22"/>
          <w:lang w:val="sr-Latn-ME"/>
        </w:rPr>
      </w:pPr>
    </w:p>
    <w:p w14:paraId="1174FAC1" w14:textId="77777777" w:rsidR="00057E35" w:rsidRPr="00F23EEB" w:rsidRDefault="00057E35" w:rsidP="00F23EEB">
      <w:pPr>
        <w:widowControl w:val="0"/>
        <w:tabs>
          <w:tab w:val="left" w:pos="540"/>
          <w:tab w:val="left" w:pos="569"/>
        </w:tabs>
        <w:jc w:val="both"/>
        <w:rPr>
          <w:sz w:val="22"/>
          <w:szCs w:val="22"/>
          <w:u w:val="single"/>
          <w:lang w:val="sr-Latn-ME"/>
        </w:rPr>
      </w:pPr>
      <w:r w:rsidRPr="00F23EEB">
        <w:rPr>
          <w:sz w:val="22"/>
          <w:szCs w:val="22"/>
          <w:u w:val="single"/>
          <w:lang w:val="sr-Latn-ME"/>
        </w:rPr>
        <w:t>Pedijatrijska populacija</w:t>
      </w:r>
    </w:p>
    <w:p w14:paraId="4FC46886" w14:textId="68A59FD8" w:rsidR="00057E35" w:rsidRPr="00F23EEB" w:rsidRDefault="00057E35" w:rsidP="00F23EEB">
      <w:pPr>
        <w:widowControl w:val="0"/>
        <w:tabs>
          <w:tab w:val="left" w:pos="540"/>
          <w:tab w:val="left" w:pos="569"/>
        </w:tabs>
        <w:jc w:val="both"/>
        <w:rPr>
          <w:bCs/>
          <w:sz w:val="22"/>
          <w:szCs w:val="22"/>
          <w:lang w:val="sr-Latn-ME"/>
        </w:rPr>
      </w:pPr>
    </w:p>
    <w:p w14:paraId="34F2233F" w14:textId="636D9E7C" w:rsidR="00A93D95" w:rsidRPr="00F23EEB" w:rsidRDefault="00A93D95" w:rsidP="00F23EEB">
      <w:pPr>
        <w:widowControl w:val="0"/>
        <w:tabs>
          <w:tab w:val="left" w:pos="540"/>
          <w:tab w:val="left" w:pos="569"/>
        </w:tabs>
        <w:jc w:val="both"/>
        <w:rPr>
          <w:bCs/>
          <w:sz w:val="22"/>
          <w:szCs w:val="22"/>
          <w:lang w:val="sr-Latn-ME"/>
        </w:rPr>
      </w:pPr>
      <w:r w:rsidRPr="00F23EEB">
        <w:rPr>
          <w:bCs/>
          <w:sz w:val="22"/>
          <w:szCs w:val="22"/>
          <w:lang w:val="sr-Latn-ME"/>
        </w:rPr>
        <w:t>Ne postoje studije o bezb</w:t>
      </w:r>
      <w:r w:rsidR="004D42A1" w:rsidRPr="00F23EEB">
        <w:rPr>
          <w:bCs/>
          <w:sz w:val="22"/>
          <w:szCs w:val="22"/>
          <w:lang w:val="sr-Latn-ME"/>
        </w:rPr>
        <w:t>j</w:t>
      </w:r>
      <w:r w:rsidRPr="00F23EEB">
        <w:rPr>
          <w:bCs/>
          <w:sz w:val="22"/>
          <w:szCs w:val="22"/>
          <w:lang w:val="sr-Latn-ME"/>
        </w:rPr>
        <w:t>ednosti i efikasnosti magaldrata kod djece i adolescenata, pa upotreba kod djece mlađe od 12 godina nije preporučljiva.</w:t>
      </w:r>
    </w:p>
    <w:p w14:paraId="747D13C5" w14:textId="77777777" w:rsidR="00A93D95" w:rsidRPr="00F23EEB" w:rsidRDefault="00A93D95" w:rsidP="00F23EEB">
      <w:pPr>
        <w:widowControl w:val="0"/>
        <w:tabs>
          <w:tab w:val="left" w:pos="540"/>
          <w:tab w:val="left" w:pos="569"/>
        </w:tabs>
        <w:jc w:val="both"/>
        <w:rPr>
          <w:bCs/>
          <w:sz w:val="22"/>
          <w:szCs w:val="22"/>
          <w:lang w:val="sr-Latn-ME"/>
        </w:rPr>
      </w:pPr>
    </w:p>
    <w:p w14:paraId="3CEAAF2D" w14:textId="77777777" w:rsidR="00411B4B" w:rsidRPr="00F23EEB" w:rsidRDefault="00411B4B" w:rsidP="00F23EEB">
      <w:pPr>
        <w:widowControl w:val="0"/>
        <w:tabs>
          <w:tab w:val="left" w:pos="540"/>
          <w:tab w:val="left" w:pos="569"/>
        </w:tabs>
        <w:jc w:val="both"/>
        <w:rPr>
          <w:b/>
          <w:bCs/>
          <w:sz w:val="22"/>
          <w:szCs w:val="22"/>
          <w:lang w:val="sr-Latn-ME"/>
        </w:rPr>
      </w:pPr>
      <w:r w:rsidRPr="00F23EEB">
        <w:rPr>
          <w:b/>
          <w:bCs/>
          <w:sz w:val="22"/>
          <w:szCs w:val="22"/>
          <w:lang w:val="sr-Latn-ME"/>
        </w:rPr>
        <w:t>4.5.</w:t>
      </w:r>
      <w:r w:rsidR="000D60CC" w:rsidRPr="00F23EEB">
        <w:rPr>
          <w:b/>
          <w:bCs/>
          <w:sz w:val="22"/>
          <w:szCs w:val="22"/>
          <w:lang w:val="sr-Latn-ME"/>
        </w:rPr>
        <w:tab/>
      </w:r>
      <w:r w:rsidRPr="00F23EEB">
        <w:rPr>
          <w:b/>
          <w:bCs/>
          <w:sz w:val="22"/>
          <w:szCs w:val="22"/>
          <w:lang w:val="sr-Latn-ME"/>
        </w:rPr>
        <w:t>Interakcije sa drugim ljekovima i druge vrste interakcija</w:t>
      </w:r>
    </w:p>
    <w:p w14:paraId="124F2AAA" w14:textId="4C8943F2" w:rsidR="0072020E" w:rsidRPr="00F23EEB" w:rsidRDefault="0072020E" w:rsidP="00F23EEB">
      <w:pPr>
        <w:widowControl w:val="0"/>
        <w:tabs>
          <w:tab w:val="left" w:pos="540"/>
          <w:tab w:val="left" w:pos="569"/>
        </w:tabs>
        <w:jc w:val="both"/>
        <w:rPr>
          <w:bCs/>
          <w:sz w:val="22"/>
          <w:szCs w:val="22"/>
          <w:lang w:val="sr-Latn-ME"/>
        </w:rPr>
      </w:pPr>
    </w:p>
    <w:p w14:paraId="1BF41BAF" w14:textId="0D7862B0"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 xml:space="preserve">Pošto antacidi mogu da utiču na resorpciju drugih istovremeno uzimanih ljekova, potrebno je napraviti razmak od 2 sata između primjene </w:t>
      </w:r>
      <w:r w:rsidR="00AB23CA" w:rsidRPr="00F23EEB">
        <w:rPr>
          <w:bCs/>
          <w:sz w:val="22"/>
          <w:szCs w:val="22"/>
          <w:lang w:val="sr-Latn-ME"/>
        </w:rPr>
        <w:t xml:space="preserve">magaldrata </w:t>
      </w:r>
      <w:r w:rsidRPr="00F23EEB">
        <w:rPr>
          <w:bCs/>
          <w:sz w:val="22"/>
          <w:szCs w:val="22"/>
          <w:lang w:val="sr-Latn-ME"/>
        </w:rPr>
        <w:t>i drugih ljekova.</w:t>
      </w:r>
    </w:p>
    <w:p w14:paraId="7ED6BA66" w14:textId="77777777" w:rsidR="008524B7" w:rsidRPr="00F23EEB" w:rsidRDefault="008524B7" w:rsidP="00F23EEB">
      <w:pPr>
        <w:widowControl w:val="0"/>
        <w:tabs>
          <w:tab w:val="left" w:pos="540"/>
          <w:tab w:val="left" w:pos="569"/>
        </w:tabs>
        <w:jc w:val="both"/>
        <w:rPr>
          <w:bCs/>
          <w:sz w:val="22"/>
          <w:szCs w:val="22"/>
          <w:lang w:val="sr-Latn-ME"/>
        </w:rPr>
      </w:pPr>
    </w:p>
    <w:p w14:paraId="0EB9D33E" w14:textId="4BF9CE57" w:rsidR="008524B7" w:rsidRPr="00F23EEB" w:rsidRDefault="00AB23CA" w:rsidP="00F23EEB">
      <w:pPr>
        <w:widowControl w:val="0"/>
        <w:tabs>
          <w:tab w:val="left" w:pos="540"/>
          <w:tab w:val="left" w:pos="569"/>
        </w:tabs>
        <w:jc w:val="both"/>
        <w:rPr>
          <w:bCs/>
          <w:sz w:val="22"/>
          <w:szCs w:val="22"/>
          <w:lang w:val="sr-Latn-ME"/>
        </w:rPr>
      </w:pPr>
      <w:r w:rsidRPr="00F23EEB">
        <w:rPr>
          <w:bCs/>
          <w:sz w:val="22"/>
          <w:szCs w:val="22"/>
          <w:lang w:val="sr-Latn-ME"/>
        </w:rPr>
        <w:t xml:space="preserve">Tokom istovremene </w:t>
      </w:r>
      <w:r w:rsidR="008524B7" w:rsidRPr="00F23EEB">
        <w:rPr>
          <w:bCs/>
          <w:sz w:val="22"/>
          <w:szCs w:val="22"/>
          <w:lang w:val="sr-Latn-ME"/>
        </w:rPr>
        <w:t xml:space="preserve">primjene sa </w:t>
      </w:r>
      <w:r w:rsidR="00A93D95" w:rsidRPr="00F23EEB">
        <w:rPr>
          <w:bCs/>
          <w:sz w:val="22"/>
          <w:szCs w:val="22"/>
          <w:lang w:val="sr-Latn-ME"/>
        </w:rPr>
        <w:t>antacidima</w:t>
      </w:r>
      <w:r w:rsidR="008524B7" w:rsidRPr="00F23EEB">
        <w:rPr>
          <w:bCs/>
          <w:sz w:val="22"/>
          <w:szCs w:val="22"/>
          <w:lang w:val="sr-Latn-ME"/>
        </w:rPr>
        <w:t xml:space="preserve">, uočeno </w:t>
      </w:r>
      <w:r w:rsidRPr="00F23EEB">
        <w:rPr>
          <w:bCs/>
          <w:sz w:val="22"/>
          <w:szCs w:val="22"/>
          <w:lang w:val="sr-Latn-ME"/>
        </w:rPr>
        <w:t xml:space="preserve">je značajno </w:t>
      </w:r>
      <w:r w:rsidR="008524B7" w:rsidRPr="00F23EEB">
        <w:rPr>
          <w:bCs/>
          <w:sz w:val="22"/>
          <w:szCs w:val="22"/>
          <w:lang w:val="sr-Latn-ME"/>
        </w:rPr>
        <w:t>smanjenje resorpcije tetraciklina i derivata hinolona (na primjer ciprofloksacin, ofloksacin i norfloksacin). Zbog toga se u toku terapije antibioticima ne preporučuje primjena antacida. Kod istovremene upotrebe sa Riopanom može da dođe do neznatnog smanjenja resorpcije digoksina, izonijazida, jedinjenja gvožđa</w:t>
      </w:r>
      <w:r w:rsidR="00CB3A86" w:rsidRPr="00F23EEB">
        <w:rPr>
          <w:bCs/>
          <w:sz w:val="22"/>
          <w:szCs w:val="22"/>
          <w:lang w:val="sr-Latn-ME"/>
        </w:rPr>
        <w:t xml:space="preserve">, </w:t>
      </w:r>
      <w:r w:rsidR="00E53F83" w:rsidRPr="00F23EEB">
        <w:rPr>
          <w:bCs/>
          <w:sz w:val="22"/>
          <w:szCs w:val="22"/>
          <w:lang w:val="sr-Latn-ME"/>
        </w:rPr>
        <w:t xml:space="preserve">indometacina </w:t>
      </w:r>
      <w:r w:rsidR="008524B7" w:rsidRPr="00F23EEB">
        <w:rPr>
          <w:bCs/>
          <w:sz w:val="22"/>
          <w:szCs w:val="22"/>
          <w:lang w:val="sr-Latn-ME"/>
        </w:rPr>
        <w:t>i hlorpromazina.</w:t>
      </w:r>
    </w:p>
    <w:p w14:paraId="09E9B27D" w14:textId="498B6C73" w:rsidR="008524B7" w:rsidRPr="00F23EEB" w:rsidRDefault="00E53F83" w:rsidP="00F23EEB">
      <w:pPr>
        <w:widowControl w:val="0"/>
        <w:tabs>
          <w:tab w:val="left" w:pos="540"/>
          <w:tab w:val="left" w:pos="569"/>
        </w:tabs>
        <w:jc w:val="both"/>
        <w:rPr>
          <w:bCs/>
          <w:sz w:val="22"/>
          <w:szCs w:val="22"/>
          <w:lang w:val="sr-Latn-ME"/>
        </w:rPr>
      </w:pPr>
      <w:r w:rsidRPr="00F23EEB">
        <w:rPr>
          <w:bCs/>
          <w:sz w:val="22"/>
          <w:szCs w:val="22"/>
          <w:lang w:val="sr-Latn-ME"/>
        </w:rPr>
        <w:t>Istovremena primjena</w:t>
      </w:r>
      <w:r w:rsidRPr="00F23EEB">
        <w:rPr>
          <w:lang w:val="sr-Latn-ME"/>
        </w:rPr>
        <w:t xml:space="preserve"> </w:t>
      </w:r>
      <w:r w:rsidRPr="00F23EEB">
        <w:rPr>
          <w:bCs/>
          <w:sz w:val="22"/>
          <w:szCs w:val="22"/>
          <w:lang w:val="sr-Latn-ME"/>
        </w:rPr>
        <w:t xml:space="preserve">magaldrata može dovesti do pojačanja </w:t>
      </w:r>
      <w:r w:rsidR="008524B7" w:rsidRPr="00F23EEB">
        <w:rPr>
          <w:bCs/>
          <w:sz w:val="22"/>
          <w:szCs w:val="22"/>
          <w:lang w:val="sr-Latn-ME"/>
        </w:rPr>
        <w:t>antikoagulantnog efekta kumarinskih derivata.</w:t>
      </w:r>
    </w:p>
    <w:p w14:paraId="65712B64" w14:textId="77777777" w:rsidR="008524B7" w:rsidRPr="00F23EEB" w:rsidRDefault="008524B7" w:rsidP="00F23EEB">
      <w:pPr>
        <w:widowControl w:val="0"/>
        <w:tabs>
          <w:tab w:val="left" w:pos="540"/>
          <w:tab w:val="left" w:pos="569"/>
        </w:tabs>
        <w:jc w:val="both"/>
        <w:rPr>
          <w:bCs/>
          <w:sz w:val="22"/>
          <w:szCs w:val="22"/>
          <w:lang w:val="sr-Latn-ME"/>
        </w:rPr>
      </w:pPr>
    </w:p>
    <w:p w14:paraId="49006DEF" w14:textId="1C309570" w:rsidR="008524B7" w:rsidRPr="00F23EEB" w:rsidRDefault="008524B7" w:rsidP="00F23EEB">
      <w:pPr>
        <w:widowControl w:val="0"/>
        <w:tabs>
          <w:tab w:val="left" w:pos="540"/>
          <w:tab w:val="left" w:pos="569"/>
        </w:tabs>
        <w:rPr>
          <w:bCs/>
          <w:sz w:val="22"/>
          <w:szCs w:val="22"/>
          <w:lang w:val="sr-Latn-ME"/>
        </w:rPr>
      </w:pPr>
      <w:r w:rsidRPr="00F23EEB">
        <w:rPr>
          <w:bCs/>
          <w:sz w:val="22"/>
          <w:szCs w:val="22"/>
          <w:lang w:val="sr-Latn-ME"/>
        </w:rPr>
        <w:t xml:space="preserve">Liječenje antacidima koji sadrže aluminijum zajedno sa </w:t>
      </w:r>
      <w:r w:rsidR="00AB23CA" w:rsidRPr="00F23EEB">
        <w:rPr>
          <w:bCs/>
          <w:sz w:val="22"/>
          <w:szCs w:val="22"/>
          <w:lang w:val="sr-Latn-ME"/>
        </w:rPr>
        <w:t>zakišeljenim</w:t>
      </w:r>
      <w:r w:rsidR="00CB3A86" w:rsidRPr="00F23EEB">
        <w:rPr>
          <w:bCs/>
          <w:sz w:val="22"/>
          <w:szCs w:val="22"/>
          <w:lang w:val="sr-Latn-ME"/>
        </w:rPr>
        <w:t xml:space="preserve"> </w:t>
      </w:r>
      <w:r w:rsidRPr="00F23EEB">
        <w:rPr>
          <w:bCs/>
          <w:sz w:val="22"/>
          <w:szCs w:val="22"/>
          <w:lang w:val="sr-Latn-ME"/>
        </w:rPr>
        <w:t xml:space="preserve">pićima (voćni sokovi, vino, itd...) </w:t>
      </w:r>
      <w:r w:rsidR="00CB3A86" w:rsidRPr="00F23EEB">
        <w:rPr>
          <w:bCs/>
          <w:sz w:val="22"/>
          <w:szCs w:val="22"/>
          <w:lang w:val="sr-Latn-ME"/>
        </w:rPr>
        <w:t xml:space="preserve">povećava </w:t>
      </w:r>
      <w:r w:rsidRPr="00F23EEB">
        <w:rPr>
          <w:bCs/>
          <w:sz w:val="22"/>
          <w:szCs w:val="22"/>
          <w:lang w:val="sr-Latn-ME"/>
        </w:rPr>
        <w:t>resorpciju aluminijuma u crijevima i zbog toga ih treba izbjegavati. Isto se odnosi na šumeće tablete koje sadrže limunsku ili ćilibarnu kiselinu.</w:t>
      </w:r>
    </w:p>
    <w:p w14:paraId="2B5A115C" w14:textId="77777777" w:rsidR="008524B7" w:rsidRPr="00F23EEB" w:rsidRDefault="008524B7" w:rsidP="00F23EEB">
      <w:pPr>
        <w:widowControl w:val="0"/>
        <w:tabs>
          <w:tab w:val="left" w:pos="540"/>
          <w:tab w:val="left" w:pos="569"/>
        </w:tabs>
        <w:rPr>
          <w:bCs/>
          <w:sz w:val="22"/>
          <w:szCs w:val="22"/>
          <w:lang w:val="sr-Latn-ME"/>
        </w:rPr>
      </w:pPr>
    </w:p>
    <w:p w14:paraId="02248305" w14:textId="77777777" w:rsidR="0072020E" w:rsidRPr="00F23EEB" w:rsidRDefault="0072020E" w:rsidP="00F23EEB">
      <w:pPr>
        <w:widowControl w:val="0"/>
        <w:tabs>
          <w:tab w:val="left" w:pos="540"/>
          <w:tab w:val="left" w:pos="569"/>
        </w:tabs>
        <w:rPr>
          <w:b/>
          <w:sz w:val="22"/>
          <w:szCs w:val="22"/>
          <w:lang w:val="sr-Latn-ME"/>
        </w:rPr>
      </w:pPr>
      <w:r w:rsidRPr="00F23EEB">
        <w:rPr>
          <w:b/>
          <w:bCs/>
          <w:sz w:val="22"/>
          <w:szCs w:val="22"/>
          <w:lang w:val="sr-Latn-ME"/>
        </w:rPr>
        <w:t xml:space="preserve">4.6. </w:t>
      </w:r>
      <w:r w:rsidR="00480FB1" w:rsidRPr="00F23EEB">
        <w:rPr>
          <w:b/>
          <w:bCs/>
          <w:sz w:val="22"/>
          <w:szCs w:val="22"/>
          <w:lang w:val="sr-Latn-ME"/>
        </w:rPr>
        <w:tab/>
      </w:r>
      <w:r w:rsidR="006D20A5" w:rsidRPr="00F23EEB">
        <w:rPr>
          <w:b/>
          <w:sz w:val="22"/>
          <w:szCs w:val="22"/>
          <w:lang w:val="sr-Latn-ME"/>
        </w:rPr>
        <w:t>Plodnost, trudnoća i dojenje</w:t>
      </w:r>
    </w:p>
    <w:p w14:paraId="4DC30053" w14:textId="77777777" w:rsidR="002031B3" w:rsidRPr="00F23EEB" w:rsidRDefault="002031B3" w:rsidP="00F23EEB">
      <w:pPr>
        <w:widowControl w:val="0"/>
        <w:tabs>
          <w:tab w:val="left" w:pos="540"/>
          <w:tab w:val="left" w:pos="569"/>
        </w:tabs>
        <w:rPr>
          <w:sz w:val="22"/>
          <w:szCs w:val="22"/>
          <w:u w:val="single"/>
          <w:lang w:val="sr-Latn-ME"/>
        </w:rPr>
      </w:pPr>
    </w:p>
    <w:p w14:paraId="615BB2BF" w14:textId="77777777" w:rsidR="00E53F83" w:rsidRPr="00F23EEB" w:rsidRDefault="00E53F83" w:rsidP="00F23EEB">
      <w:pPr>
        <w:widowControl w:val="0"/>
        <w:autoSpaceDE w:val="0"/>
        <w:autoSpaceDN w:val="0"/>
        <w:adjustRightInd w:val="0"/>
        <w:jc w:val="both"/>
        <w:rPr>
          <w:iCs/>
          <w:sz w:val="22"/>
          <w:szCs w:val="22"/>
          <w:lang w:val="sr-Latn-ME" w:eastAsia="sr-Latn-ME"/>
        </w:rPr>
      </w:pPr>
      <w:r w:rsidRPr="00F23EEB">
        <w:rPr>
          <w:iCs/>
          <w:sz w:val="22"/>
          <w:szCs w:val="22"/>
          <w:lang w:val="sr-Latn-ME" w:eastAsia="sr-Latn-ME"/>
        </w:rPr>
        <w:t>Jedinjenja aluminijuma prolaze placentalnu barijeru i prelaze u majčino mlijeko.</w:t>
      </w:r>
    </w:p>
    <w:p w14:paraId="15E52C72" w14:textId="77777777" w:rsidR="00E53F83" w:rsidRPr="00F23EEB" w:rsidRDefault="00E53F83" w:rsidP="00F23EEB">
      <w:pPr>
        <w:widowControl w:val="0"/>
        <w:autoSpaceDE w:val="0"/>
        <w:autoSpaceDN w:val="0"/>
        <w:adjustRightInd w:val="0"/>
        <w:jc w:val="both"/>
        <w:rPr>
          <w:iCs/>
          <w:sz w:val="22"/>
          <w:szCs w:val="22"/>
          <w:lang w:val="sr-Latn-ME" w:eastAsia="sr-Latn-ME"/>
        </w:rPr>
      </w:pPr>
      <w:r w:rsidRPr="00F23EEB">
        <w:rPr>
          <w:iCs/>
          <w:sz w:val="22"/>
          <w:szCs w:val="22"/>
          <w:lang w:val="sr-Latn-ME" w:eastAsia="sr-Latn-ME"/>
        </w:rPr>
        <w:t>Tokom trudnoće odnos korist-rizik treba pažljivo procijeniti prije uzimanja antacida koji sadrže aluminijum.</w:t>
      </w:r>
    </w:p>
    <w:p w14:paraId="02B2E2F0" w14:textId="77777777" w:rsidR="00CB3A86" w:rsidRPr="00F23EEB" w:rsidRDefault="00CB3A86" w:rsidP="00F23EEB">
      <w:pPr>
        <w:widowControl w:val="0"/>
        <w:autoSpaceDE w:val="0"/>
        <w:autoSpaceDN w:val="0"/>
        <w:adjustRightInd w:val="0"/>
        <w:jc w:val="both"/>
        <w:rPr>
          <w:iCs/>
          <w:sz w:val="22"/>
          <w:szCs w:val="22"/>
          <w:lang w:val="sr-Latn-ME" w:eastAsia="sr-Latn-ME"/>
        </w:rPr>
      </w:pPr>
    </w:p>
    <w:p w14:paraId="4674DA8F" w14:textId="77777777" w:rsidR="00CB3A86" w:rsidRPr="00F23EEB" w:rsidRDefault="00CB3A86" w:rsidP="00F23EEB">
      <w:pPr>
        <w:widowControl w:val="0"/>
        <w:autoSpaceDE w:val="0"/>
        <w:autoSpaceDN w:val="0"/>
        <w:adjustRightInd w:val="0"/>
        <w:jc w:val="both"/>
        <w:rPr>
          <w:iCs/>
          <w:sz w:val="22"/>
          <w:szCs w:val="22"/>
          <w:lang w:val="sr-Latn-ME" w:eastAsia="sr-Latn-ME"/>
        </w:rPr>
      </w:pPr>
      <w:r w:rsidRPr="00F23EEB">
        <w:rPr>
          <w:iCs/>
          <w:sz w:val="22"/>
          <w:szCs w:val="22"/>
          <w:lang w:val="sr-Latn-ME" w:eastAsia="sr-Latn-ME"/>
        </w:rPr>
        <w:t>Trudnoća</w:t>
      </w:r>
    </w:p>
    <w:p w14:paraId="4BA0379F" w14:textId="5F6E1960" w:rsidR="00CB3A86" w:rsidRPr="00F23EEB" w:rsidRDefault="00E53F83" w:rsidP="00F23EEB">
      <w:pPr>
        <w:widowControl w:val="0"/>
        <w:autoSpaceDE w:val="0"/>
        <w:autoSpaceDN w:val="0"/>
        <w:adjustRightInd w:val="0"/>
        <w:jc w:val="both"/>
        <w:rPr>
          <w:iCs/>
          <w:sz w:val="22"/>
          <w:szCs w:val="22"/>
          <w:lang w:val="sr-Latn-ME" w:eastAsia="sr-Latn-ME"/>
        </w:rPr>
      </w:pPr>
      <w:r w:rsidRPr="00F23EEB">
        <w:rPr>
          <w:iCs/>
          <w:sz w:val="22"/>
          <w:szCs w:val="22"/>
          <w:lang w:val="sr-Latn-ME" w:eastAsia="sr-Latn-ME"/>
        </w:rPr>
        <w:t xml:space="preserve">Magaldrat tokom trudnoće treba primjenjivati samo kratkotrajno i u što manjoj dozi, da bi se izbjeglo opterećenje deteta aluminijumom. </w:t>
      </w:r>
      <w:r w:rsidR="00CB3A86" w:rsidRPr="00F23EEB">
        <w:rPr>
          <w:iCs/>
          <w:sz w:val="22"/>
          <w:szCs w:val="22"/>
          <w:lang w:val="sr-Latn-ME" w:eastAsia="sr-Latn-ME"/>
        </w:rPr>
        <w:t>Studije na životinjama, pokazale su reproduktivnu toksičnost za jedinjenja aluminijuma (pogledati dio 5.3). Studije sprovedene na ljudima pokazuju akumulaciju aluminijuma u kostima nedonoščadi. Kod dugotrajnije prim</w:t>
      </w:r>
      <w:r w:rsidR="004D42A1" w:rsidRPr="00F23EEB">
        <w:rPr>
          <w:iCs/>
          <w:sz w:val="22"/>
          <w:szCs w:val="22"/>
          <w:lang w:val="sr-Latn-ME" w:eastAsia="sr-Latn-ME"/>
        </w:rPr>
        <w:t>j</w:t>
      </w:r>
      <w:r w:rsidR="00CB3A86" w:rsidRPr="00F23EEB">
        <w:rPr>
          <w:iCs/>
          <w:sz w:val="22"/>
          <w:szCs w:val="22"/>
          <w:lang w:val="sr-Latn-ME" w:eastAsia="sr-Latn-ME"/>
        </w:rPr>
        <w:t>ene l</w:t>
      </w:r>
      <w:r w:rsidR="004D42A1" w:rsidRPr="00F23EEB">
        <w:rPr>
          <w:iCs/>
          <w:sz w:val="22"/>
          <w:szCs w:val="22"/>
          <w:lang w:val="sr-Latn-ME" w:eastAsia="sr-Latn-ME"/>
        </w:rPr>
        <w:t>ij</w:t>
      </w:r>
      <w:r w:rsidR="00CB3A86" w:rsidRPr="00F23EEB">
        <w:rPr>
          <w:iCs/>
          <w:sz w:val="22"/>
          <w:szCs w:val="22"/>
          <w:lang w:val="sr-Latn-ME" w:eastAsia="sr-Latn-ME"/>
        </w:rPr>
        <w:t>eka postoji potencijalan rizik od neurotoksičnosti.</w:t>
      </w:r>
    </w:p>
    <w:p w14:paraId="1BA1EC96" w14:textId="77777777" w:rsidR="00CB3A86" w:rsidRPr="00F23EEB" w:rsidRDefault="00CB3A86" w:rsidP="00F23EEB">
      <w:pPr>
        <w:widowControl w:val="0"/>
        <w:autoSpaceDE w:val="0"/>
        <w:autoSpaceDN w:val="0"/>
        <w:adjustRightInd w:val="0"/>
        <w:jc w:val="both"/>
        <w:rPr>
          <w:iCs/>
          <w:sz w:val="22"/>
          <w:szCs w:val="22"/>
          <w:lang w:val="sr-Latn-ME" w:eastAsia="sr-Latn-ME"/>
        </w:rPr>
      </w:pPr>
    </w:p>
    <w:p w14:paraId="2DFDEEEA" w14:textId="77777777" w:rsidR="00CB3A86" w:rsidRPr="00F23EEB" w:rsidRDefault="00CB3A86" w:rsidP="00F23EEB">
      <w:pPr>
        <w:widowControl w:val="0"/>
        <w:autoSpaceDE w:val="0"/>
        <w:autoSpaceDN w:val="0"/>
        <w:adjustRightInd w:val="0"/>
        <w:jc w:val="both"/>
        <w:rPr>
          <w:iCs/>
          <w:sz w:val="22"/>
          <w:szCs w:val="22"/>
          <w:lang w:val="sr-Latn-ME" w:eastAsia="sr-Latn-ME"/>
        </w:rPr>
      </w:pPr>
      <w:r w:rsidRPr="00F23EEB">
        <w:rPr>
          <w:iCs/>
          <w:sz w:val="22"/>
          <w:szCs w:val="22"/>
          <w:lang w:val="sr-Latn-ME" w:eastAsia="sr-Latn-ME"/>
        </w:rPr>
        <w:t>Dojenje</w:t>
      </w:r>
    </w:p>
    <w:p w14:paraId="1C794BA9" w14:textId="48E166A3" w:rsidR="00CB3A86" w:rsidRPr="00F23EEB" w:rsidRDefault="00CB3A86" w:rsidP="00F23EEB">
      <w:pPr>
        <w:widowControl w:val="0"/>
        <w:autoSpaceDE w:val="0"/>
        <w:autoSpaceDN w:val="0"/>
        <w:adjustRightInd w:val="0"/>
        <w:jc w:val="both"/>
        <w:rPr>
          <w:iCs/>
          <w:sz w:val="22"/>
          <w:szCs w:val="22"/>
          <w:lang w:val="sr-Latn-ME" w:eastAsia="sr-Latn-ME"/>
        </w:rPr>
      </w:pPr>
      <w:r w:rsidRPr="00F23EEB">
        <w:rPr>
          <w:iCs/>
          <w:sz w:val="22"/>
          <w:szCs w:val="22"/>
          <w:lang w:val="sr-Latn-ME" w:eastAsia="sr-Latn-ME"/>
        </w:rPr>
        <w:t>Zbog niske resorpcije u cr</w:t>
      </w:r>
      <w:r w:rsidR="004D42A1" w:rsidRPr="00F23EEB">
        <w:rPr>
          <w:iCs/>
          <w:sz w:val="22"/>
          <w:szCs w:val="22"/>
          <w:lang w:val="sr-Latn-ME" w:eastAsia="sr-Latn-ME"/>
        </w:rPr>
        <w:t>ij</w:t>
      </w:r>
      <w:r w:rsidRPr="00F23EEB">
        <w:rPr>
          <w:iCs/>
          <w:sz w:val="22"/>
          <w:szCs w:val="22"/>
          <w:lang w:val="sr-Latn-ME" w:eastAsia="sr-Latn-ME"/>
        </w:rPr>
        <w:t>evima i majke i deteta ne može se zaključiti da postoji rizik po novorođenče.</w:t>
      </w:r>
    </w:p>
    <w:p w14:paraId="5A4D6B4F" w14:textId="101A6397" w:rsidR="00227BDB" w:rsidRPr="00F23EEB" w:rsidRDefault="00227BDB" w:rsidP="00F23EEB">
      <w:pPr>
        <w:widowControl w:val="0"/>
        <w:tabs>
          <w:tab w:val="left" w:pos="540"/>
          <w:tab w:val="left" w:pos="569"/>
        </w:tabs>
        <w:ind w:left="540" w:hanging="540"/>
        <w:jc w:val="both"/>
        <w:rPr>
          <w:b/>
          <w:bCs/>
          <w:sz w:val="22"/>
          <w:szCs w:val="22"/>
          <w:lang w:val="sr-Latn-ME"/>
        </w:rPr>
      </w:pPr>
    </w:p>
    <w:p w14:paraId="671A9023" w14:textId="77777777" w:rsidR="0072020E" w:rsidRPr="00F23EEB" w:rsidRDefault="0072020E" w:rsidP="00F23EEB">
      <w:pPr>
        <w:widowControl w:val="0"/>
        <w:tabs>
          <w:tab w:val="left" w:pos="540"/>
          <w:tab w:val="left" w:pos="569"/>
        </w:tabs>
        <w:ind w:left="540" w:hanging="540"/>
        <w:jc w:val="both"/>
        <w:rPr>
          <w:b/>
          <w:bCs/>
          <w:sz w:val="22"/>
          <w:szCs w:val="22"/>
          <w:lang w:val="sr-Latn-ME"/>
        </w:rPr>
      </w:pPr>
      <w:r w:rsidRPr="00F23EEB">
        <w:rPr>
          <w:b/>
          <w:bCs/>
          <w:sz w:val="22"/>
          <w:szCs w:val="22"/>
          <w:lang w:val="sr-Latn-ME"/>
        </w:rPr>
        <w:t xml:space="preserve">4.7. </w:t>
      </w:r>
      <w:r w:rsidR="00480FB1" w:rsidRPr="00F23EEB">
        <w:rPr>
          <w:b/>
          <w:bCs/>
          <w:sz w:val="22"/>
          <w:szCs w:val="22"/>
          <w:lang w:val="sr-Latn-ME"/>
        </w:rPr>
        <w:tab/>
      </w:r>
      <w:r w:rsidRPr="00F23EEB">
        <w:rPr>
          <w:b/>
          <w:bCs/>
          <w:sz w:val="22"/>
          <w:szCs w:val="22"/>
          <w:lang w:val="sr-Latn-ME"/>
        </w:rPr>
        <w:t xml:space="preserve">Uticaj na </w:t>
      </w:r>
      <w:r w:rsidR="002031B3" w:rsidRPr="00F23EEB">
        <w:rPr>
          <w:b/>
          <w:bCs/>
          <w:sz w:val="22"/>
          <w:szCs w:val="22"/>
          <w:lang w:val="sr-Latn-ME"/>
        </w:rPr>
        <w:t xml:space="preserve">sposobnost </w:t>
      </w:r>
      <w:r w:rsidR="00F34554" w:rsidRPr="00F23EEB">
        <w:rPr>
          <w:b/>
          <w:bCs/>
          <w:sz w:val="22"/>
          <w:szCs w:val="22"/>
          <w:lang w:val="sr-Latn-ME"/>
        </w:rPr>
        <w:t>upravljanja vozili</w:t>
      </w:r>
      <w:r w:rsidRPr="00F23EEB">
        <w:rPr>
          <w:b/>
          <w:bCs/>
          <w:sz w:val="22"/>
          <w:szCs w:val="22"/>
          <w:lang w:val="sr-Latn-ME"/>
        </w:rPr>
        <w:t>m</w:t>
      </w:r>
      <w:r w:rsidR="00F34554" w:rsidRPr="00F23EEB">
        <w:rPr>
          <w:b/>
          <w:bCs/>
          <w:sz w:val="22"/>
          <w:szCs w:val="22"/>
          <w:lang w:val="sr-Latn-ME"/>
        </w:rPr>
        <w:t>a</w:t>
      </w:r>
      <w:r w:rsidRPr="00F23EEB">
        <w:rPr>
          <w:b/>
          <w:bCs/>
          <w:sz w:val="22"/>
          <w:szCs w:val="22"/>
          <w:lang w:val="sr-Latn-ME"/>
        </w:rPr>
        <w:t xml:space="preserve"> i </w:t>
      </w:r>
      <w:r w:rsidR="000D3449" w:rsidRPr="00F23EEB">
        <w:rPr>
          <w:b/>
          <w:bCs/>
          <w:sz w:val="22"/>
          <w:szCs w:val="22"/>
          <w:lang w:val="sr-Latn-ME"/>
        </w:rPr>
        <w:t xml:space="preserve">rukovanje </w:t>
      </w:r>
      <w:r w:rsidRPr="00F23EEB">
        <w:rPr>
          <w:b/>
          <w:bCs/>
          <w:sz w:val="22"/>
          <w:szCs w:val="22"/>
          <w:lang w:val="sr-Latn-ME"/>
        </w:rPr>
        <w:t>mašinama</w:t>
      </w:r>
    </w:p>
    <w:p w14:paraId="011871C6" w14:textId="5EA86566" w:rsidR="0072020E" w:rsidRPr="00F23EEB" w:rsidRDefault="0072020E" w:rsidP="00F23EEB">
      <w:pPr>
        <w:widowControl w:val="0"/>
        <w:tabs>
          <w:tab w:val="left" w:pos="540"/>
          <w:tab w:val="left" w:pos="569"/>
        </w:tabs>
        <w:jc w:val="both"/>
        <w:rPr>
          <w:sz w:val="22"/>
          <w:szCs w:val="22"/>
          <w:lang w:val="sr-Latn-ME"/>
        </w:rPr>
      </w:pPr>
    </w:p>
    <w:p w14:paraId="7D46F037" w14:textId="4C5B1392" w:rsidR="008524B7" w:rsidRPr="00F23EEB" w:rsidRDefault="008524B7" w:rsidP="00F23EEB">
      <w:pPr>
        <w:widowControl w:val="0"/>
        <w:tabs>
          <w:tab w:val="left" w:pos="540"/>
          <w:tab w:val="left" w:pos="569"/>
        </w:tabs>
        <w:jc w:val="both"/>
        <w:rPr>
          <w:sz w:val="22"/>
          <w:szCs w:val="22"/>
          <w:lang w:val="sr-Latn-ME"/>
        </w:rPr>
      </w:pPr>
      <w:r w:rsidRPr="00F23EEB">
        <w:rPr>
          <w:sz w:val="22"/>
          <w:szCs w:val="22"/>
          <w:lang w:val="sr-Latn-ME"/>
        </w:rPr>
        <w:t>Lijek Riopan nema ili je uticaj na sposobnosti prilikom upravljanja motornim vozilom ili rukovanja mašinama neznatan.</w:t>
      </w:r>
    </w:p>
    <w:p w14:paraId="61B45758" w14:textId="77777777" w:rsidR="008524B7" w:rsidRPr="00F23EEB" w:rsidRDefault="008524B7" w:rsidP="00F23EEB">
      <w:pPr>
        <w:widowControl w:val="0"/>
        <w:tabs>
          <w:tab w:val="left" w:pos="540"/>
          <w:tab w:val="left" w:pos="569"/>
        </w:tabs>
        <w:jc w:val="both"/>
        <w:rPr>
          <w:sz w:val="22"/>
          <w:szCs w:val="22"/>
          <w:lang w:val="sr-Latn-ME"/>
        </w:rPr>
      </w:pPr>
    </w:p>
    <w:p w14:paraId="21D1715A"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4.8. </w:t>
      </w:r>
      <w:r w:rsidR="00480FB1" w:rsidRPr="00F23EEB">
        <w:rPr>
          <w:b/>
          <w:bCs/>
          <w:sz w:val="22"/>
          <w:szCs w:val="22"/>
          <w:lang w:val="sr-Latn-ME"/>
        </w:rPr>
        <w:tab/>
      </w:r>
      <w:r w:rsidRPr="00F23EEB">
        <w:rPr>
          <w:b/>
          <w:bCs/>
          <w:sz w:val="22"/>
          <w:szCs w:val="22"/>
          <w:lang w:val="sr-Latn-ME"/>
        </w:rPr>
        <w:t>Neželjena dejstva</w:t>
      </w:r>
    </w:p>
    <w:p w14:paraId="7AF65AEA" w14:textId="281F9E42" w:rsidR="004E70AD" w:rsidRPr="00F23EEB" w:rsidRDefault="004E70AD" w:rsidP="00F23EEB">
      <w:pPr>
        <w:widowControl w:val="0"/>
        <w:tabs>
          <w:tab w:val="left" w:pos="540"/>
          <w:tab w:val="left" w:pos="569"/>
        </w:tabs>
        <w:jc w:val="both"/>
        <w:rPr>
          <w:sz w:val="22"/>
          <w:szCs w:val="22"/>
          <w:lang w:val="sr-Latn-ME"/>
        </w:rPr>
      </w:pPr>
    </w:p>
    <w:p w14:paraId="5DB0D3F0" w14:textId="77777777" w:rsidR="008524B7" w:rsidRPr="00F23EEB" w:rsidRDefault="008524B7" w:rsidP="00F23EEB">
      <w:pPr>
        <w:pStyle w:val="Default"/>
        <w:widowControl w:val="0"/>
        <w:ind w:left="0"/>
        <w:rPr>
          <w:color w:val="auto"/>
          <w:sz w:val="22"/>
          <w:szCs w:val="22"/>
        </w:rPr>
      </w:pPr>
      <w:r w:rsidRPr="00F23EEB">
        <w:rPr>
          <w:color w:val="auto"/>
          <w:sz w:val="22"/>
          <w:szCs w:val="22"/>
        </w:rPr>
        <w:t>Neželjena dejstva su svrstana prema MedDRA klasifikaciji učestalosti:</w:t>
      </w:r>
    </w:p>
    <w:p w14:paraId="63BF7F25" w14:textId="77777777" w:rsidR="008524B7" w:rsidRPr="00F23EEB" w:rsidRDefault="008524B7" w:rsidP="00F23EEB">
      <w:pPr>
        <w:widowControl w:val="0"/>
        <w:jc w:val="both"/>
        <w:rPr>
          <w:sz w:val="22"/>
          <w:szCs w:val="22"/>
          <w:lang w:val="sr-Latn-ME"/>
        </w:rPr>
      </w:pPr>
      <w:r w:rsidRPr="00F23EEB">
        <w:rPr>
          <w:sz w:val="22"/>
          <w:szCs w:val="22"/>
          <w:lang w:val="sr-Latn-ME"/>
        </w:rPr>
        <w:t>vrlo česta (≥1/10); česta (≥1/100 do &lt;1/10); povremena (≥1/1.000 do &lt;1/100); rijetka (≥1/10.000 do &lt;1/1.000); veoma rijetka (&lt;1/10.000); nepoznata (prema dostupnim podacima nemoguće je odrediti učestalost).</w:t>
      </w:r>
    </w:p>
    <w:tbl>
      <w:tblPr>
        <w:tblpPr w:leftFromText="180" w:rightFromText="180" w:vertAnchor="text" w:horzAnchor="margin" w:tblpXSpec="center" w:tblpY="24"/>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913"/>
        <w:gridCol w:w="3877"/>
        <w:gridCol w:w="2174"/>
      </w:tblGrid>
      <w:tr w:rsidR="00CB3A86" w:rsidRPr="00F23EEB" w14:paraId="54A36F9F" w14:textId="668DEACA" w:rsidTr="00F23EEB">
        <w:tc>
          <w:tcPr>
            <w:tcW w:w="0" w:type="auto"/>
          </w:tcPr>
          <w:p w14:paraId="447D89EE" w14:textId="418C0038" w:rsidR="00CB3A86" w:rsidRPr="00F23EEB" w:rsidRDefault="00CB3A86" w:rsidP="00F23EEB">
            <w:pPr>
              <w:pStyle w:val="Header"/>
              <w:widowControl w:val="0"/>
              <w:rPr>
                <w:b/>
                <w:iCs/>
                <w:sz w:val="22"/>
                <w:szCs w:val="22"/>
                <w:lang w:val="sr-Latn-ME"/>
              </w:rPr>
            </w:pPr>
            <w:r w:rsidRPr="00F23EEB">
              <w:rPr>
                <w:b/>
                <w:iCs/>
                <w:sz w:val="22"/>
                <w:szCs w:val="22"/>
                <w:lang w:val="sr-Latn-ME" w:eastAsia="sr-Latn-ME"/>
              </w:rPr>
              <mc:AlternateContent>
                <mc:Choice Requires="wps">
                  <w:drawing>
                    <wp:anchor distT="0" distB="0" distL="114300" distR="114300" simplePos="0" relativeHeight="251661312" behindDoc="0" locked="0" layoutInCell="1" allowOverlap="1" wp14:anchorId="1AEEFEC7" wp14:editId="3FF1FD37">
                      <wp:simplePos x="0" y="0"/>
                      <wp:positionH relativeFrom="column">
                        <wp:posOffset>-71755</wp:posOffset>
                      </wp:positionH>
                      <wp:positionV relativeFrom="paragraph">
                        <wp:posOffset>46355</wp:posOffset>
                      </wp:positionV>
                      <wp:extent cx="1557655" cy="462915"/>
                      <wp:effectExtent l="6985" t="5080" r="698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655" cy="462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BF5A1D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5pt" to="117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"/>
                  </w:pict>
                </mc:Fallback>
              </mc:AlternateContent>
            </w:r>
            <w:r w:rsidRPr="00F23EEB">
              <w:rPr>
                <w:b/>
                <w:iCs/>
                <w:sz w:val="22"/>
                <w:szCs w:val="22"/>
                <w:lang w:val="sr-Latn-ME"/>
              </w:rPr>
              <w:t>Učestalost</w:t>
            </w:r>
          </w:p>
          <w:p w14:paraId="1F2140FC" w14:textId="77777777" w:rsidR="00CB3A86" w:rsidRPr="00F23EEB" w:rsidRDefault="00CB3A86" w:rsidP="00F23EEB">
            <w:pPr>
              <w:pStyle w:val="Header"/>
              <w:widowControl w:val="0"/>
              <w:rPr>
                <w:iCs/>
                <w:sz w:val="22"/>
                <w:szCs w:val="22"/>
                <w:lang w:val="sr-Latn-ME"/>
              </w:rPr>
            </w:pPr>
          </w:p>
          <w:p w14:paraId="59C6CF00" w14:textId="77777777" w:rsidR="00CB3A86" w:rsidRPr="00F23EEB" w:rsidRDefault="00CB3A86" w:rsidP="00F23EEB">
            <w:pPr>
              <w:pStyle w:val="Header"/>
              <w:widowControl w:val="0"/>
              <w:rPr>
                <w:b/>
                <w:iCs/>
                <w:sz w:val="22"/>
                <w:szCs w:val="22"/>
                <w:lang w:val="sr-Latn-ME"/>
              </w:rPr>
            </w:pPr>
            <w:r w:rsidRPr="00F23EEB">
              <w:rPr>
                <w:iCs/>
                <w:sz w:val="22"/>
                <w:szCs w:val="22"/>
                <w:lang w:val="sr-Latn-ME"/>
              </w:rPr>
              <w:t xml:space="preserve">           </w:t>
            </w:r>
            <w:r w:rsidRPr="00F23EEB">
              <w:rPr>
                <w:b/>
                <w:iCs/>
                <w:sz w:val="22"/>
                <w:szCs w:val="22"/>
                <w:lang w:val="sr-Latn-ME"/>
              </w:rPr>
              <w:t>Sistem/organ/klasa</w:t>
            </w:r>
          </w:p>
        </w:tc>
        <w:tc>
          <w:tcPr>
            <w:tcW w:w="0" w:type="auto"/>
            <w:vAlign w:val="center"/>
          </w:tcPr>
          <w:p w14:paraId="3B000978" w14:textId="77777777" w:rsidR="00CB3A86" w:rsidRPr="00F23EEB" w:rsidRDefault="00CB3A86" w:rsidP="00F23EEB">
            <w:pPr>
              <w:widowControl w:val="0"/>
              <w:rPr>
                <w:b/>
                <w:bCs/>
                <w:sz w:val="22"/>
                <w:szCs w:val="22"/>
                <w:lang w:val="sr-Latn-ME"/>
              </w:rPr>
            </w:pPr>
            <w:r w:rsidRPr="00F23EEB">
              <w:rPr>
                <w:b/>
                <w:bCs/>
                <w:sz w:val="22"/>
                <w:szCs w:val="22"/>
                <w:lang w:val="sr-Latn-ME"/>
              </w:rPr>
              <w:t>Vrlo česta</w:t>
            </w:r>
          </w:p>
          <w:p w14:paraId="0B780B9A" w14:textId="77777777" w:rsidR="00CB3A86" w:rsidRPr="00F23EEB" w:rsidRDefault="00CB3A86" w:rsidP="00F23EEB">
            <w:pPr>
              <w:widowControl w:val="0"/>
              <w:rPr>
                <w:b/>
                <w:bCs/>
                <w:sz w:val="22"/>
                <w:szCs w:val="22"/>
                <w:lang w:val="sr-Latn-ME"/>
              </w:rPr>
            </w:pPr>
            <w:r w:rsidRPr="00F23EEB">
              <w:rPr>
                <w:b/>
                <w:bCs/>
                <w:sz w:val="22"/>
                <w:szCs w:val="22"/>
                <w:lang w:val="sr-Latn-ME"/>
              </w:rPr>
              <w:t>(</w:t>
            </w:r>
            <w:r w:rsidRPr="00F23EEB">
              <w:rPr>
                <w:sz w:val="22"/>
                <w:szCs w:val="22"/>
                <w:lang w:val="sr-Latn-ME"/>
              </w:rPr>
              <w:t>≥</w:t>
            </w:r>
            <w:r w:rsidRPr="00F23EEB">
              <w:rPr>
                <w:b/>
                <w:bCs/>
                <w:sz w:val="22"/>
                <w:szCs w:val="22"/>
                <w:lang w:val="sr-Latn-ME"/>
              </w:rPr>
              <w:t>1/10)</w:t>
            </w:r>
          </w:p>
        </w:tc>
        <w:tc>
          <w:tcPr>
            <w:tcW w:w="0" w:type="auto"/>
            <w:vAlign w:val="center"/>
          </w:tcPr>
          <w:p w14:paraId="1761BF9B" w14:textId="77777777" w:rsidR="00CB3A86" w:rsidRPr="00F23EEB" w:rsidRDefault="00CB3A86" w:rsidP="00F23EEB">
            <w:pPr>
              <w:widowControl w:val="0"/>
              <w:rPr>
                <w:b/>
                <w:bCs/>
                <w:sz w:val="22"/>
                <w:szCs w:val="22"/>
                <w:lang w:val="sr-Latn-ME"/>
              </w:rPr>
            </w:pPr>
            <w:r w:rsidRPr="00F23EEB">
              <w:rPr>
                <w:b/>
                <w:bCs/>
                <w:sz w:val="22"/>
                <w:szCs w:val="22"/>
                <w:lang w:val="sr-Latn-ME"/>
              </w:rPr>
              <w:t>Veoma rijetka</w:t>
            </w:r>
          </w:p>
          <w:p w14:paraId="1C005AAD" w14:textId="77777777" w:rsidR="00CB3A86" w:rsidRPr="00F23EEB" w:rsidRDefault="00CB3A86" w:rsidP="00F23EEB">
            <w:pPr>
              <w:widowControl w:val="0"/>
              <w:ind w:left="95" w:right="-126" w:hanging="84"/>
              <w:rPr>
                <w:b/>
                <w:bCs/>
                <w:sz w:val="22"/>
                <w:szCs w:val="22"/>
                <w:lang w:val="sr-Latn-ME"/>
              </w:rPr>
            </w:pPr>
            <w:r w:rsidRPr="00F23EEB">
              <w:rPr>
                <w:b/>
                <w:bCs/>
                <w:sz w:val="22"/>
                <w:szCs w:val="22"/>
                <w:lang w:val="sr-Latn-ME"/>
              </w:rPr>
              <w:t>(&lt;1/10.000)</w:t>
            </w:r>
          </w:p>
        </w:tc>
        <w:tc>
          <w:tcPr>
            <w:tcW w:w="0" w:type="auto"/>
          </w:tcPr>
          <w:p w14:paraId="6D753F0B" w14:textId="3ECC3217" w:rsidR="00CB3A86" w:rsidRPr="00F23EEB" w:rsidRDefault="00CB3A86" w:rsidP="00F23EEB">
            <w:pPr>
              <w:widowControl w:val="0"/>
              <w:rPr>
                <w:b/>
                <w:bCs/>
                <w:sz w:val="22"/>
                <w:szCs w:val="22"/>
                <w:lang w:val="sr-Latn-ME"/>
              </w:rPr>
            </w:pPr>
            <w:r w:rsidRPr="00F23EEB">
              <w:rPr>
                <w:b/>
                <w:bCs/>
                <w:sz w:val="22"/>
                <w:szCs w:val="22"/>
                <w:lang w:val="sr-Latn-ME"/>
              </w:rPr>
              <w:t>Nepoznata učestalost</w:t>
            </w:r>
          </w:p>
        </w:tc>
      </w:tr>
      <w:tr w:rsidR="00E53F83" w:rsidRPr="00F23EEB" w14:paraId="50D64A0D" w14:textId="4600715F" w:rsidTr="00F23EEB">
        <w:tc>
          <w:tcPr>
            <w:tcW w:w="0" w:type="auto"/>
          </w:tcPr>
          <w:p w14:paraId="78CA4CDE" w14:textId="3F8C6F67" w:rsidR="00E53F83" w:rsidRPr="00F23EEB" w:rsidRDefault="00E53F83" w:rsidP="00F23EEB">
            <w:pPr>
              <w:pStyle w:val="Header"/>
              <w:widowControl w:val="0"/>
              <w:rPr>
                <w:bCs/>
                <w:iCs/>
                <w:sz w:val="22"/>
                <w:szCs w:val="22"/>
                <w:lang w:val="sr-Latn-ME"/>
              </w:rPr>
            </w:pPr>
            <w:r w:rsidRPr="00F23EEB">
              <w:rPr>
                <w:bCs/>
                <w:iCs/>
                <w:sz w:val="22"/>
                <w:szCs w:val="22"/>
                <w:lang w:val="sr-Latn-ME"/>
              </w:rPr>
              <w:t>Poremećaji metabolizma i ishrane</w:t>
            </w:r>
          </w:p>
        </w:tc>
        <w:tc>
          <w:tcPr>
            <w:tcW w:w="0" w:type="auto"/>
            <w:vAlign w:val="center"/>
          </w:tcPr>
          <w:p w14:paraId="03F3DCBC" w14:textId="77777777" w:rsidR="00E53F83" w:rsidRPr="00F23EEB" w:rsidRDefault="00E53F83" w:rsidP="00F23EEB">
            <w:pPr>
              <w:widowControl w:val="0"/>
              <w:rPr>
                <w:b/>
                <w:bCs/>
                <w:sz w:val="22"/>
                <w:szCs w:val="22"/>
                <w:lang w:val="sr-Latn-ME"/>
              </w:rPr>
            </w:pPr>
          </w:p>
        </w:tc>
        <w:tc>
          <w:tcPr>
            <w:tcW w:w="0" w:type="auto"/>
            <w:vAlign w:val="center"/>
          </w:tcPr>
          <w:p w14:paraId="3D67C3FB" w14:textId="099AAA0C" w:rsidR="00E53F83" w:rsidRPr="00F23EEB" w:rsidRDefault="00E53F83" w:rsidP="00F23EEB">
            <w:pPr>
              <w:widowControl w:val="0"/>
              <w:rPr>
                <w:sz w:val="22"/>
                <w:szCs w:val="22"/>
                <w:lang w:val="sr-Latn-ME"/>
              </w:rPr>
            </w:pPr>
            <w:r w:rsidRPr="00F23EEB">
              <w:rPr>
                <w:sz w:val="22"/>
                <w:szCs w:val="22"/>
                <w:lang w:val="sr-Latn-ME"/>
              </w:rPr>
              <w:t>Kod pacijenata sa oštećenjem bubrega (klirens kreatinina &lt;30 mL/min), naročito kod pacijenata na dijalizi koji koriste lijek u velikim dozama dugotrajno može doći do intoksikacije aluminijumom i magnezijumom koja se manifestuje kao hipermagnezemija sa srčanim i centralnim neželjenim dejstvima*</w:t>
            </w:r>
          </w:p>
        </w:tc>
        <w:tc>
          <w:tcPr>
            <w:tcW w:w="0" w:type="auto"/>
          </w:tcPr>
          <w:p w14:paraId="1A0A2467" w14:textId="0D7A49DB" w:rsidR="00E53F83" w:rsidRPr="00F23EEB" w:rsidRDefault="00E53F83" w:rsidP="00F23EEB">
            <w:pPr>
              <w:widowControl w:val="0"/>
              <w:rPr>
                <w:sz w:val="22"/>
                <w:szCs w:val="22"/>
                <w:lang w:val="sr-Latn-ME"/>
              </w:rPr>
            </w:pPr>
            <w:r w:rsidRPr="00F23EEB">
              <w:rPr>
                <w:sz w:val="22"/>
                <w:szCs w:val="22"/>
                <w:lang w:val="sr-Latn-ME"/>
              </w:rPr>
              <w:t>Manifestacije toksičnosti aluminijuma i magnezijuma uključuju i hipofosfatemiju</w:t>
            </w:r>
          </w:p>
        </w:tc>
      </w:tr>
      <w:tr w:rsidR="00E53F83" w:rsidRPr="00F23EEB" w14:paraId="3B796834" w14:textId="1223438F" w:rsidTr="00F23EEB">
        <w:tc>
          <w:tcPr>
            <w:tcW w:w="0" w:type="auto"/>
          </w:tcPr>
          <w:p w14:paraId="1EBB4B37" w14:textId="27701294" w:rsidR="00E53F83" w:rsidRPr="00F23EEB" w:rsidRDefault="00E53F83" w:rsidP="00F23EEB">
            <w:pPr>
              <w:pStyle w:val="Header"/>
              <w:widowControl w:val="0"/>
              <w:rPr>
                <w:bCs/>
                <w:iCs/>
                <w:sz w:val="22"/>
                <w:szCs w:val="22"/>
                <w:lang w:val="sr-Latn-ME"/>
              </w:rPr>
            </w:pPr>
            <w:r w:rsidRPr="00F23EEB">
              <w:rPr>
                <w:bCs/>
                <w:iCs/>
                <w:sz w:val="22"/>
                <w:szCs w:val="22"/>
                <w:lang w:val="sr-Latn-ME"/>
              </w:rPr>
              <w:t>Poremećaji nervnog sistema</w:t>
            </w:r>
          </w:p>
        </w:tc>
        <w:tc>
          <w:tcPr>
            <w:tcW w:w="0" w:type="auto"/>
            <w:vAlign w:val="center"/>
          </w:tcPr>
          <w:p w14:paraId="124148D0" w14:textId="77777777" w:rsidR="00E53F83" w:rsidRPr="00F23EEB" w:rsidRDefault="00E53F83" w:rsidP="00F23EEB">
            <w:pPr>
              <w:widowControl w:val="0"/>
              <w:rPr>
                <w:b/>
                <w:bCs/>
                <w:sz w:val="22"/>
                <w:szCs w:val="22"/>
                <w:lang w:val="sr-Latn-ME"/>
              </w:rPr>
            </w:pPr>
          </w:p>
        </w:tc>
        <w:tc>
          <w:tcPr>
            <w:tcW w:w="0" w:type="auto"/>
            <w:vAlign w:val="center"/>
          </w:tcPr>
          <w:p w14:paraId="6D930024" w14:textId="77777777" w:rsidR="00E53F83" w:rsidRPr="00F23EEB" w:rsidRDefault="00E53F83" w:rsidP="00F23EEB">
            <w:pPr>
              <w:widowControl w:val="0"/>
              <w:rPr>
                <w:b/>
                <w:bCs/>
                <w:sz w:val="22"/>
                <w:szCs w:val="22"/>
                <w:lang w:val="sr-Latn-ME"/>
              </w:rPr>
            </w:pPr>
          </w:p>
        </w:tc>
        <w:tc>
          <w:tcPr>
            <w:tcW w:w="0" w:type="auto"/>
          </w:tcPr>
          <w:p w14:paraId="11857E34" w14:textId="77777777" w:rsidR="00E53F83" w:rsidRPr="00F23EEB" w:rsidRDefault="00E53F83" w:rsidP="00F23EEB">
            <w:pPr>
              <w:widowControl w:val="0"/>
              <w:rPr>
                <w:sz w:val="22"/>
                <w:szCs w:val="22"/>
                <w:lang w:val="sr-Latn-ME"/>
              </w:rPr>
            </w:pPr>
            <w:r w:rsidRPr="00F23EEB">
              <w:rPr>
                <w:sz w:val="22"/>
                <w:szCs w:val="22"/>
                <w:lang w:val="sr-Latn-ME"/>
              </w:rPr>
              <w:t>Neurotoksičnost,</w:t>
            </w:r>
          </w:p>
          <w:p w14:paraId="6DE38B01" w14:textId="49473A7A" w:rsidR="00E53F83" w:rsidRPr="00F23EEB" w:rsidRDefault="00E53F83" w:rsidP="00F23EEB">
            <w:pPr>
              <w:widowControl w:val="0"/>
              <w:rPr>
                <w:sz w:val="22"/>
                <w:szCs w:val="22"/>
                <w:lang w:val="sr-Latn-ME"/>
              </w:rPr>
            </w:pPr>
            <w:r w:rsidRPr="00F23EEB">
              <w:rPr>
                <w:sz w:val="22"/>
                <w:szCs w:val="22"/>
                <w:lang w:val="sr-Latn-ME"/>
              </w:rPr>
              <w:t>Encefalopatija **</w:t>
            </w:r>
          </w:p>
        </w:tc>
      </w:tr>
      <w:tr w:rsidR="00CB3A86" w:rsidRPr="00F23EEB" w14:paraId="4B52DABD" w14:textId="4D589F32" w:rsidTr="00F23EEB">
        <w:tc>
          <w:tcPr>
            <w:tcW w:w="0" w:type="auto"/>
            <w:vAlign w:val="center"/>
          </w:tcPr>
          <w:p w14:paraId="1CFDF943" w14:textId="77777777" w:rsidR="00CB3A86" w:rsidRPr="00F23EEB" w:rsidRDefault="00CB3A86" w:rsidP="00F23EEB">
            <w:pPr>
              <w:pStyle w:val="Header"/>
              <w:widowControl w:val="0"/>
              <w:rPr>
                <w:iCs/>
                <w:sz w:val="22"/>
                <w:szCs w:val="22"/>
                <w:lang w:val="sr-Latn-ME"/>
              </w:rPr>
            </w:pPr>
            <w:r w:rsidRPr="00F23EEB">
              <w:rPr>
                <w:iCs/>
                <w:sz w:val="22"/>
                <w:szCs w:val="22"/>
                <w:lang w:val="sr-Latn-ME"/>
              </w:rPr>
              <w:t>Gastrointestinalni poremećaji</w:t>
            </w:r>
          </w:p>
        </w:tc>
        <w:tc>
          <w:tcPr>
            <w:tcW w:w="0" w:type="auto"/>
            <w:vAlign w:val="center"/>
          </w:tcPr>
          <w:p w14:paraId="5650324A" w14:textId="77777777" w:rsidR="00CB3A86" w:rsidRPr="00F23EEB" w:rsidRDefault="00CB3A86" w:rsidP="00F23EEB">
            <w:pPr>
              <w:pStyle w:val="Header"/>
              <w:widowControl w:val="0"/>
              <w:rPr>
                <w:iCs/>
                <w:sz w:val="22"/>
                <w:szCs w:val="22"/>
                <w:lang w:val="sr-Latn-ME"/>
              </w:rPr>
            </w:pPr>
            <w:r w:rsidRPr="00F23EEB">
              <w:rPr>
                <w:iCs/>
                <w:sz w:val="22"/>
                <w:szCs w:val="22"/>
                <w:lang w:val="sr-Latn-ME"/>
              </w:rPr>
              <w:t>Meka stolica</w:t>
            </w:r>
          </w:p>
        </w:tc>
        <w:tc>
          <w:tcPr>
            <w:tcW w:w="0" w:type="auto"/>
            <w:vAlign w:val="center"/>
          </w:tcPr>
          <w:p w14:paraId="5DA62E80" w14:textId="77777777" w:rsidR="00CB3A86" w:rsidRPr="00F23EEB" w:rsidRDefault="00CB3A86" w:rsidP="00F23EEB">
            <w:pPr>
              <w:pStyle w:val="Header"/>
              <w:widowControl w:val="0"/>
              <w:rPr>
                <w:iCs/>
                <w:sz w:val="22"/>
                <w:szCs w:val="22"/>
                <w:lang w:val="sr-Latn-ME"/>
              </w:rPr>
            </w:pPr>
            <w:r w:rsidRPr="00F23EEB">
              <w:rPr>
                <w:iCs/>
                <w:sz w:val="22"/>
                <w:szCs w:val="22"/>
                <w:lang w:val="sr-Latn-ME"/>
              </w:rPr>
              <w:t>Dijareja</w:t>
            </w:r>
          </w:p>
        </w:tc>
        <w:tc>
          <w:tcPr>
            <w:tcW w:w="0" w:type="auto"/>
          </w:tcPr>
          <w:p w14:paraId="5BE0287D" w14:textId="369B0FA8" w:rsidR="00CB3A86" w:rsidRPr="00F23EEB" w:rsidRDefault="00E53F83" w:rsidP="00F23EEB">
            <w:pPr>
              <w:pStyle w:val="Header"/>
              <w:widowControl w:val="0"/>
              <w:rPr>
                <w:iCs/>
                <w:sz w:val="22"/>
                <w:szCs w:val="22"/>
                <w:lang w:val="sr-Latn-ME"/>
              </w:rPr>
            </w:pPr>
            <w:r w:rsidRPr="00F23EEB">
              <w:rPr>
                <w:iCs/>
                <w:sz w:val="22"/>
                <w:szCs w:val="22"/>
                <w:lang w:val="sr-Latn-ME"/>
              </w:rPr>
              <w:t>Abdominalni bol, konstipacija, mučnina, povraćanje</w:t>
            </w:r>
          </w:p>
        </w:tc>
      </w:tr>
    </w:tbl>
    <w:p w14:paraId="7B500469" w14:textId="77777777" w:rsidR="00E53F83" w:rsidRPr="00F23EEB" w:rsidRDefault="00E53F83" w:rsidP="00F23EEB">
      <w:pPr>
        <w:widowControl w:val="0"/>
        <w:rPr>
          <w:rFonts w:eastAsia="Calibri"/>
          <w:sz w:val="18"/>
          <w:szCs w:val="18"/>
          <w:lang w:val="sr-Latn-ME"/>
        </w:rPr>
      </w:pPr>
      <w:r w:rsidRPr="00F23EEB">
        <w:rPr>
          <w:rFonts w:eastAsia="Calibri"/>
          <w:sz w:val="18"/>
          <w:szCs w:val="18"/>
          <w:lang w:val="sr-Latn-ME"/>
        </w:rPr>
        <w:t>*Treba pratiti nivo aluminijuma u serumu kod pacijenata</w:t>
      </w:r>
    </w:p>
    <w:p w14:paraId="518C1D8F" w14:textId="7FEAC33D" w:rsidR="00E53F83" w:rsidRDefault="00E53F83" w:rsidP="00F23EEB">
      <w:pPr>
        <w:widowControl w:val="0"/>
        <w:jc w:val="both"/>
        <w:rPr>
          <w:rFonts w:eastAsia="Calibri"/>
          <w:sz w:val="18"/>
          <w:szCs w:val="18"/>
          <w:lang w:val="sr-Latn-ME"/>
        </w:rPr>
      </w:pPr>
      <w:r w:rsidRPr="00F23EEB">
        <w:rPr>
          <w:rFonts w:eastAsia="Calibri"/>
          <w:sz w:val="18"/>
          <w:szCs w:val="18"/>
          <w:lang w:val="sr-Latn-ME"/>
        </w:rPr>
        <w:t>**Kod pacijenata sa oštećenom funkcijom bubrega koji dugo koriste lijek u velikim dozama, magnezijumove soli mogu prouzrokovati supresiju centralnog nervnog sistema. Aluminijum se može akumulirati uglavnom u kostima i centralnom nervnom sistemu i dovesti do encefalopatije, koja je praćena poremećajem govora, grčeva u mišićima i oštećenjem pamćenja. Može doći i do hipofosfatemije.</w:t>
      </w:r>
    </w:p>
    <w:p w14:paraId="6C50F212" w14:textId="77777777" w:rsidR="00F23EEB" w:rsidRPr="00F23EEB" w:rsidRDefault="00F23EEB" w:rsidP="00F23EEB">
      <w:pPr>
        <w:widowControl w:val="0"/>
        <w:jc w:val="both"/>
        <w:rPr>
          <w:rFonts w:eastAsia="Calibri"/>
          <w:sz w:val="18"/>
          <w:szCs w:val="18"/>
          <w:lang w:val="sr-Latn-ME"/>
        </w:rPr>
      </w:pPr>
    </w:p>
    <w:p w14:paraId="580ACAD0" w14:textId="0A614B22" w:rsidR="005A23D2" w:rsidRPr="00F23EEB" w:rsidRDefault="005A23D2" w:rsidP="00F23EEB">
      <w:pPr>
        <w:widowControl w:val="0"/>
        <w:jc w:val="both"/>
        <w:rPr>
          <w:rFonts w:eastAsia="Calibri"/>
          <w:sz w:val="22"/>
          <w:szCs w:val="22"/>
          <w:u w:val="single"/>
          <w:lang w:val="sr-Latn-ME"/>
        </w:rPr>
      </w:pPr>
      <w:r w:rsidRPr="00F23EEB">
        <w:rPr>
          <w:rFonts w:eastAsia="Calibri"/>
          <w:sz w:val="22"/>
          <w:szCs w:val="22"/>
          <w:u w:val="single"/>
          <w:lang w:val="sr-Latn-ME"/>
        </w:rPr>
        <w:t>Prijavljivanje sumnji na neželjena dejstva</w:t>
      </w:r>
    </w:p>
    <w:p w14:paraId="12253746" w14:textId="77777777" w:rsidR="00B85559" w:rsidRPr="00F23EEB" w:rsidRDefault="00B85559" w:rsidP="00F23EEB">
      <w:pPr>
        <w:widowControl w:val="0"/>
        <w:jc w:val="both"/>
        <w:rPr>
          <w:rFonts w:eastAsia="Calibri"/>
          <w:sz w:val="22"/>
          <w:szCs w:val="22"/>
          <w:lang w:val="sr-Latn-ME"/>
        </w:rPr>
      </w:pPr>
      <w:r w:rsidRPr="00F23EE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8C626E3" w14:textId="77777777" w:rsidR="00B85559" w:rsidRPr="00F23EEB" w:rsidRDefault="00B85559" w:rsidP="00F23EEB">
      <w:pPr>
        <w:pStyle w:val="NoSpacing"/>
        <w:widowControl w:val="0"/>
        <w:jc w:val="both"/>
        <w:rPr>
          <w:rFonts w:eastAsia="Calibri"/>
          <w:sz w:val="22"/>
          <w:szCs w:val="22"/>
          <w:lang w:val="sr-Latn-ME"/>
        </w:rPr>
      </w:pPr>
      <w:r w:rsidRPr="00F23EEB">
        <w:rPr>
          <w:rFonts w:eastAsia="Calibri"/>
          <w:sz w:val="22"/>
          <w:szCs w:val="22"/>
          <w:lang w:val="sr-Latn-ME"/>
        </w:rPr>
        <w:t xml:space="preserve">Institut za ljekove i medicinska sredstva </w:t>
      </w:r>
    </w:p>
    <w:p w14:paraId="24CE9D9F" w14:textId="77777777" w:rsidR="00B85559" w:rsidRPr="00F23EEB" w:rsidRDefault="00B85559" w:rsidP="00F23EEB">
      <w:pPr>
        <w:pStyle w:val="NoSpacing"/>
        <w:widowControl w:val="0"/>
        <w:jc w:val="both"/>
        <w:rPr>
          <w:rFonts w:eastAsia="Calibri"/>
          <w:sz w:val="22"/>
          <w:szCs w:val="22"/>
          <w:lang w:val="sr-Latn-ME"/>
        </w:rPr>
      </w:pPr>
      <w:r w:rsidRPr="00F23EEB">
        <w:rPr>
          <w:rFonts w:eastAsia="Calibri"/>
          <w:sz w:val="22"/>
          <w:szCs w:val="22"/>
          <w:lang w:val="sr-Latn-ME"/>
        </w:rPr>
        <w:t>Odjeljenje za farmakovigilancu</w:t>
      </w:r>
    </w:p>
    <w:p w14:paraId="2581975C" w14:textId="77777777" w:rsidR="00B85559" w:rsidRPr="00F23EEB" w:rsidRDefault="00B85559" w:rsidP="00F23EEB">
      <w:pPr>
        <w:pStyle w:val="NoSpacing"/>
        <w:widowControl w:val="0"/>
        <w:jc w:val="both"/>
        <w:rPr>
          <w:rFonts w:eastAsia="Calibri"/>
          <w:sz w:val="22"/>
          <w:szCs w:val="22"/>
          <w:lang w:val="sr-Latn-ME"/>
        </w:rPr>
      </w:pPr>
      <w:r w:rsidRPr="00F23EEB">
        <w:rPr>
          <w:rFonts w:eastAsia="Calibri"/>
          <w:sz w:val="22"/>
          <w:szCs w:val="22"/>
          <w:lang w:val="sr-Latn-ME"/>
        </w:rPr>
        <w:t>Bulevar Ivana Crnojevića 64a, 81000 Podgorica</w:t>
      </w:r>
    </w:p>
    <w:p w14:paraId="7798598B" w14:textId="77777777" w:rsidR="00B85559" w:rsidRPr="00F23EEB" w:rsidRDefault="00B85559" w:rsidP="00F23EEB">
      <w:pPr>
        <w:pStyle w:val="NoSpacing"/>
        <w:widowControl w:val="0"/>
        <w:jc w:val="both"/>
        <w:rPr>
          <w:rFonts w:eastAsia="Calibri"/>
          <w:sz w:val="22"/>
          <w:szCs w:val="22"/>
          <w:lang w:val="sr-Latn-ME"/>
        </w:rPr>
      </w:pPr>
    </w:p>
    <w:p w14:paraId="2AB02162" w14:textId="77777777" w:rsidR="00B85559" w:rsidRPr="00F23EEB" w:rsidRDefault="00B85559" w:rsidP="00F23EEB">
      <w:pPr>
        <w:pStyle w:val="NoSpacing"/>
        <w:widowControl w:val="0"/>
        <w:jc w:val="both"/>
        <w:rPr>
          <w:rFonts w:eastAsia="Calibri"/>
          <w:sz w:val="22"/>
          <w:szCs w:val="22"/>
          <w:lang w:val="sr-Latn-ME"/>
        </w:rPr>
      </w:pPr>
      <w:r w:rsidRPr="00F23EEB">
        <w:rPr>
          <w:rFonts w:eastAsia="Calibri"/>
          <w:sz w:val="22"/>
          <w:szCs w:val="22"/>
          <w:lang w:val="sr-Latn-ME"/>
        </w:rPr>
        <w:t>tel: +382 (0) 20 310 280</w:t>
      </w:r>
    </w:p>
    <w:p w14:paraId="41FD780E" w14:textId="77777777" w:rsidR="00B85559" w:rsidRPr="00F23EEB" w:rsidRDefault="00B85559" w:rsidP="00F23EEB">
      <w:pPr>
        <w:pStyle w:val="NoSpacing"/>
        <w:widowControl w:val="0"/>
        <w:tabs>
          <w:tab w:val="left" w:pos="6720"/>
        </w:tabs>
        <w:jc w:val="both"/>
        <w:rPr>
          <w:rFonts w:eastAsia="Calibri"/>
          <w:sz w:val="22"/>
          <w:szCs w:val="22"/>
          <w:lang w:val="sr-Latn-ME"/>
        </w:rPr>
      </w:pPr>
      <w:r w:rsidRPr="00F23EEB">
        <w:rPr>
          <w:rFonts w:eastAsia="Calibri"/>
          <w:sz w:val="22"/>
          <w:szCs w:val="22"/>
          <w:lang w:val="sr-Latn-ME"/>
        </w:rPr>
        <w:t>fax: +382 (0) 20 310 581</w:t>
      </w:r>
      <w:r w:rsidRPr="00F23EEB">
        <w:rPr>
          <w:rFonts w:eastAsia="Calibri"/>
          <w:sz w:val="22"/>
          <w:szCs w:val="22"/>
          <w:lang w:val="sr-Latn-ME"/>
        </w:rPr>
        <w:tab/>
      </w:r>
    </w:p>
    <w:p w14:paraId="33F3878E" w14:textId="77777777" w:rsidR="00B85559" w:rsidRPr="00F23EEB" w:rsidRDefault="00B85559" w:rsidP="00F23EEB">
      <w:pPr>
        <w:pStyle w:val="NoSpacing"/>
        <w:widowControl w:val="0"/>
        <w:jc w:val="both"/>
        <w:rPr>
          <w:rFonts w:eastAsia="Calibri"/>
          <w:sz w:val="22"/>
          <w:szCs w:val="22"/>
          <w:lang w:val="sr-Latn-ME"/>
        </w:rPr>
      </w:pPr>
      <w:hyperlink r:id="rId8" w:history="1">
        <w:r w:rsidRPr="00F23EEB">
          <w:rPr>
            <w:rStyle w:val="Hyperlink"/>
            <w:rFonts w:eastAsia="Calibri"/>
            <w:sz w:val="22"/>
            <w:szCs w:val="22"/>
            <w:lang w:val="sr-Latn-ME"/>
          </w:rPr>
          <w:t>www.cinmed.me</w:t>
        </w:r>
      </w:hyperlink>
    </w:p>
    <w:p w14:paraId="20A41D97" w14:textId="77777777" w:rsidR="00B85559" w:rsidRPr="00F23EEB" w:rsidRDefault="00B85559" w:rsidP="00F23EEB">
      <w:pPr>
        <w:pStyle w:val="NoSpacing"/>
        <w:widowControl w:val="0"/>
        <w:jc w:val="both"/>
        <w:rPr>
          <w:rFonts w:eastAsia="Calibri"/>
          <w:color w:val="0000FF"/>
          <w:sz w:val="22"/>
          <w:szCs w:val="22"/>
          <w:u w:val="single"/>
          <w:lang w:val="sr-Latn-ME"/>
        </w:rPr>
      </w:pPr>
      <w:hyperlink r:id="rId9" w:history="1">
        <w:r w:rsidRPr="00F23EEB">
          <w:rPr>
            <w:rStyle w:val="Hyperlink"/>
            <w:rFonts w:eastAsia="Calibri"/>
            <w:sz w:val="22"/>
            <w:szCs w:val="22"/>
            <w:lang w:val="sr-Latn-ME"/>
          </w:rPr>
          <w:t>nezeljenadejstva@cinmed.me</w:t>
        </w:r>
      </w:hyperlink>
    </w:p>
    <w:p w14:paraId="530FFCE0" w14:textId="77777777" w:rsidR="00B85559" w:rsidRPr="00F23EEB" w:rsidRDefault="00B85559" w:rsidP="00F23EEB">
      <w:pPr>
        <w:pStyle w:val="NoSpacing"/>
        <w:widowControl w:val="0"/>
        <w:jc w:val="both"/>
        <w:rPr>
          <w:rFonts w:eastAsia="Calibri"/>
          <w:sz w:val="22"/>
          <w:szCs w:val="22"/>
          <w:lang w:val="sr-Latn-ME"/>
        </w:rPr>
      </w:pPr>
      <w:r w:rsidRPr="00F23EEB">
        <w:rPr>
          <w:rFonts w:eastAsia="Calibri"/>
          <w:sz w:val="22"/>
          <w:szCs w:val="22"/>
          <w:lang w:val="sr-Latn-ME"/>
        </w:rPr>
        <w:t>putem IS zdravstvene zaštite</w:t>
      </w:r>
    </w:p>
    <w:p w14:paraId="2765011B" w14:textId="77777777" w:rsidR="00B85559" w:rsidRPr="00F23EEB" w:rsidRDefault="00B85559" w:rsidP="00F23EEB">
      <w:pPr>
        <w:pStyle w:val="NoSpacing"/>
        <w:widowControl w:val="0"/>
        <w:jc w:val="both"/>
        <w:rPr>
          <w:rFonts w:eastAsia="Calibri"/>
          <w:sz w:val="22"/>
          <w:szCs w:val="22"/>
          <w:lang w:val="sr-Latn-ME"/>
        </w:rPr>
      </w:pPr>
      <w:r w:rsidRPr="00F23EEB">
        <w:rPr>
          <w:rFonts w:eastAsia="Calibri"/>
          <w:sz w:val="22"/>
          <w:szCs w:val="22"/>
          <w:lang w:val="sr-Latn-ME"/>
        </w:rPr>
        <w:t>QR kod za online prijavu sumnje na neželjeno dejstvo lijeka:</w:t>
      </w:r>
    </w:p>
    <w:p w14:paraId="68E83994" w14:textId="77777777" w:rsidR="00B85559" w:rsidRPr="00F23EEB" w:rsidRDefault="00B85559" w:rsidP="00F23EEB">
      <w:pPr>
        <w:pStyle w:val="NoSpacing"/>
        <w:widowControl w:val="0"/>
        <w:jc w:val="both"/>
        <w:rPr>
          <w:rFonts w:eastAsia="Calibri"/>
          <w:sz w:val="22"/>
          <w:szCs w:val="22"/>
          <w:lang w:val="sr-Latn-ME"/>
        </w:rPr>
      </w:pPr>
    </w:p>
    <w:p w14:paraId="2FF5DBA0" w14:textId="77777777" w:rsidR="00B85559" w:rsidRPr="00F23EEB" w:rsidRDefault="00B85559" w:rsidP="00F23EEB">
      <w:pPr>
        <w:widowControl w:val="0"/>
        <w:tabs>
          <w:tab w:val="left" w:pos="540"/>
          <w:tab w:val="left" w:pos="569"/>
        </w:tabs>
        <w:jc w:val="both"/>
        <w:rPr>
          <w:b/>
          <w:bCs/>
          <w:sz w:val="22"/>
          <w:szCs w:val="22"/>
          <w:lang w:val="sr-Latn-ME"/>
        </w:rPr>
      </w:pPr>
      <w:r w:rsidRPr="00F23EEB">
        <w:rPr>
          <w:b/>
          <w:bCs/>
          <w:sz w:val="22"/>
          <w:szCs w:val="22"/>
          <w:lang w:val="sr-Latn-ME" w:eastAsia="sr-Latn-ME"/>
        </w:rPr>
        <w:drawing>
          <wp:inline distT="0" distB="0" distL="0" distR="0" wp14:anchorId="05F76272" wp14:editId="7E88504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3817711" w14:textId="77777777" w:rsidR="00836B35" w:rsidRPr="00F23EEB" w:rsidRDefault="00836B35" w:rsidP="00F23EEB">
      <w:pPr>
        <w:pStyle w:val="NoSpacing"/>
        <w:widowControl w:val="0"/>
        <w:jc w:val="both"/>
        <w:rPr>
          <w:lang w:val="sr-Latn-ME"/>
        </w:rPr>
      </w:pPr>
    </w:p>
    <w:p w14:paraId="08C194BC" w14:textId="77777777" w:rsidR="00CD6F02"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4.9. </w:t>
      </w:r>
      <w:r w:rsidR="00480FB1" w:rsidRPr="00F23EEB">
        <w:rPr>
          <w:b/>
          <w:bCs/>
          <w:sz w:val="22"/>
          <w:szCs w:val="22"/>
          <w:lang w:val="sr-Latn-ME"/>
        </w:rPr>
        <w:tab/>
      </w:r>
      <w:r w:rsidRPr="00F23EEB">
        <w:rPr>
          <w:b/>
          <w:bCs/>
          <w:sz w:val="22"/>
          <w:szCs w:val="22"/>
          <w:lang w:val="sr-Latn-ME"/>
        </w:rPr>
        <w:t>Predoziranje</w:t>
      </w:r>
      <w:r w:rsidR="002846DB" w:rsidRPr="00F23EEB">
        <w:rPr>
          <w:b/>
          <w:bCs/>
          <w:sz w:val="22"/>
          <w:szCs w:val="22"/>
          <w:lang w:val="sr-Latn-ME"/>
        </w:rPr>
        <w:t xml:space="preserve"> </w:t>
      </w:r>
    </w:p>
    <w:p w14:paraId="05739457" w14:textId="7A1CD82A" w:rsidR="00CD6F02" w:rsidRPr="00F23EEB" w:rsidRDefault="00CD6F02" w:rsidP="00F23EEB">
      <w:pPr>
        <w:widowControl w:val="0"/>
        <w:tabs>
          <w:tab w:val="left" w:pos="540"/>
          <w:tab w:val="left" w:pos="569"/>
        </w:tabs>
        <w:jc w:val="both"/>
        <w:rPr>
          <w:sz w:val="22"/>
          <w:szCs w:val="22"/>
          <w:lang w:val="sr-Latn-ME"/>
        </w:rPr>
      </w:pPr>
    </w:p>
    <w:p w14:paraId="1408C941" w14:textId="40FA7426" w:rsidR="00CB3A86" w:rsidRPr="00F23EEB" w:rsidRDefault="00CB3A86" w:rsidP="00F23EEB">
      <w:pPr>
        <w:widowControl w:val="0"/>
        <w:tabs>
          <w:tab w:val="left" w:pos="540"/>
          <w:tab w:val="left" w:pos="569"/>
        </w:tabs>
        <w:jc w:val="both"/>
        <w:rPr>
          <w:sz w:val="22"/>
          <w:szCs w:val="22"/>
          <w:lang w:val="sr-Latn-ME"/>
        </w:rPr>
      </w:pPr>
      <w:r w:rsidRPr="00F23EEB">
        <w:rPr>
          <w:sz w:val="22"/>
          <w:szCs w:val="22"/>
          <w:lang w:val="sr-Latn-ME"/>
        </w:rPr>
        <w:t>Simptomi:</w:t>
      </w:r>
    </w:p>
    <w:p w14:paraId="301D709F" w14:textId="35D4E195" w:rsidR="00CB3A86" w:rsidRPr="00F23EEB" w:rsidRDefault="00CB3A86" w:rsidP="00F23EEB">
      <w:pPr>
        <w:widowControl w:val="0"/>
        <w:tabs>
          <w:tab w:val="left" w:pos="540"/>
          <w:tab w:val="left" w:pos="569"/>
        </w:tabs>
        <w:jc w:val="both"/>
        <w:rPr>
          <w:sz w:val="22"/>
          <w:szCs w:val="22"/>
          <w:lang w:val="sr-Latn-ME"/>
        </w:rPr>
      </w:pPr>
      <w:r w:rsidRPr="00F23EEB">
        <w:rPr>
          <w:sz w:val="22"/>
          <w:szCs w:val="22"/>
          <w:lang w:val="sr-Latn-ME"/>
        </w:rPr>
        <w:t>Slučajevi predoziranja aluminijumovim solima mogu se pojaviti kod pacijenata sa teškom hroničnom insuficijencijom bubrega i to sa sl</w:t>
      </w:r>
      <w:r w:rsidR="004D42A1" w:rsidRPr="00F23EEB">
        <w:rPr>
          <w:sz w:val="22"/>
          <w:szCs w:val="22"/>
          <w:lang w:val="sr-Latn-ME"/>
        </w:rPr>
        <w:t>j</w:t>
      </w:r>
      <w:r w:rsidRPr="00F23EEB">
        <w:rPr>
          <w:sz w:val="22"/>
          <w:szCs w:val="22"/>
          <w:lang w:val="sr-Latn-ME"/>
        </w:rPr>
        <w:t>edećim simptomima: encefalopatija, konvulzije i demencija.</w:t>
      </w:r>
    </w:p>
    <w:p w14:paraId="74764B77" w14:textId="77777777" w:rsidR="00CB3A86" w:rsidRPr="00F23EEB" w:rsidRDefault="00CB3A86" w:rsidP="00F23EEB">
      <w:pPr>
        <w:widowControl w:val="0"/>
        <w:tabs>
          <w:tab w:val="left" w:pos="540"/>
          <w:tab w:val="left" w:pos="569"/>
        </w:tabs>
        <w:jc w:val="both"/>
        <w:rPr>
          <w:sz w:val="22"/>
          <w:szCs w:val="22"/>
          <w:lang w:val="sr-Latn-ME"/>
        </w:rPr>
      </w:pPr>
    </w:p>
    <w:p w14:paraId="793A0DE9" w14:textId="77777777" w:rsidR="00CB3A86" w:rsidRPr="00F23EEB" w:rsidRDefault="00CB3A86" w:rsidP="00F23EEB">
      <w:pPr>
        <w:widowControl w:val="0"/>
        <w:tabs>
          <w:tab w:val="left" w:pos="540"/>
          <w:tab w:val="left" w:pos="569"/>
        </w:tabs>
        <w:jc w:val="both"/>
        <w:rPr>
          <w:sz w:val="22"/>
          <w:szCs w:val="22"/>
          <w:lang w:val="sr-Latn-ME"/>
        </w:rPr>
      </w:pPr>
      <w:r w:rsidRPr="00F23EEB">
        <w:rPr>
          <w:sz w:val="22"/>
          <w:szCs w:val="22"/>
          <w:lang w:val="sr-Latn-ME"/>
        </w:rPr>
        <w:t>Terapija:</w:t>
      </w:r>
    </w:p>
    <w:p w14:paraId="3E0E8F3E" w14:textId="3F6B5089" w:rsidR="00227BDB" w:rsidRPr="00F23EEB" w:rsidRDefault="00CB3A86" w:rsidP="00F23EEB">
      <w:pPr>
        <w:widowControl w:val="0"/>
        <w:tabs>
          <w:tab w:val="left" w:pos="540"/>
          <w:tab w:val="left" w:pos="569"/>
        </w:tabs>
        <w:jc w:val="both"/>
        <w:rPr>
          <w:sz w:val="22"/>
          <w:szCs w:val="22"/>
          <w:lang w:val="sr-Latn-ME"/>
        </w:rPr>
      </w:pPr>
      <w:r w:rsidRPr="00F23EEB">
        <w:rPr>
          <w:sz w:val="22"/>
          <w:szCs w:val="22"/>
          <w:lang w:val="sr-Latn-ME"/>
        </w:rPr>
        <w:t>U slučajevima predoziranja terapija treba da bude simptomatska sa uobičajenim suportivnim m</w:t>
      </w:r>
      <w:r w:rsidR="004D42A1" w:rsidRPr="00F23EEB">
        <w:rPr>
          <w:sz w:val="22"/>
          <w:szCs w:val="22"/>
          <w:lang w:val="sr-Latn-ME"/>
        </w:rPr>
        <w:t>j</w:t>
      </w:r>
      <w:r w:rsidRPr="00F23EEB">
        <w:rPr>
          <w:sz w:val="22"/>
          <w:szCs w:val="22"/>
          <w:lang w:val="sr-Latn-ME"/>
        </w:rPr>
        <w:t>erama.</w:t>
      </w:r>
    </w:p>
    <w:p w14:paraId="53B5A6BF" w14:textId="77777777" w:rsidR="00E53F83" w:rsidRPr="00F23EEB" w:rsidRDefault="00E53F83" w:rsidP="00F23EEB">
      <w:pPr>
        <w:widowControl w:val="0"/>
        <w:tabs>
          <w:tab w:val="left" w:pos="540"/>
          <w:tab w:val="left" w:pos="569"/>
        </w:tabs>
        <w:jc w:val="both"/>
        <w:rPr>
          <w:sz w:val="22"/>
          <w:szCs w:val="22"/>
          <w:lang w:val="sr-Latn-ME"/>
        </w:rPr>
      </w:pPr>
    </w:p>
    <w:p w14:paraId="15B166A1" w14:textId="77777777" w:rsidR="00E53F83" w:rsidRPr="00F23EEB" w:rsidRDefault="00E53F83" w:rsidP="00F23EEB">
      <w:pPr>
        <w:widowControl w:val="0"/>
        <w:tabs>
          <w:tab w:val="left" w:pos="540"/>
          <w:tab w:val="left" w:pos="569"/>
        </w:tabs>
        <w:jc w:val="both"/>
        <w:rPr>
          <w:b/>
          <w:bCs/>
          <w:sz w:val="22"/>
          <w:szCs w:val="22"/>
          <w:lang w:val="sr-Latn-ME"/>
        </w:rPr>
      </w:pPr>
    </w:p>
    <w:p w14:paraId="4F9A1BDC"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5. </w:t>
      </w:r>
      <w:r w:rsidR="00480FB1" w:rsidRPr="00F23EEB">
        <w:rPr>
          <w:b/>
          <w:bCs/>
          <w:sz w:val="22"/>
          <w:szCs w:val="22"/>
          <w:lang w:val="sr-Latn-ME"/>
        </w:rPr>
        <w:tab/>
      </w:r>
      <w:r w:rsidRPr="00F23EEB">
        <w:rPr>
          <w:b/>
          <w:bCs/>
          <w:sz w:val="22"/>
          <w:szCs w:val="22"/>
          <w:lang w:val="sr-Latn-ME"/>
        </w:rPr>
        <w:t>FARMAKOLOŠK</w:t>
      </w:r>
      <w:r w:rsidR="000D425A" w:rsidRPr="00F23EEB">
        <w:rPr>
          <w:b/>
          <w:bCs/>
          <w:sz w:val="22"/>
          <w:szCs w:val="22"/>
          <w:lang w:val="sr-Latn-ME"/>
        </w:rPr>
        <w:t>I</w:t>
      </w:r>
      <w:r w:rsidRPr="00F23EEB">
        <w:rPr>
          <w:b/>
          <w:bCs/>
          <w:sz w:val="22"/>
          <w:szCs w:val="22"/>
          <w:lang w:val="sr-Latn-ME"/>
        </w:rPr>
        <w:t xml:space="preserve"> PODACI</w:t>
      </w:r>
    </w:p>
    <w:p w14:paraId="662B94B2" w14:textId="2B04BFF6" w:rsidR="0072020E" w:rsidRPr="00F23EEB" w:rsidRDefault="0072020E" w:rsidP="00F23EEB">
      <w:pPr>
        <w:widowControl w:val="0"/>
        <w:tabs>
          <w:tab w:val="left" w:pos="540"/>
          <w:tab w:val="left" w:pos="569"/>
        </w:tabs>
        <w:jc w:val="both"/>
        <w:rPr>
          <w:sz w:val="22"/>
          <w:szCs w:val="22"/>
          <w:lang w:val="sr-Latn-ME"/>
        </w:rPr>
      </w:pPr>
    </w:p>
    <w:p w14:paraId="70451D47" w14:textId="77777777" w:rsidR="008524B7" w:rsidRPr="00F23EEB" w:rsidRDefault="008524B7" w:rsidP="00F23EEB">
      <w:pPr>
        <w:widowControl w:val="0"/>
        <w:tabs>
          <w:tab w:val="left" w:pos="540"/>
          <w:tab w:val="left" w:pos="569"/>
        </w:tabs>
        <w:jc w:val="both"/>
        <w:rPr>
          <w:sz w:val="22"/>
          <w:szCs w:val="22"/>
          <w:lang w:val="sr-Latn-ME"/>
        </w:rPr>
      </w:pPr>
    </w:p>
    <w:p w14:paraId="30F45F56"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5.1. </w:t>
      </w:r>
      <w:r w:rsidR="00480FB1" w:rsidRPr="00F23EEB">
        <w:rPr>
          <w:b/>
          <w:bCs/>
          <w:sz w:val="22"/>
          <w:szCs w:val="22"/>
          <w:lang w:val="sr-Latn-ME"/>
        </w:rPr>
        <w:tab/>
      </w:r>
      <w:r w:rsidRPr="00F23EEB">
        <w:rPr>
          <w:b/>
          <w:bCs/>
          <w:sz w:val="22"/>
          <w:szCs w:val="22"/>
          <w:lang w:val="sr-Latn-ME"/>
        </w:rPr>
        <w:t>Farmakodinamski podaci</w:t>
      </w:r>
      <w:r w:rsidR="003A7059" w:rsidRPr="00F23EEB">
        <w:rPr>
          <w:b/>
          <w:bCs/>
          <w:sz w:val="22"/>
          <w:szCs w:val="22"/>
          <w:lang w:val="sr-Latn-ME"/>
        </w:rPr>
        <w:t xml:space="preserve"> </w:t>
      </w:r>
    </w:p>
    <w:p w14:paraId="29FA2496" w14:textId="77777777" w:rsidR="00F45F77" w:rsidRPr="00F23EEB" w:rsidRDefault="00F45F77" w:rsidP="00F23EEB">
      <w:pPr>
        <w:widowControl w:val="0"/>
        <w:tabs>
          <w:tab w:val="left" w:pos="540"/>
          <w:tab w:val="left" w:pos="569"/>
        </w:tabs>
        <w:jc w:val="both"/>
        <w:rPr>
          <w:b/>
          <w:bCs/>
          <w:sz w:val="22"/>
          <w:szCs w:val="22"/>
          <w:lang w:val="sr-Latn-ME"/>
        </w:rPr>
      </w:pPr>
    </w:p>
    <w:p w14:paraId="7C5A46C3" w14:textId="1BA36728" w:rsidR="0072020E" w:rsidRPr="00F23EEB" w:rsidRDefault="0072020E" w:rsidP="00F23EEB">
      <w:pPr>
        <w:widowControl w:val="0"/>
        <w:tabs>
          <w:tab w:val="left" w:pos="540"/>
          <w:tab w:val="left" w:pos="569"/>
        </w:tabs>
        <w:jc w:val="both"/>
        <w:rPr>
          <w:bCs/>
          <w:sz w:val="22"/>
          <w:szCs w:val="22"/>
          <w:lang w:val="sr-Latn-ME"/>
        </w:rPr>
      </w:pPr>
      <w:r w:rsidRPr="00F23EEB">
        <w:rPr>
          <w:bCs/>
          <w:sz w:val="22"/>
          <w:szCs w:val="22"/>
          <w:lang w:val="sr-Latn-ME"/>
        </w:rPr>
        <w:t>Farmakoterapijska grupa:</w:t>
      </w:r>
      <w:r w:rsidR="008524B7" w:rsidRPr="00F23EEB">
        <w:rPr>
          <w:bCs/>
          <w:sz w:val="22"/>
          <w:szCs w:val="22"/>
          <w:lang w:val="sr-Latn-ME"/>
        </w:rPr>
        <w:t xml:space="preserve"> Ljekovi za poremećaje aciditeta; antacidi; kombinacije i kompleksi jedinjenja aluminijuma, kalcijuma i magnezijuma.</w:t>
      </w:r>
    </w:p>
    <w:p w14:paraId="2E59907D" w14:textId="77777777" w:rsidR="0072020E" w:rsidRPr="00F23EEB" w:rsidRDefault="0072020E" w:rsidP="00F23EEB">
      <w:pPr>
        <w:widowControl w:val="0"/>
        <w:tabs>
          <w:tab w:val="left" w:pos="540"/>
          <w:tab w:val="left" w:pos="569"/>
        </w:tabs>
        <w:jc w:val="both"/>
        <w:rPr>
          <w:bCs/>
          <w:sz w:val="22"/>
          <w:szCs w:val="22"/>
          <w:lang w:val="sr-Latn-ME"/>
        </w:rPr>
      </w:pPr>
    </w:p>
    <w:p w14:paraId="3D08E9BF" w14:textId="793D8105" w:rsidR="0072020E" w:rsidRPr="00F23EEB" w:rsidRDefault="0072020E" w:rsidP="00F23EEB">
      <w:pPr>
        <w:widowControl w:val="0"/>
        <w:tabs>
          <w:tab w:val="left" w:pos="540"/>
          <w:tab w:val="left" w:pos="569"/>
        </w:tabs>
        <w:jc w:val="both"/>
        <w:rPr>
          <w:bCs/>
          <w:sz w:val="22"/>
          <w:szCs w:val="22"/>
          <w:lang w:val="sr-Latn-ME"/>
        </w:rPr>
      </w:pPr>
      <w:r w:rsidRPr="00F23EEB">
        <w:rPr>
          <w:bCs/>
          <w:sz w:val="22"/>
          <w:szCs w:val="22"/>
          <w:lang w:val="sr-Latn-ME"/>
        </w:rPr>
        <w:t>ATC kod:</w:t>
      </w:r>
      <w:r w:rsidR="008524B7" w:rsidRPr="00F23EEB">
        <w:rPr>
          <w:bCs/>
          <w:sz w:val="22"/>
          <w:szCs w:val="22"/>
          <w:lang w:val="sr-Latn-ME"/>
        </w:rPr>
        <w:t xml:space="preserve"> A02AD02</w:t>
      </w:r>
    </w:p>
    <w:p w14:paraId="478B9A9F" w14:textId="51B79EB3" w:rsidR="008524B7" w:rsidRPr="00F23EEB" w:rsidRDefault="008524B7" w:rsidP="00F23EEB">
      <w:pPr>
        <w:widowControl w:val="0"/>
        <w:tabs>
          <w:tab w:val="left" w:pos="540"/>
          <w:tab w:val="left" w:pos="569"/>
        </w:tabs>
        <w:jc w:val="both"/>
        <w:rPr>
          <w:bCs/>
          <w:sz w:val="22"/>
          <w:szCs w:val="22"/>
          <w:lang w:val="sr-Latn-ME"/>
        </w:rPr>
      </w:pPr>
    </w:p>
    <w:p w14:paraId="101305EF" w14:textId="77777777"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Aktivnost magaldrata zasniva se na brzoj regulaciji želudačne kiseline. Riopan ima sposobnost da neutrališe kiselost. Smanjuje količinu kiseline uz istovremeno vezivanje pepsina, žučnih soli i dozno i pH zavisnog lizolecitina usljed čega se eliminiše agresivni efekat želudačne kiseline.</w:t>
      </w:r>
    </w:p>
    <w:p w14:paraId="44D76DA7" w14:textId="77777777" w:rsidR="008524B7" w:rsidRPr="00F23EEB" w:rsidRDefault="008524B7" w:rsidP="00F23EEB">
      <w:pPr>
        <w:widowControl w:val="0"/>
        <w:tabs>
          <w:tab w:val="left" w:pos="540"/>
          <w:tab w:val="left" w:pos="569"/>
        </w:tabs>
        <w:jc w:val="both"/>
        <w:rPr>
          <w:bCs/>
          <w:sz w:val="22"/>
          <w:szCs w:val="22"/>
          <w:lang w:val="sr-Latn-ME"/>
        </w:rPr>
      </w:pPr>
    </w:p>
    <w:p w14:paraId="1796729E" w14:textId="77777777"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Riopan je antacid slojevite rešetkaste strukture, sa malo natrijuma i ne sadrži šećer. Antacidna aktivnost se pripisuje vezivanju protona od strane sulfatnih i hidroksidnih jona intersticijalne rešetkaste osnove, koja se razbija u procesu neutralizacije. Magaldrat, aktivna supstanca lijeka Riopan, je stabilna monosupstanca sa definisanom kristalnom strukturom (rešetkasta osnova). U jednom molekulu sadrži i aluminijum i magnezijum hidroksid. Magaldrat nema uticaj na motilitet želuca.</w:t>
      </w:r>
    </w:p>
    <w:p w14:paraId="01B7CDCD" w14:textId="77777777" w:rsidR="008524B7" w:rsidRPr="00F23EEB" w:rsidRDefault="008524B7" w:rsidP="00F23EEB">
      <w:pPr>
        <w:widowControl w:val="0"/>
        <w:tabs>
          <w:tab w:val="left" w:pos="540"/>
          <w:tab w:val="left" w:pos="569"/>
        </w:tabs>
        <w:jc w:val="both"/>
        <w:rPr>
          <w:bCs/>
          <w:sz w:val="22"/>
          <w:szCs w:val="22"/>
          <w:lang w:val="sr-Latn-ME"/>
        </w:rPr>
      </w:pPr>
    </w:p>
    <w:p w14:paraId="0C502A2C" w14:textId="5FBFC9E9" w:rsidR="008524B7" w:rsidRPr="00F23EEB" w:rsidRDefault="008524B7" w:rsidP="00F23EEB">
      <w:pPr>
        <w:widowControl w:val="0"/>
        <w:tabs>
          <w:tab w:val="left" w:pos="540"/>
          <w:tab w:val="left" w:pos="569"/>
        </w:tabs>
        <w:jc w:val="both"/>
        <w:rPr>
          <w:bCs/>
          <w:sz w:val="22"/>
          <w:szCs w:val="22"/>
          <w:lang w:val="sr-Latn-ME"/>
        </w:rPr>
      </w:pPr>
      <w:r w:rsidRPr="00F23EEB">
        <w:rPr>
          <w:bCs/>
          <w:sz w:val="22"/>
          <w:szCs w:val="22"/>
          <w:lang w:val="sr-Latn-ME"/>
        </w:rPr>
        <w:t>800</w:t>
      </w:r>
      <w:r w:rsidR="00F23EEB" w:rsidRPr="00F23EEB">
        <w:rPr>
          <w:bCs/>
          <w:sz w:val="22"/>
          <w:szCs w:val="22"/>
          <w:lang w:val="sr-Latn-ME"/>
        </w:rPr>
        <w:t xml:space="preserve"> </w:t>
      </w:r>
      <w:r w:rsidRPr="00F23EEB">
        <w:rPr>
          <w:bCs/>
          <w:sz w:val="22"/>
          <w:szCs w:val="22"/>
          <w:lang w:val="sr-Latn-ME"/>
        </w:rPr>
        <w:t>mg magaldrata, bezvodnog, neutrališe oko 18 do 25mmol hlorovodonične kiseline. Kako se želudačna pH vrijednost održava između 3 i 5, u prosjeku za 20 do 40 minuta, zavisno od načina primjene terapijski optimalne doze, magaldrat ne dovodi do povećanja sadržaja kiseline.</w:t>
      </w:r>
    </w:p>
    <w:p w14:paraId="19FC122A" w14:textId="77777777" w:rsidR="002E37A5" w:rsidRPr="00F23EEB" w:rsidRDefault="002E37A5" w:rsidP="00F23EEB">
      <w:pPr>
        <w:widowControl w:val="0"/>
        <w:tabs>
          <w:tab w:val="left" w:pos="540"/>
          <w:tab w:val="left" w:pos="569"/>
        </w:tabs>
        <w:jc w:val="both"/>
        <w:rPr>
          <w:b/>
          <w:bCs/>
          <w:sz w:val="22"/>
          <w:szCs w:val="22"/>
          <w:lang w:val="sr-Latn-ME"/>
        </w:rPr>
      </w:pPr>
    </w:p>
    <w:p w14:paraId="76519D90"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5.2. </w:t>
      </w:r>
      <w:r w:rsidR="00480FB1" w:rsidRPr="00F23EEB">
        <w:rPr>
          <w:b/>
          <w:bCs/>
          <w:sz w:val="22"/>
          <w:szCs w:val="22"/>
          <w:lang w:val="sr-Latn-ME"/>
        </w:rPr>
        <w:tab/>
      </w:r>
      <w:r w:rsidRPr="00F23EEB">
        <w:rPr>
          <w:b/>
          <w:bCs/>
          <w:sz w:val="22"/>
          <w:szCs w:val="22"/>
          <w:lang w:val="sr-Latn-ME"/>
        </w:rPr>
        <w:t>Farmakokinetički podaci</w:t>
      </w:r>
      <w:r w:rsidR="003A7059" w:rsidRPr="00F23EEB">
        <w:rPr>
          <w:b/>
          <w:bCs/>
          <w:sz w:val="22"/>
          <w:szCs w:val="22"/>
          <w:lang w:val="sr-Latn-ME"/>
        </w:rPr>
        <w:t xml:space="preserve"> </w:t>
      </w:r>
    </w:p>
    <w:p w14:paraId="34168204" w14:textId="30AD51AC" w:rsidR="0072020E" w:rsidRPr="00F23EEB" w:rsidRDefault="0072020E" w:rsidP="00F23EEB">
      <w:pPr>
        <w:widowControl w:val="0"/>
        <w:tabs>
          <w:tab w:val="left" w:pos="540"/>
          <w:tab w:val="left" w:pos="569"/>
        </w:tabs>
        <w:jc w:val="both"/>
        <w:rPr>
          <w:bCs/>
          <w:sz w:val="22"/>
          <w:szCs w:val="22"/>
          <w:lang w:val="sr-Latn-ME"/>
        </w:rPr>
      </w:pPr>
    </w:p>
    <w:p w14:paraId="4A8860B6" w14:textId="77777777" w:rsidR="008524B7" w:rsidRPr="00F23EEB" w:rsidRDefault="008524B7" w:rsidP="00F23EEB">
      <w:pPr>
        <w:widowControl w:val="0"/>
        <w:autoSpaceDE w:val="0"/>
        <w:autoSpaceDN w:val="0"/>
        <w:adjustRightInd w:val="0"/>
        <w:jc w:val="both"/>
        <w:rPr>
          <w:bCs/>
          <w:i/>
          <w:color w:val="000000"/>
          <w:sz w:val="22"/>
          <w:szCs w:val="22"/>
          <w:lang w:val="sr-Latn-ME"/>
        </w:rPr>
      </w:pPr>
      <w:r w:rsidRPr="00F23EEB">
        <w:rPr>
          <w:bCs/>
          <w:i/>
          <w:color w:val="000000"/>
          <w:sz w:val="22"/>
          <w:szCs w:val="22"/>
          <w:lang w:val="sr-Latn-ME"/>
        </w:rPr>
        <w:t>Opšta farmakokinetika</w:t>
      </w:r>
    </w:p>
    <w:p w14:paraId="6CF2F131" w14:textId="77777777" w:rsidR="008524B7" w:rsidRPr="00F23EEB" w:rsidRDefault="008524B7" w:rsidP="00F23EEB">
      <w:pPr>
        <w:widowControl w:val="0"/>
        <w:autoSpaceDE w:val="0"/>
        <w:autoSpaceDN w:val="0"/>
        <w:adjustRightInd w:val="0"/>
        <w:jc w:val="both"/>
        <w:rPr>
          <w:color w:val="000000"/>
          <w:sz w:val="22"/>
          <w:szCs w:val="22"/>
          <w:lang w:val="sr-Latn-ME"/>
        </w:rPr>
      </w:pPr>
    </w:p>
    <w:p w14:paraId="3F1BE527"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Magaldrat se ne resorbuje iz gastrointestinalnog trakta. U toku procesa neutralizacije oslobađaju se male količine jona magnezijuma i aluminijuma koji se tokom transporta kroz crijeva pretvaraju u nedovoljno rastvorljive fosfate i kao takvi se izlučuju stolicom. Dio katjona se resorbuje. Povremeno je, čak i kod pacijenata sa zdravim bubrezima, uočavano blago povećanje koncentracije aluminijuma. Dugotrajna primjena antacida koji sadrže aluminijum može da dovede do smanjenja resorpcije fosfata.</w:t>
      </w:r>
    </w:p>
    <w:p w14:paraId="2C32E8DA" w14:textId="77777777" w:rsidR="008524B7" w:rsidRPr="00F23EEB" w:rsidRDefault="008524B7" w:rsidP="00F23EEB">
      <w:pPr>
        <w:widowControl w:val="0"/>
        <w:autoSpaceDE w:val="0"/>
        <w:autoSpaceDN w:val="0"/>
        <w:adjustRightInd w:val="0"/>
        <w:jc w:val="both"/>
        <w:rPr>
          <w:color w:val="000000"/>
          <w:sz w:val="22"/>
          <w:szCs w:val="22"/>
          <w:lang w:val="sr-Latn-ME"/>
        </w:rPr>
      </w:pPr>
    </w:p>
    <w:p w14:paraId="381BCB50" w14:textId="77777777" w:rsidR="008524B7" w:rsidRPr="00F23EEB" w:rsidRDefault="008524B7" w:rsidP="00F23EEB">
      <w:pPr>
        <w:widowControl w:val="0"/>
        <w:autoSpaceDE w:val="0"/>
        <w:autoSpaceDN w:val="0"/>
        <w:adjustRightInd w:val="0"/>
        <w:jc w:val="both"/>
        <w:rPr>
          <w:bCs/>
          <w:i/>
          <w:color w:val="000000"/>
          <w:sz w:val="22"/>
          <w:szCs w:val="22"/>
          <w:lang w:val="sr-Latn-ME"/>
        </w:rPr>
      </w:pPr>
      <w:r w:rsidRPr="00F23EEB">
        <w:rPr>
          <w:bCs/>
          <w:i/>
          <w:color w:val="000000"/>
          <w:sz w:val="22"/>
          <w:szCs w:val="22"/>
          <w:lang w:val="sr-Latn-ME"/>
        </w:rPr>
        <w:t>Farmakokinetika kod pacijenata / u posebnim grupama pacijenata</w:t>
      </w:r>
    </w:p>
    <w:p w14:paraId="1D5386EB" w14:textId="77777777" w:rsidR="008524B7" w:rsidRPr="00F23EEB" w:rsidRDefault="008524B7" w:rsidP="00F23EEB">
      <w:pPr>
        <w:widowControl w:val="0"/>
        <w:autoSpaceDE w:val="0"/>
        <w:autoSpaceDN w:val="0"/>
        <w:adjustRightInd w:val="0"/>
        <w:jc w:val="both"/>
        <w:rPr>
          <w:color w:val="000000"/>
          <w:sz w:val="22"/>
          <w:szCs w:val="22"/>
          <w:lang w:val="sr-Latn-ME"/>
        </w:rPr>
      </w:pPr>
    </w:p>
    <w:p w14:paraId="286BAA75" w14:textId="77777777" w:rsidR="008524B7" w:rsidRPr="00F23EEB" w:rsidRDefault="008524B7" w:rsidP="00F23EEB">
      <w:pPr>
        <w:pStyle w:val="BodyText3"/>
        <w:widowControl w:val="0"/>
        <w:tabs>
          <w:tab w:val="left" w:pos="567"/>
        </w:tabs>
        <w:spacing w:after="0"/>
        <w:rPr>
          <w:rFonts w:ascii="Times New Roman" w:hAnsi="Times New Roman"/>
          <w:noProof w:val="0"/>
          <w:color w:val="000000"/>
          <w:sz w:val="22"/>
          <w:szCs w:val="22"/>
        </w:rPr>
      </w:pPr>
      <w:r w:rsidRPr="00F23EEB">
        <w:rPr>
          <w:rFonts w:ascii="Times New Roman" w:hAnsi="Times New Roman"/>
          <w:noProof w:val="0"/>
          <w:color w:val="000000"/>
          <w:sz w:val="22"/>
          <w:szCs w:val="22"/>
        </w:rPr>
        <w:t xml:space="preserve">Zbog moguće veze između povećanja koncentracije aluminijuma u serumu i razvoja encefalitisa, </w:t>
      </w:r>
      <w:r w:rsidRPr="00F23EEB">
        <w:rPr>
          <w:rFonts w:ascii="Times New Roman" w:hAnsi="Times New Roman"/>
          <w:noProof w:val="0"/>
          <w:color w:val="000000"/>
          <w:sz w:val="22"/>
          <w:szCs w:val="22"/>
        </w:rPr>
        <w:lastRenderedPageBreak/>
        <w:t>poseban oprez je potreban kod pacijenata na dijalizi. Kod dugotrajne primjene potrebna je redovna kontrola koncentracije aluminijuma u krvi koja ne smije da pređe 40ng/ml.</w:t>
      </w:r>
    </w:p>
    <w:p w14:paraId="4577101D"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Kod pacijenata sa oštećenom funkcijom bubrega može da se pojavi visoka koncentracija u krvi i tkivima (aluminijum se predominantno deponuje u nervima i koštanom tkivu) i može da se javi fenomen predoziranja.</w:t>
      </w:r>
    </w:p>
    <w:p w14:paraId="553AC445" w14:textId="77777777" w:rsidR="008524B7" w:rsidRPr="00F23EEB" w:rsidRDefault="008524B7" w:rsidP="00F23EEB">
      <w:pPr>
        <w:widowControl w:val="0"/>
        <w:tabs>
          <w:tab w:val="left" w:pos="540"/>
          <w:tab w:val="left" w:pos="569"/>
        </w:tabs>
        <w:jc w:val="both"/>
        <w:rPr>
          <w:bCs/>
          <w:sz w:val="22"/>
          <w:szCs w:val="22"/>
          <w:lang w:val="sr-Latn-ME"/>
        </w:rPr>
      </w:pPr>
    </w:p>
    <w:p w14:paraId="5E86B216"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5.3. </w:t>
      </w:r>
      <w:r w:rsidR="00480FB1" w:rsidRPr="00F23EEB">
        <w:rPr>
          <w:b/>
          <w:bCs/>
          <w:sz w:val="22"/>
          <w:szCs w:val="22"/>
          <w:lang w:val="sr-Latn-ME"/>
        </w:rPr>
        <w:tab/>
      </w:r>
      <w:r w:rsidRPr="00F23EEB">
        <w:rPr>
          <w:b/>
          <w:bCs/>
          <w:sz w:val="22"/>
          <w:szCs w:val="22"/>
          <w:lang w:val="sr-Latn-ME"/>
        </w:rPr>
        <w:t xml:space="preserve">Pretklinički podaci o bezbjednosti </w:t>
      </w:r>
    </w:p>
    <w:p w14:paraId="706ADFA3" w14:textId="16418965" w:rsidR="00836B35" w:rsidRPr="00F23EEB" w:rsidRDefault="00836B35" w:rsidP="00F23EEB">
      <w:pPr>
        <w:widowControl w:val="0"/>
        <w:tabs>
          <w:tab w:val="left" w:pos="540"/>
          <w:tab w:val="left" w:pos="569"/>
        </w:tabs>
        <w:jc w:val="both"/>
        <w:rPr>
          <w:bCs/>
          <w:sz w:val="22"/>
          <w:szCs w:val="22"/>
          <w:lang w:val="sr-Latn-ME"/>
        </w:rPr>
      </w:pPr>
    </w:p>
    <w:p w14:paraId="2A8D3B46"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Akutna toksičnost nije određivana zbog niskog stepena resorpcije (10% za magnezijum i oko 1% za aluminijum iz antacida) i relativno brze bubrežne ekskrecije.</w:t>
      </w:r>
    </w:p>
    <w:p w14:paraId="0727C12D" w14:textId="77777777" w:rsidR="008524B7" w:rsidRPr="00F23EEB" w:rsidRDefault="008524B7" w:rsidP="00F23EEB">
      <w:pPr>
        <w:widowControl w:val="0"/>
        <w:autoSpaceDE w:val="0"/>
        <w:autoSpaceDN w:val="0"/>
        <w:adjustRightInd w:val="0"/>
        <w:jc w:val="both"/>
        <w:rPr>
          <w:color w:val="000000"/>
          <w:sz w:val="22"/>
          <w:szCs w:val="22"/>
          <w:lang w:val="sr-Latn-ME"/>
        </w:rPr>
      </w:pPr>
    </w:p>
    <w:p w14:paraId="1B2A9F89"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Mutageni potencijal magaldrata nije u dovoljnoj mjeri ispitan. Za jedinjenja aluminijuma nema relevantnih podataka o bilo kakvom mutagenom potencijalu.</w:t>
      </w:r>
    </w:p>
    <w:p w14:paraId="4D37097C" w14:textId="77777777" w:rsidR="008524B7" w:rsidRPr="00F23EEB" w:rsidRDefault="008524B7" w:rsidP="00F23EEB">
      <w:pPr>
        <w:widowControl w:val="0"/>
        <w:autoSpaceDE w:val="0"/>
        <w:autoSpaceDN w:val="0"/>
        <w:adjustRightInd w:val="0"/>
        <w:jc w:val="both"/>
        <w:rPr>
          <w:color w:val="000000"/>
          <w:sz w:val="22"/>
          <w:szCs w:val="22"/>
          <w:lang w:val="sr-Latn-ME"/>
        </w:rPr>
      </w:pPr>
    </w:p>
    <w:p w14:paraId="5373B529"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Nema raspoloživih studija o tumorogenom potencijalu magaldrata.</w:t>
      </w:r>
    </w:p>
    <w:p w14:paraId="18F9BAF1" w14:textId="77777777" w:rsidR="008524B7" w:rsidRPr="00F23EEB" w:rsidRDefault="008524B7" w:rsidP="00F23EEB">
      <w:pPr>
        <w:widowControl w:val="0"/>
        <w:autoSpaceDE w:val="0"/>
        <w:autoSpaceDN w:val="0"/>
        <w:adjustRightInd w:val="0"/>
        <w:jc w:val="both"/>
        <w:rPr>
          <w:color w:val="000000"/>
          <w:sz w:val="22"/>
          <w:szCs w:val="22"/>
          <w:lang w:val="sr-Latn-ME"/>
        </w:rPr>
      </w:pPr>
    </w:p>
    <w:p w14:paraId="3F85693F"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Nema raspoloživih studija embriotoksičnosti kod životinja.</w:t>
      </w:r>
    </w:p>
    <w:p w14:paraId="7C236A7A" w14:textId="77777777" w:rsidR="008524B7" w:rsidRPr="00F23EEB" w:rsidRDefault="008524B7" w:rsidP="00F23EEB">
      <w:pPr>
        <w:widowControl w:val="0"/>
        <w:tabs>
          <w:tab w:val="left" w:pos="540"/>
          <w:tab w:val="left" w:pos="569"/>
        </w:tabs>
        <w:jc w:val="both"/>
        <w:rPr>
          <w:b/>
          <w:bCs/>
          <w:sz w:val="22"/>
          <w:szCs w:val="22"/>
          <w:lang w:val="sr-Latn-ME"/>
        </w:rPr>
      </w:pPr>
    </w:p>
    <w:p w14:paraId="75B8CD4B" w14:textId="77777777" w:rsidR="008524B7" w:rsidRPr="00F23EEB" w:rsidRDefault="008524B7" w:rsidP="00F23EEB">
      <w:pPr>
        <w:widowControl w:val="0"/>
        <w:autoSpaceDE w:val="0"/>
        <w:autoSpaceDN w:val="0"/>
        <w:adjustRightInd w:val="0"/>
        <w:jc w:val="both"/>
        <w:rPr>
          <w:color w:val="000000"/>
          <w:sz w:val="22"/>
          <w:szCs w:val="22"/>
          <w:lang w:val="sr-Latn-ME"/>
        </w:rPr>
      </w:pPr>
      <w:r w:rsidRPr="00F23EEB">
        <w:rPr>
          <w:color w:val="000000"/>
          <w:sz w:val="22"/>
          <w:szCs w:val="22"/>
          <w:lang w:val="sr-Latn-ME"/>
        </w:rPr>
        <w:t>Nema raspoloživih podataka o riziku od malformacija kod ljudi.</w:t>
      </w:r>
    </w:p>
    <w:p w14:paraId="4DA8A391" w14:textId="77777777" w:rsidR="008524B7" w:rsidRPr="00F23EEB" w:rsidRDefault="008524B7" w:rsidP="00F23EEB">
      <w:pPr>
        <w:widowControl w:val="0"/>
        <w:autoSpaceDE w:val="0"/>
        <w:autoSpaceDN w:val="0"/>
        <w:adjustRightInd w:val="0"/>
        <w:jc w:val="both"/>
        <w:rPr>
          <w:color w:val="000000"/>
          <w:sz w:val="22"/>
          <w:szCs w:val="22"/>
          <w:lang w:val="sr-Latn-ME"/>
        </w:rPr>
      </w:pPr>
    </w:p>
    <w:p w14:paraId="5997CC1D" w14:textId="77777777" w:rsidR="008524B7" w:rsidRPr="00F23EEB" w:rsidRDefault="008524B7" w:rsidP="00F23EEB">
      <w:pPr>
        <w:widowControl w:val="0"/>
        <w:tabs>
          <w:tab w:val="left" w:pos="540"/>
          <w:tab w:val="left" w:pos="569"/>
        </w:tabs>
        <w:jc w:val="both"/>
        <w:rPr>
          <w:color w:val="000000"/>
          <w:sz w:val="22"/>
          <w:szCs w:val="22"/>
          <w:lang w:val="sr-Latn-ME"/>
        </w:rPr>
      </w:pPr>
      <w:r w:rsidRPr="00F23EEB">
        <w:rPr>
          <w:color w:val="000000"/>
          <w:sz w:val="22"/>
          <w:szCs w:val="22"/>
          <w:lang w:val="sr-Latn-ME"/>
        </w:rPr>
        <w:t>Embriotoksični i fetotoksični efekti su uočeni u studijama sa drugim jedinjenjima aluminijuma. Studije na pacovima su pokazale povećanje postnatalnog mortaliteta i zastoj u fetalnom neuromotornom razvoju.</w:t>
      </w:r>
    </w:p>
    <w:p w14:paraId="4F1274C3" w14:textId="77777777" w:rsidR="00396DFD" w:rsidRPr="00F23EEB" w:rsidRDefault="00396DFD" w:rsidP="00F23EEB">
      <w:pPr>
        <w:widowControl w:val="0"/>
        <w:tabs>
          <w:tab w:val="left" w:pos="540"/>
          <w:tab w:val="left" w:pos="569"/>
        </w:tabs>
        <w:jc w:val="both"/>
        <w:rPr>
          <w:b/>
          <w:bCs/>
          <w:sz w:val="22"/>
          <w:szCs w:val="22"/>
          <w:lang w:val="sr-Latn-ME"/>
        </w:rPr>
      </w:pPr>
    </w:p>
    <w:p w14:paraId="1216431F"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6. </w:t>
      </w:r>
      <w:r w:rsidR="00480FB1" w:rsidRPr="00F23EEB">
        <w:rPr>
          <w:b/>
          <w:bCs/>
          <w:sz w:val="22"/>
          <w:szCs w:val="22"/>
          <w:lang w:val="sr-Latn-ME"/>
        </w:rPr>
        <w:tab/>
      </w:r>
      <w:r w:rsidRPr="00F23EEB">
        <w:rPr>
          <w:b/>
          <w:bCs/>
          <w:sz w:val="22"/>
          <w:szCs w:val="22"/>
          <w:lang w:val="sr-Latn-ME"/>
        </w:rPr>
        <w:t>FARMACEUTSKI PODACI</w:t>
      </w:r>
    </w:p>
    <w:p w14:paraId="7B19AD69" w14:textId="77777777" w:rsidR="00836B35" w:rsidRPr="00F23EEB" w:rsidRDefault="00836B35" w:rsidP="00F23EEB">
      <w:pPr>
        <w:widowControl w:val="0"/>
        <w:tabs>
          <w:tab w:val="left" w:pos="540"/>
          <w:tab w:val="left" w:pos="569"/>
        </w:tabs>
        <w:jc w:val="both"/>
        <w:rPr>
          <w:bCs/>
          <w:sz w:val="22"/>
          <w:szCs w:val="22"/>
          <w:lang w:val="sr-Latn-ME"/>
        </w:rPr>
      </w:pPr>
    </w:p>
    <w:p w14:paraId="231E9B58"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6.1. </w:t>
      </w:r>
      <w:r w:rsidR="00480FB1" w:rsidRPr="00F23EEB">
        <w:rPr>
          <w:b/>
          <w:bCs/>
          <w:sz w:val="22"/>
          <w:szCs w:val="22"/>
          <w:lang w:val="sr-Latn-ME"/>
        </w:rPr>
        <w:tab/>
      </w:r>
      <w:r w:rsidRPr="00F23EEB">
        <w:rPr>
          <w:b/>
          <w:bCs/>
          <w:sz w:val="22"/>
          <w:szCs w:val="22"/>
          <w:lang w:val="sr-Latn-ME"/>
        </w:rPr>
        <w:t>Lista pomoćnih supstanci</w:t>
      </w:r>
      <w:r w:rsidR="002E0135" w:rsidRPr="00F23EEB">
        <w:rPr>
          <w:b/>
          <w:bCs/>
          <w:sz w:val="22"/>
          <w:szCs w:val="22"/>
          <w:lang w:val="sr-Latn-ME"/>
        </w:rPr>
        <w:t xml:space="preserve"> (ekscipijenasa)</w:t>
      </w:r>
    </w:p>
    <w:p w14:paraId="683A3EBB" w14:textId="1F802105" w:rsidR="0072020E" w:rsidRPr="00F23EEB" w:rsidRDefault="0072020E" w:rsidP="00F23EEB">
      <w:pPr>
        <w:widowControl w:val="0"/>
        <w:tabs>
          <w:tab w:val="left" w:pos="540"/>
          <w:tab w:val="left" w:pos="569"/>
        </w:tabs>
        <w:jc w:val="both"/>
        <w:rPr>
          <w:bCs/>
          <w:sz w:val="22"/>
          <w:szCs w:val="22"/>
          <w:lang w:val="sr-Latn-ME"/>
        </w:rPr>
      </w:pPr>
    </w:p>
    <w:p w14:paraId="64147B9C"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Hipromeloza (4000 mPa.s),</w:t>
      </w:r>
    </w:p>
    <w:p w14:paraId="00D702EA"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Maltol,</w:t>
      </w:r>
    </w:p>
    <w:p w14:paraId="53978C6B"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Natrijum ciklamat,</w:t>
      </w:r>
    </w:p>
    <w:p w14:paraId="77F2D4AA"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Simetikon emulzija 30%,</w:t>
      </w:r>
    </w:p>
    <w:p w14:paraId="39D5635C"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Srebro sulfat,</w:t>
      </w:r>
    </w:p>
    <w:p w14:paraId="4A51A5F3"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Hlorheksidin diglukonat rastvor 20%,</w:t>
      </w:r>
    </w:p>
    <w:p w14:paraId="395839D6"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Aroma slatke pavlake 225082,</w:t>
      </w:r>
    </w:p>
    <w:p w14:paraId="08AFA96D"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Aroma karamele 217358</w:t>
      </w:r>
    </w:p>
    <w:p w14:paraId="5603768A"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Akacija,</w:t>
      </w:r>
    </w:p>
    <w:p w14:paraId="5DE771F5" w14:textId="77777777" w:rsidR="008524B7" w:rsidRPr="00F23EEB" w:rsidRDefault="008524B7" w:rsidP="00F23EEB">
      <w:pPr>
        <w:widowControl w:val="0"/>
        <w:autoSpaceDE w:val="0"/>
        <w:autoSpaceDN w:val="0"/>
        <w:adjustRightInd w:val="0"/>
        <w:jc w:val="both"/>
        <w:rPr>
          <w:iCs/>
          <w:sz w:val="22"/>
          <w:szCs w:val="22"/>
          <w:lang w:val="sr-Latn-ME"/>
        </w:rPr>
      </w:pPr>
      <w:r w:rsidRPr="00F23EEB">
        <w:rPr>
          <w:iCs/>
          <w:sz w:val="22"/>
          <w:szCs w:val="22"/>
          <w:lang w:val="sr-Latn-ME"/>
        </w:rPr>
        <w:t>Voda, prečišćena.</w:t>
      </w:r>
    </w:p>
    <w:p w14:paraId="117F84C0" w14:textId="77777777" w:rsidR="008524B7" w:rsidRPr="00F23EEB" w:rsidRDefault="008524B7" w:rsidP="00F23EEB">
      <w:pPr>
        <w:widowControl w:val="0"/>
        <w:tabs>
          <w:tab w:val="left" w:pos="540"/>
          <w:tab w:val="left" w:pos="569"/>
        </w:tabs>
        <w:jc w:val="both"/>
        <w:rPr>
          <w:bCs/>
          <w:sz w:val="22"/>
          <w:szCs w:val="22"/>
          <w:lang w:val="sr-Latn-ME"/>
        </w:rPr>
      </w:pPr>
    </w:p>
    <w:p w14:paraId="1D857BE1" w14:textId="77777777" w:rsidR="0072020E" w:rsidRPr="00F23EEB" w:rsidRDefault="0072020E" w:rsidP="00F23EEB">
      <w:pPr>
        <w:widowControl w:val="0"/>
        <w:tabs>
          <w:tab w:val="left" w:pos="540"/>
          <w:tab w:val="left" w:pos="569"/>
        </w:tabs>
        <w:jc w:val="both"/>
        <w:rPr>
          <w:b/>
          <w:bCs/>
          <w:sz w:val="22"/>
          <w:szCs w:val="22"/>
          <w:lang w:val="sr-Latn-ME"/>
        </w:rPr>
      </w:pPr>
      <w:r w:rsidRPr="00F23EEB">
        <w:rPr>
          <w:b/>
          <w:bCs/>
          <w:sz w:val="22"/>
          <w:szCs w:val="22"/>
          <w:lang w:val="sr-Latn-ME"/>
        </w:rPr>
        <w:t xml:space="preserve">6.2. </w:t>
      </w:r>
      <w:r w:rsidR="00480FB1" w:rsidRPr="00F23EEB">
        <w:rPr>
          <w:b/>
          <w:bCs/>
          <w:sz w:val="22"/>
          <w:szCs w:val="22"/>
          <w:lang w:val="sr-Latn-ME"/>
        </w:rPr>
        <w:tab/>
      </w:r>
      <w:r w:rsidRPr="00F23EEB">
        <w:rPr>
          <w:b/>
          <w:bCs/>
          <w:sz w:val="22"/>
          <w:szCs w:val="22"/>
          <w:lang w:val="sr-Latn-ME"/>
        </w:rPr>
        <w:t>Inkompatibilnost</w:t>
      </w:r>
      <w:r w:rsidR="002846DB" w:rsidRPr="00F23EEB">
        <w:rPr>
          <w:b/>
          <w:bCs/>
          <w:sz w:val="22"/>
          <w:szCs w:val="22"/>
          <w:lang w:val="sr-Latn-ME"/>
        </w:rPr>
        <w:t>i</w:t>
      </w:r>
    </w:p>
    <w:p w14:paraId="24EE2874" w14:textId="13F3DD16" w:rsidR="0072020E" w:rsidRPr="00F23EEB" w:rsidRDefault="0072020E" w:rsidP="00F23EEB">
      <w:pPr>
        <w:widowControl w:val="0"/>
        <w:tabs>
          <w:tab w:val="left" w:pos="540"/>
          <w:tab w:val="left" w:pos="569"/>
        </w:tabs>
        <w:jc w:val="both"/>
        <w:rPr>
          <w:bCs/>
          <w:sz w:val="22"/>
          <w:szCs w:val="22"/>
          <w:lang w:val="sr-Latn-ME"/>
        </w:rPr>
      </w:pPr>
    </w:p>
    <w:p w14:paraId="676155A7" w14:textId="77777777" w:rsidR="008524B7" w:rsidRPr="00F23EEB" w:rsidRDefault="008524B7" w:rsidP="00F23EEB">
      <w:pPr>
        <w:widowControl w:val="0"/>
        <w:tabs>
          <w:tab w:val="left" w:pos="540"/>
          <w:tab w:val="left" w:pos="569"/>
        </w:tabs>
        <w:rPr>
          <w:bCs/>
          <w:sz w:val="22"/>
          <w:szCs w:val="22"/>
          <w:lang w:val="sr-Latn-ME"/>
        </w:rPr>
      </w:pPr>
      <w:r w:rsidRPr="00F23EEB">
        <w:rPr>
          <w:sz w:val="22"/>
          <w:szCs w:val="22"/>
          <w:lang w:val="sr-Latn-ME"/>
        </w:rPr>
        <w:t>Nije primjenjivo.</w:t>
      </w:r>
    </w:p>
    <w:p w14:paraId="0D75483F" w14:textId="77777777" w:rsidR="008524B7" w:rsidRPr="00F23EEB" w:rsidRDefault="008524B7" w:rsidP="00F23EEB">
      <w:pPr>
        <w:widowControl w:val="0"/>
        <w:tabs>
          <w:tab w:val="left" w:pos="540"/>
          <w:tab w:val="left" w:pos="569"/>
        </w:tabs>
        <w:rPr>
          <w:bCs/>
          <w:sz w:val="22"/>
          <w:szCs w:val="22"/>
          <w:lang w:val="sr-Latn-ME"/>
        </w:rPr>
      </w:pPr>
    </w:p>
    <w:p w14:paraId="5F92A914" w14:textId="77777777" w:rsidR="0072020E"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6.3.</w:t>
      </w:r>
      <w:r w:rsidR="00C05DF8" w:rsidRPr="00F23EEB">
        <w:rPr>
          <w:b/>
          <w:bCs/>
          <w:sz w:val="22"/>
          <w:szCs w:val="22"/>
          <w:lang w:val="sr-Latn-ME"/>
        </w:rPr>
        <w:t xml:space="preserve"> </w:t>
      </w:r>
      <w:r w:rsidR="00480FB1" w:rsidRPr="00F23EEB">
        <w:rPr>
          <w:b/>
          <w:bCs/>
          <w:sz w:val="22"/>
          <w:szCs w:val="22"/>
          <w:lang w:val="sr-Latn-ME"/>
        </w:rPr>
        <w:tab/>
      </w:r>
      <w:r w:rsidRPr="00F23EEB">
        <w:rPr>
          <w:b/>
          <w:bCs/>
          <w:sz w:val="22"/>
          <w:szCs w:val="22"/>
          <w:lang w:val="sr-Latn-ME"/>
        </w:rPr>
        <w:t>Rok upotrebe</w:t>
      </w:r>
    </w:p>
    <w:p w14:paraId="186D5449" w14:textId="4076A2CD" w:rsidR="0072020E" w:rsidRPr="00F23EEB" w:rsidRDefault="0072020E" w:rsidP="00F23EEB">
      <w:pPr>
        <w:widowControl w:val="0"/>
        <w:tabs>
          <w:tab w:val="left" w:pos="540"/>
          <w:tab w:val="left" w:pos="569"/>
        </w:tabs>
        <w:rPr>
          <w:bCs/>
          <w:sz w:val="22"/>
          <w:szCs w:val="22"/>
          <w:lang w:val="sr-Latn-ME"/>
        </w:rPr>
      </w:pPr>
    </w:p>
    <w:p w14:paraId="22507A8D" w14:textId="00447A12" w:rsidR="008524B7" w:rsidRPr="00F23EEB" w:rsidRDefault="008524B7" w:rsidP="00F23EEB">
      <w:pPr>
        <w:widowControl w:val="0"/>
        <w:tabs>
          <w:tab w:val="left" w:pos="540"/>
          <w:tab w:val="left" w:pos="569"/>
        </w:tabs>
        <w:rPr>
          <w:bCs/>
          <w:sz w:val="22"/>
          <w:szCs w:val="22"/>
          <w:lang w:val="sr-Latn-ME"/>
        </w:rPr>
      </w:pPr>
      <w:r w:rsidRPr="00F23EEB">
        <w:rPr>
          <w:bCs/>
          <w:sz w:val="22"/>
          <w:szCs w:val="22"/>
          <w:lang w:val="sr-Latn-ME"/>
        </w:rPr>
        <w:t>3 godine</w:t>
      </w:r>
    </w:p>
    <w:p w14:paraId="5E0BB6D0" w14:textId="77777777" w:rsidR="008524B7" w:rsidRPr="00F23EEB" w:rsidRDefault="008524B7" w:rsidP="00F23EEB">
      <w:pPr>
        <w:widowControl w:val="0"/>
        <w:tabs>
          <w:tab w:val="left" w:pos="540"/>
          <w:tab w:val="left" w:pos="569"/>
        </w:tabs>
        <w:rPr>
          <w:bCs/>
          <w:sz w:val="22"/>
          <w:szCs w:val="22"/>
          <w:lang w:val="sr-Latn-ME"/>
        </w:rPr>
      </w:pPr>
    </w:p>
    <w:p w14:paraId="35473D33" w14:textId="77777777" w:rsidR="0072020E"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 xml:space="preserve">6.4. </w:t>
      </w:r>
      <w:r w:rsidR="00480FB1" w:rsidRPr="00F23EEB">
        <w:rPr>
          <w:b/>
          <w:bCs/>
          <w:sz w:val="22"/>
          <w:szCs w:val="22"/>
          <w:lang w:val="sr-Latn-ME"/>
        </w:rPr>
        <w:tab/>
      </w:r>
      <w:r w:rsidRPr="00F23EEB">
        <w:rPr>
          <w:b/>
          <w:bCs/>
          <w:sz w:val="22"/>
          <w:szCs w:val="22"/>
          <w:lang w:val="sr-Latn-ME"/>
        </w:rPr>
        <w:t>Posebne mjere upozorenja pri čuvanju</w:t>
      </w:r>
      <w:r w:rsidR="00F8570A" w:rsidRPr="00F23EEB">
        <w:rPr>
          <w:b/>
          <w:bCs/>
          <w:sz w:val="22"/>
          <w:szCs w:val="22"/>
          <w:lang w:val="sr-Latn-ME"/>
        </w:rPr>
        <w:t xml:space="preserve"> lijeka</w:t>
      </w:r>
    </w:p>
    <w:p w14:paraId="0903AEB7" w14:textId="4E786C26" w:rsidR="00EC2532" w:rsidRPr="00F23EEB" w:rsidRDefault="00EC2532" w:rsidP="00F23EEB">
      <w:pPr>
        <w:widowControl w:val="0"/>
        <w:tabs>
          <w:tab w:val="left" w:pos="540"/>
          <w:tab w:val="left" w:pos="569"/>
        </w:tabs>
        <w:rPr>
          <w:bCs/>
          <w:sz w:val="22"/>
          <w:szCs w:val="22"/>
          <w:lang w:val="sr-Latn-ME"/>
        </w:rPr>
      </w:pPr>
    </w:p>
    <w:p w14:paraId="4C313212" w14:textId="77777777" w:rsidR="008524B7" w:rsidRPr="00F23EEB" w:rsidRDefault="008524B7" w:rsidP="00F23EEB">
      <w:pPr>
        <w:widowControl w:val="0"/>
        <w:tabs>
          <w:tab w:val="left" w:pos="540"/>
          <w:tab w:val="left" w:pos="569"/>
        </w:tabs>
        <w:rPr>
          <w:bCs/>
          <w:sz w:val="22"/>
          <w:szCs w:val="22"/>
          <w:lang w:val="sr-Latn-ME"/>
        </w:rPr>
      </w:pPr>
      <w:r w:rsidRPr="00F23EEB">
        <w:rPr>
          <w:bCs/>
          <w:sz w:val="22"/>
          <w:szCs w:val="22"/>
          <w:lang w:val="sr-Latn-ME"/>
        </w:rPr>
        <w:t>Ne čuvati u frižideru i ne zamrzavati.</w:t>
      </w:r>
    </w:p>
    <w:p w14:paraId="7CD9D79A" w14:textId="77777777" w:rsidR="008524B7" w:rsidRPr="00F23EEB" w:rsidRDefault="008524B7" w:rsidP="00F23EEB">
      <w:pPr>
        <w:widowControl w:val="0"/>
        <w:tabs>
          <w:tab w:val="left" w:pos="540"/>
          <w:tab w:val="left" w:pos="569"/>
        </w:tabs>
        <w:rPr>
          <w:bCs/>
          <w:sz w:val="22"/>
          <w:szCs w:val="22"/>
          <w:lang w:val="sr-Latn-ME"/>
        </w:rPr>
      </w:pPr>
    </w:p>
    <w:p w14:paraId="6D524625" w14:textId="77777777" w:rsidR="0072020E"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 xml:space="preserve">6.5. </w:t>
      </w:r>
      <w:r w:rsidR="00480FB1" w:rsidRPr="00F23EEB">
        <w:rPr>
          <w:b/>
          <w:bCs/>
          <w:sz w:val="22"/>
          <w:szCs w:val="22"/>
          <w:lang w:val="sr-Latn-ME"/>
        </w:rPr>
        <w:tab/>
      </w:r>
      <w:r w:rsidR="002846DB" w:rsidRPr="00F23EEB">
        <w:rPr>
          <w:b/>
          <w:bCs/>
          <w:sz w:val="22"/>
          <w:szCs w:val="22"/>
          <w:lang w:val="sr-Latn-ME"/>
        </w:rPr>
        <w:t xml:space="preserve">Vrsta i sadržaj </w:t>
      </w:r>
      <w:r w:rsidR="00F8570A" w:rsidRPr="00F23EEB">
        <w:rPr>
          <w:b/>
          <w:bCs/>
          <w:sz w:val="22"/>
          <w:szCs w:val="22"/>
          <w:lang w:val="sr-Latn-ME"/>
        </w:rPr>
        <w:t>pakovanja</w:t>
      </w:r>
      <w:r w:rsidR="00C06864" w:rsidRPr="00F23EEB">
        <w:rPr>
          <w:b/>
          <w:bCs/>
          <w:sz w:val="22"/>
          <w:szCs w:val="22"/>
          <w:lang w:val="sr-Latn-ME"/>
        </w:rPr>
        <w:t xml:space="preserve"> </w:t>
      </w:r>
    </w:p>
    <w:p w14:paraId="0859E4F8" w14:textId="5A16C730" w:rsidR="0072020E" w:rsidRPr="00F23EEB" w:rsidRDefault="0072020E" w:rsidP="00F23EEB">
      <w:pPr>
        <w:widowControl w:val="0"/>
        <w:tabs>
          <w:tab w:val="left" w:pos="540"/>
          <w:tab w:val="left" w:pos="569"/>
        </w:tabs>
        <w:rPr>
          <w:bCs/>
          <w:sz w:val="22"/>
          <w:szCs w:val="22"/>
          <w:lang w:val="sr-Latn-ME"/>
        </w:rPr>
      </w:pPr>
    </w:p>
    <w:p w14:paraId="7394B385" w14:textId="77777777" w:rsidR="008524B7" w:rsidRPr="00F23EEB" w:rsidRDefault="008524B7" w:rsidP="00F23EEB">
      <w:pPr>
        <w:widowControl w:val="0"/>
        <w:autoSpaceDE w:val="0"/>
        <w:autoSpaceDN w:val="0"/>
        <w:adjustRightInd w:val="0"/>
        <w:rPr>
          <w:color w:val="000000"/>
          <w:sz w:val="22"/>
          <w:szCs w:val="22"/>
          <w:lang w:val="sr-Latn-ME"/>
        </w:rPr>
      </w:pPr>
      <w:r w:rsidRPr="00F23EEB">
        <w:rPr>
          <w:color w:val="000000"/>
          <w:sz w:val="22"/>
          <w:szCs w:val="22"/>
          <w:lang w:val="sr-Latn-ME"/>
        </w:rPr>
        <w:t>Unutrašnje pakovanje je kesica (poliester 12μm/ aluminijum 10 μm / polietilen 18 g/m</w:t>
      </w:r>
      <w:r w:rsidRPr="00F23EEB">
        <w:rPr>
          <w:color w:val="000000"/>
          <w:sz w:val="22"/>
          <w:szCs w:val="22"/>
          <w:vertAlign w:val="superscript"/>
          <w:lang w:val="sr-Latn-ME"/>
        </w:rPr>
        <w:t>2</w:t>
      </w:r>
      <w:r w:rsidRPr="00F23EEB">
        <w:rPr>
          <w:color w:val="000000"/>
          <w:sz w:val="22"/>
          <w:szCs w:val="22"/>
          <w:lang w:val="sr-Latn-ME"/>
        </w:rPr>
        <w:t xml:space="preserve"> – poliester 12 μm / polietilen 50 g/m</w:t>
      </w:r>
      <w:r w:rsidRPr="00F23EEB">
        <w:rPr>
          <w:color w:val="000000"/>
          <w:sz w:val="22"/>
          <w:szCs w:val="22"/>
          <w:vertAlign w:val="superscript"/>
          <w:lang w:val="sr-Latn-ME"/>
        </w:rPr>
        <w:t>2</w:t>
      </w:r>
      <w:r w:rsidRPr="00F23EEB">
        <w:rPr>
          <w:color w:val="000000"/>
          <w:sz w:val="22"/>
          <w:szCs w:val="22"/>
          <w:lang w:val="sr-Latn-ME"/>
        </w:rPr>
        <w:t>, obložena slojem koji se sastoji od polietilena 25 g/m</w:t>
      </w:r>
      <w:r w:rsidRPr="00F23EEB">
        <w:rPr>
          <w:color w:val="000000"/>
          <w:sz w:val="22"/>
          <w:szCs w:val="22"/>
          <w:vertAlign w:val="superscript"/>
          <w:lang w:val="sr-Latn-ME"/>
        </w:rPr>
        <w:t>2</w:t>
      </w:r>
      <w:r w:rsidRPr="00F23EEB">
        <w:rPr>
          <w:color w:val="000000"/>
          <w:sz w:val="22"/>
          <w:szCs w:val="22"/>
          <w:lang w:val="sr-Latn-ME"/>
        </w:rPr>
        <w:t xml:space="preserve"> /poliestera 19 μm / polietilen 25 g/m</w:t>
      </w:r>
      <w:r w:rsidRPr="00F23EEB">
        <w:rPr>
          <w:color w:val="000000"/>
          <w:sz w:val="22"/>
          <w:szCs w:val="22"/>
          <w:vertAlign w:val="superscript"/>
          <w:lang w:val="sr-Latn-ME"/>
        </w:rPr>
        <w:t>2</w:t>
      </w:r>
      <w:r w:rsidRPr="00F23EEB">
        <w:rPr>
          <w:color w:val="000000"/>
          <w:sz w:val="22"/>
          <w:szCs w:val="22"/>
          <w:lang w:val="sr-Latn-ME"/>
        </w:rPr>
        <w:t>).</w:t>
      </w:r>
    </w:p>
    <w:p w14:paraId="2AB7E09E" w14:textId="77777777" w:rsidR="008524B7" w:rsidRPr="00F23EEB" w:rsidRDefault="008524B7" w:rsidP="00F23EEB">
      <w:pPr>
        <w:widowControl w:val="0"/>
        <w:tabs>
          <w:tab w:val="left" w:pos="540"/>
          <w:tab w:val="left" w:pos="569"/>
        </w:tabs>
        <w:rPr>
          <w:bCs/>
          <w:sz w:val="22"/>
          <w:szCs w:val="22"/>
          <w:lang w:val="sr-Latn-ME"/>
        </w:rPr>
      </w:pPr>
      <w:r w:rsidRPr="00F23EEB">
        <w:rPr>
          <w:color w:val="000000"/>
          <w:sz w:val="22"/>
          <w:szCs w:val="22"/>
          <w:lang w:val="sr-Latn-ME"/>
        </w:rPr>
        <w:t>Spoljnje pakovanje je složiva kartonska kutija sa 20 kesica i Uputstvom za lijek.</w:t>
      </w:r>
    </w:p>
    <w:p w14:paraId="36E468C9" w14:textId="77777777" w:rsidR="008524B7" w:rsidRPr="00F23EEB" w:rsidRDefault="008524B7" w:rsidP="00F23EEB">
      <w:pPr>
        <w:widowControl w:val="0"/>
        <w:tabs>
          <w:tab w:val="left" w:pos="540"/>
          <w:tab w:val="left" w:pos="569"/>
        </w:tabs>
        <w:rPr>
          <w:bCs/>
          <w:sz w:val="22"/>
          <w:szCs w:val="22"/>
          <w:lang w:val="sr-Latn-ME"/>
        </w:rPr>
      </w:pPr>
    </w:p>
    <w:p w14:paraId="7BB1A461" w14:textId="77777777" w:rsidR="002846DB"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 xml:space="preserve">6.6. </w:t>
      </w:r>
      <w:r w:rsidR="00480FB1" w:rsidRPr="00F23EEB">
        <w:rPr>
          <w:b/>
          <w:bCs/>
          <w:sz w:val="22"/>
          <w:szCs w:val="22"/>
          <w:lang w:val="sr-Latn-ME"/>
        </w:rPr>
        <w:tab/>
      </w:r>
      <w:r w:rsidRPr="00F23EEB">
        <w:rPr>
          <w:b/>
          <w:bCs/>
          <w:color w:val="000000"/>
          <w:sz w:val="22"/>
          <w:szCs w:val="22"/>
          <w:lang w:val="sr-Latn-ME"/>
        </w:rPr>
        <w:t>Posebne mjere opreza pri odlaganju materijala koji treba odbaciti nakon primjene lijeka</w:t>
      </w:r>
      <w:r w:rsidRPr="00F23EEB">
        <w:rPr>
          <w:b/>
          <w:bCs/>
          <w:sz w:val="22"/>
          <w:szCs w:val="22"/>
          <w:lang w:val="sr-Latn-ME"/>
        </w:rPr>
        <w:t xml:space="preserve"> </w:t>
      </w:r>
      <w:r w:rsidR="00310F03" w:rsidRPr="00F23EEB">
        <w:rPr>
          <w:b/>
          <w:bCs/>
          <w:sz w:val="22"/>
          <w:szCs w:val="22"/>
          <w:lang w:val="sr-Latn-ME"/>
        </w:rPr>
        <w:lastRenderedPageBreak/>
        <w:t>(i druga uputs</w:t>
      </w:r>
      <w:r w:rsidR="004109FA" w:rsidRPr="00F23EEB">
        <w:rPr>
          <w:b/>
          <w:bCs/>
          <w:sz w:val="22"/>
          <w:szCs w:val="22"/>
          <w:lang w:val="sr-Latn-ME"/>
        </w:rPr>
        <w:t>t</w:t>
      </w:r>
      <w:r w:rsidR="00310F03" w:rsidRPr="00F23EEB">
        <w:rPr>
          <w:b/>
          <w:bCs/>
          <w:sz w:val="22"/>
          <w:szCs w:val="22"/>
          <w:lang w:val="sr-Latn-ME"/>
        </w:rPr>
        <w:t xml:space="preserve">va za rukovanje lijekom) </w:t>
      </w:r>
    </w:p>
    <w:p w14:paraId="68FC1678" w14:textId="77777777" w:rsidR="00B66A70" w:rsidRPr="00F23EEB" w:rsidRDefault="00B66A70" w:rsidP="00F23EEB">
      <w:pPr>
        <w:widowControl w:val="0"/>
        <w:tabs>
          <w:tab w:val="left" w:pos="540"/>
          <w:tab w:val="left" w:pos="569"/>
        </w:tabs>
        <w:rPr>
          <w:b/>
          <w:bCs/>
          <w:sz w:val="22"/>
          <w:szCs w:val="22"/>
          <w:lang w:val="sr-Latn-ME"/>
        </w:rPr>
      </w:pPr>
    </w:p>
    <w:p w14:paraId="2DB080C2" w14:textId="77777777" w:rsidR="008524B7" w:rsidRPr="00F23EEB" w:rsidRDefault="008524B7" w:rsidP="00F23EEB">
      <w:pPr>
        <w:widowControl w:val="0"/>
        <w:tabs>
          <w:tab w:val="left" w:pos="540"/>
          <w:tab w:val="left" w:pos="569"/>
        </w:tabs>
        <w:rPr>
          <w:bCs/>
          <w:sz w:val="22"/>
          <w:szCs w:val="22"/>
          <w:lang w:val="sr-Latn-ME"/>
        </w:rPr>
      </w:pPr>
      <w:r w:rsidRPr="00F23EEB">
        <w:rPr>
          <w:sz w:val="22"/>
          <w:szCs w:val="22"/>
          <w:lang w:val="sr-Latn-ME"/>
        </w:rPr>
        <w:t>Neupotrijebljeni lijek se uništava u skladu sa važećim propisima.</w:t>
      </w:r>
    </w:p>
    <w:p w14:paraId="29F6F5E7" w14:textId="2D0D259E" w:rsidR="0072020E" w:rsidRPr="00F23EEB" w:rsidRDefault="0072020E" w:rsidP="00F23EEB">
      <w:pPr>
        <w:widowControl w:val="0"/>
        <w:tabs>
          <w:tab w:val="left" w:pos="540"/>
          <w:tab w:val="left" w:pos="569"/>
        </w:tabs>
        <w:rPr>
          <w:bCs/>
          <w:sz w:val="22"/>
          <w:szCs w:val="22"/>
          <w:lang w:val="sr-Latn-ME"/>
        </w:rPr>
      </w:pPr>
    </w:p>
    <w:p w14:paraId="6C68EB0C" w14:textId="77777777" w:rsidR="00F23EEB" w:rsidRPr="00F23EEB" w:rsidRDefault="00F23EEB" w:rsidP="00F23EEB">
      <w:pPr>
        <w:widowControl w:val="0"/>
        <w:tabs>
          <w:tab w:val="left" w:pos="540"/>
          <w:tab w:val="left" w:pos="569"/>
        </w:tabs>
        <w:rPr>
          <w:bCs/>
          <w:sz w:val="22"/>
          <w:szCs w:val="22"/>
          <w:lang w:val="sr-Latn-ME"/>
        </w:rPr>
      </w:pPr>
    </w:p>
    <w:p w14:paraId="02445F83" w14:textId="77777777" w:rsidR="00F8570A"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 xml:space="preserve">7. </w:t>
      </w:r>
      <w:r w:rsidR="00480FB1" w:rsidRPr="00F23EEB">
        <w:rPr>
          <w:b/>
          <w:bCs/>
          <w:sz w:val="22"/>
          <w:szCs w:val="22"/>
          <w:lang w:val="sr-Latn-ME"/>
        </w:rPr>
        <w:tab/>
      </w:r>
      <w:r w:rsidRPr="00F23EEB">
        <w:rPr>
          <w:b/>
          <w:bCs/>
          <w:sz w:val="22"/>
          <w:szCs w:val="22"/>
          <w:lang w:val="sr-Latn-ME"/>
        </w:rPr>
        <w:t>NOSILAC DOZVOLE</w:t>
      </w:r>
      <w:r w:rsidR="00483928" w:rsidRPr="00F23EEB">
        <w:rPr>
          <w:b/>
          <w:bCs/>
          <w:sz w:val="22"/>
          <w:szCs w:val="22"/>
          <w:lang w:val="sr-Latn-ME"/>
        </w:rPr>
        <w:t xml:space="preserve"> </w:t>
      </w:r>
    </w:p>
    <w:p w14:paraId="1410C7BC" w14:textId="77777777" w:rsidR="00C61BE0" w:rsidRPr="00F23EEB" w:rsidRDefault="00C61BE0" w:rsidP="00F23EEB">
      <w:pPr>
        <w:widowControl w:val="0"/>
        <w:tabs>
          <w:tab w:val="left" w:pos="540"/>
          <w:tab w:val="left" w:pos="569"/>
        </w:tabs>
        <w:rPr>
          <w:bCs/>
          <w:sz w:val="22"/>
          <w:szCs w:val="22"/>
          <w:lang w:val="sr-Latn-ME"/>
        </w:rPr>
      </w:pPr>
    </w:p>
    <w:p w14:paraId="7A34A8FE" w14:textId="77777777" w:rsidR="008524B7" w:rsidRPr="00F23EEB" w:rsidRDefault="008524B7" w:rsidP="00F23EEB">
      <w:pPr>
        <w:widowControl w:val="0"/>
        <w:tabs>
          <w:tab w:val="left" w:pos="540"/>
          <w:tab w:val="left" w:pos="569"/>
        </w:tabs>
        <w:rPr>
          <w:bCs/>
          <w:sz w:val="22"/>
          <w:szCs w:val="22"/>
          <w:lang w:val="sr-Latn-ME"/>
        </w:rPr>
      </w:pPr>
      <w:r w:rsidRPr="00F23EEB">
        <w:rPr>
          <w:bCs/>
          <w:sz w:val="22"/>
          <w:szCs w:val="22"/>
          <w:lang w:val="sr-Latn-ME"/>
        </w:rPr>
        <w:t>Glosarij d.o.o., Vojislavljevića br. 76, 81 000 Podgorica, Crna Gora</w:t>
      </w:r>
    </w:p>
    <w:p w14:paraId="62CB320B" w14:textId="4D9124B5" w:rsidR="00C37FD7" w:rsidRPr="00F23EEB" w:rsidRDefault="00C37FD7" w:rsidP="00F23EEB">
      <w:pPr>
        <w:widowControl w:val="0"/>
        <w:tabs>
          <w:tab w:val="left" w:pos="540"/>
          <w:tab w:val="left" w:pos="569"/>
        </w:tabs>
        <w:rPr>
          <w:bCs/>
          <w:sz w:val="22"/>
          <w:szCs w:val="22"/>
          <w:lang w:val="sr-Latn-ME"/>
        </w:rPr>
      </w:pPr>
    </w:p>
    <w:p w14:paraId="543A1A7B" w14:textId="77777777" w:rsidR="00F23EEB" w:rsidRPr="00F23EEB" w:rsidRDefault="00F23EEB" w:rsidP="00F23EEB">
      <w:pPr>
        <w:widowControl w:val="0"/>
        <w:tabs>
          <w:tab w:val="left" w:pos="540"/>
          <w:tab w:val="left" w:pos="569"/>
        </w:tabs>
        <w:rPr>
          <w:bCs/>
          <w:sz w:val="22"/>
          <w:szCs w:val="22"/>
          <w:lang w:val="sr-Latn-ME"/>
        </w:rPr>
      </w:pPr>
    </w:p>
    <w:p w14:paraId="284BAA10" w14:textId="77777777" w:rsidR="0072020E"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 xml:space="preserve">8. </w:t>
      </w:r>
      <w:r w:rsidR="00480FB1" w:rsidRPr="00F23EEB">
        <w:rPr>
          <w:b/>
          <w:bCs/>
          <w:sz w:val="22"/>
          <w:szCs w:val="22"/>
          <w:lang w:val="sr-Latn-ME"/>
        </w:rPr>
        <w:tab/>
      </w:r>
      <w:r w:rsidRPr="00F23EEB">
        <w:rPr>
          <w:b/>
          <w:bCs/>
          <w:sz w:val="22"/>
          <w:szCs w:val="22"/>
          <w:lang w:val="sr-Latn-ME"/>
        </w:rPr>
        <w:t>BROJ DOZVOLE</w:t>
      </w:r>
      <w:r w:rsidR="008A6D43" w:rsidRPr="00F23EEB">
        <w:rPr>
          <w:b/>
          <w:bCs/>
          <w:sz w:val="22"/>
          <w:szCs w:val="22"/>
          <w:lang w:val="sr-Latn-ME"/>
        </w:rPr>
        <w:t xml:space="preserve"> ZA STAVLJANJE LIJEKA U PROMET</w:t>
      </w:r>
    </w:p>
    <w:p w14:paraId="637BFC2D" w14:textId="77777777" w:rsidR="00F23EEB" w:rsidRPr="00F23EEB" w:rsidRDefault="00F23EEB" w:rsidP="00F23EEB">
      <w:pPr>
        <w:widowControl w:val="0"/>
        <w:rPr>
          <w:bCs/>
          <w:szCs w:val="22"/>
          <w:lang w:val="sr-Latn-ME"/>
        </w:rPr>
      </w:pPr>
    </w:p>
    <w:p w14:paraId="6265D58D" w14:textId="60C90C06" w:rsidR="00E53F83" w:rsidRPr="00F23EEB" w:rsidRDefault="00F23EEB" w:rsidP="00F23EEB">
      <w:pPr>
        <w:widowControl w:val="0"/>
        <w:rPr>
          <w:bCs/>
          <w:szCs w:val="22"/>
          <w:lang w:val="sr-Latn-ME"/>
        </w:rPr>
      </w:pPr>
      <w:r w:rsidRPr="00F23EEB">
        <w:rPr>
          <w:bCs/>
          <w:szCs w:val="22"/>
          <w:lang w:val="sr-Latn-ME"/>
        </w:rPr>
        <w:t xml:space="preserve">Riopan, oralna suspenzija, 800 mg, kesica, 20x10ml: </w:t>
      </w:r>
      <w:r w:rsidR="00E53F83" w:rsidRPr="00F23EEB">
        <w:rPr>
          <w:bCs/>
          <w:szCs w:val="22"/>
          <w:lang w:val="sr-Latn-ME"/>
        </w:rPr>
        <w:t xml:space="preserve">2030/14/352-4251 </w:t>
      </w:r>
    </w:p>
    <w:p w14:paraId="79C7E806" w14:textId="3B66BA14" w:rsidR="0072020E" w:rsidRPr="00F23EEB" w:rsidRDefault="00F23EEB" w:rsidP="00F23EEB">
      <w:pPr>
        <w:widowControl w:val="0"/>
        <w:tabs>
          <w:tab w:val="left" w:pos="540"/>
          <w:tab w:val="left" w:pos="569"/>
        </w:tabs>
        <w:rPr>
          <w:bCs/>
          <w:sz w:val="22"/>
          <w:szCs w:val="22"/>
          <w:lang w:val="sr-Latn-ME"/>
        </w:rPr>
      </w:pPr>
      <w:r w:rsidRPr="00F23EEB">
        <w:rPr>
          <w:bCs/>
          <w:szCs w:val="22"/>
          <w:lang w:val="sr-Latn-ME"/>
        </w:rPr>
        <w:t>Riopan, oralna suspenzija, 1600 mg, kesica, 20x10ml: 2030</w:t>
      </w:r>
      <w:r w:rsidR="00E53F83" w:rsidRPr="00F23EEB">
        <w:rPr>
          <w:bCs/>
          <w:szCs w:val="22"/>
          <w:lang w:val="sr-Latn-ME"/>
        </w:rPr>
        <w:t xml:space="preserve">/14/353-4252 </w:t>
      </w:r>
    </w:p>
    <w:p w14:paraId="051D2193" w14:textId="16E9FF19" w:rsidR="00F45F77" w:rsidRPr="00F23EEB" w:rsidRDefault="00F45F77" w:rsidP="00F23EEB">
      <w:pPr>
        <w:widowControl w:val="0"/>
        <w:tabs>
          <w:tab w:val="left" w:pos="540"/>
          <w:tab w:val="left" w:pos="569"/>
        </w:tabs>
        <w:rPr>
          <w:bCs/>
          <w:sz w:val="22"/>
          <w:szCs w:val="22"/>
          <w:lang w:val="sr-Latn-ME"/>
        </w:rPr>
      </w:pPr>
    </w:p>
    <w:p w14:paraId="29EC296A" w14:textId="77777777" w:rsidR="00F23EEB" w:rsidRPr="00F23EEB" w:rsidRDefault="00F23EEB" w:rsidP="00F23EEB">
      <w:pPr>
        <w:widowControl w:val="0"/>
        <w:tabs>
          <w:tab w:val="left" w:pos="540"/>
          <w:tab w:val="left" w:pos="569"/>
        </w:tabs>
        <w:rPr>
          <w:bCs/>
          <w:sz w:val="22"/>
          <w:szCs w:val="22"/>
          <w:lang w:val="sr-Latn-ME"/>
        </w:rPr>
      </w:pPr>
    </w:p>
    <w:p w14:paraId="499DAD63" w14:textId="77777777" w:rsidR="0072020E" w:rsidRPr="00F23EEB" w:rsidRDefault="0072020E" w:rsidP="00F23EEB">
      <w:pPr>
        <w:widowControl w:val="0"/>
        <w:tabs>
          <w:tab w:val="left" w:pos="540"/>
          <w:tab w:val="left" w:pos="569"/>
        </w:tabs>
        <w:rPr>
          <w:b/>
          <w:bCs/>
          <w:sz w:val="22"/>
          <w:szCs w:val="22"/>
          <w:lang w:val="sr-Latn-ME"/>
        </w:rPr>
      </w:pPr>
      <w:r w:rsidRPr="00F23EEB">
        <w:rPr>
          <w:b/>
          <w:bCs/>
          <w:sz w:val="22"/>
          <w:szCs w:val="22"/>
          <w:lang w:val="sr-Latn-ME"/>
        </w:rPr>
        <w:t xml:space="preserve">9. </w:t>
      </w:r>
      <w:r w:rsidR="00480FB1" w:rsidRPr="00F23EEB">
        <w:rPr>
          <w:b/>
          <w:bCs/>
          <w:sz w:val="22"/>
          <w:szCs w:val="22"/>
          <w:lang w:val="sr-Latn-ME"/>
        </w:rPr>
        <w:tab/>
      </w:r>
      <w:r w:rsidRPr="00F23EEB">
        <w:rPr>
          <w:b/>
          <w:bCs/>
          <w:sz w:val="22"/>
          <w:szCs w:val="22"/>
          <w:lang w:val="sr-Latn-ME"/>
        </w:rPr>
        <w:t xml:space="preserve">DATUM </w:t>
      </w:r>
      <w:r w:rsidR="00C05DF8" w:rsidRPr="00F23EEB">
        <w:rPr>
          <w:b/>
          <w:bCs/>
          <w:sz w:val="22"/>
          <w:szCs w:val="22"/>
          <w:lang w:val="sr-Latn-ME"/>
        </w:rPr>
        <w:t xml:space="preserve">PRVE </w:t>
      </w:r>
      <w:r w:rsidR="008A6D43" w:rsidRPr="00F23EEB">
        <w:rPr>
          <w:b/>
          <w:bCs/>
          <w:sz w:val="22"/>
          <w:szCs w:val="22"/>
          <w:lang w:val="sr-Latn-ME"/>
        </w:rPr>
        <w:t>DOZVOLE</w:t>
      </w:r>
      <w:r w:rsidR="00C05DF8" w:rsidRPr="00F23EEB">
        <w:rPr>
          <w:b/>
          <w:bCs/>
          <w:sz w:val="22"/>
          <w:szCs w:val="22"/>
          <w:lang w:val="sr-Latn-ME"/>
        </w:rPr>
        <w:t>/OBNOVE DOZVOLE</w:t>
      </w:r>
      <w:r w:rsidR="008A6D43" w:rsidRPr="00F23EEB">
        <w:rPr>
          <w:b/>
          <w:bCs/>
          <w:sz w:val="22"/>
          <w:szCs w:val="22"/>
          <w:lang w:val="sr-Latn-ME"/>
        </w:rPr>
        <w:t xml:space="preserve"> ZA STAVLJANJE LIJEKA U PROMET</w:t>
      </w:r>
    </w:p>
    <w:p w14:paraId="101814A4" w14:textId="77777777" w:rsidR="00F23EEB" w:rsidRPr="00F23EEB" w:rsidRDefault="00F23EEB" w:rsidP="00F23EEB">
      <w:pPr>
        <w:widowControl w:val="0"/>
        <w:tabs>
          <w:tab w:val="left" w:pos="540"/>
          <w:tab w:val="left" w:pos="569"/>
        </w:tabs>
        <w:rPr>
          <w:bCs/>
          <w:szCs w:val="22"/>
          <w:lang w:val="sr-Latn-ME"/>
        </w:rPr>
      </w:pPr>
    </w:p>
    <w:p w14:paraId="6822D69B" w14:textId="08CF55D5" w:rsidR="00E53F83" w:rsidRPr="00F23EEB" w:rsidRDefault="00E53F83" w:rsidP="00F23EEB">
      <w:pPr>
        <w:widowControl w:val="0"/>
        <w:tabs>
          <w:tab w:val="left" w:pos="540"/>
          <w:tab w:val="left" w:pos="569"/>
        </w:tabs>
        <w:rPr>
          <w:bCs/>
          <w:sz w:val="22"/>
          <w:szCs w:val="22"/>
          <w:lang w:val="sr-Latn-ME"/>
        </w:rPr>
      </w:pPr>
      <w:r w:rsidRPr="00F23EEB">
        <w:rPr>
          <w:bCs/>
          <w:szCs w:val="22"/>
          <w:lang w:val="sr-Latn-ME"/>
        </w:rPr>
        <w:t>19.09.2014</w:t>
      </w:r>
    </w:p>
    <w:p w14:paraId="5AC820D7" w14:textId="6F18294F" w:rsidR="00836B35" w:rsidRPr="00F23EEB" w:rsidRDefault="00836B35" w:rsidP="00F23EEB">
      <w:pPr>
        <w:widowControl w:val="0"/>
        <w:tabs>
          <w:tab w:val="left" w:pos="540"/>
          <w:tab w:val="left" w:pos="569"/>
        </w:tabs>
        <w:rPr>
          <w:bCs/>
          <w:sz w:val="22"/>
          <w:szCs w:val="22"/>
          <w:lang w:val="sr-Latn-ME"/>
        </w:rPr>
      </w:pPr>
    </w:p>
    <w:p w14:paraId="0CF5AE70" w14:textId="77777777" w:rsidR="00F23EEB" w:rsidRPr="00F23EEB" w:rsidRDefault="00F23EEB" w:rsidP="00F23EEB">
      <w:pPr>
        <w:widowControl w:val="0"/>
        <w:tabs>
          <w:tab w:val="left" w:pos="540"/>
          <w:tab w:val="left" w:pos="569"/>
        </w:tabs>
        <w:rPr>
          <w:bCs/>
          <w:sz w:val="22"/>
          <w:szCs w:val="22"/>
          <w:lang w:val="sr-Latn-ME"/>
        </w:rPr>
      </w:pPr>
    </w:p>
    <w:p w14:paraId="4AA0BE9B" w14:textId="77777777" w:rsidR="003F6A59" w:rsidRPr="00F23EEB" w:rsidRDefault="0072020E" w:rsidP="00F23EEB">
      <w:pPr>
        <w:widowControl w:val="0"/>
        <w:tabs>
          <w:tab w:val="left" w:pos="540"/>
          <w:tab w:val="left" w:pos="569"/>
        </w:tabs>
        <w:ind w:left="540" w:hanging="540"/>
        <w:rPr>
          <w:bCs/>
          <w:sz w:val="22"/>
          <w:szCs w:val="22"/>
          <w:lang w:val="sr-Latn-ME"/>
        </w:rPr>
      </w:pPr>
      <w:r w:rsidRPr="00F23EEB">
        <w:rPr>
          <w:b/>
          <w:bCs/>
          <w:sz w:val="22"/>
          <w:szCs w:val="22"/>
          <w:lang w:val="sr-Latn-ME"/>
        </w:rPr>
        <w:t xml:space="preserve">10. </w:t>
      </w:r>
      <w:r w:rsidR="00480FB1" w:rsidRPr="00F23EEB">
        <w:rPr>
          <w:b/>
          <w:bCs/>
          <w:sz w:val="22"/>
          <w:szCs w:val="22"/>
          <w:lang w:val="sr-Latn-ME"/>
        </w:rPr>
        <w:tab/>
      </w:r>
      <w:r w:rsidR="002846DB" w:rsidRPr="00F23EEB">
        <w:rPr>
          <w:b/>
          <w:bCs/>
          <w:sz w:val="22"/>
          <w:szCs w:val="22"/>
          <w:lang w:val="sr-Latn-ME"/>
        </w:rPr>
        <w:t>D</w:t>
      </w:r>
      <w:r w:rsidR="00EC2532" w:rsidRPr="00F23EEB">
        <w:rPr>
          <w:b/>
          <w:bCs/>
          <w:sz w:val="22"/>
          <w:szCs w:val="22"/>
          <w:lang w:val="sr-Latn-ME"/>
        </w:rPr>
        <w:t xml:space="preserve">ATUM REVIZIJE TEKSTA </w:t>
      </w:r>
    </w:p>
    <w:p w14:paraId="13BD2CBC" w14:textId="77777777" w:rsidR="003F6A59" w:rsidRPr="00F23EEB" w:rsidRDefault="003F6A59" w:rsidP="00F23EEB">
      <w:pPr>
        <w:widowControl w:val="0"/>
        <w:tabs>
          <w:tab w:val="left" w:pos="540"/>
          <w:tab w:val="left" w:pos="569"/>
        </w:tabs>
        <w:rPr>
          <w:bCs/>
          <w:sz w:val="22"/>
          <w:szCs w:val="22"/>
          <w:lang w:val="sr-Latn-ME"/>
        </w:rPr>
      </w:pPr>
    </w:p>
    <w:p w14:paraId="5B69D567" w14:textId="35297A47" w:rsidR="008A6D43" w:rsidRPr="00F23EEB" w:rsidRDefault="00F23EEB" w:rsidP="00F23EEB">
      <w:pPr>
        <w:widowControl w:val="0"/>
        <w:tabs>
          <w:tab w:val="left" w:pos="540"/>
          <w:tab w:val="left" w:pos="569"/>
        </w:tabs>
        <w:rPr>
          <w:bCs/>
          <w:sz w:val="22"/>
          <w:szCs w:val="22"/>
          <w:lang w:val="sr-Latn-ME"/>
        </w:rPr>
      </w:pPr>
      <w:r w:rsidRPr="00F23EEB">
        <w:rPr>
          <w:bCs/>
          <w:sz w:val="22"/>
          <w:szCs w:val="22"/>
          <w:lang w:val="sr-Latn-ME"/>
        </w:rPr>
        <w:t>Februar, 2025. godine</w:t>
      </w:r>
    </w:p>
    <w:p w14:paraId="34893463" w14:textId="77777777" w:rsidR="003F6A59" w:rsidRPr="00F23EEB" w:rsidRDefault="003F6A59" w:rsidP="00F23EEB">
      <w:pPr>
        <w:widowControl w:val="0"/>
        <w:rPr>
          <w:sz w:val="22"/>
          <w:szCs w:val="22"/>
          <w:lang w:val="sr-Latn-ME"/>
        </w:rPr>
      </w:pPr>
    </w:p>
    <w:sectPr w:rsidR="003F6A59" w:rsidRPr="00F23EEB" w:rsidSect="00F23EEB">
      <w:footerReference w:type="default" r:id="rId12"/>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2BC07" w14:textId="77777777" w:rsidR="00F1189F" w:rsidRDefault="00F1189F">
      <w:r>
        <w:separator/>
      </w:r>
    </w:p>
  </w:endnote>
  <w:endnote w:type="continuationSeparator" w:id="0">
    <w:p w14:paraId="684463C5" w14:textId="77777777" w:rsidR="00F1189F" w:rsidRDefault="00F1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umanist777">
    <w:altName w:val="Calibr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25F1C" w14:textId="3F38B63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23EEB">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23EEB">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941C" w14:textId="77777777" w:rsidR="00F1189F" w:rsidRDefault="00F1189F">
      <w:r>
        <w:separator/>
      </w:r>
    </w:p>
  </w:footnote>
  <w:footnote w:type="continuationSeparator" w:id="0">
    <w:p w14:paraId="6876F0CF" w14:textId="77777777" w:rsidR="00F1189F" w:rsidRDefault="00F1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55A6B92"/>
    <w:multiLevelType w:val="hybridMultilevel"/>
    <w:tmpl w:val="C52EF8D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C570F"/>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320C1"/>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6645"/>
    <w:rsid w:val="00427F85"/>
    <w:rsid w:val="00436F42"/>
    <w:rsid w:val="004378B4"/>
    <w:rsid w:val="00451314"/>
    <w:rsid w:val="00452E9D"/>
    <w:rsid w:val="004534C7"/>
    <w:rsid w:val="004671AA"/>
    <w:rsid w:val="00471DF8"/>
    <w:rsid w:val="00480FB1"/>
    <w:rsid w:val="00483928"/>
    <w:rsid w:val="004C331F"/>
    <w:rsid w:val="004D42A1"/>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08D1"/>
    <w:rsid w:val="006561C2"/>
    <w:rsid w:val="00671CB3"/>
    <w:rsid w:val="00674BAF"/>
    <w:rsid w:val="00682200"/>
    <w:rsid w:val="00692BF6"/>
    <w:rsid w:val="006A1351"/>
    <w:rsid w:val="006A1497"/>
    <w:rsid w:val="006B0BD1"/>
    <w:rsid w:val="006B5404"/>
    <w:rsid w:val="006D20A5"/>
    <w:rsid w:val="006D37BF"/>
    <w:rsid w:val="00702E22"/>
    <w:rsid w:val="0072020E"/>
    <w:rsid w:val="00754902"/>
    <w:rsid w:val="007573FB"/>
    <w:rsid w:val="00786071"/>
    <w:rsid w:val="007A3ECB"/>
    <w:rsid w:val="007D7BB3"/>
    <w:rsid w:val="007E31E9"/>
    <w:rsid w:val="007F05E3"/>
    <w:rsid w:val="00824AB9"/>
    <w:rsid w:val="00836B35"/>
    <w:rsid w:val="00843BDE"/>
    <w:rsid w:val="008524B7"/>
    <w:rsid w:val="0087588C"/>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205CD"/>
    <w:rsid w:val="00A46C9A"/>
    <w:rsid w:val="00A619F3"/>
    <w:rsid w:val="00A62A73"/>
    <w:rsid w:val="00A87FF6"/>
    <w:rsid w:val="00A93D95"/>
    <w:rsid w:val="00AA0A3B"/>
    <w:rsid w:val="00AA2763"/>
    <w:rsid w:val="00AA33B6"/>
    <w:rsid w:val="00AB23CA"/>
    <w:rsid w:val="00AB50CA"/>
    <w:rsid w:val="00AB6D64"/>
    <w:rsid w:val="00AC53CE"/>
    <w:rsid w:val="00AD2193"/>
    <w:rsid w:val="00AF19F4"/>
    <w:rsid w:val="00AF2AC7"/>
    <w:rsid w:val="00AF74CE"/>
    <w:rsid w:val="00B208DB"/>
    <w:rsid w:val="00B23F69"/>
    <w:rsid w:val="00B60619"/>
    <w:rsid w:val="00B66A70"/>
    <w:rsid w:val="00B67366"/>
    <w:rsid w:val="00B80EE1"/>
    <w:rsid w:val="00B84135"/>
    <w:rsid w:val="00B85559"/>
    <w:rsid w:val="00BE2BED"/>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B3A86"/>
    <w:rsid w:val="00CD4F85"/>
    <w:rsid w:val="00CD6F02"/>
    <w:rsid w:val="00CE246D"/>
    <w:rsid w:val="00CF07A0"/>
    <w:rsid w:val="00CF3E03"/>
    <w:rsid w:val="00D0082A"/>
    <w:rsid w:val="00D21455"/>
    <w:rsid w:val="00D47634"/>
    <w:rsid w:val="00D709B3"/>
    <w:rsid w:val="00D74CD2"/>
    <w:rsid w:val="00D83A14"/>
    <w:rsid w:val="00DA2ED6"/>
    <w:rsid w:val="00DB1D55"/>
    <w:rsid w:val="00DB76B8"/>
    <w:rsid w:val="00DC2EA1"/>
    <w:rsid w:val="00DD6AAF"/>
    <w:rsid w:val="00DE3F5C"/>
    <w:rsid w:val="00DF1D20"/>
    <w:rsid w:val="00E21324"/>
    <w:rsid w:val="00E246B9"/>
    <w:rsid w:val="00E31FEA"/>
    <w:rsid w:val="00E45169"/>
    <w:rsid w:val="00E47787"/>
    <w:rsid w:val="00E51C30"/>
    <w:rsid w:val="00E53F83"/>
    <w:rsid w:val="00E64180"/>
    <w:rsid w:val="00E7235D"/>
    <w:rsid w:val="00E74AEE"/>
    <w:rsid w:val="00E868E5"/>
    <w:rsid w:val="00E9237A"/>
    <w:rsid w:val="00E939FA"/>
    <w:rsid w:val="00EA5765"/>
    <w:rsid w:val="00EC2532"/>
    <w:rsid w:val="00ED7812"/>
    <w:rsid w:val="00EF3B86"/>
    <w:rsid w:val="00F1189F"/>
    <w:rsid w:val="00F23EEB"/>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CD6A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8524B7"/>
    <w:rPr>
      <w:sz w:val="24"/>
      <w:szCs w:val="24"/>
      <w:lang w:val="en-US" w:eastAsia="en-US"/>
    </w:rPr>
  </w:style>
  <w:style w:type="paragraph" w:customStyle="1" w:styleId="EMEAEnBodyText">
    <w:name w:val="EMEA En Body Text"/>
    <w:basedOn w:val="Normal"/>
    <w:rsid w:val="008524B7"/>
    <w:pPr>
      <w:spacing w:before="120" w:after="120"/>
      <w:jc w:val="both"/>
    </w:pPr>
    <w:rPr>
      <w:rFonts w:eastAsia="Calibri"/>
      <w:noProof/>
      <w:sz w:val="22"/>
      <w:szCs w:val="20"/>
      <w:lang w:val="sr-Latn-ME"/>
    </w:rPr>
  </w:style>
  <w:style w:type="paragraph" w:customStyle="1" w:styleId="Default">
    <w:name w:val="Default"/>
    <w:rsid w:val="008524B7"/>
    <w:pPr>
      <w:autoSpaceDE w:val="0"/>
      <w:autoSpaceDN w:val="0"/>
      <w:adjustRightInd w:val="0"/>
      <w:ind w:left="397"/>
      <w:jc w:val="both"/>
    </w:pPr>
    <w:rPr>
      <w:color w:val="000000"/>
      <w:sz w:val="24"/>
      <w:szCs w:val="24"/>
    </w:rPr>
  </w:style>
  <w:style w:type="paragraph" w:styleId="BodyText3">
    <w:name w:val="Body Text 3"/>
    <w:basedOn w:val="Normal"/>
    <w:link w:val="BodyText3Char"/>
    <w:rsid w:val="008524B7"/>
    <w:pPr>
      <w:tabs>
        <w:tab w:val="left" w:pos="284"/>
      </w:tabs>
      <w:spacing w:after="120"/>
      <w:jc w:val="both"/>
    </w:pPr>
    <w:rPr>
      <w:rFonts w:ascii="Humanist777" w:hAnsi="Humanist777"/>
      <w:noProof/>
      <w:sz w:val="16"/>
      <w:szCs w:val="16"/>
      <w:lang w:val="sr-Latn-ME"/>
    </w:rPr>
  </w:style>
  <w:style w:type="character" w:customStyle="1" w:styleId="BodyText3Char">
    <w:name w:val="Body Text 3 Char"/>
    <w:basedOn w:val="DefaultParagraphFont"/>
    <w:link w:val="BodyText3"/>
    <w:rsid w:val="008524B7"/>
    <w:rPr>
      <w:rFonts w:ascii="Humanist777" w:hAnsi="Humanist777"/>
      <w:noProof/>
      <w:sz w:val="16"/>
      <w:szCs w:val="16"/>
      <w:lang w:eastAsia="en-US"/>
    </w:rPr>
  </w:style>
  <w:style w:type="paragraph" w:styleId="Revision">
    <w:name w:val="Revision"/>
    <w:hidden/>
    <w:uiPriority w:val="99"/>
    <w:semiHidden/>
    <w:rsid w:val="00A93D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C4B3-2D06-471C-86F5-3CDF251B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12753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3</cp:revision>
  <cp:lastPrinted>2023-02-09T08:16:00Z</cp:lastPrinted>
  <dcterms:created xsi:type="dcterms:W3CDTF">2025-02-21T11:46:00Z</dcterms:created>
  <dcterms:modified xsi:type="dcterms:W3CDTF">2025-02-24T11:56:00Z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