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A56A0" w14:textId="77777777" w:rsidR="001A5518" w:rsidRPr="00BD2023" w:rsidRDefault="001A5518" w:rsidP="008C3B84">
      <w:pPr>
        <w:jc w:val="both"/>
        <w:rPr>
          <w:b/>
          <w:bCs/>
          <w:i/>
          <w:iCs/>
          <w:sz w:val="22"/>
          <w:szCs w:val="22"/>
          <w:u w:val="single"/>
          <w:lang w:val="sr-Latn-ME"/>
        </w:rPr>
      </w:pPr>
    </w:p>
    <w:p w14:paraId="7869E800" w14:textId="77777777" w:rsidR="00F91C7B" w:rsidRPr="00BD2023" w:rsidRDefault="00F91C7B" w:rsidP="001A5518">
      <w:pPr>
        <w:rPr>
          <w:b/>
          <w:bCs/>
          <w:i/>
          <w:iCs/>
          <w:sz w:val="22"/>
          <w:szCs w:val="22"/>
          <w:u w:val="single"/>
          <w:lang w:val="sr-Latn-ME"/>
        </w:rPr>
      </w:pPr>
    </w:p>
    <w:p w14:paraId="11F64AD4" w14:textId="77777777" w:rsidR="002510A5" w:rsidRPr="00BD2023" w:rsidRDefault="002510A5" w:rsidP="002510A5">
      <w:pPr>
        <w:jc w:val="center"/>
        <w:rPr>
          <w:b/>
          <w:bCs/>
          <w:iCs/>
          <w:sz w:val="22"/>
          <w:szCs w:val="22"/>
          <w:u w:val="single"/>
          <w:lang w:val="sr-Latn-ME"/>
        </w:rPr>
      </w:pPr>
      <w:r w:rsidRPr="00BD2023">
        <w:rPr>
          <w:b/>
          <w:bCs/>
          <w:iCs/>
          <w:sz w:val="22"/>
          <w:szCs w:val="22"/>
          <w:u w:val="single"/>
          <w:lang w:val="sr-Latn-ME"/>
        </w:rPr>
        <w:t>SAŽETAK KARAKTERISTIKA LIJEKA</w:t>
      </w:r>
    </w:p>
    <w:p w14:paraId="30A16030" w14:textId="77777777" w:rsidR="002510A5" w:rsidRPr="00BD2023" w:rsidRDefault="002510A5" w:rsidP="002510A5">
      <w:pPr>
        <w:rPr>
          <w:b/>
          <w:bCs/>
          <w:i/>
          <w:iCs/>
          <w:sz w:val="22"/>
          <w:szCs w:val="22"/>
          <w:u w:val="single"/>
          <w:lang w:val="sr-Latn-ME"/>
        </w:rPr>
      </w:pPr>
    </w:p>
    <w:p w14:paraId="39F3DB9E" w14:textId="77777777" w:rsidR="003C17AB" w:rsidRPr="00BD2023" w:rsidRDefault="003C17AB" w:rsidP="00CA1FEB">
      <w:pPr>
        <w:rPr>
          <w:sz w:val="22"/>
          <w:szCs w:val="22"/>
          <w:lang w:val="sr-Latn-ME"/>
        </w:rPr>
      </w:pPr>
    </w:p>
    <w:p w14:paraId="5B3D0F7E" w14:textId="77777777" w:rsidR="00C37FD7" w:rsidRPr="00BD2023" w:rsidRDefault="005C5EF4" w:rsidP="00C05DF8">
      <w:pPr>
        <w:tabs>
          <w:tab w:val="left" w:pos="540"/>
          <w:tab w:val="left" w:pos="569"/>
        </w:tabs>
        <w:jc w:val="both"/>
        <w:rPr>
          <w:bCs/>
          <w:i/>
          <w:sz w:val="22"/>
          <w:szCs w:val="22"/>
          <w:lang w:val="sr-Latn-ME"/>
        </w:rPr>
      </w:pPr>
      <w:r w:rsidRPr="00BD2023">
        <w:rPr>
          <w:noProof/>
          <w:sz w:val="22"/>
          <w:szCs w:val="22"/>
        </w:rPr>
        <w:drawing>
          <wp:inline distT="0" distB="0" distL="0" distR="0" wp14:anchorId="10C8A2E0" wp14:editId="7C1D32DA">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003C17AB" w:rsidRPr="00BD2023">
        <w:rPr>
          <w:sz w:val="22"/>
          <w:szCs w:val="22"/>
          <w:lang w:val="sr-Latn-ME"/>
        </w:rPr>
        <w:t xml:space="preserve"> Ovaj lijek je pod dodatnim praćenjem. Time se omogućava brzo otkrivanje novih bezbjednosnih informacija. Zdravstveni radnici treba da prijave svaku sumnju na neželjeno dejstvo ovog lijeka. Za način prijavljivanja neželjenih dejstava vidjeti </w:t>
      </w:r>
      <w:r w:rsidR="007A3ECB" w:rsidRPr="00BD2023">
        <w:rPr>
          <w:sz w:val="22"/>
          <w:szCs w:val="22"/>
          <w:lang w:val="sr-Latn-ME"/>
        </w:rPr>
        <w:t xml:space="preserve">dio </w:t>
      </w:r>
      <w:r w:rsidR="003C17AB" w:rsidRPr="00BD2023">
        <w:rPr>
          <w:sz w:val="22"/>
          <w:szCs w:val="22"/>
          <w:lang w:val="sr-Latn-ME"/>
        </w:rPr>
        <w:t>4.8.</w:t>
      </w:r>
      <w:r w:rsidR="00107BF7" w:rsidRPr="00BD2023">
        <w:rPr>
          <w:sz w:val="22"/>
          <w:szCs w:val="22"/>
          <w:lang w:val="sr-Latn-ME"/>
        </w:rPr>
        <w:t xml:space="preserve"> </w:t>
      </w:r>
    </w:p>
    <w:p w14:paraId="50883F78" w14:textId="77777777" w:rsidR="003C17AB" w:rsidRPr="00BD2023" w:rsidRDefault="003C17AB" w:rsidP="00F5167F">
      <w:pPr>
        <w:tabs>
          <w:tab w:val="left" w:pos="540"/>
          <w:tab w:val="left" w:pos="569"/>
        </w:tabs>
        <w:rPr>
          <w:sz w:val="22"/>
          <w:szCs w:val="22"/>
          <w:lang w:val="sr-Latn-ME"/>
        </w:rPr>
      </w:pPr>
    </w:p>
    <w:p w14:paraId="15F7D19D" w14:textId="77777777" w:rsidR="00C37FD7" w:rsidRPr="00BD2023" w:rsidRDefault="00C37FD7" w:rsidP="00F5167F">
      <w:pPr>
        <w:tabs>
          <w:tab w:val="left" w:pos="540"/>
          <w:tab w:val="left" w:pos="569"/>
        </w:tabs>
        <w:rPr>
          <w:bCs/>
          <w:sz w:val="22"/>
          <w:szCs w:val="22"/>
          <w:lang w:val="sr-Latn-ME"/>
        </w:rPr>
      </w:pPr>
    </w:p>
    <w:p w14:paraId="5F31208A" w14:textId="77777777" w:rsidR="00411B4B" w:rsidRPr="00BD2023" w:rsidRDefault="00411B4B" w:rsidP="00F5167F">
      <w:pPr>
        <w:tabs>
          <w:tab w:val="left" w:pos="540"/>
          <w:tab w:val="left" w:pos="569"/>
        </w:tabs>
        <w:rPr>
          <w:b/>
          <w:bCs/>
          <w:sz w:val="22"/>
          <w:szCs w:val="22"/>
          <w:lang w:val="sr-Latn-ME"/>
        </w:rPr>
      </w:pPr>
      <w:r w:rsidRPr="00BD2023">
        <w:rPr>
          <w:b/>
          <w:bCs/>
          <w:sz w:val="22"/>
          <w:szCs w:val="22"/>
          <w:lang w:val="sr-Latn-ME"/>
        </w:rPr>
        <w:t>1.</w:t>
      </w:r>
      <w:r w:rsidR="00F5167F" w:rsidRPr="00BD2023">
        <w:rPr>
          <w:b/>
          <w:bCs/>
          <w:sz w:val="22"/>
          <w:szCs w:val="22"/>
          <w:lang w:val="sr-Latn-ME"/>
        </w:rPr>
        <w:tab/>
      </w:r>
      <w:r w:rsidR="002846DB" w:rsidRPr="00BD2023">
        <w:rPr>
          <w:b/>
          <w:bCs/>
          <w:sz w:val="22"/>
          <w:szCs w:val="22"/>
          <w:lang w:val="sr-Latn-ME"/>
        </w:rPr>
        <w:t xml:space="preserve">NAZIV </w:t>
      </w:r>
      <w:r w:rsidRPr="00BD2023">
        <w:rPr>
          <w:b/>
          <w:bCs/>
          <w:sz w:val="22"/>
          <w:szCs w:val="22"/>
          <w:lang w:val="sr-Latn-ME"/>
        </w:rPr>
        <w:t>LIJEKA</w:t>
      </w:r>
    </w:p>
    <w:p w14:paraId="7ABA4A49" w14:textId="77777777" w:rsidR="00EC2532" w:rsidRPr="00BD2023" w:rsidRDefault="00EC2532" w:rsidP="007F0488">
      <w:pPr>
        <w:tabs>
          <w:tab w:val="left" w:pos="540"/>
          <w:tab w:val="left" w:pos="569"/>
        </w:tabs>
        <w:rPr>
          <w:bCs/>
          <w:sz w:val="22"/>
          <w:szCs w:val="22"/>
          <w:lang w:val="sr-Latn-ME"/>
        </w:rPr>
      </w:pPr>
    </w:p>
    <w:p w14:paraId="57C0D1E6" w14:textId="5D37DE66" w:rsidR="007F0488" w:rsidRPr="00BD2023" w:rsidRDefault="007F0488" w:rsidP="007F0488">
      <w:pPr>
        <w:tabs>
          <w:tab w:val="left" w:pos="540"/>
          <w:tab w:val="left" w:pos="569"/>
        </w:tabs>
        <w:rPr>
          <w:bCs/>
          <w:sz w:val="22"/>
          <w:szCs w:val="22"/>
          <w:lang w:val="sr-Latn-ME"/>
        </w:rPr>
      </w:pPr>
      <w:r w:rsidRPr="00BD2023">
        <w:rPr>
          <w:bCs/>
          <w:sz w:val="22"/>
          <w:szCs w:val="22"/>
          <w:lang w:val="sr-Latn-ME"/>
        </w:rPr>
        <w:t>Evrysdi 0,75 mg/</w:t>
      </w:r>
      <w:r w:rsidR="008C4153" w:rsidRPr="00BD2023">
        <w:rPr>
          <w:bCs/>
          <w:sz w:val="22"/>
          <w:szCs w:val="22"/>
          <w:lang w:val="sr-Latn-ME"/>
        </w:rPr>
        <w:t>ml</w:t>
      </w:r>
      <w:r w:rsidRPr="00BD2023">
        <w:rPr>
          <w:bCs/>
          <w:sz w:val="22"/>
          <w:szCs w:val="22"/>
          <w:lang w:val="sr-Latn-ME"/>
        </w:rPr>
        <w:t xml:space="preserve"> prašak za oralni rastvor</w:t>
      </w:r>
    </w:p>
    <w:p w14:paraId="1B41364E" w14:textId="77777777" w:rsidR="000D425A" w:rsidRPr="00BD2023" w:rsidRDefault="000D425A">
      <w:pPr>
        <w:rPr>
          <w:bCs/>
          <w:sz w:val="22"/>
          <w:szCs w:val="22"/>
          <w:lang w:val="sr-Latn-ME"/>
        </w:rPr>
      </w:pPr>
    </w:p>
    <w:p w14:paraId="2FCD0855" w14:textId="77777777" w:rsidR="006D20A5" w:rsidRPr="00BD2023" w:rsidRDefault="006D20A5" w:rsidP="006D20A5">
      <w:pPr>
        <w:rPr>
          <w:sz w:val="22"/>
          <w:szCs w:val="22"/>
          <w:lang w:val="sr-Latn-ME"/>
        </w:rPr>
      </w:pPr>
      <w:r w:rsidRPr="00BD2023">
        <w:rPr>
          <w:sz w:val="22"/>
          <w:szCs w:val="22"/>
          <w:lang w:val="sr-Latn-ME"/>
        </w:rPr>
        <w:t>INN:</w:t>
      </w:r>
      <w:r w:rsidR="007F0488" w:rsidRPr="00BD2023">
        <w:rPr>
          <w:sz w:val="22"/>
          <w:szCs w:val="22"/>
          <w:lang w:val="sr-Latn-ME"/>
        </w:rPr>
        <w:t xml:space="preserve"> risdiplam</w:t>
      </w:r>
    </w:p>
    <w:p w14:paraId="67C56EFB" w14:textId="77777777" w:rsidR="006D20A5" w:rsidRPr="00BD2023" w:rsidRDefault="006D20A5">
      <w:pPr>
        <w:rPr>
          <w:bCs/>
          <w:sz w:val="22"/>
          <w:szCs w:val="22"/>
          <w:lang w:val="sr-Latn-ME"/>
        </w:rPr>
      </w:pPr>
    </w:p>
    <w:p w14:paraId="1C3F85AD" w14:textId="77777777" w:rsidR="00530BD7" w:rsidRPr="00BD2023" w:rsidRDefault="00530BD7">
      <w:pPr>
        <w:rPr>
          <w:bCs/>
          <w:sz w:val="22"/>
          <w:szCs w:val="22"/>
          <w:lang w:val="sr-Latn-ME"/>
        </w:rPr>
      </w:pPr>
    </w:p>
    <w:p w14:paraId="4BF8064E" w14:textId="398FAC88" w:rsidR="00411B4B" w:rsidRPr="00BD2023" w:rsidRDefault="00411B4B" w:rsidP="00F5167F">
      <w:pPr>
        <w:tabs>
          <w:tab w:val="left" w:pos="540"/>
          <w:tab w:val="left" w:pos="569"/>
        </w:tabs>
        <w:rPr>
          <w:b/>
          <w:bCs/>
          <w:sz w:val="22"/>
          <w:szCs w:val="22"/>
          <w:lang w:val="sr-Latn-ME"/>
        </w:rPr>
      </w:pPr>
      <w:r w:rsidRPr="00BD2023">
        <w:rPr>
          <w:b/>
          <w:bCs/>
          <w:sz w:val="22"/>
          <w:szCs w:val="22"/>
          <w:lang w:val="sr-Latn-ME"/>
        </w:rPr>
        <w:t>2.</w:t>
      </w:r>
      <w:r w:rsidR="00F5167F" w:rsidRPr="00BD2023">
        <w:rPr>
          <w:b/>
          <w:bCs/>
          <w:sz w:val="22"/>
          <w:szCs w:val="22"/>
          <w:lang w:val="sr-Latn-ME"/>
        </w:rPr>
        <w:tab/>
      </w:r>
      <w:r w:rsidRPr="00BD2023">
        <w:rPr>
          <w:b/>
          <w:bCs/>
          <w:sz w:val="22"/>
          <w:szCs w:val="22"/>
          <w:lang w:val="sr-Latn-ME"/>
        </w:rPr>
        <w:t>KVALITATIVNI I KVANTITATIVNI SASTAV</w:t>
      </w:r>
    </w:p>
    <w:p w14:paraId="0516AA9E" w14:textId="77777777" w:rsidR="007F0488" w:rsidRPr="00BD2023" w:rsidRDefault="007F0488" w:rsidP="00F5167F">
      <w:pPr>
        <w:tabs>
          <w:tab w:val="left" w:pos="540"/>
          <w:tab w:val="left" w:pos="569"/>
        </w:tabs>
        <w:rPr>
          <w:b/>
          <w:bCs/>
          <w:sz w:val="22"/>
          <w:szCs w:val="22"/>
          <w:lang w:val="sr-Latn-ME"/>
        </w:rPr>
      </w:pPr>
    </w:p>
    <w:p w14:paraId="519C1F6D" w14:textId="3D7A9326" w:rsidR="007F0488" w:rsidRPr="00BD2023" w:rsidRDefault="007F0488" w:rsidP="007F0488">
      <w:pPr>
        <w:tabs>
          <w:tab w:val="left" w:pos="540"/>
          <w:tab w:val="left" w:pos="569"/>
        </w:tabs>
        <w:rPr>
          <w:bCs/>
          <w:sz w:val="22"/>
          <w:szCs w:val="22"/>
          <w:lang w:val="sr-Latn-ME"/>
        </w:rPr>
      </w:pPr>
      <w:r w:rsidRPr="00BD2023">
        <w:rPr>
          <w:bCs/>
          <w:sz w:val="22"/>
          <w:szCs w:val="22"/>
          <w:lang w:val="sr-Latn-ME"/>
        </w:rPr>
        <w:t xml:space="preserve">Svaka </w:t>
      </w:r>
      <w:r w:rsidR="00AE0F3E" w:rsidRPr="00BD2023">
        <w:rPr>
          <w:bCs/>
          <w:sz w:val="22"/>
          <w:szCs w:val="22"/>
          <w:lang w:val="sr-Latn-ME"/>
        </w:rPr>
        <w:t>boc</w:t>
      </w:r>
      <w:r w:rsidRPr="00BD2023">
        <w:rPr>
          <w:bCs/>
          <w:sz w:val="22"/>
          <w:szCs w:val="22"/>
          <w:lang w:val="sr-Latn-ME"/>
        </w:rPr>
        <w:t>a sadrži 60 mg risdiplama u 2 g praška za oralni rastvor.</w:t>
      </w:r>
    </w:p>
    <w:p w14:paraId="6D6E82FE" w14:textId="77777777" w:rsidR="007F0488" w:rsidRPr="00BD2023" w:rsidRDefault="007F0488" w:rsidP="007F0488">
      <w:pPr>
        <w:tabs>
          <w:tab w:val="left" w:pos="540"/>
          <w:tab w:val="left" w:pos="569"/>
        </w:tabs>
        <w:rPr>
          <w:bCs/>
          <w:sz w:val="22"/>
          <w:szCs w:val="22"/>
          <w:lang w:val="sr-Latn-ME"/>
        </w:rPr>
      </w:pPr>
    </w:p>
    <w:p w14:paraId="43A447C7" w14:textId="435BE90A" w:rsidR="007F0488" w:rsidRPr="00BD2023" w:rsidRDefault="007F0488" w:rsidP="007F0488">
      <w:pPr>
        <w:tabs>
          <w:tab w:val="left" w:pos="540"/>
          <w:tab w:val="left" w:pos="569"/>
        </w:tabs>
        <w:rPr>
          <w:bCs/>
          <w:sz w:val="22"/>
          <w:szCs w:val="22"/>
          <w:lang w:val="sr-Latn-ME"/>
        </w:rPr>
      </w:pPr>
      <w:r w:rsidRPr="00BD2023">
        <w:rPr>
          <w:bCs/>
          <w:sz w:val="22"/>
          <w:szCs w:val="22"/>
          <w:lang w:val="sr-Latn-ME"/>
        </w:rPr>
        <w:t xml:space="preserve">Svaki </w:t>
      </w:r>
      <w:r w:rsidR="008C4153" w:rsidRPr="00BD2023">
        <w:rPr>
          <w:bCs/>
          <w:sz w:val="22"/>
          <w:szCs w:val="22"/>
          <w:lang w:val="sr-Latn-ME"/>
        </w:rPr>
        <w:t>ml</w:t>
      </w:r>
      <w:r w:rsidRPr="00BD2023">
        <w:rPr>
          <w:bCs/>
          <w:sz w:val="22"/>
          <w:szCs w:val="22"/>
          <w:lang w:val="sr-Latn-ME"/>
        </w:rPr>
        <w:t xml:space="preserve"> pripremljenog rastvora sadrži 0,75 mg risdiplama.</w:t>
      </w:r>
    </w:p>
    <w:p w14:paraId="106280BA" w14:textId="77777777" w:rsidR="007F0488" w:rsidRPr="00BD2023" w:rsidRDefault="007F0488" w:rsidP="007F0488">
      <w:pPr>
        <w:tabs>
          <w:tab w:val="left" w:pos="540"/>
          <w:tab w:val="left" w:pos="569"/>
        </w:tabs>
        <w:rPr>
          <w:bCs/>
          <w:sz w:val="22"/>
          <w:szCs w:val="22"/>
          <w:lang w:val="sr-Latn-ME"/>
        </w:rPr>
      </w:pPr>
    </w:p>
    <w:p w14:paraId="2DF11479" w14:textId="5055A424" w:rsidR="007F0488" w:rsidRPr="00BD2023" w:rsidRDefault="007F0488" w:rsidP="007F0488">
      <w:pPr>
        <w:tabs>
          <w:tab w:val="left" w:pos="540"/>
          <w:tab w:val="left" w:pos="569"/>
        </w:tabs>
        <w:rPr>
          <w:bCs/>
          <w:sz w:val="22"/>
          <w:szCs w:val="22"/>
          <w:lang w:val="sr-Latn-ME"/>
        </w:rPr>
      </w:pPr>
      <w:r w:rsidRPr="00BD2023">
        <w:rPr>
          <w:bCs/>
          <w:sz w:val="22"/>
          <w:szCs w:val="22"/>
          <w:lang w:val="sr-Latn-ME"/>
        </w:rPr>
        <w:t>Pomoćne supstance sa poznatim dejstv</w:t>
      </w:r>
      <w:r w:rsidR="005529FB" w:rsidRPr="00BD2023">
        <w:rPr>
          <w:bCs/>
          <w:sz w:val="22"/>
          <w:szCs w:val="22"/>
          <w:lang w:val="sr-Latn-ME"/>
        </w:rPr>
        <w:t>om:</w:t>
      </w:r>
    </w:p>
    <w:p w14:paraId="14AB2294" w14:textId="77777777" w:rsidR="007F0488" w:rsidRPr="00BD2023" w:rsidRDefault="007F0488" w:rsidP="007F0488">
      <w:pPr>
        <w:tabs>
          <w:tab w:val="left" w:pos="540"/>
          <w:tab w:val="left" w:pos="569"/>
        </w:tabs>
        <w:rPr>
          <w:bCs/>
          <w:sz w:val="22"/>
          <w:szCs w:val="22"/>
          <w:lang w:val="sr-Latn-ME"/>
        </w:rPr>
      </w:pPr>
    </w:p>
    <w:p w14:paraId="045A3939" w14:textId="0086E7C0" w:rsidR="007F0488" w:rsidRPr="00BD2023" w:rsidRDefault="007F0488" w:rsidP="007F0488">
      <w:pPr>
        <w:tabs>
          <w:tab w:val="left" w:pos="540"/>
          <w:tab w:val="left" w:pos="569"/>
        </w:tabs>
        <w:rPr>
          <w:bCs/>
          <w:sz w:val="22"/>
          <w:szCs w:val="22"/>
          <w:lang w:val="sr-Latn-ME"/>
        </w:rPr>
      </w:pPr>
      <w:r w:rsidRPr="00BD2023">
        <w:rPr>
          <w:bCs/>
          <w:sz w:val="22"/>
          <w:szCs w:val="22"/>
          <w:lang w:val="sr-Latn-ME"/>
        </w:rPr>
        <w:t xml:space="preserve">Svaki </w:t>
      </w:r>
      <w:r w:rsidR="008C4153" w:rsidRPr="00BD2023">
        <w:rPr>
          <w:bCs/>
          <w:sz w:val="22"/>
          <w:szCs w:val="22"/>
          <w:lang w:val="sr-Latn-ME"/>
        </w:rPr>
        <w:t>ml</w:t>
      </w:r>
      <w:r w:rsidRPr="00BD2023">
        <w:rPr>
          <w:bCs/>
          <w:sz w:val="22"/>
          <w:szCs w:val="22"/>
          <w:lang w:val="sr-Latn-ME"/>
        </w:rPr>
        <w:t xml:space="preserve"> sadrži 0,38 mg natrijum</w:t>
      </w:r>
      <w:r w:rsidR="005529FB" w:rsidRPr="00BD2023">
        <w:rPr>
          <w:bCs/>
          <w:sz w:val="22"/>
          <w:szCs w:val="22"/>
          <w:lang w:val="sr-Latn-ME"/>
        </w:rPr>
        <w:t xml:space="preserve"> </w:t>
      </w:r>
      <w:r w:rsidRPr="00BD2023">
        <w:rPr>
          <w:bCs/>
          <w:sz w:val="22"/>
          <w:szCs w:val="22"/>
          <w:lang w:val="sr-Latn-ME"/>
        </w:rPr>
        <w:t>benzoata (E 211) i 2,97 mg izomalta (E 953).</w:t>
      </w:r>
    </w:p>
    <w:p w14:paraId="1451EEB1" w14:textId="77777777" w:rsidR="005A0B2E" w:rsidRPr="00BD2023" w:rsidRDefault="005A0B2E">
      <w:pPr>
        <w:rPr>
          <w:sz w:val="22"/>
          <w:szCs w:val="22"/>
          <w:lang w:val="sr-Latn-ME"/>
        </w:rPr>
      </w:pPr>
    </w:p>
    <w:p w14:paraId="263EAB82" w14:textId="77777777" w:rsidR="0003793F" w:rsidRPr="00BD2023" w:rsidRDefault="0003793F">
      <w:pPr>
        <w:rPr>
          <w:sz w:val="22"/>
          <w:szCs w:val="22"/>
          <w:lang w:val="sr-Latn-ME"/>
        </w:rPr>
      </w:pPr>
      <w:r w:rsidRPr="00BD2023">
        <w:rPr>
          <w:sz w:val="22"/>
          <w:szCs w:val="22"/>
          <w:lang w:val="sr-Latn-ME"/>
        </w:rPr>
        <w:t xml:space="preserve">Za spisak svih ekscipijenasa, </w:t>
      </w:r>
      <w:bookmarkStart w:id="0" w:name="_GoBack"/>
      <w:r w:rsidRPr="00BD2023">
        <w:rPr>
          <w:sz w:val="22"/>
          <w:szCs w:val="22"/>
          <w:lang w:val="sr-Latn-ME"/>
        </w:rPr>
        <w:t>pogle</w:t>
      </w:r>
      <w:bookmarkEnd w:id="0"/>
      <w:r w:rsidRPr="00BD2023">
        <w:rPr>
          <w:sz w:val="22"/>
          <w:szCs w:val="22"/>
          <w:lang w:val="sr-Latn-ME"/>
        </w:rPr>
        <w:t>dati dio 6.1.</w:t>
      </w:r>
    </w:p>
    <w:p w14:paraId="4D465E56" w14:textId="77777777" w:rsidR="0003793F" w:rsidRPr="00BD2023" w:rsidRDefault="0003793F">
      <w:pPr>
        <w:rPr>
          <w:sz w:val="22"/>
          <w:szCs w:val="22"/>
          <w:lang w:val="sr-Latn-ME"/>
        </w:rPr>
      </w:pPr>
    </w:p>
    <w:p w14:paraId="1F9DE75B" w14:textId="77777777" w:rsidR="00C37FD7" w:rsidRPr="00BD2023" w:rsidRDefault="00C37FD7">
      <w:pPr>
        <w:rPr>
          <w:sz w:val="22"/>
          <w:szCs w:val="22"/>
          <w:lang w:val="sr-Latn-ME"/>
        </w:rPr>
      </w:pPr>
    </w:p>
    <w:p w14:paraId="07C146EF" w14:textId="77777777" w:rsidR="00411B4B" w:rsidRPr="00BD2023" w:rsidRDefault="00411B4B" w:rsidP="00F5167F">
      <w:pPr>
        <w:tabs>
          <w:tab w:val="left" w:pos="540"/>
          <w:tab w:val="left" w:pos="569"/>
        </w:tabs>
        <w:rPr>
          <w:bCs/>
          <w:sz w:val="22"/>
          <w:szCs w:val="22"/>
          <w:lang w:val="sr-Latn-ME"/>
        </w:rPr>
      </w:pPr>
      <w:r w:rsidRPr="00BD2023">
        <w:rPr>
          <w:b/>
          <w:bCs/>
          <w:sz w:val="22"/>
          <w:szCs w:val="22"/>
          <w:lang w:val="sr-Latn-ME"/>
        </w:rPr>
        <w:t xml:space="preserve">3. </w:t>
      </w:r>
      <w:r w:rsidR="00F5167F" w:rsidRPr="00BD2023">
        <w:rPr>
          <w:b/>
          <w:bCs/>
          <w:sz w:val="22"/>
          <w:szCs w:val="22"/>
          <w:lang w:val="sr-Latn-ME"/>
        </w:rPr>
        <w:tab/>
      </w:r>
      <w:r w:rsidRPr="00BD2023">
        <w:rPr>
          <w:b/>
          <w:bCs/>
          <w:sz w:val="22"/>
          <w:szCs w:val="22"/>
          <w:lang w:val="sr-Latn-ME"/>
        </w:rPr>
        <w:t>FARMACEUTSKI OBLIK</w:t>
      </w:r>
      <w:r w:rsidR="009F2D23" w:rsidRPr="00BD2023">
        <w:rPr>
          <w:b/>
          <w:bCs/>
          <w:sz w:val="22"/>
          <w:szCs w:val="22"/>
          <w:lang w:val="sr-Latn-ME"/>
        </w:rPr>
        <w:t xml:space="preserve"> </w:t>
      </w:r>
    </w:p>
    <w:p w14:paraId="1CCAED22" w14:textId="77777777" w:rsidR="007F0488" w:rsidRPr="00BD2023" w:rsidRDefault="007F0488" w:rsidP="00F5167F">
      <w:pPr>
        <w:tabs>
          <w:tab w:val="left" w:pos="540"/>
          <w:tab w:val="left" w:pos="569"/>
        </w:tabs>
        <w:rPr>
          <w:bCs/>
          <w:sz w:val="22"/>
          <w:szCs w:val="22"/>
          <w:lang w:val="sr-Latn-ME"/>
        </w:rPr>
      </w:pPr>
    </w:p>
    <w:p w14:paraId="09E45D8B" w14:textId="77777777" w:rsidR="005529FB" w:rsidRPr="00BD2023" w:rsidRDefault="007F0488" w:rsidP="007F0488">
      <w:pPr>
        <w:tabs>
          <w:tab w:val="left" w:pos="540"/>
          <w:tab w:val="left" w:pos="569"/>
        </w:tabs>
        <w:rPr>
          <w:bCs/>
          <w:sz w:val="22"/>
          <w:szCs w:val="22"/>
          <w:lang w:val="sr-Latn-ME"/>
        </w:rPr>
      </w:pPr>
      <w:r w:rsidRPr="00BD2023">
        <w:rPr>
          <w:bCs/>
          <w:sz w:val="22"/>
          <w:szCs w:val="22"/>
          <w:lang w:val="sr-Latn-ME"/>
        </w:rPr>
        <w:t xml:space="preserve">Prašak za oralni rastvor. </w:t>
      </w:r>
    </w:p>
    <w:p w14:paraId="2FF7EE92" w14:textId="52756F17" w:rsidR="007F0488" w:rsidRPr="00BD2023" w:rsidRDefault="007F0488" w:rsidP="007F0488">
      <w:pPr>
        <w:tabs>
          <w:tab w:val="left" w:pos="540"/>
          <w:tab w:val="left" w:pos="569"/>
        </w:tabs>
        <w:rPr>
          <w:bCs/>
          <w:sz w:val="22"/>
          <w:szCs w:val="22"/>
          <w:lang w:val="sr-Latn-ME"/>
        </w:rPr>
      </w:pPr>
      <w:r w:rsidRPr="00BD2023">
        <w:rPr>
          <w:bCs/>
          <w:sz w:val="22"/>
          <w:szCs w:val="22"/>
          <w:lang w:val="sr-Latn-ME"/>
        </w:rPr>
        <w:t>Sv</w:t>
      </w:r>
      <w:r w:rsidR="00E7182D" w:rsidRPr="00BD2023">
        <w:rPr>
          <w:bCs/>
          <w:sz w:val="22"/>
          <w:szCs w:val="22"/>
          <w:lang w:val="sr-Latn-ME"/>
        </w:rPr>
        <w:t>ij</w:t>
      </w:r>
      <w:r w:rsidRPr="00BD2023">
        <w:rPr>
          <w:bCs/>
          <w:sz w:val="22"/>
          <w:szCs w:val="22"/>
          <w:lang w:val="sr-Latn-ME"/>
        </w:rPr>
        <w:t>etložuti, žuti, sivkasto žuti, zelenkasto žuti ili sv</w:t>
      </w:r>
      <w:r w:rsidR="00E7182D" w:rsidRPr="00BD2023">
        <w:rPr>
          <w:bCs/>
          <w:sz w:val="22"/>
          <w:szCs w:val="22"/>
          <w:lang w:val="sr-Latn-ME"/>
        </w:rPr>
        <w:t>ij</w:t>
      </w:r>
      <w:r w:rsidRPr="00BD2023">
        <w:rPr>
          <w:bCs/>
          <w:sz w:val="22"/>
          <w:szCs w:val="22"/>
          <w:lang w:val="sr-Latn-ME"/>
        </w:rPr>
        <w:t>etlozeleni prašak.</w:t>
      </w:r>
    </w:p>
    <w:p w14:paraId="558819E0" w14:textId="77777777" w:rsidR="00411B4B" w:rsidRPr="00BD2023" w:rsidRDefault="00411B4B">
      <w:pPr>
        <w:rPr>
          <w:bCs/>
          <w:sz w:val="22"/>
          <w:szCs w:val="22"/>
          <w:lang w:val="sr-Latn-ME"/>
        </w:rPr>
      </w:pPr>
    </w:p>
    <w:p w14:paraId="6155811D" w14:textId="77777777" w:rsidR="007F0488" w:rsidRPr="00BD2023" w:rsidRDefault="007F0488" w:rsidP="00F5167F">
      <w:pPr>
        <w:tabs>
          <w:tab w:val="left" w:pos="540"/>
          <w:tab w:val="left" w:pos="569"/>
        </w:tabs>
        <w:rPr>
          <w:b/>
          <w:bCs/>
          <w:sz w:val="22"/>
          <w:szCs w:val="22"/>
          <w:lang w:val="sr-Latn-ME"/>
        </w:rPr>
      </w:pPr>
    </w:p>
    <w:p w14:paraId="28470E1A" w14:textId="77777777" w:rsidR="00411B4B" w:rsidRPr="00BD2023" w:rsidRDefault="00411B4B" w:rsidP="00BC480A">
      <w:pPr>
        <w:tabs>
          <w:tab w:val="left" w:pos="540"/>
          <w:tab w:val="left" w:pos="569"/>
        </w:tabs>
        <w:jc w:val="both"/>
        <w:rPr>
          <w:b/>
          <w:bCs/>
          <w:sz w:val="22"/>
          <w:szCs w:val="22"/>
          <w:lang w:val="sr-Latn-ME"/>
        </w:rPr>
      </w:pPr>
      <w:r w:rsidRPr="00BD2023">
        <w:rPr>
          <w:b/>
          <w:bCs/>
          <w:sz w:val="22"/>
          <w:szCs w:val="22"/>
          <w:lang w:val="sr-Latn-ME"/>
        </w:rPr>
        <w:t xml:space="preserve">4. </w:t>
      </w:r>
      <w:r w:rsidR="00480FB1" w:rsidRPr="00BD2023">
        <w:rPr>
          <w:b/>
          <w:bCs/>
          <w:sz w:val="22"/>
          <w:szCs w:val="22"/>
          <w:lang w:val="sr-Latn-ME"/>
        </w:rPr>
        <w:tab/>
      </w:r>
      <w:r w:rsidRPr="00BD2023">
        <w:rPr>
          <w:b/>
          <w:bCs/>
          <w:sz w:val="22"/>
          <w:szCs w:val="22"/>
          <w:lang w:val="sr-Latn-ME"/>
        </w:rPr>
        <w:t>KLINIČKI PODACI</w:t>
      </w:r>
    </w:p>
    <w:p w14:paraId="48F4C9BF" w14:textId="77777777" w:rsidR="00CD6F02" w:rsidRPr="00BD2023" w:rsidRDefault="00CD6F02" w:rsidP="00BC480A">
      <w:pPr>
        <w:tabs>
          <w:tab w:val="left" w:pos="540"/>
          <w:tab w:val="left" w:pos="569"/>
        </w:tabs>
        <w:jc w:val="both"/>
        <w:rPr>
          <w:bCs/>
          <w:sz w:val="22"/>
          <w:szCs w:val="22"/>
          <w:lang w:val="sr-Latn-ME"/>
        </w:rPr>
      </w:pPr>
    </w:p>
    <w:p w14:paraId="71EC771B" w14:textId="77777777" w:rsidR="00411B4B" w:rsidRPr="00BD2023" w:rsidRDefault="00411B4B" w:rsidP="00BC480A">
      <w:pPr>
        <w:tabs>
          <w:tab w:val="left" w:pos="540"/>
          <w:tab w:val="left" w:pos="569"/>
        </w:tabs>
        <w:jc w:val="both"/>
        <w:rPr>
          <w:b/>
          <w:bCs/>
          <w:sz w:val="22"/>
          <w:szCs w:val="22"/>
          <w:lang w:val="sr-Latn-ME"/>
        </w:rPr>
      </w:pPr>
      <w:r w:rsidRPr="00BD2023">
        <w:rPr>
          <w:b/>
          <w:bCs/>
          <w:sz w:val="22"/>
          <w:szCs w:val="22"/>
          <w:lang w:val="sr-Latn-ME"/>
        </w:rPr>
        <w:t xml:space="preserve">4.1. </w:t>
      </w:r>
      <w:r w:rsidR="00480FB1" w:rsidRPr="00BD2023">
        <w:rPr>
          <w:b/>
          <w:bCs/>
          <w:sz w:val="22"/>
          <w:szCs w:val="22"/>
          <w:lang w:val="sr-Latn-ME"/>
        </w:rPr>
        <w:tab/>
      </w:r>
      <w:r w:rsidRPr="00BD2023">
        <w:rPr>
          <w:b/>
          <w:bCs/>
          <w:sz w:val="22"/>
          <w:szCs w:val="22"/>
          <w:lang w:val="sr-Latn-ME"/>
        </w:rPr>
        <w:t>Terapijske indikacije</w:t>
      </w:r>
    </w:p>
    <w:p w14:paraId="17A23508" w14:textId="77777777" w:rsidR="007F0488" w:rsidRPr="00BD2023" w:rsidRDefault="007F0488" w:rsidP="00BC480A">
      <w:pPr>
        <w:tabs>
          <w:tab w:val="left" w:pos="540"/>
          <w:tab w:val="left" w:pos="569"/>
        </w:tabs>
        <w:jc w:val="both"/>
        <w:rPr>
          <w:b/>
          <w:bCs/>
          <w:sz w:val="22"/>
          <w:szCs w:val="22"/>
          <w:lang w:val="sr-Latn-ME"/>
        </w:rPr>
      </w:pPr>
    </w:p>
    <w:p w14:paraId="44D92EE0" w14:textId="27B36AD4" w:rsidR="007F0488" w:rsidRPr="00BD2023" w:rsidRDefault="007E5CF0" w:rsidP="00BC480A">
      <w:pPr>
        <w:jc w:val="both"/>
        <w:rPr>
          <w:bCs/>
          <w:sz w:val="22"/>
          <w:szCs w:val="22"/>
          <w:lang w:val="sr-Latn-ME"/>
        </w:rPr>
      </w:pPr>
      <w:r w:rsidRPr="00BD2023">
        <w:rPr>
          <w:bCs/>
          <w:sz w:val="22"/>
          <w:szCs w:val="22"/>
          <w:lang w:val="sr-Latn-ME"/>
        </w:rPr>
        <w:t>Lijek</w:t>
      </w:r>
      <w:r w:rsidR="007F0488" w:rsidRPr="00BD2023">
        <w:rPr>
          <w:bCs/>
          <w:sz w:val="22"/>
          <w:szCs w:val="22"/>
          <w:lang w:val="sr-Latn-ME"/>
        </w:rPr>
        <w:t xml:space="preserve"> Evrysdi je indikovan za l</w:t>
      </w:r>
      <w:r w:rsidR="00E7182D" w:rsidRPr="00BD2023">
        <w:rPr>
          <w:bCs/>
          <w:sz w:val="22"/>
          <w:szCs w:val="22"/>
          <w:lang w:val="sr-Latn-ME"/>
        </w:rPr>
        <w:t>ij</w:t>
      </w:r>
      <w:r w:rsidR="007F0488" w:rsidRPr="00BD2023">
        <w:rPr>
          <w:bCs/>
          <w:sz w:val="22"/>
          <w:szCs w:val="22"/>
          <w:lang w:val="sr-Latn-ME"/>
        </w:rPr>
        <w:t xml:space="preserve">ečenje spinalne mišićne atrofije (SMA) </w:t>
      </w:r>
      <w:r w:rsidR="00801821" w:rsidRPr="00BD2023">
        <w:rPr>
          <w:bCs/>
          <w:sz w:val="22"/>
          <w:szCs w:val="22"/>
          <w:lang w:val="sr-Latn-ME"/>
        </w:rPr>
        <w:t xml:space="preserve">uzrokovane mutacijom na hromozomu 5q </w:t>
      </w:r>
      <w:r w:rsidR="007F0488" w:rsidRPr="00BD2023">
        <w:rPr>
          <w:bCs/>
          <w:sz w:val="22"/>
          <w:szCs w:val="22"/>
          <w:lang w:val="sr-Latn-ME"/>
        </w:rPr>
        <w:t xml:space="preserve">kod pacijenata sa kliničkom dijagnozom SMA tip 1, tip 2 ili tip 3 ili sa jednom do četiri kopije </w:t>
      </w:r>
      <w:r w:rsidR="002018B4" w:rsidRPr="00BD2023">
        <w:rPr>
          <w:bCs/>
          <w:sz w:val="22"/>
          <w:szCs w:val="22"/>
          <w:lang w:val="sr-Latn-ME"/>
        </w:rPr>
        <w:t xml:space="preserve">gena </w:t>
      </w:r>
      <w:r w:rsidR="007F0488" w:rsidRPr="00BD2023">
        <w:rPr>
          <w:bCs/>
          <w:sz w:val="22"/>
          <w:szCs w:val="22"/>
          <w:lang w:val="sr-Latn-ME"/>
        </w:rPr>
        <w:t>SMN2.</w:t>
      </w:r>
    </w:p>
    <w:p w14:paraId="5AE81F57" w14:textId="70F4B692" w:rsidR="00411B4B" w:rsidRPr="00BD2023" w:rsidRDefault="002D54E4" w:rsidP="00BC480A">
      <w:pPr>
        <w:tabs>
          <w:tab w:val="left" w:pos="5460"/>
        </w:tabs>
        <w:jc w:val="both"/>
        <w:rPr>
          <w:bCs/>
          <w:sz w:val="22"/>
          <w:szCs w:val="22"/>
          <w:lang w:val="sr-Latn-ME"/>
        </w:rPr>
      </w:pPr>
      <w:r w:rsidRPr="00BD2023">
        <w:rPr>
          <w:bCs/>
          <w:sz w:val="22"/>
          <w:szCs w:val="22"/>
          <w:lang w:val="sr-Latn-ME"/>
        </w:rPr>
        <w:tab/>
      </w:r>
    </w:p>
    <w:p w14:paraId="16072FE3" w14:textId="77777777" w:rsidR="00411B4B" w:rsidRPr="00BD2023" w:rsidRDefault="00411B4B" w:rsidP="00BC480A">
      <w:pPr>
        <w:tabs>
          <w:tab w:val="left" w:pos="540"/>
          <w:tab w:val="left" w:pos="569"/>
        </w:tabs>
        <w:jc w:val="both"/>
        <w:rPr>
          <w:b/>
          <w:bCs/>
          <w:sz w:val="22"/>
          <w:szCs w:val="22"/>
          <w:lang w:val="sr-Latn-ME"/>
        </w:rPr>
      </w:pPr>
      <w:r w:rsidRPr="00BD2023">
        <w:rPr>
          <w:b/>
          <w:bCs/>
          <w:sz w:val="22"/>
          <w:szCs w:val="22"/>
          <w:lang w:val="sr-Latn-ME"/>
        </w:rPr>
        <w:t xml:space="preserve">4.2. </w:t>
      </w:r>
      <w:r w:rsidR="00480FB1" w:rsidRPr="00BD2023">
        <w:rPr>
          <w:b/>
          <w:bCs/>
          <w:sz w:val="22"/>
          <w:szCs w:val="22"/>
          <w:lang w:val="sr-Latn-ME"/>
        </w:rPr>
        <w:tab/>
      </w:r>
      <w:r w:rsidRPr="00BD2023">
        <w:rPr>
          <w:b/>
          <w:bCs/>
          <w:sz w:val="22"/>
          <w:szCs w:val="22"/>
          <w:lang w:val="sr-Latn-ME"/>
        </w:rPr>
        <w:t>Doziranje i način primjene</w:t>
      </w:r>
    </w:p>
    <w:p w14:paraId="2CC4E4CB" w14:textId="77777777" w:rsidR="007F0488" w:rsidRPr="00BD2023" w:rsidRDefault="007F0488" w:rsidP="00BC480A">
      <w:pPr>
        <w:tabs>
          <w:tab w:val="left" w:pos="540"/>
          <w:tab w:val="left" w:pos="569"/>
        </w:tabs>
        <w:jc w:val="both"/>
        <w:rPr>
          <w:bCs/>
          <w:sz w:val="22"/>
          <w:szCs w:val="22"/>
          <w:lang w:val="sr-Latn-ME"/>
        </w:rPr>
      </w:pPr>
    </w:p>
    <w:p w14:paraId="188A049C" w14:textId="77777777" w:rsidR="007F0488" w:rsidRPr="00BD2023" w:rsidRDefault="007F0488" w:rsidP="00BC480A">
      <w:pPr>
        <w:tabs>
          <w:tab w:val="left" w:pos="540"/>
          <w:tab w:val="left" w:pos="569"/>
        </w:tabs>
        <w:jc w:val="both"/>
        <w:rPr>
          <w:bCs/>
          <w:sz w:val="22"/>
          <w:szCs w:val="22"/>
          <w:lang w:val="sr-Latn-ME"/>
        </w:rPr>
      </w:pPr>
      <w:r w:rsidRPr="00BD2023">
        <w:rPr>
          <w:bCs/>
          <w:sz w:val="22"/>
          <w:szCs w:val="22"/>
          <w:lang w:val="sr-Latn-ME"/>
        </w:rPr>
        <w:t>L</w:t>
      </w:r>
      <w:r w:rsidR="00E7182D" w:rsidRPr="00BD2023">
        <w:rPr>
          <w:bCs/>
          <w:sz w:val="22"/>
          <w:szCs w:val="22"/>
          <w:lang w:val="sr-Latn-ME"/>
        </w:rPr>
        <w:t>ij</w:t>
      </w:r>
      <w:r w:rsidRPr="00BD2023">
        <w:rPr>
          <w:bCs/>
          <w:sz w:val="22"/>
          <w:szCs w:val="22"/>
          <w:lang w:val="sr-Latn-ME"/>
        </w:rPr>
        <w:t xml:space="preserve">ečenje </w:t>
      </w:r>
      <w:r w:rsidR="007E5CF0" w:rsidRPr="00BD2023">
        <w:rPr>
          <w:bCs/>
          <w:sz w:val="22"/>
          <w:szCs w:val="22"/>
          <w:lang w:val="sr-Latn-ME"/>
        </w:rPr>
        <w:t>lijek</w:t>
      </w:r>
      <w:r w:rsidRPr="00BD2023">
        <w:rPr>
          <w:bCs/>
          <w:sz w:val="22"/>
          <w:szCs w:val="22"/>
          <w:lang w:val="sr-Latn-ME"/>
        </w:rPr>
        <w:t>om Evrysdi treba da inicira l</w:t>
      </w:r>
      <w:r w:rsidR="00E7182D" w:rsidRPr="00BD2023">
        <w:rPr>
          <w:bCs/>
          <w:sz w:val="22"/>
          <w:szCs w:val="22"/>
          <w:lang w:val="sr-Latn-ME"/>
        </w:rPr>
        <w:t>j</w:t>
      </w:r>
      <w:r w:rsidRPr="00BD2023">
        <w:rPr>
          <w:bCs/>
          <w:sz w:val="22"/>
          <w:szCs w:val="22"/>
          <w:lang w:val="sr-Latn-ME"/>
        </w:rPr>
        <w:t>ekar sa iskustvom u l</w:t>
      </w:r>
      <w:r w:rsidR="00E7182D" w:rsidRPr="00BD2023">
        <w:rPr>
          <w:bCs/>
          <w:sz w:val="22"/>
          <w:szCs w:val="22"/>
          <w:lang w:val="sr-Latn-ME"/>
        </w:rPr>
        <w:t>ij</w:t>
      </w:r>
      <w:r w:rsidRPr="00BD2023">
        <w:rPr>
          <w:bCs/>
          <w:sz w:val="22"/>
          <w:szCs w:val="22"/>
          <w:lang w:val="sr-Latn-ME"/>
        </w:rPr>
        <w:t>ečenju SMA.</w:t>
      </w:r>
    </w:p>
    <w:p w14:paraId="01DF8561" w14:textId="77777777" w:rsidR="0072020E" w:rsidRPr="00BD2023" w:rsidRDefault="0072020E" w:rsidP="00BC480A">
      <w:pPr>
        <w:tabs>
          <w:tab w:val="left" w:pos="540"/>
          <w:tab w:val="left" w:pos="569"/>
        </w:tabs>
        <w:jc w:val="both"/>
        <w:rPr>
          <w:bCs/>
          <w:sz w:val="22"/>
          <w:szCs w:val="22"/>
          <w:lang w:val="sr-Latn-ME"/>
        </w:rPr>
      </w:pPr>
    </w:p>
    <w:p w14:paraId="770C9042" w14:textId="77777777" w:rsidR="00452E9D" w:rsidRPr="00BD2023" w:rsidRDefault="00452E9D" w:rsidP="00BC480A">
      <w:pPr>
        <w:tabs>
          <w:tab w:val="left" w:pos="540"/>
          <w:tab w:val="left" w:pos="569"/>
        </w:tabs>
        <w:jc w:val="both"/>
        <w:rPr>
          <w:bCs/>
          <w:sz w:val="22"/>
          <w:szCs w:val="22"/>
          <w:u w:val="single"/>
          <w:lang w:val="sr-Latn-ME"/>
        </w:rPr>
      </w:pPr>
      <w:r w:rsidRPr="00BD2023">
        <w:rPr>
          <w:bCs/>
          <w:sz w:val="22"/>
          <w:szCs w:val="22"/>
          <w:u w:val="single"/>
          <w:lang w:val="sr-Latn-ME"/>
        </w:rPr>
        <w:t>Doziranje</w:t>
      </w:r>
    </w:p>
    <w:p w14:paraId="380732C2" w14:textId="77777777" w:rsidR="007F0488" w:rsidRPr="00BD2023" w:rsidRDefault="007F0488" w:rsidP="00BC480A">
      <w:pPr>
        <w:tabs>
          <w:tab w:val="left" w:pos="540"/>
          <w:tab w:val="left" w:pos="569"/>
        </w:tabs>
        <w:jc w:val="both"/>
        <w:rPr>
          <w:bCs/>
          <w:sz w:val="22"/>
          <w:szCs w:val="22"/>
          <w:u w:val="single"/>
          <w:lang w:val="sr-Latn-ME"/>
        </w:rPr>
      </w:pPr>
    </w:p>
    <w:p w14:paraId="073313EC" w14:textId="1E271607" w:rsidR="007F0488" w:rsidRPr="00BD2023" w:rsidRDefault="007F0488" w:rsidP="00BC480A">
      <w:pPr>
        <w:tabs>
          <w:tab w:val="left" w:pos="540"/>
          <w:tab w:val="left" w:pos="569"/>
        </w:tabs>
        <w:jc w:val="both"/>
        <w:rPr>
          <w:bCs/>
          <w:sz w:val="22"/>
          <w:szCs w:val="22"/>
          <w:lang w:val="sr-Latn-ME"/>
        </w:rPr>
      </w:pPr>
      <w:r w:rsidRPr="00BD2023">
        <w:rPr>
          <w:bCs/>
          <w:sz w:val="22"/>
          <w:szCs w:val="22"/>
          <w:lang w:val="sr-Latn-ME"/>
        </w:rPr>
        <w:t xml:space="preserve">Preporučena doza </w:t>
      </w:r>
      <w:r w:rsidR="007E5CF0" w:rsidRPr="00BD2023">
        <w:rPr>
          <w:bCs/>
          <w:sz w:val="22"/>
          <w:szCs w:val="22"/>
          <w:lang w:val="sr-Latn-ME"/>
        </w:rPr>
        <w:t>lijek</w:t>
      </w:r>
      <w:r w:rsidRPr="00BD2023">
        <w:rPr>
          <w:bCs/>
          <w:sz w:val="22"/>
          <w:szCs w:val="22"/>
          <w:lang w:val="sr-Latn-ME"/>
        </w:rPr>
        <w:t>a Evrysdi koja se uzima jednom dnevno određuje se na osnovu uzrasta i t</w:t>
      </w:r>
      <w:r w:rsidR="00E7182D" w:rsidRPr="00BD2023">
        <w:rPr>
          <w:bCs/>
          <w:sz w:val="22"/>
          <w:szCs w:val="22"/>
          <w:lang w:val="sr-Latn-ME"/>
        </w:rPr>
        <w:t>j</w:t>
      </w:r>
      <w:r w:rsidRPr="00BD2023">
        <w:rPr>
          <w:bCs/>
          <w:sz w:val="22"/>
          <w:szCs w:val="22"/>
          <w:lang w:val="sr-Latn-ME"/>
        </w:rPr>
        <w:t xml:space="preserve">elesne </w:t>
      </w:r>
      <w:r w:rsidR="007A0C1F" w:rsidRPr="00BD2023">
        <w:rPr>
          <w:bCs/>
          <w:sz w:val="22"/>
          <w:szCs w:val="22"/>
          <w:lang w:val="sr-Latn-ME"/>
        </w:rPr>
        <w:t xml:space="preserve">mase </w:t>
      </w:r>
      <w:r w:rsidRPr="00BD2023">
        <w:rPr>
          <w:bCs/>
          <w:sz w:val="22"/>
          <w:szCs w:val="22"/>
          <w:lang w:val="sr-Latn-ME"/>
        </w:rPr>
        <w:t>(vid</w:t>
      </w:r>
      <w:r w:rsidR="00E7182D" w:rsidRPr="00BD2023">
        <w:rPr>
          <w:bCs/>
          <w:sz w:val="22"/>
          <w:szCs w:val="22"/>
          <w:lang w:val="sr-Latn-ME"/>
        </w:rPr>
        <w:t>j</w:t>
      </w:r>
      <w:r w:rsidRPr="00BD2023">
        <w:rPr>
          <w:bCs/>
          <w:sz w:val="22"/>
          <w:szCs w:val="22"/>
          <w:lang w:val="sr-Latn-ME"/>
        </w:rPr>
        <w:t xml:space="preserve">eti tabelu 1). </w:t>
      </w:r>
      <w:r w:rsidR="002018B4" w:rsidRPr="00BD2023">
        <w:rPr>
          <w:bCs/>
          <w:sz w:val="22"/>
          <w:szCs w:val="22"/>
          <w:lang w:val="sr-Latn-ME"/>
        </w:rPr>
        <w:t xml:space="preserve">Lijek </w:t>
      </w:r>
      <w:r w:rsidRPr="00BD2023">
        <w:rPr>
          <w:bCs/>
          <w:sz w:val="22"/>
          <w:szCs w:val="22"/>
          <w:lang w:val="sr-Latn-ME"/>
        </w:rPr>
        <w:t>Evrysdi se uzima oralnim putem jednom dnevno nakon obroka, otprilike u isto vr</w:t>
      </w:r>
      <w:r w:rsidR="00E7182D" w:rsidRPr="00BD2023">
        <w:rPr>
          <w:bCs/>
          <w:sz w:val="22"/>
          <w:szCs w:val="22"/>
          <w:lang w:val="sr-Latn-ME"/>
        </w:rPr>
        <w:t>ij</w:t>
      </w:r>
      <w:r w:rsidRPr="00BD2023">
        <w:rPr>
          <w:bCs/>
          <w:sz w:val="22"/>
          <w:szCs w:val="22"/>
          <w:lang w:val="sr-Latn-ME"/>
        </w:rPr>
        <w:t>eme svakog dana.</w:t>
      </w:r>
    </w:p>
    <w:p w14:paraId="4D8FF73C" w14:textId="77777777" w:rsidR="007F0488" w:rsidRPr="00BD2023" w:rsidRDefault="007F0488" w:rsidP="00BC480A">
      <w:pPr>
        <w:tabs>
          <w:tab w:val="left" w:pos="540"/>
          <w:tab w:val="left" w:pos="569"/>
        </w:tabs>
        <w:jc w:val="both"/>
        <w:rPr>
          <w:bCs/>
          <w:sz w:val="22"/>
          <w:szCs w:val="22"/>
          <w:lang w:val="sr-Latn-ME"/>
        </w:rPr>
      </w:pPr>
    </w:p>
    <w:p w14:paraId="270CA2F9" w14:textId="77777777" w:rsidR="007F0488" w:rsidRPr="00BD2023" w:rsidRDefault="007F0488" w:rsidP="007F0488">
      <w:pPr>
        <w:tabs>
          <w:tab w:val="left" w:pos="540"/>
          <w:tab w:val="left" w:pos="569"/>
        </w:tabs>
        <w:rPr>
          <w:bCs/>
          <w:sz w:val="22"/>
          <w:szCs w:val="22"/>
          <w:lang w:val="sr-Latn-ME"/>
        </w:rPr>
      </w:pPr>
    </w:p>
    <w:p w14:paraId="2AD4ECB2" w14:textId="77777777" w:rsidR="007F0488" w:rsidRPr="00BD2023" w:rsidRDefault="007F0488" w:rsidP="007F0488">
      <w:pPr>
        <w:tabs>
          <w:tab w:val="left" w:pos="540"/>
          <w:tab w:val="left" w:pos="569"/>
        </w:tabs>
        <w:rPr>
          <w:bCs/>
          <w:sz w:val="22"/>
          <w:szCs w:val="22"/>
          <w:lang w:val="sr-Latn-ME"/>
        </w:rPr>
      </w:pPr>
    </w:p>
    <w:p w14:paraId="45893205" w14:textId="77777777" w:rsidR="007F0488" w:rsidRPr="00BD2023" w:rsidRDefault="007F0488" w:rsidP="007F0488">
      <w:pPr>
        <w:tabs>
          <w:tab w:val="left" w:pos="540"/>
          <w:tab w:val="left" w:pos="569"/>
        </w:tabs>
        <w:rPr>
          <w:bCs/>
          <w:sz w:val="22"/>
          <w:szCs w:val="22"/>
          <w:lang w:val="sr-Latn-ME"/>
        </w:rPr>
      </w:pPr>
    </w:p>
    <w:p w14:paraId="3B50BCFD" w14:textId="77777777" w:rsidR="007F0488" w:rsidRPr="00BD2023" w:rsidRDefault="007F0488" w:rsidP="007F0488">
      <w:pPr>
        <w:tabs>
          <w:tab w:val="left" w:pos="540"/>
          <w:tab w:val="left" w:pos="569"/>
        </w:tabs>
        <w:rPr>
          <w:bCs/>
          <w:sz w:val="22"/>
          <w:szCs w:val="22"/>
          <w:lang w:val="sr-Latn-ME"/>
        </w:rPr>
      </w:pPr>
    </w:p>
    <w:p w14:paraId="236F0137" w14:textId="5C84BA6C" w:rsidR="007F0488" w:rsidRPr="00BD2023" w:rsidRDefault="007F0488" w:rsidP="00BC480A">
      <w:pPr>
        <w:tabs>
          <w:tab w:val="left" w:pos="540"/>
          <w:tab w:val="left" w:pos="569"/>
        </w:tabs>
        <w:jc w:val="both"/>
        <w:rPr>
          <w:bCs/>
          <w:sz w:val="22"/>
          <w:szCs w:val="22"/>
          <w:lang w:val="sr-Latn-ME"/>
        </w:rPr>
      </w:pPr>
      <w:r w:rsidRPr="00BD2023">
        <w:rPr>
          <w:b/>
          <w:bCs/>
          <w:sz w:val="22"/>
          <w:szCs w:val="22"/>
          <w:lang w:val="sr-Latn-ME"/>
        </w:rPr>
        <w:t>Tabela 1.</w:t>
      </w:r>
      <w:r w:rsidRPr="00BD2023">
        <w:rPr>
          <w:bCs/>
          <w:sz w:val="22"/>
          <w:szCs w:val="22"/>
          <w:lang w:val="sr-Latn-ME"/>
        </w:rPr>
        <w:t xml:space="preserve"> Režim doziranja prema godinama života i t</w:t>
      </w:r>
      <w:r w:rsidR="00E7182D" w:rsidRPr="00BD2023">
        <w:rPr>
          <w:bCs/>
          <w:sz w:val="22"/>
          <w:szCs w:val="22"/>
          <w:lang w:val="sr-Latn-ME"/>
        </w:rPr>
        <w:t>j</w:t>
      </w:r>
      <w:r w:rsidRPr="00BD2023">
        <w:rPr>
          <w:bCs/>
          <w:sz w:val="22"/>
          <w:szCs w:val="22"/>
          <w:lang w:val="sr-Latn-ME"/>
        </w:rPr>
        <w:t xml:space="preserve">elesnoj </w:t>
      </w:r>
      <w:r w:rsidR="007A0C1F" w:rsidRPr="00BD2023">
        <w:rPr>
          <w:bCs/>
          <w:sz w:val="22"/>
          <w:szCs w:val="22"/>
          <w:lang w:val="sr-Latn-ME"/>
        </w:rPr>
        <w:t>masi</w:t>
      </w:r>
    </w:p>
    <w:p w14:paraId="748E6382" w14:textId="77777777" w:rsidR="007F0488" w:rsidRPr="00BD2023" w:rsidRDefault="007F0488" w:rsidP="007F0488">
      <w:pPr>
        <w:tabs>
          <w:tab w:val="left" w:pos="540"/>
          <w:tab w:val="left" w:pos="569"/>
        </w:tabs>
        <w:rPr>
          <w:bCs/>
          <w:sz w:val="22"/>
          <w:szCs w:val="22"/>
          <w:lang w:val="sr-Latn-ME"/>
        </w:rPr>
      </w:pPr>
    </w:p>
    <w:tbl>
      <w:tblPr>
        <w:tblW w:w="44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4632"/>
        <w:gridCol w:w="3501"/>
      </w:tblGrid>
      <w:tr w:rsidR="007F0488" w:rsidRPr="00BD2023" w14:paraId="0F7614BD" w14:textId="77777777" w:rsidTr="00740B8C">
        <w:trPr>
          <w:jc w:val="center"/>
        </w:trPr>
        <w:tc>
          <w:tcPr>
            <w:tcW w:w="4632" w:type="dxa"/>
          </w:tcPr>
          <w:p w14:paraId="158C6BD7" w14:textId="200D91B9" w:rsidR="007F0488" w:rsidRPr="00BD2023" w:rsidRDefault="007F0488" w:rsidP="007A0C1F">
            <w:pPr>
              <w:pStyle w:val="TableText10"/>
              <w:keepLines/>
              <w:ind w:left="-266" w:firstLine="266"/>
              <w:jc w:val="center"/>
              <w:rPr>
                <w:rFonts w:ascii="Times New Roman" w:hAnsi="Times New Roman"/>
                <w:b/>
                <w:i/>
                <w:sz w:val="22"/>
                <w:szCs w:val="22"/>
                <w:lang w:val="sr-Latn-ME"/>
              </w:rPr>
            </w:pPr>
            <w:r w:rsidRPr="00BD2023">
              <w:rPr>
                <w:rFonts w:ascii="Times New Roman" w:hAnsi="Times New Roman"/>
                <w:b/>
                <w:bCs/>
                <w:i/>
                <w:iCs/>
                <w:sz w:val="22"/>
                <w:szCs w:val="22"/>
                <w:lang w:val="sr-Latn-ME"/>
              </w:rPr>
              <w:t>Godine života</w:t>
            </w:r>
            <w:r w:rsidR="00740B8C" w:rsidRPr="00BD2023">
              <w:rPr>
                <w:rFonts w:ascii="Times New Roman" w:hAnsi="Times New Roman"/>
                <w:b/>
                <w:bCs/>
                <w:i/>
                <w:iCs/>
                <w:sz w:val="22"/>
                <w:szCs w:val="22"/>
                <w:lang w:val="sr-Latn-ME"/>
              </w:rPr>
              <w:t>*</w:t>
            </w:r>
            <w:r w:rsidRPr="00BD2023">
              <w:rPr>
                <w:rFonts w:ascii="Times New Roman" w:hAnsi="Times New Roman"/>
                <w:b/>
                <w:bCs/>
                <w:i/>
                <w:iCs/>
                <w:sz w:val="22"/>
                <w:szCs w:val="22"/>
                <w:lang w:val="sr-Latn-ME"/>
              </w:rPr>
              <w:t xml:space="preserve"> i </w:t>
            </w:r>
            <w:r w:rsidR="00E05B95" w:rsidRPr="00BD2023">
              <w:rPr>
                <w:rFonts w:ascii="Times New Roman" w:hAnsi="Times New Roman"/>
                <w:b/>
                <w:bCs/>
                <w:i/>
                <w:iCs/>
                <w:sz w:val="22"/>
                <w:szCs w:val="22"/>
                <w:lang w:val="sr-Latn-ME"/>
              </w:rPr>
              <w:t xml:space="preserve">tjelesna </w:t>
            </w:r>
            <w:r w:rsidR="007A0C1F" w:rsidRPr="00BD2023">
              <w:rPr>
                <w:rFonts w:ascii="Times New Roman" w:hAnsi="Times New Roman"/>
                <w:b/>
                <w:bCs/>
                <w:i/>
                <w:iCs/>
                <w:sz w:val="22"/>
                <w:szCs w:val="22"/>
                <w:lang w:val="sr-Latn-ME"/>
              </w:rPr>
              <w:t xml:space="preserve">masa </w:t>
            </w:r>
            <w:r w:rsidRPr="00BD2023">
              <w:rPr>
                <w:rFonts w:ascii="Times New Roman" w:hAnsi="Times New Roman"/>
                <w:b/>
                <w:bCs/>
                <w:i/>
                <w:iCs/>
                <w:sz w:val="22"/>
                <w:szCs w:val="22"/>
                <w:lang w:val="sr-Latn-ME"/>
              </w:rPr>
              <w:t>pacijenta</w:t>
            </w:r>
          </w:p>
        </w:tc>
        <w:tc>
          <w:tcPr>
            <w:tcW w:w="3501" w:type="dxa"/>
            <w:shd w:val="clear" w:color="auto" w:fill="auto"/>
          </w:tcPr>
          <w:p w14:paraId="4711C317" w14:textId="77777777" w:rsidR="007F0488" w:rsidRPr="00BD2023" w:rsidRDefault="007F0488" w:rsidP="00F77D20">
            <w:pPr>
              <w:pStyle w:val="TableText10"/>
              <w:keepLines/>
              <w:jc w:val="center"/>
              <w:rPr>
                <w:rFonts w:ascii="Times New Roman" w:hAnsi="Times New Roman"/>
                <w:b/>
                <w:sz w:val="22"/>
                <w:szCs w:val="22"/>
                <w:lang w:val="sr-Latn-ME"/>
              </w:rPr>
            </w:pPr>
            <w:r w:rsidRPr="00BD2023">
              <w:rPr>
                <w:rFonts w:ascii="Times New Roman" w:hAnsi="Times New Roman"/>
                <w:b/>
                <w:bCs/>
                <w:i/>
                <w:iCs/>
                <w:sz w:val="22"/>
                <w:szCs w:val="22"/>
                <w:lang w:val="sr-Latn-ME"/>
              </w:rPr>
              <w:t>Preporučena dnevna doza</w:t>
            </w:r>
          </w:p>
        </w:tc>
      </w:tr>
      <w:tr w:rsidR="00740B8C" w:rsidRPr="00BD2023" w14:paraId="5E3EEFAC" w14:textId="77777777" w:rsidTr="00740B8C">
        <w:trPr>
          <w:jc w:val="center"/>
        </w:trPr>
        <w:tc>
          <w:tcPr>
            <w:tcW w:w="4632" w:type="dxa"/>
          </w:tcPr>
          <w:p w14:paraId="0FA1790D" w14:textId="2C2F06D9" w:rsidR="00740B8C" w:rsidRPr="00BD2023" w:rsidRDefault="00740B8C" w:rsidP="007A0C1F">
            <w:pPr>
              <w:pStyle w:val="TableText10"/>
              <w:keepLines/>
              <w:ind w:left="-266" w:firstLine="266"/>
              <w:jc w:val="center"/>
              <w:rPr>
                <w:rFonts w:ascii="Times New Roman" w:hAnsi="Times New Roman"/>
                <w:b/>
                <w:bCs/>
                <w:i/>
                <w:iCs/>
                <w:sz w:val="22"/>
                <w:szCs w:val="22"/>
                <w:lang w:val="sr-Latn-ME"/>
              </w:rPr>
            </w:pPr>
            <w:r w:rsidRPr="00BD2023">
              <w:rPr>
                <w:rFonts w:ascii="Times New Roman" w:hAnsi="Times New Roman"/>
                <w:sz w:val="22"/>
                <w:szCs w:val="22"/>
                <w:lang w:val="sr-Latn-ME"/>
              </w:rPr>
              <w:t>&lt; 2 mjeseca života</w:t>
            </w:r>
          </w:p>
        </w:tc>
        <w:tc>
          <w:tcPr>
            <w:tcW w:w="3501" w:type="dxa"/>
            <w:shd w:val="clear" w:color="auto" w:fill="auto"/>
          </w:tcPr>
          <w:p w14:paraId="40AD9521" w14:textId="16C145D6" w:rsidR="00740B8C" w:rsidRPr="00BD2023" w:rsidRDefault="00740B8C" w:rsidP="00F77D20">
            <w:pPr>
              <w:pStyle w:val="TableText10"/>
              <w:keepLines/>
              <w:jc w:val="center"/>
              <w:rPr>
                <w:rFonts w:ascii="Times New Roman" w:hAnsi="Times New Roman"/>
                <w:bCs/>
                <w:iCs/>
                <w:sz w:val="22"/>
                <w:szCs w:val="22"/>
                <w:lang w:val="sr-Latn-ME"/>
              </w:rPr>
            </w:pPr>
            <w:r w:rsidRPr="00BD2023">
              <w:rPr>
                <w:rFonts w:ascii="Times New Roman" w:hAnsi="Times New Roman"/>
                <w:bCs/>
                <w:iCs/>
                <w:sz w:val="22"/>
                <w:szCs w:val="22"/>
                <w:lang w:val="sr-Latn-ME"/>
              </w:rPr>
              <w:t>0,15 mg/kg</w:t>
            </w:r>
          </w:p>
        </w:tc>
      </w:tr>
      <w:tr w:rsidR="007F0488" w:rsidRPr="00BD2023" w14:paraId="4CA88471" w14:textId="77777777" w:rsidTr="00740B8C">
        <w:trPr>
          <w:jc w:val="center"/>
        </w:trPr>
        <w:tc>
          <w:tcPr>
            <w:tcW w:w="4632" w:type="dxa"/>
          </w:tcPr>
          <w:p w14:paraId="40063FCC" w14:textId="77777777" w:rsidR="007F0488" w:rsidRPr="00BD2023" w:rsidRDefault="007F0488" w:rsidP="00F77D20">
            <w:pPr>
              <w:pStyle w:val="TableText10"/>
              <w:keepLines/>
              <w:ind w:left="-266" w:firstLine="266"/>
              <w:jc w:val="center"/>
              <w:rPr>
                <w:rFonts w:ascii="Times New Roman" w:hAnsi="Times New Roman"/>
                <w:sz w:val="22"/>
                <w:szCs w:val="22"/>
                <w:lang w:val="sr-Latn-ME"/>
              </w:rPr>
            </w:pPr>
            <w:r w:rsidRPr="00BD2023">
              <w:rPr>
                <w:rFonts w:ascii="Times New Roman" w:hAnsi="Times New Roman"/>
                <w:sz w:val="22"/>
                <w:szCs w:val="22"/>
                <w:lang w:val="sr-Latn-ME"/>
              </w:rPr>
              <w:t>2 m</w:t>
            </w:r>
            <w:r w:rsidR="00E7182D" w:rsidRPr="00BD2023">
              <w:rPr>
                <w:rFonts w:ascii="Times New Roman" w:hAnsi="Times New Roman"/>
                <w:sz w:val="22"/>
                <w:szCs w:val="22"/>
                <w:lang w:val="sr-Latn-ME"/>
              </w:rPr>
              <w:t>j</w:t>
            </w:r>
            <w:r w:rsidRPr="00BD2023">
              <w:rPr>
                <w:rFonts w:ascii="Times New Roman" w:hAnsi="Times New Roman"/>
                <w:sz w:val="22"/>
                <w:szCs w:val="22"/>
                <w:lang w:val="sr-Latn-ME"/>
              </w:rPr>
              <w:t xml:space="preserve">eseca do &lt; 2 godine života </w:t>
            </w:r>
          </w:p>
        </w:tc>
        <w:tc>
          <w:tcPr>
            <w:tcW w:w="3501" w:type="dxa"/>
            <w:shd w:val="clear" w:color="auto" w:fill="auto"/>
          </w:tcPr>
          <w:p w14:paraId="4ACA443C" w14:textId="77777777" w:rsidR="007F0488" w:rsidRPr="00BD2023" w:rsidRDefault="007F0488" w:rsidP="00F77D20">
            <w:pPr>
              <w:pStyle w:val="TableText10"/>
              <w:keepLines/>
              <w:jc w:val="center"/>
              <w:rPr>
                <w:rFonts w:ascii="Times New Roman" w:hAnsi="Times New Roman"/>
                <w:sz w:val="22"/>
                <w:szCs w:val="22"/>
                <w:lang w:val="sr-Latn-ME"/>
              </w:rPr>
            </w:pPr>
            <w:r w:rsidRPr="00BD2023">
              <w:rPr>
                <w:rFonts w:ascii="Times New Roman" w:hAnsi="Times New Roman"/>
                <w:sz w:val="22"/>
                <w:szCs w:val="22"/>
                <w:lang w:val="sr-Latn-ME"/>
              </w:rPr>
              <w:t>0,20 mg/kg</w:t>
            </w:r>
          </w:p>
        </w:tc>
      </w:tr>
      <w:tr w:rsidR="007F0488" w:rsidRPr="00BD2023" w14:paraId="014A3A66" w14:textId="77777777" w:rsidTr="00740B8C">
        <w:trPr>
          <w:jc w:val="center"/>
        </w:trPr>
        <w:tc>
          <w:tcPr>
            <w:tcW w:w="4632" w:type="dxa"/>
          </w:tcPr>
          <w:p w14:paraId="77EDCA4D" w14:textId="77777777" w:rsidR="007F0488" w:rsidRPr="00BD2023" w:rsidRDefault="007F0488" w:rsidP="00F77D20">
            <w:pPr>
              <w:pStyle w:val="TableText10"/>
              <w:keepLines/>
              <w:ind w:left="-25"/>
              <w:jc w:val="center"/>
              <w:rPr>
                <w:rFonts w:ascii="Times New Roman" w:hAnsi="Times New Roman"/>
                <w:sz w:val="22"/>
                <w:szCs w:val="22"/>
                <w:lang w:val="sr-Latn-ME"/>
              </w:rPr>
            </w:pPr>
            <w:r w:rsidRPr="00BD2023">
              <w:rPr>
                <w:rFonts w:ascii="Times New Roman" w:hAnsi="Times New Roman"/>
                <w:sz w:val="22"/>
                <w:szCs w:val="22"/>
                <w:lang w:val="sr-Latn-ME"/>
              </w:rPr>
              <w:t>≥ 2 godine života (&lt; 20 kg)</w:t>
            </w:r>
          </w:p>
        </w:tc>
        <w:tc>
          <w:tcPr>
            <w:tcW w:w="3501" w:type="dxa"/>
            <w:shd w:val="clear" w:color="auto" w:fill="auto"/>
          </w:tcPr>
          <w:p w14:paraId="7876D159" w14:textId="77777777" w:rsidR="007F0488" w:rsidRPr="00BD2023" w:rsidRDefault="007F0488" w:rsidP="00F77D20">
            <w:pPr>
              <w:pStyle w:val="TableText10"/>
              <w:keepLines/>
              <w:jc w:val="center"/>
              <w:rPr>
                <w:rFonts w:ascii="Times New Roman" w:hAnsi="Times New Roman"/>
                <w:sz w:val="22"/>
                <w:szCs w:val="22"/>
                <w:lang w:val="sr-Latn-ME"/>
              </w:rPr>
            </w:pPr>
            <w:r w:rsidRPr="00BD2023">
              <w:rPr>
                <w:rFonts w:ascii="Times New Roman" w:hAnsi="Times New Roman"/>
                <w:sz w:val="22"/>
                <w:szCs w:val="22"/>
                <w:lang w:val="sr-Latn-ME"/>
              </w:rPr>
              <w:t>0,25 mg/kg</w:t>
            </w:r>
          </w:p>
        </w:tc>
      </w:tr>
      <w:tr w:rsidR="007F0488" w:rsidRPr="00BD2023" w14:paraId="5336D1EE" w14:textId="77777777" w:rsidTr="00740B8C">
        <w:trPr>
          <w:trHeight w:val="258"/>
          <w:jc w:val="center"/>
        </w:trPr>
        <w:tc>
          <w:tcPr>
            <w:tcW w:w="4632" w:type="dxa"/>
          </w:tcPr>
          <w:p w14:paraId="17AF004C" w14:textId="77777777" w:rsidR="007F0488" w:rsidRPr="00BD2023" w:rsidRDefault="007F0488" w:rsidP="00F77D20">
            <w:pPr>
              <w:pStyle w:val="TableText10"/>
              <w:keepLines/>
              <w:jc w:val="center"/>
              <w:rPr>
                <w:rFonts w:ascii="Times New Roman" w:hAnsi="Times New Roman"/>
                <w:sz w:val="22"/>
                <w:szCs w:val="22"/>
                <w:lang w:val="sr-Latn-ME"/>
              </w:rPr>
            </w:pPr>
            <w:r w:rsidRPr="00BD2023">
              <w:rPr>
                <w:rFonts w:ascii="Times New Roman" w:hAnsi="Times New Roman"/>
                <w:sz w:val="22"/>
                <w:szCs w:val="22"/>
                <w:lang w:val="sr-Latn-ME"/>
              </w:rPr>
              <w:t>≥ 2 godine života (≥ 20 kg)</w:t>
            </w:r>
          </w:p>
        </w:tc>
        <w:tc>
          <w:tcPr>
            <w:tcW w:w="3501" w:type="dxa"/>
            <w:shd w:val="clear" w:color="auto" w:fill="auto"/>
          </w:tcPr>
          <w:p w14:paraId="2FAB21A7" w14:textId="77777777" w:rsidR="007F0488" w:rsidRPr="00BD2023" w:rsidRDefault="007F0488" w:rsidP="00F77D20">
            <w:pPr>
              <w:pStyle w:val="TableText10"/>
              <w:keepLines/>
              <w:jc w:val="center"/>
              <w:rPr>
                <w:rFonts w:ascii="Times New Roman" w:hAnsi="Times New Roman"/>
                <w:sz w:val="22"/>
                <w:szCs w:val="22"/>
                <w:lang w:val="sr-Latn-ME"/>
              </w:rPr>
            </w:pPr>
            <w:r w:rsidRPr="00BD2023">
              <w:rPr>
                <w:rFonts w:ascii="Times New Roman" w:hAnsi="Times New Roman"/>
                <w:sz w:val="22"/>
                <w:szCs w:val="22"/>
                <w:lang w:val="sr-Latn-ME"/>
              </w:rPr>
              <w:t xml:space="preserve">5 mg </w:t>
            </w:r>
          </w:p>
        </w:tc>
      </w:tr>
    </w:tbl>
    <w:p w14:paraId="196AAE7F" w14:textId="77777777" w:rsidR="00740B8C" w:rsidRPr="00BD2023" w:rsidRDefault="00740B8C" w:rsidP="00740B8C">
      <w:pPr>
        <w:tabs>
          <w:tab w:val="left" w:pos="540"/>
          <w:tab w:val="left" w:pos="567"/>
        </w:tabs>
        <w:rPr>
          <w:bCs/>
          <w:sz w:val="22"/>
          <w:szCs w:val="22"/>
          <w:lang w:val="sr-Latn-ME"/>
        </w:rPr>
      </w:pPr>
      <w:r w:rsidRPr="00BD2023">
        <w:rPr>
          <w:bCs/>
          <w:sz w:val="22"/>
          <w:szCs w:val="22"/>
          <w:lang w:val="sr-Latn-ME"/>
        </w:rPr>
        <w:t>*na osnovu korigovanog uzrasta za nedonoščad</w:t>
      </w:r>
    </w:p>
    <w:p w14:paraId="792079E0" w14:textId="77777777" w:rsidR="007F0488" w:rsidRPr="00BD2023" w:rsidRDefault="007F0488" w:rsidP="007F0488">
      <w:pPr>
        <w:tabs>
          <w:tab w:val="left" w:pos="540"/>
          <w:tab w:val="left" w:pos="569"/>
        </w:tabs>
        <w:rPr>
          <w:bCs/>
          <w:sz w:val="22"/>
          <w:szCs w:val="22"/>
          <w:lang w:val="sr-Latn-ME"/>
        </w:rPr>
      </w:pPr>
    </w:p>
    <w:p w14:paraId="6DF089CC" w14:textId="77777777" w:rsidR="00452E9D" w:rsidRPr="00BD2023" w:rsidRDefault="00452E9D" w:rsidP="00480FB1">
      <w:pPr>
        <w:tabs>
          <w:tab w:val="left" w:pos="540"/>
          <w:tab w:val="left" w:pos="569"/>
        </w:tabs>
        <w:rPr>
          <w:bCs/>
          <w:sz w:val="22"/>
          <w:szCs w:val="22"/>
          <w:u w:val="single"/>
          <w:lang w:val="sr-Latn-ME"/>
        </w:rPr>
      </w:pPr>
    </w:p>
    <w:p w14:paraId="3FE34807" w14:textId="77777777" w:rsidR="007F0488" w:rsidRPr="00BD2023" w:rsidRDefault="007F0488" w:rsidP="00BC480A">
      <w:pPr>
        <w:tabs>
          <w:tab w:val="left" w:pos="540"/>
          <w:tab w:val="left" w:pos="569"/>
        </w:tabs>
        <w:jc w:val="both"/>
        <w:rPr>
          <w:bCs/>
          <w:sz w:val="22"/>
          <w:szCs w:val="22"/>
          <w:lang w:val="sr-Latn-ME"/>
        </w:rPr>
      </w:pPr>
      <w:r w:rsidRPr="00BD2023">
        <w:rPr>
          <w:bCs/>
          <w:sz w:val="22"/>
          <w:szCs w:val="22"/>
          <w:lang w:val="sr-Latn-ME"/>
        </w:rPr>
        <w:t>Terapija dnevnom dozom iznad 5 mg nije proučavana.</w:t>
      </w:r>
    </w:p>
    <w:p w14:paraId="0D4F0432" w14:textId="77777777" w:rsidR="007F0488" w:rsidRPr="00BD2023" w:rsidRDefault="007F0488" w:rsidP="00BC480A">
      <w:pPr>
        <w:tabs>
          <w:tab w:val="left" w:pos="540"/>
          <w:tab w:val="left" w:pos="569"/>
        </w:tabs>
        <w:jc w:val="both"/>
        <w:rPr>
          <w:bCs/>
          <w:sz w:val="22"/>
          <w:szCs w:val="22"/>
          <w:lang w:val="sr-Latn-ME"/>
        </w:rPr>
      </w:pPr>
    </w:p>
    <w:p w14:paraId="2B60A8DD" w14:textId="77777777" w:rsidR="007F0488" w:rsidRPr="00BD2023" w:rsidRDefault="007F0488" w:rsidP="00BC480A">
      <w:pPr>
        <w:tabs>
          <w:tab w:val="left" w:pos="540"/>
          <w:tab w:val="left" w:pos="569"/>
        </w:tabs>
        <w:jc w:val="both"/>
        <w:rPr>
          <w:bCs/>
          <w:i/>
          <w:sz w:val="22"/>
          <w:szCs w:val="22"/>
          <w:lang w:val="sr-Latn-ME"/>
        </w:rPr>
      </w:pPr>
      <w:r w:rsidRPr="00BD2023">
        <w:rPr>
          <w:bCs/>
          <w:i/>
          <w:sz w:val="22"/>
          <w:szCs w:val="22"/>
          <w:lang w:val="sr-Latn-ME"/>
        </w:rPr>
        <w:t>Odložene ili propuštene doze</w:t>
      </w:r>
    </w:p>
    <w:p w14:paraId="363AF0B1" w14:textId="6CB41051" w:rsidR="007F0488" w:rsidRPr="00BD2023" w:rsidRDefault="007F0488" w:rsidP="00BC480A">
      <w:pPr>
        <w:tabs>
          <w:tab w:val="left" w:pos="540"/>
          <w:tab w:val="left" w:pos="569"/>
        </w:tabs>
        <w:jc w:val="both"/>
        <w:rPr>
          <w:bCs/>
          <w:sz w:val="22"/>
          <w:szCs w:val="22"/>
          <w:lang w:val="sr-Latn-ME"/>
        </w:rPr>
      </w:pPr>
      <w:r w:rsidRPr="00BD2023">
        <w:rPr>
          <w:bCs/>
          <w:sz w:val="22"/>
          <w:szCs w:val="22"/>
          <w:lang w:val="sr-Latn-ME"/>
        </w:rPr>
        <w:t>Ukoliko se propusti planirana doza, treba je prim</w:t>
      </w:r>
      <w:r w:rsidR="00E7182D" w:rsidRPr="00BD2023">
        <w:rPr>
          <w:bCs/>
          <w:sz w:val="22"/>
          <w:szCs w:val="22"/>
          <w:lang w:val="sr-Latn-ME"/>
        </w:rPr>
        <w:t>ij</w:t>
      </w:r>
      <w:r w:rsidRPr="00BD2023">
        <w:rPr>
          <w:bCs/>
          <w:sz w:val="22"/>
          <w:szCs w:val="22"/>
          <w:lang w:val="sr-Latn-ME"/>
        </w:rPr>
        <w:t>eniti što je moguće p</w:t>
      </w:r>
      <w:r w:rsidR="00622570" w:rsidRPr="00BD2023">
        <w:rPr>
          <w:bCs/>
          <w:sz w:val="22"/>
          <w:szCs w:val="22"/>
          <w:lang w:val="sr-Latn-ME"/>
        </w:rPr>
        <w:t>r</w:t>
      </w:r>
      <w:r w:rsidR="00E7182D" w:rsidRPr="00BD2023">
        <w:rPr>
          <w:bCs/>
          <w:sz w:val="22"/>
          <w:szCs w:val="22"/>
          <w:lang w:val="sr-Latn-ME"/>
        </w:rPr>
        <w:t>ij</w:t>
      </w:r>
      <w:r w:rsidRPr="00BD2023">
        <w:rPr>
          <w:bCs/>
          <w:sz w:val="22"/>
          <w:szCs w:val="22"/>
          <w:lang w:val="sr-Latn-ME"/>
        </w:rPr>
        <w:t>e</w:t>
      </w:r>
      <w:r w:rsidR="002018B4" w:rsidRPr="00BD2023">
        <w:rPr>
          <w:bCs/>
          <w:sz w:val="22"/>
          <w:szCs w:val="22"/>
          <w:lang w:val="sr-Latn-ME"/>
        </w:rPr>
        <w:t>,</w:t>
      </w:r>
      <w:r w:rsidRPr="00BD2023">
        <w:rPr>
          <w:bCs/>
          <w:sz w:val="22"/>
          <w:szCs w:val="22"/>
          <w:lang w:val="sr-Latn-ME"/>
        </w:rPr>
        <w:t xml:space="preserve"> ukoliko nije prošlo više od 6 sati od vr</w:t>
      </w:r>
      <w:r w:rsidR="00BD2023">
        <w:rPr>
          <w:bCs/>
          <w:sz w:val="22"/>
          <w:szCs w:val="22"/>
          <w:lang w:val="sr-Latn-ME"/>
        </w:rPr>
        <w:t>ij</w:t>
      </w:r>
      <w:r w:rsidRPr="00BD2023">
        <w:rPr>
          <w:bCs/>
          <w:sz w:val="22"/>
          <w:szCs w:val="22"/>
          <w:lang w:val="sr-Latn-ME"/>
        </w:rPr>
        <w:t>emena za dozu prema rasporedu. U suprotnom treba preskočiti propuštenu dozu i prim</w:t>
      </w:r>
      <w:r w:rsidR="00E7182D" w:rsidRPr="00BD2023">
        <w:rPr>
          <w:bCs/>
          <w:sz w:val="22"/>
          <w:szCs w:val="22"/>
          <w:lang w:val="sr-Latn-ME"/>
        </w:rPr>
        <w:t>ij</w:t>
      </w:r>
      <w:r w:rsidRPr="00BD2023">
        <w:rPr>
          <w:bCs/>
          <w:sz w:val="22"/>
          <w:szCs w:val="22"/>
          <w:lang w:val="sr-Latn-ME"/>
        </w:rPr>
        <w:t xml:space="preserve">eniti </w:t>
      </w:r>
      <w:r w:rsidR="00B255B3" w:rsidRPr="00BD2023">
        <w:rPr>
          <w:bCs/>
          <w:sz w:val="22"/>
          <w:szCs w:val="22"/>
          <w:lang w:val="sr-Latn-ME"/>
        </w:rPr>
        <w:t>sljedeć</w:t>
      </w:r>
      <w:r w:rsidRPr="00BD2023">
        <w:rPr>
          <w:bCs/>
          <w:sz w:val="22"/>
          <w:szCs w:val="22"/>
          <w:lang w:val="sr-Latn-ME"/>
        </w:rPr>
        <w:t>u dozu u određeno vr</w:t>
      </w:r>
      <w:r w:rsidR="00E7182D" w:rsidRPr="00BD2023">
        <w:rPr>
          <w:bCs/>
          <w:sz w:val="22"/>
          <w:szCs w:val="22"/>
          <w:lang w:val="sr-Latn-ME"/>
        </w:rPr>
        <w:t>ij</w:t>
      </w:r>
      <w:r w:rsidRPr="00BD2023">
        <w:rPr>
          <w:bCs/>
          <w:sz w:val="22"/>
          <w:szCs w:val="22"/>
          <w:lang w:val="sr-Latn-ME"/>
        </w:rPr>
        <w:t>eme prema rasporedu narednog dana.</w:t>
      </w:r>
    </w:p>
    <w:p w14:paraId="0E3077F1" w14:textId="77777777" w:rsidR="007F0488" w:rsidRPr="00BD2023" w:rsidRDefault="007F0488" w:rsidP="00BC480A">
      <w:pPr>
        <w:tabs>
          <w:tab w:val="left" w:pos="540"/>
          <w:tab w:val="left" w:pos="569"/>
        </w:tabs>
        <w:jc w:val="both"/>
        <w:rPr>
          <w:bCs/>
          <w:sz w:val="22"/>
          <w:szCs w:val="22"/>
          <w:lang w:val="sr-Latn-ME"/>
        </w:rPr>
      </w:pPr>
    </w:p>
    <w:p w14:paraId="74761085" w14:textId="45AB3218" w:rsidR="007F0488" w:rsidRPr="00BD2023" w:rsidRDefault="007F0488" w:rsidP="00BC480A">
      <w:pPr>
        <w:tabs>
          <w:tab w:val="left" w:pos="540"/>
          <w:tab w:val="left" w:pos="569"/>
        </w:tabs>
        <w:jc w:val="both"/>
        <w:rPr>
          <w:bCs/>
          <w:sz w:val="22"/>
          <w:szCs w:val="22"/>
          <w:lang w:val="sr-Latn-ME"/>
        </w:rPr>
      </w:pPr>
      <w:r w:rsidRPr="00BD2023">
        <w:rPr>
          <w:bCs/>
          <w:sz w:val="22"/>
          <w:szCs w:val="22"/>
          <w:lang w:val="sr-Latn-ME"/>
        </w:rPr>
        <w:t xml:space="preserve">Ukoliko se doza ne proguta u potpunosti ili dođe do povraćanja nakon uzimanja doze </w:t>
      </w:r>
      <w:r w:rsidR="007E5CF0" w:rsidRPr="00BD2023">
        <w:rPr>
          <w:bCs/>
          <w:sz w:val="22"/>
          <w:szCs w:val="22"/>
          <w:lang w:val="sr-Latn-ME"/>
        </w:rPr>
        <w:t>lijek</w:t>
      </w:r>
      <w:r w:rsidRPr="00BD2023">
        <w:rPr>
          <w:bCs/>
          <w:sz w:val="22"/>
          <w:szCs w:val="22"/>
          <w:lang w:val="sr-Latn-ME"/>
        </w:rPr>
        <w:t xml:space="preserve">a Evrysdi, ne treba uzimati drugu dozu kako bi se nadoknadila nepotpuna doza. </w:t>
      </w:r>
      <w:r w:rsidR="00B255B3" w:rsidRPr="00BD2023">
        <w:rPr>
          <w:bCs/>
          <w:sz w:val="22"/>
          <w:szCs w:val="22"/>
          <w:lang w:val="sr-Latn-ME"/>
        </w:rPr>
        <w:t>Sljedeć</w:t>
      </w:r>
      <w:r w:rsidRPr="00BD2023">
        <w:rPr>
          <w:bCs/>
          <w:sz w:val="22"/>
          <w:szCs w:val="22"/>
          <w:lang w:val="sr-Latn-ME"/>
        </w:rPr>
        <w:t>u dozu treba prim</w:t>
      </w:r>
      <w:r w:rsidR="00E7182D" w:rsidRPr="00BD2023">
        <w:rPr>
          <w:bCs/>
          <w:sz w:val="22"/>
          <w:szCs w:val="22"/>
          <w:lang w:val="sr-Latn-ME"/>
        </w:rPr>
        <w:t>ij</w:t>
      </w:r>
      <w:r w:rsidRPr="00BD2023">
        <w:rPr>
          <w:bCs/>
          <w:sz w:val="22"/>
          <w:szCs w:val="22"/>
          <w:lang w:val="sr-Latn-ME"/>
        </w:rPr>
        <w:t>eniti u redovno vr</w:t>
      </w:r>
      <w:r w:rsidR="00E7182D" w:rsidRPr="00BD2023">
        <w:rPr>
          <w:bCs/>
          <w:sz w:val="22"/>
          <w:szCs w:val="22"/>
          <w:lang w:val="sr-Latn-ME"/>
        </w:rPr>
        <w:t>ij</w:t>
      </w:r>
      <w:r w:rsidRPr="00BD2023">
        <w:rPr>
          <w:bCs/>
          <w:sz w:val="22"/>
          <w:szCs w:val="22"/>
          <w:lang w:val="sr-Latn-ME"/>
        </w:rPr>
        <w:t>eme prema rasporedu.</w:t>
      </w:r>
    </w:p>
    <w:p w14:paraId="7064B274" w14:textId="77777777" w:rsidR="007F0488" w:rsidRPr="00BD2023" w:rsidRDefault="007F0488" w:rsidP="00BC480A">
      <w:pPr>
        <w:tabs>
          <w:tab w:val="left" w:pos="540"/>
          <w:tab w:val="left" w:pos="569"/>
        </w:tabs>
        <w:jc w:val="both"/>
        <w:rPr>
          <w:bCs/>
          <w:sz w:val="22"/>
          <w:szCs w:val="22"/>
          <w:lang w:val="sr-Latn-ME"/>
        </w:rPr>
      </w:pPr>
    </w:p>
    <w:p w14:paraId="621EFAF5" w14:textId="77777777" w:rsidR="007F0488" w:rsidRPr="00BD2023" w:rsidRDefault="007F0488" w:rsidP="00BC480A">
      <w:pPr>
        <w:tabs>
          <w:tab w:val="left" w:pos="540"/>
          <w:tab w:val="left" w:pos="569"/>
        </w:tabs>
        <w:jc w:val="both"/>
        <w:rPr>
          <w:bCs/>
          <w:i/>
          <w:sz w:val="22"/>
          <w:szCs w:val="22"/>
          <w:lang w:val="sr-Latn-ME"/>
        </w:rPr>
      </w:pPr>
      <w:r w:rsidRPr="00BD2023">
        <w:rPr>
          <w:bCs/>
          <w:i/>
          <w:sz w:val="22"/>
          <w:szCs w:val="22"/>
          <w:lang w:val="sr-Latn-ME"/>
        </w:rPr>
        <w:t xml:space="preserve">Starije osobe </w:t>
      </w:r>
    </w:p>
    <w:p w14:paraId="598E7BB8" w14:textId="041330EE" w:rsidR="007F0488" w:rsidRPr="00BD2023" w:rsidRDefault="007F0488" w:rsidP="00BC480A">
      <w:pPr>
        <w:tabs>
          <w:tab w:val="left" w:pos="540"/>
          <w:tab w:val="left" w:pos="569"/>
        </w:tabs>
        <w:jc w:val="both"/>
        <w:rPr>
          <w:bCs/>
          <w:sz w:val="22"/>
          <w:szCs w:val="22"/>
          <w:lang w:val="sr-Latn-ME"/>
        </w:rPr>
      </w:pPr>
      <w:r w:rsidRPr="00BD2023">
        <w:rPr>
          <w:bCs/>
          <w:sz w:val="22"/>
          <w:szCs w:val="22"/>
          <w:lang w:val="sr-Latn-ME"/>
        </w:rPr>
        <w:t>Za starije pacijente nije potrebno podešavanje doze, na osnovu ograničenih podataka kod ispitanika od 65 godina i starijih (</w:t>
      </w:r>
      <w:r w:rsidR="005D411F" w:rsidRPr="00BD2023">
        <w:rPr>
          <w:bCs/>
          <w:sz w:val="22"/>
          <w:szCs w:val="22"/>
          <w:lang w:val="sr-Latn-ME"/>
        </w:rPr>
        <w:t>vidjeti</w:t>
      </w:r>
      <w:r w:rsidRPr="00BD2023">
        <w:rPr>
          <w:bCs/>
          <w:sz w:val="22"/>
          <w:szCs w:val="22"/>
          <w:lang w:val="sr-Latn-ME"/>
        </w:rPr>
        <w:t xml:space="preserve"> </w:t>
      </w:r>
      <w:r w:rsidR="00A76607" w:rsidRPr="00BD2023">
        <w:rPr>
          <w:bCs/>
          <w:sz w:val="22"/>
          <w:szCs w:val="22"/>
          <w:lang w:val="sr-Latn-ME"/>
        </w:rPr>
        <w:t xml:space="preserve">dio </w:t>
      </w:r>
      <w:r w:rsidRPr="00BD2023">
        <w:rPr>
          <w:bCs/>
          <w:sz w:val="22"/>
          <w:szCs w:val="22"/>
          <w:lang w:val="sr-Latn-ME"/>
        </w:rPr>
        <w:t>5.2.).</w:t>
      </w:r>
    </w:p>
    <w:p w14:paraId="4A2D1F34" w14:textId="77777777" w:rsidR="007F0488" w:rsidRPr="00BD2023" w:rsidRDefault="007F0488" w:rsidP="00BC480A">
      <w:pPr>
        <w:tabs>
          <w:tab w:val="left" w:pos="540"/>
          <w:tab w:val="left" w:pos="569"/>
        </w:tabs>
        <w:jc w:val="both"/>
        <w:rPr>
          <w:bCs/>
          <w:sz w:val="22"/>
          <w:szCs w:val="22"/>
          <w:lang w:val="sr-Latn-ME"/>
        </w:rPr>
      </w:pPr>
    </w:p>
    <w:p w14:paraId="4012F42B" w14:textId="77777777" w:rsidR="007F0488" w:rsidRPr="00BD2023" w:rsidRDefault="007F0488" w:rsidP="00BC480A">
      <w:pPr>
        <w:tabs>
          <w:tab w:val="left" w:pos="540"/>
          <w:tab w:val="left" w:pos="569"/>
        </w:tabs>
        <w:jc w:val="both"/>
        <w:rPr>
          <w:bCs/>
          <w:i/>
          <w:sz w:val="22"/>
          <w:szCs w:val="22"/>
          <w:lang w:val="sr-Latn-ME"/>
        </w:rPr>
      </w:pPr>
      <w:r w:rsidRPr="00BD2023">
        <w:rPr>
          <w:bCs/>
          <w:i/>
          <w:sz w:val="22"/>
          <w:szCs w:val="22"/>
          <w:lang w:val="sr-Latn-ME"/>
        </w:rPr>
        <w:t>Oštećenje funkcije bubrega</w:t>
      </w:r>
    </w:p>
    <w:p w14:paraId="322DED23" w14:textId="5570749C" w:rsidR="007F0488" w:rsidRPr="00BD2023" w:rsidRDefault="007F0488" w:rsidP="00BC480A">
      <w:pPr>
        <w:tabs>
          <w:tab w:val="left" w:pos="540"/>
          <w:tab w:val="left" w:pos="569"/>
        </w:tabs>
        <w:jc w:val="both"/>
        <w:rPr>
          <w:bCs/>
          <w:sz w:val="22"/>
          <w:szCs w:val="22"/>
          <w:lang w:val="sr-Latn-ME"/>
        </w:rPr>
      </w:pPr>
      <w:r w:rsidRPr="00BD2023">
        <w:rPr>
          <w:bCs/>
          <w:sz w:val="22"/>
          <w:szCs w:val="22"/>
          <w:lang w:val="sr-Latn-ME"/>
        </w:rPr>
        <w:t>Risdiplam nije proučavan u ovoj populaciji. Ne očekuje se da će biti potrebno podešavanje doze kod pacijenata sa oštećenjem funkcije bubrega (</w:t>
      </w:r>
      <w:r w:rsidR="005D411F" w:rsidRPr="00BD2023">
        <w:rPr>
          <w:bCs/>
          <w:sz w:val="22"/>
          <w:szCs w:val="22"/>
          <w:lang w:val="sr-Latn-ME"/>
        </w:rPr>
        <w:t>vidjeti</w:t>
      </w:r>
      <w:r w:rsidRPr="00BD2023">
        <w:rPr>
          <w:bCs/>
          <w:sz w:val="22"/>
          <w:szCs w:val="22"/>
          <w:lang w:val="sr-Latn-ME"/>
        </w:rPr>
        <w:t xml:space="preserve"> </w:t>
      </w:r>
      <w:r w:rsidR="00A76607" w:rsidRPr="00BD2023">
        <w:rPr>
          <w:bCs/>
          <w:sz w:val="22"/>
          <w:szCs w:val="22"/>
          <w:lang w:val="sr-Latn-ME"/>
        </w:rPr>
        <w:t xml:space="preserve">dio </w:t>
      </w:r>
      <w:r w:rsidRPr="00BD2023">
        <w:rPr>
          <w:bCs/>
          <w:sz w:val="22"/>
          <w:szCs w:val="22"/>
          <w:lang w:val="sr-Latn-ME"/>
        </w:rPr>
        <w:t>5.2).</w:t>
      </w:r>
    </w:p>
    <w:p w14:paraId="26EF378D" w14:textId="77777777" w:rsidR="007F0488" w:rsidRPr="00BD2023" w:rsidRDefault="007F0488" w:rsidP="00BC480A">
      <w:pPr>
        <w:tabs>
          <w:tab w:val="left" w:pos="540"/>
          <w:tab w:val="left" w:pos="569"/>
        </w:tabs>
        <w:jc w:val="both"/>
        <w:rPr>
          <w:bCs/>
          <w:sz w:val="22"/>
          <w:szCs w:val="22"/>
          <w:lang w:val="sr-Latn-ME"/>
        </w:rPr>
      </w:pPr>
    </w:p>
    <w:p w14:paraId="4232DBE9" w14:textId="77777777" w:rsidR="007F0488" w:rsidRPr="00BD2023" w:rsidRDefault="007F0488" w:rsidP="00BC480A">
      <w:pPr>
        <w:tabs>
          <w:tab w:val="left" w:pos="540"/>
          <w:tab w:val="left" w:pos="569"/>
        </w:tabs>
        <w:jc w:val="both"/>
        <w:rPr>
          <w:bCs/>
          <w:i/>
          <w:sz w:val="22"/>
          <w:szCs w:val="22"/>
          <w:lang w:val="sr-Latn-ME"/>
        </w:rPr>
      </w:pPr>
      <w:r w:rsidRPr="00BD2023">
        <w:rPr>
          <w:bCs/>
          <w:i/>
          <w:sz w:val="22"/>
          <w:szCs w:val="22"/>
          <w:lang w:val="sr-Latn-ME"/>
        </w:rPr>
        <w:t xml:space="preserve">Oštećenje funkcije jetre </w:t>
      </w:r>
    </w:p>
    <w:p w14:paraId="342B629F" w14:textId="14F4D0EA" w:rsidR="007F0488" w:rsidRPr="00BD2023" w:rsidRDefault="007F0488" w:rsidP="00BC480A">
      <w:pPr>
        <w:tabs>
          <w:tab w:val="left" w:pos="540"/>
          <w:tab w:val="left" w:pos="569"/>
        </w:tabs>
        <w:jc w:val="both"/>
        <w:rPr>
          <w:bCs/>
          <w:sz w:val="22"/>
          <w:szCs w:val="22"/>
          <w:lang w:val="sr-Latn-ME"/>
        </w:rPr>
      </w:pPr>
      <w:r w:rsidRPr="00BD2023">
        <w:rPr>
          <w:bCs/>
          <w:sz w:val="22"/>
          <w:szCs w:val="22"/>
          <w:lang w:val="sr-Latn-ME"/>
        </w:rPr>
        <w:t xml:space="preserve">Kod pacijenata sa blagim ili </w:t>
      </w:r>
      <w:r w:rsidR="00B255B3" w:rsidRPr="00BD2023">
        <w:rPr>
          <w:bCs/>
          <w:sz w:val="22"/>
          <w:szCs w:val="22"/>
          <w:lang w:val="sr-Latn-ME"/>
        </w:rPr>
        <w:t>umjeren</w:t>
      </w:r>
      <w:r w:rsidRPr="00BD2023">
        <w:rPr>
          <w:bCs/>
          <w:sz w:val="22"/>
          <w:szCs w:val="22"/>
          <w:lang w:val="sr-Latn-ME"/>
        </w:rPr>
        <w:t>im oštećenjem funkcije jetre nije potrebno podešavanje doze. Pacijenti sa teškim oštećenjem jetre ni</w:t>
      </w:r>
      <w:r w:rsidR="006940CD" w:rsidRPr="00BD2023">
        <w:rPr>
          <w:bCs/>
          <w:sz w:val="22"/>
          <w:szCs w:val="22"/>
          <w:lang w:val="sr-Latn-ME"/>
        </w:rPr>
        <w:t>je</w:t>
      </w:r>
      <w:r w:rsidRPr="00BD2023">
        <w:rPr>
          <w:bCs/>
          <w:sz w:val="22"/>
          <w:szCs w:val="22"/>
          <w:lang w:val="sr-Latn-ME"/>
        </w:rPr>
        <w:t>su proučavani i kod njih se može javiti povećana izloženost risdiplamu (vid</w:t>
      </w:r>
      <w:r w:rsidR="00E7182D" w:rsidRPr="00BD2023">
        <w:rPr>
          <w:bCs/>
          <w:sz w:val="22"/>
          <w:szCs w:val="22"/>
          <w:lang w:val="sr-Latn-ME"/>
        </w:rPr>
        <w:t>j</w:t>
      </w:r>
      <w:r w:rsidRPr="00BD2023">
        <w:rPr>
          <w:bCs/>
          <w:sz w:val="22"/>
          <w:szCs w:val="22"/>
          <w:lang w:val="sr-Latn-ME"/>
        </w:rPr>
        <w:t xml:space="preserve">eti </w:t>
      </w:r>
      <w:r w:rsidR="00A76607" w:rsidRPr="00BD2023">
        <w:rPr>
          <w:bCs/>
          <w:sz w:val="22"/>
          <w:szCs w:val="22"/>
          <w:lang w:val="sr-Latn-ME"/>
        </w:rPr>
        <w:t xml:space="preserve">djelove </w:t>
      </w:r>
      <w:r w:rsidRPr="00BD2023">
        <w:rPr>
          <w:bCs/>
          <w:sz w:val="22"/>
          <w:szCs w:val="22"/>
          <w:lang w:val="sr-Latn-ME"/>
        </w:rPr>
        <w:t>5.1 i 5.2).</w:t>
      </w:r>
    </w:p>
    <w:p w14:paraId="7F733397" w14:textId="77777777" w:rsidR="007F0488" w:rsidRPr="00BD2023" w:rsidRDefault="007F0488" w:rsidP="00BC480A">
      <w:pPr>
        <w:tabs>
          <w:tab w:val="left" w:pos="540"/>
          <w:tab w:val="left" w:pos="569"/>
        </w:tabs>
        <w:jc w:val="both"/>
        <w:rPr>
          <w:bCs/>
          <w:sz w:val="22"/>
          <w:szCs w:val="22"/>
          <w:lang w:val="sr-Latn-ME"/>
        </w:rPr>
      </w:pPr>
    </w:p>
    <w:p w14:paraId="018F3327" w14:textId="77777777" w:rsidR="007F0488" w:rsidRPr="00BD2023" w:rsidRDefault="007F0488" w:rsidP="00BC480A">
      <w:pPr>
        <w:tabs>
          <w:tab w:val="left" w:pos="540"/>
          <w:tab w:val="left" w:pos="569"/>
        </w:tabs>
        <w:jc w:val="both"/>
        <w:rPr>
          <w:bCs/>
          <w:i/>
          <w:sz w:val="22"/>
          <w:szCs w:val="22"/>
          <w:lang w:val="sr-Latn-ME"/>
        </w:rPr>
      </w:pPr>
      <w:r w:rsidRPr="00BD2023">
        <w:rPr>
          <w:bCs/>
          <w:i/>
          <w:sz w:val="22"/>
          <w:szCs w:val="22"/>
          <w:lang w:val="sr-Latn-ME"/>
        </w:rPr>
        <w:t>Pedijatrijska populacija</w:t>
      </w:r>
    </w:p>
    <w:p w14:paraId="6DAA060E" w14:textId="13FF3BC8" w:rsidR="007F0488" w:rsidRPr="00BD2023" w:rsidRDefault="00740B8C" w:rsidP="00BC480A">
      <w:pPr>
        <w:tabs>
          <w:tab w:val="left" w:pos="540"/>
          <w:tab w:val="left" w:pos="569"/>
        </w:tabs>
        <w:jc w:val="both"/>
        <w:rPr>
          <w:bCs/>
          <w:sz w:val="22"/>
          <w:szCs w:val="22"/>
          <w:lang w:val="sr-Latn-ME"/>
        </w:rPr>
      </w:pPr>
      <w:r w:rsidRPr="00BD2023">
        <w:rPr>
          <w:bCs/>
          <w:sz w:val="22"/>
          <w:szCs w:val="22"/>
          <w:lang w:val="sr-Latn-ME"/>
        </w:rPr>
        <w:t>Primjena lijeka Evrysdi kod SMA pacijenata uzrasta 2 m</w:t>
      </w:r>
      <w:r w:rsidR="00E6573B" w:rsidRPr="00BD2023">
        <w:rPr>
          <w:bCs/>
          <w:sz w:val="22"/>
          <w:szCs w:val="22"/>
          <w:lang w:val="sr-Latn-ME"/>
        </w:rPr>
        <w:t>j</w:t>
      </w:r>
      <w:r w:rsidRPr="00BD2023">
        <w:rPr>
          <w:bCs/>
          <w:sz w:val="22"/>
          <w:szCs w:val="22"/>
          <w:lang w:val="sr-Latn-ME"/>
        </w:rPr>
        <w:t>eseca i mlađih potkr</w:t>
      </w:r>
      <w:r w:rsidR="00435851" w:rsidRPr="00BD2023">
        <w:rPr>
          <w:bCs/>
          <w:sz w:val="22"/>
          <w:szCs w:val="22"/>
          <w:lang w:val="sr-Latn-ME"/>
        </w:rPr>
        <w:t>ij</w:t>
      </w:r>
      <w:r w:rsidRPr="00BD2023">
        <w:rPr>
          <w:bCs/>
          <w:sz w:val="22"/>
          <w:szCs w:val="22"/>
          <w:lang w:val="sr-Latn-ME"/>
        </w:rPr>
        <w:t xml:space="preserve">epljena je farmakokinetičkim podacima i podacima o bezbjednosti primjene kod pedijatrijskih pacijenata uzrasta 16 dana i starijih (vidjeti </w:t>
      </w:r>
      <w:r w:rsidR="00435851" w:rsidRPr="00BD2023">
        <w:rPr>
          <w:bCs/>
          <w:sz w:val="22"/>
          <w:szCs w:val="22"/>
          <w:lang w:val="sr-Latn-ME"/>
        </w:rPr>
        <w:t>d</w:t>
      </w:r>
      <w:r w:rsidRPr="00BD2023">
        <w:rPr>
          <w:bCs/>
          <w:sz w:val="22"/>
          <w:szCs w:val="22"/>
          <w:lang w:val="sr-Latn-ME"/>
        </w:rPr>
        <w:t>jelove 4.8, 5.1 i 5.2). Nema dostupnih podataka</w:t>
      </w:r>
      <w:r w:rsidRPr="00BD2023" w:rsidDel="00B04EDB">
        <w:rPr>
          <w:bCs/>
          <w:sz w:val="22"/>
          <w:szCs w:val="22"/>
          <w:lang w:val="sr-Latn-ME"/>
        </w:rPr>
        <w:t xml:space="preserve"> </w:t>
      </w:r>
      <w:r w:rsidRPr="00BD2023">
        <w:rPr>
          <w:bCs/>
          <w:sz w:val="22"/>
          <w:szCs w:val="22"/>
          <w:lang w:val="sr-Latn-ME"/>
        </w:rPr>
        <w:t xml:space="preserve">o farmakokinetici risdiplama kod pacijenata mlađih od 16 dana. </w:t>
      </w:r>
    </w:p>
    <w:p w14:paraId="2EB72B58" w14:textId="77777777" w:rsidR="007F0488" w:rsidRPr="00BD2023" w:rsidRDefault="007F0488" w:rsidP="00BC480A">
      <w:pPr>
        <w:tabs>
          <w:tab w:val="left" w:pos="540"/>
          <w:tab w:val="left" w:pos="569"/>
        </w:tabs>
        <w:jc w:val="both"/>
        <w:rPr>
          <w:bCs/>
          <w:sz w:val="22"/>
          <w:szCs w:val="22"/>
          <w:lang w:val="sr-Latn-ME"/>
        </w:rPr>
      </w:pPr>
    </w:p>
    <w:p w14:paraId="44068F55" w14:textId="77777777" w:rsidR="007F0488" w:rsidRPr="00BD2023" w:rsidRDefault="007F0488" w:rsidP="00BC480A">
      <w:pPr>
        <w:tabs>
          <w:tab w:val="left" w:pos="540"/>
          <w:tab w:val="left" w:pos="569"/>
        </w:tabs>
        <w:jc w:val="both"/>
        <w:rPr>
          <w:bCs/>
          <w:sz w:val="22"/>
          <w:szCs w:val="22"/>
          <w:u w:val="single"/>
          <w:lang w:val="sr-Latn-ME"/>
        </w:rPr>
      </w:pPr>
      <w:r w:rsidRPr="00BD2023">
        <w:rPr>
          <w:bCs/>
          <w:sz w:val="22"/>
          <w:szCs w:val="22"/>
          <w:u w:val="single"/>
          <w:lang w:val="sr-Latn-ME"/>
        </w:rPr>
        <w:t>Način primjene</w:t>
      </w:r>
    </w:p>
    <w:p w14:paraId="4AB58AD7" w14:textId="77777777" w:rsidR="007F0488" w:rsidRPr="00BD2023" w:rsidRDefault="007F0488" w:rsidP="00BC480A">
      <w:pPr>
        <w:tabs>
          <w:tab w:val="left" w:pos="540"/>
          <w:tab w:val="left" w:pos="569"/>
        </w:tabs>
        <w:jc w:val="both"/>
        <w:rPr>
          <w:bCs/>
          <w:sz w:val="22"/>
          <w:szCs w:val="22"/>
          <w:lang w:val="sr-Latn-ME"/>
        </w:rPr>
      </w:pPr>
    </w:p>
    <w:p w14:paraId="319C4794" w14:textId="77777777" w:rsidR="007F0488" w:rsidRPr="00BD2023" w:rsidRDefault="007F0488" w:rsidP="00BC480A">
      <w:pPr>
        <w:tabs>
          <w:tab w:val="left" w:pos="540"/>
          <w:tab w:val="left" w:pos="569"/>
        </w:tabs>
        <w:jc w:val="both"/>
        <w:rPr>
          <w:bCs/>
          <w:sz w:val="22"/>
          <w:szCs w:val="22"/>
          <w:lang w:val="sr-Latn-ME"/>
        </w:rPr>
      </w:pPr>
      <w:r w:rsidRPr="00BD2023">
        <w:rPr>
          <w:bCs/>
          <w:sz w:val="22"/>
          <w:szCs w:val="22"/>
          <w:lang w:val="sr-Latn-ME"/>
        </w:rPr>
        <w:t>Oralna upotreba.</w:t>
      </w:r>
    </w:p>
    <w:p w14:paraId="5372BAB4" w14:textId="77777777" w:rsidR="007F0488" w:rsidRPr="00BD2023" w:rsidRDefault="007F0488" w:rsidP="00BC480A">
      <w:pPr>
        <w:tabs>
          <w:tab w:val="left" w:pos="540"/>
          <w:tab w:val="left" w:pos="569"/>
        </w:tabs>
        <w:jc w:val="both"/>
        <w:rPr>
          <w:bCs/>
          <w:sz w:val="22"/>
          <w:szCs w:val="22"/>
          <w:lang w:val="sr-Latn-ME"/>
        </w:rPr>
      </w:pPr>
    </w:p>
    <w:p w14:paraId="73715F3C" w14:textId="77777777" w:rsidR="007F0488" w:rsidRPr="00BD2023" w:rsidRDefault="007F0488" w:rsidP="00BC480A">
      <w:pPr>
        <w:tabs>
          <w:tab w:val="left" w:pos="540"/>
          <w:tab w:val="left" w:pos="569"/>
        </w:tabs>
        <w:jc w:val="both"/>
        <w:rPr>
          <w:bCs/>
          <w:sz w:val="22"/>
          <w:szCs w:val="22"/>
          <w:lang w:val="sr-Latn-ME"/>
        </w:rPr>
      </w:pPr>
      <w:r w:rsidRPr="00BD2023">
        <w:rPr>
          <w:bCs/>
          <w:sz w:val="22"/>
          <w:szCs w:val="22"/>
          <w:lang w:val="sr-Latn-ME"/>
        </w:rPr>
        <w:t xml:space="preserve">Rastvor </w:t>
      </w:r>
      <w:r w:rsidR="007E5CF0" w:rsidRPr="00BD2023">
        <w:rPr>
          <w:bCs/>
          <w:sz w:val="22"/>
          <w:szCs w:val="22"/>
          <w:lang w:val="sr-Latn-ME"/>
        </w:rPr>
        <w:t>lijek</w:t>
      </w:r>
      <w:r w:rsidRPr="00BD2023">
        <w:rPr>
          <w:bCs/>
          <w:sz w:val="22"/>
          <w:szCs w:val="22"/>
          <w:lang w:val="sr-Latn-ME"/>
        </w:rPr>
        <w:t>a Evrysdi mora da pripremi zdravstveni radnik</w:t>
      </w:r>
      <w:r w:rsidR="000D7A7C" w:rsidRPr="00BD2023">
        <w:rPr>
          <w:bCs/>
          <w:sz w:val="22"/>
          <w:szCs w:val="22"/>
          <w:lang w:val="sr-Latn-ME"/>
        </w:rPr>
        <w:t xml:space="preserve"> (npr. farmaceut)</w:t>
      </w:r>
      <w:r w:rsidRPr="00BD2023">
        <w:rPr>
          <w:bCs/>
          <w:sz w:val="22"/>
          <w:szCs w:val="22"/>
          <w:lang w:val="sr-Latn-ME"/>
        </w:rPr>
        <w:t xml:space="preserve"> pr</w:t>
      </w:r>
      <w:r w:rsidR="00E7182D" w:rsidRPr="00BD2023">
        <w:rPr>
          <w:bCs/>
          <w:sz w:val="22"/>
          <w:szCs w:val="22"/>
          <w:lang w:val="sr-Latn-ME"/>
        </w:rPr>
        <w:t>ij</w:t>
      </w:r>
      <w:r w:rsidRPr="00BD2023">
        <w:rPr>
          <w:bCs/>
          <w:sz w:val="22"/>
          <w:szCs w:val="22"/>
          <w:lang w:val="sr-Latn-ME"/>
        </w:rPr>
        <w:t>e izdavanja.</w:t>
      </w:r>
    </w:p>
    <w:p w14:paraId="5F5F6473" w14:textId="226DEB73" w:rsidR="007F0488" w:rsidRPr="00BD2023" w:rsidRDefault="007F0488" w:rsidP="00BC480A">
      <w:pPr>
        <w:tabs>
          <w:tab w:val="left" w:pos="540"/>
          <w:tab w:val="left" w:pos="569"/>
        </w:tabs>
        <w:jc w:val="both"/>
        <w:rPr>
          <w:bCs/>
          <w:sz w:val="22"/>
          <w:szCs w:val="22"/>
          <w:lang w:val="sr-Latn-ME"/>
        </w:rPr>
      </w:pPr>
      <w:r w:rsidRPr="00BD2023">
        <w:rPr>
          <w:bCs/>
          <w:sz w:val="22"/>
          <w:szCs w:val="22"/>
          <w:lang w:val="sr-Latn-ME"/>
        </w:rPr>
        <w:t>Preporučuje se da zdravstveni radnik</w:t>
      </w:r>
      <w:r w:rsidR="006940CD" w:rsidRPr="00BD2023">
        <w:rPr>
          <w:bCs/>
          <w:sz w:val="22"/>
          <w:szCs w:val="22"/>
          <w:lang w:val="sr-Latn-ME"/>
        </w:rPr>
        <w:t xml:space="preserve"> prije primjene prve doze</w:t>
      </w:r>
      <w:r w:rsidRPr="00BD2023">
        <w:rPr>
          <w:bCs/>
          <w:sz w:val="22"/>
          <w:szCs w:val="22"/>
          <w:lang w:val="sr-Latn-ME"/>
        </w:rPr>
        <w:t xml:space="preserve"> razgovara sa pacijentom ili n</w:t>
      </w:r>
      <w:r w:rsidR="00E7182D" w:rsidRPr="00BD2023">
        <w:rPr>
          <w:bCs/>
          <w:sz w:val="22"/>
          <w:szCs w:val="22"/>
          <w:lang w:val="sr-Latn-ME"/>
        </w:rPr>
        <w:t>j</w:t>
      </w:r>
      <w:r w:rsidRPr="00BD2023">
        <w:rPr>
          <w:bCs/>
          <w:sz w:val="22"/>
          <w:szCs w:val="22"/>
          <w:lang w:val="sr-Latn-ME"/>
        </w:rPr>
        <w:t xml:space="preserve">egovateljem o tome kako se priprema </w:t>
      </w:r>
      <w:r w:rsidR="006940CD" w:rsidRPr="00BD2023">
        <w:rPr>
          <w:bCs/>
          <w:sz w:val="22"/>
          <w:szCs w:val="22"/>
          <w:lang w:val="sr-Latn-ME"/>
        </w:rPr>
        <w:t xml:space="preserve">propisana </w:t>
      </w:r>
      <w:r w:rsidRPr="00BD2023">
        <w:rPr>
          <w:bCs/>
          <w:sz w:val="22"/>
          <w:szCs w:val="22"/>
          <w:lang w:val="sr-Latn-ME"/>
        </w:rPr>
        <w:t>dnevna doza.</w:t>
      </w:r>
    </w:p>
    <w:p w14:paraId="699D8018" w14:textId="77777777" w:rsidR="007F0488" w:rsidRPr="00BD2023" w:rsidRDefault="007F0488" w:rsidP="00BC480A">
      <w:pPr>
        <w:tabs>
          <w:tab w:val="left" w:pos="540"/>
          <w:tab w:val="left" w:pos="569"/>
        </w:tabs>
        <w:jc w:val="both"/>
        <w:rPr>
          <w:bCs/>
          <w:sz w:val="22"/>
          <w:szCs w:val="22"/>
          <w:lang w:val="sr-Latn-ME"/>
        </w:rPr>
      </w:pPr>
    </w:p>
    <w:p w14:paraId="5A47FD45" w14:textId="48F2678B" w:rsidR="007F0488" w:rsidRPr="00BD2023" w:rsidRDefault="006940CD" w:rsidP="00BC480A">
      <w:pPr>
        <w:tabs>
          <w:tab w:val="left" w:pos="540"/>
          <w:tab w:val="left" w:pos="569"/>
        </w:tabs>
        <w:jc w:val="both"/>
        <w:rPr>
          <w:bCs/>
          <w:sz w:val="22"/>
          <w:szCs w:val="22"/>
          <w:lang w:val="sr-Latn-ME"/>
        </w:rPr>
      </w:pPr>
      <w:r w:rsidRPr="00BD2023">
        <w:rPr>
          <w:bCs/>
          <w:sz w:val="22"/>
          <w:szCs w:val="22"/>
          <w:lang w:val="sr-Latn-ME"/>
        </w:rPr>
        <w:t xml:space="preserve">Lijek </w:t>
      </w:r>
      <w:r w:rsidR="007F0488" w:rsidRPr="00BD2023">
        <w:rPr>
          <w:bCs/>
          <w:sz w:val="22"/>
          <w:szCs w:val="22"/>
          <w:lang w:val="sr-Latn-ME"/>
        </w:rPr>
        <w:t>Evrysdi se uzima oralnim putem jednom dnevno nakon obroka, otprilike u isto vr</w:t>
      </w:r>
      <w:r w:rsidR="00E7182D" w:rsidRPr="00BD2023">
        <w:rPr>
          <w:bCs/>
          <w:sz w:val="22"/>
          <w:szCs w:val="22"/>
          <w:lang w:val="sr-Latn-ME"/>
        </w:rPr>
        <w:t>ij</w:t>
      </w:r>
      <w:r w:rsidR="007F0488" w:rsidRPr="00BD2023">
        <w:rPr>
          <w:bCs/>
          <w:sz w:val="22"/>
          <w:szCs w:val="22"/>
          <w:lang w:val="sr-Latn-ME"/>
        </w:rPr>
        <w:t xml:space="preserve">eme svakog dana, pomoću priloženog oralnog šprica za višekratnu upotrebu. Kod odojčadi koju majke doje, </w:t>
      </w:r>
      <w:r w:rsidR="007E5CF0" w:rsidRPr="00BD2023">
        <w:rPr>
          <w:bCs/>
          <w:sz w:val="22"/>
          <w:szCs w:val="22"/>
          <w:lang w:val="sr-Latn-ME"/>
        </w:rPr>
        <w:t>lijek</w:t>
      </w:r>
      <w:r w:rsidR="007F0488" w:rsidRPr="00BD2023">
        <w:rPr>
          <w:bCs/>
          <w:sz w:val="22"/>
          <w:szCs w:val="22"/>
          <w:lang w:val="sr-Latn-ME"/>
        </w:rPr>
        <w:t xml:space="preserve"> Evrysdi treba davati nakon dojenja. Evrysdi ne treba m</w:t>
      </w:r>
      <w:r w:rsidR="00E7182D" w:rsidRPr="00BD2023">
        <w:rPr>
          <w:bCs/>
          <w:sz w:val="22"/>
          <w:szCs w:val="22"/>
          <w:lang w:val="sr-Latn-ME"/>
        </w:rPr>
        <w:t>ij</w:t>
      </w:r>
      <w:r w:rsidR="007F0488" w:rsidRPr="00BD2023">
        <w:rPr>
          <w:bCs/>
          <w:sz w:val="22"/>
          <w:szCs w:val="22"/>
          <w:lang w:val="sr-Latn-ME"/>
        </w:rPr>
        <w:t>ešati sa ml</w:t>
      </w:r>
      <w:r w:rsidR="00E7182D" w:rsidRPr="00BD2023">
        <w:rPr>
          <w:bCs/>
          <w:sz w:val="22"/>
          <w:szCs w:val="22"/>
          <w:lang w:val="sr-Latn-ME"/>
        </w:rPr>
        <w:t>ij</w:t>
      </w:r>
      <w:r w:rsidR="007F0488" w:rsidRPr="00BD2023">
        <w:rPr>
          <w:bCs/>
          <w:sz w:val="22"/>
          <w:szCs w:val="22"/>
          <w:lang w:val="sr-Latn-ME"/>
        </w:rPr>
        <w:t>ekom ili ml</w:t>
      </w:r>
      <w:r w:rsidR="00E7182D" w:rsidRPr="00BD2023">
        <w:rPr>
          <w:bCs/>
          <w:sz w:val="22"/>
          <w:szCs w:val="22"/>
          <w:lang w:val="sr-Latn-ME"/>
        </w:rPr>
        <w:t>ij</w:t>
      </w:r>
      <w:r w:rsidR="007F0488" w:rsidRPr="00BD2023">
        <w:rPr>
          <w:bCs/>
          <w:sz w:val="22"/>
          <w:szCs w:val="22"/>
          <w:lang w:val="sr-Latn-ME"/>
        </w:rPr>
        <w:t xml:space="preserve">ekom u prahu. </w:t>
      </w:r>
    </w:p>
    <w:p w14:paraId="16CC3721" w14:textId="77777777" w:rsidR="007F0488" w:rsidRPr="00BD2023" w:rsidRDefault="007F0488" w:rsidP="00BC480A">
      <w:pPr>
        <w:tabs>
          <w:tab w:val="left" w:pos="540"/>
          <w:tab w:val="left" w:pos="569"/>
        </w:tabs>
        <w:jc w:val="both"/>
        <w:rPr>
          <w:bCs/>
          <w:sz w:val="22"/>
          <w:szCs w:val="22"/>
          <w:lang w:val="sr-Latn-ME"/>
        </w:rPr>
      </w:pPr>
    </w:p>
    <w:p w14:paraId="336BB884" w14:textId="6B83C1F7" w:rsidR="007F0488" w:rsidRPr="00BD2023" w:rsidRDefault="006940CD" w:rsidP="00BC480A">
      <w:pPr>
        <w:tabs>
          <w:tab w:val="left" w:pos="540"/>
          <w:tab w:val="left" w:pos="569"/>
        </w:tabs>
        <w:jc w:val="both"/>
        <w:rPr>
          <w:bCs/>
          <w:sz w:val="22"/>
          <w:szCs w:val="22"/>
          <w:lang w:val="sr-Latn-ME"/>
        </w:rPr>
      </w:pPr>
      <w:r w:rsidRPr="00BD2023">
        <w:rPr>
          <w:bCs/>
          <w:sz w:val="22"/>
          <w:szCs w:val="22"/>
          <w:lang w:val="sr-Latn-ME"/>
        </w:rPr>
        <w:t xml:space="preserve">Lijek </w:t>
      </w:r>
      <w:r w:rsidR="007F0488" w:rsidRPr="00BD2023">
        <w:rPr>
          <w:bCs/>
          <w:sz w:val="22"/>
          <w:szCs w:val="22"/>
          <w:lang w:val="sr-Latn-ME"/>
        </w:rPr>
        <w:t xml:space="preserve">Evrysdi treba uzimati odmah nakon uvlačenja u oralni špric. Ukoliko se ne uzme u roku od 5 minuta, oralni špric treba isprazniti i pripremiti novu dozu. Ukoliko se </w:t>
      </w:r>
      <w:r w:rsidR="007E5CF0" w:rsidRPr="00BD2023">
        <w:rPr>
          <w:bCs/>
          <w:sz w:val="22"/>
          <w:szCs w:val="22"/>
          <w:lang w:val="sr-Latn-ME"/>
        </w:rPr>
        <w:t>lijek</w:t>
      </w:r>
      <w:r w:rsidR="007F0488" w:rsidRPr="00BD2023">
        <w:rPr>
          <w:bCs/>
          <w:sz w:val="22"/>
          <w:szCs w:val="22"/>
          <w:lang w:val="sr-Latn-ME"/>
        </w:rPr>
        <w:t xml:space="preserve"> Evrysdi prolije ili </w:t>
      </w:r>
      <w:r w:rsidR="008A7245" w:rsidRPr="00BD2023">
        <w:rPr>
          <w:bCs/>
          <w:sz w:val="22"/>
          <w:szCs w:val="22"/>
          <w:lang w:val="sr-Latn-ME"/>
        </w:rPr>
        <w:t>dospije</w:t>
      </w:r>
      <w:r w:rsidR="007F0488" w:rsidRPr="00BD2023">
        <w:rPr>
          <w:bCs/>
          <w:sz w:val="22"/>
          <w:szCs w:val="22"/>
          <w:lang w:val="sr-Latn-ME"/>
        </w:rPr>
        <w:t xml:space="preserve"> u dodir sa kožom, taj </w:t>
      </w:r>
      <w:r w:rsidR="00E7182D" w:rsidRPr="00BD2023">
        <w:rPr>
          <w:bCs/>
          <w:sz w:val="22"/>
          <w:szCs w:val="22"/>
          <w:lang w:val="sr-Latn-ME"/>
        </w:rPr>
        <w:t xml:space="preserve">dio </w:t>
      </w:r>
      <w:r w:rsidR="007F0488" w:rsidRPr="00BD2023">
        <w:rPr>
          <w:bCs/>
          <w:sz w:val="22"/>
          <w:szCs w:val="22"/>
          <w:lang w:val="sr-Latn-ME"/>
        </w:rPr>
        <w:t>treba oprati sapunom i vodom.</w:t>
      </w:r>
    </w:p>
    <w:p w14:paraId="46927D63" w14:textId="77777777" w:rsidR="007F0488" w:rsidRPr="00BD2023" w:rsidRDefault="007F0488" w:rsidP="00BC480A">
      <w:pPr>
        <w:tabs>
          <w:tab w:val="left" w:pos="540"/>
          <w:tab w:val="left" w:pos="569"/>
        </w:tabs>
        <w:jc w:val="both"/>
        <w:rPr>
          <w:bCs/>
          <w:sz w:val="22"/>
          <w:szCs w:val="22"/>
          <w:lang w:val="sr-Latn-ME"/>
        </w:rPr>
      </w:pPr>
    </w:p>
    <w:p w14:paraId="7CE12C35" w14:textId="7F92AA2D" w:rsidR="007F0488" w:rsidRPr="00BD2023" w:rsidRDefault="007F0488" w:rsidP="00BC480A">
      <w:pPr>
        <w:tabs>
          <w:tab w:val="left" w:pos="540"/>
          <w:tab w:val="left" w:pos="569"/>
        </w:tabs>
        <w:jc w:val="both"/>
        <w:rPr>
          <w:bCs/>
          <w:sz w:val="22"/>
          <w:szCs w:val="22"/>
          <w:lang w:val="sr-Latn-ME"/>
        </w:rPr>
      </w:pPr>
      <w:r w:rsidRPr="00BD2023">
        <w:rPr>
          <w:bCs/>
          <w:sz w:val="22"/>
          <w:szCs w:val="22"/>
          <w:lang w:val="sr-Latn-ME"/>
        </w:rPr>
        <w:lastRenderedPageBreak/>
        <w:t xml:space="preserve">Pacijent treba da popije vodu nakon </w:t>
      </w:r>
      <w:r w:rsidR="006940CD" w:rsidRPr="00BD2023">
        <w:rPr>
          <w:bCs/>
          <w:sz w:val="22"/>
          <w:szCs w:val="22"/>
          <w:lang w:val="sr-Latn-ME"/>
        </w:rPr>
        <w:t>primjene</w:t>
      </w:r>
      <w:r w:rsidRPr="00BD2023">
        <w:rPr>
          <w:bCs/>
          <w:sz w:val="22"/>
          <w:szCs w:val="22"/>
          <w:lang w:val="sr-Latn-ME"/>
        </w:rPr>
        <w:t xml:space="preserve"> </w:t>
      </w:r>
      <w:r w:rsidR="007E5CF0" w:rsidRPr="00BD2023">
        <w:rPr>
          <w:bCs/>
          <w:sz w:val="22"/>
          <w:szCs w:val="22"/>
          <w:lang w:val="sr-Latn-ME"/>
        </w:rPr>
        <w:t>lijek</w:t>
      </w:r>
      <w:r w:rsidR="006940CD" w:rsidRPr="00BD2023">
        <w:rPr>
          <w:bCs/>
          <w:sz w:val="22"/>
          <w:szCs w:val="22"/>
          <w:lang w:val="sr-Latn-ME"/>
        </w:rPr>
        <w:t>a</w:t>
      </w:r>
      <w:r w:rsidRPr="00BD2023">
        <w:rPr>
          <w:bCs/>
          <w:sz w:val="22"/>
          <w:szCs w:val="22"/>
          <w:lang w:val="sr-Latn-ME"/>
        </w:rPr>
        <w:t xml:space="preserve"> Evrysdi kako bi sasvim progutao </w:t>
      </w:r>
      <w:r w:rsidR="007E5CF0" w:rsidRPr="00BD2023">
        <w:rPr>
          <w:bCs/>
          <w:sz w:val="22"/>
          <w:szCs w:val="22"/>
          <w:lang w:val="sr-Latn-ME"/>
        </w:rPr>
        <w:t>lijek</w:t>
      </w:r>
      <w:r w:rsidRPr="00BD2023">
        <w:rPr>
          <w:bCs/>
          <w:sz w:val="22"/>
          <w:szCs w:val="22"/>
          <w:lang w:val="sr-Latn-ME"/>
        </w:rPr>
        <w:t xml:space="preserve">. Ukoliko pacijent nije u stanju da guta i ima nazogastričnu sondu ili gastrostomu </w:t>
      </w:r>
      <w:r w:rsidRPr="00BD2023">
        <w:rPr>
          <w:bCs/>
          <w:i/>
          <w:iCs/>
          <w:sz w:val="22"/>
          <w:szCs w:val="22"/>
          <w:lang w:val="sr-Latn-ME"/>
        </w:rPr>
        <w:t>in situ</w:t>
      </w:r>
      <w:r w:rsidRPr="00BD2023">
        <w:rPr>
          <w:bCs/>
          <w:sz w:val="22"/>
          <w:szCs w:val="22"/>
          <w:lang w:val="sr-Latn-ME"/>
        </w:rPr>
        <w:t xml:space="preserve">, </w:t>
      </w:r>
      <w:r w:rsidR="007E5CF0" w:rsidRPr="00BD2023">
        <w:rPr>
          <w:bCs/>
          <w:sz w:val="22"/>
          <w:szCs w:val="22"/>
          <w:lang w:val="sr-Latn-ME"/>
        </w:rPr>
        <w:t>lijek</w:t>
      </w:r>
      <w:r w:rsidRPr="00BD2023">
        <w:rPr>
          <w:bCs/>
          <w:sz w:val="22"/>
          <w:szCs w:val="22"/>
          <w:lang w:val="sr-Latn-ME"/>
        </w:rPr>
        <w:t xml:space="preserve"> Evrysdi može se davati putem sonde. Sondu treba isprati vodom nakon davanja </w:t>
      </w:r>
      <w:r w:rsidR="007E5CF0" w:rsidRPr="00BD2023">
        <w:rPr>
          <w:bCs/>
          <w:sz w:val="22"/>
          <w:szCs w:val="22"/>
          <w:lang w:val="sr-Latn-ME"/>
        </w:rPr>
        <w:t>lijek</w:t>
      </w:r>
      <w:r w:rsidRPr="00BD2023">
        <w:rPr>
          <w:bCs/>
          <w:sz w:val="22"/>
          <w:szCs w:val="22"/>
          <w:lang w:val="sr-Latn-ME"/>
        </w:rPr>
        <w:t xml:space="preserve">a Evrysdi. </w:t>
      </w:r>
    </w:p>
    <w:p w14:paraId="6569E703" w14:textId="77777777" w:rsidR="007F0488" w:rsidRPr="00BD2023" w:rsidRDefault="007F0488" w:rsidP="00BC480A">
      <w:pPr>
        <w:tabs>
          <w:tab w:val="left" w:pos="540"/>
          <w:tab w:val="left" w:pos="569"/>
        </w:tabs>
        <w:jc w:val="both"/>
        <w:rPr>
          <w:bCs/>
          <w:sz w:val="22"/>
          <w:szCs w:val="22"/>
          <w:lang w:val="sr-Latn-ME"/>
        </w:rPr>
      </w:pPr>
    </w:p>
    <w:p w14:paraId="2AD03E60" w14:textId="77777777" w:rsidR="007F0488" w:rsidRPr="00BD2023" w:rsidRDefault="007F0488" w:rsidP="00BC480A">
      <w:pPr>
        <w:tabs>
          <w:tab w:val="left" w:pos="540"/>
          <w:tab w:val="left" w:pos="569"/>
        </w:tabs>
        <w:jc w:val="both"/>
        <w:rPr>
          <w:bCs/>
          <w:i/>
          <w:sz w:val="22"/>
          <w:szCs w:val="22"/>
          <w:lang w:val="sr-Latn-ME"/>
        </w:rPr>
      </w:pPr>
      <w:r w:rsidRPr="00BD2023">
        <w:rPr>
          <w:bCs/>
          <w:i/>
          <w:iCs/>
          <w:sz w:val="22"/>
          <w:szCs w:val="22"/>
          <w:lang w:val="sr-Latn-ME"/>
        </w:rPr>
        <w:t xml:space="preserve">Izbor oralnog šprica za propisanu dnevnu dozu: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2526"/>
        <w:gridCol w:w="2300"/>
      </w:tblGrid>
      <w:tr w:rsidR="007F0488" w:rsidRPr="00BD2023" w14:paraId="599B13BC" w14:textId="77777777" w:rsidTr="00F77D20">
        <w:tc>
          <w:tcPr>
            <w:tcW w:w="2077" w:type="dxa"/>
            <w:shd w:val="clear" w:color="auto" w:fill="auto"/>
          </w:tcPr>
          <w:p w14:paraId="11F5AC04" w14:textId="77777777" w:rsidR="007F0488" w:rsidRPr="00BD2023" w:rsidRDefault="007F0488" w:rsidP="00F77D20">
            <w:pPr>
              <w:spacing w:after="120"/>
              <w:rPr>
                <w:rFonts w:cs="Arial"/>
                <w:i/>
                <w:sz w:val="20"/>
                <w:lang w:val="sr-Latn-ME"/>
              </w:rPr>
            </w:pPr>
            <w:r w:rsidRPr="00BD2023">
              <w:rPr>
                <w:rFonts w:cs="Arial"/>
                <w:i/>
                <w:iCs/>
                <w:sz w:val="20"/>
                <w:lang w:val="sr-Latn-ME"/>
              </w:rPr>
              <w:t>Veličina šprica</w:t>
            </w:r>
          </w:p>
        </w:tc>
        <w:tc>
          <w:tcPr>
            <w:tcW w:w="2526" w:type="dxa"/>
            <w:shd w:val="clear" w:color="auto" w:fill="auto"/>
          </w:tcPr>
          <w:p w14:paraId="18D4BF57" w14:textId="77777777" w:rsidR="007F0488" w:rsidRPr="00BD2023" w:rsidRDefault="007F0488" w:rsidP="00F77D20">
            <w:pPr>
              <w:spacing w:after="120"/>
              <w:rPr>
                <w:rFonts w:cs="Arial"/>
                <w:i/>
                <w:sz w:val="20"/>
                <w:lang w:val="sr-Latn-ME"/>
              </w:rPr>
            </w:pPr>
            <w:r w:rsidRPr="00BD2023">
              <w:rPr>
                <w:rFonts w:cs="Arial"/>
                <w:i/>
                <w:iCs/>
                <w:sz w:val="20"/>
                <w:lang w:val="sr-Latn-ME"/>
              </w:rPr>
              <w:t xml:space="preserve">Zapremina doze </w:t>
            </w:r>
          </w:p>
        </w:tc>
        <w:tc>
          <w:tcPr>
            <w:tcW w:w="2300" w:type="dxa"/>
            <w:shd w:val="clear" w:color="auto" w:fill="auto"/>
          </w:tcPr>
          <w:p w14:paraId="34BD34B0" w14:textId="77777777" w:rsidR="007F0488" w:rsidRPr="00BD2023" w:rsidRDefault="007F0488" w:rsidP="00F77D20">
            <w:pPr>
              <w:spacing w:after="120"/>
              <w:rPr>
                <w:rFonts w:cs="Arial"/>
                <w:i/>
                <w:sz w:val="20"/>
                <w:lang w:val="sr-Latn-ME"/>
              </w:rPr>
            </w:pPr>
            <w:r w:rsidRPr="00BD2023">
              <w:rPr>
                <w:rFonts w:cs="Arial"/>
                <w:i/>
                <w:iCs/>
                <w:sz w:val="20"/>
                <w:lang w:val="sr-Latn-ME"/>
              </w:rPr>
              <w:t>Oznake za količinu na špricu</w:t>
            </w:r>
          </w:p>
        </w:tc>
      </w:tr>
      <w:tr w:rsidR="00740B8C" w:rsidRPr="00BD2023" w14:paraId="2DA7F0C4" w14:textId="77777777" w:rsidTr="00F77D20">
        <w:tc>
          <w:tcPr>
            <w:tcW w:w="2077" w:type="dxa"/>
            <w:shd w:val="clear" w:color="auto" w:fill="auto"/>
          </w:tcPr>
          <w:p w14:paraId="3173CB87" w14:textId="5F9C9114" w:rsidR="00740B8C" w:rsidRPr="00BD2023" w:rsidRDefault="00740B8C" w:rsidP="00F77D20">
            <w:pPr>
              <w:spacing w:after="120"/>
              <w:rPr>
                <w:rFonts w:cs="Arial"/>
                <w:iCs/>
                <w:sz w:val="20"/>
                <w:lang w:val="sr-Latn-ME"/>
              </w:rPr>
            </w:pPr>
            <w:r w:rsidRPr="00BD2023">
              <w:rPr>
                <w:rFonts w:cs="Arial"/>
                <w:iCs/>
                <w:sz w:val="20"/>
                <w:lang w:val="sr-Latn-ME"/>
              </w:rPr>
              <w:t>1 ml</w:t>
            </w:r>
          </w:p>
        </w:tc>
        <w:tc>
          <w:tcPr>
            <w:tcW w:w="2526" w:type="dxa"/>
            <w:shd w:val="clear" w:color="auto" w:fill="auto"/>
          </w:tcPr>
          <w:p w14:paraId="4253C113" w14:textId="1B95FF87" w:rsidR="00740B8C" w:rsidRPr="00BD2023" w:rsidRDefault="00740B8C" w:rsidP="00F77D20">
            <w:pPr>
              <w:spacing w:after="120"/>
              <w:rPr>
                <w:rFonts w:cs="Arial"/>
                <w:iCs/>
                <w:sz w:val="20"/>
                <w:lang w:val="sr-Latn-ME"/>
              </w:rPr>
            </w:pPr>
            <w:r w:rsidRPr="00BD2023">
              <w:rPr>
                <w:rFonts w:cs="Arial"/>
                <w:iCs/>
                <w:sz w:val="20"/>
                <w:lang w:val="sr-Latn-ME"/>
              </w:rPr>
              <w:t>0,3 ml do 1 ml</w:t>
            </w:r>
          </w:p>
        </w:tc>
        <w:tc>
          <w:tcPr>
            <w:tcW w:w="2300" w:type="dxa"/>
            <w:shd w:val="clear" w:color="auto" w:fill="auto"/>
          </w:tcPr>
          <w:p w14:paraId="2222D73D" w14:textId="63F21CC7" w:rsidR="00740B8C" w:rsidRPr="00BD2023" w:rsidRDefault="00740B8C" w:rsidP="00F77D20">
            <w:pPr>
              <w:spacing w:after="120"/>
              <w:rPr>
                <w:rFonts w:cs="Arial"/>
                <w:iCs/>
                <w:sz w:val="20"/>
                <w:lang w:val="sr-Latn-ME"/>
              </w:rPr>
            </w:pPr>
            <w:r w:rsidRPr="00BD2023">
              <w:rPr>
                <w:rFonts w:cs="Arial"/>
                <w:iCs/>
                <w:sz w:val="20"/>
                <w:lang w:val="sr-Latn-ME"/>
              </w:rPr>
              <w:t>0,01 ml</w:t>
            </w:r>
          </w:p>
        </w:tc>
      </w:tr>
      <w:tr w:rsidR="007F0488" w:rsidRPr="00BD2023" w14:paraId="7D21F3B7" w14:textId="77777777" w:rsidTr="00F77D20">
        <w:tc>
          <w:tcPr>
            <w:tcW w:w="2077" w:type="dxa"/>
            <w:shd w:val="clear" w:color="auto" w:fill="auto"/>
          </w:tcPr>
          <w:p w14:paraId="2D50FE4C" w14:textId="2410CCC5" w:rsidR="007F0488" w:rsidRPr="00BD2023" w:rsidRDefault="007F0488" w:rsidP="00F77D20">
            <w:pPr>
              <w:spacing w:after="120"/>
              <w:rPr>
                <w:rFonts w:cs="Arial"/>
                <w:sz w:val="20"/>
                <w:lang w:val="sr-Latn-ME"/>
              </w:rPr>
            </w:pPr>
            <w:r w:rsidRPr="00BD2023">
              <w:rPr>
                <w:rFonts w:cs="Arial"/>
                <w:sz w:val="20"/>
                <w:lang w:val="sr-Latn-ME"/>
              </w:rPr>
              <w:t xml:space="preserve">6 </w:t>
            </w:r>
            <w:r w:rsidR="008C4153" w:rsidRPr="00BD2023">
              <w:rPr>
                <w:rFonts w:cs="Arial"/>
                <w:sz w:val="20"/>
                <w:lang w:val="sr-Latn-ME"/>
              </w:rPr>
              <w:t>ml</w:t>
            </w:r>
          </w:p>
        </w:tc>
        <w:tc>
          <w:tcPr>
            <w:tcW w:w="2526" w:type="dxa"/>
            <w:shd w:val="clear" w:color="auto" w:fill="auto"/>
          </w:tcPr>
          <w:p w14:paraId="17386BC6" w14:textId="2EC05DF5" w:rsidR="007F0488" w:rsidRPr="00BD2023" w:rsidRDefault="007F0488" w:rsidP="00F77D20">
            <w:pPr>
              <w:spacing w:after="120"/>
              <w:rPr>
                <w:rFonts w:cs="Arial"/>
                <w:sz w:val="20"/>
                <w:lang w:val="sr-Latn-ME"/>
              </w:rPr>
            </w:pPr>
            <w:r w:rsidRPr="00BD2023">
              <w:rPr>
                <w:rFonts w:cs="Arial"/>
                <w:sz w:val="20"/>
                <w:lang w:val="sr-Latn-ME"/>
              </w:rPr>
              <w:t xml:space="preserve">1 </w:t>
            </w:r>
            <w:r w:rsidR="008C4153" w:rsidRPr="00BD2023">
              <w:rPr>
                <w:rFonts w:cs="Arial"/>
                <w:sz w:val="20"/>
                <w:lang w:val="sr-Latn-ME"/>
              </w:rPr>
              <w:t>ml</w:t>
            </w:r>
            <w:r w:rsidRPr="00BD2023">
              <w:rPr>
                <w:rFonts w:cs="Arial"/>
                <w:sz w:val="20"/>
                <w:lang w:val="sr-Latn-ME"/>
              </w:rPr>
              <w:t xml:space="preserve"> do 6 </w:t>
            </w:r>
            <w:r w:rsidR="008C4153" w:rsidRPr="00BD2023">
              <w:rPr>
                <w:rFonts w:cs="Arial"/>
                <w:sz w:val="20"/>
                <w:lang w:val="sr-Latn-ME"/>
              </w:rPr>
              <w:t>ml</w:t>
            </w:r>
          </w:p>
        </w:tc>
        <w:tc>
          <w:tcPr>
            <w:tcW w:w="2300" w:type="dxa"/>
            <w:shd w:val="clear" w:color="auto" w:fill="auto"/>
          </w:tcPr>
          <w:p w14:paraId="6A8B4D50" w14:textId="24E13BE0" w:rsidR="007F0488" w:rsidRPr="00BD2023" w:rsidRDefault="007F0488" w:rsidP="00F77D20">
            <w:pPr>
              <w:spacing w:after="120"/>
              <w:rPr>
                <w:rFonts w:cs="Arial"/>
                <w:sz w:val="20"/>
                <w:lang w:val="sr-Latn-ME"/>
              </w:rPr>
            </w:pPr>
            <w:r w:rsidRPr="00BD2023">
              <w:rPr>
                <w:rFonts w:cs="Arial"/>
                <w:sz w:val="20"/>
                <w:lang w:val="sr-Latn-ME"/>
              </w:rPr>
              <w:t xml:space="preserve">0,1 </w:t>
            </w:r>
            <w:r w:rsidR="008C4153" w:rsidRPr="00BD2023">
              <w:rPr>
                <w:rFonts w:cs="Arial"/>
                <w:sz w:val="20"/>
                <w:lang w:val="sr-Latn-ME"/>
              </w:rPr>
              <w:t>ml</w:t>
            </w:r>
          </w:p>
        </w:tc>
      </w:tr>
      <w:tr w:rsidR="007F0488" w:rsidRPr="00BD2023" w14:paraId="5C471DAB" w14:textId="77777777" w:rsidTr="00F77D20">
        <w:tc>
          <w:tcPr>
            <w:tcW w:w="2077" w:type="dxa"/>
            <w:shd w:val="clear" w:color="auto" w:fill="auto"/>
          </w:tcPr>
          <w:p w14:paraId="1A8FA4C6" w14:textId="6FC2B8DE" w:rsidR="007F0488" w:rsidRPr="00BD2023" w:rsidRDefault="007F0488" w:rsidP="00F77D20">
            <w:pPr>
              <w:spacing w:after="120"/>
              <w:rPr>
                <w:rFonts w:cs="Arial"/>
                <w:sz w:val="20"/>
                <w:lang w:val="sr-Latn-ME"/>
              </w:rPr>
            </w:pPr>
            <w:r w:rsidRPr="00BD2023">
              <w:rPr>
                <w:rFonts w:cs="Arial"/>
                <w:sz w:val="20"/>
                <w:lang w:val="sr-Latn-ME"/>
              </w:rPr>
              <w:t xml:space="preserve">12 </w:t>
            </w:r>
            <w:r w:rsidR="008C4153" w:rsidRPr="00BD2023">
              <w:rPr>
                <w:rFonts w:cs="Arial"/>
                <w:sz w:val="20"/>
                <w:lang w:val="sr-Latn-ME"/>
              </w:rPr>
              <w:t>ml</w:t>
            </w:r>
          </w:p>
        </w:tc>
        <w:tc>
          <w:tcPr>
            <w:tcW w:w="2526" w:type="dxa"/>
            <w:shd w:val="clear" w:color="auto" w:fill="auto"/>
          </w:tcPr>
          <w:p w14:paraId="13B10BFC" w14:textId="228F6BCA" w:rsidR="007F0488" w:rsidRPr="00BD2023" w:rsidRDefault="007F0488" w:rsidP="00F77D20">
            <w:pPr>
              <w:spacing w:after="120"/>
              <w:rPr>
                <w:rFonts w:cs="Arial"/>
                <w:sz w:val="20"/>
                <w:lang w:val="sr-Latn-ME"/>
              </w:rPr>
            </w:pPr>
            <w:r w:rsidRPr="00BD2023">
              <w:rPr>
                <w:rFonts w:cs="Arial"/>
                <w:sz w:val="20"/>
                <w:lang w:val="sr-Latn-ME"/>
              </w:rPr>
              <w:t xml:space="preserve">6,2 </w:t>
            </w:r>
            <w:r w:rsidR="008C4153" w:rsidRPr="00BD2023">
              <w:rPr>
                <w:rFonts w:cs="Arial"/>
                <w:sz w:val="20"/>
                <w:lang w:val="sr-Latn-ME"/>
              </w:rPr>
              <w:t>ml</w:t>
            </w:r>
            <w:r w:rsidRPr="00BD2023">
              <w:rPr>
                <w:rFonts w:cs="Arial"/>
                <w:sz w:val="20"/>
                <w:lang w:val="sr-Latn-ME"/>
              </w:rPr>
              <w:t xml:space="preserve"> do 6,6 </w:t>
            </w:r>
            <w:r w:rsidR="008C4153" w:rsidRPr="00BD2023">
              <w:rPr>
                <w:rFonts w:cs="Arial"/>
                <w:sz w:val="20"/>
                <w:lang w:val="sr-Latn-ME"/>
              </w:rPr>
              <w:t>ml</w:t>
            </w:r>
          </w:p>
        </w:tc>
        <w:tc>
          <w:tcPr>
            <w:tcW w:w="2300" w:type="dxa"/>
            <w:shd w:val="clear" w:color="auto" w:fill="auto"/>
          </w:tcPr>
          <w:p w14:paraId="0A25840A" w14:textId="7326EC50" w:rsidR="007F0488" w:rsidRPr="00BD2023" w:rsidRDefault="007F0488" w:rsidP="00F77D20">
            <w:pPr>
              <w:spacing w:after="120"/>
              <w:rPr>
                <w:rFonts w:cs="Arial"/>
                <w:sz w:val="20"/>
                <w:lang w:val="sr-Latn-ME"/>
              </w:rPr>
            </w:pPr>
            <w:r w:rsidRPr="00BD2023">
              <w:rPr>
                <w:rFonts w:cs="Arial"/>
                <w:sz w:val="20"/>
                <w:lang w:val="sr-Latn-ME"/>
              </w:rPr>
              <w:t xml:space="preserve">0,2 </w:t>
            </w:r>
            <w:r w:rsidR="008C4153" w:rsidRPr="00BD2023">
              <w:rPr>
                <w:rFonts w:cs="Arial"/>
                <w:sz w:val="20"/>
                <w:lang w:val="sr-Latn-ME"/>
              </w:rPr>
              <w:t>ml</w:t>
            </w:r>
          </w:p>
        </w:tc>
      </w:tr>
    </w:tbl>
    <w:p w14:paraId="2F49FF24" w14:textId="77777777" w:rsidR="007F0488" w:rsidRPr="00BD2023" w:rsidRDefault="007F0488" w:rsidP="007F0488">
      <w:pPr>
        <w:tabs>
          <w:tab w:val="left" w:pos="540"/>
          <w:tab w:val="left" w:pos="569"/>
        </w:tabs>
        <w:rPr>
          <w:bCs/>
          <w:sz w:val="22"/>
          <w:szCs w:val="22"/>
          <w:lang w:val="sr-Latn-ME"/>
        </w:rPr>
      </w:pPr>
    </w:p>
    <w:p w14:paraId="44CDCFA2" w14:textId="79CA617E" w:rsidR="007F0488" w:rsidRPr="00BD2023" w:rsidRDefault="007F0488" w:rsidP="00BC480A">
      <w:pPr>
        <w:tabs>
          <w:tab w:val="left" w:pos="540"/>
          <w:tab w:val="left" w:pos="569"/>
        </w:tabs>
        <w:jc w:val="both"/>
        <w:rPr>
          <w:bCs/>
          <w:sz w:val="22"/>
          <w:szCs w:val="22"/>
          <w:lang w:val="sr-Latn-ME"/>
        </w:rPr>
      </w:pPr>
      <w:r w:rsidRPr="00BD2023">
        <w:rPr>
          <w:bCs/>
          <w:sz w:val="22"/>
          <w:szCs w:val="22"/>
          <w:lang w:val="sr-Latn-ME"/>
        </w:rPr>
        <w:t>Kako bi se izračunala zapremina doze, treba uzeti u obzir oznake na špricu. Zapreminu doze treba zaokružiti na najbližu oznaku za količinu na odabranom oralnom špricu.</w:t>
      </w:r>
    </w:p>
    <w:p w14:paraId="26A3659A" w14:textId="77777777" w:rsidR="00452E9D" w:rsidRPr="00BD2023" w:rsidRDefault="00452E9D" w:rsidP="00BC480A">
      <w:pPr>
        <w:tabs>
          <w:tab w:val="left" w:pos="540"/>
          <w:tab w:val="left" w:pos="569"/>
        </w:tabs>
        <w:jc w:val="both"/>
        <w:rPr>
          <w:bCs/>
          <w:sz w:val="22"/>
          <w:szCs w:val="22"/>
          <w:lang w:val="sr-Latn-ME"/>
        </w:rPr>
      </w:pPr>
    </w:p>
    <w:p w14:paraId="657D8010" w14:textId="77777777" w:rsidR="00411B4B" w:rsidRPr="00BD2023" w:rsidRDefault="00411B4B" w:rsidP="00BC480A">
      <w:pPr>
        <w:tabs>
          <w:tab w:val="left" w:pos="540"/>
          <w:tab w:val="left" w:pos="569"/>
        </w:tabs>
        <w:jc w:val="both"/>
        <w:rPr>
          <w:bCs/>
          <w:sz w:val="22"/>
          <w:szCs w:val="22"/>
          <w:lang w:val="sr-Latn-ME"/>
        </w:rPr>
      </w:pPr>
      <w:r w:rsidRPr="00BD2023">
        <w:rPr>
          <w:b/>
          <w:bCs/>
          <w:sz w:val="22"/>
          <w:szCs w:val="22"/>
          <w:lang w:val="sr-Latn-ME"/>
        </w:rPr>
        <w:t xml:space="preserve">4.3. </w:t>
      </w:r>
      <w:r w:rsidR="00480FB1" w:rsidRPr="00BD2023">
        <w:rPr>
          <w:b/>
          <w:bCs/>
          <w:sz w:val="22"/>
          <w:szCs w:val="22"/>
          <w:lang w:val="sr-Latn-ME"/>
        </w:rPr>
        <w:tab/>
      </w:r>
      <w:r w:rsidRPr="00BD2023">
        <w:rPr>
          <w:b/>
          <w:bCs/>
          <w:sz w:val="22"/>
          <w:szCs w:val="22"/>
          <w:lang w:val="sr-Latn-ME"/>
        </w:rPr>
        <w:t>Kontraindikacije</w:t>
      </w:r>
    </w:p>
    <w:p w14:paraId="1AA6CBB8" w14:textId="77777777" w:rsidR="007F0488" w:rsidRPr="00BD2023" w:rsidRDefault="007F0488" w:rsidP="00BC480A">
      <w:pPr>
        <w:tabs>
          <w:tab w:val="left" w:pos="540"/>
          <w:tab w:val="left" w:pos="569"/>
        </w:tabs>
        <w:jc w:val="both"/>
        <w:rPr>
          <w:bCs/>
          <w:sz w:val="22"/>
          <w:szCs w:val="22"/>
          <w:lang w:val="sr-Latn-ME"/>
        </w:rPr>
      </w:pPr>
    </w:p>
    <w:p w14:paraId="0BE20686" w14:textId="4AA4548A" w:rsidR="007F0488" w:rsidRPr="00BD2023" w:rsidRDefault="007F0488" w:rsidP="00BC480A">
      <w:pPr>
        <w:tabs>
          <w:tab w:val="left" w:pos="540"/>
          <w:tab w:val="left" w:pos="569"/>
        </w:tabs>
        <w:jc w:val="both"/>
        <w:rPr>
          <w:bCs/>
          <w:sz w:val="22"/>
          <w:szCs w:val="22"/>
          <w:lang w:val="sr-Latn-ME"/>
        </w:rPr>
      </w:pPr>
      <w:r w:rsidRPr="00BD2023">
        <w:rPr>
          <w:bCs/>
          <w:sz w:val="22"/>
          <w:szCs w:val="22"/>
          <w:lang w:val="sr-Latn-ME"/>
        </w:rPr>
        <w:t>Preos</w:t>
      </w:r>
      <w:r w:rsidR="00E7182D" w:rsidRPr="00BD2023">
        <w:rPr>
          <w:bCs/>
          <w:sz w:val="22"/>
          <w:szCs w:val="22"/>
          <w:lang w:val="sr-Latn-ME"/>
        </w:rPr>
        <w:t>j</w:t>
      </w:r>
      <w:r w:rsidRPr="00BD2023">
        <w:rPr>
          <w:bCs/>
          <w:sz w:val="22"/>
          <w:szCs w:val="22"/>
          <w:lang w:val="sr-Latn-ME"/>
        </w:rPr>
        <w:t xml:space="preserve">etljivost na aktivnu supstancu ili neku od pomoćnih supstanci navedenih u </w:t>
      </w:r>
      <w:r w:rsidR="00A76607" w:rsidRPr="00BD2023">
        <w:rPr>
          <w:bCs/>
          <w:sz w:val="22"/>
          <w:szCs w:val="22"/>
          <w:lang w:val="sr-Latn-ME"/>
        </w:rPr>
        <w:t xml:space="preserve">dijelu </w:t>
      </w:r>
      <w:r w:rsidRPr="00BD2023">
        <w:rPr>
          <w:bCs/>
          <w:sz w:val="22"/>
          <w:szCs w:val="22"/>
          <w:lang w:val="sr-Latn-ME"/>
        </w:rPr>
        <w:t>6.1.</w:t>
      </w:r>
    </w:p>
    <w:p w14:paraId="7ECCE281" w14:textId="77777777" w:rsidR="0072020E" w:rsidRPr="00BD2023" w:rsidRDefault="0072020E" w:rsidP="00BC480A">
      <w:pPr>
        <w:tabs>
          <w:tab w:val="left" w:pos="540"/>
          <w:tab w:val="left" w:pos="569"/>
        </w:tabs>
        <w:jc w:val="both"/>
        <w:rPr>
          <w:bCs/>
          <w:sz w:val="22"/>
          <w:szCs w:val="22"/>
          <w:lang w:val="sr-Latn-ME"/>
        </w:rPr>
      </w:pPr>
    </w:p>
    <w:p w14:paraId="151A6986" w14:textId="77777777" w:rsidR="00411B4B" w:rsidRPr="00BD2023" w:rsidRDefault="00411B4B" w:rsidP="00BC480A">
      <w:pPr>
        <w:tabs>
          <w:tab w:val="left" w:pos="540"/>
          <w:tab w:val="left" w:pos="569"/>
        </w:tabs>
        <w:jc w:val="both"/>
        <w:rPr>
          <w:b/>
          <w:bCs/>
          <w:sz w:val="22"/>
          <w:szCs w:val="22"/>
          <w:lang w:val="sr-Latn-ME"/>
        </w:rPr>
      </w:pPr>
      <w:r w:rsidRPr="00BD2023">
        <w:rPr>
          <w:b/>
          <w:bCs/>
          <w:sz w:val="22"/>
          <w:szCs w:val="22"/>
          <w:lang w:val="sr-Latn-ME"/>
        </w:rPr>
        <w:t xml:space="preserve">4.4. </w:t>
      </w:r>
      <w:r w:rsidR="00480FB1" w:rsidRPr="00BD2023">
        <w:rPr>
          <w:b/>
          <w:bCs/>
          <w:sz w:val="22"/>
          <w:szCs w:val="22"/>
          <w:lang w:val="sr-Latn-ME"/>
        </w:rPr>
        <w:tab/>
      </w:r>
      <w:r w:rsidRPr="00BD2023">
        <w:rPr>
          <w:b/>
          <w:bCs/>
          <w:sz w:val="22"/>
          <w:szCs w:val="22"/>
          <w:lang w:val="sr-Latn-ME"/>
        </w:rPr>
        <w:t>Posebna upozorenja i mjere opreza pri upotrebi lijeka</w:t>
      </w:r>
    </w:p>
    <w:p w14:paraId="314EFA7E" w14:textId="77777777" w:rsidR="0072020E" w:rsidRPr="00BD2023" w:rsidRDefault="0072020E" w:rsidP="00BC480A">
      <w:pPr>
        <w:tabs>
          <w:tab w:val="left" w:pos="540"/>
          <w:tab w:val="left" w:pos="569"/>
        </w:tabs>
        <w:jc w:val="both"/>
        <w:rPr>
          <w:bCs/>
          <w:sz w:val="22"/>
          <w:szCs w:val="22"/>
          <w:lang w:val="sr-Latn-ME"/>
        </w:rPr>
      </w:pPr>
    </w:p>
    <w:p w14:paraId="3DEC922F" w14:textId="77777777" w:rsidR="007F0488" w:rsidRPr="00BD2023" w:rsidRDefault="007F0488" w:rsidP="00BC480A">
      <w:pPr>
        <w:tabs>
          <w:tab w:val="left" w:pos="540"/>
          <w:tab w:val="left" w:pos="569"/>
        </w:tabs>
        <w:jc w:val="both"/>
        <w:rPr>
          <w:bCs/>
          <w:sz w:val="22"/>
          <w:szCs w:val="22"/>
          <w:u w:val="single"/>
          <w:lang w:val="sr-Latn-ME"/>
        </w:rPr>
      </w:pPr>
      <w:r w:rsidRPr="00BD2023">
        <w:rPr>
          <w:bCs/>
          <w:sz w:val="22"/>
          <w:szCs w:val="22"/>
          <w:u w:val="single"/>
          <w:lang w:val="sr-Latn-ME"/>
        </w:rPr>
        <w:t>Potencijalna embrio-fetalna toksičnost</w:t>
      </w:r>
    </w:p>
    <w:p w14:paraId="37B0E9D2" w14:textId="77777777" w:rsidR="007F0488" w:rsidRPr="00BD2023" w:rsidRDefault="007F0488" w:rsidP="00BC480A">
      <w:pPr>
        <w:tabs>
          <w:tab w:val="left" w:pos="540"/>
          <w:tab w:val="left" w:pos="569"/>
        </w:tabs>
        <w:jc w:val="both"/>
        <w:rPr>
          <w:bCs/>
          <w:sz w:val="22"/>
          <w:szCs w:val="22"/>
          <w:lang w:val="sr-Latn-ME"/>
        </w:rPr>
      </w:pPr>
    </w:p>
    <w:p w14:paraId="1906E17A" w14:textId="6D88010C" w:rsidR="007F0488" w:rsidRPr="00BD2023" w:rsidRDefault="007F0488" w:rsidP="00BC480A">
      <w:pPr>
        <w:tabs>
          <w:tab w:val="left" w:pos="540"/>
          <w:tab w:val="left" w:pos="569"/>
        </w:tabs>
        <w:jc w:val="both"/>
        <w:rPr>
          <w:bCs/>
          <w:sz w:val="22"/>
          <w:szCs w:val="22"/>
          <w:lang w:val="sr-Latn-ME"/>
        </w:rPr>
      </w:pPr>
      <w:r w:rsidRPr="00BD2023">
        <w:rPr>
          <w:bCs/>
          <w:sz w:val="22"/>
          <w:szCs w:val="22"/>
          <w:lang w:val="sr-Latn-ME"/>
        </w:rPr>
        <w:t xml:space="preserve">Embrio-fetalna toksičnost </w:t>
      </w:r>
      <w:r w:rsidR="00E7182D" w:rsidRPr="00BD2023">
        <w:rPr>
          <w:bCs/>
          <w:sz w:val="22"/>
          <w:szCs w:val="22"/>
          <w:lang w:val="sr-Latn-ME"/>
        </w:rPr>
        <w:t xml:space="preserve">zabilježena </w:t>
      </w:r>
      <w:r w:rsidRPr="00BD2023">
        <w:rPr>
          <w:bCs/>
          <w:sz w:val="22"/>
          <w:szCs w:val="22"/>
          <w:lang w:val="sr-Latn-ME"/>
        </w:rPr>
        <w:t>je u studijama na životinjama (</w:t>
      </w:r>
      <w:r w:rsidR="005D411F" w:rsidRPr="00BD2023">
        <w:rPr>
          <w:bCs/>
          <w:sz w:val="22"/>
          <w:szCs w:val="22"/>
          <w:lang w:val="sr-Latn-ME"/>
        </w:rPr>
        <w:t>vidjeti</w:t>
      </w:r>
      <w:r w:rsidRPr="00BD2023">
        <w:rPr>
          <w:bCs/>
          <w:sz w:val="22"/>
          <w:szCs w:val="22"/>
          <w:lang w:val="sr-Latn-ME"/>
        </w:rPr>
        <w:t xml:space="preserve"> </w:t>
      </w:r>
      <w:r w:rsidR="00A76607" w:rsidRPr="00BD2023">
        <w:rPr>
          <w:bCs/>
          <w:sz w:val="22"/>
          <w:szCs w:val="22"/>
          <w:lang w:val="sr-Latn-ME"/>
        </w:rPr>
        <w:t xml:space="preserve">dio </w:t>
      </w:r>
      <w:r w:rsidRPr="00BD2023">
        <w:rPr>
          <w:bCs/>
          <w:sz w:val="22"/>
          <w:szCs w:val="22"/>
          <w:lang w:val="sr-Latn-ME"/>
        </w:rPr>
        <w:t>5.3). I pacijente i pacijentkinje sa reproduktivnim potencijalom treba obav</w:t>
      </w:r>
      <w:r w:rsidR="00E7182D" w:rsidRPr="00BD2023">
        <w:rPr>
          <w:bCs/>
          <w:sz w:val="22"/>
          <w:szCs w:val="22"/>
          <w:lang w:val="sr-Latn-ME"/>
        </w:rPr>
        <w:t>ij</w:t>
      </w:r>
      <w:r w:rsidRPr="00BD2023">
        <w:rPr>
          <w:bCs/>
          <w:sz w:val="22"/>
          <w:szCs w:val="22"/>
          <w:lang w:val="sr-Latn-ME"/>
        </w:rPr>
        <w:t xml:space="preserve">estiti o rizicima i oni moraju da koriste visoko </w:t>
      </w:r>
      <w:r w:rsidR="006940CD" w:rsidRPr="00BD2023">
        <w:rPr>
          <w:bCs/>
          <w:sz w:val="22"/>
          <w:szCs w:val="22"/>
          <w:lang w:val="sr-Latn-ME"/>
        </w:rPr>
        <w:t xml:space="preserve">efikasnu </w:t>
      </w:r>
      <w:r w:rsidRPr="00BD2023">
        <w:rPr>
          <w:bCs/>
          <w:sz w:val="22"/>
          <w:szCs w:val="22"/>
          <w:lang w:val="sr-Latn-ME"/>
        </w:rPr>
        <w:t>kontracepciju tokom terapije – pacijentkinje bar još 1 m</w:t>
      </w:r>
      <w:r w:rsidR="00E7182D" w:rsidRPr="00BD2023">
        <w:rPr>
          <w:bCs/>
          <w:sz w:val="22"/>
          <w:szCs w:val="22"/>
          <w:lang w:val="sr-Latn-ME"/>
        </w:rPr>
        <w:t>j</w:t>
      </w:r>
      <w:r w:rsidRPr="00BD2023">
        <w:rPr>
          <w:bCs/>
          <w:sz w:val="22"/>
          <w:szCs w:val="22"/>
          <w:lang w:val="sr-Latn-ME"/>
        </w:rPr>
        <w:t xml:space="preserve">esec nakon </w:t>
      </w:r>
      <w:r w:rsidR="008A7245" w:rsidRPr="00BD2023">
        <w:rPr>
          <w:bCs/>
          <w:sz w:val="22"/>
          <w:szCs w:val="22"/>
          <w:lang w:val="sr-Latn-ME"/>
        </w:rPr>
        <w:t>posljednj</w:t>
      </w:r>
      <w:r w:rsidRPr="00BD2023">
        <w:rPr>
          <w:bCs/>
          <w:sz w:val="22"/>
          <w:szCs w:val="22"/>
          <w:lang w:val="sr-Latn-ME"/>
        </w:rPr>
        <w:t>e doze, a pacijenti 4 m</w:t>
      </w:r>
      <w:r w:rsidR="00E7182D" w:rsidRPr="00BD2023">
        <w:rPr>
          <w:bCs/>
          <w:sz w:val="22"/>
          <w:szCs w:val="22"/>
          <w:lang w:val="sr-Latn-ME"/>
        </w:rPr>
        <w:t>j</w:t>
      </w:r>
      <w:r w:rsidRPr="00BD2023">
        <w:rPr>
          <w:bCs/>
          <w:sz w:val="22"/>
          <w:szCs w:val="22"/>
          <w:lang w:val="sr-Latn-ME"/>
        </w:rPr>
        <w:t xml:space="preserve">eseca nakon </w:t>
      </w:r>
      <w:r w:rsidR="008A7245" w:rsidRPr="00BD2023">
        <w:rPr>
          <w:bCs/>
          <w:sz w:val="22"/>
          <w:szCs w:val="22"/>
          <w:lang w:val="sr-Latn-ME"/>
        </w:rPr>
        <w:t>posljednj</w:t>
      </w:r>
      <w:r w:rsidRPr="00BD2023">
        <w:rPr>
          <w:bCs/>
          <w:sz w:val="22"/>
          <w:szCs w:val="22"/>
          <w:lang w:val="sr-Latn-ME"/>
        </w:rPr>
        <w:t>e doze. Status trudnoće pacijentkinja sa reproduktivnim potencijalom treba potvrditi pr</w:t>
      </w:r>
      <w:r w:rsidR="00E7182D" w:rsidRPr="00BD2023">
        <w:rPr>
          <w:bCs/>
          <w:sz w:val="22"/>
          <w:szCs w:val="22"/>
          <w:lang w:val="sr-Latn-ME"/>
        </w:rPr>
        <w:t>ij</w:t>
      </w:r>
      <w:r w:rsidRPr="00BD2023">
        <w:rPr>
          <w:bCs/>
          <w:sz w:val="22"/>
          <w:szCs w:val="22"/>
          <w:lang w:val="sr-Latn-ME"/>
        </w:rPr>
        <w:t xml:space="preserve">e uvođenja terapije </w:t>
      </w:r>
      <w:r w:rsidR="007E5CF0" w:rsidRPr="00BD2023">
        <w:rPr>
          <w:bCs/>
          <w:sz w:val="22"/>
          <w:szCs w:val="22"/>
          <w:lang w:val="sr-Latn-ME"/>
        </w:rPr>
        <w:t>lijek</w:t>
      </w:r>
      <w:r w:rsidRPr="00BD2023">
        <w:rPr>
          <w:bCs/>
          <w:sz w:val="22"/>
          <w:szCs w:val="22"/>
          <w:lang w:val="sr-Latn-ME"/>
        </w:rPr>
        <w:t>om Evrysdi (</w:t>
      </w:r>
      <w:r w:rsidR="005D411F" w:rsidRPr="00BD2023">
        <w:rPr>
          <w:bCs/>
          <w:sz w:val="22"/>
          <w:szCs w:val="22"/>
          <w:lang w:val="sr-Latn-ME"/>
        </w:rPr>
        <w:t>vidjeti</w:t>
      </w:r>
      <w:r w:rsidRPr="00BD2023">
        <w:rPr>
          <w:bCs/>
          <w:sz w:val="22"/>
          <w:szCs w:val="22"/>
          <w:lang w:val="sr-Latn-ME"/>
        </w:rPr>
        <w:t xml:space="preserve"> </w:t>
      </w:r>
      <w:r w:rsidR="00A76607" w:rsidRPr="00BD2023">
        <w:rPr>
          <w:bCs/>
          <w:sz w:val="22"/>
          <w:szCs w:val="22"/>
          <w:lang w:val="sr-Latn-ME"/>
        </w:rPr>
        <w:t xml:space="preserve">dio </w:t>
      </w:r>
      <w:r w:rsidRPr="00BD2023">
        <w:rPr>
          <w:bCs/>
          <w:sz w:val="22"/>
          <w:szCs w:val="22"/>
          <w:lang w:val="sr-Latn-ME"/>
        </w:rPr>
        <w:t>4.6).</w:t>
      </w:r>
    </w:p>
    <w:p w14:paraId="3804C409" w14:textId="77777777" w:rsidR="007F0488" w:rsidRPr="00BD2023" w:rsidRDefault="007F0488" w:rsidP="00BC480A">
      <w:pPr>
        <w:tabs>
          <w:tab w:val="left" w:pos="540"/>
          <w:tab w:val="left" w:pos="569"/>
        </w:tabs>
        <w:jc w:val="both"/>
        <w:rPr>
          <w:bCs/>
          <w:sz w:val="22"/>
          <w:szCs w:val="22"/>
          <w:lang w:val="sr-Latn-ME"/>
        </w:rPr>
      </w:pPr>
    </w:p>
    <w:p w14:paraId="29E16862" w14:textId="77777777" w:rsidR="007F0488" w:rsidRPr="00BD2023" w:rsidRDefault="007F0488" w:rsidP="00BC480A">
      <w:pPr>
        <w:tabs>
          <w:tab w:val="left" w:pos="540"/>
          <w:tab w:val="left" w:pos="569"/>
        </w:tabs>
        <w:jc w:val="both"/>
        <w:rPr>
          <w:bCs/>
          <w:sz w:val="22"/>
          <w:szCs w:val="22"/>
          <w:u w:val="single"/>
          <w:lang w:val="sr-Latn-ME"/>
        </w:rPr>
      </w:pPr>
      <w:r w:rsidRPr="00BD2023">
        <w:rPr>
          <w:bCs/>
          <w:sz w:val="22"/>
          <w:szCs w:val="22"/>
          <w:u w:val="single"/>
          <w:lang w:val="sr-Latn-ME"/>
        </w:rPr>
        <w:t>Potencijalna dejstva na plodnost muškaraca</w:t>
      </w:r>
    </w:p>
    <w:p w14:paraId="476E4CA5" w14:textId="77777777" w:rsidR="007F0488" w:rsidRPr="00BD2023" w:rsidRDefault="007F0488" w:rsidP="00BC480A">
      <w:pPr>
        <w:tabs>
          <w:tab w:val="left" w:pos="540"/>
          <w:tab w:val="left" w:pos="569"/>
        </w:tabs>
        <w:jc w:val="both"/>
        <w:rPr>
          <w:bCs/>
          <w:sz w:val="22"/>
          <w:szCs w:val="22"/>
          <w:lang w:val="sr-Latn-ME"/>
        </w:rPr>
      </w:pPr>
    </w:p>
    <w:p w14:paraId="6D7F35FF" w14:textId="7C426CA5" w:rsidR="007F0488" w:rsidRPr="00BD2023" w:rsidRDefault="007F0488" w:rsidP="00BC480A">
      <w:pPr>
        <w:tabs>
          <w:tab w:val="left" w:pos="540"/>
          <w:tab w:val="left" w:pos="569"/>
        </w:tabs>
        <w:jc w:val="both"/>
        <w:rPr>
          <w:bCs/>
          <w:sz w:val="22"/>
          <w:szCs w:val="22"/>
          <w:lang w:val="sr-Latn-ME"/>
        </w:rPr>
      </w:pPr>
      <w:r w:rsidRPr="00BD2023">
        <w:rPr>
          <w:bCs/>
          <w:sz w:val="22"/>
          <w:szCs w:val="22"/>
          <w:lang w:val="sr-Latn-ME"/>
        </w:rPr>
        <w:t xml:space="preserve">Na osnovu opservacija iz studija na životinjama, pacijenti ne </w:t>
      </w:r>
      <w:r w:rsidR="00560CBE" w:rsidRPr="00BD2023">
        <w:rPr>
          <w:bCs/>
          <w:sz w:val="22"/>
          <w:szCs w:val="22"/>
          <w:lang w:val="sr-Latn-ME"/>
        </w:rPr>
        <w:t xml:space="preserve">smiju </w:t>
      </w:r>
      <w:r w:rsidRPr="00BD2023">
        <w:rPr>
          <w:bCs/>
          <w:sz w:val="22"/>
          <w:szCs w:val="22"/>
          <w:lang w:val="sr-Latn-ME"/>
        </w:rPr>
        <w:t>da doniraju spermu dok su na terapiji i još 4 m</w:t>
      </w:r>
      <w:r w:rsidR="00E7182D" w:rsidRPr="00BD2023">
        <w:rPr>
          <w:bCs/>
          <w:sz w:val="22"/>
          <w:szCs w:val="22"/>
          <w:lang w:val="sr-Latn-ME"/>
        </w:rPr>
        <w:t>j</w:t>
      </w:r>
      <w:r w:rsidRPr="00BD2023">
        <w:rPr>
          <w:bCs/>
          <w:sz w:val="22"/>
          <w:szCs w:val="22"/>
          <w:lang w:val="sr-Latn-ME"/>
        </w:rPr>
        <w:t xml:space="preserve">eseca nakon </w:t>
      </w:r>
      <w:r w:rsidR="008A7245" w:rsidRPr="00BD2023">
        <w:rPr>
          <w:bCs/>
          <w:sz w:val="22"/>
          <w:szCs w:val="22"/>
          <w:lang w:val="sr-Latn-ME"/>
        </w:rPr>
        <w:t>posljednj</w:t>
      </w:r>
      <w:r w:rsidRPr="00BD2023">
        <w:rPr>
          <w:bCs/>
          <w:sz w:val="22"/>
          <w:szCs w:val="22"/>
          <w:lang w:val="sr-Latn-ME"/>
        </w:rPr>
        <w:t xml:space="preserve">e doze </w:t>
      </w:r>
      <w:r w:rsidR="007E5CF0" w:rsidRPr="00BD2023">
        <w:rPr>
          <w:bCs/>
          <w:sz w:val="22"/>
          <w:szCs w:val="22"/>
          <w:lang w:val="sr-Latn-ME"/>
        </w:rPr>
        <w:t>lijek</w:t>
      </w:r>
      <w:r w:rsidRPr="00BD2023">
        <w:rPr>
          <w:bCs/>
          <w:sz w:val="22"/>
          <w:szCs w:val="22"/>
          <w:lang w:val="sr-Latn-ME"/>
        </w:rPr>
        <w:t>a Evrysdi. Pr</w:t>
      </w:r>
      <w:r w:rsidR="00E7182D" w:rsidRPr="00BD2023">
        <w:rPr>
          <w:bCs/>
          <w:sz w:val="22"/>
          <w:szCs w:val="22"/>
          <w:lang w:val="sr-Latn-ME"/>
        </w:rPr>
        <w:t>ij</w:t>
      </w:r>
      <w:r w:rsidRPr="00BD2023">
        <w:rPr>
          <w:bCs/>
          <w:sz w:val="22"/>
          <w:szCs w:val="22"/>
          <w:lang w:val="sr-Latn-ME"/>
        </w:rPr>
        <w:t>e uvođenja terapije, sa pacijentima sa reproduktivnim potencijalnom treba razgovarati o strategijama očuvanja plodnosti (</w:t>
      </w:r>
      <w:r w:rsidR="005D411F" w:rsidRPr="00BD2023">
        <w:rPr>
          <w:bCs/>
          <w:sz w:val="22"/>
          <w:szCs w:val="22"/>
          <w:lang w:val="sr-Latn-ME"/>
        </w:rPr>
        <w:t>vidjeti</w:t>
      </w:r>
      <w:r w:rsidRPr="00BD2023">
        <w:rPr>
          <w:bCs/>
          <w:sz w:val="22"/>
          <w:szCs w:val="22"/>
          <w:lang w:val="sr-Latn-ME"/>
        </w:rPr>
        <w:t xml:space="preserve"> </w:t>
      </w:r>
      <w:r w:rsidR="00A76607" w:rsidRPr="00BD2023">
        <w:rPr>
          <w:bCs/>
          <w:sz w:val="22"/>
          <w:szCs w:val="22"/>
          <w:lang w:val="sr-Latn-ME"/>
        </w:rPr>
        <w:t xml:space="preserve">djelove </w:t>
      </w:r>
      <w:r w:rsidRPr="00BD2023">
        <w:rPr>
          <w:bCs/>
          <w:sz w:val="22"/>
          <w:szCs w:val="22"/>
          <w:lang w:val="sr-Latn-ME"/>
        </w:rPr>
        <w:t xml:space="preserve">4.6 i 5.3). Dejstva </w:t>
      </w:r>
      <w:r w:rsidR="007E5CF0" w:rsidRPr="00BD2023">
        <w:rPr>
          <w:bCs/>
          <w:sz w:val="22"/>
          <w:szCs w:val="22"/>
          <w:lang w:val="sr-Latn-ME"/>
        </w:rPr>
        <w:t>lijek</w:t>
      </w:r>
      <w:r w:rsidRPr="00BD2023">
        <w:rPr>
          <w:bCs/>
          <w:sz w:val="22"/>
          <w:szCs w:val="22"/>
          <w:lang w:val="sr-Latn-ME"/>
        </w:rPr>
        <w:t>a Evrysdi na plodnost muškog pola ni</w:t>
      </w:r>
      <w:r w:rsidR="003A07CF" w:rsidRPr="00BD2023">
        <w:rPr>
          <w:bCs/>
          <w:sz w:val="22"/>
          <w:szCs w:val="22"/>
          <w:lang w:val="sr-Latn-ME"/>
        </w:rPr>
        <w:t>je</w:t>
      </w:r>
      <w:r w:rsidRPr="00BD2023">
        <w:rPr>
          <w:bCs/>
          <w:sz w:val="22"/>
          <w:szCs w:val="22"/>
          <w:lang w:val="sr-Latn-ME"/>
        </w:rPr>
        <w:t>su ispitana na ljudima.</w:t>
      </w:r>
    </w:p>
    <w:p w14:paraId="44477298" w14:textId="77777777" w:rsidR="007F0488" w:rsidRPr="00BD2023" w:rsidRDefault="007F0488" w:rsidP="00BC480A">
      <w:pPr>
        <w:tabs>
          <w:tab w:val="left" w:pos="540"/>
          <w:tab w:val="left" w:pos="569"/>
        </w:tabs>
        <w:jc w:val="both"/>
        <w:rPr>
          <w:bCs/>
          <w:sz w:val="22"/>
          <w:szCs w:val="22"/>
          <w:lang w:val="sr-Latn-ME"/>
        </w:rPr>
      </w:pPr>
    </w:p>
    <w:p w14:paraId="24EB7D2D" w14:textId="77777777" w:rsidR="007F0488" w:rsidRPr="00BD2023" w:rsidRDefault="007F0488" w:rsidP="00BC480A">
      <w:pPr>
        <w:tabs>
          <w:tab w:val="left" w:pos="540"/>
          <w:tab w:val="left" w:pos="569"/>
        </w:tabs>
        <w:jc w:val="both"/>
        <w:rPr>
          <w:bCs/>
          <w:iCs/>
          <w:sz w:val="22"/>
          <w:szCs w:val="22"/>
          <w:u w:val="single"/>
          <w:lang w:val="sr-Latn-ME"/>
        </w:rPr>
      </w:pPr>
      <w:r w:rsidRPr="00BD2023">
        <w:rPr>
          <w:bCs/>
          <w:sz w:val="22"/>
          <w:szCs w:val="22"/>
          <w:u w:val="single"/>
          <w:lang w:val="sr-Latn-ME"/>
        </w:rPr>
        <w:t>Pomoćne supstance</w:t>
      </w:r>
    </w:p>
    <w:p w14:paraId="792DFD10" w14:textId="77777777" w:rsidR="007F0488" w:rsidRPr="00BD2023" w:rsidRDefault="007F0488" w:rsidP="00BC480A">
      <w:pPr>
        <w:tabs>
          <w:tab w:val="left" w:pos="540"/>
          <w:tab w:val="left" w:pos="569"/>
        </w:tabs>
        <w:jc w:val="both"/>
        <w:rPr>
          <w:bCs/>
          <w:sz w:val="22"/>
          <w:szCs w:val="22"/>
          <w:u w:val="single"/>
          <w:lang w:val="sr-Latn-ME"/>
        </w:rPr>
      </w:pPr>
    </w:p>
    <w:p w14:paraId="745252B9" w14:textId="77777777" w:rsidR="007F0488" w:rsidRPr="00BD2023" w:rsidRDefault="007F0488" w:rsidP="00BC480A">
      <w:pPr>
        <w:tabs>
          <w:tab w:val="left" w:pos="540"/>
          <w:tab w:val="left" w:pos="569"/>
        </w:tabs>
        <w:jc w:val="both"/>
        <w:rPr>
          <w:bCs/>
          <w:i/>
          <w:iCs/>
          <w:sz w:val="22"/>
          <w:szCs w:val="22"/>
          <w:lang w:val="sr-Latn-ME"/>
        </w:rPr>
      </w:pPr>
      <w:r w:rsidRPr="00BD2023">
        <w:rPr>
          <w:bCs/>
          <w:i/>
          <w:iCs/>
          <w:sz w:val="22"/>
          <w:szCs w:val="22"/>
          <w:lang w:val="sr-Latn-ME"/>
        </w:rPr>
        <w:t>Izomalt</w:t>
      </w:r>
    </w:p>
    <w:p w14:paraId="153C67D7" w14:textId="231A3643" w:rsidR="007F0488" w:rsidRPr="00BD2023" w:rsidRDefault="00E67E45" w:rsidP="00BC480A">
      <w:pPr>
        <w:tabs>
          <w:tab w:val="left" w:pos="540"/>
          <w:tab w:val="left" w:pos="569"/>
        </w:tabs>
        <w:jc w:val="both"/>
        <w:rPr>
          <w:bCs/>
          <w:sz w:val="22"/>
          <w:szCs w:val="22"/>
          <w:lang w:val="sr-Latn-ME"/>
        </w:rPr>
      </w:pPr>
      <w:r w:rsidRPr="00BD2023">
        <w:rPr>
          <w:bCs/>
          <w:sz w:val="22"/>
          <w:szCs w:val="22"/>
          <w:lang w:val="sr-Latn-ME"/>
        </w:rPr>
        <w:t xml:space="preserve">Lijek </w:t>
      </w:r>
      <w:r w:rsidR="007F0488" w:rsidRPr="00BD2023">
        <w:rPr>
          <w:bCs/>
          <w:sz w:val="22"/>
          <w:szCs w:val="22"/>
          <w:lang w:val="sr-Latn-ME"/>
        </w:rPr>
        <w:t xml:space="preserve">Evrysdi sadrži izomalt (2,97 mg po </w:t>
      </w:r>
      <w:r w:rsidR="008C4153" w:rsidRPr="00BD2023">
        <w:rPr>
          <w:bCs/>
          <w:sz w:val="22"/>
          <w:szCs w:val="22"/>
          <w:lang w:val="sr-Latn-ME"/>
        </w:rPr>
        <w:t>ml</w:t>
      </w:r>
      <w:r w:rsidR="007F0488" w:rsidRPr="00BD2023">
        <w:rPr>
          <w:bCs/>
          <w:sz w:val="22"/>
          <w:szCs w:val="22"/>
          <w:lang w:val="sr-Latn-ME"/>
        </w:rPr>
        <w:t>). Pacijenti sa r</w:t>
      </w:r>
      <w:r w:rsidR="00E7182D" w:rsidRPr="00BD2023">
        <w:rPr>
          <w:bCs/>
          <w:sz w:val="22"/>
          <w:szCs w:val="22"/>
          <w:lang w:val="sr-Latn-ME"/>
        </w:rPr>
        <w:t>ij</w:t>
      </w:r>
      <w:r w:rsidR="007F0488" w:rsidRPr="00BD2023">
        <w:rPr>
          <w:bCs/>
          <w:sz w:val="22"/>
          <w:szCs w:val="22"/>
          <w:lang w:val="sr-Latn-ME"/>
        </w:rPr>
        <w:t>etkim nasl</w:t>
      </w:r>
      <w:r w:rsidR="00E7182D" w:rsidRPr="00BD2023">
        <w:rPr>
          <w:bCs/>
          <w:sz w:val="22"/>
          <w:szCs w:val="22"/>
          <w:lang w:val="sr-Latn-ME"/>
        </w:rPr>
        <w:t>j</w:t>
      </w:r>
      <w:r w:rsidR="007F0488" w:rsidRPr="00BD2023">
        <w:rPr>
          <w:bCs/>
          <w:sz w:val="22"/>
          <w:szCs w:val="22"/>
          <w:lang w:val="sr-Latn-ME"/>
        </w:rPr>
        <w:t xml:space="preserve">ednim problemima netolerancije na fruktozu ne bi trebalo da uzimaju ovaj </w:t>
      </w:r>
      <w:r w:rsidR="007E5CF0" w:rsidRPr="00BD2023">
        <w:rPr>
          <w:bCs/>
          <w:sz w:val="22"/>
          <w:szCs w:val="22"/>
          <w:lang w:val="sr-Latn-ME"/>
        </w:rPr>
        <w:t>lijek</w:t>
      </w:r>
      <w:r w:rsidR="007F0488" w:rsidRPr="00BD2023">
        <w:rPr>
          <w:bCs/>
          <w:sz w:val="22"/>
          <w:szCs w:val="22"/>
          <w:lang w:val="sr-Latn-ME"/>
        </w:rPr>
        <w:t>.</w:t>
      </w:r>
    </w:p>
    <w:p w14:paraId="4968547C" w14:textId="77777777" w:rsidR="007F0488" w:rsidRPr="00BD2023" w:rsidRDefault="007F0488" w:rsidP="00BC480A">
      <w:pPr>
        <w:tabs>
          <w:tab w:val="left" w:pos="540"/>
          <w:tab w:val="left" w:pos="569"/>
        </w:tabs>
        <w:jc w:val="both"/>
        <w:rPr>
          <w:bCs/>
          <w:sz w:val="22"/>
          <w:szCs w:val="22"/>
          <w:u w:val="single"/>
          <w:lang w:val="sr-Latn-ME"/>
        </w:rPr>
      </w:pPr>
    </w:p>
    <w:p w14:paraId="427DE76C" w14:textId="0D96D9B2" w:rsidR="007F0488" w:rsidRPr="00BD2023" w:rsidRDefault="007F0488" w:rsidP="00BC480A">
      <w:pPr>
        <w:tabs>
          <w:tab w:val="left" w:pos="540"/>
          <w:tab w:val="left" w:pos="569"/>
        </w:tabs>
        <w:jc w:val="both"/>
        <w:rPr>
          <w:bCs/>
          <w:sz w:val="22"/>
          <w:szCs w:val="22"/>
          <w:lang w:val="sr-Latn-ME"/>
        </w:rPr>
      </w:pPr>
      <w:r w:rsidRPr="00BD2023">
        <w:rPr>
          <w:bCs/>
          <w:i/>
          <w:iCs/>
          <w:sz w:val="22"/>
          <w:szCs w:val="22"/>
          <w:lang w:val="sr-Latn-ME"/>
        </w:rPr>
        <w:t>Natrijum</w:t>
      </w:r>
    </w:p>
    <w:p w14:paraId="7323F3EC" w14:textId="458D5A03" w:rsidR="007F0488" w:rsidRPr="00BD2023" w:rsidRDefault="00E67E45" w:rsidP="00BC480A">
      <w:pPr>
        <w:tabs>
          <w:tab w:val="left" w:pos="540"/>
          <w:tab w:val="left" w:pos="569"/>
        </w:tabs>
        <w:jc w:val="both"/>
        <w:rPr>
          <w:bCs/>
          <w:sz w:val="22"/>
          <w:szCs w:val="22"/>
          <w:lang w:val="sr-Latn-ME"/>
        </w:rPr>
      </w:pPr>
      <w:r w:rsidRPr="00BD2023">
        <w:rPr>
          <w:bCs/>
          <w:sz w:val="22"/>
          <w:szCs w:val="22"/>
          <w:lang w:val="sr-Latn-ME"/>
        </w:rPr>
        <w:t xml:space="preserve">Lijek </w:t>
      </w:r>
      <w:r w:rsidR="007F0488" w:rsidRPr="00BD2023">
        <w:rPr>
          <w:bCs/>
          <w:sz w:val="22"/>
          <w:szCs w:val="22"/>
          <w:lang w:val="sr-Latn-ME"/>
        </w:rPr>
        <w:t>Evrysdi sadrži 0,375 mg natrijum</w:t>
      </w:r>
      <w:r w:rsidRPr="00BD2023">
        <w:rPr>
          <w:bCs/>
          <w:sz w:val="22"/>
          <w:szCs w:val="22"/>
          <w:lang w:val="sr-Latn-ME"/>
        </w:rPr>
        <w:t xml:space="preserve"> </w:t>
      </w:r>
      <w:r w:rsidR="007F0488" w:rsidRPr="00BD2023">
        <w:rPr>
          <w:bCs/>
          <w:sz w:val="22"/>
          <w:szCs w:val="22"/>
          <w:lang w:val="sr-Latn-ME"/>
        </w:rPr>
        <w:t xml:space="preserve">benzoata po </w:t>
      </w:r>
      <w:r w:rsidR="008C4153" w:rsidRPr="00BD2023">
        <w:rPr>
          <w:bCs/>
          <w:sz w:val="22"/>
          <w:szCs w:val="22"/>
          <w:lang w:val="sr-Latn-ME"/>
        </w:rPr>
        <w:t>ml</w:t>
      </w:r>
      <w:r w:rsidR="007F0488" w:rsidRPr="00BD2023">
        <w:rPr>
          <w:bCs/>
          <w:sz w:val="22"/>
          <w:szCs w:val="22"/>
          <w:lang w:val="sr-Latn-ME"/>
        </w:rPr>
        <w:t>. Natrijum</w:t>
      </w:r>
      <w:r w:rsidRPr="00BD2023">
        <w:rPr>
          <w:bCs/>
          <w:sz w:val="22"/>
          <w:szCs w:val="22"/>
          <w:lang w:val="sr-Latn-ME"/>
        </w:rPr>
        <w:t xml:space="preserve"> </w:t>
      </w:r>
      <w:r w:rsidR="007F0488" w:rsidRPr="00BD2023">
        <w:rPr>
          <w:bCs/>
          <w:sz w:val="22"/>
          <w:szCs w:val="22"/>
          <w:lang w:val="sr-Latn-ME"/>
        </w:rPr>
        <w:t xml:space="preserve">benzoat može da pojača žuticu (žutu prebojenost kože i očiju) kod novorođenčadi (uzrasta do 4 </w:t>
      </w:r>
      <w:r w:rsidR="00C97F02" w:rsidRPr="00BD2023">
        <w:rPr>
          <w:bCs/>
          <w:sz w:val="22"/>
          <w:szCs w:val="22"/>
          <w:lang w:val="sr-Latn-ME"/>
        </w:rPr>
        <w:t>nedjelj</w:t>
      </w:r>
      <w:r w:rsidR="007F0488" w:rsidRPr="00BD2023">
        <w:rPr>
          <w:bCs/>
          <w:sz w:val="22"/>
          <w:szCs w:val="22"/>
          <w:lang w:val="sr-Latn-ME"/>
        </w:rPr>
        <w:t>e).</w:t>
      </w:r>
    </w:p>
    <w:p w14:paraId="45518ED5" w14:textId="77777777" w:rsidR="007F0488" w:rsidRPr="00BD2023" w:rsidRDefault="007F0488" w:rsidP="00BC480A">
      <w:pPr>
        <w:tabs>
          <w:tab w:val="left" w:pos="540"/>
          <w:tab w:val="left" w:pos="569"/>
        </w:tabs>
        <w:jc w:val="both"/>
        <w:rPr>
          <w:bCs/>
          <w:sz w:val="22"/>
          <w:szCs w:val="22"/>
          <w:lang w:val="sr-Latn-ME"/>
        </w:rPr>
      </w:pPr>
    </w:p>
    <w:p w14:paraId="09EACCCD" w14:textId="6A5591D1" w:rsidR="00DC1D51" w:rsidRPr="00BD2023" w:rsidRDefault="00E67E45" w:rsidP="00BC480A">
      <w:pPr>
        <w:tabs>
          <w:tab w:val="left" w:pos="540"/>
          <w:tab w:val="left" w:pos="569"/>
        </w:tabs>
        <w:jc w:val="both"/>
        <w:rPr>
          <w:b/>
          <w:bCs/>
          <w:sz w:val="22"/>
          <w:szCs w:val="22"/>
          <w:lang w:val="sr-Latn-ME"/>
        </w:rPr>
      </w:pPr>
      <w:r w:rsidRPr="00BD2023">
        <w:rPr>
          <w:bCs/>
          <w:sz w:val="22"/>
          <w:szCs w:val="22"/>
          <w:lang w:val="sr-Latn-ME"/>
        </w:rPr>
        <w:t xml:space="preserve">Lijek </w:t>
      </w:r>
      <w:r w:rsidR="007F0488" w:rsidRPr="00BD2023">
        <w:rPr>
          <w:bCs/>
          <w:sz w:val="22"/>
          <w:szCs w:val="22"/>
          <w:lang w:val="sr-Latn-ME"/>
        </w:rPr>
        <w:t>Evrysdi sadrži manje od 1 mmol natrijuma (23 mg) po dozi od 5 mg, tj. u suštini je bez natrijuma.</w:t>
      </w:r>
    </w:p>
    <w:p w14:paraId="101826AE" w14:textId="77777777" w:rsidR="00DC1D51" w:rsidRPr="00BD2023" w:rsidRDefault="00DC1D51" w:rsidP="00BC480A">
      <w:pPr>
        <w:tabs>
          <w:tab w:val="left" w:pos="540"/>
          <w:tab w:val="left" w:pos="569"/>
        </w:tabs>
        <w:jc w:val="both"/>
        <w:rPr>
          <w:b/>
          <w:bCs/>
          <w:sz w:val="22"/>
          <w:szCs w:val="22"/>
          <w:lang w:val="sr-Latn-ME"/>
        </w:rPr>
      </w:pPr>
    </w:p>
    <w:p w14:paraId="5E808878" w14:textId="3306347B" w:rsidR="00411B4B" w:rsidRPr="00BD2023" w:rsidRDefault="00411B4B" w:rsidP="00BC480A">
      <w:pPr>
        <w:tabs>
          <w:tab w:val="left" w:pos="540"/>
          <w:tab w:val="left" w:pos="569"/>
        </w:tabs>
        <w:jc w:val="both"/>
        <w:rPr>
          <w:b/>
          <w:bCs/>
          <w:sz w:val="22"/>
          <w:szCs w:val="22"/>
          <w:lang w:val="sr-Latn-ME"/>
        </w:rPr>
      </w:pPr>
      <w:r w:rsidRPr="00BD2023">
        <w:rPr>
          <w:b/>
          <w:bCs/>
          <w:sz w:val="22"/>
          <w:szCs w:val="22"/>
          <w:lang w:val="sr-Latn-ME"/>
        </w:rPr>
        <w:t>4.5.</w:t>
      </w:r>
      <w:r w:rsidR="000D60CC" w:rsidRPr="00BD2023">
        <w:rPr>
          <w:b/>
          <w:bCs/>
          <w:sz w:val="22"/>
          <w:szCs w:val="22"/>
          <w:lang w:val="sr-Latn-ME"/>
        </w:rPr>
        <w:tab/>
      </w:r>
      <w:r w:rsidRPr="00BD2023">
        <w:rPr>
          <w:b/>
          <w:bCs/>
          <w:sz w:val="22"/>
          <w:szCs w:val="22"/>
          <w:lang w:val="sr-Latn-ME"/>
        </w:rPr>
        <w:t>Interakcije sa drugim ljekovima i druge vrste interakcija</w:t>
      </w:r>
    </w:p>
    <w:p w14:paraId="040058C9" w14:textId="77777777" w:rsidR="007F0488" w:rsidRPr="00BD2023" w:rsidRDefault="007F0488" w:rsidP="00BC480A">
      <w:pPr>
        <w:tabs>
          <w:tab w:val="left" w:pos="540"/>
          <w:tab w:val="left" w:pos="569"/>
        </w:tabs>
        <w:jc w:val="both"/>
        <w:rPr>
          <w:b/>
          <w:bCs/>
          <w:sz w:val="22"/>
          <w:szCs w:val="22"/>
          <w:lang w:val="sr-Latn-ME"/>
        </w:rPr>
      </w:pPr>
    </w:p>
    <w:p w14:paraId="1C5ACDCB" w14:textId="5AC2EBF8" w:rsidR="007F0488" w:rsidRPr="00BD2023" w:rsidRDefault="007F0488" w:rsidP="00BC480A">
      <w:pPr>
        <w:tabs>
          <w:tab w:val="left" w:pos="540"/>
          <w:tab w:val="left" w:pos="569"/>
        </w:tabs>
        <w:jc w:val="both"/>
        <w:rPr>
          <w:bCs/>
          <w:sz w:val="22"/>
          <w:szCs w:val="22"/>
          <w:lang w:val="sr-Latn-ME"/>
        </w:rPr>
      </w:pPr>
      <w:r w:rsidRPr="00BD2023">
        <w:rPr>
          <w:bCs/>
          <w:sz w:val="22"/>
          <w:szCs w:val="22"/>
          <w:lang w:val="sr-Latn-ME"/>
        </w:rPr>
        <w:t xml:space="preserve">Risdiplam prvenstveno metabolišu jetreni enzimi flavin-monooksigenaza 1 i 3 (FMO1 i 3), kao i enzimi citohrom P450 (CYP) 1A1, 2J2, 3A4 i 3A7. Risdiplam nije supstrat humanog proteina 1 </w:t>
      </w:r>
      <w:r w:rsidR="00DC1D51" w:rsidRPr="00BD2023">
        <w:rPr>
          <w:bCs/>
          <w:sz w:val="22"/>
          <w:szCs w:val="22"/>
          <w:lang w:val="sr-Latn-ME"/>
        </w:rPr>
        <w:t xml:space="preserve">koji uzrokuje rezistenciju </w:t>
      </w:r>
      <w:r w:rsidRPr="00BD2023">
        <w:rPr>
          <w:bCs/>
          <w:sz w:val="22"/>
          <w:szCs w:val="22"/>
          <w:lang w:val="sr-Latn-ME"/>
        </w:rPr>
        <w:t xml:space="preserve">na više </w:t>
      </w:r>
      <w:r w:rsidR="007E5CF0" w:rsidRPr="00BD2023">
        <w:rPr>
          <w:bCs/>
          <w:sz w:val="22"/>
          <w:szCs w:val="22"/>
          <w:lang w:val="sr-Latn-ME"/>
        </w:rPr>
        <w:t>ljekov</w:t>
      </w:r>
      <w:r w:rsidRPr="00BD2023">
        <w:rPr>
          <w:bCs/>
          <w:sz w:val="22"/>
          <w:szCs w:val="22"/>
          <w:lang w:val="sr-Latn-ME"/>
        </w:rPr>
        <w:t>a (</w:t>
      </w:r>
      <w:r w:rsidR="00DC1D51" w:rsidRPr="00BD2023">
        <w:rPr>
          <w:bCs/>
          <w:sz w:val="22"/>
          <w:szCs w:val="22"/>
          <w:lang w:val="sr-Latn-ME"/>
        </w:rPr>
        <w:t xml:space="preserve">engl. </w:t>
      </w:r>
      <w:r w:rsidR="00DC1D51" w:rsidRPr="00BD2023">
        <w:rPr>
          <w:bCs/>
          <w:i/>
          <w:sz w:val="22"/>
          <w:szCs w:val="22"/>
          <w:lang w:val="sr-Latn-ME"/>
        </w:rPr>
        <w:t>multidrug resistance protein 1</w:t>
      </w:r>
      <w:r w:rsidR="00DC1D51" w:rsidRPr="00BD2023">
        <w:rPr>
          <w:bCs/>
          <w:sz w:val="22"/>
          <w:szCs w:val="22"/>
          <w:lang w:val="sr-Latn-ME"/>
        </w:rPr>
        <w:t xml:space="preserve">, </w:t>
      </w:r>
      <w:r w:rsidRPr="00BD2023">
        <w:rPr>
          <w:bCs/>
          <w:sz w:val="22"/>
          <w:szCs w:val="22"/>
          <w:lang w:val="sr-Latn-ME"/>
        </w:rPr>
        <w:t>MDR1).</w:t>
      </w:r>
    </w:p>
    <w:p w14:paraId="6295B61E" w14:textId="77777777" w:rsidR="007F0488" w:rsidRPr="00BD2023" w:rsidRDefault="007F0488" w:rsidP="00BC480A">
      <w:pPr>
        <w:tabs>
          <w:tab w:val="left" w:pos="540"/>
          <w:tab w:val="left" w:pos="569"/>
        </w:tabs>
        <w:jc w:val="both"/>
        <w:rPr>
          <w:bCs/>
          <w:sz w:val="22"/>
          <w:szCs w:val="22"/>
          <w:lang w:val="sr-Latn-ME"/>
        </w:rPr>
      </w:pPr>
    </w:p>
    <w:p w14:paraId="247880C8" w14:textId="77777777" w:rsidR="007F0488" w:rsidRPr="00BD2023" w:rsidRDefault="007F0488" w:rsidP="00BC480A">
      <w:pPr>
        <w:tabs>
          <w:tab w:val="left" w:pos="540"/>
          <w:tab w:val="left" w:pos="569"/>
        </w:tabs>
        <w:jc w:val="both"/>
        <w:rPr>
          <w:bCs/>
          <w:sz w:val="22"/>
          <w:szCs w:val="22"/>
          <w:u w:val="single"/>
          <w:lang w:val="sr-Latn-ME"/>
        </w:rPr>
      </w:pPr>
      <w:r w:rsidRPr="00BD2023">
        <w:rPr>
          <w:bCs/>
          <w:sz w:val="22"/>
          <w:szCs w:val="22"/>
          <w:u w:val="single"/>
          <w:lang w:val="sr-Latn-ME"/>
        </w:rPr>
        <w:t xml:space="preserve">Dejstva drugih </w:t>
      </w:r>
      <w:r w:rsidR="007E5CF0" w:rsidRPr="00BD2023">
        <w:rPr>
          <w:bCs/>
          <w:sz w:val="22"/>
          <w:szCs w:val="22"/>
          <w:u w:val="single"/>
          <w:lang w:val="sr-Latn-ME"/>
        </w:rPr>
        <w:t>ljekov</w:t>
      </w:r>
      <w:r w:rsidRPr="00BD2023">
        <w:rPr>
          <w:bCs/>
          <w:sz w:val="22"/>
          <w:szCs w:val="22"/>
          <w:u w:val="single"/>
          <w:lang w:val="sr-Latn-ME"/>
        </w:rPr>
        <w:t>a na risdiplam</w:t>
      </w:r>
    </w:p>
    <w:p w14:paraId="3DF13101" w14:textId="77777777" w:rsidR="007F0488" w:rsidRPr="00BD2023" w:rsidRDefault="007F0488" w:rsidP="00BC480A">
      <w:pPr>
        <w:tabs>
          <w:tab w:val="left" w:pos="540"/>
          <w:tab w:val="left" w:pos="569"/>
        </w:tabs>
        <w:jc w:val="both"/>
        <w:rPr>
          <w:bCs/>
          <w:sz w:val="22"/>
          <w:szCs w:val="22"/>
          <w:lang w:val="sr-Latn-ME"/>
        </w:rPr>
      </w:pPr>
    </w:p>
    <w:p w14:paraId="68F1BD9D" w14:textId="76E4E2F3" w:rsidR="007F0488" w:rsidRPr="00BD2023" w:rsidRDefault="007F0488" w:rsidP="00BC480A">
      <w:pPr>
        <w:tabs>
          <w:tab w:val="left" w:pos="540"/>
          <w:tab w:val="left" w:pos="569"/>
        </w:tabs>
        <w:jc w:val="both"/>
        <w:rPr>
          <w:bCs/>
          <w:sz w:val="22"/>
          <w:szCs w:val="22"/>
          <w:lang w:val="sr-Latn-ME"/>
        </w:rPr>
      </w:pPr>
      <w:r w:rsidRPr="00BD2023">
        <w:rPr>
          <w:bCs/>
          <w:sz w:val="22"/>
          <w:szCs w:val="22"/>
          <w:lang w:val="sr-Latn-ME"/>
        </w:rPr>
        <w:lastRenderedPageBreak/>
        <w:t>Istovremena prim</w:t>
      </w:r>
      <w:r w:rsidR="00E7182D" w:rsidRPr="00BD2023">
        <w:rPr>
          <w:bCs/>
          <w:sz w:val="22"/>
          <w:szCs w:val="22"/>
          <w:lang w:val="sr-Latn-ME"/>
        </w:rPr>
        <w:t>j</w:t>
      </w:r>
      <w:r w:rsidRPr="00BD2023">
        <w:rPr>
          <w:bCs/>
          <w:sz w:val="22"/>
          <w:szCs w:val="22"/>
          <w:lang w:val="sr-Latn-ME"/>
        </w:rPr>
        <w:t>ena itrakonazola od 200 mg dva puta dnevno, snažnog inhibitora CYP3A, sa jednom oralnom dozom risdiplama od 6 mg nije pokazala klinički relevantno dejstvo na farmakokinetičke parametre risdiplama (</w:t>
      </w:r>
      <w:r w:rsidR="00E72EF5" w:rsidRPr="00BD2023">
        <w:rPr>
          <w:bCs/>
          <w:sz w:val="22"/>
          <w:szCs w:val="22"/>
          <w:lang w:val="sr-Latn-ME"/>
        </w:rPr>
        <w:t>po</w:t>
      </w:r>
      <w:r w:rsidRPr="00BD2023">
        <w:rPr>
          <w:bCs/>
          <w:sz w:val="22"/>
          <w:szCs w:val="22"/>
          <w:lang w:val="sr-Latn-ME"/>
        </w:rPr>
        <w:t>veća</w:t>
      </w:r>
      <w:r w:rsidR="00E72EF5" w:rsidRPr="00BD2023">
        <w:rPr>
          <w:bCs/>
          <w:sz w:val="22"/>
          <w:szCs w:val="22"/>
          <w:lang w:val="sr-Latn-ME"/>
        </w:rPr>
        <w:t>nje</w:t>
      </w:r>
      <w:r w:rsidRPr="00BD2023">
        <w:rPr>
          <w:bCs/>
          <w:sz w:val="22"/>
          <w:szCs w:val="22"/>
          <w:lang w:val="sr-Latn-ME"/>
        </w:rPr>
        <w:t xml:space="preserve"> AUC</w:t>
      </w:r>
      <w:r w:rsidR="00E72EF5" w:rsidRPr="00BD2023">
        <w:rPr>
          <w:bCs/>
          <w:sz w:val="22"/>
          <w:szCs w:val="22"/>
          <w:lang w:val="sr-Latn-ME"/>
        </w:rPr>
        <w:t>-a za 11%</w:t>
      </w:r>
      <w:r w:rsidRPr="00BD2023">
        <w:rPr>
          <w:bCs/>
          <w:sz w:val="22"/>
          <w:szCs w:val="22"/>
          <w:lang w:val="sr-Latn-ME"/>
        </w:rPr>
        <w:t>, smanjen</w:t>
      </w:r>
      <w:r w:rsidR="00E72EF5" w:rsidRPr="00BD2023">
        <w:rPr>
          <w:bCs/>
          <w:sz w:val="22"/>
          <w:szCs w:val="22"/>
          <w:lang w:val="sr-Latn-ME"/>
        </w:rPr>
        <w:t>je</w:t>
      </w:r>
      <w:r w:rsidRPr="00BD2023">
        <w:rPr>
          <w:bCs/>
          <w:sz w:val="22"/>
          <w:szCs w:val="22"/>
          <w:lang w:val="sr-Latn-ME"/>
        </w:rPr>
        <w:t xml:space="preserve"> C</w:t>
      </w:r>
      <w:r w:rsidRPr="00BD2023">
        <w:rPr>
          <w:bCs/>
          <w:sz w:val="22"/>
          <w:szCs w:val="22"/>
          <w:vertAlign w:val="subscript"/>
          <w:lang w:val="sr-Latn-ME"/>
        </w:rPr>
        <w:t>max</w:t>
      </w:r>
      <w:r w:rsidR="00E72EF5" w:rsidRPr="00BD2023">
        <w:rPr>
          <w:bCs/>
          <w:sz w:val="22"/>
          <w:szCs w:val="22"/>
          <w:lang w:val="sr-Latn-ME"/>
        </w:rPr>
        <w:t xml:space="preserve"> za 9%</w:t>
      </w:r>
      <w:r w:rsidRPr="00BD2023">
        <w:rPr>
          <w:bCs/>
          <w:sz w:val="22"/>
          <w:szCs w:val="22"/>
          <w:lang w:val="sr-Latn-ME"/>
        </w:rPr>
        <w:t xml:space="preserve">). Kada se </w:t>
      </w:r>
      <w:r w:rsidR="007E5CF0" w:rsidRPr="00BD2023">
        <w:rPr>
          <w:bCs/>
          <w:sz w:val="22"/>
          <w:szCs w:val="22"/>
          <w:lang w:val="sr-Latn-ME"/>
        </w:rPr>
        <w:t>lijek</w:t>
      </w:r>
      <w:r w:rsidRPr="00BD2023">
        <w:rPr>
          <w:bCs/>
          <w:sz w:val="22"/>
          <w:szCs w:val="22"/>
          <w:lang w:val="sr-Latn-ME"/>
        </w:rPr>
        <w:t xml:space="preserve"> Evrysdi prim</w:t>
      </w:r>
      <w:r w:rsidR="00E7182D" w:rsidRPr="00BD2023">
        <w:rPr>
          <w:bCs/>
          <w:sz w:val="22"/>
          <w:szCs w:val="22"/>
          <w:lang w:val="sr-Latn-ME"/>
        </w:rPr>
        <w:t>j</w:t>
      </w:r>
      <w:r w:rsidRPr="00BD2023">
        <w:rPr>
          <w:bCs/>
          <w:sz w:val="22"/>
          <w:szCs w:val="22"/>
          <w:lang w:val="sr-Latn-ME"/>
        </w:rPr>
        <w:t>enjuje istovremeno sa inhibitorom CYP3A, ni</w:t>
      </w:r>
      <w:r w:rsidR="00E72EF5" w:rsidRPr="00BD2023">
        <w:rPr>
          <w:bCs/>
          <w:sz w:val="22"/>
          <w:szCs w:val="22"/>
          <w:lang w:val="sr-Latn-ME"/>
        </w:rPr>
        <w:t>je</w:t>
      </w:r>
      <w:r w:rsidRPr="00BD2023">
        <w:rPr>
          <w:bCs/>
          <w:sz w:val="22"/>
          <w:szCs w:val="22"/>
          <w:lang w:val="sr-Latn-ME"/>
        </w:rPr>
        <w:t>su potrebna podešavanja doze.</w:t>
      </w:r>
    </w:p>
    <w:p w14:paraId="1D043077" w14:textId="77777777" w:rsidR="007F0488" w:rsidRPr="00BD2023" w:rsidRDefault="007F0488" w:rsidP="00BC480A">
      <w:pPr>
        <w:tabs>
          <w:tab w:val="left" w:pos="540"/>
          <w:tab w:val="left" w:pos="569"/>
        </w:tabs>
        <w:jc w:val="both"/>
        <w:rPr>
          <w:bCs/>
          <w:sz w:val="22"/>
          <w:szCs w:val="22"/>
          <w:lang w:val="sr-Latn-ME"/>
        </w:rPr>
      </w:pPr>
    </w:p>
    <w:p w14:paraId="44C40572" w14:textId="41E73B86" w:rsidR="007F0488" w:rsidRPr="00BD2023" w:rsidRDefault="007F0488" w:rsidP="00BC480A">
      <w:pPr>
        <w:tabs>
          <w:tab w:val="left" w:pos="540"/>
          <w:tab w:val="left" w:pos="569"/>
        </w:tabs>
        <w:jc w:val="both"/>
        <w:rPr>
          <w:bCs/>
          <w:sz w:val="22"/>
          <w:szCs w:val="22"/>
          <w:lang w:val="sr-Latn-ME"/>
        </w:rPr>
      </w:pPr>
      <w:r w:rsidRPr="00BD2023">
        <w:rPr>
          <w:bCs/>
          <w:sz w:val="22"/>
          <w:szCs w:val="22"/>
          <w:lang w:val="sr-Latn-ME"/>
        </w:rPr>
        <w:t xml:space="preserve">Ne očekuju se interakcije </w:t>
      </w:r>
      <w:r w:rsidR="00E72EF5" w:rsidRPr="00BD2023">
        <w:rPr>
          <w:bCs/>
          <w:sz w:val="22"/>
          <w:szCs w:val="22"/>
          <w:lang w:val="sr-Latn-ME"/>
        </w:rPr>
        <w:t>sa drugim ljekovima posredovane</w:t>
      </w:r>
      <w:r w:rsidRPr="00BD2023">
        <w:rPr>
          <w:bCs/>
          <w:sz w:val="22"/>
          <w:szCs w:val="22"/>
          <w:lang w:val="sr-Latn-ME"/>
        </w:rPr>
        <w:t xml:space="preserve"> </w:t>
      </w:r>
      <w:r w:rsidR="00E72EF5" w:rsidRPr="00BD2023">
        <w:rPr>
          <w:bCs/>
          <w:sz w:val="22"/>
          <w:szCs w:val="22"/>
          <w:lang w:val="sr-Latn-ME"/>
        </w:rPr>
        <w:t>enzimima</w:t>
      </w:r>
      <w:r w:rsidRPr="00BD2023">
        <w:rPr>
          <w:bCs/>
          <w:sz w:val="22"/>
          <w:szCs w:val="22"/>
          <w:lang w:val="sr-Latn-ME"/>
        </w:rPr>
        <w:t xml:space="preserve"> FMO1 i FMO3.</w:t>
      </w:r>
    </w:p>
    <w:p w14:paraId="2F11B371" w14:textId="77777777" w:rsidR="007F0488" w:rsidRPr="00BD2023" w:rsidRDefault="007F0488" w:rsidP="00BC480A">
      <w:pPr>
        <w:tabs>
          <w:tab w:val="left" w:pos="540"/>
          <w:tab w:val="left" w:pos="569"/>
        </w:tabs>
        <w:jc w:val="both"/>
        <w:rPr>
          <w:bCs/>
          <w:sz w:val="22"/>
          <w:szCs w:val="22"/>
          <w:lang w:val="sr-Latn-ME"/>
        </w:rPr>
      </w:pPr>
    </w:p>
    <w:p w14:paraId="551DC566" w14:textId="77777777" w:rsidR="007F0488" w:rsidRPr="00BD2023" w:rsidRDefault="007F0488" w:rsidP="00BC480A">
      <w:pPr>
        <w:tabs>
          <w:tab w:val="left" w:pos="540"/>
          <w:tab w:val="left" w:pos="569"/>
        </w:tabs>
        <w:jc w:val="both"/>
        <w:rPr>
          <w:bCs/>
          <w:sz w:val="22"/>
          <w:szCs w:val="22"/>
          <w:lang w:val="sr-Latn-ME"/>
        </w:rPr>
      </w:pPr>
      <w:r w:rsidRPr="00BD2023">
        <w:rPr>
          <w:bCs/>
          <w:sz w:val="22"/>
          <w:szCs w:val="22"/>
          <w:u w:val="single"/>
          <w:lang w:val="sr-Latn-ME"/>
        </w:rPr>
        <w:t xml:space="preserve">Dejstva risdiplama na druge </w:t>
      </w:r>
      <w:r w:rsidR="007E5CF0" w:rsidRPr="00BD2023">
        <w:rPr>
          <w:bCs/>
          <w:sz w:val="22"/>
          <w:szCs w:val="22"/>
          <w:u w:val="single"/>
          <w:lang w:val="sr-Latn-ME"/>
        </w:rPr>
        <w:t>ljekov</w:t>
      </w:r>
      <w:r w:rsidRPr="00BD2023">
        <w:rPr>
          <w:bCs/>
          <w:sz w:val="22"/>
          <w:szCs w:val="22"/>
          <w:u w:val="single"/>
          <w:lang w:val="sr-Latn-ME"/>
        </w:rPr>
        <w:t>e</w:t>
      </w:r>
    </w:p>
    <w:p w14:paraId="722AC19A" w14:textId="77777777" w:rsidR="007F0488" w:rsidRPr="00BD2023" w:rsidRDefault="007F0488" w:rsidP="00BC480A">
      <w:pPr>
        <w:tabs>
          <w:tab w:val="left" w:pos="540"/>
          <w:tab w:val="left" w:pos="569"/>
        </w:tabs>
        <w:jc w:val="both"/>
        <w:rPr>
          <w:bCs/>
          <w:sz w:val="22"/>
          <w:szCs w:val="22"/>
          <w:lang w:val="sr-Latn-ME"/>
        </w:rPr>
      </w:pPr>
    </w:p>
    <w:p w14:paraId="6D523232" w14:textId="25D6870E" w:rsidR="007F0488" w:rsidRPr="00BD2023" w:rsidRDefault="007F0488" w:rsidP="00BC480A">
      <w:pPr>
        <w:tabs>
          <w:tab w:val="left" w:pos="540"/>
          <w:tab w:val="left" w:pos="569"/>
        </w:tabs>
        <w:jc w:val="both"/>
        <w:rPr>
          <w:bCs/>
          <w:sz w:val="22"/>
          <w:szCs w:val="22"/>
          <w:lang w:val="sr-Latn-ME"/>
        </w:rPr>
      </w:pPr>
      <w:r w:rsidRPr="00BD2023">
        <w:rPr>
          <w:bCs/>
          <w:sz w:val="22"/>
          <w:szCs w:val="22"/>
          <w:lang w:val="sr-Latn-ME"/>
        </w:rPr>
        <w:t xml:space="preserve">Risdiplam je slab inhibitor CYP3A. Kod zdravih odraslih ispitanika oralna </w:t>
      </w:r>
      <w:r w:rsidR="00C97F02" w:rsidRPr="00BD2023">
        <w:rPr>
          <w:bCs/>
          <w:sz w:val="22"/>
          <w:szCs w:val="22"/>
          <w:lang w:val="sr-Latn-ME"/>
        </w:rPr>
        <w:t>primjena</w:t>
      </w:r>
      <w:r w:rsidRPr="00BD2023">
        <w:rPr>
          <w:bCs/>
          <w:sz w:val="22"/>
          <w:szCs w:val="22"/>
          <w:lang w:val="sr-Latn-ME"/>
        </w:rPr>
        <w:t xml:space="preserve"> risdiplama jednom dnevno u periodu od 2 </w:t>
      </w:r>
      <w:r w:rsidR="00C97F02" w:rsidRPr="00BD2023">
        <w:rPr>
          <w:bCs/>
          <w:sz w:val="22"/>
          <w:szCs w:val="22"/>
          <w:lang w:val="sr-Latn-ME"/>
        </w:rPr>
        <w:t>nedjelj</w:t>
      </w:r>
      <w:r w:rsidRPr="00BD2023">
        <w:rPr>
          <w:bCs/>
          <w:sz w:val="22"/>
          <w:szCs w:val="22"/>
          <w:lang w:val="sr-Latn-ME"/>
        </w:rPr>
        <w:t>e blago je povećala izloženost midazolam</w:t>
      </w:r>
      <w:r w:rsidR="008F3BD6" w:rsidRPr="00BD2023">
        <w:rPr>
          <w:bCs/>
          <w:sz w:val="22"/>
          <w:szCs w:val="22"/>
          <w:lang w:val="sr-Latn-ME"/>
        </w:rPr>
        <w:t>u</w:t>
      </w:r>
      <w:r w:rsidRPr="00BD2023">
        <w:rPr>
          <w:bCs/>
          <w:sz w:val="22"/>
          <w:szCs w:val="22"/>
          <w:lang w:val="sr-Latn-ME"/>
        </w:rPr>
        <w:t xml:space="preserve">, </w:t>
      </w:r>
      <w:r w:rsidR="00C97F02" w:rsidRPr="00BD2023">
        <w:rPr>
          <w:bCs/>
          <w:sz w:val="22"/>
          <w:szCs w:val="22"/>
          <w:lang w:val="sr-Latn-ME"/>
        </w:rPr>
        <w:t>osjetljiv</w:t>
      </w:r>
      <w:r w:rsidRPr="00BD2023">
        <w:rPr>
          <w:bCs/>
          <w:sz w:val="22"/>
          <w:szCs w:val="22"/>
          <w:lang w:val="sr-Latn-ME"/>
        </w:rPr>
        <w:t>o</w:t>
      </w:r>
      <w:r w:rsidR="008F3BD6" w:rsidRPr="00BD2023">
        <w:rPr>
          <w:bCs/>
          <w:sz w:val="22"/>
          <w:szCs w:val="22"/>
          <w:lang w:val="sr-Latn-ME"/>
        </w:rPr>
        <w:t>m</w:t>
      </w:r>
      <w:r w:rsidRPr="00BD2023">
        <w:rPr>
          <w:bCs/>
          <w:sz w:val="22"/>
          <w:szCs w:val="22"/>
          <w:lang w:val="sr-Latn-ME"/>
        </w:rPr>
        <w:t xml:space="preserve"> supstrat</w:t>
      </w:r>
      <w:r w:rsidR="008F3BD6" w:rsidRPr="00BD2023">
        <w:rPr>
          <w:bCs/>
          <w:sz w:val="22"/>
          <w:szCs w:val="22"/>
          <w:lang w:val="sr-Latn-ME"/>
        </w:rPr>
        <w:t>u</w:t>
      </w:r>
      <w:r w:rsidRPr="00BD2023">
        <w:rPr>
          <w:bCs/>
          <w:sz w:val="22"/>
          <w:szCs w:val="22"/>
          <w:lang w:val="sr-Latn-ME"/>
        </w:rPr>
        <w:t xml:space="preserve"> CYP3A (AUC 11%; C</w:t>
      </w:r>
      <w:r w:rsidRPr="00BD2023">
        <w:rPr>
          <w:bCs/>
          <w:sz w:val="22"/>
          <w:szCs w:val="22"/>
          <w:vertAlign w:val="subscript"/>
          <w:lang w:val="sr-Latn-ME"/>
        </w:rPr>
        <w:t>max</w:t>
      </w:r>
      <w:r w:rsidRPr="00BD2023">
        <w:rPr>
          <w:bCs/>
          <w:sz w:val="22"/>
          <w:szCs w:val="22"/>
          <w:lang w:val="sr-Latn-ME"/>
        </w:rPr>
        <w:t xml:space="preserve"> 16%). Obim </w:t>
      </w:r>
      <w:r w:rsidR="008F3BD6" w:rsidRPr="00BD2023">
        <w:rPr>
          <w:bCs/>
          <w:sz w:val="22"/>
          <w:szCs w:val="22"/>
          <w:lang w:val="sr-Latn-ME"/>
        </w:rPr>
        <w:t xml:space="preserve">te </w:t>
      </w:r>
      <w:r w:rsidRPr="00BD2023">
        <w:rPr>
          <w:bCs/>
          <w:sz w:val="22"/>
          <w:szCs w:val="22"/>
          <w:lang w:val="sr-Latn-ME"/>
        </w:rPr>
        <w:t>interakcije se ne smatra klinički značajn</w:t>
      </w:r>
      <w:r w:rsidR="009416CC" w:rsidRPr="00BD2023">
        <w:rPr>
          <w:bCs/>
          <w:sz w:val="22"/>
          <w:szCs w:val="22"/>
          <w:lang w:val="sr-Latn-ME"/>
        </w:rPr>
        <w:t>o</w:t>
      </w:r>
      <w:r w:rsidRPr="00BD2023">
        <w:rPr>
          <w:bCs/>
          <w:sz w:val="22"/>
          <w:szCs w:val="22"/>
          <w:lang w:val="sr-Latn-ME"/>
        </w:rPr>
        <w:t xml:space="preserve">m i stoga </w:t>
      </w:r>
      <w:r w:rsidR="008F3BD6" w:rsidRPr="00BD2023">
        <w:rPr>
          <w:bCs/>
          <w:sz w:val="22"/>
          <w:szCs w:val="22"/>
          <w:lang w:val="sr-Latn-ME"/>
        </w:rPr>
        <w:t>nije potrebno podešavati dozu</w:t>
      </w:r>
      <w:r w:rsidRPr="00BD2023">
        <w:rPr>
          <w:bCs/>
          <w:sz w:val="22"/>
          <w:szCs w:val="22"/>
          <w:lang w:val="sr-Latn-ME"/>
        </w:rPr>
        <w:t xml:space="preserve"> supstrat</w:t>
      </w:r>
      <w:r w:rsidR="008F3BD6" w:rsidRPr="00BD2023">
        <w:rPr>
          <w:bCs/>
          <w:sz w:val="22"/>
          <w:szCs w:val="22"/>
          <w:lang w:val="sr-Latn-ME"/>
        </w:rPr>
        <w:t>a</w:t>
      </w:r>
      <w:r w:rsidRPr="00BD2023">
        <w:rPr>
          <w:bCs/>
          <w:sz w:val="22"/>
          <w:szCs w:val="22"/>
          <w:lang w:val="sr-Latn-ME"/>
        </w:rPr>
        <w:t xml:space="preserve"> CYP3A.</w:t>
      </w:r>
    </w:p>
    <w:p w14:paraId="055C8EBF" w14:textId="77777777" w:rsidR="007F0488" w:rsidRPr="00BD2023" w:rsidRDefault="007F0488" w:rsidP="00BC480A">
      <w:pPr>
        <w:tabs>
          <w:tab w:val="left" w:pos="540"/>
          <w:tab w:val="left" w:pos="569"/>
        </w:tabs>
        <w:jc w:val="both"/>
        <w:rPr>
          <w:bCs/>
          <w:i/>
          <w:sz w:val="22"/>
          <w:szCs w:val="22"/>
          <w:lang w:val="sr-Latn-ME"/>
        </w:rPr>
      </w:pPr>
    </w:p>
    <w:p w14:paraId="4ADCDC20" w14:textId="5607CCC9" w:rsidR="007F0488" w:rsidRPr="00BD2023" w:rsidRDefault="007F0488" w:rsidP="00BC480A">
      <w:pPr>
        <w:tabs>
          <w:tab w:val="left" w:pos="540"/>
          <w:tab w:val="left" w:pos="569"/>
        </w:tabs>
        <w:jc w:val="both"/>
        <w:rPr>
          <w:bCs/>
          <w:sz w:val="22"/>
          <w:szCs w:val="22"/>
          <w:lang w:val="sr-Latn-ME"/>
        </w:rPr>
      </w:pPr>
      <w:r w:rsidRPr="00BD2023">
        <w:rPr>
          <w:bCs/>
          <w:i/>
          <w:iCs/>
          <w:sz w:val="22"/>
          <w:szCs w:val="22"/>
          <w:lang w:val="sr-Latn-ME"/>
        </w:rPr>
        <w:t>In vitro</w:t>
      </w:r>
      <w:r w:rsidRPr="00BD2023">
        <w:rPr>
          <w:bCs/>
          <w:sz w:val="22"/>
          <w:szCs w:val="22"/>
          <w:lang w:val="sr-Latn-ME"/>
        </w:rPr>
        <w:t xml:space="preserve"> studije su pokazale da risdiplam i njegov glavni humani metabolit M1 ne predstavljaju značajne inhibitore humanog MDR1, organskog polipeptida koji transportuje anjone</w:t>
      </w:r>
      <w:r w:rsidR="00A40AA2" w:rsidRPr="00BD2023">
        <w:rPr>
          <w:bCs/>
          <w:sz w:val="22"/>
          <w:szCs w:val="22"/>
          <w:lang w:val="sr-Latn-ME"/>
        </w:rPr>
        <w:t xml:space="preserve"> 1B1</w:t>
      </w:r>
      <w:r w:rsidRPr="00BD2023">
        <w:rPr>
          <w:bCs/>
          <w:sz w:val="22"/>
          <w:szCs w:val="22"/>
          <w:lang w:val="sr-Latn-ME"/>
        </w:rPr>
        <w:t xml:space="preserve"> (</w:t>
      </w:r>
      <w:r w:rsidR="00A40AA2" w:rsidRPr="00BD2023">
        <w:rPr>
          <w:bCs/>
          <w:sz w:val="22"/>
          <w:szCs w:val="22"/>
          <w:lang w:val="sr-Latn-ME"/>
        </w:rPr>
        <w:t xml:space="preserve">engl. </w:t>
      </w:r>
      <w:r w:rsidR="00A40AA2" w:rsidRPr="00BD2023">
        <w:rPr>
          <w:bCs/>
          <w:i/>
          <w:sz w:val="22"/>
          <w:szCs w:val="22"/>
          <w:lang w:val="sr-Latn-ME"/>
        </w:rPr>
        <w:t>organic anion-</w:t>
      </w:r>
      <w:r w:rsidR="00A40AA2" w:rsidRPr="00BD2023">
        <w:rPr>
          <w:bCs/>
          <w:i/>
          <w:sz w:val="22"/>
          <w:szCs w:val="22"/>
          <w:lang w:val="sr-Latn-ME"/>
        </w:rPr>
        <w:br/>
        <w:t>transporting polypeptide</w:t>
      </w:r>
      <w:r w:rsidR="00A40AA2" w:rsidRPr="00BD2023">
        <w:rPr>
          <w:rStyle w:val="markedcontent"/>
          <w:sz w:val="35"/>
          <w:szCs w:val="35"/>
          <w:lang w:val="sr-Latn-ME"/>
        </w:rPr>
        <w:t xml:space="preserve"> </w:t>
      </w:r>
      <w:r w:rsidRPr="00BD2023">
        <w:rPr>
          <w:bCs/>
          <w:sz w:val="22"/>
          <w:szCs w:val="22"/>
          <w:lang w:val="sr-Latn-ME"/>
        </w:rPr>
        <w:t>OATP)1B1, OATP1B3, organskog anjonskog transportera 1 i 3 (</w:t>
      </w:r>
      <w:r w:rsidR="00A40AA2" w:rsidRPr="00BD2023">
        <w:rPr>
          <w:bCs/>
          <w:sz w:val="22"/>
          <w:szCs w:val="22"/>
          <w:lang w:val="sr-Latn-ME"/>
        </w:rPr>
        <w:t xml:space="preserve">engl. </w:t>
      </w:r>
      <w:r w:rsidR="00A40AA2" w:rsidRPr="00BD2023">
        <w:rPr>
          <w:bCs/>
          <w:i/>
          <w:sz w:val="22"/>
          <w:szCs w:val="22"/>
          <w:lang w:val="sr-Latn-ME"/>
        </w:rPr>
        <w:t>organic</w:t>
      </w:r>
      <w:r w:rsidR="00A40AA2" w:rsidRPr="00BD2023">
        <w:rPr>
          <w:bCs/>
          <w:i/>
          <w:sz w:val="22"/>
          <w:szCs w:val="22"/>
          <w:lang w:val="sr-Latn-ME"/>
        </w:rPr>
        <w:br/>
        <w:t xml:space="preserve">anion transporter </w:t>
      </w:r>
      <w:r w:rsidRPr="00BD2023">
        <w:rPr>
          <w:bCs/>
          <w:sz w:val="22"/>
          <w:szCs w:val="22"/>
          <w:lang w:val="sr-Latn-ME"/>
        </w:rPr>
        <w:t xml:space="preserve">OAT 1 i 3). Ipak, risdiplam i njegov metabolit </w:t>
      </w:r>
      <w:r w:rsidRPr="00BD2023">
        <w:rPr>
          <w:bCs/>
          <w:i/>
          <w:iCs/>
          <w:sz w:val="22"/>
          <w:szCs w:val="22"/>
          <w:lang w:val="sr-Latn-ME"/>
        </w:rPr>
        <w:t xml:space="preserve">in vitro </w:t>
      </w:r>
      <w:r w:rsidRPr="00BD2023">
        <w:rPr>
          <w:bCs/>
          <w:sz w:val="22"/>
          <w:szCs w:val="22"/>
          <w:lang w:val="sr-Latn-ME"/>
        </w:rPr>
        <w:t>inhibi</w:t>
      </w:r>
      <w:r w:rsidR="00A40AA2" w:rsidRPr="00BD2023">
        <w:rPr>
          <w:bCs/>
          <w:sz w:val="22"/>
          <w:szCs w:val="22"/>
          <w:lang w:val="sr-Latn-ME"/>
        </w:rPr>
        <w:t>raju</w:t>
      </w:r>
      <w:r w:rsidRPr="00BD2023">
        <w:rPr>
          <w:bCs/>
          <w:sz w:val="22"/>
          <w:szCs w:val="22"/>
          <w:lang w:val="sr-Latn-ME"/>
        </w:rPr>
        <w:t xml:space="preserve"> human</w:t>
      </w:r>
      <w:r w:rsidR="00A40AA2" w:rsidRPr="00BD2023">
        <w:rPr>
          <w:bCs/>
          <w:sz w:val="22"/>
          <w:szCs w:val="22"/>
          <w:lang w:val="sr-Latn-ME"/>
        </w:rPr>
        <w:t>i</w:t>
      </w:r>
      <w:r w:rsidRPr="00BD2023">
        <w:rPr>
          <w:bCs/>
          <w:sz w:val="22"/>
          <w:szCs w:val="22"/>
          <w:lang w:val="sr-Latn-ME"/>
        </w:rPr>
        <w:t xml:space="preserve"> organsk</w:t>
      </w:r>
      <w:r w:rsidR="00A40AA2" w:rsidRPr="00BD2023">
        <w:rPr>
          <w:bCs/>
          <w:sz w:val="22"/>
          <w:szCs w:val="22"/>
          <w:lang w:val="sr-Latn-ME"/>
        </w:rPr>
        <w:t>i</w:t>
      </w:r>
      <w:r w:rsidRPr="00BD2023">
        <w:rPr>
          <w:bCs/>
          <w:sz w:val="22"/>
          <w:szCs w:val="22"/>
          <w:lang w:val="sr-Latn-ME"/>
        </w:rPr>
        <w:t xml:space="preserve"> katjonsk</w:t>
      </w:r>
      <w:r w:rsidR="00A40AA2" w:rsidRPr="00BD2023">
        <w:rPr>
          <w:bCs/>
          <w:sz w:val="22"/>
          <w:szCs w:val="22"/>
          <w:lang w:val="sr-Latn-ME"/>
        </w:rPr>
        <w:t>i</w:t>
      </w:r>
      <w:r w:rsidRPr="00BD2023">
        <w:rPr>
          <w:bCs/>
          <w:sz w:val="22"/>
          <w:szCs w:val="22"/>
          <w:lang w:val="sr-Latn-ME"/>
        </w:rPr>
        <w:t xml:space="preserve"> transporter 2 </w:t>
      </w:r>
      <w:r w:rsidR="0039024B" w:rsidRPr="00BD2023">
        <w:rPr>
          <w:bCs/>
          <w:sz w:val="22"/>
          <w:szCs w:val="22"/>
          <w:lang w:val="sr-Latn-ME"/>
        </w:rPr>
        <w:t xml:space="preserve">(engl. </w:t>
      </w:r>
      <w:r w:rsidR="0039024B" w:rsidRPr="00BD2023">
        <w:rPr>
          <w:bCs/>
          <w:i/>
          <w:sz w:val="22"/>
          <w:szCs w:val="22"/>
          <w:lang w:val="sr-Latn-ME"/>
        </w:rPr>
        <w:t>organic cationic transporter 2</w:t>
      </w:r>
      <w:r w:rsidR="0039024B" w:rsidRPr="00BD2023">
        <w:rPr>
          <w:bCs/>
          <w:sz w:val="22"/>
          <w:szCs w:val="22"/>
          <w:lang w:val="sr-Latn-ME"/>
        </w:rPr>
        <w:t>,</w:t>
      </w:r>
      <w:r w:rsidR="0039024B" w:rsidRPr="00BD2023" w:rsidDel="0039024B">
        <w:rPr>
          <w:bCs/>
          <w:sz w:val="22"/>
          <w:szCs w:val="22"/>
          <w:lang w:val="sr-Latn-ME"/>
        </w:rPr>
        <w:t xml:space="preserve"> </w:t>
      </w:r>
      <w:r w:rsidRPr="00BD2023">
        <w:rPr>
          <w:bCs/>
          <w:sz w:val="22"/>
          <w:szCs w:val="22"/>
          <w:lang w:val="sr-Latn-ME"/>
        </w:rPr>
        <w:t>OCT2) i transporter</w:t>
      </w:r>
      <w:r w:rsidR="0039024B" w:rsidRPr="00BD2023">
        <w:rPr>
          <w:bCs/>
          <w:sz w:val="22"/>
          <w:szCs w:val="22"/>
          <w:lang w:val="sr-Latn-ME"/>
        </w:rPr>
        <w:t xml:space="preserve"> za izlučivanje</w:t>
      </w:r>
      <w:r w:rsidRPr="00BD2023">
        <w:rPr>
          <w:bCs/>
          <w:sz w:val="22"/>
          <w:szCs w:val="22"/>
          <w:lang w:val="sr-Latn-ME"/>
        </w:rPr>
        <w:t xml:space="preserve"> više </w:t>
      </w:r>
      <w:r w:rsidR="007E5CF0" w:rsidRPr="00BD2023">
        <w:rPr>
          <w:bCs/>
          <w:sz w:val="22"/>
          <w:szCs w:val="22"/>
          <w:lang w:val="sr-Latn-ME"/>
        </w:rPr>
        <w:t>ljekov</w:t>
      </w:r>
      <w:r w:rsidRPr="00BD2023">
        <w:rPr>
          <w:bCs/>
          <w:sz w:val="22"/>
          <w:szCs w:val="22"/>
          <w:lang w:val="sr-Latn-ME"/>
        </w:rPr>
        <w:t>a i toksina</w:t>
      </w:r>
      <w:r w:rsidR="0039024B" w:rsidRPr="00BD2023">
        <w:rPr>
          <w:bCs/>
          <w:sz w:val="22"/>
          <w:szCs w:val="22"/>
          <w:lang w:val="sr-Latn-ME"/>
        </w:rPr>
        <w:t xml:space="preserve"> 1</w:t>
      </w:r>
      <w:r w:rsidRPr="00BD2023">
        <w:rPr>
          <w:bCs/>
          <w:sz w:val="22"/>
          <w:szCs w:val="22"/>
          <w:lang w:val="sr-Latn-ME"/>
        </w:rPr>
        <w:t xml:space="preserve"> </w:t>
      </w:r>
      <w:r w:rsidR="0039024B" w:rsidRPr="00BD2023">
        <w:rPr>
          <w:bCs/>
          <w:sz w:val="22"/>
          <w:szCs w:val="22"/>
          <w:lang w:val="sr-Latn-ME"/>
        </w:rPr>
        <w:t xml:space="preserve">(engl. </w:t>
      </w:r>
      <w:r w:rsidR="0039024B" w:rsidRPr="00BD2023">
        <w:rPr>
          <w:bCs/>
          <w:i/>
          <w:sz w:val="22"/>
          <w:szCs w:val="22"/>
          <w:lang w:val="sr-Latn-ME"/>
        </w:rPr>
        <w:t>multidrug and toxin extrusion protein 1</w:t>
      </w:r>
      <w:r w:rsidR="0039024B" w:rsidRPr="00BD2023">
        <w:rPr>
          <w:bCs/>
          <w:sz w:val="22"/>
          <w:szCs w:val="22"/>
          <w:lang w:val="sr-Latn-ME"/>
        </w:rPr>
        <w:t xml:space="preserve">, </w:t>
      </w:r>
      <w:r w:rsidRPr="00BD2023">
        <w:rPr>
          <w:bCs/>
          <w:sz w:val="22"/>
          <w:szCs w:val="22"/>
          <w:lang w:val="sr-Latn-ME"/>
        </w:rPr>
        <w:t xml:space="preserve">MATE)1 i MATE2-K. U terapijskim koncentracijama </w:t>
      </w:r>
      <w:r w:rsidR="007E5CF0" w:rsidRPr="00BD2023">
        <w:rPr>
          <w:bCs/>
          <w:sz w:val="22"/>
          <w:szCs w:val="22"/>
          <w:lang w:val="sr-Latn-ME"/>
        </w:rPr>
        <w:t>lijek</w:t>
      </w:r>
      <w:r w:rsidRPr="00BD2023">
        <w:rPr>
          <w:bCs/>
          <w:sz w:val="22"/>
          <w:szCs w:val="22"/>
          <w:lang w:val="sr-Latn-ME"/>
        </w:rPr>
        <w:t>a ne očekuje se interakcija sa supstratima</w:t>
      </w:r>
      <w:r w:rsidR="00A6221C" w:rsidRPr="00BD2023">
        <w:rPr>
          <w:bCs/>
          <w:sz w:val="22"/>
          <w:szCs w:val="22"/>
          <w:lang w:val="sr-Latn-ME"/>
        </w:rPr>
        <w:t xml:space="preserve"> transportera</w:t>
      </w:r>
      <w:r w:rsidRPr="00BD2023">
        <w:rPr>
          <w:bCs/>
          <w:sz w:val="22"/>
          <w:szCs w:val="22"/>
          <w:lang w:val="sr-Latn-ME"/>
        </w:rPr>
        <w:t xml:space="preserve"> OCT2. Dejstva risdiplama koji se istovremeno </w:t>
      </w:r>
      <w:r w:rsidR="00C97F02" w:rsidRPr="00BD2023">
        <w:rPr>
          <w:bCs/>
          <w:sz w:val="22"/>
          <w:szCs w:val="22"/>
          <w:lang w:val="sr-Latn-ME"/>
        </w:rPr>
        <w:t>primjenjuje</w:t>
      </w:r>
      <w:r w:rsidRPr="00BD2023">
        <w:rPr>
          <w:bCs/>
          <w:sz w:val="22"/>
          <w:szCs w:val="22"/>
          <w:lang w:val="sr-Latn-ME"/>
        </w:rPr>
        <w:t xml:space="preserve"> na farmakokinetiku supstrata MATE1 i MATE2-K kod ljudi nije poznata. Na osnovu </w:t>
      </w:r>
      <w:r w:rsidRPr="00BD2023">
        <w:rPr>
          <w:bCs/>
          <w:i/>
          <w:iCs/>
          <w:sz w:val="22"/>
          <w:szCs w:val="22"/>
          <w:lang w:val="sr-Latn-ME"/>
        </w:rPr>
        <w:t>in vitro</w:t>
      </w:r>
      <w:r w:rsidRPr="00BD2023">
        <w:rPr>
          <w:bCs/>
          <w:sz w:val="22"/>
          <w:szCs w:val="22"/>
          <w:lang w:val="sr-Latn-ME"/>
        </w:rPr>
        <w:t xml:space="preserve"> podataka risdiplam može da poveća koncentracije </w:t>
      </w:r>
      <w:r w:rsidR="007E5CF0" w:rsidRPr="00BD2023">
        <w:rPr>
          <w:bCs/>
          <w:sz w:val="22"/>
          <w:szCs w:val="22"/>
          <w:lang w:val="sr-Latn-ME"/>
        </w:rPr>
        <w:t>ljekov</w:t>
      </w:r>
      <w:r w:rsidRPr="00BD2023">
        <w:rPr>
          <w:bCs/>
          <w:sz w:val="22"/>
          <w:szCs w:val="22"/>
          <w:lang w:val="sr-Latn-ME"/>
        </w:rPr>
        <w:t>a koji se eliminišu putem MATE1 ili MATE2-K u plazmi, kao što je metformin. Ukoliko nije moguće izb</w:t>
      </w:r>
      <w:r w:rsidR="00A6221C" w:rsidRPr="00BD2023">
        <w:rPr>
          <w:bCs/>
          <w:sz w:val="22"/>
          <w:szCs w:val="22"/>
          <w:lang w:val="sr-Latn-ME"/>
        </w:rPr>
        <w:t>j</w:t>
      </w:r>
      <w:r w:rsidRPr="00BD2023">
        <w:rPr>
          <w:bCs/>
          <w:sz w:val="22"/>
          <w:szCs w:val="22"/>
          <w:lang w:val="sr-Latn-ME"/>
        </w:rPr>
        <w:t xml:space="preserve">eći istovremenu </w:t>
      </w:r>
      <w:r w:rsidR="004A4441" w:rsidRPr="00BD2023">
        <w:rPr>
          <w:bCs/>
          <w:sz w:val="22"/>
          <w:szCs w:val="22"/>
          <w:lang w:val="sr-Latn-ME"/>
        </w:rPr>
        <w:t>primjen</w:t>
      </w:r>
      <w:r w:rsidRPr="00BD2023">
        <w:rPr>
          <w:bCs/>
          <w:sz w:val="22"/>
          <w:szCs w:val="22"/>
          <w:lang w:val="sr-Latn-ME"/>
        </w:rPr>
        <w:t xml:space="preserve">u, treba pratiti toksičnost povezanu sa </w:t>
      </w:r>
      <w:r w:rsidR="007E5CF0" w:rsidRPr="00BD2023">
        <w:rPr>
          <w:bCs/>
          <w:sz w:val="22"/>
          <w:szCs w:val="22"/>
          <w:lang w:val="sr-Latn-ME"/>
        </w:rPr>
        <w:t>lijek</w:t>
      </w:r>
      <w:r w:rsidRPr="00BD2023">
        <w:rPr>
          <w:bCs/>
          <w:sz w:val="22"/>
          <w:szCs w:val="22"/>
          <w:lang w:val="sr-Latn-ME"/>
        </w:rPr>
        <w:t xml:space="preserve">om, </w:t>
      </w:r>
      <w:r w:rsidR="00A6221C" w:rsidRPr="00BD2023">
        <w:rPr>
          <w:bCs/>
          <w:sz w:val="22"/>
          <w:szCs w:val="22"/>
          <w:lang w:val="sr-Latn-ME"/>
        </w:rPr>
        <w:t>i</w:t>
      </w:r>
      <w:r w:rsidRPr="00BD2023">
        <w:rPr>
          <w:bCs/>
          <w:sz w:val="22"/>
          <w:szCs w:val="22"/>
          <w:lang w:val="sr-Latn-ME"/>
        </w:rPr>
        <w:t xml:space="preserve"> po potrebi uzeti u obzir i smanjenje doze </w:t>
      </w:r>
      <w:r w:rsidR="007E5CF0" w:rsidRPr="00BD2023">
        <w:rPr>
          <w:bCs/>
          <w:sz w:val="22"/>
          <w:szCs w:val="22"/>
          <w:lang w:val="sr-Latn-ME"/>
        </w:rPr>
        <w:t>lijek</w:t>
      </w:r>
      <w:r w:rsidRPr="00BD2023">
        <w:rPr>
          <w:bCs/>
          <w:sz w:val="22"/>
          <w:szCs w:val="22"/>
          <w:lang w:val="sr-Latn-ME"/>
        </w:rPr>
        <w:t xml:space="preserve">a koji se istovremeno </w:t>
      </w:r>
      <w:r w:rsidR="00C97F02" w:rsidRPr="00BD2023">
        <w:rPr>
          <w:bCs/>
          <w:sz w:val="22"/>
          <w:szCs w:val="22"/>
          <w:lang w:val="sr-Latn-ME"/>
        </w:rPr>
        <w:t>primjenjuje</w:t>
      </w:r>
      <w:r w:rsidRPr="00BD2023">
        <w:rPr>
          <w:bCs/>
          <w:sz w:val="22"/>
          <w:szCs w:val="22"/>
          <w:lang w:val="sr-Latn-ME"/>
        </w:rPr>
        <w:t>.</w:t>
      </w:r>
    </w:p>
    <w:p w14:paraId="15F58DF2" w14:textId="77777777" w:rsidR="007F0488" w:rsidRPr="00BD2023" w:rsidRDefault="007F0488" w:rsidP="00BC480A">
      <w:pPr>
        <w:tabs>
          <w:tab w:val="left" w:pos="540"/>
          <w:tab w:val="left" w:pos="569"/>
        </w:tabs>
        <w:jc w:val="both"/>
        <w:rPr>
          <w:bCs/>
          <w:i/>
          <w:sz w:val="22"/>
          <w:szCs w:val="22"/>
          <w:lang w:val="sr-Latn-ME"/>
        </w:rPr>
      </w:pPr>
    </w:p>
    <w:p w14:paraId="085339FC" w14:textId="2491E037" w:rsidR="007F0488" w:rsidRPr="00BD2023" w:rsidRDefault="007F0488" w:rsidP="00BC480A">
      <w:pPr>
        <w:tabs>
          <w:tab w:val="left" w:pos="540"/>
          <w:tab w:val="left" w:pos="569"/>
        </w:tabs>
        <w:jc w:val="both"/>
        <w:rPr>
          <w:bCs/>
          <w:sz w:val="22"/>
          <w:szCs w:val="22"/>
          <w:lang w:val="sr-Latn-ME"/>
        </w:rPr>
      </w:pPr>
      <w:r w:rsidRPr="00BD2023">
        <w:rPr>
          <w:bCs/>
          <w:sz w:val="22"/>
          <w:szCs w:val="22"/>
          <w:lang w:val="sr-Latn-ME"/>
        </w:rPr>
        <w:t>Ne postoje podaci o efikasnosti ili bezb</w:t>
      </w:r>
      <w:r w:rsidR="00E7182D" w:rsidRPr="00BD2023">
        <w:rPr>
          <w:bCs/>
          <w:sz w:val="22"/>
          <w:szCs w:val="22"/>
          <w:lang w:val="sr-Latn-ME"/>
        </w:rPr>
        <w:t>j</w:t>
      </w:r>
      <w:r w:rsidRPr="00BD2023">
        <w:rPr>
          <w:bCs/>
          <w:sz w:val="22"/>
          <w:szCs w:val="22"/>
          <w:lang w:val="sr-Latn-ME"/>
        </w:rPr>
        <w:t>ednosti koji idu u prilog istovremenoj prim</w:t>
      </w:r>
      <w:r w:rsidR="00E7182D" w:rsidRPr="00BD2023">
        <w:rPr>
          <w:bCs/>
          <w:sz w:val="22"/>
          <w:szCs w:val="22"/>
          <w:lang w:val="sr-Latn-ME"/>
        </w:rPr>
        <w:t>j</w:t>
      </w:r>
      <w:r w:rsidRPr="00BD2023">
        <w:rPr>
          <w:bCs/>
          <w:sz w:val="22"/>
          <w:szCs w:val="22"/>
          <w:lang w:val="sr-Latn-ME"/>
        </w:rPr>
        <w:t>eni risdiplama i nusinersena.</w:t>
      </w:r>
    </w:p>
    <w:p w14:paraId="53A59B84" w14:textId="77777777" w:rsidR="0072020E" w:rsidRPr="00BD2023" w:rsidRDefault="0072020E" w:rsidP="00BC480A">
      <w:pPr>
        <w:tabs>
          <w:tab w:val="left" w:pos="540"/>
          <w:tab w:val="left" w:pos="569"/>
        </w:tabs>
        <w:jc w:val="both"/>
        <w:rPr>
          <w:bCs/>
          <w:sz w:val="22"/>
          <w:szCs w:val="22"/>
          <w:lang w:val="sr-Latn-ME"/>
        </w:rPr>
      </w:pPr>
    </w:p>
    <w:p w14:paraId="134BEF5F" w14:textId="77777777" w:rsidR="0072020E" w:rsidRPr="00BD2023" w:rsidRDefault="0072020E" w:rsidP="00BC480A">
      <w:pPr>
        <w:tabs>
          <w:tab w:val="left" w:pos="540"/>
          <w:tab w:val="left" w:pos="569"/>
        </w:tabs>
        <w:jc w:val="both"/>
        <w:rPr>
          <w:b/>
          <w:sz w:val="22"/>
          <w:szCs w:val="22"/>
          <w:lang w:val="sr-Latn-ME"/>
        </w:rPr>
      </w:pPr>
      <w:r w:rsidRPr="00BD2023">
        <w:rPr>
          <w:b/>
          <w:bCs/>
          <w:sz w:val="22"/>
          <w:szCs w:val="22"/>
          <w:lang w:val="sr-Latn-ME"/>
        </w:rPr>
        <w:t xml:space="preserve">4.6. </w:t>
      </w:r>
      <w:r w:rsidR="00480FB1" w:rsidRPr="00BD2023">
        <w:rPr>
          <w:b/>
          <w:bCs/>
          <w:sz w:val="22"/>
          <w:szCs w:val="22"/>
          <w:lang w:val="sr-Latn-ME"/>
        </w:rPr>
        <w:tab/>
      </w:r>
      <w:r w:rsidR="006D20A5" w:rsidRPr="00BD2023">
        <w:rPr>
          <w:b/>
          <w:sz w:val="22"/>
          <w:szCs w:val="22"/>
          <w:lang w:val="sr-Latn-ME"/>
        </w:rPr>
        <w:t>Plodnost, trudnoća i dojenje</w:t>
      </w:r>
    </w:p>
    <w:p w14:paraId="632ACFE0" w14:textId="77777777" w:rsidR="002031B3" w:rsidRPr="00BD2023" w:rsidRDefault="002031B3" w:rsidP="00BC480A">
      <w:pPr>
        <w:tabs>
          <w:tab w:val="left" w:pos="540"/>
          <w:tab w:val="left" w:pos="569"/>
        </w:tabs>
        <w:jc w:val="both"/>
        <w:rPr>
          <w:sz w:val="22"/>
          <w:szCs w:val="22"/>
          <w:u w:val="single"/>
          <w:lang w:val="sr-Latn-ME"/>
        </w:rPr>
      </w:pPr>
    </w:p>
    <w:p w14:paraId="7C759F56" w14:textId="77777777" w:rsidR="007F0488" w:rsidRPr="00BD2023" w:rsidRDefault="007F0488" w:rsidP="00BC480A">
      <w:pPr>
        <w:tabs>
          <w:tab w:val="left" w:pos="540"/>
          <w:tab w:val="left" w:pos="569"/>
        </w:tabs>
        <w:ind w:left="540" w:hanging="540"/>
        <w:jc w:val="both"/>
        <w:rPr>
          <w:sz w:val="22"/>
          <w:szCs w:val="22"/>
          <w:u w:val="single"/>
          <w:lang w:val="sr-Latn-ME"/>
        </w:rPr>
      </w:pPr>
      <w:r w:rsidRPr="00BD2023">
        <w:rPr>
          <w:sz w:val="22"/>
          <w:szCs w:val="22"/>
          <w:u w:val="single"/>
          <w:lang w:val="sr-Latn-ME"/>
        </w:rPr>
        <w:t>Pacijenti i pacijentkinje sa reproduktivnim potencijalom</w:t>
      </w:r>
    </w:p>
    <w:p w14:paraId="476E93B6" w14:textId="77777777" w:rsidR="007F0488" w:rsidRPr="00BD2023" w:rsidRDefault="007F0488" w:rsidP="00BC480A">
      <w:pPr>
        <w:tabs>
          <w:tab w:val="left" w:pos="540"/>
          <w:tab w:val="left" w:pos="569"/>
        </w:tabs>
        <w:ind w:left="540" w:hanging="540"/>
        <w:jc w:val="both"/>
        <w:rPr>
          <w:sz w:val="22"/>
          <w:szCs w:val="22"/>
          <w:lang w:val="sr-Latn-ME"/>
        </w:rPr>
      </w:pPr>
    </w:p>
    <w:p w14:paraId="7825957D" w14:textId="77777777" w:rsidR="007F0488" w:rsidRPr="00BD2023" w:rsidRDefault="007F0488" w:rsidP="00BC480A">
      <w:pPr>
        <w:tabs>
          <w:tab w:val="left" w:pos="540"/>
          <w:tab w:val="left" w:pos="569"/>
        </w:tabs>
        <w:ind w:left="540" w:hanging="540"/>
        <w:jc w:val="both"/>
        <w:rPr>
          <w:i/>
          <w:sz w:val="22"/>
          <w:szCs w:val="22"/>
          <w:lang w:val="sr-Latn-ME"/>
        </w:rPr>
      </w:pPr>
      <w:r w:rsidRPr="00BD2023">
        <w:rPr>
          <w:i/>
          <w:iCs/>
          <w:sz w:val="22"/>
          <w:szCs w:val="22"/>
          <w:lang w:val="sr-Latn-ME"/>
        </w:rPr>
        <w:t>Kontracepcija kod pacijenata i pacijentkinja</w:t>
      </w:r>
    </w:p>
    <w:p w14:paraId="54E4DD96" w14:textId="1572D5A2" w:rsidR="007F0488" w:rsidRPr="00BD2023" w:rsidRDefault="007F0488" w:rsidP="00BC480A">
      <w:pPr>
        <w:tabs>
          <w:tab w:val="left" w:pos="540"/>
          <w:tab w:val="left" w:pos="569"/>
        </w:tabs>
        <w:ind w:left="540" w:hanging="540"/>
        <w:jc w:val="both"/>
        <w:rPr>
          <w:sz w:val="22"/>
          <w:szCs w:val="22"/>
          <w:lang w:val="sr-Latn-ME"/>
        </w:rPr>
      </w:pPr>
      <w:r w:rsidRPr="00BD2023">
        <w:rPr>
          <w:sz w:val="22"/>
          <w:szCs w:val="22"/>
          <w:lang w:val="sr-Latn-ME"/>
        </w:rPr>
        <w:t xml:space="preserve">Pacijenti i pacijentkinje sa reproduktivnim potencijalom treba da se pridržavaju </w:t>
      </w:r>
      <w:r w:rsidR="00B255B3" w:rsidRPr="00BD2023">
        <w:rPr>
          <w:sz w:val="22"/>
          <w:szCs w:val="22"/>
          <w:lang w:val="sr-Latn-ME"/>
        </w:rPr>
        <w:t>sljedeć</w:t>
      </w:r>
      <w:r w:rsidRPr="00BD2023">
        <w:rPr>
          <w:sz w:val="22"/>
          <w:szCs w:val="22"/>
          <w:lang w:val="sr-Latn-ME"/>
        </w:rPr>
        <w:t>ih zaht</w:t>
      </w:r>
      <w:r w:rsidR="00E7182D" w:rsidRPr="00BD2023">
        <w:rPr>
          <w:sz w:val="22"/>
          <w:szCs w:val="22"/>
          <w:lang w:val="sr-Latn-ME"/>
        </w:rPr>
        <w:t>j</w:t>
      </w:r>
      <w:r w:rsidRPr="00BD2023">
        <w:rPr>
          <w:sz w:val="22"/>
          <w:szCs w:val="22"/>
          <w:lang w:val="sr-Latn-ME"/>
        </w:rPr>
        <w:t>eva kada je u pitanju kontracepcija:</w:t>
      </w:r>
    </w:p>
    <w:p w14:paraId="6B15A306" w14:textId="77777777" w:rsidR="007F0488" w:rsidRPr="00BD2023" w:rsidRDefault="007F0488" w:rsidP="00BC480A">
      <w:pPr>
        <w:tabs>
          <w:tab w:val="left" w:pos="540"/>
          <w:tab w:val="left" w:pos="569"/>
        </w:tabs>
        <w:ind w:left="540" w:hanging="540"/>
        <w:jc w:val="both"/>
        <w:rPr>
          <w:sz w:val="22"/>
          <w:szCs w:val="22"/>
          <w:lang w:val="sr-Latn-ME"/>
        </w:rPr>
      </w:pPr>
    </w:p>
    <w:p w14:paraId="381C0DB9" w14:textId="5045DC5A" w:rsidR="007F0488" w:rsidRPr="00BD2023" w:rsidRDefault="007F0488" w:rsidP="00BC480A">
      <w:pPr>
        <w:tabs>
          <w:tab w:val="left" w:pos="540"/>
          <w:tab w:val="left" w:pos="569"/>
        </w:tabs>
        <w:ind w:left="540" w:hanging="540"/>
        <w:jc w:val="both"/>
        <w:rPr>
          <w:sz w:val="22"/>
          <w:szCs w:val="22"/>
          <w:lang w:val="sr-Latn-ME"/>
        </w:rPr>
      </w:pPr>
      <w:r w:rsidRPr="00BD2023">
        <w:rPr>
          <w:sz w:val="22"/>
          <w:szCs w:val="22"/>
          <w:lang w:val="sr-Latn-ME"/>
        </w:rPr>
        <w:t>●</w:t>
      </w:r>
      <w:r w:rsidRPr="00BD2023">
        <w:rPr>
          <w:sz w:val="22"/>
          <w:szCs w:val="22"/>
          <w:lang w:val="sr-Latn-ME"/>
        </w:rPr>
        <w:tab/>
        <w:t xml:space="preserve">Pacijentkinje u reproduktivnom periodu treba da </w:t>
      </w:r>
      <w:r w:rsidR="001A0E71" w:rsidRPr="00BD2023">
        <w:rPr>
          <w:sz w:val="22"/>
          <w:szCs w:val="22"/>
          <w:lang w:val="sr-Latn-ME"/>
        </w:rPr>
        <w:t xml:space="preserve">osiguraju primjenu </w:t>
      </w:r>
      <w:r w:rsidRPr="00BD2023">
        <w:rPr>
          <w:sz w:val="22"/>
          <w:szCs w:val="22"/>
          <w:lang w:val="sr-Latn-ME"/>
        </w:rPr>
        <w:t xml:space="preserve">visoko </w:t>
      </w:r>
      <w:r w:rsidR="008106C8" w:rsidRPr="00BD2023">
        <w:rPr>
          <w:sz w:val="22"/>
          <w:szCs w:val="22"/>
          <w:lang w:val="sr-Latn-ME"/>
        </w:rPr>
        <w:t xml:space="preserve">efikasne </w:t>
      </w:r>
      <w:r w:rsidRPr="00BD2023">
        <w:rPr>
          <w:sz w:val="22"/>
          <w:szCs w:val="22"/>
          <w:lang w:val="sr-Latn-ME"/>
        </w:rPr>
        <w:t>metode kontracepcije tokom l</w:t>
      </w:r>
      <w:r w:rsidR="00E7182D" w:rsidRPr="00BD2023">
        <w:rPr>
          <w:sz w:val="22"/>
          <w:szCs w:val="22"/>
          <w:lang w:val="sr-Latn-ME"/>
        </w:rPr>
        <w:t>ij</w:t>
      </w:r>
      <w:r w:rsidRPr="00BD2023">
        <w:rPr>
          <w:sz w:val="22"/>
          <w:szCs w:val="22"/>
          <w:lang w:val="sr-Latn-ME"/>
        </w:rPr>
        <w:t>ečenja i najmanje m</w:t>
      </w:r>
      <w:r w:rsidR="00E7182D" w:rsidRPr="00BD2023">
        <w:rPr>
          <w:sz w:val="22"/>
          <w:szCs w:val="22"/>
          <w:lang w:val="sr-Latn-ME"/>
        </w:rPr>
        <w:t>j</w:t>
      </w:r>
      <w:r w:rsidRPr="00BD2023">
        <w:rPr>
          <w:sz w:val="22"/>
          <w:szCs w:val="22"/>
          <w:lang w:val="sr-Latn-ME"/>
        </w:rPr>
        <w:t xml:space="preserve">esec dana nakon </w:t>
      </w:r>
      <w:r w:rsidR="008A7245" w:rsidRPr="00BD2023">
        <w:rPr>
          <w:sz w:val="22"/>
          <w:szCs w:val="22"/>
          <w:lang w:val="sr-Latn-ME"/>
        </w:rPr>
        <w:t>posljednj</w:t>
      </w:r>
      <w:r w:rsidRPr="00BD2023">
        <w:rPr>
          <w:sz w:val="22"/>
          <w:szCs w:val="22"/>
          <w:lang w:val="sr-Latn-ME"/>
        </w:rPr>
        <w:t>e doze.</w:t>
      </w:r>
    </w:p>
    <w:p w14:paraId="27474574" w14:textId="77777777" w:rsidR="007F0488" w:rsidRPr="00BD2023" w:rsidRDefault="007F0488" w:rsidP="00BC480A">
      <w:pPr>
        <w:tabs>
          <w:tab w:val="left" w:pos="540"/>
          <w:tab w:val="left" w:pos="569"/>
        </w:tabs>
        <w:ind w:left="540" w:hanging="540"/>
        <w:jc w:val="both"/>
        <w:rPr>
          <w:sz w:val="22"/>
          <w:szCs w:val="22"/>
          <w:lang w:val="sr-Latn-ME"/>
        </w:rPr>
      </w:pPr>
    </w:p>
    <w:p w14:paraId="74404569" w14:textId="4EDC6DD7" w:rsidR="007F0488" w:rsidRPr="00BD2023" w:rsidRDefault="007F0488" w:rsidP="00BC480A">
      <w:pPr>
        <w:tabs>
          <w:tab w:val="left" w:pos="540"/>
          <w:tab w:val="left" w:pos="569"/>
        </w:tabs>
        <w:ind w:left="540" w:hanging="540"/>
        <w:jc w:val="both"/>
        <w:rPr>
          <w:sz w:val="22"/>
          <w:szCs w:val="22"/>
          <w:lang w:val="sr-Latn-ME"/>
        </w:rPr>
      </w:pPr>
      <w:r w:rsidRPr="00BD2023">
        <w:rPr>
          <w:sz w:val="22"/>
          <w:szCs w:val="22"/>
          <w:lang w:val="sr-Latn-ME"/>
        </w:rPr>
        <w:t>●</w:t>
      </w:r>
      <w:r w:rsidRPr="00BD2023">
        <w:rPr>
          <w:sz w:val="22"/>
          <w:szCs w:val="22"/>
          <w:lang w:val="sr-Latn-ME"/>
        </w:rPr>
        <w:tab/>
        <w:t xml:space="preserve">Pacijenti i njihove partnerke u reproduktivnom periodu treba da koriste visoko </w:t>
      </w:r>
      <w:r w:rsidR="008106C8" w:rsidRPr="00BD2023">
        <w:rPr>
          <w:sz w:val="22"/>
          <w:szCs w:val="22"/>
          <w:lang w:val="sr-Latn-ME"/>
        </w:rPr>
        <w:t xml:space="preserve">efikasne </w:t>
      </w:r>
      <w:r w:rsidRPr="00BD2023">
        <w:rPr>
          <w:sz w:val="22"/>
          <w:szCs w:val="22"/>
          <w:lang w:val="sr-Latn-ME"/>
        </w:rPr>
        <w:t>metode kontracepcije tokom l</w:t>
      </w:r>
      <w:r w:rsidR="00E7182D" w:rsidRPr="00BD2023">
        <w:rPr>
          <w:sz w:val="22"/>
          <w:szCs w:val="22"/>
          <w:lang w:val="sr-Latn-ME"/>
        </w:rPr>
        <w:t>ij</w:t>
      </w:r>
      <w:r w:rsidRPr="00BD2023">
        <w:rPr>
          <w:sz w:val="22"/>
          <w:szCs w:val="22"/>
          <w:lang w:val="sr-Latn-ME"/>
        </w:rPr>
        <w:t>ečenja i najmanje 4 m</w:t>
      </w:r>
      <w:r w:rsidR="00E7182D" w:rsidRPr="00BD2023">
        <w:rPr>
          <w:sz w:val="22"/>
          <w:szCs w:val="22"/>
          <w:lang w:val="sr-Latn-ME"/>
        </w:rPr>
        <w:t>j</w:t>
      </w:r>
      <w:r w:rsidRPr="00BD2023">
        <w:rPr>
          <w:sz w:val="22"/>
          <w:szCs w:val="22"/>
          <w:lang w:val="sr-Latn-ME"/>
        </w:rPr>
        <w:t xml:space="preserve">eseca nakon </w:t>
      </w:r>
      <w:r w:rsidR="008A7245" w:rsidRPr="00BD2023">
        <w:rPr>
          <w:sz w:val="22"/>
          <w:szCs w:val="22"/>
          <w:lang w:val="sr-Latn-ME"/>
        </w:rPr>
        <w:t>posljednj</w:t>
      </w:r>
      <w:r w:rsidRPr="00BD2023">
        <w:rPr>
          <w:sz w:val="22"/>
          <w:szCs w:val="22"/>
          <w:lang w:val="sr-Latn-ME"/>
        </w:rPr>
        <w:t>e doze.</w:t>
      </w:r>
    </w:p>
    <w:p w14:paraId="60B3B7EA" w14:textId="77777777" w:rsidR="007F0488" w:rsidRPr="00BD2023" w:rsidRDefault="007F0488" w:rsidP="00BC480A">
      <w:pPr>
        <w:tabs>
          <w:tab w:val="left" w:pos="540"/>
          <w:tab w:val="left" w:pos="569"/>
        </w:tabs>
        <w:ind w:left="540" w:hanging="540"/>
        <w:jc w:val="both"/>
        <w:rPr>
          <w:sz w:val="22"/>
          <w:szCs w:val="22"/>
          <w:lang w:val="sr-Latn-ME"/>
        </w:rPr>
      </w:pPr>
    </w:p>
    <w:p w14:paraId="22DE926A" w14:textId="77777777" w:rsidR="008106C8" w:rsidRPr="00BD2023" w:rsidRDefault="008106C8" w:rsidP="00BC480A">
      <w:pPr>
        <w:tabs>
          <w:tab w:val="left" w:pos="540"/>
          <w:tab w:val="left" w:pos="569"/>
        </w:tabs>
        <w:ind w:left="540" w:hanging="540"/>
        <w:jc w:val="both"/>
        <w:rPr>
          <w:i/>
          <w:iCs/>
          <w:sz w:val="22"/>
          <w:szCs w:val="22"/>
          <w:lang w:val="sr-Latn-ME"/>
        </w:rPr>
      </w:pPr>
    </w:p>
    <w:p w14:paraId="69A38610" w14:textId="3A9C8D1E" w:rsidR="007F0488" w:rsidRPr="00BD2023" w:rsidRDefault="007F0488" w:rsidP="00BC480A">
      <w:pPr>
        <w:tabs>
          <w:tab w:val="left" w:pos="540"/>
          <w:tab w:val="left" w:pos="569"/>
        </w:tabs>
        <w:ind w:left="540" w:hanging="540"/>
        <w:jc w:val="both"/>
        <w:rPr>
          <w:i/>
          <w:sz w:val="22"/>
          <w:szCs w:val="22"/>
          <w:lang w:val="sr-Latn-ME"/>
        </w:rPr>
      </w:pPr>
      <w:r w:rsidRPr="00BD2023">
        <w:rPr>
          <w:i/>
          <w:iCs/>
          <w:sz w:val="22"/>
          <w:szCs w:val="22"/>
          <w:lang w:val="sr-Latn-ME"/>
        </w:rPr>
        <w:t>Testiranje na trudnoću</w:t>
      </w:r>
    </w:p>
    <w:p w14:paraId="415B0FE5" w14:textId="77777777" w:rsidR="007F0488" w:rsidRPr="00BD2023" w:rsidRDefault="007F0488" w:rsidP="00BC480A">
      <w:pPr>
        <w:tabs>
          <w:tab w:val="left" w:pos="540"/>
          <w:tab w:val="left" w:pos="569"/>
        </w:tabs>
        <w:ind w:left="540" w:hanging="540"/>
        <w:jc w:val="both"/>
        <w:rPr>
          <w:i/>
          <w:sz w:val="22"/>
          <w:szCs w:val="22"/>
          <w:lang w:val="sr-Latn-ME"/>
        </w:rPr>
      </w:pPr>
    </w:p>
    <w:p w14:paraId="5D7D963D" w14:textId="77777777" w:rsidR="007F0488" w:rsidRPr="00BD2023" w:rsidRDefault="007F0488" w:rsidP="00BC480A">
      <w:pPr>
        <w:tabs>
          <w:tab w:val="left" w:pos="450"/>
        </w:tabs>
        <w:jc w:val="both"/>
        <w:rPr>
          <w:sz w:val="22"/>
          <w:szCs w:val="22"/>
          <w:lang w:val="sr-Latn-ME"/>
        </w:rPr>
      </w:pPr>
      <w:r w:rsidRPr="00BD2023">
        <w:rPr>
          <w:sz w:val="22"/>
          <w:szCs w:val="22"/>
          <w:lang w:val="sr-Latn-ME"/>
        </w:rPr>
        <w:t>Status trudnoće pacijentkinja sa reproduktivnim potencijalom treba potvrditi pr</w:t>
      </w:r>
      <w:r w:rsidR="00C02A23" w:rsidRPr="00BD2023">
        <w:rPr>
          <w:sz w:val="22"/>
          <w:szCs w:val="22"/>
          <w:lang w:val="sr-Latn-ME"/>
        </w:rPr>
        <w:t>ij</w:t>
      </w:r>
      <w:r w:rsidRPr="00BD2023">
        <w:rPr>
          <w:sz w:val="22"/>
          <w:szCs w:val="22"/>
          <w:lang w:val="sr-Latn-ME"/>
        </w:rPr>
        <w:t xml:space="preserve">e uvođenja terapije </w:t>
      </w:r>
      <w:r w:rsidR="007E5CF0" w:rsidRPr="00BD2023">
        <w:rPr>
          <w:sz w:val="22"/>
          <w:szCs w:val="22"/>
          <w:lang w:val="sr-Latn-ME"/>
        </w:rPr>
        <w:t>lijek</w:t>
      </w:r>
      <w:r w:rsidRPr="00BD2023">
        <w:rPr>
          <w:sz w:val="22"/>
          <w:szCs w:val="22"/>
          <w:lang w:val="sr-Latn-ME"/>
        </w:rPr>
        <w:t>om Evrysdi. Trudnicama takođe treba dobro objasniti potencijalni rizik za fetus.</w:t>
      </w:r>
    </w:p>
    <w:p w14:paraId="35F97807" w14:textId="77777777" w:rsidR="007F0488" w:rsidRPr="00BD2023" w:rsidRDefault="007F0488" w:rsidP="007F0488">
      <w:pPr>
        <w:tabs>
          <w:tab w:val="left" w:pos="540"/>
          <w:tab w:val="left" w:pos="569"/>
        </w:tabs>
        <w:ind w:left="540" w:hanging="540"/>
        <w:rPr>
          <w:sz w:val="22"/>
          <w:szCs w:val="22"/>
          <w:lang w:val="sr-Latn-ME"/>
        </w:rPr>
      </w:pPr>
    </w:p>
    <w:p w14:paraId="3E7E8487" w14:textId="77777777" w:rsidR="007F0488" w:rsidRPr="00BD2023" w:rsidRDefault="007F0488" w:rsidP="00BC480A">
      <w:pPr>
        <w:tabs>
          <w:tab w:val="left" w:pos="540"/>
          <w:tab w:val="left" w:pos="569"/>
        </w:tabs>
        <w:ind w:left="540" w:hanging="540"/>
        <w:jc w:val="both"/>
        <w:rPr>
          <w:sz w:val="22"/>
          <w:szCs w:val="22"/>
          <w:u w:val="single"/>
          <w:lang w:val="sr-Latn-ME"/>
        </w:rPr>
      </w:pPr>
      <w:r w:rsidRPr="00BD2023">
        <w:rPr>
          <w:sz w:val="22"/>
          <w:szCs w:val="22"/>
          <w:u w:val="single"/>
          <w:lang w:val="sr-Latn-ME"/>
        </w:rPr>
        <w:t>Trudnoća</w:t>
      </w:r>
    </w:p>
    <w:p w14:paraId="16AEFCAC" w14:textId="77777777" w:rsidR="007F0488" w:rsidRPr="00BD2023" w:rsidRDefault="007F0488" w:rsidP="00BC480A">
      <w:pPr>
        <w:tabs>
          <w:tab w:val="left" w:pos="540"/>
          <w:tab w:val="left" w:pos="569"/>
        </w:tabs>
        <w:ind w:left="540" w:hanging="540"/>
        <w:jc w:val="both"/>
        <w:rPr>
          <w:sz w:val="22"/>
          <w:szCs w:val="22"/>
          <w:lang w:val="sr-Latn-ME"/>
        </w:rPr>
      </w:pPr>
    </w:p>
    <w:p w14:paraId="52200CDA" w14:textId="5C165CB9" w:rsidR="007F0488" w:rsidRPr="00BD2023" w:rsidRDefault="007F0488" w:rsidP="00BC480A">
      <w:pPr>
        <w:tabs>
          <w:tab w:val="left" w:pos="0"/>
          <w:tab w:val="left" w:pos="90"/>
        </w:tabs>
        <w:jc w:val="both"/>
        <w:rPr>
          <w:bCs/>
          <w:iCs/>
          <w:sz w:val="22"/>
          <w:szCs w:val="22"/>
          <w:lang w:val="sr-Latn-ME"/>
        </w:rPr>
      </w:pPr>
      <w:r w:rsidRPr="00BD2023">
        <w:rPr>
          <w:sz w:val="22"/>
          <w:szCs w:val="22"/>
          <w:lang w:val="sr-Latn-ME"/>
        </w:rPr>
        <w:t>Nema podataka o prim</w:t>
      </w:r>
      <w:r w:rsidR="00C02A23" w:rsidRPr="00BD2023">
        <w:rPr>
          <w:sz w:val="22"/>
          <w:szCs w:val="22"/>
          <w:lang w:val="sr-Latn-ME"/>
        </w:rPr>
        <w:t>j</w:t>
      </w:r>
      <w:r w:rsidRPr="00BD2023">
        <w:rPr>
          <w:sz w:val="22"/>
          <w:szCs w:val="22"/>
          <w:lang w:val="sr-Latn-ME"/>
        </w:rPr>
        <w:t xml:space="preserve">eni </w:t>
      </w:r>
      <w:r w:rsidR="007E5CF0" w:rsidRPr="00BD2023">
        <w:rPr>
          <w:sz w:val="22"/>
          <w:szCs w:val="22"/>
          <w:lang w:val="sr-Latn-ME"/>
        </w:rPr>
        <w:t>lijek</w:t>
      </w:r>
      <w:r w:rsidRPr="00BD2023">
        <w:rPr>
          <w:sz w:val="22"/>
          <w:szCs w:val="22"/>
          <w:lang w:val="sr-Latn-ME"/>
        </w:rPr>
        <w:t>a Evrysdi kod trudnica. Studije na životinjama pokazale su reproduktivnu toksičnost (</w:t>
      </w:r>
      <w:r w:rsidR="00D005C0">
        <w:rPr>
          <w:sz w:val="22"/>
          <w:szCs w:val="22"/>
          <w:lang w:val="sr-Latn-ME"/>
        </w:rPr>
        <w:t>vidjeti</w:t>
      </w:r>
      <w:r w:rsidRPr="00BD2023">
        <w:rPr>
          <w:sz w:val="22"/>
          <w:szCs w:val="22"/>
          <w:lang w:val="sr-Latn-ME"/>
        </w:rPr>
        <w:t xml:space="preserve"> </w:t>
      </w:r>
      <w:r w:rsidR="00A76607" w:rsidRPr="00BD2023">
        <w:rPr>
          <w:sz w:val="22"/>
          <w:szCs w:val="22"/>
          <w:lang w:val="sr-Latn-ME"/>
        </w:rPr>
        <w:t xml:space="preserve">dio </w:t>
      </w:r>
      <w:r w:rsidRPr="00BD2023">
        <w:rPr>
          <w:sz w:val="22"/>
          <w:szCs w:val="22"/>
          <w:lang w:val="sr-Latn-ME"/>
        </w:rPr>
        <w:t>5.3).</w:t>
      </w:r>
    </w:p>
    <w:p w14:paraId="5737E6F6" w14:textId="25011FAE" w:rsidR="007F0488" w:rsidRPr="00BD2023" w:rsidRDefault="007E5CF0" w:rsidP="00BC480A">
      <w:pPr>
        <w:tabs>
          <w:tab w:val="left" w:pos="0"/>
        </w:tabs>
        <w:jc w:val="both"/>
        <w:rPr>
          <w:sz w:val="22"/>
          <w:szCs w:val="22"/>
          <w:lang w:val="sr-Latn-ME"/>
        </w:rPr>
      </w:pPr>
      <w:r w:rsidRPr="00BD2023">
        <w:rPr>
          <w:sz w:val="22"/>
          <w:szCs w:val="22"/>
          <w:lang w:val="sr-Latn-ME"/>
        </w:rPr>
        <w:t>Lijek</w:t>
      </w:r>
      <w:r w:rsidR="007F0488" w:rsidRPr="00BD2023">
        <w:rPr>
          <w:sz w:val="22"/>
          <w:szCs w:val="22"/>
          <w:lang w:val="sr-Latn-ME"/>
        </w:rPr>
        <w:t xml:space="preserve"> Evrysdi se ne preporučuje tokom trudnoće i kod žena koje mogu da rađaju a koje ne koriste kontracepciju (</w:t>
      </w:r>
      <w:r w:rsidR="005D411F" w:rsidRPr="00BD2023">
        <w:rPr>
          <w:sz w:val="22"/>
          <w:szCs w:val="22"/>
          <w:lang w:val="sr-Latn-ME"/>
        </w:rPr>
        <w:t>vidjeti</w:t>
      </w:r>
      <w:r w:rsidR="007F0488" w:rsidRPr="00BD2023">
        <w:rPr>
          <w:sz w:val="22"/>
          <w:szCs w:val="22"/>
          <w:lang w:val="sr-Latn-ME"/>
        </w:rPr>
        <w:t xml:space="preserve"> </w:t>
      </w:r>
      <w:r w:rsidR="00D005C0">
        <w:rPr>
          <w:sz w:val="22"/>
          <w:szCs w:val="22"/>
          <w:lang w:val="sr-Latn-ME"/>
        </w:rPr>
        <w:t>dio</w:t>
      </w:r>
      <w:r w:rsidR="007F0488" w:rsidRPr="00BD2023">
        <w:rPr>
          <w:sz w:val="22"/>
          <w:szCs w:val="22"/>
          <w:lang w:val="sr-Latn-ME"/>
        </w:rPr>
        <w:t xml:space="preserve"> 4.4).</w:t>
      </w:r>
    </w:p>
    <w:p w14:paraId="16A45C10" w14:textId="77777777" w:rsidR="007F0488" w:rsidRPr="00BD2023" w:rsidRDefault="007F0488" w:rsidP="00BC480A">
      <w:pPr>
        <w:tabs>
          <w:tab w:val="left" w:pos="540"/>
          <w:tab w:val="left" w:pos="569"/>
        </w:tabs>
        <w:ind w:left="540" w:hanging="540"/>
        <w:jc w:val="both"/>
        <w:rPr>
          <w:bCs/>
          <w:iCs/>
          <w:sz w:val="22"/>
          <w:szCs w:val="22"/>
          <w:lang w:val="sr-Latn-ME"/>
        </w:rPr>
      </w:pPr>
    </w:p>
    <w:p w14:paraId="3A6C8C7B" w14:textId="77777777" w:rsidR="007F0488" w:rsidRPr="00BD2023" w:rsidRDefault="007F0488" w:rsidP="00BC480A">
      <w:pPr>
        <w:tabs>
          <w:tab w:val="left" w:pos="540"/>
          <w:tab w:val="left" w:pos="569"/>
        </w:tabs>
        <w:ind w:left="540" w:hanging="540"/>
        <w:jc w:val="both"/>
        <w:rPr>
          <w:sz w:val="22"/>
          <w:szCs w:val="22"/>
          <w:u w:val="single"/>
          <w:lang w:val="sr-Latn-ME"/>
        </w:rPr>
      </w:pPr>
      <w:r w:rsidRPr="00BD2023">
        <w:rPr>
          <w:sz w:val="22"/>
          <w:szCs w:val="22"/>
          <w:u w:val="single"/>
          <w:lang w:val="sr-Latn-ME"/>
        </w:rPr>
        <w:lastRenderedPageBreak/>
        <w:t>Dojenje</w:t>
      </w:r>
    </w:p>
    <w:p w14:paraId="71562D23" w14:textId="77777777" w:rsidR="007F0488" w:rsidRPr="00BD2023" w:rsidRDefault="007F0488" w:rsidP="00BC480A">
      <w:pPr>
        <w:tabs>
          <w:tab w:val="left" w:pos="540"/>
          <w:tab w:val="left" w:pos="569"/>
        </w:tabs>
        <w:ind w:left="540" w:hanging="540"/>
        <w:jc w:val="both"/>
        <w:rPr>
          <w:sz w:val="22"/>
          <w:szCs w:val="22"/>
          <w:lang w:val="sr-Latn-ME"/>
        </w:rPr>
      </w:pPr>
    </w:p>
    <w:p w14:paraId="120E8B7B" w14:textId="300866DA" w:rsidR="007F0488" w:rsidRPr="00BD2023" w:rsidRDefault="007F0488" w:rsidP="00BC480A">
      <w:pPr>
        <w:tabs>
          <w:tab w:val="left" w:pos="0"/>
          <w:tab w:val="left" w:pos="90"/>
        </w:tabs>
        <w:jc w:val="both"/>
        <w:rPr>
          <w:sz w:val="22"/>
          <w:szCs w:val="22"/>
          <w:lang w:val="sr-Latn-ME"/>
        </w:rPr>
      </w:pPr>
      <w:r w:rsidRPr="00BD2023">
        <w:rPr>
          <w:sz w:val="22"/>
          <w:szCs w:val="22"/>
          <w:lang w:val="sr-Latn-ME"/>
        </w:rPr>
        <w:t>Nije poznato da li se risdiplam izlučuje u humano majčino ml</w:t>
      </w:r>
      <w:r w:rsidR="00C02A23" w:rsidRPr="00BD2023">
        <w:rPr>
          <w:sz w:val="22"/>
          <w:szCs w:val="22"/>
          <w:lang w:val="sr-Latn-ME"/>
        </w:rPr>
        <w:t>ij</w:t>
      </w:r>
      <w:r w:rsidRPr="00BD2023">
        <w:rPr>
          <w:sz w:val="22"/>
          <w:szCs w:val="22"/>
          <w:lang w:val="sr-Latn-ME"/>
        </w:rPr>
        <w:t>eko. Studije na pacovima pokazuju da se risdiplam izlučuje u ml</w:t>
      </w:r>
      <w:r w:rsidR="00C02A23" w:rsidRPr="00BD2023">
        <w:rPr>
          <w:sz w:val="22"/>
          <w:szCs w:val="22"/>
          <w:lang w:val="sr-Latn-ME"/>
        </w:rPr>
        <w:t>ij</w:t>
      </w:r>
      <w:r w:rsidRPr="00BD2023">
        <w:rPr>
          <w:sz w:val="22"/>
          <w:szCs w:val="22"/>
          <w:lang w:val="sr-Latn-ME"/>
        </w:rPr>
        <w:t>eko (vid</w:t>
      </w:r>
      <w:r w:rsidR="00C02A23" w:rsidRPr="00BD2023">
        <w:rPr>
          <w:sz w:val="22"/>
          <w:szCs w:val="22"/>
          <w:lang w:val="sr-Latn-ME"/>
        </w:rPr>
        <w:t>j</w:t>
      </w:r>
      <w:r w:rsidRPr="00BD2023">
        <w:rPr>
          <w:sz w:val="22"/>
          <w:szCs w:val="22"/>
          <w:lang w:val="sr-Latn-ME"/>
        </w:rPr>
        <w:t xml:space="preserve">eti </w:t>
      </w:r>
      <w:r w:rsidR="00A76607" w:rsidRPr="00BD2023">
        <w:rPr>
          <w:sz w:val="22"/>
          <w:szCs w:val="22"/>
          <w:lang w:val="sr-Latn-ME"/>
        </w:rPr>
        <w:t xml:space="preserve">dio </w:t>
      </w:r>
      <w:r w:rsidRPr="00BD2023">
        <w:rPr>
          <w:sz w:val="22"/>
          <w:szCs w:val="22"/>
          <w:lang w:val="sr-Latn-ME"/>
        </w:rPr>
        <w:t xml:space="preserve">5.3). Pošto potencijal za nanošenje štete odojčetu koje se doji nije poznat, </w:t>
      </w:r>
      <w:r w:rsidR="004B1AE7" w:rsidRPr="00BD2023">
        <w:rPr>
          <w:sz w:val="22"/>
          <w:szCs w:val="22"/>
          <w:lang w:val="sr-Latn-ME"/>
        </w:rPr>
        <w:t xml:space="preserve">ne </w:t>
      </w:r>
      <w:r w:rsidRPr="00BD2023">
        <w:rPr>
          <w:sz w:val="22"/>
          <w:szCs w:val="22"/>
          <w:lang w:val="sr-Latn-ME"/>
        </w:rPr>
        <w:t>preporučuje se doj</w:t>
      </w:r>
      <w:r w:rsidR="004B1AE7" w:rsidRPr="00BD2023">
        <w:rPr>
          <w:sz w:val="22"/>
          <w:szCs w:val="22"/>
          <w:lang w:val="sr-Latn-ME"/>
        </w:rPr>
        <w:t>enje</w:t>
      </w:r>
      <w:r w:rsidRPr="00BD2023">
        <w:rPr>
          <w:sz w:val="22"/>
          <w:szCs w:val="22"/>
          <w:lang w:val="sr-Latn-ME"/>
        </w:rPr>
        <w:t xml:space="preserve"> </w:t>
      </w:r>
      <w:r w:rsidR="004C1537" w:rsidRPr="00BD2023">
        <w:rPr>
          <w:sz w:val="22"/>
          <w:szCs w:val="22"/>
          <w:lang w:val="sr-Latn-ME"/>
        </w:rPr>
        <w:t>tokom</w:t>
      </w:r>
      <w:r w:rsidRPr="00BD2023">
        <w:rPr>
          <w:sz w:val="22"/>
          <w:szCs w:val="22"/>
          <w:lang w:val="sr-Latn-ME"/>
        </w:rPr>
        <w:t xml:space="preserve"> </w:t>
      </w:r>
      <w:r w:rsidR="004C1537" w:rsidRPr="00BD2023">
        <w:rPr>
          <w:sz w:val="22"/>
          <w:szCs w:val="22"/>
          <w:lang w:val="sr-Latn-ME"/>
        </w:rPr>
        <w:t>liječenja</w:t>
      </w:r>
      <w:r w:rsidRPr="00BD2023">
        <w:rPr>
          <w:sz w:val="22"/>
          <w:szCs w:val="22"/>
          <w:lang w:val="sr-Latn-ME"/>
        </w:rPr>
        <w:t>.</w:t>
      </w:r>
    </w:p>
    <w:p w14:paraId="5309B996" w14:textId="77777777" w:rsidR="007F0488" w:rsidRPr="00BD2023" w:rsidRDefault="007F0488" w:rsidP="00BC480A">
      <w:pPr>
        <w:tabs>
          <w:tab w:val="left" w:pos="540"/>
          <w:tab w:val="left" w:pos="569"/>
        </w:tabs>
        <w:ind w:left="540" w:hanging="540"/>
        <w:jc w:val="both"/>
        <w:rPr>
          <w:sz w:val="22"/>
          <w:szCs w:val="22"/>
          <w:lang w:val="sr-Latn-ME"/>
        </w:rPr>
      </w:pPr>
    </w:p>
    <w:p w14:paraId="37218968" w14:textId="77777777" w:rsidR="007F0488" w:rsidRPr="00BD2023" w:rsidRDefault="007F0488" w:rsidP="00BC480A">
      <w:pPr>
        <w:tabs>
          <w:tab w:val="left" w:pos="540"/>
          <w:tab w:val="left" w:pos="569"/>
        </w:tabs>
        <w:ind w:left="540" w:hanging="540"/>
        <w:jc w:val="both"/>
        <w:rPr>
          <w:sz w:val="22"/>
          <w:szCs w:val="22"/>
          <w:u w:val="single"/>
          <w:lang w:val="sr-Latn-ME"/>
        </w:rPr>
      </w:pPr>
      <w:r w:rsidRPr="00BD2023">
        <w:rPr>
          <w:sz w:val="22"/>
          <w:szCs w:val="22"/>
          <w:u w:val="single"/>
          <w:lang w:val="sr-Latn-ME"/>
        </w:rPr>
        <w:t>Plodnost</w:t>
      </w:r>
    </w:p>
    <w:p w14:paraId="1CA1336D" w14:textId="77777777" w:rsidR="007F0488" w:rsidRPr="00BD2023" w:rsidRDefault="007F0488" w:rsidP="00BC480A">
      <w:pPr>
        <w:tabs>
          <w:tab w:val="left" w:pos="540"/>
          <w:tab w:val="left" w:pos="569"/>
        </w:tabs>
        <w:ind w:left="540" w:hanging="540"/>
        <w:jc w:val="both"/>
        <w:rPr>
          <w:i/>
          <w:sz w:val="22"/>
          <w:szCs w:val="22"/>
          <w:lang w:val="sr-Latn-ME"/>
        </w:rPr>
      </w:pPr>
    </w:p>
    <w:p w14:paraId="6F3E8B80" w14:textId="6ED7E49F" w:rsidR="007F0488" w:rsidRPr="00BD2023" w:rsidRDefault="00E83F48" w:rsidP="00BC480A">
      <w:pPr>
        <w:tabs>
          <w:tab w:val="left" w:pos="540"/>
          <w:tab w:val="left" w:pos="569"/>
        </w:tabs>
        <w:ind w:left="540" w:hanging="540"/>
        <w:jc w:val="both"/>
        <w:rPr>
          <w:sz w:val="22"/>
          <w:szCs w:val="22"/>
          <w:lang w:val="sr-Latn-ME"/>
        </w:rPr>
      </w:pPr>
      <w:r w:rsidRPr="00BD2023">
        <w:rPr>
          <w:i/>
          <w:iCs/>
          <w:sz w:val="22"/>
          <w:szCs w:val="22"/>
          <w:lang w:val="sr-Latn-ME"/>
        </w:rPr>
        <w:t>Muškarci</w:t>
      </w:r>
    </w:p>
    <w:p w14:paraId="4D7AA276" w14:textId="77777777" w:rsidR="007F0488" w:rsidRPr="00BD2023" w:rsidRDefault="007F0488" w:rsidP="00BC480A">
      <w:pPr>
        <w:tabs>
          <w:tab w:val="left" w:pos="540"/>
          <w:tab w:val="left" w:pos="569"/>
        </w:tabs>
        <w:ind w:left="540" w:hanging="540"/>
        <w:jc w:val="both"/>
        <w:rPr>
          <w:sz w:val="22"/>
          <w:szCs w:val="22"/>
          <w:lang w:val="sr-Latn-ME"/>
        </w:rPr>
      </w:pPr>
    </w:p>
    <w:p w14:paraId="74B77789" w14:textId="3CCED963" w:rsidR="007F0488" w:rsidRPr="00BD2023" w:rsidRDefault="00E83F48" w:rsidP="00BC480A">
      <w:pPr>
        <w:tabs>
          <w:tab w:val="left" w:pos="0"/>
        </w:tabs>
        <w:jc w:val="both"/>
        <w:rPr>
          <w:sz w:val="22"/>
          <w:szCs w:val="22"/>
          <w:lang w:val="sr-Latn-ME"/>
        </w:rPr>
      </w:pPr>
      <w:r w:rsidRPr="00BD2023">
        <w:rPr>
          <w:sz w:val="22"/>
          <w:szCs w:val="22"/>
          <w:lang w:val="sr-Latn-ME"/>
        </w:rPr>
        <w:t>Na osnovu pretkliničkih nalaza, p</w:t>
      </w:r>
      <w:r w:rsidR="007F0488" w:rsidRPr="00BD2023">
        <w:rPr>
          <w:sz w:val="22"/>
          <w:szCs w:val="22"/>
          <w:lang w:val="sr-Latn-ME"/>
        </w:rPr>
        <w:t>lodnost muškaraca može biti ugrožena dok su na terapiji. U reproduktivnim organima pacova i majmuna zab</w:t>
      </w:r>
      <w:r w:rsidR="00C02A23" w:rsidRPr="00BD2023">
        <w:rPr>
          <w:sz w:val="22"/>
          <w:szCs w:val="22"/>
          <w:lang w:val="sr-Latn-ME"/>
        </w:rPr>
        <w:t>i</w:t>
      </w:r>
      <w:r w:rsidR="007F0488" w:rsidRPr="00BD2023">
        <w:rPr>
          <w:sz w:val="22"/>
          <w:szCs w:val="22"/>
          <w:lang w:val="sr-Latn-ME"/>
        </w:rPr>
        <w:t>l</w:t>
      </w:r>
      <w:r w:rsidR="00C02A23" w:rsidRPr="00BD2023">
        <w:rPr>
          <w:sz w:val="22"/>
          <w:szCs w:val="22"/>
          <w:lang w:val="sr-Latn-ME"/>
        </w:rPr>
        <w:t>j</w:t>
      </w:r>
      <w:r w:rsidR="007F0488" w:rsidRPr="00BD2023">
        <w:rPr>
          <w:sz w:val="22"/>
          <w:szCs w:val="22"/>
          <w:lang w:val="sr-Latn-ME"/>
        </w:rPr>
        <w:t>eženi su degeneracija sperme i smanjeni broj spermatozoida (</w:t>
      </w:r>
      <w:r w:rsidR="005D411F" w:rsidRPr="00BD2023">
        <w:rPr>
          <w:sz w:val="22"/>
          <w:szCs w:val="22"/>
          <w:lang w:val="sr-Latn-ME"/>
        </w:rPr>
        <w:t>vidjeti</w:t>
      </w:r>
      <w:r w:rsidR="007F0488" w:rsidRPr="00BD2023">
        <w:rPr>
          <w:sz w:val="22"/>
          <w:szCs w:val="22"/>
          <w:lang w:val="sr-Latn-ME"/>
        </w:rPr>
        <w:t xml:space="preserve"> </w:t>
      </w:r>
      <w:r w:rsidR="00A76607" w:rsidRPr="00BD2023">
        <w:rPr>
          <w:sz w:val="22"/>
          <w:szCs w:val="22"/>
          <w:lang w:val="sr-Latn-ME"/>
        </w:rPr>
        <w:t xml:space="preserve">dio </w:t>
      </w:r>
      <w:r w:rsidR="007F0488" w:rsidRPr="00BD2023">
        <w:rPr>
          <w:sz w:val="22"/>
          <w:szCs w:val="22"/>
          <w:lang w:val="sr-Latn-ME"/>
        </w:rPr>
        <w:t xml:space="preserve">5.3). Na osnovu opservacija iz studija na životinjama, očekuje se da dejstva na ćelije sperme budu reverzibilna nakon prekida </w:t>
      </w:r>
      <w:r w:rsidR="004A4441" w:rsidRPr="00BD2023">
        <w:rPr>
          <w:sz w:val="22"/>
          <w:szCs w:val="22"/>
          <w:lang w:val="sr-Latn-ME"/>
        </w:rPr>
        <w:t>primjen</w:t>
      </w:r>
      <w:r w:rsidR="007F0488" w:rsidRPr="00BD2023">
        <w:rPr>
          <w:sz w:val="22"/>
          <w:szCs w:val="22"/>
          <w:lang w:val="sr-Latn-ME"/>
        </w:rPr>
        <w:t xml:space="preserve">e risdiplama. </w:t>
      </w:r>
    </w:p>
    <w:p w14:paraId="3D71A779" w14:textId="77777777" w:rsidR="007F0488" w:rsidRPr="00BD2023" w:rsidRDefault="007F0488" w:rsidP="00BC480A">
      <w:pPr>
        <w:tabs>
          <w:tab w:val="left" w:pos="540"/>
          <w:tab w:val="left" w:pos="569"/>
        </w:tabs>
        <w:ind w:left="540" w:hanging="540"/>
        <w:jc w:val="both"/>
        <w:rPr>
          <w:sz w:val="22"/>
          <w:szCs w:val="22"/>
          <w:lang w:val="sr-Latn-ME"/>
        </w:rPr>
      </w:pPr>
    </w:p>
    <w:p w14:paraId="4C32AB97" w14:textId="2B705D77" w:rsidR="007F0488" w:rsidRPr="00BD2023" w:rsidRDefault="007F0488" w:rsidP="00BC480A">
      <w:pPr>
        <w:tabs>
          <w:tab w:val="left" w:pos="0"/>
        </w:tabs>
        <w:jc w:val="both"/>
        <w:rPr>
          <w:sz w:val="22"/>
          <w:szCs w:val="22"/>
          <w:lang w:val="sr-Latn-ME"/>
        </w:rPr>
      </w:pPr>
      <w:r w:rsidRPr="00BD2023">
        <w:rPr>
          <w:sz w:val="22"/>
          <w:szCs w:val="22"/>
          <w:lang w:val="sr-Latn-ME"/>
        </w:rPr>
        <w:t>Pacijenti mogu da razmisle o prezervaciji sperme pr</w:t>
      </w:r>
      <w:r w:rsidR="00C02A23" w:rsidRPr="00BD2023">
        <w:rPr>
          <w:sz w:val="22"/>
          <w:szCs w:val="22"/>
          <w:lang w:val="sr-Latn-ME"/>
        </w:rPr>
        <w:t>ij</w:t>
      </w:r>
      <w:r w:rsidRPr="00BD2023">
        <w:rPr>
          <w:sz w:val="22"/>
          <w:szCs w:val="22"/>
          <w:lang w:val="sr-Latn-ME"/>
        </w:rPr>
        <w:t>e početka terapije ili nakon perioda u kome ni</w:t>
      </w:r>
      <w:r w:rsidR="00E83F48" w:rsidRPr="00BD2023">
        <w:rPr>
          <w:sz w:val="22"/>
          <w:szCs w:val="22"/>
          <w:lang w:val="sr-Latn-ME"/>
        </w:rPr>
        <w:t>je</w:t>
      </w:r>
      <w:r w:rsidRPr="00BD2023">
        <w:rPr>
          <w:sz w:val="22"/>
          <w:szCs w:val="22"/>
          <w:lang w:val="sr-Latn-ME"/>
        </w:rPr>
        <w:t>su primali terapiju najmanje 4 m</w:t>
      </w:r>
      <w:r w:rsidR="00C02A23" w:rsidRPr="00BD2023">
        <w:rPr>
          <w:sz w:val="22"/>
          <w:szCs w:val="22"/>
          <w:lang w:val="sr-Latn-ME"/>
        </w:rPr>
        <w:t>j</w:t>
      </w:r>
      <w:r w:rsidRPr="00BD2023">
        <w:rPr>
          <w:sz w:val="22"/>
          <w:szCs w:val="22"/>
          <w:lang w:val="sr-Latn-ME"/>
        </w:rPr>
        <w:t>eseca. Pacijenti koji žele da dobiju d</w:t>
      </w:r>
      <w:r w:rsidR="00C02A23" w:rsidRPr="00BD2023">
        <w:rPr>
          <w:sz w:val="22"/>
          <w:szCs w:val="22"/>
          <w:lang w:val="sr-Latn-ME"/>
        </w:rPr>
        <w:t>ij</w:t>
      </w:r>
      <w:r w:rsidRPr="00BD2023">
        <w:rPr>
          <w:sz w:val="22"/>
          <w:szCs w:val="22"/>
          <w:lang w:val="sr-Latn-ME"/>
        </w:rPr>
        <w:t>ete trebalo bi da prestanu sa terapijom u periodu od najmanje 4 m</w:t>
      </w:r>
      <w:r w:rsidR="00C02A23" w:rsidRPr="00BD2023">
        <w:rPr>
          <w:sz w:val="22"/>
          <w:szCs w:val="22"/>
          <w:lang w:val="sr-Latn-ME"/>
        </w:rPr>
        <w:t>j</w:t>
      </w:r>
      <w:r w:rsidRPr="00BD2023">
        <w:rPr>
          <w:sz w:val="22"/>
          <w:szCs w:val="22"/>
          <w:lang w:val="sr-Latn-ME"/>
        </w:rPr>
        <w:t>eseca. Terapija se može ponovo započeti nakon začeća.</w:t>
      </w:r>
    </w:p>
    <w:p w14:paraId="4EEDA981" w14:textId="77777777" w:rsidR="007F0488" w:rsidRPr="00BD2023" w:rsidRDefault="007F0488" w:rsidP="00BC480A">
      <w:pPr>
        <w:tabs>
          <w:tab w:val="left" w:pos="540"/>
          <w:tab w:val="left" w:pos="569"/>
        </w:tabs>
        <w:ind w:left="540" w:hanging="540"/>
        <w:jc w:val="both"/>
        <w:rPr>
          <w:i/>
          <w:sz w:val="22"/>
          <w:szCs w:val="22"/>
          <w:lang w:val="sr-Latn-ME"/>
        </w:rPr>
      </w:pPr>
    </w:p>
    <w:p w14:paraId="0E8C980D" w14:textId="48B3FEF5" w:rsidR="007F0488" w:rsidRPr="00BD2023" w:rsidRDefault="00E83F48" w:rsidP="00BC480A">
      <w:pPr>
        <w:tabs>
          <w:tab w:val="left" w:pos="540"/>
          <w:tab w:val="left" w:pos="569"/>
        </w:tabs>
        <w:ind w:left="540" w:hanging="540"/>
        <w:jc w:val="both"/>
        <w:rPr>
          <w:sz w:val="22"/>
          <w:szCs w:val="22"/>
          <w:lang w:val="sr-Latn-ME"/>
        </w:rPr>
      </w:pPr>
      <w:r w:rsidRPr="00BD2023">
        <w:rPr>
          <w:i/>
          <w:iCs/>
          <w:sz w:val="22"/>
          <w:szCs w:val="22"/>
          <w:lang w:val="sr-Latn-ME"/>
        </w:rPr>
        <w:t>Žene</w:t>
      </w:r>
    </w:p>
    <w:p w14:paraId="42B1EA90" w14:textId="77777777" w:rsidR="007F0488" w:rsidRPr="00BD2023" w:rsidRDefault="007F0488" w:rsidP="00BC480A">
      <w:pPr>
        <w:tabs>
          <w:tab w:val="left" w:pos="540"/>
          <w:tab w:val="left" w:pos="569"/>
        </w:tabs>
        <w:ind w:left="540" w:hanging="540"/>
        <w:jc w:val="both"/>
        <w:rPr>
          <w:sz w:val="22"/>
          <w:szCs w:val="22"/>
          <w:lang w:val="sr-Latn-ME"/>
        </w:rPr>
      </w:pPr>
    </w:p>
    <w:p w14:paraId="3E8066DC" w14:textId="2FB26081" w:rsidR="007F0488" w:rsidRPr="00BD2023" w:rsidRDefault="007F0488" w:rsidP="00BC480A">
      <w:pPr>
        <w:tabs>
          <w:tab w:val="left" w:pos="0"/>
        </w:tabs>
        <w:jc w:val="both"/>
        <w:rPr>
          <w:sz w:val="22"/>
          <w:szCs w:val="22"/>
          <w:lang w:val="sr-Latn-ME"/>
        </w:rPr>
      </w:pPr>
      <w:r w:rsidRPr="00BD2023">
        <w:rPr>
          <w:sz w:val="22"/>
          <w:szCs w:val="22"/>
          <w:lang w:val="sr-Latn-ME"/>
        </w:rPr>
        <w:t xml:space="preserve">Na osnovu </w:t>
      </w:r>
      <w:r w:rsidR="00A76607" w:rsidRPr="00BD2023">
        <w:rPr>
          <w:sz w:val="22"/>
          <w:szCs w:val="22"/>
          <w:lang w:val="sr-Latn-ME"/>
        </w:rPr>
        <w:t>pret</w:t>
      </w:r>
      <w:r w:rsidRPr="00BD2023">
        <w:rPr>
          <w:sz w:val="22"/>
          <w:szCs w:val="22"/>
          <w:lang w:val="sr-Latn-ME"/>
        </w:rPr>
        <w:t>kliničkih podataka (</w:t>
      </w:r>
      <w:r w:rsidR="005D411F" w:rsidRPr="00BD2023">
        <w:rPr>
          <w:sz w:val="22"/>
          <w:szCs w:val="22"/>
          <w:lang w:val="sr-Latn-ME"/>
        </w:rPr>
        <w:t>vidjeti</w:t>
      </w:r>
      <w:r w:rsidRPr="00BD2023">
        <w:rPr>
          <w:sz w:val="22"/>
          <w:szCs w:val="22"/>
          <w:lang w:val="sr-Latn-ME"/>
        </w:rPr>
        <w:t xml:space="preserve"> </w:t>
      </w:r>
      <w:r w:rsidR="00A76607" w:rsidRPr="00BD2023">
        <w:rPr>
          <w:sz w:val="22"/>
          <w:szCs w:val="22"/>
          <w:lang w:val="sr-Latn-ME"/>
        </w:rPr>
        <w:t xml:space="preserve">dio </w:t>
      </w:r>
      <w:r w:rsidRPr="00BD2023">
        <w:rPr>
          <w:sz w:val="22"/>
          <w:szCs w:val="22"/>
          <w:lang w:val="sr-Latn-ME"/>
        </w:rPr>
        <w:t>5.3), ne očekuje se uticaj risdiplama na plodnost žena.</w:t>
      </w:r>
    </w:p>
    <w:p w14:paraId="5EF6E9E0" w14:textId="77777777" w:rsidR="007F0488" w:rsidRPr="00BD2023" w:rsidRDefault="007F0488" w:rsidP="00BC480A">
      <w:pPr>
        <w:tabs>
          <w:tab w:val="left" w:pos="540"/>
          <w:tab w:val="left" w:pos="569"/>
        </w:tabs>
        <w:ind w:left="540" w:hanging="540"/>
        <w:jc w:val="both"/>
        <w:rPr>
          <w:sz w:val="22"/>
          <w:szCs w:val="22"/>
          <w:u w:val="single"/>
          <w:lang w:val="sr-Latn-ME"/>
        </w:rPr>
      </w:pPr>
    </w:p>
    <w:p w14:paraId="41771C0E" w14:textId="77777777" w:rsidR="0072020E" w:rsidRPr="00BD2023" w:rsidRDefault="0072020E" w:rsidP="00BC480A">
      <w:pPr>
        <w:tabs>
          <w:tab w:val="left" w:pos="540"/>
          <w:tab w:val="left" w:pos="569"/>
        </w:tabs>
        <w:ind w:left="540" w:hanging="540"/>
        <w:jc w:val="both"/>
        <w:rPr>
          <w:b/>
          <w:bCs/>
          <w:sz w:val="22"/>
          <w:szCs w:val="22"/>
          <w:lang w:val="sr-Latn-ME"/>
        </w:rPr>
      </w:pPr>
      <w:r w:rsidRPr="00BD2023">
        <w:rPr>
          <w:b/>
          <w:bCs/>
          <w:sz w:val="22"/>
          <w:szCs w:val="22"/>
          <w:lang w:val="sr-Latn-ME"/>
        </w:rPr>
        <w:t xml:space="preserve">4.7. </w:t>
      </w:r>
      <w:r w:rsidR="00480FB1" w:rsidRPr="00BD2023">
        <w:rPr>
          <w:b/>
          <w:bCs/>
          <w:sz w:val="22"/>
          <w:szCs w:val="22"/>
          <w:lang w:val="sr-Latn-ME"/>
        </w:rPr>
        <w:tab/>
      </w:r>
      <w:r w:rsidRPr="00BD2023">
        <w:rPr>
          <w:b/>
          <w:bCs/>
          <w:sz w:val="22"/>
          <w:szCs w:val="22"/>
          <w:lang w:val="sr-Latn-ME"/>
        </w:rPr>
        <w:t xml:space="preserve">Uticaj na </w:t>
      </w:r>
      <w:r w:rsidR="002031B3" w:rsidRPr="00BD2023">
        <w:rPr>
          <w:b/>
          <w:bCs/>
          <w:sz w:val="22"/>
          <w:szCs w:val="22"/>
          <w:lang w:val="sr-Latn-ME"/>
        </w:rPr>
        <w:t xml:space="preserve">sposobnost </w:t>
      </w:r>
      <w:r w:rsidR="00F34554" w:rsidRPr="00BD2023">
        <w:rPr>
          <w:b/>
          <w:bCs/>
          <w:sz w:val="22"/>
          <w:szCs w:val="22"/>
          <w:lang w:val="sr-Latn-ME"/>
        </w:rPr>
        <w:t>upravljanja vozili</w:t>
      </w:r>
      <w:r w:rsidRPr="00BD2023">
        <w:rPr>
          <w:b/>
          <w:bCs/>
          <w:sz w:val="22"/>
          <w:szCs w:val="22"/>
          <w:lang w:val="sr-Latn-ME"/>
        </w:rPr>
        <w:t>m</w:t>
      </w:r>
      <w:r w:rsidR="00F34554" w:rsidRPr="00BD2023">
        <w:rPr>
          <w:b/>
          <w:bCs/>
          <w:sz w:val="22"/>
          <w:szCs w:val="22"/>
          <w:lang w:val="sr-Latn-ME"/>
        </w:rPr>
        <w:t>a</w:t>
      </w:r>
      <w:r w:rsidRPr="00BD2023">
        <w:rPr>
          <w:b/>
          <w:bCs/>
          <w:sz w:val="22"/>
          <w:szCs w:val="22"/>
          <w:lang w:val="sr-Latn-ME"/>
        </w:rPr>
        <w:t xml:space="preserve"> i </w:t>
      </w:r>
      <w:r w:rsidR="000D3449" w:rsidRPr="00BD2023">
        <w:rPr>
          <w:b/>
          <w:bCs/>
          <w:sz w:val="22"/>
          <w:szCs w:val="22"/>
          <w:lang w:val="sr-Latn-ME"/>
        </w:rPr>
        <w:t xml:space="preserve">rukovanje </w:t>
      </w:r>
      <w:r w:rsidRPr="00BD2023">
        <w:rPr>
          <w:b/>
          <w:bCs/>
          <w:sz w:val="22"/>
          <w:szCs w:val="22"/>
          <w:lang w:val="sr-Latn-ME"/>
        </w:rPr>
        <w:t>mašinama</w:t>
      </w:r>
    </w:p>
    <w:p w14:paraId="117C0B39" w14:textId="77777777" w:rsidR="00C61A05" w:rsidRPr="00BD2023" w:rsidRDefault="00C61A05" w:rsidP="00BC480A">
      <w:pPr>
        <w:tabs>
          <w:tab w:val="left" w:pos="540"/>
          <w:tab w:val="left" w:pos="569"/>
        </w:tabs>
        <w:ind w:left="540" w:hanging="540"/>
        <w:jc w:val="both"/>
        <w:rPr>
          <w:b/>
          <w:bCs/>
          <w:sz w:val="22"/>
          <w:szCs w:val="22"/>
          <w:lang w:val="sr-Latn-ME"/>
        </w:rPr>
      </w:pPr>
    </w:p>
    <w:p w14:paraId="5EC73DC8" w14:textId="1538CF2B" w:rsidR="00C61A05" w:rsidRPr="00BD2023" w:rsidRDefault="002018B4" w:rsidP="00BC480A">
      <w:pPr>
        <w:tabs>
          <w:tab w:val="left" w:pos="0"/>
        </w:tabs>
        <w:jc w:val="both"/>
        <w:rPr>
          <w:bCs/>
          <w:sz w:val="22"/>
          <w:szCs w:val="22"/>
          <w:lang w:val="sr-Latn-ME"/>
        </w:rPr>
      </w:pPr>
      <w:r w:rsidRPr="00BD2023">
        <w:rPr>
          <w:bCs/>
          <w:sz w:val="22"/>
          <w:szCs w:val="22"/>
          <w:lang w:val="sr-Latn-ME"/>
        </w:rPr>
        <w:t xml:space="preserve">Lijek </w:t>
      </w:r>
      <w:r w:rsidR="00C61A05" w:rsidRPr="00BD2023">
        <w:rPr>
          <w:bCs/>
          <w:sz w:val="22"/>
          <w:szCs w:val="22"/>
          <w:lang w:val="sr-Latn-ME"/>
        </w:rPr>
        <w:t>Evrysdi nema ili ima zanemarljiv uticaj na sposobnost upravljanja vozilima i rukovanja mašinama.</w:t>
      </w:r>
    </w:p>
    <w:p w14:paraId="1C9A04B7" w14:textId="77777777" w:rsidR="00C61A05" w:rsidRPr="00BD2023" w:rsidRDefault="00C61A05" w:rsidP="00396DFD">
      <w:pPr>
        <w:tabs>
          <w:tab w:val="left" w:pos="540"/>
          <w:tab w:val="left" w:pos="569"/>
        </w:tabs>
        <w:ind w:left="540" w:hanging="540"/>
        <w:rPr>
          <w:b/>
          <w:bCs/>
          <w:sz w:val="22"/>
          <w:szCs w:val="22"/>
          <w:lang w:val="sr-Latn-ME"/>
        </w:rPr>
      </w:pPr>
    </w:p>
    <w:p w14:paraId="5BB398E6" w14:textId="77777777" w:rsidR="0072020E" w:rsidRPr="00BD2023" w:rsidRDefault="0072020E" w:rsidP="00480FB1">
      <w:pPr>
        <w:tabs>
          <w:tab w:val="left" w:pos="540"/>
          <w:tab w:val="left" w:pos="569"/>
        </w:tabs>
        <w:rPr>
          <w:b/>
          <w:bCs/>
          <w:sz w:val="22"/>
          <w:szCs w:val="22"/>
          <w:lang w:val="sr-Latn-ME"/>
        </w:rPr>
      </w:pPr>
    </w:p>
    <w:p w14:paraId="13FDA725" w14:textId="77777777" w:rsidR="0072020E" w:rsidRPr="00BD2023" w:rsidRDefault="0072020E" w:rsidP="00480FB1">
      <w:pPr>
        <w:tabs>
          <w:tab w:val="left" w:pos="540"/>
          <w:tab w:val="left" w:pos="569"/>
        </w:tabs>
        <w:rPr>
          <w:b/>
          <w:bCs/>
          <w:sz w:val="22"/>
          <w:szCs w:val="22"/>
          <w:lang w:val="sr-Latn-ME"/>
        </w:rPr>
      </w:pPr>
      <w:r w:rsidRPr="00BD2023">
        <w:rPr>
          <w:b/>
          <w:bCs/>
          <w:sz w:val="22"/>
          <w:szCs w:val="22"/>
          <w:lang w:val="sr-Latn-ME"/>
        </w:rPr>
        <w:t xml:space="preserve">4.8. </w:t>
      </w:r>
      <w:r w:rsidR="00480FB1" w:rsidRPr="00BD2023">
        <w:rPr>
          <w:b/>
          <w:bCs/>
          <w:sz w:val="22"/>
          <w:szCs w:val="22"/>
          <w:lang w:val="sr-Latn-ME"/>
        </w:rPr>
        <w:tab/>
      </w:r>
      <w:r w:rsidRPr="00BD2023">
        <w:rPr>
          <w:b/>
          <w:bCs/>
          <w:sz w:val="22"/>
          <w:szCs w:val="22"/>
          <w:lang w:val="sr-Latn-ME"/>
        </w:rPr>
        <w:t>Neželjena dejstva</w:t>
      </w:r>
    </w:p>
    <w:p w14:paraId="0501E606" w14:textId="77777777" w:rsidR="00C61A05" w:rsidRPr="00BD2023" w:rsidRDefault="00C61A05" w:rsidP="00480FB1">
      <w:pPr>
        <w:tabs>
          <w:tab w:val="left" w:pos="540"/>
          <w:tab w:val="left" w:pos="569"/>
        </w:tabs>
        <w:rPr>
          <w:b/>
          <w:bCs/>
          <w:sz w:val="22"/>
          <w:szCs w:val="22"/>
          <w:lang w:val="sr-Latn-ME"/>
        </w:rPr>
      </w:pPr>
    </w:p>
    <w:p w14:paraId="34E234C5" w14:textId="30F12D11" w:rsidR="00C61A05" w:rsidRPr="00BD2023" w:rsidRDefault="00C61A05" w:rsidP="00C61A05">
      <w:pPr>
        <w:tabs>
          <w:tab w:val="left" w:pos="540"/>
          <w:tab w:val="left" w:pos="569"/>
        </w:tabs>
        <w:rPr>
          <w:bCs/>
          <w:sz w:val="22"/>
          <w:szCs w:val="22"/>
          <w:u w:val="single"/>
          <w:lang w:val="sr-Latn-ME"/>
        </w:rPr>
      </w:pPr>
      <w:r w:rsidRPr="00BD2023">
        <w:rPr>
          <w:bCs/>
          <w:sz w:val="22"/>
          <w:szCs w:val="22"/>
          <w:u w:val="single"/>
          <w:lang w:val="sr-Latn-ME"/>
        </w:rPr>
        <w:t xml:space="preserve">Sažetak </w:t>
      </w:r>
      <w:r w:rsidR="00F73418" w:rsidRPr="00BD2023">
        <w:rPr>
          <w:bCs/>
          <w:sz w:val="22"/>
          <w:szCs w:val="22"/>
          <w:u w:val="single"/>
          <w:lang w:val="sr-Latn-ME"/>
        </w:rPr>
        <w:t>bezbjednos</w:t>
      </w:r>
      <w:r w:rsidRPr="00BD2023">
        <w:rPr>
          <w:bCs/>
          <w:sz w:val="22"/>
          <w:szCs w:val="22"/>
          <w:u w:val="single"/>
          <w:lang w:val="sr-Latn-ME"/>
        </w:rPr>
        <w:t>nog profila</w:t>
      </w:r>
    </w:p>
    <w:p w14:paraId="650F3312" w14:textId="77777777" w:rsidR="00C61A05" w:rsidRPr="00BD2023" w:rsidRDefault="00C61A05" w:rsidP="00BC480A">
      <w:pPr>
        <w:tabs>
          <w:tab w:val="left" w:pos="540"/>
          <w:tab w:val="left" w:pos="569"/>
        </w:tabs>
        <w:jc w:val="both"/>
        <w:rPr>
          <w:bCs/>
          <w:sz w:val="22"/>
          <w:szCs w:val="22"/>
          <w:u w:val="single"/>
          <w:lang w:val="sr-Latn-ME"/>
        </w:rPr>
      </w:pPr>
    </w:p>
    <w:p w14:paraId="13271AA6" w14:textId="434D1EC0" w:rsidR="00C61A05" w:rsidRPr="00BD2023" w:rsidRDefault="00C61A05" w:rsidP="00BC480A">
      <w:pPr>
        <w:tabs>
          <w:tab w:val="left" w:pos="540"/>
          <w:tab w:val="left" w:pos="569"/>
        </w:tabs>
        <w:jc w:val="both"/>
        <w:rPr>
          <w:bCs/>
          <w:sz w:val="22"/>
          <w:szCs w:val="22"/>
          <w:lang w:val="sr-Latn-ME"/>
        </w:rPr>
      </w:pPr>
      <w:r w:rsidRPr="00BD2023">
        <w:rPr>
          <w:bCs/>
          <w:sz w:val="22"/>
          <w:szCs w:val="22"/>
          <w:lang w:val="sr-Latn-ME"/>
        </w:rPr>
        <w:t xml:space="preserve">Kod pacijenata kod kojih SMA počinje u infantilnom periodu, najčešće </w:t>
      </w:r>
      <w:r w:rsidR="00DA48C3" w:rsidRPr="00BD2023">
        <w:rPr>
          <w:bCs/>
          <w:sz w:val="22"/>
          <w:szCs w:val="22"/>
          <w:lang w:val="sr-Latn-ME"/>
        </w:rPr>
        <w:t>zabilježen</w:t>
      </w:r>
      <w:r w:rsidRPr="00BD2023">
        <w:rPr>
          <w:bCs/>
          <w:sz w:val="22"/>
          <w:szCs w:val="22"/>
          <w:lang w:val="sr-Latn-ME"/>
        </w:rPr>
        <w:t xml:space="preserve">e neželjene reakcije u kliničkim studijama sa </w:t>
      </w:r>
      <w:r w:rsidR="007E5CF0" w:rsidRPr="00BD2023">
        <w:rPr>
          <w:bCs/>
          <w:sz w:val="22"/>
          <w:szCs w:val="22"/>
          <w:lang w:val="sr-Latn-ME"/>
        </w:rPr>
        <w:t>lijek</w:t>
      </w:r>
      <w:r w:rsidRPr="00BD2023">
        <w:rPr>
          <w:bCs/>
          <w:sz w:val="22"/>
          <w:szCs w:val="22"/>
          <w:lang w:val="sr-Latn-ME"/>
        </w:rPr>
        <w:t>om Evrysdi bile su pireksija (</w:t>
      </w:r>
      <w:r w:rsidR="000D7A7C" w:rsidRPr="00BD2023">
        <w:rPr>
          <w:bCs/>
          <w:sz w:val="22"/>
          <w:szCs w:val="22"/>
          <w:lang w:val="sr-Latn-ME"/>
        </w:rPr>
        <w:t>54,8</w:t>
      </w:r>
      <w:r w:rsidRPr="00BD2023">
        <w:rPr>
          <w:bCs/>
          <w:sz w:val="22"/>
          <w:szCs w:val="22"/>
          <w:lang w:val="sr-Latn-ME"/>
        </w:rPr>
        <w:t>%), osip (</w:t>
      </w:r>
      <w:r w:rsidR="000D7A7C" w:rsidRPr="00BD2023">
        <w:rPr>
          <w:bCs/>
          <w:sz w:val="22"/>
          <w:szCs w:val="22"/>
          <w:lang w:val="sr-Latn-ME"/>
        </w:rPr>
        <w:t>29,0</w:t>
      </w:r>
      <w:r w:rsidRPr="00BD2023">
        <w:rPr>
          <w:bCs/>
          <w:sz w:val="22"/>
          <w:szCs w:val="22"/>
          <w:lang w:val="sr-Latn-ME"/>
        </w:rPr>
        <w:t>%) i dijareja (</w:t>
      </w:r>
      <w:r w:rsidR="000D7A7C" w:rsidRPr="00BD2023">
        <w:rPr>
          <w:bCs/>
          <w:sz w:val="22"/>
          <w:szCs w:val="22"/>
          <w:lang w:val="sr-Latn-ME"/>
        </w:rPr>
        <w:t>19,4</w:t>
      </w:r>
      <w:r w:rsidRPr="00BD2023">
        <w:rPr>
          <w:bCs/>
          <w:sz w:val="22"/>
          <w:szCs w:val="22"/>
          <w:lang w:val="sr-Latn-ME"/>
        </w:rPr>
        <w:t>%).</w:t>
      </w:r>
    </w:p>
    <w:p w14:paraId="5E36155D" w14:textId="77777777" w:rsidR="00C61A05" w:rsidRPr="00BD2023" w:rsidRDefault="00C61A05" w:rsidP="00BC480A">
      <w:pPr>
        <w:tabs>
          <w:tab w:val="left" w:pos="540"/>
          <w:tab w:val="left" w:pos="569"/>
        </w:tabs>
        <w:jc w:val="both"/>
        <w:rPr>
          <w:bCs/>
          <w:i/>
          <w:sz w:val="22"/>
          <w:szCs w:val="22"/>
          <w:lang w:val="sr-Latn-ME"/>
        </w:rPr>
      </w:pPr>
    </w:p>
    <w:p w14:paraId="5BDE806D" w14:textId="77777777" w:rsidR="00C61A05" w:rsidRPr="00BD2023" w:rsidRDefault="00C61A05" w:rsidP="00BC480A">
      <w:pPr>
        <w:tabs>
          <w:tab w:val="left" w:pos="540"/>
          <w:tab w:val="left" w:pos="569"/>
        </w:tabs>
        <w:jc w:val="both"/>
        <w:rPr>
          <w:bCs/>
          <w:sz w:val="22"/>
          <w:szCs w:val="22"/>
          <w:lang w:val="sr-Latn-ME"/>
        </w:rPr>
      </w:pPr>
      <w:r w:rsidRPr="00BD2023">
        <w:rPr>
          <w:bCs/>
          <w:sz w:val="22"/>
          <w:szCs w:val="22"/>
          <w:lang w:val="sr-Latn-ME"/>
        </w:rPr>
        <w:t xml:space="preserve">Kod pacijenata kod kojih SMA počinje u kasnijem periodu, najčešće </w:t>
      </w:r>
      <w:r w:rsidR="00C02A23" w:rsidRPr="00BD2023">
        <w:rPr>
          <w:bCs/>
          <w:sz w:val="22"/>
          <w:szCs w:val="22"/>
          <w:lang w:val="sr-Latn-ME"/>
        </w:rPr>
        <w:t xml:space="preserve">zabilježene </w:t>
      </w:r>
      <w:r w:rsidRPr="00BD2023">
        <w:rPr>
          <w:bCs/>
          <w:sz w:val="22"/>
          <w:szCs w:val="22"/>
          <w:lang w:val="sr-Latn-ME"/>
        </w:rPr>
        <w:t xml:space="preserve">neželjene reakcije u kliničkim studijama sa </w:t>
      </w:r>
      <w:r w:rsidR="007E5CF0" w:rsidRPr="00BD2023">
        <w:rPr>
          <w:bCs/>
          <w:sz w:val="22"/>
          <w:szCs w:val="22"/>
          <w:lang w:val="sr-Latn-ME"/>
        </w:rPr>
        <w:t>lijek</w:t>
      </w:r>
      <w:r w:rsidRPr="00BD2023">
        <w:rPr>
          <w:bCs/>
          <w:sz w:val="22"/>
          <w:szCs w:val="22"/>
          <w:lang w:val="sr-Latn-ME"/>
        </w:rPr>
        <w:t>om Evrysdi bile su pireksija (21,7%), glavobolja (20,0%), dijareja (16,7%) i osip (16,7%).</w:t>
      </w:r>
    </w:p>
    <w:p w14:paraId="01F1C82B" w14:textId="77777777" w:rsidR="00C61A05" w:rsidRPr="00BD2023" w:rsidRDefault="00C61A05" w:rsidP="00BC480A">
      <w:pPr>
        <w:tabs>
          <w:tab w:val="left" w:pos="540"/>
          <w:tab w:val="left" w:pos="569"/>
        </w:tabs>
        <w:jc w:val="both"/>
        <w:rPr>
          <w:bCs/>
          <w:sz w:val="22"/>
          <w:szCs w:val="22"/>
          <w:lang w:val="sr-Latn-ME"/>
        </w:rPr>
      </w:pPr>
    </w:p>
    <w:p w14:paraId="3398C2AF" w14:textId="5262A93E" w:rsidR="00C61A05" w:rsidRPr="00BD2023" w:rsidRDefault="00C61A05" w:rsidP="00BC480A">
      <w:pPr>
        <w:tabs>
          <w:tab w:val="left" w:pos="540"/>
          <w:tab w:val="left" w:pos="569"/>
        </w:tabs>
        <w:jc w:val="both"/>
        <w:rPr>
          <w:bCs/>
          <w:sz w:val="22"/>
          <w:szCs w:val="22"/>
          <w:lang w:val="sr-Latn-ME"/>
        </w:rPr>
      </w:pPr>
      <w:r w:rsidRPr="00BD2023">
        <w:rPr>
          <w:bCs/>
          <w:sz w:val="22"/>
          <w:szCs w:val="22"/>
          <w:lang w:val="sr-Latn-ME"/>
        </w:rPr>
        <w:t xml:space="preserve">Prethodno pomenute neželjene reakcije javljale su se bez kliničkog ili vremenskog obrasca i generalno su prolazile uprkos </w:t>
      </w:r>
      <w:r w:rsidR="00417092" w:rsidRPr="00BD2023">
        <w:rPr>
          <w:bCs/>
          <w:sz w:val="22"/>
          <w:szCs w:val="22"/>
          <w:lang w:val="sr-Latn-ME"/>
        </w:rPr>
        <w:t>nastavku</w:t>
      </w:r>
      <w:r w:rsidRPr="00BD2023">
        <w:rPr>
          <w:bCs/>
          <w:sz w:val="22"/>
          <w:szCs w:val="22"/>
          <w:lang w:val="sr-Latn-ME"/>
        </w:rPr>
        <w:t xml:space="preserve"> terapij</w:t>
      </w:r>
      <w:r w:rsidR="00417092" w:rsidRPr="00BD2023">
        <w:rPr>
          <w:bCs/>
          <w:sz w:val="22"/>
          <w:szCs w:val="22"/>
          <w:lang w:val="sr-Latn-ME"/>
        </w:rPr>
        <w:t>e</w:t>
      </w:r>
      <w:r w:rsidRPr="00BD2023">
        <w:rPr>
          <w:bCs/>
          <w:sz w:val="22"/>
          <w:szCs w:val="22"/>
          <w:lang w:val="sr-Latn-ME"/>
        </w:rPr>
        <w:t xml:space="preserve"> kod pacijenata kod kojih SMA počinje u infantilnom i kasnijem periodu.</w:t>
      </w:r>
    </w:p>
    <w:p w14:paraId="2E03A084" w14:textId="6FC4BB40" w:rsidR="00740B8C" w:rsidRPr="00BD2023" w:rsidRDefault="00740B8C" w:rsidP="00BC480A">
      <w:pPr>
        <w:tabs>
          <w:tab w:val="left" w:pos="540"/>
          <w:tab w:val="left" w:pos="569"/>
        </w:tabs>
        <w:jc w:val="both"/>
        <w:rPr>
          <w:bCs/>
          <w:sz w:val="22"/>
          <w:szCs w:val="22"/>
          <w:lang w:val="sr-Latn-ME"/>
        </w:rPr>
      </w:pPr>
    </w:p>
    <w:p w14:paraId="69508C38" w14:textId="7C79B191" w:rsidR="00740B8C" w:rsidRPr="00BD2023" w:rsidRDefault="00740B8C" w:rsidP="00BC480A">
      <w:pPr>
        <w:tabs>
          <w:tab w:val="left" w:pos="540"/>
          <w:tab w:val="left" w:pos="569"/>
        </w:tabs>
        <w:jc w:val="both"/>
        <w:rPr>
          <w:bCs/>
          <w:sz w:val="22"/>
          <w:szCs w:val="22"/>
          <w:lang w:val="sr-Latn-ME"/>
        </w:rPr>
      </w:pPr>
      <w:r w:rsidRPr="00BD2023">
        <w:rPr>
          <w:bCs/>
          <w:sz w:val="22"/>
          <w:szCs w:val="22"/>
          <w:lang w:val="sr-Latn-ME"/>
        </w:rPr>
        <w:t xml:space="preserve">Na osnovu </w:t>
      </w:r>
      <w:r w:rsidR="003B6765">
        <w:rPr>
          <w:bCs/>
          <w:sz w:val="22"/>
          <w:szCs w:val="22"/>
          <w:lang w:val="sr-Latn-ME"/>
        </w:rPr>
        <w:t>primarne analize podataka iz</w:t>
      </w:r>
      <w:r w:rsidRPr="00BD2023">
        <w:rPr>
          <w:bCs/>
          <w:sz w:val="22"/>
          <w:szCs w:val="22"/>
          <w:lang w:val="sr-Latn-ME"/>
        </w:rPr>
        <w:t xml:space="preserve"> studij</w:t>
      </w:r>
      <w:r w:rsidR="003B6765">
        <w:rPr>
          <w:bCs/>
          <w:sz w:val="22"/>
          <w:szCs w:val="22"/>
          <w:lang w:val="sr-Latn-ME"/>
        </w:rPr>
        <w:t>e</w:t>
      </w:r>
      <w:r w:rsidRPr="00BD2023">
        <w:rPr>
          <w:bCs/>
          <w:sz w:val="22"/>
          <w:szCs w:val="22"/>
          <w:lang w:val="sr-Latn-ME"/>
        </w:rPr>
        <w:t xml:space="preserve"> RAINBOWFISH, bezbjednosni profil lijeka Evrysdi kod predsimptomatskih pacijenata u skladu je sa bezbjednosnim profilom lijeka kod pacijenata sa simptomatskom SMA sa početkom u uzrastu odojčeta i sa kasnijim početkom. U studiju RAINBOWFISH bilo je uključeno ukupno </w:t>
      </w:r>
      <w:r w:rsidR="003B6765">
        <w:rPr>
          <w:bCs/>
          <w:sz w:val="22"/>
          <w:szCs w:val="22"/>
          <w:lang w:val="sr-Latn-ME"/>
        </w:rPr>
        <w:t>26</w:t>
      </w:r>
      <w:r w:rsidR="003B6765" w:rsidRPr="00BD2023">
        <w:rPr>
          <w:bCs/>
          <w:sz w:val="22"/>
          <w:szCs w:val="22"/>
          <w:lang w:val="sr-Latn-ME"/>
        </w:rPr>
        <w:t xml:space="preserve"> </w:t>
      </w:r>
      <w:r w:rsidRPr="00BD2023">
        <w:rPr>
          <w:bCs/>
          <w:sz w:val="22"/>
          <w:szCs w:val="22"/>
          <w:lang w:val="sr-Latn-ME"/>
        </w:rPr>
        <w:t>pacijenata sa predsimptomatskom SMA uzrasta od 16 do 4</w:t>
      </w:r>
      <w:r w:rsidR="003B6765">
        <w:rPr>
          <w:bCs/>
          <w:sz w:val="22"/>
          <w:szCs w:val="22"/>
          <w:lang w:val="sr-Latn-ME"/>
        </w:rPr>
        <w:t>1</w:t>
      </w:r>
      <w:r w:rsidRPr="00BD2023">
        <w:rPr>
          <w:bCs/>
          <w:sz w:val="22"/>
          <w:szCs w:val="22"/>
          <w:lang w:val="sr-Latn-ME"/>
        </w:rPr>
        <w:t xml:space="preserve"> dan pri primjeni prve doze (raspon t</w:t>
      </w:r>
      <w:r w:rsidR="00E6573B" w:rsidRPr="00BD2023">
        <w:rPr>
          <w:bCs/>
          <w:sz w:val="22"/>
          <w:szCs w:val="22"/>
          <w:lang w:val="sr-Latn-ME"/>
        </w:rPr>
        <w:t>j</w:t>
      </w:r>
      <w:r w:rsidRPr="00BD2023">
        <w:rPr>
          <w:bCs/>
          <w:sz w:val="22"/>
          <w:szCs w:val="22"/>
          <w:lang w:val="sr-Latn-ME"/>
        </w:rPr>
        <w:t xml:space="preserve">elesne mase 3,1 do 5,7 kg). Medijana trajanja izloženosti iznosila je </w:t>
      </w:r>
      <w:r w:rsidR="003B6765">
        <w:rPr>
          <w:bCs/>
          <w:sz w:val="22"/>
          <w:szCs w:val="22"/>
          <w:lang w:val="sr-Latn-ME"/>
        </w:rPr>
        <w:t>20,4</w:t>
      </w:r>
      <w:r w:rsidRPr="00BD2023">
        <w:rPr>
          <w:bCs/>
          <w:sz w:val="22"/>
          <w:szCs w:val="22"/>
          <w:lang w:val="sr-Latn-ME"/>
        </w:rPr>
        <w:t xml:space="preserve"> mjesec</w:t>
      </w:r>
      <w:r w:rsidR="003B6765">
        <w:rPr>
          <w:bCs/>
          <w:sz w:val="22"/>
          <w:szCs w:val="22"/>
          <w:lang w:val="sr-Latn-ME"/>
        </w:rPr>
        <w:t>a</w:t>
      </w:r>
      <w:r w:rsidRPr="00BD2023">
        <w:rPr>
          <w:bCs/>
          <w:sz w:val="22"/>
          <w:szCs w:val="22"/>
          <w:lang w:val="sr-Latn-ME"/>
        </w:rPr>
        <w:t xml:space="preserve"> (raspon: </w:t>
      </w:r>
      <w:r w:rsidR="003B6765">
        <w:rPr>
          <w:bCs/>
          <w:sz w:val="22"/>
          <w:szCs w:val="22"/>
          <w:lang w:val="sr-Latn-ME"/>
        </w:rPr>
        <w:t>1</w:t>
      </w:r>
      <w:r w:rsidRPr="00BD2023">
        <w:rPr>
          <w:bCs/>
          <w:sz w:val="22"/>
          <w:szCs w:val="22"/>
          <w:lang w:val="sr-Latn-ME"/>
        </w:rPr>
        <w:t>0,</w:t>
      </w:r>
      <w:r w:rsidR="003B6765">
        <w:rPr>
          <w:bCs/>
          <w:sz w:val="22"/>
          <w:szCs w:val="22"/>
          <w:lang w:val="sr-Latn-ME"/>
        </w:rPr>
        <w:t>6</w:t>
      </w:r>
      <w:r w:rsidRPr="00BD2023">
        <w:rPr>
          <w:bCs/>
          <w:sz w:val="22"/>
          <w:szCs w:val="22"/>
          <w:lang w:val="sr-Latn-ME"/>
        </w:rPr>
        <w:t xml:space="preserve"> do </w:t>
      </w:r>
      <w:r w:rsidR="003B6765">
        <w:rPr>
          <w:bCs/>
          <w:sz w:val="22"/>
          <w:szCs w:val="22"/>
          <w:lang w:val="sr-Latn-ME"/>
        </w:rPr>
        <w:t>41,9</w:t>
      </w:r>
      <w:r w:rsidRPr="00BD2023">
        <w:rPr>
          <w:bCs/>
          <w:sz w:val="22"/>
          <w:szCs w:val="22"/>
          <w:lang w:val="sr-Latn-ME"/>
        </w:rPr>
        <w:t> mjeseci). Dostupni su ograničeni podaci iz perioda nakon stavljanja lijeka u promet u vezi primjene kod novorođenčadi &lt; 20 dana starosti.</w:t>
      </w:r>
    </w:p>
    <w:p w14:paraId="06717BBD" w14:textId="77777777" w:rsidR="00C61A05" w:rsidRPr="00BD2023" w:rsidRDefault="00C61A05" w:rsidP="00BC480A">
      <w:pPr>
        <w:tabs>
          <w:tab w:val="left" w:pos="540"/>
          <w:tab w:val="left" w:pos="569"/>
        </w:tabs>
        <w:jc w:val="both"/>
        <w:rPr>
          <w:bCs/>
          <w:sz w:val="22"/>
          <w:szCs w:val="22"/>
          <w:u w:val="single"/>
          <w:lang w:val="sr-Latn-ME"/>
        </w:rPr>
      </w:pPr>
    </w:p>
    <w:p w14:paraId="4AA4A2B4" w14:textId="69E4FE98" w:rsidR="00C61A05" w:rsidRPr="00BD2023" w:rsidRDefault="00C61A05" w:rsidP="00BC480A">
      <w:pPr>
        <w:tabs>
          <w:tab w:val="left" w:pos="540"/>
          <w:tab w:val="left" w:pos="569"/>
        </w:tabs>
        <w:jc w:val="both"/>
        <w:rPr>
          <w:bCs/>
          <w:sz w:val="22"/>
          <w:szCs w:val="22"/>
          <w:lang w:val="sr-Latn-ME"/>
        </w:rPr>
      </w:pPr>
      <w:r w:rsidRPr="00BD2023">
        <w:rPr>
          <w:bCs/>
          <w:sz w:val="22"/>
          <w:szCs w:val="22"/>
          <w:lang w:val="sr-Latn-ME"/>
        </w:rPr>
        <w:t xml:space="preserve">Takođe treba pogledati </w:t>
      </w:r>
      <w:r w:rsidR="00A76607" w:rsidRPr="00BD2023">
        <w:rPr>
          <w:bCs/>
          <w:sz w:val="22"/>
          <w:szCs w:val="22"/>
          <w:lang w:val="sr-Latn-ME"/>
        </w:rPr>
        <w:t xml:space="preserve">dio </w:t>
      </w:r>
      <w:r w:rsidRPr="00BD2023">
        <w:rPr>
          <w:bCs/>
          <w:sz w:val="22"/>
          <w:szCs w:val="22"/>
          <w:lang w:val="sr-Latn-ME"/>
        </w:rPr>
        <w:t xml:space="preserve">5.3 radi dejstava </w:t>
      </w:r>
      <w:r w:rsidR="007E5CF0" w:rsidRPr="00BD2023">
        <w:rPr>
          <w:bCs/>
          <w:sz w:val="22"/>
          <w:szCs w:val="22"/>
          <w:lang w:val="sr-Latn-ME"/>
        </w:rPr>
        <w:t>lijek</w:t>
      </w:r>
      <w:r w:rsidRPr="00BD2023">
        <w:rPr>
          <w:bCs/>
          <w:sz w:val="22"/>
          <w:szCs w:val="22"/>
          <w:lang w:val="sr-Latn-ME"/>
        </w:rPr>
        <w:t xml:space="preserve">a Evrysdi </w:t>
      </w:r>
      <w:r w:rsidR="00DA48C3" w:rsidRPr="00BD2023">
        <w:rPr>
          <w:bCs/>
          <w:sz w:val="22"/>
          <w:szCs w:val="22"/>
          <w:lang w:val="sr-Latn-ME"/>
        </w:rPr>
        <w:t>zabilježen</w:t>
      </w:r>
      <w:r w:rsidRPr="00BD2023">
        <w:rPr>
          <w:bCs/>
          <w:sz w:val="22"/>
          <w:szCs w:val="22"/>
          <w:lang w:val="sr-Latn-ME"/>
        </w:rPr>
        <w:t xml:space="preserve">ih u </w:t>
      </w:r>
      <w:r w:rsidR="00A76607" w:rsidRPr="00BD2023">
        <w:rPr>
          <w:bCs/>
          <w:sz w:val="22"/>
          <w:szCs w:val="22"/>
          <w:lang w:val="sr-Latn-ME"/>
        </w:rPr>
        <w:t>pret</w:t>
      </w:r>
      <w:r w:rsidRPr="00BD2023">
        <w:rPr>
          <w:bCs/>
          <w:sz w:val="22"/>
          <w:szCs w:val="22"/>
          <w:lang w:val="sr-Latn-ME"/>
        </w:rPr>
        <w:t>kliničkim studijama.</w:t>
      </w:r>
    </w:p>
    <w:p w14:paraId="2902B134" w14:textId="77777777" w:rsidR="00C61A05" w:rsidRPr="00BD2023" w:rsidRDefault="00C61A05" w:rsidP="00BC480A">
      <w:pPr>
        <w:tabs>
          <w:tab w:val="left" w:pos="540"/>
          <w:tab w:val="left" w:pos="569"/>
        </w:tabs>
        <w:jc w:val="both"/>
        <w:rPr>
          <w:bCs/>
          <w:sz w:val="22"/>
          <w:szCs w:val="22"/>
          <w:u w:val="single"/>
          <w:lang w:val="sr-Latn-ME"/>
        </w:rPr>
      </w:pPr>
    </w:p>
    <w:p w14:paraId="6754DB40" w14:textId="77777777" w:rsidR="00C61A05" w:rsidRPr="00BD2023" w:rsidRDefault="00C61A05" w:rsidP="00BC480A">
      <w:pPr>
        <w:tabs>
          <w:tab w:val="left" w:pos="540"/>
          <w:tab w:val="left" w:pos="569"/>
        </w:tabs>
        <w:jc w:val="both"/>
        <w:rPr>
          <w:bCs/>
          <w:sz w:val="22"/>
          <w:szCs w:val="22"/>
          <w:u w:val="single"/>
          <w:lang w:val="sr-Latn-ME"/>
        </w:rPr>
      </w:pPr>
      <w:r w:rsidRPr="00BD2023">
        <w:rPr>
          <w:bCs/>
          <w:sz w:val="22"/>
          <w:szCs w:val="22"/>
          <w:u w:val="single"/>
          <w:lang w:val="sr-Latn-ME"/>
        </w:rPr>
        <w:t>Tabelarni prikaz neželjenih reakcija</w:t>
      </w:r>
    </w:p>
    <w:p w14:paraId="3D6C0B67" w14:textId="7837DAB5" w:rsidR="00C61A05" w:rsidRPr="00BD2023" w:rsidRDefault="00C61A05" w:rsidP="00BC480A">
      <w:pPr>
        <w:tabs>
          <w:tab w:val="left" w:pos="540"/>
          <w:tab w:val="left" w:pos="569"/>
        </w:tabs>
        <w:jc w:val="both"/>
        <w:rPr>
          <w:bCs/>
          <w:sz w:val="22"/>
          <w:szCs w:val="22"/>
          <w:lang w:val="sr-Latn-ME"/>
        </w:rPr>
      </w:pPr>
      <w:r w:rsidRPr="00BD2023">
        <w:rPr>
          <w:bCs/>
          <w:sz w:val="22"/>
          <w:szCs w:val="22"/>
          <w:lang w:val="sr-Latn-ME"/>
        </w:rPr>
        <w:t xml:space="preserve">Odgovarajuća kategorija učestalosti za svaku neželjenu reakciju </w:t>
      </w:r>
      <w:r w:rsidR="00417092" w:rsidRPr="00BD2023">
        <w:rPr>
          <w:bCs/>
          <w:sz w:val="22"/>
          <w:szCs w:val="22"/>
          <w:lang w:val="sr-Latn-ME"/>
        </w:rPr>
        <w:t xml:space="preserve">definisana je na sljedeći način: </w:t>
      </w:r>
      <w:r w:rsidRPr="00BD2023">
        <w:rPr>
          <w:bCs/>
          <w:sz w:val="22"/>
          <w:szCs w:val="22"/>
          <w:lang w:val="sr-Latn-ME"/>
        </w:rPr>
        <w:t>veoma čest</w:t>
      </w:r>
      <w:r w:rsidR="001D5409" w:rsidRPr="00BD2023">
        <w:rPr>
          <w:bCs/>
          <w:sz w:val="22"/>
          <w:szCs w:val="22"/>
          <w:lang w:val="sr-Latn-ME"/>
        </w:rPr>
        <w:t xml:space="preserve">o </w:t>
      </w:r>
      <w:r w:rsidRPr="00BD2023">
        <w:rPr>
          <w:bCs/>
          <w:sz w:val="22"/>
          <w:szCs w:val="22"/>
          <w:lang w:val="sr-Latn-ME"/>
        </w:rPr>
        <w:t>(≥1/10), čest</w:t>
      </w:r>
      <w:r w:rsidR="001D5409" w:rsidRPr="00BD2023">
        <w:rPr>
          <w:bCs/>
          <w:sz w:val="22"/>
          <w:szCs w:val="22"/>
          <w:lang w:val="sr-Latn-ME"/>
        </w:rPr>
        <w:t>o</w:t>
      </w:r>
      <w:r w:rsidRPr="00BD2023">
        <w:rPr>
          <w:bCs/>
          <w:sz w:val="22"/>
          <w:szCs w:val="22"/>
          <w:lang w:val="sr-Latn-ME"/>
        </w:rPr>
        <w:t xml:space="preserve"> (≥1/100 do &lt;1/10), povremen</w:t>
      </w:r>
      <w:r w:rsidR="001D5409" w:rsidRPr="00BD2023">
        <w:rPr>
          <w:bCs/>
          <w:sz w:val="22"/>
          <w:szCs w:val="22"/>
          <w:lang w:val="sr-Latn-ME"/>
        </w:rPr>
        <w:t>o</w:t>
      </w:r>
      <w:r w:rsidRPr="00BD2023">
        <w:rPr>
          <w:bCs/>
          <w:sz w:val="22"/>
          <w:szCs w:val="22"/>
          <w:lang w:val="sr-Latn-ME"/>
        </w:rPr>
        <w:t xml:space="preserve"> (≥1/1000 do &lt;1/100), </w:t>
      </w:r>
      <w:r w:rsidR="00F73418" w:rsidRPr="00BD2023">
        <w:rPr>
          <w:bCs/>
          <w:sz w:val="22"/>
          <w:szCs w:val="22"/>
          <w:lang w:val="sr-Latn-ME"/>
        </w:rPr>
        <w:t>rijetk</w:t>
      </w:r>
      <w:r w:rsidR="001D5409" w:rsidRPr="00BD2023">
        <w:rPr>
          <w:bCs/>
          <w:sz w:val="22"/>
          <w:szCs w:val="22"/>
          <w:lang w:val="sr-Latn-ME"/>
        </w:rPr>
        <w:t>o</w:t>
      </w:r>
      <w:r w:rsidRPr="00BD2023">
        <w:rPr>
          <w:bCs/>
          <w:sz w:val="22"/>
          <w:szCs w:val="22"/>
          <w:lang w:val="sr-Latn-ME"/>
        </w:rPr>
        <w:t xml:space="preserve"> (1/10000 do &lt;1/1000), </w:t>
      </w:r>
      <w:r w:rsidRPr="00BD2023">
        <w:rPr>
          <w:bCs/>
          <w:sz w:val="22"/>
          <w:szCs w:val="22"/>
          <w:lang w:val="sr-Latn-ME"/>
        </w:rPr>
        <w:lastRenderedPageBreak/>
        <w:t xml:space="preserve">veoma </w:t>
      </w:r>
      <w:r w:rsidR="00F73418" w:rsidRPr="00BD2023">
        <w:rPr>
          <w:bCs/>
          <w:sz w:val="22"/>
          <w:szCs w:val="22"/>
          <w:lang w:val="sr-Latn-ME"/>
        </w:rPr>
        <w:t>rijetk</w:t>
      </w:r>
      <w:r w:rsidR="001D5409" w:rsidRPr="00BD2023">
        <w:rPr>
          <w:bCs/>
          <w:sz w:val="22"/>
          <w:szCs w:val="22"/>
          <w:lang w:val="sr-Latn-ME"/>
        </w:rPr>
        <w:t>o</w:t>
      </w:r>
      <w:r w:rsidRPr="00BD2023">
        <w:rPr>
          <w:bCs/>
          <w:sz w:val="22"/>
          <w:szCs w:val="22"/>
          <w:lang w:val="sr-Latn-ME"/>
        </w:rPr>
        <w:t xml:space="preserve"> (&lt;1/10000). Neželjene reakcije na </w:t>
      </w:r>
      <w:r w:rsidR="007E5CF0" w:rsidRPr="00BD2023">
        <w:rPr>
          <w:bCs/>
          <w:sz w:val="22"/>
          <w:szCs w:val="22"/>
          <w:lang w:val="sr-Latn-ME"/>
        </w:rPr>
        <w:t>lijek</w:t>
      </w:r>
      <w:r w:rsidRPr="00BD2023">
        <w:rPr>
          <w:bCs/>
          <w:sz w:val="22"/>
          <w:szCs w:val="22"/>
          <w:lang w:val="sr-Latn-ME"/>
        </w:rPr>
        <w:t xml:space="preserve"> iz kliničkih studija (tabela 2) navedene su prema klasi sistema organa MedDRA.</w:t>
      </w:r>
    </w:p>
    <w:p w14:paraId="74FE507F" w14:textId="77777777" w:rsidR="00C61A05" w:rsidRPr="00BD2023" w:rsidRDefault="00C61A05" w:rsidP="00BC480A">
      <w:pPr>
        <w:tabs>
          <w:tab w:val="left" w:pos="540"/>
          <w:tab w:val="left" w:pos="569"/>
        </w:tabs>
        <w:jc w:val="both"/>
        <w:rPr>
          <w:bCs/>
          <w:sz w:val="22"/>
          <w:szCs w:val="22"/>
          <w:lang w:val="sr-Latn-ME"/>
        </w:rPr>
      </w:pPr>
    </w:p>
    <w:p w14:paraId="5B630F6C" w14:textId="77777777" w:rsidR="00C61A05" w:rsidRPr="00BD2023" w:rsidRDefault="00C61A05" w:rsidP="00C61A05">
      <w:pPr>
        <w:tabs>
          <w:tab w:val="left" w:pos="540"/>
          <w:tab w:val="left" w:pos="569"/>
        </w:tabs>
        <w:rPr>
          <w:b/>
          <w:bCs/>
          <w:sz w:val="22"/>
          <w:szCs w:val="22"/>
          <w:lang w:val="sr-Latn-ME"/>
        </w:rPr>
      </w:pPr>
      <w:r w:rsidRPr="00BD2023">
        <w:rPr>
          <w:b/>
          <w:bCs/>
          <w:sz w:val="22"/>
          <w:szCs w:val="22"/>
          <w:lang w:val="sr-Latn-ME"/>
        </w:rPr>
        <w:t xml:space="preserve">Tabela 2. Neželjene reakcije na </w:t>
      </w:r>
      <w:r w:rsidR="007E5CF0" w:rsidRPr="00BD2023">
        <w:rPr>
          <w:b/>
          <w:bCs/>
          <w:sz w:val="22"/>
          <w:szCs w:val="22"/>
          <w:lang w:val="sr-Latn-ME"/>
        </w:rPr>
        <w:t>lijek</w:t>
      </w:r>
      <w:r w:rsidRPr="00BD2023">
        <w:rPr>
          <w:b/>
          <w:bCs/>
          <w:sz w:val="22"/>
          <w:szCs w:val="22"/>
          <w:lang w:val="sr-Latn-ME"/>
        </w:rPr>
        <w:t xml:space="preserve"> koje su se javljale kod pacijenata sa početkom SMA u infantilnom i kasnijem periodu na osnovu kliničkih studija sa </w:t>
      </w:r>
      <w:r w:rsidR="007E5CF0" w:rsidRPr="00BD2023">
        <w:rPr>
          <w:b/>
          <w:bCs/>
          <w:sz w:val="22"/>
          <w:szCs w:val="22"/>
          <w:lang w:val="sr-Latn-ME"/>
        </w:rPr>
        <w:t>lijek</w:t>
      </w:r>
      <w:r w:rsidRPr="00BD2023">
        <w:rPr>
          <w:b/>
          <w:bCs/>
          <w:sz w:val="22"/>
          <w:szCs w:val="22"/>
          <w:lang w:val="sr-Latn-ME"/>
        </w:rPr>
        <w:t>om Evrysdi</w:t>
      </w:r>
    </w:p>
    <w:p w14:paraId="025382AC" w14:textId="77777777" w:rsidR="00C61A05" w:rsidRPr="00BD2023" w:rsidRDefault="00C61A05" w:rsidP="00C61A05">
      <w:pPr>
        <w:tabs>
          <w:tab w:val="left" w:pos="540"/>
          <w:tab w:val="left" w:pos="569"/>
        </w:tabs>
        <w:rPr>
          <w:b/>
          <w:bCs/>
          <w:sz w:val="22"/>
          <w:szCs w:val="22"/>
          <w:lang w:val="sr-Latn-ME"/>
        </w:rPr>
      </w:pPr>
    </w:p>
    <w:tbl>
      <w:tblPr>
        <w:tblW w:w="8195" w:type="dxa"/>
        <w:tblInd w:w="872" w:type="dxa"/>
        <w:tblLayout w:type="fixed"/>
        <w:tblCellMar>
          <w:left w:w="57" w:type="dxa"/>
          <w:right w:w="57" w:type="dxa"/>
        </w:tblCellMar>
        <w:tblLook w:val="0000" w:firstRow="0" w:lastRow="0" w:firstColumn="0" w:lastColumn="0" w:noHBand="0" w:noVBand="0"/>
      </w:tblPr>
      <w:tblGrid>
        <w:gridCol w:w="2424"/>
        <w:gridCol w:w="2711"/>
        <w:gridCol w:w="3060"/>
      </w:tblGrid>
      <w:tr w:rsidR="00C61A05" w:rsidRPr="00BD2023" w14:paraId="3C04BFFB" w14:textId="77777777" w:rsidTr="00F77D20">
        <w:trPr>
          <w:cantSplit/>
          <w:trHeight w:val="764"/>
        </w:trPr>
        <w:tc>
          <w:tcPr>
            <w:tcW w:w="2424" w:type="dxa"/>
            <w:tcBorders>
              <w:top w:val="single" w:sz="4" w:space="0" w:color="auto"/>
              <w:left w:val="single" w:sz="4" w:space="0" w:color="auto"/>
              <w:bottom w:val="single" w:sz="4" w:space="0" w:color="auto"/>
              <w:right w:val="single" w:sz="4" w:space="0" w:color="auto"/>
            </w:tcBorders>
          </w:tcPr>
          <w:p w14:paraId="58C8AB31" w14:textId="77777777" w:rsidR="00C61A05" w:rsidRPr="00BD2023" w:rsidRDefault="00C61A05" w:rsidP="00F77D20">
            <w:pPr>
              <w:pStyle w:val="TableCell10Left"/>
              <w:spacing w:before="0" w:after="0" w:line="240" w:lineRule="auto"/>
              <w:jc w:val="center"/>
              <w:rPr>
                <w:rFonts w:ascii="Times New Roman" w:hAnsi="Times New Roman"/>
                <w:b/>
                <w:sz w:val="22"/>
                <w:szCs w:val="22"/>
                <w:lang w:val="sr-Latn-ME"/>
              </w:rPr>
            </w:pPr>
            <w:bookmarkStart w:id="1" w:name="OLE_LINK3"/>
            <w:bookmarkStart w:id="2" w:name="OLE_LINK4"/>
            <w:r w:rsidRPr="00BD2023">
              <w:rPr>
                <w:rFonts w:ascii="Times New Roman" w:hAnsi="Times New Roman"/>
                <w:b/>
                <w:bCs/>
                <w:sz w:val="22"/>
                <w:szCs w:val="22"/>
                <w:lang w:val="sr-Latn-ME"/>
              </w:rPr>
              <w:t>Klasa sistema organa</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255C652D" w14:textId="77777777" w:rsidR="00C61A05" w:rsidRPr="00BD2023" w:rsidRDefault="00C61A05" w:rsidP="00F77D20">
            <w:pPr>
              <w:pStyle w:val="TableCell10Center"/>
              <w:spacing w:before="0" w:after="0" w:line="240" w:lineRule="auto"/>
              <w:rPr>
                <w:rFonts w:ascii="Times New Roman" w:hAnsi="Times New Roman"/>
                <w:sz w:val="22"/>
                <w:szCs w:val="22"/>
                <w:lang w:val="sr-Latn-ME"/>
              </w:rPr>
            </w:pPr>
            <w:r w:rsidRPr="00BD2023">
              <w:rPr>
                <w:rFonts w:ascii="Times New Roman" w:hAnsi="Times New Roman"/>
                <w:sz w:val="22"/>
                <w:szCs w:val="22"/>
                <w:lang w:val="sr-Latn-ME"/>
              </w:rPr>
              <w:t>Početak SMA u infantilnom periodu (tip 1)</w:t>
            </w:r>
          </w:p>
        </w:tc>
        <w:tc>
          <w:tcPr>
            <w:tcW w:w="3060" w:type="dxa"/>
            <w:tcBorders>
              <w:top w:val="single" w:sz="4" w:space="0" w:color="auto"/>
              <w:left w:val="single" w:sz="4" w:space="0" w:color="auto"/>
              <w:bottom w:val="single" w:sz="4" w:space="0" w:color="auto"/>
              <w:right w:val="single" w:sz="4" w:space="0" w:color="auto"/>
            </w:tcBorders>
            <w:vAlign w:val="center"/>
          </w:tcPr>
          <w:p w14:paraId="64A228D1" w14:textId="77777777" w:rsidR="00C61A05" w:rsidRPr="00BD2023" w:rsidRDefault="00C61A05" w:rsidP="00F77D20">
            <w:pPr>
              <w:pStyle w:val="TableCell10Center"/>
              <w:spacing w:before="0" w:after="0" w:line="240" w:lineRule="auto"/>
              <w:rPr>
                <w:rFonts w:ascii="Times New Roman" w:hAnsi="Times New Roman"/>
                <w:sz w:val="22"/>
                <w:szCs w:val="22"/>
                <w:lang w:val="sr-Latn-ME"/>
              </w:rPr>
            </w:pPr>
            <w:r w:rsidRPr="00BD2023">
              <w:rPr>
                <w:rFonts w:ascii="Times New Roman" w:hAnsi="Times New Roman"/>
                <w:sz w:val="22"/>
                <w:szCs w:val="22"/>
                <w:lang w:val="sr-Latn-ME"/>
              </w:rPr>
              <w:t>Početak SMA u kasnijem periodu (tip 2 i 3)</w:t>
            </w:r>
          </w:p>
        </w:tc>
      </w:tr>
      <w:tr w:rsidR="00C61A05" w:rsidRPr="00BD2023" w14:paraId="184ED1F2" w14:textId="77777777" w:rsidTr="00F77D20">
        <w:trPr>
          <w:cantSplit/>
          <w:trHeight w:val="315"/>
        </w:trPr>
        <w:tc>
          <w:tcPr>
            <w:tcW w:w="8195" w:type="dxa"/>
            <w:gridSpan w:val="3"/>
            <w:tcBorders>
              <w:left w:val="single" w:sz="4" w:space="0" w:color="auto"/>
              <w:bottom w:val="single" w:sz="4" w:space="0" w:color="auto"/>
              <w:right w:val="single" w:sz="4" w:space="0" w:color="auto"/>
            </w:tcBorders>
          </w:tcPr>
          <w:p w14:paraId="1D45C2CC" w14:textId="77777777" w:rsidR="00C61A05" w:rsidRPr="00BD2023" w:rsidRDefault="00C61A05" w:rsidP="00F77D20">
            <w:pPr>
              <w:pStyle w:val="TableCell10Center"/>
              <w:spacing w:before="0" w:after="0" w:line="240" w:lineRule="auto"/>
              <w:ind w:left="93"/>
              <w:jc w:val="left"/>
              <w:rPr>
                <w:rFonts w:ascii="Times New Roman" w:eastAsia="MS Mincho" w:hAnsi="Times New Roman"/>
                <w:b/>
                <w:sz w:val="22"/>
                <w:szCs w:val="22"/>
                <w:lang w:val="sr-Latn-ME"/>
              </w:rPr>
            </w:pPr>
            <w:r w:rsidRPr="00BD2023">
              <w:rPr>
                <w:rFonts w:ascii="Times New Roman" w:eastAsia="MS Mincho" w:hAnsi="Times New Roman"/>
                <w:b/>
                <w:bCs/>
                <w:sz w:val="22"/>
                <w:szCs w:val="22"/>
                <w:lang w:val="sr-Latn-ME"/>
              </w:rPr>
              <w:t>Gastrointestinalni poremećaji</w:t>
            </w:r>
          </w:p>
        </w:tc>
      </w:tr>
      <w:tr w:rsidR="00C61A05" w:rsidRPr="00BD2023" w14:paraId="4D622FA3" w14:textId="77777777" w:rsidTr="00F77D20">
        <w:trPr>
          <w:cantSplit/>
          <w:trHeight w:val="315"/>
        </w:trPr>
        <w:tc>
          <w:tcPr>
            <w:tcW w:w="2424" w:type="dxa"/>
            <w:tcBorders>
              <w:left w:val="single" w:sz="4" w:space="0" w:color="auto"/>
              <w:bottom w:val="single" w:sz="4" w:space="0" w:color="auto"/>
              <w:right w:val="single" w:sz="4" w:space="0" w:color="auto"/>
            </w:tcBorders>
          </w:tcPr>
          <w:p w14:paraId="22D8EF7B" w14:textId="25A80F8B" w:rsidR="00C61A05" w:rsidRPr="00BD2023" w:rsidRDefault="002018B4" w:rsidP="00F77D20">
            <w:pPr>
              <w:pStyle w:val="TableCell10Center"/>
              <w:spacing w:before="0" w:after="0" w:line="240" w:lineRule="auto"/>
              <w:ind w:left="93"/>
              <w:jc w:val="left"/>
              <w:rPr>
                <w:rFonts w:ascii="Times New Roman" w:eastAsia="MS Mincho" w:hAnsi="Times New Roman"/>
                <w:sz w:val="22"/>
                <w:szCs w:val="22"/>
                <w:lang w:val="sr-Latn-ME"/>
              </w:rPr>
            </w:pPr>
            <w:r w:rsidRPr="00BD2023">
              <w:rPr>
                <w:rFonts w:ascii="Times New Roman" w:eastAsia="MS Mincho" w:hAnsi="Times New Roman"/>
                <w:sz w:val="22"/>
                <w:szCs w:val="22"/>
                <w:lang w:val="sr-Latn-ME"/>
              </w:rPr>
              <w:t>D</w:t>
            </w:r>
            <w:r w:rsidR="00C61A05" w:rsidRPr="00BD2023">
              <w:rPr>
                <w:rFonts w:ascii="Times New Roman" w:eastAsia="MS Mincho" w:hAnsi="Times New Roman"/>
                <w:sz w:val="22"/>
                <w:szCs w:val="22"/>
                <w:lang w:val="sr-Latn-ME"/>
              </w:rPr>
              <w:t>ijareja</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77680EDB" w14:textId="11CE4632" w:rsidR="00C61A05" w:rsidRPr="00BD2023" w:rsidRDefault="00C61A05" w:rsidP="00F77D20">
            <w:pPr>
              <w:pStyle w:val="TableCell10Center"/>
              <w:spacing w:before="0" w:after="0" w:line="240" w:lineRule="auto"/>
              <w:ind w:left="88"/>
              <w:rPr>
                <w:rFonts w:ascii="Times New Roman" w:eastAsia="MS Mincho" w:hAnsi="Times New Roman"/>
                <w:sz w:val="22"/>
                <w:szCs w:val="22"/>
                <w:lang w:val="sr-Latn-ME"/>
              </w:rPr>
            </w:pPr>
            <w:r w:rsidRPr="00BD2023">
              <w:rPr>
                <w:rFonts w:ascii="Times New Roman" w:eastAsia="MS Mincho" w:hAnsi="Times New Roman"/>
                <w:sz w:val="22"/>
                <w:szCs w:val="22"/>
                <w:lang w:val="sr-Latn-ME"/>
              </w:rPr>
              <w:t>Veoma čest</w:t>
            </w:r>
            <w:r w:rsidR="001D5409" w:rsidRPr="00BD2023">
              <w:rPr>
                <w:rFonts w:ascii="Times New Roman" w:eastAsia="MS Mincho" w:hAnsi="Times New Roman"/>
                <w:sz w:val="22"/>
                <w:szCs w:val="22"/>
                <w:lang w:val="sr-Latn-ME"/>
              </w:rPr>
              <w:t>o</w:t>
            </w:r>
          </w:p>
        </w:tc>
        <w:tc>
          <w:tcPr>
            <w:tcW w:w="3060" w:type="dxa"/>
            <w:tcBorders>
              <w:top w:val="single" w:sz="4" w:space="0" w:color="auto"/>
              <w:left w:val="single" w:sz="4" w:space="0" w:color="auto"/>
              <w:bottom w:val="single" w:sz="4" w:space="0" w:color="auto"/>
              <w:right w:val="single" w:sz="4" w:space="0" w:color="auto"/>
            </w:tcBorders>
            <w:vAlign w:val="center"/>
          </w:tcPr>
          <w:p w14:paraId="6E0EEB35" w14:textId="3167AA22" w:rsidR="00C61A05" w:rsidRPr="00BD2023" w:rsidRDefault="00C61A05" w:rsidP="00F77D20">
            <w:pPr>
              <w:pStyle w:val="TableCell10Center"/>
              <w:spacing w:before="0" w:after="0" w:line="240" w:lineRule="auto"/>
              <w:ind w:left="88"/>
              <w:rPr>
                <w:rFonts w:ascii="Times New Roman" w:eastAsia="MS Mincho" w:hAnsi="Times New Roman"/>
                <w:sz w:val="22"/>
                <w:szCs w:val="22"/>
                <w:lang w:val="sr-Latn-ME"/>
              </w:rPr>
            </w:pPr>
            <w:r w:rsidRPr="00BD2023">
              <w:rPr>
                <w:rFonts w:ascii="Times New Roman" w:eastAsia="MS Mincho" w:hAnsi="Times New Roman"/>
                <w:sz w:val="22"/>
                <w:szCs w:val="22"/>
                <w:lang w:val="sr-Latn-ME"/>
              </w:rPr>
              <w:t>Veoma čest</w:t>
            </w:r>
            <w:r w:rsidR="001D5409" w:rsidRPr="00BD2023">
              <w:rPr>
                <w:rFonts w:ascii="Times New Roman" w:eastAsia="MS Mincho" w:hAnsi="Times New Roman"/>
                <w:sz w:val="22"/>
                <w:szCs w:val="22"/>
                <w:lang w:val="sr-Latn-ME"/>
              </w:rPr>
              <w:t>o</w:t>
            </w:r>
          </w:p>
        </w:tc>
      </w:tr>
      <w:tr w:rsidR="00C61A05" w:rsidRPr="00BD2023" w14:paraId="4932E5CD" w14:textId="77777777" w:rsidTr="00F77D20">
        <w:trPr>
          <w:cantSplit/>
          <w:trHeight w:val="315"/>
        </w:trPr>
        <w:tc>
          <w:tcPr>
            <w:tcW w:w="2424" w:type="dxa"/>
            <w:tcBorders>
              <w:left w:val="single" w:sz="4" w:space="0" w:color="auto"/>
              <w:bottom w:val="single" w:sz="4" w:space="0" w:color="auto"/>
              <w:right w:val="single" w:sz="4" w:space="0" w:color="auto"/>
            </w:tcBorders>
          </w:tcPr>
          <w:p w14:paraId="4ACA62E5" w14:textId="77777777" w:rsidR="00C61A05" w:rsidRPr="00BD2023" w:rsidRDefault="00C61A05" w:rsidP="00F77D20">
            <w:pPr>
              <w:pStyle w:val="TableCell10Center"/>
              <w:spacing w:before="0" w:after="0" w:line="240" w:lineRule="auto"/>
              <w:ind w:left="93"/>
              <w:jc w:val="left"/>
              <w:rPr>
                <w:rFonts w:ascii="Times New Roman" w:eastAsia="MS Mincho" w:hAnsi="Times New Roman"/>
                <w:sz w:val="22"/>
                <w:szCs w:val="22"/>
                <w:lang w:val="sr-Latn-ME"/>
              </w:rPr>
            </w:pPr>
            <w:r w:rsidRPr="00BD2023">
              <w:rPr>
                <w:rFonts w:ascii="Times New Roman" w:eastAsia="MS Mincho" w:hAnsi="Times New Roman"/>
                <w:sz w:val="22"/>
                <w:szCs w:val="22"/>
                <w:lang w:val="sr-Latn-ME"/>
              </w:rPr>
              <w:t>Mučnina</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5140CD7F" w14:textId="4D3022EF" w:rsidR="00C61A05" w:rsidRPr="00BD2023" w:rsidRDefault="00C61A05" w:rsidP="00F77D20">
            <w:pPr>
              <w:pStyle w:val="TableCell10Center"/>
              <w:spacing w:before="0" w:after="0" w:line="240" w:lineRule="auto"/>
              <w:ind w:left="88"/>
              <w:rPr>
                <w:rFonts w:ascii="Times New Roman" w:eastAsia="MS Mincho" w:hAnsi="Times New Roman"/>
                <w:sz w:val="22"/>
                <w:szCs w:val="22"/>
                <w:lang w:val="sr-Latn-ME"/>
              </w:rPr>
            </w:pPr>
            <w:r w:rsidRPr="00BD2023">
              <w:rPr>
                <w:rFonts w:ascii="Times New Roman" w:eastAsia="MS Mincho" w:hAnsi="Times New Roman"/>
                <w:sz w:val="22"/>
                <w:szCs w:val="22"/>
                <w:lang w:val="sr-Latn-ME"/>
              </w:rPr>
              <w:t xml:space="preserve">Nije </w:t>
            </w:r>
            <w:r w:rsidR="000956D5" w:rsidRPr="00BD2023">
              <w:rPr>
                <w:rFonts w:ascii="Times New Roman" w:eastAsia="MS Mincho" w:hAnsi="Times New Roman"/>
                <w:sz w:val="22"/>
                <w:szCs w:val="22"/>
                <w:lang w:val="sr-Latn-ME"/>
              </w:rPr>
              <w:t>primjenjivo</w:t>
            </w:r>
          </w:p>
        </w:tc>
        <w:tc>
          <w:tcPr>
            <w:tcW w:w="3060" w:type="dxa"/>
            <w:tcBorders>
              <w:top w:val="single" w:sz="4" w:space="0" w:color="auto"/>
              <w:left w:val="single" w:sz="4" w:space="0" w:color="auto"/>
              <w:bottom w:val="single" w:sz="4" w:space="0" w:color="auto"/>
              <w:right w:val="single" w:sz="4" w:space="0" w:color="auto"/>
            </w:tcBorders>
            <w:vAlign w:val="center"/>
          </w:tcPr>
          <w:p w14:paraId="3E1866F7" w14:textId="70F69624" w:rsidR="00C61A05" w:rsidRPr="00BD2023" w:rsidRDefault="00C61A05" w:rsidP="00F77D20">
            <w:pPr>
              <w:pStyle w:val="TableCell10Center"/>
              <w:spacing w:before="0" w:after="0" w:line="240" w:lineRule="auto"/>
              <w:ind w:left="88"/>
              <w:rPr>
                <w:rFonts w:ascii="Times New Roman" w:eastAsia="MS Mincho" w:hAnsi="Times New Roman"/>
                <w:sz w:val="22"/>
                <w:szCs w:val="22"/>
                <w:lang w:val="sr-Latn-ME"/>
              </w:rPr>
            </w:pPr>
            <w:r w:rsidRPr="00BD2023">
              <w:rPr>
                <w:rFonts w:ascii="Times New Roman" w:eastAsia="MS Mincho" w:hAnsi="Times New Roman"/>
                <w:sz w:val="22"/>
                <w:szCs w:val="22"/>
                <w:lang w:val="sr-Latn-ME"/>
              </w:rPr>
              <w:t>Čest</w:t>
            </w:r>
            <w:r w:rsidR="001D5409" w:rsidRPr="00BD2023">
              <w:rPr>
                <w:rFonts w:ascii="Times New Roman" w:eastAsia="MS Mincho" w:hAnsi="Times New Roman"/>
                <w:sz w:val="22"/>
                <w:szCs w:val="22"/>
                <w:lang w:val="sr-Latn-ME"/>
              </w:rPr>
              <w:t>o</w:t>
            </w:r>
          </w:p>
        </w:tc>
      </w:tr>
      <w:tr w:rsidR="00C61A05" w:rsidRPr="00BD2023" w14:paraId="4C8D977B" w14:textId="77777777" w:rsidTr="00F77D20">
        <w:trPr>
          <w:cantSplit/>
          <w:trHeight w:val="315"/>
        </w:trPr>
        <w:tc>
          <w:tcPr>
            <w:tcW w:w="2424" w:type="dxa"/>
            <w:tcBorders>
              <w:left w:val="single" w:sz="4" w:space="0" w:color="auto"/>
              <w:bottom w:val="single" w:sz="4" w:space="0" w:color="auto"/>
              <w:right w:val="single" w:sz="4" w:space="0" w:color="auto"/>
            </w:tcBorders>
          </w:tcPr>
          <w:p w14:paraId="40A6BBAB" w14:textId="6FD5B41E" w:rsidR="00C61A05" w:rsidRPr="00BD2023" w:rsidRDefault="00C61A05" w:rsidP="00F77D20">
            <w:pPr>
              <w:pStyle w:val="TableCell10Center"/>
              <w:spacing w:before="0" w:after="0" w:line="240" w:lineRule="auto"/>
              <w:ind w:left="93"/>
              <w:jc w:val="left"/>
              <w:rPr>
                <w:rFonts w:ascii="Times New Roman" w:eastAsia="MS Mincho" w:hAnsi="Times New Roman"/>
                <w:sz w:val="22"/>
                <w:szCs w:val="22"/>
                <w:lang w:val="sr-Latn-ME"/>
              </w:rPr>
            </w:pPr>
            <w:r w:rsidRPr="00BD2023">
              <w:rPr>
                <w:rFonts w:ascii="Times New Roman" w:eastAsia="MS Mincho" w:hAnsi="Times New Roman"/>
                <w:sz w:val="22"/>
                <w:szCs w:val="22"/>
                <w:lang w:val="sr-Latn-ME"/>
              </w:rPr>
              <w:t>Ulceracije u ustima i aftozni ulceri</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577A72ED" w14:textId="3EEAE155" w:rsidR="00C61A05" w:rsidRPr="00BD2023" w:rsidRDefault="00C61A05" w:rsidP="00F77D20">
            <w:pPr>
              <w:pStyle w:val="TableCell10Center"/>
              <w:spacing w:before="0" w:after="0" w:line="240" w:lineRule="auto"/>
              <w:ind w:left="88"/>
              <w:rPr>
                <w:rFonts w:ascii="Times New Roman" w:eastAsia="MS Mincho" w:hAnsi="Times New Roman"/>
                <w:sz w:val="22"/>
                <w:szCs w:val="22"/>
                <w:lang w:val="sr-Latn-ME"/>
              </w:rPr>
            </w:pPr>
            <w:r w:rsidRPr="00BD2023">
              <w:rPr>
                <w:rFonts w:ascii="Times New Roman" w:eastAsia="MS Mincho" w:hAnsi="Times New Roman"/>
                <w:sz w:val="22"/>
                <w:szCs w:val="22"/>
                <w:lang w:val="sr-Latn-ME"/>
              </w:rPr>
              <w:t>Čest</w:t>
            </w:r>
            <w:r w:rsidR="001D5409" w:rsidRPr="00BD2023">
              <w:rPr>
                <w:rFonts w:ascii="Times New Roman" w:eastAsia="MS Mincho" w:hAnsi="Times New Roman"/>
                <w:sz w:val="22"/>
                <w:szCs w:val="22"/>
                <w:lang w:val="sr-Latn-ME"/>
              </w:rPr>
              <w:t>o</w:t>
            </w:r>
          </w:p>
        </w:tc>
        <w:tc>
          <w:tcPr>
            <w:tcW w:w="3060" w:type="dxa"/>
            <w:tcBorders>
              <w:top w:val="single" w:sz="4" w:space="0" w:color="auto"/>
              <w:left w:val="single" w:sz="4" w:space="0" w:color="auto"/>
              <w:bottom w:val="single" w:sz="4" w:space="0" w:color="auto"/>
              <w:right w:val="single" w:sz="4" w:space="0" w:color="auto"/>
            </w:tcBorders>
            <w:vAlign w:val="center"/>
          </w:tcPr>
          <w:p w14:paraId="0F97C5D8" w14:textId="53D35644" w:rsidR="00C61A05" w:rsidRPr="00BD2023" w:rsidRDefault="00C61A05" w:rsidP="00F77D20">
            <w:pPr>
              <w:pStyle w:val="TableCell10Center"/>
              <w:spacing w:before="0" w:after="0" w:line="240" w:lineRule="auto"/>
              <w:ind w:left="88"/>
              <w:rPr>
                <w:rFonts w:ascii="Times New Roman" w:eastAsia="MS Mincho" w:hAnsi="Times New Roman"/>
                <w:sz w:val="22"/>
                <w:szCs w:val="22"/>
                <w:lang w:val="sr-Latn-ME"/>
              </w:rPr>
            </w:pPr>
            <w:r w:rsidRPr="00BD2023">
              <w:rPr>
                <w:rFonts w:ascii="Times New Roman" w:eastAsia="MS Mincho" w:hAnsi="Times New Roman"/>
                <w:sz w:val="22"/>
                <w:szCs w:val="22"/>
                <w:lang w:val="sr-Latn-ME"/>
              </w:rPr>
              <w:t>Čest</w:t>
            </w:r>
            <w:r w:rsidR="001D5409" w:rsidRPr="00BD2023">
              <w:rPr>
                <w:rFonts w:ascii="Times New Roman" w:eastAsia="MS Mincho" w:hAnsi="Times New Roman"/>
                <w:sz w:val="22"/>
                <w:szCs w:val="22"/>
                <w:lang w:val="sr-Latn-ME"/>
              </w:rPr>
              <w:t>o</w:t>
            </w:r>
          </w:p>
        </w:tc>
      </w:tr>
      <w:tr w:rsidR="00C61A05" w:rsidRPr="00BD2023" w14:paraId="66CEDD9C" w14:textId="77777777" w:rsidTr="00F77D20">
        <w:trPr>
          <w:cantSplit/>
          <w:trHeight w:val="315"/>
        </w:trPr>
        <w:tc>
          <w:tcPr>
            <w:tcW w:w="8195" w:type="dxa"/>
            <w:gridSpan w:val="3"/>
            <w:tcBorders>
              <w:top w:val="single" w:sz="4" w:space="0" w:color="auto"/>
              <w:left w:val="single" w:sz="4" w:space="0" w:color="auto"/>
              <w:bottom w:val="single" w:sz="4" w:space="0" w:color="auto"/>
              <w:right w:val="single" w:sz="4" w:space="0" w:color="auto"/>
            </w:tcBorders>
          </w:tcPr>
          <w:p w14:paraId="6EF9235F" w14:textId="77777777" w:rsidR="00C61A05" w:rsidRPr="00BD2023" w:rsidRDefault="00C61A05" w:rsidP="00F77D20">
            <w:pPr>
              <w:pStyle w:val="TableCell10Center"/>
              <w:spacing w:before="92" w:after="0" w:line="240" w:lineRule="auto"/>
              <w:ind w:left="93"/>
              <w:jc w:val="left"/>
              <w:rPr>
                <w:rFonts w:ascii="Times New Roman" w:eastAsia="MS Mincho" w:hAnsi="Times New Roman"/>
                <w:b/>
                <w:sz w:val="22"/>
                <w:szCs w:val="22"/>
                <w:lang w:val="sr-Latn-ME"/>
              </w:rPr>
            </w:pPr>
            <w:r w:rsidRPr="00BD2023">
              <w:rPr>
                <w:rFonts w:ascii="Times New Roman" w:eastAsia="MS Mincho" w:hAnsi="Times New Roman"/>
                <w:b/>
                <w:bCs/>
                <w:sz w:val="22"/>
                <w:szCs w:val="22"/>
                <w:lang w:val="sr-Latn-ME"/>
              </w:rPr>
              <w:t>Poremećaji kože i potkožnog tkiva</w:t>
            </w:r>
          </w:p>
        </w:tc>
      </w:tr>
      <w:tr w:rsidR="00C61A05" w:rsidRPr="00BD2023" w14:paraId="2A5FBA40" w14:textId="77777777" w:rsidTr="00F77D20">
        <w:trPr>
          <w:cantSplit/>
          <w:trHeight w:val="315"/>
        </w:trPr>
        <w:tc>
          <w:tcPr>
            <w:tcW w:w="2424" w:type="dxa"/>
            <w:tcBorders>
              <w:top w:val="single" w:sz="4" w:space="0" w:color="auto"/>
              <w:left w:val="single" w:sz="4" w:space="0" w:color="auto"/>
              <w:bottom w:val="single" w:sz="4" w:space="0" w:color="auto"/>
              <w:right w:val="single" w:sz="4" w:space="0" w:color="auto"/>
            </w:tcBorders>
          </w:tcPr>
          <w:p w14:paraId="29188B4E" w14:textId="77777777" w:rsidR="00C61A05" w:rsidRPr="00BD2023" w:rsidRDefault="00C61A05" w:rsidP="00F77D20">
            <w:pPr>
              <w:pStyle w:val="TableCell10Center"/>
              <w:spacing w:before="92" w:after="0" w:line="240" w:lineRule="auto"/>
              <w:ind w:left="93"/>
              <w:jc w:val="left"/>
              <w:rPr>
                <w:rFonts w:ascii="Times New Roman" w:eastAsia="MS Mincho" w:hAnsi="Times New Roman"/>
                <w:sz w:val="22"/>
                <w:szCs w:val="22"/>
                <w:lang w:val="sr-Latn-ME"/>
              </w:rPr>
            </w:pPr>
            <w:r w:rsidRPr="00BD2023">
              <w:rPr>
                <w:rFonts w:ascii="Times New Roman" w:eastAsia="MS Mincho" w:hAnsi="Times New Roman"/>
                <w:sz w:val="22"/>
                <w:szCs w:val="22"/>
                <w:lang w:val="sr-Latn-ME"/>
              </w:rPr>
              <w:t>Osip*</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2DA4FCD0" w14:textId="6DA1471E" w:rsidR="00C61A05" w:rsidRPr="00BD2023" w:rsidRDefault="00C61A05" w:rsidP="00F77D20">
            <w:pPr>
              <w:pStyle w:val="TableCell10Center"/>
              <w:spacing w:before="0" w:after="0" w:line="240" w:lineRule="auto"/>
              <w:ind w:left="88"/>
              <w:rPr>
                <w:rFonts w:ascii="Times New Roman" w:eastAsia="MS Mincho" w:hAnsi="Times New Roman"/>
                <w:sz w:val="22"/>
                <w:szCs w:val="22"/>
                <w:lang w:val="sr-Latn-ME"/>
              </w:rPr>
            </w:pPr>
            <w:r w:rsidRPr="00BD2023">
              <w:rPr>
                <w:rFonts w:ascii="Times New Roman" w:eastAsia="MS Mincho" w:hAnsi="Times New Roman"/>
                <w:sz w:val="22"/>
                <w:szCs w:val="22"/>
                <w:lang w:val="sr-Latn-ME"/>
              </w:rPr>
              <w:t>Veoma čest</w:t>
            </w:r>
            <w:r w:rsidR="001D5409" w:rsidRPr="00BD2023">
              <w:rPr>
                <w:rFonts w:ascii="Times New Roman" w:eastAsia="MS Mincho" w:hAnsi="Times New Roman"/>
                <w:sz w:val="22"/>
                <w:szCs w:val="22"/>
                <w:lang w:val="sr-Latn-ME"/>
              </w:rPr>
              <w:t>o</w:t>
            </w:r>
          </w:p>
        </w:tc>
        <w:tc>
          <w:tcPr>
            <w:tcW w:w="3060" w:type="dxa"/>
            <w:tcBorders>
              <w:top w:val="single" w:sz="4" w:space="0" w:color="auto"/>
              <w:left w:val="single" w:sz="4" w:space="0" w:color="auto"/>
              <w:bottom w:val="single" w:sz="4" w:space="0" w:color="auto"/>
              <w:right w:val="single" w:sz="4" w:space="0" w:color="auto"/>
            </w:tcBorders>
            <w:vAlign w:val="center"/>
          </w:tcPr>
          <w:p w14:paraId="2D838A5C" w14:textId="5F3230A0" w:rsidR="00C61A05" w:rsidRPr="00BD2023" w:rsidRDefault="00C61A05" w:rsidP="00F77D20">
            <w:pPr>
              <w:pStyle w:val="TableCell10Center"/>
              <w:spacing w:before="0" w:after="0" w:line="240" w:lineRule="auto"/>
              <w:ind w:left="88"/>
              <w:rPr>
                <w:rFonts w:ascii="Times New Roman" w:eastAsia="MS Mincho" w:hAnsi="Times New Roman"/>
                <w:sz w:val="22"/>
                <w:szCs w:val="22"/>
                <w:lang w:val="sr-Latn-ME"/>
              </w:rPr>
            </w:pPr>
            <w:r w:rsidRPr="00BD2023">
              <w:rPr>
                <w:rFonts w:ascii="Times New Roman" w:eastAsia="MS Mincho" w:hAnsi="Times New Roman"/>
                <w:sz w:val="22"/>
                <w:szCs w:val="22"/>
                <w:lang w:val="sr-Latn-ME"/>
              </w:rPr>
              <w:t>Veoma čest</w:t>
            </w:r>
            <w:r w:rsidR="001D5409" w:rsidRPr="00BD2023">
              <w:rPr>
                <w:rFonts w:ascii="Times New Roman" w:eastAsia="MS Mincho" w:hAnsi="Times New Roman"/>
                <w:sz w:val="22"/>
                <w:szCs w:val="22"/>
                <w:lang w:val="sr-Latn-ME"/>
              </w:rPr>
              <w:t>o</w:t>
            </w:r>
          </w:p>
        </w:tc>
      </w:tr>
      <w:tr w:rsidR="00C61A05" w:rsidRPr="00BD2023" w14:paraId="7937178C" w14:textId="77777777" w:rsidTr="00F77D20">
        <w:trPr>
          <w:cantSplit/>
          <w:trHeight w:val="315"/>
        </w:trPr>
        <w:tc>
          <w:tcPr>
            <w:tcW w:w="8195" w:type="dxa"/>
            <w:gridSpan w:val="3"/>
            <w:tcBorders>
              <w:top w:val="single" w:sz="4" w:space="0" w:color="auto"/>
              <w:left w:val="single" w:sz="4" w:space="0" w:color="auto"/>
              <w:bottom w:val="single" w:sz="4" w:space="0" w:color="auto"/>
              <w:right w:val="single" w:sz="4" w:space="0" w:color="auto"/>
            </w:tcBorders>
          </w:tcPr>
          <w:p w14:paraId="3578E006" w14:textId="77777777" w:rsidR="00C61A05" w:rsidRPr="00BD2023" w:rsidRDefault="00C61A05" w:rsidP="00F77D20">
            <w:pPr>
              <w:pStyle w:val="TableCell10Center"/>
              <w:spacing w:before="0" w:after="0" w:line="240" w:lineRule="auto"/>
              <w:ind w:left="88"/>
              <w:jc w:val="left"/>
              <w:rPr>
                <w:rFonts w:ascii="Times New Roman" w:eastAsia="MS Mincho" w:hAnsi="Times New Roman"/>
                <w:sz w:val="22"/>
                <w:szCs w:val="22"/>
                <w:lang w:val="sr-Latn-ME"/>
              </w:rPr>
            </w:pPr>
            <w:r w:rsidRPr="00BD2023">
              <w:rPr>
                <w:rFonts w:ascii="Times New Roman" w:eastAsia="MS Mincho" w:hAnsi="Times New Roman"/>
                <w:b/>
                <w:bCs/>
                <w:sz w:val="22"/>
                <w:szCs w:val="22"/>
                <w:lang w:val="sr-Latn-ME"/>
              </w:rPr>
              <w:t>Poremećaji nervnog sistema</w:t>
            </w:r>
          </w:p>
        </w:tc>
      </w:tr>
      <w:tr w:rsidR="00C61A05" w:rsidRPr="00BD2023" w14:paraId="409ECEF9" w14:textId="77777777" w:rsidTr="00F77D20">
        <w:trPr>
          <w:cantSplit/>
          <w:trHeight w:val="315"/>
        </w:trPr>
        <w:tc>
          <w:tcPr>
            <w:tcW w:w="2424" w:type="dxa"/>
            <w:tcBorders>
              <w:top w:val="single" w:sz="4" w:space="0" w:color="auto"/>
              <w:left w:val="single" w:sz="4" w:space="0" w:color="auto"/>
              <w:bottom w:val="single" w:sz="4" w:space="0" w:color="auto"/>
              <w:right w:val="single" w:sz="4" w:space="0" w:color="auto"/>
            </w:tcBorders>
          </w:tcPr>
          <w:p w14:paraId="518F601A" w14:textId="77777777" w:rsidR="00C61A05" w:rsidRPr="00BD2023" w:rsidRDefault="00C61A05" w:rsidP="00F77D20">
            <w:pPr>
              <w:pStyle w:val="TableCell10Center"/>
              <w:spacing w:before="92" w:after="0" w:line="240" w:lineRule="auto"/>
              <w:ind w:left="93"/>
              <w:jc w:val="left"/>
              <w:rPr>
                <w:rFonts w:ascii="Times New Roman" w:eastAsia="MS Mincho" w:hAnsi="Times New Roman"/>
                <w:sz w:val="22"/>
                <w:szCs w:val="22"/>
                <w:lang w:val="sr-Latn-ME"/>
              </w:rPr>
            </w:pPr>
            <w:r w:rsidRPr="00BD2023">
              <w:rPr>
                <w:rFonts w:ascii="Times New Roman" w:eastAsia="MS Mincho" w:hAnsi="Times New Roman"/>
                <w:sz w:val="22"/>
                <w:szCs w:val="22"/>
                <w:lang w:val="sr-Latn-ME"/>
              </w:rPr>
              <w:t>Glavobolja</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0466A43C" w14:textId="370E9E44" w:rsidR="00C61A05" w:rsidRPr="00BD2023" w:rsidRDefault="00C61A05" w:rsidP="00F77D20">
            <w:pPr>
              <w:pStyle w:val="TableCell10Center"/>
              <w:spacing w:before="0" w:after="0" w:line="240" w:lineRule="auto"/>
              <w:ind w:left="88"/>
              <w:rPr>
                <w:rFonts w:ascii="Times New Roman" w:eastAsia="MS Mincho" w:hAnsi="Times New Roman"/>
                <w:sz w:val="22"/>
                <w:szCs w:val="22"/>
                <w:lang w:val="sr-Latn-ME"/>
              </w:rPr>
            </w:pPr>
            <w:r w:rsidRPr="00BD2023">
              <w:rPr>
                <w:rFonts w:ascii="Times New Roman" w:eastAsia="MS Mincho" w:hAnsi="Times New Roman"/>
                <w:sz w:val="22"/>
                <w:szCs w:val="22"/>
                <w:lang w:val="sr-Latn-ME"/>
              </w:rPr>
              <w:t xml:space="preserve">Nije </w:t>
            </w:r>
            <w:r w:rsidR="000956D5" w:rsidRPr="00BD2023">
              <w:rPr>
                <w:rFonts w:ascii="Times New Roman" w:eastAsia="MS Mincho" w:hAnsi="Times New Roman"/>
                <w:sz w:val="22"/>
                <w:szCs w:val="22"/>
                <w:lang w:val="sr-Latn-ME"/>
              </w:rPr>
              <w:t>primjenjivo</w:t>
            </w:r>
          </w:p>
        </w:tc>
        <w:tc>
          <w:tcPr>
            <w:tcW w:w="3060" w:type="dxa"/>
            <w:tcBorders>
              <w:top w:val="single" w:sz="4" w:space="0" w:color="auto"/>
              <w:left w:val="single" w:sz="4" w:space="0" w:color="auto"/>
              <w:bottom w:val="single" w:sz="4" w:space="0" w:color="auto"/>
              <w:right w:val="single" w:sz="4" w:space="0" w:color="auto"/>
            </w:tcBorders>
            <w:vAlign w:val="center"/>
          </w:tcPr>
          <w:p w14:paraId="70B73CA7" w14:textId="2380452A" w:rsidR="00C61A05" w:rsidRPr="00BD2023" w:rsidRDefault="00C61A05" w:rsidP="00F77D20">
            <w:pPr>
              <w:pStyle w:val="TableCell10Center"/>
              <w:spacing w:before="0" w:after="0" w:line="240" w:lineRule="auto"/>
              <w:ind w:left="88"/>
              <w:rPr>
                <w:rFonts w:ascii="Times New Roman" w:eastAsia="MS Mincho" w:hAnsi="Times New Roman"/>
                <w:sz w:val="22"/>
                <w:szCs w:val="22"/>
                <w:lang w:val="sr-Latn-ME"/>
              </w:rPr>
            </w:pPr>
            <w:r w:rsidRPr="00BD2023">
              <w:rPr>
                <w:rFonts w:ascii="Times New Roman" w:eastAsia="MS Mincho" w:hAnsi="Times New Roman"/>
                <w:sz w:val="22"/>
                <w:szCs w:val="22"/>
                <w:lang w:val="sr-Latn-ME"/>
              </w:rPr>
              <w:t>Veoma čest</w:t>
            </w:r>
            <w:r w:rsidR="001D5409" w:rsidRPr="00BD2023">
              <w:rPr>
                <w:rFonts w:ascii="Times New Roman" w:eastAsia="MS Mincho" w:hAnsi="Times New Roman"/>
                <w:sz w:val="22"/>
                <w:szCs w:val="22"/>
                <w:lang w:val="sr-Latn-ME"/>
              </w:rPr>
              <w:t>o</w:t>
            </w:r>
          </w:p>
        </w:tc>
      </w:tr>
      <w:tr w:rsidR="00C61A05" w:rsidRPr="00BD2023" w14:paraId="1D4D1E86" w14:textId="77777777" w:rsidTr="00F77D20">
        <w:trPr>
          <w:cantSplit/>
          <w:trHeight w:val="503"/>
        </w:trPr>
        <w:tc>
          <w:tcPr>
            <w:tcW w:w="8195" w:type="dxa"/>
            <w:gridSpan w:val="3"/>
            <w:tcBorders>
              <w:top w:val="single" w:sz="4" w:space="0" w:color="auto"/>
              <w:left w:val="single" w:sz="4" w:space="0" w:color="auto"/>
              <w:bottom w:val="single" w:sz="4" w:space="0" w:color="auto"/>
              <w:right w:val="single" w:sz="4" w:space="0" w:color="auto"/>
            </w:tcBorders>
          </w:tcPr>
          <w:p w14:paraId="27770D7C" w14:textId="3F69ADC8" w:rsidR="00C61A05" w:rsidRPr="00BD2023" w:rsidRDefault="00C61A05" w:rsidP="00F77D20">
            <w:pPr>
              <w:pStyle w:val="TableCell10Center"/>
              <w:spacing w:before="92" w:after="0" w:line="240" w:lineRule="auto"/>
              <w:ind w:left="93"/>
              <w:jc w:val="left"/>
              <w:rPr>
                <w:rFonts w:ascii="Times New Roman" w:eastAsia="MS Mincho" w:hAnsi="Times New Roman"/>
                <w:b/>
                <w:sz w:val="22"/>
                <w:szCs w:val="22"/>
                <w:lang w:val="sr-Latn-ME"/>
              </w:rPr>
            </w:pPr>
            <w:r w:rsidRPr="00BD2023">
              <w:rPr>
                <w:rFonts w:ascii="Times New Roman" w:eastAsia="MS Mincho" w:hAnsi="Times New Roman"/>
                <w:b/>
                <w:bCs/>
                <w:sz w:val="22"/>
                <w:szCs w:val="22"/>
                <w:lang w:val="sr-Latn-ME"/>
              </w:rPr>
              <w:t>Opšti poremećaji i reakcije na m</w:t>
            </w:r>
            <w:r w:rsidR="00BD2023">
              <w:rPr>
                <w:rFonts w:ascii="Times New Roman" w:eastAsia="MS Mincho" w:hAnsi="Times New Roman"/>
                <w:b/>
                <w:bCs/>
                <w:sz w:val="22"/>
                <w:szCs w:val="22"/>
                <w:lang w:val="sr-Latn-ME"/>
              </w:rPr>
              <w:t>j</w:t>
            </w:r>
            <w:r w:rsidRPr="00BD2023">
              <w:rPr>
                <w:rFonts w:ascii="Times New Roman" w:eastAsia="MS Mincho" w:hAnsi="Times New Roman"/>
                <w:b/>
                <w:bCs/>
                <w:sz w:val="22"/>
                <w:szCs w:val="22"/>
                <w:lang w:val="sr-Latn-ME"/>
              </w:rPr>
              <w:t xml:space="preserve">estu </w:t>
            </w:r>
            <w:r w:rsidR="004A4441" w:rsidRPr="00BD2023">
              <w:rPr>
                <w:rFonts w:ascii="Times New Roman" w:eastAsia="MS Mincho" w:hAnsi="Times New Roman"/>
                <w:b/>
                <w:bCs/>
                <w:sz w:val="22"/>
                <w:szCs w:val="22"/>
                <w:lang w:val="sr-Latn-ME"/>
              </w:rPr>
              <w:t>primjen</w:t>
            </w:r>
            <w:r w:rsidRPr="00BD2023">
              <w:rPr>
                <w:rFonts w:ascii="Times New Roman" w:eastAsia="MS Mincho" w:hAnsi="Times New Roman"/>
                <w:b/>
                <w:bCs/>
                <w:sz w:val="22"/>
                <w:szCs w:val="22"/>
                <w:lang w:val="sr-Latn-ME"/>
              </w:rPr>
              <w:t>e</w:t>
            </w:r>
          </w:p>
        </w:tc>
      </w:tr>
      <w:tr w:rsidR="00C61A05" w:rsidRPr="00BD2023" w14:paraId="10B50AE7" w14:textId="77777777" w:rsidTr="00F77D20">
        <w:trPr>
          <w:cantSplit/>
          <w:trHeight w:val="315"/>
        </w:trPr>
        <w:tc>
          <w:tcPr>
            <w:tcW w:w="2424" w:type="dxa"/>
            <w:tcBorders>
              <w:top w:val="single" w:sz="4" w:space="0" w:color="auto"/>
              <w:left w:val="single" w:sz="4" w:space="0" w:color="auto"/>
              <w:bottom w:val="single" w:sz="4" w:space="0" w:color="auto"/>
              <w:right w:val="single" w:sz="4" w:space="0" w:color="auto"/>
            </w:tcBorders>
          </w:tcPr>
          <w:p w14:paraId="3298B14E" w14:textId="77777777" w:rsidR="00C61A05" w:rsidRPr="00BD2023" w:rsidRDefault="00C61A05" w:rsidP="00F77D20">
            <w:pPr>
              <w:pStyle w:val="TableCell10Center"/>
              <w:spacing w:before="92" w:after="0" w:line="240" w:lineRule="auto"/>
              <w:ind w:left="93"/>
              <w:jc w:val="left"/>
              <w:rPr>
                <w:rFonts w:ascii="Times New Roman" w:eastAsia="MS Mincho" w:hAnsi="Times New Roman"/>
                <w:sz w:val="22"/>
                <w:szCs w:val="22"/>
                <w:lang w:val="sr-Latn-ME"/>
              </w:rPr>
            </w:pPr>
            <w:r w:rsidRPr="00BD2023">
              <w:rPr>
                <w:rFonts w:ascii="Times New Roman" w:eastAsia="MS Mincho" w:hAnsi="Times New Roman"/>
                <w:sz w:val="22"/>
                <w:szCs w:val="22"/>
                <w:lang w:val="sr-Latn-ME"/>
              </w:rPr>
              <w:t>Pireksija (uključujući hiperpireksiju)</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26D6C0C6" w14:textId="0AEA2A56" w:rsidR="00C61A05" w:rsidRPr="00BD2023" w:rsidRDefault="00C61A05" w:rsidP="00F77D20">
            <w:pPr>
              <w:pStyle w:val="TableCell10Center"/>
              <w:spacing w:before="0" w:after="0" w:line="240" w:lineRule="auto"/>
              <w:ind w:left="88"/>
              <w:rPr>
                <w:rFonts w:ascii="Times New Roman" w:eastAsia="MS Mincho" w:hAnsi="Times New Roman"/>
                <w:sz w:val="22"/>
                <w:szCs w:val="22"/>
                <w:lang w:val="sr-Latn-ME"/>
              </w:rPr>
            </w:pPr>
            <w:r w:rsidRPr="00BD2023">
              <w:rPr>
                <w:rFonts w:ascii="Times New Roman" w:eastAsia="MS Mincho" w:hAnsi="Times New Roman"/>
                <w:sz w:val="22"/>
                <w:szCs w:val="22"/>
                <w:lang w:val="sr-Latn-ME"/>
              </w:rPr>
              <w:t>Veoma čest</w:t>
            </w:r>
            <w:r w:rsidR="001D5409" w:rsidRPr="00BD2023">
              <w:rPr>
                <w:rFonts w:ascii="Times New Roman" w:eastAsia="MS Mincho" w:hAnsi="Times New Roman"/>
                <w:sz w:val="22"/>
                <w:szCs w:val="22"/>
                <w:lang w:val="sr-Latn-ME"/>
              </w:rPr>
              <w:t>o</w:t>
            </w:r>
          </w:p>
        </w:tc>
        <w:tc>
          <w:tcPr>
            <w:tcW w:w="3060" w:type="dxa"/>
            <w:tcBorders>
              <w:top w:val="single" w:sz="4" w:space="0" w:color="auto"/>
              <w:left w:val="single" w:sz="4" w:space="0" w:color="auto"/>
              <w:bottom w:val="single" w:sz="4" w:space="0" w:color="auto"/>
              <w:right w:val="single" w:sz="4" w:space="0" w:color="auto"/>
            </w:tcBorders>
            <w:vAlign w:val="center"/>
          </w:tcPr>
          <w:p w14:paraId="17AE31B1" w14:textId="5466E30F" w:rsidR="00C61A05" w:rsidRPr="00BD2023" w:rsidRDefault="00C61A05" w:rsidP="00F77D20">
            <w:pPr>
              <w:pStyle w:val="TableCell10Center"/>
              <w:spacing w:before="0" w:after="0" w:line="240" w:lineRule="auto"/>
              <w:ind w:left="88"/>
              <w:rPr>
                <w:rFonts w:ascii="Times New Roman" w:eastAsia="MS Mincho" w:hAnsi="Times New Roman"/>
                <w:sz w:val="22"/>
                <w:szCs w:val="22"/>
                <w:lang w:val="sr-Latn-ME"/>
              </w:rPr>
            </w:pPr>
            <w:r w:rsidRPr="00BD2023">
              <w:rPr>
                <w:rFonts w:ascii="Times New Roman" w:eastAsia="MS Mincho" w:hAnsi="Times New Roman"/>
                <w:sz w:val="22"/>
                <w:szCs w:val="22"/>
                <w:lang w:val="sr-Latn-ME"/>
              </w:rPr>
              <w:t>Veoma čest</w:t>
            </w:r>
            <w:r w:rsidR="001D5409" w:rsidRPr="00BD2023">
              <w:rPr>
                <w:rFonts w:ascii="Times New Roman" w:eastAsia="MS Mincho" w:hAnsi="Times New Roman"/>
                <w:sz w:val="22"/>
                <w:szCs w:val="22"/>
                <w:lang w:val="sr-Latn-ME"/>
              </w:rPr>
              <w:t>o</w:t>
            </w:r>
          </w:p>
        </w:tc>
      </w:tr>
      <w:tr w:rsidR="00C61A05" w:rsidRPr="00BD2023" w14:paraId="3C918A1B" w14:textId="77777777" w:rsidTr="00F77D20">
        <w:trPr>
          <w:cantSplit/>
          <w:trHeight w:val="315"/>
        </w:trPr>
        <w:tc>
          <w:tcPr>
            <w:tcW w:w="8195" w:type="dxa"/>
            <w:gridSpan w:val="3"/>
            <w:tcBorders>
              <w:top w:val="single" w:sz="4" w:space="0" w:color="auto"/>
              <w:left w:val="single" w:sz="4" w:space="0" w:color="auto"/>
              <w:bottom w:val="single" w:sz="4" w:space="0" w:color="auto"/>
              <w:right w:val="single" w:sz="4" w:space="0" w:color="auto"/>
            </w:tcBorders>
          </w:tcPr>
          <w:p w14:paraId="0C6FEADB" w14:textId="77777777" w:rsidR="00C61A05" w:rsidRPr="00BD2023" w:rsidRDefault="00C61A05" w:rsidP="00F77D20">
            <w:pPr>
              <w:pStyle w:val="TableCell10Center"/>
              <w:spacing w:before="92" w:after="0" w:line="240" w:lineRule="auto"/>
              <w:ind w:left="93"/>
              <w:jc w:val="left"/>
              <w:rPr>
                <w:rFonts w:ascii="Times New Roman" w:eastAsia="MS Mincho" w:hAnsi="Times New Roman"/>
                <w:b/>
                <w:sz w:val="22"/>
                <w:szCs w:val="22"/>
                <w:lang w:val="sr-Latn-ME"/>
              </w:rPr>
            </w:pPr>
            <w:r w:rsidRPr="00BD2023">
              <w:rPr>
                <w:rFonts w:ascii="Times New Roman" w:eastAsia="MS Mincho" w:hAnsi="Times New Roman"/>
                <w:b/>
                <w:bCs/>
                <w:sz w:val="22"/>
                <w:szCs w:val="22"/>
                <w:lang w:val="sr-Latn-ME"/>
              </w:rPr>
              <w:t>Infekcije i infestacije</w:t>
            </w:r>
          </w:p>
        </w:tc>
      </w:tr>
      <w:tr w:rsidR="00C61A05" w:rsidRPr="00BD2023" w14:paraId="6DDAAA3F" w14:textId="77777777" w:rsidTr="00F77D20">
        <w:trPr>
          <w:cantSplit/>
          <w:trHeight w:val="315"/>
        </w:trPr>
        <w:tc>
          <w:tcPr>
            <w:tcW w:w="2424" w:type="dxa"/>
            <w:tcBorders>
              <w:top w:val="single" w:sz="4" w:space="0" w:color="auto"/>
              <w:left w:val="single" w:sz="4" w:space="0" w:color="auto"/>
              <w:bottom w:val="single" w:sz="4" w:space="0" w:color="auto"/>
              <w:right w:val="single" w:sz="4" w:space="0" w:color="auto"/>
            </w:tcBorders>
          </w:tcPr>
          <w:p w14:paraId="366C10A4" w14:textId="77777777" w:rsidR="00C61A05" w:rsidRPr="00BD2023" w:rsidRDefault="00C61A05" w:rsidP="00F77D20">
            <w:pPr>
              <w:pStyle w:val="TableCell10Center"/>
              <w:spacing w:before="0" w:after="0" w:line="240" w:lineRule="auto"/>
              <w:ind w:left="93"/>
              <w:jc w:val="left"/>
              <w:rPr>
                <w:rFonts w:ascii="Times New Roman" w:eastAsia="MS Mincho" w:hAnsi="Times New Roman"/>
                <w:sz w:val="22"/>
                <w:szCs w:val="22"/>
                <w:lang w:val="sr-Latn-ME"/>
              </w:rPr>
            </w:pPr>
            <w:r w:rsidRPr="00BD2023">
              <w:rPr>
                <w:rFonts w:ascii="Times New Roman" w:eastAsia="MS Mincho" w:hAnsi="Times New Roman"/>
                <w:sz w:val="22"/>
                <w:szCs w:val="22"/>
                <w:lang w:val="sr-Latn-ME"/>
              </w:rPr>
              <w:t>Infekcija urinarnog trakta (uključujući cistitis)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6AC72D75" w14:textId="0A218AAC" w:rsidR="00C61A05" w:rsidRPr="00BD2023" w:rsidRDefault="00C61A05" w:rsidP="00F77D20">
            <w:pPr>
              <w:pStyle w:val="TableCell10Center"/>
              <w:spacing w:before="0" w:after="0" w:line="240" w:lineRule="auto"/>
              <w:ind w:left="88"/>
              <w:rPr>
                <w:rFonts w:ascii="Times New Roman" w:eastAsia="MS Mincho" w:hAnsi="Times New Roman"/>
                <w:sz w:val="22"/>
                <w:szCs w:val="22"/>
                <w:lang w:val="sr-Latn-ME"/>
              </w:rPr>
            </w:pPr>
            <w:r w:rsidRPr="00BD2023">
              <w:rPr>
                <w:rFonts w:ascii="Times New Roman" w:eastAsia="MS Mincho" w:hAnsi="Times New Roman"/>
                <w:sz w:val="22"/>
                <w:szCs w:val="22"/>
                <w:lang w:val="sr-Latn-ME"/>
              </w:rPr>
              <w:t>Čest</w:t>
            </w:r>
            <w:r w:rsidR="001D5409" w:rsidRPr="00BD2023">
              <w:rPr>
                <w:rFonts w:ascii="Times New Roman" w:eastAsia="MS Mincho" w:hAnsi="Times New Roman"/>
                <w:sz w:val="22"/>
                <w:szCs w:val="22"/>
                <w:lang w:val="sr-Latn-ME"/>
              </w:rPr>
              <w:t>o</w:t>
            </w:r>
          </w:p>
        </w:tc>
        <w:tc>
          <w:tcPr>
            <w:tcW w:w="3060" w:type="dxa"/>
            <w:tcBorders>
              <w:top w:val="single" w:sz="4" w:space="0" w:color="auto"/>
              <w:left w:val="single" w:sz="4" w:space="0" w:color="auto"/>
              <w:bottom w:val="single" w:sz="4" w:space="0" w:color="auto"/>
              <w:right w:val="single" w:sz="4" w:space="0" w:color="auto"/>
            </w:tcBorders>
            <w:vAlign w:val="center"/>
          </w:tcPr>
          <w:p w14:paraId="7627BF16" w14:textId="43D1A241" w:rsidR="00C61A05" w:rsidRPr="00BD2023" w:rsidRDefault="00C61A05" w:rsidP="00F77D20">
            <w:pPr>
              <w:pStyle w:val="TableCell10Center"/>
              <w:spacing w:before="0" w:after="0" w:line="240" w:lineRule="auto"/>
              <w:ind w:left="88"/>
              <w:rPr>
                <w:rFonts w:ascii="Times New Roman" w:eastAsia="MS Mincho" w:hAnsi="Times New Roman"/>
                <w:sz w:val="22"/>
                <w:szCs w:val="22"/>
                <w:lang w:val="sr-Latn-ME"/>
              </w:rPr>
            </w:pPr>
            <w:r w:rsidRPr="00BD2023">
              <w:rPr>
                <w:rFonts w:ascii="Times New Roman" w:eastAsia="MS Mincho" w:hAnsi="Times New Roman"/>
                <w:sz w:val="22"/>
                <w:szCs w:val="22"/>
                <w:lang w:val="sr-Latn-ME"/>
              </w:rPr>
              <w:t>Čest</w:t>
            </w:r>
            <w:r w:rsidR="001D5409" w:rsidRPr="00BD2023">
              <w:rPr>
                <w:rFonts w:ascii="Times New Roman" w:eastAsia="MS Mincho" w:hAnsi="Times New Roman"/>
                <w:sz w:val="22"/>
                <w:szCs w:val="22"/>
                <w:lang w:val="sr-Latn-ME"/>
              </w:rPr>
              <w:t>o</w:t>
            </w:r>
          </w:p>
        </w:tc>
      </w:tr>
      <w:tr w:rsidR="00C61A05" w:rsidRPr="00BD2023" w14:paraId="4C09984B" w14:textId="77777777" w:rsidTr="00F77D20">
        <w:trPr>
          <w:cantSplit/>
          <w:trHeight w:val="315"/>
        </w:trPr>
        <w:tc>
          <w:tcPr>
            <w:tcW w:w="8195" w:type="dxa"/>
            <w:gridSpan w:val="3"/>
            <w:tcBorders>
              <w:top w:val="single" w:sz="4" w:space="0" w:color="auto"/>
              <w:left w:val="single" w:sz="4" w:space="0" w:color="auto"/>
              <w:bottom w:val="single" w:sz="4" w:space="0" w:color="auto"/>
              <w:right w:val="single" w:sz="4" w:space="0" w:color="auto"/>
            </w:tcBorders>
          </w:tcPr>
          <w:p w14:paraId="78C22B71" w14:textId="77777777" w:rsidR="00C61A05" w:rsidRPr="00BD2023" w:rsidRDefault="00C61A05" w:rsidP="00F77D20">
            <w:pPr>
              <w:pStyle w:val="TableCell10Center"/>
              <w:spacing w:before="92" w:after="0" w:line="240" w:lineRule="auto"/>
              <w:ind w:left="93"/>
              <w:jc w:val="left"/>
              <w:rPr>
                <w:rFonts w:ascii="Times New Roman" w:eastAsia="MS Mincho" w:hAnsi="Times New Roman"/>
                <w:b/>
                <w:sz w:val="22"/>
                <w:szCs w:val="22"/>
                <w:lang w:val="sr-Latn-ME"/>
              </w:rPr>
            </w:pPr>
            <w:r w:rsidRPr="00BD2023">
              <w:rPr>
                <w:rFonts w:ascii="Times New Roman" w:eastAsia="MS Mincho" w:hAnsi="Times New Roman"/>
                <w:b/>
                <w:bCs/>
                <w:sz w:val="22"/>
                <w:szCs w:val="22"/>
                <w:lang w:val="sr-Latn-ME"/>
              </w:rPr>
              <w:t>Poremećaji mišićno-koštanog i vezivnog tkiva</w:t>
            </w:r>
          </w:p>
        </w:tc>
      </w:tr>
      <w:tr w:rsidR="00C61A05" w:rsidRPr="00BD2023" w14:paraId="087AA46B" w14:textId="77777777" w:rsidTr="00F77D20">
        <w:trPr>
          <w:cantSplit/>
          <w:trHeight w:val="315"/>
        </w:trPr>
        <w:tc>
          <w:tcPr>
            <w:tcW w:w="2424" w:type="dxa"/>
            <w:tcBorders>
              <w:top w:val="single" w:sz="4" w:space="0" w:color="auto"/>
              <w:left w:val="single" w:sz="4" w:space="0" w:color="auto"/>
              <w:bottom w:val="single" w:sz="4" w:space="0" w:color="auto"/>
              <w:right w:val="single" w:sz="4" w:space="0" w:color="auto"/>
            </w:tcBorders>
          </w:tcPr>
          <w:p w14:paraId="27245408" w14:textId="77777777" w:rsidR="00C61A05" w:rsidRPr="00BD2023" w:rsidRDefault="00C61A05" w:rsidP="00F77D20">
            <w:pPr>
              <w:pStyle w:val="TableCell10Center"/>
              <w:spacing w:before="92" w:after="0" w:line="240" w:lineRule="auto"/>
              <w:ind w:left="93"/>
              <w:jc w:val="left"/>
              <w:rPr>
                <w:rFonts w:ascii="Times New Roman" w:eastAsia="MS Mincho" w:hAnsi="Times New Roman"/>
                <w:sz w:val="22"/>
                <w:szCs w:val="22"/>
                <w:lang w:val="sr-Latn-ME"/>
              </w:rPr>
            </w:pPr>
            <w:r w:rsidRPr="00BD2023">
              <w:rPr>
                <w:rFonts w:ascii="Times New Roman" w:eastAsia="MS Mincho" w:hAnsi="Times New Roman"/>
                <w:sz w:val="22"/>
                <w:szCs w:val="22"/>
                <w:lang w:val="sr-Latn-ME"/>
              </w:rPr>
              <w:t>Artralgija</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37B88821" w14:textId="453BF4BF" w:rsidR="00C61A05" w:rsidRPr="00BD2023" w:rsidRDefault="00C61A05" w:rsidP="00F77D20">
            <w:pPr>
              <w:pStyle w:val="TableCell10Center"/>
              <w:spacing w:before="0" w:after="0" w:line="240" w:lineRule="auto"/>
              <w:ind w:left="88"/>
              <w:rPr>
                <w:rFonts w:ascii="Times New Roman" w:eastAsia="MS Mincho" w:hAnsi="Times New Roman"/>
                <w:sz w:val="22"/>
                <w:szCs w:val="22"/>
                <w:lang w:val="sr-Latn-ME"/>
              </w:rPr>
            </w:pPr>
            <w:r w:rsidRPr="00BD2023">
              <w:rPr>
                <w:rFonts w:ascii="Times New Roman" w:eastAsia="MS Mincho" w:hAnsi="Times New Roman"/>
                <w:sz w:val="22"/>
                <w:szCs w:val="22"/>
                <w:lang w:val="sr-Latn-ME"/>
              </w:rPr>
              <w:t xml:space="preserve">Nije </w:t>
            </w:r>
            <w:r w:rsidR="000956D5" w:rsidRPr="00BD2023">
              <w:rPr>
                <w:rFonts w:ascii="Times New Roman" w:eastAsia="MS Mincho" w:hAnsi="Times New Roman"/>
                <w:sz w:val="22"/>
                <w:szCs w:val="22"/>
                <w:lang w:val="sr-Latn-ME"/>
              </w:rPr>
              <w:t>primjenjivo</w:t>
            </w:r>
          </w:p>
        </w:tc>
        <w:tc>
          <w:tcPr>
            <w:tcW w:w="3060" w:type="dxa"/>
            <w:tcBorders>
              <w:top w:val="single" w:sz="4" w:space="0" w:color="auto"/>
              <w:left w:val="single" w:sz="4" w:space="0" w:color="auto"/>
              <w:bottom w:val="single" w:sz="4" w:space="0" w:color="auto"/>
              <w:right w:val="single" w:sz="4" w:space="0" w:color="auto"/>
            </w:tcBorders>
            <w:vAlign w:val="center"/>
          </w:tcPr>
          <w:p w14:paraId="3D4B2FEE" w14:textId="5C4A732D" w:rsidR="00C61A05" w:rsidRPr="00BD2023" w:rsidRDefault="00C61A05" w:rsidP="00F77D20">
            <w:pPr>
              <w:pStyle w:val="TableCell10Center"/>
              <w:spacing w:before="0" w:after="0" w:line="240" w:lineRule="auto"/>
              <w:ind w:left="88"/>
              <w:rPr>
                <w:rFonts w:ascii="Times New Roman" w:eastAsia="MS Mincho" w:hAnsi="Times New Roman"/>
                <w:sz w:val="22"/>
                <w:szCs w:val="22"/>
                <w:lang w:val="sr-Latn-ME"/>
              </w:rPr>
            </w:pPr>
            <w:r w:rsidRPr="00BD2023">
              <w:rPr>
                <w:rFonts w:ascii="Times New Roman" w:eastAsia="MS Mincho" w:hAnsi="Times New Roman"/>
                <w:sz w:val="22"/>
                <w:szCs w:val="22"/>
                <w:lang w:val="sr-Latn-ME"/>
              </w:rPr>
              <w:t>Čest</w:t>
            </w:r>
            <w:r w:rsidR="001D5409" w:rsidRPr="00BD2023">
              <w:rPr>
                <w:rFonts w:ascii="Times New Roman" w:eastAsia="MS Mincho" w:hAnsi="Times New Roman"/>
                <w:sz w:val="22"/>
                <w:szCs w:val="22"/>
                <w:lang w:val="sr-Latn-ME"/>
              </w:rPr>
              <w:t>o</w:t>
            </w:r>
          </w:p>
        </w:tc>
      </w:tr>
    </w:tbl>
    <w:bookmarkEnd w:id="1"/>
    <w:bookmarkEnd w:id="2"/>
    <w:p w14:paraId="64024003" w14:textId="2F8256C1" w:rsidR="00C61A05" w:rsidRPr="00BD2023" w:rsidRDefault="00C61A05" w:rsidP="00C61A05">
      <w:pPr>
        <w:pStyle w:val="CommentText"/>
        <w:ind w:left="900"/>
        <w:rPr>
          <w:sz w:val="18"/>
          <w:szCs w:val="18"/>
          <w:lang w:val="sr-Latn-ME"/>
        </w:rPr>
      </w:pPr>
      <w:r w:rsidRPr="00BD2023">
        <w:rPr>
          <w:sz w:val="18"/>
          <w:szCs w:val="18"/>
          <w:lang w:val="sr-Latn-ME"/>
        </w:rPr>
        <w:t xml:space="preserve">*Uključuje </w:t>
      </w:r>
      <w:r w:rsidR="000D7A7C" w:rsidRPr="00BD2023">
        <w:rPr>
          <w:sz w:val="18"/>
          <w:szCs w:val="18"/>
          <w:lang w:val="sr-Latn-ME"/>
        </w:rPr>
        <w:t>dermatitis, akneiformni dermatitis, alergijski dermatitis, eritem, folikulitis, osip, eritematozni osip, makulopapularni osip, papularni osip</w:t>
      </w:r>
    </w:p>
    <w:p w14:paraId="455E9432" w14:textId="561CC6AF" w:rsidR="00C61A05" w:rsidRPr="00BD2023" w:rsidRDefault="00C61A05" w:rsidP="00480FB1">
      <w:pPr>
        <w:tabs>
          <w:tab w:val="left" w:pos="540"/>
          <w:tab w:val="left" w:pos="569"/>
        </w:tabs>
        <w:rPr>
          <w:b/>
          <w:bCs/>
          <w:sz w:val="22"/>
          <w:szCs w:val="22"/>
          <w:lang w:val="sr-Latn-ME"/>
        </w:rPr>
      </w:pPr>
    </w:p>
    <w:p w14:paraId="7CCB9B57" w14:textId="31969440" w:rsidR="001A0E71" w:rsidRPr="00BD2023" w:rsidRDefault="001A0E71" w:rsidP="001A0E71">
      <w:pPr>
        <w:keepNext/>
        <w:tabs>
          <w:tab w:val="left" w:pos="567"/>
        </w:tabs>
        <w:spacing w:line="276" w:lineRule="auto"/>
        <w:rPr>
          <w:sz w:val="22"/>
          <w:szCs w:val="22"/>
          <w:lang w:val="sr-Latn-ME"/>
        </w:rPr>
      </w:pPr>
      <w:r w:rsidRPr="00BD2023">
        <w:rPr>
          <w:sz w:val="22"/>
          <w:szCs w:val="22"/>
          <w:lang w:val="sr-Latn-ME"/>
        </w:rPr>
        <w:t>Bezbjednosni profil kod pacijenata prethodno liječenih drugim terapijama koje modifikuju tok SMA</w:t>
      </w:r>
    </w:p>
    <w:p w14:paraId="2A1341F5" w14:textId="77777777" w:rsidR="001A0E71" w:rsidRPr="00BD2023" w:rsidRDefault="001A0E71" w:rsidP="001A0E71">
      <w:pPr>
        <w:keepNext/>
        <w:tabs>
          <w:tab w:val="left" w:pos="567"/>
        </w:tabs>
        <w:spacing w:line="276" w:lineRule="auto"/>
        <w:rPr>
          <w:sz w:val="22"/>
          <w:szCs w:val="22"/>
          <w:lang w:val="sr-Latn-ME"/>
        </w:rPr>
      </w:pPr>
    </w:p>
    <w:p w14:paraId="3FD61677" w14:textId="0B8FC99C" w:rsidR="001A0E71" w:rsidRPr="00BD2023" w:rsidRDefault="001A0E71" w:rsidP="00D005C0">
      <w:pPr>
        <w:keepNext/>
        <w:tabs>
          <w:tab w:val="left" w:pos="567"/>
        </w:tabs>
        <w:spacing w:line="276" w:lineRule="auto"/>
        <w:jc w:val="both"/>
        <w:rPr>
          <w:sz w:val="22"/>
          <w:szCs w:val="22"/>
          <w:lang w:val="sr-Latn-ME"/>
        </w:rPr>
      </w:pPr>
      <w:r w:rsidRPr="00BD2023">
        <w:rPr>
          <w:sz w:val="22"/>
          <w:szCs w:val="22"/>
          <w:lang w:val="sr-Latn-ME"/>
        </w:rPr>
        <w:t>Na osnovu primarne analize podataka iz studije JEWELFISH, bezbjednosni profil lijeka Evrysdi kod pacijenata prethodno liječenih terapijama za SMA koji su primali Evrysdi tokom perioda do 59 mjeseci (uključujući pacijente prethodno liječene nusinersenom [n=76] ili onasemnogen abeparvovekom [n=14]) odgovara bezbjednosnom profilu kod pacijenata koji prethodno nijesu primali terapiju za SMA liječenih lijekom Evrysdi u okviru studija FIREFISH, SUNFISH i RAINBOWFISH (vidjeti dio 5.1).</w:t>
      </w:r>
    </w:p>
    <w:p w14:paraId="28FF041D" w14:textId="77777777" w:rsidR="001A0E71" w:rsidRPr="00BD2023" w:rsidRDefault="001A0E71" w:rsidP="00480FB1">
      <w:pPr>
        <w:tabs>
          <w:tab w:val="left" w:pos="540"/>
          <w:tab w:val="left" w:pos="569"/>
        </w:tabs>
        <w:rPr>
          <w:b/>
          <w:bCs/>
          <w:sz w:val="22"/>
          <w:szCs w:val="22"/>
          <w:lang w:val="sr-Latn-ME"/>
        </w:rPr>
      </w:pPr>
    </w:p>
    <w:p w14:paraId="74429919" w14:textId="3646E648" w:rsidR="00072BD9" w:rsidRPr="00BD2023" w:rsidRDefault="00072BD9" w:rsidP="00BC480A">
      <w:pPr>
        <w:spacing w:after="200" w:line="276" w:lineRule="auto"/>
        <w:jc w:val="both"/>
        <w:rPr>
          <w:rFonts w:eastAsia="Calibri"/>
          <w:sz w:val="22"/>
          <w:szCs w:val="22"/>
          <w:u w:val="single"/>
          <w:lang w:val="sr-Latn-ME"/>
        </w:rPr>
      </w:pPr>
      <w:r w:rsidRPr="00BD2023">
        <w:rPr>
          <w:rFonts w:eastAsia="Calibri"/>
          <w:sz w:val="22"/>
          <w:szCs w:val="22"/>
          <w:u w:val="single"/>
          <w:lang w:val="sr-Latn-ME"/>
        </w:rPr>
        <w:t xml:space="preserve">Iskustvo nakon stavljanja </w:t>
      </w:r>
      <w:r w:rsidR="00F73418" w:rsidRPr="00BD2023">
        <w:rPr>
          <w:rFonts w:eastAsia="Calibri"/>
          <w:sz w:val="22"/>
          <w:szCs w:val="22"/>
          <w:u w:val="single"/>
          <w:lang w:val="sr-Latn-ME"/>
        </w:rPr>
        <w:t>lijek</w:t>
      </w:r>
      <w:r w:rsidRPr="00BD2023">
        <w:rPr>
          <w:rFonts w:eastAsia="Calibri"/>
          <w:sz w:val="22"/>
          <w:szCs w:val="22"/>
          <w:u w:val="single"/>
          <w:lang w:val="sr-Latn-ME"/>
        </w:rPr>
        <w:t>a u promet</w:t>
      </w:r>
    </w:p>
    <w:p w14:paraId="69B550BB" w14:textId="58FD2C86" w:rsidR="00072BD9" w:rsidRPr="00BD2023" w:rsidRDefault="00072BD9" w:rsidP="00BC480A">
      <w:pPr>
        <w:spacing w:after="200" w:line="276" w:lineRule="auto"/>
        <w:jc w:val="both"/>
        <w:rPr>
          <w:rFonts w:eastAsia="Calibri"/>
          <w:sz w:val="22"/>
          <w:szCs w:val="22"/>
          <w:lang w:val="sr-Latn-ME"/>
        </w:rPr>
      </w:pPr>
      <w:r w:rsidRPr="00BD2023">
        <w:rPr>
          <w:rFonts w:eastAsia="Calibri"/>
          <w:sz w:val="22"/>
          <w:szCs w:val="22"/>
          <w:lang w:val="sr-Latn-ME"/>
        </w:rPr>
        <w:t xml:space="preserve">Nakon stavljanja lijeka u promet prijavljen je kožni vaskulitis. Simptomi su se povukli nakon trajnog prekida primjene lijeka Evrysdi. Učestalost se ne može </w:t>
      </w:r>
      <w:r w:rsidR="00F73418" w:rsidRPr="00BD2023">
        <w:rPr>
          <w:rFonts w:eastAsia="Calibri"/>
          <w:sz w:val="22"/>
          <w:szCs w:val="22"/>
          <w:lang w:val="sr-Latn-ME"/>
        </w:rPr>
        <w:t>procijeniti</w:t>
      </w:r>
      <w:r w:rsidRPr="00BD2023">
        <w:rPr>
          <w:rFonts w:eastAsia="Calibri"/>
          <w:sz w:val="22"/>
          <w:szCs w:val="22"/>
          <w:lang w:val="sr-Latn-ME"/>
        </w:rPr>
        <w:t xml:space="preserve"> na osnovu dostupnih podataka.</w:t>
      </w:r>
    </w:p>
    <w:p w14:paraId="58682B96" w14:textId="6FCB6A2E" w:rsidR="005A23D2" w:rsidRPr="00BD2023" w:rsidRDefault="005A23D2" w:rsidP="00A46C9A">
      <w:pPr>
        <w:spacing w:after="200" w:line="276" w:lineRule="auto"/>
        <w:rPr>
          <w:rFonts w:eastAsia="Calibri"/>
          <w:sz w:val="22"/>
          <w:szCs w:val="22"/>
          <w:u w:val="single"/>
          <w:lang w:val="sr-Latn-ME"/>
        </w:rPr>
      </w:pPr>
      <w:r w:rsidRPr="00BD2023">
        <w:rPr>
          <w:rFonts w:eastAsia="Calibri"/>
          <w:sz w:val="22"/>
          <w:szCs w:val="22"/>
          <w:u w:val="single"/>
          <w:lang w:val="sr-Latn-ME"/>
        </w:rPr>
        <w:t>Prijavljivanje sumnji na neželjena dejstva</w:t>
      </w:r>
    </w:p>
    <w:p w14:paraId="40C3FBE3" w14:textId="21733231" w:rsidR="001F76B8" w:rsidRPr="00BD2023" w:rsidRDefault="001F76B8" w:rsidP="001F76B8">
      <w:pPr>
        <w:spacing w:after="200"/>
        <w:jc w:val="both"/>
        <w:rPr>
          <w:rFonts w:eastAsia="Calibri"/>
          <w:sz w:val="22"/>
          <w:szCs w:val="22"/>
          <w:lang w:val="sr-Latn-ME"/>
        </w:rPr>
      </w:pPr>
      <w:r w:rsidRPr="00BD2023">
        <w:rPr>
          <w:rFonts w:eastAsia="Calibri"/>
          <w:sz w:val="22"/>
          <w:szCs w:val="22"/>
          <w:lang w:val="sr-Latn-ME"/>
        </w:rPr>
        <w:t>Prijavljivanje neželjenih dejstava nakon dobijanja dozvole</w:t>
      </w:r>
      <w:r w:rsidR="00A76607" w:rsidRPr="00BD2023">
        <w:rPr>
          <w:rFonts w:eastAsia="Calibri"/>
          <w:sz w:val="22"/>
          <w:szCs w:val="22"/>
          <w:lang w:val="sr-Latn-ME"/>
        </w:rPr>
        <w:t xml:space="preserve"> </w:t>
      </w:r>
      <w:r w:rsidRPr="00BD2023">
        <w:rPr>
          <w:rFonts w:eastAsia="Calibri"/>
          <w:sz w:val="22"/>
          <w:szCs w:val="22"/>
          <w:lang w:val="sr-Latn-ME"/>
        </w:rPr>
        <w:t>je od velikog značaja jer obezbjeđuje kontinuirano praćenje odnosa korist/rizik primjene lijeka. Zdravstveni radnici treba da prijave svaku sumnju na neželjeno dejstvo ovog lijeka Institutu za ljekove i medicinska sredstva (CInMED):</w:t>
      </w:r>
    </w:p>
    <w:p w14:paraId="39A31D7D" w14:textId="77777777" w:rsidR="001F76B8" w:rsidRPr="00BD2023" w:rsidRDefault="001F76B8" w:rsidP="002325C8">
      <w:pPr>
        <w:jc w:val="both"/>
        <w:rPr>
          <w:rFonts w:eastAsia="Calibri"/>
          <w:sz w:val="22"/>
          <w:szCs w:val="22"/>
          <w:lang w:val="sr-Latn-ME"/>
        </w:rPr>
      </w:pPr>
      <w:r w:rsidRPr="00BD2023">
        <w:rPr>
          <w:rFonts w:eastAsia="Calibri"/>
          <w:sz w:val="22"/>
          <w:szCs w:val="22"/>
          <w:lang w:val="sr-Latn-ME"/>
        </w:rPr>
        <w:t xml:space="preserve">Institut za ljekove i medicinska sredstva </w:t>
      </w:r>
    </w:p>
    <w:p w14:paraId="41AF1F13" w14:textId="77777777" w:rsidR="001F76B8" w:rsidRPr="00BD2023" w:rsidRDefault="001F76B8" w:rsidP="002325C8">
      <w:pPr>
        <w:jc w:val="both"/>
        <w:rPr>
          <w:rFonts w:eastAsia="Calibri"/>
          <w:sz w:val="22"/>
          <w:szCs w:val="22"/>
          <w:lang w:val="sr-Latn-ME"/>
        </w:rPr>
      </w:pPr>
      <w:r w:rsidRPr="00BD2023">
        <w:rPr>
          <w:rFonts w:eastAsia="Calibri"/>
          <w:sz w:val="22"/>
          <w:szCs w:val="22"/>
          <w:lang w:val="sr-Latn-ME"/>
        </w:rPr>
        <w:lastRenderedPageBreak/>
        <w:t>Odjeljenje za farmakovigilancu</w:t>
      </w:r>
    </w:p>
    <w:p w14:paraId="7647ED7F" w14:textId="77777777" w:rsidR="001F76B8" w:rsidRPr="00BD2023" w:rsidRDefault="001F76B8" w:rsidP="002325C8">
      <w:pPr>
        <w:jc w:val="both"/>
        <w:rPr>
          <w:rFonts w:eastAsia="Calibri"/>
          <w:sz w:val="22"/>
          <w:szCs w:val="22"/>
          <w:lang w:val="sr-Latn-ME"/>
        </w:rPr>
      </w:pPr>
      <w:r w:rsidRPr="00BD2023">
        <w:rPr>
          <w:rFonts w:eastAsia="Calibri"/>
          <w:sz w:val="22"/>
          <w:szCs w:val="22"/>
          <w:lang w:val="sr-Latn-ME"/>
        </w:rPr>
        <w:t>Bulevar Ivana Crnojevića 64a, 81000 Podgorica</w:t>
      </w:r>
    </w:p>
    <w:p w14:paraId="406F19EC" w14:textId="77777777" w:rsidR="001F76B8" w:rsidRPr="00BD2023" w:rsidRDefault="001F76B8" w:rsidP="002325C8">
      <w:pPr>
        <w:jc w:val="both"/>
        <w:rPr>
          <w:rFonts w:eastAsia="Calibri"/>
          <w:sz w:val="22"/>
          <w:szCs w:val="22"/>
          <w:lang w:val="sr-Latn-ME"/>
        </w:rPr>
      </w:pPr>
    </w:p>
    <w:p w14:paraId="01424516" w14:textId="77777777" w:rsidR="001F76B8" w:rsidRPr="00BD2023" w:rsidRDefault="001F76B8" w:rsidP="002325C8">
      <w:pPr>
        <w:jc w:val="both"/>
        <w:rPr>
          <w:rFonts w:eastAsia="Calibri"/>
          <w:sz w:val="22"/>
          <w:szCs w:val="22"/>
          <w:lang w:val="sr-Latn-ME"/>
        </w:rPr>
      </w:pPr>
      <w:r w:rsidRPr="00BD2023">
        <w:rPr>
          <w:rFonts w:eastAsia="Calibri"/>
          <w:sz w:val="22"/>
          <w:szCs w:val="22"/>
          <w:lang w:val="sr-Latn-ME"/>
        </w:rPr>
        <w:t>tel: +382 (0) 20 310 280</w:t>
      </w:r>
    </w:p>
    <w:p w14:paraId="66610201" w14:textId="77777777" w:rsidR="001F76B8" w:rsidRPr="00BD2023" w:rsidRDefault="001F76B8" w:rsidP="002325C8">
      <w:pPr>
        <w:jc w:val="both"/>
        <w:rPr>
          <w:rFonts w:eastAsia="Calibri"/>
          <w:sz w:val="22"/>
          <w:szCs w:val="22"/>
          <w:lang w:val="sr-Latn-ME"/>
        </w:rPr>
      </w:pPr>
      <w:r w:rsidRPr="00BD2023">
        <w:rPr>
          <w:rFonts w:eastAsia="Calibri"/>
          <w:sz w:val="22"/>
          <w:szCs w:val="22"/>
          <w:lang w:val="sr-Latn-ME"/>
        </w:rPr>
        <w:t>fax: +382 (0) 20 310 581</w:t>
      </w:r>
    </w:p>
    <w:p w14:paraId="3296D63A" w14:textId="057F5437" w:rsidR="001F76B8" w:rsidRPr="00BD2023" w:rsidRDefault="00F9693B" w:rsidP="002325C8">
      <w:pPr>
        <w:jc w:val="both"/>
        <w:rPr>
          <w:rFonts w:eastAsia="Calibri"/>
          <w:sz w:val="22"/>
          <w:szCs w:val="22"/>
          <w:lang w:val="sr-Latn-ME"/>
        </w:rPr>
      </w:pPr>
      <w:hyperlink r:id="rId9" w:history="1">
        <w:r w:rsidR="001D5409" w:rsidRPr="00BD2023">
          <w:rPr>
            <w:rStyle w:val="Hyperlink"/>
            <w:rFonts w:eastAsia="Calibri"/>
            <w:sz w:val="22"/>
            <w:szCs w:val="22"/>
            <w:lang w:val="sr-Latn-ME"/>
          </w:rPr>
          <w:t>www.cinmed.me</w:t>
        </w:r>
      </w:hyperlink>
      <w:r w:rsidR="001D5409" w:rsidRPr="00BD2023">
        <w:rPr>
          <w:rFonts w:eastAsia="Calibri"/>
          <w:sz w:val="22"/>
          <w:szCs w:val="22"/>
          <w:lang w:val="sr-Latn-ME"/>
        </w:rPr>
        <w:t xml:space="preserve"> </w:t>
      </w:r>
    </w:p>
    <w:p w14:paraId="5FA549A8" w14:textId="0515BB11" w:rsidR="001F76B8" w:rsidRPr="00BD2023" w:rsidRDefault="00F9693B" w:rsidP="002325C8">
      <w:pPr>
        <w:jc w:val="both"/>
        <w:rPr>
          <w:rFonts w:eastAsia="Calibri"/>
          <w:sz w:val="22"/>
          <w:szCs w:val="22"/>
          <w:lang w:val="sr-Latn-ME"/>
        </w:rPr>
      </w:pPr>
      <w:hyperlink r:id="rId10" w:history="1">
        <w:r w:rsidR="001D5409" w:rsidRPr="00BD2023">
          <w:rPr>
            <w:rStyle w:val="Hyperlink"/>
            <w:rFonts w:eastAsia="Calibri"/>
            <w:sz w:val="22"/>
            <w:szCs w:val="22"/>
            <w:lang w:val="sr-Latn-ME"/>
          </w:rPr>
          <w:t>nezeljenadejstva@cinmed.me</w:t>
        </w:r>
      </w:hyperlink>
      <w:r w:rsidR="001D5409" w:rsidRPr="00BD2023">
        <w:rPr>
          <w:rFonts w:eastAsia="Calibri"/>
          <w:sz w:val="22"/>
          <w:szCs w:val="22"/>
          <w:lang w:val="sr-Latn-ME"/>
        </w:rPr>
        <w:t xml:space="preserve"> </w:t>
      </w:r>
    </w:p>
    <w:p w14:paraId="152BA56B" w14:textId="72C08EBD" w:rsidR="001F76B8" w:rsidRDefault="001F76B8" w:rsidP="002325C8">
      <w:pPr>
        <w:jc w:val="both"/>
        <w:rPr>
          <w:rFonts w:eastAsia="Calibri"/>
          <w:sz w:val="22"/>
          <w:szCs w:val="22"/>
          <w:lang w:val="sr-Latn-ME"/>
        </w:rPr>
      </w:pPr>
      <w:r w:rsidRPr="00BD2023">
        <w:rPr>
          <w:rFonts w:eastAsia="Calibri"/>
          <w:sz w:val="22"/>
          <w:szCs w:val="22"/>
          <w:lang w:val="sr-Latn-ME"/>
        </w:rPr>
        <w:t>putem IS zdravstvene zaštite</w:t>
      </w:r>
    </w:p>
    <w:p w14:paraId="4BDCD39C" w14:textId="77777777" w:rsidR="006959F0" w:rsidRDefault="006959F0" w:rsidP="006959F0">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71AEDF2F" w14:textId="77777777" w:rsidR="006959F0" w:rsidRDefault="006959F0" w:rsidP="006959F0">
      <w:pPr>
        <w:pStyle w:val="NoSpacing"/>
        <w:jc w:val="both"/>
        <w:rPr>
          <w:rFonts w:eastAsia="Calibri"/>
          <w:sz w:val="22"/>
          <w:szCs w:val="22"/>
          <w:lang w:val="sr-Latn-RS"/>
        </w:rPr>
      </w:pPr>
    </w:p>
    <w:p w14:paraId="6030D5D4" w14:textId="2831709F" w:rsidR="006959F0" w:rsidRPr="00BD2023" w:rsidRDefault="00316828" w:rsidP="002325C8">
      <w:pPr>
        <w:jc w:val="both"/>
        <w:rPr>
          <w:rFonts w:eastAsia="Calibri"/>
          <w:sz w:val="22"/>
          <w:szCs w:val="22"/>
          <w:lang w:val="sr-Latn-ME"/>
        </w:rPr>
      </w:pPr>
      <w:r w:rsidRPr="007F661E">
        <w:rPr>
          <w:b/>
          <w:bCs/>
          <w:noProof/>
          <w:sz w:val="22"/>
          <w:szCs w:val="22"/>
        </w:rPr>
        <w:drawing>
          <wp:inline distT="0" distB="0" distL="0" distR="0" wp14:anchorId="0BBA5463" wp14:editId="06441E87">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192F47C" w14:textId="77777777" w:rsidR="00836B35" w:rsidRPr="00BD2023" w:rsidRDefault="00836B35" w:rsidP="00480FB1">
      <w:pPr>
        <w:tabs>
          <w:tab w:val="left" w:pos="540"/>
          <w:tab w:val="left" w:pos="569"/>
        </w:tabs>
        <w:rPr>
          <w:b/>
          <w:bCs/>
          <w:sz w:val="22"/>
          <w:szCs w:val="22"/>
          <w:lang w:val="sr-Latn-ME"/>
        </w:rPr>
      </w:pPr>
    </w:p>
    <w:p w14:paraId="0DBA2CF7" w14:textId="77777777" w:rsidR="00CD6F02" w:rsidRPr="00BD2023" w:rsidRDefault="0072020E" w:rsidP="00480FB1">
      <w:pPr>
        <w:tabs>
          <w:tab w:val="left" w:pos="540"/>
          <w:tab w:val="left" w:pos="569"/>
        </w:tabs>
        <w:rPr>
          <w:b/>
          <w:bCs/>
          <w:sz w:val="22"/>
          <w:szCs w:val="22"/>
          <w:lang w:val="sr-Latn-ME"/>
        </w:rPr>
      </w:pPr>
      <w:r w:rsidRPr="00BD2023">
        <w:rPr>
          <w:b/>
          <w:bCs/>
          <w:sz w:val="22"/>
          <w:szCs w:val="22"/>
          <w:lang w:val="sr-Latn-ME"/>
        </w:rPr>
        <w:t xml:space="preserve">4.9. </w:t>
      </w:r>
      <w:r w:rsidR="00480FB1" w:rsidRPr="00BD2023">
        <w:rPr>
          <w:b/>
          <w:bCs/>
          <w:sz w:val="22"/>
          <w:szCs w:val="22"/>
          <w:lang w:val="sr-Latn-ME"/>
        </w:rPr>
        <w:tab/>
      </w:r>
      <w:r w:rsidRPr="00BD2023">
        <w:rPr>
          <w:b/>
          <w:bCs/>
          <w:sz w:val="22"/>
          <w:szCs w:val="22"/>
          <w:lang w:val="sr-Latn-ME"/>
        </w:rPr>
        <w:t>Predoziranje</w:t>
      </w:r>
      <w:r w:rsidR="002846DB" w:rsidRPr="00BD2023">
        <w:rPr>
          <w:b/>
          <w:bCs/>
          <w:sz w:val="22"/>
          <w:szCs w:val="22"/>
          <w:lang w:val="sr-Latn-ME"/>
        </w:rPr>
        <w:t xml:space="preserve"> </w:t>
      </w:r>
    </w:p>
    <w:p w14:paraId="3A5BB322" w14:textId="77777777" w:rsidR="00F77D20" w:rsidRPr="00BD2023" w:rsidRDefault="00F77D20" w:rsidP="00480FB1">
      <w:pPr>
        <w:tabs>
          <w:tab w:val="left" w:pos="540"/>
          <w:tab w:val="left" w:pos="569"/>
        </w:tabs>
        <w:rPr>
          <w:b/>
          <w:bCs/>
          <w:sz w:val="22"/>
          <w:szCs w:val="22"/>
          <w:lang w:val="sr-Latn-ME"/>
        </w:rPr>
      </w:pPr>
    </w:p>
    <w:p w14:paraId="6AF3EA0E" w14:textId="18A4B28E" w:rsidR="00F77D20" w:rsidRPr="00BD2023" w:rsidRDefault="00F77D20" w:rsidP="00F77D20">
      <w:pPr>
        <w:tabs>
          <w:tab w:val="left" w:pos="540"/>
          <w:tab w:val="left" w:pos="569"/>
        </w:tabs>
        <w:rPr>
          <w:bCs/>
          <w:sz w:val="22"/>
          <w:szCs w:val="22"/>
          <w:lang w:val="sr-Latn-ME"/>
        </w:rPr>
      </w:pPr>
      <w:r w:rsidRPr="00BD2023">
        <w:rPr>
          <w:bCs/>
          <w:sz w:val="22"/>
          <w:szCs w:val="22"/>
          <w:lang w:val="sr-Latn-ME"/>
        </w:rPr>
        <w:t xml:space="preserve">Ne postoji poznati antidot za predoziranje </w:t>
      </w:r>
      <w:r w:rsidR="007E5CF0" w:rsidRPr="00BD2023">
        <w:rPr>
          <w:bCs/>
          <w:sz w:val="22"/>
          <w:szCs w:val="22"/>
          <w:lang w:val="sr-Latn-ME"/>
        </w:rPr>
        <w:t>lijek</w:t>
      </w:r>
      <w:r w:rsidRPr="00BD2023">
        <w:rPr>
          <w:bCs/>
          <w:sz w:val="22"/>
          <w:szCs w:val="22"/>
          <w:lang w:val="sr-Latn-ME"/>
        </w:rPr>
        <w:t xml:space="preserve">om Evrysdi. U slučaju predoziranja, pacijenta treba pažljivo posmatrati i uvesti suportivnu </w:t>
      </w:r>
      <w:r w:rsidR="00F73418" w:rsidRPr="00BD2023">
        <w:rPr>
          <w:bCs/>
          <w:sz w:val="22"/>
          <w:szCs w:val="22"/>
          <w:lang w:val="sr-Latn-ME"/>
        </w:rPr>
        <w:t>njeg</w:t>
      </w:r>
      <w:r w:rsidRPr="00BD2023">
        <w:rPr>
          <w:bCs/>
          <w:sz w:val="22"/>
          <w:szCs w:val="22"/>
          <w:lang w:val="sr-Latn-ME"/>
        </w:rPr>
        <w:t>u.</w:t>
      </w:r>
    </w:p>
    <w:p w14:paraId="2A66F899" w14:textId="77777777" w:rsidR="00227BDB" w:rsidRPr="00BD2023" w:rsidRDefault="00227BDB" w:rsidP="00480FB1">
      <w:pPr>
        <w:tabs>
          <w:tab w:val="left" w:pos="540"/>
          <w:tab w:val="left" w:pos="569"/>
        </w:tabs>
        <w:rPr>
          <w:b/>
          <w:bCs/>
          <w:sz w:val="22"/>
          <w:szCs w:val="22"/>
          <w:lang w:val="sr-Latn-ME"/>
        </w:rPr>
      </w:pPr>
    </w:p>
    <w:p w14:paraId="4B5BD36F" w14:textId="77777777" w:rsidR="0072020E" w:rsidRPr="00BD2023" w:rsidRDefault="0072020E" w:rsidP="00BC480A">
      <w:pPr>
        <w:tabs>
          <w:tab w:val="left" w:pos="540"/>
          <w:tab w:val="left" w:pos="569"/>
        </w:tabs>
        <w:jc w:val="both"/>
        <w:rPr>
          <w:b/>
          <w:bCs/>
          <w:sz w:val="22"/>
          <w:szCs w:val="22"/>
          <w:lang w:val="sr-Latn-ME"/>
        </w:rPr>
      </w:pPr>
      <w:r w:rsidRPr="00BD2023">
        <w:rPr>
          <w:b/>
          <w:bCs/>
          <w:sz w:val="22"/>
          <w:szCs w:val="22"/>
          <w:lang w:val="sr-Latn-ME"/>
        </w:rPr>
        <w:t xml:space="preserve">5. </w:t>
      </w:r>
      <w:r w:rsidR="00480FB1" w:rsidRPr="00BD2023">
        <w:rPr>
          <w:b/>
          <w:bCs/>
          <w:sz w:val="22"/>
          <w:szCs w:val="22"/>
          <w:lang w:val="sr-Latn-ME"/>
        </w:rPr>
        <w:tab/>
      </w:r>
      <w:r w:rsidRPr="00BD2023">
        <w:rPr>
          <w:b/>
          <w:bCs/>
          <w:sz w:val="22"/>
          <w:szCs w:val="22"/>
          <w:lang w:val="sr-Latn-ME"/>
        </w:rPr>
        <w:t>FARMAKOLOŠK</w:t>
      </w:r>
      <w:r w:rsidR="000D425A" w:rsidRPr="00BD2023">
        <w:rPr>
          <w:b/>
          <w:bCs/>
          <w:sz w:val="22"/>
          <w:szCs w:val="22"/>
          <w:lang w:val="sr-Latn-ME"/>
        </w:rPr>
        <w:t>I</w:t>
      </w:r>
      <w:r w:rsidRPr="00BD2023">
        <w:rPr>
          <w:b/>
          <w:bCs/>
          <w:sz w:val="22"/>
          <w:szCs w:val="22"/>
          <w:lang w:val="sr-Latn-ME"/>
        </w:rPr>
        <w:t xml:space="preserve"> PODACI</w:t>
      </w:r>
    </w:p>
    <w:p w14:paraId="1CCB189A" w14:textId="77777777" w:rsidR="0072020E" w:rsidRPr="00BD2023" w:rsidRDefault="0072020E" w:rsidP="00BC480A">
      <w:pPr>
        <w:tabs>
          <w:tab w:val="left" w:pos="540"/>
          <w:tab w:val="left" w:pos="569"/>
        </w:tabs>
        <w:jc w:val="both"/>
        <w:rPr>
          <w:b/>
          <w:bCs/>
          <w:sz w:val="22"/>
          <w:szCs w:val="22"/>
          <w:lang w:val="sr-Latn-ME"/>
        </w:rPr>
      </w:pPr>
    </w:p>
    <w:p w14:paraId="367B862A" w14:textId="77777777" w:rsidR="0072020E" w:rsidRPr="00BD2023" w:rsidRDefault="0072020E" w:rsidP="00BC480A">
      <w:pPr>
        <w:tabs>
          <w:tab w:val="left" w:pos="540"/>
          <w:tab w:val="left" w:pos="569"/>
        </w:tabs>
        <w:jc w:val="both"/>
        <w:rPr>
          <w:b/>
          <w:bCs/>
          <w:sz w:val="22"/>
          <w:szCs w:val="22"/>
          <w:lang w:val="sr-Latn-ME"/>
        </w:rPr>
      </w:pPr>
      <w:r w:rsidRPr="00BD2023">
        <w:rPr>
          <w:b/>
          <w:bCs/>
          <w:sz w:val="22"/>
          <w:szCs w:val="22"/>
          <w:lang w:val="sr-Latn-ME"/>
        </w:rPr>
        <w:t xml:space="preserve">5.1. </w:t>
      </w:r>
      <w:r w:rsidR="00480FB1" w:rsidRPr="00BD2023">
        <w:rPr>
          <w:b/>
          <w:bCs/>
          <w:sz w:val="22"/>
          <w:szCs w:val="22"/>
          <w:lang w:val="sr-Latn-ME"/>
        </w:rPr>
        <w:tab/>
      </w:r>
      <w:r w:rsidRPr="00BD2023">
        <w:rPr>
          <w:b/>
          <w:bCs/>
          <w:sz w:val="22"/>
          <w:szCs w:val="22"/>
          <w:lang w:val="sr-Latn-ME"/>
        </w:rPr>
        <w:t>Farmakodinamski podaci</w:t>
      </w:r>
      <w:r w:rsidR="003A7059" w:rsidRPr="00BD2023">
        <w:rPr>
          <w:b/>
          <w:bCs/>
          <w:sz w:val="22"/>
          <w:szCs w:val="22"/>
          <w:lang w:val="sr-Latn-ME"/>
        </w:rPr>
        <w:t xml:space="preserve"> </w:t>
      </w:r>
    </w:p>
    <w:p w14:paraId="3BD6D844" w14:textId="77777777" w:rsidR="00F45F77" w:rsidRPr="00BD2023" w:rsidRDefault="00F45F77" w:rsidP="00BC480A">
      <w:pPr>
        <w:tabs>
          <w:tab w:val="left" w:pos="540"/>
          <w:tab w:val="left" w:pos="569"/>
        </w:tabs>
        <w:jc w:val="both"/>
        <w:rPr>
          <w:b/>
          <w:bCs/>
          <w:sz w:val="22"/>
          <w:szCs w:val="22"/>
          <w:lang w:val="sr-Latn-ME"/>
        </w:rPr>
      </w:pPr>
    </w:p>
    <w:p w14:paraId="3C338ED5" w14:textId="5470838B" w:rsidR="0072020E" w:rsidRPr="00BD2023" w:rsidRDefault="0072020E" w:rsidP="00BC480A">
      <w:pPr>
        <w:tabs>
          <w:tab w:val="left" w:pos="540"/>
          <w:tab w:val="left" w:pos="569"/>
        </w:tabs>
        <w:jc w:val="both"/>
        <w:rPr>
          <w:bCs/>
          <w:sz w:val="22"/>
          <w:szCs w:val="22"/>
          <w:lang w:val="sr-Latn-ME"/>
        </w:rPr>
      </w:pPr>
      <w:r w:rsidRPr="00BD2023">
        <w:rPr>
          <w:bCs/>
          <w:sz w:val="22"/>
          <w:szCs w:val="22"/>
          <w:lang w:val="sr-Latn-ME"/>
        </w:rPr>
        <w:t>Farmakoterapijska grupa:</w:t>
      </w:r>
      <w:r w:rsidR="00F77D20" w:rsidRPr="00BD2023">
        <w:rPr>
          <w:sz w:val="22"/>
          <w:szCs w:val="22"/>
          <w:lang w:val="sr-Latn-ME"/>
        </w:rPr>
        <w:t xml:space="preserve"> </w:t>
      </w:r>
      <w:r w:rsidR="00F77D20" w:rsidRPr="00BD2023">
        <w:rPr>
          <w:bCs/>
          <w:sz w:val="22"/>
          <w:szCs w:val="22"/>
          <w:lang w:val="sr-Latn-ME"/>
        </w:rPr>
        <w:t xml:space="preserve">Ostali </w:t>
      </w:r>
      <w:r w:rsidR="007E5CF0" w:rsidRPr="00BD2023">
        <w:rPr>
          <w:bCs/>
          <w:sz w:val="22"/>
          <w:szCs w:val="22"/>
          <w:lang w:val="sr-Latn-ME"/>
        </w:rPr>
        <w:t>ljekov</w:t>
      </w:r>
      <w:r w:rsidR="00F77D20" w:rsidRPr="00BD2023">
        <w:rPr>
          <w:bCs/>
          <w:sz w:val="22"/>
          <w:szCs w:val="22"/>
          <w:lang w:val="sr-Latn-ME"/>
        </w:rPr>
        <w:t>i za</w:t>
      </w:r>
      <w:r w:rsidR="00FD5FAA" w:rsidRPr="00BD2023">
        <w:rPr>
          <w:bCs/>
          <w:sz w:val="22"/>
          <w:szCs w:val="22"/>
          <w:lang w:val="sr-Latn-ME"/>
        </w:rPr>
        <w:t xml:space="preserve"> liječenje</w:t>
      </w:r>
      <w:r w:rsidR="00F77D20" w:rsidRPr="00BD2023">
        <w:rPr>
          <w:bCs/>
          <w:sz w:val="22"/>
          <w:szCs w:val="22"/>
          <w:lang w:val="sr-Latn-ME"/>
        </w:rPr>
        <w:t xml:space="preserve"> </w:t>
      </w:r>
      <w:r w:rsidR="00FD5FAA" w:rsidRPr="00BD2023">
        <w:rPr>
          <w:bCs/>
          <w:sz w:val="22"/>
          <w:szCs w:val="22"/>
          <w:lang w:val="sr-Latn-ME"/>
        </w:rPr>
        <w:t xml:space="preserve">bolesti </w:t>
      </w:r>
      <w:r w:rsidR="00F77D20" w:rsidRPr="00BD2023">
        <w:rPr>
          <w:bCs/>
          <w:sz w:val="22"/>
          <w:szCs w:val="22"/>
          <w:lang w:val="sr-Latn-ME"/>
        </w:rPr>
        <w:t>mišićno-</w:t>
      </w:r>
      <w:r w:rsidR="00A76607" w:rsidRPr="00BD2023">
        <w:rPr>
          <w:bCs/>
          <w:sz w:val="22"/>
          <w:szCs w:val="22"/>
          <w:lang w:val="sr-Latn-ME"/>
        </w:rPr>
        <w:t xml:space="preserve">koštanog </w:t>
      </w:r>
      <w:r w:rsidR="00F77D20" w:rsidRPr="00BD2023">
        <w:rPr>
          <w:bCs/>
          <w:sz w:val="22"/>
          <w:szCs w:val="22"/>
          <w:lang w:val="sr-Latn-ME"/>
        </w:rPr>
        <w:t>sistema</w:t>
      </w:r>
    </w:p>
    <w:p w14:paraId="20FB4AF6" w14:textId="77777777" w:rsidR="0072020E" w:rsidRPr="00BD2023" w:rsidRDefault="0072020E" w:rsidP="00BC480A">
      <w:pPr>
        <w:tabs>
          <w:tab w:val="left" w:pos="540"/>
          <w:tab w:val="left" w:pos="569"/>
        </w:tabs>
        <w:jc w:val="both"/>
        <w:rPr>
          <w:bCs/>
          <w:sz w:val="22"/>
          <w:szCs w:val="22"/>
          <w:lang w:val="sr-Latn-ME"/>
        </w:rPr>
      </w:pPr>
    </w:p>
    <w:p w14:paraId="63778114" w14:textId="77777777" w:rsidR="0072020E" w:rsidRPr="00BD2023" w:rsidRDefault="0072020E" w:rsidP="00BC480A">
      <w:pPr>
        <w:tabs>
          <w:tab w:val="left" w:pos="540"/>
          <w:tab w:val="left" w:pos="569"/>
        </w:tabs>
        <w:jc w:val="both"/>
        <w:rPr>
          <w:bCs/>
          <w:sz w:val="22"/>
          <w:szCs w:val="22"/>
          <w:lang w:val="sr-Latn-ME"/>
        </w:rPr>
      </w:pPr>
      <w:r w:rsidRPr="00BD2023">
        <w:rPr>
          <w:bCs/>
          <w:sz w:val="22"/>
          <w:szCs w:val="22"/>
          <w:lang w:val="sr-Latn-ME"/>
        </w:rPr>
        <w:t>ATC kod:</w:t>
      </w:r>
      <w:r w:rsidR="00F77D20" w:rsidRPr="00BD2023">
        <w:rPr>
          <w:sz w:val="22"/>
          <w:szCs w:val="22"/>
          <w:lang w:val="sr-Latn-ME"/>
        </w:rPr>
        <w:t xml:space="preserve"> </w:t>
      </w:r>
      <w:r w:rsidR="00F77D20" w:rsidRPr="00BD2023">
        <w:rPr>
          <w:bCs/>
          <w:sz w:val="22"/>
          <w:szCs w:val="22"/>
          <w:lang w:val="sr-Latn-ME"/>
        </w:rPr>
        <w:t>M09AX10</w:t>
      </w:r>
    </w:p>
    <w:p w14:paraId="7A9FC191" w14:textId="77777777" w:rsidR="00F77D20" w:rsidRPr="00BD2023" w:rsidRDefault="00F77D20" w:rsidP="00BC480A">
      <w:pPr>
        <w:tabs>
          <w:tab w:val="left" w:pos="540"/>
          <w:tab w:val="left" w:pos="569"/>
        </w:tabs>
        <w:jc w:val="both"/>
        <w:rPr>
          <w:bCs/>
          <w:sz w:val="22"/>
          <w:szCs w:val="22"/>
          <w:lang w:val="sr-Latn-ME"/>
        </w:rPr>
      </w:pPr>
    </w:p>
    <w:p w14:paraId="5DD1C7B1" w14:textId="77777777" w:rsidR="00F77D20" w:rsidRPr="00BD2023" w:rsidRDefault="00F77D20" w:rsidP="00BC480A">
      <w:pPr>
        <w:tabs>
          <w:tab w:val="left" w:pos="540"/>
          <w:tab w:val="left" w:pos="569"/>
        </w:tabs>
        <w:jc w:val="both"/>
        <w:rPr>
          <w:bCs/>
          <w:sz w:val="22"/>
          <w:szCs w:val="22"/>
          <w:lang w:val="sr-Latn-ME"/>
        </w:rPr>
      </w:pPr>
      <w:r w:rsidRPr="00BD2023">
        <w:rPr>
          <w:bCs/>
          <w:sz w:val="22"/>
          <w:szCs w:val="22"/>
          <w:u w:val="single"/>
          <w:lang w:val="sr-Latn-ME"/>
        </w:rPr>
        <w:t>Mehanizam dejstva</w:t>
      </w:r>
    </w:p>
    <w:p w14:paraId="53E6C06B" w14:textId="77777777" w:rsidR="00F77D20" w:rsidRPr="00BD2023" w:rsidRDefault="00F77D20" w:rsidP="00BC480A">
      <w:pPr>
        <w:tabs>
          <w:tab w:val="left" w:pos="540"/>
          <w:tab w:val="left" w:pos="569"/>
        </w:tabs>
        <w:jc w:val="both"/>
        <w:rPr>
          <w:bCs/>
          <w:sz w:val="22"/>
          <w:szCs w:val="22"/>
          <w:lang w:val="sr-Latn-ME"/>
        </w:rPr>
      </w:pPr>
    </w:p>
    <w:p w14:paraId="5670B105" w14:textId="2B2981CC" w:rsidR="00F77D20" w:rsidRPr="00BD2023" w:rsidRDefault="00F77D20" w:rsidP="00BC480A">
      <w:pPr>
        <w:tabs>
          <w:tab w:val="left" w:pos="540"/>
          <w:tab w:val="left" w:pos="569"/>
        </w:tabs>
        <w:jc w:val="both"/>
        <w:rPr>
          <w:bCs/>
          <w:sz w:val="22"/>
          <w:szCs w:val="22"/>
          <w:lang w:val="sr-Latn-ME"/>
        </w:rPr>
      </w:pPr>
      <w:r w:rsidRPr="00BD2023">
        <w:rPr>
          <w:bCs/>
          <w:sz w:val="22"/>
          <w:szCs w:val="22"/>
          <w:lang w:val="sr-Latn-ME"/>
        </w:rPr>
        <w:t xml:space="preserve">Risdiplam je modifikator </w:t>
      </w:r>
      <w:r w:rsidR="00A61F9C" w:rsidRPr="00BD2023">
        <w:rPr>
          <w:bCs/>
          <w:sz w:val="22"/>
          <w:szCs w:val="22"/>
          <w:lang w:val="sr-Latn-ME"/>
        </w:rPr>
        <w:t>prekrajanja</w:t>
      </w:r>
      <w:r w:rsidRPr="00BD2023">
        <w:rPr>
          <w:bCs/>
          <w:sz w:val="22"/>
          <w:szCs w:val="22"/>
          <w:lang w:val="sr-Latn-ME"/>
        </w:rPr>
        <w:t xml:space="preserve"> pre-mRNK </w:t>
      </w:r>
      <w:r w:rsidR="00A61F9C" w:rsidRPr="00BD2023">
        <w:rPr>
          <w:bCs/>
          <w:sz w:val="22"/>
          <w:szCs w:val="22"/>
          <w:lang w:val="sr-Latn-ME"/>
        </w:rPr>
        <w:t xml:space="preserve">gena za </w:t>
      </w:r>
      <w:r w:rsidRPr="00BD2023">
        <w:rPr>
          <w:bCs/>
          <w:sz w:val="22"/>
          <w:szCs w:val="22"/>
          <w:lang w:val="sr-Latn-ME"/>
        </w:rPr>
        <w:t>preživljavanja motorn</w:t>
      </w:r>
      <w:r w:rsidR="00A61F9C" w:rsidRPr="00BD2023">
        <w:rPr>
          <w:bCs/>
          <w:sz w:val="22"/>
          <w:szCs w:val="22"/>
          <w:lang w:val="sr-Latn-ME"/>
        </w:rPr>
        <w:t>ih</w:t>
      </w:r>
      <w:r w:rsidRPr="00BD2023">
        <w:rPr>
          <w:bCs/>
          <w:sz w:val="22"/>
          <w:szCs w:val="22"/>
          <w:lang w:val="sr-Latn-ME"/>
        </w:rPr>
        <w:t xml:space="preserve"> neurona 2 (</w:t>
      </w:r>
      <w:r w:rsidR="00A61F9C" w:rsidRPr="00BD2023">
        <w:rPr>
          <w:bCs/>
          <w:sz w:val="22"/>
          <w:szCs w:val="22"/>
          <w:lang w:val="sr-Latn-ME"/>
        </w:rPr>
        <w:t xml:space="preserve">engl. </w:t>
      </w:r>
      <w:r w:rsidR="00A61F9C" w:rsidRPr="00BD2023">
        <w:rPr>
          <w:bCs/>
          <w:i/>
          <w:sz w:val="22"/>
          <w:szCs w:val="22"/>
          <w:lang w:val="sr-Latn-ME"/>
        </w:rPr>
        <w:t>survival motor neuron 2,</w:t>
      </w:r>
      <w:r w:rsidR="00A61F9C" w:rsidRPr="00BD2023">
        <w:rPr>
          <w:bCs/>
          <w:sz w:val="22"/>
          <w:szCs w:val="22"/>
          <w:lang w:val="sr-Latn-ME"/>
        </w:rPr>
        <w:t xml:space="preserve"> </w:t>
      </w:r>
      <w:r w:rsidRPr="00BD2023">
        <w:rPr>
          <w:bCs/>
          <w:sz w:val="22"/>
          <w:szCs w:val="22"/>
          <w:lang w:val="sr-Latn-ME"/>
        </w:rPr>
        <w:t xml:space="preserve">SMN2) </w:t>
      </w:r>
      <w:r w:rsidR="00A61F9C" w:rsidRPr="00BD2023">
        <w:rPr>
          <w:bCs/>
          <w:sz w:val="22"/>
          <w:szCs w:val="22"/>
          <w:lang w:val="sr-Latn-ME"/>
        </w:rPr>
        <w:t xml:space="preserve">dizajniran </w:t>
      </w:r>
      <w:r w:rsidRPr="00BD2023">
        <w:rPr>
          <w:bCs/>
          <w:sz w:val="22"/>
          <w:szCs w:val="22"/>
          <w:lang w:val="sr-Latn-ME"/>
        </w:rPr>
        <w:t xml:space="preserve">za </w:t>
      </w:r>
      <w:r w:rsidR="00F73418" w:rsidRPr="00BD2023">
        <w:rPr>
          <w:bCs/>
          <w:sz w:val="22"/>
          <w:szCs w:val="22"/>
          <w:lang w:val="sr-Latn-ME"/>
        </w:rPr>
        <w:t>liječenje</w:t>
      </w:r>
      <w:r w:rsidRPr="00BD2023">
        <w:rPr>
          <w:bCs/>
          <w:sz w:val="22"/>
          <w:szCs w:val="22"/>
          <w:lang w:val="sr-Latn-ME"/>
        </w:rPr>
        <w:t xml:space="preserve"> SMA </w:t>
      </w:r>
      <w:r w:rsidR="00A61F9C" w:rsidRPr="00BD2023">
        <w:rPr>
          <w:bCs/>
          <w:sz w:val="22"/>
          <w:szCs w:val="22"/>
          <w:lang w:val="sr-Latn-ME"/>
        </w:rPr>
        <w:t>uzrokovane</w:t>
      </w:r>
      <w:r w:rsidRPr="00BD2023">
        <w:rPr>
          <w:bCs/>
          <w:sz w:val="22"/>
          <w:szCs w:val="22"/>
          <w:lang w:val="sr-Latn-ME"/>
        </w:rPr>
        <w:t xml:space="preserve"> mutacij</w:t>
      </w:r>
      <w:r w:rsidR="00A61F9C" w:rsidRPr="00BD2023">
        <w:rPr>
          <w:bCs/>
          <w:sz w:val="22"/>
          <w:szCs w:val="22"/>
          <w:lang w:val="sr-Latn-ME"/>
        </w:rPr>
        <w:t>ama</w:t>
      </w:r>
      <w:r w:rsidRPr="00BD2023">
        <w:rPr>
          <w:bCs/>
          <w:sz w:val="22"/>
          <w:szCs w:val="22"/>
          <w:lang w:val="sr-Latn-ME"/>
        </w:rPr>
        <w:t xml:space="preserve"> gena </w:t>
      </w:r>
      <w:r w:rsidRPr="00BD2023">
        <w:rPr>
          <w:bCs/>
          <w:i/>
          <w:iCs/>
          <w:sz w:val="22"/>
          <w:szCs w:val="22"/>
          <w:lang w:val="sr-Latn-ME"/>
        </w:rPr>
        <w:t>SMN1</w:t>
      </w:r>
      <w:r w:rsidR="00A61F9C" w:rsidRPr="00BD2023">
        <w:rPr>
          <w:bCs/>
          <w:sz w:val="22"/>
          <w:szCs w:val="22"/>
          <w:lang w:val="sr-Latn-ME"/>
        </w:rPr>
        <w:t xml:space="preserve"> na </w:t>
      </w:r>
      <w:r w:rsidRPr="00BD2023">
        <w:rPr>
          <w:bCs/>
          <w:sz w:val="22"/>
          <w:szCs w:val="22"/>
          <w:lang w:val="sr-Latn-ME"/>
        </w:rPr>
        <w:t xml:space="preserve">hromozomu 5q koje dovode do deficijencije proteina SMN. Deficijencija funkcionalnog proteina SMN je direktno povezana sa patofiziologijom SMA koja obuhvata progresivan gubitak motornih neurona i mišićnu slabost. Risdiplam koriguje </w:t>
      </w:r>
      <w:r w:rsidR="00A61F9C" w:rsidRPr="00BD2023">
        <w:rPr>
          <w:bCs/>
          <w:sz w:val="22"/>
          <w:szCs w:val="22"/>
          <w:lang w:val="sr-Latn-ME"/>
        </w:rPr>
        <w:t xml:space="preserve">prekrajanje gena </w:t>
      </w:r>
      <w:r w:rsidRPr="00BD2023">
        <w:rPr>
          <w:bCs/>
          <w:i/>
          <w:iCs/>
          <w:sz w:val="22"/>
          <w:szCs w:val="22"/>
          <w:lang w:val="sr-Latn-ME"/>
        </w:rPr>
        <w:t>SMN2</w:t>
      </w:r>
      <w:r w:rsidRPr="00BD2023">
        <w:rPr>
          <w:bCs/>
          <w:sz w:val="22"/>
          <w:szCs w:val="22"/>
          <w:lang w:val="sr-Latn-ME"/>
        </w:rPr>
        <w:t xml:space="preserve"> u cilju prebacivanja ravnoteže sa ekskluzije egzona 7 na inkluziju egzona 7 u transkript mRNK, što dovodi do pov</w:t>
      </w:r>
      <w:r w:rsidR="00A61F9C" w:rsidRPr="00BD2023">
        <w:rPr>
          <w:bCs/>
          <w:sz w:val="22"/>
          <w:szCs w:val="22"/>
          <w:lang w:val="sr-Latn-ME"/>
        </w:rPr>
        <w:t>ećane</w:t>
      </w:r>
      <w:r w:rsidRPr="00BD2023">
        <w:rPr>
          <w:bCs/>
          <w:sz w:val="22"/>
          <w:szCs w:val="22"/>
          <w:lang w:val="sr-Latn-ME"/>
        </w:rPr>
        <w:t xml:space="preserve"> produkcije funkcionalnog i stabilnog proteina SMN. Tako risdiplam </w:t>
      </w:r>
      <w:r w:rsidR="000956D5" w:rsidRPr="00BD2023">
        <w:rPr>
          <w:bCs/>
          <w:sz w:val="22"/>
          <w:szCs w:val="22"/>
          <w:lang w:val="sr-Latn-ME"/>
        </w:rPr>
        <w:t>liječi SMA</w:t>
      </w:r>
      <w:r w:rsidRPr="00BD2023">
        <w:rPr>
          <w:bCs/>
          <w:sz w:val="22"/>
          <w:szCs w:val="22"/>
          <w:lang w:val="sr-Latn-ME"/>
        </w:rPr>
        <w:t xml:space="preserve"> jer povećava i održava nivoe funkcionalnog proteina SMN. </w:t>
      </w:r>
    </w:p>
    <w:p w14:paraId="3C43F917" w14:textId="77777777" w:rsidR="00F77D20" w:rsidRPr="00BD2023" w:rsidRDefault="00F77D20" w:rsidP="00BC480A">
      <w:pPr>
        <w:tabs>
          <w:tab w:val="left" w:pos="540"/>
          <w:tab w:val="left" w:pos="569"/>
        </w:tabs>
        <w:jc w:val="both"/>
        <w:rPr>
          <w:bCs/>
          <w:sz w:val="22"/>
          <w:szCs w:val="22"/>
          <w:lang w:val="sr-Latn-ME"/>
        </w:rPr>
      </w:pPr>
    </w:p>
    <w:p w14:paraId="16B7ACE4" w14:textId="77777777" w:rsidR="00F77D20" w:rsidRPr="00BD2023" w:rsidRDefault="00F77D20" w:rsidP="00BC480A">
      <w:pPr>
        <w:tabs>
          <w:tab w:val="left" w:pos="540"/>
          <w:tab w:val="left" w:pos="569"/>
        </w:tabs>
        <w:jc w:val="both"/>
        <w:rPr>
          <w:bCs/>
          <w:sz w:val="22"/>
          <w:szCs w:val="22"/>
          <w:lang w:val="sr-Latn-ME"/>
        </w:rPr>
      </w:pPr>
      <w:r w:rsidRPr="00BD2023">
        <w:rPr>
          <w:bCs/>
          <w:sz w:val="22"/>
          <w:szCs w:val="22"/>
          <w:u w:val="single"/>
          <w:lang w:val="sr-Latn-ME"/>
        </w:rPr>
        <w:t>Farmakodinamska dejstva</w:t>
      </w:r>
    </w:p>
    <w:p w14:paraId="1F706FE3" w14:textId="77777777" w:rsidR="00F77D20" w:rsidRPr="00BD2023" w:rsidRDefault="00F77D20" w:rsidP="00BC480A">
      <w:pPr>
        <w:tabs>
          <w:tab w:val="left" w:pos="540"/>
          <w:tab w:val="left" w:pos="569"/>
        </w:tabs>
        <w:jc w:val="both"/>
        <w:rPr>
          <w:bCs/>
          <w:sz w:val="22"/>
          <w:szCs w:val="22"/>
          <w:lang w:val="sr-Latn-ME"/>
        </w:rPr>
      </w:pPr>
    </w:p>
    <w:p w14:paraId="37810EC3" w14:textId="483AAEE7" w:rsidR="00F77D20" w:rsidRDefault="00F77D20" w:rsidP="00BC480A">
      <w:pPr>
        <w:tabs>
          <w:tab w:val="left" w:pos="540"/>
          <w:tab w:val="left" w:pos="569"/>
        </w:tabs>
        <w:jc w:val="both"/>
        <w:rPr>
          <w:bCs/>
          <w:sz w:val="22"/>
          <w:szCs w:val="22"/>
          <w:lang w:val="sr-Latn-ME"/>
        </w:rPr>
      </w:pPr>
      <w:r w:rsidRPr="00BD2023">
        <w:rPr>
          <w:bCs/>
          <w:sz w:val="22"/>
          <w:szCs w:val="22"/>
          <w:lang w:val="sr-Latn-ME"/>
        </w:rPr>
        <w:t xml:space="preserve">U studijama </w:t>
      </w:r>
      <w:r w:rsidR="00740B8C" w:rsidRPr="00BD2023">
        <w:rPr>
          <w:bCs/>
          <w:sz w:val="22"/>
          <w:szCs w:val="22"/>
          <w:lang w:val="sr-Latn-ME"/>
        </w:rPr>
        <w:t>FIREFISH (pacijenti uzrasta od 2</w:t>
      </w:r>
      <w:r w:rsidR="003B6765">
        <w:rPr>
          <w:bCs/>
          <w:sz w:val="22"/>
          <w:szCs w:val="22"/>
          <w:lang w:val="sr-Latn-ME"/>
        </w:rPr>
        <w:t xml:space="preserve"> do </w:t>
      </w:r>
      <w:r w:rsidR="00740B8C" w:rsidRPr="00BD2023">
        <w:rPr>
          <w:bCs/>
          <w:sz w:val="22"/>
          <w:szCs w:val="22"/>
          <w:lang w:val="sr-Latn-ME"/>
        </w:rPr>
        <w:t>7 mjeseci u trenutku uključivanja u studiju), SUNFISH (pacijenti uzrasta od 2</w:t>
      </w:r>
      <w:r w:rsidR="003B6765">
        <w:rPr>
          <w:bCs/>
          <w:sz w:val="22"/>
          <w:szCs w:val="22"/>
          <w:lang w:val="sr-Latn-ME"/>
        </w:rPr>
        <w:t xml:space="preserve"> do </w:t>
      </w:r>
      <w:r w:rsidR="00740B8C" w:rsidRPr="00BD2023">
        <w:rPr>
          <w:bCs/>
          <w:sz w:val="22"/>
          <w:szCs w:val="22"/>
          <w:lang w:val="sr-Latn-ME"/>
        </w:rPr>
        <w:t>25 godina u trenutku uključivanja u studiju) i JEWELFISH (pacijenti uzrasta od 1</w:t>
      </w:r>
      <w:r w:rsidR="003B6765">
        <w:rPr>
          <w:bCs/>
          <w:sz w:val="22"/>
          <w:szCs w:val="22"/>
          <w:lang w:val="sr-Latn-ME"/>
        </w:rPr>
        <w:t xml:space="preserve"> do </w:t>
      </w:r>
      <w:r w:rsidR="00740B8C" w:rsidRPr="00BD2023">
        <w:rPr>
          <w:bCs/>
          <w:sz w:val="22"/>
          <w:szCs w:val="22"/>
          <w:lang w:val="sr-Latn-ME"/>
        </w:rPr>
        <w:t>60 godina u trenutku uključivanja u studiju), sprovedenim kod pacijenata obol</w:t>
      </w:r>
      <w:r w:rsidR="00435851" w:rsidRPr="00BD2023">
        <w:rPr>
          <w:bCs/>
          <w:sz w:val="22"/>
          <w:szCs w:val="22"/>
          <w:lang w:val="sr-Latn-ME"/>
        </w:rPr>
        <w:t>j</w:t>
      </w:r>
      <w:r w:rsidR="00740B8C" w:rsidRPr="00BD2023">
        <w:rPr>
          <w:bCs/>
          <w:sz w:val="22"/>
          <w:szCs w:val="22"/>
          <w:lang w:val="sr-Latn-ME"/>
        </w:rPr>
        <w:t xml:space="preserve">elih od SMA sa početkom u uzrastu odojčeta i SMA sa kasnijim početkom, </w:t>
      </w:r>
      <w:r w:rsidRPr="00BD2023">
        <w:rPr>
          <w:bCs/>
          <w:sz w:val="22"/>
          <w:szCs w:val="22"/>
          <w:lang w:val="sr-Latn-ME"/>
        </w:rPr>
        <w:t xml:space="preserve">risdiplam je doveo do povećanja </w:t>
      </w:r>
      <w:r w:rsidR="00A61F9C" w:rsidRPr="00BD2023">
        <w:rPr>
          <w:bCs/>
          <w:sz w:val="22"/>
          <w:szCs w:val="22"/>
          <w:lang w:val="sr-Latn-ME"/>
        </w:rPr>
        <w:t xml:space="preserve">nivoa </w:t>
      </w:r>
      <w:r w:rsidRPr="00BD2023">
        <w:rPr>
          <w:bCs/>
          <w:sz w:val="22"/>
          <w:szCs w:val="22"/>
          <w:lang w:val="sr-Latn-ME"/>
        </w:rPr>
        <w:t>proteina SMN u krvi, sa medijanom prom</w:t>
      </w:r>
      <w:r w:rsidR="00C02A23" w:rsidRPr="00BD2023">
        <w:rPr>
          <w:bCs/>
          <w:sz w:val="22"/>
          <w:szCs w:val="22"/>
          <w:lang w:val="sr-Latn-ME"/>
        </w:rPr>
        <w:t>j</w:t>
      </w:r>
      <w:r w:rsidRPr="00BD2023">
        <w:rPr>
          <w:bCs/>
          <w:sz w:val="22"/>
          <w:szCs w:val="22"/>
          <w:lang w:val="sr-Latn-ME"/>
        </w:rPr>
        <w:t xml:space="preserve">ene u odnosu na početnu </w:t>
      </w:r>
      <w:r w:rsidR="00F73418" w:rsidRPr="00BD2023">
        <w:rPr>
          <w:bCs/>
          <w:sz w:val="22"/>
          <w:szCs w:val="22"/>
          <w:lang w:val="sr-Latn-ME"/>
        </w:rPr>
        <w:t>vrijednost</w:t>
      </w:r>
      <w:r w:rsidRPr="00BD2023">
        <w:rPr>
          <w:bCs/>
          <w:sz w:val="22"/>
          <w:szCs w:val="22"/>
          <w:lang w:val="sr-Latn-ME"/>
        </w:rPr>
        <w:t xml:space="preserve"> </w:t>
      </w:r>
      <w:r w:rsidR="00A61F9C" w:rsidRPr="00BD2023">
        <w:rPr>
          <w:bCs/>
          <w:sz w:val="22"/>
          <w:szCs w:val="22"/>
          <w:lang w:val="sr-Latn-ME"/>
        </w:rPr>
        <w:t xml:space="preserve">za </w:t>
      </w:r>
      <w:r w:rsidRPr="00BD2023">
        <w:rPr>
          <w:bCs/>
          <w:sz w:val="22"/>
          <w:szCs w:val="22"/>
          <w:lang w:val="sr-Latn-ME"/>
        </w:rPr>
        <w:t xml:space="preserve">više od 2 puta u periodu od 4 </w:t>
      </w:r>
      <w:r w:rsidR="00C97F02" w:rsidRPr="00BD2023">
        <w:rPr>
          <w:bCs/>
          <w:sz w:val="22"/>
          <w:szCs w:val="22"/>
          <w:lang w:val="sr-Latn-ME"/>
        </w:rPr>
        <w:t>nedjelj</w:t>
      </w:r>
      <w:r w:rsidRPr="00BD2023">
        <w:rPr>
          <w:bCs/>
          <w:sz w:val="22"/>
          <w:szCs w:val="22"/>
          <w:lang w:val="sr-Latn-ME"/>
        </w:rPr>
        <w:t>e od uvođenja terapije</w:t>
      </w:r>
      <w:r w:rsidR="000D7A7C" w:rsidRPr="00BD2023">
        <w:rPr>
          <w:bCs/>
          <w:sz w:val="22"/>
          <w:szCs w:val="22"/>
          <w:lang w:val="sr-Latn-ME"/>
        </w:rPr>
        <w:t xml:space="preserve"> u svim ispitivanim tipovima SMA</w:t>
      </w:r>
      <w:r w:rsidRPr="00BD2023">
        <w:rPr>
          <w:bCs/>
          <w:sz w:val="22"/>
          <w:szCs w:val="22"/>
          <w:lang w:val="sr-Latn-ME"/>
        </w:rPr>
        <w:t>. To povećanje se održalo tokom perioda l</w:t>
      </w:r>
      <w:r w:rsidR="00C02A23" w:rsidRPr="00BD2023">
        <w:rPr>
          <w:bCs/>
          <w:sz w:val="22"/>
          <w:szCs w:val="22"/>
          <w:lang w:val="sr-Latn-ME"/>
        </w:rPr>
        <w:t>ij</w:t>
      </w:r>
      <w:r w:rsidRPr="00BD2023">
        <w:rPr>
          <w:bCs/>
          <w:sz w:val="22"/>
          <w:szCs w:val="22"/>
          <w:lang w:val="sr-Latn-ME"/>
        </w:rPr>
        <w:t xml:space="preserve">ečenja (od najmanje </w:t>
      </w:r>
      <w:r w:rsidR="000D7A7C" w:rsidRPr="00BD2023">
        <w:rPr>
          <w:bCs/>
          <w:sz w:val="22"/>
          <w:szCs w:val="22"/>
          <w:lang w:val="sr-Latn-ME"/>
        </w:rPr>
        <w:t>24</w:t>
      </w:r>
      <w:r w:rsidRPr="00BD2023">
        <w:rPr>
          <w:bCs/>
          <w:sz w:val="22"/>
          <w:szCs w:val="22"/>
          <w:lang w:val="sr-Latn-ME"/>
        </w:rPr>
        <w:t xml:space="preserve"> m</w:t>
      </w:r>
      <w:r w:rsidR="000D7A7C" w:rsidRPr="00BD2023">
        <w:rPr>
          <w:bCs/>
          <w:sz w:val="22"/>
          <w:szCs w:val="22"/>
          <w:lang w:val="sr-Latn-ME"/>
        </w:rPr>
        <w:t>j</w:t>
      </w:r>
      <w:r w:rsidRPr="00BD2023">
        <w:rPr>
          <w:bCs/>
          <w:sz w:val="22"/>
          <w:szCs w:val="22"/>
          <w:lang w:val="sr-Latn-ME"/>
        </w:rPr>
        <w:t>esec</w:t>
      </w:r>
      <w:r w:rsidR="000D7A7C" w:rsidRPr="00BD2023">
        <w:rPr>
          <w:bCs/>
          <w:sz w:val="22"/>
          <w:szCs w:val="22"/>
          <w:lang w:val="sr-Latn-ME"/>
        </w:rPr>
        <w:t>a</w:t>
      </w:r>
      <w:r w:rsidRPr="00BD2023">
        <w:rPr>
          <w:bCs/>
          <w:sz w:val="22"/>
          <w:szCs w:val="22"/>
          <w:lang w:val="sr-Latn-ME"/>
        </w:rPr>
        <w:t>).</w:t>
      </w:r>
    </w:p>
    <w:p w14:paraId="0E54B1A8" w14:textId="77777777" w:rsidR="00E820E5" w:rsidRDefault="00E820E5" w:rsidP="00BC480A">
      <w:pPr>
        <w:tabs>
          <w:tab w:val="left" w:pos="540"/>
          <w:tab w:val="left" w:pos="569"/>
        </w:tabs>
        <w:jc w:val="both"/>
        <w:rPr>
          <w:bCs/>
          <w:sz w:val="22"/>
          <w:szCs w:val="22"/>
          <w:lang w:val="sr-Latn-ME"/>
        </w:rPr>
      </w:pPr>
    </w:p>
    <w:p w14:paraId="5ABEF963" w14:textId="77777777" w:rsidR="00FF1A8C" w:rsidRPr="00E820E5" w:rsidRDefault="00FF1A8C" w:rsidP="00FF1A8C">
      <w:pPr>
        <w:tabs>
          <w:tab w:val="left" w:pos="540"/>
          <w:tab w:val="left" w:pos="567"/>
        </w:tabs>
        <w:jc w:val="both"/>
        <w:rPr>
          <w:bCs/>
          <w:i/>
          <w:sz w:val="22"/>
          <w:szCs w:val="22"/>
          <w:lang w:val="sr-Latn-RS"/>
        </w:rPr>
      </w:pPr>
      <w:r w:rsidRPr="00E820E5">
        <w:rPr>
          <w:bCs/>
          <w:i/>
          <w:sz w:val="22"/>
          <w:szCs w:val="22"/>
          <w:lang w:val="sr-Latn-RS"/>
        </w:rPr>
        <w:t>Elektrofiziologija srca</w:t>
      </w:r>
    </w:p>
    <w:p w14:paraId="6B7236C9" w14:textId="77777777" w:rsidR="00FF1A8C" w:rsidRPr="00E820E5" w:rsidRDefault="00FF1A8C" w:rsidP="00FF1A8C">
      <w:pPr>
        <w:tabs>
          <w:tab w:val="left" w:pos="540"/>
          <w:tab w:val="left" w:pos="567"/>
        </w:tabs>
        <w:jc w:val="both"/>
        <w:rPr>
          <w:bCs/>
          <w:sz w:val="22"/>
          <w:szCs w:val="22"/>
          <w:lang w:val="sr-Latn-RS"/>
        </w:rPr>
      </w:pPr>
    </w:p>
    <w:p w14:paraId="11FB325F" w14:textId="784E52D7" w:rsidR="00FF1A8C" w:rsidRPr="00E820E5" w:rsidRDefault="00FF1A8C" w:rsidP="00FF1A8C">
      <w:pPr>
        <w:tabs>
          <w:tab w:val="left" w:pos="540"/>
          <w:tab w:val="left" w:pos="569"/>
        </w:tabs>
        <w:jc w:val="both"/>
        <w:rPr>
          <w:bCs/>
          <w:sz w:val="22"/>
          <w:szCs w:val="22"/>
          <w:lang w:val="sr-Latn-ME"/>
        </w:rPr>
      </w:pPr>
      <w:r w:rsidRPr="00E820E5">
        <w:rPr>
          <w:bCs/>
          <w:sz w:val="22"/>
          <w:szCs w:val="22"/>
          <w:lang w:val="sr-Latn-RS"/>
        </w:rPr>
        <w:t>Uticaj risdiplama na QTc interval procijenjen je u studiji na 47 zdravih, odraslih ispitanika. Pri terapijskoj izloženosti, risdiplam nije produžio QTc interval.</w:t>
      </w:r>
    </w:p>
    <w:p w14:paraId="6D202AA0" w14:textId="77777777" w:rsidR="00F77D20" w:rsidRPr="00BD2023" w:rsidRDefault="00F77D20" w:rsidP="00BC480A">
      <w:pPr>
        <w:tabs>
          <w:tab w:val="left" w:pos="540"/>
          <w:tab w:val="left" w:pos="569"/>
        </w:tabs>
        <w:jc w:val="both"/>
        <w:rPr>
          <w:bCs/>
          <w:sz w:val="22"/>
          <w:szCs w:val="22"/>
          <w:u w:val="single"/>
          <w:lang w:val="sr-Latn-ME"/>
        </w:rPr>
      </w:pPr>
    </w:p>
    <w:p w14:paraId="06102986" w14:textId="2CB25A6B" w:rsidR="00F77D20" w:rsidRPr="00BD2023" w:rsidRDefault="00F77D20" w:rsidP="00BC480A">
      <w:pPr>
        <w:tabs>
          <w:tab w:val="left" w:pos="540"/>
          <w:tab w:val="left" w:pos="569"/>
        </w:tabs>
        <w:jc w:val="both"/>
        <w:rPr>
          <w:bCs/>
          <w:sz w:val="22"/>
          <w:szCs w:val="22"/>
          <w:u w:val="single"/>
          <w:lang w:val="sr-Latn-ME"/>
        </w:rPr>
      </w:pPr>
      <w:r w:rsidRPr="00BD2023">
        <w:rPr>
          <w:bCs/>
          <w:sz w:val="22"/>
          <w:szCs w:val="22"/>
          <w:u w:val="single"/>
          <w:lang w:val="sr-Latn-ME"/>
        </w:rPr>
        <w:t xml:space="preserve">Klinička efikasnost i </w:t>
      </w:r>
      <w:r w:rsidR="00F73418" w:rsidRPr="00BD2023">
        <w:rPr>
          <w:bCs/>
          <w:sz w:val="22"/>
          <w:szCs w:val="22"/>
          <w:u w:val="single"/>
          <w:lang w:val="sr-Latn-ME"/>
        </w:rPr>
        <w:t>bezbjednos</w:t>
      </w:r>
      <w:r w:rsidRPr="00BD2023">
        <w:rPr>
          <w:bCs/>
          <w:sz w:val="22"/>
          <w:szCs w:val="22"/>
          <w:u w:val="single"/>
          <w:lang w:val="sr-Latn-ME"/>
        </w:rPr>
        <w:t>t</w:t>
      </w:r>
    </w:p>
    <w:p w14:paraId="3515B4A6" w14:textId="77777777" w:rsidR="00F77D20" w:rsidRPr="00BD2023" w:rsidRDefault="00F77D20" w:rsidP="00BC480A">
      <w:pPr>
        <w:tabs>
          <w:tab w:val="left" w:pos="540"/>
          <w:tab w:val="left" w:pos="569"/>
        </w:tabs>
        <w:jc w:val="both"/>
        <w:rPr>
          <w:bCs/>
          <w:sz w:val="22"/>
          <w:szCs w:val="22"/>
          <w:lang w:val="sr-Latn-ME"/>
        </w:rPr>
      </w:pPr>
    </w:p>
    <w:p w14:paraId="1CC01C46" w14:textId="02589444" w:rsidR="00F77D20" w:rsidRPr="00BD2023" w:rsidRDefault="00F77D20" w:rsidP="00BC480A">
      <w:pPr>
        <w:tabs>
          <w:tab w:val="left" w:pos="540"/>
          <w:tab w:val="left" w:pos="569"/>
        </w:tabs>
        <w:jc w:val="both"/>
        <w:rPr>
          <w:bCs/>
          <w:iCs/>
          <w:sz w:val="22"/>
          <w:szCs w:val="22"/>
          <w:lang w:val="sr-Latn-ME"/>
        </w:rPr>
      </w:pPr>
      <w:r w:rsidRPr="00BD2023">
        <w:rPr>
          <w:bCs/>
          <w:sz w:val="22"/>
          <w:szCs w:val="22"/>
          <w:lang w:val="sr-Latn-ME"/>
        </w:rPr>
        <w:t xml:space="preserve">Efikasnost </w:t>
      </w:r>
      <w:r w:rsidR="007E5CF0" w:rsidRPr="00BD2023">
        <w:rPr>
          <w:bCs/>
          <w:sz w:val="22"/>
          <w:szCs w:val="22"/>
          <w:lang w:val="sr-Latn-ME"/>
        </w:rPr>
        <w:t>lijek</w:t>
      </w:r>
      <w:r w:rsidRPr="00BD2023">
        <w:rPr>
          <w:bCs/>
          <w:sz w:val="22"/>
          <w:szCs w:val="22"/>
          <w:lang w:val="sr-Latn-ME"/>
        </w:rPr>
        <w:t>a Evrysdi u terapiji pacijenata sa SMA sa početkom u infantilnom periodu (SMA tip 1) i SMA sa kasnijim početkom (SMA tip 2 i 3)</w:t>
      </w:r>
      <w:r w:rsidRPr="00BD2023">
        <w:rPr>
          <w:b/>
          <w:bCs/>
          <w:sz w:val="22"/>
          <w:szCs w:val="22"/>
          <w:lang w:val="sr-Latn-ME"/>
        </w:rPr>
        <w:t xml:space="preserve"> </w:t>
      </w:r>
      <w:r w:rsidR="00B744E8" w:rsidRPr="00BD2023">
        <w:rPr>
          <w:bCs/>
          <w:sz w:val="22"/>
          <w:szCs w:val="22"/>
          <w:lang w:val="sr-Latn-ME"/>
        </w:rPr>
        <w:t>procijenj</w:t>
      </w:r>
      <w:r w:rsidRPr="00BD2023">
        <w:rPr>
          <w:bCs/>
          <w:sz w:val="22"/>
          <w:szCs w:val="22"/>
          <w:lang w:val="sr-Latn-ME"/>
        </w:rPr>
        <w:t xml:space="preserve">ena je u 2 pivotalne kliničke studije, FIREFISH i SUNFISH. </w:t>
      </w:r>
      <w:r w:rsidR="003B6765">
        <w:rPr>
          <w:bCs/>
          <w:sz w:val="22"/>
          <w:szCs w:val="22"/>
          <w:lang w:val="sr-Latn-ME"/>
        </w:rPr>
        <w:t>P</w:t>
      </w:r>
      <w:r w:rsidR="00740B8C" w:rsidRPr="00BD2023">
        <w:rPr>
          <w:bCs/>
          <w:sz w:val="22"/>
          <w:szCs w:val="22"/>
          <w:lang w:val="sr-Latn-ME"/>
        </w:rPr>
        <w:t>odaci o efikasnosti lijeka Evrysdi za liječenje pacijenata sa predsimptomatskom SMA proc</w:t>
      </w:r>
      <w:r w:rsidR="00E6573B" w:rsidRPr="00BD2023">
        <w:rPr>
          <w:bCs/>
          <w:sz w:val="22"/>
          <w:szCs w:val="22"/>
          <w:lang w:val="sr-Latn-ME"/>
        </w:rPr>
        <w:t>j</w:t>
      </w:r>
      <w:r w:rsidR="00740B8C" w:rsidRPr="00BD2023">
        <w:rPr>
          <w:bCs/>
          <w:sz w:val="22"/>
          <w:szCs w:val="22"/>
          <w:lang w:val="sr-Latn-ME"/>
        </w:rPr>
        <w:t xml:space="preserve">enjivali su se u kliničkoj studiji RAINBOWFISH. </w:t>
      </w:r>
      <w:r w:rsidRPr="00BD2023">
        <w:rPr>
          <w:bCs/>
          <w:sz w:val="22"/>
          <w:szCs w:val="22"/>
          <w:lang w:val="sr-Latn-ME"/>
        </w:rPr>
        <w:t>Pacijenti sa kliničkom dijagnozom SMA tip 4 ni</w:t>
      </w:r>
      <w:r w:rsidR="0062553D" w:rsidRPr="00BD2023">
        <w:rPr>
          <w:bCs/>
          <w:sz w:val="22"/>
          <w:szCs w:val="22"/>
          <w:lang w:val="sr-Latn-ME"/>
        </w:rPr>
        <w:t>je</w:t>
      </w:r>
      <w:r w:rsidRPr="00BD2023">
        <w:rPr>
          <w:bCs/>
          <w:sz w:val="22"/>
          <w:szCs w:val="22"/>
          <w:lang w:val="sr-Latn-ME"/>
        </w:rPr>
        <w:t>su ispitivani u kliničkim ispitivanjima.</w:t>
      </w:r>
    </w:p>
    <w:p w14:paraId="11096659" w14:textId="77777777" w:rsidR="00F77D20" w:rsidRPr="00BD2023" w:rsidRDefault="00F77D20" w:rsidP="00BC480A">
      <w:pPr>
        <w:tabs>
          <w:tab w:val="left" w:pos="540"/>
          <w:tab w:val="left" w:pos="569"/>
        </w:tabs>
        <w:jc w:val="both"/>
        <w:rPr>
          <w:bCs/>
          <w:sz w:val="22"/>
          <w:szCs w:val="22"/>
          <w:lang w:val="sr-Latn-ME"/>
        </w:rPr>
      </w:pPr>
    </w:p>
    <w:p w14:paraId="30A831A9" w14:textId="77777777" w:rsidR="00F77D20" w:rsidRPr="00BD2023" w:rsidRDefault="00F77D20" w:rsidP="00BC480A">
      <w:pPr>
        <w:tabs>
          <w:tab w:val="left" w:pos="540"/>
          <w:tab w:val="left" w:pos="569"/>
        </w:tabs>
        <w:jc w:val="both"/>
        <w:rPr>
          <w:bCs/>
          <w:i/>
          <w:sz w:val="22"/>
          <w:szCs w:val="22"/>
          <w:lang w:val="sr-Latn-ME"/>
        </w:rPr>
      </w:pPr>
      <w:r w:rsidRPr="00BD2023">
        <w:rPr>
          <w:bCs/>
          <w:i/>
          <w:iCs/>
          <w:sz w:val="22"/>
          <w:szCs w:val="22"/>
          <w:lang w:val="sr-Latn-ME"/>
        </w:rPr>
        <w:t>Početak SMA u infantilnom periodu</w:t>
      </w:r>
    </w:p>
    <w:p w14:paraId="3F85E541" w14:textId="77777777" w:rsidR="00F77D20" w:rsidRPr="00BD2023" w:rsidRDefault="00F77D20" w:rsidP="00BC480A">
      <w:pPr>
        <w:tabs>
          <w:tab w:val="left" w:pos="540"/>
          <w:tab w:val="left" w:pos="569"/>
        </w:tabs>
        <w:jc w:val="both"/>
        <w:rPr>
          <w:bCs/>
          <w:i/>
          <w:sz w:val="22"/>
          <w:szCs w:val="22"/>
          <w:lang w:val="sr-Latn-ME"/>
        </w:rPr>
      </w:pPr>
    </w:p>
    <w:p w14:paraId="0EB8C5AF" w14:textId="6B4A6833" w:rsidR="00F77D20" w:rsidRPr="00BD2023" w:rsidRDefault="00F77D20" w:rsidP="00BC480A">
      <w:pPr>
        <w:tabs>
          <w:tab w:val="left" w:pos="540"/>
          <w:tab w:val="left" w:pos="569"/>
        </w:tabs>
        <w:jc w:val="both"/>
        <w:rPr>
          <w:bCs/>
          <w:iCs/>
          <w:sz w:val="22"/>
          <w:szCs w:val="22"/>
          <w:lang w:val="sr-Latn-ME"/>
        </w:rPr>
      </w:pPr>
      <w:r w:rsidRPr="00BD2023">
        <w:rPr>
          <w:bCs/>
          <w:sz w:val="22"/>
          <w:szCs w:val="22"/>
          <w:lang w:val="sr-Latn-ME"/>
        </w:rPr>
        <w:t>Studija BP39056 (FIREFISH) je otvorena, studija iz dva d</w:t>
      </w:r>
      <w:r w:rsidR="00C02A23" w:rsidRPr="00BD2023">
        <w:rPr>
          <w:bCs/>
          <w:sz w:val="22"/>
          <w:szCs w:val="22"/>
          <w:lang w:val="sr-Latn-ME"/>
        </w:rPr>
        <w:t>ij</w:t>
      </w:r>
      <w:r w:rsidRPr="00BD2023">
        <w:rPr>
          <w:bCs/>
          <w:sz w:val="22"/>
          <w:szCs w:val="22"/>
          <w:lang w:val="sr-Latn-ME"/>
        </w:rPr>
        <w:t>ela, za ispitivanje efikasnosti, bezb</w:t>
      </w:r>
      <w:r w:rsidR="00C02A23" w:rsidRPr="00BD2023">
        <w:rPr>
          <w:bCs/>
          <w:sz w:val="22"/>
          <w:szCs w:val="22"/>
          <w:lang w:val="sr-Latn-ME"/>
        </w:rPr>
        <w:t>j</w:t>
      </w:r>
      <w:r w:rsidRPr="00BD2023">
        <w:rPr>
          <w:bCs/>
          <w:sz w:val="22"/>
          <w:szCs w:val="22"/>
          <w:lang w:val="sr-Latn-ME"/>
        </w:rPr>
        <w:t xml:space="preserve">ednosti, farmakokinetike i farmakodinamike </w:t>
      </w:r>
      <w:r w:rsidR="007E5CF0" w:rsidRPr="00BD2023">
        <w:rPr>
          <w:bCs/>
          <w:sz w:val="22"/>
          <w:szCs w:val="22"/>
          <w:lang w:val="sr-Latn-ME"/>
        </w:rPr>
        <w:t>lijek</w:t>
      </w:r>
      <w:r w:rsidRPr="00BD2023">
        <w:rPr>
          <w:bCs/>
          <w:sz w:val="22"/>
          <w:szCs w:val="22"/>
          <w:lang w:val="sr-Latn-ME"/>
        </w:rPr>
        <w:t xml:space="preserve">a Evrysdi kod pacijenata sa simptomatskom SMA tip 1 (svi pacijenti su imali genetski potvrđenu bolest </w:t>
      </w:r>
      <w:r w:rsidR="00B63DD8" w:rsidRPr="00BD2023">
        <w:rPr>
          <w:bCs/>
          <w:sz w:val="22"/>
          <w:szCs w:val="22"/>
          <w:lang w:val="sr-Latn-ME"/>
        </w:rPr>
        <w:t>i</w:t>
      </w:r>
      <w:r w:rsidRPr="00BD2023">
        <w:rPr>
          <w:bCs/>
          <w:sz w:val="22"/>
          <w:szCs w:val="22"/>
          <w:lang w:val="sr-Latn-ME"/>
        </w:rPr>
        <w:t xml:space="preserve"> 2 kopije gena </w:t>
      </w:r>
      <w:r w:rsidRPr="00BD2023">
        <w:rPr>
          <w:bCs/>
          <w:i/>
          <w:iCs/>
          <w:sz w:val="22"/>
          <w:szCs w:val="22"/>
          <w:lang w:val="sr-Latn-ME"/>
        </w:rPr>
        <w:t>SMN2</w:t>
      </w:r>
      <w:r w:rsidRPr="00BD2023">
        <w:rPr>
          <w:bCs/>
          <w:sz w:val="22"/>
          <w:szCs w:val="22"/>
          <w:lang w:val="sr-Latn-ME"/>
        </w:rPr>
        <w:t xml:space="preserve">). Prvi </w:t>
      </w:r>
      <w:r w:rsidR="00C02A23" w:rsidRPr="00BD2023">
        <w:rPr>
          <w:bCs/>
          <w:sz w:val="22"/>
          <w:szCs w:val="22"/>
          <w:lang w:val="sr-Latn-ME"/>
        </w:rPr>
        <w:t xml:space="preserve">dio </w:t>
      </w:r>
      <w:r w:rsidRPr="00BD2023">
        <w:rPr>
          <w:bCs/>
          <w:sz w:val="22"/>
          <w:szCs w:val="22"/>
          <w:lang w:val="sr-Latn-ME"/>
        </w:rPr>
        <w:t xml:space="preserve">studije FIREFISH dizajniran je </w:t>
      </w:r>
      <w:r w:rsidR="00B63DD8" w:rsidRPr="00BD2023">
        <w:rPr>
          <w:bCs/>
          <w:sz w:val="22"/>
          <w:szCs w:val="22"/>
          <w:lang w:val="sr-Latn-ME"/>
        </w:rPr>
        <w:t>za utvrđivanje</w:t>
      </w:r>
      <w:r w:rsidRPr="00BD2023">
        <w:rPr>
          <w:bCs/>
          <w:sz w:val="22"/>
          <w:szCs w:val="22"/>
          <w:lang w:val="sr-Latn-ME"/>
        </w:rPr>
        <w:t xml:space="preserve"> doza. Drugi </w:t>
      </w:r>
      <w:r w:rsidR="00C02A23" w:rsidRPr="00BD2023">
        <w:rPr>
          <w:bCs/>
          <w:sz w:val="22"/>
          <w:szCs w:val="22"/>
          <w:lang w:val="sr-Latn-ME"/>
        </w:rPr>
        <w:t xml:space="preserve">dio </w:t>
      </w:r>
      <w:r w:rsidRPr="00BD2023">
        <w:rPr>
          <w:bCs/>
          <w:sz w:val="22"/>
          <w:szCs w:val="22"/>
          <w:lang w:val="sr-Latn-ME"/>
        </w:rPr>
        <w:t>studije FIREFISH koji je služio za potvrdu proc</w:t>
      </w:r>
      <w:r w:rsidR="00C02A23" w:rsidRPr="00BD2023">
        <w:rPr>
          <w:bCs/>
          <w:sz w:val="22"/>
          <w:szCs w:val="22"/>
          <w:lang w:val="sr-Latn-ME"/>
        </w:rPr>
        <w:t>j</w:t>
      </w:r>
      <w:r w:rsidRPr="00BD2023">
        <w:rPr>
          <w:bCs/>
          <w:sz w:val="22"/>
          <w:szCs w:val="22"/>
          <w:lang w:val="sr-Latn-ME"/>
        </w:rPr>
        <w:t xml:space="preserve">enjivao je efikasnost </w:t>
      </w:r>
      <w:r w:rsidR="007E5CF0" w:rsidRPr="00BD2023">
        <w:rPr>
          <w:bCs/>
          <w:sz w:val="22"/>
          <w:szCs w:val="22"/>
          <w:lang w:val="sr-Latn-ME"/>
        </w:rPr>
        <w:t>lijek</w:t>
      </w:r>
      <w:r w:rsidRPr="00BD2023">
        <w:rPr>
          <w:bCs/>
          <w:sz w:val="22"/>
          <w:szCs w:val="22"/>
          <w:lang w:val="sr-Latn-ME"/>
        </w:rPr>
        <w:t xml:space="preserve">a Evrysdi. Pacijenti iz </w:t>
      </w:r>
      <w:r w:rsidR="00B63DD8" w:rsidRPr="00BD2023">
        <w:rPr>
          <w:bCs/>
          <w:sz w:val="22"/>
          <w:szCs w:val="22"/>
          <w:lang w:val="sr-Latn-ME"/>
        </w:rPr>
        <w:t xml:space="preserve">prvog </w:t>
      </w:r>
      <w:r w:rsidR="00B744E8" w:rsidRPr="00BD2023">
        <w:rPr>
          <w:bCs/>
          <w:sz w:val="22"/>
          <w:szCs w:val="22"/>
          <w:lang w:val="sr-Latn-ME"/>
        </w:rPr>
        <w:t>dijela</w:t>
      </w:r>
      <w:r w:rsidRPr="00BD2023">
        <w:rPr>
          <w:bCs/>
          <w:sz w:val="22"/>
          <w:szCs w:val="22"/>
          <w:lang w:val="sr-Latn-ME"/>
        </w:rPr>
        <w:t xml:space="preserve"> ni</w:t>
      </w:r>
      <w:r w:rsidR="00B63DD8" w:rsidRPr="00BD2023">
        <w:rPr>
          <w:bCs/>
          <w:sz w:val="22"/>
          <w:szCs w:val="22"/>
          <w:lang w:val="sr-Latn-ME"/>
        </w:rPr>
        <w:t>je</w:t>
      </w:r>
      <w:r w:rsidRPr="00BD2023">
        <w:rPr>
          <w:bCs/>
          <w:sz w:val="22"/>
          <w:szCs w:val="22"/>
          <w:lang w:val="sr-Latn-ME"/>
        </w:rPr>
        <w:t>su učestvovali u</w:t>
      </w:r>
      <w:r w:rsidR="00B63DD8" w:rsidRPr="00BD2023">
        <w:rPr>
          <w:bCs/>
          <w:sz w:val="22"/>
          <w:szCs w:val="22"/>
          <w:lang w:val="sr-Latn-ME"/>
        </w:rPr>
        <w:t xml:space="preserve"> drugom</w:t>
      </w:r>
      <w:r w:rsidRPr="00BD2023">
        <w:rPr>
          <w:bCs/>
          <w:sz w:val="22"/>
          <w:szCs w:val="22"/>
          <w:lang w:val="sr-Latn-ME"/>
        </w:rPr>
        <w:t xml:space="preserve"> d</w:t>
      </w:r>
      <w:r w:rsidR="00C02A23" w:rsidRPr="00BD2023">
        <w:rPr>
          <w:bCs/>
          <w:sz w:val="22"/>
          <w:szCs w:val="22"/>
          <w:lang w:val="sr-Latn-ME"/>
        </w:rPr>
        <w:t>ij</w:t>
      </w:r>
      <w:r w:rsidRPr="00BD2023">
        <w:rPr>
          <w:bCs/>
          <w:sz w:val="22"/>
          <w:szCs w:val="22"/>
          <w:lang w:val="sr-Latn-ME"/>
        </w:rPr>
        <w:t>elu</w:t>
      </w:r>
      <w:r w:rsidR="00B63DD8" w:rsidRPr="00BD2023">
        <w:rPr>
          <w:bCs/>
          <w:sz w:val="22"/>
          <w:szCs w:val="22"/>
          <w:lang w:val="sr-Latn-ME"/>
        </w:rPr>
        <w:t>.</w:t>
      </w:r>
      <w:r w:rsidRPr="00BD2023">
        <w:rPr>
          <w:bCs/>
          <w:sz w:val="22"/>
          <w:szCs w:val="22"/>
          <w:lang w:val="sr-Latn-ME"/>
        </w:rPr>
        <w:t xml:space="preserve"> </w:t>
      </w:r>
    </w:p>
    <w:p w14:paraId="61848099" w14:textId="77777777" w:rsidR="00F77D20" w:rsidRPr="00BD2023" w:rsidRDefault="00F77D20" w:rsidP="00BC480A">
      <w:pPr>
        <w:tabs>
          <w:tab w:val="left" w:pos="540"/>
          <w:tab w:val="left" w:pos="569"/>
        </w:tabs>
        <w:jc w:val="both"/>
        <w:rPr>
          <w:bCs/>
          <w:iCs/>
          <w:sz w:val="22"/>
          <w:szCs w:val="22"/>
          <w:lang w:val="sr-Latn-ME"/>
        </w:rPr>
      </w:pPr>
    </w:p>
    <w:p w14:paraId="33464600" w14:textId="1BA1F2DC" w:rsidR="00F77D20" w:rsidRPr="00BD2023" w:rsidRDefault="00F77D20" w:rsidP="00BC480A">
      <w:pPr>
        <w:tabs>
          <w:tab w:val="left" w:pos="540"/>
          <w:tab w:val="left" w:pos="569"/>
        </w:tabs>
        <w:jc w:val="both"/>
        <w:rPr>
          <w:bCs/>
          <w:sz w:val="22"/>
          <w:szCs w:val="22"/>
          <w:lang w:val="sr-Latn-ME"/>
        </w:rPr>
      </w:pPr>
      <w:r w:rsidRPr="00BD2023">
        <w:rPr>
          <w:bCs/>
          <w:sz w:val="22"/>
          <w:szCs w:val="22"/>
          <w:lang w:val="sr-Latn-ME"/>
        </w:rPr>
        <w:t xml:space="preserve">Krajnja ključna tačka efikasnosti bila je sposobnost </w:t>
      </w:r>
      <w:r w:rsidR="00BD2023">
        <w:rPr>
          <w:bCs/>
          <w:sz w:val="22"/>
          <w:szCs w:val="22"/>
          <w:lang w:val="sr-Latn-ME"/>
        </w:rPr>
        <w:t xml:space="preserve">sjedenja </w:t>
      </w:r>
      <w:r w:rsidRPr="00BD2023">
        <w:rPr>
          <w:bCs/>
          <w:sz w:val="22"/>
          <w:szCs w:val="22"/>
          <w:lang w:val="sr-Latn-ME"/>
        </w:rPr>
        <w:t xml:space="preserve"> bez podrške barem 5 sekundi</w:t>
      </w:r>
      <w:r w:rsidR="00B63DD8" w:rsidRPr="00BD2023">
        <w:rPr>
          <w:bCs/>
          <w:sz w:val="22"/>
          <w:szCs w:val="22"/>
          <w:lang w:val="sr-Latn-ME"/>
        </w:rPr>
        <w:t xml:space="preserve"> nakon 12 mjeseci liječenja</w:t>
      </w:r>
      <w:r w:rsidRPr="00BD2023">
        <w:rPr>
          <w:bCs/>
          <w:sz w:val="22"/>
          <w:szCs w:val="22"/>
          <w:lang w:val="sr-Latn-ME"/>
        </w:rPr>
        <w:t xml:space="preserve">, </w:t>
      </w:r>
      <w:r w:rsidR="00B63DD8" w:rsidRPr="00BD2023">
        <w:rPr>
          <w:bCs/>
          <w:sz w:val="22"/>
          <w:szCs w:val="22"/>
          <w:lang w:val="sr-Latn-ME"/>
        </w:rPr>
        <w:t>a mjerila se</w:t>
      </w:r>
      <w:r w:rsidRPr="00BD2023">
        <w:rPr>
          <w:bCs/>
          <w:sz w:val="22"/>
          <w:szCs w:val="22"/>
          <w:lang w:val="sr-Latn-ME"/>
        </w:rPr>
        <w:t xml:space="preserve"> stavkom 22</w:t>
      </w:r>
      <w:r w:rsidR="00B63DD8" w:rsidRPr="00BD2023">
        <w:rPr>
          <w:bCs/>
          <w:sz w:val="22"/>
          <w:szCs w:val="22"/>
          <w:lang w:val="sr-Latn-ME"/>
        </w:rPr>
        <w:t>.</w:t>
      </w:r>
      <w:r w:rsidRPr="00BD2023">
        <w:rPr>
          <w:bCs/>
          <w:sz w:val="22"/>
          <w:szCs w:val="22"/>
          <w:lang w:val="sr-Latn-ME"/>
        </w:rPr>
        <w:t xml:space="preserve"> </w:t>
      </w:r>
      <w:r w:rsidR="00B63DD8" w:rsidRPr="00BD2023">
        <w:rPr>
          <w:bCs/>
          <w:sz w:val="22"/>
          <w:szCs w:val="22"/>
          <w:lang w:val="sr-Latn-ME"/>
        </w:rPr>
        <w:t>podskale za ocjenu grube motoričke funkcije, koja je dio trećeg izdanja Bayleyevih</w:t>
      </w:r>
      <w:r w:rsidRPr="00BD2023">
        <w:rPr>
          <w:bCs/>
          <w:sz w:val="22"/>
          <w:szCs w:val="22"/>
          <w:lang w:val="sr-Latn-ME"/>
        </w:rPr>
        <w:t xml:space="preserve"> skal</w:t>
      </w:r>
      <w:r w:rsidR="00B63DD8" w:rsidRPr="00BD2023">
        <w:rPr>
          <w:bCs/>
          <w:sz w:val="22"/>
          <w:szCs w:val="22"/>
          <w:lang w:val="sr-Latn-ME"/>
        </w:rPr>
        <w:t>a</w:t>
      </w:r>
      <w:r w:rsidRPr="00BD2023">
        <w:rPr>
          <w:bCs/>
          <w:sz w:val="22"/>
          <w:szCs w:val="22"/>
          <w:lang w:val="sr-Latn-ME"/>
        </w:rPr>
        <w:t xml:space="preserve"> </w:t>
      </w:r>
      <w:r w:rsidR="00B63DD8" w:rsidRPr="00BD2023">
        <w:rPr>
          <w:bCs/>
          <w:sz w:val="22"/>
          <w:szCs w:val="22"/>
          <w:lang w:val="sr-Latn-ME"/>
        </w:rPr>
        <w:t xml:space="preserve">za ocjenu </w:t>
      </w:r>
      <w:r w:rsidRPr="00BD2023">
        <w:rPr>
          <w:bCs/>
          <w:sz w:val="22"/>
          <w:szCs w:val="22"/>
          <w:lang w:val="sr-Latn-ME"/>
        </w:rPr>
        <w:t>razvoja odojčadi i d</w:t>
      </w:r>
      <w:r w:rsidR="00C02A23" w:rsidRPr="00BD2023">
        <w:rPr>
          <w:bCs/>
          <w:sz w:val="22"/>
          <w:szCs w:val="22"/>
          <w:lang w:val="sr-Latn-ME"/>
        </w:rPr>
        <w:t>j</w:t>
      </w:r>
      <w:r w:rsidRPr="00BD2023">
        <w:rPr>
          <w:bCs/>
          <w:sz w:val="22"/>
          <w:szCs w:val="22"/>
          <w:lang w:val="sr-Latn-ME"/>
        </w:rPr>
        <w:t>ece (</w:t>
      </w:r>
      <w:r w:rsidR="002018B4" w:rsidRPr="00BD2023">
        <w:rPr>
          <w:bCs/>
          <w:sz w:val="22"/>
          <w:szCs w:val="22"/>
          <w:lang w:val="sr-Latn-ME"/>
        </w:rPr>
        <w:t>engl</w:t>
      </w:r>
      <w:r w:rsidR="002018B4" w:rsidRPr="00BD2023">
        <w:rPr>
          <w:bCs/>
          <w:i/>
          <w:sz w:val="22"/>
          <w:szCs w:val="22"/>
          <w:lang w:val="sr-Latn-ME"/>
        </w:rPr>
        <w:t>. Bayley Scales of Infant and Toddler Development – Third Edition</w:t>
      </w:r>
      <w:r w:rsidR="002018B4" w:rsidRPr="00BD2023">
        <w:rPr>
          <w:bCs/>
          <w:sz w:val="22"/>
          <w:szCs w:val="22"/>
          <w:lang w:val="sr-Latn-ME"/>
        </w:rPr>
        <w:t xml:space="preserve">, </w:t>
      </w:r>
      <w:r w:rsidRPr="00BD2023">
        <w:rPr>
          <w:bCs/>
          <w:sz w:val="22"/>
          <w:szCs w:val="22"/>
          <w:lang w:val="sr-Latn-ME"/>
        </w:rPr>
        <w:t>BSID-III)</w:t>
      </w:r>
      <w:r w:rsidR="00B63DD8" w:rsidRPr="00BD2023">
        <w:rPr>
          <w:bCs/>
          <w:sz w:val="22"/>
          <w:szCs w:val="22"/>
          <w:lang w:val="sr-Latn-ME"/>
        </w:rPr>
        <w:t>.</w:t>
      </w:r>
      <w:r w:rsidRPr="00BD2023">
        <w:rPr>
          <w:bCs/>
          <w:sz w:val="22"/>
          <w:szCs w:val="22"/>
          <w:lang w:val="sr-Latn-ME"/>
        </w:rPr>
        <w:t xml:space="preserve"> </w:t>
      </w:r>
    </w:p>
    <w:p w14:paraId="29F82E5D" w14:textId="77777777" w:rsidR="00F77D20" w:rsidRPr="00BD2023" w:rsidRDefault="00F77D20" w:rsidP="00BC480A">
      <w:pPr>
        <w:tabs>
          <w:tab w:val="left" w:pos="540"/>
          <w:tab w:val="left" w:pos="569"/>
        </w:tabs>
        <w:jc w:val="both"/>
        <w:rPr>
          <w:bCs/>
          <w:i/>
          <w:iCs/>
          <w:sz w:val="22"/>
          <w:szCs w:val="22"/>
          <w:lang w:val="sr-Latn-ME"/>
        </w:rPr>
      </w:pPr>
    </w:p>
    <w:p w14:paraId="311780C0" w14:textId="1B3CAACE" w:rsidR="00F77D20" w:rsidRPr="00BD2023" w:rsidRDefault="003B6765" w:rsidP="00BC480A">
      <w:pPr>
        <w:tabs>
          <w:tab w:val="left" w:pos="540"/>
          <w:tab w:val="left" w:pos="569"/>
        </w:tabs>
        <w:jc w:val="both"/>
        <w:rPr>
          <w:bCs/>
          <w:i/>
          <w:iCs/>
          <w:sz w:val="22"/>
          <w:szCs w:val="22"/>
          <w:u w:val="single"/>
          <w:lang w:val="sr-Latn-ME"/>
        </w:rPr>
      </w:pPr>
      <w:r>
        <w:rPr>
          <w:bCs/>
          <w:i/>
          <w:iCs/>
          <w:sz w:val="22"/>
          <w:szCs w:val="22"/>
          <w:u w:val="single"/>
          <w:lang w:val="sr-Latn-ME"/>
        </w:rPr>
        <w:t xml:space="preserve">2. </w:t>
      </w:r>
      <w:r w:rsidR="00B744E8" w:rsidRPr="00BD2023">
        <w:rPr>
          <w:bCs/>
          <w:i/>
          <w:iCs/>
          <w:sz w:val="22"/>
          <w:szCs w:val="22"/>
          <w:u w:val="single"/>
          <w:lang w:val="sr-Latn-ME"/>
        </w:rPr>
        <w:t>dio</w:t>
      </w:r>
      <w:r w:rsidR="00F77D20" w:rsidRPr="00BD2023">
        <w:rPr>
          <w:bCs/>
          <w:i/>
          <w:iCs/>
          <w:sz w:val="22"/>
          <w:szCs w:val="22"/>
          <w:u w:val="single"/>
          <w:lang w:val="sr-Latn-ME"/>
        </w:rPr>
        <w:t xml:space="preserve"> studije FIREFISH</w:t>
      </w:r>
    </w:p>
    <w:p w14:paraId="6DB30CDB" w14:textId="77777777" w:rsidR="00F77D20" w:rsidRPr="00BD2023" w:rsidRDefault="00F77D20" w:rsidP="00BC480A">
      <w:pPr>
        <w:tabs>
          <w:tab w:val="left" w:pos="540"/>
          <w:tab w:val="left" w:pos="569"/>
        </w:tabs>
        <w:jc w:val="both"/>
        <w:rPr>
          <w:bCs/>
          <w:i/>
          <w:iCs/>
          <w:sz w:val="22"/>
          <w:szCs w:val="22"/>
          <w:lang w:val="sr-Latn-ME"/>
        </w:rPr>
      </w:pPr>
    </w:p>
    <w:p w14:paraId="090115DD" w14:textId="129184F0" w:rsidR="00F77D20" w:rsidRPr="00BD2023" w:rsidRDefault="00F77D20" w:rsidP="00BC480A">
      <w:pPr>
        <w:tabs>
          <w:tab w:val="left" w:pos="540"/>
          <w:tab w:val="left" w:pos="569"/>
        </w:tabs>
        <w:jc w:val="both"/>
        <w:rPr>
          <w:bCs/>
          <w:iCs/>
          <w:sz w:val="22"/>
          <w:szCs w:val="22"/>
          <w:lang w:val="sr-Latn-ME"/>
        </w:rPr>
      </w:pPr>
      <w:r w:rsidRPr="00BD2023">
        <w:rPr>
          <w:bCs/>
          <w:sz w:val="22"/>
          <w:szCs w:val="22"/>
          <w:lang w:val="sr-Latn-ME"/>
        </w:rPr>
        <w:t>U drugom d</w:t>
      </w:r>
      <w:r w:rsidR="00C02A23" w:rsidRPr="00BD2023">
        <w:rPr>
          <w:bCs/>
          <w:sz w:val="22"/>
          <w:szCs w:val="22"/>
          <w:lang w:val="sr-Latn-ME"/>
        </w:rPr>
        <w:t>ij</w:t>
      </w:r>
      <w:r w:rsidRPr="00BD2023">
        <w:rPr>
          <w:bCs/>
          <w:sz w:val="22"/>
          <w:szCs w:val="22"/>
          <w:lang w:val="sr-Latn-ME"/>
        </w:rPr>
        <w:t>elu studije FIREFISH bio je uključen 41 pacijent sa SMA tip 1. Medijana uzrasta u kojima su počeli klinički znaci i simptomi SMA tip 1 bila je 1,5 m</w:t>
      </w:r>
      <w:r w:rsidR="00C02A23" w:rsidRPr="00BD2023">
        <w:rPr>
          <w:bCs/>
          <w:sz w:val="22"/>
          <w:szCs w:val="22"/>
          <w:lang w:val="sr-Latn-ME"/>
        </w:rPr>
        <w:t>j</w:t>
      </w:r>
      <w:r w:rsidRPr="00BD2023">
        <w:rPr>
          <w:bCs/>
          <w:sz w:val="22"/>
          <w:szCs w:val="22"/>
          <w:lang w:val="sr-Latn-ME"/>
        </w:rPr>
        <w:t xml:space="preserve">eseci (u rasponu od 1,0 do 3,0 </w:t>
      </w:r>
      <w:r w:rsidR="00B744E8" w:rsidRPr="00BD2023">
        <w:rPr>
          <w:bCs/>
          <w:sz w:val="22"/>
          <w:szCs w:val="22"/>
          <w:lang w:val="sr-Latn-ME"/>
        </w:rPr>
        <w:t>mjesec</w:t>
      </w:r>
      <w:r w:rsidRPr="00BD2023">
        <w:rPr>
          <w:bCs/>
          <w:sz w:val="22"/>
          <w:szCs w:val="22"/>
          <w:lang w:val="sr-Latn-ME"/>
        </w:rPr>
        <w:t xml:space="preserve">a), 54% beba su bile ženskog pola, 54% </w:t>
      </w:r>
      <w:r w:rsidR="000956D5" w:rsidRPr="00BD2023">
        <w:rPr>
          <w:bCs/>
          <w:sz w:val="22"/>
          <w:szCs w:val="22"/>
          <w:lang w:val="sr-Latn-ME"/>
        </w:rPr>
        <w:t>bijele</w:t>
      </w:r>
      <w:r w:rsidRPr="00BD2023">
        <w:rPr>
          <w:bCs/>
          <w:sz w:val="22"/>
          <w:szCs w:val="22"/>
          <w:lang w:val="sr-Latn-ME"/>
        </w:rPr>
        <w:t>, a 34% azijske rase. Medijana uzrasta u vr</w:t>
      </w:r>
      <w:r w:rsidR="00C02A23" w:rsidRPr="00BD2023">
        <w:rPr>
          <w:bCs/>
          <w:sz w:val="22"/>
          <w:szCs w:val="22"/>
          <w:lang w:val="sr-Latn-ME"/>
        </w:rPr>
        <w:t>ij</w:t>
      </w:r>
      <w:r w:rsidRPr="00BD2023">
        <w:rPr>
          <w:bCs/>
          <w:sz w:val="22"/>
          <w:szCs w:val="22"/>
          <w:lang w:val="sr-Latn-ME"/>
        </w:rPr>
        <w:t xml:space="preserve">eme uključivanja u studiju bila je 5,3 </w:t>
      </w:r>
      <w:r w:rsidR="00B744E8" w:rsidRPr="00BD2023">
        <w:rPr>
          <w:bCs/>
          <w:sz w:val="22"/>
          <w:szCs w:val="22"/>
          <w:lang w:val="sr-Latn-ME"/>
        </w:rPr>
        <w:t>mjesec</w:t>
      </w:r>
      <w:r w:rsidRPr="00BD2023">
        <w:rPr>
          <w:bCs/>
          <w:sz w:val="22"/>
          <w:szCs w:val="22"/>
          <w:lang w:val="sr-Latn-ME"/>
        </w:rPr>
        <w:t xml:space="preserve">a (u rasponu od 2,2 do 6,9 </w:t>
      </w:r>
      <w:r w:rsidR="00B744E8" w:rsidRPr="00BD2023">
        <w:rPr>
          <w:bCs/>
          <w:sz w:val="22"/>
          <w:szCs w:val="22"/>
          <w:lang w:val="sr-Latn-ME"/>
        </w:rPr>
        <w:t>mjesec</w:t>
      </w:r>
      <w:r w:rsidRPr="00BD2023">
        <w:rPr>
          <w:bCs/>
          <w:sz w:val="22"/>
          <w:szCs w:val="22"/>
          <w:lang w:val="sr-Latn-ME"/>
        </w:rPr>
        <w:t>i) a medijana vr</w:t>
      </w:r>
      <w:r w:rsidR="00BD2023">
        <w:rPr>
          <w:bCs/>
          <w:sz w:val="22"/>
          <w:szCs w:val="22"/>
          <w:lang w:val="sr-Latn-ME"/>
        </w:rPr>
        <w:t>ij</w:t>
      </w:r>
      <w:r w:rsidRPr="00BD2023">
        <w:rPr>
          <w:bCs/>
          <w:sz w:val="22"/>
          <w:szCs w:val="22"/>
          <w:lang w:val="sr-Latn-ME"/>
        </w:rPr>
        <w:t xml:space="preserve">emena između početka simptoma i prve doze bila je 3,4 </w:t>
      </w:r>
      <w:r w:rsidR="00B744E8" w:rsidRPr="00BD2023">
        <w:rPr>
          <w:bCs/>
          <w:sz w:val="22"/>
          <w:szCs w:val="22"/>
          <w:lang w:val="sr-Latn-ME"/>
        </w:rPr>
        <w:t>mjesec</w:t>
      </w:r>
      <w:r w:rsidRPr="00BD2023">
        <w:rPr>
          <w:bCs/>
          <w:sz w:val="22"/>
          <w:szCs w:val="22"/>
          <w:lang w:val="sr-Latn-ME"/>
        </w:rPr>
        <w:t xml:space="preserve">a (u rasponu od 1,0 do 6,0 </w:t>
      </w:r>
      <w:r w:rsidR="00B744E8" w:rsidRPr="00BD2023">
        <w:rPr>
          <w:bCs/>
          <w:sz w:val="22"/>
          <w:szCs w:val="22"/>
          <w:lang w:val="sr-Latn-ME"/>
        </w:rPr>
        <w:t>mjesec</w:t>
      </w:r>
      <w:r w:rsidRPr="00BD2023">
        <w:rPr>
          <w:bCs/>
          <w:sz w:val="22"/>
          <w:szCs w:val="22"/>
          <w:lang w:val="sr-Latn-ME"/>
        </w:rPr>
        <w:t xml:space="preserve">i). Na početku je medijana </w:t>
      </w:r>
      <w:r w:rsidR="002B28A7" w:rsidRPr="00BD2023">
        <w:rPr>
          <w:bCs/>
          <w:sz w:val="22"/>
          <w:szCs w:val="22"/>
          <w:lang w:val="sr-Latn-ME"/>
        </w:rPr>
        <w:t>rezultata na t</w:t>
      </w:r>
      <w:r w:rsidRPr="00BD2023">
        <w:rPr>
          <w:bCs/>
          <w:sz w:val="22"/>
          <w:szCs w:val="22"/>
          <w:lang w:val="sr-Latn-ME"/>
        </w:rPr>
        <w:t>est</w:t>
      </w:r>
      <w:r w:rsidR="002B28A7" w:rsidRPr="00BD2023">
        <w:rPr>
          <w:bCs/>
          <w:sz w:val="22"/>
          <w:szCs w:val="22"/>
          <w:lang w:val="sr-Latn-ME"/>
        </w:rPr>
        <w:t>u</w:t>
      </w:r>
      <w:r w:rsidRPr="00BD2023">
        <w:rPr>
          <w:bCs/>
          <w:sz w:val="22"/>
          <w:szCs w:val="22"/>
          <w:lang w:val="sr-Latn-ME"/>
        </w:rPr>
        <w:t xml:space="preserve"> za neuromišićne poremećaje kod odojčadi </w:t>
      </w:r>
      <w:r w:rsidR="00BA22A4" w:rsidRPr="00BD2023">
        <w:rPr>
          <w:bCs/>
          <w:sz w:val="22"/>
          <w:szCs w:val="22"/>
          <w:lang w:val="sr-Latn-ME"/>
        </w:rPr>
        <w:t>Dječij</w:t>
      </w:r>
      <w:r w:rsidRPr="00BD2023">
        <w:rPr>
          <w:bCs/>
          <w:sz w:val="22"/>
          <w:szCs w:val="22"/>
          <w:lang w:val="sr-Latn-ME"/>
        </w:rPr>
        <w:t>e bolnice u Filadelfiji (</w:t>
      </w:r>
      <w:r w:rsidR="002018B4" w:rsidRPr="00BD2023">
        <w:rPr>
          <w:bCs/>
          <w:iCs/>
          <w:sz w:val="22"/>
          <w:szCs w:val="20"/>
          <w:lang w:val="sr-Latn-ME"/>
        </w:rPr>
        <w:t xml:space="preserve">engl. </w:t>
      </w:r>
      <w:r w:rsidR="002018B4" w:rsidRPr="00BD2023">
        <w:rPr>
          <w:bCs/>
          <w:i/>
          <w:iCs/>
          <w:sz w:val="22"/>
          <w:szCs w:val="20"/>
          <w:lang w:val="sr-Latn-ME"/>
        </w:rPr>
        <w:t>Children's Hospital of Philadelphia Infant Test for Neuromuscular Disease</w:t>
      </w:r>
      <w:r w:rsidR="002018B4" w:rsidRPr="00BD2023">
        <w:rPr>
          <w:bCs/>
          <w:iCs/>
          <w:sz w:val="22"/>
          <w:szCs w:val="20"/>
          <w:lang w:val="sr-Latn-ME"/>
        </w:rPr>
        <w:t xml:space="preserve">, </w:t>
      </w:r>
      <w:r w:rsidRPr="00BD2023">
        <w:rPr>
          <w:bCs/>
          <w:sz w:val="22"/>
          <w:szCs w:val="22"/>
          <w:lang w:val="sr-Latn-ME"/>
        </w:rPr>
        <w:t xml:space="preserve">CHOP-INTEND) </w:t>
      </w:r>
      <w:r w:rsidR="002B28A7" w:rsidRPr="00BD2023">
        <w:rPr>
          <w:bCs/>
          <w:sz w:val="22"/>
          <w:szCs w:val="22"/>
          <w:lang w:val="sr-Latn-ME"/>
        </w:rPr>
        <w:t xml:space="preserve">iznosila </w:t>
      </w:r>
      <w:r w:rsidRPr="00BD2023">
        <w:rPr>
          <w:bCs/>
          <w:sz w:val="22"/>
          <w:szCs w:val="22"/>
          <w:lang w:val="sr-Latn-ME"/>
        </w:rPr>
        <w:t xml:space="preserve">22,0 </w:t>
      </w:r>
      <w:r w:rsidR="002B28A7" w:rsidRPr="00BD2023">
        <w:rPr>
          <w:bCs/>
          <w:sz w:val="22"/>
          <w:szCs w:val="22"/>
          <w:lang w:val="sr-Latn-ME"/>
        </w:rPr>
        <w:t>boda</w:t>
      </w:r>
      <w:r w:rsidRPr="00BD2023">
        <w:rPr>
          <w:bCs/>
          <w:sz w:val="22"/>
          <w:szCs w:val="22"/>
          <w:lang w:val="sr-Latn-ME"/>
        </w:rPr>
        <w:t xml:space="preserve"> (u rasponu do 8,0 do 37,0), a medijana </w:t>
      </w:r>
      <w:r w:rsidR="002B28A7" w:rsidRPr="00BD2023">
        <w:rPr>
          <w:bCs/>
          <w:sz w:val="22"/>
          <w:szCs w:val="22"/>
          <w:lang w:val="sr-Latn-ME"/>
        </w:rPr>
        <w:t xml:space="preserve">rezultata za </w:t>
      </w:r>
      <w:r w:rsidR="003B1B9B" w:rsidRPr="00BD2023">
        <w:rPr>
          <w:bCs/>
          <w:sz w:val="22"/>
          <w:szCs w:val="22"/>
          <w:lang w:val="sr-Latn-ME"/>
        </w:rPr>
        <w:t>modul</w:t>
      </w:r>
      <w:r w:rsidR="002B28A7" w:rsidRPr="00BD2023">
        <w:rPr>
          <w:bCs/>
          <w:sz w:val="22"/>
          <w:szCs w:val="22"/>
          <w:lang w:val="sr-Latn-ME"/>
        </w:rPr>
        <w:t xml:space="preserve"> 2  Hammersmithskog</w:t>
      </w:r>
      <w:r w:rsidRPr="00BD2023">
        <w:rPr>
          <w:bCs/>
          <w:sz w:val="22"/>
          <w:szCs w:val="22"/>
          <w:lang w:val="sr-Latn-ME"/>
        </w:rPr>
        <w:t xml:space="preserve"> neurološk</w:t>
      </w:r>
      <w:r w:rsidR="002B28A7" w:rsidRPr="00BD2023">
        <w:rPr>
          <w:bCs/>
          <w:sz w:val="22"/>
          <w:szCs w:val="22"/>
          <w:lang w:val="sr-Latn-ME"/>
        </w:rPr>
        <w:t>og</w:t>
      </w:r>
      <w:r w:rsidRPr="00BD2023">
        <w:rPr>
          <w:bCs/>
          <w:sz w:val="22"/>
          <w:szCs w:val="22"/>
          <w:lang w:val="sr-Latn-ME"/>
        </w:rPr>
        <w:t xml:space="preserve"> </w:t>
      </w:r>
      <w:r w:rsidR="002B28A7" w:rsidRPr="00BD2023">
        <w:rPr>
          <w:bCs/>
          <w:sz w:val="22"/>
          <w:szCs w:val="22"/>
          <w:lang w:val="sr-Latn-ME"/>
        </w:rPr>
        <w:t xml:space="preserve">testa za </w:t>
      </w:r>
      <w:r w:rsidRPr="00BD2023">
        <w:rPr>
          <w:bCs/>
          <w:sz w:val="22"/>
          <w:szCs w:val="22"/>
          <w:lang w:val="sr-Latn-ME"/>
        </w:rPr>
        <w:t>odojčad (</w:t>
      </w:r>
      <w:r w:rsidR="002018B4" w:rsidRPr="00BD2023">
        <w:rPr>
          <w:bCs/>
          <w:sz w:val="22"/>
          <w:szCs w:val="22"/>
          <w:lang w:val="sr-Latn-ME"/>
        </w:rPr>
        <w:t xml:space="preserve">engl. </w:t>
      </w:r>
      <w:r w:rsidR="002018B4" w:rsidRPr="00BD2023">
        <w:rPr>
          <w:bCs/>
          <w:i/>
          <w:sz w:val="22"/>
          <w:szCs w:val="22"/>
          <w:lang w:val="sr-Latn-ME"/>
        </w:rPr>
        <w:t>Hammersmith Infant Neurological Examination Module 2</w:t>
      </w:r>
      <w:r w:rsidR="002018B4" w:rsidRPr="00BD2023">
        <w:rPr>
          <w:bCs/>
          <w:sz w:val="22"/>
          <w:szCs w:val="22"/>
          <w:lang w:val="sr-Latn-ME"/>
        </w:rPr>
        <w:t xml:space="preserve">, </w:t>
      </w:r>
      <w:r w:rsidRPr="00BD2023">
        <w:rPr>
          <w:bCs/>
          <w:sz w:val="22"/>
          <w:szCs w:val="22"/>
          <w:lang w:val="sr-Latn-ME"/>
        </w:rPr>
        <w:t xml:space="preserve">HINE-2) </w:t>
      </w:r>
      <w:r w:rsidR="002B28A7" w:rsidRPr="00BD2023">
        <w:rPr>
          <w:bCs/>
          <w:sz w:val="22"/>
          <w:szCs w:val="22"/>
          <w:lang w:val="sr-Latn-ME"/>
        </w:rPr>
        <w:t xml:space="preserve">iznosila </w:t>
      </w:r>
      <w:r w:rsidRPr="00BD2023">
        <w:rPr>
          <w:bCs/>
          <w:sz w:val="22"/>
          <w:szCs w:val="22"/>
          <w:lang w:val="sr-Latn-ME"/>
        </w:rPr>
        <w:t xml:space="preserve">je 1,0 </w:t>
      </w:r>
      <w:r w:rsidR="002B28A7" w:rsidRPr="00BD2023">
        <w:rPr>
          <w:bCs/>
          <w:sz w:val="22"/>
          <w:szCs w:val="22"/>
          <w:lang w:val="sr-Latn-ME"/>
        </w:rPr>
        <w:t xml:space="preserve">bod </w:t>
      </w:r>
      <w:r w:rsidRPr="00BD2023">
        <w:rPr>
          <w:bCs/>
          <w:sz w:val="22"/>
          <w:szCs w:val="22"/>
          <w:lang w:val="sr-Latn-ME"/>
        </w:rPr>
        <w:t xml:space="preserve">(u rasponu od 0,0 do 5,0). </w:t>
      </w:r>
    </w:p>
    <w:p w14:paraId="09B06CC5" w14:textId="77777777" w:rsidR="00F77D20" w:rsidRPr="00BD2023" w:rsidRDefault="00F77D20" w:rsidP="00BC480A">
      <w:pPr>
        <w:tabs>
          <w:tab w:val="left" w:pos="540"/>
          <w:tab w:val="left" w:pos="569"/>
        </w:tabs>
        <w:jc w:val="both"/>
        <w:rPr>
          <w:bCs/>
          <w:iCs/>
          <w:sz w:val="22"/>
          <w:szCs w:val="22"/>
          <w:lang w:val="sr-Latn-ME"/>
        </w:rPr>
      </w:pPr>
    </w:p>
    <w:p w14:paraId="50497EDB" w14:textId="63128A65" w:rsidR="00F77D20" w:rsidRDefault="00F77D20" w:rsidP="00BC480A">
      <w:pPr>
        <w:tabs>
          <w:tab w:val="left" w:pos="540"/>
          <w:tab w:val="left" w:pos="569"/>
        </w:tabs>
        <w:jc w:val="both"/>
        <w:rPr>
          <w:bCs/>
          <w:sz w:val="22"/>
          <w:szCs w:val="22"/>
          <w:lang w:val="sr-Latn-ME"/>
        </w:rPr>
      </w:pPr>
      <w:r w:rsidRPr="00BD2023">
        <w:rPr>
          <w:bCs/>
          <w:sz w:val="22"/>
          <w:szCs w:val="22"/>
          <w:lang w:val="sr-Latn-ME"/>
        </w:rPr>
        <w:t xml:space="preserve">Primarni cilj je bio </w:t>
      </w:r>
      <w:r w:rsidR="004F6B33" w:rsidRPr="00BD2023">
        <w:rPr>
          <w:bCs/>
          <w:sz w:val="22"/>
          <w:szCs w:val="22"/>
          <w:lang w:val="sr-Latn-ME"/>
        </w:rPr>
        <w:t xml:space="preserve">udio </w:t>
      </w:r>
      <w:r w:rsidRPr="00BD2023">
        <w:rPr>
          <w:bCs/>
          <w:sz w:val="22"/>
          <w:szCs w:val="22"/>
          <w:lang w:val="sr-Latn-ME"/>
        </w:rPr>
        <w:t xml:space="preserve">pacijenata sa sposobnošću </w:t>
      </w:r>
      <w:r w:rsidR="00E032BD" w:rsidRPr="00BD2023">
        <w:rPr>
          <w:bCs/>
          <w:sz w:val="22"/>
          <w:szCs w:val="22"/>
          <w:lang w:val="sr-Latn-ME"/>
        </w:rPr>
        <w:t>sjedenj</w:t>
      </w:r>
      <w:r w:rsidRPr="00BD2023">
        <w:rPr>
          <w:bCs/>
          <w:sz w:val="22"/>
          <w:szCs w:val="22"/>
          <w:lang w:val="sr-Latn-ME"/>
        </w:rPr>
        <w:t xml:space="preserve">a bez podrške barem 5 sekundi nakon 12 </w:t>
      </w:r>
      <w:r w:rsidR="00B744E8" w:rsidRPr="00BD2023">
        <w:rPr>
          <w:bCs/>
          <w:sz w:val="22"/>
          <w:szCs w:val="22"/>
          <w:lang w:val="sr-Latn-ME"/>
        </w:rPr>
        <w:t>mjesec</w:t>
      </w:r>
      <w:r w:rsidRPr="00BD2023">
        <w:rPr>
          <w:bCs/>
          <w:sz w:val="22"/>
          <w:szCs w:val="22"/>
          <w:lang w:val="sr-Latn-ME"/>
        </w:rPr>
        <w:t>i l</w:t>
      </w:r>
      <w:r w:rsidR="00C02A23" w:rsidRPr="00BD2023">
        <w:rPr>
          <w:bCs/>
          <w:sz w:val="22"/>
          <w:szCs w:val="22"/>
          <w:lang w:val="sr-Latn-ME"/>
        </w:rPr>
        <w:t>ij</w:t>
      </w:r>
      <w:r w:rsidRPr="00BD2023">
        <w:rPr>
          <w:bCs/>
          <w:sz w:val="22"/>
          <w:szCs w:val="22"/>
          <w:lang w:val="sr-Latn-ME"/>
        </w:rPr>
        <w:t xml:space="preserve">ečenja (stavka 22 skale za </w:t>
      </w:r>
      <w:r w:rsidR="00BA22A4" w:rsidRPr="00BD2023">
        <w:rPr>
          <w:bCs/>
          <w:sz w:val="22"/>
          <w:szCs w:val="22"/>
          <w:lang w:val="sr-Latn-ME"/>
        </w:rPr>
        <w:t>procjen</w:t>
      </w:r>
      <w:r w:rsidRPr="00BD2023">
        <w:rPr>
          <w:bCs/>
          <w:sz w:val="22"/>
          <w:szCs w:val="22"/>
          <w:lang w:val="sr-Latn-ME"/>
        </w:rPr>
        <w:t>u ukupne motor</w:t>
      </w:r>
      <w:r w:rsidR="003B1B9B" w:rsidRPr="00BD2023">
        <w:rPr>
          <w:bCs/>
          <w:sz w:val="22"/>
          <w:szCs w:val="22"/>
          <w:lang w:val="sr-Latn-ME"/>
        </w:rPr>
        <w:t>ičke</w:t>
      </w:r>
      <w:r w:rsidRPr="00BD2023">
        <w:rPr>
          <w:bCs/>
          <w:sz w:val="22"/>
          <w:szCs w:val="22"/>
          <w:lang w:val="sr-Latn-ME"/>
        </w:rPr>
        <w:t xml:space="preserve"> sposobnosti BSID-III skala). Ključne tačke efikasnosti pacijenata l</w:t>
      </w:r>
      <w:r w:rsidR="00C02A23" w:rsidRPr="00BD2023">
        <w:rPr>
          <w:bCs/>
          <w:sz w:val="22"/>
          <w:szCs w:val="22"/>
          <w:lang w:val="sr-Latn-ME"/>
        </w:rPr>
        <w:t>ij</w:t>
      </w:r>
      <w:r w:rsidRPr="00BD2023">
        <w:rPr>
          <w:bCs/>
          <w:sz w:val="22"/>
          <w:szCs w:val="22"/>
          <w:lang w:val="sr-Latn-ME"/>
        </w:rPr>
        <w:t xml:space="preserve">ečenih </w:t>
      </w:r>
      <w:r w:rsidR="007E5CF0" w:rsidRPr="00BD2023">
        <w:rPr>
          <w:bCs/>
          <w:sz w:val="22"/>
          <w:szCs w:val="22"/>
          <w:lang w:val="sr-Latn-ME"/>
        </w:rPr>
        <w:t>lijek</w:t>
      </w:r>
      <w:r w:rsidRPr="00BD2023">
        <w:rPr>
          <w:bCs/>
          <w:sz w:val="22"/>
          <w:szCs w:val="22"/>
          <w:lang w:val="sr-Latn-ME"/>
        </w:rPr>
        <w:t>om Evrysdi prikazane su u tabeli 3.</w:t>
      </w:r>
    </w:p>
    <w:p w14:paraId="2E9487BA" w14:textId="77777777" w:rsidR="00F77D20" w:rsidRPr="00BD2023" w:rsidRDefault="00F77D20" w:rsidP="00BC480A">
      <w:pPr>
        <w:tabs>
          <w:tab w:val="left" w:pos="540"/>
          <w:tab w:val="left" w:pos="569"/>
        </w:tabs>
        <w:jc w:val="both"/>
        <w:rPr>
          <w:bCs/>
          <w:sz w:val="22"/>
          <w:szCs w:val="22"/>
          <w:lang w:val="sr-Latn-ME"/>
        </w:rPr>
      </w:pPr>
    </w:p>
    <w:p w14:paraId="1327C131" w14:textId="74C7B041" w:rsidR="00F77D20" w:rsidRPr="00BD2023" w:rsidRDefault="00F77D20" w:rsidP="00BC480A">
      <w:pPr>
        <w:tabs>
          <w:tab w:val="left" w:pos="540"/>
          <w:tab w:val="left" w:pos="569"/>
        </w:tabs>
        <w:jc w:val="both"/>
        <w:rPr>
          <w:b/>
          <w:bCs/>
          <w:sz w:val="22"/>
          <w:szCs w:val="22"/>
          <w:lang w:val="sr-Latn-ME"/>
        </w:rPr>
      </w:pPr>
      <w:r w:rsidRPr="00BD2023">
        <w:rPr>
          <w:b/>
          <w:bCs/>
          <w:sz w:val="22"/>
          <w:szCs w:val="22"/>
          <w:lang w:val="sr-Latn-ME"/>
        </w:rPr>
        <w:t xml:space="preserve">Tabela 3. Sažet pregled ključnih rezultata efikasnosti u 12. </w:t>
      </w:r>
      <w:r w:rsidR="004F6B33" w:rsidRPr="00BD2023">
        <w:rPr>
          <w:b/>
          <w:bCs/>
          <w:sz w:val="22"/>
          <w:szCs w:val="22"/>
          <w:lang w:val="sr-Latn-ME"/>
        </w:rPr>
        <w:t xml:space="preserve">i 24. </w:t>
      </w:r>
      <w:r w:rsidRPr="00BD2023">
        <w:rPr>
          <w:b/>
          <w:bCs/>
          <w:sz w:val="22"/>
          <w:szCs w:val="22"/>
          <w:lang w:val="sr-Latn-ME"/>
        </w:rPr>
        <w:t>m</w:t>
      </w:r>
      <w:r w:rsidR="00C02A23" w:rsidRPr="00BD2023">
        <w:rPr>
          <w:b/>
          <w:bCs/>
          <w:sz w:val="22"/>
          <w:szCs w:val="22"/>
          <w:lang w:val="sr-Latn-ME"/>
        </w:rPr>
        <w:t>j</w:t>
      </w:r>
      <w:r w:rsidRPr="00BD2023">
        <w:rPr>
          <w:b/>
          <w:bCs/>
          <w:sz w:val="22"/>
          <w:szCs w:val="22"/>
          <w:lang w:val="sr-Latn-ME"/>
        </w:rPr>
        <w:t>esecu (</w:t>
      </w:r>
      <w:r w:rsidR="00B744E8" w:rsidRPr="00BD2023">
        <w:rPr>
          <w:b/>
          <w:bCs/>
          <w:sz w:val="22"/>
          <w:szCs w:val="22"/>
          <w:lang w:val="sr-Latn-ME"/>
        </w:rPr>
        <w:t>dio</w:t>
      </w:r>
      <w:r w:rsidRPr="00BD2023">
        <w:rPr>
          <w:b/>
          <w:bCs/>
          <w:sz w:val="22"/>
          <w:szCs w:val="22"/>
          <w:lang w:val="sr-Latn-ME"/>
        </w:rPr>
        <w:t xml:space="preserve"> 2. studije FIREFISH)</w:t>
      </w:r>
    </w:p>
    <w:p w14:paraId="772B2760" w14:textId="77777777" w:rsidR="00F77D20" w:rsidRPr="00BD2023" w:rsidRDefault="00F77D20" w:rsidP="00480FB1">
      <w:pPr>
        <w:tabs>
          <w:tab w:val="left" w:pos="540"/>
          <w:tab w:val="left" w:pos="569"/>
        </w:tabs>
        <w:rPr>
          <w:bCs/>
          <w:sz w:val="22"/>
          <w:szCs w:val="22"/>
          <w:lang w:val="sr-Latn-ME"/>
        </w:rPr>
      </w:pPr>
    </w:p>
    <w:tbl>
      <w:tblPr>
        <w:tblW w:w="913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0"/>
        <w:gridCol w:w="2391"/>
        <w:gridCol w:w="2140"/>
      </w:tblGrid>
      <w:tr w:rsidR="000D7A7C" w:rsidRPr="00BD2023" w14:paraId="6AF3E043" w14:textId="77777777" w:rsidTr="002325C8">
        <w:trPr>
          <w:trHeight w:val="197"/>
        </w:trPr>
        <w:tc>
          <w:tcPr>
            <w:tcW w:w="4600" w:type="dxa"/>
            <w:shd w:val="clear" w:color="auto" w:fill="auto"/>
            <w:vAlign w:val="bottom"/>
          </w:tcPr>
          <w:p w14:paraId="4D927F04" w14:textId="77777777" w:rsidR="000D7A7C" w:rsidRPr="00BD2023" w:rsidRDefault="000D7A7C" w:rsidP="00F77D20">
            <w:pPr>
              <w:tabs>
                <w:tab w:val="left" w:pos="540"/>
                <w:tab w:val="left" w:pos="569"/>
              </w:tabs>
              <w:rPr>
                <w:b/>
                <w:bCs/>
                <w:sz w:val="22"/>
                <w:szCs w:val="22"/>
                <w:lang w:val="sr-Latn-ME"/>
              </w:rPr>
            </w:pPr>
            <w:r w:rsidRPr="00BD2023">
              <w:rPr>
                <w:b/>
                <w:bCs/>
                <w:sz w:val="22"/>
                <w:szCs w:val="22"/>
                <w:lang w:val="sr-Latn-ME"/>
              </w:rPr>
              <w:t>Krajnje tačke efikasnosti</w:t>
            </w:r>
          </w:p>
          <w:p w14:paraId="081FA116" w14:textId="77777777" w:rsidR="000D7A7C" w:rsidRPr="00BD2023" w:rsidRDefault="000D7A7C" w:rsidP="00F77D20">
            <w:pPr>
              <w:tabs>
                <w:tab w:val="left" w:pos="540"/>
                <w:tab w:val="left" w:pos="569"/>
              </w:tabs>
              <w:rPr>
                <w:b/>
                <w:bCs/>
                <w:sz w:val="22"/>
                <w:szCs w:val="22"/>
                <w:lang w:val="sr-Latn-ME"/>
              </w:rPr>
            </w:pPr>
          </w:p>
        </w:tc>
        <w:tc>
          <w:tcPr>
            <w:tcW w:w="4531" w:type="dxa"/>
            <w:gridSpan w:val="2"/>
            <w:vAlign w:val="center"/>
          </w:tcPr>
          <w:p w14:paraId="40737A4C" w14:textId="77777777" w:rsidR="000D7A7C" w:rsidRPr="00BD2023" w:rsidRDefault="000D7A7C" w:rsidP="002325C8">
            <w:pPr>
              <w:tabs>
                <w:tab w:val="left" w:pos="540"/>
                <w:tab w:val="left" w:pos="569"/>
              </w:tabs>
              <w:jc w:val="center"/>
              <w:rPr>
                <w:b/>
                <w:bCs/>
                <w:sz w:val="22"/>
                <w:szCs w:val="22"/>
                <w:lang w:val="sr-Latn-ME"/>
              </w:rPr>
            </w:pPr>
            <w:r w:rsidRPr="00BD2023">
              <w:rPr>
                <w:b/>
                <w:bCs/>
                <w:sz w:val="22"/>
                <w:szCs w:val="22"/>
                <w:lang w:val="sr-Latn-ME"/>
              </w:rPr>
              <w:t>Procenat pacijenata</w:t>
            </w:r>
          </w:p>
          <w:p w14:paraId="29277D05" w14:textId="77777777" w:rsidR="000D7A7C" w:rsidRPr="00BD2023" w:rsidRDefault="000D7A7C" w:rsidP="002325C8">
            <w:pPr>
              <w:tabs>
                <w:tab w:val="left" w:pos="540"/>
                <w:tab w:val="left" w:pos="569"/>
              </w:tabs>
              <w:jc w:val="center"/>
              <w:rPr>
                <w:b/>
                <w:bCs/>
                <w:sz w:val="22"/>
                <w:szCs w:val="22"/>
                <w:lang w:val="sr-Latn-ME"/>
              </w:rPr>
            </w:pPr>
            <w:r w:rsidRPr="00BD2023">
              <w:rPr>
                <w:b/>
                <w:bCs/>
                <w:sz w:val="22"/>
                <w:szCs w:val="22"/>
                <w:lang w:val="sr-Latn-ME"/>
              </w:rPr>
              <w:t>N</w:t>
            </w:r>
            <w:r w:rsidRPr="00BD2023">
              <w:rPr>
                <w:b/>
                <w:bCs/>
                <w:sz w:val="22"/>
                <w:szCs w:val="22"/>
                <w:lang w:val="sr-Latn-ME"/>
              </w:rPr>
              <w:sym w:font="Symbol" w:char="F03D"/>
            </w:r>
            <w:r w:rsidRPr="00BD2023">
              <w:rPr>
                <w:b/>
                <w:bCs/>
                <w:sz w:val="22"/>
                <w:szCs w:val="22"/>
                <w:lang w:val="sr-Latn-ME"/>
              </w:rPr>
              <w:t>41 (90% CI)</w:t>
            </w:r>
          </w:p>
        </w:tc>
      </w:tr>
      <w:tr w:rsidR="000D7A7C" w:rsidRPr="00BD2023" w14:paraId="13805561" w14:textId="77777777" w:rsidTr="002325C8">
        <w:trPr>
          <w:trHeight w:val="197"/>
        </w:trPr>
        <w:tc>
          <w:tcPr>
            <w:tcW w:w="4600" w:type="dxa"/>
            <w:shd w:val="clear" w:color="auto" w:fill="auto"/>
            <w:vAlign w:val="bottom"/>
          </w:tcPr>
          <w:p w14:paraId="28EF5411" w14:textId="77777777" w:rsidR="000D7A7C" w:rsidRPr="00BD2023" w:rsidRDefault="000D7A7C" w:rsidP="00F77D20">
            <w:pPr>
              <w:tabs>
                <w:tab w:val="left" w:pos="540"/>
                <w:tab w:val="left" w:pos="569"/>
              </w:tabs>
              <w:rPr>
                <w:b/>
                <w:bCs/>
                <w:sz w:val="22"/>
                <w:szCs w:val="22"/>
                <w:lang w:val="sr-Latn-ME"/>
              </w:rPr>
            </w:pPr>
          </w:p>
        </w:tc>
        <w:tc>
          <w:tcPr>
            <w:tcW w:w="2391" w:type="dxa"/>
            <w:vAlign w:val="center"/>
          </w:tcPr>
          <w:p w14:paraId="0078CF0B" w14:textId="222E6FB0" w:rsidR="000D7A7C" w:rsidRPr="00BD2023" w:rsidRDefault="000D7A7C" w:rsidP="002325C8">
            <w:pPr>
              <w:tabs>
                <w:tab w:val="left" w:pos="540"/>
                <w:tab w:val="left" w:pos="569"/>
              </w:tabs>
              <w:jc w:val="center"/>
              <w:rPr>
                <w:b/>
                <w:bCs/>
                <w:sz w:val="22"/>
                <w:szCs w:val="22"/>
                <w:lang w:val="sr-Latn-ME"/>
              </w:rPr>
            </w:pPr>
            <w:r w:rsidRPr="00BD2023">
              <w:rPr>
                <w:b/>
                <w:bCs/>
                <w:sz w:val="22"/>
                <w:szCs w:val="22"/>
                <w:lang w:val="sr-Latn-ME"/>
              </w:rPr>
              <w:t xml:space="preserve">12. </w:t>
            </w:r>
            <w:r w:rsidR="00B744E8" w:rsidRPr="00BD2023">
              <w:rPr>
                <w:b/>
                <w:bCs/>
                <w:sz w:val="22"/>
                <w:szCs w:val="22"/>
                <w:lang w:val="sr-Latn-ME"/>
              </w:rPr>
              <w:t>mjesec</w:t>
            </w:r>
          </w:p>
        </w:tc>
        <w:tc>
          <w:tcPr>
            <w:tcW w:w="2140" w:type="dxa"/>
            <w:vAlign w:val="center"/>
          </w:tcPr>
          <w:p w14:paraId="35AB9BAF" w14:textId="6A7F68CF" w:rsidR="000D7A7C" w:rsidRPr="00BD2023" w:rsidRDefault="000D7A7C" w:rsidP="002325C8">
            <w:pPr>
              <w:tabs>
                <w:tab w:val="left" w:pos="540"/>
                <w:tab w:val="left" w:pos="569"/>
              </w:tabs>
              <w:jc w:val="center"/>
              <w:rPr>
                <w:b/>
                <w:bCs/>
                <w:sz w:val="22"/>
                <w:szCs w:val="22"/>
                <w:lang w:val="sr-Latn-ME"/>
              </w:rPr>
            </w:pPr>
            <w:r w:rsidRPr="00BD2023">
              <w:rPr>
                <w:b/>
                <w:bCs/>
                <w:sz w:val="22"/>
                <w:szCs w:val="22"/>
                <w:lang w:val="sr-Latn-ME"/>
              </w:rPr>
              <w:t xml:space="preserve">24. </w:t>
            </w:r>
            <w:r w:rsidR="00B744E8" w:rsidRPr="00BD2023">
              <w:rPr>
                <w:b/>
                <w:bCs/>
                <w:sz w:val="22"/>
                <w:szCs w:val="22"/>
                <w:lang w:val="sr-Latn-ME"/>
              </w:rPr>
              <w:t>mjesec</w:t>
            </w:r>
          </w:p>
        </w:tc>
      </w:tr>
      <w:tr w:rsidR="000D7A7C" w:rsidRPr="00BD2023" w14:paraId="7B3BE756" w14:textId="77777777" w:rsidTr="00B255B3">
        <w:trPr>
          <w:trHeight w:val="197"/>
        </w:trPr>
        <w:tc>
          <w:tcPr>
            <w:tcW w:w="9131" w:type="dxa"/>
            <w:gridSpan w:val="3"/>
            <w:shd w:val="clear" w:color="auto" w:fill="auto"/>
          </w:tcPr>
          <w:p w14:paraId="3D583026" w14:textId="77777777" w:rsidR="000D7A7C" w:rsidRPr="00BD2023" w:rsidRDefault="000D7A7C" w:rsidP="00F77D20">
            <w:pPr>
              <w:tabs>
                <w:tab w:val="left" w:pos="540"/>
                <w:tab w:val="left" w:pos="569"/>
              </w:tabs>
              <w:rPr>
                <w:bCs/>
                <w:sz w:val="22"/>
                <w:szCs w:val="22"/>
                <w:u w:val="single"/>
                <w:lang w:val="sr-Latn-ME"/>
              </w:rPr>
            </w:pPr>
            <w:r w:rsidRPr="00BD2023">
              <w:rPr>
                <w:bCs/>
                <w:sz w:val="22"/>
                <w:szCs w:val="22"/>
                <w:u w:val="single"/>
                <w:lang w:val="sr-Latn-ME"/>
              </w:rPr>
              <w:t>Važni događaji u motornoj funkciji i razvoju</w:t>
            </w:r>
          </w:p>
        </w:tc>
      </w:tr>
      <w:tr w:rsidR="000D7A7C" w:rsidRPr="00BD2023" w14:paraId="3331BC23" w14:textId="77777777" w:rsidTr="002325C8">
        <w:trPr>
          <w:trHeight w:val="508"/>
        </w:trPr>
        <w:tc>
          <w:tcPr>
            <w:tcW w:w="4600" w:type="dxa"/>
            <w:shd w:val="clear" w:color="auto" w:fill="auto"/>
            <w:tcMar>
              <w:top w:w="15" w:type="dxa"/>
              <w:left w:w="61" w:type="dxa"/>
              <w:bottom w:w="0" w:type="dxa"/>
              <w:right w:w="61" w:type="dxa"/>
            </w:tcMar>
          </w:tcPr>
          <w:p w14:paraId="4426BDA9" w14:textId="1117450B" w:rsidR="000D7A7C" w:rsidRPr="00BD2023" w:rsidRDefault="000D7A7C" w:rsidP="00F77D20">
            <w:pPr>
              <w:tabs>
                <w:tab w:val="left" w:pos="540"/>
                <w:tab w:val="left" w:pos="569"/>
              </w:tabs>
              <w:rPr>
                <w:bCs/>
                <w:sz w:val="22"/>
                <w:szCs w:val="22"/>
                <w:vertAlign w:val="superscript"/>
                <w:lang w:val="sr-Latn-ME"/>
              </w:rPr>
            </w:pPr>
            <w:r w:rsidRPr="00BD2023">
              <w:rPr>
                <w:bCs/>
                <w:sz w:val="22"/>
                <w:szCs w:val="22"/>
                <w:lang w:val="sr-Latn-ME"/>
              </w:rPr>
              <w:t xml:space="preserve">BSID-III: </w:t>
            </w:r>
            <w:r w:rsidR="00E032BD" w:rsidRPr="00BD2023">
              <w:rPr>
                <w:bCs/>
                <w:sz w:val="22"/>
                <w:szCs w:val="22"/>
                <w:lang w:val="sr-Latn-ME"/>
              </w:rPr>
              <w:t>sjedenje</w:t>
            </w:r>
            <w:r w:rsidRPr="00BD2023">
              <w:rPr>
                <w:bCs/>
                <w:sz w:val="22"/>
                <w:szCs w:val="22"/>
                <w:lang w:val="sr-Latn-ME"/>
              </w:rPr>
              <w:t xml:space="preserve"> bez podrške barem 5 sekundi </w:t>
            </w:r>
          </w:p>
          <w:p w14:paraId="1D46DA22" w14:textId="77777777" w:rsidR="000D7A7C" w:rsidRPr="00BD2023" w:rsidRDefault="000D7A7C" w:rsidP="00F77D20">
            <w:pPr>
              <w:tabs>
                <w:tab w:val="left" w:pos="540"/>
                <w:tab w:val="left" w:pos="569"/>
              </w:tabs>
              <w:rPr>
                <w:bCs/>
                <w:sz w:val="22"/>
                <w:szCs w:val="22"/>
                <w:lang w:val="sr-Latn-ME"/>
              </w:rPr>
            </w:pPr>
          </w:p>
        </w:tc>
        <w:tc>
          <w:tcPr>
            <w:tcW w:w="2391" w:type="dxa"/>
            <w:vAlign w:val="center"/>
          </w:tcPr>
          <w:p w14:paraId="422B06BE" w14:textId="77777777" w:rsidR="000D7A7C" w:rsidRPr="00BD2023" w:rsidRDefault="000D7A7C" w:rsidP="002325C8">
            <w:pPr>
              <w:pStyle w:val="TableCell10Center"/>
              <w:rPr>
                <w:sz w:val="22"/>
                <w:szCs w:val="22"/>
                <w:lang w:val="sr-Latn-ME"/>
              </w:rPr>
            </w:pPr>
            <w:r w:rsidRPr="00BD2023">
              <w:rPr>
                <w:rFonts w:ascii="Times New Roman" w:hAnsi="Times New Roman"/>
                <w:sz w:val="22"/>
                <w:szCs w:val="22"/>
                <w:lang w:val="sr-Latn-ME"/>
              </w:rPr>
              <w:t xml:space="preserve">29,3% </w:t>
            </w:r>
          </w:p>
          <w:p w14:paraId="07AE904D" w14:textId="77777777" w:rsidR="000D7A7C" w:rsidRPr="00BD2023" w:rsidRDefault="000D7A7C" w:rsidP="002325C8">
            <w:pPr>
              <w:pStyle w:val="TableCell10Center"/>
              <w:rPr>
                <w:sz w:val="22"/>
                <w:szCs w:val="22"/>
                <w:lang w:val="sr-Latn-ME"/>
              </w:rPr>
            </w:pPr>
            <w:r w:rsidRPr="00BD2023">
              <w:rPr>
                <w:rFonts w:ascii="Times New Roman" w:hAnsi="Times New Roman"/>
                <w:sz w:val="22"/>
                <w:szCs w:val="22"/>
                <w:lang w:val="sr-Latn-ME"/>
              </w:rPr>
              <w:t>(17,8%, 43,1%)</w:t>
            </w:r>
          </w:p>
          <w:p w14:paraId="4EE29551" w14:textId="77777777" w:rsidR="000D7A7C" w:rsidRPr="00BD2023" w:rsidRDefault="000D7A7C" w:rsidP="002325C8">
            <w:pPr>
              <w:pStyle w:val="TableCell10Center"/>
              <w:rPr>
                <w:sz w:val="22"/>
                <w:szCs w:val="22"/>
                <w:lang w:val="sr-Latn-ME"/>
              </w:rPr>
            </w:pPr>
            <w:r w:rsidRPr="00BD2023">
              <w:rPr>
                <w:rFonts w:ascii="Times New Roman" w:hAnsi="Times New Roman"/>
                <w:sz w:val="22"/>
                <w:szCs w:val="22"/>
                <w:lang w:val="sr-Latn-ME"/>
              </w:rPr>
              <w:t>p &lt;0,0001</w:t>
            </w:r>
            <w:r w:rsidRPr="00BD2023">
              <w:rPr>
                <w:rFonts w:ascii="Times New Roman" w:hAnsi="Times New Roman"/>
                <w:sz w:val="22"/>
                <w:szCs w:val="22"/>
                <w:vertAlign w:val="superscript"/>
                <w:lang w:val="sr-Latn-ME"/>
              </w:rPr>
              <w:t>a</w:t>
            </w:r>
          </w:p>
        </w:tc>
        <w:tc>
          <w:tcPr>
            <w:tcW w:w="2140" w:type="dxa"/>
          </w:tcPr>
          <w:p w14:paraId="658718DE" w14:textId="77777777" w:rsidR="000D7A7C" w:rsidRPr="00BD2023" w:rsidRDefault="000D7A7C" w:rsidP="002325C8">
            <w:pPr>
              <w:pStyle w:val="TableCell10Center"/>
              <w:rPr>
                <w:sz w:val="22"/>
                <w:szCs w:val="22"/>
                <w:lang w:val="sr-Latn-ME"/>
              </w:rPr>
            </w:pPr>
            <w:r w:rsidRPr="00BD2023">
              <w:rPr>
                <w:rFonts w:ascii="Times New Roman" w:hAnsi="Times New Roman"/>
                <w:sz w:val="22"/>
                <w:szCs w:val="22"/>
                <w:lang w:val="sr-Latn-ME"/>
              </w:rPr>
              <w:t>61.0%</w:t>
            </w:r>
          </w:p>
          <w:p w14:paraId="0AD1F1B1" w14:textId="77777777" w:rsidR="000D7A7C" w:rsidRPr="00BD2023" w:rsidRDefault="000D7A7C" w:rsidP="002325C8">
            <w:pPr>
              <w:pStyle w:val="TableCell10Center"/>
              <w:rPr>
                <w:sz w:val="22"/>
                <w:szCs w:val="22"/>
                <w:lang w:val="sr-Latn-ME"/>
              </w:rPr>
            </w:pPr>
            <w:r w:rsidRPr="00BD2023">
              <w:rPr>
                <w:rFonts w:ascii="Times New Roman" w:hAnsi="Times New Roman"/>
                <w:sz w:val="22"/>
                <w:szCs w:val="22"/>
                <w:lang w:val="sr-Latn-ME"/>
              </w:rPr>
              <w:t>(46.9%, 73.8%)</w:t>
            </w:r>
          </w:p>
        </w:tc>
      </w:tr>
      <w:tr w:rsidR="000D7A7C" w:rsidRPr="00BD2023" w14:paraId="31118BBF" w14:textId="77777777" w:rsidTr="002325C8">
        <w:trPr>
          <w:trHeight w:val="508"/>
        </w:trPr>
        <w:tc>
          <w:tcPr>
            <w:tcW w:w="4600" w:type="dxa"/>
            <w:shd w:val="clear" w:color="auto" w:fill="auto"/>
            <w:tcMar>
              <w:top w:w="15" w:type="dxa"/>
              <w:left w:w="61" w:type="dxa"/>
              <w:bottom w:w="0" w:type="dxa"/>
              <w:right w:w="61" w:type="dxa"/>
            </w:tcMar>
          </w:tcPr>
          <w:p w14:paraId="160B6455" w14:textId="546424CD" w:rsidR="000D7A7C" w:rsidRPr="00BD2023" w:rsidRDefault="000D7A7C" w:rsidP="004F6B33">
            <w:pPr>
              <w:tabs>
                <w:tab w:val="left" w:pos="540"/>
                <w:tab w:val="left" w:pos="569"/>
              </w:tabs>
              <w:rPr>
                <w:bCs/>
                <w:sz w:val="22"/>
                <w:szCs w:val="22"/>
                <w:vertAlign w:val="superscript"/>
                <w:lang w:val="sr-Latn-ME"/>
              </w:rPr>
            </w:pPr>
            <w:r w:rsidRPr="00BD2023">
              <w:rPr>
                <w:bCs/>
                <w:sz w:val="22"/>
                <w:szCs w:val="22"/>
                <w:lang w:val="sr-Latn-ME"/>
              </w:rPr>
              <w:t>CHOP-INTEND: 40 ili viš</w:t>
            </w:r>
            <w:r w:rsidR="004F6B33" w:rsidRPr="00BD2023">
              <w:rPr>
                <w:bCs/>
                <w:sz w:val="22"/>
                <w:szCs w:val="22"/>
                <w:lang w:val="sr-Latn-ME"/>
              </w:rPr>
              <w:t>e bodova</w:t>
            </w:r>
            <w:r w:rsidRPr="00BD2023">
              <w:rPr>
                <w:bCs/>
                <w:sz w:val="22"/>
                <w:szCs w:val="22"/>
                <w:lang w:val="sr-Latn-ME"/>
              </w:rPr>
              <w:t xml:space="preserve"> </w:t>
            </w:r>
          </w:p>
        </w:tc>
        <w:tc>
          <w:tcPr>
            <w:tcW w:w="2391" w:type="dxa"/>
            <w:vAlign w:val="center"/>
          </w:tcPr>
          <w:p w14:paraId="4E14CDA5" w14:textId="77777777" w:rsidR="000D7A7C" w:rsidRPr="00BD2023" w:rsidRDefault="000D7A7C" w:rsidP="002325C8">
            <w:pPr>
              <w:pStyle w:val="TableCell10Center"/>
              <w:rPr>
                <w:sz w:val="22"/>
                <w:szCs w:val="22"/>
                <w:lang w:val="sr-Latn-ME"/>
              </w:rPr>
            </w:pPr>
            <w:r w:rsidRPr="00BD2023">
              <w:rPr>
                <w:rFonts w:ascii="Times New Roman" w:hAnsi="Times New Roman"/>
                <w:sz w:val="22"/>
                <w:szCs w:val="22"/>
                <w:lang w:val="sr-Latn-ME"/>
              </w:rPr>
              <w:t xml:space="preserve">56,1% </w:t>
            </w:r>
          </w:p>
          <w:p w14:paraId="0F2218B3" w14:textId="77777777" w:rsidR="000D7A7C" w:rsidRPr="00BD2023" w:rsidRDefault="000D7A7C" w:rsidP="002325C8">
            <w:pPr>
              <w:pStyle w:val="TableCell10Center"/>
              <w:rPr>
                <w:sz w:val="22"/>
                <w:szCs w:val="22"/>
                <w:lang w:val="sr-Latn-ME"/>
              </w:rPr>
            </w:pPr>
            <w:r w:rsidRPr="00BD2023">
              <w:rPr>
                <w:rFonts w:ascii="Times New Roman" w:hAnsi="Times New Roman"/>
                <w:sz w:val="22"/>
                <w:szCs w:val="22"/>
                <w:lang w:val="sr-Latn-ME"/>
              </w:rPr>
              <w:t>(42,1%, 69,4%)</w:t>
            </w:r>
          </w:p>
        </w:tc>
        <w:tc>
          <w:tcPr>
            <w:tcW w:w="2140" w:type="dxa"/>
          </w:tcPr>
          <w:p w14:paraId="2A1A31C4" w14:textId="77777777" w:rsidR="000D7A7C" w:rsidRPr="00BD2023" w:rsidRDefault="000D7A7C" w:rsidP="002325C8">
            <w:pPr>
              <w:pStyle w:val="TableCell10Center"/>
              <w:rPr>
                <w:sz w:val="22"/>
                <w:szCs w:val="22"/>
                <w:lang w:val="sr-Latn-ME"/>
              </w:rPr>
            </w:pPr>
            <w:r w:rsidRPr="00BD2023">
              <w:rPr>
                <w:rFonts w:ascii="Times New Roman" w:hAnsi="Times New Roman"/>
                <w:sz w:val="22"/>
                <w:szCs w:val="22"/>
                <w:lang w:val="sr-Latn-ME"/>
              </w:rPr>
              <w:t>75.6%</w:t>
            </w:r>
          </w:p>
          <w:p w14:paraId="49F40285" w14:textId="77777777" w:rsidR="000D7A7C" w:rsidRPr="00BD2023" w:rsidRDefault="000D7A7C" w:rsidP="002325C8">
            <w:pPr>
              <w:pStyle w:val="TableCell10Center"/>
              <w:rPr>
                <w:sz w:val="22"/>
                <w:szCs w:val="22"/>
                <w:lang w:val="sr-Latn-ME"/>
              </w:rPr>
            </w:pPr>
            <w:r w:rsidRPr="00BD2023">
              <w:rPr>
                <w:rFonts w:ascii="Times New Roman" w:hAnsi="Times New Roman"/>
                <w:sz w:val="22"/>
                <w:szCs w:val="22"/>
                <w:lang w:val="sr-Latn-ME"/>
              </w:rPr>
              <w:t>(62.2%, 86.1%)</w:t>
            </w:r>
          </w:p>
        </w:tc>
      </w:tr>
      <w:tr w:rsidR="000D7A7C" w:rsidRPr="00BD2023" w14:paraId="397151EC" w14:textId="77777777" w:rsidTr="002325C8">
        <w:trPr>
          <w:trHeight w:val="508"/>
        </w:trPr>
        <w:tc>
          <w:tcPr>
            <w:tcW w:w="4600" w:type="dxa"/>
            <w:shd w:val="clear" w:color="auto" w:fill="auto"/>
            <w:tcMar>
              <w:top w:w="15" w:type="dxa"/>
              <w:left w:w="61" w:type="dxa"/>
              <w:bottom w:w="0" w:type="dxa"/>
              <w:right w:w="61" w:type="dxa"/>
            </w:tcMar>
          </w:tcPr>
          <w:p w14:paraId="092AF9A7" w14:textId="7E2C23F9" w:rsidR="000D7A7C" w:rsidRPr="00BD2023" w:rsidRDefault="000D7A7C" w:rsidP="00F77D20">
            <w:pPr>
              <w:tabs>
                <w:tab w:val="left" w:pos="540"/>
                <w:tab w:val="left" w:pos="569"/>
              </w:tabs>
              <w:rPr>
                <w:bCs/>
                <w:sz w:val="22"/>
                <w:szCs w:val="22"/>
                <w:vertAlign w:val="superscript"/>
                <w:lang w:val="sr-Latn-ME"/>
              </w:rPr>
            </w:pPr>
            <w:r w:rsidRPr="00BD2023">
              <w:rPr>
                <w:bCs/>
                <w:sz w:val="22"/>
                <w:szCs w:val="22"/>
                <w:lang w:val="sr-Latn-ME"/>
              </w:rPr>
              <w:t xml:space="preserve">CHOP-INTEND: povećanje </w:t>
            </w:r>
            <w:r w:rsidR="004F6B33" w:rsidRPr="00BD2023">
              <w:rPr>
                <w:bCs/>
                <w:sz w:val="22"/>
                <w:szCs w:val="22"/>
                <w:lang w:val="sr-Latn-ME"/>
              </w:rPr>
              <w:t>za</w:t>
            </w:r>
            <w:r w:rsidRPr="00BD2023">
              <w:rPr>
                <w:bCs/>
                <w:sz w:val="22"/>
                <w:szCs w:val="22"/>
                <w:lang w:val="sr-Latn-ME"/>
              </w:rPr>
              <w:t xml:space="preserve"> ≥4 </w:t>
            </w:r>
            <w:r w:rsidR="004F6B33" w:rsidRPr="00BD2023">
              <w:rPr>
                <w:bCs/>
                <w:sz w:val="22"/>
                <w:szCs w:val="22"/>
                <w:lang w:val="sr-Latn-ME"/>
              </w:rPr>
              <w:t>boda</w:t>
            </w:r>
            <w:r w:rsidRPr="00BD2023">
              <w:rPr>
                <w:bCs/>
                <w:sz w:val="22"/>
                <w:szCs w:val="22"/>
                <w:lang w:val="sr-Latn-ME"/>
              </w:rPr>
              <w:t xml:space="preserve"> u odnosu na početnu </w:t>
            </w:r>
            <w:r w:rsidR="00F73418" w:rsidRPr="00BD2023">
              <w:rPr>
                <w:bCs/>
                <w:sz w:val="22"/>
                <w:szCs w:val="22"/>
                <w:lang w:val="sr-Latn-ME"/>
              </w:rPr>
              <w:t>vrijednost</w:t>
            </w:r>
            <w:r w:rsidRPr="00BD2023">
              <w:rPr>
                <w:bCs/>
                <w:sz w:val="22"/>
                <w:szCs w:val="22"/>
                <w:lang w:val="sr-Latn-ME"/>
              </w:rPr>
              <w:t xml:space="preserve"> </w:t>
            </w:r>
          </w:p>
        </w:tc>
        <w:tc>
          <w:tcPr>
            <w:tcW w:w="2391" w:type="dxa"/>
            <w:vAlign w:val="center"/>
          </w:tcPr>
          <w:p w14:paraId="50B83849" w14:textId="77777777" w:rsidR="000D7A7C" w:rsidRPr="00BD2023" w:rsidRDefault="000D7A7C" w:rsidP="002325C8">
            <w:pPr>
              <w:pStyle w:val="TableCell10Center"/>
              <w:rPr>
                <w:sz w:val="22"/>
                <w:szCs w:val="22"/>
                <w:lang w:val="sr-Latn-ME"/>
              </w:rPr>
            </w:pPr>
            <w:r w:rsidRPr="00BD2023">
              <w:rPr>
                <w:rFonts w:ascii="Times New Roman" w:hAnsi="Times New Roman"/>
                <w:sz w:val="22"/>
                <w:szCs w:val="22"/>
                <w:lang w:val="sr-Latn-ME"/>
              </w:rPr>
              <w:t>90,2%</w:t>
            </w:r>
          </w:p>
          <w:p w14:paraId="46542056" w14:textId="77777777" w:rsidR="000D7A7C" w:rsidRPr="00BD2023" w:rsidRDefault="000D7A7C" w:rsidP="002325C8">
            <w:pPr>
              <w:pStyle w:val="TableCell10Center"/>
              <w:rPr>
                <w:sz w:val="22"/>
                <w:szCs w:val="22"/>
                <w:lang w:val="sr-Latn-ME"/>
              </w:rPr>
            </w:pPr>
            <w:r w:rsidRPr="00BD2023">
              <w:rPr>
                <w:rFonts w:ascii="Times New Roman" w:hAnsi="Times New Roman"/>
                <w:sz w:val="22"/>
                <w:szCs w:val="22"/>
                <w:lang w:val="sr-Latn-ME"/>
              </w:rPr>
              <w:t xml:space="preserve"> (79,1%, 96,6%)</w:t>
            </w:r>
          </w:p>
        </w:tc>
        <w:tc>
          <w:tcPr>
            <w:tcW w:w="2140" w:type="dxa"/>
          </w:tcPr>
          <w:p w14:paraId="24695896" w14:textId="77777777" w:rsidR="000D7A7C" w:rsidRPr="00BD2023" w:rsidRDefault="000D7A7C" w:rsidP="000D7A7C">
            <w:pPr>
              <w:pStyle w:val="TableCell10Center"/>
              <w:rPr>
                <w:rFonts w:ascii="Times New Roman" w:hAnsi="Times New Roman"/>
                <w:sz w:val="22"/>
                <w:szCs w:val="22"/>
                <w:lang w:val="sr-Latn-ME"/>
              </w:rPr>
            </w:pPr>
            <w:r w:rsidRPr="00BD2023">
              <w:rPr>
                <w:rFonts w:ascii="Times New Roman" w:hAnsi="Times New Roman"/>
                <w:sz w:val="22"/>
                <w:szCs w:val="22"/>
                <w:lang w:val="sr-Latn-ME"/>
              </w:rPr>
              <w:t>90.2%</w:t>
            </w:r>
          </w:p>
          <w:p w14:paraId="7878480F" w14:textId="77777777" w:rsidR="000D7A7C" w:rsidRPr="00BD2023" w:rsidRDefault="000D7A7C" w:rsidP="002325C8">
            <w:pPr>
              <w:tabs>
                <w:tab w:val="left" w:pos="540"/>
                <w:tab w:val="left" w:pos="569"/>
              </w:tabs>
              <w:jc w:val="center"/>
              <w:rPr>
                <w:rFonts w:eastAsia="SimSun"/>
                <w:sz w:val="22"/>
                <w:szCs w:val="22"/>
                <w:lang w:val="sr-Latn-ME" w:eastAsia="zh-CN"/>
              </w:rPr>
            </w:pPr>
            <w:r w:rsidRPr="00BD2023">
              <w:rPr>
                <w:rFonts w:eastAsia="SimSun"/>
                <w:sz w:val="22"/>
                <w:szCs w:val="22"/>
                <w:lang w:val="sr-Latn-ME" w:eastAsia="zh-CN"/>
              </w:rPr>
              <w:t>(79.1%, 96.6%)</w:t>
            </w:r>
          </w:p>
        </w:tc>
      </w:tr>
      <w:tr w:rsidR="000D7A7C" w:rsidRPr="00BD2023" w14:paraId="34C584AC" w14:textId="77777777" w:rsidTr="002325C8">
        <w:trPr>
          <w:trHeight w:val="508"/>
        </w:trPr>
        <w:tc>
          <w:tcPr>
            <w:tcW w:w="4600" w:type="dxa"/>
            <w:shd w:val="clear" w:color="auto" w:fill="auto"/>
            <w:tcMar>
              <w:top w:w="15" w:type="dxa"/>
              <w:left w:w="61" w:type="dxa"/>
              <w:bottom w:w="0" w:type="dxa"/>
              <w:right w:w="61" w:type="dxa"/>
            </w:tcMar>
          </w:tcPr>
          <w:p w14:paraId="4B60A8EB" w14:textId="77777777" w:rsidR="000D7A7C" w:rsidRPr="00BD2023" w:rsidRDefault="000D7A7C" w:rsidP="00F77D20">
            <w:pPr>
              <w:tabs>
                <w:tab w:val="left" w:pos="540"/>
                <w:tab w:val="left" w:pos="569"/>
              </w:tabs>
              <w:rPr>
                <w:bCs/>
                <w:sz w:val="22"/>
                <w:szCs w:val="22"/>
                <w:lang w:val="sr-Latn-ME"/>
              </w:rPr>
            </w:pPr>
            <w:r w:rsidRPr="00BD2023">
              <w:rPr>
                <w:bCs/>
                <w:sz w:val="22"/>
                <w:szCs w:val="22"/>
                <w:lang w:val="sr-Latn-ME"/>
              </w:rPr>
              <w:t>HINE-2: značajni motorički ciljevi – respondenti</w:t>
            </w:r>
            <w:r w:rsidRPr="00BD2023">
              <w:rPr>
                <w:bCs/>
                <w:sz w:val="22"/>
                <w:szCs w:val="22"/>
                <w:vertAlign w:val="superscript"/>
                <w:lang w:val="sr-Latn-ME"/>
              </w:rPr>
              <w:t>b</w:t>
            </w:r>
            <w:r w:rsidRPr="00BD2023">
              <w:rPr>
                <w:bCs/>
                <w:sz w:val="22"/>
                <w:szCs w:val="22"/>
                <w:lang w:val="sr-Latn-ME"/>
              </w:rPr>
              <w:t xml:space="preserve"> </w:t>
            </w:r>
          </w:p>
        </w:tc>
        <w:tc>
          <w:tcPr>
            <w:tcW w:w="2391" w:type="dxa"/>
            <w:vAlign w:val="center"/>
          </w:tcPr>
          <w:p w14:paraId="563D2592" w14:textId="77777777" w:rsidR="000D7A7C" w:rsidRPr="00BD2023" w:rsidRDefault="000D7A7C" w:rsidP="002325C8">
            <w:pPr>
              <w:pStyle w:val="TableCell10Center"/>
              <w:rPr>
                <w:sz w:val="22"/>
                <w:szCs w:val="22"/>
                <w:lang w:val="sr-Latn-ME"/>
              </w:rPr>
            </w:pPr>
            <w:r w:rsidRPr="00BD2023">
              <w:rPr>
                <w:rFonts w:ascii="Times New Roman" w:hAnsi="Times New Roman"/>
                <w:sz w:val="22"/>
                <w:szCs w:val="22"/>
                <w:lang w:val="sr-Latn-ME"/>
              </w:rPr>
              <w:t xml:space="preserve">78,0% </w:t>
            </w:r>
          </w:p>
          <w:p w14:paraId="02D748F4" w14:textId="77777777" w:rsidR="000D7A7C" w:rsidRPr="00BD2023" w:rsidRDefault="000D7A7C" w:rsidP="002325C8">
            <w:pPr>
              <w:pStyle w:val="TableCell10Center"/>
              <w:rPr>
                <w:sz w:val="22"/>
                <w:szCs w:val="22"/>
                <w:lang w:val="sr-Latn-ME"/>
              </w:rPr>
            </w:pPr>
            <w:r w:rsidRPr="00BD2023">
              <w:rPr>
                <w:rFonts w:ascii="Times New Roman" w:hAnsi="Times New Roman"/>
                <w:sz w:val="22"/>
                <w:szCs w:val="22"/>
                <w:lang w:val="sr-Latn-ME"/>
              </w:rPr>
              <w:t>(64,8%, 88,0%)</w:t>
            </w:r>
          </w:p>
        </w:tc>
        <w:tc>
          <w:tcPr>
            <w:tcW w:w="2140" w:type="dxa"/>
          </w:tcPr>
          <w:p w14:paraId="1816763C" w14:textId="77777777" w:rsidR="000D7A7C" w:rsidRPr="00BD2023" w:rsidRDefault="000D7A7C" w:rsidP="000D7A7C">
            <w:pPr>
              <w:pStyle w:val="TableCell10Center"/>
              <w:rPr>
                <w:rFonts w:ascii="Times New Roman" w:hAnsi="Times New Roman"/>
                <w:sz w:val="22"/>
                <w:szCs w:val="22"/>
                <w:lang w:val="sr-Latn-ME"/>
              </w:rPr>
            </w:pPr>
            <w:r w:rsidRPr="00BD2023">
              <w:rPr>
                <w:rFonts w:ascii="Times New Roman" w:hAnsi="Times New Roman"/>
                <w:sz w:val="22"/>
                <w:szCs w:val="22"/>
                <w:lang w:val="sr-Latn-ME"/>
              </w:rPr>
              <w:t>85.4%</w:t>
            </w:r>
          </w:p>
          <w:p w14:paraId="30C29B1D" w14:textId="77777777" w:rsidR="000D7A7C" w:rsidRPr="00BD2023" w:rsidRDefault="000D7A7C" w:rsidP="002325C8">
            <w:pPr>
              <w:tabs>
                <w:tab w:val="left" w:pos="540"/>
                <w:tab w:val="left" w:pos="569"/>
              </w:tabs>
              <w:jc w:val="center"/>
              <w:rPr>
                <w:rFonts w:eastAsia="SimSun"/>
                <w:sz w:val="22"/>
                <w:szCs w:val="22"/>
                <w:lang w:val="sr-Latn-ME" w:eastAsia="zh-CN"/>
              </w:rPr>
            </w:pPr>
            <w:r w:rsidRPr="00BD2023">
              <w:rPr>
                <w:rFonts w:eastAsia="SimSun"/>
                <w:sz w:val="22"/>
                <w:szCs w:val="22"/>
                <w:lang w:val="sr-Latn-ME" w:eastAsia="zh-CN"/>
              </w:rPr>
              <w:t>(73.2%, 93.4%)</w:t>
            </w:r>
          </w:p>
        </w:tc>
      </w:tr>
      <w:tr w:rsidR="000D7A7C" w:rsidRPr="00BD2023" w14:paraId="2AABB16B" w14:textId="77777777" w:rsidTr="002325C8">
        <w:trPr>
          <w:trHeight w:val="508"/>
        </w:trPr>
        <w:tc>
          <w:tcPr>
            <w:tcW w:w="4600" w:type="dxa"/>
            <w:shd w:val="clear" w:color="auto" w:fill="auto"/>
            <w:tcMar>
              <w:top w:w="15" w:type="dxa"/>
              <w:left w:w="61" w:type="dxa"/>
              <w:bottom w:w="0" w:type="dxa"/>
              <w:right w:w="61" w:type="dxa"/>
            </w:tcMar>
          </w:tcPr>
          <w:p w14:paraId="187F8BDC" w14:textId="44C05FD5" w:rsidR="000D7A7C" w:rsidRPr="00BD2023" w:rsidRDefault="000D7A7C" w:rsidP="00F77D20">
            <w:pPr>
              <w:tabs>
                <w:tab w:val="left" w:pos="540"/>
                <w:tab w:val="left" w:pos="569"/>
              </w:tabs>
              <w:rPr>
                <w:bCs/>
                <w:sz w:val="22"/>
                <w:szCs w:val="22"/>
                <w:vertAlign w:val="superscript"/>
                <w:lang w:val="sr-Latn-ME"/>
              </w:rPr>
            </w:pPr>
            <w:r w:rsidRPr="00BD2023">
              <w:rPr>
                <w:bCs/>
                <w:sz w:val="22"/>
                <w:szCs w:val="22"/>
                <w:lang w:val="sr-Latn-ME"/>
              </w:rPr>
              <w:t xml:space="preserve">HINE-2: </w:t>
            </w:r>
            <w:r w:rsidR="00E032BD" w:rsidRPr="00BD2023">
              <w:rPr>
                <w:bCs/>
                <w:sz w:val="22"/>
                <w:szCs w:val="22"/>
                <w:lang w:val="sr-Latn-ME"/>
              </w:rPr>
              <w:t>sjedenje</w:t>
            </w:r>
            <w:r w:rsidRPr="00BD2023">
              <w:rPr>
                <w:bCs/>
                <w:sz w:val="22"/>
                <w:szCs w:val="22"/>
                <w:lang w:val="sr-Latn-ME"/>
              </w:rPr>
              <w:t xml:space="preserve"> bez podrške</w:t>
            </w:r>
            <w:r w:rsidRPr="00BD2023">
              <w:rPr>
                <w:bCs/>
                <w:sz w:val="22"/>
                <w:szCs w:val="22"/>
                <w:vertAlign w:val="superscript"/>
                <w:lang w:val="sr-Latn-ME"/>
              </w:rPr>
              <w:t>c</w:t>
            </w:r>
          </w:p>
        </w:tc>
        <w:tc>
          <w:tcPr>
            <w:tcW w:w="2391" w:type="dxa"/>
            <w:vAlign w:val="center"/>
          </w:tcPr>
          <w:p w14:paraId="7025346F" w14:textId="77777777" w:rsidR="000D7A7C" w:rsidRPr="00BD2023" w:rsidRDefault="000D7A7C" w:rsidP="002325C8">
            <w:pPr>
              <w:pStyle w:val="TableCell10Center"/>
              <w:rPr>
                <w:sz w:val="22"/>
                <w:szCs w:val="22"/>
                <w:lang w:val="sr-Latn-ME"/>
              </w:rPr>
            </w:pPr>
            <w:r w:rsidRPr="00BD2023">
              <w:rPr>
                <w:rFonts w:ascii="Times New Roman" w:hAnsi="Times New Roman"/>
                <w:sz w:val="22"/>
                <w:szCs w:val="22"/>
                <w:lang w:val="sr-Latn-ME"/>
              </w:rPr>
              <w:t xml:space="preserve">24,4% </w:t>
            </w:r>
          </w:p>
          <w:p w14:paraId="5E598B65" w14:textId="77777777" w:rsidR="000D7A7C" w:rsidRPr="00BD2023" w:rsidRDefault="000D7A7C" w:rsidP="002325C8">
            <w:pPr>
              <w:pStyle w:val="TableCell10Center"/>
              <w:rPr>
                <w:sz w:val="22"/>
                <w:szCs w:val="22"/>
                <w:lang w:val="sr-Latn-ME"/>
              </w:rPr>
            </w:pPr>
            <w:r w:rsidRPr="00BD2023">
              <w:rPr>
                <w:rFonts w:ascii="Times New Roman" w:hAnsi="Times New Roman"/>
                <w:sz w:val="22"/>
                <w:szCs w:val="22"/>
                <w:lang w:val="sr-Latn-ME"/>
              </w:rPr>
              <w:t>(13,9%, 37,9%)</w:t>
            </w:r>
          </w:p>
        </w:tc>
        <w:tc>
          <w:tcPr>
            <w:tcW w:w="2140" w:type="dxa"/>
          </w:tcPr>
          <w:p w14:paraId="2C45924F" w14:textId="77777777" w:rsidR="000D7A7C" w:rsidRPr="00BD2023" w:rsidRDefault="000D7A7C" w:rsidP="000D7A7C">
            <w:pPr>
              <w:pStyle w:val="TableCell10Center"/>
              <w:rPr>
                <w:rFonts w:ascii="Times New Roman" w:hAnsi="Times New Roman"/>
                <w:sz w:val="22"/>
                <w:szCs w:val="22"/>
                <w:lang w:val="sr-Latn-ME"/>
              </w:rPr>
            </w:pPr>
            <w:r w:rsidRPr="00BD2023">
              <w:rPr>
                <w:rFonts w:ascii="Times New Roman" w:hAnsi="Times New Roman"/>
                <w:sz w:val="22"/>
                <w:szCs w:val="22"/>
                <w:lang w:val="sr-Latn-ME"/>
              </w:rPr>
              <w:t>53.7%</w:t>
            </w:r>
          </w:p>
          <w:p w14:paraId="040ABAC4" w14:textId="77777777" w:rsidR="000D7A7C" w:rsidRPr="00BD2023" w:rsidRDefault="000D7A7C" w:rsidP="002325C8">
            <w:pPr>
              <w:tabs>
                <w:tab w:val="left" w:pos="540"/>
                <w:tab w:val="left" w:pos="569"/>
              </w:tabs>
              <w:jc w:val="center"/>
              <w:rPr>
                <w:rFonts w:eastAsia="SimSun"/>
                <w:sz w:val="22"/>
                <w:szCs w:val="22"/>
                <w:lang w:val="sr-Latn-ME" w:eastAsia="zh-CN"/>
              </w:rPr>
            </w:pPr>
            <w:r w:rsidRPr="00BD2023">
              <w:rPr>
                <w:rFonts w:eastAsia="SimSun"/>
                <w:sz w:val="22"/>
                <w:szCs w:val="22"/>
                <w:lang w:val="sr-Latn-ME" w:eastAsia="zh-CN"/>
              </w:rPr>
              <w:t>(39.8%, 67.1%)</w:t>
            </w:r>
          </w:p>
        </w:tc>
      </w:tr>
      <w:tr w:rsidR="000D7A7C" w:rsidRPr="00BD2023" w14:paraId="3E91177F" w14:textId="77777777" w:rsidTr="002325C8">
        <w:tc>
          <w:tcPr>
            <w:tcW w:w="6991" w:type="dxa"/>
            <w:gridSpan w:val="2"/>
            <w:shd w:val="clear" w:color="auto" w:fill="auto"/>
            <w:tcMar>
              <w:top w:w="15" w:type="dxa"/>
              <w:left w:w="61" w:type="dxa"/>
              <w:bottom w:w="0" w:type="dxa"/>
              <w:right w:w="61" w:type="dxa"/>
            </w:tcMar>
          </w:tcPr>
          <w:p w14:paraId="2946C77C" w14:textId="77777777" w:rsidR="000D7A7C" w:rsidRPr="00BD2023" w:rsidRDefault="000D7A7C" w:rsidP="00F77D20">
            <w:pPr>
              <w:tabs>
                <w:tab w:val="left" w:pos="540"/>
                <w:tab w:val="left" w:pos="569"/>
              </w:tabs>
              <w:rPr>
                <w:bCs/>
                <w:sz w:val="22"/>
                <w:szCs w:val="22"/>
                <w:u w:val="single"/>
                <w:lang w:val="sr-Latn-ME"/>
              </w:rPr>
            </w:pPr>
            <w:r w:rsidRPr="00BD2023">
              <w:rPr>
                <w:bCs/>
                <w:sz w:val="22"/>
                <w:szCs w:val="22"/>
                <w:u w:val="single"/>
                <w:lang w:val="sr-Latn-ME"/>
              </w:rPr>
              <w:lastRenderedPageBreak/>
              <w:t>Preživljavanje i preživljavanje bez događaja</w:t>
            </w:r>
          </w:p>
        </w:tc>
        <w:tc>
          <w:tcPr>
            <w:tcW w:w="2140" w:type="dxa"/>
          </w:tcPr>
          <w:p w14:paraId="1B5FA030" w14:textId="77777777" w:rsidR="000D7A7C" w:rsidRPr="00BD2023" w:rsidRDefault="000D7A7C" w:rsidP="00F77D20">
            <w:pPr>
              <w:tabs>
                <w:tab w:val="left" w:pos="540"/>
                <w:tab w:val="left" w:pos="569"/>
              </w:tabs>
              <w:rPr>
                <w:bCs/>
                <w:sz w:val="22"/>
                <w:szCs w:val="22"/>
                <w:u w:val="single"/>
                <w:lang w:val="sr-Latn-ME"/>
              </w:rPr>
            </w:pPr>
          </w:p>
        </w:tc>
      </w:tr>
      <w:tr w:rsidR="000D7A7C" w:rsidRPr="00BD2023" w14:paraId="5DA6C98D" w14:textId="77777777" w:rsidTr="002325C8">
        <w:trPr>
          <w:trHeight w:val="445"/>
        </w:trPr>
        <w:tc>
          <w:tcPr>
            <w:tcW w:w="4600" w:type="dxa"/>
            <w:shd w:val="clear" w:color="auto" w:fill="auto"/>
            <w:tcMar>
              <w:top w:w="15" w:type="dxa"/>
              <w:left w:w="61" w:type="dxa"/>
              <w:bottom w:w="0" w:type="dxa"/>
              <w:right w:w="61" w:type="dxa"/>
            </w:tcMar>
          </w:tcPr>
          <w:p w14:paraId="5F3F369B" w14:textId="1AE67D0C" w:rsidR="000D7A7C" w:rsidRPr="00BD2023" w:rsidRDefault="000D7A7C" w:rsidP="00F77D20">
            <w:pPr>
              <w:tabs>
                <w:tab w:val="left" w:pos="540"/>
                <w:tab w:val="left" w:pos="569"/>
              </w:tabs>
              <w:rPr>
                <w:bCs/>
                <w:sz w:val="22"/>
                <w:szCs w:val="22"/>
                <w:vertAlign w:val="superscript"/>
                <w:lang w:val="sr-Latn-ME"/>
              </w:rPr>
            </w:pPr>
            <w:r w:rsidRPr="00BD2023">
              <w:rPr>
                <w:bCs/>
                <w:sz w:val="22"/>
                <w:szCs w:val="22"/>
                <w:lang w:val="sr-Latn-ME"/>
              </w:rPr>
              <w:t>Preživljavanje bez događaja</w:t>
            </w:r>
            <w:r w:rsidRPr="00BD2023">
              <w:rPr>
                <w:bCs/>
                <w:sz w:val="22"/>
                <w:szCs w:val="22"/>
                <w:vertAlign w:val="superscript"/>
                <w:lang w:val="sr-Latn-ME"/>
              </w:rPr>
              <w:t>d</w:t>
            </w:r>
            <w:r w:rsidRPr="00BD2023">
              <w:rPr>
                <w:bCs/>
                <w:sz w:val="22"/>
                <w:szCs w:val="22"/>
                <w:lang w:val="sr-Latn-ME"/>
              </w:rPr>
              <w:t xml:space="preserve"> </w:t>
            </w:r>
          </w:p>
        </w:tc>
        <w:tc>
          <w:tcPr>
            <w:tcW w:w="2391" w:type="dxa"/>
            <w:vAlign w:val="center"/>
          </w:tcPr>
          <w:p w14:paraId="171EBF7D" w14:textId="77777777" w:rsidR="000D7A7C" w:rsidRPr="00BD2023" w:rsidRDefault="000D7A7C" w:rsidP="002325C8">
            <w:pPr>
              <w:pStyle w:val="TableCell10Center"/>
              <w:rPr>
                <w:sz w:val="22"/>
                <w:szCs w:val="22"/>
                <w:lang w:val="sr-Latn-ME"/>
              </w:rPr>
            </w:pPr>
            <w:r w:rsidRPr="00BD2023">
              <w:rPr>
                <w:rFonts w:ascii="Times New Roman" w:hAnsi="Times New Roman"/>
                <w:sz w:val="22"/>
                <w:szCs w:val="22"/>
                <w:lang w:val="sr-Latn-ME"/>
              </w:rPr>
              <w:t xml:space="preserve">85,4% </w:t>
            </w:r>
          </w:p>
          <w:p w14:paraId="11A4D676" w14:textId="77777777" w:rsidR="000D7A7C" w:rsidRPr="00BD2023" w:rsidRDefault="000D7A7C" w:rsidP="002325C8">
            <w:pPr>
              <w:pStyle w:val="TableCell10Center"/>
              <w:rPr>
                <w:sz w:val="22"/>
                <w:szCs w:val="22"/>
                <w:lang w:val="sr-Latn-ME"/>
              </w:rPr>
            </w:pPr>
            <w:r w:rsidRPr="00BD2023">
              <w:rPr>
                <w:rFonts w:ascii="Times New Roman" w:hAnsi="Times New Roman"/>
                <w:sz w:val="22"/>
                <w:szCs w:val="22"/>
                <w:lang w:val="sr-Latn-ME"/>
              </w:rPr>
              <w:t>(73,4%, 92,2%)</w:t>
            </w:r>
          </w:p>
        </w:tc>
        <w:tc>
          <w:tcPr>
            <w:tcW w:w="2140" w:type="dxa"/>
          </w:tcPr>
          <w:p w14:paraId="7BC41B3F" w14:textId="77777777" w:rsidR="000D7A7C" w:rsidRPr="00BD2023" w:rsidRDefault="000D7A7C" w:rsidP="000D7A7C">
            <w:pPr>
              <w:pStyle w:val="TableCell10Center"/>
              <w:rPr>
                <w:rFonts w:ascii="Times New Roman" w:hAnsi="Times New Roman"/>
                <w:sz w:val="22"/>
                <w:szCs w:val="22"/>
                <w:lang w:val="sr-Latn-ME"/>
              </w:rPr>
            </w:pPr>
            <w:r w:rsidRPr="00BD2023">
              <w:rPr>
                <w:rFonts w:ascii="Times New Roman" w:hAnsi="Times New Roman"/>
                <w:sz w:val="22"/>
                <w:szCs w:val="22"/>
                <w:lang w:val="sr-Latn-ME"/>
              </w:rPr>
              <w:t>82.9%</w:t>
            </w:r>
          </w:p>
          <w:p w14:paraId="2D562A70" w14:textId="77777777" w:rsidR="000D7A7C" w:rsidRPr="00BD2023" w:rsidRDefault="000D7A7C" w:rsidP="002325C8">
            <w:pPr>
              <w:tabs>
                <w:tab w:val="left" w:pos="540"/>
                <w:tab w:val="left" w:pos="569"/>
              </w:tabs>
              <w:jc w:val="center"/>
              <w:rPr>
                <w:bCs/>
                <w:sz w:val="22"/>
                <w:szCs w:val="22"/>
                <w:lang w:val="sr-Latn-ME"/>
              </w:rPr>
            </w:pPr>
            <w:r w:rsidRPr="00BD2023">
              <w:rPr>
                <w:sz w:val="22"/>
                <w:szCs w:val="22"/>
                <w:lang w:val="sr-Latn-ME"/>
              </w:rPr>
              <w:t>(70.5%, 90.4%)</w:t>
            </w:r>
          </w:p>
        </w:tc>
      </w:tr>
      <w:tr w:rsidR="000D7A7C" w:rsidRPr="00BD2023" w14:paraId="23C1D1D4" w14:textId="77777777" w:rsidTr="002325C8">
        <w:trPr>
          <w:trHeight w:val="445"/>
        </w:trPr>
        <w:tc>
          <w:tcPr>
            <w:tcW w:w="4600" w:type="dxa"/>
            <w:shd w:val="clear" w:color="auto" w:fill="auto"/>
            <w:tcMar>
              <w:top w:w="15" w:type="dxa"/>
              <w:left w:w="61" w:type="dxa"/>
              <w:bottom w:w="0" w:type="dxa"/>
              <w:right w:w="61" w:type="dxa"/>
            </w:tcMar>
          </w:tcPr>
          <w:p w14:paraId="628F0F45" w14:textId="3912293E" w:rsidR="000D7A7C" w:rsidRPr="00BD2023" w:rsidRDefault="000D7A7C" w:rsidP="00F77D20">
            <w:pPr>
              <w:tabs>
                <w:tab w:val="left" w:pos="540"/>
                <w:tab w:val="left" w:pos="569"/>
              </w:tabs>
              <w:rPr>
                <w:bCs/>
                <w:sz w:val="22"/>
                <w:szCs w:val="22"/>
                <w:vertAlign w:val="superscript"/>
                <w:lang w:val="sr-Latn-ME"/>
              </w:rPr>
            </w:pPr>
            <w:r w:rsidRPr="00BD2023">
              <w:rPr>
                <w:bCs/>
                <w:sz w:val="22"/>
                <w:szCs w:val="22"/>
                <w:lang w:val="sr-Latn-ME"/>
              </w:rPr>
              <w:t xml:space="preserve">Živi </w:t>
            </w:r>
            <w:r w:rsidR="004F6B33" w:rsidRPr="00BD2023">
              <w:rPr>
                <w:bCs/>
                <w:sz w:val="22"/>
                <w:szCs w:val="22"/>
                <w:lang w:val="sr-Latn-ME"/>
              </w:rPr>
              <w:t>ispitanici</w:t>
            </w:r>
          </w:p>
        </w:tc>
        <w:tc>
          <w:tcPr>
            <w:tcW w:w="2391" w:type="dxa"/>
            <w:vAlign w:val="center"/>
          </w:tcPr>
          <w:p w14:paraId="2549BD3C" w14:textId="77777777" w:rsidR="000D7A7C" w:rsidRPr="00BD2023" w:rsidRDefault="000D7A7C" w:rsidP="002325C8">
            <w:pPr>
              <w:pStyle w:val="TableCell10Center"/>
              <w:rPr>
                <w:sz w:val="22"/>
                <w:szCs w:val="22"/>
                <w:lang w:val="sr-Latn-ME"/>
              </w:rPr>
            </w:pPr>
            <w:r w:rsidRPr="00BD2023">
              <w:rPr>
                <w:rFonts w:ascii="Times New Roman" w:hAnsi="Times New Roman"/>
                <w:sz w:val="22"/>
                <w:szCs w:val="22"/>
                <w:lang w:val="sr-Latn-ME"/>
              </w:rPr>
              <w:t xml:space="preserve">92,7% </w:t>
            </w:r>
          </w:p>
          <w:p w14:paraId="18ED613E" w14:textId="77777777" w:rsidR="000D7A7C" w:rsidRPr="00BD2023" w:rsidRDefault="000D7A7C" w:rsidP="002325C8">
            <w:pPr>
              <w:pStyle w:val="TableCell10Center"/>
              <w:rPr>
                <w:sz w:val="22"/>
                <w:szCs w:val="22"/>
                <w:lang w:val="sr-Latn-ME"/>
              </w:rPr>
            </w:pPr>
            <w:r w:rsidRPr="00BD2023">
              <w:rPr>
                <w:rFonts w:ascii="Times New Roman" w:hAnsi="Times New Roman"/>
                <w:sz w:val="22"/>
                <w:szCs w:val="22"/>
                <w:lang w:val="sr-Latn-ME"/>
              </w:rPr>
              <w:t>(82,2%, 97,1%)</w:t>
            </w:r>
          </w:p>
        </w:tc>
        <w:tc>
          <w:tcPr>
            <w:tcW w:w="2140" w:type="dxa"/>
          </w:tcPr>
          <w:p w14:paraId="65B85512" w14:textId="77777777" w:rsidR="000D7A7C" w:rsidRPr="00BD2023" w:rsidRDefault="000D7A7C" w:rsidP="000D7A7C">
            <w:pPr>
              <w:pStyle w:val="TableCell10Center"/>
              <w:rPr>
                <w:rFonts w:ascii="Times New Roman" w:hAnsi="Times New Roman"/>
                <w:sz w:val="22"/>
                <w:szCs w:val="22"/>
                <w:lang w:val="sr-Latn-ME"/>
              </w:rPr>
            </w:pPr>
            <w:r w:rsidRPr="00BD2023">
              <w:rPr>
                <w:rFonts w:ascii="Times New Roman" w:hAnsi="Times New Roman"/>
                <w:sz w:val="22"/>
                <w:szCs w:val="22"/>
                <w:lang w:val="sr-Latn-ME"/>
              </w:rPr>
              <w:t>92.7%</w:t>
            </w:r>
          </w:p>
          <w:p w14:paraId="6BA493AA" w14:textId="77777777" w:rsidR="000D7A7C" w:rsidRPr="00BD2023" w:rsidRDefault="000D7A7C" w:rsidP="002325C8">
            <w:pPr>
              <w:tabs>
                <w:tab w:val="left" w:pos="540"/>
                <w:tab w:val="left" w:pos="569"/>
              </w:tabs>
              <w:jc w:val="center"/>
              <w:rPr>
                <w:bCs/>
                <w:sz w:val="22"/>
                <w:szCs w:val="22"/>
                <w:lang w:val="sr-Latn-ME"/>
              </w:rPr>
            </w:pPr>
            <w:r w:rsidRPr="00BD2023">
              <w:rPr>
                <w:sz w:val="22"/>
                <w:szCs w:val="22"/>
                <w:lang w:val="sr-Latn-ME"/>
              </w:rPr>
              <w:t>(82.2%, 97.1%)</w:t>
            </w:r>
          </w:p>
        </w:tc>
      </w:tr>
      <w:tr w:rsidR="000D7A7C" w:rsidRPr="00BD2023" w14:paraId="4787F156" w14:textId="77777777" w:rsidTr="002325C8">
        <w:tc>
          <w:tcPr>
            <w:tcW w:w="6991" w:type="dxa"/>
            <w:gridSpan w:val="2"/>
            <w:shd w:val="clear" w:color="auto" w:fill="auto"/>
            <w:tcMar>
              <w:top w:w="15" w:type="dxa"/>
              <w:left w:w="61" w:type="dxa"/>
              <w:bottom w:w="0" w:type="dxa"/>
              <w:right w:w="61" w:type="dxa"/>
            </w:tcMar>
          </w:tcPr>
          <w:p w14:paraId="5D9B693C" w14:textId="77777777" w:rsidR="000D7A7C" w:rsidRPr="00BD2023" w:rsidRDefault="000D7A7C" w:rsidP="002325C8">
            <w:pPr>
              <w:pStyle w:val="TableCell10Center"/>
              <w:jc w:val="left"/>
              <w:rPr>
                <w:sz w:val="22"/>
                <w:szCs w:val="22"/>
                <w:lang w:val="sr-Latn-ME"/>
              </w:rPr>
            </w:pPr>
            <w:r w:rsidRPr="00BD2023">
              <w:rPr>
                <w:rFonts w:ascii="Times New Roman" w:hAnsi="Times New Roman"/>
                <w:sz w:val="22"/>
                <w:szCs w:val="22"/>
                <w:lang w:val="sr-Latn-ME"/>
              </w:rPr>
              <w:t>Ishrana</w:t>
            </w:r>
          </w:p>
        </w:tc>
        <w:tc>
          <w:tcPr>
            <w:tcW w:w="2140" w:type="dxa"/>
          </w:tcPr>
          <w:p w14:paraId="2E211DFB" w14:textId="77777777" w:rsidR="000D7A7C" w:rsidRPr="00BD2023" w:rsidRDefault="000D7A7C" w:rsidP="00F77D20">
            <w:pPr>
              <w:tabs>
                <w:tab w:val="left" w:pos="540"/>
                <w:tab w:val="left" w:pos="569"/>
              </w:tabs>
              <w:rPr>
                <w:bCs/>
                <w:sz w:val="22"/>
                <w:szCs w:val="22"/>
                <w:u w:val="single"/>
                <w:lang w:val="sr-Latn-ME"/>
              </w:rPr>
            </w:pPr>
          </w:p>
        </w:tc>
      </w:tr>
      <w:tr w:rsidR="000D7A7C" w:rsidRPr="00BD2023" w14:paraId="375ACA8F" w14:textId="77777777" w:rsidTr="002325C8">
        <w:trPr>
          <w:trHeight w:val="432"/>
        </w:trPr>
        <w:tc>
          <w:tcPr>
            <w:tcW w:w="4600" w:type="dxa"/>
            <w:shd w:val="clear" w:color="auto" w:fill="auto"/>
            <w:tcMar>
              <w:top w:w="15" w:type="dxa"/>
              <w:left w:w="61" w:type="dxa"/>
              <w:bottom w:w="0" w:type="dxa"/>
              <w:right w:w="61" w:type="dxa"/>
            </w:tcMar>
          </w:tcPr>
          <w:p w14:paraId="45425133" w14:textId="37D16FE2" w:rsidR="000D7A7C" w:rsidRPr="00BD2023" w:rsidRDefault="000D7A7C" w:rsidP="00F77D20">
            <w:pPr>
              <w:tabs>
                <w:tab w:val="left" w:pos="540"/>
                <w:tab w:val="left" w:pos="569"/>
              </w:tabs>
              <w:rPr>
                <w:bCs/>
                <w:sz w:val="22"/>
                <w:szCs w:val="22"/>
                <w:vertAlign w:val="superscript"/>
                <w:lang w:val="sr-Latn-ME"/>
              </w:rPr>
            </w:pPr>
            <w:r w:rsidRPr="00BD2023">
              <w:rPr>
                <w:bCs/>
                <w:sz w:val="22"/>
                <w:szCs w:val="22"/>
                <w:lang w:val="sr-Latn-ME"/>
              </w:rPr>
              <w:t xml:space="preserve">Sposobnosti </w:t>
            </w:r>
            <w:r w:rsidR="004F6B33" w:rsidRPr="00BD2023">
              <w:rPr>
                <w:bCs/>
                <w:sz w:val="22"/>
                <w:szCs w:val="22"/>
                <w:lang w:val="sr-Latn-ME"/>
              </w:rPr>
              <w:t>hranjenja na usta</w:t>
            </w:r>
            <w:r w:rsidRPr="00BD2023">
              <w:rPr>
                <w:bCs/>
                <w:sz w:val="22"/>
                <w:szCs w:val="22"/>
                <w:vertAlign w:val="superscript"/>
                <w:lang w:val="sr-Latn-ME"/>
              </w:rPr>
              <w:t>e</w:t>
            </w:r>
            <w:r w:rsidRPr="00BD2023">
              <w:rPr>
                <w:bCs/>
                <w:sz w:val="22"/>
                <w:szCs w:val="22"/>
                <w:lang w:val="sr-Latn-ME"/>
              </w:rPr>
              <w:t xml:space="preserve"> </w:t>
            </w:r>
          </w:p>
        </w:tc>
        <w:tc>
          <w:tcPr>
            <w:tcW w:w="2391" w:type="dxa"/>
            <w:vAlign w:val="center"/>
          </w:tcPr>
          <w:p w14:paraId="1C31ED04" w14:textId="77777777" w:rsidR="000D7A7C" w:rsidRPr="00BD2023" w:rsidRDefault="000D7A7C" w:rsidP="002325C8">
            <w:pPr>
              <w:pStyle w:val="TableCell10Center"/>
              <w:rPr>
                <w:sz w:val="22"/>
                <w:szCs w:val="22"/>
                <w:lang w:val="sr-Latn-ME"/>
              </w:rPr>
            </w:pPr>
            <w:r w:rsidRPr="00BD2023">
              <w:rPr>
                <w:rFonts w:ascii="Times New Roman" w:hAnsi="Times New Roman"/>
                <w:sz w:val="22"/>
                <w:szCs w:val="22"/>
                <w:lang w:val="sr-Latn-ME"/>
              </w:rPr>
              <w:t xml:space="preserve">82,9% </w:t>
            </w:r>
          </w:p>
          <w:p w14:paraId="425E83FA" w14:textId="77777777" w:rsidR="000D7A7C" w:rsidRPr="00BD2023" w:rsidRDefault="000D7A7C" w:rsidP="002325C8">
            <w:pPr>
              <w:pStyle w:val="TableCell10Center"/>
              <w:rPr>
                <w:sz w:val="22"/>
                <w:szCs w:val="22"/>
                <w:lang w:val="sr-Latn-ME"/>
              </w:rPr>
            </w:pPr>
            <w:r w:rsidRPr="00BD2023">
              <w:rPr>
                <w:rFonts w:ascii="Times New Roman" w:hAnsi="Times New Roman"/>
                <w:sz w:val="22"/>
                <w:szCs w:val="22"/>
                <w:lang w:val="sr-Latn-ME"/>
              </w:rPr>
              <w:t>(70,3%, 91,7%)</w:t>
            </w:r>
          </w:p>
        </w:tc>
        <w:tc>
          <w:tcPr>
            <w:tcW w:w="2140" w:type="dxa"/>
          </w:tcPr>
          <w:p w14:paraId="3EF9D946" w14:textId="77777777" w:rsidR="000D7A7C" w:rsidRPr="00BD2023" w:rsidRDefault="000D7A7C" w:rsidP="000D7A7C">
            <w:pPr>
              <w:pStyle w:val="TableCell10Center"/>
              <w:rPr>
                <w:rFonts w:ascii="Times New Roman" w:hAnsi="Times New Roman"/>
                <w:sz w:val="22"/>
                <w:szCs w:val="22"/>
                <w:lang w:val="sr-Latn-ME"/>
              </w:rPr>
            </w:pPr>
            <w:r w:rsidRPr="00BD2023">
              <w:rPr>
                <w:rFonts w:ascii="Times New Roman" w:hAnsi="Times New Roman"/>
                <w:sz w:val="22"/>
                <w:szCs w:val="22"/>
                <w:lang w:val="sr-Latn-ME"/>
              </w:rPr>
              <w:t>85.4%</w:t>
            </w:r>
          </w:p>
          <w:p w14:paraId="121128E6" w14:textId="77777777" w:rsidR="000D7A7C" w:rsidRPr="00BD2023" w:rsidRDefault="000D7A7C" w:rsidP="002325C8">
            <w:pPr>
              <w:tabs>
                <w:tab w:val="left" w:pos="540"/>
                <w:tab w:val="left" w:pos="569"/>
              </w:tabs>
              <w:jc w:val="center"/>
              <w:rPr>
                <w:bCs/>
                <w:sz w:val="22"/>
                <w:szCs w:val="22"/>
                <w:lang w:val="sr-Latn-ME"/>
              </w:rPr>
            </w:pPr>
            <w:r w:rsidRPr="00BD2023">
              <w:rPr>
                <w:sz w:val="22"/>
                <w:szCs w:val="22"/>
                <w:lang w:val="sr-Latn-ME"/>
              </w:rPr>
              <w:t>(73.2%, 93.4%)</w:t>
            </w:r>
          </w:p>
        </w:tc>
      </w:tr>
    </w:tbl>
    <w:p w14:paraId="3119A2F9" w14:textId="55E0F780" w:rsidR="00F77D20" w:rsidRPr="00BD2023" w:rsidRDefault="00F77D20" w:rsidP="00BC480A">
      <w:pPr>
        <w:pStyle w:val="TabFigNote"/>
        <w:keepNext w:val="0"/>
        <w:jc w:val="both"/>
        <w:rPr>
          <w:rFonts w:ascii="Times New Roman" w:hAnsi="Times New Roman"/>
          <w:sz w:val="18"/>
          <w:szCs w:val="18"/>
          <w:lang w:val="sr-Latn-ME"/>
        </w:rPr>
      </w:pPr>
      <w:r w:rsidRPr="00BD2023">
        <w:rPr>
          <w:rFonts w:ascii="Times New Roman" w:hAnsi="Times New Roman"/>
          <w:sz w:val="18"/>
          <w:szCs w:val="18"/>
          <w:lang w:val="sr-Latn-ME"/>
        </w:rPr>
        <w:t>Skraćenice: CHOP</w:t>
      </w:r>
      <w:r w:rsidRPr="00BD2023">
        <w:rPr>
          <w:rFonts w:ascii="Times New Roman" w:hAnsi="Times New Roman"/>
          <w:sz w:val="18"/>
          <w:szCs w:val="18"/>
          <w:lang w:val="sr-Latn-ME"/>
        </w:rPr>
        <w:noBreakHyphen/>
        <w:t>INTEND</w:t>
      </w:r>
      <w:r w:rsidRPr="00BD2023">
        <w:rPr>
          <w:rFonts w:ascii="Times New Roman" w:hAnsi="Times New Roman"/>
          <w:sz w:val="18"/>
          <w:szCs w:val="18"/>
          <w:lang w:val="sr-Latn-ME"/>
        </w:rPr>
        <w:sym w:font="Symbol" w:char="F03D"/>
      </w:r>
      <w:r w:rsidRPr="00BD2023">
        <w:rPr>
          <w:rFonts w:ascii="Times New Roman" w:hAnsi="Times New Roman"/>
          <w:sz w:val="18"/>
          <w:szCs w:val="18"/>
          <w:lang w:val="sr-Latn-ME"/>
        </w:rPr>
        <w:t xml:space="preserve">Test za neuromišićne poremećaje kod odojčadi </w:t>
      </w:r>
      <w:r w:rsidR="00BA22A4" w:rsidRPr="00BD2023">
        <w:rPr>
          <w:rFonts w:ascii="Times New Roman" w:hAnsi="Times New Roman"/>
          <w:sz w:val="18"/>
          <w:szCs w:val="18"/>
          <w:lang w:val="sr-Latn-ME"/>
        </w:rPr>
        <w:t>Dječij</w:t>
      </w:r>
      <w:r w:rsidRPr="00BD2023">
        <w:rPr>
          <w:rFonts w:ascii="Times New Roman" w:hAnsi="Times New Roman"/>
          <w:sz w:val="18"/>
          <w:szCs w:val="18"/>
          <w:lang w:val="sr-Latn-ME"/>
        </w:rPr>
        <w:t>e bolnice u Filadelfiji; HINE-2</w:t>
      </w:r>
      <w:r w:rsidRPr="00BD2023">
        <w:rPr>
          <w:rFonts w:ascii="Times New Roman" w:hAnsi="Times New Roman"/>
          <w:sz w:val="18"/>
          <w:szCs w:val="18"/>
          <w:lang w:val="sr-Latn-ME"/>
        </w:rPr>
        <w:sym w:font="Symbol" w:char="F03D"/>
      </w:r>
      <w:r w:rsidRPr="00BD2023">
        <w:rPr>
          <w:rFonts w:ascii="Times New Roman" w:hAnsi="Times New Roman"/>
          <w:sz w:val="18"/>
          <w:szCs w:val="18"/>
          <w:lang w:val="sr-Latn-ME"/>
        </w:rPr>
        <w:t xml:space="preserve">Hamersmit modul 2 </w:t>
      </w:r>
      <w:r w:rsidR="004F6B33" w:rsidRPr="00BD2023">
        <w:rPr>
          <w:rFonts w:ascii="Times New Roman" w:hAnsi="Times New Roman"/>
          <w:sz w:val="18"/>
          <w:szCs w:val="18"/>
          <w:lang w:val="sr-Latn-ME"/>
        </w:rPr>
        <w:t xml:space="preserve">Hammersmithskog neurološkog testa za </w:t>
      </w:r>
      <w:r w:rsidRPr="00BD2023">
        <w:rPr>
          <w:rFonts w:ascii="Times New Roman" w:hAnsi="Times New Roman"/>
          <w:sz w:val="18"/>
          <w:szCs w:val="18"/>
          <w:lang w:val="sr-Latn-ME"/>
        </w:rPr>
        <w:t>odojčad.</w:t>
      </w:r>
    </w:p>
    <w:p w14:paraId="3F8DE7D3" w14:textId="06B26663" w:rsidR="00F77D20" w:rsidRPr="00BD2023" w:rsidRDefault="00F77D20" w:rsidP="00BC480A">
      <w:pPr>
        <w:pStyle w:val="TabFigFooter"/>
        <w:keepNext w:val="0"/>
        <w:jc w:val="both"/>
        <w:rPr>
          <w:rFonts w:ascii="Times New Roman" w:hAnsi="Times New Roman"/>
          <w:sz w:val="18"/>
          <w:szCs w:val="18"/>
          <w:lang w:val="sr-Latn-ME"/>
        </w:rPr>
      </w:pPr>
      <w:r w:rsidRPr="00BD2023">
        <w:rPr>
          <w:rFonts w:ascii="Times New Roman" w:hAnsi="Times New Roman"/>
          <w:sz w:val="18"/>
          <w:szCs w:val="18"/>
          <w:vertAlign w:val="superscript"/>
          <w:lang w:val="sr-Latn-ME"/>
        </w:rPr>
        <w:t>a</w:t>
      </w:r>
      <w:r w:rsidRPr="00BD2023">
        <w:rPr>
          <w:rFonts w:ascii="Times New Roman" w:hAnsi="Times New Roman"/>
          <w:sz w:val="18"/>
          <w:szCs w:val="18"/>
          <w:lang w:val="sr-Latn-ME"/>
        </w:rPr>
        <w:tab/>
        <w:t>p-</w:t>
      </w:r>
      <w:r w:rsidR="00F73418" w:rsidRPr="00BD2023">
        <w:rPr>
          <w:rFonts w:ascii="Times New Roman" w:hAnsi="Times New Roman"/>
          <w:sz w:val="18"/>
          <w:szCs w:val="18"/>
          <w:lang w:val="sr-Latn-ME"/>
        </w:rPr>
        <w:t>vrijednost</w:t>
      </w:r>
      <w:r w:rsidRPr="00BD2023">
        <w:rPr>
          <w:rFonts w:ascii="Times New Roman" w:hAnsi="Times New Roman"/>
          <w:sz w:val="18"/>
          <w:szCs w:val="18"/>
          <w:lang w:val="sr-Latn-ME"/>
        </w:rPr>
        <w:t xml:space="preserve"> zasnovana je na jednostranom egzaktnom binomnom testu. Rezultat</w:t>
      </w:r>
      <w:r w:rsidR="00B8566D" w:rsidRPr="00BD2023">
        <w:rPr>
          <w:rFonts w:ascii="Times New Roman" w:hAnsi="Times New Roman"/>
          <w:sz w:val="18"/>
          <w:szCs w:val="18"/>
          <w:lang w:val="sr-Latn-ME"/>
        </w:rPr>
        <w:t>i</w:t>
      </w:r>
      <w:r w:rsidRPr="00BD2023">
        <w:rPr>
          <w:rFonts w:ascii="Times New Roman" w:hAnsi="Times New Roman"/>
          <w:sz w:val="18"/>
          <w:szCs w:val="18"/>
          <w:lang w:val="sr-Latn-ME"/>
        </w:rPr>
        <w:t xml:space="preserve"> se pored</w:t>
      </w:r>
      <w:r w:rsidR="00B8566D" w:rsidRPr="00BD2023">
        <w:rPr>
          <w:rFonts w:ascii="Times New Roman" w:hAnsi="Times New Roman"/>
          <w:sz w:val="18"/>
          <w:szCs w:val="18"/>
          <w:lang w:val="sr-Latn-ME"/>
        </w:rPr>
        <w:t>e</w:t>
      </w:r>
      <w:r w:rsidRPr="00BD2023">
        <w:rPr>
          <w:rFonts w:ascii="Times New Roman" w:hAnsi="Times New Roman"/>
          <w:sz w:val="18"/>
          <w:szCs w:val="18"/>
          <w:lang w:val="sr-Latn-ME"/>
        </w:rPr>
        <w:t xml:space="preserve"> sa prago</w:t>
      </w:r>
      <w:r w:rsidR="00B8566D" w:rsidRPr="00BD2023">
        <w:rPr>
          <w:rFonts w:ascii="Times New Roman" w:hAnsi="Times New Roman"/>
          <w:sz w:val="18"/>
          <w:szCs w:val="18"/>
          <w:lang w:val="sr-Latn-ME"/>
        </w:rPr>
        <w:t>m</w:t>
      </w:r>
      <w:r w:rsidRPr="00BD2023">
        <w:rPr>
          <w:rFonts w:ascii="Times New Roman" w:hAnsi="Times New Roman"/>
          <w:sz w:val="18"/>
          <w:szCs w:val="18"/>
          <w:lang w:val="sr-Latn-ME"/>
        </w:rPr>
        <w:t xml:space="preserve"> od 5%.</w:t>
      </w:r>
    </w:p>
    <w:p w14:paraId="42035A6D" w14:textId="232947FF" w:rsidR="00F77D20" w:rsidRPr="00BD2023" w:rsidRDefault="00F77D20" w:rsidP="00BC480A">
      <w:pPr>
        <w:pStyle w:val="TabFigFooter"/>
        <w:jc w:val="both"/>
        <w:rPr>
          <w:rFonts w:ascii="Times New Roman" w:hAnsi="Times New Roman"/>
          <w:sz w:val="18"/>
          <w:szCs w:val="18"/>
          <w:lang w:val="sr-Latn-ME"/>
        </w:rPr>
      </w:pPr>
      <w:r w:rsidRPr="00BD2023">
        <w:rPr>
          <w:rFonts w:ascii="Times New Roman" w:hAnsi="Times New Roman"/>
          <w:sz w:val="18"/>
          <w:szCs w:val="18"/>
          <w:vertAlign w:val="superscript"/>
          <w:lang w:val="sr-Latn-ME"/>
        </w:rPr>
        <w:t>b</w:t>
      </w:r>
      <w:r w:rsidRPr="00BD2023">
        <w:rPr>
          <w:rFonts w:ascii="Times New Roman" w:hAnsi="Times New Roman"/>
          <w:sz w:val="18"/>
          <w:szCs w:val="18"/>
          <w:lang w:val="sr-Latn-ME"/>
        </w:rPr>
        <w:tab/>
        <w:t xml:space="preserve">Prema </w:t>
      </w:r>
      <w:r w:rsidR="00B8566D" w:rsidRPr="00BD2023">
        <w:rPr>
          <w:rFonts w:ascii="Times New Roman" w:hAnsi="Times New Roman"/>
          <w:sz w:val="18"/>
          <w:szCs w:val="18"/>
          <w:lang w:val="sr-Latn-ME"/>
        </w:rPr>
        <w:t xml:space="preserve">testu </w:t>
      </w:r>
      <w:r w:rsidRPr="00BD2023">
        <w:rPr>
          <w:rFonts w:ascii="Times New Roman" w:hAnsi="Times New Roman"/>
          <w:sz w:val="18"/>
          <w:szCs w:val="18"/>
          <w:lang w:val="sr-Latn-ME"/>
        </w:rPr>
        <w:t xml:space="preserve">HINE-2: povećanje ≥2 </w:t>
      </w:r>
      <w:r w:rsidR="00B8566D" w:rsidRPr="00BD2023">
        <w:rPr>
          <w:rFonts w:ascii="Times New Roman" w:hAnsi="Times New Roman"/>
          <w:sz w:val="18"/>
          <w:szCs w:val="18"/>
          <w:lang w:val="sr-Latn-ME"/>
        </w:rPr>
        <w:t>boda</w:t>
      </w:r>
      <w:r w:rsidRPr="00BD2023">
        <w:rPr>
          <w:rFonts w:ascii="Times New Roman" w:hAnsi="Times New Roman"/>
          <w:sz w:val="18"/>
          <w:szCs w:val="18"/>
          <w:lang w:val="sr-Latn-ME"/>
        </w:rPr>
        <w:t xml:space="preserve"> [ili maksimalan </w:t>
      </w:r>
      <w:r w:rsidR="00B8566D" w:rsidRPr="00BD2023">
        <w:rPr>
          <w:rFonts w:ascii="Times New Roman" w:hAnsi="Times New Roman"/>
          <w:sz w:val="18"/>
          <w:szCs w:val="18"/>
          <w:lang w:val="sr-Latn-ME"/>
        </w:rPr>
        <w:t>rezultat</w:t>
      </w:r>
      <w:r w:rsidRPr="00BD2023">
        <w:rPr>
          <w:rFonts w:ascii="Times New Roman" w:hAnsi="Times New Roman"/>
          <w:sz w:val="18"/>
          <w:szCs w:val="18"/>
          <w:lang w:val="sr-Latn-ME"/>
        </w:rPr>
        <w:t xml:space="preserve">] </w:t>
      </w:r>
      <w:r w:rsidR="00B8566D" w:rsidRPr="00BD2023">
        <w:rPr>
          <w:rFonts w:ascii="Times New Roman" w:hAnsi="Times New Roman"/>
          <w:sz w:val="18"/>
          <w:szCs w:val="18"/>
          <w:lang w:val="sr-Latn-ME"/>
        </w:rPr>
        <w:t>za</w:t>
      </w:r>
      <w:r w:rsidRPr="00BD2023">
        <w:rPr>
          <w:rFonts w:ascii="Times New Roman" w:hAnsi="Times New Roman"/>
          <w:sz w:val="18"/>
          <w:szCs w:val="18"/>
          <w:lang w:val="sr-Latn-ME"/>
        </w:rPr>
        <w:t xml:space="preserve"> sposobnost </w:t>
      </w:r>
      <w:r w:rsidR="00B8566D" w:rsidRPr="00BD2023">
        <w:rPr>
          <w:rFonts w:ascii="Times New Roman" w:hAnsi="Times New Roman"/>
          <w:sz w:val="18"/>
          <w:szCs w:val="18"/>
          <w:lang w:val="sr-Latn-ME"/>
        </w:rPr>
        <w:t>udaranja nogama</w:t>
      </w:r>
      <w:r w:rsidRPr="00BD2023">
        <w:rPr>
          <w:rFonts w:ascii="Times New Roman" w:hAnsi="Times New Roman"/>
          <w:sz w:val="18"/>
          <w:szCs w:val="18"/>
          <w:lang w:val="sr-Latn-ME"/>
        </w:rPr>
        <w:t xml:space="preserve">, ILI povećanje </w:t>
      </w:r>
      <w:r w:rsidR="003B1B9B" w:rsidRPr="00BD2023">
        <w:rPr>
          <w:rFonts w:ascii="Times New Roman" w:hAnsi="Times New Roman"/>
          <w:sz w:val="18"/>
          <w:szCs w:val="18"/>
          <w:lang w:val="sr-Latn-ME"/>
        </w:rPr>
        <w:t xml:space="preserve">rezultata </w:t>
      </w:r>
      <w:r w:rsidR="00B8566D" w:rsidRPr="00BD2023">
        <w:rPr>
          <w:rFonts w:ascii="Times New Roman" w:hAnsi="Times New Roman"/>
          <w:sz w:val="18"/>
          <w:szCs w:val="18"/>
          <w:lang w:val="sr-Latn-ME"/>
        </w:rPr>
        <w:t xml:space="preserve">za </w:t>
      </w:r>
      <w:r w:rsidRPr="00BD2023">
        <w:rPr>
          <w:rFonts w:ascii="Times New Roman" w:hAnsi="Times New Roman"/>
          <w:sz w:val="18"/>
          <w:szCs w:val="18"/>
          <w:lang w:val="sr-Latn-ME"/>
        </w:rPr>
        <w:t xml:space="preserve">≥1 </w:t>
      </w:r>
      <w:r w:rsidR="00B8566D" w:rsidRPr="00BD2023">
        <w:rPr>
          <w:rFonts w:ascii="Times New Roman" w:hAnsi="Times New Roman"/>
          <w:sz w:val="18"/>
          <w:szCs w:val="18"/>
          <w:lang w:val="sr-Latn-ME"/>
        </w:rPr>
        <w:t>bod</w:t>
      </w:r>
      <w:r w:rsidRPr="00BD2023">
        <w:rPr>
          <w:rFonts w:ascii="Times New Roman" w:hAnsi="Times New Roman"/>
          <w:sz w:val="18"/>
          <w:szCs w:val="18"/>
          <w:lang w:val="sr-Latn-ME"/>
        </w:rPr>
        <w:t xml:space="preserve"> u motor</w:t>
      </w:r>
      <w:r w:rsidR="003B1B9B" w:rsidRPr="00BD2023">
        <w:rPr>
          <w:rFonts w:ascii="Times New Roman" w:hAnsi="Times New Roman"/>
          <w:sz w:val="18"/>
          <w:szCs w:val="18"/>
          <w:lang w:val="sr-Latn-ME"/>
        </w:rPr>
        <w:t>ičkim</w:t>
      </w:r>
      <w:r w:rsidRPr="00BD2023">
        <w:rPr>
          <w:rFonts w:ascii="Times New Roman" w:hAnsi="Times New Roman"/>
          <w:sz w:val="18"/>
          <w:szCs w:val="18"/>
          <w:lang w:val="sr-Latn-ME"/>
        </w:rPr>
        <w:t xml:space="preserve"> značajnim događajima poput kontrole glave, prevrtanja, </w:t>
      </w:r>
      <w:r w:rsidR="00E032BD" w:rsidRPr="00BD2023">
        <w:rPr>
          <w:rFonts w:ascii="Times New Roman" w:hAnsi="Times New Roman"/>
          <w:sz w:val="18"/>
          <w:szCs w:val="18"/>
          <w:lang w:val="sr-Latn-ME"/>
        </w:rPr>
        <w:t>sjedenj</w:t>
      </w:r>
      <w:r w:rsidRPr="00BD2023">
        <w:rPr>
          <w:rFonts w:ascii="Times New Roman" w:hAnsi="Times New Roman"/>
          <w:sz w:val="18"/>
          <w:szCs w:val="18"/>
          <w:lang w:val="sr-Latn-ME"/>
        </w:rPr>
        <w:t xml:space="preserve">a, puzanja, stajanja ili hodanja, i poboljšanje u većem broju kategorija značajnih motornih događaja nego </w:t>
      </w:r>
      <w:r w:rsidR="00B8566D" w:rsidRPr="00BD2023">
        <w:rPr>
          <w:rFonts w:ascii="Times New Roman" w:hAnsi="Times New Roman"/>
          <w:sz w:val="18"/>
          <w:szCs w:val="18"/>
          <w:lang w:val="sr-Latn-ME"/>
        </w:rPr>
        <w:t xml:space="preserve">onih u kojima je došlo do </w:t>
      </w:r>
      <w:r w:rsidRPr="00BD2023">
        <w:rPr>
          <w:rFonts w:ascii="Times New Roman" w:hAnsi="Times New Roman"/>
          <w:sz w:val="18"/>
          <w:szCs w:val="18"/>
          <w:lang w:val="sr-Latn-ME"/>
        </w:rPr>
        <w:t>pogoršanja definiše se kao respondent u ovoj analizi.</w:t>
      </w:r>
    </w:p>
    <w:p w14:paraId="15B0DA19" w14:textId="01BBBE68" w:rsidR="00F77D20" w:rsidRPr="00BD2023" w:rsidRDefault="00F77D20" w:rsidP="00BC480A">
      <w:pPr>
        <w:pStyle w:val="TabFigFooter"/>
        <w:jc w:val="both"/>
        <w:rPr>
          <w:rFonts w:ascii="Times New Roman" w:hAnsi="Times New Roman"/>
          <w:sz w:val="18"/>
          <w:szCs w:val="18"/>
          <w:lang w:val="sr-Latn-ME"/>
        </w:rPr>
      </w:pPr>
      <w:r w:rsidRPr="00BD2023">
        <w:rPr>
          <w:rFonts w:ascii="Times New Roman" w:hAnsi="Times New Roman"/>
          <w:sz w:val="18"/>
          <w:szCs w:val="18"/>
          <w:vertAlign w:val="superscript"/>
          <w:lang w:val="sr-Latn-ME"/>
        </w:rPr>
        <w:t>c</w:t>
      </w:r>
      <w:r w:rsidRPr="00BD2023">
        <w:rPr>
          <w:rFonts w:ascii="Times New Roman" w:hAnsi="Times New Roman"/>
          <w:sz w:val="18"/>
          <w:szCs w:val="18"/>
          <w:lang w:val="sr-Latn-ME"/>
        </w:rPr>
        <w:tab/>
      </w:r>
      <w:r w:rsidR="00E032BD" w:rsidRPr="00BD2023">
        <w:rPr>
          <w:rFonts w:ascii="Times New Roman" w:hAnsi="Times New Roman"/>
          <w:sz w:val="18"/>
          <w:szCs w:val="18"/>
          <w:lang w:val="sr-Latn-ME"/>
        </w:rPr>
        <w:t>Sjedenje</w:t>
      </w:r>
      <w:r w:rsidRPr="00BD2023">
        <w:rPr>
          <w:rFonts w:ascii="Times New Roman" w:hAnsi="Times New Roman"/>
          <w:sz w:val="18"/>
          <w:szCs w:val="18"/>
          <w:lang w:val="sr-Latn-ME"/>
        </w:rPr>
        <w:t xml:space="preserve"> bez podrške obuhvata pacijente koji su postigli status „stabilno</w:t>
      </w:r>
      <w:r w:rsidR="00B8566D" w:rsidRPr="00BD2023">
        <w:rPr>
          <w:rFonts w:ascii="Times New Roman" w:hAnsi="Times New Roman"/>
          <w:sz w:val="18"/>
          <w:szCs w:val="18"/>
          <w:lang w:val="sr-Latn-ME"/>
        </w:rPr>
        <w:t>g</w:t>
      </w:r>
      <w:r w:rsidRPr="00BD2023">
        <w:rPr>
          <w:rFonts w:ascii="Times New Roman" w:hAnsi="Times New Roman"/>
          <w:sz w:val="18"/>
          <w:szCs w:val="18"/>
          <w:lang w:val="sr-Latn-ME"/>
        </w:rPr>
        <w:t xml:space="preserve"> </w:t>
      </w:r>
      <w:r w:rsidR="00E032BD" w:rsidRPr="00BD2023">
        <w:rPr>
          <w:rFonts w:ascii="Times New Roman" w:hAnsi="Times New Roman"/>
          <w:sz w:val="18"/>
          <w:szCs w:val="18"/>
          <w:lang w:val="sr-Latn-ME"/>
        </w:rPr>
        <w:t>sjed</w:t>
      </w:r>
      <w:r w:rsidR="00B8566D" w:rsidRPr="00BD2023">
        <w:rPr>
          <w:rFonts w:ascii="Times New Roman" w:hAnsi="Times New Roman"/>
          <w:sz w:val="18"/>
          <w:szCs w:val="18"/>
          <w:lang w:val="sr-Latn-ME"/>
        </w:rPr>
        <w:t>enja</w:t>
      </w:r>
      <w:r w:rsidRPr="00BD2023">
        <w:rPr>
          <w:rFonts w:ascii="Times New Roman" w:hAnsi="Times New Roman"/>
          <w:sz w:val="18"/>
          <w:szCs w:val="18"/>
          <w:lang w:val="sr-Latn-ME"/>
        </w:rPr>
        <w:t>” (</w:t>
      </w:r>
      <w:r w:rsidR="000D7A7C" w:rsidRPr="00BD2023">
        <w:rPr>
          <w:rFonts w:ascii="Times New Roman" w:hAnsi="Times New Roman"/>
          <w:sz w:val="18"/>
          <w:szCs w:val="18"/>
          <w:lang w:val="sr-Latn-ME"/>
        </w:rPr>
        <w:t>24</w:t>
      </w:r>
      <w:r w:rsidRPr="00BD2023">
        <w:rPr>
          <w:rFonts w:ascii="Times New Roman" w:hAnsi="Times New Roman"/>
          <w:sz w:val="18"/>
          <w:szCs w:val="18"/>
          <w:lang w:val="sr-Latn-ME"/>
        </w:rPr>
        <w:t xml:space="preserve">%, </w:t>
      </w:r>
      <w:r w:rsidR="000D7A7C" w:rsidRPr="00BD2023">
        <w:rPr>
          <w:rFonts w:ascii="Times New Roman" w:hAnsi="Times New Roman"/>
          <w:sz w:val="18"/>
          <w:szCs w:val="18"/>
          <w:lang w:val="sr-Latn-ME"/>
        </w:rPr>
        <w:t>10</w:t>
      </w:r>
      <w:r w:rsidRPr="00BD2023">
        <w:rPr>
          <w:rFonts w:ascii="Times New Roman" w:hAnsi="Times New Roman"/>
          <w:sz w:val="18"/>
          <w:szCs w:val="18"/>
          <w:lang w:val="sr-Latn-ME"/>
        </w:rPr>
        <w:t>/41) i „okre</w:t>
      </w:r>
      <w:r w:rsidR="00B8566D" w:rsidRPr="00BD2023">
        <w:rPr>
          <w:rFonts w:ascii="Times New Roman" w:hAnsi="Times New Roman"/>
          <w:sz w:val="18"/>
          <w:szCs w:val="18"/>
          <w:lang w:val="sr-Latn-ME"/>
        </w:rPr>
        <w:t>tanja</w:t>
      </w:r>
      <w:r w:rsidRPr="00BD2023">
        <w:rPr>
          <w:rFonts w:ascii="Times New Roman" w:hAnsi="Times New Roman"/>
          <w:sz w:val="18"/>
          <w:szCs w:val="18"/>
          <w:lang w:val="sr-Latn-ME"/>
        </w:rPr>
        <w:t xml:space="preserve"> </w:t>
      </w:r>
      <w:r w:rsidR="00B8566D" w:rsidRPr="00BD2023">
        <w:rPr>
          <w:rFonts w:ascii="Times New Roman" w:hAnsi="Times New Roman"/>
          <w:sz w:val="18"/>
          <w:szCs w:val="18"/>
          <w:lang w:val="sr-Latn-ME"/>
        </w:rPr>
        <w:t>oko svoje ose</w:t>
      </w:r>
      <w:r w:rsidRPr="00BD2023">
        <w:rPr>
          <w:rFonts w:ascii="Times New Roman" w:hAnsi="Times New Roman"/>
          <w:sz w:val="18"/>
          <w:szCs w:val="18"/>
          <w:lang w:val="sr-Latn-ME"/>
        </w:rPr>
        <w:t>” (</w:t>
      </w:r>
      <w:r w:rsidR="000D7A7C" w:rsidRPr="00BD2023">
        <w:rPr>
          <w:rFonts w:ascii="Times New Roman" w:hAnsi="Times New Roman"/>
          <w:sz w:val="18"/>
          <w:szCs w:val="18"/>
          <w:lang w:val="sr-Latn-ME"/>
        </w:rPr>
        <w:t>29</w:t>
      </w:r>
      <w:r w:rsidRPr="00BD2023">
        <w:rPr>
          <w:rFonts w:ascii="Times New Roman" w:hAnsi="Times New Roman"/>
          <w:sz w:val="18"/>
          <w:szCs w:val="18"/>
          <w:lang w:val="sr-Latn-ME"/>
        </w:rPr>
        <w:t xml:space="preserve">%, </w:t>
      </w:r>
      <w:r w:rsidR="000D7A7C" w:rsidRPr="00BD2023">
        <w:rPr>
          <w:rFonts w:ascii="Times New Roman" w:hAnsi="Times New Roman"/>
          <w:sz w:val="18"/>
          <w:szCs w:val="18"/>
          <w:lang w:val="sr-Latn-ME"/>
        </w:rPr>
        <w:t>12</w:t>
      </w:r>
      <w:r w:rsidRPr="00BD2023">
        <w:rPr>
          <w:rFonts w:ascii="Times New Roman" w:hAnsi="Times New Roman"/>
          <w:sz w:val="18"/>
          <w:szCs w:val="18"/>
          <w:lang w:val="sr-Latn-ME"/>
        </w:rPr>
        <w:t xml:space="preserve">/41) prema </w:t>
      </w:r>
      <w:r w:rsidR="00BA22A4" w:rsidRPr="00BD2023">
        <w:rPr>
          <w:rFonts w:ascii="Times New Roman" w:hAnsi="Times New Roman"/>
          <w:sz w:val="18"/>
          <w:szCs w:val="18"/>
          <w:lang w:val="sr-Latn-ME"/>
        </w:rPr>
        <w:t>procjen</w:t>
      </w:r>
      <w:r w:rsidRPr="00BD2023">
        <w:rPr>
          <w:rFonts w:ascii="Times New Roman" w:hAnsi="Times New Roman"/>
          <w:sz w:val="18"/>
          <w:szCs w:val="18"/>
          <w:lang w:val="sr-Latn-ME"/>
        </w:rPr>
        <w:t>i HINE-2</w:t>
      </w:r>
      <w:r w:rsidR="000D7A7C" w:rsidRPr="00BD2023">
        <w:rPr>
          <w:rFonts w:ascii="Times New Roman" w:hAnsi="Times New Roman"/>
          <w:sz w:val="18"/>
          <w:szCs w:val="18"/>
          <w:lang w:val="sr-Latn-ME"/>
        </w:rPr>
        <w:t xml:space="preserve"> u 24. mjesecu</w:t>
      </w:r>
      <w:r w:rsidRPr="00BD2023">
        <w:rPr>
          <w:rFonts w:ascii="Times New Roman" w:hAnsi="Times New Roman"/>
          <w:sz w:val="18"/>
          <w:szCs w:val="18"/>
          <w:lang w:val="sr-Latn-ME"/>
        </w:rPr>
        <w:t xml:space="preserve">. </w:t>
      </w:r>
    </w:p>
    <w:p w14:paraId="1FC0B487" w14:textId="65C1C734" w:rsidR="00F77D20" w:rsidRPr="00BD2023" w:rsidRDefault="000D7A7C" w:rsidP="00BC480A">
      <w:pPr>
        <w:pStyle w:val="TabFigFooter"/>
        <w:keepNext w:val="0"/>
        <w:jc w:val="both"/>
        <w:rPr>
          <w:rFonts w:ascii="Times New Roman" w:hAnsi="Times New Roman"/>
          <w:sz w:val="18"/>
          <w:szCs w:val="18"/>
          <w:lang w:val="sr-Latn-ME"/>
        </w:rPr>
      </w:pPr>
      <w:r w:rsidRPr="00BD2023">
        <w:rPr>
          <w:rFonts w:ascii="Times New Roman" w:hAnsi="Times New Roman"/>
          <w:sz w:val="18"/>
          <w:szCs w:val="18"/>
          <w:vertAlign w:val="superscript"/>
          <w:lang w:val="sr-Latn-ME"/>
        </w:rPr>
        <w:t>d</w:t>
      </w:r>
      <w:r w:rsidR="00F77D20" w:rsidRPr="00BD2023">
        <w:rPr>
          <w:rFonts w:ascii="Times New Roman" w:hAnsi="Times New Roman"/>
          <w:sz w:val="18"/>
          <w:szCs w:val="18"/>
          <w:lang w:val="sr-Latn-ME"/>
        </w:rPr>
        <w:t xml:space="preserve"> </w:t>
      </w:r>
      <w:r w:rsidR="00F77D20" w:rsidRPr="00BD2023">
        <w:rPr>
          <w:rFonts w:ascii="Times New Roman" w:hAnsi="Times New Roman"/>
          <w:sz w:val="18"/>
          <w:szCs w:val="18"/>
          <w:lang w:val="sr-Latn-ME"/>
        </w:rPr>
        <w:tab/>
        <w:t xml:space="preserve">Događaj </w:t>
      </w:r>
      <w:r w:rsidR="00B8566D" w:rsidRPr="00BD2023">
        <w:rPr>
          <w:rFonts w:ascii="Times New Roman" w:hAnsi="Times New Roman"/>
          <w:sz w:val="18"/>
          <w:szCs w:val="18"/>
          <w:lang w:val="sr-Latn-ME"/>
        </w:rPr>
        <w:t>se odnosi na postizanje mjere ishoda</w:t>
      </w:r>
      <w:r w:rsidR="00F77D20" w:rsidRPr="00BD2023">
        <w:rPr>
          <w:rFonts w:ascii="Times New Roman" w:hAnsi="Times New Roman"/>
          <w:sz w:val="18"/>
          <w:szCs w:val="18"/>
          <w:lang w:val="sr-Latn-ME"/>
        </w:rPr>
        <w:t xml:space="preserve"> trajne ventilacije definisane kao traheostomija ili neinvazivn</w:t>
      </w:r>
      <w:r w:rsidR="002C55BE" w:rsidRPr="00BD2023">
        <w:rPr>
          <w:rFonts w:ascii="Times New Roman" w:hAnsi="Times New Roman"/>
          <w:sz w:val="18"/>
          <w:szCs w:val="18"/>
          <w:lang w:val="sr-Latn-ME"/>
        </w:rPr>
        <w:t>a</w:t>
      </w:r>
      <w:r w:rsidR="00F77D20" w:rsidRPr="00BD2023">
        <w:rPr>
          <w:rFonts w:ascii="Times New Roman" w:hAnsi="Times New Roman"/>
          <w:sz w:val="18"/>
          <w:szCs w:val="18"/>
          <w:lang w:val="sr-Latn-ME"/>
        </w:rPr>
        <w:t xml:space="preserve"> ventilacij</w:t>
      </w:r>
      <w:r w:rsidR="002C55BE" w:rsidRPr="00BD2023">
        <w:rPr>
          <w:rFonts w:ascii="Times New Roman" w:hAnsi="Times New Roman"/>
          <w:sz w:val="18"/>
          <w:szCs w:val="18"/>
          <w:lang w:val="sr-Latn-ME"/>
        </w:rPr>
        <w:t>a</w:t>
      </w:r>
      <w:r w:rsidR="00F77D20" w:rsidRPr="00BD2023">
        <w:rPr>
          <w:rFonts w:ascii="Times New Roman" w:hAnsi="Times New Roman"/>
          <w:sz w:val="18"/>
          <w:szCs w:val="18"/>
          <w:lang w:val="sr-Latn-ME"/>
        </w:rPr>
        <w:t xml:space="preserve"> </w:t>
      </w:r>
      <w:r w:rsidR="002C55BE" w:rsidRPr="00BD2023">
        <w:rPr>
          <w:rFonts w:ascii="Times New Roman" w:hAnsi="Times New Roman"/>
          <w:sz w:val="18"/>
          <w:szCs w:val="18"/>
          <w:lang w:val="sr-Latn-ME"/>
        </w:rPr>
        <w:t xml:space="preserve">u trajanju od ≥16 sati </w:t>
      </w:r>
      <w:r w:rsidR="00F77D20" w:rsidRPr="00BD2023">
        <w:rPr>
          <w:rFonts w:ascii="Times New Roman" w:hAnsi="Times New Roman"/>
          <w:sz w:val="18"/>
          <w:szCs w:val="18"/>
          <w:lang w:val="sr-Latn-ME"/>
        </w:rPr>
        <w:t xml:space="preserve">dnevno ili intubacija </w:t>
      </w:r>
      <w:r w:rsidR="002C55BE" w:rsidRPr="00BD2023">
        <w:rPr>
          <w:rFonts w:ascii="Times New Roman" w:hAnsi="Times New Roman"/>
          <w:sz w:val="18"/>
          <w:szCs w:val="18"/>
          <w:lang w:val="sr-Latn-ME"/>
        </w:rPr>
        <w:t xml:space="preserve">tokom &gt; </w:t>
      </w:r>
      <w:r w:rsidR="00F77D20" w:rsidRPr="00BD2023">
        <w:rPr>
          <w:rFonts w:ascii="Times New Roman" w:hAnsi="Times New Roman"/>
          <w:sz w:val="18"/>
          <w:szCs w:val="18"/>
          <w:lang w:val="sr-Latn-ME"/>
        </w:rPr>
        <w:t>21 uzastopan</w:t>
      </w:r>
      <w:r w:rsidR="002C55BE" w:rsidRPr="00BD2023">
        <w:rPr>
          <w:rFonts w:ascii="Times New Roman" w:hAnsi="Times New Roman"/>
          <w:sz w:val="18"/>
          <w:szCs w:val="18"/>
          <w:lang w:val="sr-Latn-ME"/>
        </w:rPr>
        <w:t>nog</w:t>
      </w:r>
      <w:r w:rsidR="00F77D20" w:rsidRPr="00BD2023">
        <w:rPr>
          <w:rFonts w:ascii="Times New Roman" w:hAnsi="Times New Roman"/>
          <w:sz w:val="18"/>
          <w:szCs w:val="18"/>
          <w:lang w:val="sr-Latn-ME"/>
        </w:rPr>
        <w:t xml:space="preserve"> dan</w:t>
      </w:r>
      <w:r w:rsidR="002C55BE" w:rsidRPr="00BD2023">
        <w:rPr>
          <w:rFonts w:ascii="Times New Roman" w:hAnsi="Times New Roman"/>
          <w:sz w:val="18"/>
          <w:szCs w:val="18"/>
          <w:lang w:val="sr-Latn-ME"/>
        </w:rPr>
        <w:t>a</w:t>
      </w:r>
      <w:r w:rsidR="00F77D20" w:rsidRPr="00BD2023">
        <w:rPr>
          <w:rFonts w:ascii="Times New Roman" w:hAnsi="Times New Roman"/>
          <w:sz w:val="18"/>
          <w:szCs w:val="18"/>
          <w:lang w:val="sr-Latn-ME"/>
        </w:rPr>
        <w:t xml:space="preserve"> u odsustvu, ili nakon </w:t>
      </w:r>
      <w:r w:rsidR="002C55BE" w:rsidRPr="00BD2023">
        <w:rPr>
          <w:rFonts w:ascii="Times New Roman" w:hAnsi="Times New Roman"/>
          <w:sz w:val="18"/>
          <w:szCs w:val="18"/>
          <w:lang w:val="sr-Latn-ME"/>
        </w:rPr>
        <w:t>povlačenja</w:t>
      </w:r>
      <w:r w:rsidR="00F77D20" w:rsidRPr="00BD2023">
        <w:rPr>
          <w:rFonts w:ascii="Times New Roman" w:hAnsi="Times New Roman"/>
          <w:sz w:val="18"/>
          <w:szCs w:val="18"/>
          <w:lang w:val="sr-Latn-ME"/>
        </w:rPr>
        <w:t xml:space="preserve">, akutnog reverzibilnog događaja. </w:t>
      </w:r>
      <w:r w:rsidRPr="00BD2023">
        <w:rPr>
          <w:rFonts w:ascii="Times New Roman" w:hAnsi="Times New Roman"/>
          <w:sz w:val="18"/>
          <w:szCs w:val="18"/>
          <w:lang w:val="sr-Latn-ME"/>
        </w:rPr>
        <w:t xml:space="preserve">Tri pacijenta su preminula tokom prva 3 </w:t>
      </w:r>
      <w:r w:rsidR="00B744E8" w:rsidRPr="00BD2023">
        <w:rPr>
          <w:rFonts w:ascii="Times New Roman" w:hAnsi="Times New Roman"/>
          <w:sz w:val="18"/>
          <w:szCs w:val="18"/>
          <w:lang w:val="sr-Latn-ME"/>
        </w:rPr>
        <w:t>mjesec</w:t>
      </w:r>
      <w:r w:rsidRPr="00BD2023">
        <w:rPr>
          <w:rFonts w:ascii="Times New Roman" w:hAnsi="Times New Roman"/>
          <w:sz w:val="18"/>
          <w:szCs w:val="18"/>
          <w:lang w:val="sr-Latn-ME"/>
        </w:rPr>
        <w:t xml:space="preserve">a od uključivanja u studiju, </w:t>
      </w:r>
      <w:r w:rsidR="002C55BE" w:rsidRPr="00BD2023">
        <w:rPr>
          <w:rFonts w:ascii="Times New Roman" w:hAnsi="Times New Roman"/>
          <w:sz w:val="18"/>
          <w:szCs w:val="18"/>
          <w:lang w:val="sr-Latn-ME"/>
        </w:rPr>
        <w:t>a</w:t>
      </w:r>
      <w:r w:rsidRPr="00BD2023">
        <w:rPr>
          <w:rFonts w:ascii="Times New Roman" w:hAnsi="Times New Roman"/>
          <w:sz w:val="18"/>
          <w:szCs w:val="18"/>
          <w:lang w:val="sr-Latn-ME"/>
        </w:rPr>
        <w:t xml:space="preserve"> četiri </w:t>
      </w:r>
      <w:r w:rsidR="00F77D20" w:rsidRPr="00BD2023">
        <w:rPr>
          <w:rFonts w:ascii="Times New Roman" w:hAnsi="Times New Roman"/>
          <w:sz w:val="18"/>
          <w:szCs w:val="18"/>
          <w:lang w:val="sr-Latn-ME"/>
        </w:rPr>
        <w:t xml:space="preserve">pacijenta zadovoljila su </w:t>
      </w:r>
      <w:r w:rsidR="003B1B9B" w:rsidRPr="00BD2023">
        <w:rPr>
          <w:rFonts w:ascii="Times New Roman" w:hAnsi="Times New Roman"/>
          <w:sz w:val="18"/>
          <w:szCs w:val="18"/>
          <w:lang w:val="sr-Latn-ME"/>
        </w:rPr>
        <w:t>m</w:t>
      </w:r>
      <w:r w:rsidR="002C55BE" w:rsidRPr="00BD2023">
        <w:rPr>
          <w:rFonts w:ascii="Times New Roman" w:hAnsi="Times New Roman"/>
          <w:sz w:val="18"/>
          <w:szCs w:val="18"/>
          <w:lang w:val="sr-Latn-ME"/>
        </w:rPr>
        <w:t>jeru ishoda</w:t>
      </w:r>
      <w:r w:rsidR="00F77D20" w:rsidRPr="00BD2023">
        <w:rPr>
          <w:rFonts w:ascii="Times New Roman" w:hAnsi="Times New Roman"/>
          <w:sz w:val="18"/>
          <w:szCs w:val="18"/>
          <w:lang w:val="sr-Latn-ME"/>
        </w:rPr>
        <w:t xml:space="preserve"> trajne ventilacije </w:t>
      </w:r>
      <w:r w:rsidR="00E032BD" w:rsidRPr="00BD2023">
        <w:rPr>
          <w:rFonts w:ascii="Times New Roman" w:hAnsi="Times New Roman"/>
          <w:sz w:val="18"/>
          <w:szCs w:val="18"/>
          <w:lang w:val="sr-Latn-ME"/>
        </w:rPr>
        <w:t xml:space="preserve">prije </w:t>
      </w:r>
      <w:r w:rsidR="00F77D20" w:rsidRPr="00BD2023">
        <w:rPr>
          <w:rFonts w:ascii="Times New Roman" w:hAnsi="Times New Roman"/>
          <w:sz w:val="18"/>
          <w:szCs w:val="18"/>
          <w:lang w:val="sr-Latn-ME"/>
        </w:rPr>
        <w:t>2</w:t>
      </w:r>
      <w:r w:rsidRPr="00BD2023">
        <w:rPr>
          <w:rFonts w:ascii="Times New Roman" w:hAnsi="Times New Roman"/>
          <w:sz w:val="18"/>
          <w:szCs w:val="18"/>
          <w:lang w:val="sr-Latn-ME"/>
        </w:rPr>
        <w:t>4</w:t>
      </w:r>
      <w:r w:rsidR="00F77D20" w:rsidRPr="00BD2023">
        <w:rPr>
          <w:rFonts w:ascii="Times New Roman" w:hAnsi="Times New Roman"/>
          <w:sz w:val="18"/>
          <w:szCs w:val="18"/>
          <w:lang w:val="sr-Latn-ME"/>
        </w:rPr>
        <w:t xml:space="preserve">. </w:t>
      </w:r>
      <w:r w:rsidR="00B744E8" w:rsidRPr="00BD2023">
        <w:rPr>
          <w:rFonts w:ascii="Times New Roman" w:hAnsi="Times New Roman"/>
          <w:sz w:val="18"/>
          <w:szCs w:val="18"/>
          <w:lang w:val="sr-Latn-ME"/>
        </w:rPr>
        <w:t>mjesec</w:t>
      </w:r>
      <w:r w:rsidR="00F77D20" w:rsidRPr="00BD2023">
        <w:rPr>
          <w:rFonts w:ascii="Times New Roman" w:hAnsi="Times New Roman"/>
          <w:sz w:val="18"/>
          <w:szCs w:val="18"/>
          <w:lang w:val="sr-Latn-ME"/>
        </w:rPr>
        <w:t xml:space="preserve">a. </w:t>
      </w:r>
      <w:r w:rsidR="002C55BE" w:rsidRPr="00BD2023">
        <w:rPr>
          <w:rFonts w:ascii="Times New Roman" w:hAnsi="Times New Roman"/>
          <w:sz w:val="18"/>
          <w:szCs w:val="18"/>
          <w:lang w:val="sr-Latn-ME"/>
        </w:rPr>
        <w:t>Kod ta</w:t>
      </w:r>
      <w:r w:rsidRPr="00BD2023">
        <w:rPr>
          <w:rFonts w:ascii="Times New Roman" w:hAnsi="Times New Roman"/>
          <w:sz w:val="18"/>
          <w:szCs w:val="18"/>
          <w:lang w:val="sr-Latn-ME"/>
        </w:rPr>
        <w:t xml:space="preserve"> četiri</w:t>
      </w:r>
      <w:r w:rsidR="00F77D20" w:rsidRPr="00BD2023">
        <w:rPr>
          <w:rFonts w:ascii="Times New Roman" w:hAnsi="Times New Roman"/>
          <w:sz w:val="18"/>
          <w:szCs w:val="18"/>
          <w:lang w:val="sr-Latn-ME"/>
        </w:rPr>
        <w:t xml:space="preserve"> pacijenta </w:t>
      </w:r>
      <w:r w:rsidR="002C55BE" w:rsidRPr="00BD2023">
        <w:rPr>
          <w:rFonts w:ascii="Times New Roman" w:hAnsi="Times New Roman"/>
          <w:sz w:val="18"/>
          <w:szCs w:val="18"/>
          <w:lang w:val="sr-Latn-ME"/>
        </w:rPr>
        <w:t xml:space="preserve">CHOP-INTEND rezultat </w:t>
      </w:r>
      <w:r w:rsidR="00F77D20" w:rsidRPr="00BD2023">
        <w:rPr>
          <w:rFonts w:ascii="Times New Roman" w:hAnsi="Times New Roman"/>
          <w:sz w:val="18"/>
          <w:szCs w:val="18"/>
          <w:lang w:val="sr-Latn-ME"/>
        </w:rPr>
        <w:t>poveća</w:t>
      </w:r>
      <w:r w:rsidR="002C55BE" w:rsidRPr="00BD2023">
        <w:rPr>
          <w:rFonts w:ascii="Times New Roman" w:hAnsi="Times New Roman"/>
          <w:sz w:val="18"/>
          <w:szCs w:val="18"/>
          <w:lang w:val="sr-Latn-ME"/>
        </w:rPr>
        <w:t>o se</w:t>
      </w:r>
      <w:r w:rsidR="00F77D20" w:rsidRPr="00BD2023">
        <w:rPr>
          <w:rFonts w:ascii="Times New Roman" w:hAnsi="Times New Roman"/>
          <w:sz w:val="18"/>
          <w:szCs w:val="18"/>
          <w:lang w:val="sr-Latn-ME"/>
        </w:rPr>
        <w:t xml:space="preserve"> </w:t>
      </w:r>
      <w:r w:rsidR="002C55BE" w:rsidRPr="00BD2023">
        <w:rPr>
          <w:rFonts w:ascii="Times New Roman" w:hAnsi="Times New Roman"/>
          <w:sz w:val="18"/>
          <w:szCs w:val="18"/>
          <w:lang w:val="sr-Latn-ME"/>
        </w:rPr>
        <w:t>za najmanje</w:t>
      </w:r>
      <w:r w:rsidR="00F77D20" w:rsidRPr="00BD2023">
        <w:rPr>
          <w:rFonts w:ascii="Times New Roman" w:hAnsi="Times New Roman"/>
          <w:sz w:val="18"/>
          <w:szCs w:val="18"/>
          <w:lang w:val="sr-Latn-ME"/>
        </w:rPr>
        <w:t xml:space="preserve"> 4 </w:t>
      </w:r>
      <w:r w:rsidR="002C55BE" w:rsidRPr="00BD2023">
        <w:rPr>
          <w:rFonts w:ascii="Times New Roman" w:hAnsi="Times New Roman"/>
          <w:sz w:val="18"/>
          <w:szCs w:val="18"/>
          <w:lang w:val="sr-Latn-ME"/>
        </w:rPr>
        <w:t xml:space="preserve">boda </w:t>
      </w:r>
      <w:r w:rsidR="00F77D20" w:rsidRPr="00BD2023">
        <w:rPr>
          <w:rFonts w:ascii="Times New Roman" w:hAnsi="Times New Roman"/>
          <w:sz w:val="18"/>
          <w:szCs w:val="18"/>
          <w:lang w:val="sr-Latn-ME"/>
        </w:rPr>
        <w:t xml:space="preserve">u odnosu na početnu </w:t>
      </w:r>
      <w:r w:rsidR="00F73418" w:rsidRPr="00BD2023">
        <w:rPr>
          <w:rFonts w:ascii="Times New Roman" w:hAnsi="Times New Roman"/>
          <w:sz w:val="18"/>
          <w:szCs w:val="18"/>
          <w:lang w:val="sr-Latn-ME"/>
        </w:rPr>
        <w:t>vrijednost</w:t>
      </w:r>
      <w:r w:rsidR="002C55BE" w:rsidRPr="00BD2023">
        <w:rPr>
          <w:rFonts w:ascii="Times New Roman" w:hAnsi="Times New Roman"/>
          <w:sz w:val="18"/>
          <w:szCs w:val="18"/>
          <w:lang w:val="sr-Latn-ME"/>
        </w:rPr>
        <w:t>.</w:t>
      </w:r>
    </w:p>
    <w:p w14:paraId="3EDA6EEB" w14:textId="675743B0" w:rsidR="00F77D20" w:rsidRPr="00BD2023" w:rsidRDefault="00905362" w:rsidP="00BC480A">
      <w:pPr>
        <w:pStyle w:val="TabFigFooter"/>
        <w:keepNext w:val="0"/>
        <w:jc w:val="both"/>
        <w:rPr>
          <w:rFonts w:ascii="Times New Roman" w:hAnsi="Times New Roman"/>
          <w:sz w:val="18"/>
          <w:szCs w:val="18"/>
          <w:lang w:val="sr-Latn-ME"/>
        </w:rPr>
      </w:pPr>
      <w:r w:rsidRPr="00BD2023">
        <w:rPr>
          <w:rFonts w:ascii="Times New Roman" w:hAnsi="Times New Roman"/>
          <w:sz w:val="18"/>
          <w:szCs w:val="18"/>
          <w:vertAlign w:val="superscript"/>
          <w:lang w:val="sr-Latn-ME"/>
        </w:rPr>
        <w:t>e</w:t>
      </w:r>
      <w:r w:rsidR="00F77D20" w:rsidRPr="00BD2023">
        <w:rPr>
          <w:rFonts w:ascii="Times New Roman" w:hAnsi="Times New Roman"/>
          <w:sz w:val="18"/>
          <w:szCs w:val="18"/>
          <w:lang w:val="sr-Latn-ME"/>
        </w:rPr>
        <w:t xml:space="preserve"> </w:t>
      </w:r>
      <w:r w:rsidR="00F77D20" w:rsidRPr="00BD2023">
        <w:rPr>
          <w:rFonts w:ascii="Times New Roman" w:hAnsi="Times New Roman"/>
          <w:sz w:val="18"/>
          <w:szCs w:val="18"/>
          <w:lang w:val="sr-Latn-ME"/>
        </w:rPr>
        <w:tab/>
        <w:t>Obuhvata pacijente koji su hranjeni isključivo oralnim putem (ukupno 2</w:t>
      </w:r>
      <w:r w:rsidR="002C55BE" w:rsidRPr="00BD2023">
        <w:rPr>
          <w:rFonts w:ascii="Times New Roman" w:hAnsi="Times New Roman"/>
          <w:sz w:val="18"/>
          <w:szCs w:val="18"/>
          <w:lang w:val="sr-Latn-ME"/>
        </w:rPr>
        <w:t>9</w:t>
      </w:r>
      <w:r w:rsidR="00F77D20" w:rsidRPr="00BD2023">
        <w:rPr>
          <w:rFonts w:ascii="Times New Roman" w:hAnsi="Times New Roman"/>
          <w:sz w:val="18"/>
          <w:szCs w:val="18"/>
          <w:lang w:val="sr-Latn-ME"/>
        </w:rPr>
        <w:t xml:space="preserve"> pacijenata) i one hranjene oralnim putem u kombinaciji </w:t>
      </w:r>
      <w:r w:rsidR="002C55BE" w:rsidRPr="00BD2023">
        <w:rPr>
          <w:rFonts w:ascii="Times New Roman" w:hAnsi="Times New Roman"/>
          <w:sz w:val="18"/>
          <w:szCs w:val="18"/>
          <w:lang w:val="sr-Latn-ME"/>
        </w:rPr>
        <w:t xml:space="preserve">sa </w:t>
      </w:r>
      <w:r w:rsidR="00F77D20" w:rsidRPr="00BD2023">
        <w:rPr>
          <w:rFonts w:ascii="Times New Roman" w:hAnsi="Times New Roman"/>
          <w:sz w:val="18"/>
          <w:szCs w:val="18"/>
          <w:lang w:val="sr-Latn-ME"/>
        </w:rPr>
        <w:t>sond</w:t>
      </w:r>
      <w:r w:rsidR="002C55BE" w:rsidRPr="00BD2023">
        <w:rPr>
          <w:rFonts w:ascii="Times New Roman" w:hAnsi="Times New Roman"/>
          <w:sz w:val="18"/>
          <w:szCs w:val="18"/>
          <w:lang w:val="sr-Latn-ME"/>
        </w:rPr>
        <w:t>om</w:t>
      </w:r>
      <w:r w:rsidR="00F77D20" w:rsidRPr="00BD2023">
        <w:rPr>
          <w:rFonts w:ascii="Times New Roman" w:hAnsi="Times New Roman"/>
          <w:sz w:val="18"/>
          <w:szCs w:val="18"/>
          <w:lang w:val="sr-Latn-ME"/>
        </w:rPr>
        <w:t xml:space="preserve"> za </w:t>
      </w:r>
      <w:r w:rsidR="002C55BE" w:rsidRPr="00BD2023">
        <w:rPr>
          <w:rFonts w:ascii="Times New Roman" w:hAnsi="Times New Roman"/>
          <w:sz w:val="18"/>
          <w:szCs w:val="18"/>
          <w:lang w:val="sr-Latn-ME"/>
        </w:rPr>
        <w:t xml:space="preserve">hranjenje </w:t>
      </w:r>
      <w:r w:rsidR="00F77D20" w:rsidRPr="00BD2023">
        <w:rPr>
          <w:rFonts w:ascii="Times New Roman" w:hAnsi="Times New Roman"/>
          <w:sz w:val="18"/>
          <w:szCs w:val="18"/>
          <w:lang w:val="sr-Latn-ME"/>
        </w:rPr>
        <w:t>(ukupno 6 pacijenata) u </w:t>
      </w:r>
      <w:r w:rsidR="002C55BE" w:rsidRPr="00BD2023">
        <w:rPr>
          <w:rFonts w:ascii="Times New Roman" w:hAnsi="Times New Roman"/>
          <w:sz w:val="18"/>
          <w:szCs w:val="18"/>
          <w:lang w:val="sr-Latn-ME"/>
        </w:rPr>
        <w:t>24</w:t>
      </w:r>
      <w:r w:rsidR="00F77D20" w:rsidRPr="00BD2023">
        <w:rPr>
          <w:rFonts w:ascii="Times New Roman" w:hAnsi="Times New Roman"/>
          <w:sz w:val="18"/>
          <w:szCs w:val="18"/>
          <w:lang w:val="sr-Latn-ME"/>
        </w:rPr>
        <w:t xml:space="preserve">. </w:t>
      </w:r>
      <w:r w:rsidR="00B744E8" w:rsidRPr="00BD2023">
        <w:rPr>
          <w:rFonts w:ascii="Times New Roman" w:hAnsi="Times New Roman"/>
          <w:sz w:val="18"/>
          <w:szCs w:val="18"/>
          <w:lang w:val="sr-Latn-ME"/>
        </w:rPr>
        <w:t>mjesec</w:t>
      </w:r>
      <w:r w:rsidR="00F77D20" w:rsidRPr="00BD2023">
        <w:rPr>
          <w:rFonts w:ascii="Times New Roman" w:hAnsi="Times New Roman"/>
          <w:sz w:val="18"/>
          <w:szCs w:val="18"/>
          <w:lang w:val="sr-Latn-ME"/>
        </w:rPr>
        <w:t>u.</w:t>
      </w:r>
    </w:p>
    <w:p w14:paraId="5CDDF8F9" w14:textId="77777777" w:rsidR="00F77D20" w:rsidRPr="00BD2023" w:rsidRDefault="00F77D20" w:rsidP="00BC480A">
      <w:pPr>
        <w:jc w:val="both"/>
        <w:rPr>
          <w:szCs w:val="22"/>
          <w:lang w:val="sr-Latn-ME"/>
        </w:rPr>
      </w:pPr>
    </w:p>
    <w:p w14:paraId="4AA54CDC" w14:textId="7491202A" w:rsidR="000D7A7C" w:rsidRPr="00BD2023" w:rsidRDefault="000D7A7C" w:rsidP="00BC480A">
      <w:pPr>
        <w:pStyle w:val="Paragraph"/>
        <w:spacing w:after="0" w:line="240" w:lineRule="auto"/>
        <w:contextualSpacing/>
        <w:jc w:val="both"/>
        <w:rPr>
          <w:rFonts w:ascii="Times New Roman" w:eastAsia="Times New Roman" w:hAnsi="Times New Roman"/>
          <w:sz w:val="22"/>
          <w:szCs w:val="22"/>
          <w:lang w:val="sr-Latn-ME"/>
        </w:rPr>
      </w:pPr>
      <w:r w:rsidRPr="00BD2023">
        <w:rPr>
          <w:rFonts w:ascii="Times New Roman" w:eastAsia="Times New Roman" w:hAnsi="Times New Roman"/>
          <w:sz w:val="22"/>
          <w:szCs w:val="22"/>
          <w:lang w:val="sr-Latn-ME"/>
        </w:rPr>
        <w:t xml:space="preserve">U 24. </w:t>
      </w:r>
      <w:r w:rsidR="00B744E8" w:rsidRPr="00BD2023">
        <w:rPr>
          <w:rFonts w:ascii="Times New Roman" w:eastAsia="Times New Roman" w:hAnsi="Times New Roman"/>
          <w:sz w:val="22"/>
          <w:szCs w:val="22"/>
          <w:lang w:val="sr-Latn-ME"/>
        </w:rPr>
        <w:t>mjesec</w:t>
      </w:r>
      <w:r w:rsidRPr="00BD2023">
        <w:rPr>
          <w:rFonts w:ascii="Times New Roman" w:eastAsia="Times New Roman" w:hAnsi="Times New Roman"/>
          <w:sz w:val="22"/>
          <w:szCs w:val="22"/>
          <w:lang w:val="sr-Latn-ME"/>
        </w:rPr>
        <w:t xml:space="preserve">u je 44% pacijenata steklo sposobnost </w:t>
      </w:r>
      <w:r w:rsidR="00BD2023">
        <w:rPr>
          <w:rFonts w:ascii="Times New Roman" w:eastAsia="Times New Roman" w:hAnsi="Times New Roman"/>
          <w:sz w:val="22"/>
          <w:szCs w:val="22"/>
          <w:lang w:val="sr-Latn-ME"/>
        </w:rPr>
        <w:t xml:space="preserve">sjedenja </w:t>
      </w:r>
      <w:r w:rsidRPr="00BD2023">
        <w:rPr>
          <w:rFonts w:ascii="Times New Roman" w:eastAsia="Times New Roman" w:hAnsi="Times New Roman"/>
          <w:sz w:val="22"/>
          <w:szCs w:val="22"/>
          <w:lang w:val="sr-Latn-ME"/>
        </w:rPr>
        <w:t xml:space="preserve"> bez podrške tokom 30 sekundi (26. stavka BSID-III skale). Pacijenti su nastavili da postižu dodatne motoričke razvojne ciljeve prema </w:t>
      </w:r>
      <w:r w:rsidR="00BA22A4" w:rsidRPr="00BD2023">
        <w:rPr>
          <w:rFonts w:ascii="Times New Roman" w:eastAsia="Times New Roman" w:hAnsi="Times New Roman"/>
          <w:sz w:val="22"/>
          <w:szCs w:val="22"/>
          <w:lang w:val="sr-Latn-ME"/>
        </w:rPr>
        <w:t>procjen</w:t>
      </w:r>
      <w:r w:rsidRPr="00BD2023">
        <w:rPr>
          <w:rFonts w:ascii="Times New Roman" w:eastAsia="Times New Roman" w:hAnsi="Times New Roman"/>
          <w:sz w:val="22"/>
          <w:szCs w:val="22"/>
          <w:lang w:val="sr-Latn-ME"/>
        </w:rPr>
        <w:t xml:space="preserve">i HINE-2: 80,5% je bilo sposobno za prevrtanje, dok je 27% pacijenata ispunilo uslove za stajanje (12% ih je podržavalo sopstvenu težinu, a 15% je stajalo </w:t>
      </w:r>
      <w:r w:rsidR="003B6765">
        <w:rPr>
          <w:rFonts w:ascii="Times New Roman" w:eastAsia="Times New Roman" w:hAnsi="Times New Roman"/>
          <w:sz w:val="22"/>
          <w:szCs w:val="22"/>
          <w:lang w:val="sr-Latn-ME"/>
        </w:rPr>
        <w:t>uz</w:t>
      </w:r>
      <w:r w:rsidRPr="00BD2023">
        <w:rPr>
          <w:rFonts w:ascii="Times New Roman" w:eastAsia="Times New Roman" w:hAnsi="Times New Roman"/>
          <w:sz w:val="22"/>
          <w:szCs w:val="22"/>
          <w:lang w:val="sr-Latn-ME"/>
        </w:rPr>
        <w:t xml:space="preserve"> podršk</w:t>
      </w:r>
      <w:r w:rsidR="003B6765">
        <w:rPr>
          <w:rFonts w:ascii="Times New Roman" w:eastAsia="Times New Roman" w:hAnsi="Times New Roman"/>
          <w:sz w:val="22"/>
          <w:szCs w:val="22"/>
          <w:lang w:val="sr-Latn-ME"/>
        </w:rPr>
        <w:t>u</w:t>
      </w:r>
      <w:r w:rsidRPr="00BD2023">
        <w:rPr>
          <w:rFonts w:ascii="Times New Roman" w:eastAsia="Times New Roman" w:hAnsi="Times New Roman"/>
          <w:sz w:val="22"/>
          <w:szCs w:val="22"/>
          <w:lang w:val="sr-Latn-ME"/>
        </w:rPr>
        <w:t>).</w:t>
      </w:r>
    </w:p>
    <w:p w14:paraId="23040922" w14:textId="77777777" w:rsidR="000D7A7C" w:rsidRPr="00BD2023" w:rsidRDefault="000D7A7C" w:rsidP="00BC480A">
      <w:pPr>
        <w:pStyle w:val="Paragraph"/>
        <w:spacing w:after="0" w:line="240" w:lineRule="auto"/>
        <w:contextualSpacing/>
        <w:jc w:val="both"/>
        <w:rPr>
          <w:rFonts w:ascii="Times New Roman" w:eastAsia="Times New Roman" w:hAnsi="Times New Roman"/>
          <w:sz w:val="22"/>
          <w:szCs w:val="22"/>
          <w:lang w:val="sr-Latn-ME"/>
        </w:rPr>
      </w:pPr>
    </w:p>
    <w:p w14:paraId="4611DE17" w14:textId="77777777" w:rsidR="00CD153A" w:rsidRPr="00BD2023" w:rsidRDefault="00F77D20" w:rsidP="00BC480A">
      <w:pPr>
        <w:pStyle w:val="Paragraph"/>
        <w:spacing w:after="0" w:line="240" w:lineRule="auto"/>
        <w:contextualSpacing/>
        <w:jc w:val="both"/>
        <w:rPr>
          <w:rStyle w:val="CommentReference"/>
          <w:rFonts w:ascii="Times New Roman" w:eastAsiaTheme="minorEastAsia" w:hAnsi="Times New Roman"/>
          <w:sz w:val="22"/>
          <w:szCs w:val="22"/>
          <w:lang w:val="sr-Latn-ME"/>
        </w:rPr>
      </w:pPr>
      <w:r w:rsidRPr="00BD2023">
        <w:rPr>
          <w:rFonts w:ascii="Times New Roman" w:eastAsia="Times New Roman" w:hAnsi="Times New Roman"/>
          <w:sz w:val="22"/>
          <w:szCs w:val="22"/>
          <w:lang w:val="sr-Latn-ME"/>
        </w:rPr>
        <w:t>Nel</w:t>
      </w:r>
      <w:r w:rsidR="00C02A23" w:rsidRPr="00BD2023">
        <w:rPr>
          <w:rFonts w:ascii="Times New Roman" w:eastAsia="Times New Roman" w:hAnsi="Times New Roman"/>
          <w:sz w:val="22"/>
          <w:szCs w:val="22"/>
          <w:lang w:val="sr-Latn-ME"/>
        </w:rPr>
        <w:t>ij</w:t>
      </w:r>
      <w:r w:rsidRPr="00BD2023">
        <w:rPr>
          <w:rFonts w:ascii="Times New Roman" w:eastAsia="Times New Roman" w:hAnsi="Times New Roman"/>
          <w:sz w:val="22"/>
          <w:szCs w:val="22"/>
          <w:lang w:val="sr-Latn-ME"/>
        </w:rPr>
        <w:t>ečeni pacijenti sa početkom SMA u infantilnom periodu nikada ne bi bili u stanju da s</w:t>
      </w:r>
      <w:r w:rsidR="00C02A23" w:rsidRPr="00BD2023">
        <w:rPr>
          <w:rFonts w:ascii="Times New Roman" w:eastAsia="Times New Roman" w:hAnsi="Times New Roman"/>
          <w:sz w:val="22"/>
          <w:szCs w:val="22"/>
          <w:lang w:val="sr-Latn-ME"/>
        </w:rPr>
        <w:t>j</w:t>
      </w:r>
      <w:r w:rsidRPr="00BD2023">
        <w:rPr>
          <w:rFonts w:ascii="Times New Roman" w:eastAsia="Times New Roman" w:hAnsi="Times New Roman"/>
          <w:sz w:val="22"/>
          <w:szCs w:val="22"/>
          <w:lang w:val="sr-Latn-ME"/>
        </w:rPr>
        <w:t>ede bez podrške, i očekivalo bi se da samo 25% preživi duže od 14 m</w:t>
      </w:r>
      <w:r w:rsidR="00C02A23" w:rsidRPr="00BD2023">
        <w:rPr>
          <w:rFonts w:ascii="Times New Roman" w:eastAsia="Times New Roman" w:hAnsi="Times New Roman"/>
          <w:sz w:val="22"/>
          <w:szCs w:val="22"/>
          <w:lang w:val="sr-Latn-ME"/>
        </w:rPr>
        <w:t>j</w:t>
      </w:r>
      <w:r w:rsidRPr="00BD2023">
        <w:rPr>
          <w:rFonts w:ascii="Times New Roman" w:eastAsia="Times New Roman" w:hAnsi="Times New Roman"/>
          <w:sz w:val="22"/>
          <w:szCs w:val="22"/>
          <w:lang w:val="sr-Latn-ME"/>
        </w:rPr>
        <w:t>eseci života bez trajne ventilacije</w:t>
      </w:r>
      <w:r w:rsidRPr="00BD2023">
        <w:rPr>
          <w:rStyle w:val="CommentReference"/>
          <w:rFonts w:ascii="Times New Roman" w:eastAsiaTheme="minorEastAsia" w:hAnsi="Times New Roman"/>
          <w:sz w:val="22"/>
          <w:szCs w:val="22"/>
          <w:lang w:val="sr-Latn-ME"/>
        </w:rPr>
        <w:t>.</w:t>
      </w:r>
    </w:p>
    <w:p w14:paraId="5799A7A5" w14:textId="623521C0" w:rsidR="00E820E5" w:rsidRPr="00CB3019" w:rsidRDefault="00E820E5">
      <w:pPr>
        <w:rPr>
          <w:rFonts w:eastAsiaTheme="minorEastAsia"/>
        </w:rPr>
      </w:pPr>
    </w:p>
    <w:p w14:paraId="40083604" w14:textId="3B168DE3" w:rsidR="00F77D20" w:rsidRPr="00BD2023" w:rsidRDefault="00E820E5" w:rsidP="00F77D20">
      <w:pPr>
        <w:rPr>
          <w:b/>
          <w:sz w:val="22"/>
          <w:szCs w:val="22"/>
          <w:lang w:val="sr-Latn-ME" w:eastAsia="zh-CN"/>
        </w:rPr>
      </w:pPr>
      <w:r w:rsidRPr="00BD2023">
        <w:rPr>
          <w:iCs/>
          <w:noProof/>
        </w:rPr>
        <w:drawing>
          <wp:anchor distT="0" distB="0" distL="114300" distR="114300" simplePos="0" relativeHeight="251661312" behindDoc="0" locked="0" layoutInCell="1" allowOverlap="1" wp14:anchorId="4731447B" wp14:editId="2AB6417B">
            <wp:simplePos x="0" y="0"/>
            <wp:positionH relativeFrom="margin">
              <wp:align>right</wp:align>
            </wp:positionH>
            <wp:positionV relativeFrom="paragraph">
              <wp:posOffset>304800</wp:posOffset>
            </wp:positionV>
            <wp:extent cx="5900420" cy="3264535"/>
            <wp:effectExtent l="19050" t="19050" r="24130" b="12065"/>
            <wp:wrapSquare wrapText="bothSides"/>
            <wp:docPr id="195" name="Picture 19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00420" cy="3264535"/>
                    </a:xfrm>
                    <a:prstGeom prst="rect">
                      <a:avLst/>
                    </a:prstGeom>
                    <a:ln>
                      <a:solidFill>
                        <a:schemeClr val="bg1"/>
                      </a:solidFill>
                    </a:ln>
                  </pic:spPr>
                </pic:pic>
              </a:graphicData>
            </a:graphic>
            <wp14:sizeRelH relativeFrom="page">
              <wp14:pctWidth>0</wp14:pctWidth>
            </wp14:sizeRelH>
            <wp14:sizeRelV relativeFrom="page">
              <wp14:pctHeight>0</wp14:pctHeight>
            </wp14:sizeRelV>
          </wp:anchor>
        </w:drawing>
      </w:r>
      <w:r w:rsidR="00F77D20" w:rsidRPr="00BD2023">
        <w:rPr>
          <w:b/>
          <w:sz w:val="22"/>
          <w:szCs w:val="22"/>
          <w:lang w:val="sr-Latn-ME" w:eastAsia="zh-CN"/>
        </w:rPr>
        <w:t>Slika 1. Kaplan-Mejerov grafikon preživljavanja bez događaja (1. i 2. d</w:t>
      </w:r>
      <w:r w:rsidR="000D7A7C" w:rsidRPr="00BD2023">
        <w:rPr>
          <w:b/>
          <w:sz w:val="22"/>
          <w:szCs w:val="22"/>
          <w:lang w:val="sr-Latn-ME" w:eastAsia="zh-CN"/>
        </w:rPr>
        <w:t>i</w:t>
      </w:r>
      <w:r w:rsidR="00F77D20" w:rsidRPr="00BD2023">
        <w:rPr>
          <w:b/>
          <w:sz w:val="22"/>
          <w:szCs w:val="22"/>
          <w:lang w:val="sr-Latn-ME" w:eastAsia="zh-CN"/>
        </w:rPr>
        <w:t>o FIREFISH)</w:t>
      </w:r>
    </w:p>
    <w:p w14:paraId="254E1E3D" w14:textId="5DE37653" w:rsidR="00CD153A" w:rsidRPr="00BD2023" w:rsidRDefault="00CD153A" w:rsidP="00F77D20">
      <w:pPr>
        <w:rPr>
          <w:lang w:val="sr-Latn-ME"/>
        </w:rPr>
      </w:pPr>
    </w:p>
    <w:p w14:paraId="3CA4BA37" w14:textId="79954182" w:rsidR="000D7A7C" w:rsidRPr="00BD2023" w:rsidRDefault="000D7A7C" w:rsidP="00BC480A">
      <w:pPr>
        <w:jc w:val="both"/>
        <w:rPr>
          <w:sz w:val="22"/>
          <w:szCs w:val="22"/>
          <w:lang w:val="sr-Latn-ME" w:eastAsia="zh-CN"/>
        </w:rPr>
      </w:pPr>
      <w:r w:rsidRPr="00BD2023">
        <w:rPr>
          <w:sz w:val="22"/>
          <w:szCs w:val="22"/>
          <w:lang w:val="sr-Latn-ME" w:eastAsia="zh-CN"/>
        </w:rPr>
        <w:t xml:space="preserve">+ Cenzurisano: dva pacijenta u 2. </w:t>
      </w:r>
      <w:r w:rsidR="005D411F" w:rsidRPr="00BD2023">
        <w:rPr>
          <w:sz w:val="22"/>
          <w:szCs w:val="22"/>
          <w:lang w:val="sr-Latn-ME" w:eastAsia="zh-CN"/>
        </w:rPr>
        <w:t>dijelu</w:t>
      </w:r>
      <w:r w:rsidRPr="00BD2023">
        <w:rPr>
          <w:sz w:val="22"/>
          <w:szCs w:val="22"/>
          <w:lang w:val="sr-Latn-ME" w:eastAsia="zh-CN"/>
        </w:rPr>
        <w:t xml:space="preserve"> su bila cenzurisana zbog preranog dolaska u pos</w:t>
      </w:r>
      <w:r w:rsidR="005D411F" w:rsidRPr="00BD2023">
        <w:rPr>
          <w:sz w:val="22"/>
          <w:szCs w:val="22"/>
          <w:lang w:val="sr-Latn-ME" w:eastAsia="zh-CN"/>
        </w:rPr>
        <w:t>j</w:t>
      </w:r>
      <w:r w:rsidRPr="00BD2023">
        <w:rPr>
          <w:sz w:val="22"/>
          <w:szCs w:val="22"/>
          <w:lang w:val="sr-Latn-ME" w:eastAsia="zh-CN"/>
        </w:rPr>
        <w:t>etu predviđenu za 24. m</w:t>
      </w:r>
      <w:r w:rsidR="00B744E8" w:rsidRPr="00BD2023">
        <w:rPr>
          <w:sz w:val="22"/>
          <w:szCs w:val="22"/>
          <w:lang w:val="sr-Latn-ME" w:eastAsia="zh-CN"/>
        </w:rPr>
        <w:t>j</w:t>
      </w:r>
      <w:r w:rsidRPr="00BD2023">
        <w:rPr>
          <w:sz w:val="22"/>
          <w:szCs w:val="22"/>
          <w:lang w:val="sr-Latn-ME" w:eastAsia="zh-CN"/>
        </w:rPr>
        <w:t>esec, jedan pacijent u 1. d</w:t>
      </w:r>
      <w:r w:rsidR="005D411F" w:rsidRPr="00BD2023">
        <w:rPr>
          <w:sz w:val="22"/>
          <w:szCs w:val="22"/>
          <w:lang w:val="sr-Latn-ME" w:eastAsia="zh-CN"/>
        </w:rPr>
        <w:t>ij</w:t>
      </w:r>
      <w:r w:rsidRPr="00BD2023">
        <w:rPr>
          <w:sz w:val="22"/>
          <w:szCs w:val="22"/>
          <w:lang w:val="sr-Latn-ME" w:eastAsia="zh-CN"/>
        </w:rPr>
        <w:t xml:space="preserve">elu je cenzurisan nakon trajnog prekida terapije i preminuo je 3,5 </w:t>
      </w:r>
      <w:r w:rsidR="00B744E8" w:rsidRPr="00BD2023">
        <w:rPr>
          <w:sz w:val="22"/>
          <w:szCs w:val="22"/>
          <w:lang w:val="sr-Latn-ME" w:eastAsia="zh-CN"/>
        </w:rPr>
        <w:t>mjesec</w:t>
      </w:r>
      <w:r w:rsidRPr="00BD2023">
        <w:rPr>
          <w:sz w:val="22"/>
          <w:szCs w:val="22"/>
          <w:lang w:val="sr-Latn-ME" w:eastAsia="zh-CN"/>
        </w:rPr>
        <w:t>i kasnije</w:t>
      </w:r>
    </w:p>
    <w:p w14:paraId="2485F48E" w14:textId="205F6B1D" w:rsidR="002325C8" w:rsidRPr="00BD2023" w:rsidRDefault="002325C8" w:rsidP="00BC480A">
      <w:pPr>
        <w:jc w:val="both"/>
        <w:rPr>
          <w:szCs w:val="22"/>
          <w:lang w:val="sr-Latn-ME"/>
        </w:rPr>
      </w:pPr>
    </w:p>
    <w:p w14:paraId="1688AA7F" w14:textId="30744C38" w:rsidR="000D7A7C" w:rsidRPr="00BD2023" w:rsidRDefault="000D7A7C" w:rsidP="00F77D20">
      <w:pPr>
        <w:rPr>
          <w:szCs w:val="22"/>
          <w:lang w:val="sr-Latn-ME"/>
        </w:rPr>
      </w:pPr>
    </w:p>
    <w:p w14:paraId="2FC5FFAB" w14:textId="7A3F4283" w:rsidR="002325C8" w:rsidRPr="00BD2023" w:rsidRDefault="00E820E5" w:rsidP="00F77D20">
      <w:pPr>
        <w:rPr>
          <w:b/>
          <w:sz w:val="22"/>
          <w:szCs w:val="22"/>
          <w:lang w:val="sr-Latn-ME" w:eastAsia="zh-CN"/>
        </w:rPr>
      </w:pPr>
      <w:r w:rsidRPr="00BD2023">
        <w:rPr>
          <w:noProof/>
        </w:rPr>
        <w:drawing>
          <wp:anchor distT="0" distB="0" distL="114300" distR="114300" simplePos="0" relativeHeight="251659264" behindDoc="0" locked="0" layoutInCell="1" allowOverlap="1" wp14:anchorId="301AE755" wp14:editId="7EC9D252">
            <wp:simplePos x="0" y="0"/>
            <wp:positionH relativeFrom="margin">
              <wp:align>right</wp:align>
            </wp:positionH>
            <wp:positionV relativeFrom="margin">
              <wp:posOffset>5004435</wp:posOffset>
            </wp:positionV>
            <wp:extent cx="6251575" cy="326263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51575" cy="3262630"/>
                    </a:xfrm>
                    <a:prstGeom prst="rect">
                      <a:avLst/>
                    </a:prstGeom>
                  </pic:spPr>
                </pic:pic>
              </a:graphicData>
            </a:graphic>
            <wp14:sizeRelH relativeFrom="margin">
              <wp14:pctWidth>0</wp14:pctWidth>
            </wp14:sizeRelH>
            <wp14:sizeRelV relativeFrom="margin">
              <wp14:pctHeight>0</wp14:pctHeight>
            </wp14:sizeRelV>
          </wp:anchor>
        </w:drawing>
      </w:r>
      <w:r w:rsidR="00F77D20" w:rsidRPr="00BD2023">
        <w:rPr>
          <w:b/>
          <w:sz w:val="22"/>
          <w:szCs w:val="22"/>
          <w:lang w:val="sr-Latn-ME" w:eastAsia="zh-CN"/>
        </w:rPr>
        <w:t xml:space="preserve">Slika 2. Srednja </w:t>
      </w:r>
      <w:r w:rsidR="00FD13E6" w:rsidRPr="00BD2023">
        <w:rPr>
          <w:b/>
          <w:sz w:val="22"/>
          <w:szCs w:val="22"/>
          <w:lang w:val="sr-Latn-ME" w:eastAsia="zh-CN"/>
        </w:rPr>
        <w:t xml:space="preserve">vrijednost </w:t>
      </w:r>
      <w:r w:rsidR="00F77D20" w:rsidRPr="00BD2023">
        <w:rPr>
          <w:b/>
          <w:sz w:val="22"/>
          <w:szCs w:val="22"/>
          <w:lang w:val="sr-Latn-ME" w:eastAsia="zh-CN"/>
        </w:rPr>
        <w:t>prom</w:t>
      </w:r>
      <w:r w:rsidR="005D411F" w:rsidRPr="00BD2023">
        <w:rPr>
          <w:b/>
          <w:sz w:val="22"/>
          <w:szCs w:val="22"/>
          <w:lang w:val="sr-Latn-ME" w:eastAsia="zh-CN"/>
        </w:rPr>
        <w:t>j</w:t>
      </w:r>
      <w:r w:rsidR="00F77D20" w:rsidRPr="00BD2023">
        <w:rPr>
          <w:b/>
          <w:sz w:val="22"/>
          <w:szCs w:val="22"/>
          <w:lang w:val="sr-Latn-ME" w:eastAsia="zh-CN"/>
        </w:rPr>
        <w:t>en</w:t>
      </w:r>
      <w:r w:rsidR="00FD13E6" w:rsidRPr="00BD2023">
        <w:rPr>
          <w:b/>
          <w:sz w:val="22"/>
          <w:szCs w:val="22"/>
          <w:lang w:val="sr-Latn-ME" w:eastAsia="zh-CN"/>
        </w:rPr>
        <w:t>e</w:t>
      </w:r>
      <w:r w:rsidR="00F77D20" w:rsidRPr="00BD2023">
        <w:rPr>
          <w:b/>
          <w:sz w:val="22"/>
          <w:szCs w:val="22"/>
          <w:lang w:val="sr-Latn-ME" w:eastAsia="zh-CN"/>
        </w:rPr>
        <w:t xml:space="preserve"> CHOP-INTEND</w:t>
      </w:r>
      <w:r w:rsidR="00FD13E6" w:rsidRPr="00BD2023">
        <w:rPr>
          <w:b/>
          <w:sz w:val="22"/>
          <w:szCs w:val="22"/>
          <w:lang w:val="sr-Latn-ME" w:eastAsia="zh-CN"/>
        </w:rPr>
        <w:t xml:space="preserve"> rezultata od početne vrijednosti</w:t>
      </w:r>
      <w:r w:rsidR="00F77D20" w:rsidRPr="00BD2023">
        <w:rPr>
          <w:b/>
          <w:sz w:val="22"/>
          <w:szCs w:val="22"/>
          <w:lang w:val="sr-Latn-ME" w:eastAsia="zh-CN"/>
        </w:rPr>
        <w:t xml:space="preserve"> (2. </w:t>
      </w:r>
      <w:r w:rsidR="00B744E8" w:rsidRPr="00BD2023">
        <w:rPr>
          <w:b/>
          <w:sz w:val="22"/>
          <w:szCs w:val="22"/>
          <w:lang w:val="sr-Latn-ME" w:eastAsia="zh-CN"/>
        </w:rPr>
        <w:t>dio</w:t>
      </w:r>
      <w:r w:rsidR="00F77D20" w:rsidRPr="00BD2023">
        <w:rPr>
          <w:b/>
          <w:sz w:val="22"/>
          <w:szCs w:val="22"/>
          <w:lang w:val="sr-Latn-ME" w:eastAsia="zh-CN"/>
        </w:rPr>
        <w:t xml:space="preserve"> FIREFISH)</w:t>
      </w:r>
    </w:p>
    <w:p w14:paraId="224690D6" w14:textId="77777777" w:rsidR="00E820E5" w:rsidRDefault="00E820E5" w:rsidP="00BC480A">
      <w:pPr>
        <w:tabs>
          <w:tab w:val="left" w:pos="540"/>
          <w:tab w:val="left" w:pos="569"/>
        </w:tabs>
        <w:jc w:val="both"/>
        <w:rPr>
          <w:bCs/>
          <w:i/>
          <w:iCs/>
          <w:sz w:val="22"/>
          <w:szCs w:val="22"/>
          <w:u w:val="single"/>
          <w:lang w:val="sr-Latn-ME"/>
        </w:rPr>
      </w:pPr>
    </w:p>
    <w:p w14:paraId="79496E86" w14:textId="08238B60" w:rsidR="00F77D20" w:rsidRPr="00BD2023" w:rsidRDefault="00F77D20" w:rsidP="00BC480A">
      <w:pPr>
        <w:tabs>
          <w:tab w:val="left" w:pos="540"/>
          <w:tab w:val="left" w:pos="569"/>
        </w:tabs>
        <w:jc w:val="both"/>
        <w:rPr>
          <w:bCs/>
          <w:i/>
          <w:sz w:val="22"/>
          <w:szCs w:val="22"/>
          <w:u w:val="single"/>
          <w:lang w:val="sr-Latn-ME"/>
        </w:rPr>
      </w:pPr>
      <w:r w:rsidRPr="00BD2023">
        <w:rPr>
          <w:bCs/>
          <w:i/>
          <w:iCs/>
          <w:sz w:val="22"/>
          <w:szCs w:val="22"/>
          <w:u w:val="single"/>
          <w:lang w:val="sr-Latn-ME"/>
        </w:rPr>
        <w:t xml:space="preserve">1. </w:t>
      </w:r>
      <w:r w:rsidR="00B744E8" w:rsidRPr="00BD2023">
        <w:rPr>
          <w:bCs/>
          <w:i/>
          <w:iCs/>
          <w:sz w:val="22"/>
          <w:szCs w:val="22"/>
          <w:u w:val="single"/>
          <w:lang w:val="sr-Latn-ME"/>
        </w:rPr>
        <w:t>dio</w:t>
      </w:r>
      <w:r w:rsidRPr="00BD2023">
        <w:rPr>
          <w:bCs/>
          <w:i/>
          <w:iCs/>
          <w:sz w:val="22"/>
          <w:szCs w:val="22"/>
          <w:u w:val="single"/>
          <w:lang w:val="sr-Latn-ME"/>
        </w:rPr>
        <w:t xml:space="preserve"> studije FIREFISH</w:t>
      </w:r>
    </w:p>
    <w:p w14:paraId="11220378" w14:textId="77777777" w:rsidR="00F77D20" w:rsidRPr="00BD2023" w:rsidRDefault="00F77D20" w:rsidP="00BC480A">
      <w:pPr>
        <w:tabs>
          <w:tab w:val="left" w:pos="540"/>
          <w:tab w:val="left" w:pos="569"/>
        </w:tabs>
        <w:jc w:val="both"/>
        <w:rPr>
          <w:bCs/>
          <w:sz w:val="22"/>
          <w:szCs w:val="22"/>
          <w:u w:val="single"/>
          <w:lang w:val="sr-Latn-ME"/>
        </w:rPr>
      </w:pPr>
    </w:p>
    <w:p w14:paraId="60EBBE93" w14:textId="52C372E2" w:rsidR="00F77D20" w:rsidRPr="00BD2023" w:rsidRDefault="00F77D20" w:rsidP="00BC480A">
      <w:pPr>
        <w:tabs>
          <w:tab w:val="left" w:pos="540"/>
          <w:tab w:val="left" w:pos="569"/>
        </w:tabs>
        <w:jc w:val="both"/>
        <w:rPr>
          <w:bCs/>
          <w:sz w:val="22"/>
          <w:szCs w:val="22"/>
          <w:lang w:val="sr-Latn-ME"/>
        </w:rPr>
      </w:pPr>
      <w:r w:rsidRPr="00BD2023">
        <w:rPr>
          <w:bCs/>
          <w:sz w:val="22"/>
          <w:szCs w:val="22"/>
          <w:lang w:val="sr-Latn-ME"/>
        </w:rPr>
        <w:t xml:space="preserve">Efikasnost </w:t>
      </w:r>
      <w:r w:rsidR="007E5CF0" w:rsidRPr="00BD2023">
        <w:rPr>
          <w:bCs/>
          <w:sz w:val="22"/>
          <w:szCs w:val="22"/>
          <w:lang w:val="sr-Latn-ME"/>
        </w:rPr>
        <w:t>lijek</w:t>
      </w:r>
      <w:r w:rsidRPr="00BD2023">
        <w:rPr>
          <w:bCs/>
          <w:sz w:val="22"/>
          <w:szCs w:val="22"/>
          <w:lang w:val="sr-Latn-ME"/>
        </w:rPr>
        <w:t xml:space="preserve">a Evrysdi kod pacijenata sa SMA tip 1 podržana </w:t>
      </w:r>
      <w:r w:rsidR="00815E2C" w:rsidRPr="00BD2023">
        <w:rPr>
          <w:bCs/>
          <w:sz w:val="22"/>
          <w:szCs w:val="22"/>
          <w:lang w:val="sr-Latn-ME"/>
        </w:rPr>
        <w:t xml:space="preserve">je </w:t>
      </w:r>
      <w:r w:rsidRPr="00BD2023">
        <w:rPr>
          <w:bCs/>
          <w:sz w:val="22"/>
          <w:szCs w:val="22"/>
          <w:lang w:val="sr-Latn-ME"/>
        </w:rPr>
        <w:t>rezultatima iz 1. d</w:t>
      </w:r>
      <w:r w:rsidR="00C02A23" w:rsidRPr="00BD2023">
        <w:rPr>
          <w:bCs/>
          <w:sz w:val="22"/>
          <w:szCs w:val="22"/>
          <w:lang w:val="sr-Latn-ME"/>
        </w:rPr>
        <w:t>ij</w:t>
      </w:r>
      <w:r w:rsidRPr="00BD2023">
        <w:rPr>
          <w:bCs/>
          <w:sz w:val="22"/>
          <w:szCs w:val="22"/>
          <w:lang w:val="sr-Latn-ME"/>
        </w:rPr>
        <w:t>ela studije FIREFISH. Za 21 pacijenta iz 1. d</w:t>
      </w:r>
      <w:r w:rsidR="00C02A23" w:rsidRPr="00BD2023">
        <w:rPr>
          <w:bCs/>
          <w:sz w:val="22"/>
          <w:szCs w:val="22"/>
          <w:lang w:val="sr-Latn-ME"/>
        </w:rPr>
        <w:t>ij</w:t>
      </w:r>
      <w:r w:rsidRPr="00BD2023">
        <w:rPr>
          <w:bCs/>
          <w:sz w:val="22"/>
          <w:szCs w:val="22"/>
          <w:lang w:val="sr-Latn-ME"/>
        </w:rPr>
        <w:t>ela, osnovne karakteristike su bile u skladu sa simptomatskim pacijentima sa SMA tip 1. Medijana uzrasta u vr</w:t>
      </w:r>
      <w:r w:rsidR="00C02A23" w:rsidRPr="00BD2023">
        <w:rPr>
          <w:bCs/>
          <w:sz w:val="22"/>
          <w:szCs w:val="22"/>
          <w:lang w:val="sr-Latn-ME"/>
        </w:rPr>
        <w:t>ij</w:t>
      </w:r>
      <w:r w:rsidRPr="00BD2023">
        <w:rPr>
          <w:bCs/>
          <w:sz w:val="22"/>
          <w:szCs w:val="22"/>
          <w:lang w:val="sr-Latn-ME"/>
        </w:rPr>
        <w:t>eme uključivanja u studiju bila je 6,7 m</w:t>
      </w:r>
      <w:r w:rsidR="00C02A23" w:rsidRPr="00BD2023">
        <w:rPr>
          <w:bCs/>
          <w:sz w:val="22"/>
          <w:szCs w:val="22"/>
          <w:lang w:val="sr-Latn-ME"/>
        </w:rPr>
        <w:t>j</w:t>
      </w:r>
      <w:r w:rsidRPr="00BD2023">
        <w:rPr>
          <w:bCs/>
          <w:sz w:val="22"/>
          <w:szCs w:val="22"/>
          <w:lang w:val="sr-Latn-ME"/>
        </w:rPr>
        <w:t xml:space="preserve">eseci (u rasponu od 3,3 do 6,9 </w:t>
      </w:r>
      <w:r w:rsidR="00B744E8" w:rsidRPr="00BD2023">
        <w:rPr>
          <w:bCs/>
          <w:sz w:val="22"/>
          <w:szCs w:val="22"/>
          <w:lang w:val="sr-Latn-ME"/>
        </w:rPr>
        <w:t>mjesec</w:t>
      </w:r>
      <w:r w:rsidRPr="00BD2023">
        <w:rPr>
          <w:bCs/>
          <w:sz w:val="22"/>
          <w:szCs w:val="22"/>
          <w:lang w:val="sr-Latn-ME"/>
        </w:rPr>
        <w:t>i) a medijana vr</w:t>
      </w:r>
      <w:r w:rsidR="00BD2023">
        <w:rPr>
          <w:bCs/>
          <w:sz w:val="22"/>
          <w:szCs w:val="22"/>
          <w:lang w:val="sr-Latn-ME"/>
        </w:rPr>
        <w:t>ij</w:t>
      </w:r>
      <w:r w:rsidRPr="00BD2023">
        <w:rPr>
          <w:bCs/>
          <w:sz w:val="22"/>
          <w:szCs w:val="22"/>
          <w:lang w:val="sr-Latn-ME"/>
        </w:rPr>
        <w:t xml:space="preserve">emena između početka simptoma i </w:t>
      </w:r>
      <w:r w:rsidR="00815E2C" w:rsidRPr="00BD2023">
        <w:rPr>
          <w:bCs/>
          <w:sz w:val="22"/>
          <w:szCs w:val="22"/>
          <w:lang w:val="sr-Latn-ME"/>
        </w:rPr>
        <w:t xml:space="preserve">primjene </w:t>
      </w:r>
      <w:r w:rsidRPr="00BD2023">
        <w:rPr>
          <w:bCs/>
          <w:sz w:val="22"/>
          <w:szCs w:val="22"/>
          <w:lang w:val="sr-Latn-ME"/>
        </w:rPr>
        <w:t>prve doze bila je 4,0 m</w:t>
      </w:r>
      <w:r w:rsidR="00C02A23" w:rsidRPr="00BD2023">
        <w:rPr>
          <w:bCs/>
          <w:sz w:val="22"/>
          <w:szCs w:val="22"/>
          <w:lang w:val="sr-Latn-ME"/>
        </w:rPr>
        <w:t>j</w:t>
      </w:r>
      <w:r w:rsidRPr="00BD2023">
        <w:rPr>
          <w:bCs/>
          <w:sz w:val="22"/>
          <w:szCs w:val="22"/>
          <w:lang w:val="sr-Latn-ME"/>
        </w:rPr>
        <w:t xml:space="preserve">eseca (u rasponu od 2,0 do 5,8 </w:t>
      </w:r>
      <w:r w:rsidR="00B744E8" w:rsidRPr="00BD2023">
        <w:rPr>
          <w:bCs/>
          <w:sz w:val="22"/>
          <w:szCs w:val="22"/>
          <w:lang w:val="sr-Latn-ME"/>
        </w:rPr>
        <w:t>mjesec</w:t>
      </w:r>
      <w:r w:rsidRPr="00BD2023">
        <w:rPr>
          <w:bCs/>
          <w:sz w:val="22"/>
          <w:szCs w:val="22"/>
          <w:lang w:val="sr-Latn-ME"/>
        </w:rPr>
        <w:t xml:space="preserve">i). </w:t>
      </w:r>
    </w:p>
    <w:p w14:paraId="4EFAFF25" w14:textId="77777777" w:rsidR="00F77D20" w:rsidRPr="00BD2023" w:rsidRDefault="00F77D20" w:rsidP="00BC480A">
      <w:pPr>
        <w:tabs>
          <w:tab w:val="left" w:pos="540"/>
          <w:tab w:val="left" w:pos="569"/>
        </w:tabs>
        <w:jc w:val="both"/>
        <w:rPr>
          <w:bCs/>
          <w:sz w:val="22"/>
          <w:szCs w:val="22"/>
          <w:lang w:val="sr-Latn-ME"/>
        </w:rPr>
      </w:pPr>
    </w:p>
    <w:p w14:paraId="0E1AFDF2" w14:textId="4101B465" w:rsidR="00F77D20" w:rsidRPr="00BD2023" w:rsidRDefault="00F77D20" w:rsidP="00BC480A">
      <w:pPr>
        <w:tabs>
          <w:tab w:val="left" w:pos="540"/>
          <w:tab w:val="left" w:pos="569"/>
        </w:tabs>
        <w:jc w:val="both"/>
        <w:rPr>
          <w:bCs/>
          <w:sz w:val="22"/>
          <w:szCs w:val="22"/>
          <w:lang w:val="sr-Latn-ME"/>
        </w:rPr>
      </w:pPr>
      <w:r w:rsidRPr="00BD2023">
        <w:rPr>
          <w:bCs/>
          <w:sz w:val="22"/>
          <w:szCs w:val="22"/>
          <w:lang w:val="sr-Latn-ME"/>
        </w:rPr>
        <w:t xml:space="preserve">Ukupno 17 pacijenata primilo je terapijsku dozu </w:t>
      </w:r>
      <w:r w:rsidR="007E5CF0" w:rsidRPr="00BD2023">
        <w:rPr>
          <w:bCs/>
          <w:sz w:val="22"/>
          <w:szCs w:val="22"/>
          <w:lang w:val="sr-Latn-ME"/>
        </w:rPr>
        <w:t>lijek</w:t>
      </w:r>
      <w:r w:rsidRPr="00BD2023">
        <w:rPr>
          <w:bCs/>
          <w:sz w:val="22"/>
          <w:szCs w:val="22"/>
          <w:lang w:val="sr-Latn-ME"/>
        </w:rPr>
        <w:t xml:space="preserve">a Evrysdi (dozu izabranu za 2. </w:t>
      </w:r>
      <w:r w:rsidR="00B744E8" w:rsidRPr="00BD2023">
        <w:rPr>
          <w:bCs/>
          <w:sz w:val="22"/>
          <w:szCs w:val="22"/>
          <w:lang w:val="sr-Latn-ME"/>
        </w:rPr>
        <w:t>dio</w:t>
      </w:r>
      <w:r w:rsidRPr="00BD2023">
        <w:rPr>
          <w:bCs/>
          <w:sz w:val="22"/>
          <w:szCs w:val="22"/>
          <w:lang w:val="sr-Latn-ME"/>
        </w:rPr>
        <w:t>). Nakon 12 m</w:t>
      </w:r>
      <w:r w:rsidR="00C02A23" w:rsidRPr="00BD2023">
        <w:rPr>
          <w:bCs/>
          <w:sz w:val="22"/>
          <w:szCs w:val="22"/>
          <w:lang w:val="sr-Latn-ME"/>
        </w:rPr>
        <w:t>j</w:t>
      </w:r>
      <w:r w:rsidRPr="00BD2023">
        <w:rPr>
          <w:bCs/>
          <w:sz w:val="22"/>
          <w:szCs w:val="22"/>
          <w:lang w:val="sr-Latn-ME"/>
        </w:rPr>
        <w:t xml:space="preserve">eseci terapije, 41% (7/17) tih pacijenata bilo je </w:t>
      </w:r>
      <w:r w:rsidR="00815E2C" w:rsidRPr="00BD2023">
        <w:rPr>
          <w:bCs/>
          <w:sz w:val="22"/>
          <w:szCs w:val="22"/>
          <w:lang w:val="sr-Latn-ME"/>
        </w:rPr>
        <w:t>sposobno da samostalno</w:t>
      </w:r>
      <w:r w:rsidRPr="00BD2023">
        <w:rPr>
          <w:bCs/>
          <w:sz w:val="22"/>
          <w:szCs w:val="22"/>
          <w:lang w:val="sr-Latn-ME"/>
        </w:rPr>
        <w:t xml:space="preserve"> s</w:t>
      </w:r>
      <w:r w:rsidR="00C02A23" w:rsidRPr="00BD2023">
        <w:rPr>
          <w:bCs/>
          <w:sz w:val="22"/>
          <w:szCs w:val="22"/>
          <w:lang w:val="sr-Latn-ME"/>
        </w:rPr>
        <w:t>j</w:t>
      </w:r>
      <w:r w:rsidRPr="00BD2023">
        <w:rPr>
          <w:bCs/>
          <w:sz w:val="22"/>
          <w:szCs w:val="22"/>
          <w:lang w:val="sr-Latn-ME"/>
        </w:rPr>
        <w:t>edi barem 5 sekundi (BSID-III, stavka 22). Nakon 24 </w:t>
      </w:r>
      <w:r w:rsidR="005D411F" w:rsidRPr="00BD2023">
        <w:rPr>
          <w:bCs/>
          <w:sz w:val="22"/>
          <w:szCs w:val="22"/>
          <w:lang w:val="sr-Latn-ME"/>
        </w:rPr>
        <w:t xml:space="preserve">mjeseca </w:t>
      </w:r>
      <w:r w:rsidRPr="00BD2023">
        <w:rPr>
          <w:bCs/>
          <w:sz w:val="22"/>
          <w:szCs w:val="22"/>
          <w:lang w:val="sr-Latn-ME"/>
        </w:rPr>
        <w:t xml:space="preserve">terapije, još 3 pacijenta koja su primala terapijsku dozu bila su u stanju da </w:t>
      </w:r>
      <w:r w:rsidR="00815E2C" w:rsidRPr="00BD2023">
        <w:rPr>
          <w:bCs/>
          <w:sz w:val="22"/>
          <w:szCs w:val="22"/>
          <w:lang w:val="sr-Latn-ME"/>
        </w:rPr>
        <w:t xml:space="preserve">samostalno </w:t>
      </w:r>
      <w:r w:rsidRPr="00BD2023">
        <w:rPr>
          <w:bCs/>
          <w:sz w:val="22"/>
          <w:szCs w:val="22"/>
          <w:lang w:val="sr-Latn-ME"/>
        </w:rPr>
        <w:t>s</w:t>
      </w:r>
      <w:r w:rsidR="00C02A23" w:rsidRPr="00BD2023">
        <w:rPr>
          <w:bCs/>
          <w:sz w:val="22"/>
          <w:szCs w:val="22"/>
          <w:lang w:val="sr-Latn-ME"/>
        </w:rPr>
        <w:t>j</w:t>
      </w:r>
      <w:r w:rsidRPr="00BD2023">
        <w:rPr>
          <w:bCs/>
          <w:sz w:val="22"/>
          <w:szCs w:val="22"/>
          <w:lang w:val="sr-Latn-ME"/>
        </w:rPr>
        <w:t xml:space="preserve">ede barem 5 sekundi, što </w:t>
      </w:r>
      <w:r w:rsidR="00815E2C" w:rsidRPr="00BD2023">
        <w:rPr>
          <w:bCs/>
          <w:sz w:val="22"/>
          <w:szCs w:val="22"/>
          <w:lang w:val="sr-Latn-ME"/>
        </w:rPr>
        <w:t>znači da je</w:t>
      </w:r>
      <w:r w:rsidRPr="00BD2023">
        <w:rPr>
          <w:bCs/>
          <w:sz w:val="22"/>
          <w:szCs w:val="22"/>
          <w:lang w:val="sr-Latn-ME"/>
        </w:rPr>
        <w:t xml:space="preserve"> ukupno 10 pacijenata (59%) postigl</w:t>
      </w:r>
      <w:r w:rsidR="00815E2C" w:rsidRPr="00BD2023">
        <w:rPr>
          <w:bCs/>
          <w:sz w:val="22"/>
          <w:szCs w:val="22"/>
          <w:lang w:val="sr-Latn-ME"/>
        </w:rPr>
        <w:t>o</w:t>
      </w:r>
      <w:r w:rsidRPr="00BD2023">
        <w:rPr>
          <w:bCs/>
          <w:sz w:val="22"/>
          <w:szCs w:val="22"/>
          <w:lang w:val="sr-Latn-ME"/>
        </w:rPr>
        <w:t xml:space="preserve"> taj značaj</w:t>
      </w:r>
      <w:r w:rsidR="00815E2C" w:rsidRPr="00BD2023">
        <w:rPr>
          <w:bCs/>
          <w:sz w:val="22"/>
          <w:szCs w:val="22"/>
          <w:lang w:val="sr-Latn-ME"/>
        </w:rPr>
        <w:t>an</w:t>
      </w:r>
      <w:r w:rsidRPr="00BD2023">
        <w:rPr>
          <w:bCs/>
          <w:sz w:val="22"/>
          <w:szCs w:val="22"/>
          <w:lang w:val="sr-Latn-ME"/>
        </w:rPr>
        <w:t xml:space="preserve"> motorički cilj.</w:t>
      </w:r>
    </w:p>
    <w:p w14:paraId="3C8CD5AD" w14:textId="77777777" w:rsidR="00F77D20" w:rsidRPr="00BD2023" w:rsidRDefault="00F77D20" w:rsidP="00BC480A">
      <w:pPr>
        <w:tabs>
          <w:tab w:val="left" w:pos="540"/>
          <w:tab w:val="left" w:pos="569"/>
        </w:tabs>
        <w:jc w:val="both"/>
        <w:rPr>
          <w:bCs/>
          <w:sz w:val="22"/>
          <w:szCs w:val="22"/>
          <w:lang w:val="sr-Latn-ME"/>
        </w:rPr>
      </w:pPr>
    </w:p>
    <w:p w14:paraId="01EE207F" w14:textId="0C462F80" w:rsidR="00F77D20" w:rsidRPr="00BD2023" w:rsidRDefault="00F77D20" w:rsidP="00BC480A">
      <w:pPr>
        <w:tabs>
          <w:tab w:val="left" w:pos="540"/>
          <w:tab w:val="left" w:pos="569"/>
        </w:tabs>
        <w:jc w:val="both"/>
        <w:rPr>
          <w:bCs/>
          <w:sz w:val="22"/>
          <w:szCs w:val="22"/>
          <w:lang w:val="sr-Latn-ME"/>
        </w:rPr>
      </w:pPr>
      <w:r w:rsidRPr="00BD2023">
        <w:rPr>
          <w:bCs/>
          <w:sz w:val="22"/>
          <w:szCs w:val="22"/>
          <w:lang w:val="sr-Latn-ME"/>
        </w:rPr>
        <w:t>Nakon 12 m</w:t>
      </w:r>
      <w:r w:rsidR="00C02A23" w:rsidRPr="00BD2023">
        <w:rPr>
          <w:bCs/>
          <w:sz w:val="22"/>
          <w:szCs w:val="22"/>
          <w:lang w:val="sr-Latn-ME"/>
        </w:rPr>
        <w:t>j</w:t>
      </w:r>
      <w:r w:rsidRPr="00BD2023">
        <w:rPr>
          <w:bCs/>
          <w:sz w:val="22"/>
          <w:szCs w:val="22"/>
          <w:lang w:val="sr-Latn-ME"/>
        </w:rPr>
        <w:t>eseci l</w:t>
      </w:r>
      <w:r w:rsidR="00C02A23" w:rsidRPr="00BD2023">
        <w:rPr>
          <w:bCs/>
          <w:sz w:val="22"/>
          <w:szCs w:val="22"/>
          <w:lang w:val="sr-Latn-ME"/>
        </w:rPr>
        <w:t>ij</w:t>
      </w:r>
      <w:r w:rsidRPr="00BD2023">
        <w:rPr>
          <w:bCs/>
          <w:sz w:val="22"/>
          <w:szCs w:val="22"/>
          <w:lang w:val="sr-Latn-ME"/>
        </w:rPr>
        <w:t xml:space="preserve">ečenja, 90% (19/21) pacijenata bilo je živo i bez događaja (bez trajne ventilacije) i dostiglo je uzrast od 15 </w:t>
      </w:r>
      <w:r w:rsidR="00B744E8" w:rsidRPr="00BD2023">
        <w:rPr>
          <w:bCs/>
          <w:sz w:val="22"/>
          <w:szCs w:val="22"/>
          <w:lang w:val="sr-Latn-ME"/>
        </w:rPr>
        <w:t>mjesec</w:t>
      </w:r>
      <w:r w:rsidRPr="00BD2023">
        <w:rPr>
          <w:bCs/>
          <w:sz w:val="22"/>
          <w:szCs w:val="22"/>
          <w:lang w:val="sr-Latn-ME"/>
        </w:rPr>
        <w:t xml:space="preserve">i ili stariji. Nakon najmanje </w:t>
      </w:r>
      <w:r w:rsidR="000D7A7C" w:rsidRPr="00BD2023">
        <w:rPr>
          <w:bCs/>
          <w:sz w:val="22"/>
          <w:szCs w:val="22"/>
          <w:lang w:val="sr-Latn-ME"/>
        </w:rPr>
        <w:t>33</w:t>
      </w:r>
      <w:r w:rsidRPr="00BD2023">
        <w:rPr>
          <w:bCs/>
          <w:sz w:val="22"/>
          <w:szCs w:val="22"/>
          <w:lang w:val="sr-Latn-ME"/>
        </w:rPr>
        <w:t xml:space="preserve"> </w:t>
      </w:r>
      <w:r w:rsidR="00B744E8" w:rsidRPr="00BD2023">
        <w:rPr>
          <w:bCs/>
          <w:sz w:val="22"/>
          <w:szCs w:val="22"/>
          <w:lang w:val="sr-Latn-ME"/>
        </w:rPr>
        <w:t>mjesec</w:t>
      </w:r>
      <w:r w:rsidRPr="00BD2023">
        <w:rPr>
          <w:bCs/>
          <w:sz w:val="22"/>
          <w:szCs w:val="22"/>
          <w:lang w:val="sr-Latn-ME"/>
        </w:rPr>
        <w:t>a l</w:t>
      </w:r>
      <w:r w:rsidR="00C02A23" w:rsidRPr="00BD2023">
        <w:rPr>
          <w:bCs/>
          <w:sz w:val="22"/>
          <w:szCs w:val="22"/>
          <w:lang w:val="sr-Latn-ME"/>
        </w:rPr>
        <w:t>ij</w:t>
      </w:r>
      <w:r w:rsidRPr="00BD2023">
        <w:rPr>
          <w:bCs/>
          <w:sz w:val="22"/>
          <w:szCs w:val="22"/>
          <w:lang w:val="sr-Latn-ME"/>
        </w:rPr>
        <w:t xml:space="preserve">ečenja, 81% (17/21) pacijenata bilo je živo i bez događaja i dostiglo je uzrast od </w:t>
      </w:r>
      <w:r w:rsidR="000D7A7C" w:rsidRPr="00BD2023">
        <w:rPr>
          <w:bCs/>
          <w:sz w:val="22"/>
          <w:szCs w:val="22"/>
          <w:lang w:val="sr-Latn-ME"/>
        </w:rPr>
        <w:t>37</w:t>
      </w:r>
      <w:r w:rsidRPr="00BD2023">
        <w:rPr>
          <w:bCs/>
          <w:sz w:val="22"/>
          <w:szCs w:val="22"/>
          <w:lang w:val="sr-Latn-ME"/>
        </w:rPr>
        <w:t xml:space="preserve"> m</w:t>
      </w:r>
      <w:r w:rsidR="00C02A23" w:rsidRPr="00BD2023">
        <w:rPr>
          <w:bCs/>
          <w:sz w:val="22"/>
          <w:szCs w:val="22"/>
          <w:lang w:val="sr-Latn-ME"/>
        </w:rPr>
        <w:t>j</w:t>
      </w:r>
      <w:r w:rsidRPr="00BD2023">
        <w:rPr>
          <w:bCs/>
          <w:sz w:val="22"/>
          <w:szCs w:val="22"/>
          <w:lang w:val="sr-Latn-ME"/>
        </w:rPr>
        <w:t xml:space="preserve">eseci ili stariji (medijana </w:t>
      </w:r>
      <w:r w:rsidR="000D7A7C" w:rsidRPr="00BD2023">
        <w:rPr>
          <w:bCs/>
          <w:sz w:val="22"/>
          <w:szCs w:val="22"/>
          <w:lang w:val="sr-Latn-ME"/>
        </w:rPr>
        <w:t>41</w:t>
      </w:r>
      <w:r w:rsidRPr="00BD2023">
        <w:rPr>
          <w:bCs/>
          <w:sz w:val="22"/>
          <w:szCs w:val="22"/>
          <w:lang w:val="sr-Latn-ME"/>
        </w:rPr>
        <w:t> </w:t>
      </w:r>
      <w:r w:rsidR="00B744E8" w:rsidRPr="00BD2023">
        <w:rPr>
          <w:bCs/>
          <w:sz w:val="22"/>
          <w:szCs w:val="22"/>
          <w:lang w:val="sr-Latn-ME"/>
        </w:rPr>
        <w:t>mjesec</w:t>
      </w:r>
      <w:r w:rsidRPr="00BD2023">
        <w:rPr>
          <w:bCs/>
          <w:sz w:val="22"/>
          <w:szCs w:val="22"/>
          <w:lang w:val="sr-Latn-ME"/>
        </w:rPr>
        <w:t xml:space="preserve">; raspon od </w:t>
      </w:r>
      <w:r w:rsidR="000D7A7C" w:rsidRPr="00BD2023">
        <w:rPr>
          <w:bCs/>
          <w:sz w:val="22"/>
          <w:szCs w:val="22"/>
          <w:lang w:val="sr-Latn-ME"/>
        </w:rPr>
        <w:t>37</w:t>
      </w:r>
      <w:r w:rsidRPr="00BD2023">
        <w:rPr>
          <w:bCs/>
          <w:sz w:val="22"/>
          <w:szCs w:val="22"/>
          <w:lang w:val="sr-Latn-ME"/>
        </w:rPr>
        <w:t xml:space="preserve"> do </w:t>
      </w:r>
      <w:r w:rsidR="000D7A7C" w:rsidRPr="00BD2023">
        <w:rPr>
          <w:bCs/>
          <w:sz w:val="22"/>
          <w:szCs w:val="22"/>
          <w:lang w:val="sr-Latn-ME"/>
        </w:rPr>
        <w:t>53</w:t>
      </w:r>
      <w:r w:rsidRPr="00BD2023">
        <w:rPr>
          <w:bCs/>
          <w:sz w:val="22"/>
          <w:szCs w:val="22"/>
          <w:lang w:val="sr-Latn-ME"/>
        </w:rPr>
        <w:t xml:space="preserve"> </w:t>
      </w:r>
      <w:r w:rsidR="00B744E8" w:rsidRPr="00BD2023">
        <w:rPr>
          <w:bCs/>
          <w:sz w:val="22"/>
          <w:szCs w:val="22"/>
          <w:lang w:val="sr-Latn-ME"/>
        </w:rPr>
        <w:t>mjesec</w:t>
      </w:r>
      <w:r w:rsidR="000D7A7C" w:rsidRPr="00BD2023">
        <w:rPr>
          <w:bCs/>
          <w:sz w:val="22"/>
          <w:szCs w:val="22"/>
          <w:lang w:val="sr-Latn-ME"/>
        </w:rPr>
        <w:t>a</w:t>
      </w:r>
      <w:r w:rsidRPr="00BD2023">
        <w:rPr>
          <w:bCs/>
          <w:sz w:val="22"/>
          <w:szCs w:val="22"/>
          <w:lang w:val="sr-Latn-ME"/>
        </w:rPr>
        <w:t xml:space="preserve">), </w:t>
      </w:r>
      <w:r w:rsidR="005D411F" w:rsidRPr="00BD2023">
        <w:rPr>
          <w:bCs/>
          <w:sz w:val="22"/>
          <w:szCs w:val="22"/>
          <w:lang w:val="sr-Latn-ME"/>
        </w:rPr>
        <w:t>vidjeti</w:t>
      </w:r>
      <w:r w:rsidRPr="00BD2023">
        <w:rPr>
          <w:bCs/>
          <w:sz w:val="22"/>
          <w:szCs w:val="22"/>
          <w:lang w:val="sr-Latn-ME"/>
        </w:rPr>
        <w:t xml:space="preserve"> sliku 1. T</w:t>
      </w:r>
      <w:r w:rsidR="00524FD5" w:rsidRPr="00BD2023">
        <w:rPr>
          <w:bCs/>
          <w:sz w:val="22"/>
          <w:szCs w:val="22"/>
          <w:lang w:val="sr-Latn-ME"/>
        </w:rPr>
        <w:t>r</w:t>
      </w:r>
      <w:r w:rsidRPr="00BD2023">
        <w:rPr>
          <w:bCs/>
          <w:sz w:val="22"/>
          <w:szCs w:val="22"/>
          <w:lang w:val="sr-Latn-ME"/>
        </w:rPr>
        <w:t>i pacijent</w:t>
      </w:r>
      <w:r w:rsidR="00524FD5" w:rsidRPr="00BD2023">
        <w:rPr>
          <w:bCs/>
          <w:sz w:val="22"/>
          <w:szCs w:val="22"/>
          <w:lang w:val="sr-Latn-ME"/>
        </w:rPr>
        <w:t>a</w:t>
      </w:r>
      <w:r w:rsidRPr="00BD2023">
        <w:rPr>
          <w:bCs/>
          <w:sz w:val="22"/>
          <w:szCs w:val="22"/>
          <w:lang w:val="sr-Latn-ME"/>
        </w:rPr>
        <w:t xml:space="preserve"> su preminul</w:t>
      </w:r>
      <w:r w:rsidR="00524FD5" w:rsidRPr="00BD2023">
        <w:rPr>
          <w:bCs/>
          <w:sz w:val="22"/>
          <w:szCs w:val="22"/>
          <w:lang w:val="sr-Latn-ME"/>
        </w:rPr>
        <w:t>a</w:t>
      </w:r>
      <w:r w:rsidRPr="00BD2023">
        <w:rPr>
          <w:bCs/>
          <w:sz w:val="22"/>
          <w:szCs w:val="22"/>
          <w:lang w:val="sr-Latn-ME"/>
        </w:rPr>
        <w:t xml:space="preserve"> tokom l</w:t>
      </w:r>
      <w:r w:rsidR="00C02A23" w:rsidRPr="00BD2023">
        <w:rPr>
          <w:bCs/>
          <w:sz w:val="22"/>
          <w:szCs w:val="22"/>
          <w:lang w:val="sr-Latn-ME"/>
        </w:rPr>
        <w:t>ij</w:t>
      </w:r>
      <w:r w:rsidRPr="00BD2023">
        <w:rPr>
          <w:bCs/>
          <w:sz w:val="22"/>
          <w:szCs w:val="22"/>
          <w:lang w:val="sr-Latn-ME"/>
        </w:rPr>
        <w:t>ečenja, a jedan pacijent je preminuo 3,5 m</w:t>
      </w:r>
      <w:r w:rsidR="00C02A23" w:rsidRPr="00BD2023">
        <w:rPr>
          <w:bCs/>
          <w:sz w:val="22"/>
          <w:szCs w:val="22"/>
          <w:lang w:val="sr-Latn-ME"/>
        </w:rPr>
        <w:t>j</w:t>
      </w:r>
      <w:r w:rsidRPr="00BD2023">
        <w:rPr>
          <w:bCs/>
          <w:sz w:val="22"/>
          <w:szCs w:val="22"/>
          <w:lang w:val="sr-Latn-ME"/>
        </w:rPr>
        <w:t>eseci nakon prekida terapije.</w:t>
      </w:r>
    </w:p>
    <w:p w14:paraId="27616907" w14:textId="77777777" w:rsidR="00F77D20" w:rsidRPr="00BD2023" w:rsidRDefault="00F77D20" w:rsidP="00BC480A">
      <w:pPr>
        <w:tabs>
          <w:tab w:val="left" w:pos="540"/>
          <w:tab w:val="left" w:pos="569"/>
        </w:tabs>
        <w:jc w:val="both"/>
        <w:rPr>
          <w:bCs/>
          <w:i/>
          <w:sz w:val="22"/>
          <w:szCs w:val="22"/>
          <w:lang w:val="sr-Latn-ME"/>
        </w:rPr>
      </w:pPr>
    </w:p>
    <w:p w14:paraId="5F06F08F" w14:textId="7B98ED68" w:rsidR="00F77D20" w:rsidRPr="00BD2023" w:rsidRDefault="00F77D20" w:rsidP="00BC480A">
      <w:pPr>
        <w:tabs>
          <w:tab w:val="left" w:pos="540"/>
          <w:tab w:val="left" w:pos="569"/>
        </w:tabs>
        <w:jc w:val="both"/>
        <w:rPr>
          <w:bCs/>
          <w:i/>
          <w:sz w:val="22"/>
          <w:szCs w:val="22"/>
          <w:lang w:val="sr-Latn-ME"/>
        </w:rPr>
      </w:pPr>
      <w:r w:rsidRPr="00BD2023">
        <w:rPr>
          <w:bCs/>
          <w:i/>
          <w:iCs/>
          <w:sz w:val="22"/>
          <w:szCs w:val="22"/>
          <w:lang w:val="sr-Latn-ME"/>
        </w:rPr>
        <w:t>SMA</w:t>
      </w:r>
      <w:r w:rsidR="00A81932" w:rsidRPr="00BD2023">
        <w:rPr>
          <w:bCs/>
          <w:i/>
          <w:iCs/>
          <w:sz w:val="22"/>
          <w:szCs w:val="22"/>
          <w:lang w:val="sr-Latn-ME"/>
        </w:rPr>
        <w:t xml:space="preserve"> sa kasnijim početkom</w:t>
      </w:r>
    </w:p>
    <w:p w14:paraId="28478594" w14:textId="77777777" w:rsidR="00F77D20" w:rsidRPr="00BD2023" w:rsidRDefault="00F77D20" w:rsidP="00BC480A">
      <w:pPr>
        <w:tabs>
          <w:tab w:val="left" w:pos="540"/>
          <w:tab w:val="left" w:pos="569"/>
        </w:tabs>
        <w:jc w:val="both"/>
        <w:rPr>
          <w:bCs/>
          <w:sz w:val="22"/>
          <w:szCs w:val="22"/>
          <w:lang w:val="sr-Latn-ME"/>
        </w:rPr>
      </w:pPr>
    </w:p>
    <w:p w14:paraId="5ADC3A42" w14:textId="40345D50" w:rsidR="00F77D20" w:rsidRPr="00BD2023" w:rsidRDefault="00F77D20" w:rsidP="00BC480A">
      <w:pPr>
        <w:tabs>
          <w:tab w:val="left" w:pos="540"/>
          <w:tab w:val="left" w:pos="569"/>
        </w:tabs>
        <w:jc w:val="both"/>
        <w:rPr>
          <w:bCs/>
          <w:sz w:val="22"/>
          <w:szCs w:val="22"/>
          <w:lang w:val="sr-Latn-ME"/>
        </w:rPr>
      </w:pPr>
      <w:r w:rsidRPr="00BD2023">
        <w:rPr>
          <w:bCs/>
          <w:sz w:val="22"/>
          <w:szCs w:val="22"/>
          <w:lang w:val="sr-Latn-ME"/>
        </w:rPr>
        <w:t xml:space="preserve">Studija BP39055 (SUNFISH) je </w:t>
      </w:r>
      <w:r w:rsidR="00BD2023" w:rsidRPr="00BD2023">
        <w:rPr>
          <w:bCs/>
          <w:sz w:val="22"/>
          <w:szCs w:val="22"/>
          <w:lang w:val="sr-Latn-ME"/>
        </w:rPr>
        <w:t>dvodijelna</w:t>
      </w:r>
      <w:r w:rsidR="005E3224" w:rsidRPr="00BD2023">
        <w:rPr>
          <w:bCs/>
          <w:sz w:val="22"/>
          <w:szCs w:val="22"/>
          <w:lang w:val="sr-Latn-ME"/>
        </w:rPr>
        <w:t xml:space="preserve"> </w:t>
      </w:r>
      <w:r w:rsidRPr="00BD2023">
        <w:rPr>
          <w:bCs/>
          <w:sz w:val="22"/>
          <w:szCs w:val="22"/>
          <w:lang w:val="sr-Latn-ME"/>
        </w:rPr>
        <w:t>multicentrična studija za ispitivanje efikasnosti, bezb</w:t>
      </w:r>
      <w:r w:rsidR="00C02A23" w:rsidRPr="00BD2023">
        <w:rPr>
          <w:bCs/>
          <w:sz w:val="22"/>
          <w:szCs w:val="22"/>
          <w:lang w:val="sr-Latn-ME"/>
        </w:rPr>
        <w:t>j</w:t>
      </w:r>
      <w:r w:rsidRPr="00BD2023">
        <w:rPr>
          <w:bCs/>
          <w:sz w:val="22"/>
          <w:szCs w:val="22"/>
          <w:lang w:val="sr-Latn-ME"/>
        </w:rPr>
        <w:t xml:space="preserve">ednosti, farmakokinetike i farmakodinamike </w:t>
      </w:r>
      <w:r w:rsidR="007E5CF0" w:rsidRPr="00BD2023">
        <w:rPr>
          <w:bCs/>
          <w:sz w:val="22"/>
          <w:szCs w:val="22"/>
          <w:lang w:val="sr-Latn-ME"/>
        </w:rPr>
        <w:t>lijek</w:t>
      </w:r>
      <w:r w:rsidRPr="00BD2023">
        <w:rPr>
          <w:bCs/>
          <w:sz w:val="22"/>
          <w:szCs w:val="22"/>
          <w:lang w:val="sr-Latn-ME"/>
        </w:rPr>
        <w:t xml:space="preserve">a Evrysdi kod pacijenata sa SMA tip 2 ili tip 3 u uzrastu od 2 do 25 godina. Prvi </w:t>
      </w:r>
      <w:r w:rsidR="00B744E8" w:rsidRPr="00BD2023">
        <w:rPr>
          <w:bCs/>
          <w:sz w:val="22"/>
          <w:szCs w:val="22"/>
          <w:lang w:val="sr-Latn-ME"/>
        </w:rPr>
        <w:t>dio</w:t>
      </w:r>
      <w:r w:rsidRPr="00BD2023">
        <w:rPr>
          <w:bCs/>
          <w:sz w:val="22"/>
          <w:szCs w:val="22"/>
          <w:lang w:val="sr-Latn-ME"/>
        </w:rPr>
        <w:t xml:space="preserve"> bio </w:t>
      </w:r>
      <w:r w:rsidR="00CA0651" w:rsidRPr="00BD2023">
        <w:rPr>
          <w:bCs/>
          <w:sz w:val="22"/>
          <w:szCs w:val="22"/>
          <w:lang w:val="sr-Latn-ME"/>
        </w:rPr>
        <w:t xml:space="preserve">je </w:t>
      </w:r>
      <w:r w:rsidRPr="00BD2023">
        <w:rPr>
          <w:bCs/>
          <w:sz w:val="22"/>
          <w:szCs w:val="22"/>
          <w:lang w:val="sr-Latn-ME"/>
        </w:rPr>
        <w:t>eksploratorni</w:t>
      </w:r>
      <w:r w:rsidR="00CA0651" w:rsidRPr="00BD2023">
        <w:rPr>
          <w:bCs/>
          <w:sz w:val="22"/>
          <w:szCs w:val="22"/>
          <w:lang w:val="sr-Latn-ME"/>
        </w:rPr>
        <w:t xml:space="preserve"> i usmjeren na utvrđivanje</w:t>
      </w:r>
      <w:r w:rsidRPr="00BD2023">
        <w:rPr>
          <w:bCs/>
          <w:sz w:val="22"/>
          <w:szCs w:val="22"/>
          <w:lang w:val="sr-Latn-ME"/>
        </w:rPr>
        <w:t xml:space="preserve"> doze, a </w:t>
      </w:r>
      <w:r w:rsidR="00CA0651" w:rsidRPr="00BD2023">
        <w:rPr>
          <w:bCs/>
          <w:sz w:val="22"/>
          <w:szCs w:val="22"/>
          <w:lang w:val="sr-Latn-ME"/>
        </w:rPr>
        <w:t>drugi</w:t>
      </w:r>
      <w:r w:rsidRPr="00BD2023">
        <w:rPr>
          <w:bCs/>
          <w:sz w:val="22"/>
          <w:szCs w:val="22"/>
          <w:lang w:val="sr-Latn-ME"/>
        </w:rPr>
        <w:t xml:space="preserve"> </w:t>
      </w:r>
      <w:r w:rsidR="00B744E8" w:rsidRPr="00BD2023">
        <w:rPr>
          <w:bCs/>
          <w:sz w:val="22"/>
          <w:szCs w:val="22"/>
          <w:lang w:val="sr-Latn-ME"/>
        </w:rPr>
        <w:t>dio</w:t>
      </w:r>
      <w:r w:rsidRPr="00BD2023">
        <w:rPr>
          <w:bCs/>
          <w:sz w:val="22"/>
          <w:szCs w:val="22"/>
          <w:lang w:val="sr-Latn-ME"/>
        </w:rPr>
        <w:t xml:space="preserve"> je bio randomizovani, dvostruko sl</w:t>
      </w:r>
      <w:r w:rsidR="00C02A23" w:rsidRPr="00BD2023">
        <w:rPr>
          <w:bCs/>
          <w:sz w:val="22"/>
          <w:szCs w:val="22"/>
          <w:lang w:val="sr-Latn-ME"/>
        </w:rPr>
        <w:t>ij</w:t>
      </w:r>
      <w:r w:rsidRPr="00BD2023">
        <w:rPr>
          <w:bCs/>
          <w:sz w:val="22"/>
          <w:szCs w:val="22"/>
          <w:lang w:val="sr-Latn-ME"/>
        </w:rPr>
        <w:t xml:space="preserve">epi, placebom kontrolisan potvrdni </w:t>
      </w:r>
      <w:r w:rsidR="00C02A23" w:rsidRPr="00BD2023">
        <w:rPr>
          <w:bCs/>
          <w:sz w:val="22"/>
          <w:szCs w:val="22"/>
          <w:lang w:val="sr-Latn-ME"/>
        </w:rPr>
        <w:t>dio</w:t>
      </w:r>
      <w:r w:rsidRPr="00BD2023">
        <w:rPr>
          <w:bCs/>
          <w:sz w:val="22"/>
          <w:szCs w:val="22"/>
          <w:lang w:val="sr-Latn-ME"/>
        </w:rPr>
        <w:t xml:space="preserve">. Pacijenti iz </w:t>
      </w:r>
      <w:r w:rsidR="00CA0651" w:rsidRPr="00BD2023">
        <w:rPr>
          <w:bCs/>
          <w:sz w:val="22"/>
          <w:szCs w:val="22"/>
          <w:lang w:val="sr-Latn-ME"/>
        </w:rPr>
        <w:t xml:space="preserve">prvog </w:t>
      </w:r>
      <w:r w:rsidRPr="00BD2023">
        <w:rPr>
          <w:bCs/>
          <w:sz w:val="22"/>
          <w:szCs w:val="22"/>
          <w:lang w:val="sr-Latn-ME"/>
        </w:rPr>
        <w:t>d</w:t>
      </w:r>
      <w:r w:rsidR="00C02A23" w:rsidRPr="00BD2023">
        <w:rPr>
          <w:bCs/>
          <w:sz w:val="22"/>
          <w:szCs w:val="22"/>
          <w:lang w:val="sr-Latn-ME"/>
        </w:rPr>
        <w:t>ij</w:t>
      </w:r>
      <w:r w:rsidRPr="00BD2023">
        <w:rPr>
          <w:bCs/>
          <w:sz w:val="22"/>
          <w:szCs w:val="22"/>
          <w:lang w:val="sr-Latn-ME"/>
        </w:rPr>
        <w:t>ela studije ni</w:t>
      </w:r>
      <w:r w:rsidR="00CA0651" w:rsidRPr="00BD2023">
        <w:rPr>
          <w:bCs/>
          <w:sz w:val="22"/>
          <w:szCs w:val="22"/>
          <w:lang w:val="sr-Latn-ME"/>
        </w:rPr>
        <w:t>je</w:t>
      </w:r>
      <w:r w:rsidRPr="00BD2023">
        <w:rPr>
          <w:bCs/>
          <w:sz w:val="22"/>
          <w:szCs w:val="22"/>
          <w:lang w:val="sr-Latn-ME"/>
        </w:rPr>
        <w:t xml:space="preserve">su učestvovali u </w:t>
      </w:r>
      <w:r w:rsidR="00CA0651" w:rsidRPr="00BD2023">
        <w:rPr>
          <w:bCs/>
          <w:sz w:val="22"/>
          <w:szCs w:val="22"/>
          <w:lang w:val="sr-Latn-ME"/>
        </w:rPr>
        <w:t>drugom</w:t>
      </w:r>
      <w:r w:rsidRPr="00BD2023">
        <w:rPr>
          <w:bCs/>
          <w:sz w:val="22"/>
          <w:szCs w:val="22"/>
          <w:lang w:val="sr-Latn-ME"/>
        </w:rPr>
        <w:t xml:space="preserve"> </w:t>
      </w:r>
      <w:r w:rsidR="005D411F" w:rsidRPr="00BD2023">
        <w:rPr>
          <w:bCs/>
          <w:sz w:val="22"/>
          <w:szCs w:val="22"/>
          <w:lang w:val="sr-Latn-ME"/>
        </w:rPr>
        <w:t>dijelu</w:t>
      </w:r>
      <w:r w:rsidRPr="00BD2023">
        <w:rPr>
          <w:bCs/>
          <w:sz w:val="22"/>
          <w:szCs w:val="22"/>
          <w:lang w:val="sr-Latn-ME"/>
        </w:rPr>
        <w:t>.</w:t>
      </w:r>
    </w:p>
    <w:p w14:paraId="4DB3D85B" w14:textId="77777777" w:rsidR="00F77D20" w:rsidRPr="00BD2023" w:rsidRDefault="00F77D20" w:rsidP="00BC480A">
      <w:pPr>
        <w:tabs>
          <w:tab w:val="left" w:pos="540"/>
          <w:tab w:val="left" w:pos="569"/>
        </w:tabs>
        <w:jc w:val="both"/>
        <w:rPr>
          <w:bCs/>
          <w:sz w:val="22"/>
          <w:szCs w:val="22"/>
          <w:lang w:val="sr-Latn-ME"/>
        </w:rPr>
      </w:pPr>
    </w:p>
    <w:p w14:paraId="078007DC" w14:textId="7B735D29" w:rsidR="00F77D20" w:rsidRPr="00BD2023" w:rsidRDefault="00F77D20" w:rsidP="00BC480A">
      <w:pPr>
        <w:tabs>
          <w:tab w:val="left" w:pos="540"/>
          <w:tab w:val="left" w:pos="569"/>
        </w:tabs>
        <w:jc w:val="both"/>
        <w:rPr>
          <w:bCs/>
          <w:sz w:val="22"/>
          <w:szCs w:val="22"/>
          <w:lang w:val="sr-Latn-ME"/>
        </w:rPr>
      </w:pPr>
      <w:r w:rsidRPr="00BD2023">
        <w:rPr>
          <w:bCs/>
          <w:sz w:val="22"/>
          <w:szCs w:val="22"/>
          <w:lang w:val="sr-Latn-ME"/>
        </w:rPr>
        <w:t xml:space="preserve">Primarni cilj, krajnja tačka </w:t>
      </w:r>
      <w:r w:rsidR="005567CA" w:rsidRPr="00BD2023">
        <w:rPr>
          <w:bCs/>
          <w:sz w:val="22"/>
          <w:szCs w:val="22"/>
          <w:lang w:val="sr-Latn-ME"/>
        </w:rPr>
        <w:t xml:space="preserve">ishoda </w:t>
      </w:r>
      <w:r w:rsidRPr="00BD2023">
        <w:rPr>
          <w:bCs/>
          <w:sz w:val="22"/>
          <w:szCs w:val="22"/>
          <w:lang w:val="sr-Latn-ME"/>
        </w:rPr>
        <w:t>bila je prom</w:t>
      </w:r>
      <w:r w:rsidR="00C02A23" w:rsidRPr="00BD2023">
        <w:rPr>
          <w:bCs/>
          <w:sz w:val="22"/>
          <w:szCs w:val="22"/>
          <w:lang w:val="sr-Latn-ME"/>
        </w:rPr>
        <w:t>j</w:t>
      </w:r>
      <w:r w:rsidRPr="00BD2023">
        <w:rPr>
          <w:bCs/>
          <w:sz w:val="22"/>
          <w:szCs w:val="22"/>
          <w:lang w:val="sr-Latn-ME"/>
        </w:rPr>
        <w:t xml:space="preserve">ena </w:t>
      </w:r>
      <w:r w:rsidR="005567CA" w:rsidRPr="00BD2023">
        <w:rPr>
          <w:bCs/>
          <w:sz w:val="22"/>
          <w:szCs w:val="22"/>
          <w:lang w:val="sr-Latn-ME"/>
        </w:rPr>
        <w:t xml:space="preserve">rezultata na skali za mjerenje </w:t>
      </w:r>
      <w:r w:rsidR="00737925" w:rsidRPr="00BD2023">
        <w:rPr>
          <w:bCs/>
          <w:sz w:val="22"/>
          <w:szCs w:val="22"/>
          <w:lang w:val="sr-Latn-ME"/>
        </w:rPr>
        <w:t>motoričke</w:t>
      </w:r>
      <w:r w:rsidR="005567CA" w:rsidRPr="00BD2023">
        <w:rPr>
          <w:bCs/>
          <w:sz w:val="22"/>
          <w:szCs w:val="22"/>
          <w:lang w:val="sr-Latn-ME"/>
        </w:rPr>
        <w:t xml:space="preserve"> funkcije od 32. </w:t>
      </w:r>
      <w:r w:rsidR="00A76607" w:rsidRPr="00BD2023">
        <w:rPr>
          <w:bCs/>
          <w:sz w:val="22"/>
          <w:szCs w:val="22"/>
          <w:lang w:val="sr-Latn-ME"/>
        </w:rPr>
        <w:t xml:space="preserve">stavke </w:t>
      </w:r>
      <w:r w:rsidRPr="00BD2023">
        <w:rPr>
          <w:bCs/>
          <w:sz w:val="22"/>
          <w:szCs w:val="22"/>
          <w:lang w:val="sr-Latn-ME"/>
        </w:rPr>
        <w:t>(</w:t>
      </w:r>
      <w:r w:rsidR="005567CA" w:rsidRPr="00BD2023">
        <w:rPr>
          <w:bCs/>
          <w:sz w:val="22"/>
          <w:szCs w:val="22"/>
          <w:lang w:val="sr-Latn-ME"/>
        </w:rPr>
        <w:t xml:space="preserve">engl. </w:t>
      </w:r>
      <w:r w:rsidR="005567CA" w:rsidRPr="00BD2023">
        <w:rPr>
          <w:bCs/>
          <w:i/>
          <w:sz w:val="22"/>
          <w:szCs w:val="22"/>
          <w:lang w:val="sr-Latn-ME"/>
        </w:rPr>
        <w:t>Motor Function Measure-32</w:t>
      </w:r>
      <w:r w:rsidR="005567CA" w:rsidRPr="00BD2023">
        <w:rPr>
          <w:bCs/>
          <w:sz w:val="22"/>
          <w:szCs w:val="22"/>
          <w:lang w:val="sr-Latn-ME"/>
        </w:rPr>
        <w:t xml:space="preserve">, </w:t>
      </w:r>
      <w:r w:rsidRPr="00BD2023">
        <w:rPr>
          <w:bCs/>
          <w:sz w:val="22"/>
          <w:szCs w:val="22"/>
          <w:lang w:val="sr-Latn-ME"/>
        </w:rPr>
        <w:t>MFM32)</w:t>
      </w:r>
      <w:r w:rsidR="005567CA" w:rsidRPr="00BD2023">
        <w:rPr>
          <w:bCs/>
          <w:sz w:val="22"/>
          <w:szCs w:val="22"/>
          <w:lang w:val="sr-Latn-ME"/>
        </w:rPr>
        <w:t xml:space="preserve"> nakon 12 mjeseci u odnosu na početnu vrijednost</w:t>
      </w:r>
      <w:r w:rsidRPr="00BD2023">
        <w:rPr>
          <w:bCs/>
          <w:sz w:val="22"/>
          <w:szCs w:val="22"/>
          <w:lang w:val="sr-Latn-ME"/>
        </w:rPr>
        <w:t xml:space="preserve">. MFM32 </w:t>
      </w:r>
      <w:r w:rsidR="005567CA" w:rsidRPr="00BD2023">
        <w:rPr>
          <w:bCs/>
          <w:sz w:val="22"/>
          <w:szCs w:val="22"/>
          <w:lang w:val="sr-Latn-ME"/>
        </w:rPr>
        <w:t>omogućuje</w:t>
      </w:r>
      <w:r w:rsidRPr="00BD2023">
        <w:rPr>
          <w:bCs/>
          <w:sz w:val="22"/>
          <w:szCs w:val="22"/>
          <w:lang w:val="sr-Latn-ME"/>
        </w:rPr>
        <w:t xml:space="preserve"> </w:t>
      </w:r>
      <w:r w:rsidR="00BA22A4" w:rsidRPr="00BD2023">
        <w:rPr>
          <w:bCs/>
          <w:sz w:val="22"/>
          <w:szCs w:val="22"/>
          <w:lang w:val="sr-Latn-ME"/>
        </w:rPr>
        <w:t>procjen</w:t>
      </w:r>
      <w:r w:rsidRPr="00BD2023">
        <w:rPr>
          <w:bCs/>
          <w:sz w:val="22"/>
          <w:szCs w:val="22"/>
          <w:lang w:val="sr-Latn-ME"/>
        </w:rPr>
        <w:t xml:space="preserve">u širokog </w:t>
      </w:r>
      <w:r w:rsidR="005567CA" w:rsidRPr="00BD2023">
        <w:rPr>
          <w:bCs/>
          <w:sz w:val="22"/>
          <w:szCs w:val="22"/>
          <w:lang w:val="sr-Latn-ME"/>
        </w:rPr>
        <w:t xml:space="preserve">raspona </w:t>
      </w:r>
      <w:r w:rsidRPr="00BD2023">
        <w:rPr>
          <w:bCs/>
          <w:sz w:val="22"/>
          <w:szCs w:val="22"/>
          <w:lang w:val="sr-Latn-ME"/>
        </w:rPr>
        <w:t>motor</w:t>
      </w:r>
      <w:r w:rsidR="00737925" w:rsidRPr="00BD2023">
        <w:rPr>
          <w:bCs/>
          <w:sz w:val="22"/>
          <w:szCs w:val="22"/>
          <w:lang w:val="sr-Latn-ME"/>
        </w:rPr>
        <w:t>ičke</w:t>
      </w:r>
      <w:r w:rsidRPr="00BD2023">
        <w:rPr>
          <w:bCs/>
          <w:sz w:val="22"/>
          <w:szCs w:val="22"/>
          <w:lang w:val="sr-Latn-ME"/>
        </w:rPr>
        <w:t xml:space="preserve"> funkcij</w:t>
      </w:r>
      <w:r w:rsidR="005567CA" w:rsidRPr="00BD2023">
        <w:rPr>
          <w:bCs/>
          <w:sz w:val="22"/>
          <w:szCs w:val="22"/>
          <w:lang w:val="sr-Latn-ME"/>
        </w:rPr>
        <w:t>e</w:t>
      </w:r>
      <w:r w:rsidRPr="00BD2023">
        <w:rPr>
          <w:bCs/>
          <w:sz w:val="22"/>
          <w:szCs w:val="22"/>
          <w:lang w:val="sr-Latn-ME"/>
        </w:rPr>
        <w:t xml:space="preserve"> </w:t>
      </w:r>
      <w:r w:rsidR="005567CA" w:rsidRPr="00BD2023">
        <w:rPr>
          <w:bCs/>
          <w:sz w:val="22"/>
          <w:szCs w:val="22"/>
          <w:lang w:val="sr-Latn-ME"/>
        </w:rPr>
        <w:t>kod</w:t>
      </w:r>
      <w:r w:rsidRPr="00BD2023">
        <w:rPr>
          <w:bCs/>
          <w:sz w:val="22"/>
          <w:szCs w:val="22"/>
          <w:lang w:val="sr-Latn-ME"/>
        </w:rPr>
        <w:t xml:space="preserve"> pacijenata sa SMA. Ukupan MFM32 </w:t>
      </w:r>
      <w:r w:rsidR="005567CA" w:rsidRPr="00BD2023">
        <w:rPr>
          <w:bCs/>
          <w:sz w:val="22"/>
          <w:szCs w:val="22"/>
          <w:lang w:val="sr-Latn-ME"/>
        </w:rPr>
        <w:t xml:space="preserve">rezultat </w:t>
      </w:r>
      <w:r w:rsidRPr="00BD2023">
        <w:rPr>
          <w:bCs/>
          <w:sz w:val="22"/>
          <w:szCs w:val="22"/>
          <w:lang w:val="sr-Latn-ME"/>
        </w:rPr>
        <w:t xml:space="preserve">se izražava kao procenat (raspon: 0–100) maksimalnog mogućeg </w:t>
      </w:r>
      <w:r w:rsidR="005567CA" w:rsidRPr="00BD2023">
        <w:rPr>
          <w:bCs/>
          <w:sz w:val="22"/>
          <w:szCs w:val="22"/>
          <w:lang w:val="sr-Latn-ME"/>
        </w:rPr>
        <w:t>rezultata</w:t>
      </w:r>
      <w:r w:rsidRPr="00BD2023">
        <w:rPr>
          <w:bCs/>
          <w:sz w:val="22"/>
          <w:szCs w:val="22"/>
          <w:lang w:val="sr-Latn-ME"/>
        </w:rPr>
        <w:t xml:space="preserve">, </w:t>
      </w:r>
      <w:r w:rsidR="005567CA" w:rsidRPr="00BD2023">
        <w:rPr>
          <w:bCs/>
          <w:sz w:val="22"/>
          <w:szCs w:val="22"/>
          <w:lang w:val="sr-Latn-ME"/>
        </w:rPr>
        <w:t xml:space="preserve">pri čemu </w:t>
      </w:r>
      <w:r w:rsidRPr="00BD2023">
        <w:rPr>
          <w:bCs/>
          <w:sz w:val="22"/>
          <w:szCs w:val="22"/>
          <w:lang w:val="sr-Latn-ME"/>
        </w:rPr>
        <w:t xml:space="preserve">viši </w:t>
      </w:r>
      <w:r w:rsidR="005567CA" w:rsidRPr="00BD2023">
        <w:rPr>
          <w:bCs/>
          <w:sz w:val="22"/>
          <w:szCs w:val="22"/>
          <w:lang w:val="sr-Latn-ME"/>
        </w:rPr>
        <w:t xml:space="preserve">rezultati </w:t>
      </w:r>
      <w:r w:rsidRPr="00BD2023">
        <w:rPr>
          <w:bCs/>
          <w:sz w:val="22"/>
          <w:szCs w:val="22"/>
          <w:lang w:val="sr-Latn-ME"/>
        </w:rPr>
        <w:t>ukazuju na bolju motor</w:t>
      </w:r>
      <w:r w:rsidR="00737925" w:rsidRPr="00BD2023">
        <w:rPr>
          <w:bCs/>
          <w:sz w:val="22"/>
          <w:szCs w:val="22"/>
          <w:lang w:val="sr-Latn-ME"/>
        </w:rPr>
        <w:t>ičku</w:t>
      </w:r>
      <w:r w:rsidRPr="00BD2023">
        <w:rPr>
          <w:bCs/>
          <w:sz w:val="22"/>
          <w:szCs w:val="22"/>
          <w:lang w:val="sr-Latn-ME"/>
        </w:rPr>
        <w:t xml:space="preserve"> funkciju.</w:t>
      </w:r>
    </w:p>
    <w:p w14:paraId="55BA2C82" w14:textId="77777777" w:rsidR="00F77D20" w:rsidRPr="00BD2023" w:rsidRDefault="00F77D20" w:rsidP="00BC480A">
      <w:pPr>
        <w:tabs>
          <w:tab w:val="left" w:pos="540"/>
          <w:tab w:val="left" w:pos="569"/>
        </w:tabs>
        <w:jc w:val="both"/>
        <w:rPr>
          <w:bCs/>
          <w:i/>
          <w:sz w:val="22"/>
          <w:szCs w:val="22"/>
          <w:u w:val="single"/>
          <w:lang w:val="sr-Latn-ME"/>
        </w:rPr>
      </w:pPr>
    </w:p>
    <w:p w14:paraId="624A49CC" w14:textId="7E8BE3E4" w:rsidR="00F77D20" w:rsidRPr="00BD2023" w:rsidRDefault="003B6765" w:rsidP="00BC480A">
      <w:pPr>
        <w:tabs>
          <w:tab w:val="left" w:pos="540"/>
          <w:tab w:val="left" w:pos="569"/>
        </w:tabs>
        <w:jc w:val="both"/>
        <w:rPr>
          <w:bCs/>
          <w:i/>
          <w:sz w:val="22"/>
          <w:szCs w:val="22"/>
          <w:u w:val="single"/>
          <w:lang w:val="sr-Latn-ME"/>
        </w:rPr>
      </w:pPr>
      <w:r>
        <w:rPr>
          <w:bCs/>
          <w:i/>
          <w:iCs/>
          <w:sz w:val="22"/>
          <w:szCs w:val="22"/>
          <w:u w:val="single"/>
          <w:lang w:val="sr-Latn-ME"/>
        </w:rPr>
        <w:t xml:space="preserve">2. </w:t>
      </w:r>
      <w:r w:rsidR="00B744E8" w:rsidRPr="00BD2023">
        <w:rPr>
          <w:bCs/>
          <w:i/>
          <w:iCs/>
          <w:sz w:val="22"/>
          <w:szCs w:val="22"/>
          <w:u w:val="single"/>
          <w:lang w:val="sr-Latn-ME"/>
        </w:rPr>
        <w:t>dio</w:t>
      </w:r>
      <w:r w:rsidR="00F77D20" w:rsidRPr="00BD2023">
        <w:rPr>
          <w:bCs/>
          <w:i/>
          <w:iCs/>
          <w:sz w:val="22"/>
          <w:szCs w:val="22"/>
          <w:u w:val="single"/>
          <w:lang w:val="sr-Latn-ME"/>
        </w:rPr>
        <w:t xml:space="preserve"> studije SUNFISH</w:t>
      </w:r>
    </w:p>
    <w:p w14:paraId="56FDF764" w14:textId="77777777" w:rsidR="00F77D20" w:rsidRPr="00BD2023" w:rsidRDefault="00F77D20" w:rsidP="00BC480A">
      <w:pPr>
        <w:tabs>
          <w:tab w:val="left" w:pos="540"/>
          <w:tab w:val="left" w:pos="569"/>
        </w:tabs>
        <w:jc w:val="both"/>
        <w:rPr>
          <w:bCs/>
          <w:i/>
          <w:sz w:val="22"/>
          <w:szCs w:val="22"/>
          <w:u w:val="single"/>
          <w:lang w:val="sr-Latn-ME"/>
        </w:rPr>
      </w:pPr>
    </w:p>
    <w:p w14:paraId="6808A0D3" w14:textId="422804A1" w:rsidR="00F77D20" w:rsidRPr="00BD2023" w:rsidRDefault="00F77D20" w:rsidP="00BC480A">
      <w:pPr>
        <w:tabs>
          <w:tab w:val="left" w:pos="540"/>
          <w:tab w:val="left" w:pos="569"/>
        </w:tabs>
        <w:jc w:val="both"/>
        <w:rPr>
          <w:bCs/>
          <w:sz w:val="22"/>
          <w:szCs w:val="22"/>
          <w:lang w:val="sr-Latn-ME"/>
        </w:rPr>
      </w:pPr>
      <w:r w:rsidRPr="00BD2023">
        <w:rPr>
          <w:bCs/>
          <w:sz w:val="22"/>
          <w:szCs w:val="22"/>
          <w:lang w:val="sr-Latn-ME"/>
        </w:rPr>
        <w:t xml:space="preserve">Drugi </w:t>
      </w:r>
      <w:r w:rsidR="00B744E8" w:rsidRPr="00BD2023">
        <w:rPr>
          <w:bCs/>
          <w:sz w:val="22"/>
          <w:szCs w:val="22"/>
          <w:lang w:val="sr-Latn-ME"/>
        </w:rPr>
        <w:t>dio</w:t>
      </w:r>
      <w:r w:rsidRPr="00BD2023">
        <w:rPr>
          <w:bCs/>
          <w:sz w:val="22"/>
          <w:szCs w:val="22"/>
          <w:lang w:val="sr-Latn-ME"/>
        </w:rPr>
        <w:t xml:space="preserve"> studije SUNFISH je randomizovani, dvostruko sl</w:t>
      </w:r>
      <w:r w:rsidR="00C02A23" w:rsidRPr="00BD2023">
        <w:rPr>
          <w:bCs/>
          <w:sz w:val="22"/>
          <w:szCs w:val="22"/>
          <w:lang w:val="sr-Latn-ME"/>
        </w:rPr>
        <w:t>ij</w:t>
      </w:r>
      <w:r w:rsidRPr="00BD2023">
        <w:rPr>
          <w:bCs/>
          <w:sz w:val="22"/>
          <w:szCs w:val="22"/>
          <w:lang w:val="sr-Latn-ME"/>
        </w:rPr>
        <w:t xml:space="preserve">epi, placebom kontrolisani </w:t>
      </w:r>
      <w:r w:rsidR="00B744E8" w:rsidRPr="00BD2023">
        <w:rPr>
          <w:bCs/>
          <w:sz w:val="22"/>
          <w:szCs w:val="22"/>
          <w:lang w:val="sr-Latn-ME"/>
        </w:rPr>
        <w:t>dio</w:t>
      </w:r>
      <w:r w:rsidRPr="00BD2023">
        <w:rPr>
          <w:bCs/>
          <w:sz w:val="22"/>
          <w:szCs w:val="22"/>
          <w:lang w:val="sr-Latn-ME"/>
        </w:rPr>
        <w:t xml:space="preserve"> studije SUNFISH sa 180 neambulatornih pacijenata sa SMA tip 2 (71%) ili tip 3 (29%). Pacijenti su randomizovani u odnosu 2:1 </w:t>
      </w:r>
      <w:r w:rsidR="00781531" w:rsidRPr="00BD2023">
        <w:rPr>
          <w:bCs/>
          <w:sz w:val="22"/>
          <w:szCs w:val="22"/>
          <w:lang w:val="sr-Latn-ME"/>
        </w:rPr>
        <w:t>za</w:t>
      </w:r>
      <w:r w:rsidRPr="00BD2023">
        <w:rPr>
          <w:bCs/>
          <w:sz w:val="22"/>
          <w:szCs w:val="22"/>
          <w:lang w:val="sr-Latn-ME"/>
        </w:rPr>
        <w:t xml:space="preserve"> prim</w:t>
      </w:r>
      <w:r w:rsidR="00781531" w:rsidRPr="00BD2023">
        <w:rPr>
          <w:bCs/>
          <w:sz w:val="22"/>
          <w:szCs w:val="22"/>
          <w:lang w:val="sr-Latn-ME"/>
        </w:rPr>
        <w:t>jenu</w:t>
      </w:r>
      <w:r w:rsidRPr="00BD2023">
        <w:rPr>
          <w:bCs/>
          <w:sz w:val="22"/>
          <w:szCs w:val="22"/>
          <w:lang w:val="sr-Latn-ME"/>
        </w:rPr>
        <w:t xml:space="preserve"> ili </w:t>
      </w:r>
      <w:r w:rsidR="007E5CF0" w:rsidRPr="00BD2023">
        <w:rPr>
          <w:bCs/>
          <w:sz w:val="22"/>
          <w:szCs w:val="22"/>
          <w:lang w:val="sr-Latn-ME"/>
        </w:rPr>
        <w:t>lijek</w:t>
      </w:r>
      <w:r w:rsidR="00781531" w:rsidRPr="00BD2023">
        <w:rPr>
          <w:bCs/>
          <w:sz w:val="22"/>
          <w:szCs w:val="22"/>
          <w:lang w:val="sr-Latn-ME"/>
        </w:rPr>
        <w:t>a</w:t>
      </w:r>
      <w:r w:rsidRPr="00BD2023">
        <w:rPr>
          <w:bCs/>
          <w:sz w:val="22"/>
          <w:szCs w:val="22"/>
          <w:lang w:val="sr-Latn-ME"/>
        </w:rPr>
        <w:t xml:space="preserve"> Evrysdi u terapijskoj dozi (</w:t>
      </w:r>
      <w:r w:rsidR="005D411F" w:rsidRPr="00BD2023">
        <w:rPr>
          <w:bCs/>
          <w:sz w:val="22"/>
          <w:szCs w:val="22"/>
          <w:lang w:val="sr-Latn-ME"/>
        </w:rPr>
        <w:t>vidjeti</w:t>
      </w:r>
      <w:r w:rsidRPr="00BD2023">
        <w:rPr>
          <w:bCs/>
          <w:sz w:val="22"/>
          <w:szCs w:val="22"/>
          <w:lang w:val="sr-Latn-ME"/>
        </w:rPr>
        <w:t xml:space="preserve"> </w:t>
      </w:r>
      <w:r w:rsidR="00A76607" w:rsidRPr="00BD2023">
        <w:rPr>
          <w:bCs/>
          <w:sz w:val="22"/>
          <w:szCs w:val="22"/>
          <w:lang w:val="sr-Latn-ME"/>
        </w:rPr>
        <w:t xml:space="preserve">dio </w:t>
      </w:r>
      <w:r w:rsidRPr="00BD2023">
        <w:rPr>
          <w:bCs/>
          <w:sz w:val="22"/>
          <w:szCs w:val="22"/>
          <w:lang w:val="sr-Latn-ME"/>
        </w:rPr>
        <w:t>4.2) ili placeb</w:t>
      </w:r>
      <w:r w:rsidR="00781531" w:rsidRPr="00BD2023">
        <w:rPr>
          <w:bCs/>
          <w:sz w:val="22"/>
          <w:szCs w:val="22"/>
          <w:lang w:val="sr-Latn-ME"/>
        </w:rPr>
        <w:t>a</w:t>
      </w:r>
      <w:r w:rsidRPr="00BD2023">
        <w:rPr>
          <w:bCs/>
          <w:sz w:val="22"/>
          <w:szCs w:val="22"/>
          <w:lang w:val="sr-Latn-ME"/>
        </w:rPr>
        <w:t xml:space="preserve">. Randomizacija je stratifikovana po starosnoj grupi (2 do 5, 6 do 11, 12 do 17, 18 do 25 godina života). </w:t>
      </w:r>
    </w:p>
    <w:p w14:paraId="2E0EB544" w14:textId="77777777" w:rsidR="00F77D20" w:rsidRPr="00BD2023" w:rsidRDefault="00F77D20" w:rsidP="00BC480A">
      <w:pPr>
        <w:tabs>
          <w:tab w:val="left" w:pos="540"/>
          <w:tab w:val="left" w:pos="569"/>
        </w:tabs>
        <w:jc w:val="both"/>
        <w:rPr>
          <w:bCs/>
          <w:sz w:val="22"/>
          <w:szCs w:val="22"/>
          <w:lang w:val="sr-Latn-ME"/>
        </w:rPr>
      </w:pPr>
    </w:p>
    <w:p w14:paraId="054CB9CA" w14:textId="4E04FBD4" w:rsidR="00F77D20" w:rsidRPr="00BD2023" w:rsidRDefault="00F77D20" w:rsidP="00BC480A">
      <w:pPr>
        <w:tabs>
          <w:tab w:val="left" w:pos="540"/>
          <w:tab w:val="left" w:pos="569"/>
        </w:tabs>
        <w:jc w:val="both"/>
        <w:rPr>
          <w:bCs/>
          <w:sz w:val="22"/>
          <w:szCs w:val="22"/>
          <w:lang w:val="sr-Latn-ME"/>
        </w:rPr>
      </w:pPr>
      <w:r w:rsidRPr="00BD2023">
        <w:rPr>
          <w:bCs/>
          <w:sz w:val="22"/>
          <w:szCs w:val="22"/>
          <w:lang w:val="sr-Latn-ME"/>
        </w:rPr>
        <w:t>Medijana uzrasta pacijenata na početku l</w:t>
      </w:r>
      <w:r w:rsidR="00C02A23" w:rsidRPr="00BD2023">
        <w:rPr>
          <w:bCs/>
          <w:sz w:val="22"/>
          <w:szCs w:val="22"/>
          <w:lang w:val="sr-Latn-ME"/>
        </w:rPr>
        <w:t>ij</w:t>
      </w:r>
      <w:r w:rsidRPr="00BD2023">
        <w:rPr>
          <w:bCs/>
          <w:sz w:val="22"/>
          <w:szCs w:val="22"/>
          <w:lang w:val="sr-Latn-ME"/>
        </w:rPr>
        <w:t>ečenja bila je 9,0 godina (raspon od 2 do 25 godina), medijana vr</w:t>
      </w:r>
      <w:r w:rsidR="00BD2023">
        <w:rPr>
          <w:bCs/>
          <w:sz w:val="22"/>
          <w:szCs w:val="22"/>
          <w:lang w:val="sr-Latn-ME"/>
        </w:rPr>
        <w:t>ij</w:t>
      </w:r>
      <w:r w:rsidRPr="00BD2023">
        <w:rPr>
          <w:bCs/>
          <w:sz w:val="22"/>
          <w:szCs w:val="22"/>
          <w:lang w:val="sr-Latn-ME"/>
        </w:rPr>
        <w:t xml:space="preserve">emena između početka inicijalnih simptoma SMA do prve terapije bila je 102,6 (1-275) </w:t>
      </w:r>
      <w:r w:rsidR="00B744E8" w:rsidRPr="00BD2023">
        <w:rPr>
          <w:bCs/>
          <w:sz w:val="22"/>
          <w:szCs w:val="22"/>
          <w:lang w:val="sr-Latn-ME"/>
        </w:rPr>
        <w:t>mjesec</w:t>
      </w:r>
      <w:r w:rsidRPr="00BD2023">
        <w:rPr>
          <w:bCs/>
          <w:sz w:val="22"/>
          <w:szCs w:val="22"/>
          <w:lang w:val="sr-Latn-ME"/>
        </w:rPr>
        <w:t xml:space="preserve">i. Sveukupno, 30% je bilo uzrasta 2 do 5 godina, 32% uzrasta 6 do 11 godina, 26% uzrasta 12 do 17 godina, a 12% uzrasta 18 do 25 godina pri uključivanju u studiju. Od 180 pacijenata uključenih u studiju, 51% je bilo ženskog pola, 67% su bili </w:t>
      </w:r>
      <w:r w:rsidR="00835D8C" w:rsidRPr="00BD2023">
        <w:rPr>
          <w:bCs/>
          <w:sz w:val="22"/>
          <w:szCs w:val="22"/>
          <w:lang w:val="sr-Latn-ME"/>
        </w:rPr>
        <w:t>bijelci</w:t>
      </w:r>
      <w:r w:rsidRPr="00BD2023">
        <w:rPr>
          <w:bCs/>
          <w:sz w:val="22"/>
          <w:szCs w:val="22"/>
          <w:lang w:val="sr-Latn-ME"/>
        </w:rPr>
        <w:t>, a 19% azijskog por</w:t>
      </w:r>
      <w:r w:rsidR="00781531" w:rsidRPr="00BD2023">
        <w:rPr>
          <w:bCs/>
          <w:sz w:val="22"/>
          <w:szCs w:val="22"/>
          <w:lang w:val="sr-Latn-ME"/>
        </w:rPr>
        <w:t>ij</w:t>
      </w:r>
      <w:r w:rsidRPr="00BD2023">
        <w:rPr>
          <w:bCs/>
          <w:sz w:val="22"/>
          <w:szCs w:val="22"/>
          <w:lang w:val="sr-Latn-ME"/>
        </w:rPr>
        <w:t xml:space="preserve">ekla. Na početku je 67% pacijenata imalo skoliozu (32% pacijenata je imalo tešku skoliozu). Pacijenti su imali srednji početni </w:t>
      </w:r>
      <w:r w:rsidR="00781531" w:rsidRPr="00BD2023">
        <w:rPr>
          <w:bCs/>
          <w:sz w:val="22"/>
          <w:szCs w:val="22"/>
          <w:lang w:val="sr-Latn-ME"/>
        </w:rPr>
        <w:t xml:space="preserve">MFM32 rezultat </w:t>
      </w:r>
      <w:r w:rsidRPr="00BD2023">
        <w:rPr>
          <w:bCs/>
          <w:sz w:val="22"/>
          <w:szCs w:val="22"/>
          <w:lang w:val="sr-Latn-ME"/>
        </w:rPr>
        <w:t>od 46,1</w:t>
      </w:r>
      <w:r w:rsidR="00781531" w:rsidRPr="00BD2023">
        <w:rPr>
          <w:bCs/>
          <w:sz w:val="22"/>
          <w:szCs w:val="22"/>
          <w:lang w:val="sr-Latn-ME"/>
        </w:rPr>
        <w:t>, dok im je rezultat prema</w:t>
      </w:r>
      <w:r w:rsidRPr="00BD2023">
        <w:rPr>
          <w:bCs/>
          <w:sz w:val="22"/>
          <w:szCs w:val="22"/>
          <w:lang w:val="sr-Latn-ME"/>
        </w:rPr>
        <w:t xml:space="preserve"> Revidiran</w:t>
      </w:r>
      <w:r w:rsidR="00781531" w:rsidRPr="00BD2023">
        <w:rPr>
          <w:bCs/>
          <w:sz w:val="22"/>
          <w:szCs w:val="22"/>
          <w:lang w:val="sr-Latn-ME"/>
        </w:rPr>
        <w:t>om</w:t>
      </w:r>
      <w:r w:rsidRPr="00BD2023">
        <w:rPr>
          <w:bCs/>
          <w:sz w:val="22"/>
          <w:szCs w:val="22"/>
          <w:lang w:val="sr-Latn-ME"/>
        </w:rPr>
        <w:t xml:space="preserve"> modul</w:t>
      </w:r>
      <w:r w:rsidR="00781531" w:rsidRPr="00BD2023">
        <w:rPr>
          <w:bCs/>
          <w:sz w:val="22"/>
          <w:szCs w:val="22"/>
          <w:lang w:val="sr-Latn-ME"/>
        </w:rPr>
        <w:t>u za ocjenu gornjih</w:t>
      </w:r>
      <w:r w:rsidRPr="00BD2023">
        <w:rPr>
          <w:bCs/>
          <w:sz w:val="22"/>
          <w:szCs w:val="22"/>
          <w:lang w:val="sr-Latn-ME"/>
        </w:rPr>
        <w:t xml:space="preserve"> </w:t>
      </w:r>
      <w:r w:rsidR="00781531" w:rsidRPr="00BD2023">
        <w:rPr>
          <w:bCs/>
          <w:sz w:val="22"/>
          <w:szCs w:val="22"/>
          <w:lang w:val="sr-Latn-ME"/>
        </w:rPr>
        <w:t xml:space="preserve">ekstremiteta </w:t>
      </w:r>
      <w:r w:rsidRPr="00BD2023">
        <w:rPr>
          <w:bCs/>
          <w:sz w:val="22"/>
          <w:szCs w:val="22"/>
          <w:lang w:val="sr-Latn-ME"/>
        </w:rPr>
        <w:t>(</w:t>
      </w:r>
      <w:r w:rsidR="00781531" w:rsidRPr="00BD2023">
        <w:rPr>
          <w:bCs/>
          <w:sz w:val="22"/>
          <w:szCs w:val="22"/>
          <w:lang w:val="sr-Latn-ME"/>
        </w:rPr>
        <w:t xml:space="preserve">engl. </w:t>
      </w:r>
      <w:r w:rsidR="00781531" w:rsidRPr="00BD2023">
        <w:rPr>
          <w:bCs/>
          <w:i/>
          <w:sz w:val="22"/>
          <w:szCs w:val="22"/>
          <w:lang w:val="sr-Latn-ME"/>
        </w:rPr>
        <w:t>Revised Upper Limb Module</w:t>
      </w:r>
      <w:r w:rsidR="00781531" w:rsidRPr="00BD2023">
        <w:rPr>
          <w:bCs/>
          <w:sz w:val="22"/>
          <w:szCs w:val="22"/>
          <w:lang w:val="sr-Latn-ME"/>
        </w:rPr>
        <w:t>,</w:t>
      </w:r>
      <w:r w:rsidR="00737925" w:rsidRPr="00BD2023">
        <w:rPr>
          <w:bCs/>
          <w:sz w:val="22"/>
          <w:szCs w:val="22"/>
          <w:lang w:val="sr-Latn-ME"/>
        </w:rPr>
        <w:t xml:space="preserve"> </w:t>
      </w:r>
      <w:r w:rsidRPr="00BD2023">
        <w:rPr>
          <w:bCs/>
          <w:sz w:val="22"/>
          <w:szCs w:val="22"/>
          <w:lang w:val="sr-Latn-ME"/>
        </w:rPr>
        <w:t xml:space="preserve">RULM) </w:t>
      </w:r>
      <w:r w:rsidR="00781531" w:rsidRPr="00BD2023">
        <w:rPr>
          <w:bCs/>
          <w:sz w:val="22"/>
          <w:szCs w:val="22"/>
          <w:lang w:val="sr-Latn-ME"/>
        </w:rPr>
        <w:t xml:space="preserve">iznosio </w:t>
      </w:r>
      <w:r w:rsidRPr="00BD2023">
        <w:rPr>
          <w:bCs/>
          <w:sz w:val="22"/>
          <w:szCs w:val="22"/>
          <w:lang w:val="sr-Latn-ME"/>
        </w:rPr>
        <w:t xml:space="preserve">20,1. Demografske karakteristike na početku su bile uravnotežene između grupe koja je primala </w:t>
      </w:r>
      <w:r w:rsidR="007E5CF0" w:rsidRPr="00BD2023">
        <w:rPr>
          <w:bCs/>
          <w:sz w:val="22"/>
          <w:szCs w:val="22"/>
          <w:lang w:val="sr-Latn-ME"/>
        </w:rPr>
        <w:t>lijek</w:t>
      </w:r>
      <w:r w:rsidRPr="00BD2023">
        <w:rPr>
          <w:bCs/>
          <w:sz w:val="22"/>
          <w:szCs w:val="22"/>
          <w:lang w:val="sr-Latn-ME"/>
        </w:rPr>
        <w:t xml:space="preserve"> Evrysdi i grupe koja je primala placebo, uz izuzetak skolioze (</w:t>
      </w:r>
      <w:r w:rsidR="00781531" w:rsidRPr="00BD2023">
        <w:rPr>
          <w:bCs/>
          <w:sz w:val="22"/>
          <w:szCs w:val="22"/>
          <w:lang w:val="sr-Latn-ME"/>
        </w:rPr>
        <w:t xml:space="preserve">koju je imalo </w:t>
      </w:r>
      <w:r w:rsidRPr="00BD2023">
        <w:rPr>
          <w:bCs/>
          <w:sz w:val="22"/>
          <w:szCs w:val="22"/>
          <w:lang w:val="sr-Latn-ME"/>
        </w:rPr>
        <w:t xml:space="preserve">63% pacijenata iz grupe koja je primala </w:t>
      </w:r>
      <w:r w:rsidR="007E5CF0" w:rsidRPr="00BD2023">
        <w:rPr>
          <w:bCs/>
          <w:sz w:val="22"/>
          <w:szCs w:val="22"/>
          <w:lang w:val="sr-Latn-ME"/>
        </w:rPr>
        <w:t>lijek</w:t>
      </w:r>
      <w:r w:rsidRPr="00BD2023">
        <w:rPr>
          <w:bCs/>
          <w:sz w:val="22"/>
          <w:szCs w:val="22"/>
          <w:lang w:val="sr-Latn-ME"/>
        </w:rPr>
        <w:t xml:space="preserve"> Evrysdi i 73% pacijenata iz kontrolne grupe koja je primala placebo). </w:t>
      </w:r>
    </w:p>
    <w:p w14:paraId="6B8023D1" w14:textId="77777777" w:rsidR="00F77D20" w:rsidRPr="00BD2023" w:rsidRDefault="00F77D20" w:rsidP="00BC480A">
      <w:pPr>
        <w:tabs>
          <w:tab w:val="left" w:pos="540"/>
          <w:tab w:val="left" w:pos="569"/>
        </w:tabs>
        <w:jc w:val="both"/>
        <w:rPr>
          <w:bCs/>
          <w:sz w:val="22"/>
          <w:szCs w:val="22"/>
          <w:lang w:val="sr-Latn-ME"/>
        </w:rPr>
      </w:pPr>
    </w:p>
    <w:p w14:paraId="4890A9F4" w14:textId="6FABA83D" w:rsidR="00E820E5" w:rsidRDefault="00F77D20" w:rsidP="00CB3019">
      <w:pPr>
        <w:tabs>
          <w:tab w:val="left" w:pos="540"/>
          <w:tab w:val="left" w:pos="569"/>
        </w:tabs>
        <w:jc w:val="both"/>
        <w:rPr>
          <w:bCs/>
          <w:sz w:val="22"/>
          <w:szCs w:val="22"/>
          <w:lang w:val="sr-Latn-ME"/>
        </w:rPr>
      </w:pPr>
      <w:r w:rsidRPr="00BD2023">
        <w:rPr>
          <w:bCs/>
          <w:sz w:val="22"/>
          <w:szCs w:val="22"/>
          <w:lang w:val="sr-Latn-ME"/>
        </w:rPr>
        <w:t xml:space="preserve">Primarni cilj za </w:t>
      </w:r>
      <w:r w:rsidR="00781531" w:rsidRPr="00BD2023">
        <w:rPr>
          <w:bCs/>
          <w:sz w:val="22"/>
          <w:szCs w:val="22"/>
          <w:lang w:val="sr-Latn-ME"/>
        </w:rPr>
        <w:t>drugi</w:t>
      </w:r>
      <w:r w:rsidRPr="00BD2023">
        <w:rPr>
          <w:bCs/>
          <w:sz w:val="22"/>
          <w:szCs w:val="22"/>
          <w:lang w:val="sr-Latn-ME"/>
        </w:rPr>
        <w:t xml:space="preserve"> </w:t>
      </w:r>
      <w:r w:rsidR="00C02A23" w:rsidRPr="00BD2023">
        <w:rPr>
          <w:bCs/>
          <w:sz w:val="22"/>
          <w:szCs w:val="22"/>
          <w:lang w:val="sr-Latn-ME"/>
        </w:rPr>
        <w:t xml:space="preserve">dio </w:t>
      </w:r>
      <w:r w:rsidRPr="00BD2023">
        <w:rPr>
          <w:bCs/>
          <w:sz w:val="22"/>
          <w:szCs w:val="22"/>
          <w:lang w:val="sr-Latn-ME"/>
        </w:rPr>
        <w:t>studije SUNFISH, je prom</w:t>
      </w:r>
      <w:r w:rsidR="00C02A23" w:rsidRPr="00BD2023">
        <w:rPr>
          <w:bCs/>
          <w:sz w:val="22"/>
          <w:szCs w:val="22"/>
          <w:lang w:val="sr-Latn-ME"/>
        </w:rPr>
        <w:t>j</w:t>
      </w:r>
      <w:r w:rsidRPr="00BD2023">
        <w:rPr>
          <w:bCs/>
          <w:sz w:val="22"/>
          <w:szCs w:val="22"/>
          <w:lang w:val="sr-Latn-ME"/>
        </w:rPr>
        <w:t xml:space="preserve">ena </w:t>
      </w:r>
      <w:r w:rsidR="00781531" w:rsidRPr="00BD2023">
        <w:rPr>
          <w:bCs/>
          <w:sz w:val="22"/>
          <w:szCs w:val="22"/>
          <w:lang w:val="sr-Latn-ME"/>
        </w:rPr>
        <w:t>ukupnog</w:t>
      </w:r>
      <w:r w:rsidRPr="00BD2023">
        <w:rPr>
          <w:bCs/>
          <w:sz w:val="22"/>
          <w:szCs w:val="22"/>
          <w:lang w:val="sr-Latn-ME"/>
        </w:rPr>
        <w:t xml:space="preserve"> MFM32</w:t>
      </w:r>
      <w:r w:rsidR="00781531" w:rsidRPr="00BD2023">
        <w:rPr>
          <w:bCs/>
          <w:sz w:val="22"/>
          <w:szCs w:val="22"/>
          <w:lang w:val="sr-Latn-ME"/>
        </w:rPr>
        <w:t xml:space="preserve"> rezultata</w:t>
      </w:r>
      <w:r w:rsidRPr="00BD2023">
        <w:rPr>
          <w:bCs/>
          <w:sz w:val="22"/>
          <w:szCs w:val="22"/>
          <w:lang w:val="sr-Latn-ME"/>
        </w:rPr>
        <w:t xml:space="preserve"> </w:t>
      </w:r>
      <w:r w:rsidR="00781531" w:rsidRPr="00BD2023">
        <w:rPr>
          <w:bCs/>
          <w:sz w:val="22"/>
          <w:szCs w:val="22"/>
          <w:lang w:val="sr-Latn-ME"/>
        </w:rPr>
        <w:t>nakon</w:t>
      </w:r>
      <w:r w:rsidRPr="00BD2023">
        <w:rPr>
          <w:bCs/>
          <w:sz w:val="22"/>
          <w:szCs w:val="22"/>
          <w:lang w:val="sr-Latn-ME"/>
        </w:rPr>
        <w:t xml:space="preserve"> 12 m</w:t>
      </w:r>
      <w:r w:rsidR="00C02A23" w:rsidRPr="00BD2023">
        <w:rPr>
          <w:bCs/>
          <w:sz w:val="22"/>
          <w:szCs w:val="22"/>
          <w:lang w:val="sr-Latn-ME"/>
        </w:rPr>
        <w:t>j</w:t>
      </w:r>
      <w:r w:rsidRPr="00BD2023">
        <w:rPr>
          <w:bCs/>
          <w:sz w:val="22"/>
          <w:szCs w:val="22"/>
          <w:lang w:val="sr-Latn-ME"/>
        </w:rPr>
        <w:t>esec</w:t>
      </w:r>
      <w:r w:rsidR="00781531" w:rsidRPr="00BD2023">
        <w:rPr>
          <w:bCs/>
          <w:sz w:val="22"/>
          <w:szCs w:val="22"/>
          <w:lang w:val="sr-Latn-ME"/>
        </w:rPr>
        <w:t>i</w:t>
      </w:r>
      <w:r w:rsidRPr="00BD2023">
        <w:rPr>
          <w:bCs/>
          <w:sz w:val="22"/>
          <w:szCs w:val="22"/>
          <w:lang w:val="sr-Latn-ME"/>
        </w:rPr>
        <w:t xml:space="preserve"> u odnosu na početnu vr</w:t>
      </w:r>
      <w:r w:rsidR="00C02A23" w:rsidRPr="00BD2023">
        <w:rPr>
          <w:bCs/>
          <w:sz w:val="22"/>
          <w:szCs w:val="22"/>
          <w:lang w:val="sr-Latn-ME"/>
        </w:rPr>
        <w:t>ij</w:t>
      </w:r>
      <w:r w:rsidRPr="00BD2023">
        <w:rPr>
          <w:bCs/>
          <w:sz w:val="22"/>
          <w:szCs w:val="22"/>
          <w:lang w:val="sr-Latn-ME"/>
        </w:rPr>
        <w:t>ednost, koja je pokazala klinički  i statistički značajnu razliku između pacijenata l</w:t>
      </w:r>
      <w:r w:rsidR="00C02A23" w:rsidRPr="00BD2023">
        <w:rPr>
          <w:bCs/>
          <w:sz w:val="22"/>
          <w:szCs w:val="22"/>
          <w:lang w:val="sr-Latn-ME"/>
        </w:rPr>
        <w:t>ij</w:t>
      </w:r>
      <w:r w:rsidRPr="00BD2023">
        <w:rPr>
          <w:bCs/>
          <w:sz w:val="22"/>
          <w:szCs w:val="22"/>
          <w:lang w:val="sr-Latn-ME"/>
        </w:rPr>
        <w:t xml:space="preserve">ečenih </w:t>
      </w:r>
      <w:r w:rsidR="007E5CF0" w:rsidRPr="00BD2023">
        <w:rPr>
          <w:bCs/>
          <w:sz w:val="22"/>
          <w:szCs w:val="22"/>
          <w:lang w:val="sr-Latn-ME"/>
        </w:rPr>
        <w:t>lijek</w:t>
      </w:r>
      <w:r w:rsidRPr="00BD2023">
        <w:rPr>
          <w:bCs/>
          <w:sz w:val="22"/>
          <w:szCs w:val="22"/>
          <w:lang w:val="sr-Latn-ME"/>
        </w:rPr>
        <w:t xml:space="preserve">om Evrysdi i onih koji su primali placebo. Rezultati analize primarnog cilja i ključnih sekundarnih ciljeva prikazani su u tabeli 4, na slici 3 i na slici 4. </w:t>
      </w:r>
    </w:p>
    <w:p w14:paraId="5A36D1E9" w14:textId="77777777" w:rsidR="00E820E5" w:rsidRPr="00BD2023" w:rsidRDefault="00E820E5" w:rsidP="00F77D20">
      <w:pPr>
        <w:tabs>
          <w:tab w:val="left" w:pos="540"/>
          <w:tab w:val="left" w:pos="569"/>
        </w:tabs>
        <w:rPr>
          <w:bCs/>
          <w:sz w:val="22"/>
          <w:szCs w:val="22"/>
          <w:lang w:val="sr-Latn-ME"/>
        </w:rPr>
      </w:pPr>
    </w:p>
    <w:p w14:paraId="4D8B410C" w14:textId="27622133" w:rsidR="00F77D20" w:rsidRPr="002164C0" w:rsidRDefault="00F77D20">
      <w:pPr>
        <w:tabs>
          <w:tab w:val="left" w:pos="540"/>
          <w:tab w:val="left" w:pos="569"/>
        </w:tabs>
        <w:rPr>
          <w:sz w:val="22"/>
          <w:szCs w:val="22"/>
          <w:lang w:val="sr-Latn-ME"/>
        </w:rPr>
      </w:pPr>
      <w:r w:rsidRPr="00BD2023">
        <w:rPr>
          <w:b/>
          <w:bCs/>
          <w:sz w:val="22"/>
          <w:szCs w:val="22"/>
          <w:lang w:val="sr-Latn-ME"/>
        </w:rPr>
        <w:t xml:space="preserve">Tabela 4. </w:t>
      </w:r>
      <w:r w:rsidR="00781531" w:rsidRPr="00BD2023">
        <w:rPr>
          <w:b/>
          <w:bCs/>
          <w:sz w:val="22"/>
          <w:szCs w:val="22"/>
          <w:lang w:val="sr-Latn-ME"/>
        </w:rPr>
        <w:t>Sažetak rezultata</w:t>
      </w:r>
      <w:r w:rsidRPr="00BD2023">
        <w:rPr>
          <w:b/>
          <w:bCs/>
          <w:sz w:val="22"/>
          <w:szCs w:val="22"/>
          <w:lang w:val="sr-Latn-ME"/>
        </w:rPr>
        <w:t xml:space="preserve"> efikasnosti kod pacijenata sa kasnijim početkom SMA </w:t>
      </w:r>
      <w:r w:rsidR="00865485" w:rsidRPr="00BD2023">
        <w:rPr>
          <w:b/>
          <w:bCs/>
          <w:sz w:val="22"/>
          <w:szCs w:val="22"/>
          <w:lang w:val="sr-Latn-ME"/>
        </w:rPr>
        <w:t>nakon</w:t>
      </w:r>
      <w:r w:rsidRPr="00BD2023">
        <w:rPr>
          <w:b/>
          <w:bCs/>
          <w:sz w:val="22"/>
          <w:szCs w:val="22"/>
          <w:lang w:val="sr-Latn-ME"/>
        </w:rPr>
        <w:t xml:space="preserve"> 12 m</w:t>
      </w:r>
      <w:r w:rsidR="00C02A23" w:rsidRPr="00BD2023">
        <w:rPr>
          <w:b/>
          <w:bCs/>
          <w:sz w:val="22"/>
          <w:szCs w:val="22"/>
          <w:lang w:val="sr-Latn-ME"/>
        </w:rPr>
        <w:t>j</w:t>
      </w:r>
      <w:r w:rsidRPr="00BD2023">
        <w:rPr>
          <w:b/>
          <w:bCs/>
          <w:sz w:val="22"/>
          <w:szCs w:val="22"/>
          <w:lang w:val="sr-Latn-ME"/>
        </w:rPr>
        <w:t>esec</w:t>
      </w:r>
      <w:r w:rsidR="00BC480A" w:rsidRPr="00BD2023">
        <w:rPr>
          <w:b/>
          <w:bCs/>
          <w:sz w:val="22"/>
          <w:szCs w:val="22"/>
          <w:lang w:val="sr-Latn-ME"/>
        </w:rPr>
        <w:t>i</w:t>
      </w:r>
      <w:r w:rsidRPr="00BD2023">
        <w:rPr>
          <w:b/>
          <w:bCs/>
          <w:sz w:val="22"/>
          <w:szCs w:val="22"/>
          <w:lang w:val="sr-Latn-ME"/>
        </w:rPr>
        <w:t xml:space="preserve"> l</w:t>
      </w:r>
      <w:r w:rsidR="00C02A23" w:rsidRPr="00BD2023">
        <w:rPr>
          <w:b/>
          <w:bCs/>
          <w:sz w:val="22"/>
          <w:szCs w:val="22"/>
          <w:lang w:val="sr-Latn-ME"/>
        </w:rPr>
        <w:t>ij</w:t>
      </w:r>
      <w:r w:rsidRPr="00BD2023">
        <w:rPr>
          <w:b/>
          <w:bCs/>
          <w:sz w:val="22"/>
          <w:szCs w:val="22"/>
          <w:lang w:val="sr-Latn-ME"/>
        </w:rPr>
        <w:t xml:space="preserve">ečenja (2. </w:t>
      </w:r>
      <w:r w:rsidR="00B744E8" w:rsidRPr="00BD2023">
        <w:rPr>
          <w:b/>
          <w:bCs/>
          <w:sz w:val="22"/>
          <w:szCs w:val="22"/>
          <w:lang w:val="sr-Latn-ME"/>
        </w:rPr>
        <w:t>dio</w:t>
      </w:r>
      <w:r w:rsidRPr="00BD2023">
        <w:rPr>
          <w:b/>
          <w:bCs/>
          <w:sz w:val="22"/>
          <w:szCs w:val="22"/>
          <w:lang w:val="sr-Latn-ME"/>
        </w:rPr>
        <w:t xml:space="preserve"> SUNFISH) </w:t>
      </w:r>
    </w:p>
    <w:tbl>
      <w:tblPr>
        <w:tblpPr w:leftFromText="180" w:rightFromText="180" w:vertAnchor="text" w:horzAnchor="margin" w:tblpY="1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4"/>
        <w:gridCol w:w="1563"/>
        <w:gridCol w:w="1278"/>
      </w:tblGrid>
      <w:tr w:rsidR="00F77D20" w:rsidRPr="00BD2023" w14:paraId="61E39A27" w14:textId="77777777" w:rsidTr="00F77D20">
        <w:trPr>
          <w:tblHeader/>
        </w:trPr>
        <w:tc>
          <w:tcPr>
            <w:tcW w:w="3435" w:type="pct"/>
            <w:shd w:val="clear" w:color="auto" w:fill="auto"/>
            <w:tcMar>
              <w:top w:w="15" w:type="dxa"/>
              <w:left w:w="108" w:type="dxa"/>
              <w:bottom w:w="0" w:type="dxa"/>
              <w:right w:w="108" w:type="dxa"/>
            </w:tcMar>
            <w:vAlign w:val="center"/>
            <w:hideMark/>
          </w:tcPr>
          <w:p w14:paraId="26B4F44A" w14:textId="615FF73A" w:rsidR="00F77D20" w:rsidRPr="00BD2023" w:rsidRDefault="00F77D20" w:rsidP="00F77D20">
            <w:pPr>
              <w:keepNext/>
              <w:spacing w:beforeLines="20" w:before="48" w:afterLines="20" w:after="48"/>
              <w:rPr>
                <w:b/>
                <w:bCs/>
                <w:sz w:val="22"/>
                <w:szCs w:val="22"/>
                <w:lang w:val="sr-Latn-ME"/>
              </w:rPr>
            </w:pPr>
            <w:r w:rsidRPr="00BD2023">
              <w:rPr>
                <w:b/>
                <w:bCs/>
                <w:sz w:val="22"/>
                <w:szCs w:val="22"/>
                <w:lang w:val="sr-Latn-ME"/>
              </w:rPr>
              <w:t xml:space="preserve">Krajnja tačka </w:t>
            </w:r>
            <w:r w:rsidR="00865485" w:rsidRPr="00BD2023">
              <w:rPr>
                <w:b/>
                <w:bCs/>
                <w:sz w:val="22"/>
                <w:szCs w:val="22"/>
                <w:lang w:val="sr-Latn-ME"/>
              </w:rPr>
              <w:t>ishoda</w:t>
            </w:r>
          </w:p>
        </w:tc>
        <w:tc>
          <w:tcPr>
            <w:tcW w:w="861" w:type="pct"/>
            <w:shd w:val="clear" w:color="auto" w:fill="auto"/>
            <w:tcMar>
              <w:top w:w="15" w:type="dxa"/>
              <w:left w:w="108" w:type="dxa"/>
              <w:bottom w:w="0" w:type="dxa"/>
              <w:right w:w="108" w:type="dxa"/>
            </w:tcMar>
            <w:vAlign w:val="bottom"/>
            <w:hideMark/>
          </w:tcPr>
          <w:p w14:paraId="070C8DE8" w14:textId="77777777" w:rsidR="00F77D20" w:rsidRPr="00BD2023" w:rsidRDefault="00F77D20" w:rsidP="00F77D20">
            <w:pPr>
              <w:keepNext/>
              <w:jc w:val="center"/>
              <w:rPr>
                <w:b/>
                <w:bCs/>
                <w:sz w:val="22"/>
                <w:szCs w:val="22"/>
                <w:lang w:val="sr-Latn-ME"/>
              </w:rPr>
            </w:pPr>
            <w:r w:rsidRPr="00BD2023">
              <w:rPr>
                <w:b/>
                <w:bCs/>
                <w:sz w:val="22"/>
                <w:szCs w:val="22"/>
                <w:lang w:val="sr-Latn-ME"/>
              </w:rPr>
              <w:t>Evrysdi</w:t>
            </w:r>
          </w:p>
          <w:p w14:paraId="07ACBAA7" w14:textId="77777777" w:rsidR="00F77D20" w:rsidRPr="00BD2023" w:rsidRDefault="00F77D20" w:rsidP="00F77D20">
            <w:pPr>
              <w:keepNext/>
              <w:jc w:val="center"/>
              <w:rPr>
                <w:b/>
                <w:bCs/>
                <w:sz w:val="22"/>
                <w:szCs w:val="22"/>
                <w:lang w:val="sr-Latn-ME"/>
              </w:rPr>
            </w:pPr>
            <w:r w:rsidRPr="00BD2023">
              <w:rPr>
                <w:b/>
                <w:bCs/>
                <w:sz w:val="22"/>
                <w:szCs w:val="22"/>
                <w:lang w:val="sr-Latn-ME"/>
              </w:rPr>
              <w:t>(N = 120)</w:t>
            </w:r>
          </w:p>
        </w:tc>
        <w:tc>
          <w:tcPr>
            <w:tcW w:w="704" w:type="pct"/>
            <w:vAlign w:val="bottom"/>
          </w:tcPr>
          <w:p w14:paraId="08814315" w14:textId="77777777" w:rsidR="00F77D20" w:rsidRPr="00BD2023" w:rsidRDefault="00F77D20" w:rsidP="00F77D20">
            <w:pPr>
              <w:keepNext/>
              <w:jc w:val="center"/>
              <w:rPr>
                <w:b/>
                <w:bCs/>
                <w:sz w:val="22"/>
                <w:szCs w:val="22"/>
                <w:lang w:val="sr-Latn-ME"/>
              </w:rPr>
            </w:pPr>
            <w:r w:rsidRPr="00BD2023">
              <w:rPr>
                <w:b/>
                <w:bCs/>
                <w:sz w:val="22"/>
                <w:szCs w:val="22"/>
                <w:lang w:val="sr-Latn-ME"/>
              </w:rPr>
              <w:t>Placebo</w:t>
            </w:r>
          </w:p>
          <w:p w14:paraId="61F728C3" w14:textId="77777777" w:rsidR="00F77D20" w:rsidRPr="00BD2023" w:rsidRDefault="00F77D20" w:rsidP="00F77D20">
            <w:pPr>
              <w:keepNext/>
              <w:jc w:val="center"/>
              <w:rPr>
                <w:b/>
                <w:bCs/>
                <w:sz w:val="22"/>
                <w:szCs w:val="22"/>
                <w:lang w:val="sr-Latn-ME"/>
              </w:rPr>
            </w:pPr>
            <w:r w:rsidRPr="00BD2023">
              <w:rPr>
                <w:b/>
                <w:bCs/>
                <w:sz w:val="22"/>
                <w:szCs w:val="22"/>
                <w:lang w:val="sr-Latn-ME"/>
              </w:rPr>
              <w:t>(N = 60)</w:t>
            </w:r>
          </w:p>
        </w:tc>
      </w:tr>
      <w:tr w:rsidR="00F77D20" w:rsidRPr="00BD2023" w14:paraId="6CC174E9" w14:textId="77777777" w:rsidTr="00F77D20">
        <w:trPr>
          <w:tblHeader/>
        </w:trPr>
        <w:tc>
          <w:tcPr>
            <w:tcW w:w="3435" w:type="pct"/>
            <w:shd w:val="clear" w:color="auto" w:fill="auto"/>
            <w:tcMar>
              <w:top w:w="15" w:type="dxa"/>
              <w:left w:w="108" w:type="dxa"/>
              <w:bottom w:w="0" w:type="dxa"/>
              <w:right w:w="108" w:type="dxa"/>
            </w:tcMar>
            <w:vAlign w:val="center"/>
          </w:tcPr>
          <w:p w14:paraId="739DB7C9" w14:textId="77777777" w:rsidR="00F77D20" w:rsidRPr="00BD2023" w:rsidRDefault="00F77D20" w:rsidP="00F77D20">
            <w:pPr>
              <w:keepNext/>
              <w:rPr>
                <w:b/>
                <w:bCs/>
                <w:sz w:val="22"/>
                <w:szCs w:val="22"/>
                <w:lang w:val="sr-Latn-ME"/>
              </w:rPr>
            </w:pPr>
            <w:r w:rsidRPr="00BD2023">
              <w:rPr>
                <w:b/>
                <w:bCs/>
                <w:sz w:val="22"/>
                <w:szCs w:val="22"/>
                <w:lang w:val="sr-Latn-ME"/>
              </w:rPr>
              <w:t>Primarni cilj:</w:t>
            </w:r>
          </w:p>
        </w:tc>
        <w:tc>
          <w:tcPr>
            <w:tcW w:w="861" w:type="pct"/>
            <w:shd w:val="clear" w:color="auto" w:fill="auto"/>
            <w:tcMar>
              <w:top w:w="15" w:type="dxa"/>
              <w:left w:w="108" w:type="dxa"/>
              <w:bottom w:w="0" w:type="dxa"/>
              <w:right w:w="108" w:type="dxa"/>
            </w:tcMar>
            <w:vAlign w:val="center"/>
          </w:tcPr>
          <w:p w14:paraId="04A09043" w14:textId="77777777" w:rsidR="00F77D20" w:rsidRPr="00BD2023" w:rsidRDefault="00F77D20" w:rsidP="00F77D20">
            <w:pPr>
              <w:keepNext/>
              <w:jc w:val="center"/>
              <w:rPr>
                <w:bCs/>
                <w:sz w:val="22"/>
                <w:szCs w:val="22"/>
                <w:lang w:val="sr-Latn-ME"/>
              </w:rPr>
            </w:pPr>
          </w:p>
        </w:tc>
        <w:tc>
          <w:tcPr>
            <w:tcW w:w="704" w:type="pct"/>
            <w:vAlign w:val="center"/>
          </w:tcPr>
          <w:p w14:paraId="1ECAFFBB" w14:textId="77777777" w:rsidR="00F77D20" w:rsidRPr="00BD2023" w:rsidRDefault="00F77D20" w:rsidP="00F77D20">
            <w:pPr>
              <w:keepNext/>
              <w:jc w:val="center"/>
              <w:rPr>
                <w:bCs/>
                <w:sz w:val="22"/>
                <w:szCs w:val="22"/>
                <w:lang w:val="sr-Latn-ME"/>
              </w:rPr>
            </w:pPr>
          </w:p>
        </w:tc>
      </w:tr>
      <w:tr w:rsidR="00F77D20" w:rsidRPr="00BD2023" w14:paraId="203D4DC9" w14:textId="77777777" w:rsidTr="00F77D20">
        <w:trPr>
          <w:tblHeader/>
        </w:trPr>
        <w:tc>
          <w:tcPr>
            <w:tcW w:w="3435" w:type="pct"/>
            <w:shd w:val="clear" w:color="auto" w:fill="auto"/>
            <w:tcMar>
              <w:top w:w="15" w:type="dxa"/>
              <w:left w:w="108" w:type="dxa"/>
              <w:bottom w:w="0" w:type="dxa"/>
              <w:right w:w="108" w:type="dxa"/>
            </w:tcMar>
            <w:vAlign w:val="center"/>
          </w:tcPr>
          <w:p w14:paraId="54AEEF87" w14:textId="31EFF79F" w:rsidR="00F77D20" w:rsidRPr="00BD2023" w:rsidRDefault="00F77D20" w:rsidP="00F77D20">
            <w:pPr>
              <w:keepNext/>
              <w:spacing w:line="276" w:lineRule="auto"/>
              <w:rPr>
                <w:bCs/>
                <w:sz w:val="22"/>
                <w:szCs w:val="22"/>
                <w:lang w:val="sr-Latn-ME"/>
              </w:rPr>
            </w:pPr>
            <w:r w:rsidRPr="00BD2023">
              <w:rPr>
                <w:bCs/>
                <w:sz w:val="22"/>
                <w:szCs w:val="22"/>
                <w:lang w:val="sr-Latn-ME"/>
              </w:rPr>
              <w:t>Prom</w:t>
            </w:r>
            <w:r w:rsidR="00C02A23" w:rsidRPr="00BD2023">
              <w:rPr>
                <w:bCs/>
                <w:sz w:val="22"/>
                <w:szCs w:val="22"/>
                <w:lang w:val="sr-Latn-ME"/>
              </w:rPr>
              <w:t>j</w:t>
            </w:r>
            <w:r w:rsidRPr="00BD2023">
              <w:rPr>
                <w:bCs/>
                <w:sz w:val="22"/>
                <w:szCs w:val="22"/>
                <w:lang w:val="sr-Latn-ME"/>
              </w:rPr>
              <w:t>ena u ukupnom MFM32</w:t>
            </w:r>
            <w:r w:rsidR="00865485" w:rsidRPr="00BD2023">
              <w:rPr>
                <w:bCs/>
                <w:sz w:val="22"/>
                <w:szCs w:val="22"/>
                <w:lang w:val="sr-Latn-ME"/>
              </w:rPr>
              <w:t xml:space="preserve"> rezultata</w:t>
            </w:r>
            <w:r w:rsidR="00865485" w:rsidRPr="00BD2023">
              <w:rPr>
                <w:bCs/>
                <w:sz w:val="22"/>
                <w:szCs w:val="22"/>
                <w:vertAlign w:val="superscript"/>
                <w:lang w:val="sr-Latn-ME"/>
              </w:rPr>
              <w:t>1</w:t>
            </w:r>
            <w:r w:rsidRPr="00BD2023">
              <w:rPr>
                <w:bCs/>
                <w:sz w:val="22"/>
                <w:szCs w:val="22"/>
                <w:lang w:val="sr-Latn-ME"/>
              </w:rPr>
              <w:t xml:space="preserve"> </w:t>
            </w:r>
            <w:r w:rsidR="00865485" w:rsidRPr="00BD2023">
              <w:rPr>
                <w:bCs/>
                <w:sz w:val="22"/>
                <w:szCs w:val="22"/>
                <w:lang w:val="sr-Latn-ME"/>
              </w:rPr>
              <w:t xml:space="preserve">nakon </w:t>
            </w:r>
            <w:r w:rsidRPr="00BD2023">
              <w:rPr>
                <w:bCs/>
                <w:sz w:val="22"/>
                <w:szCs w:val="22"/>
                <w:lang w:val="sr-Latn-ME"/>
              </w:rPr>
              <w:t>12 m</w:t>
            </w:r>
            <w:r w:rsidR="00C02A23" w:rsidRPr="00BD2023">
              <w:rPr>
                <w:bCs/>
                <w:sz w:val="22"/>
                <w:szCs w:val="22"/>
                <w:lang w:val="sr-Latn-ME"/>
              </w:rPr>
              <w:t>j</w:t>
            </w:r>
            <w:r w:rsidRPr="00BD2023">
              <w:rPr>
                <w:bCs/>
                <w:sz w:val="22"/>
                <w:szCs w:val="22"/>
                <w:lang w:val="sr-Latn-ME"/>
              </w:rPr>
              <w:t>esec</w:t>
            </w:r>
            <w:r w:rsidR="00865485" w:rsidRPr="00BD2023">
              <w:rPr>
                <w:bCs/>
                <w:sz w:val="22"/>
                <w:szCs w:val="22"/>
                <w:lang w:val="sr-Latn-ME"/>
              </w:rPr>
              <w:t>i</w:t>
            </w:r>
            <w:r w:rsidRPr="00BD2023">
              <w:rPr>
                <w:bCs/>
                <w:sz w:val="22"/>
                <w:szCs w:val="22"/>
                <w:lang w:val="sr-Latn-ME"/>
              </w:rPr>
              <w:t xml:space="preserve"> u odnosu na početnu vr</w:t>
            </w:r>
            <w:r w:rsidR="00C02A23" w:rsidRPr="00BD2023">
              <w:rPr>
                <w:bCs/>
                <w:sz w:val="22"/>
                <w:szCs w:val="22"/>
                <w:lang w:val="sr-Latn-ME"/>
              </w:rPr>
              <w:t>ij</w:t>
            </w:r>
            <w:r w:rsidRPr="00BD2023">
              <w:rPr>
                <w:bCs/>
                <w:sz w:val="22"/>
                <w:szCs w:val="22"/>
                <w:lang w:val="sr-Latn-ME"/>
              </w:rPr>
              <w:t>ednost</w:t>
            </w:r>
          </w:p>
          <w:p w14:paraId="5627E2A3" w14:textId="77777777" w:rsidR="00F77D20" w:rsidRPr="00BD2023" w:rsidRDefault="00F77D20" w:rsidP="00F77D20">
            <w:pPr>
              <w:keepNext/>
              <w:spacing w:line="276" w:lineRule="auto"/>
              <w:rPr>
                <w:bCs/>
                <w:sz w:val="22"/>
                <w:szCs w:val="22"/>
                <w:lang w:val="sr-Latn-ME"/>
              </w:rPr>
            </w:pPr>
            <w:r w:rsidRPr="00BD2023">
              <w:rPr>
                <w:bCs/>
                <w:sz w:val="22"/>
                <w:szCs w:val="22"/>
                <w:lang w:val="sr-Latn-ME"/>
              </w:rPr>
              <w:t>Srednja vr</w:t>
            </w:r>
            <w:r w:rsidR="00C02A23" w:rsidRPr="00BD2023">
              <w:rPr>
                <w:bCs/>
                <w:sz w:val="22"/>
                <w:szCs w:val="22"/>
                <w:lang w:val="sr-Latn-ME"/>
              </w:rPr>
              <w:t>ij</w:t>
            </w:r>
            <w:r w:rsidRPr="00BD2023">
              <w:rPr>
                <w:bCs/>
                <w:sz w:val="22"/>
                <w:szCs w:val="22"/>
                <w:lang w:val="sr-Latn-ME"/>
              </w:rPr>
              <w:t>ednost LS (95%, CI)</w:t>
            </w:r>
          </w:p>
        </w:tc>
        <w:tc>
          <w:tcPr>
            <w:tcW w:w="861" w:type="pct"/>
            <w:shd w:val="clear" w:color="auto" w:fill="auto"/>
            <w:tcMar>
              <w:top w:w="15" w:type="dxa"/>
              <w:left w:w="108" w:type="dxa"/>
              <w:bottom w:w="0" w:type="dxa"/>
              <w:right w:w="108" w:type="dxa"/>
            </w:tcMar>
            <w:vAlign w:val="center"/>
          </w:tcPr>
          <w:p w14:paraId="532E63D3" w14:textId="77777777" w:rsidR="00F77D20" w:rsidRPr="00BD2023" w:rsidRDefault="00F77D20" w:rsidP="00F77D20">
            <w:pPr>
              <w:keepNext/>
              <w:jc w:val="center"/>
              <w:rPr>
                <w:bCs/>
                <w:sz w:val="22"/>
                <w:szCs w:val="22"/>
                <w:lang w:val="sr-Latn-ME"/>
              </w:rPr>
            </w:pPr>
            <w:r w:rsidRPr="00BD2023">
              <w:rPr>
                <w:bCs/>
                <w:sz w:val="22"/>
                <w:szCs w:val="22"/>
                <w:lang w:val="sr-Latn-ME"/>
              </w:rPr>
              <w:t xml:space="preserve">1,36 </w:t>
            </w:r>
          </w:p>
          <w:p w14:paraId="35B882F9" w14:textId="77777777" w:rsidR="00F77D20" w:rsidRPr="00BD2023" w:rsidRDefault="00F77D20" w:rsidP="00F77D20">
            <w:pPr>
              <w:keepNext/>
              <w:jc w:val="center"/>
              <w:rPr>
                <w:bCs/>
                <w:sz w:val="22"/>
                <w:szCs w:val="22"/>
                <w:lang w:val="sr-Latn-ME"/>
              </w:rPr>
            </w:pPr>
            <w:r w:rsidRPr="00BD2023">
              <w:rPr>
                <w:bCs/>
                <w:sz w:val="22"/>
                <w:szCs w:val="22"/>
                <w:lang w:val="sr-Latn-ME"/>
              </w:rPr>
              <w:t>(0,61, 2,11)</w:t>
            </w:r>
          </w:p>
        </w:tc>
        <w:tc>
          <w:tcPr>
            <w:tcW w:w="704" w:type="pct"/>
            <w:vAlign w:val="center"/>
          </w:tcPr>
          <w:p w14:paraId="028564D3" w14:textId="77777777" w:rsidR="00F77D20" w:rsidRPr="00BD2023" w:rsidRDefault="00F77D20" w:rsidP="00F77D20">
            <w:pPr>
              <w:keepNext/>
              <w:jc w:val="center"/>
              <w:rPr>
                <w:bCs/>
                <w:sz w:val="22"/>
                <w:szCs w:val="22"/>
                <w:lang w:val="sr-Latn-ME"/>
              </w:rPr>
            </w:pPr>
            <w:r w:rsidRPr="00BD2023">
              <w:rPr>
                <w:bCs/>
                <w:sz w:val="22"/>
                <w:szCs w:val="22"/>
                <w:lang w:val="sr-Latn-ME"/>
              </w:rPr>
              <w:t xml:space="preserve">-0,19 </w:t>
            </w:r>
          </w:p>
          <w:p w14:paraId="5279A860" w14:textId="77777777" w:rsidR="00F77D20" w:rsidRPr="00BD2023" w:rsidRDefault="00F77D20" w:rsidP="00F77D20">
            <w:pPr>
              <w:keepNext/>
              <w:jc w:val="center"/>
              <w:rPr>
                <w:bCs/>
                <w:sz w:val="22"/>
                <w:szCs w:val="22"/>
                <w:lang w:val="sr-Latn-ME"/>
              </w:rPr>
            </w:pPr>
            <w:r w:rsidRPr="00BD2023">
              <w:rPr>
                <w:bCs/>
                <w:sz w:val="22"/>
                <w:szCs w:val="22"/>
                <w:lang w:val="sr-Latn-ME"/>
              </w:rPr>
              <w:t>(-1,22, 0,84)</w:t>
            </w:r>
          </w:p>
        </w:tc>
      </w:tr>
      <w:tr w:rsidR="00F77D20" w:rsidRPr="00BD2023" w14:paraId="2C974C0D" w14:textId="77777777" w:rsidTr="00F77D20">
        <w:trPr>
          <w:tblHeader/>
        </w:trPr>
        <w:tc>
          <w:tcPr>
            <w:tcW w:w="3435" w:type="pct"/>
            <w:shd w:val="clear" w:color="auto" w:fill="auto"/>
            <w:tcMar>
              <w:top w:w="15" w:type="dxa"/>
              <w:left w:w="108" w:type="dxa"/>
              <w:bottom w:w="0" w:type="dxa"/>
              <w:right w:w="108" w:type="dxa"/>
            </w:tcMar>
            <w:vAlign w:val="center"/>
          </w:tcPr>
          <w:p w14:paraId="6ADDD981" w14:textId="77777777" w:rsidR="00F77D20" w:rsidRPr="00BD2023" w:rsidRDefault="00F77D20" w:rsidP="00F77D20">
            <w:pPr>
              <w:keepNext/>
              <w:spacing w:line="276" w:lineRule="auto"/>
              <w:ind w:left="432"/>
              <w:rPr>
                <w:bCs/>
                <w:sz w:val="22"/>
                <w:szCs w:val="22"/>
                <w:lang w:val="sr-Latn-ME"/>
              </w:rPr>
            </w:pPr>
            <w:r w:rsidRPr="00BD2023">
              <w:rPr>
                <w:bCs/>
                <w:sz w:val="22"/>
                <w:szCs w:val="22"/>
                <w:lang w:val="sr-Latn-ME"/>
              </w:rPr>
              <w:t xml:space="preserve">Razlika u odnosu na placebo </w:t>
            </w:r>
          </w:p>
          <w:p w14:paraId="5BEE20A0" w14:textId="77777777" w:rsidR="00F77D20" w:rsidRPr="00BD2023" w:rsidRDefault="00F77D20" w:rsidP="00F77D20">
            <w:pPr>
              <w:keepNext/>
              <w:spacing w:line="276" w:lineRule="auto"/>
              <w:ind w:left="432"/>
              <w:rPr>
                <w:bCs/>
                <w:sz w:val="22"/>
                <w:szCs w:val="22"/>
                <w:lang w:val="sr-Latn-ME"/>
              </w:rPr>
            </w:pPr>
            <w:r w:rsidRPr="00BD2023">
              <w:rPr>
                <w:bCs/>
                <w:sz w:val="22"/>
                <w:szCs w:val="22"/>
                <w:lang w:val="sr-Latn-ME"/>
              </w:rPr>
              <w:t>Proc</w:t>
            </w:r>
            <w:r w:rsidR="00C02A23" w:rsidRPr="00BD2023">
              <w:rPr>
                <w:bCs/>
                <w:sz w:val="22"/>
                <w:szCs w:val="22"/>
                <w:lang w:val="sr-Latn-ME"/>
              </w:rPr>
              <w:t>j</w:t>
            </w:r>
            <w:r w:rsidRPr="00BD2023">
              <w:rPr>
                <w:bCs/>
                <w:sz w:val="22"/>
                <w:szCs w:val="22"/>
                <w:lang w:val="sr-Latn-ME"/>
              </w:rPr>
              <w:t>ena (95% CI)</w:t>
            </w:r>
          </w:p>
          <w:p w14:paraId="59667037" w14:textId="77777777" w:rsidR="00F77D20" w:rsidRPr="00BD2023" w:rsidRDefault="00F77D20" w:rsidP="00F77D20">
            <w:pPr>
              <w:keepNext/>
              <w:spacing w:line="276" w:lineRule="auto"/>
              <w:ind w:left="432"/>
              <w:rPr>
                <w:bCs/>
                <w:sz w:val="22"/>
                <w:szCs w:val="22"/>
                <w:lang w:val="sr-Latn-ME"/>
              </w:rPr>
            </w:pPr>
            <w:r w:rsidRPr="00BD2023">
              <w:rPr>
                <w:bCs/>
                <w:sz w:val="22"/>
                <w:szCs w:val="22"/>
                <w:lang w:val="sr-Latn-ME"/>
              </w:rPr>
              <w:t>p-vr</w:t>
            </w:r>
            <w:r w:rsidR="00C02A23" w:rsidRPr="00BD2023">
              <w:rPr>
                <w:bCs/>
                <w:sz w:val="22"/>
                <w:szCs w:val="22"/>
                <w:lang w:val="sr-Latn-ME"/>
              </w:rPr>
              <w:t>ij</w:t>
            </w:r>
            <w:r w:rsidRPr="00BD2023">
              <w:rPr>
                <w:bCs/>
                <w:sz w:val="22"/>
                <w:szCs w:val="22"/>
                <w:lang w:val="sr-Latn-ME"/>
              </w:rPr>
              <w:t>ednost</w:t>
            </w:r>
            <w:r w:rsidRPr="00BD2023">
              <w:rPr>
                <w:bCs/>
                <w:sz w:val="22"/>
                <w:szCs w:val="22"/>
                <w:vertAlign w:val="superscript"/>
                <w:lang w:val="sr-Latn-ME"/>
              </w:rPr>
              <w:t>2</w:t>
            </w:r>
          </w:p>
        </w:tc>
        <w:tc>
          <w:tcPr>
            <w:tcW w:w="1565" w:type="pct"/>
            <w:gridSpan w:val="2"/>
            <w:shd w:val="clear" w:color="auto" w:fill="auto"/>
            <w:tcMar>
              <w:top w:w="15" w:type="dxa"/>
              <w:left w:w="108" w:type="dxa"/>
              <w:bottom w:w="0" w:type="dxa"/>
              <w:right w:w="108" w:type="dxa"/>
            </w:tcMar>
            <w:vAlign w:val="center"/>
          </w:tcPr>
          <w:p w14:paraId="49EBE2DE" w14:textId="77777777" w:rsidR="00F77D20" w:rsidRPr="00BD2023" w:rsidRDefault="00F77D20" w:rsidP="00F77D20">
            <w:pPr>
              <w:keepNext/>
              <w:jc w:val="center"/>
              <w:rPr>
                <w:bCs/>
                <w:sz w:val="22"/>
                <w:szCs w:val="22"/>
                <w:lang w:val="sr-Latn-ME"/>
              </w:rPr>
            </w:pPr>
            <w:r w:rsidRPr="00BD2023">
              <w:rPr>
                <w:bCs/>
                <w:sz w:val="22"/>
                <w:szCs w:val="22"/>
                <w:lang w:val="sr-Latn-ME"/>
              </w:rPr>
              <w:t xml:space="preserve">1,55 </w:t>
            </w:r>
          </w:p>
          <w:p w14:paraId="796B4645" w14:textId="77777777" w:rsidR="00F77D20" w:rsidRPr="00BD2023" w:rsidRDefault="00F77D20" w:rsidP="00F77D20">
            <w:pPr>
              <w:keepNext/>
              <w:jc w:val="center"/>
              <w:rPr>
                <w:bCs/>
                <w:sz w:val="22"/>
                <w:szCs w:val="22"/>
                <w:lang w:val="sr-Latn-ME"/>
              </w:rPr>
            </w:pPr>
            <w:r w:rsidRPr="00BD2023">
              <w:rPr>
                <w:bCs/>
                <w:sz w:val="22"/>
                <w:szCs w:val="22"/>
                <w:lang w:val="sr-Latn-ME"/>
              </w:rPr>
              <w:t>(0,30, 2,81)</w:t>
            </w:r>
          </w:p>
          <w:p w14:paraId="2373CD4A" w14:textId="77777777" w:rsidR="00F77D20" w:rsidRPr="00BD2023" w:rsidRDefault="00F77D20" w:rsidP="00F77D20">
            <w:pPr>
              <w:keepNext/>
              <w:jc w:val="center"/>
              <w:rPr>
                <w:bCs/>
                <w:sz w:val="22"/>
                <w:szCs w:val="22"/>
                <w:lang w:val="sr-Latn-ME"/>
              </w:rPr>
            </w:pPr>
            <w:r w:rsidRPr="00BD2023">
              <w:rPr>
                <w:bCs/>
                <w:sz w:val="22"/>
                <w:szCs w:val="22"/>
                <w:lang w:val="sr-Latn-ME"/>
              </w:rPr>
              <w:t>0,0156</w:t>
            </w:r>
          </w:p>
        </w:tc>
      </w:tr>
      <w:tr w:rsidR="00F77D20" w:rsidRPr="00BD2023" w14:paraId="3529C3EB" w14:textId="77777777" w:rsidTr="00F77D20">
        <w:trPr>
          <w:tblHeader/>
        </w:trPr>
        <w:tc>
          <w:tcPr>
            <w:tcW w:w="3435" w:type="pct"/>
            <w:shd w:val="clear" w:color="auto" w:fill="auto"/>
            <w:tcMar>
              <w:top w:w="15" w:type="dxa"/>
              <w:left w:w="108" w:type="dxa"/>
              <w:bottom w:w="0" w:type="dxa"/>
              <w:right w:w="108" w:type="dxa"/>
            </w:tcMar>
            <w:vAlign w:val="center"/>
          </w:tcPr>
          <w:p w14:paraId="434D6318" w14:textId="77777777" w:rsidR="00F77D20" w:rsidRPr="00BD2023" w:rsidRDefault="00F77D20" w:rsidP="00F77D20">
            <w:pPr>
              <w:keepNext/>
              <w:rPr>
                <w:b/>
                <w:bCs/>
                <w:sz w:val="22"/>
                <w:szCs w:val="22"/>
                <w:lang w:val="sr-Latn-ME"/>
              </w:rPr>
            </w:pPr>
            <w:r w:rsidRPr="00BD2023">
              <w:rPr>
                <w:b/>
                <w:bCs/>
                <w:sz w:val="22"/>
                <w:szCs w:val="22"/>
                <w:lang w:val="sr-Latn-ME"/>
              </w:rPr>
              <w:t>Sekundarni ciljevi:</w:t>
            </w:r>
          </w:p>
        </w:tc>
        <w:tc>
          <w:tcPr>
            <w:tcW w:w="1565" w:type="pct"/>
            <w:gridSpan w:val="2"/>
            <w:shd w:val="clear" w:color="auto" w:fill="auto"/>
            <w:tcMar>
              <w:top w:w="15" w:type="dxa"/>
              <w:left w:w="108" w:type="dxa"/>
              <w:bottom w:w="0" w:type="dxa"/>
              <w:right w:w="108" w:type="dxa"/>
            </w:tcMar>
            <w:vAlign w:val="center"/>
          </w:tcPr>
          <w:p w14:paraId="0ADF576E" w14:textId="77777777" w:rsidR="00F77D20" w:rsidRPr="00BD2023" w:rsidRDefault="00F77D20" w:rsidP="00F77D20">
            <w:pPr>
              <w:keepNext/>
              <w:jc w:val="center"/>
              <w:rPr>
                <w:bCs/>
                <w:sz w:val="22"/>
                <w:szCs w:val="22"/>
                <w:lang w:val="sr-Latn-ME"/>
              </w:rPr>
            </w:pPr>
          </w:p>
        </w:tc>
      </w:tr>
      <w:tr w:rsidR="00F77D20" w:rsidRPr="00BD2023" w14:paraId="69858B3F" w14:textId="77777777" w:rsidTr="00F77D20">
        <w:trPr>
          <w:tblHeader/>
        </w:trPr>
        <w:tc>
          <w:tcPr>
            <w:tcW w:w="3435" w:type="pct"/>
            <w:shd w:val="clear" w:color="auto" w:fill="auto"/>
            <w:tcMar>
              <w:top w:w="15" w:type="dxa"/>
              <w:left w:w="108" w:type="dxa"/>
              <w:bottom w:w="0" w:type="dxa"/>
              <w:right w:w="108" w:type="dxa"/>
            </w:tcMar>
          </w:tcPr>
          <w:p w14:paraId="1E4DE79D" w14:textId="6AFA4CE4" w:rsidR="00F77D20" w:rsidRPr="00BD2023" w:rsidRDefault="00F77D20" w:rsidP="00865485">
            <w:pPr>
              <w:keepNext/>
              <w:spacing w:line="276" w:lineRule="auto"/>
              <w:rPr>
                <w:bCs/>
                <w:sz w:val="22"/>
                <w:szCs w:val="22"/>
                <w:lang w:val="sr-Latn-ME"/>
              </w:rPr>
            </w:pPr>
            <w:r w:rsidRPr="00BD2023">
              <w:rPr>
                <w:bCs/>
                <w:sz w:val="22"/>
                <w:szCs w:val="22"/>
                <w:lang w:val="sr-Latn-ME"/>
              </w:rPr>
              <w:t>Procenat pacijenata sa prom</w:t>
            </w:r>
            <w:r w:rsidR="00C02A23" w:rsidRPr="00BD2023">
              <w:rPr>
                <w:bCs/>
                <w:sz w:val="22"/>
                <w:szCs w:val="22"/>
                <w:lang w:val="sr-Latn-ME"/>
              </w:rPr>
              <w:t>j</w:t>
            </w:r>
            <w:r w:rsidRPr="00BD2023">
              <w:rPr>
                <w:bCs/>
                <w:sz w:val="22"/>
                <w:szCs w:val="22"/>
                <w:lang w:val="sr-Latn-ME"/>
              </w:rPr>
              <w:t>enom u ukupnom MFM32</w:t>
            </w:r>
            <w:r w:rsidR="00865485" w:rsidRPr="00BD2023">
              <w:rPr>
                <w:bCs/>
                <w:sz w:val="22"/>
                <w:szCs w:val="22"/>
                <w:lang w:val="sr-Latn-ME"/>
              </w:rPr>
              <w:t xml:space="preserve"> rezultatu</w:t>
            </w:r>
            <w:r w:rsidR="00865485" w:rsidRPr="00BD2023">
              <w:rPr>
                <w:bCs/>
                <w:sz w:val="22"/>
                <w:szCs w:val="22"/>
                <w:vertAlign w:val="superscript"/>
                <w:lang w:val="sr-Latn-ME"/>
              </w:rPr>
              <w:t>1</w:t>
            </w:r>
            <w:r w:rsidRPr="00BD2023">
              <w:rPr>
                <w:bCs/>
                <w:sz w:val="22"/>
                <w:szCs w:val="22"/>
                <w:vertAlign w:val="superscript"/>
                <w:lang w:val="sr-Latn-ME"/>
              </w:rPr>
              <w:t xml:space="preserve"> </w:t>
            </w:r>
            <w:r w:rsidRPr="00BD2023">
              <w:rPr>
                <w:bCs/>
                <w:sz w:val="22"/>
                <w:szCs w:val="22"/>
                <w:lang w:val="sr-Latn-ME"/>
              </w:rPr>
              <w:t xml:space="preserve">od 3 i više </w:t>
            </w:r>
            <w:r w:rsidR="00865485" w:rsidRPr="00BD2023">
              <w:rPr>
                <w:bCs/>
                <w:sz w:val="22"/>
                <w:szCs w:val="22"/>
                <w:lang w:val="sr-Latn-ME"/>
              </w:rPr>
              <w:t>bodova nakon</w:t>
            </w:r>
            <w:r w:rsidRPr="00BD2023">
              <w:rPr>
                <w:bCs/>
                <w:sz w:val="22"/>
                <w:szCs w:val="22"/>
                <w:lang w:val="sr-Latn-ME"/>
              </w:rPr>
              <w:t xml:space="preserve"> 12 </w:t>
            </w:r>
            <w:r w:rsidR="00B744E8" w:rsidRPr="00BD2023">
              <w:rPr>
                <w:bCs/>
                <w:sz w:val="22"/>
                <w:szCs w:val="22"/>
                <w:lang w:val="sr-Latn-ME"/>
              </w:rPr>
              <w:t>mjesec</w:t>
            </w:r>
            <w:r w:rsidR="00865485" w:rsidRPr="00BD2023">
              <w:rPr>
                <w:bCs/>
                <w:sz w:val="22"/>
                <w:szCs w:val="22"/>
                <w:lang w:val="sr-Latn-ME"/>
              </w:rPr>
              <w:t>i</w:t>
            </w:r>
            <w:r w:rsidRPr="00BD2023">
              <w:rPr>
                <w:bCs/>
                <w:sz w:val="22"/>
                <w:szCs w:val="22"/>
                <w:lang w:val="sr-Latn-ME"/>
              </w:rPr>
              <w:t xml:space="preserve"> u odnosu na početnu vr</w:t>
            </w:r>
            <w:r w:rsidR="00C02A23" w:rsidRPr="00BD2023">
              <w:rPr>
                <w:bCs/>
                <w:sz w:val="22"/>
                <w:szCs w:val="22"/>
                <w:lang w:val="sr-Latn-ME"/>
              </w:rPr>
              <w:t>ij</w:t>
            </w:r>
            <w:r w:rsidRPr="00BD2023">
              <w:rPr>
                <w:bCs/>
                <w:sz w:val="22"/>
                <w:szCs w:val="22"/>
                <w:lang w:val="sr-Latn-ME"/>
              </w:rPr>
              <w:t>ednost (95% CI)</w:t>
            </w:r>
            <w:r w:rsidRPr="00BD2023">
              <w:rPr>
                <w:bCs/>
                <w:sz w:val="22"/>
                <w:szCs w:val="22"/>
                <w:vertAlign w:val="superscript"/>
                <w:lang w:val="sr-Latn-ME"/>
              </w:rPr>
              <w:t>1</w:t>
            </w:r>
          </w:p>
        </w:tc>
        <w:tc>
          <w:tcPr>
            <w:tcW w:w="861" w:type="pct"/>
            <w:shd w:val="clear" w:color="auto" w:fill="auto"/>
            <w:tcMar>
              <w:top w:w="15" w:type="dxa"/>
              <w:left w:w="108" w:type="dxa"/>
              <w:bottom w:w="0" w:type="dxa"/>
              <w:right w:w="108" w:type="dxa"/>
            </w:tcMar>
            <w:vAlign w:val="center"/>
          </w:tcPr>
          <w:p w14:paraId="2DBB3253" w14:textId="77777777" w:rsidR="00F77D20" w:rsidRPr="00BD2023" w:rsidRDefault="00F77D20" w:rsidP="00F77D20">
            <w:pPr>
              <w:keepNext/>
              <w:jc w:val="center"/>
              <w:rPr>
                <w:bCs/>
                <w:sz w:val="22"/>
                <w:szCs w:val="22"/>
                <w:lang w:val="sr-Latn-ME"/>
              </w:rPr>
            </w:pPr>
            <w:r w:rsidRPr="00BD2023">
              <w:rPr>
                <w:bCs/>
                <w:sz w:val="22"/>
                <w:szCs w:val="22"/>
                <w:lang w:val="sr-Latn-ME"/>
              </w:rPr>
              <w:t xml:space="preserve"> 38,3% </w:t>
            </w:r>
          </w:p>
          <w:p w14:paraId="01866E27" w14:textId="77777777" w:rsidR="00F77D20" w:rsidRPr="00BD2023" w:rsidRDefault="00F77D20" w:rsidP="00F77D20">
            <w:pPr>
              <w:keepNext/>
              <w:jc w:val="center"/>
              <w:rPr>
                <w:bCs/>
                <w:sz w:val="22"/>
                <w:szCs w:val="22"/>
                <w:lang w:val="sr-Latn-ME"/>
              </w:rPr>
            </w:pPr>
            <w:r w:rsidRPr="00BD2023">
              <w:rPr>
                <w:bCs/>
                <w:sz w:val="22"/>
                <w:szCs w:val="22"/>
                <w:lang w:val="sr-Latn-ME"/>
              </w:rPr>
              <w:t>(28,9, 47,6)</w:t>
            </w:r>
          </w:p>
        </w:tc>
        <w:tc>
          <w:tcPr>
            <w:tcW w:w="704" w:type="pct"/>
            <w:vAlign w:val="center"/>
          </w:tcPr>
          <w:p w14:paraId="1D3C7309" w14:textId="77777777" w:rsidR="00F77D20" w:rsidRPr="00BD2023" w:rsidRDefault="00F77D20" w:rsidP="00F77D20">
            <w:pPr>
              <w:keepNext/>
              <w:jc w:val="center"/>
              <w:rPr>
                <w:bCs/>
                <w:sz w:val="22"/>
                <w:szCs w:val="22"/>
                <w:lang w:val="sr-Latn-ME"/>
              </w:rPr>
            </w:pPr>
            <w:r w:rsidRPr="00BD2023">
              <w:rPr>
                <w:bCs/>
                <w:sz w:val="22"/>
                <w:szCs w:val="22"/>
                <w:lang w:val="sr-Latn-ME"/>
              </w:rPr>
              <w:t xml:space="preserve">23,7% </w:t>
            </w:r>
          </w:p>
          <w:p w14:paraId="3315E1D6" w14:textId="77777777" w:rsidR="00F77D20" w:rsidRPr="00BD2023" w:rsidRDefault="00F77D20" w:rsidP="00F77D20">
            <w:pPr>
              <w:keepNext/>
              <w:jc w:val="center"/>
              <w:rPr>
                <w:bCs/>
                <w:sz w:val="22"/>
                <w:szCs w:val="22"/>
                <w:lang w:val="sr-Latn-ME"/>
              </w:rPr>
            </w:pPr>
            <w:r w:rsidRPr="00BD2023">
              <w:rPr>
                <w:bCs/>
                <w:sz w:val="22"/>
                <w:szCs w:val="22"/>
                <w:lang w:val="sr-Latn-ME"/>
              </w:rPr>
              <w:t>(12,0, 35,4)</w:t>
            </w:r>
          </w:p>
        </w:tc>
      </w:tr>
      <w:tr w:rsidR="00F77D20" w:rsidRPr="00BD2023" w14:paraId="296F492D" w14:textId="77777777" w:rsidTr="00F77D20">
        <w:trPr>
          <w:tblHeader/>
        </w:trPr>
        <w:tc>
          <w:tcPr>
            <w:tcW w:w="3435" w:type="pct"/>
            <w:shd w:val="clear" w:color="auto" w:fill="auto"/>
            <w:tcMar>
              <w:top w:w="15" w:type="dxa"/>
              <w:left w:w="108" w:type="dxa"/>
              <w:bottom w:w="0" w:type="dxa"/>
              <w:right w:w="108" w:type="dxa"/>
            </w:tcMar>
          </w:tcPr>
          <w:p w14:paraId="433BD06F" w14:textId="77777777" w:rsidR="00F77D20" w:rsidRPr="00BD2023" w:rsidRDefault="00F77D20" w:rsidP="00F77D20">
            <w:pPr>
              <w:keepNext/>
              <w:spacing w:line="276" w:lineRule="auto"/>
              <w:ind w:left="432"/>
              <w:rPr>
                <w:bCs/>
                <w:sz w:val="22"/>
                <w:szCs w:val="22"/>
                <w:lang w:val="sr-Latn-ME"/>
              </w:rPr>
            </w:pPr>
            <w:r w:rsidRPr="00BD2023">
              <w:rPr>
                <w:bCs/>
                <w:sz w:val="22"/>
                <w:szCs w:val="22"/>
                <w:lang w:val="sr-Latn-ME"/>
              </w:rPr>
              <w:t>Odnos v</w:t>
            </w:r>
            <w:r w:rsidR="00C02A23" w:rsidRPr="00BD2023">
              <w:rPr>
                <w:bCs/>
                <w:sz w:val="22"/>
                <w:szCs w:val="22"/>
                <w:lang w:val="sr-Latn-ME"/>
              </w:rPr>
              <w:t>j</w:t>
            </w:r>
            <w:r w:rsidRPr="00BD2023">
              <w:rPr>
                <w:bCs/>
                <w:sz w:val="22"/>
                <w:szCs w:val="22"/>
                <w:lang w:val="sr-Latn-ME"/>
              </w:rPr>
              <w:t>erovatnoće za ukupan odgovor (95% CI)</w:t>
            </w:r>
          </w:p>
          <w:p w14:paraId="68B7FAB4" w14:textId="3D97205D" w:rsidR="00F77D20" w:rsidRPr="00BD2023" w:rsidRDefault="00F77D20" w:rsidP="00F77D20">
            <w:pPr>
              <w:keepNext/>
              <w:ind w:left="432"/>
              <w:rPr>
                <w:bCs/>
                <w:sz w:val="22"/>
                <w:szCs w:val="22"/>
                <w:lang w:val="sr-Latn-ME"/>
              </w:rPr>
            </w:pPr>
            <w:r w:rsidRPr="00BD2023">
              <w:rPr>
                <w:bCs/>
                <w:sz w:val="22"/>
                <w:szCs w:val="22"/>
                <w:lang w:val="sr-Latn-ME"/>
              </w:rPr>
              <w:t>Korigovana (nekorigovana) p-</w:t>
            </w:r>
            <w:r w:rsidR="00F73418" w:rsidRPr="00BD2023">
              <w:rPr>
                <w:bCs/>
                <w:sz w:val="22"/>
                <w:szCs w:val="22"/>
                <w:lang w:val="sr-Latn-ME"/>
              </w:rPr>
              <w:t>vrijednost</w:t>
            </w:r>
            <w:r w:rsidRPr="00BD2023">
              <w:rPr>
                <w:bCs/>
                <w:sz w:val="22"/>
                <w:szCs w:val="22"/>
                <w:vertAlign w:val="superscript"/>
                <w:lang w:val="sr-Latn-ME"/>
              </w:rPr>
              <w:t>3,4</w:t>
            </w:r>
          </w:p>
        </w:tc>
        <w:tc>
          <w:tcPr>
            <w:tcW w:w="1565" w:type="pct"/>
            <w:gridSpan w:val="2"/>
            <w:shd w:val="clear" w:color="auto" w:fill="auto"/>
            <w:tcMar>
              <w:top w:w="15" w:type="dxa"/>
              <w:left w:w="108" w:type="dxa"/>
              <w:bottom w:w="0" w:type="dxa"/>
              <w:right w:w="108" w:type="dxa"/>
            </w:tcMar>
            <w:vAlign w:val="center"/>
          </w:tcPr>
          <w:p w14:paraId="7519B70F" w14:textId="77777777" w:rsidR="00F77D20" w:rsidRPr="00BD2023" w:rsidRDefault="00F77D20" w:rsidP="00F77D20">
            <w:pPr>
              <w:keepNext/>
              <w:jc w:val="center"/>
              <w:rPr>
                <w:bCs/>
                <w:sz w:val="22"/>
                <w:szCs w:val="22"/>
                <w:lang w:val="sr-Latn-ME"/>
              </w:rPr>
            </w:pPr>
            <w:r w:rsidRPr="00BD2023">
              <w:rPr>
                <w:bCs/>
                <w:sz w:val="22"/>
                <w:szCs w:val="22"/>
                <w:lang w:val="sr-Latn-ME"/>
              </w:rPr>
              <w:t>2,35 (1,01, 5,44)</w:t>
            </w:r>
          </w:p>
          <w:p w14:paraId="7690BB53" w14:textId="77777777" w:rsidR="00F77D20" w:rsidRPr="00BD2023" w:rsidRDefault="00F77D20" w:rsidP="00F77D20">
            <w:pPr>
              <w:keepNext/>
              <w:jc w:val="center"/>
              <w:rPr>
                <w:bCs/>
                <w:sz w:val="22"/>
                <w:szCs w:val="22"/>
                <w:lang w:val="sr-Latn-ME"/>
              </w:rPr>
            </w:pPr>
            <w:r w:rsidRPr="00BD2023">
              <w:rPr>
                <w:bCs/>
                <w:sz w:val="22"/>
                <w:szCs w:val="22"/>
                <w:lang w:val="sr-Latn-ME"/>
              </w:rPr>
              <w:t>0,0469, (0,0469)</w:t>
            </w:r>
          </w:p>
        </w:tc>
      </w:tr>
      <w:tr w:rsidR="00F77D20" w:rsidRPr="00BD2023" w14:paraId="4E65E038" w14:textId="77777777" w:rsidTr="00F77D20">
        <w:trPr>
          <w:tblHeader/>
        </w:trPr>
        <w:tc>
          <w:tcPr>
            <w:tcW w:w="3435" w:type="pct"/>
            <w:shd w:val="clear" w:color="auto" w:fill="auto"/>
            <w:tcMar>
              <w:top w:w="15" w:type="dxa"/>
              <w:left w:w="108" w:type="dxa"/>
              <w:bottom w:w="0" w:type="dxa"/>
              <w:right w:w="108" w:type="dxa"/>
            </w:tcMar>
            <w:vAlign w:val="center"/>
          </w:tcPr>
          <w:p w14:paraId="2D571E16" w14:textId="15184D6A" w:rsidR="00F77D20" w:rsidRPr="00BD2023" w:rsidRDefault="00F77D20" w:rsidP="00F77D20">
            <w:pPr>
              <w:keepNext/>
              <w:spacing w:line="276" w:lineRule="auto"/>
              <w:rPr>
                <w:bCs/>
                <w:sz w:val="22"/>
                <w:szCs w:val="22"/>
                <w:lang w:val="sr-Latn-ME"/>
              </w:rPr>
            </w:pPr>
            <w:r w:rsidRPr="00BD2023">
              <w:rPr>
                <w:bCs/>
                <w:sz w:val="22"/>
                <w:szCs w:val="22"/>
                <w:lang w:val="sr-Latn-ME"/>
              </w:rPr>
              <w:t>Prom</w:t>
            </w:r>
            <w:r w:rsidR="00C02A23" w:rsidRPr="00BD2023">
              <w:rPr>
                <w:bCs/>
                <w:sz w:val="22"/>
                <w:szCs w:val="22"/>
                <w:lang w:val="sr-Latn-ME"/>
              </w:rPr>
              <w:t>j</w:t>
            </w:r>
            <w:r w:rsidRPr="00BD2023">
              <w:rPr>
                <w:bCs/>
                <w:sz w:val="22"/>
                <w:szCs w:val="22"/>
                <w:lang w:val="sr-Latn-ME"/>
              </w:rPr>
              <w:t>ena ukupno</w:t>
            </w:r>
            <w:r w:rsidR="00865485" w:rsidRPr="00BD2023">
              <w:rPr>
                <w:bCs/>
                <w:sz w:val="22"/>
                <w:szCs w:val="22"/>
                <w:lang w:val="sr-Latn-ME"/>
              </w:rPr>
              <w:t>g</w:t>
            </w:r>
            <w:r w:rsidRPr="00BD2023">
              <w:rPr>
                <w:bCs/>
                <w:sz w:val="22"/>
                <w:szCs w:val="22"/>
                <w:lang w:val="sr-Latn-ME"/>
              </w:rPr>
              <w:t xml:space="preserve"> RULM </w:t>
            </w:r>
            <w:r w:rsidR="00865485" w:rsidRPr="00BD2023">
              <w:rPr>
                <w:bCs/>
                <w:sz w:val="22"/>
                <w:szCs w:val="22"/>
                <w:lang w:val="sr-Latn-ME"/>
              </w:rPr>
              <w:t>rezultata</w:t>
            </w:r>
            <w:r w:rsidR="00865485" w:rsidRPr="00BD2023">
              <w:rPr>
                <w:bCs/>
                <w:sz w:val="22"/>
                <w:szCs w:val="22"/>
                <w:vertAlign w:val="superscript"/>
                <w:lang w:val="sr-Latn-ME"/>
              </w:rPr>
              <w:t>5</w:t>
            </w:r>
            <w:r w:rsidR="00865485" w:rsidRPr="00BD2023">
              <w:rPr>
                <w:bCs/>
                <w:sz w:val="22"/>
                <w:szCs w:val="22"/>
                <w:lang w:val="sr-Latn-ME"/>
              </w:rPr>
              <w:t xml:space="preserve"> nakon </w:t>
            </w:r>
            <w:r w:rsidRPr="00BD2023">
              <w:rPr>
                <w:bCs/>
                <w:sz w:val="22"/>
                <w:szCs w:val="22"/>
                <w:lang w:val="sr-Latn-ME"/>
              </w:rPr>
              <w:t xml:space="preserve">12 </w:t>
            </w:r>
            <w:r w:rsidR="00B744E8" w:rsidRPr="00BD2023">
              <w:rPr>
                <w:bCs/>
                <w:sz w:val="22"/>
                <w:szCs w:val="22"/>
                <w:lang w:val="sr-Latn-ME"/>
              </w:rPr>
              <w:t>mjesec</w:t>
            </w:r>
            <w:r w:rsidR="00865485" w:rsidRPr="00BD2023">
              <w:rPr>
                <w:bCs/>
                <w:sz w:val="22"/>
                <w:szCs w:val="22"/>
                <w:lang w:val="sr-Latn-ME"/>
              </w:rPr>
              <w:t>i</w:t>
            </w:r>
            <w:r w:rsidRPr="00BD2023">
              <w:rPr>
                <w:bCs/>
                <w:sz w:val="22"/>
                <w:szCs w:val="22"/>
                <w:lang w:val="sr-Latn-ME"/>
              </w:rPr>
              <w:t xml:space="preserve"> u odnosu na početnu vr</w:t>
            </w:r>
            <w:r w:rsidR="00C02A23" w:rsidRPr="00BD2023">
              <w:rPr>
                <w:bCs/>
                <w:sz w:val="22"/>
                <w:szCs w:val="22"/>
                <w:lang w:val="sr-Latn-ME"/>
              </w:rPr>
              <w:t>ij</w:t>
            </w:r>
            <w:r w:rsidRPr="00BD2023">
              <w:rPr>
                <w:bCs/>
                <w:sz w:val="22"/>
                <w:szCs w:val="22"/>
                <w:lang w:val="sr-Latn-ME"/>
              </w:rPr>
              <w:t>ednost</w:t>
            </w:r>
          </w:p>
          <w:p w14:paraId="022A0A90" w14:textId="77777777" w:rsidR="00F77D20" w:rsidRPr="00BD2023" w:rsidRDefault="00F77D20" w:rsidP="00F77D20">
            <w:pPr>
              <w:keepNext/>
              <w:spacing w:line="276" w:lineRule="auto"/>
              <w:rPr>
                <w:bCs/>
                <w:sz w:val="22"/>
                <w:szCs w:val="22"/>
                <w:lang w:val="sr-Latn-ME"/>
              </w:rPr>
            </w:pPr>
            <w:r w:rsidRPr="00BD2023">
              <w:rPr>
                <w:bCs/>
                <w:sz w:val="22"/>
                <w:szCs w:val="22"/>
                <w:lang w:val="sr-Latn-ME"/>
              </w:rPr>
              <w:t>Srednja vr</w:t>
            </w:r>
            <w:r w:rsidR="00C02A23" w:rsidRPr="00BD2023">
              <w:rPr>
                <w:bCs/>
                <w:sz w:val="22"/>
                <w:szCs w:val="22"/>
                <w:lang w:val="sr-Latn-ME"/>
              </w:rPr>
              <w:t>ij</w:t>
            </w:r>
            <w:r w:rsidRPr="00BD2023">
              <w:rPr>
                <w:bCs/>
                <w:sz w:val="22"/>
                <w:szCs w:val="22"/>
                <w:lang w:val="sr-Latn-ME"/>
              </w:rPr>
              <w:t>ednost LS (95%, CI)</w:t>
            </w:r>
          </w:p>
        </w:tc>
        <w:tc>
          <w:tcPr>
            <w:tcW w:w="861" w:type="pct"/>
            <w:shd w:val="clear" w:color="auto" w:fill="auto"/>
            <w:tcMar>
              <w:top w:w="15" w:type="dxa"/>
              <w:left w:w="108" w:type="dxa"/>
              <w:bottom w:w="0" w:type="dxa"/>
              <w:right w:w="108" w:type="dxa"/>
            </w:tcMar>
            <w:vAlign w:val="center"/>
          </w:tcPr>
          <w:p w14:paraId="21E3DE40" w14:textId="77777777" w:rsidR="00F77D20" w:rsidRPr="00BD2023" w:rsidRDefault="00F77D20" w:rsidP="00F77D20">
            <w:pPr>
              <w:keepNext/>
              <w:jc w:val="center"/>
              <w:rPr>
                <w:bCs/>
                <w:sz w:val="22"/>
                <w:szCs w:val="22"/>
                <w:lang w:val="sr-Latn-ME"/>
              </w:rPr>
            </w:pPr>
            <w:r w:rsidRPr="00BD2023">
              <w:rPr>
                <w:bCs/>
                <w:sz w:val="22"/>
                <w:szCs w:val="22"/>
                <w:lang w:val="sr-Latn-ME"/>
              </w:rPr>
              <w:t xml:space="preserve">1,61 </w:t>
            </w:r>
          </w:p>
          <w:p w14:paraId="3DD20FF9" w14:textId="77777777" w:rsidR="00F77D20" w:rsidRPr="00BD2023" w:rsidRDefault="00F77D20" w:rsidP="00F77D20">
            <w:pPr>
              <w:keepNext/>
              <w:jc w:val="center"/>
              <w:rPr>
                <w:bCs/>
                <w:sz w:val="22"/>
                <w:szCs w:val="22"/>
                <w:lang w:val="sr-Latn-ME"/>
              </w:rPr>
            </w:pPr>
            <w:r w:rsidRPr="00BD2023">
              <w:rPr>
                <w:bCs/>
                <w:sz w:val="22"/>
                <w:szCs w:val="22"/>
                <w:lang w:val="sr-Latn-ME"/>
              </w:rPr>
              <w:t>(1,00, 2,22)</w:t>
            </w:r>
          </w:p>
        </w:tc>
        <w:tc>
          <w:tcPr>
            <w:tcW w:w="704" w:type="pct"/>
            <w:vAlign w:val="center"/>
          </w:tcPr>
          <w:p w14:paraId="3EBBA251" w14:textId="77777777" w:rsidR="00F77D20" w:rsidRPr="00BD2023" w:rsidRDefault="00F77D20" w:rsidP="00F77D20">
            <w:pPr>
              <w:keepNext/>
              <w:jc w:val="center"/>
              <w:rPr>
                <w:bCs/>
                <w:sz w:val="22"/>
                <w:szCs w:val="22"/>
                <w:lang w:val="sr-Latn-ME"/>
              </w:rPr>
            </w:pPr>
            <w:r w:rsidRPr="00BD2023">
              <w:rPr>
                <w:bCs/>
                <w:sz w:val="22"/>
                <w:szCs w:val="22"/>
                <w:lang w:val="sr-Latn-ME"/>
              </w:rPr>
              <w:t xml:space="preserve">0,02 </w:t>
            </w:r>
          </w:p>
          <w:p w14:paraId="3F4ED59E" w14:textId="77777777" w:rsidR="00F77D20" w:rsidRPr="00BD2023" w:rsidRDefault="00F77D20" w:rsidP="00F77D20">
            <w:pPr>
              <w:keepNext/>
              <w:jc w:val="center"/>
              <w:rPr>
                <w:bCs/>
                <w:sz w:val="22"/>
                <w:szCs w:val="22"/>
                <w:lang w:val="sr-Latn-ME"/>
              </w:rPr>
            </w:pPr>
            <w:r w:rsidRPr="00BD2023">
              <w:rPr>
                <w:bCs/>
                <w:sz w:val="22"/>
                <w:szCs w:val="22"/>
                <w:lang w:val="sr-Latn-ME"/>
              </w:rPr>
              <w:t>(-0,83, 0,87)</w:t>
            </w:r>
          </w:p>
        </w:tc>
      </w:tr>
      <w:tr w:rsidR="00F77D20" w:rsidRPr="00BD2023" w14:paraId="5BFBAA5C" w14:textId="77777777" w:rsidTr="00F77D20">
        <w:trPr>
          <w:trHeight w:val="48"/>
          <w:tblHeader/>
        </w:trPr>
        <w:tc>
          <w:tcPr>
            <w:tcW w:w="3435" w:type="pct"/>
            <w:shd w:val="clear" w:color="auto" w:fill="auto"/>
            <w:tcMar>
              <w:top w:w="15" w:type="dxa"/>
              <w:left w:w="108" w:type="dxa"/>
              <w:bottom w:w="0" w:type="dxa"/>
              <w:right w:w="108" w:type="dxa"/>
            </w:tcMar>
            <w:vAlign w:val="center"/>
          </w:tcPr>
          <w:p w14:paraId="3557ABAC" w14:textId="77777777" w:rsidR="00F77D20" w:rsidRPr="00BD2023" w:rsidRDefault="00F77D20" w:rsidP="00F77D20">
            <w:pPr>
              <w:keepNext/>
              <w:spacing w:line="276" w:lineRule="auto"/>
              <w:ind w:left="432"/>
              <w:rPr>
                <w:bCs/>
                <w:sz w:val="22"/>
                <w:szCs w:val="22"/>
                <w:lang w:val="sr-Latn-ME"/>
              </w:rPr>
            </w:pPr>
            <w:r w:rsidRPr="00BD2023">
              <w:rPr>
                <w:bCs/>
                <w:sz w:val="22"/>
                <w:szCs w:val="22"/>
                <w:lang w:val="sr-Latn-ME"/>
              </w:rPr>
              <w:t>Razlika u odnosu na proc</w:t>
            </w:r>
            <w:r w:rsidR="00C02A23" w:rsidRPr="00BD2023">
              <w:rPr>
                <w:bCs/>
                <w:sz w:val="22"/>
                <w:szCs w:val="22"/>
                <w:lang w:val="sr-Latn-ME"/>
              </w:rPr>
              <w:t>j</w:t>
            </w:r>
            <w:r w:rsidRPr="00BD2023">
              <w:rPr>
                <w:bCs/>
                <w:sz w:val="22"/>
                <w:szCs w:val="22"/>
                <w:lang w:val="sr-Latn-ME"/>
              </w:rPr>
              <w:t>enu za placebo (95% CI)</w:t>
            </w:r>
          </w:p>
          <w:p w14:paraId="7F61AB77" w14:textId="3CEC8610" w:rsidR="00F77D20" w:rsidRPr="00BD2023" w:rsidRDefault="00F77D20" w:rsidP="00F77D20">
            <w:pPr>
              <w:keepNext/>
              <w:spacing w:beforeLines="20" w:before="48" w:afterLines="20" w:after="48"/>
              <w:ind w:left="432"/>
              <w:rPr>
                <w:bCs/>
                <w:sz w:val="22"/>
                <w:szCs w:val="22"/>
                <w:lang w:val="sr-Latn-ME"/>
              </w:rPr>
            </w:pPr>
            <w:r w:rsidRPr="00BD2023">
              <w:rPr>
                <w:bCs/>
                <w:sz w:val="22"/>
                <w:szCs w:val="22"/>
                <w:lang w:val="sr-Latn-ME"/>
              </w:rPr>
              <w:t>Korigovana (nekorigovana) p-</w:t>
            </w:r>
            <w:r w:rsidR="00F73418" w:rsidRPr="00BD2023">
              <w:rPr>
                <w:bCs/>
                <w:sz w:val="22"/>
                <w:szCs w:val="22"/>
                <w:lang w:val="sr-Latn-ME"/>
              </w:rPr>
              <w:t>vrijednost</w:t>
            </w:r>
            <w:r w:rsidRPr="00BD2023">
              <w:rPr>
                <w:bCs/>
                <w:sz w:val="22"/>
                <w:szCs w:val="22"/>
                <w:vertAlign w:val="superscript"/>
                <w:lang w:val="sr-Latn-ME"/>
              </w:rPr>
              <w:t>2,4</w:t>
            </w:r>
          </w:p>
        </w:tc>
        <w:tc>
          <w:tcPr>
            <w:tcW w:w="1565" w:type="pct"/>
            <w:gridSpan w:val="2"/>
            <w:shd w:val="clear" w:color="auto" w:fill="auto"/>
            <w:tcMar>
              <w:top w:w="15" w:type="dxa"/>
              <w:left w:w="108" w:type="dxa"/>
              <w:bottom w:w="0" w:type="dxa"/>
              <w:right w:w="108" w:type="dxa"/>
            </w:tcMar>
            <w:vAlign w:val="center"/>
          </w:tcPr>
          <w:p w14:paraId="60FBE718" w14:textId="77777777" w:rsidR="00F77D20" w:rsidRPr="00BD2023" w:rsidRDefault="00F77D20" w:rsidP="00F77D20">
            <w:pPr>
              <w:keepNext/>
              <w:jc w:val="center"/>
              <w:rPr>
                <w:bCs/>
                <w:sz w:val="22"/>
                <w:szCs w:val="22"/>
                <w:lang w:val="sr-Latn-ME"/>
              </w:rPr>
            </w:pPr>
            <w:r w:rsidRPr="00BD2023">
              <w:rPr>
                <w:bCs/>
                <w:sz w:val="22"/>
                <w:szCs w:val="22"/>
                <w:lang w:val="sr-Latn-ME"/>
              </w:rPr>
              <w:t>1,59 (0,55, 2,62)</w:t>
            </w:r>
          </w:p>
          <w:p w14:paraId="3ADD6F17" w14:textId="77777777" w:rsidR="00F77D20" w:rsidRPr="00BD2023" w:rsidRDefault="00F77D20" w:rsidP="00F77D20">
            <w:pPr>
              <w:keepNext/>
              <w:spacing w:beforeLines="20" w:before="48" w:afterLines="20" w:after="48"/>
              <w:jc w:val="center"/>
              <w:rPr>
                <w:bCs/>
                <w:sz w:val="22"/>
                <w:szCs w:val="22"/>
                <w:lang w:val="sr-Latn-ME"/>
              </w:rPr>
            </w:pPr>
            <w:r w:rsidRPr="00BD2023">
              <w:rPr>
                <w:bCs/>
                <w:sz w:val="22"/>
                <w:szCs w:val="22"/>
                <w:lang w:val="sr-Latn-ME"/>
              </w:rPr>
              <w:t>0,0469 (0,0028)</w:t>
            </w:r>
          </w:p>
        </w:tc>
      </w:tr>
    </w:tbl>
    <w:p w14:paraId="60C35F91" w14:textId="605E877D" w:rsidR="00F77D20" w:rsidRPr="00BD2023" w:rsidRDefault="00F77D20" w:rsidP="00BC480A">
      <w:pPr>
        <w:pStyle w:val="TabFigNote"/>
        <w:spacing w:before="0" w:line="180" w:lineRule="exact"/>
        <w:jc w:val="both"/>
        <w:rPr>
          <w:rFonts w:ascii="Times New Roman" w:hAnsi="Times New Roman"/>
          <w:sz w:val="18"/>
          <w:szCs w:val="18"/>
          <w:lang w:val="sr-Latn-ME"/>
        </w:rPr>
      </w:pPr>
      <w:r w:rsidRPr="00BD2023">
        <w:rPr>
          <w:rFonts w:ascii="Times New Roman" w:hAnsi="Times New Roman"/>
          <w:sz w:val="18"/>
          <w:szCs w:val="18"/>
          <w:lang w:val="sr-Latn-ME"/>
        </w:rPr>
        <w:lastRenderedPageBreak/>
        <w:t>LS</w:t>
      </w:r>
      <w:r w:rsidR="00524786" w:rsidRPr="00BD2023">
        <w:rPr>
          <w:rFonts w:ascii="Times New Roman" w:hAnsi="Times New Roman"/>
          <w:sz w:val="18"/>
          <w:szCs w:val="18"/>
          <w:lang w:val="sr-Latn-ME"/>
        </w:rPr>
        <w:t xml:space="preserve"> (</w:t>
      </w:r>
      <w:r w:rsidR="00524786" w:rsidRPr="00BD2023">
        <w:rPr>
          <w:rFonts w:ascii="Times New Roman" w:hAnsi="Times New Roman"/>
          <w:i/>
          <w:sz w:val="18"/>
          <w:szCs w:val="18"/>
          <w:lang w:val="sr-Latn-ME"/>
        </w:rPr>
        <w:t>least squares</w:t>
      </w:r>
      <w:r w:rsidR="00524786" w:rsidRPr="00BD2023">
        <w:rPr>
          <w:rFonts w:ascii="Times New Roman" w:hAnsi="Times New Roman"/>
          <w:sz w:val="18"/>
          <w:szCs w:val="18"/>
          <w:lang w:val="sr-Latn-ME"/>
        </w:rPr>
        <w:t>)</w:t>
      </w:r>
      <w:r w:rsidRPr="00BD2023">
        <w:rPr>
          <w:rFonts w:ascii="Times New Roman" w:hAnsi="Times New Roman"/>
          <w:sz w:val="18"/>
          <w:szCs w:val="18"/>
          <w:lang w:val="sr-Latn-ME"/>
        </w:rPr>
        <w:sym w:font="Symbol" w:char="F03D"/>
      </w:r>
      <w:r w:rsidR="00524786" w:rsidRPr="00BD2023">
        <w:rPr>
          <w:rFonts w:ascii="Times New Roman" w:hAnsi="Times New Roman"/>
          <w:sz w:val="18"/>
          <w:szCs w:val="18"/>
          <w:lang w:val="sr-Latn-ME"/>
        </w:rPr>
        <w:t xml:space="preserve"> metoda </w:t>
      </w:r>
      <w:r w:rsidRPr="00BD2023">
        <w:rPr>
          <w:rFonts w:ascii="Times New Roman" w:hAnsi="Times New Roman"/>
          <w:sz w:val="18"/>
          <w:szCs w:val="18"/>
          <w:lang w:val="sr-Latn-ME"/>
        </w:rPr>
        <w:t>najmanji</w:t>
      </w:r>
      <w:r w:rsidR="00524786" w:rsidRPr="00BD2023">
        <w:rPr>
          <w:rFonts w:ascii="Times New Roman" w:hAnsi="Times New Roman"/>
          <w:sz w:val="18"/>
          <w:szCs w:val="18"/>
          <w:lang w:val="sr-Latn-ME"/>
        </w:rPr>
        <w:t>h</w:t>
      </w:r>
      <w:r w:rsidRPr="00BD2023">
        <w:rPr>
          <w:rFonts w:ascii="Times New Roman" w:hAnsi="Times New Roman"/>
          <w:sz w:val="18"/>
          <w:szCs w:val="18"/>
          <w:lang w:val="sr-Latn-ME"/>
        </w:rPr>
        <w:t xml:space="preserve"> kvadrat</w:t>
      </w:r>
      <w:r w:rsidR="00524786" w:rsidRPr="00BD2023">
        <w:rPr>
          <w:rFonts w:ascii="Times New Roman" w:hAnsi="Times New Roman"/>
          <w:sz w:val="18"/>
          <w:szCs w:val="18"/>
          <w:lang w:val="sr-Latn-ME"/>
        </w:rPr>
        <w:t>a</w:t>
      </w:r>
    </w:p>
    <w:p w14:paraId="423616D7" w14:textId="77777777" w:rsidR="00F77D20" w:rsidRPr="00BD2023" w:rsidRDefault="00F77D20" w:rsidP="00BC480A">
      <w:pPr>
        <w:pStyle w:val="TabFigFooter"/>
        <w:numPr>
          <w:ilvl w:val="0"/>
          <w:numId w:val="12"/>
        </w:numPr>
        <w:spacing w:before="0" w:line="180" w:lineRule="exact"/>
        <w:ind w:left="180" w:hanging="180"/>
        <w:jc w:val="both"/>
        <w:rPr>
          <w:rFonts w:ascii="Times New Roman" w:hAnsi="Times New Roman"/>
          <w:sz w:val="18"/>
          <w:szCs w:val="18"/>
          <w:lang w:val="sr-Latn-ME"/>
        </w:rPr>
      </w:pPr>
      <w:r w:rsidRPr="00BD2023">
        <w:rPr>
          <w:rFonts w:ascii="Times New Roman" w:hAnsi="Times New Roman"/>
          <w:sz w:val="18"/>
          <w:szCs w:val="18"/>
          <w:lang w:val="sr-Latn-ME"/>
        </w:rPr>
        <w:t>Na osnovu pravila o podacima koji nedostaju za MFM32, 6 pacijenata je isključeno iz analize (Evrysdi n=115; placebo kontrola n=59).</w:t>
      </w:r>
    </w:p>
    <w:p w14:paraId="301715CA" w14:textId="55EC41F1" w:rsidR="00F77D20" w:rsidRPr="00BD2023" w:rsidRDefault="00F77D20" w:rsidP="00BC480A">
      <w:pPr>
        <w:pStyle w:val="TabFigFooter"/>
        <w:numPr>
          <w:ilvl w:val="0"/>
          <w:numId w:val="12"/>
        </w:numPr>
        <w:spacing w:before="0" w:line="180" w:lineRule="exact"/>
        <w:ind w:left="180" w:hanging="180"/>
        <w:jc w:val="both"/>
        <w:rPr>
          <w:rFonts w:ascii="Times New Roman" w:hAnsi="Times New Roman"/>
          <w:sz w:val="18"/>
          <w:szCs w:val="18"/>
          <w:lang w:val="sr-Latn-ME"/>
        </w:rPr>
      </w:pPr>
      <w:r w:rsidRPr="00BD2023">
        <w:rPr>
          <w:rFonts w:ascii="Times New Roman" w:hAnsi="Times New Roman"/>
          <w:sz w:val="18"/>
          <w:szCs w:val="18"/>
          <w:lang w:val="sr-Latn-ME"/>
        </w:rPr>
        <w:t>Podaci analizirani ponovljen</w:t>
      </w:r>
      <w:r w:rsidR="00524786" w:rsidRPr="00BD2023">
        <w:rPr>
          <w:rFonts w:ascii="Times New Roman" w:hAnsi="Times New Roman"/>
          <w:sz w:val="18"/>
          <w:szCs w:val="18"/>
          <w:lang w:val="sr-Latn-ME"/>
        </w:rPr>
        <w:t>im</w:t>
      </w:r>
      <w:r w:rsidRPr="00BD2023">
        <w:rPr>
          <w:rFonts w:ascii="Times New Roman" w:hAnsi="Times New Roman"/>
          <w:sz w:val="18"/>
          <w:szCs w:val="18"/>
          <w:lang w:val="sr-Latn-ME"/>
        </w:rPr>
        <w:t xml:space="preserve"> </w:t>
      </w:r>
      <w:r w:rsidR="000956D5" w:rsidRPr="00BD2023">
        <w:rPr>
          <w:rFonts w:ascii="Times New Roman" w:hAnsi="Times New Roman"/>
          <w:sz w:val="18"/>
          <w:szCs w:val="18"/>
          <w:lang w:val="sr-Latn-ME"/>
        </w:rPr>
        <w:t>mjere</w:t>
      </w:r>
      <w:r w:rsidR="00524786" w:rsidRPr="00BD2023">
        <w:rPr>
          <w:rFonts w:ascii="Times New Roman" w:hAnsi="Times New Roman"/>
          <w:sz w:val="18"/>
          <w:szCs w:val="18"/>
          <w:lang w:val="sr-Latn-ME"/>
        </w:rPr>
        <w:t>njima</w:t>
      </w:r>
      <w:r w:rsidRPr="00BD2023">
        <w:rPr>
          <w:rFonts w:ascii="Times New Roman" w:hAnsi="Times New Roman"/>
          <w:sz w:val="18"/>
          <w:szCs w:val="18"/>
          <w:lang w:val="sr-Latn-ME"/>
        </w:rPr>
        <w:t xml:space="preserve"> </w:t>
      </w:r>
      <w:r w:rsidR="00835D8C" w:rsidRPr="00BD2023">
        <w:rPr>
          <w:rFonts w:ascii="Times New Roman" w:hAnsi="Times New Roman"/>
          <w:sz w:val="18"/>
          <w:szCs w:val="18"/>
          <w:lang w:val="sr-Latn-ME"/>
        </w:rPr>
        <w:t>mješovit</w:t>
      </w:r>
      <w:r w:rsidR="00524786" w:rsidRPr="00BD2023">
        <w:rPr>
          <w:rFonts w:ascii="Times New Roman" w:hAnsi="Times New Roman"/>
          <w:sz w:val="18"/>
          <w:szCs w:val="18"/>
          <w:lang w:val="sr-Latn-ME"/>
        </w:rPr>
        <w:t>im</w:t>
      </w:r>
      <w:r w:rsidRPr="00BD2023">
        <w:rPr>
          <w:rFonts w:ascii="Times New Roman" w:hAnsi="Times New Roman"/>
          <w:sz w:val="18"/>
          <w:szCs w:val="18"/>
          <w:lang w:val="sr-Latn-ME"/>
        </w:rPr>
        <w:t xml:space="preserve"> model</w:t>
      </w:r>
      <w:r w:rsidR="00524786" w:rsidRPr="00BD2023">
        <w:rPr>
          <w:rFonts w:ascii="Times New Roman" w:hAnsi="Times New Roman"/>
          <w:sz w:val="18"/>
          <w:szCs w:val="18"/>
          <w:lang w:val="sr-Latn-ME"/>
        </w:rPr>
        <w:t>om, u kojima su</w:t>
      </w:r>
      <w:r w:rsidR="00737925" w:rsidRPr="00BD2023">
        <w:rPr>
          <w:rFonts w:ascii="Times New Roman" w:hAnsi="Times New Roman"/>
          <w:sz w:val="18"/>
          <w:szCs w:val="18"/>
          <w:lang w:val="sr-Latn-ME"/>
        </w:rPr>
        <w:t xml:space="preserve"> </w:t>
      </w:r>
      <w:r w:rsidR="00524786" w:rsidRPr="00BD2023">
        <w:rPr>
          <w:rFonts w:ascii="Times New Roman" w:hAnsi="Times New Roman"/>
          <w:sz w:val="18"/>
          <w:szCs w:val="18"/>
          <w:lang w:val="sr-Latn-ME"/>
        </w:rPr>
        <w:t>varijable bile</w:t>
      </w:r>
      <w:r w:rsidRPr="00BD2023">
        <w:rPr>
          <w:rFonts w:ascii="Times New Roman" w:hAnsi="Times New Roman"/>
          <w:sz w:val="18"/>
          <w:szCs w:val="18"/>
          <w:lang w:val="sr-Latn-ME"/>
        </w:rPr>
        <w:t xml:space="preserve"> početni ukupni </w:t>
      </w:r>
      <w:r w:rsidR="00524786" w:rsidRPr="00BD2023">
        <w:rPr>
          <w:rFonts w:ascii="Times New Roman" w:hAnsi="Times New Roman"/>
          <w:sz w:val="18"/>
          <w:szCs w:val="18"/>
          <w:lang w:val="sr-Latn-ME"/>
        </w:rPr>
        <w:t>rezultat</w:t>
      </w:r>
      <w:r w:rsidRPr="00BD2023">
        <w:rPr>
          <w:rFonts w:ascii="Times New Roman" w:hAnsi="Times New Roman"/>
          <w:sz w:val="18"/>
          <w:szCs w:val="18"/>
          <w:lang w:val="sr-Latn-ME"/>
        </w:rPr>
        <w:t>, terapij</w:t>
      </w:r>
      <w:r w:rsidR="00524786" w:rsidRPr="00BD2023">
        <w:rPr>
          <w:rFonts w:ascii="Times New Roman" w:hAnsi="Times New Roman"/>
          <w:sz w:val="18"/>
          <w:szCs w:val="18"/>
          <w:lang w:val="sr-Latn-ME"/>
        </w:rPr>
        <w:t>a</w:t>
      </w:r>
      <w:r w:rsidRPr="00BD2023">
        <w:rPr>
          <w:rFonts w:ascii="Times New Roman" w:hAnsi="Times New Roman"/>
          <w:sz w:val="18"/>
          <w:szCs w:val="18"/>
          <w:lang w:val="sr-Latn-ME"/>
        </w:rPr>
        <w:t>, starosn</w:t>
      </w:r>
      <w:r w:rsidR="00524786" w:rsidRPr="00BD2023">
        <w:rPr>
          <w:rFonts w:ascii="Times New Roman" w:hAnsi="Times New Roman"/>
          <w:sz w:val="18"/>
          <w:szCs w:val="18"/>
          <w:lang w:val="sr-Latn-ME"/>
        </w:rPr>
        <w:t>a</w:t>
      </w:r>
      <w:r w:rsidRPr="00BD2023">
        <w:rPr>
          <w:rFonts w:ascii="Times New Roman" w:hAnsi="Times New Roman"/>
          <w:sz w:val="18"/>
          <w:szCs w:val="18"/>
          <w:lang w:val="sr-Latn-ME"/>
        </w:rPr>
        <w:t xml:space="preserve"> grup</w:t>
      </w:r>
      <w:r w:rsidR="00524786" w:rsidRPr="00BD2023">
        <w:rPr>
          <w:rFonts w:ascii="Times New Roman" w:hAnsi="Times New Roman"/>
          <w:sz w:val="18"/>
          <w:szCs w:val="18"/>
          <w:lang w:val="sr-Latn-ME"/>
        </w:rPr>
        <w:t>a</w:t>
      </w:r>
      <w:r w:rsidRPr="00BD2023">
        <w:rPr>
          <w:rFonts w:ascii="Times New Roman" w:hAnsi="Times New Roman"/>
          <w:sz w:val="18"/>
          <w:szCs w:val="18"/>
          <w:lang w:val="sr-Latn-ME"/>
        </w:rPr>
        <w:t>, terapij</w:t>
      </w:r>
      <w:r w:rsidR="00524786" w:rsidRPr="00BD2023">
        <w:rPr>
          <w:rFonts w:ascii="Times New Roman" w:hAnsi="Times New Roman"/>
          <w:sz w:val="18"/>
          <w:szCs w:val="18"/>
          <w:lang w:val="sr-Latn-ME"/>
        </w:rPr>
        <w:t>a</w:t>
      </w:r>
      <w:r w:rsidRPr="00BD2023">
        <w:rPr>
          <w:rFonts w:ascii="Times New Roman" w:hAnsi="Times New Roman"/>
          <w:sz w:val="18"/>
          <w:szCs w:val="18"/>
          <w:lang w:val="sr-Latn-ME"/>
        </w:rPr>
        <w:t xml:space="preserve"> po </w:t>
      </w:r>
      <w:r w:rsidR="00835D8C" w:rsidRPr="00BD2023">
        <w:rPr>
          <w:rFonts w:ascii="Times New Roman" w:hAnsi="Times New Roman"/>
          <w:sz w:val="18"/>
          <w:szCs w:val="18"/>
          <w:lang w:val="sr-Latn-ME"/>
        </w:rPr>
        <w:t>posjet</w:t>
      </w:r>
      <w:r w:rsidRPr="00BD2023">
        <w:rPr>
          <w:rFonts w:ascii="Times New Roman" w:hAnsi="Times New Roman"/>
          <w:sz w:val="18"/>
          <w:szCs w:val="18"/>
          <w:lang w:val="sr-Latn-ME"/>
        </w:rPr>
        <w:t xml:space="preserve">i i </w:t>
      </w:r>
      <w:r w:rsidR="00524786" w:rsidRPr="00BD2023">
        <w:rPr>
          <w:rFonts w:ascii="Times New Roman" w:hAnsi="Times New Roman"/>
          <w:sz w:val="18"/>
          <w:szCs w:val="18"/>
          <w:lang w:val="sr-Latn-ME"/>
        </w:rPr>
        <w:t>početna vrijednost po posjeti</w:t>
      </w:r>
      <w:r w:rsidRPr="00BD2023">
        <w:rPr>
          <w:rFonts w:ascii="Times New Roman" w:hAnsi="Times New Roman"/>
          <w:sz w:val="18"/>
          <w:szCs w:val="18"/>
          <w:lang w:val="sr-Latn-ME"/>
        </w:rPr>
        <w:t>.</w:t>
      </w:r>
    </w:p>
    <w:p w14:paraId="00ABBE81" w14:textId="63AA9330" w:rsidR="00F77D20" w:rsidRPr="00BD2023" w:rsidRDefault="00F77D20" w:rsidP="00BC480A">
      <w:pPr>
        <w:pStyle w:val="TabFigFooter"/>
        <w:numPr>
          <w:ilvl w:val="0"/>
          <w:numId w:val="12"/>
        </w:numPr>
        <w:spacing w:before="0" w:line="180" w:lineRule="exact"/>
        <w:ind w:left="180" w:hanging="180"/>
        <w:jc w:val="both"/>
        <w:rPr>
          <w:rFonts w:ascii="Times New Roman" w:hAnsi="Times New Roman"/>
          <w:sz w:val="18"/>
          <w:szCs w:val="18"/>
          <w:lang w:val="sr-Latn-ME"/>
        </w:rPr>
      </w:pPr>
      <w:r w:rsidRPr="00BD2023">
        <w:rPr>
          <w:rFonts w:ascii="Times New Roman" w:hAnsi="Times New Roman"/>
          <w:sz w:val="18"/>
          <w:szCs w:val="18"/>
          <w:lang w:val="sr-Latn-ME"/>
        </w:rPr>
        <w:t xml:space="preserve">Podaci analizirani pomoću logističke regresije sa početnim ukupnim </w:t>
      </w:r>
      <w:r w:rsidR="00524786" w:rsidRPr="00BD2023">
        <w:rPr>
          <w:rFonts w:ascii="Times New Roman" w:hAnsi="Times New Roman"/>
          <w:sz w:val="18"/>
          <w:szCs w:val="18"/>
          <w:lang w:val="sr-Latn-ME"/>
        </w:rPr>
        <w:t>rezultatom</w:t>
      </w:r>
      <w:r w:rsidRPr="00BD2023">
        <w:rPr>
          <w:rFonts w:ascii="Times New Roman" w:hAnsi="Times New Roman"/>
          <w:sz w:val="18"/>
          <w:szCs w:val="18"/>
          <w:lang w:val="sr-Latn-ME"/>
        </w:rPr>
        <w:t xml:space="preserve">, terapijom i starosnom grupom. </w:t>
      </w:r>
    </w:p>
    <w:p w14:paraId="57B7FF5A" w14:textId="20D49715" w:rsidR="00F77D20" w:rsidRPr="00BD2023" w:rsidRDefault="00F77D20" w:rsidP="00BC480A">
      <w:pPr>
        <w:pStyle w:val="TabFigFooter"/>
        <w:numPr>
          <w:ilvl w:val="0"/>
          <w:numId w:val="12"/>
        </w:numPr>
        <w:spacing w:before="0" w:line="180" w:lineRule="exact"/>
        <w:ind w:left="180" w:hanging="180"/>
        <w:jc w:val="both"/>
        <w:rPr>
          <w:rFonts w:ascii="Times New Roman" w:hAnsi="Times New Roman"/>
          <w:sz w:val="18"/>
          <w:szCs w:val="18"/>
          <w:lang w:val="sr-Latn-ME"/>
        </w:rPr>
      </w:pPr>
      <w:r w:rsidRPr="00BD2023">
        <w:rPr>
          <w:rFonts w:ascii="Times New Roman" w:hAnsi="Times New Roman"/>
          <w:sz w:val="18"/>
          <w:szCs w:val="18"/>
          <w:lang w:val="sr-Latn-ME"/>
        </w:rPr>
        <w:t>Korigovana p-</w:t>
      </w:r>
      <w:r w:rsidR="00F73418" w:rsidRPr="00BD2023">
        <w:rPr>
          <w:rFonts w:ascii="Times New Roman" w:hAnsi="Times New Roman"/>
          <w:sz w:val="18"/>
          <w:szCs w:val="18"/>
          <w:lang w:val="sr-Latn-ME"/>
        </w:rPr>
        <w:t>vrijednost</w:t>
      </w:r>
      <w:r w:rsidRPr="00BD2023">
        <w:rPr>
          <w:rFonts w:ascii="Times New Roman" w:hAnsi="Times New Roman"/>
          <w:sz w:val="18"/>
          <w:szCs w:val="18"/>
          <w:lang w:val="sr-Latn-ME"/>
        </w:rPr>
        <w:t xml:space="preserve"> dobijena je za krajnje tačke</w:t>
      </w:r>
      <w:r w:rsidR="00524786" w:rsidRPr="00BD2023">
        <w:rPr>
          <w:rFonts w:ascii="Times New Roman" w:hAnsi="Times New Roman"/>
          <w:sz w:val="18"/>
          <w:szCs w:val="18"/>
          <w:lang w:val="sr-Latn-ME"/>
        </w:rPr>
        <w:t xml:space="preserve"> ishoda</w:t>
      </w:r>
      <w:r w:rsidRPr="00BD2023">
        <w:rPr>
          <w:rFonts w:ascii="Times New Roman" w:hAnsi="Times New Roman"/>
          <w:sz w:val="18"/>
          <w:szCs w:val="18"/>
          <w:lang w:val="sr-Latn-ME"/>
        </w:rPr>
        <w:t xml:space="preserve"> obuhvaćene hijerarhijskim testiranjem i izvedena je na osnovu svih p-</w:t>
      </w:r>
      <w:r w:rsidR="00F73418" w:rsidRPr="00BD2023">
        <w:rPr>
          <w:rFonts w:ascii="Times New Roman" w:hAnsi="Times New Roman"/>
          <w:sz w:val="18"/>
          <w:szCs w:val="18"/>
          <w:lang w:val="sr-Latn-ME"/>
        </w:rPr>
        <w:t>vrijednost</w:t>
      </w:r>
      <w:r w:rsidRPr="00BD2023">
        <w:rPr>
          <w:rFonts w:ascii="Times New Roman" w:hAnsi="Times New Roman"/>
          <w:sz w:val="18"/>
          <w:szCs w:val="18"/>
          <w:lang w:val="sr-Latn-ME"/>
        </w:rPr>
        <w:t xml:space="preserve">i </w:t>
      </w:r>
      <w:r w:rsidR="00524786" w:rsidRPr="00BD2023">
        <w:rPr>
          <w:rFonts w:ascii="Times New Roman" w:hAnsi="Times New Roman"/>
          <w:sz w:val="18"/>
          <w:szCs w:val="18"/>
          <w:lang w:val="sr-Latn-ME"/>
        </w:rPr>
        <w:t>za</w:t>
      </w:r>
      <w:r w:rsidRPr="00BD2023">
        <w:rPr>
          <w:rFonts w:ascii="Times New Roman" w:hAnsi="Times New Roman"/>
          <w:sz w:val="18"/>
          <w:szCs w:val="18"/>
          <w:lang w:val="sr-Latn-ME"/>
        </w:rPr>
        <w:t xml:space="preserve"> </w:t>
      </w:r>
      <w:r w:rsidR="00524786" w:rsidRPr="00BD2023">
        <w:rPr>
          <w:rFonts w:ascii="Times New Roman" w:hAnsi="Times New Roman"/>
          <w:sz w:val="18"/>
          <w:szCs w:val="18"/>
          <w:lang w:val="sr-Latn-ME"/>
        </w:rPr>
        <w:t xml:space="preserve">mjere ishoda koje su </w:t>
      </w:r>
      <w:r w:rsidRPr="00BD2023">
        <w:rPr>
          <w:rFonts w:ascii="Times New Roman" w:hAnsi="Times New Roman"/>
          <w:sz w:val="18"/>
          <w:szCs w:val="18"/>
          <w:lang w:val="sr-Latn-ME"/>
        </w:rPr>
        <w:t xml:space="preserve"> hijerarhij</w:t>
      </w:r>
      <w:r w:rsidR="00524786" w:rsidRPr="00BD2023">
        <w:rPr>
          <w:rFonts w:ascii="Times New Roman" w:hAnsi="Times New Roman"/>
          <w:sz w:val="18"/>
          <w:szCs w:val="18"/>
          <w:lang w:val="sr-Latn-ME"/>
        </w:rPr>
        <w:t>ski prethodile mjeri ishoda na koju se odnosi.</w:t>
      </w:r>
      <w:r w:rsidRPr="00BD2023">
        <w:rPr>
          <w:rFonts w:ascii="Times New Roman" w:hAnsi="Times New Roman"/>
          <w:sz w:val="18"/>
          <w:szCs w:val="18"/>
          <w:lang w:val="sr-Latn-ME"/>
        </w:rPr>
        <w:t xml:space="preserve"> </w:t>
      </w:r>
    </w:p>
    <w:p w14:paraId="48CC0B25" w14:textId="77777777" w:rsidR="00F77D20" w:rsidRPr="00BD2023" w:rsidRDefault="00F77D20" w:rsidP="00BC480A">
      <w:pPr>
        <w:pStyle w:val="TabFigFooter"/>
        <w:numPr>
          <w:ilvl w:val="0"/>
          <w:numId w:val="12"/>
        </w:numPr>
        <w:spacing w:before="0" w:line="180" w:lineRule="exact"/>
        <w:ind w:left="180" w:hanging="180"/>
        <w:jc w:val="both"/>
        <w:rPr>
          <w:rFonts w:ascii="Times New Roman" w:hAnsi="Times New Roman"/>
          <w:sz w:val="18"/>
          <w:szCs w:val="18"/>
          <w:lang w:val="sr-Latn-ME"/>
        </w:rPr>
      </w:pPr>
      <w:r w:rsidRPr="00BD2023">
        <w:rPr>
          <w:rFonts w:ascii="Times New Roman" w:hAnsi="Times New Roman"/>
          <w:sz w:val="18"/>
          <w:szCs w:val="18"/>
          <w:lang w:val="sr-Latn-ME"/>
        </w:rPr>
        <w:t>Na osnovu pravila o podacima koji nedostaju za RULM, 3 pacijenta su isključena iz analize (Evrysdi n=119; placebo kontrola n=58).</w:t>
      </w:r>
    </w:p>
    <w:p w14:paraId="56D45B83" w14:textId="77777777" w:rsidR="00F77D20" w:rsidRPr="00BD2023" w:rsidRDefault="00F77D20" w:rsidP="00F77D20">
      <w:pPr>
        <w:rPr>
          <w:b/>
          <w:bCs/>
          <w:szCs w:val="22"/>
          <w:lang w:val="sr-Latn-ME"/>
        </w:rPr>
      </w:pPr>
    </w:p>
    <w:p w14:paraId="2BC79EF6" w14:textId="367C1A8D" w:rsidR="00F77D20" w:rsidRPr="00BD2023" w:rsidRDefault="00F77D20" w:rsidP="00BC480A">
      <w:pPr>
        <w:pStyle w:val="Paragraph"/>
        <w:spacing w:after="0"/>
        <w:jc w:val="both"/>
        <w:rPr>
          <w:rFonts w:ascii="Times New Roman" w:eastAsia="Times New Roman" w:hAnsi="Times New Roman"/>
          <w:sz w:val="22"/>
          <w:szCs w:val="22"/>
          <w:lang w:val="sr-Latn-ME"/>
        </w:rPr>
      </w:pPr>
      <w:r w:rsidRPr="00BD2023">
        <w:rPr>
          <w:rFonts w:ascii="Times New Roman" w:eastAsia="Times New Roman" w:hAnsi="Times New Roman"/>
          <w:sz w:val="22"/>
          <w:szCs w:val="22"/>
          <w:lang w:val="sr-Latn-ME"/>
        </w:rPr>
        <w:t>Nakon što je prošlo 12 m</w:t>
      </w:r>
      <w:r w:rsidR="00C02A23" w:rsidRPr="00BD2023">
        <w:rPr>
          <w:rFonts w:ascii="Times New Roman" w:eastAsia="Times New Roman" w:hAnsi="Times New Roman"/>
          <w:sz w:val="22"/>
          <w:szCs w:val="22"/>
          <w:lang w:val="sr-Latn-ME"/>
        </w:rPr>
        <w:t>j</w:t>
      </w:r>
      <w:r w:rsidRPr="00BD2023">
        <w:rPr>
          <w:rFonts w:ascii="Times New Roman" w:eastAsia="Times New Roman" w:hAnsi="Times New Roman"/>
          <w:sz w:val="22"/>
          <w:szCs w:val="22"/>
          <w:lang w:val="sr-Latn-ME"/>
        </w:rPr>
        <w:t>eseci l</w:t>
      </w:r>
      <w:r w:rsidR="00C02A23" w:rsidRPr="00BD2023">
        <w:rPr>
          <w:rFonts w:ascii="Times New Roman" w:eastAsia="Times New Roman" w:hAnsi="Times New Roman"/>
          <w:sz w:val="22"/>
          <w:szCs w:val="22"/>
          <w:lang w:val="sr-Latn-ME"/>
        </w:rPr>
        <w:t>ij</w:t>
      </w:r>
      <w:r w:rsidRPr="00BD2023">
        <w:rPr>
          <w:rFonts w:ascii="Times New Roman" w:eastAsia="Times New Roman" w:hAnsi="Times New Roman"/>
          <w:sz w:val="22"/>
          <w:szCs w:val="22"/>
          <w:lang w:val="sr-Latn-ME"/>
        </w:rPr>
        <w:t xml:space="preserve">ečenja, 117 pacijenata je nastavilo da prima </w:t>
      </w:r>
      <w:r w:rsidR="007E5CF0" w:rsidRPr="00BD2023">
        <w:rPr>
          <w:rFonts w:ascii="Times New Roman" w:eastAsia="Times New Roman" w:hAnsi="Times New Roman"/>
          <w:sz w:val="22"/>
          <w:szCs w:val="22"/>
          <w:lang w:val="sr-Latn-ME"/>
        </w:rPr>
        <w:t>lijek</w:t>
      </w:r>
      <w:r w:rsidRPr="00BD2023">
        <w:rPr>
          <w:rFonts w:ascii="Times New Roman" w:eastAsia="Times New Roman" w:hAnsi="Times New Roman"/>
          <w:sz w:val="22"/>
          <w:szCs w:val="22"/>
          <w:lang w:val="sr-Latn-ME"/>
        </w:rPr>
        <w:t xml:space="preserve"> Evrysdi. U vr</w:t>
      </w:r>
      <w:r w:rsidR="00C02A23" w:rsidRPr="00BD2023">
        <w:rPr>
          <w:rFonts w:ascii="Times New Roman" w:eastAsia="Times New Roman" w:hAnsi="Times New Roman"/>
          <w:sz w:val="22"/>
          <w:szCs w:val="22"/>
          <w:lang w:val="sr-Latn-ME"/>
        </w:rPr>
        <w:t>ij</w:t>
      </w:r>
      <w:r w:rsidRPr="00BD2023">
        <w:rPr>
          <w:rFonts w:ascii="Times New Roman" w:eastAsia="Times New Roman" w:hAnsi="Times New Roman"/>
          <w:sz w:val="22"/>
          <w:szCs w:val="22"/>
          <w:lang w:val="sr-Latn-ME"/>
        </w:rPr>
        <w:t>eme analize nakon 24 m</w:t>
      </w:r>
      <w:r w:rsidR="00C02A23" w:rsidRPr="00BD2023">
        <w:rPr>
          <w:rFonts w:ascii="Times New Roman" w:eastAsia="Times New Roman" w:hAnsi="Times New Roman"/>
          <w:sz w:val="22"/>
          <w:szCs w:val="22"/>
          <w:lang w:val="sr-Latn-ME"/>
        </w:rPr>
        <w:t>j</w:t>
      </w:r>
      <w:r w:rsidRPr="00BD2023">
        <w:rPr>
          <w:rFonts w:ascii="Times New Roman" w:eastAsia="Times New Roman" w:hAnsi="Times New Roman"/>
          <w:sz w:val="22"/>
          <w:szCs w:val="22"/>
          <w:lang w:val="sr-Latn-ME"/>
        </w:rPr>
        <w:t>eseca, motorna funkcija kod pacijenata l</w:t>
      </w:r>
      <w:r w:rsidR="00C02A23" w:rsidRPr="00BD2023">
        <w:rPr>
          <w:rFonts w:ascii="Times New Roman" w:eastAsia="Times New Roman" w:hAnsi="Times New Roman"/>
          <w:sz w:val="22"/>
          <w:szCs w:val="22"/>
          <w:lang w:val="sr-Latn-ME"/>
        </w:rPr>
        <w:t>ij</w:t>
      </w:r>
      <w:r w:rsidRPr="00BD2023">
        <w:rPr>
          <w:rFonts w:ascii="Times New Roman" w:eastAsia="Times New Roman" w:hAnsi="Times New Roman"/>
          <w:sz w:val="22"/>
          <w:szCs w:val="22"/>
          <w:lang w:val="sr-Latn-ME"/>
        </w:rPr>
        <w:t xml:space="preserve">ečenih </w:t>
      </w:r>
      <w:r w:rsidR="007E5CF0" w:rsidRPr="00BD2023">
        <w:rPr>
          <w:rFonts w:ascii="Times New Roman" w:eastAsia="Times New Roman" w:hAnsi="Times New Roman"/>
          <w:sz w:val="22"/>
          <w:szCs w:val="22"/>
          <w:lang w:val="sr-Latn-ME"/>
        </w:rPr>
        <w:t>lijek</w:t>
      </w:r>
      <w:r w:rsidRPr="00BD2023">
        <w:rPr>
          <w:rFonts w:ascii="Times New Roman" w:eastAsia="Times New Roman" w:hAnsi="Times New Roman"/>
          <w:sz w:val="22"/>
          <w:szCs w:val="22"/>
          <w:lang w:val="sr-Latn-ME"/>
        </w:rPr>
        <w:t>om Evrysdi ukupno 24 m</w:t>
      </w:r>
      <w:r w:rsidR="00C02A23" w:rsidRPr="00BD2023">
        <w:rPr>
          <w:rFonts w:ascii="Times New Roman" w:eastAsia="Times New Roman" w:hAnsi="Times New Roman"/>
          <w:sz w:val="22"/>
          <w:szCs w:val="22"/>
          <w:lang w:val="sr-Latn-ME"/>
        </w:rPr>
        <w:t>j</w:t>
      </w:r>
      <w:r w:rsidRPr="00BD2023">
        <w:rPr>
          <w:rFonts w:ascii="Times New Roman" w:eastAsia="Times New Roman" w:hAnsi="Times New Roman"/>
          <w:sz w:val="22"/>
          <w:szCs w:val="22"/>
          <w:lang w:val="sr-Latn-ME"/>
        </w:rPr>
        <w:t xml:space="preserve">eseca održala se ili poboljšala između 12. i 24. </w:t>
      </w:r>
      <w:r w:rsidR="00B744E8" w:rsidRPr="00BD2023">
        <w:rPr>
          <w:rFonts w:ascii="Times New Roman" w:eastAsia="Times New Roman" w:hAnsi="Times New Roman"/>
          <w:sz w:val="22"/>
          <w:szCs w:val="22"/>
          <w:lang w:val="sr-Latn-ME"/>
        </w:rPr>
        <w:t>mjesec</w:t>
      </w:r>
      <w:r w:rsidRPr="00BD2023">
        <w:rPr>
          <w:rFonts w:ascii="Times New Roman" w:eastAsia="Times New Roman" w:hAnsi="Times New Roman"/>
          <w:sz w:val="22"/>
          <w:szCs w:val="22"/>
          <w:lang w:val="sr-Latn-ME"/>
        </w:rPr>
        <w:t xml:space="preserve">a. Srednja </w:t>
      </w:r>
      <w:r w:rsidR="00B23567" w:rsidRPr="00BD2023">
        <w:rPr>
          <w:rFonts w:ascii="Times New Roman" w:eastAsia="Times New Roman" w:hAnsi="Times New Roman"/>
          <w:sz w:val="22"/>
          <w:szCs w:val="22"/>
          <w:lang w:val="sr-Latn-ME"/>
        </w:rPr>
        <w:t xml:space="preserve">vrijednost </w:t>
      </w:r>
      <w:r w:rsidRPr="00BD2023">
        <w:rPr>
          <w:rFonts w:ascii="Times New Roman" w:eastAsia="Times New Roman" w:hAnsi="Times New Roman"/>
          <w:sz w:val="22"/>
          <w:szCs w:val="22"/>
          <w:lang w:val="sr-Latn-ME"/>
        </w:rPr>
        <w:t>prom</w:t>
      </w:r>
      <w:r w:rsidR="00C02A23" w:rsidRPr="00BD2023">
        <w:rPr>
          <w:rFonts w:ascii="Times New Roman" w:eastAsia="Times New Roman" w:hAnsi="Times New Roman"/>
          <w:sz w:val="22"/>
          <w:szCs w:val="22"/>
          <w:lang w:val="sr-Latn-ME"/>
        </w:rPr>
        <w:t>j</w:t>
      </w:r>
      <w:r w:rsidRPr="00BD2023">
        <w:rPr>
          <w:rFonts w:ascii="Times New Roman" w:eastAsia="Times New Roman" w:hAnsi="Times New Roman"/>
          <w:sz w:val="22"/>
          <w:szCs w:val="22"/>
          <w:lang w:val="sr-Latn-ME"/>
        </w:rPr>
        <w:t>en</w:t>
      </w:r>
      <w:r w:rsidR="00B23567" w:rsidRPr="00BD2023">
        <w:rPr>
          <w:rFonts w:ascii="Times New Roman" w:eastAsia="Times New Roman" w:hAnsi="Times New Roman"/>
          <w:sz w:val="22"/>
          <w:szCs w:val="22"/>
          <w:lang w:val="sr-Latn-ME"/>
        </w:rPr>
        <w:t>e</w:t>
      </w:r>
      <w:r w:rsidRPr="00BD2023">
        <w:rPr>
          <w:rFonts w:ascii="Times New Roman" w:eastAsia="Times New Roman" w:hAnsi="Times New Roman"/>
          <w:sz w:val="22"/>
          <w:szCs w:val="22"/>
          <w:lang w:val="sr-Latn-ME"/>
        </w:rPr>
        <w:t xml:space="preserve"> za MFM32 u odnosu na početnu vr</w:t>
      </w:r>
      <w:r w:rsidR="00C02A23" w:rsidRPr="00BD2023">
        <w:rPr>
          <w:rFonts w:ascii="Times New Roman" w:eastAsia="Times New Roman" w:hAnsi="Times New Roman"/>
          <w:sz w:val="22"/>
          <w:szCs w:val="22"/>
          <w:lang w:val="sr-Latn-ME"/>
        </w:rPr>
        <w:t>ij</w:t>
      </w:r>
      <w:r w:rsidRPr="00BD2023">
        <w:rPr>
          <w:rFonts w:ascii="Times New Roman" w:eastAsia="Times New Roman" w:hAnsi="Times New Roman"/>
          <w:sz w:val="22"/>
          <w:szCs w:val="22"/>
          <w:lang w:val="sr-Latn-ME"/>
        </w:rPr>
        <w:t xml:space="preserve">ednost </w:t>
      </w:r>
      <w:r w:rsidR="00737925" w:rsidRPr="00BD2023">
        <w:rPr>
          <w:rFonts w:ascii="Times New Roman" w:eastAsia="Times New Roman" w:hAnsi="Times New Roman"/>
          <w:sz w:val="22"/>
          <w:szCs w:val="22"/>
          <w:lang w:val="sr-Latn-ME"/>
        </w:rPr>
        <w:t xml:space="preserve">iznosila </w:t>
      </w:r>
      <w:r w:rsidRPr="00BD2023">
        <w:rPr>
          <w:rFonts w:ascii="Times New Roman" w:eastAsia="Times New Roman" w:hAnsi="Times New Roman"/>
          <w:sz w:val="22"/>
          <w:szCs w:val="22"/>
          <w:lang w:val="sr-Latn-ME"/>
        </w:rPr>
        <w:t xml:space="preserve">je 1,83 (95% CI: 0,74, 2,92) a za RULM je </w:t>
      </w:r>
      <w:r w:rsidR="00737925" w:rsidRPr="00BD2023">
        <w:rPr>
          <w:rFonts w:ascii="Times New Roman" w:eastAsia="Times New Roman" w:hAnsi="Times New Roman"/>
          <w:sz w:val="22"/>
          <w:szCs w:val="22"/>
          <w:lang w:val="sr-Latn-ME"/>
        </w:rPr>
        <w:t xml:space="preserve">iznosila </w:t>
      </w:r>
      <w:r w:rsidRPr="00BD2023">
        <w:rPr>
          <w:rFonts w:ascii="Times New Roman" w:eastAsia="Times New Roman" w:hAnsi="Times New Roman"/>
          <w:sz w:val="22"/>
          <w:szCs w:val="22"/>
          <w:lang w:val="sr-Latn-ME"/>
        </w:rPr>
        <w:t xml:space="preserve">2,79 (95% CI: 1,94, 3,64). </w:t>
      </w:r>
    </w:p>
    <w:p w14:paraId="242A0C33" w14:textId="77777777" w:rsidR="00F77D20" w:rsidRPr="00BD2023" w:rsidRDefault="00F77D20" w:rsidP="00F77D20">
      <w:pPr>
        <w:pStyle w:val="Paragraph"/>
        <w:spacing w:after="0"/>
        <w:rPr>
          <w:rFonts w:ascii="Times New Roman" w:eastAsia="Times New Roman" w:hAnsi="Times New Roman"/>
          <w:sz w:val="22"/>
          <w:szCs w:val="22"/>
          <w:lang w:val="sr-Latn-ME"/>
        </w:rPr>
      </w:pPr>
    </w:p>
    <w:p w14:paraId="7C22C948" w14:textId="4C9F83C1" w:rsidR="00F77D20" w:rsidRPr="00BD2023" w:rsidRDefault="00F77D20" w:rsidP="00F77D20">
      <w:pPr>
        <w:pStyle w:val="Paragraph"/>
        <w:keepNext/>
        <w:keepLines/>
        <w:rPr>
          <w:rFonts w:ascii="Times New Roman" w:hAnsi="Times New Roman"/>
          <w:b/>
          <w:bCs/>
          <w:sz w:val="22"/>
          <w:szCs w:val="22"/>
          <w:vertAlign w:val="superscript"/>
          <w:lang w:val="sr-Latn-ME"/>
        </w:rPr>
      </w:pPr>
      <w:r w:rsidRPr="00BD2023">
        <w:rPr>
          <w:rFonts w:ascii="Times New Roman" w:hAnsi="Times New Roman"/>
          <w:b/>
          <w:bCs/>
          <w:sz w:val="22"/>
          <w:szCs w:val="22"/>
          <w:lang w:val="sr-Latn-ME"/>
        </w:rPr>
        <w:t xml:space="preserve">Slika 3. Srednja </w:t>
      </w:r>
      <w:r w:rsidR="00B23567" w:rsidRPr="00BD2023">
        <w:rPr>
          <w:rFonts w:ascii="Times New Roman" w:hAnsi="Times New Roman"/>
          <w:b/>
          <w:bCs/>
          <w:sz w:val="22"/>
          <w:szCs w:val="22"/>
          <w:lang w:val="sr-Latn-ME"/>
        </w:rPr>
        <w:t xml:space="preserve">vrijednost </w:t>
      </w:r>
      <w:r w:rsidR="005D411F" w:rsidRPr="00BD2023">
        <w:rPr>
          <w:rFonts w:ascii="Times New Roman" w:hAnsi="Times New Roman"/>
          <w:b/>
          <w:bCs/>
          <w:sz w:val="22"/>
          <w:szCs w:val="22"/>
          <w:lang w:val="sr-Latn-ME"/>
        </w:rPr>
        <w:t>promjen</w:t>
      </w:r>
      <w:r w:rsidR="00B23567" w:rsidRPr="00BD2023">
        <w:rPr>
          <w:rFonts w:ascii="Times New Roman" w:hAnsi="Times New Roman"/>
          <w:b/>
          <w:bCs/>
          <w:sz w:val="22"/>
          <w:szCs w:val="22"/>
          <w:lang w:val="sr-Latn-ME"/>
        </w:rPr>
        <w:t>e</w:t>
      </w:r>
      <w:r w:rsidRPr="00BD2023">
        <w:rPr>
          <w:rFonts w:ascii="Times New Roman" w:hAnsi="Times New Roman"/>
          <w:b/>
          <w:bCs/>
          <w:sz w:val="22"/>
          <w:szCs w:val="22"/>
          <w:lang w:val="sr-Latn-ME"/>
        </w:rPr>
        <w:t xml:space="preserve"> u ukupnom MFM32 </w:t>
      </w:r>
      <w:r w:rsidR="00737925" w:rsidRPr="00BD2023">
        <w:rPr>
          <w:rFonts w:ascii="Times New Roman" w:hAnsi="Times New Roman"/>
          <w:b/>
          <w:bCs/>
          <w:sz w:val="22"/>
          <w:szCs w:val="22"/>
          <w:lang w:val="sr-Latn-ME"/>
        </w:rPr>
        <w:t xml:space="preserve">rezultatu </w:t>
      </w:r>
      <w:r w:rsidRPr="00BD2023">
        <w:rPr>
          <w:rFonts w:ascii="Times New Roman" w:hAnsi="Times New Roman"/>
          <w:b/>
          <w:bCs/>
          <w:sz w:val="22"/>
          <w:szCs w:val="22"/>
          <w:lang w:val="sr-Latn-ME"/>
        </w:rPr>
        <w:t xml:space="preserve">u odnosu na početnu </w:t>
      </w:r>
      <w:r w:rsidR="00F73418" w:rsidRPr="00BD2023">
        <w:rPr>
          <w:rFonts w:ascii="Times New Roman" w:hAnsi="Times New Roman"/>
          <w:b/>
          <w:bCs/>
          <w:sz w:val="22"/>
          <w:szCs w:val="22"/>
          <w:lang w:val="sr-Latn-ME"/>
        </w:rPr>
        <w:t>vrijednost</w:t>
      </w:r>
      <w:r w:rsidRPr="00BD2023">
        <w:rPr>
          <w:rFonts w:ascii="Times New Roman" w:hAnsi="Times New Roman"/>
          <w:b/>
          <w:bCs/>
          <w:sz w:val="22"/>
          <w:szCs w:val="22"/>
          <w:lang w:val="sr-Latn-ME"/>
        </w:rPr>
        <w:t xml:space="preserve"> tokom 12 </w:t>
      </w:r>
      <w:r w:rsidR="00B744E8" w:rsidRPr="00BD2023">
        <w:rPr>
          <w:rFonts w:ascii="Times New Roman" w:hAnsi="Times New Roman"/>
          <w:b/>
          <w:bCs/>
          <w:sz w:val="22"/>
          <w:szCs w:val="22"/>
          <w:lang w:val="sr-Latn-ME"/>
        </w:rPr>
        <w:t>mjesec</w:t>
      </w:r>
      <w:r w:rsidRPr="00BD2023">
        <w:rPr>
          <w:rFonts w:ascii="Times New Roman" w:hAnsi="Times New Roman"/>
          <w:b/>
          <w:bCs/>
          <w:sz w:val="22"/>
          <w:szCs w:val="22"/>
          <w:lang w:val="sr-Latn-ME"/>
        </w:rPr>
        <w:t xml:space="preserve">i u 2. </w:t>
      </w:r>
      <w:r w:rsidR="005D411F" w:rsidRPr="00BD2023">
        <w:rPr>
          <w:rFonts w:ascii="Times New Roman" w:hAnsi="Times New Roman"/>
          <w:b/>
          <w:bCs/>
          <w:sz w:val="22"/>
          <w:szCs w:val="22"/>
          <w:lang w:val="sr-Latn-ME"/>
        </w:rPr>
        <w:t>dijelu</w:t>
      </w:r>
      <w:r w:rsidRPr="00BD2023">
        <w:rPr>
          <w:rFonts w:ascii="Times New Roman" w:hAnsi="Times New Roman"/>
          <w:b/>
          <w:bCs/>
          <w:sz w:val="22"/>
          <w:szCs w:val="22"/>
          <w:lang w:val="sr-Latn-ME"/>
        </w:rPr>
        <w:t xml:space="preserve"> SUNFISH</w:t>
      </w:r>
      <w:r w:rsidRPr="00BD2023">
        <w:rPr>
          <w:rFonts w:ascii="Times New Roman" w:hAnsi="Times New Roman"/>
          <w:b/>
          <w:bCs/>
          <w:sz w:val="22"/>
          <w:szCs w:val="22"/>
          <w:vertAlign w:val="superscript"/>
          <w:lang w:val="sr-Latn-ME"/>
        </w:rPr>
        <w:t>1</w:t>
      </w:r>
    </w:p>
    <w:p w14:paraId="5D90B74E" w14:textId="11A39E78" w:rsidR="00F77D20" w:rsidRPr="00BD2023" w:rsidRDefault="002325C8" w:rsidP="00480FB1">
      <w:pPr>
        <w:tabs>
          <w:tab w:val="left" w:pos="540"/>
          <w:tab w:val="left" w:pos="569"/>
        </w:tabs>
        <w:rPr>
          <w:lang w:val="sr-Latn-ME"/>
        </w:rPr>
      </w:pPr>
      <w:r w:rsidRPr="00BD2023">
        <w:rPr>
          <w:bCs/>
          <w:iCs/>
          <w:noProof/>
        </w:rPr>
        <w:drawing>
          <wp:inline distT="0" distB="0" distL="0" distR="0" wp14:anchorId="4D032B79" wp14:editId="2E7061DF">
            <wp:extent cx="5422605" cy="3539755"/>
            <wp:effectExtent l="0" t="0" r="6985" b="3810"/>
            <wp:docPr id="6" name="Picture 6"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antenna&#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43177" cy="3553184"/>
                    </a:xfrm>
                    <a:prstGeom prst="rect">
                      <a:avLst/>
                    </a:prstGeom>
                  </pic:spPr>
                </pic:pic>
              </a:graphicData>
            </a:graphic>
          </wp:inline>
        </w:drawing>
      </w:r>
    </w:p>
    <w:p w14:paraId="650D8F7D" w14:textId="77777777" w:rsidR="002325C8" w:rsidRPr="00BD2023" w:rsidRDefault="002325C8" w:rsidP="00480FB1">
      <w:pPr>
        <w:tabs>
          <w:tab w:val="left" w:pos="540"/>
          <w:tab w:val="left" w:pos="569"/>
        </w:tabs>
        <w:rPr>
          <w:bCs/>
          <w:sz w:val="22"/>
          <w:szCs w:val="22"/>
          <w:lang w:val="sr-Latn-ME"/>
        </w:rPr>
      </w:pPr>
    </w:p>
    <w:p w14:paraId="13D517C3" w14:textId="1E8E5CBB" w:rsidR="00F77D20" w:rsidRPr="00BD2023" w:rsidRDefault="00F77D20" w:rsidP="00BC480A">
      <w:pPr>
        <w:pStyle w:val="Paragraph"/>
        <w:spacing w:after="0" w:line="240" w:lineRule="auto"/>
        <w:ind w:right="-568"/>
        <w:jc w:val="both"/>
        <w:rPr>
          <w:rFonts w:ascii="Times New Roman" w:hAnsi="Times New Roman"/>
          <w:sz w:val="20"/>
          <w:lang w:val="sr-Latn-ME"/>
        </w:rPr>
      </w:pPr>
      <w:r w:rsidRPr="00BD2023">
        <w:rPr>
          <w:rFonts w:ascii="Times New Roman" w:hAnsi="Times New Roman"/>
          <w:sz w:val="20"/>
          <w:vertAlign w:val="superscript"/>
          <w:lang w:val="sr-Latn-ME"/>
        </w:rPr>
        <w:t>1</w:t>
      </w:r>
      <w:r w:rsidRPr="00BD2023">
        <w:rPr>
          <w:rFonts w:ascii="Times New Roman" w:hAnsi="Times New Roman"/>
          <w:sz w:val="20"/>
          <w:lang w:val="sr-Latn-ME"/>
        </w:rPr>
        <w:t xml:space="preserve">Srednja </w:t>
      </w:r>
      <w:r w:rsidR="00F73418" w:rsidRPr="00BD2023">
        <w:rPr>
          <w:rFonts w:ascii="Times New Roman" w:hAnsi="Times New Roman"/>
          <w:sz w:val="20"/>
          <w:lang w:val="sr-Latn-ME"/>
        </w:rPr>
        <w:t>vrijednost</w:t>
      </w:r>
      <w:r w:rsidRPr="00BD2023">
        <w:rPr>
          <w:rFonts w:ascii="Times New Roman" w:hAnsi="Times New Roman"/>
          <w:sz w:val="20"/>
          <w:lang w:val="sr-Latn-ME"/>
        </w:rPr>
        <w:t xml:space="preserve"> razlike</w:t>
      </w:r>
      <w:r w:rsidR="006E098A" w:rsidRPr="00BD2023">
        <w:rPr>
          <w:rFonts w:ascii="Times New Roman" w:hAnsi="Times New Roman"/>
          <w:sz w:val="20"/>
          <w:lang w:val="sr-Latn-ME"/>
        </w:rPr>
        <w:t xml:space="preserve"> prema metodi</w:t>
      </w:r>
      <w:r w:rsidRPr="00BD2023">
        <w:rPr>
          <w:rFonts w:ascii="Times New Roman" w:hAnsi="Times New Roman"/>
          <w:sz w:val="20"/>
          <w:lang w:val="sr-Latn-ME"/>
        </w:rPr>
        <w:t xml:space="preserve"> najmanjih kvadrata (LS) za </w:t>
      </w:r>
      <w:r w:rsidR="00835D8C" w:rsidRPr="00BD2023">
        <w:rPr>
          <w:rFonts w:ascii="Times New Roman" w:hAnsi="Times New Roman"/>
          <w:sz w:val="20"/>
          <w:lang w:val="sr-Latn-ME"/>
        </w:rPr>
        <w:t>promjen</w:t>
      </w:r>
      <w:r w:rsidRPr="00BD2023">
        <w:rPr>
          <w:rFonts w:ascii="Times New Roman" w:hAnsi="Times New Roman"/>
          <w:sz w:val="20"/>
          <w:lang w:val="sr-Latn-ME"/>
        </w:rPr>
        <w:t xml:space="preserve">u MFM32 </w:t>
      </w:r>
      <w:r w:rsidR="006E098A" w:rsidRPr="00BD2023">
        <w:rPr>
          <w:rFonts w:ascii="Times New Roman" w:hAnsi="Times New Roman"/>
          <w:sz w:val="20"/>
          <w:lang w:val="sr-Latn-ME"/>
        </w:rPr>
        <w:t xml:space="preserve">rezultata </w:t>
      </w:r>
      <w:r w:rsidRPr="00BD2023">
        <w:rPr>
          <w:rFonts w:ascii="Times New Roman" w:hAnsi="Times New Roman"/>
          <w:sz w:val="20"/>
          <w:lang w:val="sr-Latn-ME"/>
        </w:rPr>
        <w:t xml:space="preserve">u odnosu na početnu </w:t>
      </w:r>
      <w:r w:rsidR="00F73418" w:rsidRPr="00BD2023">
        <w:rPr>
          <w:rFonts w:ascii="Times New Roman" w:hAnsi="Times New Roman"/>
          <w:sz w:val="20"/>
          <w:lang w:val="sr-Latn-ME"/>
        </w:rPr>
        <w:t>vrijednost</w:t>
      </w:r>
      <w:r w:rsidRPr="00BD2023">
        <w:rPr>
          <w:rFonts w:ascii="Times New Roman" w:hAnsi="Times New Roman"/>
          <w:sz w:val="20"/>
          <w:lang w:val="sr-Latn-ME"/>
        </w:rPr>
        <w:t xml:space="preserve"> [95% CI]</w:t>
      </w:r>
    </w:p>
    <w:p w14:paraId="3EB16B17" w14:textId="0B392955" w:rsidR="00F77D20" w:rsidRPr="00BD2023" w:rsidRDefault="00F77D20" w:rsidP="00F77D20">
      <w:pPr>
        <w:pStyle w:val="Paragraph"/>
        <w:spacing w:before="120" w:after="0"/>
        <w:rPr>
          <w:rFonts w:ascii="Times New Roman" w:hAnsi="Times New Roman"/>
          <w:b/>
          <w:sz w:val="22"/>
          <w:szCs w:val="22"/>
          <w:vertAlign w:val="superscript"/>
          <w:lang w:val="sr-Latn-ME"/>
        </w:rPr>
      </w:pPr>
      <w:r w:rsidRPr="00BD2023">
        <w:rPr>
          <w:rFonts w:ascii="Times New Roman" w:hAnsi="Times New Roman"/>
          <w:b/>
          <w:bCs/>
          <w:sz w:val="22"/>
          <w:szCs w:val="22"/>
          <w:lang w:val="sr-Latn-ME"/>
        </w:rPr>
        <w:t>Slika 4. Srednja</w:t>
      </w:r>
      <w:r w:rsidR="006E098A" w:rsidRPr="00BD2023">
        <w:rPr>
          <w:rFonts w:ascii="Times New Roman" w:hAnsi="Times New Roman"/>
          <w:b/>
          <w:bCs/>
          <w:sz w:val="22"/>
          <w:szCs w:val="22"/>
          <w:lang w:val="sr-Latn-ME"/>
        </w:rPr>
        <w:t xml:space="preserve"> vrijednost</w:t>
      </w:r>
      <w:r w:rsidRPr="00BD2023">
        <w:rPr>
          <w:rFonts w:ascii="Times New Roman" w:hAnsi="Times New Roman"/>
          <w:b/>
          <w:bCs/>
          <w:sz w:val="22"/>
          <w:szCs w:val="22"/>
          <w:lang w:val="sr-Latn-ME"/>
        </w:rPr>
        <w:t xml:space="preserve"> </w:t>
      </w:r>
      <w:r w:rsidR="005D411F" w:rsidRPr="00BD2023">
        <w:rPr>
          <w:rFonts w:ascii="Times New Roman" w:hAnsi="Times New Roman"/>
          <w:b/>
          <w:bCs/>
          <w:sz w:val="22"/>
          <w:szCs w:val="22"/>
          <w:lang w:val="sr-Latn-ME"/>
        </w:rPr>
        <w:t>promjen</w:t>
      </w:r>
      <w:r w:rsidR="006E098A" w:rsidRPr="00BD2023">
        <w:rPr>
          <w:rFonts w:ascii="Times New Roman" w:hAnsi="Times New Roman"/>
          <w:b/>
          <w:bCs/>
          <w:sz w:val="22"/>
          <w:szCs w:val="22"/>
          <w:lang w:val="sr-Latn-ME"/>
        </w:rPr>
        <w:t>e</w:t>
      </w:r>
      <w:r w:rsidRPr="00BD2023">
        <w:rPr>
          <w:rFonts w:ascii="Times New Roman" w:hAnsi="Times New Roman"/>
          <w:b/>
          <w:bCs/>
          <w:sz w:val="22"/>
          <w:szCs w:val="22"/>
          <w:lang w:val="sr-Latn-ME"/>
        </w:rPr>
        <w:t xml:space="preserve"> u ukupnom RULM </w:t>
      </w:r>
      <w:r w:rsidR="006E098A" w:rsidRPr="00BD2023">
        <w:rPr>
          <w:rFonts w:ascii="Times New Roman" w:hAnsi="Times New Roman"/>
          <w:b/>
          <w:bCs/>
          <w:sz w:val="22"/>
          <w:szCs w:val="22"/>
          <w:lang w:val="sr-Latn-ME"/>
        </w:rPr>
        <w:t xml:space="preserve">rezultatu </w:t>
      </w:r>
      <w:r w:rsidRPr="00BD2023">
        <w:rPr>
          <w:rFonts w:ascii="Times New Roman" w:hAnsi="Times New Roman"/>
          <w:b/>
          <w:bCs/>
          <w:sz w:val="22"/>
          <w:szCs w:val="22"/>
          <w:lang w:val="sr-Latn-ME"/>
        </w:rPr>
        <w:t xml:space="preserve">u odnosu na početnu </w:t>
      </w:r>
      <w:r w:rsidR="00F73418" w:rsidRPr="00BD2023">
        <w:rPr>
          <w:rFonts w:ascii="Times New Roman" w:hAnsi="Times New Roman"/>
          <w:b/>
          <w:bCs/>
          <w:sz w:val="22"/>
          <w:szCs w:val="22"/>
          <w:lang w:val="sr-Latn-ME"/>
        </w:rPr>
        <w:t>vrijednost</w:t>
      </w:r>
      <w:r w:rsidRPr="00BD2023">
        <w:rPr>
          <w:rFonts w:ascii="Times New Roman" w:hAnsi="Times New Roman"/>
          <w:b/>
          <w:bCs/>
          <w:sz w:val="22"/>
          <w:szCs w:val="22"/>
          <w:lang w:val="sr-Latn-ME"/>
        </w:rPr>
        <w:t xml:space="preserve"> tokom 12 </w:t>
      </w:r>
      <w:r w:rsidR="00B744E8" w:rsidRPr="00BD2023">
        <w:rPr>
          <w:rFonts w:ascii="Times New Roman" w:hAnsi="Times New Roman"/>
          <w:b/>
          <w:bCs/>
          <w:sz w:val="22"/>
          <w:szCs w:val="22"/>
          <w:lang w:val="sr-Latn-ME"/>
        </w:rPr>
        <w:t>mjesec</w:t>
      </w:r>
      <w:r w:rsidRPr="00BD2023">
        <w:rPr>
          <w:rFonts w:ascii="Times New Roman" w:hAnsi="Times New Roman"/>
          <w:b/>
          <w:bCs/>
          <w:sz w:val="22"/>
          <w:szCs w:val="22"/>
          <w:lang w:val="sr-Latn-ME"/>
        </w:rPr>
        <w:t xml:space="preserve">i u 2. </w:t>
      </w:r>
      <w:r w:rsidR="005D411F" w:rsidRPr="00BD2023">
        <w:rPr>
          <w:rFonts w:ascii="Times New Roman" w:hAnsi="Times New Roman"/>
          <w:b/>
          <w:bCs/>
          <w:sz w:val="22"/>
          <w:szCs w:val="22"/>
          <w:lang w:val="sr-Latn-ME"/>
        </w:rPr>
        <w:t>dijelu</w:t>
      </w:r>
      <w:r w:rsidRPr="00BD2023">
        <w:rPr>
          <w:rFonts w:ascii="Times New Roman" w:hAnsi="Times New Roman"/>
          <w:b/>
          <w:bCs/>
          <w:sz w:val="22"/>
          <w:szCs w:val="22"/>
          <w:lang w:val="sr-Latn-ME"/>
        </w:rPr>
        <w:t xml:space="preserve"> SUNFISH</w:t>
      </w:r>
      <w:r w:rsidRPr="00BD2023">
        <w:rPr>
          <w:rFonts w:ascii="Times New Roman" w:hAnsi="Times New Roman"/>
          <w:b/>
          <w:bCs/>
          <w:sz w:val="22"/>
          <w:szCs w:val="22"/>
          <w:vertAlign w:val="superscript"/>
          <w:lang w:val="sr-Latn-ME"/>
        </w:rPr>
        <w:t>1</w:t>
      </w:r>
    </w:p>
    <w:p w14:paraId="37662FD7" w14:textId="77777777" w:rsidR="00F77D20" w:rsidRPr="00BD2023" w:rsidRDefault="00F77D20" w:rsidP="00480FB1">
      <w:pPr>
        <w:tabs>
          <w:tab w:val="left" w:pos="540"/>
          <w:tab w:val="left" w:pos="569"/>
        </w:tabs>
        <w:rPr>
          <w:bCs/>
          <w:sz w:val="22"/>
          <w:szCs w:val="22"/>
          <w:lang w:val="sr-Latn-ME"/>
        </w:rPr>
      </w:pPr>
    </w:p>
    <w:p w14:paraId="664626D1" w14:textId="359B50D3" w:rsidR="00F77D20" w:rsidRPr="00BD2023" w:rsidRDefault="002325C8" w:rsidP="00480FB1">
      <w:pPr>
        <w:tabs>
          <w:tab w:val="left" w:pos="540"/>
          <w:tab w:val="left" w:pos="569"/>
        </w:tabs>
        <w:rPr>
          <w:bCs/>
          <w:sz w:val="22"/>
          <w:szCs w:val="22"/>
          <w:lang w:val="sr-Latn-ME"/>
        </w:rPr>
      </w:pPr>
      <w:r w:rsidRPr="00BD2023">
        <w:rPr>
          <w:noProof/>
        </w:rPr>
        <w:lastRenderedPageBreak/>
        <w:drawing>
          <wp:inline distT="0" distB="0" distL="0" distR="0" wp14:anchorId="22788619" wp14:editId="24C3ECE3">
            <wp:extent cx="5348177" cy="3862572"/>
            <wp:effectExtent l="0" t="0" r="5080" b="5080"/>
            <wp:docPr id="9" name="Picture 9"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antenna&#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63940" cy="3873956"/>
                    </a:xfrm>
                    <a:prstGeom prst="rect">
                      <a:avLst/>
                    </a:prstGeom>
                  </pic:spPr>
                </pic:pic>
              </a:graphicData>
            </a:graphic>
          </wp:inline>
        </w:drawing>
      </w:r>
    </w:p>
    <w:p w14:paraId="2C4C065B" w14:textId="2ACABBC2" w:rsidR="00F77D20" w:rsidRPr="00E820E5" w:rsidRDefault="00F77D20" w:rsidP="00BC480A">
      <w:pPr>
        <w:pStyle w:val="Paragraph"/>
        <w:spacing w:after="0" w:line="240" w:lineRule="auto"/>
        <w:ind w:right="154"/>
        <w:jc w:val="both"/>
        <w:rPr>
          <w:rFonts w:ascii="Times New Roman" w:hAnsi="Times New Roman"/>
          <w:sz w:val="20"/>
          <w:lang w:val="sr-Latn-ME"/>
        </w:rPr>
      </w:pPr>
      <w:r w:rsidRPr="00E820E5">
        <w:rPr>
          <w:rFonts w:ascii="Times New Roman" w:hAnsi="Times New Roman"/>
          <w:sz w:val="20"/>
          <w:lang w:val="sr-Latn-ME"/>
        </w:rPr>
        <w:t xml:space="preserve">1Srednja </w:t>
      </w:r>
      <w:r w:rsidR="00F73418" w:rsidRPr="00E820E5">
        <w:rPr>
          <w:rFonts w:ascii="Times New Roman" w:hAnsi="Times New Roman"/>
          <w:sz w:val="20"/>
          <w:lang w:val="sr-Latn-ME"/>
        </w:rPr>
        <w:t>vrijednost</w:t>
      </w:r>
      <w:r w:rsidRPr="00E820E5">
        <w:rPr>
          <w:rFonts w:ascii="Times New Roman" w:hAnsi="Times New Roman"/>
          <w:sz w:val="20"/>
          <w:lang w:val="sr-Latn-ME"/>
        </w:rPr>
        <w:t xml:space="preserve"> razlike </w:t>
      </w:r>
      <w:r w:rsidR="006E098A" w:rsidRPr="00E820E5">
        <w:rPr>
          <w:rFonts w:ascii="Times New Roman" w:hAnsi="Times New Roman"/>
          <w:sz w:val="20"/>
          <w:lang w:val="sr-Latn-ME"/>
        </w:rPr>
        <w:t xml:space="preserve">prema metodi </w:t>
      </w:r>
      <w:r w:rsidRPr="00E820E5">
        <w:rPr>
          <w:rFonts w:ascii="Times New Roman" w:hAnsi="Times New Roman"/>
          <w:sz w:val="20"/>
          <w:lang w:val="sr-Latn-ME"/>
        </w:rPr>
        <w:t xml:space="preserve">najmanjih kvadrata (LS) za </w:t>
      </w:r>
      <w:r w:rsidR="00835D8C" w:rsidRPr="00E820E5">
        <w:rPr>
          <w:rFonts w:ascii="Times New Roman" w:hAnsi="Times New Roman"/>
          <w:sz w:val="20"/>
          <w:lang w:val="sr-Latn-ME"/>
        </w:rPr>
        <w:t>promjen</w:t>
      </w:r>
      <w:r w:rsidRPr="00E820E5">
        <w:rPr>
          <w:rFonts w:ascii="Times New Roman" w:hAnsi="Times New Roman"/>
          <w:sz w:val="20"/>
          <w:lang w:val="sr-Latn-ME"/>
        </w:rPr>
        <w:t xml:space="preserve">u RULM </w:t>
      </w:r>
      <w:r w:rsidR="006E098A" w:rsidRPr="00E820E5">
        <w:rPr>
          <w:rFonts w:ascii="Times New Roman" w:hAnsi="Times New Roman"/>
          <w:sz w:val="20"/>
          <w:lang w:val="sr-Latn-ME"/>
        </w:rPr>
        <w:t xml:space="preserve">rezultata </w:t>
      </w:r>
      <w:r w:rsidRPr="00E820E5">
        <w:rPr>
          <w:rFonts w:ascii="Times New Roman" w:hAnsi="Times New Roman"/>
          <w:sz w:val="20"/>
          <w:lang w:val="sr-Latn-ME"/>
        </w:rPr>
        <w:t xml:space="preserve">u odnosu na početnu </w:t>
      </w:r>
      <w:r w:rsidR="00F73418" w:rsidRPr="00E820E5">
        <w:rPr>
          <w:rFonts w:ascii="Times New Roman" w:hAnsi="Times New Roman"/>
          <w:sz w:val="20"/>
          <w:lang w:val="sr-Latn-ME"/>
        </w:rPr>
        <w:t>vrijednost</w:t>
      </w:r>
      <w:r w:rsidRPr="00E820E5">
        <w:rPr>
          <w:rFonts w:ascii="Times New Roman" w:hAnsi="Times New Roman"/>
          <w:sz w:val="20"/>
          <w:lang w:val="sr-Latn-ME"/>
        </w:rPr>
        <w:t xml:space="preserve"> [95% CI]</w:t>
      </w:r>
    </w:p>
    <w:p w14:paraId="4052D965" w14:textId="57B29824" w:rsidR="00F77D20" w:rsidRPr="00BD2023" w:rsidRDefault="003B6765" w:rsidP="00BC480A">
      <w:pPr>
        <w:pStyle w:val="Paragraph"/>
        <w:spacing w:after="0" w:line="240" w:lineRule="auto"/>
        <w:jc w:val="both"/>
        <w:rPr>
          <w:rFonts w:ascii="Times New Roman" w:hAnsi="Times New Roman"/>
          <w:i/>
          <w:sz w:val="22"/>
          <w:szCs w:val="22"/>
          <w:u w:val="single"/>
          <w:lang w:val="sr-Latn-ME"/>
        </w:rPr>
      </w:pPr>
      <w:r>
        <w:rPr>
          <w:rFonts w:ascii="Times New Roman" w:hAnsi="Times New Roman"/>
          <w:i/>
          <w:iCs/>
          <w:sz w:val="22"/>
          <w:szCs w:val="22"/>
          <w:u w:val="single"/>
          <w:lang w:val="sr-Latn-ME"/>
        </w:rPr>
        <w:t xml:space="preserve">1. </w:t>
      </w:r>
      <w:r w:rsidR="00B744E8" w:rsidRPr="00BD2023">
        <w:rPr>
          <w:rFonts w:ascii="Times New Roman" w:hAnsi="Times New Roman"/>
          <w:i/>
          <w:iCs/>
          <w:sz w:val="22"/>
          <w:szCs w:val="22"/>
          <w:u w:val="single"/>
          <w:lang w:val="sr-Latn-ME"/>
        </w:rPr>
        <w:t>dio</w:t>
      </w:r>
      <w:r w:rsidR="00F77D20" w:rsidRPr="00BD2023">
        <w:rPr>
          <w:rFonts w:ascii="Times New Roman" w:hAnsi="Times New Roman"/>
          <w:i/>
          <w:iCs/>
          <w:sz w:val="22"/>
          <w:szCs w:val="22"/>
          <w:u w:val="single"/>
          <w:lang w:val="sr-Latn-ME"/>
        </w:rPr>
        <w:t xml:space="preserve"> studije SUNFISH</w:t>
      </w:r>
    </w:p>
    <w:p w14:paraId="456ADE91" w14:textId="77777777" w:rsidR="00F77D20" w:rsidRPr="00BD2023" w:rsidRDefault="00F77D20" w:rsidP="00BC480A">
      <w:pPr>
        <w:pStyle w:val="Paragraph"/>
        <w:spacing w:after="0" w:line="240" w:lineRule="auto"/>
        <w:jc w:val="both"/>
        <w:rPr>
          <w:rFonts w:ascii="Times New Roman" w:hAnsi="Times New Roman"/>
          <w:sz w:val="22"/>
          <w:szCs w:val="22"/>
          <w:lang w:val="sr-Latn-ME"/>
        </w:rPr>
      </w:pPr>
    </w:p>
    <w:p w14:paraId="2FE94994" w14:textId="4202ED2F" w:rsidR="00F77D20" w:rsidRPr="00BD2023" w:rsidRDefault="00F77D20" w:rsidP="00BC480A">
      <w:pPr>
        <w:pStyle w:val="Paragraph"/>
        <w:spacing w:after="0" w:line="240" w:lineRule="auto"/>
        <w:jc w:val="both"/>
        <w:rPr>
          <w:rFonts w:ascii="Times New Roman" w:eastAsia="Times New Roman" w:hAnsi="Times New Roman"/>
          <w:sz w:val="22"/>
          <w:szCs w:val="22"/>
          <w:lang w:val="sr-Latn-ME"/>
        </w:rPr>
      </w:pPr>
      <w:r w:rsidRPr="00BD2023">
        <w:rPr>
          <w:rFonts w:ascii="Times New Roman" w:eastAsia="Times New Roman" w:hAnsi="Times New Roman"/>
          <w:sz w:val="22"/>
          <w:szCs w:val="22"/>
          <w:lang w:val="sr-Latn-ME"/>
        </w:rPr>
        <w:t xml:space="preserve">Efikasnost kod pacijenata sa SMA sa kasnijim početkom takođe je podržana rezultatima iz </w:t>
      </w:r>
      <w:r w:rsidR="005B7CFB" w:rsidRPr="00BD2023">
        <w:rPr>
          <w:rFonts w:ascii="Times New Roman" w:eastAsia="Times New Roman" w:hAnsi="Times New Roman"/>
          <w:sz w:val="22"/>
          <w:szCs w:val="22"/>
          <w:lang w:val="sr-Latn-ME"/>
        </w:rPr>
        <w:t xml:space="preserve">prvog </w:t>
      </w:r>
      <w:r w:rsidRPr="00BD2023">
        <w:rPr>
          <w:rFonts w:ascii="Times New Roman" w:eastAsia="Times New Roman" w:hAnsi="Times New Roman"/>
          <w:sz w:val="22"/>
          <w:szCs w:val="22"/>
          <w:lang w:val="sr-Latn-ME"/>
        </w:rPr>
        <w:t>d</w:t>
      </w:r>
      <w:r w:rsidR="00C02A23" w:rsidRPr="00BD2023">
        <w:rPr>
          <w:rFonts w:ascii="Times New Roman" w:eastAsia="Times New Roman" w:hAnsi="Times New Roman"/>
          <w:sz w:val="22"/>
          <w:szCs w:val="22"/>
          <w:lang w:val="sr-Latn-ME"/>
        </w:rPr>
        <w:t>ij</w:t>
      </w:r>
      <w:r w:rsidRPr="00BD2023">
        <w:rPr>
          <w:rFonts w:ascii="Times New Roman" w:eastAsia="Times New Roman" w:hAnsi="Times New Roman"/>
          <w:sz w:val="22"/>
          <w:szCs w:val="22"/>
          <w:lang w:val="sr-Latn-ME"/>
        </w:rPr>
        <w:t xml:space="preserve">ela studije SUNFISH koji se odnosio na </w:t>
      </w:r>
      <w:r w:rsidR="005B7CFB" w:rsidRPr="00BD2023">
        <w:rPr>
          <w:rFonts w:ascii="Times New Roman" w:eastAsia="Times New Roman" w:hAnsi="Times New Roman"/>
          <w:sz w:val="22"/>
          <w:szCs w:val="22"/>
          <w:lang w:val="sr-Latn-ME"/>
        </w:rPr>
        <w:t xml:space="preserve">određivanje </w:t>
      </w:r>
      <w:r w:rsidRPr="00BD2023">
        <w:rPr>
          <w:rFonts w:ascii="Times New Roman" w:eastAsia="Times New Roman" w:hAnsi="Times New Roman"/>
          <w:sz w:val="22"/>
          <w:szCs w:val="22"/>
          <w:lang w:val="sr-Latn-ME"/>
        </w:rPr>
        <w:t xml:space="preserve">doze. U </w:t>
      </w:r>
      <w:r w:rsidR="005B7CFB" w:rsidRPr="00BD2023">
        <w:rPr>
          <w:rFonts w:ascii="Times New Roman" w:eastAsia="Times New Roman" w:hAnsi="Times New Roman"/>
          <w:sz w:val="22"/>
          <w:szCs w:val="22"/>
          <w:lang w:val="sr-Latn-ME"/>
        </w:rPr>
        <w:t xml:space="preserve">prvom dijelu </w:t>
      </w:r>
      <w:r w:rsidRPr="00BD2023">
        <w:rPr>
          <w:rFonts w:ascii="Times New Roman" w:eastAsia="Times New Roman" w:hAnsi="Times New Roman"/>
          <w:sz w:val="22"/>
          <w:szCs w:val="22"/>
          <w:lang w:val="sr-Latn-ME"/>
        </w:rPr>
        <w:t xml:space="preserve"> studije bio je uključen 51 pacijent sa SMA tip 2 i 3 (uključujući 7 ambulatornih pacijenata) uzrasta između 2 i 25 godina. Nakon godinu dana terapije došlo je do klinički značajnog poboljšanja motor</w:t>
      </w:r>
      <w:r w:rsidR="00737925" w:rsidRPr="00BD2023">
        <w:rPr>
          <w:rFonts w:ascii="Times New Roman" w:eastAsia="Times New Roman" w:hAnsi="Times New Roman"/>
          <w:sz w:val="22"/>
          <w:szCs w:val="22"/>
          <w:lang w:val="sr-Latn-ME"/>
        </w:rPr>
        <w:t>ičke</w:t>
      </w:r>
      <w:r w:rsidRPr="00BD2023">
        <w:rPr>
          <w:rFonts w:ascii="Times New Roman" w:eastAsia="Times New Roman" w:hAnsi="Times New Roman"/>
          <w:sz w:val="22"/>
          <w:szCs w:val="22"/>
          <w:lang w:val="sr-Latn-ME"/>
        </w:rPr>
        <w:t xml:space="preserve"> funkcije izm</w:t>
      </w:r>
      <w:r w:rsidR="00C02A23" w:rsidRPr="00BD2023">
        <w:rPr>
          <w:rFonts w:ascii="Times New Roman" w:eastAsia="Times New Roman" w:hAnsi="Times New Roman"/>
          <w:sz w:val="22"/>
          <w:szCs w:val="22"/>
          <w:lang w:val="sr-Latn-ME"/>
        </w:rPr>
        <w:t>j</w:t>
      </w:r>
      <w:r w:rsidRPr="00BD2023">
        <w:rPr>
          <w:rFonts w:ascii="Times New Roman" w:eastAsia="Times New Roman" w:hAnsi="Times New Roman"/>
          <w:sz w:val="22"/>
          <w:szCs w:val="22"/>
          <w:lang w:val="sr-Latn-ME"/>
        </w:rPr>
        <w:t>erene pomoću MFM32, sa srednjom vr</w:t>
      </w:r>
      <w:r w:rsidR="00C02A23" w:rsidRPr="00BD2023">
        <w:rPr>
          <w:rFonts w:ascii="Times New Roman" w:eastAsia="Times New Roman" w:hAnsi="Times New Roman"/>
          <w:sz w:val="22"/>
          <w:szCs w:val="22"/>
          <w:lang w:val="sr-Latn-ME"/>
        </w:rPr>
        <w:t>ij</w:t>
      </w:r>
      <w:r w:rsidRPr="00BD2023">
        <w:rPr>
          <w:rFonts w:ascii="Times New Roman" w:eastAsia="Times New Roman" w:hAnsi="Times New Roman"/>
          <w:sz w:val="22"/>
          <w:szCs w:val="22"/>
          <w:lang w:val="sr-Latn-ME"/>
        </w:rPr>
        <w:t>ednošću prom</w:t>
      </w:r>
      <w:r w:rsidR="00C02A23" w:rsidRPr="00BD2023">
        <w:rPr>
          <w:rFonts w:ascii="Times New Roman" w:eastAsia="Times New Roman" w:hAnsi="Times New Roman"/>
          <w:sz w:val="22"/>
          <w:szCs w:val="22"/>
          <w:lang w:val="sr-Latn-ME"/>
        </w:rPr>
        <w:t>j</w:t>
      </w:r>
      <w:r w:rsidRPr="00BD2023">
        <w:rPr>
          <w:rFonts w:ascii="Times New Roman" w:eastAsia="Times New Roman" w:hAnsi="Times New Roman"/>
          <w:sz w:val="22"/>
          <w:szCs w:val="22"/>
          <w:lang w:val="sr-Latn-ME"/>
        </w:rPr>
        <w:t>ene u odnosu na početnu vr</w:t>
      </w:r>
      <w:r w:rsidR="00C02A23" w:rsidRPr="00BD2023">
        <w:rPr>
          <w:rFonts w:ascii="Times New Roman" w:eastAsia="Times New Roman" w:hAnsi="Times New Roman"/>
          <w:sz w:val="22"/>
          <w:szCs w:val="22"/>
          <w:lang w:val="sr-Latn-ME"/>
        </w:rPr>
        <w:t>ij</w:t>
      </w:r>
      <w:r w:rsidRPr="00BD2023">
        <w:rPr>
          <w:rFonts w:ascii="Times New Roman" w:eastAsia="Times New Roman" w:hAnsi="Times New Roman"/>
          <w:sz w:val="22"/>
          <w:szCs w:val="22"/>
          <w:lang w:val="sr-Latn-ME"/>
        </w:rPr>
        <w:t xml:space="preserve">ednost od 2,7 </w:t>
      </w:r>
      <w:r w:rsidR="005B7CFB" w:rsidRPr="00BD2023">
        <w:rPr>
          <w:rFonts w:ascii="Times New Roman" w:eastAsia="Times New Roman" w:hAnsi="Times New Roman"/>
          <w:sz w:val="22"/>
          <w:szCs w:val="22"/>
          <w:lang w:val="sr-Latn-ME"/>
        </w:rPr>
        <w:t xml:space="preserve">bodova </w:t>
      </w:r>
      <w:r w:rsidRPr="00BD2023">
        <w:rPr>
          <w:rFonts w:ascii="Times New Roman" w:eastAsia="Times New Roman" w:hAnsi="Times New Roman"/>
          <w:sz w:val="22"/>
          <w:szCs w:val="22"/>
          <w:lang w:val="sr-Latn-ME"/>
        </w:rPr>
        <w:t xml:space="preserve">(95% CI: 1,5, 3,8). Poboljšanje MFM32 </w:t>
      </w:r>
      <w:r w:rsidR="005B7CFB" w:rsidRPr="00BD2023">
        <w:rPr>
          <w:rFonts w:ascii="Times New Roman" w:eastAsia="Times New Roman" w:hAnsi="Times New Roman"/>
          <w:sz w:val="22"/>
          <w:szCs w:val="22"/>
          <w:lang w:val="sr-Latn-ME"/>
        </w:rPr>
        <w:t xml:space="preserve">rezultata </w:t>
      </w:r>
      <w:r w:rsidRPr="00BD2023">
        <w:rPr>
          <w:rFonts w:ascii="Times New Roman" w:eastAsia="Times New Roman" w:hAnsi="Times New Roman"/>
          <w:sz w:val="22"/>
          <w:szCs w:val="22"/>
          <w:lang w:val="sr-Latn-ME"/>
        </w:rPr>
        <w:t xml:space="preserve">održalo se najduže 2 godine tokom primanja terapije (srednja </w:t>
      </w:r>
      <w:r w:rsidR="005B7CFB" w:rsidRPr="00BD2023">
        <w:rPr>
          <w:rFonts w:ascii="Times New Roman" w:eastAsia="Times New Roman" w:hAnsi="Times New Roman"/>
          <w:sz w:val="22"/>
          <w:szCs w:val="22"/>
          <w:lang w:val="sr-Latn-ME"/>
        </w:rPr>
        <w:t xml:space="preserve">vrijednost </w:t>
      </w:r>
      <w:r w:rsidRPr="00BD2023">
        <w:rPr>
          <w:rFonts w:ascii="Times New Roman" w:eastAsia="Times New Roman" w:hAnsi="Times New Roman"/>
          <w:sz w:val="22"/>
          <w:szCs w:val="22"/>
          <w:lang w:val="sr-Latn-ME"/>
        </w:rPr>
        <w:t>prom</w:t>
      </w:r>
      <w:r w:rsidR="00B21585" w:rsidRPr="00BD2023">
        <w:rPr>
          <w:rFonts w:ascii="Times New Roman" w:eastAsia="Times New Roman" w:hAnsi="Times New Roman"/>
          <w:sz w:val="22"/>
          <w:szCs w:val="22"/>
          <w:lang w:val="sr-Latn-ME"/>
        </w:rPr>
        <w:t>j</w:t>
      </w:r>
      <w:r w:rsidRPr="00BD2023">
        <w:rPr>
          <w:rFonts w:ascii="Times New Roman" w:eastAsia="Times New Roman" w:hAnsi="Times New Roman"/>
          <w:sz w:val="22"/>
          <w:szCs w:val="22"/>
          <w:lang w:val="sr-Latn-ME"/>
        </w:rPr>
        <w:t>en</w:t>
      </w:r>
      <w:r w:rsidR="005B7CFB" w:rsidRPr="00BD2023">
        <w:rPr>
          <w:rFonts w:ascii="Times New Roman" w:eastAsia="Times New Roman" w:hAnsi="Times New Roman"/>
          <w:sz w:val="22"/>
          <w:szCs w:val="22"/>
          <w:lang w:val="sr-Latn-ME"/>
        </w:rPr>
        <w:t>e</w:t>
      </w:r>
      <w:r w:rsidRPr="00BD2023">
        <w:rPr>
          <w:rFonts w:ascii="Times New Roman" w:eastAsia="Times New Roman" w:hAnsi="Times New Roman"/>
          <w:sz w:val="22"/>
          <w:szCs w:val="22"/>
          <w:lang w:val="sr-Latn-ME"/>
        </w:rPr>
        <w:t xml:space="preserve"> od 2,7 </w:t>
      </w:r>
      <w:r w:rsidR="005B7CFB" w:rsidRPr="00BD2023">
        <w:rPr>
          <w:rFonts w:ascii="Times New Roman" w:eastAsia="Times New Roman" w:hAnsi="Times New Roman"/>
          <w:sz w:val="22"/>
          <w:szCs w:val="22"/>
          <w:lang w:val="sr-Latn-ME"/>
        </w:rPr>
        <w:t>bodova</w:t>
      </w:r>
      <w:r w:rsidRPr="00BD2023">
        <w:rPr>
          <w:rFonts w:ascii="Times New Roman" w:eastAsia="Times New Roman" w:hAnsi="Times New Roman"/>
          <w:sz w:val="22"/>
          <w:szCs w:val="22"/>
          <w:lang w:val="sr-Latn-ME"/>
        </w:rPr>
        <w:t xml:space="preserve"> [95% CI: 1,2, 4,2]). </w:t>
      </w:r>
    </w:p>
    <w:p w14:paraId="23B871A2" w14:textId="77777777" w:rsidR="00F77D20" w:rsidRPr="00BD2023" w:rsidRDefault="00F77D20" w:rsidP="00BC480A">
      <w:pPr>
        <w:pStyle w:val="Paragraph"/>
        <w:spacing w:after="0"/>
        <w:jc w:val="both"/>
        <w:rPr>
          <w:rFonts w:ascii="Times New Roman" w:eastAsia="Times New Roman" w:hAnsi="Times New Roman"/>
          <w:sz w:val="22"/>
          <w:szCs w:val="22"/>
          <w:lang w:val="sr-Latn-ME"/>
        </w:rPr>
      </w:pPr>
    </w:p>
    <w:p w14:paraId="2C031C25" w14:textId="04C13C28" w:rsidR="001A0E71" w:rsidRPr="00BD2023" w:rsidRDefault="001A0E71" w:rsidP="00305007">
      <w:pPr>
        <w:keepNext/>
        <w:spacing w:line="280" w:lineRule="exact"/>
        <w:jc w:val="both"/>
        <w:rPr>
          <w:rFonts w:eastAsia="SimSun"/>
          <w:bCs/>
          <w:i/>
          <w:sz w:val="22"/>
          <w:szCs w:val="22"/>
          <w:u w:val="single"/>
          <w:lang w:val="sr-Latn-ME" w:eastAsia="zh-CN"/>
        </w:rPr>
      </w:pPr>
      <w:r w:rsidRPr="00BD2023">
        <w:rPr>
          <w:rFonts w:eastAsia="SimSun"/>
          <w:bCs/>
          <w:i/>
          <w:sz w:val="22"/>
          <w:szCs w:val="22"/>
          <w:u w:val="single"/>
          <w:lang w:val="sr-Latn-ME" w:eastAsia="zh-CN"/>
        </w:rPr>
        <w:t>Primjena kod pacijenata prethodno liječenih drugim terapijama koje modifikuju tok SMA (JEWELFISH)</w:t>
      </w:r>
    </w:p>
    <w:p w14:paraId="0E5B763C" w14:textId="77777777" w:rsidR="001A0E71" w:rsidRPr="00BD2023" w:rsidRDefault="001A0E71" w:rsidP="001A0E71">
      <w:pPr>
        <w:keepNext/>
        <w:spacing w:line="280" w:lineRule="exact"/>
        <w:rPr>
          <w:rFonts w:eastAsia="SimSun"/>
          <w:bCs/>
          <w:i/>
          <w:sz w:val="22"/>
          <w:szCs w:val="22"/>
          <w:u w:val="single"/>
          <w:lang w:val="sr-Latn-ME" w:eastAsia="zh-CN"/>
        </w:rPr>
      </w:pPr>
    </w:p>
    <w:p w14:paraId="65D39783" w14:textId="48029817" w:rsidR="001A0E71" w:rsidRPr="00BD2023" w:rsidRDefault="001A0E71" w:rsidP="00305007">
      <w:pPr>
        <w:spacing w:line="280" w:lineRule="exact"/>
        <w:jc w:val="both"/>
        <w:rPr>
          <w:rFonts w:eastAsia="MS Mincho"/>
          <w:bCs/>
          <w:sz w:val="22"/>
          <w:szCs w:val="22"/>
          <w:lang w:val="sr-Latn-ME"/>
        </w:rPr>
      </w:pPr>
      <w:r w:rsidRPr="00BD2023">
        <w:rPr>
          <w:rFonts w:eastAsia="MS Mincho"/>
          <w:bCs/>
          <w:sz w:val="22"/>
          <w:szCs w:val="22"/>
          <w:lang w:val="sr-Latn-ME"/>
        </w:rPr>
        <w:t>Studija BP39054 (JEWELFISH, n=174) je otvorena studija sa samo jednom grupom u kojoj se ispituju bezbjednost, podnošljivost, farmakokinetika i farmakodinamika lijeka Evrysdi kod pacijenata obolelih od SMA sa početkom u uzrastu odojčeta odnosno SMA sa početkom u kasnijem uzrastu (medijana uzrasta: 14 godina [raspon: 1 </w:t>
      </w:r>
      <w:r w:rsidRPr="00BD2023">
        <w:rPr>
          <w:rFonts w:eastAsia="MS Mincho"/>
          <w:bCs/>
          <w:sz w:val="22"/>
          <w:szCs w:val="22"/>
          <w:lang w:val="sr-Latn-ME"/>
        </w:rPr>
        <w:noBreakHyphen/>
        <w:t xml:space="preserve"> 60 godina]) koji su prethodno liječeni drugim odobrenim (nusinersen, n=76; onasemnogen abeparvovek, n=14) ili eksperimentalnim terapijama koje modifikuju tok SMA. Na početku studije, od 168 pacijenata uzrasta od 2 do 60 godina, njih 83% imalo je skoliozu a 63% rezultat </w:t>
      </w:r>
      <w:r w:rsidRPr="00BD2023">
        <w:rPr>
          <w:rFonts w:eastAsia="MS Mincho"/>
          <w:bCs/>
          <w:sz w:val="22"/>
          <w:szCs w:val="22"/>
          <w:lang w:val="sr-Latn-ME"/>
        </w:rPr>
        <w:sym w:font="Symbol" w:char="F03C"/>
      </w:r>
      <w:r w:rsidRPr="00BD2023">
        <w:rPr>
          <w:rFonts w:eastAsia="MS Mincho"/>
          <w:bCs/>
          <w:sz w:val="22"/>
          <w:szCs w:val="22"/>
          <w:lang w:val="sr-Latn-ME"/>
        </w:rPr>
        <w:t xml:space="preserve"> 10 bodova na Hammersmithskoj proširenoj skali za ocjenu motoričke funkcije (engl. </w:t>
      </w:r>
      <w:r w:rsidRPr="00BD2023">
        <w:rPr>
          <w:rFonts w:eastAsia="MS Mincho"/>
          <w:bCs/>
          <w:i/>
          <w:iCs/>
          <w:sz w:val="22"/>
          <w:szCs w:val="22"/>
          <w:lang w:val="sr-Latn-ME"/>
        </w:rPr>
        <w:t>Hammersmith Functional Motor Scale Expanded</w:t>
      </w:r>
      <w:r w:rsidRPr="00BD2023">
        <w:rPr>
          <w:rFonts w:eastAsia="MS Mincho"/>
          <w:bCs/>
          <w:sz w:val="22"/>
          <w:szCs w:val="22"/>
          <w:lang w:val="sr-Latn-ME"/>
        </w:rPr>
        <w:t>, HFMSE).</w:t>
      </w:r>
    </w:p>
    <w:p w14:paraId="016873E1" w14:textId="77777777" w:rsidR="001A0E71" w:rsidRPr="00BD2023" w:rsidRDefault="001A0E71" w:rsidP="001A0E71">
      <w:pPr>
        <w:spacing w:line="280" w:lineRule="exact"/>
        <w:rPr>
          <w:rFonts w:eastAsia="MS Mincho"/>
          <w:bCs/>
          <w:sz w:val="22"/>
          <w:szCs w:val="22"/>
          <w:lang w:val="sr-Latn-ME"/>
        </w:rPr>
      </w:pPr>
    </w:p>
    <w:p w14:paraId="1F3238CF" w14:textId="52F7464B" w:rsidR="001A0E71" w:rsidRPr="00BD2023" w:rsidRDefault="001A0E71" w:rsidP="00305007">
      <w:pPr>
        <w:spacing w:line="280" w:lineRule="exact"/>
        <w:jc w:val="both"/>
        <w:rPr>
          <w:rFonts w:ascii="Arial" w:eastAsia="SimSun" w:hAnsi="Arial"/>
          <w:lang w:val="sr-Latn-ME" w:eastAsia="zh-CN"/>
        </w:rPr>
      </w:pPr>
      <w:r w:rsidRPr="00BD2023">
        <w:rPr>
          <w:rFonts w:eastAsia="MS Mincho"/>
          <w:bCs/>
          <w:sz w:val="22"/>
          <w:szCs w:val="22"/>
          <w:lang w:val="sr-Latn-ME"/>
        </w:rPr>
        <w:t>U trenutku sprovođenja analize nakon 24 mjeseca liječenja, kod pacijenata uzrasta od 2 do 60 godina primjećena je sveukupna stabilizacija motoričke funkcije prema MFM32 i RULM rezultatu (n=137 odnosno n=133). Pacijenti mlađi od 2 godine (n=6) održali su ili postigli motoričke fu</w:t>
      </w:r>
      <w:r w:rsidR="00BD2023">
        <w:rPr>
          <w:rFonts w:eastAsia="MS Mincho"/>
          <w:bCs/>
          <w:sz w:val="22"/>
          <w:szCs w:val="22"/>
          <w:lang w:val="sr-Latn-ME"/>
        </w:rPr>
        <w:t>n</w:t>
      </w:r>
      <w:r w:rsidRPr="00BD2023">
        <w:rPr>
          <w:rFonts w:eastAsia="MS Mincho"/>
          <w:bCs/>
          <w:sz w:val="22"/>
          <w:szCs w:val="22"/>
          <w:lang w:val="sr-Latn-ME"/>
        </w:rPr>
        <w:t>kcije, kao što su kontrola glave i samostalno prevrtanje i s</w:t>
      </w:r>
      <w:r w:rsidR="00BD2023">
        <w:rPr>
          <w:rFonts w:eastAsia="MS Mincho"/>
          <w:bCs/>
          <w:sz w:val="22"/>
          <w:szCs w:val="22"/>
          <w:lang w:val="sr-Latn-ME"/>
        </w:rPr>
        <w:t>j</w:t>
      </w:r>
      <w:r w:rsidRPr="00BD2023">
        <w:rPr>
          <w:rFonts w:eastAsia="MS Mincho"/>
          <w:bCs/>
          <w:sz w:val="22"/>
          <w:szCs w:val="22"/>
          <w:lang w:val="sr-Latn-ME"/>
        </w:rPr>
        <w:t>edenje. Kod svih pokretnih pacijenata (uzrasta od 5 do 46 godina, n=15) sposobnost hodanja je zadržana.</w:t>
      </w:r>
    </w:p>
    <w:p w14:paraId="46864AC0" w14:textId="77777777" w:rsidR="001A0E71" w:rsidRPr="00BD2023" w:rsidRDefault="001A0E71" w:rsidP="00BC480A">
      <w:pPr>
        <w:pStyle w:val="Paragraph"/>
        <w:spacing w:after="0"/>
        <w:jc w:val="both"/>
        <w:rPr>
          <w:rFonts w:ascii="Times New Roman" w:eastAsia="Times New Roman" w:hAnsi="Times New Roman"/>
          <w:sz w:val="22"/>
          <w:szCs w:val="22"/>
          <w:lang w:val="sr-Latn-ME"/>
        </w:rPr>
      </w:pPr>
    </w:p>
    <w:p w14:paraId="623A2381" w14:textId="77777777" w:rsidR="00740B8C" w:rsidRPr="00BD2023" w:rsidRDefault="00740B8C" w:rsidP="00740B8C">
      <w:pPr>
        <w:tabs>
          <w:tab w:val="left" w:pos="540"/>
          <w:tab w:val="left" w:pos="567"/>
        </w:tabs>
        <w:jc w:val="both"/>
        <w:rPr>
          <w:bCs/>
          <w:i/>
          <w:iCs/>
          <w:sz w:val="22"/>
          <w:szCs w:val="22"/>
          <w:lang w:val="sr-Latn-ME"/>
        </w:rPr>
      </w:pPr>
      <w:r w:rsidRPr="00BD2023">
        <w:rPr>
          <w:bCs/>
          <w:i/>
          <w:iCs/>
          <w:sz w:val="22"/>
          <w:szCs w:val="22"/>
          <w:lang w:val="sr-Latn-ME"/>
        </w:rPr>
        <w:t>Predsimptomatski SMA (RAINBOWFISH)</w:t>
      </w:r>
    </w:p>
    <w:p w14:paraId="6B70E7F3" w14:textId="77777777" w:rsidR="00740B8C" w:rsidRPr="00BD2023" w:rsidRDefault="00740B8C" w:rsidP="00740B8C">
      <w:pPr>
        <w:tabs>
          <w:tab w:val="left" w:pos="540"/>
          <w:tab w:val="left" w:pos="567"/>
        </w:tabs>
        <w:jc w:val="both"/>
        <w:rPr>
          <w:bCs/>
          <w:sz w:val="22"/>
          <w:szCs w:val="22"/>
          <w:lang w:val="sr-Latn-ME"/>
        </w:rPr>
      </w:pPr>
    </w:p>
    <w:p w14:paraId="657F382E" w14:textId="5FE6DECF" w:rsidR="00740B8C" w:rsidRPr="00BD2023" w:rsidRDefault="00740B8C" w:rsidP="00740B8C">
      <w:pPr>
        <w:tabs>
          <w:tab w:val="left" w:pos="540"/>
          <w:tab w:val="left" w:pos="567"/>
        </w:tabs>
        <w:jc w:val="both"/>
        <w:rPr>
          <w:bCs/>
          <w:sz w:val="22"/>
          <w:szCs w:val="22"/>
          <w:lang w:val="sr-Latn-ME"/>
        </w:rPr>
      </w:pPr>
      <w:r w:rsidRPr="00BD2023">
        <w:rPr>
          <w:bCs/>
          <w:sz w:val="22"/>
          <w:szCs w:val="22"/>
          <w:lang w:val="sr-Latn-ME"/>
        </w:rPr>
        <w:lastRenderedPageBreak/>
        <w:t>Studija BN40703 (RAINBOWFISH), je otvorena multicentrična klinička studija sa samo jednom ispitivanom grupom u kojoj se ispituju efikasnost, bezbjednost, farmakokinetika i farmakodinamika lijeka Evrysdi kod odojčadi od rođenja do 6 nedjelje života (pri prim</w:t>
      </w:r>
      <w:r w:rsidR="00E6573B" w:rsidRPr="00BD2023">
        <w:rPr>
          <w:bCs/>
          <w:sz w:val="22"/>
          <w:szCs w:val="22"/>
          <w:lang w:val="sr-Latn-ME"/>
        </w:rPr>
        <w:t>j</w:t>
      </w:r>
      <w:r w:rsidRPr="00BD2023">
        <w:rPr>
          <w:bCs/>
          <w:sz w:val="22"/>
          <w:szCs w:val="22"/>
          <w:lang w:val="sr-Latn-ME"/>
        </w:rPr>
        <w:t>eni prve doze) kojima je SMA dijagnostikovana genskim testiranjem, ali kod kojih se još nisu javili simptomi.</w:t>
      </w:r>
    </w:p>
    <w:p w14:paraId="5C9B33EC" w14:textId="77777777" w:rsidR="00740B8C" w:rsidRPr="00BD2023" w:rsidRDefault="00740B8C" w:rsidP="00740B8C">
      <w:pPr>
        <w:tabs>
          <w:tab w:val="left" w:pos="540"/>
          <w:tab w:val="left" w:pos="567"/>
        </w:tabs>
        <w:jc w:val="both"/>
        <w:rPr>
          <w:bCs/>
          <w:sz w:val="22"/>
          <w:szCs w:val="22"/>
          <w:lang w:val="sr-Latn-ME"/>
        </w:rPr>
      </w:pPr>
    </w:p>
    <w:p w14:paraId="609B0643" w14:textId="5E7B057E" w:rsidR="00E30E6F" w:rsidRPr="00E30E6F" w:rsidRDefault="003B6765" w:rsidP="00E30E6F">
      <w:pPr>
        <w:tabs>
          <w:tab w:val="left" w:pos="540"/>
          <w:tab w:val="left" w:pos="567"/>
        </w:tabs>
        <w:jc w:val="both"/>
        <w:rPr>
          <w:bCs/>
          <w:sz w:val="22"/>
          <w:szCs w:val="22"/>
          <w:lang w:val="hr-HR"/>
        </w:rPr>
      </w:pPr>
      <w:r>
        <w:rPr>
          <w:bCs/>
          <w:sz w:val="22"/>
          <w:szCs w:val="22"/>
          <w:lang w:val="sr-Latn-ME"/>
        </w:rPr>
        <w:t>E</w:t>
      </w:r>
      <w:r w:rsidR="00740B8C" w:rsidRPr="00BD2023">
        <w:rPr>
          <w:bCs/>
          <w:sz w:val="22"/>
          <w:szCs w:val="22"/>
          <w:lang w:val="sr-Latn-ME"/>
        </w:rPr>
        <w:t>fikasnost kod pacijenata sa predsimptomatskom SMA proc</w:t>
      </w:r>
      <w:r w:rsidR="00BD2023">
        <w:rPr>
          <w:bCs/>
          <w:sz w:val="22"/>
          <w:szCs w:val="22"/>
          <w:lang w:val="sr-Latn-ME"/>
        </w:rPr>
        <w:t>ij</w:t>
      </w:r>
      <w:r w:rsidR="00740B8C" w:rsidRPr="00BD2023">
        <w:rPr>
          <w:bCs/>
          <w:sz w:val="22"/>
          <w:szCs w:val="22"/>
          <w:lang w:val="sr-Latn-ME"/>
        </w:rPr>
        <w:t xml:space="preserve">enjivali su se </w:t>
      </w:r>
      <w:r>
        <w:rPr>
          <w:bCs/>
          <w:sz w:val="22"/>
          <w:szCs w:val="22"/>
          <w:lang w:val="sr-Latn-ME"/>
        </w:rPr>
        <w:t>nakon 12 m</w:t>
      </w:r>
      <w:r w:rsidR="005200CA">
        <w:rPr>
          <w:bCs/>
          <w:sz w:val="22"/>
          <w:szCs w:val="22"/>
          <w:lang w:val="sr-Latn-ME"/>
        </w:rPr>
        <w:t>j</w:t>
      </w:r>
      <w:r>
        <w:rPr>
          <w:bCs/>
          <w:sz w:val="22"/>
          <w:szCs w:val="22"/>
          <w:lang w:val="sr-Latn-ME"/>
        </w:rPr>
        <w:t xml:space="preserve">eseci </w:t>
      </w:r>
      <w:r w:rsidR="00740B8C" w:rsidRPr="00BD2023">
        <w:rPr>
          <w:bCs/>
          <w:sz w:val="22"/>
          <w:szCs w:val="22"/>
          <w:lang w:val="sr-Latn-ME"/>
        </w:rPr>
        <w:t xml:space="preserve">kod </w:t>
      </w:r>
      <w:r>
        <w:rPr>
          <w:bCs/>
          <w:sz w:val="22"/>
          <w:szCs w:val="22"/>
          <w:lang w:val="sr-Latn-ME"/>
        </w:rPr>
        <w:t>26</w:t>
      </w:r>
      <w:r w:rsidR="00740B8C" w:rsidRPr="00BD2023">
        <w:rPr>
          <w:bCs/>
          <w:sz w:val="22"/>
          <w:szCs w:val="22"/>
          <w:lang w:val="sr-Latn-ME"/>
        </w:rPr>
        <w:t xml:space="preserve"> pacijenata </w:t>
      </w:r>
      <w:r w:rsidR="00E30E6F">
        <w:rPr>
          <w:bCs/>
          <w:sz w:val="22"/>
          <w:szCs w:val="22"/>
          <w:lang w:val="sr-Latn-ME"/>
        </w:rPr>
        <w:t xml:space="preserve">(populacija predviđena za liječenje </w:t>
      </w:r>
      <w:r w:rsidR="00E30E6F" w:rsidRPr="00E30E6F">
        <w:rPr>
          <w:bCs/>
          <w:sz w:val="22"/>
          <w:szCs w:val="22"/>
          <w:lang w:val="hr-HR"/>
        </w:rPr>
        <w:t>[</w:t>
      </w:r>
      <w:r w:rsidR="00E30E6F" w:rsidRPr="00E30E6F">
        <w:rPr>
          <w:bCs/>
          <w:i/>
          <w:sz w:val="22"/>
          <w:szCs w:val="22"/>
          <w:lang w:val="hr-HR"/>
        </w:rPr>
        <w:t>engl. intent to treat</w:t>
      </w:r>
      <w:r w:rsidR="00E30E6F" w:rsidRPr="00E30E6F">
        <w:rPr>
          <w:bCs/>
          <w:sz w:val="22"/>
          <w:szCs w:val="22"/>
          <w:lang w:val="hr-HR"/>
        </w:rPr>
        <w:t xml:space="preserve"> - ITT populacija]</w:t>
      </w:r>
      <w:r w:rsidR="00E30E6F" w:rsidRPr="00E30E6F">
        <w:rPr>
          <w:bCs/>
          <w:sz w:val="22"/>
          <w:szCs w:val="22"/>
          <w:lang w:val="sr-Latn-RS"/>
        </w:rPr>
        <w:t xml:space="preserve">) </w:t>
      </w:r>
      <w:r w:rsidR="00740B8C" w:rsidRPr="00BD2023">
        <w:rPr>
          <w:bCs/>
          <w:sz w:val="22"/>
          <w:szCs w:val="22"/>
          <w:lang w:val="sr-Latn-ME"/>
        </w:rPr>
        <w:t>koji su primali Evrysdi</w:t>
      </w:r>
      <w:r w:rsidR="00E30E6F">
        <w:rPr>
          <w:bCs/>
          <w:sz w:val="22"/>
          <w:szCs w:val="22"/>
          <w:lang w:val="sr-Latn-ME"/>
        </w:rPr>
        <w:t>:</w:t>
      </w:r>
      <w:r w:rsidR="00740B8C" w:rsidRPr="00BD2023">
        <w:rPr>
          <w:bCs/>
          <w:sz w:val="22"/>
          <w:szCs w:val="22"/>
          <w:lang w:val="sr-Latn-ME"/>
        </w:rPr>
        <w:t xml:space="preserve"> </w:t>
      </w:r>
      <w:r w:rsidR="00E30E6F">
        <w:rPr>
          <w:bCs/>
          <w:sz w:val="22"/>
          <w:szCs w:val="22"/>
          <w:lang w:val="sr-Latn-ME"/>
        </w:rPr>
        <w:t>8</w:t>
      </w:r>
      <w:r w:rsidR="00740B8C" w:rsidRPr="00BD2023">
        <w:rPr>
          <w:bCs/>
          <w:sz w:val="22"/>
          <w:szCs w:val="22"/>
          <w:lang w:val="sr-Latn-ME"/>
        </w:rPr>
        <w:t xml:space="preserve"> pacijen</w:t>
      </w:r>
      <w:r w:rsidR="00E30E6F">
        <w:rPr>
          <w:bCs/>
          <w:sz w:val="22"/>
          <w:szCs w:val="22"/>
          <w:lang w:val="sr-Latn-ME"/>
        </w:rPr>
        <w:t>a</w:t>
      </w:r>
      <w:r w:rsidR="00740B8C" w:rsidRPr="00BD2023">
        <w:rPr>
          <w:bCs/>
          <w:sz w:val="22"/>
          <w:szCs w:val="22"/>
          <w:lang w:val="sr-Latn-ME"/>
        </w:rPr>
        <w:t>ta imal</w:t>
      </w:r>
      <w:r w:rsidR="00E30E6F">
        <w:rPr>
          <w:bCs/>
          <w:sz w:val="22"/>
          <w:szCs w:val="22"/>
          <w:lang w:val="sr-Latn-ME"/>
        </w:rPr>
        <w:t>o</w:t>
      </w:r>
      <w:r w:rsidR="00740B8C" w:rsidRPr="00BD2023">
        <w:rPr>
          <w:bCs/>
          <w:sz w:val="22"/>
          <w:szCs w:val="22"/>
          <w:lang w:val="sr-Latn-ME"/>
        </w:rPr>
        <w:t xml:space="preserve"> </w:t>
      </w:r>
      <w:r w:rsidR="00E30E6F">
        <w:rPr>
          <w:bCs/>
          <w:sz w:val="22"/>
          <w:szCs w:val="22"/>
          <w:lang w:val="sr-Latn-ME"/>
        </w:rPr>
        <w:t>je</w:t>
      </w:r>
      <w:r w:rsidR="00740B8C" w:rsidRPr="00BD2023">
        <w:rPr>
          <w:bCs/>
          <w:sz w:val="22"/>
          <w:szCs w:val="22"/>
          <w:lang w:val="sr-Latn-ME"/>
        </w:rPr>
        <w:t xml:space="preserve"> 2 kopije gena </w:t>
      </w:r>
      <w:r w:rsidR="00740B8C" w:rsidRPr="00BD2023">
        <w:rPr>
          <w:bCs/>
          <w:i/>
          <w:iCs/>
          <w:sz w:val="22"/>
          <w:szCs w:val="22"/>
          <w:lang w:val="sr-Latn-ME"/>
        </w:rPr>
        <w:t>SMN2</w:t>
      </w:r>
      <w:r w:rsidR="00740B8C" w:rsidRPr="00BD2023">
        <w:rPr>
          <w:bCs/>
          <w:sz w:val="22"/>
          <w:szCs w:val="22"/>
          <w:lang w:val="sr-Latn-ME"/>
        </w:rPr>
        <w:t xml:space="preserve">, </w:t>
      </w:r>
      <w:r w:rsidR="00E30E6F">
        <w:rPr>
          <w:bCs/>
          <w:sz w:val="22"/>
          <w:szCs w:val="22"/>
          <w:lang w:val="sr-Latn-ME"/>
        </w:rPr>
        <w:t>13</w:t>
      </w:r>
      <w:r w:rsidR="00740B8C" w:rsidRPr="00BD2023">
        <w:rPr>
          <w:bCs/>
          <w:sz w:val="22"/>
          <w:szCs w:val="22"/>
          <w:lang w:val="sr-Latn-ME"/>
        </w:rPr>
        <w:t> pacijen</w:t>
      </w:r>
      <w:r w:rsidR="00E30E6F">
        <w:rPr>
          <w:bCs/>
          <w:sz w:val="22"/>
          <w:szCs w:val="22"/>
          <w:lang w:val="sr-Latn-ME"/>
        </w:rPr>
        <w:t>a</w:t>
      </w:r>
      <w:r w:rsidR="00740B8C" w:rsidRPr="00BD2023">
        <w:rPr>
          <w:bCs/>
          <w:sz w:val="22"/>
          <w:szCs w:val="22"/>
          <w:lang w:val="sr-Latn-ME"/>
        </w:rPr>
        <w:t>ta imal</w:t>
      </w:r>
      <w:r w:rsidR="00E30E6F">
        <w:rPr>
          <w:bCs/>
          <w:sz w:val="22"/>
          <w:szCs w:val="22"/>
          <w:lang w:val="sr-Latn-ME"/>
        </w:rPr>
        <w:t>o</w:t>
      </w:r>
      <w:r w:rsidR="00740B8C" w:rsidRPr="00BD2023">
        <w:rPr>
          <w:bCs/>
          <w:sz w:val="22"/>
          <w:szCs w:val="22"/>
          <w:lang w:val="sr-Latn-ME"/>
        </w:rPr>
        <w:t xml:space="preserve"> </w:t>
      </w:r>
      <w:r w:rsidR="00E30E6F">
        <w:rPr>
          <w:bCs/>
          <w:sz w:val="22"/>
          <w:szCs w:val="22"/>
          <w:lang w:val="sr-Latn-ME"/>
        </w:rPr>
        <w:t>je</w:t>
      </w:r>
      <w:r w:rsidR="00740B8C" w:rsidRPr="00BD2023">
        <w:rPr>
          <w:bCs/>
          <w:sz w:val="22"/>
          <w:szCs w:val="22"/>
          <w:lang w:val="sr-Latn-ME"/>
        </w:rPr>
        <w:t xml:space="preserve"> 3 kopije gena </w:t>
      </w:r>
      <w:r w:rsidR="00740B8C" w:rsidRPr="00BD2023">
        <w:rPr>
          <w:bCs/>
          <w:i/>
          <w:iCs/>
          <w:sz w:val="22"/>
          <w:szCs w:val="22"/>
          <w:lang w:val="sr-Latn-ME"/>
        </w:rPr>
        <w:t>SMN2</w:t>
      </w:r>
      <w:r w:rsidR="00740B8C" w:rsidRPr="00BD2023">
        <w:rPr>
          <w:bCs/>
          <w:sz w:val="22"/>
          <w:szCs w:val="22"/>
          <w:lang w:val="sr-Latn-ME"/>
        </w:rPr>
        <w:t xml:space="preserve">, a </w:t>
      </w:r>
      <w:r w:rsidR="00E30E6F">
        <w:rPr>
          <w:bCs/>
          <w:sz w:val="22"/>
          <w:szCs w:val="22"/>
          <w:lang w:val="sr-Latn-ME"/>
        </w:rPr>
        <w:t>5</w:t>
      </w:r>
      <w:r w:rsidR="00740B8C" w:rsidRPr="00BD2023">
        <w:rPr>
          <w:bCs/>
          <w:sz w:val="22"/>
          <w:szCs w:val="22"/>
          <w:lang w:val="sr-Latn-ME"/>
        </w:rPr>
        <w:t> pacijen</w:t>
      </w:r>
      <w:r w:rsidR="00E30E6F">
        <w:rPr>
          <w:bCs/>
          <w:sz w:val="22"/>
          <w:szCs w:val="22"/>
          <w:lang w:val="sr-Latn-ME"/>
        </w:rPr>
        <w:t>a</w:t>
      </w:r>
      <w:r w:rsidR="00740B8C" w:rsidRPr="00BD2023">
        <w:rPr>
          <w:bCs/>
          <w:sz w:val="22"/>
          <w:szCs w:val="22"/>
          <w:lang w:val="sr-Latn-ME"/>
        </w:rPr>
        <w:t>t</w:t>
      </w:r>
      <w:r w:rsidR="00E30E6F">
        <w:rPr>
          <w:bCs/>
          <w:sz w:val="22"/>
          <w:szCs w:val="22"/>
          <w:lang w:val="sr-Latn-ME"/>
        </w:rPr>
        <w:t>a</w:t>
      </w:r>
      <w:r w:rsidR="00740B8C" w:rsidRPr="00BD2023">
        <w:rPr>
          <w:bCs/>
          <w:sz w:val="22"/>
          <w:szCs w:val="22"/>
          <w:lang w:val="sr-Latn-ME"/>
        </w:rPr>
        <w:t xml:space="preserve"> ima</w:t>
      </w:r>
      <w:r w:rsidR="00E30E6F">
        <w:rPr>
          <w:bCs/>
          <w:sz w:val="22"/>
          <w:szCs w:val="22"/>
          <w:lang w:val="sr-Latn-ME"/>
        </w:rPr>
        <w:t>l</w:t>
      </w:r>
      <w:r w:rsidR="00740B8C" w:rsidRPr="00BD2023">
        <w:rPr>
          <w:bCs/>
          <w:sz w:val="22"/>
          <w:szCs w:val="22"/>
          <w:lang w:val="sr-Latn-ME"/>
        </w:rPr>
        <w:t xml:space="preserve">o je </w:t>
      </w:r>
      <w:r w:rsidR="00E30E6F">
        <w:t xml:space="preserve">≥ </w:t>
      </w:r>
      <w:r w:rsidR="00740B8C" w:rsidRPr="00BD2023">
        <w:rPr>
          <w:bCs/>
          <w:sz w:val="22"/>
          <w:szCs w:val="22"/>
          <w:lang w:val="sr-Latn-ME"/>
        </w:rPr>
        <w:t>4  kopij</w:t>
      </w:r>
      <w:r w:rsidR="00E30E6F">
        <w:rPr>
          <w:bCs/>
          <w:sz w:val="22"/>
          <w:szCs w:val="22"/>
          <w:lang w:val="sr-Latn-ME"/>
        </w:rPr>
        <w:t>e</w:t>
      </w:r>
      <w:r w:rsidR="00740B8C" w:rsidRPr="00BD2023">
        <w:rPr>
          <w:bCs/>
          <w:sz w:val="22"/>
          <w:szCs w:val="22"/>
          <w:lang w:val="sr-Latn-ME"/>
        </w:rPr>
        <w:t xml:space="preserve"> gena </w:t>
      </w:r>
      <w:r w:rsidR="00740B8C" w:rsidRPr="00BD2023">
        <w:rPr>
          <w:bCs/>
          <w:i/>
          <w:iCs/>
          <w:sz w:val="22"/>
          <w:szCs w:val="22"/>
          <w:lang w:val="sr-Latn-ME"/>
        </w:rPr>
        <w:t>SMN2</w:t>
      </w:r>
      <w:r w:rsidR="00740B8C" w:rsidRPr="00BD2023">
        <w:rPr>
          <w:bCs/>
          <w:sz w:val="22"/>
          <w:szCs w:val="22"/>
          <w:lang w:val="sr-Latn-ME"/>
        </w:rPr>
        <w:t>.</w:t>
      </w:r>
      <w:r w:rsidR="005200CA">
        <w:rPr>
          <w:bCs/>
          <w:sz w:val="22"/>
          <w:szCs w:val="22"/>
          <w:lang w:val="sr-Latn-ME"/>
        </w:rPr>
        <w:t xml:space="preserve"> </w:t>
      </w:r>
      <w:r w:rsidR="00E30E6F">
        <w:rPr>
          <w:bCs/>
          <w:sz w:val="22"/>
          <w:szCs w:val="22"/>
          <w:lang w:val="sr-Latn-ME"/>
        </w:rPr>
        <w:t>M</w:t>
      </w:r>
      <w:r w:rsidR="00740B8C" w:rsidRPr="00BD2023">
        <w:rPr>
          <w:bCs/>
          <w:sz w:val="22"/>
          <w:szCs w:val="22"/>
          <w:lang w:val="sr-Latn-ME"/>
        </w:rPr>
        <w:t xml:space="preserve">edijana uzrasta </w:t>
      </w:r>
      <w:r w:rsidR="00E30E6F">
        <w:rPr>
          <w:bCs/>
          <w:sz w:val="22"/>
          <w:szCs w:val="22"/>
          <w:lang w:val="sr-Latn-ME"/>
        </w:rPr>
        <w:t xml:space="preserve">tih pacijenata </w:t>
      </w:r>
      <w:r w:rsidR="00740B8C" w:rsidRPr="00BD2023">
        <w:rPr>
          <w:bCs/>
          <w:sz w:val="22"/>
          <w:szCs w:val="22"/>
          <w:lang w:val="sr-Latn-ME"/>
        </w:rPr>
        <w:t xml:space="preserve">u trenutku primjene prve doze iznosila je </w:t>
      </w:r>
      <w:r w:rsidR="00E30E6F">
        <w:rPr>
          <w:bCs/>
          <w:sz w:val="22"/>
          <w:szCs w:val="22"/>
          <w:lang w:val="sr-Latn-ME"/>
        </w:rPr>
        <w:t>2</w:t>
      </w:r>
      <w:r w:rsidR="00740B8C" w:rsidRPr="00BD2023">
        <w:rPr>
          <w:bCs/>
          <w:sz w:val="22"/>
          <w:szCs w:val="22"/>
          <w:lang w:val="sr-Latn-ME"/>
        </w:rPr>
        <w:t>5 dana (raspon: 16 </w:t>
      </w:r>
      <w:r w:rsidR="00740B8C" w:rsidRPr="00BD2023">
        <w:rPr>
          <w:bCs/>
          <w:sz w:val="22"/>
          <w:szCs w:val="22"/>
          <w:lang w:val="sr-Latn-ME"/>
        </w:rPr>
        <w:noBreakHyphen/>
        <w:t> </w:t>
      </w:r>
      <w:r w:rsidR="00435851" w:rsidRPr="00BD2023">
        <w:rPr>
          <w:bCs/>
          <w:sz w:val="22"/>
          <w:szCs w:val="22"/>
          <w:lang w:val="sr-Latn-ME"/>
        </w:rPr>
        <w:t>4</w:t>
      </w:r>
      <w:r w:rsidR="00E30E6F">
        <w:rPr>
          <w:bCs/>
          <w:sz w:val="22"/>
          <w:szCs w:val="22"/>
          <w:lang w:val="sr-Latn-ME"/>
        </w:rPr>
        <w:t>1</w:t>
      </w:r>
      <w:r w:rsidR="00435851" w:rsidRPr="00BD2023">
        <w:rPr>
          <w:bCs/>
          <w:sz w:val="22"/>
          <w:szCs w:val="22"/>
          <w:lang w:val="sr-Latn-ME"/>
        </w:rPr>
        <w:t xml:space="preserve"> dan), </w:t>
      </w:r>
      <w:r w:rsidR="00E30E6F">
        <w:rPr>
          <w:bCs/>
          <w:sz w:val="22"/>
          <w:szCs w:val="22"/>
          <w:lang w:val="sr-Latn-ME"/>
        </w:rPr>
        <w:t>62</w:t>
      </w:r>
      <w:r w:rsidR="00435851" w:rsidRPr="00BD2023">
        <w:rPr>
          <w:bCs/>
          <w:sz w:val="22"/>
          <w:szCs w:val="22"/>
          <w:lang w:val="sr-Latn-ME"/>
        </w:rPr>
        <w:t xml:space="preserve">%  bilo je ženskog </w:t>
      </w:r>
      <w:r w:rsidR="00740B8C" w:rsidRPr="00BD2023">
        <w:rPr>
          <w:bCs/>
          <w:sz w:val="22"/>
          <w:szCs w:val="22"/>
          <w:lang w:val="sr-Latn-ME"/>
        </w:rPr>
        <w:t xml:space="preserve">pola, a </w:t>
      </w:r>
      <w:r w:rsidR="00E30E6F">
        <w:rPr>
          <w:bCs/>
          <w:sz w:val="22"/>
          <w:szCs w:val="22"/>
          <w:lang w:val="sr-Latn-ME"/>
        </w:rPr>
        <w:t>85</w:t>
      </w:r>
      <w:r w:rsidR="00740B8C" w:rsidRPr="00BD2023">
        <w:rPr>
          <w:bCs/>
          <w:sz w:val="22"/>
          <w:szCs w:val="22"/>
          <w:lang w:val="sr-Latn-ME"/>
        </w:rPr>
        <w:t>% njih bili su b</w:t>
      </w:r>
      <w:r w:rsidR="00435851" w:rsidRPr="00BD2023">
        <w:rPr>
          <w:bCs/>
          <w:sz w:val="22"/>
          <w:szCs w:val="22"/>
          <w:lang w:val="sr-Latn-ME"/>
        </w:rPr>
        <w:t>ij</w:t>
      </w:r>
      <w:r w:rsidR="00740B8C" w:rsidRPr="00BD2023">
        <w:rPr>
          <w:bCs/>
          <w:sz w:val="22"/>
          <w:szCs w:val="22"/>
          <w:lang w:val="sr-Latn-ME"/>
        </w:rPr>
        <w:t xml:space="preserve">elci. </w:t>
      </w:r>
      <w:r w:rsidR="00E30E6F" w:rsidRPr="00E30E6F">
        <w:rPr>
          <w:bCs/>
          <w:sz w:val="22"/>
          <w:szCs w:val="22"/>
          <w:lang w:val="hr-HR"/>
        </w:rPr>
        <w:t>Medijana CHOP</w:t>
      </w:r>
      <w:r w:rsidR="00E30E6F" w:rsidRPr="00E30E6F">
        <w:rPr>
          <w:bCs/>
          <w:sz w:val="22"/>
          <w:szCs w:val="22"/>
          <w:lang w:val="hr-HR"/>
        </w:rPr>
        <w:noBreakHyphen/>
        <w:t>INTEND rezultata na početku studije iznosila je 51,5 (raspon: 35,0 – 62,0), medijana HINE</w:t>
      </w:r>
      <w:r w:rsidR="00E30E6F" w:rsidRPr="00E30E6F">
        <w:rPr>
          <w:bCs/>
          <w:sz w:val="22"/>
          <w:szCs w:val="22"/>
          <w:lang w:val="hr-HR"/>
        </w:rPr>
        <w:noBreakHyphen/>
        <w:t>2 rezultata 2,5 (raspon: 0 – 6,0), a medijana amplitude složenog mišićnog akcionog potencijala (engl. </w:t>
      </w:r>
      <w:r w:rsidR="00E30E6F" w:rsidRPr="00E30E6F">
        <w:rPr>
          <w:bCs/>
          <w:i/>
          <w:iCs/>
          <w:sz w:val="22"/>
          <w:szCs w:val="22"/>
          <w:lang w:val="hr-HR"/>
        </w:rPr>
        <w:t>compound muscle action potential</w:t>
      </w:r>
      <w:r w:rsidR="00E30E6F" w:rsidRPr="00E30E6F">
        <w:rPr>
          <w:bCs/>
          <w:sz w:val="22"/>
          <w:szCs w:val="22"/>
          <w:lang w:val="hr-HR"/>
        </w:rPr>
        <w:t>, CMAP) lakatnog nerva 3,6 mV (raspon: 0,5 – 6,7 mV).</w:t>
      </w:r>
    </w:p>
    <w:p w14:paraId="364C2DD4" w14:textId="77777777" w:rsidR="00E30E6F" w:rsidRPr="00E30E6F" w:rsidRDefault="00E30E6F" w:rsidP="00E30E6F">
      <w:pPr>
        <w:tabs>
          <w:tab w:val="left" w:pos="540"/>
          <w:tab w:val="left" w:pos="567"/>
        </w:tabs>
        <w:jc w:val="both"/>
        <w:rPr>
          <w:bCs/>
          <w:sz w:val="22"/>
          <w:szCs w:val="22"/>
          <w:lang w:val="hr-HR"/>
        </w:rPr>
      </w:pPr>
    </w:p>
    <w:p w14:paraId="2386F0AA" w14:textId="47BA29FF" w:rsidR="00E30E6F" w:rsidRPr="00E30E6F" w:rsidRDefault="00E30E6F" w:rsidP="00E30E6F">
      <w:pPr>
        <w:tabs>
          <w:tab w:val="left" w:pos="540"/>
          <w:tab w:val="left" w:pos="567"/>
        </w:tabs>
        <w:jc w:val="both"/>
        <w:rPr>
          <w:bCs/>
          <w:sz w:val="22"/>
          <w:szCs w:val="22"/>
          <w:lang w:val="hr-HR"/>
        </w:rPr>
      </w:pPr>
      <w:r w:rsidRPr="00E30E6F">
        <w:rPr>
          <w:bCs/>
          <w:sz w:val="22"/>
          <w:szCs w:val="22"/>
          <w:lang w:val="hr-HR"/>
        </w:rPr>
        <w:t>Populacija za primarnu proc</w:t>
      </w:r>
      <w:r>
        <w:rPr>
          <w:bCs/>
          <w:sz w:val="22"/>
          <w:szCs w:val="22"/>
          <w:lang w:val="hr-HR"/>
        </w:rPr>
        <w:t>j</w:t>
      </w:r>
      <w:r w:rsidRPr="00E30E6F">
        <w:rPr>
          <w:bCs/>
          <w:sz w:val="22"/>
          <w:szCs w:val="22"/>
          <w:lang w:val="hr-HR"/>
        </w:rPr>
        <w:t xml:space="preserve">enu efikasnosti (N = 5) uključivala je pacijente sa 2 kopije gena </w:t>
      </w:r>
      <w:r w:rsidRPr="00E30E6F">
        <w:rPr>
          <w:bCs/>
          <w:i/>
          <w:iCs/>
          <w:sz w:val="22"/>
          <w:szCs w:val="22"/>
          <w:lang w:val="hr-HR"/>
        </w:rPr>
        <w:t>SMN2</w:t>
      </w:r>
      <w:r w:rsidRPr="00E30E6F">
        <w:rPr>
          <w:bCs/>
          <w:sz w:val="22"/>
          <w:szCs w:val="22"/>
          <w:lang w:val="hr-HR"/>
        </w:rPr>
        <w:t xml:space="preserve"> i početnom amplitudom CMAP</w:t>
      </w:r>
      <w:r w:rsidRPr="00E30E6F">
        <w:rPr>
          <w:bCs/>
          <w:sz w:val="22"/>
          <w:szCs w:val="22"/>
          <w:lang w:val="hr-HR"/>
        </w:rPr>
        <w:noBreakHyphen/>
        <w:t xml:space="preserve">a </w:t>
      </w:r>
      <w:r w:rsidRPr="00E30E6F">
        <w:rPr>
          <w:rFonts w:hint="eastAsia"/>
          <w:bCs/>
          <w:sz w:val="22"/>
          <w:szCs w:val="22"/>
          <w:lang w:val="hr-HR"/>
        </w:rPr>
        <w:sym w:font="Symbol" w:char="F0B3"/>
      </w:r>
      <w:r w:rsidRPr="00E30E6F">
        <w:rPr>
          <w:bCs/>
          <w:sz w:val="22"/>
          <w:szCs w:val="22"/>
          <w:lang w:val="hr-HR"/>
        </w:rPr>
        <w:t> 1,5 mV. Na početku studije kod tih pacijenata medijana CHOP</w:t>
      </w:r>
      <w:r w:rsidRPr="00E30E6F">
        <w:rPr>
          <w:bCs/>
          <w:sz w:val="22"/>
          <w:szCs w:val="22"/>
          <w:lang w:val="hr-HR"/>
        </w:rPr>
        <w:noBreakHyphen/>
        <w:t>INTEND rezultata iznosila je 48,0 (raspon: 36,0 – 52,0), medijana HINE</w:t>
      </w:r>
      <w:r w:rsidRPr="00E30E6F">
        <w:rPr>
          <w:bCs/>
          <w:sz w:val="22"/>
          <w:szCs w:val="22"/>
          <w:lang w:val="hr-HR"/>
        </w:rPr>
        <w:noBreakHyphen/>
        <w:t>2 rezultata 2,0 (raspon: 1,0 – 3,0), a medijana amplitude CMAP</w:t>
      </w:r>
      <w:r w:rsidRPr="00E30E6F">
        <w:rPr>
          <w:bCs/>
          <w:sz w:val="22"/>
          <w:szCs w:val="22"/>
          <w:lang w:val="hr-HR"/>
        </w:rPr>
        <w:noBreakHyphen/>
        <w:t>a 2,6 mV (raspon: 1,6 – 3,8 mV).</w:t>
      </w:r>
    </w:p>
    <w:p w14:paraId="0ACB6AA6" w14:textId="77777777" w:rsidR="00E30E6F" w:rsidRPr="00E30E6F" w:rsidRDefault="00E30E6F" w:rsidP="00E30E6F">
      <w:pPr>
        <w:tabs>
          <w:tab w:val="left" w:pos="540"/>
          <w:tab w:val="left" w:pos="567"/>
        </w:tabs>
        <w:jc w:val="both"/>
        <w:rPr>
          <w:bCs/>
          <w:sz w:val="22"/>
          <w:szCs w:val="22"/>
          <w:lang w:val="hr-HR"/>
        </w:rPr>
      </w:pPr>
    </w:p>
    <w:p w14:paraId="38C72152" w14:textId="5BBC6A7B" w:rsidR="00E30E6F" w:rsidRPr="00E30E6F" w:rsidRDefault="00E30E6F" w:rsidP="00E30E6F">
      <w:pPr>
        <w:tabs>
          <w:tab w:val="left" w:pos="540"/>
          <w:tab w:val="left" w:pos="567"/>
        </w:tabs>
        <w:jc w:val="both"/>
        <w:rPr>
          <w:bCs/>
          <w:sz w:val="22"/>
          <w:szCs w:val="22"/>
          <w:lang w:val="hr-HR"/>
        </w:rPr>
      </w:pPr>
      <w:r w:rsidRPr="00E30E6F">
        <w:rPr>
          <w:bCs/>
          <w:sz w:val="22"/>
          <w:szCs w:val="22"/>
          <w:lang w:val="hr-HR"/>
        </w:rPr>
        <w:t>Primarni parametar praćenja bio je ud</w:t>
      </w:r>
      <w:r>
        <w:rPr>
          <w:bCs/>
          <w:sz w:val="22"/>
          <w:szCs w:val="22"/>
          <w:lang w:val="hr-HR"/>
        </w:rPr>
        <w:t>i</w:t>
      </w:r>
      <w:r w:rsidRPr="00E30E6F">
        <w:rPr>
          <w:bCs/>
          <w:sz w:val="22"/>
          <w:szCs w:val="22"/>
          <w:lang w:val="hr-HR"/>
        </w:rPr>
        <w:t>o pacijenata u populaciji za primarnu proc</w:t>
      </w:r>
      <w:r>
        <w:rPr>
          <w:bCs/>
          <w:sz w:val="22"/>
          <w:szCs w:val="22"/>
          <w:lang w:val="hr-HR"/>
        </w:rPr>
        <w:t>j</w:t>
      </w:r>
      <w:r w:rsidRPr="00E30E6F">
        <w:rPr>
          <w:bCs/>
          <w:sz w:val="22"/>
          <w:szCs w:val="22"/>
          <w:lang w:val="hr-HR"/>
        </w:rPr>
        <w:t>enu efikasnosti koji su nakon 12 m</w:t>
      </w:r>
      <w:r>
        <w:rPr>
          <w:bCs/>
          <w:sz w:val="22"/>
          <w:szCs w:val="22"/>
          <w:lang w:val="hr-HR"/>
        </w:rPr>
        <w:t>j</w:t>
      </w:r>
      <w:r w:rsidRPr="00E30E6F">
        <w:rPr>
          <w:bCs/>
          <w:sz w:val="22"/>
          <w:szCs w:val="22"/>
          <w:lang w:val="hr-HR"/>
        </w:rPr>
        <w:t>eseci bili sposobni da s</w:t>
      </w:r>
      <w:r>
        <w:rPr>
          <w:bCs/>
          <w:sz w:val="22"/>
          <w:szCs w:val="22"/>
          <w:lang w:val="hr-HR"/>
        </w:rPr>
        <w:t>j</w:t>
      </w:r>
      <w:r w:rsidRPr="00E30E6F">
        <w:rPr>
          <w:bCs/>
          <w:sz w:val="22"/>
          <w:szCs w:val="22"/>
          <w:lang w:val="hr-HR"/>
        </w:rPr>
        <w:t>ede bez potpore tokom najmanje 5 s</w:t>
      </w:r>
      <w:r>
        <w:rPr>
          <w:bCs/>
          <w:sz w:val="22"/>
          <w:szCs w:val="22"/>
          <w:lang w:val="hr-HR"/>
        </w:rPr>
        <w:t>ekundi (22. stavka BSID</w:t>
      </w:r>
      <w:r>
        <w:rPr>
          <w:bCs/>
          <w:sz w:val="22"/>
          <w:szCs w:val="22"/>
          <w:lang w:val="hr-HR"/>
        </w:rPr>
        <w:noBreakHyphen/>
        <w:t>III skal</w:t>
      </w:r>
      <w:r w:rsidRPr="00E30E6F">
        <w:rPr>
          <w:bCs/>
          <w:sz w:val="22"/>
          <w:szCs w:val="22"/>
          <w:lang w:val="hr-HR"/>
        </w:rPr>
        <w:t>e za proc</w:t>
      </w:r>
      <w:r>
        <w:rPr>
          <w:bCs/>
          <w:sz w:val="22"/>
          <w:szCs w:val="22"/>
          <w:lang w:val="hr-HR"/>
        </w:rPr>
        <w:t>j</w:t>
      </w:r>
      <w:r w:rsidRPr="00E30E6F">
        <w:rPr>
          <w:bCs/>
          <w:sz w:val="22"/>
          <w:szCs w:val="22"/>
          <w:lang w:val="hr-HR"/>
        </w:rPr>
        <w:t>enu grube motoričke funkcije); u poređenju sa unapr</w:t>
      </w:r>
      <w:r w:rsidR="006D2082">
        <w:rPr>
          <w:bCs/>
          <w:sz w:val="22"/>
          <w:szCs w:val="22"/>
          <w:lang w:val="hr-HR"/>
        </w:rPr>
        <w:t>ij</w:t>
      </w:r>
      <w:r w:rsidRPr="00E30E6F">
        <w:rPr>
          <w:bCs/>
          <w:sz w:val="22"/>
          <w:szCs w:val="22"/>
          <w:lang w:val="hr-HR"/>
        </w:rPr>
        <w:t>ed definisanim kriterijumom usp</w:t>
      </w:r>
      <w:r w:rsidR="006D2082">
        <w:rPr>
          <w:bCs/>
          <w:sz w:val="22"/>
          <w:szCs w:val="22"/>
          <w:lang w:val="hr-HR"/>
        </w:rPr>
        <w:t>j</w:t>
      </w:r>
      <w:r w:rsidRPr="00E30E6F">
        <w:rPr>
          <w:bCs/>
          <w:sz w:val="22"/>
          <w:szCs w:val="22"/>
          <w:lang w:val="hr-HR"/>
        </w:rPr>
        <w:t>ešnosti od 5 %, tu je ključnu razvojnu tačku postigao statistički značajan i klinički važan ud</w:t>
      </w:r>
      <w:r>
        <w:rPr>
          <w:bCs/>
          <w:sz w:val="22"/>
          <w:szCs w:val="22"/>
          <w:lang w:val="hr-HR"/>
        </w:rPr>
        <w:t>i</w:t>
      </w:r>
      <w:r w:rsidRPr="00E30E6F">
        <w:rPr>
          <w:bCs/>
          <w:sz w:val="22"/>
          <w:szCs w:val="22"/>
          <w:lang w:val="hr-HR"/>
        </w:rPr>
        <w:t>o pacijenata.</w:t>
      </w:r>
    </w:p>
    <w:p w14:paraId="4A561769" w14:textId="77777777" w:rsidR="00E30E6F" w:rsidRPr="00E30E6F" w:rsidRDefault="00E30E6F" w:rsidP="00E30E6F">
      <w:pPr>
        <w:tabs>
          <w:tab w:val="left" w:pos="540"/>
          <w:tab w:val="left" w:pos="567"/>
        </w:tabs>
        <w:jc w:val="both"/>
        <w:rPr>
          <w:bCs/>
          <w:sz w:val="22"/>
          <w:szCs w:val="22"/>
          <w:lang w:val="hr-HR"/>
        </w:rPr>
      </w:pPr>
    </w:p>
    <w:p w14:paraId="63CD0211" w14:textId="67C90CF3" w:rsidR="00E30E6F" w:rsidRPr="00E30E6F" w:rsidRDefault="00E30E6F" w:rsidP="00E30E6F">
      <w:pPr>
        <w:tabs>
          <w:tab w:val="left" w:pos="540"/>
          <w:tab w:val="left" w:pos="567"/>
        </w:tabs>
        <w:jc w:val="both"/>
        <w:rPr>
          <w:bCs/>
          <w:sz w:val="22"/>
          <w:szCs w:val="22"/>
          <w:lang w:val="hr-HR"/>
        </w:rPr>
      </w:pPr>
      <w:r w:rsidRPr="00E30E6F">
        <w:rPr>
          <w:bCs/>
          <w:sz w:val="22"/>
          <w:szCs w:val="22"/>
          <w:lang w:val="hr-HR"/>
        </w:rPr>
        <w:t>Ključni krajnji parametri praćenja efikasnost kod pacijenata l</w:t>
      </w:r>
      <w:r>
        <w:rPr>
          <w:bCs/>
          <w:sz w:val="22"/>
          <w:szCs w:val="22"/>
          <w:lang w:val="hr-HR"/>
        </w:rPr>
        <w:t>ij</w:t>
      </w:r>
      <w:r w:rsidRPr="00E30E6F">
        <w:rPr>
          <w:bCs/>
          <w:sz w:val="22"/>
          <w:szCs w:val="22"/>
          <w:lang w:val="hr-HR"/>
        </w:rPr>
        <w:t>ečenih l</w:t>
      </w:r>
      <w:r>
        <w:rPr>
          <w:bCs/>
          <w:sz w:val="22"/>
          <w:szCs w:val="22"/>
          <w:lang w:val="hr-HR"/>
        </w:rPr>
        <w:t>ij</w:t>
      </w:r>
      <w:r w:rsidRPr="00E30E6F">
        <w:rPr>
          <w:bCs/>
          <w:sz w:val="22"/>
          <w:szCs w:val="22"/>
          <w:lang w:val="hr-HR"/>
        </w:rPr>
        <w:t>ekom Evrysdi prikazani su u Tabelama 5 i 6 i na Slici 5.</w:t>
      </w:r>
    </w:p>
    <w:p w14:paraId="4AD527BB" w14:textId="77777777" w:rsidR="00E30E6F" w:rsidRPr="00E30E6F" w:rsidRDefault="00E30E6F" w:rsidP="00E30E6F">
      <w:pPr>
        <w:tabs>
          <w:tab w:val="left" w:pos="540"/>
          <w:tab w:val="left" w:pos="567"/>
        </w:tabs>
        <w:jc w:val="both"/>
        <w:rPr>
          <w:bCs/>
          <w:sz w:val="22"/>
          <w:szCs w:val="22"/>
          <w:lang w:val="hr-HR"/>
        </w:rPr>
      </w:pPr>
    </w:p>
    <w:p w14:paraId="4923BE33" w14:textId="40C860B8" w:rsidR="00740B8C" w:rsidRPr="00E30E6F" w:rsidRDefault="00E30E6F" w:rsidP="00E30E6F">
      <w:pPr>
        <w:tabs>
          <w:tab w:val="left" w:pos="540"/>
          <w:tab w:val="left" w:pos="567"/>
        </w:tabs>
        <w:jc w:val="both"/>
        <w:rPr>
          <w:b/>
          <w:bCs/>
          <w:sz w:val="22"/>
          <w:szCs w:val="22"/>
          <w:lang w:val="hr-HR"/>
        </w:rPr>
      </w:pPr>
      <w:r w:rsidRPr="00E30E6F">
        <w:rPr>
          <w:b/>
          <w:bCs/>
          <w:sz w:val="22"/>
          <w:szCs w:val="22"/>
          <w:lang w:val="hr-HR"/>
        </w:rPr>
        <w:t>Tabela 5. Sposobnost sjedenja definisana 22. stavkom BSID</w:t>
      </w:r>
      <w:r w:rsidRPr="00E30E6F">
        <w:rPr>
          <w:b/>
          <w:bCs/>
          <w:sz w:val="22"/>
          <w:szCs w:val="22"/>
          <w:lang w:val="hr-HR"/>
        </w:rPr>
        <w:noBreakHyphen/>
        <w:t xml:space="preserve">III </w:t>
      </w:r>
      <w:r>
        <w:rPr>
          <w:b/>
          <w:bCs/>
          <w:sz w:val="22"/>
          <w:szCs w:val="22"/>
          <w:lang w:val="hr-HR"/>
        </w:rPr>
        <w:t>skale</w:t>
      </w:r>
      <w:r w:rsidRPr="00E30E6F">
        <w:rPr>
          <w:b/>
          <w:bCs/>
          <w:sz w:val="22"/>
          <w:szCs w:val="22"/>
          <w:lang w:val="hr-HR"/>
        </w:rPr>
        <w:t xml:space="preserve"> kod predsimptomatskih pacijenata nakon 12 mjeseci</w:t>
      </w:r>
    </w:p>
    <w:p w14:paraId="2F397602" w14:textId="64ACDB96" w:rsidR="00E30E6F" w:rsidRPr="00E30E6F" w:rsidRDefault="00E30E6F" w:rsidP="00E30E6F">
      <w:pPr>
        <w:tabs>
          <w:tab w:val="left" w:pos="540"/>
          <w:tab w:val="left" w:pos="567"/>
        </w:tabs>
        <w:jc w:val="both"/>
        <w:rPr>
          <w:b/>
          <w:bCs/>
          <w:sz w:val="22"/>
          <w:szCs w:val="22"/>
          <w:lang w:val="hr-HR"/>
        </w:rPr>
      </w:pPr>
    </w:p>
    <w:tbl>
      <w:tblPr>
        <w:tblStyle w:val="TableGrid"/>
        <w:tblW w:w="9160" w:type="dxa"/>
        <w:tblInd w:w="15" w:type="dxa"/>
        <w:tblLook w:val="04A0" w:firstRow="1" w:lastRow="0" w:firstColumn="1" w:lastColumn="0" w:noHBand="0" w:noVBand="1"/>
      </w:tblPr>
      <w:tblGrid>
        <w:gridCol w:w="3130"/>
        <w:gridCol w:w="2160"/>
        <w:gridCol w:w="1890"/>
        <w:gridCol w:w="1980"/>
      </w:tblGrid>
      <w:tr w:rsidR="00E30E6F" w:rsidRPr="00E30E6F" w14:paraId="394B7D86" w14:textId="77777777" w:rsidTr="00E820E5">
        <w:trPr>
          <w:trHeight w:val="50"/>
        </w:trPr>
        <w:tc>
          <w:tcPr>
            <w:tcW w:w="3130" w:type="dxa"/>
          </w:tcPr>
          <w:p w14:paraId="6FC25A58" w14:textId="77777777" w:rsidR="00E30E6F" w:rsidRPr="00E820E5" w:rsidRDefault="00E30E6F" w:rsidP="00E30E6F">
            <w:pPr>
              <w:rPr>
                <w:b/>
                <w:bCs/>
                <w:sz w:val="22"/>
                <w:szCs w:val="22"/>
                <w:lang w:val="hr-HR"/>
              </w:rPr>
            </w:pPr>
            <w:r w:rsidRPr="00E820E5">
              <w:rPr>
                <w:b/>
                <w:bCs/>
                <w:sz w:val="22"/>
                <w:szCs w:val="22"/>
                <w:lang w:val="hr-HR"/>
              </w:rPr>
              <w:t>Parametar praćenja efikasnost</w:t>
            </w:r>
          </w:p>
        </w:tc>
        <w:tc>
          <w:tcPr>
            <w:tcW w:w="6030" w:type="dxa"/>
            <w:gridSpan w:val="3"/>
          </w:tcPr>
          <w:p w14:paraId="0E10E5C5" w14:textId="77777777" w:rsidR="00E30E6F" w:rsidRPr="00E820E5" w:rsidRDefault="00E30E6F" w:rsidP="00E30E6F">
            <w:pPr>
              <w:rPr>
                <w:b/>
                <w:bCs/>
                <w:sz w:val="22"/>
                <w:szCs w:val="22"/>
                <w:lang w:val="hr-HR"/>
              </w:rPr>
            </w:pPr>
            <w:r w:rsidRPr="00E820E5">
              <w:rPr>
                <w:b/>
                <w:bCs/>
                <w:sz w:val="22"/>
                <w:szCs w:val="22"/>
                <w:lang w:val="hr-HR"/>
              </w:rPr>
              <w:t>Populacija</w:t>
            </w:r>
          </w:p>
        </w:tc>
      </w:tr>
      <w:tr w:rsidR="00E30E6F" w:rsidRPr="00E30E6F" w14:paraId="5744E550" w14:textId="77777777" w:rsidTr="00E820E5">
        <w:tc>
          <w:tcPr>
            <w:tcW w:w="3130" w:type="dxa"/>
          </w:tcPr>
          <w:p w14:paraId="201B580C" w14:textId="77777777" w:rsidR="00E30E6F" w:rsidRPr="00E820E5" w:rsidRDefault="00E30E6F" w:rsidP="00E30E6F">
            <w:pPr>
              <w:rPr>
                <w:b/>
                <w:bCs/>
                <w:sz w:val="22"/>
                <w:szCs w:val="22"/>
                <w:lang w:val="hr-HR"/>
              </w:rPr>
            </w:pPr>
          </w:p>
        </w:tc>
        <w:tc>
          <w:tcPr>
            <w:tcW w:w="2160" w:type="dxa"/>
          </w:tcPr>
          <w:p w14:paraId="540D7A15" w14:textId="7E134125" w:rsidR="00E30E6F" w:rsidRPr="00E820E5" w:rsidRDefault="00E30E6F" w:rsidP="00E30E6F">
            <w:pPr>
              <w:rPr>
                <w:b/>
                <w:bCs/>
                <w:sz w:val="22"/>
                <w:szCs w:val="22"/>
                <w:lang w:val="hr-HR"/>
              </w:rPr>
            </w:pPr>
            <w:r w:rsidRPr="00E820E5">
              <w:rPr>
                <w:b/>
                <w:bCs/>
                <w:sz w:val="22"/>
                <w:szCs w:val="22"/>
                <w:lang w:val="hr-HR"/>
              </w:rPr>
              <w:t>Primarna ocjena efikasnosti (N = 5)</w:t>
            </w:r>
          </w:p>
        </w:tc>
        <w:tc>
          <w:tcPr>
            <w:tcW w:w="1890" w:type="dxa"/>
          </w:tcPr>
          <w:p w14:paraId="24115A89" w14:textId="77777777" w:rsidR="00E30E6F" w:rsidRPr="00E820E5" w:rsidRDefault="00E30E6F" w:rsidP="00E30E6F">
            <w:pPr>
              <w:rPr>
                <w:b/>
                <w:bCs/>
                <w:sz w:val="22"/>
                <w:szCs w:val="22"/>
                <w:lang w:val="hr-HR"/>
              </w:rPr>
            </w:pPr>
            <w:r w:rsidRPr="00E820E5">
              <w:rPr>
                <w:b/>
                <w:bCs/>
                <w:sz w:val="22"/>
                <w:szCs w:val="22"/>
                <w:lang w:val="hr-HR"/>
              </w:rPr>
              <w:t xml:space="preserve">Pacijenti sa 2 kopije gena SMN2a </w:t>
            </w:r>
          </w:p>
          <w:p w14:paraId="48CB0A9E" w14:textId="77777777" w:rsidR="00E30E6F" w:rsidRPr="00E820E5" w:rsidRDefault="00E30E6F" w:rsidP="00E30E6F">
            <w:pPr>
              <w:rPr>
                <w:b/>
                <w:bCs/>
                <w:sz w:val="22"/>
                <w:szCs w:val="22"/>
                <w:lang w:val="hr-HR"/>
              </w:rPr>
            </w:pPr>
            <w:r w:rsidRPr="00E820E5">
              <w:rPr>
                <w:b/>
                <w:bCs/>
                <w:sz w:val="22"/>
                <w:szCs w:val="22"/>
                <w:lang w:val="hr-HR"/>
              </w:rPr>
              <w:t>(N = 8)</w:t>
            </w:r>
          </w:p>
        </w:tc>
        <w:tc>
          <w:tcPr>
            <w:tcW w:w="1980" w:type="dxa"/>
          </w:tcPr>
          <w:p w14:paraId="306328DD" w14:textId="77777777" w:rsidR="00E30E6F" w:rsidRPr="00E820E5" w:rsidRDefault="00E30E6F" w:rsidP="00E30E6F">
            <w:pPr>
              <w:rPr>
                <w:b/>
                <w:bCs/>
                <w:sz w:val="22"/>
                <w:szCs w:val="22"/>
                <w:lang w:val="hr-HR"/>
              </w:rPr>
            </w:pPr>
            <w:r w:rsidRPr="00E820E5">
              <w:rPr>
                <w:b/>
                <w:bCs/>
                <w:sz w:val="22"/>
                <w:szCs w:val="22"/>
                <w:lang w:val="hr-HR"/>
              </w:rPr>
              <w:t>ITT populacija</w:t>
            </w:r>
          </w:p>
          <w:p w14:paraId="67237B7A" w14:textId="77777777" w:rsidR="00E30E6F" w:rsidRPr="00E820E5" w:rsidRDefault="00E30E6F" w:rsidP="00E30E6F">
            <w:pPr>
              <w:rPr>
                <w:b/>
                <w:bCs/>
                <w:sz w:val="22"/>
                <w:szCs w:val="22"/>
                <w:lang w:val="hr-HR"/>
              </w:rPr>
            </w:pPr>
            <w:r w:rsidRPr="00E820E5">
              <w:rPr>
                <w:b/>
                <w:bCs/>
                <w:sz w:val="22"/>
                <w:szCs w:val="22"/>
                <w:lang w:val="hr-HR"/>
              </w:rPr>
              <w:t>(N = 26)</w:t>
            </w:r>
          </w:p>
        </w:tc>
      </w:tr>
      <w:tr w:rsidR="00E30E6F" w:rsidRPr="00E30E6F" w14:paraId="2AB3864F" w14:textId="77777777" w:rsidTr="00E820E5">
        <w:tc>
          <w:tcPr>
            <w:tcW w:w="3130" w:type="dxa"/>
          </w:tcPr>
          <w:p w14:paraId="091E20C8" w14:textId="61330DA1" w:rsidR="00E30E6F" w:rsidRPr="00E820E5" w:rsidRDefault="00E30E6F">
            <w:pPr>
              <w:rPr>
                <w:b/>
                <w:bCs/>
                <w:sz w:val="22"/>
                <w:szCs w:val="22"/>
                <w:lang w:val="hr-HR"/>
              </w:rPr>
            </w:pPr>
            <w:r w:rsidRPr="00E820E5">
              <w:rPr>
                <w:b/>
                <w:bCs/>
                <w:sz w:val="22"/>
                <w:szCs w:val="22"/>
                <w:lang w:val="hr-HR"/>
              </w:rPr>
              <w:t>Udio pacijenata koji sjede bez potpore tokom najmanje 5 sekundi (22. stavka BSID</w:t>
            </w:r>
            <w:r w:rsidRPr="00E820E5">
              <w:rPr>
                <w:b/>
                <w:bCs/>
                <w:sz w:val="22"/>
                <w:szCs w:val="22"/>
                <w:lang w:val="hr-HR"/>
              </w:rPr>
              <w:noBreakHyphen/>
              <w:t xml:space="preserve">III </w:t>
            </w:r>
            <w:r>
              <w:rPr>
                <w:b/>
                <w:bCs/>
                <w:sz w:val="22"/>
                <w:szCs w:val="22"/>
                <w:lang w:val="hr-HR"/>
              </w:rPr>
              <w:t>skal</w:t>
            </w:r>
            <w:r w:rsidRPr="00E820E5">
              <w:rPr>
                <w:b/>
                <w:bCs/>
                <w:sz w:val="22"/>
                <w:szCs w:val="22"/>
                <w:lang w:val="hr-HR"/>
              </w:rPr>
              <w:t>e); (90 % CI)</w:t>
            </w:r>
          </w:p>
        </w:tc>
        <w:tc>
          <w:tcPr>
            <w:tcW w:w="2160" w:type="dxa"/>
          </w:tcPr>
          <w:p w14:paraId="63DC4FA7" w14:textId="77777777" w:rsidR="00E30E6F" w:rsidRPr="00E820E5" w:rsidRDefault="00E30E6F" w:rsidP="00E30E6F">
            <w:pPr>
              <w:rPr>
                <w:b/>
                <w:bCs/>
                <w:sz w:val="22"/>
                <w:szCs w:val="22"/>
                <w:lang w:val="hr-HR"/>
              </w:rPr>
            </w:pPr>
            <w:r w:rsidRPr="00E820E5">
              <w:rPr>
                <w:b/>
                <w:bCs/>
                <w:sz w:val="22"/>
                <w:szCs w:val="22"/>
                <w:lang w:val="hr-HR"/>
              </w:rPr>
              <w:t xml:space="preserve">80 % </w:t>
            </w:r>
          </w:p>
          <w:p w14:paraId="15E89FF3" w14:textId="77777777" w:rsidR="00E30E6F" w:rsidRPr="00E820E5" w:rsidRDefault="00E30E6F" w:rsidP="00E30E6F">
            <w:pPr>
              <w:rPr>
                <w:b/>
                <w:bCs/>
                <w:sz w:val="22"/>
                <w:szCs w:val="22"/>
                <w:lang w:val="hr-HR"/>
              </w:rPr>
            </w:pPr>
            <w:r w:rsidRPr="00E820E5">
              <w:rPr>
                <w:b/>
                <w:bCs/>
                <w:sz w:val="22"/>
                <w:szCs w:val="22"/>
                <w:lang w:val="hr-HR"/>
              </w:rPr>
              <w:t>(34,3 %; 99,0 %)</w:t>
            </w:r>
            <w:r w:rsidRPr="00E820E5">
              <w:rPr>
                <w:b/>
                <w:bCs/>
                <w:sz w:val="22"/>
                <w:szCs w:val="22"/>
                <w:lang w:val="hr-HR"/>
              </w:rPr>
              <w:br/>
              <w:t>p </w:t>
            </w:r>
            <w:r w:rsidRPr="00E820E5">
              <w:rPr>
                <w:b/>
                <w:bCs/>
                <w:sz w:val="22"/>
                <w:szCs w:val="22"/>
                <w:lang w:val="hr-HR"/>
              </w:rPr>
              <w:sym w:font="Symbol" w:char="F03C"/>
            </w:r>
            <w:r w:rsidRPr="00E820E5">
              <w:rPr>
                <w:b/>
                <w:bCs/>
                <w:sz w:val="22"/>
                <w:szCs w:val="22"/>
                <w:lang w:val="hr-HR"/>
              </w:rPr>
              <w:t> 0,0001b</w:t>
            </w:r>
          </w:p>
        </w:tc>
        <w:tc>
          <w:tcPr>
            <w:tcW w:w="1890" w:type="dxa"/>
          </w:tcPr>
          <w:p w14:paraId="184CDE6F" w14:textId="77777777" w:rsidR="00E30E6F" w:rsidRPr="00E820E5" w:rsidRDefault="00E30E6F" w:rsidP="00E30E6F">
            <w:pPr>
              <w:rPr>
                <w:b/>
                <w:bCs/>
                <w:sz w:val="22"/>
                <w:szCs w:val="22"/>
                <w:lang w:val="hr-HR"/>
              </w:rPr>
            </w:pPr>
            <w:r w:rsidRPr="00E820E5">
              <w:rPr>
                <w:b/>
                <w:bCs/>
                <w:sz w:val="22"/>
                <w:szCs w:val="22"/>
                <w:lang w:val="hr-HR"/>
              </w:rPr>
              <w:t xml:space="preserve">87,5 % </w:t>
            </w:r>
          </w:p>
          <w:p w14:paraId="57FE01CB" w14:textId="77777777" w:rsidR="00E30E6F" w:rsidRPr="00E820E5" w:rsidRDefault="00E30E6F" w:rsidP="00E30E6F">
            <w:pPr>
              <w:rPr>
                <w:b/>
                <w:bCs/>
                <w:sz w:val="22"/>
                <w:szCs w:val="22"/>
                <w:lang w:val="hr-HR"/>
              </w:rPr>
            </w:pPr>
            <w:r w:rsidRPr="00E820E5">
              <w:rPr>
                <w:b/>
                <w:bCs/>
                <w:sz w:val="22"/>
                <w:szCs w:val="22"/>
                <w:lang w:val="hr-HR"/>
              </w:rPr>
              <w:t>(52,9 %; 99,4 %)</w:t>
            </w:r>
          </w:p>
          <w:p w14:paraId="4697AECC" w14:textId="77777777" w:rsidR="00E30E6F" w:rsidRPr="00E820E5" w:rsidRDefault="00E30E6F" w:rsidP="00E30E6F">
            <w:pPr>
              <w:rPr>
                <w:b/>
                <w:bCs/>
                <w:sz w:val="22"/>
                <w:szCs w:val="22"/>
                <w:lang w:val="hr-HR"/>
              </w:rPr>
            </w:pPr>
          </w:p>
        </w:tc>
        <w:tc>
          <w:tcPr>
            <w:tcW w:w="1980" w:type="dxa"/>
          </w:tcPr>
          <w:p w14:paraId="4419B116" w14:textId="77777777" w:rsidR="00E30E6F" w:rsidRPr="00E820E5" w:rsidRDefault="00E30E6F" w:rsidP="00E30E6F">
            <w:pPr>
              <w:rPr>
                <w:b/>
                <w:bCs/>
                <w:sz w:val="22"/>
                <w:szCs w:val="22"/>
                <w:lang w:val="hr-HR"/>
              </w:rPr>
            </w:pPr>
            <w:r w:rsidRPr="00E820E5">
              <w:rPr>
                <w:b/>
                <w:bCs/>
                <w:sz w:val="22"/>
                <w:szCs w:val="22"/>
                <w:lang w:val="hr-HR"/>
              </w:rPr>
              <w:t>96,2 %</w:t>
            </w:r>
          </w:p>
          <w:p w14:paraId="28AB5ED4" w14:textId="77777777" w:rsidR="00E30E6F" w:rsidRPr="00E820E5" w:rsidRDefault="00E30E6F" w:rsidP="00E30E6F">
            <w:pPr>
              <w:rPr>
                <w:b/>
                <w:bCs/>
                <w:sz w:val="22"/>
                <w:szCs w:val="22"/>
                <w:lang w:val="hr-HR"/>
              </w:rPr>
            </w:pPr>
            <w:r w:rsidRPr="00E820E5">
              <w:rPr>
                <w:b/>
                <w:bCs/>
                <w:sz w:val="22"/>
                <w:szCs w:val="22"/>
                <w:lang w:val="hr-HR"/>
              </w:rPr>
              <w:t>(83,0 %; 99,8 %)</w:t>
            </w:r>
          </w:p>
          <w:p w14:paraId="5161A994" w14:textId="77777777" w:rsidR="00E30E6F" w:rsidRPr="00E820E5" w:rsidRDefault="00E30E6F" w:rsidP="00E30E6F">
            <w:pPr>
              <w:rPr>
                <w:b/>
                <w:bCs/>
                <w:sz w:val="22"/>
                <w:szCs w:val="22"/>
                <w:lang w:val="hr-HR"/>
              </w:rPr>
            </w:pPr>
          </w:p>
        </w:tc>
      </w:tr>
    </w:tbl>
    <w:p w14:paraId="3A618FC1" w14:textId="5440CA18" w:rsidR="00E30E6F" w:rsidRPr="00F526D1" w:rsidRDefault="00E30E6F" w:rsidP="00E30E6F">
      <w:pPr>
        <w:keepNext/>
        <w:keepLines/>
        <w:spacing w:before="40"/>
        <w:ind w:left="29"/>
        <w:rPr>
          <w:rFonts w:eastAsia="SimSun"/>
          <w:sz w:val="18"/>
          <w:szCs w:val="18"/>
          <w:lang w:val="hr-HR" w:eastAsia="zh-CN"/>
        </w:rPr>
      </w:pPr>
      <w:r>
        <w:rPr>
          <w:rFonts w:eastAsia="SimSun"/>
          <w:sz w:val="18"/>
          <w:szCs w:val="18"/>
          <w:lang w:val="hr-HR" w:eastAsia="zh-CN"/>
        </w:rPr>
        <w:t>Skraćenice</w:t>
      </w:r>
      <w:r w:rsidRPr="00F526D1">
        <w:rPr>
          <w:rFonts w:eastAsia="SimSun"/>
          <w:sz w:val="18"/>
          <w:szCs w:val="18"/>
          <w:lang w:val="hr-HR" w:eastAsia="zh-CN"/>
        </w:rPr>
        <w:t xml:space="preserve">: BSID-III = treće izdanje Bayleyevih </w:t>
      </w:r>
      <w:r>
        <w:rPr>
          <w:rFonts w:eastAsia="SimSun"/>
          <w:sz w:val="18"/>
          <w:szCs w:val="18"/>
          <w:lang w:val="hr-HR" w:eastAsia="zh-CN"/>
        </w:rPr>
        <w:t>skal</w:t>
      </w:r>
      <w:r w:rsidR="00CB7560">
        <w:rPr>
          <w:rFonts w:eastAsia="SimSun"/>
          <w:sz w:val="18"/>
          <w:szCs w:val="18"/>
          <w:lang w:val="hr-HR" w:eastAsia="zh-CN"/>
        </w:rPr>
        <w:t>a</w:t>
      </w:r>
      <w:r w:rsidRPr="00F526D1">
        <w:rPr>
          <w:rFonts w:eastAsia="SimSun"/>
          <w:sz w:val="18"/>
          <w:szCs w:val="18"/>
          <w:lang w:val="hr-HR" w:eastAsia="zh-CN"/>
        </w:rPr>
        <w:t xml:space="preserve"> za </w:t>
      </w:r>
      <w:r>
        <w:rPr>
          <w:rFonts w:eastAsia="SimSun"/>
          <w:sz w:val="18"/>
          <w:szCs w:val="18"/>
          <w:lang w:val="hr-HR" w:eastAsia="zh-CN"/>
        </w:rPr>
        <w:t>pr</w:t>
      </w:r>
      <w:r w:rsidRPr="00F526D1">
        <w:rPr>
          <w:rFonts w:eastAsia="SimSun"/>
          <w:sz w:val="18"/>
          <w:szCs w:val="18"/>
          <w:lang w:val="hr-HR" w:eastAsia="zh-CN"/>
        </w:rPr>
        <w:t>oc</w:t>
      </w:r>
      <w:r>
        <w:rPr>
          <w:rFonts w:eastAsia="SimSun"/>
          <w:sz w:val="18"/>
          <w:szCs w:val="18"/>
          <w:lang w:val="hr-HR" w:eastAsia="zh-CN"/>
        </w:rPr>
        <w:t>j</w:t>
      </w:r>
      <w:r w:rsidRPr="00F526D1">
        <w:rPr>
          <w:rFonts w:eastAsia="SimSun"/>
          <w:sz w:val="18"/>
          <w:szCs w:val="18"/>
          <w:lang w:val="hr-HR" w:eastAsia="zh-CN"/>
        </w:rPr>
        <w:t xml:space="preserve">enu razvoja </w:t>
      </w:r>
      <w:r>
        <w:rPr>
          <w:rFonts w:eastAsia="SimSun"/>
          <w:sz w:val="18"/>
          <w:szCs w:val="18"/>
          <w:lang w:val="hr-HR" w:eastAsia="zh-CN"/>
        </w:rPr>
        <w:t>o</w:t>
      </w:r>
      <w:r w:rsidRPr="00F526D1">
        <w:rPr>
          <w:rFonts w:eastAsia="SimSun"/>
          <w:sz w:val="18"/>
          <w:szCs w:val="18"/>
          <w:lang w:val="hr-HR" w:eastAsia="zh-CN"/>
        </w:rPr>
        <w:t>do</w:t>
      </w:r>
      <w:r>
        <w:rPr>
          <w:rFonts w:eastAsia="SimSun"/>
          <w:sz w:val="18"/>
          <w:szCs w:val="18"/>
          <w:lang w:val="hr-HR" w:eastAsia="zh-CN"/>
        </w:rPr>
        <w:t>j</w:t>
      </w:r>
      <w:r w:rsidRPr="00F526D1">
        <w:rPr>
          <w:rFonts w:eastAsia="SimSun"/>
          <w:sz w:val="18"/>
          <w:szCs w:val="18"/>
          <w:lang w:val="hr-HR" w:eastAsia="zh-CN"/>
        </w:rPr>
        <w:t>čadi i male d</w:t>
      </w:r>
      <w:r>
        <w:rPr>
          <w:rFonts w:eastAsia="SimSun"/>
          <w:sz w:val="18"/>
          <w:szCs w:val="18"/>
          <w:lang w:val="hr-HR" w:eastAsia="zh-CN"/>
        </w:rPr>
        <w:t>j</w:t>
      </w:r>
      <w:r w:rsidRPr="00F526D1">
        <w:rPr>
          <w:rFonts w:eastAsia="SimSun"/>
          <w:sz w:val="18"/>
          <w:szCs w:val="18"/>
          <w:lang w:val="hr-HR" w:eastAsia="zh-CN"/>
        </w:rPr>
        <w:t>ece; CI = interval pouzdanosti; ITT =</w:t>
      </w:r>
      <w:r>
        <w:rPr>
          <w:rFonts w:eastAsia="SimSun"/>
          <w:sz w:val="18"/>
          <w:szCs w:val="18"/>
          <w:lang w:val="hr-HR" w:eastAsia="zh-CN"/>
        </w:rPr>
        <w:t> populacija predviđena za lij</w:t>
      </w:r>
      <w:r w:rsidRPr="00F526D1">
        <w:rPr>
          <w:rFonts w:eastAsia="SimSun"/>
          <w:sz w:val="18"/>
          <w:szCs w:val="18"/>
          <w:lang w:val="hr-HR" w:eastAsia="zh-CN"/>
        </w:rPr>
        <w:t>ečenje.</w:t>
      </w:r>
    </w:p>
    <w:p w14:paraId="4BD4A94B" w14:textId="77777777" w:rsidR="00E30E6F" w:rsidRPr="00F526D1" w:rsidRDefault="00E30E6F" w:rsidP="00E30E6F">
      <w:pPr>
        <w:keepNext/>
        <w:keepLines/>
        <w:rPr>
          <w:sz w:val="18"/>
          <w:szCs w:val="18"/>
          <w:lang w:val="hr-HR"/>
        </w:rPr>
      </w:pPr>
      <w:r w:rsidRPr="00F526D1">
        <w:rPr>
          <w:sz w:val="18"/>
          <w:szCs w:val="18"/>
          <w:vertAlign w:val="superscript"/>
          <w:lang w:val="hr-HR"/>
        </w:rPr>
        <w:t>a</w:t>
      </w:r>
      <w:r w:rsidRPr="00F526D1">
        <w:rPr>
          <w:sz w:val="18"/>
          <w:szCs w:val="18"/>
          <w:lang w:val="hr-HR"/>
        </w:rPr>
        <w:t xml:space="preserve"> </w:t>
      </w:r>
      <w:r>
        <w:rPr>
          <w:sz w:val="18"/>
          <w:szCs w:val="18"/>
          <w:lang w:val="hr-HR"/>
        </w:rPr>
        <w:t>Kod pacijenata</w:t>
      </w:r>
      <w:r w:rsidRPr="00F526D1">
        <w:rPr>
          <w:sz w:val="18"/>
          <w:szCs w:val="18"/>
          <w:lang w:val="hr-HR"/>
        </w:rPr>
        <w:t xml:space="preserve"> s</w:t>
      </w:r>
      <w:r>
        <w:rPr>
          <w:sz w:val="18"/>
          <w:szCs w:val="18"/>
          <w:lang w:val="hr-HR"/>
        </w:rPr>
        <w:t>a</w:t>
      </w:r>
      <w:r w:rsidRPr="00F526D1">
        <w:rPr>
          <w:sz w:val="18"/>
          <w:szCs w:val="18"/>
          <w:lang w:val="hr-HR"/>
        </w:rPr>
        <w:t xml:space="preserve"> 2 kopije gena </w:t>
      </w:r>
      <w:r w:rsidRPr="00F526D1">
        <w:rPr>
          <w:i/>
          <w:iCs/>
          <w:sz w:val="18"/>
          <w:szCs w:val="18"/>
          <w:lang w:val="hr-HR"/>
        </w:rPr>
        <w:t>SMN2</w:t>
      </w:r>
      <w:r w:rsidRPr="00F526D1">
        <w:rPr>
          <w:sz w:val="18"/>
          <w:szCs w:val="18"/>
          <w:lang w:val="hr-HR"/>
        </w:rPr>
        <w:t xml:space="preserve"> medijan</w:t>
      </w:r>
      <w:r>
        <w:rPr>
          <w:sz w:val="18"/>
          <w:szCs w:val="18"/>
          <w:lang w:val="hr-HR"/>
        </w:rPr>
        <w:t>a</w:t>
      </w:r>
      <w:r w:rsidRPr="00F526D1">
        <w:rPr>
          <w:sz w:val="18"/>
          <w:szCs w:val="18"/>
          <w:lang w:val="hr-HR"/>
        </w:rPr>
        <w:t xml:space="preserve"> amplitude CMAP</w:t>
      </w:r>
      <w:r w:rsidRPr="00F526D1">
        <w:rPr>
          <w:sz w:val="18"/>
          <w:szCs w:val="18"/>
          <w:lang w:val="hr-HR"/>
        </w:rPr>
        <w:noBreakHyphen/>
        <w:t xml:space="preserve">a na početku </w:t>
      </w:r>
      <w:r>
        <w:rPr>
          <w:sz w:val="18"/>
          <w:szCs w:val="18"/>
          <w:lang w:val="hr-HR"/>
        </w:rPr>
        <w:t>studije</w:t>
      </w:r>
      <w:r w:rsidRPr="00F526D1">
        <w:rPr>
          <w:sz w:val="18"/>
          <w:szCs w:val="18"/>
          <w:lang w:val="hr-HR"/>
        </w:rPr>
        <w:t xml:space="preserve"> iznosi</w:t>
      </w:r>
      <w:r>
        <w:rPr>
          <w:sz w:val="18"/>
          <w:szCs w:val="18"/>
          <w:lang w:val="hr-HR"/>
        </w:rPr>
        <w:t>la</w:t>
      </w:r>
      <w:r w:rsidRPr="00F526D1">
        <w:rPr>
          <w:sz w:val="18"/>
          <w:szCs w:val="18"/>
          <w:lang w:val="hr-HR"/>
        </w:rPr>
        <w:t xml:space="preserve"> je 2,0 (raspon: 0,5 – 3,8). </w:t>
      </w:r>
    </w:p>
    <w:p w14:paraId="386F7558" w14:textId="0144DD1C" w:rsidR="00E30E6F" w:rsidRPr="00F526D1" w:rsidRDefault="00E30E6F" w:rsidP="00E30E6F">
      <w:pPr>
        <w:keepNext/>
        <w:keepLines/>
        <w:rPr>
          <w:sz w:val="18"/>
          <w:szCs w:val="18"/>
          <w:lang w:val="hr-HR"/>
        </w:rPr>
      </w:pPr>
      <w:r w:rsidRPr="00F526D1">
        <w:rPr>
          <w:sz w:val="18"/>
          <w:szCs w:val="18"/>
          <w:vertAlign w:val="superscript"/>
          <w:lang w:val="hr-HR"/>
        </w:rPr>
        <w:t>b</w:t>
      </w:r>
      <w:r w:rsidRPr="00F526D1">
        <w:rPr>
          <w:sz w:val="18"/>
          <w:szCs w:val="18"/>
          <w:lang w:val="hr-HR"/>
        </w:rPr>
        <w:t xml:space="preserve"> p</w:t>
      </w:r>
      <w:r w:rsidRPr="00F526D1">
        <w:rPr>
          <w:sz w:val="18"/>
          <w:szCs w:val="18"/>
          <w:lang w:val="hr-HR"/>
        </w:rPr>
        <w:noBreakHyphen/>
      </w:r>
      <w:r>
        <w:rPr>
          <w:sz w:val="18"/>
          <w:szCs w:val="18"/>
          <w:lang w:val="hr-HR"/>
        </w:rPr>
        <w:t>vr</w:t>
      </w:r>
      <w:r w:rsidR="00CB7560">
        <w:rPr>
          <w:sz w:val="18"/>
          <w:szCs w:val="18"/>
          <w:lang w:val="hr-HR"/>
        </w:rPr>
        <w:t>ij</w:t>
      </w:r>
      <w:r w:rsidRPr="00F526D1">
        <w:rPr>
          <w:sz w:val="18"/>
          <w:szCs w:val="18"/>
          <w:lang w:val="hr-HR"/>
        </w:rPr>
        <w:t>ednost temelji se na jednostranom egzaktnom binomnom testu. Rezultat se upoređuje s pragom od 5 %.</w:t>
      </w:r>
    </w:p>
    <w:p w14:paraId="26F5754E" w14:textId="77777777" w:rsidR="00E30E6F" w:rsidRPr="00F526D1" w:rsidRDefault="00E30E6F" w:rsidP="00E30E6F">
      <w:pPr>
        <w:rPr>
          <w:szCs w:val="22"/>
          <w:lang w:val="hr-HR" w:eastAsia="de-DE"/>
        </w:rPr>
      </w:pPr>
    </w:p>
    <w:p w14:paraId="31A1FDFD" w14:textId="2CB5F98D" w:rsidR="00E30E6F" w:rsidRPr="00E820E5" w:rsidRDefault="00E30E6F" w:rsidP="00E30E6F">
      <w:pPr>
        <w:rPr>
          <w:bCs/>
          <w:sz w:val="22"/>
          <w:szCs w:val="22"/>
          <w:lang w:val="hr-HR"/>
        </w:rPr>
      </w:pPr>
      <w:r w:rsidRPr="00E820E5">
        <w:rPr>
          <w:bCs/>
          <w:sz w:val="22"/>
          <w:szCs w:val="22"/>
          <w:lang w:val="hr-HR"/>
        </w:rPr>
        <w:t>Dodatno, 80 % (4/5) populacije za primarnu procjenu efikasnosti 87,5% (7/8) pacijenata sa 2 kopije gena SMN2 i 80,8 % (21/26) pacijenata iz ITT populacije steklo je sposobnost s</w:t>
      </w:r>
      <w:r>
        <w:rPr>
          <w:bCs/>
          <w:sz w:val="22"/>
          <w:szCs w:val="22"/>
          <w:lang w:val="hr-HR"/>
        </w:rPr>
        <w:t>j</w:t>
      </w:r>
      <w:r w:rsidRPr="00E820E5">
        <w:rPr>
          <w:bCs/>
          <w:sz w:val="22"/>
          <w:szCs w:val="22"/>
          <w:lang w:val="hr-HR"/>
        </w:rPr>
        <w:t>edenja bez potpore tokom 30 sekundi (26. stavka BSID</w:t>
      </w:r>
      <w:r w:rsidRPr="00E820E5">
        <w:rPr>
          <w:bCs/>
          <w:sz w:val="22"/>
          <w:szCs w:val="22"/>
          <w:lang w:val="hr-HR"/>
        </w:rPr>
        <w:noBreakHyphen/>
        <w:t xml:space="preserve">III </w:t>
      </w:r>
      <w:r>
        <w:rPr>
          <w:bCs/>
          <w:sz w:val="22"/>
          <w:szCs w:val="22"/>
          <w:lang w:val="hr-HR"/>
        </w:rPr>
        <w:t>skale</w:t>
      </w:r>
      <w:r w:rsidRPr="00E820E5">
        <w:rPr>
          <w:bCs/>
          <w:sz w:val="22"/>
          <w:szCs w:val="22"/>
          <w:lang w:val="hr-HR"/>
        </w:rPr>
        <w:t>).</w:t>
      </w:r>
    </w:p>
    <w:p w14:paraId="5670F144" w14:textId="77777777" w:rsidR="00E30E6F" w:rsidRPr="00BD2023" w:rsidRDefault="00E30E6F" w:rsidP="00E30E6F">
      <w:pPr>
        <w:tabs>
          <w:tab w:val="left" w:pos="540"/>
          <w:tab w:val="left" w:pos="567"/>
        </w:tabs>
        <w:jc w:val="both"/>
        <w:rPr>
          <w:bCs/>
          <w:sz w:val="22"/>
          <w:szCs w:val="22"/>
          <w:lang w:val="sr-Latn-ME"/>
        </w:rPr>
      </w:pPr>
    </w:p>
    <w:p w14:paraId="43806584" w14:textId="4C095CD5" w:rsidR="00E30E6F" w:rsidRDefault="00E30E6F" w:rsidP="00E30E6F">
      <w:pPr>
        <w:tabs>
          <w:tab w:val="left" w:pos="540"/>
          <w:tab w:val="left" w:pos="567"/>
        </w:tabs>
        <w:jc w:val="both"/>
        <w:rPr>
          <w:bCs/>
          <w:sz w:val="22"/>
          <w:szCs w:val="22"/>
          <w:lang w:val="hr-HR"/>
        </w:rPr>
      </w:pPr>
      <w:r w:rsidRPr="00E30E6F">
        <w:rPr>
          <w:bCs/>
          <w:sz w:val="22"/>
          <w:szCs w:val="22"/>
          <w:lang w:val="hr-HR"/>
        </w:rPr>
        <w:t>Pacijenti u ITT populaciji postigli su i ključne tačke motoričkog razvoja prema rezultatima testa HINE</w:t>
      </w:r>
      <w:r w:rsidRPr="00E30E6F">
        <w:rPr>
          <w:bCs/>
          <w:sz w:val="22"/>
          <w:szCs w:val="22"/>
          <w:lang w:val="hr-HR"/>
        </w:rPr>
        <w:noBreakHyphen/>
        <w:t>2 u 12. m</w:t>
      </w:r>
      <w:r>
        <w:rPr>
          <w:bCs/>
          <w:sz w:val="22"/>
          <w:szCs w:val="22"/>
          <w:lang w:val="hr-HR"/>
        </w:rPr>
        <w:t>j</w:t>
      </w:r>
      <w:r w:rsidRPr="00E30E6F">
        <w:rPr>
          <w:bCs/>
          <w:sz w:val="22"/>
          <w:szCs w:val="22"/>
          <w:lang w:val="hr-HR"/>
        </w:rPr>
        <w:t>esecu (N = 25). U toj populaciji 96,0 % pacijenata je moglo s</w:t>
      </w:r>
      <w:r>
        <w:rPr>
          <w:bCs/>
          <w:sz w:val="22"/>
          <w:szCs w:val="22"/>
          <w:lang w:val="hr-HR"/>
        </w:rPr>
        <w:t>j</w:t>
      </w:r>
      <w:r w:rsidRPr="00E30E6F">
        <w:rPr>
          <w:bCs/>
          <w:sz w:val="22"/>
          <w:szCs w:val="22"/>
          <w:lang w:val="hr-HR"/>
        </w:rPr>
        <w:t xml:space="preserve">edeti (1 pacijent [1/8 pacijenata sa 2 kopije gena </w:t>
      </w:r>
      <w:r w:rsidRPr="00E30E6F">
        <w:rPr>
          <w:bCs/>
          <w:i/>
          <w:iCs/>
          <w:sz w:val="22"/>
          <w:szCs w:val="22"/>
          <w:lang w:val="hr-HR"/>
        </w:rPr>
        <w:t>SMN2</w:t>
      </w:r>
      <w:r w:rsidRPr="00E30E6F">
        <w:rPr>
          <w:bCs/>
          <w:sz w:val="22"/>
          <w:szCs w:val="22"/>
          <w:lang w:val="hr-HR"/>
        </w:rPr>
        <w:t>] stekao je sposobnost stabilnog s</w:t>
      </w:r>
      <w:r>
        <w:rPr>
          <w:bCs/>
          <w:sz w:val="22"/>
          <w:szCs w:val="22"/>
          <w:lang w:val="hr-HR"/>
        </w:rPr>
        <w:t>j</w:t>
      </w:r>
      <w:r w:rsidRPr="00E30E6F">
        <w:rPr>
          <w:bCs/>
          <w:sz w:val="22"/>
          <w:szCs w:val="22"/>
          <w:lang w:val="hr-HR"/>
        </w:rPr>
        <w:t xml:space="preserve">edenja, a 23 pacijenta [6/8 pacijenata sa 2 kopije gena </w:t>
      </w:r>
      <w:r w:rsidRPr="00E30E6F">
        <w:rPr>
          <w:bCs/>
          <w:i/>
          <w:iCs/>
          <w:sz w:val="22"/>
          <w:szCs w:val="22"/>
          <w:lang w:val="hr-HR"/>
        </w:rPr>
        <w:t>SMN2</w:t>
      </w:r>
      <w:r w:rsidRPr="00E30E6F">
        <w:rPr>
          <w:bCs/>
          <w:sz w:val="22"/>
          <w:szCs w:val="22"/>
          <w:lang w:val="hr-HR"/>
        </w:rPr>
        <w:t xml:space="preserve">, 13/13 pacijenata sa 3 kopije gena </w:t>
      </w:r>
      <w:r w:rsidRPr="00E30E6F">
        <w:rPr>
          <w:bCs/>
          <w:i/>
          <w:iCs/>
          <w:sz w:val="22"/>
          <w:szCs w:val="22"/>
          <w:lang w:val="hr-HR"/>
        </w:rPr>
        <w:t>SMN2</w:t>
      </w:r>
      <w:r w:rsidRPr="00E30E6F">
        <w:rPr>
          <w:bCs/>
          <w:sz w:val="22"/>
          <w:szCs w:val="22"/>
          <w:lang w:val="hr-HR"/>
        </w:rPr>
        <w:t xml:space="preserve"> te 4/4 pacijenata sa ≥ 4 kopije gena </w:t>
      </w:r>
      <w:r w:rsidRPr="00E30E6F">
        <w:rPr>
          <w:bCs/>
          <w:i/>
          <w:iCs/>
          <w:sz w:val="22"/>
          <w:szCs w:val="22"/>
          <w:lang w:val="hr-HR"/>
        </w:rPr>
        <w:t>SMN2</w:t>
      </w:r>
      <w:r w:rsidRPr="00E30E6F">
        <w:rPr>
          <w:bCs/>
          <w:sz w:val="22"/>
          <w:szCs w:val="22"/>
          <w:lang w:val="hr-HR"/>
        </w:rPr>
        <w:t xml:space="preserve">] mogla su se okretati oko svoje ose). Osim toga, 84 % pacijenata moglo je stajati; 32 % (N = 8) pacijenata moglo je stajati uz potporu (3/8 pacijenata sa 2 kopije gena </w:t>
      </w:r>
      <w:r w:rsidRPr="00E30E6F">
        <w:rPr>
          <w:bCs/>
          <w:i/>
          <w:iCs/>
          <w:sz w:val="22"/>
          <w:szCs w:val="22"/>
          <w:lang w:val="hr-HR"/>
        </w:rPr>
        <w:t>SMN2</w:t>
      </w:r>
      <w:r w:rsidRPr="00E30E6F">
        <w:rPr>
          <w:bCs/>
          <w:sz w:val="22"/>
          <w:szCs w:val="22"/>
          <w:lang w:val="hr-HR"/>
        </w:rPr>
        <w:t xml:space="preserve">, 3/13 pacijenata sa 3 kopije gena </w:t>
      </w:r>
      <w:r w:rsidRPr="00E30E6F">
        <w:rPr>
          <w:bCs/>
          <w:i/>
          <w:iCs/>
          <w:sz w:val="22"/>
          <w:szCs w:val="22"/>
          <w:lang w:val="hr-HR"/>
        </w:rPr>
        <w:t>SMN2</w:t>
      </w:r>
      <w:r w:rsidRPr="00E30E6F">
        <w:rPr>
          <w:bCs/>
          <w:sz w:val="22"/>
          <w:szCs w:val="22"/>
          <w:lang w:val="hr-HR"/>
        </w:rPr>
        <w:t xml:space="preserve"> te 2/4 pacijenata sa ≥ 4 kopije gena </w:t>
      </w:r>
      <w:r w:rsidRPr="00E30E6F">
        <w:rPr>
          <w:bCs/>
          <w:i/>
          <w:iCs/>
          <w:sz w:val="22"/>
          <w:szCs w:val="22"/>
          <w:lang w:val="hr-HR"/>
        </w:rPr>
        <w:t>SMN2</w:t>
      </w:r>
      <w:r w:rsidRPr="00E30E6F">
        <w:rPr>
          <w:bCs/>
          <w:sz w:val="22"/>
          <w:szCs w:val="22"/>
          <w:lang w:val="hr-HR"/>
        </w:rPr>
        <w:t xml:space="preserve">), a 52 % (N = 13) pacijenata moglo je stajati bez pomoći (1/8 pacijenata sa 2 kopije gena </w:t>
      </w:r>
      <w:r w:rsidRPr="00E30E6F">
        <w:rPr>
          <w:bCs/>
          <w:i/>
          <w:iCs/>
          <w:sz w:val="22"/>
          <w:szCs w:val="22"/>
          <w:lang w:val="hr-HR"/>
        </w:rPr>
        <w:t>SMN2</w:t>
      </w:r>
      <w:r w:rsidRPr="00E30E6F">
        <w:rPr>
          <w:bCs/>
          <w:sz w:val="22"/>
          <w:szCs w:val="22"/>
          <w:lang w:val="hr-HR"/>
        </w:rPr>
        <w:t xml:space="preserve">, 10/13 pacijenata sa 3 kopije gena </w:t>
      </w:r>
      <w:r w:rsidRPr="00E30E6F">
        <w:rPr>
          <w:bCs/>
          <w:i/>
          <w:iCs/>
          <w:sz w:val="22"/>
          <w:szCs w:val="22"/>
          <w:lang w:val="hr-HR"/>
        </w:rPr>
        <w:t>SMN2</w:t>
      </w:r>
      <w:r w:rsidRPr="00E30E6F">
        <w:rPr>
          <w:bCs/>
          <w:sz w:val="22"/>
          <w:szCs w:val="22"/>
          <w:lang w:val="hr-HR"/>
        </w:rPr>
        <w:t xml:space="preserve"> te 2/4 pacijenata </w:t>
      </w:r>
      <w:r w:rsidRPr="00E30E6F">
        <w:rPr>
          <w:bCs/>
          <w:sz w:val="22"/>
          <w:szCs w:val="22"/>
          <w:lang w:val="hr-HR"/>
        </w:rPr>
        <w:lastRenderedPageBreak/>
        <w:t xml:space="preserve">sa ≥ 4 kopije gena </w:t>
      </w:r>
      <w:r w:rsidRPr="00E30E6F">
        <w:rPr>
          <w:bCs/>
          <w:i/>
          <w:iCs/>
          <w:sz w:val="22"/>
          <w:szCs w:val="22"/>
          <w:lang w:val="hr-HR"/>
        </w:rPr>
        <w:t>SMN2</w:t>
      </w:r>
      <w:r w:rsidRPr="00E30E6F">
        <w:rPr>
          <w:bCs/>
          <w:sz w:val="22"/>
          <w:szCs w:val="22"/>
          <w:lang w:val="hr-HR"/>
        </w:rPr>
        <w:t xml:space="preserve">). Nadalje, 72 % pacijenata moglo je poskakivati, hodati uz pridržavanje ili samostalno hodati; 8 % (N = 2) pacijenata moglo je poskakivati (2/8 pacijenata sa 2 kopije gena </w:t>
      </w:r>
      <w:r w:rsidRPr="00E30E6F">
        <w:rPr>
          <w:bCs/>
          <w:i/>
          <w:iCs/>
          <w:sz w:val="22"/>
          <w:szCs w:val="22"/>
          <w:lang w:val="hr-HR"/>
        </w:rPr>
        <w:t>SMN2</w:t>
      </w:r>
      <w:r w:rsidRPr="00E30E6F">
        <w:rPr>
          <w:bCs/>
          <w:sz w:val="22"/>
          <w:szCs w:val="22"/>
          <w:lang w:val="hr-HR"/>
        </w:rPr>
        <w:t xml:space="preserve">), 16 % (N = 4) moglo je hodati uz pridržavanje (3/13 pacijenata sa 3 kopije gena </w:t>
      </w:r>
      <w:r w:rsidRPr="00E30E6F">
        <w:rPr>
          <w:bCs/>
          <w:i/>
          <w:iCs/>
          <w:sz w:val="22"/>
          <w:szCs w:val="22"/>
          <w:lang w:val="hr-HR"/>
        </w:rPr>
        <w:t>SMN2</w:t>
      </w:r>
      <w:r w:rsidRPr="00E30E6F">
        <w:rPr>
          <w:bCs/>
          <w:sz w:val="22"/>
          <w:szCs w:val="22"/>
          <w:lang w:val="hr-HR"/>
        </w:rPr>
        <w:t xml:space="preserve"> i 1/4 pacijenata sa ≥ 4 kopije gena </w:t>
      </w:r>
      <w:r w:rsidRPr="00E30E6F">
        <w:rPr>
          <w:bCs/>
          <w:i/>
          <w:iCs/>
          <w:sz w:val="22"/>
          <w:szCs w:val="22"/>
          <w:lang w:val="hr-HR"/>
        </w:rPr>
        <w:t>SMN2</w:t>
      </w:r>
      <w:r w:rsidRPr="00E30E6F">
        <w:rPr>
          <w:bCs/>
          <w:sz w:val="22"/>
          <w:szCs w:val="22"/>
          <w:lang w:val="hr-HR"/>
        </w:rPr>
        <w:t xml:space="preserve">), a 48 % (N = 12) njih moglo je samostalno hodati (1/8 pacijenata sa 2 kopije gena </w:t>
      </w:r>
      <w:r w:rsidRPr="00E30E6F">
        <w:rPr>
          <w:bCs/>
          <w:i/>
          <w:iCs/>
          <w:sz w:val="22"/>
          <w:szCs w:val="22"/>
          <w:lang w:val="hr-HR"/>
        </w:rPr>
        <w:t>SMN2</w:t>
      </w:r>
      <w:r w:rsidRPr="00E30E6F">
        <w:rPr>
          <w:bCs/>
          <w:sz w:val="22"/>
          <w:szCs w:val="22"/>
          <w:lang w:val="hr-HR"/>
        </w:rPr>
        <w:t xml:space="preserve">, 9/13 pacijenata sa 3 kopije gena </w:t>
      </w:r>
      <w:r w:rsidRPr="00E30E6F">
        <w:rPr>
          <w:bCs/>
          <w:i/>
          <w:iCs/>
          <w:sz w:val="22"/>
          <w:szCs w:val="22"/>
          <w:lang w:val="hr-HR"/>
        </w:rPr>
        <w:t>SMN2</w:t>
      </w:r>
      <w:r w:rsidRPr="00E30E6F">
        <w:rPr>
          <w:bCs/>
          <w:sz w:val="22"/>
          <w:szCs w:val="22"/>
          <w:lang w:val="hr-HR"/>
        </w:rPr>
        <w:t xml:space="preserve"> te 2/4 pacijenata sa ≥ 4 kopije gena </w:t>
      </w:r>
      <w:r w:rsidRPr="00E30E6F">
        <w:rPr>
          <w:bCs/>
          <w:i/>
          <w:iCs/>
          <w:sz w:val="22"/>
          <w:szCs w:val="22"/>
          <w:lang w:val="hr-HR"/>
        </w:rPr>
        <w:t>SMN2</w:t>
      </w:r>
      <w:r w:rsidRPr="00E30E6F">
        <w:rPr>
          <w:bCs/>
          <w:sz w:val="22"/>
          <w:szCs w:val="22"/>
          <w:lang w:val="hr-HR"/>
        </w:rPr>
        <w:t>). Kod sedam pacijenata nije ispitivano hodanje nakon 12 m</w:t>
      </w:r>
      <w:r>
        <w:rPr>
          <w:bCs/>
          <w:sz w:val="22"/>
          <w:szCs w:val="22"/>
          <w:lang w:val="hr-HR"/>
        </w:rPr>
        <w:t>j</w:t>
      </w:r>
      <w:r w:rsidRPr="00E30E6F">
        <w:rPr>
          <w:bCs/>
          <w:sz w:val="22"/>
          <w:szCs w:val="22"/>
          <w:lang w:val="hr-HR"/>
        </w:rPr>
        <w:t>eseci.</w:t>
      </w:r>
    </w:p>
    <w:p w14:paraId="1E3B253B" w14:textId="39F1B303" w:rsidR="00E30E6F" w:rsidRDefault="00E30E6F" w:rsidP="00E30E6F">
      <w:pPr>
        <w:tabs>
          <w:tab w:val="left" w:pos="540"/>
          <w:tab w:val="left" w:pos="567"/>
        </w:tabs>
        <w:jc w:val="both"/>
        <w:rPr>
          <w:bCs/>
          <w:sz w:val="22"/>
          <w:szCs w:val="22"/>
          <w:lang w:val="hr-HR"/>
        </w:rPr>
      </w:pPr>
    </w:p>
    <w:tbl>
      <w:tblPr>
        <w:tblStyle w:val="TableGrid"/>
        <w:tblW w:w="8681" w:type="dxa"/>
        <w:tblInd w:w="10" w:type="dxa"/>
        <w:tblLook w:val="04A0" w:firstRow="1" w:lastRow="0" w:firstColumn="1" w:lastColumn="0" w:noHBand="0" w:noVBand="1"/>
      </w:tblPr>
      <w:tblGrid>
        <w:gridCol w:w="5882"/>
        <w:gridCol w:w="2799"/>
      </w:tblGrid>
      <w:tr w:rsidR="00E30E6F" w:rsidRPr="00E30E6F" w14:paraId="42CAAEB5" w14:textId="77777777" w:rsidTr="00E30E6F">
        <w:trPr>
          <w:trHeight w:val="48"/>
        </w:trPr>
        <w:tc>
          <w:tcPr>
            <w:tcW w:w="8681" w:type="dxa"/>
            <w:gridSpan w:val="2"/>
            <w:tcBorders>
              <w:top w:val="nil"/>
              <w:left w:val="nil"/>
              <w:bottom w:val="single" w:sz="4" w:space="0" w:color="auto"/>
              <w:right w:val="nil"/>
            </w:tcBorders>
          </w:tcPr>
          <w:p w14:paraId="73B7C7AD" w14:textId="630BF0DD" w:rsidR="00E30E6F" w:rsidRPr="00E30E6F" w:rsidRDefault="00E30E6F" w:rsidP="009A041D">
            <w:pPr>
              <w:keepNext/>
              <w:ind w:left="992" w:hanging="992"/>
              <w:rPr>
                <w:rFonts w:cs="Arial"/>
                <w:b/>
                <w:bCs/>
                <w:color w:val="000000"/>
                <w:sz w:val="22"/>
                <w:szCs w:val="22"/>
                <w:lang w:val="en-GB"/>
              </w:rPr>
            </w:pPr>
            <w:r w:rsidRPr="00E30E6F">
              <w:rPr>
                <w:rFonts w:cs="Arial"/>
                <w:b/>
                <w:bCs/>
                <w:color w:val="000000"/>
                <w:sz w:val="22"/>
                <w:szCs w:val="22"/>
                <w:lang w:val="en-GB"/>
              </w:rPr>
              <w:t>Tabela 6.</w:t>
            </w:r>
            <w:r w:rsidRPr="00E30E6F">
              <w:rPr>
                <w:rFonts w:cs="Arial"/>
                <w:b/>
                <w:bCs/>
                <w:color w:val="000000"/>
                <w:sz w:val="22"/>
                <w:szCs w:val="22"/>
                <w:lang w:val="en-GB"/>
              </w:rPr>
              <w:tab/>
              <w:t>Sažetak ključnih krajnjih parametara efikasnosti kod predsimptomatskih pacijenata nakon 12 m</w:t>
            </w:r>
            <w:r>
              <w:rPr>
                <w:rFonts w:cs="Arial"/>
                <w:b/>
                <w:bCs/>
                <w:color w:val="000000"/>
                <w:sz w:val="22"/>
                <w:szCs w:val="22"/>
                <w:lang w:val="en-GB"/>
              </w:rPr>
              <w:t>j</w:t>
            </w:r>
            <w:r w:rsidRPr="00E30E6F">
              <w:rPr>
                <w:rFonts w:cs="Arial"/>
                <w:b/>
                <w:bCs/>
                <w:color w:val="000000"/>
                <w:sz w:val="22"/>
                <w:szCs w:val="22"/>
                <w:lang w:val="en-GB"/>
              </w:rPr>
              <w:t>eseci</w:t>
            </w:r>
          </w:p>
          <w:p w14:paraId="6C744011" w14:textId="77777777" w:rsidR="00E30E6F" w:rsidRPr="00E30E6F" w:rsidRDefault="00E30E6F" w:rsidP="00E30E6F">
            <w:pPr>
              <w:keepNext/>
              <w:ind w:left="992" w:hanging="992"/>
              <w:rPr>
                <w:rFonts w:cs="Arial"/>
                <w:b/>
                <w:bCs/>
                <w:color w:val="000000"/>
                <w:sz w:val="22"/>
                <w:szCs w:val="22"/>
                <w:lang w:val="hr-HR"/>
              </w:rPr>
            </w:pPr>
          </w:p>
        </w:tc>
      </w:tr>
      <w:tr w:rsidR="00E30E6F" w:rsidRPr="00E30E6F" w14:paraId="67FC5B3D" w14:textId="77777777" w:rsidTr="00E30E6F">
        <w:trPr>
          <w:trHeight w:val="48"/>
        </w:trPr>
        <w:tc>
          <w:tcPr>
            <w:tcW w:w="5882" w:type="dxa"/>
            <w:tcBorders>
              <w:top w:val="single" w:sz="4" w:space="0" w:color="auto"/>
            </w:tcBorders>
          </w:tcPr>
          <w:p w14:paraId="749D2A32" w14:textId="77777777" w:rsidR="00E30E6F" w:rsidRPr="00E30E6F" w:rsidRDefault="00E30E6F" w:rsidP="00E30E6F">
            <w:pPr>
              <w:keepNext/>
              <w:keepLines/>
              <w:spacing w:before="50" w:after="50" w:line="240" w:lineRule="exact"/>
              <w:rPr>
                <w:rFonts w:eastAsia="SimSun"/>
                <w:b/>
                <w:bCs/>
                <w:sz w:val="22"/>
                <w:szCs w:val="22"/>
                <w:lang w:eastAsia="zh-CN"/>
              </w:rPr>
            </w:pPr>
            <w:r w:rsidRPr="00E30E6F">
              <w:rPr>
                <w:rFonts w:eastAsia="SimSun"/>
                <w:b/>
                <w:bCs/>
                <w:sz w:val="22"/>
                <w:szCs w:val="22"/>
                <w:lang w:eastAsia="zh-CN"/>
              </w:rPr>
              <w:t>Parametri praćenja efikasnosti</w:t>
            </w:r>
          </w:p>
        </w:tc>
        <w:tc>
          <w:tcPr>
            <w:tcW w:w="2799" w:type="dxa"/>
            <w:tcBorders>
              <w:top w:val="single" w:sz="4" w:space="0" w:color="auto"/>
            </w:tcBorders>
          </w:tcPr>
          <w:p w14:paraId="4C68B534" w14:textId="77777777" w:rsidR="00E30E6F" w:rsidRPr="00E30E6F" w:rsidRDefault="00E30E6F" w:rsidP="00E30E6F">
            <w:pPr>
              <w:keepNext/>
              <w:keepLines/>
              <w:spacing w:before="50" w:after="50" w:line="240" w:lineRule="exact"/>
              <w:jc w:val="center"/>
              <w:rPr>
                <w:rFonts w:eastAsia="SimSun"/>
                <w:b/>
                <w:bCs/>
                <w:sz w:val="22"/>
                <w:szCs w:val="22"/>
                <w:lang w:val="hr-HR" w:eastAsia="zh-CN"/>
              </w:rPr>
            </w:pPr>
            <w:r w:rsidRPr="00E30E6F">
              <w:rPr>
                <w:rFonts w:eastAsia="SimSun"/>
                <w:b/>
                <w:bCs/>
                <w:sz w:val="22"/>
                <w:szCs w:val="22"/>
                <w:lang w:val="hr-HR" w:eastAsia="zh-CN"/>
              </w:rPr>
              <w:t xml:space="preserve"> ITT populacija (N = 26)</w:t>
            </w:r>
          </w:p>
        </w:tc>
      </w:tr>
      <w:tr w:rsidR="00E30E6F" w:rsidRPr="00E30E6F" w14:paraId="111E9302" w14:textId="77777777" w:rsidTr="00E30E6F">
        <w:trPr>
          <w:trHeight w:val="326"/>
        </w:trPr>
        <w:tc>
          <w:tcPr>
            <w:tcW w:w="8681" w:type="dxa"/>
            <w:gridSpan w:val="2"/>
          </w:tcPr>
          <w:p w14:paraId="57451AB6" w14:textId="77777777" w:rsidR="00E30E6F" w:rsidRPr="00E30E6F" w:rsidRDefault="00E30E6F" w:rsidP="00E30E6F">
            <w:pPr>
              <w:keepNext/>
              <w:keepLines/>
              <w:spacing w:before="50" w:after="50" w:line="240" w:lineRule="exact"/>
              <w:rPr>
                <w:rFonts w:eastAsia="SimSun"/>
                <w:sz w:val="22"/>
                <w:szCs w:val="22"/>
                <w:u w:val="single"/>
                <w:lang w:eastAsia="zh-CN"/>
              </w:rPr>
            </w:pPr>
            <w:r w:rsidRPr="00E30E6F">
              <w:rPr>
                <w:rFonts w:eastAsia="SimSun"/>
                <w:sz w:val="22"/>
                <w:szCs w:val="22"/>
                <w:u w:val="single"/>
                <w:lang w:eastAsia="zh-CN"/>
              </w:rPr>
              <w:t xml:space="preserve">Motorička funkcija </w:t>
            </w:r>
          </w:p>
        </w:tc>
      </w:tr>
      <w:tr w:rsidR="00E30E6F" w:rsidRPr="00E30E6F" w14:paraId="74EED1E1" w14:textId="77777777" w:rsidTr="00E30E6F">
        <w:trPr>
          <w:trHeight w:val="615"/>
        </w:trPr>
        <w:tc>
          <w:tcPr>
            <w:tcW w:w="5882" w:type="dxa"/>
          </w:tcPr>
          <w:p w14:paraId="5CFA73DD" w14:textId="4EF09C97" w:rsidR="00E30E6F" w:rsidRPr="00E30E6F" w:rsidRDefault="00E30E6F">
            <w:pPr>
              <w:keepNext/>
              <w:keepLines/>
              <w:spacing w:before="50" w:after="50" w:line="240" w:lineRule="exact"/>
              <w:rPr>
                <w:rFonts w:eastAsia="SimSun"/>
                <w:sz w:val="22"/>
                <w:szCs w:val="22"/>
                <w:lang w:eastAsia="zh-CN"/>
              </w:rPr>
            </w:pPr>
            <w:r w:rsidRPr="00E30E6F">
              <w:rPr>
                <w:rFonts w:eastAsia="SimSun"/>
                <w:sz w:val="22"/>
                <w:szCs w:val="22"/>
                <w:lang w:eastAsia="zh-CN"/>
              </w:rPr>
              <w:t>Ud</w:t>
            </w:r>
            <w:r>
              <w:rPr>
                <w:rFonts w:eastAsia="SimSun"/>
                <w:sz w:val="22"/>
                <w:szCs w:val="22"/>
                <w:lang w:eastAsia="zh-CN"/>
              </w:rPr>
              <w:t>i</w:t>
            </w:r>
            <w:r w:rsidRPr="00E30E6F">
              <w:rPr>
                <w:rFonts w:eastAsia="SimSun"/>
                <w:sz w:val="22"/>
                <w:szCs w:val="22"/>
                <w:lang w:eastAsia="zh-CN"/>
              </w:rPr>
              <w:t>o pacijenata sa ukupnim CHOP</w:t>
            </w:r>
            <w:r w:rsidRPr="00E30E6F">
              <w:rPr>
                <w:rFonts w:eastAsia="SimSun"/>
                <w:sz w:val="22"/>
                <w:szCs w:val="22"/>
                <w:lang w:eastAsia="zh-CN"/>
              </w:rPr>
              <w:noBreakHyphen/>
              <w:t>INTEND rezultatom od 50 ili više bodova (90 CI %)</w:t>
            </w:r>
          </w:p>
        </w:tc>
        <w:tc>
          <w:tcPr>
            <w:tcW w:w="2799" w:type="dxa"/>
          </w:tcPr>
          <w:p w14:paraId="0F3BD1B6" w14:textId="77777777" w:rsidR="00E30E6F" w:rsidRPr="00E30E6F" w:rsidRDefault="00E30E6F" w:rsidP="00E30E6F">
            <w:pPr>
              <w:keepNext/>
              <w:keepLines/>
              <w:spacing w:before="50" w:after="50" w:line="240" w:lineRule="exact"/>
              <w:jc w:val="center"/>
              <w:rPr>
                <w:rFonts w:eastAsia="SimSun"/>
                <w:sz w:val="22"/>
                <w:szCs w:val="22"/>
                <w:lang w:val="hr-HR" w:eastAsia="zh-CN"/>
              </w:rPr>
            </w:pPr>
            <w:r w:rsidRPr="00E30E6F">
              <w:rPr>
                <w:rFonts w:eastAsia="SimSun"/>
                <w:sz w:val="22"/>
                <w:szCs w:val="22"/>
                <w:lang w:val="hr-HR" w:eastAsia="zh-CN"/>
              </w:rPr>
              <w:t>92 %</w:t>
            </w:r>
            <w:r w:rsidRPr="00E30E6F">
              <w:rPr>
                <w:rFonts w:eastAsia="SimSun"/>
                <w:sz w:val="22"/>
                <w:szCs w:val="22"/>
                <w:vertAlign w:val="superscript"/>
                <w:lang w:val="hr-HR" w:eastAsia="zh-CN"/>
              </w:rPr>
              <w:t>a</w:t>
            </w:r>
          </w:p>
          <w:p w14:paraId="04E8E03A" w14:textId="77777777" w:rsidR="00E30E6F" w:rsidRPr="00E30E6F" w:rsidRDefault="00E30E6F" w:rsidP="00E30E6F">
            <w:pPr>
              <w:keepNext/>
              <w:keepLines/>
              <w:spacing w:before="50" w:after="50" w:line="240" w:lineRule="exact"/>
              <w:jc w:val="center"/>
              <w:rPr>
                <w:rFonts w:eastAsia="SimSun"/>
                <w:sz w:val="22"/>
                <w:szCs w:val="22"/>
                <w:lang w:val="hr-HR" w:eastAsia="zh-CN"/>
              </w:rPr>
            </w:pPr>
            <w:r w:rsidRPr="00E30E6F">
              <w:rPr>
                <w:rFonts w:eastAsia="SimSun"/>
                <w:sz w:val="22"/>
                <w:szCs w:val="22"/>
                <w:lang w:val="hr-HR" w:eastAsia="zh-CN"/>
              </w:rPr>
              <w:t>(76,9 %; 98,6 %)</w:t>
            </w:r>
          </w:p>
        </w:tc>
      </w:tr>
      <w:tr w:rsidR="00E30E6F" w:rsidRPr="00E30E6F" w14:paraId="3BACD8D4" w14:textId="77777777" w:rsidTr="00E30E6F">
        <w:trPr>
          <w:trHeight w:val="615"/>
        </w:trPr>
        <w:tc>
          <w:tcPr>
            <w:tcW w:w="5882" w:type="dxa"/>
          </w:tcPr>
          <w:p w14:paraId="08F6A984" w14:textId="75E54731" w:rsidR="00E30E6F" w:rsidRPr="00E30E6F" w:rsidRDefault="00E30E6F">
            <w:pPr>
              <w:keepNext/>
              <w:keepLines/>
              <w:spacing w:before="50" w:after="50" w:line="240" w:lineRule="exact"/>
              <w:rPr>
                <w:rFonts w:eastAsia="SimSun"/>
                <w:sz w:val="22"/>
                <w:szCs w:val="22"/>
                <w:lang w:eastAsia="zh-CN"/>
              </w:rPr>
            </w:pPr>
            <w:r w:rsidRPr="00E30E6F">
              <w:rPr>
                <w:rFonts w:eastAsia="SimSun"/>
                <w:sz w:val="22"/>
                <w:szCs w:val="22"/>
                <w:lang w:eastAsia="zh-CN"/>
              </w:rPr>
              <w:t>Ud</w:t>
            </w:r>
            <w:r>
              <w:rPr>
                <w:rFonts w:eastAsia="SimSun"/>
                <w:sz w:val="22"/>
                <w:szCs w:val="22"/>
                <w:lang w:eastAsia="zh-CN"/>
              </w:rPr>
              <w:t>i</w:t>
            </w:r>
            <w:r w:rsidRPr="00E30E6F">
              <w:rPr>
                <w:rFonts w:eastAsia="SimSun"/>
                <w:sz w:val="22"/>
                <w:szCs w:val="22"/>
                <w:lang w:eastAsia="zh-CN"/>
              </w:rPr>
              <w:t>o pacijenata sa ukupnim CHOP</w:t>
            </w:r>
            <w:r w:rsidRPr="00E30E6F">
              <w:rPr>
                <w:rFonts w:eastAsia="SimSun"/>
                <w:sz w:val="22"/>
                <w:szCs w:val="22"/>
                <w:lang w:eastAsia="zh-CN"/>
              </w:rPr>
              <w:noBreakHyphen/>
              <w:t>INTEND rezultatom od 60 ili više bodova (90 CI %)</w:t>
            </w:r>
          </w:p>
        </w:tc>
        <w:tc>
          <w:tcPr>
            <w:tcW w:w="2799" w:type="dxa"/>
          </w:tcPr>
          <w:p w14:paraId="79D1DB55" w14:textId="77777777" w:rsidR="00E30E6F" w:rsidRPr="00E30E6F" w:rsidRDefault="00E30E6F" w:rsidP="00E30E6F">
            <w:pPr>
              <w:keepNext/>
              <w:keepLines/>
              <w:spacing w:before="50" w:after="50" w:line="240" w:lineRule="exact"/>
              <w:jc w:val="center"/>
              <w:rPr>
                <w:rFonts w:eastAsia="SimSun"/>
                <w:sz w:val="22"/>
                <w:szCs w:val="22"/>
                <w:lang w:val="hr-HR" w:eastAsia="zh-CN"/>
              </w:rPr>
            </w:pPr>
            <w:r w:rsidRPr="00E30E6F">
              <w:rPr>
                <w:rFonts w:eastAsia="SimSun"/>
                <w:sz w:val="22"/>
                <w:szCs w:val="22"/>
                <w:lang w:val="hr-HR" w:eastAsia="zh-CN"/>
              </w:rPr>
              <w:t>80 %</w:t>
            </w:r>
            <w:r w:rsidRPr="00E30E6F">
              <w:rPr>
                <w:rFonts w:eastAsia="SimSun"/>
                <w:sz w:val="22"/>
                <w:szCs w:val="22"/>
                <w:vertAlign w:val="superscript"/>
                <w:lang w:val="hr-HR" w:eastAsia="zh-CN"/>
              </w:rPr>
              <w:t>a</w:t>
            </w:r>
          </w:p>
          <w:p w14:paraId="02D8366E" w14:textId="77777777" w:rsidR="00E30E6F" w:rsidRPr="00E30E6F" w:rsidRDefault="00E30E6F" w:rsidP="00E30E6F">
            <w:pPr>
              <w:keepNext/>
              <w:keepLines/>
              <w:spacing w:before="50" w:after="50" w:line="240" w:lineRule="exact"/>
              <w:jc w:val="center"/>
              <w:rPr>
                <w:rFonts w:eastAsia="SimSun"/>
                <w:sz w:val="22"/>
                <w:szCs w:val="22"/>
                <w:lang w:val="hr-HR" w:eastAsia="zh-CN"/>
              </w:rPr>
            </w:pPr>
            <w:r w:rsidRPr="00E30E6F">
              <w:rPr>
                <w:rFonts w:eastAsia="SimSun"/>
                <w:sz w:val="22"/>
                <w:szCs w:val="22"/>
                <w:lang w:val="hr-HR" w:eastAsia="zh-CN"/>
              </w:rPr>
              <w:t>(62,5 %; 91,8 %)</w:t>
            </w:r>
          </w:p>
        </w:tc>
      </w:tr>
      <w:tr w:rsidR="00E30E6F" w:rsidRPr="00E30E6F" w14:paraId="348C8032" w14:textId="77777777" w:rsidTr="00E30E6F">
        <w:trPr>
          <w:trHeight w:val="326"/>
        </w:trPr>
        <w:tc>
          <w:tcPr>
            <w:tcW w:w="8681" w:type="dxa"/>
            <w:gridSpan w:val="2"/>
          </w:tcPr>
          <w:p w14:paraId="7106FFB4" w14:textId="77777777" w:rsidR="00E30E6F" w:rsidRPr="00E30E6F" w:rsidRDefault="00E30E6F" w:rsidP="00E30E6F">
            <w:pPr>
              <w:keepNext/>
              <w:keepLines/>
              <w:spacing w:before="50" w:after="50" w:line="240" w:lineRule="exact"/>
              <w:rPr>
                <w:rFonts w:eastAsia="SimSun"/>
                <w:sz w:val="22"/>
                <w:szCs w:val="22"/>
                <w:vertAlign w:val="superscript"/>
                <w:lang w:eastAsia="zh-CN"/>
              </w:rPr>
            </w:pPr>
            <w:r w:rsidRPr="00E30E6F">
              <w:rPr>
                <w:rFonts w:eastAsia="SimSun"/>
                <w:sz w:val="22"/>
                <w:szCs w:val="22"/>
                <w:u w:val="single"/>
                <w:lang w:eastAsia="zh-CN"/>
              </w:rPr>
              <w:t>Hranjenje</w:t>
            </w:r>
          </w:p>
        </w:tc>
      </w:tr>
      <w:tr w:rsidR="00E30E6F" w:rsidRPr="00E30E6F" w14:paraId="69027604" w14:textId="77777777" w:rsidTr="00E30E6F">
        <w:trPr>
          <w:trHeight w:val="615"/>
        </w:trPr>
        <w:tc>
          <w:tcPr>
            <w:tcW w:w="5882" w:type="dxa"/>
          </w:tcPr>
          <w:p w14:paraId="0D1ED5E9" w14:textId="0D9F8299" w:rsidR="00E30E6F" w:rsidRPr="00E30E6F" w:rsidRDefault="00E30E6F">
            <w:pPr>
              <w:keepNext/>
              <w:keepLines/>
              <w:spacing w:before="50" w:after="50" w:line="240" w:lineRule="exact"/>
              <w:rPr>
                <w:rFonts w:eastAsia="SimSun"/>
                <w:sz w:val="22"/>
                <w:szCs w:val="22"/>
                <w:vertAlign w:val="superscript"/>
                <w:lang w:eastAsia="zh-CN"/>
              </w:rPr>
            </w:pPr>
            <w:r w:rsidRPr="00E30E6F">
              <w:rPr>
                <w:rFonts w:eastAsia="SimSun"/>
                <w:sz w:val="22"/>
                <w:szCs w:val="22"/>
                <w:lang w:eastAsia="zh-CN"/>
              </w:rPr>
              <w:t>Ud</w:t>
            </w:r>
            <w:r>
              <w:rPr>
                <w:rFonts w:eastAsia="SimSun"/>
                <w:sz w:val="22"/>
                <w:szCs w:val="22"/>
                <w:lang w:eastAsia="zh-CN"/>
              </w:rPr>
              <w:t>i</w:t>
            </w:r>
            <w:r w:rsidRPr="00E30E6F">
              <w:rPr>
                <w:rFonts w:eastAsia="SimSun"/>
                <w:sz w:val="22"/>
                <w:szCs w:val="22"/>
                <w:lang w:eastAsia="zh-CN"/>
              </w:rPr>
              <w:t>o pacijenata sa sposobnošću hranjenja na usta (90 CI %)</w:t>
            </w:r>
          </w:p>
        </w:tc>
        <w:tc>
          <w:tcPr>
            <w:tcW w:w="2799" w:type="dxa"/>
          </w:tcPr>
          <w:p w14:paraId="7300F3A7" w14:textId="77777777" w:rsidR="00E30E6F" w:rsidRPr="00E30E6F" w:rsidRDefault="00E30E6F" w:rsidP="00E30E6F">
            <w:pPr>
              <w:keepNext/>
              <w:keepLines/>
              <w:spacing w:before="50" w:after="50" w:line="240" w:lineRule="exact"/>
              <w:jc w:val="center"/>
              <w:rPr>
                <w:rFonts w:eastAsia="SimSun"/>
                <w:sz w:val="22"/>
                <w:szCs w:val="22"/>
                <w:lang w:val="hr-HR" w:eastAsia="zh-CN"/>
              </w:rPr>
            </w:pPr>
            <w:r w:rsidRPr="00E30E6F">
              <w:rPr>
                <w:rFonts w:eastAsia="SimSun"/>
                <w:sz w:val="22"/>
                <w:szCs w:val="22"/>
                <w:lang w:val="hr-HR" w:eastAsia="zh-CN"/>
              </w:rPr>
              <w:t>96,2 %</w:t>
            </w:r>
            <w:r w:rsidRPr="00E30E6F">
              <w:rPr>
                <w:rFonts w:eastAsia="SimSun"/>
                <w:sz w:val="22"/>
                <w:szCs w:val="22"/>
                <w:vertAlign w:val="superscript"/>
                <w:lang w:val="hr-HR" w:eastAsia="zh-CN"/>
              </w:rPr>
              <w:t>b</w:t>
            </w:r>
          </w:p>
          <w:p w14:paraId="06904DB9" w14:textId="77777777" w:rsidR="00E30E6F" w:rsidRPr="00E30E6F" w:rsidRDefault="00E30E6F" w:rsidP="00E30E6F">
            <w:pPr>
              <w:keepNext/>
              <w:keepLines/>
              <w:spacing w:before="50" w:after="50" w:line="240" w:lineRule="exact"/>
              <w:jc w:val="center"/>
              <w:rPr>
                <w:rFonts w:eastAsia="SimSun"/>
                <w:sz w:val="22"/>
                <w:szCs w:val="22"/>
                <w:lang w:val="hr-HR" w:eastAsia="zh-CN"/>
              </w:rPr>
            </w:pPr>
            <w:r w:rsidRPr="00E30E6F">
              <w:rPr>
                <w:rFonts w:eastAsia="SimSun"/>
                <w:sz w:val="22"/>
                <w:szCs w:val="22"/>
                <w:lang w:val="hr-HR" w:eastAsia="zh-CN"/>
              </w:rPr>
              <w:t>(83,0 %; 99,8 %)</w:t>
            </w:r>
          </w:p>
        </w:tc>
      </w:tr>
      <w:tr w:rsidR="00E30E6F" w:rsidRPr="00E30E6F" w14:paraId="3E4FC271" w14:textId="77777777" w:rsidTr="00E30E6F">
        <w:trPr>
          <w:trHeight w:val="326"/>
        </w:trPr>
        <w:tc>
          <w:tcPr>
            <w:tcW w:w="8681" w:type="dxa"/>
            <w:gridSpan w:val="2"/>
          </w:tcPr>
          <w:p w14:paraId="1E76600E" w14:textId="77777777" w:rsidR="00E30E6F" w:rsidRPr="00E30E6F" w:rsidRDefault="00E30E6F" w:rsidP="00E30E6F">
            <w:pPr>
              <w:keepNext/>
              <w:keepLines/>
              <w:spacing w:before="50" w:after="50" w:line="240" w:lineRule="exact"/>
              <w:rPr>
                <w:rFonts w:eastAsia="SimSun"/>
                <w:sz w:val="22"/>
                <w:szCs w:val="22"/>
                <w:lang w:eastAsia="zh-CN"/>
              </w:rPr>
            </w:pPr>
            <w:r w:rsidRPr="00E30E6F">
              <w:rPr>
                <w:rFonts w:eastAsia="SimSun"/>
                <w:sz w:val="22"/>
                <w:szCs w:val="22"/>
                <w:u w:val="single"/>
                <w:lang w:eastAsia="zh-CN"/>
              </w:rPr>
              <w:t>Potrošnja zdravstvenih resursa</w:t>
            </w:r>
          </w:p>
        </w:tc>
      </w:tr>
      <w:tr w:rsidR="00E30E6F" w:rsidRPr="00E30E6F" w14:paraId="7743C801" w14:textId="77777777" w:rsidTr="00E30E6F">
        <w:trPr>
          <w:trHeight w:val="615"/>
        </w:trPr>
        <w:tc>
          <w:tcPr>
            <w:tcW w:w="5882" w:type="dxa"/>
          </w:tcPr>
          <w:p w14:paraId="14E33C39" w14:textId="3BFD4D33" w:rsidR="00E30E6F" w:rsidRPr="00E30E6F" w:rsidRDefault="00E30E6F">
            <w:pPr>
              <w:keepNext/>
              <w:keepLines/>
              <w:spacing w:before="50" w:after="50" w:line="240" w:lineRule="exact"/>
              <w:rPr>
                <w:rFonts w:eastAsia="SimSun"/>
                <w:sz w:val="22"/>
                <w:szCs w:val="22"/>
                <w:lang w:eastAsia="zh-CN"/>
              </w:rPr>
            </w:pPr>
            <w:r w:rsidRPr="00E30E6F">
              <w:rPr>
                <w:rFonts w:eastAsia="SimSun"/>
                <w:sz w:val="22"/>
                <w:szCs w:val="22"/>
                <w:lang w:eastAsia="zh-CN"/>
              </w:rPr>
              <w:t>Ud</w:t>
            </w:r>
            <w:r>
              <w:rPr>
                <w:rFonts w:eastAsia="SimSun"/>
                <w:sz w:val="22"/>
                <w:szCs w:val="22"/>
                <w:lang w:eastAsia="zh-CN"/>
              </w:rPr>
              <w:t>i</w:t>
            </w:r>
            <w:r w:rsidRPr="00E30E6F">
              <w:rPr>
                <w:rFonts w:eastAsia="SimSun"/>
                <w:sz w:val="22"/>
                <w:szCs w:val="22"/>
                <w:lang w:eastAsia="zh-CN"/>
              </w:rPr>
              <w:t>o pacijenata bez hospitalizacija</w:t>
            </w:r>
            <w:r w:rsidRPr="00E30E6F">
              <w:rPr>
                <w:rFonts w:eastAsia="SimSun"/>
                <w:sz w:val="22"/>
                <w:szCs w:val="22"/>
                <w:vertAlign w:val="superscript"/>
                <w:lang w:eastAsia="zh-CN"/>
              </w:rPr>
              <w:t xml:space="preserve">c </w:t>
            </w:r>
            <w:r w:rsidRPr="00E30E6F">
              <w:rPr>
                <w:rFonts w:eastAsia="SimSun"/>
                <w:sz w:val="22"/>
                <w:szCs w:val="22"/>
                <w:lang w:eastAsia="zh-CN"/>
              </w:rPr>
              <w:t>(90 CI %)</w:t>
            </w:r>
          </w:p>
        </w:tc>
        <w:tc>
          <w:tcPr>
            <w:tcW w:w="2799" w:type="dxa"/>
          </w:tcPr>
          <w:p w14:paraId="6C8A2202" w14:textId="77777777" w:rsidR="00E30E6F" w:rsidRPr="00E30E6F" w:rsidRDefault="00E30E6F" w:rsidP="00E30E6F">
            <w:pPr>
              <w:keepNext/>
              <w:keepLines/>
              <w:spacing w:before="50" w:after="50" w:line="240" w:lineRule="exact"/>
              <w:jc w:val="center"/>
              <w:rPr>
                <w:rFonts w:eastAsia="SimSun"/>
                <w:sz w:val="22"/>
                <w:szCs w:val="22"/>
                <w:lang w:val="hr-HR" w:eastAsia="zh-CN"/>
              </w:rPr>
            </w:pPr>
            <w:r w:rsidRPr="00E30E6F">
              <w:rPr>
                <w:rFonts w:eastAsia="SimSun"/>
                <w:sz w:val="22"/>
                <w:szCs w:val="22"/>
                <w:lang w:val="hr-HR" w:eastAsia="zh-CN"/>
              </w:rPr>
              <w:t>92,3 %</w:t>
            </w:r>
          </w:p>
          <w:p w14:paraId="0A4795A0" w14:textId="77777777" w:rsidR="00E30E6F" w:rsidRPr="00E30E6F" w:rsidRDefault="00E30E6F" w:rsidP="00E30E6F">
            <w:pPr>
              <w:keepNext/>
              <w:keepLines/>
              <w:spacing w:before="50" w:after="50" w:line="240" w:lineRule="exact"/>
              <w:jc w:val="center"/>
              <w:rPr>
                <w:rFonts w:eastAsia="SimSun"/>
                <w:sz w:val="22"/>
                <w:szCs w:val="22"/>
                <w:lang w:val="hr-HR" w:eastAsia="zh-CN"/>
              </w:rPr>
            </w:pPr>
            <w:r w:rsidRPr="00E30E6F">
              <w:rPr>
                <w:rFonts w:eastAsia="SimSun"/>
                <w:sz w:val="22"/>
                <w:szCs w:val="22"/>
                <w:lang w:val="hr-HR" w:eastAsia="zh-CN"/>
              </w:rPr>
              <w:t>(77,7 %; 98,6 %)</w:t>
            </w:r>
          </w:p>
        </w:tc>
      </w:tr>
      <w:tr w:rsidR="00E30E6F" w:rsidRPr="00E30E6F" w14:paraId="484B0F8F" w14:textId="77777777" w:rsidTr="00E30E6F">
        <w:trPr>
          <w:trHeight w:val="326"/>
        </w:trPr>
        <w:tc>
          <w:tcPr>
            <w:tcW w:w="8681" w:type="dxa"/>
            <w:gridSpan w:val="2"/>
          </w:tcPr>
          <w:p w14:paraId="7E5CC6FF" w14:textId="77777777" w:rsidR="00E30E6F" w:rsidRPr="00E30E6F" w:rsidRDefault="00E30E6F" w:rsidP="00E30E6F">
            <w:pPr>
              <w:keepNext/>
              <w:keepLines/>
              <w:spacing w:before="50" w:after="50" w:line="240" w:lineRule="exact"/>
              <w:rPr>
                <w:rFonts w:eastAsia="SimSun"/>
                <w:sz w:val="22"/>
                <w:szCs w:val="22"/>
                <w:u w:val="single"/>
                <w:vertAlign w:val="superscript"/>
                <w:lang w:eastAsia="zh-CN"/>
              </w:rPr>
            </w:pPr>
            <w:r w:rsidRPr="00E30E6F">
              <w:rPr>
                <w:rFonts w:eastAsia="SimSun"/>
                <w:sz w:val="22"/>
                <w:szCs w:val="22"/>
                <w:u w:val="single"/>
                <w:lang w:eastAsia="zh-CN"/>
              </w:rPr>
              <w:t>Preživljenje bez događaja</w:t>
            </w:r>
            <w:r w:rsidRPr="00E30E6F">
              <w:rPr>
                <w:rFonts w:eastAsia="SimSun"/>
                <w:sz w:val="22"/>
                <w:szCs w:val="22"/>
                <w:u w:val="single"/>
                <w:vertAlign w:val="superscript"/>
                <w:lang w:eastAsia="zh-CN"/>
              </w:rPr>
              <w:t>d</w:t>
            </w:r>
          </w:p>
        </w:tc>
      </w:tr>
      <w:tr w:rsidR="00E30E6F" w:rsidRPr="00E30E6F" w14:paraId="38BD5DA3" w14:textId="77777777" w:rsidTr="00E30E6F">
        <w:trPr>
          <w:trHeight w:val="615"/>
        </w:trPr>
        <w:tc>
          <w:tcPr>
            <w:tcW w:w="5882" w:type="dxa"/>
          </w:tcPr>
          <w:p w14:paraId="02A0C296" w14:textId="70148C31" w:rsidR="00E30E6F" w:rsidRPr="00E30E6F" w:rsidRDefault="00E30E6F">
            <w:pPr>
              <w:keepNext/>
              <w:keepLines/>
              <w:spacing w:before="50" w:after="50" w:line="240" w:lineRule="exact"/>
              <w:rPr>
                <w:rFonts w:eastAsia="SimSun"/>
                <w:sz w:val="22"/>
                <w:szCs w:val="22"/>
                <w:lang w:eastAsia="zh-CN"/>
              </w:rPr>
            </w:pPr>
            <w:r w:rsidRPr="00E30E6F">
              <w:rPr>
                <w:rFonts w:eastAsia="SimSun"/>
                <w:sz w:val="22"/>
                <w:szCs w:val="22"/>
                <w:lang w:eastAsia="zh-CN"/>
              </w:rPr>
              <w:t>Ud</w:t>
            </w:r>
            <w:r>
              <w:rPr>
                <w:rFonts w:eastAsia="SimSun"/>
                <w:sz w:val="22"/>
                <w:szCs w:val="22"/>
                <w:lang w:eastAsia="zh-CN"/>
              </w:rPr>
              <w:t>i</w:t>
            </w:r>
            <w:r w:rsidRPr="00E30E6F">
              <w:rPr>
                <w:rFonts w:eastAsia="SimSun"/>
                <w:sz w:val="22"/>
                <w:szCs w:val="22"/>
                <w:lang w:eastAsia="zh-CN"/>
              </w:rPr>
              <w:t>o pacijenata sa preživljenjem bez događaja (90 CI %)</w:t>
            </w:r>
          </w:p>
        </w:tc>
        <w:tc>
          <w:tcPr>
            <w:tcW w:w="2799" w:type="dxa"/>
          </w:tcPr>
          <w:p w14:paraId="6C559B9A" w14:textId="77777777" w:rsidR="00E30E6F" w:rsidRPr="00E30E6F" w:rsidRDefault="00E30E6F" w:rsidP="00E30E6F">
            <w:pPr>
              <w:keepNext/>
              <w:keepLines/>
              <w:spacing w:before="50" w:after="50" w:line="240" w:lineRule="exact"/>
              <w:jc w:val="center"/>
              <w:rPr>
                <w:rFonts w:eastAsia="SimSun"/>
                <w:sz w:val="22"/>
                <w:szCs w:val="22"/>
                <w:lang w:val="hr-HR" w:eastAsia="zh-CN"/>
              </w:rPr>
            </w:pPr>
            <w:r w:rsidRPr="00E30E6F">
              <w:rPr>
                <w:rFonts w:eastAsia="SimSun"/>
                <w:sz w:val="22"/>
                <w:szCs w:val="22"/>
                <w:lang w:val="hr-HR" w:eastAsia="zh-CN"/>
              </w:rPr>
              <w:t>100 %</w:t>
            </w:r>
          </w:p>
          <w:p w14:paraId="2B3F5C1C" w14:textId="77777777" w:rsidR="00E30E6F" w:rsidRPr="00E30E6F" w:rsidRDefault="00E30E6F" w:rsidP="00E30E6F">
            <w:pPr>
              <w:keepNext/>
              <w:keepLines/>
              <w:spacing w:before="50" w:after="50" w:line="240" w:lineRule="exact"/>
              <w:jc w:val="center"/>
              <w:rPr>
                <w:rFonts w:eastAsia="SimSun"/>
                <w:sz w:val="22"/>
                <w:szCs w:val="22"/>
                <w:lang w:val="hr-HR" w:eastAsia="zh-CN"/>
              </w:rPr>
            </w:pPr>
            <w:r w:rsidRPr="00E30E6F">
              <w:rPr>
                <w:rFonts w:eastAsia="SimSun"/>
                <w:sz w:val="22"/>
                <w:szCs w:val="22"/>
                <w:lang w:val="hr-HR" w:eastAsia="zh-CN"/>
              </w:rPr>
              <w:t>(100 %; 100 %)</w:t>
            </w:r>
          </w:p>
        </w:tc>
      </w:tr>
      <w:tr w:rsidR="00E30E6F" w:rsidRPr="00E30E6F" w14:paraId="28DFDA0B" w14:textId="77777777" w:rsidTr="00E30E6F">
        <w:trPr>
          <w:trHeight w:val="2118"/>
        </w:trPr>
        <w:tc>
          <w:tcPr>
            <w:tcW w:w="8681" w:type="dxa"/>
            <w:gridSpan w:val="2"/>
            <w:tcBorders>
              <w:left w:val="nil"/>
              <w:bottom w:val="nil"/>
              <w:right w:val="nil"/>
            </w:tcBorders>
          </w:tcPr>
          <w:p w14:paraId="53BE0A49" w14:textId="25B0CF7C" w:rsidR="00E30E6F" w:rsidRPr="00E30E6F" w:rsidRDefault="00E30E6F" w:rsidP="00E820E5">
            <w:pPr>
              <w:keepNext/>
              <w:keepLines/>
              <w:rPr>
                <w:rFonts w:eastAsia="SimSun"/>
                <w:sz w:val="18"/>
                <w:szCs w:val="18"/>
                <w:lang w:eastAsia="zh-CN"/>
              </w:rPr>
            </w:pPr>
            <w:r w:rsidRPr="00E30E6F">
              <w:rPr>
                <w:rFonts w:eastAsia="SimSun"/>
                <w:sz w:val="18"/>
                <w:szCs w:val="18"/>
                <w:lang w:eastAsia="zh-CN"/>
              </w:rPr>
              <w:t>Skraćenice: CHOP</w:t>
            </w:r>
            <w:r w:rsidRPr="00E30E6F">
              <w:rPr>
                <w:rFonts w:eastAsia="SimSun"/>
                <w:sz w:val="18"/>
                <w:szCs w:val="18"/>
                <w:lang w:eastAsia="zh-CN"/>
              </w:rPr>
              <w:noBreakHyphen/>
              <w:t>INTEND </w:t>
            </w:r>
            <w:r w:rsidRPr="00E30E6F">
              <w:rPr>
                <w:rFonts w:ascii="Symbol" w:eastAsia="SimSun" w:hAnsi="Symbol" w:hint="eastAsia"/>
                <w:sz w:val="18"/>
                <w:szCs w:val="18"/>
                <w:lang w:eastAsia="zh-CN"/>
              </w:rPr>
              <w:sym w:font="Symbol" w:char="F03D"/>
            </w:r>
            <w:r w:rsidRPr="00E30E6F">
              <w:rPr>
                <w:rFonts w:ascii="Arial" w:eastAsia="SimSun" w:hAnsi="Arial"/>
                <w:sz w:val="18"/>
                <w:szCs w:val="18"/>
                <w:lang w:eastAsia="zh-CN"/>
              </w:rPr>
              <w:t> </w:t>
            </w:r>
            <w:r w:rsidRPr="00E30E6F">
              <w:rPr>
                <w:rFonts w:eastAsia="SimSun"/>
                <w:sz w:val="18"/>
                <w:szCs w:val="18"/>
                <w:lang w:eastAsia="zh-CN"/>
              </w:rPr>
              <w:t>Children’s Hospital of Philadelphia Infant Test of Neuromuscular Disorders</w:t>
            </w:r>
            <w:r w:rsidRPr="00E30E6F">
              <w:rPr>
                <w:rFonts w:ascii="Arial" w:eastAsia="SimSun" w:hAnsi="Arial"/>
                <w:sz w:val="18"/>
                <w:szCs w:val="18"/>
                <w:lang w:val="en-GB" w:eastAsia="zh-CN"/>
              </w:rPr>
              <w:t xml:space="preserve"> - </w:t>
            </w:r>
            <w:r w:rsidRPr="00E30E6F">
              <w:rPr>
                <w:rFonts w:eastAsia="SimSun"/>
                <w:sz w:val="18"/>
                <w:szCs w:val="18"/>
                <w:lang w:eastAsia="zh-CN"/>
              </w:rPr>
              <w:t>test za odojčad sa neuromišićnim poremećajima D</w:t>
            </w:r>
            <w:r w:rsidR="00CB7560">
              <w:rPr>
                <w:rFonts w:eastAsia="SimSun"/>
                <w:sz w:val="18"/>
                <w:szCs w:val="18"/>
                <w:lang w:eastAsia="zh-CN"/>
              </w:rPr>
              <w:t>j</w:t>
            </w:r>
            <w:r w:rsidRPr="00E30E6F">
              <w:rPr>
                <w:rFonts w:eastAsia="SimSun"/>
                <w:sz w:val="18"/>
                <w:szCs w:val="18"/>
                <w:lang w:eastAsia="zh-CN"/>
              </w:rPr>
              <w:t>ečije bolnice u Filadelfiji; CI = interval pouzdanosti</w:t>
            </w:r>
          </w:p>
          <w:p w14:paraId="566DDFF0" w14:textId="77777777" w:rsidR="00E30E6F" w:rsidRPr="00750444" w:rsidRDefault="00E30E6F" w:rsidP="00E30E6F">
            <w:pPr>
              <w:pStyle w:val="TabFigNote"/>
              <w:spacing w:before="0" w:line="240" w:lineRule="auto"/>
              <w:ind w:left="331" w:hanging="330"/>
              <w:rPr>
                <w:rFonts w:ascii="Times New Roman" w:hAnsi="Times New Roman"/>
                <w:sz w:val="18"/>
                <w:szCs w:val="18"/>
              </w:rPr>
            </w:pPr>
            <w:proofErr w:type="gramStart"/>
            <w:r w:rsidRPr="00750444">
              <w:rPr>
                <w:rFonts w:ascii="Times New Roman" w:hAnsi="Times New Roman"/>
                <w:sz w:val="18"/>
                <w:szCs w:val="18"/>
                <w:vertAlign w:val="superscript"/>
              </w:rPr>
              <w:t>a</w:t>
            </w:r>
            <w:proofErr w:type="gramEnd"/>
            <w:r w:rsidRPr="00750444">
              <w:rPr>
                <w:rFonts w:ascii="Times New Roman" w:hAnsi="Times New Roman"/>
                <w:sz w:val="18"/>
                <w:szCs w:val="18"/>
              </w:rPr>
              <w:tab/>
            </w:r>
            <w:r>
              <w:rPr>
                <w:rFonts w:ascii="Times New Roman" w:hAnsi="Times New Roman"/>
                <w:sz w:val="18"/>
                <w:szCs w:val="18"/>
              </w:rPr>
              <w:t>Na osnovu</w:t>
            </w:r>
            <w:r w:rsidRPr="00750444">
              <w:rPr>
                <w:rFonts w:ascii="Times New Roman" w:hAnsi="Times New Roman"/>
                <w:sz w:val="18"/>
                <w:szCs w:val="18"/>
              </w:rPr>
              <w:t xml:space="preserve"> N</w:t>
            </w:r>
            <w:r>
              <w:rPr>
                <w:rFonts w:ascii="Times New Roman" w:hAnsi="Times New Roman"/>
                <w:sz w:val="18"/>
                <w:szCs w:val="18"/>
              </w:rPr>
              <w:t> </w:t>
            </w:r>
            <w:r w:rsidRPr="00750444">
              <w:rPr>
                <w:rFonts w:ascii="Times New Roman" w:hAnsi="Times New Roman"/>
                <w:sz w:val="18"/>
                <w:szCs w:val="18"/>
              </w:rPr>
              <w:t>=</w:t>
            </w:r>
            <w:r>
              <w:rPr>
                <w:rFonts w:ascii="Times New Roman" w:hAnsi="Times New Roman"/>
                <w:sz w:val="18"/>
                <w:szCs w:val="18"/>
              </w:rPr>
              <w:t> </w:t>
            </w:r>
            <w:r w:rsidRPr="00750444">
              <w:rPr>
                <w:rFonts w:ascii="Times New Roman" w:hAnsi="Times New Roman"/>
                <w:sz w:val="18"/>
                <w:szCs w:val="18"/>
              </w:rPr>
              <w:t>25</w:t>
            </w:r>
            <w:r>
              <w:rPr>
                <w:rFonts w:ascii="Times New Roman" w:hAnsi="Times New Roman"/>
                <w:sz w:val="18"/>
                <w:szCs w:val="18"/>
              </w:rPr>
              <w:t>.</w:t>
            </w:r>
          </w:p>
          <w:p w14:paraId="5034DF7D" w14:textId="6B130351" w:rsidR="00E30E6F" w:rsidRPr="00750444" w:rsidRDefault="00E30E6F" w:rsidP="00E30E6F">
            <w:pPr>
              <w:pStyle w:val="TabFigNote"/>
              <w:spacing w:before="0" w:line="240" w:lineRule="auto"/>
              <w:ind w:left="332" w:hanging="332"/>
              <w:rPr>
                <w:rFonts w:ascii="Times New Roman" w:hAnsi="Times New Roman"/>
                <w:sz w:val="18"/>
                <w:szCs w:val="18"/>
              </w:rPr>
            </w:pPr>
            <w:proofErr w:type="gramStart"/>
            <w:r w:rsidRPr="00750444">
              <w:rPr>
                <w:rFonts w:ascii="Times New Roman" w:hAnsi="Times New Roman"/>
                <w:sz w:val="18"/>
                <w:szCs w:val="18"/>
                <w:vertAlign w:val="superscript"/>
              </w:rPr>
              <w:t>b</w:t>
            </w:r>
            <w:proofErr w:type="gramEnd"/>
            <w:r w:rsidRPr="00750444">
              <w:rPr>
                <w:rFonts w:ascii="Times New Roman" w:hAnsi="Times New Roman"/>
                <w:sz w:val="18"/>
                <w:szCs w:val="18"/>
              </w:rPr>
              <w:tab/>
            </w:r>
            <w:r>
              <w:rPr>
                <w:rFonts w:ascii="Times New Roman" w:hAnsi="Times New Roman"/>
                <w:sz w:val="18"/>
                <w:szCs w:val="18"/>
              </w:rPr>
              <w:t>Jedan pacijent nije bio ocijenjen</w:t>
            </w:r>
            <w:r w:rsidRPr="00750444">
              <w:rPr>
                <w:rFonts w:ascii="Times New Roman" w:hAnsi="Times New Roman"/>
                <w:sz w:val="18"/>
                <w:szCs w:val="18"/>
              </w:rPr>
              <w:t>.</w:t>
            </w:r>
          </w:p>
          <w:p w14:paraId="176EAE6E" w14:textId="4F62B8AD" w:rsidR="00E30E6F" w:rsidRPr="00750444" w:rsidRDefault="00E30E6F" w:rsidP="00E30E6F">
            <w:pPr>
              <w:pStyle w:val="TabFigNote"/>
              <w:spacing w:before="0" w:line="240" w:lineRule="auto"/>
              <w:ind w:left="331" w:hanging="331"/>
              <w:rPr>
                <w:rFonts w:ascii="Times New Roman" w:hAnsi="Times New Roman"/>
                <w:sz w:val="18"/>
                <w:szCs w:val="18"/>
              </w:rPr>
            </w:pPr>
            <w:proofErr w:type="gramStart"/>
            <w:r w:rsidRPr="00750444">
              <w:rPr>
                <w:rFonts w:ascii="Times New Roman" w:hAnsi="Times New Roman"/>
                <w:sz w:val="18"/>
                <w:szCs w:val="18"/>
                <w:vertAlign w:val="superscript"/>
              </w:rPr>
              <w:t>c</w:t>
            </w:r>
            <w:proofErr w:type="gramEnd"/>
            <w:r w:rsidRPr="00750444">
              <w:rPr>
                <w:rFonts w:ascii="Times New Roman" w:hAnsi="Times New Roman"/>
                <w:sz w:val="18"/>
                <w:szCs w:val="18"/>
              </w:rPr>
              <w:tab/>
            </w:r>
            <w:r>
              <w:rPr>
                <w:rFonts w:ascii="Times New Roman" w:hAnsi="Times New Roman"/>
                <w:sz w:val="18"/>
                <w:szCs w:val="18"/>
              </w:rPr>
              <w:t>Hospitalizacije uključuju sve prijeme u bolnicu u trajanju od najmanje dva dana koji ni</w:t>
            </w:r>
            <w:r w:rsidR="00D34F27">
              <w:rPr>
                <w:rFonts w:ascii="Times New Roman" w:hAnsi="Times New Roman"/>
                <w:sz w:val="18"/>
                <w:szCs w:val="18"/>
              </w:rPr>
              <w:t>je</w:t>
            </w:r>
            <w:r>
              <w:rPr>
                <w:rFonts w:ascii="Times New Roman" w:hAnsi="Times New Roman"/>
                <w:sz w:val="18"/>
                <w:szCs w:val="18"/>
              </w:rPr>
              <w:t>su sprovedeni za potrebe ispitivanja</w:t>
            </w:r>
            <w:r w:rsidRPr="00750444">
              <w:rPr>
                <w:rFonts w:ascii="Times New Roman" w:hAnsi="Times New Roman"/>
                <w:sz w:val="18"/>
                <w:szCs w:val="18"/>
              </w:rPr>
              <w:t>.</w:t>
            </w:r>
          </w:p>
          <w:p w14:paraId="515444CA" w14:textId="0DE860E4" w:rsidR="00E30E6F" w:rsidRPr="00E30E6F" w:rsidRDefault="00E30E6F" w:rsidP="00E820E5">
            <w:pPr>
              <w:keepNext/>
              <w:keepLines/>
              <w:rPr>
                <w:rFonts w:eastAsia="SimSun"/>
                <w:sz w:val="22"/>
                <w:szCs w:val="22"/>
                <w:lang w:eastAsia="zh-CN"/>
              </w:rPr>
            </w:pPr>
            <w:proofErr w:type="gramStart"/>
            <w:r w:rsidRPr="00750444">
              <w:rPr>
                <w:sz w:val="18"/>
                <w:szCs w:val="18"/>
                <w:vertAlign w:val="superscript"/>
              </w:rPr>
              <w:t>d</w:t>
            </w:r>
            <w:proofErr w:type="gramEnd"/>
            <w:r>
              <w:rPr>
                <w:sz w:val="18"/>
                <w:szCs w:val="18"/>
              </w:rPr>
              <w:t xml:space="preserve">      Događaj se odnosi na smrt ili trajnu ventilaciju</w:t>
            </w:r>
            <w:r w:rsidRPr="00750444">
              <w:rPr>
                <w:sz w:val="18"/>
                <w:szCs w:val="18"/>
              </w:rPr>
              <w:t xml:space="preserve">; </w:t>
            </w:r>
            <w:r>
              <w:rPr>
                <w:sz w:val="18"/>
                <w:szCs w:val="18"/>
              </w:rPr>
              <w:t xml:space="preserve">trajna ventilacija definiše se kao </w:t>
            </w:r>
            <w:r w:rsidRPr="00E46062">
              <w:rPr>
                <w:sz w:val="18"/>
                <w:szCs w:val="18"/>
              </w:rPr>
              <w:t xml:space="preserve">traheostomija ili neinvazivna ventilacija u trajanju od </w:t>
            </w:r>
            <w:r w:rsidRPr="00750444">
              <w:rPr>
                <w:sz w:val="18"/>
                <w:szCs w:val="18"/>
              </w:rPr>
              <w:t>≥</w:t>
            </w:r>
            <w:r>
              <w:rPr>
                <w:sz w:val="18"/>
                <w:szCs w:val="18"/>
              </w:rPr>
              <w:t xml:space="preserve"> </w:t>
            </w:r>
            <w:r w:rsidRPr="00750444">
              <w:rPr>
                <w:sz w:val="18"/>
                <w:szCs w:val="18"/>
              </w:rPr>
              <w:t>16</w:t>
            </w:r>
            <w:r>
              <w:rPr>
                <w:sz w:val="18"/>
                <w:szCs w:val="18"/>
              </w:rPr>
              <w:t xml:space="preserve"> sati na dan ili intubacija tokom </w:t>
            </w:r>
            <w:r w:rsidRPr="00750444">
              <w:rPr>
                <w:sz w:val="18"/>
                <w:szCs w:val="18"/>
              </w:rPr>
              <w:t>&gt;</w:t>
            </w:r>
            <w:r>
              <w:rPr>
                <w:sz w:val="18"/>
                <w:szCs w:val="18"/>
              </w:rPr>
              <w:t> </w:t>
            </w:r>
            <w:r w:rsidRPr="00750444">
              <w:rPr>
                <w:sz w:val="18"/>
                <w:szCs w:val="18"/>
              </w:rPr>
              <w:t>21</w:t>
            </w:r>
            <w:r>
              <w:rPr>
                <w:sz w:val="18"/>
                <w:szCs w:val="18"/>
              </w:rPr>
              <w:t xml:space="preserve"> uzastopnog dana </w:t>
            </w:r>
            <w:r w:rsidRPr="00E46062">
              <w:rPr>
                <w:sz w:val="18"/>
                <w:szCs w:val="18"/>
              </w:rPr>
              <w:t>u od</w:t>
            </w:r>
            <w:r>
              <w:rPr>
                <w:sz w:val="18"/>
                <w:szCs w:val="18"/>
              </w:rPr>
              <w:t>sustvu</w:t>
            </w:r>
            <w:r w:rsidRPr="00E46062">
              <w:rPr>
                <w:sz w:val="18"/>
                <w:szCs w:val="18"/>
              </w:rPr>
              <w:t xml:space="preserve"> akutnog reverzibilnog događaja</w:t>
            </w:r>
            <w:r>
              <w:rPr>
                <w:sz w:val="18"/>
                <w:szCs w:val="18"/>
              </w:rPr>
              <w:t xml:space="preserve"> ili nakon njegovog povlačenja</w:t>
            </w:r>
            <w:r w:rsidRPr="00750444">
              <w:rPr>
                <w:sz w:val="18"/>
                <w:szCs w:val="18"/>
              </w:rPr>
              <w:t>.</w:t>
            </w:r>
          </w:p>
        </w:tc>
      </w:tr>
    </w:tbl>
    <w:p w14:paraId="086D41A6" w14:textId="77777777" w:rsidR="00E30E6F" w:rsidRPr="00E30E6F" w:rsidRDefault="00E30E6F" w:rsidP="00E30E6F">
      <w:pPr>
        <w:tabs>
          <w:tab w:val="left" w:pos="540"/>
          <w:tab w:val="left" w:pos="567"/>
        </w:tabs>
        <w:jc w:val="both"/>
        <w:rPr>
          <w:bCs/>
          <w:sz w:val="22"/>
          <w:szCs w:val="22"/>
          <w:lang w:val="hr-HR"/>
        </w:rPr>
      </w:pPr>
    </w:p>
    <w:p w14:paraId="3DAB9C3C" w14:textId="5CAB079A" w:rsidR="00E30E6F" w:rsidRPr="00E30E6F" w:rsidRDefault="00E30E6F" w:rsidP="00E30E6F">
      <w:pPr>
        <w:keepNext/>
        <w:keepLines/>
        <w:widowControl w:val="0"/>
        <w:ind w:left="709" w:hanging="709"/>
        <w:rPr>
          <w:rFonts w:eastAsia="SimSun"/>
          <w:b/>
          <w:bCs/>
          <w:sz w:val="22"/>
          <w:szCs w:val="22"/>
          <w:lang w:val="hr-HR" w:eastAsia="zh-CN"/>
        </w:rPr>
      </w:pPr>
      <w:r w:rsidRPr="00E30E6F">
        <w:rPr>
          <w:rFonts w:eastAsia="SimSun"/>
          <w:b/>
          <w:bCs/>
          <w:noProof/>
          <w:sz w:val="22"/>
          <w:szCs w:val="22"/>
          <w:lang w:val="hr-HR" w:eastAsia="hr-HR"/>
        </w:rPr>
        <w:t>Slika </w:t>
      </w:r>
      <w:r w:rsidRPr="00E30E6F">
        <w:rPr>
          <w:rFonts w:eastAsia="SimSun"/>
          <w:b/>
          <w:bCs/>
          <w:sz w:val="22"/>
          <w:szCs w:val="22"/>
          <w:lang w:val="hr-HR" w:eastAsia="zh-CN"/>
        </w:rPr>
        <w:t>5. Medijana ukupnog CHOP-INTEND rezultata prema pos</w:t>
      </w:r>
      <w:r w:rsidR="001C7EFB">
        <w:rPr>
          <w:rFonts w:eastAsia="SimSun"/>
          <w:b/>
          <w:bCs/>
          <w:sz w:val="22"/>
          <w:szCs w:val="22"/>
          <w:lang w:val="hr-HR" w:eastAsia="zh-CN"/>
        </w:rPr>
        <w:t>j</w:t>
      </w:r>
      <w:r w:rsidRPr="00E30E6F">
        <w:rPr>
          <w:rFonts w:eastAsia="SimSun"/>
          <w:b/>
          <w:bCs/>
          <w:sz w:val="22"/>
          <w:szCs w:val="22"/>
          <w:lang w:val="hr-HR" w:eastAsia="zh-CN"/>
        </w:rPr>
        <w:t xml:space="preserve">eti i broju kopija gena </w:t>
      </w:r>
      <w:r w:rsidRPr="00E30E6F">
        <w:rPr>
          <w:rFonts w:eastAsia="SimSun"/>
          <w:b/>
          <w:bCs/>
          <w:i/>
          <w:iCs/>
          <w:sz w:val="22"/>
          <w:szCs w:val="22"/>
          <w:lang w:val="hr-HR" w:eastAsia="zh-CN"/>
        </w:rPr>
        <w:t>SMN2</w:t>
      </w:r>
      <w:r w:rsidRPr="00E30E6F">
        <w:rPr>
          <w:rFonts w:eastAsia="SimSun"/>
          <w:b/>
          <w:bCs/>
          <w:sz w:val="22"/>
          <w:szCs w:val="22"/>
          <w:lang w:val="hr-HR" w:eastAsia="zh-CN"/>
        </w:rPr>
        <w:t xml:space="preserve"> (ITT populacija)</w:t>
      </w:r>
    </w:p>
    <w:p w14:paraId="7B447FB8" w14:textId="0ACE38E1" w:rsidR="00740B8C" w:rsidRDefault="00740B8C" w:rsidP="00740B8C">
      <w:pPr>
        <w:tabs>
          <w:tab w:val="left" w:pos="540"/>
          <w:tab w:val="left" w:pos="567"/>
        </w:tabs>
        <w:jc w:val="both"/>
        <w:rPr>
          <w:bCs/>
          <w:sz w:val="22"/>
          <w:szCs w:val="22"/>
          <w:lang w:val="sr-Latn-ME"/>
        </w:rPr>
      </w:pPr>
    </w:p>
    <w:p w14:paraId="2468C5EA" w14:textId="7AB68207" w:rsidR="000A493D" w:rsidRDefault="000A493D" w:rsidP="00740B8C">
      <w:pPr>
        <w:tabs>
          <w:tab w:val="left" w:pos="540"/>
          <w:tab w:val="left" w:pos="567"/>
        </w:tabs>
        <w:jc w:val="both"/>
        <w:rPr>
          <w:bCs/>
          <w:sz w:val="22"/>
          <w:szCs w:val="22"/>
          <w:lang w:val="sr-Latn-ME"/>
        </w:rPr>
      </w:pPr>
      <w:r w:rsidRPr="000A493D">
        <w:rPr>
          <w:bCs/>
          <w:noProof/>
          <w:sz w:val="22"/>
          <w:szCs w:val="22"/>
        </w:rPr>
        <w:lastRenderedPageBreak/>
        <w:drawing>
          <wp:inline distT="0" distB="0" distL="0" distR="0" wp14:anchorId="2C9678C6" wp14:editId="7D54E0E3">
            <wp:extent cx="5768975" cy="341693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8975" cy="3416935"/>
                    </a:xfrm>
                    <a:prstGeom prst="rect">
                      <a:avLst/>
                    </a:prstGeom>
                  </pic:spPr>
                </pic:pic>
              </a:graphicData>
            </a:graphic>
          </wp:inline>
        </w:drawing>
      </w:r>
    </w:p>
    <w:p w14:paraId="09FA7D4D" w14:textId="77777777" w:rsidR="000A493D" w:rsidRPr="00E820E5" w:rsidRDefault="000A493D" w:rsidP="000A493D">
      <w:pPr>
        <w:tabs>
          <w:tab w:val="left" w:pos="540"/>
          <w:tab w:val="left" w:pos="567"/>
        </w:tabs>
        <w:jc w:val="both"/>
        <w:rPr>
          <w:bCs/>
          <w:sz w:val="20"/>
          <w:szCs w:val="20"/>
        </w:rPr>
      </w:pPr>
      <w:r w:rsidRPr="00E820E5">
        <w:rPr>
          <w:bCs/>
          <w:sz w:val="20"/>
          <w:szCs w:val="20"/>
        </w:rPr>
        <w:t xml:space="preserve">Skraćenice: </w:t>
      </w:r>
      <w:r w:rsidRPr="00E820E5">
        <w:rPr>
          <w:bCs/>
          <w:i/>
          <w:iCs/>
          <w:sz w:val="20"/>
          <w:szCs w:val="20"/>
        </w:rPr>
        <w:t>SMN2</w:t>
      </w:r>
      <w:r w:rsidRPr="00E820E5">
        <w:rPr>
          <w:bCs/>
          <w:sz w:val="20"/>
          <w:szCs w:val="20"/>
        </w:rPr>
        <w:t> </w:t>
      </w:r>
      <w:r w:rsidRPr="00E820E5">
        <w:rPr>
          <w:bCs/>
          <w:sz w:val="20"/>
          <w:szCs w:val="20"/>
        </w:rPr>
        <w:sym w:font="Symbol" w:char="F03D"/>
      </w:r>
      <w:r w:rsidRPr="00E820E5">
        <w:rPr>
          <w:bCs/>
          <w:sz w:val="20"/>
          <w:szCs w:val="20"/>
        </w:rPr>
        <w:t> gen za preživljenje motoričkih neurona 2.</w:t>
      </w:r>
    </w:p>
    <w:p w14:paraId="7D2978EE" w14:textId="77777777" w:rsidR="00F77D20" w:rsidRPr="00BD2023" w:rsidRDefault="00F77D20" w:rsidP="00BC480A">
      <w:pPr>
        <w:tabs>
          <w:tab w:val="left" w:pos="540"/>
          <w:tab w:val="left" w:pos="569"/>
        </w:tabs>
        <w:jc w:val="both"/>
        <w:rPr>
          <w:b/>
          <w:bCs/>
          <w:sz w:val="22"/>
          <w:szCs w:val="22"/>
          <w:lang w:val="sr-Latn-ME"/>
        </w:rPr>
      </w:pPr>
    </w:p>
    <w:p w14:paraId="3B1149B5" w14:textId="77777777" w:rsidR="0072020E" w:rsidRPr="00BD2023" w:rsidRDefault="0072020E" w:rsidP="00BC480A">
      <w:pPr>
        <w:tabs>
          <w:tab w:val="left" w:pos="540"/>
          <w:tab w:val="left" w:pos="569"/>
        </w:tabs>
        <w:jc w:val="both"/>
        <w:rPr>
          <w:b/>
          <w:bCs/>
          <w:sz w:val="22"/>
          <w:szCs w:val="22"/>
          <w:lang w:val="sr-Latn-ME"/>
        </w:rPr>
      </w:pPr>
      <w:r w:rsidRPr="00BD2023">
        <w:rPr>
          <w:b/>
          <w:bCs/>
          <w:sz w:val="22"/>
          <w:szCs w:val="22"/>
          <w:lang w:val="sr-Latn-ME"/>
        </w:rPr>
        <w:t xml:space="preserve">5.2. </w:t>
      </w:r>
      <w:r w:rsidR="00480FB1" w:rsidRPr="00BD2023">
        <w:rPr>
          <w:b/>
          <w:bCs/>
          <w:sz w:val="22"/>
          <w:szCs w:val="22"/>
          <w:lang w:val="sr-Latn-ME"/>
        </w:rPr>
        <w:tab/>
      </w:r>
      <w:r w:rsidRPr="00BD2023">
        <w:rPr>
          <w:b/>
          <w:bCs/>
          <w:sz w:val="22"/>
          <w:szCs w:val="22"/>
          <w:lang w:val="sr-Latn-ME"/>
        </w:rPr>
        <w:t>Farmakokinetički podaci</w:t>
      </w:r>
      <w:r w:rsidR="003A7059" w:rsidRPr="00BD2023">
        <w:rPr>
          <w:b/>
          <w:bCs/>
          <w:sz w:val="22"/>
          <w:szCs w:val="22"/>
          <w:lang w:val="sr-Latn-ME"/>
        </w:rPr>
        <w:t xml:space="preserve"> </w:t>
      </w:r>
    </w:p>
    <w:p w14:paraId="2145795A" w14:textId="77777777" w:rsidR="00F77D20" w:rsidRPr="00BD2023" w:rsidRDefault="00F77D20" w:rsidP="00BC480A">
      <w:pPr>
        <w:tabs>
          <w:tab w:val="left" w:pos="540"/>
          <w:tab w:val="left" w:pos="569"/>
        </w:tabs>
        <w:jc w:val="both"/>
        <w:rPr>
          <w:b/>
          <w:bCs/>
          <w:sz w:val="22"/>
          <w:szCs w:val="22"/>
          <w:lang w:val="sr-Latn-ME"/>
        </w:rPr>
      </w:pPr>
    </w:p>
    <w:p w14:paraId="12CE153F" w14:textId="05520017" w:rsidR="00BB6003" w:rsidRPr="00BD2023" w:rsidRDefault="00F77D20" w:rsidP="00BC480A">
      <w:pPr>
        <w:pStyle w:val="Paragraph"/>
        <w:spacing w:after="0"/>
        <w:jc w:val="both"/>
        <w:rPr>
          <w:rFonts w:ascii="Times New Roman" w:eastAsia="MS Mincho" w:hAnsi="Times New Roman"/>
          <w:sz w:val="22"/>
          <w:szCs w:val="22"/>
          <w:lang w:val="sr-Latn-ME"/>
        </w:rPr>
      </w:pPr>
      <w:r w:rsidRPr="00BD2023">
        <w:rPr>
          <w:rFonts w:ascii="Times New Roman" w:eastAsia="MS Mincho" w:hAnsi="Times New Roman"/>
          <w:sz w:val="22"/>
          <w:szCs w:val="22"/>
          <w:lang w:val="sr-Latn-ME"/>
        </w:rPr>
        <w:t>Farmakokinetički parametri određeni su kod zdravih odraslih ispitanika i kod pacijenata sa SMA.</w:t>
      </w:r>
      <w:r w:rsidR="00BB6003" w:rsidRPr="00BD2023">
        <w:rPr>
          <w:rFonts w:ascii="Times New Roman" w:eastAsia="MS Mincho" w:hAnsi="Times New Roman"/>
          <w:sz w:val="22"/>
          <w:szCs w:val="22"/>
          <w:lang w:val="sr-Latn-ME"/>
        </w:rPr>
        <w:t xml:space="preserve"> </w:t>
      </w:r>
    </w:p>
    <w:p w14:paraId="468C2949" w14:textId="77777777" w:rsidR="00BB6003" w:rsidRPr="00BD2023" w:rsidRDefault="00BB6003" w:rsidP="00BC480A">
      <w:pPr>
        <w:pStyle w:val="Paragraph"/>
        <w:spacing w:after="0"/>
        <w:jc w:val="both"/>
        <w:rPr>
          <w:rFonts w:ascii="Times New Roman" w:eastAsia="MS Mincho" w:hAnsi="Times New Roman"/>
          <w:bCs/>
          <w:sz w:val="22"/>
          <w:szCs w:val="22"/>
          <w:lang w:val="sr-Latn-ME"/>
        </w:rPr>
      </w:pPr>
    </w:p>
    <w:p w14:paraId="57D98660" w14:textId="09AD9E37" w:rsidR="00F77D20" w:rsidRPr="00BD2023" w:rsidRDefault="00F77D20" w:rsidP="00BC480A">
      <w:pPr>
        <w:pStyle w:val="Paragraph"/>
        <w:spacing w:after="0"/>
        <w:jc w:val="both"/>
        <w:rPr>
          <w:sz w:val="22"/>
          <w:szCs w:val="22"/>
          <w:lang w:val="sr-Latn-ME"/>
        </w:rPr>
      </w:pPr>
      <w:r w:rsidRPr="00BD2023">
        <w:rPr>
          <w:rFonts w:ascii="Times New Roman" w:hAnsi="Times New Roman"/>
          <w:sz w:val="22"/>
          <w:szCs w:val="22"/>
          <w:lang w:val="sr-Latn-ME"/>
        </w:rPr>
        <w:t>Nakon prim</w:t>
      </w:r>
      <w:r w:rsidR="00B21585" w:rsidRPr="00BD2023">
        <w:rPr>
          <w:rFonts w:ascii="Times New Roman" w:hAnsi="Times New Roman"/>
          <w:sz w:val="22"/>
          <w:szCs w:val="22"/>
          <w:lang w:val="sr-Latn-ME"/>
        </w:rPr>
        <w:t>j</w:t>
      </w:r>
      <w:r w:rsidRPr="00BD2023">
        <w:rPr>
          <w:rFonts w:ascii="Times New Roman" w:hAnsi="Times New Roman"/>
          <w:sz w:val="22"/>
          <w:szCs w:val="22"/>
          <w:lang w:val="sr-Latn-ME"/>
        </w:rPr>
        <w:t xml:space="preserve">ene terapije u obliku oralnog rastvora, farmakokinetika risdiplama bila je približno linearna </w:t>
      </w:r>
      <w:r w:rsidR="00BB6003" w:rsidRPr="00BD2023">
        <w:rPr>
          <w:rFonts w:ascii="Times New Roman" w:hAnsi="Times New Roman"/>
          <w:sz w:val="22"/>
          <w:szCs w:val="22"/>
          <w:lang w:val="sr-Latn-ME"/>
        </w:rPr>
        <w:t xml:space="preserve">pri dozama od </w:t>
      </w:r>
      <w:r w:rsidRPr="00BD2023">
        <w:rPr>
          <w:rFonts w:ascii="Times New Roman" w:hAnsi="Times New Roman"/>
          <w:sz w:val="22"/>
          <w:szCs w:val="22"/>
          <w:lang w:val="sr-Latn-ME"/>
        </w:rPr>
        <w:t>0,6 i 18 mg. Farmakokinetika risdiplama najbolje je opisana na populacion</w:t>
      </w:r>
      <w:r w:rsidR="00BB6003" w:rsidRPr="00BD2023">
        <w:rPr>
          <w:rFonts w:ascii="Times New Roman" w:hAnsi="Times New Roman"/>
          <w:sz w:val="22"/>
          <w:szCs w:val="22"/>
          <w:lang w:val="sr-Latn-ME"/>
        </w:rPr>
        <w:t>i</w:t>
      </w:r>
      <w:r w:rsidRPr="00BD2023">
        <w:rPr>
          <w:rFonts w:ascii="Times New Roman" w:hAnsi="Times New Roman"/>
          <w:sz w:val="22"/>
          <w:szCs w:val="22"/>
          <w:lang w:val="sr-Latn-ME"/>
        </w:rPr>
        <w:t>m farmakokinetičk</w:t>
      </w:r>
      <w:r w:rsidR="00BB6003" w:rsidRPr="00BD2023">
        <w:rPr>
          <w:rFonts w:ascii="Times New Roman" w:hAnsi="Times New Roman"/>
          <w:sz w:val="22"/>
          <w:szCs w:val="22"/>
          <w:lang w:val="sr-Latn-ME"/>
        </w:rPr>
        <w:t>i</w:t>
      </w:r>
      <w:r w:rsidRPr="00BD2023">
        <w:rPr>
          <w:rFonts w:ascii="Times New Roman" w:hAnsi="Times New Roman"/>
          <w:sz w:val="22"/>
          <w:szCs w:val="22"/>
          <w:lang w:val="sr-Latn-ME"/>
        </w:rPr>
        <w:t>m model</w:t>
      </w:r>
      <w:r w:rsidR="00BB6003" w:rsidRPr="00BD2023">
        <w:rPr>
          <w:rFonts w:ascii="Times New Roman" w:hAnsi="Times New Roman"/>
          <w:sz w:val="22"/>
          <w:szCs w:val="22"/>
          <w:lang w:val="sr-Latn-ME"/>
        </w:rPr>
        <w:t>om prolaska kroz</w:t>
      </w:r>
      <w:r w:rsidRPr="00BD2023">
        <w:rPr>
          <w:rFonts w:ascii="Times New Roman" w:hAnsi="Times New Roman"/>
          <w:sz w:val="22"/>
          <w:szCs w:val="22"/>
          <w:lang w:val="sr-Latn-ME"/>
        </w:rPr>
        <w:t xml:space="preserve"> tri </w:t>
      </w:r>
      <w:r w:rsidR="007551B5" w:rsidRPr="00BD2023">
        <w:rPr>
          <w:rFonts w:ascii="Times New Roman" w:hAnsi="Times New Roman"/>
          <w:sz w:val="22"/>
          <w:szCs w:val="22"/>
          <w:lang w:val="sr-Latn-ME"/>
        </w:rPr>
        <w:t>odjeljka</w:t>
      </w:r>
      <w:r w:rsidR="00BB6003" w:rsidRPr="00BD2023">
        <w:rPr>
          <w:rFonts w:ascii="Times New Roman" w:hAnsi="Times New Roman"/>
          <w:sz w:val="22"/>
          <w:szCs w:val="22"/>
          <w:lang w:val="sr-Latn-ME"/>
        </w:rPr>
        <w:t xml:space="preserve"> prije resorpcije</w:t>
      </w:r>
      <w:r w:rsidRPr="00BD2023">
        <w:rPr>
          <w:rFonts w:ascii="Times New Roman" w:hAnsi="Times New Roman"/>
          <w:sz w:val="22"/>
          <w:szCs w:val="22"/>
          <w:lang w:val="sr-Latn-ME"/>
        </w:rPr>
        <w:t xml:space="preserve">, </w:t>
      </w:r>
      <w:r w:rsidR="00BB6003" w:rsidRPr="00BD2023">
        <w:rPr>
          <w:rFonts w:ascii="Times New Roman" w:hAnsi="Times New Roman"/>
          <w:sz w:val="22"/>
          <w:szCs w:val="22"/>
          <w:lang w:val="sr-Latn-ME"/>
        </w:rPr>
        <w:t xml:space="preserve">dispozicije u </w:t>
      </w:r>
      <w:r w:rsidRPr="00BD2023">
        <w:rPr>
          <w:rFonts w:ascii="Times New Roman" w:hAnsi="Times New Roman"/>
          <w:sz w:val="22"/>
          <w:szCs w:val="22"/>
          <w:lang w:val="sr-Latn-ME"/>
        </w:rPr>
        <w:t>dv</w:t>
      </w:r>
      <w:r w:rsidR="00BB6003" w:rsidRPr="00BD2023">
        <w:rPr>
          <w:rFonts w:ascii="Times New Roman" w:hAnsi="Times New Roman"/>
          <w:sz w:val="22"/>
          <w:szCs w:val="22"/>
          <w:lang w:val="sr-Latn-ME"/>
        </w:rPr>
        <w:t xml:space="preserve">a </w:t>
      </w:r>
      <w:r w:rsidR="007551B5" w:rsidRPr="00BD2023">
        <w:rPr>
          <w:rFonts w:ascii="Times New Roman" w:hAnsi="Times New Roman"/>
          <w:sz w:val="22"/>
          <w:szCs w:val="22"/>
          <w:lang w:val="sr-Latn-ME"/>
        </w:rPr>
        <w:t xml:space="preserve">odjeljka </w:t>
      </w:r>
      <w:r w:rsidRPr="00BD2023">
        <w:rPr>
          <w:rFonts w:ascii="Times New Roman" w:hAnsi="Times New Roman"/>
          <w:sz w:val="22"/>
          <w:szCs w:val="22"/>
          <w:lang w:val="sr-Latn-ME"/>
        </w:rPr>
        <w:t>i eliminacij</w:t>
      </w:r>
      <w:r w:rsidR="00BB6003" w:rsidRPr="00BD2023">
        <w:rPr>
          <w:rFonts w:ascii="Times New Roman" w:hAnsi="Times New Roman"/>
          <w:sz w:val="22"/>
          <w:szCs w:val="22"/>
          <w:lang w:val="sr-Latn-ME"/>
        </w:rPr>
        <w:t>e</w:t>
      </w:r>
      <w:r w:rsidRPr="00BD2023">
        <w:rPr>
          <w:rFonts w:ascii="Times New Roman" w:hAnsi="Times New Roman"/>
          <w:sz w:val="22"/>
          <w:szCs w:val="22"/>
          <w:lang w:val="sr-Latn-ME"/>
        </w:rPr>
        <w:t xml:space="preserve"> prvog reda. Otkriveno je da </w:t>
      </w:r>
      <w:r w:rsidR="00402B76" w:rsidRPr="00BD2023">
        <w:rPr>
          <w:rFonts w:ascii="Times New Roman" w:hAnsi="Times New Roman"/>
          <w:sz w:val="22"/>
          <w:szCs w:val="22"/>
          <w:lang w:val="sr-Latn-ME"/>
        </w:rPr>
        <w:t>tjelesn</w:t>
      </w:r>
      <w:r w:rsidRPr="00BD2023">
        <w:rPr>
          <w:rFonts w:ascii="Times New Roman" w:hAnsi="Times New Roman"/>
          <w:sz w:val="22"/>
          <w:szCs w:val="22"/>
          <w:lang w:val="sr-Latn-ME"/>
        </w:rPr>
        <w:t xml:space="preserve">a </w:t>
      </w:r>
      <w:r w:rsidR="00BB6003" w:rsidRPr="00BD2023">
        <w:rPr>
          <w:rFonts w:ascii="Times New Roman" w:hAnsi="Times New Roman"/>
          <w:sz w:val="22"/>
          <w:szCs w:val="22"/>
          <w:lang w:val="sr-Latn-ME"/>
        </w:rPr>
        <w:t xml:space="preserve">masa </w:t>
      </w:r>
      <w:r w:rsidRPr="00BD2023">
        <w:rPr>
          <w:rFonts w:ascii="Times New Roman" w:hAnsi="Times New Roman"/>
          <w:sz w:val="22"/>
          <w:szCs w:val="22"/>
          <w:lang w:val="sr-Latn-ME"/>
        </w:rPr>
        <w:t xml:space="preserve">i uzrast imaju značajan uticaj na farmakokinetiku. </w:t>
      </w:r>
    </w:p>
    <w:p w14:paraId="4F04F876" w14:textId="77777777" w:rsidR="00F77D20" w:rsidRPr="00BD2023" w:rsidRDefault="00F77D20" w:rsidP="00BC480A">
      <w:pPr>
        <w:numPr>
          <w:ilvl w:val="12"/>
          <w:numId w:val="0"/>
        </w:numPr>
        <w:ind w:right="-2"/>
        <w:jc w:val="both"/>
        <w:rPr>
          <w:sz w:val="22"/>
          <w:szCs w:val="22"/>
          <w:lang w:val="sr-Latn-ME" w:eastAsia="zh-CN"/>
        </w:rPr>
      </w:pPr>
    </w:p>
    <w:p w14:paraId="312E4144" w14:textId="59667AE9" w:rsidR="001A0E71" w:rsidRPr="00F4349E" w:rsidRDefault="00F77D20" w:rsidP="00305007">
      <w:pPr>
        <w:numPr>
          <w:ilvl w:val="12"/>
          <w:numId w:val="0"/>
        </w:numPr>
        <w:ind w:right="-143"/>
        <w:jc w:val="both"/>
        <w:rPr>
          <w:sz w:val="22"/>
          <w:szCs w:val="22"/>
          <w:lang w:val="sr-Latn-RS" w:eastAsia="zh-CN"/>
        </w:rPr>
      </w:pPr>
      <w:r w:rsidRPr="00BD2023">
        <w:rPr>
          <w:sz w:val="22"/>
          <w:szCs w:val="22"/>
          <w:lang w:val="sr-Latn-ME" w:eastAsia="zh-CN"/>
        </w:rPr>
        <w:t>Proc</w:t>
      </w:r>
      <w:r w:rsidR="00B21585" w:rsidRPr="00BD2023">
        <w:rPr>
          <w:sz w:val="22"/>
          <w:szCs w:val="22"/>
          <w:lang w:val="sr-Latn-ME" w:eastAsia="zh-CN"/>
        </w:rPr>
        <w:t>ij</w:t>
      </w:r>
      <w:r w:rsidRPr="00BD2023">
        <w:rPr>
          <w:sz w:val="22"/>
          <w:szCs w:val="22"/>
          <w:lang w:val="sr-Latn-ME" w:eastAsia="zh-CN"/>
        </w:rPr>
        <w:t xml:space="preserve">enjena izloženost (srednja </w:t>
      </w:r>
      <w:r w:rsidR="00BB6003" w:rsidRPr="00BD2023">
        <w:rPr>
          <w:sz w:val="22"/>
          <w:szCs w:val="22"/>
          <w:lang w:val="sr-Latn-ME" w:eastAsia="zh-CN"/>
        </w:rPr>
        <w:t xml:space="preserve">vrijednost </w:t>
      </w:r>
      <w:r w:rsidRPr="00BD2023">
        <w:rPr>
          <w:sz w:val="22"/>
          <w:szCs w:val="22"/>
          <w:lang w:val="sr-Latn-ME" w:eastAsia="zh-CN"/>
        </w:rPr>
        <w:t>AUC</w:t>
      </w:r>
      <w:r w:rsidRPr="00BD2023">
        <w:rPr>
          <w:sz w:val="22"/>
          <w:szCs w:val="22"/>
          <w:vertAlign w:val="subscript"/>
          <w:lang w:val="sr-Latn-ME" w:eastAsia="zh-CN"/>
        </w:rPr>
        <w:t>0-24h</w:t>
      </w:r>
      <w:r w:rsidRPr="00BD2023">
        <w:rPr>
          <w:sz w:val="22"/>
          <w:szCs w:val="22"/>
          <w:lang w:val="sr-Latn-ME" w:eastAsia="zh-CN"/>
        </w:rPr>
        <w:t xml:space="preserve">) za pacijente sa SMA sa početkom u infantilnom periodu (uzrasta 2–7 </w:t>
      </w:r>
      <w:r w:rsidR="00B744E8" w:rsidRPr="00BD2023">
        <w:rPr>
          <w:sz w:val="22"/>
          <w:szCs w:val="22"/>
          <w:lang w:val="sr-Latn-ME" w:eastAsia="zh-CN"/>
        </w:rPr>
        <w:t>mjesec</w:t>
      </w:r>
      <w:r w:rsidRPr="00BD2023">
        <w:rPr>
          <w:sz w:val="22"/>
          <w:szCs w:val="22"/>
          <w:lang w:val="sr-Latn-ME" w:eastAsia="zh-CN"/>
        </w:rPr>
        <w:t xml:space="preserve">i prilikom uključivanja) u terapijskoj dozi od 0,2 mg/kg jednom dnevno </w:t>
      </w:r>
      <w:r w:rsidR="007551B5" w:rsidRPr="00BD2023">
        <w:rPr>
          <w:sz w:val="22"/>
          <w:szCs w:val="22"/>
          <w:lang w:val="sr-Latn-ME" w:eastAsia="zh-CN"/>
        </w:rPr>
        <w:t xml:space="preserve">iznosila </w:t>
      </w:r>
      <w:r w:rsidRPr="00BD2023">
        <w:rPr>
          <w:sz w:val="22"/>
          <w:szCs w:val="22"/>
          <w:lang w:val="sr-Latn-ME" w:eastAsia="zh-CN"/>
        </w:rPr>
        <w:t>je 1930 ng.h/</w:t>
      </w:r>
      <w:r w:rsidR="008C4153" w:rsidRPr="00BD2023">
        <w:rPr>
          <w:sz w:val="22"/>
          <w:szCs w:val="22"/>
          <w:lang w:val="sr-Latn-ME" w:eastAsia="zh-CN"/>
        </w:rPr>
        <w:t>ml</w:t>
      </w:r>
      <w:r w:rsidRPr="00BD2023">
        <w:rPr>
          <w:sz w:val="22"/>
          <w:szCs w:val="22"/>
          <w:lang w:val="sr-Latn-ME" w:eastAsia="zh-CN"/>
        </w:rPr>
        <w:t xml:space="preserve">. </w:t>
      </w:r>
      <w:r w:rsidR="00740B8C" w:rsidRPr="00BD2023">
        <w:rPr>
          <w:sz w:val="22"/>
          <w:szCs w:val="22"/>
          <w:lang w:val="sr-Latn-ME" w:eastAsia="zh-CN"/>
        </w:rPr>
        <w:t>Proc</w:t>
      </w:r>
      <w:r w:rsidR="00435851" w:rsidRPr="00BD2023">
        <w:rPr>
          <w:sz w:val="22"/>
          <w:szCs w:val="22"/>
          <w:lang w:val="sr-Latn-ME" w:eastAsia="zh-CN"/>
        </w:rPr>
        <w:t>i</w:t>
      </w:r>
      <w:r w:rsidR="00740B8C" w:rsidRPr="00BD2023">
        <w:rPr>
          <w:sz w:val="22"/>
          <w:szCs w:val="22"/>
          <w:lang w:val="sr-Latn-ME" w:eastAsia="zh-CN"/>
        </w:rPr>
        <w:t xml:space="preserve">jenjena srednja vrijednost izloženosti za predsimpotmatsku odojčad (uzrasta od </w:t>
      </w:r>
      <w:r w:rsidR="000A493D">
        <w:rPr>
          <w:sz w:val="22"/>
          <w:szCs w:val="22"/>
          <w:lang w:val="sr-Latn-ME" w:eastAsia="zh-CN"/>
        </w:rPr>
        <w:t>16</w:t>
      </w:r>
      <w:r w:rsidR="00740B8C" w:rsidRPr="00BD2023">
        <w:rPr>
          <w:sz w:val="22"/>
          <w:szCs w:val="22"/>
          <w:lang w:val="sr-Latn-ME" w:eastAsia="zh-CN"/>
        </w:rPr>
        <w:t xml:space="preserve"> dana do &lt; 2 mjeseca) nakon 2 ned</w:t>
      </w:r>
      <w:r w:rsidR="00BD2023">
        <w:rPr>
          <w:sz w:val="22"/>
          <w:szCs w:val="22"/>
          <w:lang w:val="sr-Latn-ME" w:eastAsia="zh-CN"/>
        </w:rPr>
        <w:t>j</w:t>
      </w:r>
      <w:r w:rsidR="00740B8C" w:rsidRPr="00BD2023">
        <w:rPr>
          <w:sz w:val="22"/>
          <w:szCs w:val="22"/>
          <w:lang w:val="sr-Latn-ME" w:eastAsia="zh-CN"/>
        </w:rPr>
        <w:t xml:space="preserve">elje primjene doze od 0,15 mg/kg jednom dnevno u okviru studije RAINBOWFISH bila je </w:t>
      </w:r>
      <w:r w:rsidR="000A493D">
        <w:rPr>
          <w:sz w:val="22"/>
          <w:szCs w:val="22"/>
          <w:lang w:val="sr-Latn-ME" w:eastAsia="zh-CN"/>
        </w:rPr>
        <w:t>2020</w:t>
      </w:r>
      <w:r w:rsidR="00740B8C" w:rsidRPr="00BD2023">
        <w:rPr>
          <w:sz w:val="22"/>
          <w:szCs w:val="22"/>
          <w:lang w:val="sr-Latn-ME" w:eastAsia="zh-CN"/>
        </w:rPr>
        <w:t xml:space="preserve"> nanogram.h/mL. </w:t>
      </w:r>
      <w:r w:rsidRPr="00BD2023">
        <w:rPr>
          <w:sz w:val="22"/>
          <w:szCs w:val="22"/>
          <w:lang w:val="sr-Latn-ME" w:eastAsia="zh-CN"/>
        </w:rPr>
        <w:t>Proc</w:t>
      </w:r>
      <w:r w:rsidR="00B21585" w:rsidRPr="00BD2023">
        <w:rPr>
          <w:sz w:val="22"/>
          <w:szCs w:val="22"/>
          <w:lang w:val="sr-Latn-ME" w:eastAsia="zh-CN"/>
        </w:rPr>
        <w:t>ij</w:t>
      </w:r>
      <w:r w:rsidRPr="00BD2023">
        <w:rPr>
          <w:sz w:val="22"/>
          <w:szCs w:val="22"/>
          <w:lang w:val="sr-Latn-ME" w:eastAsia="zh-CN"/>
        </w:rPr>
        <w:t>enjena izloženost za pacijente sa SMA sa početkom u kasnijem periodu (2–25 godina prilikom uključivanja) u studiji SUNFISH (</w:t>
      </w:r>
      <w:r w:rsidR="00BB6003" w:rsidRPr="00BD2023">
        <w:rPr>
          <w:sz w:val="22"/>
          <w:szCs w:val="22"/>
          <w:lang w:val="sr-Latn-ME" w:eastAsia="zh-CN"/>
        </w:rPr>
        <w:t>u drugom</w:t>
      </w:r>
      <w:r w:rsidRPr="00BD2023">
        <w:rPr>
          <w:sz w:val="22"/>
          <w:szCs w:val="22"/>
          <w:lang w:val="sr-Latn-ME" w:eastAsia="zh-CN"/>
        </w:rPr>
        <w:t xml:space="preserve"> </w:t>
      </w:r>
      <w:r w:rsidR="005D411F" w:rsidRPr="00BD2023">
        <w:rPr>
          <w:sz w:val="22"/>
          <w:szCs w:val="22"/>
          <w:lang w:val="sr-Latn-ME" w:eastAsia="zh-CN"/>
        </w:rPr>
        <w:t>dijelu</w:t>
      </w:r>
      <w:r w:rsidRPr="00BD2023">
        <w:rPr>
          <w:sz w:val="22"/>
          <w:szCs w:val="22"/>
          <w:lang w:val="sr-Latn-ME" w:eastAsia="zh-CN"/>
        </w:rPr>
        <w:t xml:space="preserve">) u terapijskoj dozi (0,25 mg/kg jednom dnevno za pacijente </w:t>
      </w:r>
      <w:r w:rsidR="00402B76" w:rsidRPr="00BD2023">
        <w:rPr>
          <w:sz w:val="22"/>
          <w:szCs w:val="22"/>
          <w:lang w:val="sr-Latn-ME" w:eastAsia="zh-CN"/>
        </w:rPr>
        <w:t>tjelesn</w:t>
      </w:r>
      <w:r w:rsidRPr="00BD2023">
        <w:rPr>
          <w:sz w:val="22"/>
          <w:szCs w:val="22"/>
          <w:lang w:val="sr-Latn-ME" w:eastAsia="zh-CN"/>
        </w:rPr>
        <w:t xml:space="preserve">e </w:t>
      </w:r>
      <w:r w:rsidR="00BB6003" w:rsidRPr="00BD2023">
        <w:rPr>
          <w:sz w:val="22"/>
          <w:szCs w:val="22"/>
          <w:lang w:val="sr-Latn-ME" w:eastAsia="zh-CN"/>
        </w:rPr>
        <w:t xml:space="preserve">mase </w:t>
      </w:r>
      <w:r w:rsidRPr="00BD2023">
        <w:rPr>
          <w:sz w:val="22"/>
          <w:szCs w:val="22"/>
          <w:lang w:val="sr-Latn-ME" w:eastAsia="zh-CN"/>
        </w:rPr>
        <w:t>&lt;20 kg</w:t>
      </w:r>
      <w:r w:rsidR="00BB6003" w:rsidRPr="00BD2023">
        <w:rPr>
          <w:sz w:val="22"/>
          <w:szCs w:val="22"/>
          <w:lang w:val="sr-Latn-ME" w:eastAsia="zh-CN"/>
        </w:rPr>
        <w:t>, odnosno</w:t>
      </w:r>
      <w:r w:rsidRPr="00BD2023">
        <w:rPr>
          <w:sz w:val="22"/>
          <w:szCs w:val="22"/>
          <w:lang w:val="sr-Latn-ME" w:eastAsia="zh-CN"/>
        </w:rPr>
        <w:t xml:space="preserve"> 5 mg jednom dnevno za pacijente </w:t>
      </w:r>
      <w:r w:rsidR="00402B76" w:rsidRPr="00BD2023">
        <w:rPr>
          <w:sz w:val="22"/>
          <w:szCs w:val="22"/>
          <w:lang w:val="sr-Latn-ME" w:eastAsia="zh-CN"/>
        </w:rPr>
        <w:t>tjelesn</w:t>
      </w:r>
      <w:r w:rsidRPr="00BD2023">
        <w:rPr>
          <w:sz w:val="22"/>
          <w:szCs w:val="22"/>
          <w:lang w:val="sr-Latn-ME" w:eastAsia="zh-CN"/>
        </w:rPr>
        <w:t xml:space="preserve">e </w:t>
      </w:r>
      <w:r w:rsidR="00BB6003" w:rsidRPr="00BD2023">
        <w:rPr>
          <w:sz w:val="22"/>
          <w:szCs w:val="22"/>
          <w:lang w:val="sr-Latn-ME" w:eastAsia="zh-CN"/>
        </w:rPr>
        <w:t xml:space="preserve">mase </w:t>
      </w:r>
      <w:r w:rsidRPr="00BD2023">
        <w:rPr>
          <w:sz w:val="22"/>
          <w:szCs w:val="22"/>
          <w:lang w:val="sr-Latn-ME" w:eastAsia="zh-CN"/>
        </w:rPr>
        <w:t xml:space="preserve">≥20 kg) </w:t>
      </w:r>
      <w:r w:rsidR="007551B5" w:rsidRPr="00BD2023">
        <w:rPr>
          <w:sz w:val="22"/>
          <w:szCs w:val="22"/>
          <w:lang w:val="sr-Latn-ME" w:eastAsia="zh-CN"/>
        </w:rPr>
        <w:t xml:space="preserve">iznosila </w:t>
      </w:r>
      <w:r w:rsidRPr="00BD2023">
        <w:rPr>
          <w:sz w:val="22"/>
          <w:szCs w:val="22"/>
          <w:lang w:val="sr-Latn-ME" w:eastAsia="zh-CN"/>
        </w:rPr>
        <w:t>je 2070 ng.h/</w:t>
      </w:r>
      <w:r w:rsidR="008C4153" w:rsidRPr="00BD2023">
        <w:rPr>
          <w:sz w:val="22"/>
          <w:szCs w:val="22"/>
          <w:lang w:val="sr-Latn-ME" w:eastAsia="zh-CN"/>
        </w:rPr>
        <w:t>ml</w:t>
      </w:r>
      <w:r w:rsidR="007B23EC" w:rsidRPr="007B23EC">
        <w:rPr>
          <w:sz w:val="22"/>
          <w:szCs w:val="22"/>
          <w:lang w:val="sr-Latn-RS" w:eastAsia="zh-CN"/>
        </w:rPr>
        <w:t xml:space="preserve"> nakon 1 godine l</w:t>
      </w:r>
      <w:r w:rsidR="007B23EC">
        <w:rPr>
          <w:sz w:val="22"/>
          <w:szCs w:val="22"/>
          <w:lang w:val="sr-Latn-RS" w:eastAsia="zh-CN"/>
        </w:rPr>
        <w:t>ij</w:t>
      </w:r>
      <w:r w:rsidR="007B23EC" w:rsidRPr="007B23EC">
        <w:rPr>
          <w:sz w:val="22"/>
          <w:szCs w:val="22"/>
          <w:lang w:val="sr-Latn-RS" w:eastAsia="zh-CN"/>
        </w:rPr>
        <w:t>ečenja i 1940 n</w:t>
      </w:r>
      <w:r w:rsidR="007B23EC">
        <w:rPr>
          <w:sz w:val="22"/>
          <w:szCs w:val="22"/>
          <w:lang w:val="sr-Latn-RS" w:eastAsia="zh-CN"/>
        </w:rPr>
        <w:t>g</w:t>
      </w:r>
      <w:r w:rsidR="007B23EC" w:rsidRPr="007B23EC">
        <w:rPr>
          <w:sz w:val="22"/>
          <w:szCs w:val="22"/>
          <w:lang w:val="sr-Latn-RS" w:eastAsia="zh-CN"/>
        </w:rPr>
        <w:t>.h/m</w:t>
      </w:r>
      <w:r w:rsidR="007B23EC">
        <w:rPr>
          <w:sz w:val="22"/>
          <w:szCs w:val="22"/>
          <w:lang w:val="sr-Latn-RS" w:eastAsia="zh-CN"/>
        </w:rPr>
        <w:t>l</w:t>
      </w:r>
      <w:r w:rsidR="007B23EC" w:rsidRPr="007B23EC">
        <w:rPr>
          <w:sz w:val="22"/>
          <w:szCs w:val="22"/>
          <w:lang w:val="sr-Latn-RS" w:eastAsia="zh-CN"/>
        </w:rPr>
        <w:t xml:space="preserve"> nakon 5 godina l</w:t>
      </w:r>
      <w:r w:rsidR="007B23EC">
        <w:rPr>
          <w:sz w:val="22"/>
          <w:szCs w:val="22"/>
          <w:lang w:val="sr-Latn-RS" w:eastAsia="zh-CN"/>
        </w:rPr>
        <w:t>ij</w:t>
      </w:r>
      <w:r w:rsidR="007B23EC" w:rsidRPr="007B23EC">
        <w:rPr>
          <w:sz w:val="22"/>
          <w:szCs w:val="22"/>
          <w:lang w:val="sr-Latn-RS" w:eastAsia="zh-CN"/>
        </w:rPr>
        <w:t>ečenja</w:t>
      </w:r>
      <w:r w:rsidRPr="00BD2023">
        <w:rPr>
          <w:sz w:val="22"/>
          <w:szCs w:val="22"/>
          <w:lang w:val="sr-Latn-ME" w:eastAsia="zh-CN"/>
        </w:rPr>
        <w:t xml:space="preserve">. </w:t>
      </w:r>
      <w:r w:rsidR="001A0E71" w:rsidRPr="00BD2023">
        <w:rPr>
          <w:sz w:val="22"/>
          <w:szCs w:val="22"/>
          <w:lang w:val="sr-Latn-ME"/>
        </w:rPr>
        <w:t xml:space="preserve">Procijenjena izloženost </w:t>
      </w:r>
      <w:r w:rsidR="001A0E71" w:rsidRPr="00BD2023">
        <w:rPr>
          <w:bCs/>
          <w:sz w:val="22"/>
          <w:szCs w:val="22"/>
          <w:lang w:val="sr-Latn-ME"/>
        </w:rPr>
        <w:t>(srednja vrijednost AUC</w:t>
      </w:r>
      <w:r w:rsidR="001A0E71" w:rsidRPr="00BD2023">
        <w:rPr>
          <w:bCs/>
          <w:sz w:val="22"/>
          <w:szCs w:val="22"/>
          <w:vertAlign w:val="subscript"/>
          <w:lang w:val="sr-Latn-ME"/>
        </w:rPr>
        <w:t>0</w:t>
      </w:r>
      <w:r w:rsidR="001A0E71" w:rsidRPr="00BD2023">
        <w:rPr>
          <w:bCs/>
          <w:sz w:val="22"/>
          <w:szCs w:val="22"/>
          <w:vertAlign w:val="subscript"/>
          <w:lang w:val="sr-Latn-ME"/>
        </w:rPr>
        <w:noBreakHyphen/>
        <w:t>24h</w:t>
      </w:r>
      <w:r w:rsidR="001A0E71" w:rsidRPr="00BD2023">
        <w:rPr>
          <w:bCs/>
          <w:sz w:val="22"/>
          <w:szCs w:val="22"/>
          <w:lang w:val="sr-Latn-ME"/>
        </w:rPr>
        <w:t>) kod pacijenata</w:t>
      </w:r>
      <w:r w:rsidR="001A0E71" w:rsidRPr="00BD2023">
        <w:rPr>
          <w:sz w:val="22"/>
          <w:szCs w:val="22"/>
          <w:lang w:val="sr-Latn-ME"/>
        </w:rPr>
        <w:t xml:space="preserve"> prethodno liječenih terapijama za SMA </w:t>
      </w:r>
      <w:r w:rsidR="001A0E71" w:rsidRPr="00BD2023">
        <w:rPr>
          <w:bCs/>
          <w:sz w:val="22"/>
          <w:szCs w:val="22"/>
          <w:lang w:val="sr-Latn-ME"/>
        </w:rPr>
        <w:t xml:space="preserve">(uzrasta od 1 do 60 godina pri uključivanju u studiju) kod primjene terapijske doze od 0,25 mg/kg ili 5 mg iznosila je 1700 ng h/mL. </w:t>
      </w:r>
      <w:r w:rsidRPr="00BD2023">
        <w:rPr>
          <w:sz w:val="22"/>
          <w:szCs w:val="22"/>
          <w:lang w:val="sr-Latn-ME" w:eastAsia="zh-CN"/>
        </w:rPr>
        <w:t xml:space="preserve">Opservirana maksimalna koncentracija (srednja </w:t>
      </w:r>
      <w:r w:rsidR="00F73418" w:rsidRPr="00BD2023">
        <w:rPr>
          <w:sz w:val="22"/>
          <w:szCs w:val="22"/>
          <w:lang w:val="sr-Latn-ME" w:eastAsia="zh-CN"/>
        </w:rPr>
        <w:t>vrijednost</w:t>
      </w:r>
      <w:r w:rsidRPr="00BD2023">
        <w:rPr>
          <w:sz w:val="22"/>
          <w:szCs w:val="22"/>
          <w:lang w:val="sr-Latn-ME" w:eastAsia="zh-CN"/>
        </w:rPr>
        <w:t xml:space="preserve"> Cmax) bila je 194 ng/</w:t>
      </w:r>
      <w:r w:rsidR="008C4153" w:rsidRPr="00BD2023">
        <w:rPr>
          <w:sz w:val="22"/>
          <w:szCs w:val="22"/>
          <w:lang w:val="sr-Latn-ME" w:eastAsia="zh-CN"/>
        </w:rPr>
        <w:t>ml</w:t>
      </w:r>
      <w:r w:rsidRPr="00BD2023">
        <w:rPr>
          <w:sz w:val="22"/>
          <w:szCs w:val="22"/>
          <w:lang w:val="sr-Latn-ME" w:eastAsia="zh-CN"/>
        </w:rPr>
        <w:t xml:space="preserve"> </w:t>
      </w:r>
      <w:r w:rsidR="00BB6003" w:rsidRPr="00BD2023">
        <w:rPr>
          <w:sz w:val="22"/>
          <w:szCs w:val="22"/>
          <w:lang w:val="sr-Latn-ME" w:eastAsia="zh-CN"/>
        </w:rPr>
        <w:t>pri dozi od</w:t>
      </w:r>
      <w:r w:rsidRPr="00BD2023">
        <w:rPr>
          <w:sz w:val="22"/>
          <w:szCs w:val="22"/>
          <w:lang w:val="sr-Latn-ME" w:eastAsia="zh-CN"/>
        </w:rPr>
        <w:t xml:space="preserve"> 0,2 mg/kg u studiji FIREFISH </w:t>
      </w:r>
      <w:r w:rsidR="00BB6003" w:rsidRPr="00BD2023">
        <w:rPr>
          <w:sz w:val="22"/>
          <w:szCs w:val="22"/>
          <w:lang w:val="sr-Latn-ME" w:eastAsia="zh-CN"/>
        </w:rPr>
        <w:t>odnosno</w:t>
      </w:r>
      <w:r w:rsidRPr="00BD2023">
        <w:rPr>
          <w:sz w:val="22"/>
          <w:szCs w:val="22"/>
          <w:lang w:val="sr-Latn-ME" w:eastAsia="zh-CN"/>
        </w:rPr>
        <w:t xml:space="preserve"> </w:t>
      </w:r>
      <w:r w:rsidR="007B23EC">
        <w:rPr>
          <w:sz w:val="22"/>
          <w:szCs w:val="22"/>
          <w:lang w:val="sr-Latn-ME" w:eastAsia="zh-CN"/>
        </w:rPr>
        <w:t>140</w:t>
      </w:r>
      <w:r w:rsidRPr="00BD2023">
        <w:rPr>
          <w:sz w:val="22"/>
          <w:szCs w:val="22"/>
          <w:lang w:val="sr-Latn-ME" w:eastAsia="zh-CN"/>
        </w:rPr>
        <w:t xml:space="preserve"> ng/</w:t>
      </w:r>
      <w:r w:rsidR="008C4153" w:rsidRPr="00BD2023">
        <w:rPr>
          <w:sz w:val="22"/>
          <w:szCs w:val="22"/>
          <w:lang w:val="sr-Latn-ME" w:eastAsia="zh-CN"/>
        </w:rPr>
        <w:t>ml</w:t>
      </w:r>
      <w:r w:rsidRPr="00BD2023">
        <w:rPr>
          <w:sz w:val="22"/>
          <w:szCs w:val="22"/>
          <w:lang w:val="sr-Latn-ME" w:eastAsia="zh-CN"/>
        </w:rPr>
        <w:t xml:space="preserve"> u </w:t>
      </w:r>
      <w:r w:rsidR="00BB6003" w:rsidRPr="00BD2023">
        <w:rPr>
          <w:sz w:val="22"/>
          <w:szCs w:val="22"/>
          <w:lang w:val="sr-Latn-ME" w:eastAsia="zh-CN"/>
        </w:rPr>
        <w:t>drugom</w:t>
      </w:r>
      <w:r w:rsidRPr="00BD2023">
        <w:rPr>
          <w:sz w:val="22"/>
          <w:szCs w:val="22"/>
          <w:lang w:val="sr-Latn-ME" w:eastAsia="zh-CN"/>
        </w:rPr>
        <w:t xml:space="preserve"> </w:t>
      </w:r>
      <w:r w:rsidR="005D411F" w:rsidRPr="00BD2023">
        <w:rPr>
          <w:sz w:val="22"/>
          <w:szCs w:val="22"/>
          <w:lang w:val="sr-Latn-ME" w:eastAsia="zh-CN"/>
        </w:rPr>
        <w:t>dijelu</w:t>
      </w:r>
      <w:r w:rsidRPr="00BD2023">
        <w:rPr>
          <w:sz w:val="22"/>
          <w:szCs w:val="22"/>
          <w:lang w:val="sr-Latn-ME" w:eastAsia="zh-CN"/>
        </w:rPr>
        <w:t xml:space="preserve"> studije SUNFISH</w:t>
      </w:r>
      <w:r w:rsidR="001A0E71" w:rsidRPr="00BD2023">
        <w:rPr>
          <w:sz w:val="22"/>
          <w:szCs w:val="22"/>
          <w:lang w:val="sr-Latn-ME" w:eastAsia="zh-CN"/>
        </w:rPr>
        <w:t xml:space="preserve"> </w:t>
      </w:r>
      <w:r w:rsidR="001A0E71" w:rsidRPr="00BD2023">
        <w:rPr>
          <w:sz w:val="22"/>
          <w:szCs w:val="22"/>
          <w:lang w:val="sr-Latn-ME"/>
        </w:rPr>
        <w:t>odnosno 129 ng/mL u studiji JEWELFISH</w:t>
      </w:r>
      <w:r w:rsidR="00740B8C" w:rsidRPr="00BD2023">
        <w:rPr>
          <w:sz w:val="22"/>
          <w:szCs w:val="22"/>
          <w:lang w:val="sr-Latn-ME"/>
        </w:rPr>
        <w:t xml:space="preserve">, dok procijenjena maksimalna koncentracija pri dozi od 0,15mg/kg u studiji RAINBOWFISH iznosi </w:t>
      </w:r>
      <w:r w:rsidR="000A493D">
        <w:rPr>
          <w:sz w:val="22"/>
          <w:szCs w:val="22"/>
          <w:lang w:val="sr-Latn-ME"/>
        </w:rPr>
        <w:t>111</w:t>
      </w:r>
      <w:r w:rsidR="00740B8C" w:rsidRPr="00BD2023">
        <w:rPr>
          <w:sz w:val="22"/>
          <w:szCs w:val="22"/>
          <w:lang w:val="sr-Latn-ME"/>
        </w:rPr>
        <w:t xml:space="preserve"> nanogram/mL</w:t>
      </w:r>
      <w:r w:rsidR="001A0E71" w:rsidRPr="00BD2023">
        <w:rPr>
          <w:sz w:val="22"/>
          <w:szCs w:val="22"/>
          <w:lang w:val="sr-Latn-ME"/>
        </w:rPr>
        <w:t>.</w:t>
      </w:r>
    </w:p>
    <w:p w14:paraId="3EFD486E" w14:textId="67DDD4EA" w:rsidR="00F77D20" w:rsidRPr="00BD2023" w:rsidRDefault="00F77D20" w:rsidP="00BC480A">
      <w:pPr>
        <w:numPr>
          <w:ilvl w:val="12"/>
          <w:numId w:val="0"/>
        </w:numPr>
        <w:ind w:right="-2"/>
        <w:jc w:val="both"/>
        <w:rPr>
          <w:sz w:val="22"/>
          <w:szCs w:val="22"/>
          <w:lang w:val="sr-Latn-ME" w:eastAsia="zh-CN"/>
        </w:rPr>
      </w:pPr>
    </w:p>
    <w:p w14:paraId="15D07B55" w14:textId="77777777" w:rsidR="00F77D20" w:rsidRPr="00BD2023" w:rsidRDefault="00F77D20" w:rsidP="00BC480A">
      <w:pPr>
        <w:numPr>
          <w:ilvl w:val="12"/>
          <w:numId w:val="0"/>
        </w:numPr>
        <w:ind w:right="-2"/>
        <w:jc w:val="both"/>
        <w:rPr>
          <w:sz w:val="22"/>
          <w:szCs w:val="22"/>
          <w:u w:val="single"/>
          <w:lang w:val="sr-Latn-ME" w:eastAsia="zh-CN"/>
        </w:rPr>
      </w:pPr>
      <w:r w:rsidRPr="00BD2023">
        <w:rPr>
          <w:sz w:val="22"/>
          <w:szCs w:val="22"/>
          <w:u w:val="single"/>
          <w:lang w:val="sr-Latn-ME" w:eastAsia="zh-CN"/>
        </w:rPr>
        <w:t>Resorpcija</w:t>
      </w:r>
    </w:p>
    <w:p w14:paraId="7A181769" w14:textId="77777777" w:rsidR="00F77D20" w:rsidRPr="00BD2023" w:rsidRDefault="00F77D20" w:rsidP="00BC480A">
      <w:pPr>
        <w:numPr>
          <w:ilvl w:val="12"/>
          <w:numId w:val="0"/>
        </w:numPr>
        <w:ind w:right="-2"/>
        <w:jc w:val="both"/>
        <w:rPr>
          <w:sz w:val="22"/>
          <w:szCs w:val="22"/>
          <w:lang w:val="sr-Latn-ME" w:eastAsia="zh-CN"/>
        </w:rPr>
      </w:pPr>
    </w:p>
    <w:p w14:paraId="09470571" w14:textId="26228417" w:rsidR="00F77D20" w:rsidRPr="00BD2023" w:rsidRDefault="00F77D20" w:rsidP="00BC480A">
      <w:pPr>
        <w:numPr>
          <w:ilvl w:val="12"/>
          <w:numId w:val="0"/>
        </w:numPr>
        <w:ind w:right="-2"/>
        <w:jc w:val="both"/>
        <w:rPr>
          <w:sz w:val="22"/>
          <w:szCs w:val="22"/>
          <w:lang w:val="sr-Latn-ME" w:eastAsia="zh-CN"/>
        </w:rPr>
      </w:pPr>
      <w:r w:rsidRPr="00BD2023">
        <w:rPr>
          <w:sz w:val="22"/>
          <w:szCs w:val="22"/>
          <w:lang w:val="sr-Latn-ME" w:eastAsia="zh-CN"/>
        </w:rPr>
        <w:t>Risdiplam se</w:t>
      </w:r>
      <w:r w:rsidR="00236ECF" w:rsidRPr="00BD2023">
        <w:rPr>
          <w:sz w:val="22"/>
          <w:szCs w:val="22"/>
          <w:lang w:val="sr-Latn-ME" w:eastAsia="zh-CN"/>
        </w:rPr>
        <w:t xml:space="preserve"> nakon peroralne primjene natašte</w:t>
      </w:r>
      <w:r w:rsidRPr="00BD2023">
        <w:rPr>
          <w:sz w:val="22"/>
          <w:szCs w:val="22"/>
          <w:lang w:val="sr-Latn-ME" w:eastAsia="zh-CN"/>
        </w:rPr>
        <w:t xml:space="preserve"> brzo resorbovao sa vr</w:t>
      </w:r>
      <w:r w:rsidR="00B21585" w:rsidRPr="00BD2023">
        <w:rPr>
          <w:sz w:val="22"/>
          <w:szCs w:val="22"/>
          <w:lang w:val="sr-Latn-ME" w:eastAsia="zh-CN"/>
        </w:rPr>
        <w:t>ij</w:t>
      </w:r>
      <w:r w:rsidRPr="00BD2023">
        <w:rPr>
          <w:sz w:val="22"/>
          <w:szCs w:val="22"/>
          <w:lang w:val="sr-Latn-ME" w:eastAsia="zh-CN"/>
        </w:rPr>
        <w:t>ednošću tmax u plazmi u rasponu od 1 do 4 sata. Na osnovu ograničenih podataka (n=3), hrana (visokokaloričan doručak sa visokim sadržajem masti) nije imala relevantan uticaj na izloženost risdiplam</w:t>
      </w:r>
      <w:r w:rsidR="00945191" w:rsidRPr="00BD2023">
        <w:rPr>
          <w:sz w:val="22"/>
          <w:szCs w:val="22"/>
          <w:lang w:val="sr-Latn-ME" w:eastAsia="zh-CN"/>
        </w:rPr>
        <w:t>u</w:t>
      </w:r>
      <w:r w:rsidRPr="00BD2023">
        <w:rPr>
          <w:sz w:val="22"/>
          <w:szCs w:val="22"/>
          <w:lang w:val="sr-Latn-ME" w:eastAsia="zh-CN"/>
        </w:rPr>
        <w:t xml:space="preserve">. U kliničkim studijama risdiplam je </w:t>
      </w:r>
      <w:r w:rsidR="004A4441" w:rsidRPr="00BD2023">
        <w:rPr>
          <w:sz w:val="22"/>
          <w:szCs w:val="22"/>
          <w:lang w:val="sr-Latn-ME" w:eastAsia="zh-CN"/>
        </w:rPr>
        <w:t>primjen</w:t>
      </w:r>
      <w:r w:rsidRPr="00BD2023">
        <w:rPr>
          <w:sz w:val="22"/>
          <w:szCs w:val="22"/>
          <w:lang w:val="sr-Latn-ME" w:eastAsia="zh-CN"/>
        </w:rPr>
        <w:t>jivan uz jutarnji obrok ili nakon dojenja.</w:t>
      </w:r>
    </w:p>
    <w:p w14:paraId="04A881EB" w14:textId="77777777" w:rsidR="00F77D20" w:rsidRPr="00BD2023" w:rsidRDefault="00F77D20" w:rsidP="00BC480A">
      <w:pPr>
        <w:numPr>
          <w:ilvl w:val="12"/>
          <w:numId w:val="0"/>
        </w:numPr>
        <w:ind w:right="-2"/>
        <w:jc w:val="both"/>
        <w:rPr>
          <w:sz w:val="22"/>
          <w:szCs w:val="22"/>
          <w:lang w:val="sr-Latn-ME" w:eastAsia="zh-CN"/>
        </w:rPr>
      </w:pPr>
    </w:p>
    <w:p w14:paraId="4F8CBAE2" w14:textId="77777777" w:rsidR="00F77D20" w:rsidRPr="00BD2023" w:rsidRDefault="00F77D20" w:rsidP="00BC480A">
      <w:pPr>
        <w:keepNext/>
        <w:keepLines/>
        <w:numPr>
          <w:ilvl w:val="12"/>
          <w:numId w:val="0"/>
        </w:numPr>
        <w:jc w:val="both"/>
        <w:rPr>
          <w:sz w:val="22"/>
          <w:szCs w:val="22"/>
          <w:u w:val="single"/>
          <w:lang w:val="sr-Latn-ME" w:eastAsia="zh-CN"/>
        </w:rPr>
      </w:pPr>
      <w:r w:rsidRPr="00BD2023">
        <w:rPr>
          <w:sz w:val="22"/>
          <w:szCs w:val="22"/>
          <w:u w:val="single"/>
          <w:lang w:val="sr-Latn-ME" w:eastAsia="zh-CN"/>
        </w:rPr>
        <w:lastRenderedPageBreak/>
        <w:t>Distribucija</w:t>
      </w:r>
    </w:p>
    <w:p w14:paraId="64EA57E0" w14:textId="77777777" w:rsidR="00F77D20" w:rsidRPr="00BD2023" w:rsidRDefault="00F77D20" w:rsidP="00BC480A">
      <w:pPr>
        <w:numPr>
          <w:ilvl w:val="12"/>
          <w:numId w:val="0"/>
        </w:numPr>
        <w:ind w:right="-2"/>
        <w:jc w:val="both"/>
        <w:rPr>
          <w:sz w:val="22"/>
          <w:szCs w:val="22"/>
          <w:lang w:val="sr-Latn-ME" w:eastAsia="zh-CN"/>
        </w:rPr>
      </w:pPr>
    </w:p>
    <w:p w14:paraId="0D3A1C2C" w14:textId="1532407F" w:rsidR="00F77D20" w:rsidRPr="00BD2023" w:rsidRDefault="00F77D20" w:rsidP="00BC480A">
      <w:pPr>
        <w:jc w:val="both"/>
        <w:rPr>
          <w:sz w:val="22"/>
          <w:szCs w:val="22"/>
          <w:lang w:val="sr-Latn-ME" w:eastAsia="zh-CN"/>
        </w:rPr>
      </w:pPr>
      <w:r w:rsidRPr="00BD2023">
        <w:rPr>
          <w:sz w:val="22"/>
          <w:szCs w:val="22"/>
          <w:lang w:val="sr-Latn-ME" w:eastAsia="zh-CN"/>
        </w:rPr>
        <w:t xml:space="preserve">Risdiplam se </w:t>
      </w:r>
      <w:r w:rsidR="008D074F" w:rsidRPr="00BD2023">
        <w:rPr>
          <w:sz w:val="22"/>
          <w:szCs w:val="22"/>
          <w:lang w:val="sr-Latn-ME" w:eastAsia="zh-CN"/>
        </w:rPr>
        <w:t xml:space="preserve">ravnomjerno </w:t>
      </w:r>
      <w:r w:rsidRPr="00BD2023">
        <w:rPr>
          <w:sz w:val="22"/>
          <w:szCs w:val="22"/>
          <w:lang w:val="sr-Latn-ME" w:eastAsia="zh-CN"/>
        </w:rPr>
        <w:t>distribuira u sve d</w:t>
      </w:r>
      <w:r w:rsidR="00B21585" w:rsidRPr="00BD2023">
        <w:rPr>
          <w:sz w:val="22"/>
          <w:szCs w:val="22"/>
          <w:lang w:val="sr-Latn-ME" w:eastAsia="zh-CN"/>
        </w:rPr>
        <w:t>j</w:t>
      </w:r>
      <w:r w:rsidRPr="00BD2023">
        <w:rPr>
          <w:sz w:val="22"/>
          <w:szCs w:val="22"/>
          <w:lang w:val="sr-Latn-ME" w:eastAsia="zh-CN"/>
        </w:rPr>
        <w:t>elove organizma, uključujući centralni nervni sistem (CNS) jer prolazi krvno-moždanu barijeru, i tako dovodi po porasta nivoa proteina SMN u CNS-u i čitavom organizmu. Koncentracije risdiplama u plazmi i proteina SMN u krvi odražavaju njegovu distribuciju i farmakodinamička dejstva u tkivima poput mozga i mišića.</w:t>
      </w:r>
    </w:p>
    <w:p w14:paraId="095777C3" w14:textId="77777777" w:rsidR="00F77D20" w:rsidRPr="00BD2023" w:rsidRDefault="00F77D20" w:rsidP="00BC480A">
      <w:pPr>
        <w:pStyle w:val="Paragraph"/>
        <w:spacing w:after="0"/>
        <w:jc w:val="both"/>
        <w:rPr>
          <w:rFonts w:ascii="Times New Roman" w:eastAsia="Times New Roman" w:hAnsi="Times New Roman"/>
          <w:sz w:val="22"/>
          <w:szCs w:val="22"/>
          <w:lang w:val="sr-Latn-ME"/>
        </w:rPr>
      </w:pPr>
    </w:p>
    <w:p w14:paraId="7B9A3B05" w14:textId="73FB9BCE" w:rsidR="00F77D20" w:rsidRPr="00BD2023" w:rsidRDefault="008D074F" w:rsidP="00BC480A">
      <w:pPr>
        <w:pStyle w:val="Paragraph"/>
        <w:spacing w:after="0"/>
        <w:jc w:val="both"/>
        <w:rPr>
          <w:rFonts w:ascii="Times New Roman" w:eastAsia="Times New Roman" w:hAnsi="Times New Roman"/>
          <w:sz w:val="22"/>
          <w:szCs w:val="22"/>
          <w:lang w:val="sr-Latn-ME"/>
        </w:rPr>
      </w:pPr>
      <w:r w:rsidRPr="00BD2023">
        <w:rPr>
          <w:rFonts w:ascii="Times New Roman" w:eastAsia="Times New Roman" w:hAnsi="Times New Roman"/>
          <w:sz w:val="22"/>
          <w:szCs w:val="22"/>
          <w:lang w:val="sr-Latn-ME"/>
        </w:rPr>
        <w:t>P</w:t>
      </w:r>
      <w:r w:rsidR="00F77D20" w:rsidRPr="00BD2023">
        <w:rPr>
          <w:rFonts w:ascii="Times New Roman" w:eastAsia="Times New Roman" w:hAnsi="Times New Roman"/>
          <w:sz w:val="22"/>
          <w:szCs w:val="22"/>
          <w:lang w:val="sr-Latn-ME"/>
        </w:rPr>
        <w:t>opulacion</w:t>
      </w:r>
      <w:r w:rsidRPr="00BD2023">
        <w:rPr>
          <w:rFonts w:ascii="Times New Roman" w:eastAsia="Times New Roman" w:hAnsi="Times New Roman"/>
          <w:sz w:val="22"/>
          <w:szCs w:val="22"/>
          <w:lang w:val="sr-Latn-ME"/>
        </w:rPr>
        <w:t>e procijenjene vrijednosti</w:t>
      </w:r>
      <w:r w:rsidR="00F77D20" w:rsidRPr="00BD2023">
        <w:rPr>
          <w:rFonts w:ascii="Times New Roman" w:eastAsia="Times New Roman" w:hAnsi="Times New Roman"/>
          <w:sz w:val="22"/>
          <w:szCs w:val="22"/>
          <w:lang w:val="sr-Latn-ME"/>
        </w:rPr>
        <w:t xml:space="preserve"> farmakokinetičk</w:t>
      </w:r>
      <w:r w:rsidRPr="00BD2023">
        <w:rPr>
          <w:rFonts w:ascii="Times New Roman" w:eastAsia="Times New Roman" w:hAnsi="Times New Roman"/>
          <w:sz w:val="22"/>
          <w:szCs w:val="22"/>
          <w:lang w:val="sr-Latn-ME"/>
        </w:rPr>
        <w:t>ih</w:t>
      </w:r>
      <w:r w:rsidR="00F77D20" w:rsidRPr="00BD2023">
        <w:rPr>
          <w:rFonts w:ascii="Times New Roman" w:eastAsia="Times New Roman" w:hAnsi="Times New Roman"/>
          <w:sz w:val="22"/>
          <w:szCs w:val="22"/>
          <w:lang w:val="sr-Latn-ME"/>
        </w:rPr>
        <w:t xml:space="preserve"> paramet</w:t>
      </w:r>
      <w:r w:rsidRPr="00BD2023">
        <w:rPr>
          <w:rFonts w:ascii="Times New Roman" w:eastAsia="Times New Roman" w:hAnsi="Times New Roman"/>
          <w:sz w:val="22"/>
          <w:szCs w:val="22"/>
          <w:lang w:val="sr-Latn-ME"/>
        </w:rPr>
        <w:t>ara</w:t>
      </w:r>
      <w:r w:rsidR="00F77D20" w:rsidRPr="00BD2023">
        <w:rPr>
          <w:rFonts w:ascii="Times New Roman" w:eastAsia="Times New Roman" w:hAnsi="Times New Roman"/>
          <w:sz w:val="22"/>
          <w:szCs w:val="22"/>
          <w:lang w:val="sr-Latn-ME"/>
        </w:rPr>
        <w:t xml:space="preserve"> </w:t>
      </w:r>
      <w:r w:rsidRPr="00BD2023">
        <w:rPr>
          <w:rFonts w:ascii="Times New Roman" w:eastAsia="Times New Roman" w:hAnsi="Times New Roman"/>
          <w:sz w:val="22"/>
          <w:szCs w:val="22"/>
          <w:lang w:val="sr-Latn-ME"/>
        </w:rPr>
        <w:t xml:space="preserve">iznosile </w:t>
      </w:r>
      <w:r w:rsidR="00F77D20" w:rsidRPr="00BD2023">
        <w:rPr>
          <w:rFonts w:ascii="Times New Roman" w:eastAsia="Times New Roman" w:hAnsi="Times New Roman"/>
          <w:sz w:val="22"/>
          <w:szCs w:val="22"/>
          <w:lang w:val="sr-Latn-ME"/>
        </w:rPr>
        <w:t xml:space="preserve">su 98 l za </w:t>
      </w:r>
      <w:r w:rsidRPr="00BD2023">
        <w:rPr>
          <w:rFonts w:ascii="Times New Roman" w:eastAsia="Times New Roman" w:hAnsi="Times New Roman"/>
          <w:sz w:val="22"/>
          <w:szCs w:val="22"/>
          <w:lang w:val="sr-Latn-ME"/>
        </w:rPr>
        <w:t xml:space="preserve">prividni </w:t>
      </w:r>
      <w:r w:rsidR="00F77D20" w:rsidRPr="00BD2023">
        <w:rPr>
          <w:rFonts w:ascii="Times New Roman" w:eastAsia="Times New Roman" w:hAnsi="Times New Roman"/>
          <w:sz w:val="22"/>
          <w:szCs w:val="22"/>
          <w:lang w:val="sr-Latn-ME"/>
        </w:rPr>
        <w:t>centralni volumen distribucije, 93 l za periferni volumen i 0,68 l</w:t>
      </w:r>
      <w:r w:rsidRPr="00BD2023">
        <w:rPr>
          <w:rFonts w:ascii="Times New Roman" w:eastAsia="Times New Roman" w:hAnsi="Times New Roman"/>
          <w:sz w:val="22"/>
          <w:szCs w:val="22"/>
          <w:lang w:val="sr-Latn-ME"/>
        </w:rPr>
        <w:t xml:space="preserve">/h </w:t>
      </w:r>
      <w:r w:rsidR="00F77D20" w:rsidRPr="00BD2023">
        <w:rPr>
          <w:rFonts w:ascii="Times New Roman" w:eastAsia="Times New Roman" w:hAnsi="Times New Roman"/>
          <w:sz w:val="22"/>
          <w:szCs w:val="22"/>
          <w:lang w:val="sr-Latn-ME"/>
        </w:rPr>
        <w:t>za klirens</w:t>
      </w:r>
      <w:r w:rsidRPr="00BD2023">
        <w:rPr>
          <w:rFonts w:ascii="Times New Roman" w:eastAsia="Times New Roman" w:hAnsi="Times New Roman"/>
          <w:sz w:val="22"/>
          <w:szCs w:val="22"/>
          <w:lang w:val="sr-Latn-ME"/>
        </w:rPr>
        <w:t xml:space="preserve"> između odjeljaka</w:t>
      </w:r>
      <w:r w:rsidR="00F77D20" w:rsidRPr="00BD2023">
        <w:rPr>
          <w:rFonts w:ascii="Times New Roman" w:eastAsia="Times New Roman" w:hAnsi="Times New Roman"/>
          <w:sz w:val="22"/>
          <w:szCs w:val="22"/>
          <w:lang w:val="sr-Latn-ME"/>
        </w:rPr>
        <w:t>.</w:t>
      </w:r>
    </w:p>
    <w:p w14:paraId="66D71E15" w14:textId="77777777" w:rsidR="00F77D20" w:rsidRPr="00BD2023" w:rsidRDefault="00F77D20" w:rsidP="00BC480A">
      <w:pPr>
        <w:pStyle w:val="Paragraph"/>
        <w:spacing w:after="0"/>
        <w:jc w:val="both"/>
        <w:rPr>
          <w:rFonts w:ascii="Times New Roman" w:eastAsia="Times New Roman" w:hAnsi="Times New Roman"/>
          <w:sz w:val="22"/>
          <w:szCs w:val="22"/>
          <w:lang w:val="sr-Latn-ME"/>
        </w:rPr>
      </w:pPr>
    </w:p>
    <w:p w14:paraId="65AA01CA" w14:textId="16952A5F" w:rsidR="00F77D20" w:rsidRPr="00BD2023" w:rsidRDefault="00F77D20" w:rsidP="00BC480A">
      <w:pPr>
        <w:pStyle w:val="Paragraph"/>
        <w:spacing w:after="0"/>
        <w:jc w:val="both"/>
        <w:rPr>
          <w:rFonts w:ascii="Times New Roman" w:eastAsia="Times New Roman" w:hAnsi="Times New Roman"/>
          <w:sz w:val="22"/>
          <w:szCs w:val="22"/>
          <w:lang w:val="sr-Latn-ME"/>
        </w:rPr>
      </w:pPr>
      <w:r w:rsidRPr="00BD2023">
        <w:rPr>
          <w:rFonts w:ascii="Times New Roman" w:eastAsia="Times New Roman" w:hAnsi="Times New Roman"/>
          <w:sz w:val="22"/>
          <w:szCs w:val="22"/>
          <w:lang w:val="sr-Latn-ME"/>
        </w:rPr>
        <w:t>Risdiplam se pretežno vezuje za serumski albumin, a uopšte se ne vezuje za alfa-1 kiseli glikoprotein, sa slobodnom frakcijom od 11%.</w:t>
      </w:r>
    </w:p>
    <w:p w14:paraId="46138D61" w14:textId="77777777" w:rsidR="00F77D20" w:rsidRPr="00BD2023" w:rsidRDefault="00F77D20" w:rsidP="00BC480A">
      <w:pPr>
        <w:numPr>
          <w:ilvl w:val="12"/>
          <w:numId w:val="0"/>
        </w:numPr>
        <w:ind w:right="-2"/>
        <w:jc w:val="both"/>
        <w:rPr>
          <w:sz w:val="22"/>
          <w:szCs w:val="22"/>
          <w:u w:val="single"/>
          <w:lang w:val="sr-Latn-ME"/>
        </w:rPr>
      </w:pPr>
    </w:p>
    <w:p w14:paraId="7723AAC3" w14:textId="77777777" w:rsidR="00F77D20" w:rsidRPr="00BD2023" w:rsidRDefault="00F77D20" w:rsidP="00BC480A">
      <w:pPr>
        <w:numPr>
          <w:ilvl w:val="12"/>
          <w:numId w:val="0"/>
        </w:numPr>
        <w:ind w:right="-2"/>
        <w:jc w:val="both"/>
        <w:rPr>
          <w:sz w:val="22"/>
          <w:szCs w:val="22"/>
          <w:u w:val="single"/>
          <w:lang w:val="sr-Latn-ME" w:eastAsia="zh-CN"/>
        </w:rPr>
      </w:pPr>
      <w:r w:rsidRPr="00BD2023">
        <w:rPr>
          <w:sz w:val="22"/>
          <w:szCs w:val="22"/>
          <w:u w:val="single"/>
          <w:lang w:val="sr-Latn-ME" w:eastAsia="zh-CN"/>
        </w:rPr>
        <w:t>Biotransformacija</w:t>
      </w:r>
    </w:p>
    <w:p w14:paraId="2E5AE397" w14:textId="77777777" w:rsidR="00F77D20" w:rsidRPr="00BD2023" w:rsidRDefault="00F77D20" w:rsidP="00BC480A">
      <w:pPr>
        <w:numPr>
          <w:ilvl w:val="12"/>
          <w:numId w:val="0"/>
        </w:numPr>
        <w:ind w:right="-2"/>
        <w:jc w:val="both"/>
        <w:rPr>
          <w:sz w:val="22"/>
          <w:szCs w:val="22"/>
          <w:u w:val="single"/>
          <w:lang w:val="sr-Latn-ME"/>
        </w:rPr>
      </w:pPr>
    </w:p>
    <w:p w14:paraId="6FD9EF4B" w14:textId="73872DCA" w:rsidR="00F77D20" w:rsidRPr="00BD2023" w:rsidRDefault="00F77D20" w:rsidP="00BC480A">
      <w:pPr>
        <w:pStyle w:val="Paragraph"/>
        <w:spacing w:after="0"/>
        <w:jc w:val="both"/>
        <w:rPr>
          <w:rFonts w:ascii="Times New Roman" w:eastAsia="Times New Roman" w:hAnsi="Times New Roman"/>
          <w:sz w:val="22"/>
          <w:szCs w:val="22"/>
          <w:lang w:val="sr-Latn-ME"/>
        </w:rPr>
      </w:pPr>
      <w:r w:rsidRPr="00BD2023">
        <w:rPr>
          <w:rFonts w:ascii="Times New Roman" w:eastAsia="Times New Roman" w:hAnsi="Times New Roman"/>
          <w:sz w:val="22"/>
          <w:szCs w:val="22"/>
          <w:lang w:val="sr-Latn-ME"/>
        </w:rPr>
        <w:t xml:space="preserve">Risdiplam </w:t>
      </w:r>
      <w:r w:rsidR="008D074F" w:rsidRPr="00BD2023">
        <w:rPr>
          <w:rFonts w:ascii="Times New Roman" w:eastAsia="Times New Roman" w:hAnsi="Times New Roman"/>
          <w:sz w:val="22"/>
          <w:szCs w:val="22"/>
          <w:lang w:val="sr-Latn-ME"/>
        </w:rPr>
        <w:t xml:space="preserve">se </w:t>
      </w:r>
      <w:r w:rsidRPr="00BD2023">
        <w:rPr>
          <w:rFonts w:ascii="Times New Roman" w:eastAsia="Times New Roman" w:hAnsi="Times New Roman"/>
          <w:sz w:val="22"/>
          <w:szCs w:val="22"/>
          <w:lang w:val="sr-Latn-ME"/>
        </w:rPr>
        <w:t>prvenstveno metaboliš</w:t>
      </w:r>
      <w:r w:rsidR="008D074F" w:rsidRPr="00BD2023">
        <w:rPr>
          <w:rFonts w:ascii="Times New Roman" w:eastAsia="Times New Roman" w:hAnsi="Times New Roman"/>
          <w:sz w:val="22"/>
          <w:szCs w:val="22"/>
          <w:lang w:val="sr-Latn-ME"/>
        </w:rPr>
        <w:t>e djelovanjem</w:t>
      </w:r>
      <w:r w:rsidRPr="00BD2023">
        <w:rPr>
          <w:rFonts w:ascii="Times New Roman" w:eastAsia="Times New Roman" w:hAnsi="Times New Roman"/>
          <w:sz w:val="22"/>
          <w:szCs w:val="22"/>
          <w:lang w:val="sr-Latn-ME"/>
        </w:rPr>
        <w:t xml:space="preserve"> FMO1 i FMO3, kao i </w:t>
      </w:r>
      <w:r w:rsidR="008D074F" w:rsidRPr="00BD2023">
        <w:rPr>
          <w:rFonts w:ascii="Times New Roman" w:eastAsia="Times New Roman" w:hAnsi="Times New Roman"/>
          <w:sz w:val="22"/>
          <w:szCs w:val="22"/>
          <w:lang w:val="sr-Latn-ME"/>
        </w:rPr>
        <w:t xml:space="preserve">enzimima </w:t>
      </w:r>
      <w:r w:rsidRPr="00BD2023">
        <w:rPr>
          <w:rFonts w:ascii="Times New Roman" w:eastAsia="Times New Roman" w:hAnsi="Times New Roman"/>
          <w:sz w:val="22"/>
          <w:szCs w:val="22"/>
          <w:lang w:val="sr-Latn-ME"/>
        </w:rPr>
        <w:t xml:space="preserve">CYPs 1A1, 2J2, 3A4 i 3A7. </w:t>
      </w:r>
    </w:p>
    <w:p w14:paraId="16BE0F7A" w14:textId="77777777" w:rsidR="00F77D20" w:rsidRPr="00BD2023" w:rsidRDefault="00F77D20" w:rsidP="00BC480A">
      <w:pPr>
        <w:numPr>
          <w:ilvl w:val="12"/>
          <w:numId w:val="0"/>
        </w:numPr>
        <w:ind w:right="-2"/>
        <w:jc w:val="both"/>
        <w:rPr>
          <w:sz w:val="22"/>
          <w:szCs w:val="22"/>
          <w:lang w:val="sr-Latn-ME" w:eastAsia="zh-CN"/>
        </w:rPr>
      </w:pPr>
    </w:p>
    <w:p w14:paraId="14647F49" w14:textId="0DBA11EE" w:rsidR="00F77D20" w:rsidRPr="00BD2023" w:rsidRDefault="00F77D20" w:rsidP="00BC480A">
      <w:pPr>
        <w:numPr>
          <w:ilvl w:val="12"/>
          <w:numId w:val="0"/>
        </w:numPr>
        <w:ind w:right="-2"/>
        <w:jc w:val="both"/>
        <w:rPr>
          <w:sz w:val="22"/>
          <w:szCs w:val="22"/>
          <w:lang w:val="sr-Latn-ME" w:eastAsia="zh-CN"/>
        </w:rPr>
      </w:pPr>
      <w:r w:rsidRPr="00BD2023">
        <w:rPr>
          <w:sz w:val="22"/>
          <w:szCs w:val="22"/>
          <w:lang w:val="sr-Latn-ME" w:eastAsia="zh-CN"/>
        </w:rPr>
        <w:t>Istovremena prim</w:t>
      </w:r>
      <w:r w:rsidR="00B21585" w:rsidRPr="00BD2023">
        <w:rPr>
          <w:sz w:val="22"/>
          <w:szCs w:val="22"/>
          <w:lang w:val="sr-Latn-ME" w:eastAsia="zh-CN"/>
        </w:rPr>
        <w:t>j</w:t>
      </w:r>
      <w:r w:rsidRPr="00BD2023">
        <w:rPr>
          <w:sz w:val="22"/>
          <w:szCs w:val="22"/>
          <w:lang w:val="sr-Latn-ME" w:eastAsia="zh-CN"/>
        </w:rPr>
        <w:t>ena itrakonazola od 200 mg dva puta dnevno, snažnog inhibitora CYP3A, sa jednom oralnom dozom risdiplama od 6 mg nije pokazala klinički relevantno dejstvo na farmakokinetiku risdiplama (</w:t>
      </w:r>
      <w:r w:rsidR="008D074F" w:rsidRPr="00BD2023">
        <w:rPr>
          <w:sz w:val="22"/>
          <w:szCs w:val="22"/>
          <w:lang w:val="sr-Latn-ME" w:eastAsia="zh-CN"/>
        </w:rPr>
        <w:t>povećanje AUC –a za</w:t>
      </w:r>
      <w:r w:rsidRPr="00BD2023">
        <w:rPr>
          <w:sz w:val="22"/>
          <w:szCs w:val="22"/>
          <w:lang w:val="sr-Latn-ME" w:eastAsia="zh-CN"/>
        </w:rPr>
        <w:t xml:space="preserve">11% , </w:t>
      </w:r>
      <w:r w:rsidR="008D074F" w:rsidRPr="00BD2023">
        <w:rPr>
          <w:sz w:val="22"/>
          <w:szCs w:val="22"/>
          <w:lang w:val="sr-Latn-ME" w:eastAsia="zh-CN"/>
        </w:rPr>
        <w:t xml:space="preserve">smanjenje Cmax  za </w:t>
      </w:r>
      <w:r w:rsidRPr="00BD2023">
        <w:rPr>
          <w:sz w:val="22"/>
          <w:szCs w:val="22"/>
          <w:lang w:val="sr-Latn-ME" w:eastAsia="zh-CN"/>
        </w:rPr>
        <w:t>9%).</w:t>
      </w:r>
    </w:p>
    <w:p w14:paraId="6E73BD54" w14:textId="77777777" w:rsidR="00F77D20" w:rsidRPr="00BD2023" w:rsidRDefault="00F77D20" w:rsidP="00BC480A">
      <w:pPr>
        <w:numPr>
          <w:ilvl w:val="12"/>
          <w:numId w:val="0"/>
        </w:numPr>
        <w:ind w:right="-2"/>
        <w:jc w:val="both"/>
        <w:rPr>
          <w:sz w:val="22"/>
          <w:szCs w:val="22"/>
          <w:u w:val="single"/>
          <w:lang w:val="sr-Latn-ME"/>
        </w:rPr>
      </w:pPr>
    </w:p>
    <w:p w14:paraId="693326FD" w14:textId="77777777" w:rsidR="00F77D20" w:rsidRPr="00BD2023" w:rsidRDefault="00F77D20" w:rsidP="00BC480A">
      <w:pPr>
        <w:numPr>
          <w:ilvl w:val="12"/>
          <w:numId w:val="0"/>
        </w:numPr>
        <w:ind w:right="-2"/>
        <w:jc w:val="both"/>
        <w:rPr>
          <w:sz w:val="22"/>
          <w:szCs w:val="22"/>
          <w:u w:val="single"/>
          <w:lang w:val="sr-Latn-ME" w:eastAsia="zh-CN"/>
        </w:rPr>
      </w:pPr>
      <w:r w:rsidRPr="00BD2023">
        <w:rPr>
          <w:sz w:val="22"/>
          <w:szCs w:val="22"/>
          <w:u w:val="single"/>
          <w:lang w:val="sr-Latn-ME" w:eastAsia="zh-CN"/>
        </w:rPr>
        <w:t>Eliminacija</w:t>
      </w:r>
    </w:p>
    <w:p w14:paraId="6A6BB244" w14:textId="77777777" w:rsidR="00F77D20" w:rsidRPr="00BD2023" w:rsidRDefault="00F77D20" w:rsidP="00BC480A">
      <w:pPr>
        <w:numPr>
          <w:ilvl w:val="12"/>
          <w:numId w:val="0"/>
        </w:numPr>
        <w:ind w:right="-2"/>
        <w:jc w:val="both"/>
        <w:rPr>
          <w:sz w:val="22"/>
          <w:szCs w:val="22"/>
          <w:u w:val="single"/>
          <w:lang w:val="sr-Latn-ME"/>
        </w:rPr>
      </w:pPr>
    </w:p>
    <w:p w14:paraId="40A2CC4B" w14:textId="364EA084" w:rsidR="00F77D20" w:rsidRPr="00BD2023" w:rsidRDefault="00F77D20" w:rsidP="00BC480A">
      <w:pPr>
        <w:pStyle w:val="Paragraph"/>
        <w:spacing w:after="0"/>
        <w:jc w:val="both"/>
        <w:rPr>
          <w:rFonts w:ascii="Times New Roman" w:eastAsia="Times New Roman" w:hAnsi="Times New Roman"/>
          <w:sz w:val="22"/>
          <w:szCs w:val="22"/>
          <w:lang w:val="sr-Latn-ME"/>
        </w:rPr>
      </w:pPr>
      <w:r w:rsidRPr="00BD2023">
        <w:rPr>
          <w:rFonts w:ascii="Times New Roman" w:eastAsia="Times New Roman" w:hAnsi="Times New Roman"/>
          <w:sz w:val="22"/>
          <w:szCs w:val="22"/>
          <w:lang w:val="sr-Latn-ME"/>
        </w:rPr>
        <w:t xml:space="preserve">Populacione farmakokinetičke analize </w:t>
      </w:r>
      <w:r w:rsidR="00BA22A4" w:rsidRPr="00BD2023">
        <w:rPr>
          <w:rFonts w:ascii="Times New Roman" w:eastAsia="Times New Roman" w:hAnsi="Times New Roman"/>
          <w:sz w:val="22"/>
          <w:szCs w:val="22"/>
          <w:lang w:val="sr-Latn-ME"/>
        </w:rPr>
        <w:t>proc</w:t>
      </w:r>
      <w:r w:rsidR="00BD39D9" w:rsidRPr="00BD2023">
        <w:rPr>
          <w:rFonts w:ascii="Times New Roman" w:eastAsia="Times New Roman" w:hAnsi="Times New Roman"/>
          <w:sz w:val="22"/>
          <w:szCs w:val="22"/>
          <w:lang w:val="sr-Latn-ME"/>
        </w:rPr>
        <w:t>i</w:t>
      </w:r>
      <w:r w:rsidR="00BA22A4" w:rsidRPr="00BD2023">
        <w:rPr>
          <w:rFonts w:ascii="Times New Roman" w:eastAsia="Times New Roman" w:hAnsi="Times New Roman"/>
          <w:sz w:val="22"/>
          <w:szCs w:val="22"/>
          <w:lang w:val="sr-Latn-ME"/>
        </w:rPr>
        <w:t>jen</w:t>
      </w:r>
      <w:r w:rsidRPr="00BD2023">
        <w:rPr>
          <w:rFonts w:ascii="Times New Roman" w:eastAsia="Times New Roman" w:hAnsi="Times New Roman"/>
          <w:sz w:val="22"/>
          <w:szCs w:val="22"/>
          <w:lang w:val="sr-Latn-ME"/>
        </w:rPr>
        <w:t xml:space="preserve">ile su </w:t>
      </w:r>
      <w:r w:rsidR="00AC36CD" w:rsidRPr="00BD2023">
        <w:rPr>
          <w:rFonts w:ascii="Times New Roman" w:eastAsia="Times New Roman" w:hAnsi="Times New Roman"/>
          <w:sz w:val="22"/>
          <w:szCs w:val="22"/>
          <w:lang w:val="sr-Latn-ME"/>
        </w:rPr>
        <w:t xml:space="preserve">prividni </w:t>
      </w:r>
      <w:r w:rsidRPr="00BD2023">
        <w:rPr>
          <w:rFonts w:ascii="Times New Roman" w:eastAsia="Times New Roman" w:hAnsi="Times New Roman"/>
          <w:sz w:val="22"/>
          <w:szCs w:val="22"/>
          <w:lang w:val="sr-Latn-ME"/>
        </w:rPr>
        <w:t>klirens (CL/F) od 2,6 l/h za risdiplam.</w:t>
      </w:r>
    </w:p>
    <w:p w14:paraId="4084412C" w14:textId="3BEBACB0" w:rsidR="00F77D20" w:rsidRPr="00BD2023" w:rsidRDefault="00F77D20" w:rsidP="00BC480A">
      <w:pPr>
        <w:pStyle w:val="Paragraph"/>
        <w:spacing w:after="0"/>
        <w:jc w:val="both"/>
        <w:rPr>
          <w:rFonts w:ascii="Times New Roman" w:eastAsia="Times New Roman" w:hAnsi="Times New Roman"/>
          <w:sz w:val="22"/>
          <w:szCs w:val="22"/>
          <w:lang w:val="sr-Latn-ME"/>
        </w:rPr>
      </w:pPr>
      <w:r w:rsidRPr="00BD2023">
        <w:rPr>
          <w:rFonts w:ascii="Times New Roman" w:eastAsia="Times New Roman" w:hAnsi="Times New Roman"/>
          <w:sz w:val="22"/>
          <w:szCs w:val="22"/>
          <w:lang w:val="sr-Latn-ME"/>
        </w:rPr>
        <w:t>Efektivn</w:t>
      </w:r>
      <w:r w:rsidR="00AC36CD" w:rsidRPr="00BD2023">
        <w:rPr>
          <w:rFonts w:ascii="Times New Roman" w:eastAsia="Times New Roman" w:hAnsi="Times New Roman"/>
          <w:sz w:val="22"/>
          <w:szCs w:val="22"/>
          <w:lang w:val="sr-Latn-ME"/>
        </w:rPr>
        <w:t>o poluvrijeme eliminacije</w:t>
      </w:r>
      <w:r w:rsidRPr="00BD2023">
        <w:rPr>
          <w:rFonts w:ascii="Times New Roman" w:eastAsia="Times New Roman" w:hAnsi="Times New Roman"/>
          <w:sz w:val="22"/>
          <w:szCs w:val="22"/>
          <w:lang w:val="sr-Latn-ME"/>
        </w:rPr>
        <w:t xml:space="preserve"> risdiplama </w:t>
      </w:r>
      <w:r w:rsidR="00AC36CD" w:rsidRPr="00BD2023">
        <w:rPr>
          <w:rFonts w:ascii="Times New Roman" w:eastAsia="Times New Roman" w:hAnsi="Times New Roman"/>
          <w:sz w:val="22"/>
          <w:szCs w:val="22"/>
          <w:lang w:val="sr-Latn-ME"/>
        </w:rPr>
        <w:t xml:space="preserve">kod pacijenata sa SMA iznosilo </w:t>
      </w:r>
      <w:r w:rsidRPr="00BD2023">
        <w:rPr>
          <w:rFonts w:ascii="Times New Roman" w:eastAsia="Times New Roman" w:hAnsi="Times New Roman"/>
          <w:sz w:val="22"/>
          <w:szCs w:val="22"/>
          <w:lang w:val="sr-Latn-ME"/>
        </w:rPr>
        <w:t>je približno 50 sati.</w:t>
      </w:r>
    </w:p>
    <w:p w14:paraId="2CC50C5A" w14:textId="77777777" w:rsidR="00F77D20" w:rsidRPr="00BD2023" w:rsidRDefault="00F77D20" w:rsidP="00BC480A">
      <w:pPr>
        <w:pStyle w:val="Paragraph"/>
        <w:spacing w:after="0"/>
        <w:jc w:val="both"/>
        <w:rPr>
          <w:rFonts w:ascii="Times New Roman" w:eastAsia="Times New Roman" w:hAnsi="Times New Roman"/>
          <w:sz w:val="22"/>
          <w:szCs w:val="22"/>
          <w:lang w:val="sr-Latn-ME"/>
        </w:rPr>
      </w:pPr>
    </w:p>
    <w:p w14:paraId="1E77AA98" w14:textId="5B4CA25E" w:rsidR="00F77D20" w:rsidRPr="00BD2023" w:rsidRDefault="00F77D20" w:rsidP="00BC480A">
      <w:pPr>
        <w:jc w:val="both"/>
        <w:rPr>
          <w:sz w:val="22"/>
          <w:szCs w:val="22"/>
          <w:lang w:val="sr-Latn-ME" w:eastAsia="zh-CN"/>
        </w:rPr>
      </w:pPr>
      <w:r w:rsidRPr="00BD2023">
        <w:rPr>
          <w:sz w:val="22"/>
          <w:szCs w:val="22"/>
          <w:lang w:val="sr-Latn-ME" w:eastAsia="zh-CN"/>
        </w:rPr>
        <w:t xml:space="preserve">Risdiplam nije supstrat humanog proteina </w:t>
      </w:r>
      <w:r w:rsidR="008B0720" w:rsidRPr="00BD2023">
        <w:rPr>
          <w:sz w:val="22"/>
          <w:szCs w:val="22"/>
          <w:lang w:val="sr-Latn-ME" w:eastAsia="zh-CN"/>
        </w:rPr>
        <w:t xml:space="preserve">koji uzrokuje rezistenciju </w:t>
      </w:r>
      <w:r w:rsidRPr="00BD2023">
        <w:rPr>
          <w:sz w:val="22"/>
          <w:szCs w:val="22"/>
          <w:lang w:val="sr-Latn-ME" w:eastAsia="zh-CN"/>
        </w:rPr>
        <w:t xml:space="preserve">na više </w:t>
      </w:r>
      <w:r w:rsidR="007E5CF0" w:rsidRPr="00BD2023">
        <w:rPr>
          <w:sz w:val="22"/>
          <w:szCs w:val="22"/>
          <w:lang w:val="sr-Latn-ME" w:eastAsia="zh-CN"/>
        </w:rPr>
        <w:t>ljekov</w:t>
      </w:r>
      <w:r w:rsidRPr="00BD2023">
        <w:rPr>
          <w:sz w:val="22"/>
          <w:szCs w:val="22"/>
          <w:lang w:val="sr-Latn-ME" w:eastAsia="zh-CN"/>
        </w:rPr>
        <w:t>a</w:t>
      </w:r>
      <w:r w:rsidR="007D0644" w:rsidRPr="00BD2023">
        <w:rPr>
          <w:sz w:val="22"/>
          <w:szCs w:val="22"/>
          <w:lang w:val="sr-Latn-ME" w:eastAsia="zh-CN"/>
        </w:rPr>
        <w:t xml:space="preserve"> 1</w:t>
      </w:r>
      <w:r w:rsidRPr="00BD2023">
        <w:rPr>
          <w:sz w:val="22"/>
          <w:szCs w:val="22"/>
          <w:lang w:val="sr-Latn-ME" w:eastAsia="zh-CN"/>
        </w:rPr>
        <w:t xml:space="preserve"> (MDR1).</w:t>
      </w:r>
    </w:p>
    <w:p w14:paraId="6FD85126" w14:textId="77777777" w:rsidR="00F77D20" w:rsidRPr="00BD2023" w:rsidRDefault="00F77D20" w:rsidP="00BC480A">
      <w:pPr>
        <w:pStyle w:val="Paragraph"/>
        <w:spacing w:after="0"/>
        <w:jc w:val="both"/>
        <w:rPr>
          <w:rFonts w:ascii="Times New Roman" w:eastAsia="Times New Roman" w:hAnsi="Times New Roman"/>
          <w:sz w:val="22"/>
          <w:szCs w:val="22"/>
          <w:lang w:val="sr-Latn-ME"/>
        </w:rPr>
      </w:pPr>
    </w:p>
    <w:p w14:paraId="58AE0707" w14:textId="25FDE676" w:rsidR="00F77D20" w:rsidRPr="00BD2023" w:rsidRDefault="00F77D20" w:rsidP="00BC480A">
      <w:pPr>
        <w:pStyle w:val="Paragraph"/>
        <w:spacing w:after="0"/>
        <w:jc w:val="both"/>
        <w:rPr>
          <w:rFonts w:ascii="Times New Roman" w:eastAsia="Times New Roman" w:hAnsi="Times New Roman"/>
          <w:sz w:val="22"/>
          <w:szCs w:val="22"/>
          <w:lang w:val="sr-Latn-ME"/>
        </w:rPr>
      </w:pPr>
      <w:r w:rsidRPr="00BD2023">
        <w:rPr>
          <w:rFonts w:ascii="Times New Roman" w:eastAsia="Times New Roman" w:hAnsi="Times New Roman"/>
          <w:sz w:val="22"/>
          <w:szCs w:val="22"/>
          <w:lang w:val="sr-Latn-ME"/>
        </w:rPr>
        <w:t>Približno 53% doze (14% ne</w:t>
      </w:r>
      <w:r w:rsidR="00835D8C" w:rsidRPr="00BD2023">
        <w:rPr>
          <w:rFonts w:ascii="Times New Roman" w:eastAsia="Times New Roman" w:hAnsi="Times New Roman"/>
          <w:sz w:val="22"/>
          <w:szCs w:val="22"/>
          <w:lang w:val="sr-Latn-ME"/>
        </w:rPr>
        <w:t>promijen</w:t>
      </w:r>
      <w:r w:rsidRPr="00BD2023">
        <w:rPr>
          <w:rFonts w:ascii="Times New Roman" w:eastAsia="Times New Roman" w:hAnsi="Times New Roman"/>
          <w:sz w:val="22"/>
          <w:szCs w:val="22"/>
          <w:lang w:val="sr-Latn-ME"/>
        </w:rPr>
        <w:t>jenog risdiplama) izluči</w:t>
      </w:r>
      <w:r w:rsidR="00EE500C" w:rsidRPr="00BD2023">
        <w:rPr>
          <w:rFonts w:ascii="Times New Roman" w:eastAsia="Times New Roman" w:hAnsi="Times New Roman"/>
          <w:sz w:val="22"/>
          <w:szCs w:val="22"/>
          <w:lang w:val="sr-Latn-ME"/>
        </w:rPr>
        <w:t>lo</w:t>
      </w:r>
      <w:r w:rsidRPr="00BD2023">
        <w:rPr>
          <w:rFonts w:ascii="Times New Roman" w:eastAsia="Times New Roman" w:hAnsi="Times New Roman"/>
          <w:sz w:val="22"/>
          <w:szCs w:val="22"/>
          <w:lang w:val="sr-Latn-ME"/>
        </w:rPr>
        <w:t xml:space="preserve"> je putem fecesa, a 28% putem urina (8% neprom</w:t>
      </w:r>
      <w:r w:rsidR="00835D8C" w:rsidRPr="00BD2023">
        <w:rPr>
          <w:rFonts w:ascii="Times New Roman" w:eastAsia="Times New Roman" w:hAnsi="Times New Roman"/>
          <w:sz w:val="22"/>
          <w:szCs w:val="22"/>
          <w:lang w:val="sr-Latn-ME"/>
        </w:rPr>
        <w:t>ij</w:t>
      </w:r>
      <w:r w:rsidRPr="00BD2023">
        <w:rPr>
          <w:rFonts w:ascii="Times New Roman" w:eastAsia="Times New Roman" w:hAnsi="Times New Roman"/>
          <w:sz w:val="22"/>
          <w:szCs w:val="22"/>
          <w:lang w:val="sr-Latn-ME"/>
        </w:rPr>
        <w:t xml:space="preserve">enjenog risdiplama). Matični </w:t>
      </w:r>
      <w:r w:rsidR="007E5CF0" w:rsidRPr="00BD2023">
        <w:rPr>
          <w:rFonts w:ascii="Times New Roman" w:eastAsia="Times New Roman" w:hAnsi="Times New Roman"/>
          <w:sz w:val="22"/>
          <w:szCs w:val="22"/>
          <w:lang w:val="sr-Latn-ME"/>
        </w:rPr>
        <w:t>lijek</w:t>
      </w:r>
      <w:r w:rsidRPr="00BD2023">
        <w:rPr>
          <w:rFonts w:ascii="Times New Roman" w:eastAsia="Times New Roman" w:hAnsi="Times New Roman"/>
          <w:sz w:val="22"/>
          <w:szCs w:val="22"/>
          <w:lang w:val="sr-Latn-ME"/>
        </w:rPr>
        <w:t xml:space="preserve"> je predstavljao glavnu komponentu otkrivenu u plazmi, i njemu je pripadalo 83% materijala povezanog sa </w:t>
      </w:r>
      <w:r w:rsidR="007E5CF0" w:rsidRPr="00BD2023">
        <w:rPr>
          <w:rFonts w:ascii="Times New Roman" w:eastAsia="Times New Roman" w:hAnsi="Times New Roman"/>
          <w:sz w:val="22"/>
          <w:szCs w:val="22"/>
          <w:lang w:val="sr-Latn-ME"/>
        </w:rPr>
        <w:t>lijek</w:t>
      </w:r>
      <w:r w:rsidRPr="00BD2023">
        <w:rPr>
          <w:rFonts w:ascii="Times New Roman" w:eastAsia="Times New Roman" w:hAnsi="Times New Roman"/>
          <w:sz w:val="22"/>
          <w:szCs w:val="22"/>
          <w:lang w:val="sr-Latn-ME"/>
        </w:rPr>
        <w:t xml:space="preserve">om u cirkulaciji. Farmakološki neaktivni metabolit M1 prepoznat je kao glavni cirkulišući metabolit. </w:t>
      </w:r>
    </w:p>
    <w:p w14:paraId="27508ADC" w14:textId="77777777" w:rsidR="00F77D20" w:rsidRPr="00BD2023" w:rsidRDefault="00F77D20" w:rsidP="00BC480A">
      <w:pPr>
        <w:pStyle w:val="Paragraph"/>
        <w:spacing w:after="0"/>
        <w:jc w:val="both"/>
        <w:rPr>
          <w:rFonts w:ascii="Times New Roman" w:eastAsia="Times New Roman" w:hAnsi="Times New Roman"/>
          <w:sz w:val="22"/>
          <w:szCs w:val="22"/>
          <w:lang w:val="sr-Latn-ME"/>
        </w:rPr>
      </w:pPr>
    </w:p>
    <w:p w14:paraId="57EBE24D" w14:textId="77777777" w:rsidR="00F77D20" w:rsidRPr="00BD2023" w:rsidRDefault="00F77D20" w:rsidP="00BC480A">
      <w:pPr>
        <w:pStyle w:val="Paragraph"/>
        <w:spacing w:after="0"/>
        <w:jc w:val="both"/>
        <w:rPr>
          <w:rFonts w:ascii="Times New Roman" w:eastAsia="Times New Roman" w:hAnsi="Times New Roman"/>
          <w:sz w:val="22"/>
          <w:szCs w:val="22"/>
          <w:u w:val="single"/>
          <w:lang w:val="sr-Latn-ME"/>
        </w:rPr>
      </w:pPr>
      <w:r w:rsidRPr="00BD2023">
        <w:rPr>
          <w:rFonts w:ascii="Times New Roman" w:eastAsia="Times New Roman" w:hAnsi="Times New Roman"/>
          <w:sz w:val="22"/>
          <w:szCs w:val="22"/>
          <w:u w:val="single"/>
          <w:lang w:val="sr-Latn-ME"/>
        </w:rPr>
        <w:t>Farmakokinetika u posebnim grupama populacije</w:t>
      </w:r>
    </w:p>
    <w:p w14:paraId="0F558FA6" w14:textId="77777777" w:rsidR="00F77D20" w:rsidRPr="00BD2023" w:rsidRDefault="00F77D20" w:rsidP="00BC480A">
      <w:pPr>
        <w:pStyle w:val="Paragraph"/>
        <w:spacing w:after="0"/>
        <w:jc w:val="both"/>
        <w:rPr>
          <w:rFonts w:ascii="Times New Roman" w:hAnsi="Times New Roman"/>
          <w:i/>
          <w:sz w:val="22"/>
          <w:szCs w:val="22"/>
          <w:highlight w:val="lightGray"/>
          <w:lang w:val="sr-Latn-ME"/>
        </w:rPr>
      </w:pPr>
    </w:p>
    <w:p w14:paraId="60748774" w14:textId="77777777" w:rsidR="00F77D20" w:rsidRPr="00BD2023" w:rsidRDefault="00F77D20" w:rsidP="00BC480A">
      <w:pPr>
        <w:pStyle w:val="Paragraph"/>
        <w:spacing w:after="0"/>
        <w:jc w:val="both"/>
        <w:rPr>
          <w:rFonts w:ascii="Times New Roman" w:hAnsi="Times New Roman"/>
          <w:i/>
          <w:sz w:val="22"/>
          <w:szCs w:val="22"/>
          <w:lang w:val="sr-Latn-ME"/>
        </w:rPr>
      </w:pPr>
      <w:r w:rsidRPr="00BD2023">
        <w:rPr>
          <w:rFonts w:ascii="Times New Roman" w:hAnsi="Times New Roman"/>
          <w:i/>
          <w:iCs/>
          <w:sz w:val="22"/>
          <w:szCs w:val="22"/>
          <w:lang w:val="sr-Latn-ME"/>
        </w:rPr>
        <w:t>Pedijatrijska populacija</w:t>
      </w:r>
    </w:p>
    <w:p w14:paraId="717D5729" w14:textId="7A4C56AE" w:rsidR="00F77D20" w:rsidRPr="00BD2023" w:rsidRDefault="00402B76" w:rsidP="00BC480A">
      <w:pPr>
        <w:ind w:right="-284"/>
        <w:jc w:val="both"/>
        <w:rPr>
          <w:sz w:val="22"/>
          <w:szCs w:val="22"/>
          <w:lang w:val="sr-Latn-ME" w:eastAsia="zh-CN"/>
        </w:rPr>
      </w:pPr>
      <w:r w:rsidRPr="00BD2023">
        <w:rPr>
          <w:sz w:val="22"/>
          <w:szCs w:val="22"/>
          <w:lang w:val="sr-Latn-ME" w:eastAsia="zh-CN"/>
        </w:rPr>
        <w:t>Tjelesn</w:t>
      </w:r>
      <w:r w:rsidR="00F77D20" w:rsidRPr="00BD2023">
        <w:rPr>
          <w:sz w:val="22"/>
          <w:szCs w:val="22"/>
          <w:lang w:val="sr-Latn-ME" w:eastAsia="zh-CN"/>
        </w:rPr>
        <w:t xml:space="preserve">a </w:t>
      </w:r>
      <w:r w:rsidR="00134C11" w:rsidRPr="00BD2023">
        <w:rPr>
          <w:sz w:val="22"/>
          <w:szCs w:val="22"/>
          <w:lang w:val="sr-Latn-ME" w:eastAsia="zh-CN"/>
        </w:rPr>
        <w:t xml:space="preserve">masa </w:t>
      </w:r>
      <w:r w:rsidR="00F77D20" w:rsidRPr="00BD2023">
        <w:rPr>
          <w:sz w:val="22"/>
          <w:szCs w:val="22"/>
          <w:lang w:val="sr-Latn-ME" w:eastAsia="zh-CN"/>
        </w:rPr>
        <w:t xml:space="preserve">i uzrast definisani su kao kovarijable u populacionoj farmakokinetičkoj analizi. </w:t>
      </w:r>
      <w:r w:rsidR="00740B8C" w:rsidRPr="00BD2023">
        <w:rPr>
          <w:sz w:val="22"/>
          <w:szCs w:val="22"/>
          <w:lang w:val="sr-Latn-ME" w:eastAsia="zh-CN"/>
        </w:rPr>
        <w:t>Na osnovu tog modela, d</w:t>
      </w:r>
      <w:r w:rsidR="00F77D20" w:rsidRPr="00BD2023">
        <w:rPr>
          <w:sz w:val="22"/>
          <w:szCs w:val="22"/>
          <w:lang w:val="sr-Latn-ME" w:eastAsia="zh-CN"/>
        </w:rPr>
        <w:t xml:space="preserve">oza se podešava na osnovu uzrasta (ispod i iznad 2 </w:t>
      </w:r>
      <w:r w:rsidR="00740B8C" w:rsidRPr="00BD2023">
        <w:rPr>
          <w:sz w:val="22"/>
          <w:szCs w:val="22"/>
          <w:lang w:val="sr-Latn-ME" w:eastAsia="zh-CN"/>
        </w:rPr>
        <w:t xml:space="preserve">mjeseca odnosno 2 </w:t>
      </w:r>
      <w:r w:rsidR="00F77D20" w:rsidRPr="00BD2023">
        <w:rPr>
          <w:sz w:val="22"/>
          <w:szCs w:val="22"/>
          <w:lang w:val="sr-Latn-ME" w:eastAsia="zh-CN"/>
        </w:rPr>
        <w:t>godine) i t</w:t>
      </w:r>
      <w:r w:rsidR="00B21585" w:rsidRPr="00BD2023">
        <w:rPr>
          <w:sz w:val="22"/>
          <w:szCs w:val="22"/>
          <w:lang w:val="sr-Latn-ME" w:eastAsia="zh-CN"/>
        </w:rPr>
        <w:t>j</w:t>
      </w:r>
      <w:r w:rsidR="00F77D20" w:rsidRPr="00BD2023">
        <w:rPr>
          <w:sz w:val="22"/>
          <w:szCs w:val="22"/>
          <w:lang w:val="sr-Latn-ME" w:eastAsia="zh-CN"/>
        </w:rPr>
        <w:t xml:space="preserve">elesne </w:t>
      </w:r>
      <w:r w:rsidR="00134C11" w:rsidRPr="00BD2023">
        <w:rPr>
          <w:sz w:val="22"/>
          <w:szCs w:val="22"/>
          <w:lang w:val="sr-Latn-ME" w:eastAsia="zh-CN"/>
        </w:rPr>
        <w:t xml:space="preserve">mase </w:t>
      </w:r>
      <w:r w:rsidR="00F77D20" w:rsidRPr="00BD2023">
        <w:rPr>
          <w:sz w:val="22"/>
          <w:szCs w:val="22"/>
          <w:lang w:val="sr-Latn-ME" w:eastAsia="zh-CN"/>
        </w:rPr>
        <w:t xml:space="preserve">(do 20 kg) kako bi se dobila slična izloženost u </w:t>
      </w:r>
      <w:r w:rsidR="00134C11" w:rsidRPr="00BD2023">
        <w:rPr>
          <w:sz w:val="22"/>
          <w:szCs w:val="22"/>
          <w:lang w:val="sr-Latn-ME" w:eastAsia="zh-CN"/>
        </w:rPr>
        <w:t xml:space="preserve">čitavom </w:t>
      </w:r>
      <w:r w:rsidR="00F77D20" w:rsidRPr="00BD2023">
        <w:rPr>
          <w:sz w:val="22"/>
          <w:szCs w:val="22"/>
          <w:lang w:val="sr-Latn-ME" w:eastAsia="zh-CN"/>
        </w:rPr>
        <w:t xml:space="preserve">rasponu uzrasta i </w:t>
      </w:r>
      <w:r w:rsidRPr="00BD2023">
        <w:rPr>
          <w:sz w:val="22"/>
          <w:szCs w:val="22"/>
          <w:lang w:val="sr-Latn-ME" w:eastAsia="zh-CN"/>
        </w:rPr>
        <w:t>tjelesn</w:t>
      </w:r>
      <w:r w:rsidR="00F77D20" w:rsidRPr="00BD2023">
        <w:rPr>
          <w:sz w:val="22"/>
          <w:szCs w:val="22"/>
          <w:lang w:val="sr-Latn-ME" w:eastAsia="zh-CN"/>
        </w:rPr>
        <w:t xml:space="preserve">e </w:t>
      </w:r>
      <w:r w:rsidR="00134C11" w:rsidRPr="00BD2023">
        <w:rPr>
          <w:sz w:val="22"/>
          <w:szCs w:val="22"/>
          <w:lang w:val="sr-Latn-ME" w:eastAsia="zh-CN"/>
        </w:rPr>
        <w:t>mase</w:t>
      </w:r>
      <w:r w:rsidR="00F77D20" w:rsidRPr="00BD2023">
        <w:rPr>
          <w:sz w:val="22"/>
          <w:szCs w:val="22"/>
          <w:lang w:val="sr-Latn-ME" w:eastAsia="zh-CN"/>
        </w:rPr>
        <w:t xml:space="preserve">. </w:t>
      </w:r>
      <w:r w:rsidR="00740B8C" w:rsidRPr="00BD2023">
        <w:rPr>
          <w:sz w:val="22"/>
          <w:szCs w:val="22"/>
          <w:lang w:val="sr-Latn-ME" w:eastAsia="zh-CN"/>
        </w:rPr>
        <w:t xml:space="preserve">Dostupni su ograničeni farmakokinetički podaci </w:t>
      </w:r>
      <w:r w:rsidR="00134C11" w:rsidRPr="00BD2023">
        <w:rPr>
          <w:sz w:val="22"/>
          <w:szCs w:val="22"/>
          <w:lang w:val="sr-Latn-ME" w:eastAsia="zh-CN"/>
        </w:rPr>
        <w:t>o primjeni kod</w:t>
      </w:r>
      <w:r w:rsidR="00F77D20" w:rsidRPr="00BD2023">
        <w:rPr>
          <w:sz w:val="22"/>
          <w:szCs w:val="22"/>
          <w:lang w:val="sr-Latn-ME" w:eastAsia="zh-CN"/>
        </w:rPr>
        <w:t xml:space="preserve"> pacijent</w:t>
      </w:r>
      <w:r w:rsidR="00134C11" w:rsidRPr="00BD2023">
        <w:rPr>
          <w:sz w:val="22"/>
          <w:szCs w:val="22"/>
          <w:lang w:val="sr-Latn-ME" w:eastAsia="zh-CN"/>
        </w:rPr>
        <w:t>ata</w:t>
      </w:r>
      <w:r w:rsidR="00F77D20" w:rsidRPr="00BD2023">
        <w:rPr>
          <w:sz w:val="22"/>
          <w:szCs w:val="22"/>
          <w:lang w:val="sr-Latn-ME" w:eastAsia="zh-CN"/>
        </w:rPr>
        <w:t xml:space="preserve"> mlađ</w:t>
      </w:r>
      <w:r w:rsidR="00134C11" w:rsidRPr="00BD2023">
        <w:rPr>
          <w:sz w:val="22"/>
          <w:szCs w:val="22"/>
          <w:lang w:val="sr-Latn-ME" w:eastAsia="zh-CN"/>
        </w:rPr>
        <w:t>ih</w:t>
      </w:r>
      <w:r w:rsidR="00F77D20" w:rsidRPr="00BD2023">
        <w:rPr>
          <w:sz w:val="22"/>
          <w:szCs w:val="22"/>
          <w:lang w:val="sr-Latn-ME" w:eastAsia="zh-CN"/>
        </w:rPr>
        <w:t xml:space="preserve"> od dva</w:t>
      </w:r>
      <w:r w:rsidR="00740B8C" w:rsidRPr="00BD2023">
        <w:rPr>
          <w:sz w:val="22"/>
          <w:szCs w:val="22"/>
          <w:lang w:val="sr-Latn-ME" w:eastAsia="zh-CN"/>
        </w:rPr>
        <w:t>deset dana,</w:t>
      </w:r>
      <w:r w:rsidR="00740B8C" w:rsidRPr="00BD2023">
        <w:rPr>
          <w:sz w:val="22"/>
          <w:szCs w:val="22"/>
          <w:lang w:val="sr-Latn-ME"/>
        </w:rPr>
        <w:t xml:space="preserve"> </w:t>
      </w:r>
      <w:r w:rsidR="00740B8C" w:rsidRPr="00BD2023">
        <w:rPr>
          <w:sz w:val="22"/>
          <w:szCs w:val="22"/>
          <w:lang w:val="sr-Latn-ME" w:eastAsia="zh-CN"/>
        </w:rPr>
        <w:t>obzirom da je u kliničkoj studiji samo jedno novorođenče staro 16 dana primilo risdiplam u nižoj dozi (0,04mg/kg)</w:t>
      </w:r>
      <w:r w:rsidR="00F77D20" w:rsidRPr="00BD2023">
        <w:rPr>
          <w:sz w:val="22"/>
          <w:szCs w:val="22"/>
          <w:lang w:val="sr-Latn-ME" w:eastAsia="zh-CN"/>
        </w:rPr>
        <w:t>.</w:t>
      </w:r>
    </w:p>
    <w:p w14:paraId="7085C0EB" w14:textId="77777777" w:rsidR="00F77D20" w:rsidRPr="00BD2023" w:rsidRDefault="00F77D20" w:rsidP="00BC480A">
      <w:pPr>
        <w:jc w:val="both"/>
        <w:rPr>
          <w:iCs/>
          <w:sz w:val="22"/>
          <w:szCs w:val="22"/>
          <w:highlight w:val="lightGray"/>
          <w:u w:val="single"/>
          <w:lang w:val="sr-Latn-ME"/>
        </w:rPr>
      </w:pPr>
    </w:p>
    <w:p w14:paraId="5646EF7B" w14:textId="77777777" w:rsidR="00F77D20" w:rsidRPr="00BD2023" w:rsidRDefault="00F77D20" w:rsidP="00BC480A">
      <w:pPr>
        <w:pStyle w:val="Paragraph"/>
        <w:spacing w:after="0"/>
        <w:jc w:val="both"/>
        <w:rPr>
          <w:rFonts w:ascii="Times New Roman" w:hAnsi="Times New Roman"/>
          <w:i/>
          <w:sz w:val="22"/>
          <w:szCs w:val="22"/>
          <w:lang w:val="sr-Latn-ME"/>
        </w:rPr>
      </w:pPr>
      <w:r w:rsidRPr="00BD2023">
        <w:rPr>
          <w:rFonts w:ascii="Times New Roman" w:hAnsi="Times New Roman"/>
          <w:i/>
          <w:iCs/>
          <w:sz w:val="22"/>
          <w:szCs w:val="22"/>
          <w:lang w:val="sr-Latn-ME"/>
        </w:rPr>
        <w:t>Starija populacija</w:t>
      </w:r>
    </w:p>
    <w:p w14:paraId="7A5E221D" w14:textId="74127AF7" w:rsidR="00F77D20" w:rsidRPr="00BD2023" w:rsidRDefault="00F77D20" w:rsidP="00BC480A">
      <w:pPr>
        <w:pStyle w:val="Paragraph"/>
        <w:spacing w:after="0"/>
        <w:jc w:val="both"/>
        <w:rPr>
          <w:rFonts w:ascii="Times New Roman" w:eastAsia="Times New Roman" w:hAnsi="Times New Roman"/>
          <w:sz w:val="22"/>
          <w:szCs w:val="22"/>
          <w:shd w:val="pct15" w:color="auto" w:fill="FFFFFF"/>
          <w:lang w:val="sr-Latn-ME"/>
        </w:rPr>
      </w:pPr>
      <w:r w:rsidRPr="00BD2023">
        <w:rPr>
          <w:rFonts w:ascii="Times New Roman" w:eastAsia="Times New Roman" w:hAnsi="Times New Roman"/>
          <w:sz w:val="22"/>
          <w:szCs w:val="22"/>
          <w:lang w:val="sr-Latn-ME"/>
        </w:rPr>
        <w:t>Ni</w:t>
      </w:r>
      <w:r w:rsidR="007642F3" w:rsidRPr="00BD2023">
        <w:rPr>
          <w:rFonts w:ascii="Times New Roman" w:eastAsia="Times New Roman" w:hAnsi="Times New Roman"/>
          <w:sz w:val="22"/>
          <w:szCs w:val="22"/>
          <w:lang w:val="sr-Latn-ME"/>
        </w:rPr>
        <w:t>je</w:t>
      </w:r>
      <w:r w:rsidRPr="00BD2023">
        <w:rPr>
          <w:rFonts w:ascii="Times New Roman" w:eastAsia="Times New Roman" w:hAnsi="Times New Roman"/>
          <w:sz w:val="22"/>
          <w:szCs w:val="22"/>
          <w:lang w:val="sr-Latn-ME"/>
        </w:rPr>
        <w:t>su izvršene posebne studije kojima bi se ispitala farmakokinetika kod pacijenata starijih od 60 godina. Ispitanici bez SMA stari do 69 godina bili su uključeni u kliničke farmakokinetičke studije, što pokazuje da za pacijente do 69 godina starosti nije potrebno podešavanje doze.</w:t>
      </w:r>
    </w:p>
    <w:p w14:paraId="084FA9F9" w14:textId="77777777" w:rsidR="00F77D20" w:rsidRPr="00BD2023" w:rsidRDefault="00F77D20" w:rsidP="00BC480A">
      <w:pPr>
        <w:pStyle w:val="Paragraph"/>
        <w:spacing w:after="0"/>
        <w:jc w:val="both"/>
        <w:rPr>
          <w:rFonts w:ascii="Times New Roman" w:hAnsi="Times New Roman"/>
          <w:i/>
          <w:sz w:val="22"/>
          <w:szCs w:val="22"/>
          <w:lang w:val="sr-Latn-ME"/>
        </w:rPr>
      </w:pPr>
    </w:p>
    <w:p w14:paraId="73387D9C" w14:textId="77777777" w:rsidR="00F77D20" w:rsidRPr="00BD2023" w:rsidRDefault="00F77D20" w:rsidP="00BC480A">
      <w:pPr>
        <w:pStyle w:val="Paragraph"/>
        <w:spacing w:after="0"/>
        <w:jc w:val="both"/>
        <w:rPr>
          <w:rFonts w:ascii="Times New Roman" w:hAnsi="Times New Roman"/>
          <w:i/>
          <w:sz w:val="22"/>
          <w:szCs w:val="22"/>
          <w:lang w:val="sr-Latn-ME"/>
        </w:rPr>
      </w:pPr>
      <w:r w:rsidRPr="00BD2023">
        <w:rPr>
          <w:rFonts w:ascii="Times New Roman" w:hAnsi="Times New Roman"/>
          <w:i/>
          <w:iCs/>
          <w:sz w:val="22"/>
          <w:szCs w:val="22"/>
          <w:lang w:val="sr-Latn-ME"/>
        </w:rPr>
        <w:t>Oštećenje funkcije bubrega</w:t>
      </w:r>
    </w:p>
    <w:p w14:paraId="5937C6CD" w14:textId="6A1602C2" w:rsidR="00F77D20" w:rsidRPr="00BD2023" w:rsidRDefault="00F77D20" w:rsidP="00BC480A">
      <w:pPr>
        <w:pStyle w:val="Paragraph"/>
        <w:spacing w:after="0"/>
        <w:jc w:val="both"/>
        <w:rPr>
          <w:rFonts w:ascii="Times New Roman" w:eastAsia="Times New Roman" w:hAnsi="Times New Roman"/>
          <w:sz w:val="22"/>
          <w:szCs w:val="22"/>
          <w:lang w:val="sr-Latn-ME"/>
        </w:rPr>
      </w:pPr>
      <w:r w:rsidRPr="00BD2023">
        <w:rPr>
          <w:rFonts w:ascii="Times New Roman" w:eastAsia="Times New Roman" w:hAnsi="Times New Roman"/>
          <w:sz w:val="22"/>
          <w:szCs w:val="22"/>
          <w:lang w:val="sr-Latn-ME"/>
        </w:rPr>
        <w:t>Ni</w:t>
      </w:r>
      <w:r w:rsidR="007642F3" w:rsidRPr="00BD2023">
        <w:rPr>
          <w:rFonts w:ascii="Times New Roman" w:eastAsia="Times New Roman" w:hAnsi="Times New Roman"/>
          <w:sz w:val="22"/>
          <w:szCs w:val="22"/>
          <w:lang w:val="sr-Latn-ME"/>
        </w:rPr>
        <w:t>je</w:t>
      </w:r>
      <w:r w:rsidRPr="00BD2023">
        <w:rPr>
          <w:rFonts w:ascii="Times New Roman" w:eastAsia="Times New Roman" w:hAnsi="Times New Roman"/>
          <w:sz w:val="22"/>
          <w:szCs w:val="22"/>
          <w:lang w:val="sr-Latn-ME"/>
        </w:rPr>
        <w:t>su izvršene studije kojima bi se ispitala farmakokinetika risdiplama kod pacijenata sa oštećenjem bubrega. Eliminacija risdiplama u neprom</w:t>
      </w:r>
      <w:r w:rsidR="00B21585" w:rsidRPr="00BD2023">
        <w:rPr>
          <w:rFonts w:ascii="Times New Roman" w:eastAsia="Times New Roman" w:hAnsi="Times New Roman"/>
          <w:sz w:val="22"/>
          <w:szCs w:val="22"/>
          <w:lang w:val="sr-Latn-ME"/>
        </w:rPr>
        <w:t>ij</w:t>
      </w:r>
      <w:r w:rsidRPr="00BD2023">
        <w:rPr>
          <w:rFonts w:ascii="Times New Roman" w:eastAsia="Times New Roman" w:hAnsi="Times New Roman"/>
          <w:sz w:val="22"/>
          <w:szCs w:val="22"/>
          <w:lang w:val="sr-Latn-ME"/>
        </w:rPr>
        <w:t xml:space="preserve">enjenom obliku </w:t>
      </w:r>
      <w:r w:rsidR="007642F3" w:rsidRPr="00BD2023">
        <w:rPr>
          <w:rFonts w:ascii="Times New Roman" w:eastAsia="Times New Roman" w:hAnsi="Times New Roman"/>
          <w:sz w:val="22"/>
          <w:szCs w:val="22"/>
          <w:lang w:val="sr-Latn-ME"/>
        </w:rPr>
        <w:t>putem</w:t>
      </w:r>
      <w:r w:rsidRPr="00BD2023">
        <w:rPr>
          <w:rFonts w:ascii="Times New Roman" w:eastAsia="Times New Roman" w:hAnsi="Times New Roman"/>
          <w:sz w:val="22"/>
          <w:szCs w:val="22"/>
          <w:lang w:val="sr-Latn-ME"/>
        </w:rPr>
        <w:t xml:space="preserve"> bubreg</w:t>
      </w:r>
      <w:r w:rsidR="007642F3" w:rsidRPr="00BD2023">
        <w:rPr>
          <w:rFonts w:ascii="Times New Roman" w:eastAsia="Times New Roman" w:hAnsi="Times New Roman"/>
          <w:sz w:val="22"/>
          <w:szCs w:val="22"/>
          <w:lang w:val="sr-Latn-ME"/>
        </w:rPr>
        <w:t>a</w:t>
      </w:r>
      <w:r w:rsidRPr="00BD2023">
        <w:rPr>
          <w:rFonts w:ascii="Times New Roman" w:eastAsia="Times New Roman" w:hAnsi="Times New Roman"/>
          <w:sz w:val="22"/>
          <w:szCs w:val="22"/>
          <w:lang w:val="sr-Latn-ME"/>
        </w:rPr>
        <w:t xml:space="preserve"> je minorna (8%). </w:t>
      </w:r>
    </w:p>
    <w:p w14:paraId="4BD28D80" w14:textId="77777777" w:rsidR="00F77D20" w:rsidRPr="00BD2023" w:rsidRDefault="00F77D20" w:rsidP="00BC480A">
      <w:pPr>
        <w:pStyle w:val="Paragraph"/>
        <w:spacing w:after="0"/>
        <w:jc w:val="both"/>
        <w:rPr>
          <w:rFonts w:ascii="Times New Roman" w:eastAsia="Times New Roman" w:hAnsi="Times New Roman"/>
          <w:sz w:val="22"/>
          <w:szCs w:val="22"/>
          <w:shd w:val="pct15" w:color="auto" w:fill="FFFFFF"/>
          <w:lang w:val="sr-Latn-ME"/>
        </w:rPr>
      </w:pPr>
    </w:p>
    <w:p w14:paraId="678B37F9" w14:textId="77777777" w:rsidR="00F77D20" w:rsidRPr="00BD2023" w:rsidRDefault="00F77D20" w:rsidP="00BC480A">
      <w:pPr>
        <w:pStyle w:val="Paragraph"/>
        <w:keepNext/>
        <w:keepLines/>
        <w:spacing w:after="0"/>
        <w:jc w:val="both"/>
        <w:rPr>
          <w:rFonts w:ascii="Times New Roman" w:hAnsi="Times New Roman"/>
          <w:i/>
          <w:sz w:val="22"/>
          <w:szCs w:val="22"/>
          <w:lang w:val="sr-Latn-ME"/>
        </w:rPr>
      </w:pPr>
      <w:r w:rsidRPr="00BD2023">
        <w:rPr>
          <w:rFonts w:ascii="Times New Roman" w:hAnsi="Times New Roman"/>
          <w:i/>
          <w:iCs/>
          <w:sz w:val="22"/>
          <w:szCs w:val="22"/>
          <w:lang w:val="sr-Latn-ME"/>
        </w:rPr>
        <w:lastRenderedPageBreak/>
        <w:t>Oštećenje funkcije jetre</w:t>
      </w:r>
    </w:p>
    <w:p w14:paraId="62EF2871" w14:textId="0F5A7039" w:rsidR="00F77D20" w:rsidRPr="00BD2023" w:rsidRDefault="00F77D20" w:rsidP="00BC480A">
      <w:pPr>
        <w:pStyle w:val="Paragraph"/>
        <w:spacing w:after="0"/>
        <w:jc w:val="both"/>
        <w:rPr>
          <w:rFonts w:ascii="Times New Roman" w:eastAsia="Times New Roman" w:hAnsi="Times New Roman"/>
          <w:sz w:val="22"/>
          <w:szCs w:val="22"/>
          <w:lang w:val="sr-Latn-ME"/>
        </w:rPr>
      </w:pPr>
      <w:r w:rsidRPr="00BD2023">
        <w:rPr>
          <w:rFonts w:ascii="Times New Roman" w:eastAsia="Times New Roman" w:hAnsi="Times New Roman"/>
          <w:sz w:val="22"/>
          <w:szCs w:val="22"/>
          <w:lang w:val="sr-Latn-ME"/>
        </w:rPr>
        <w:t>Blago i um</w:t>
      </w:r>
      <w:r w:rsidR="00B21585" w:rsidRPr="00BD2023">
        <w:rPr>
          <w:rFonts w:ascii="Times New Roman" w:eastAsia="Times New Roman" w:hAnsi="Times New Roman"/>
          <w:sz w:val="22"/>
          <w:szCs w:val="22"/>
          <w:lang w:val="sr-Latn-ME"/>
        </w:rPr>
        <w:t>j</w:t>
      </w:r>
      <w:r w:rsidRPr="00BD2023">
        <w:rPr>
          <w:rFonts w:ascii="Times New Roman" w:eastAsia="Times New Roman" w:hAnsi="Times New Roman"/>
          <w:sz w:val="22"/>
          <w:szCs w:val="22"/>
          <w:lang w:val="sr-Latn-ME"/>
        </w:rPr>
        <w:t>ereno oštećenje jetre ni</w:t>
      </w:r>
      <w:r w:rsidR="00B21585" w:rsidRPr="00BD2023">
        <w:rPr>
          <w:rFonts w:ascii="Times New Roman" w:eastAsia="Times New Roman" w:hAnsi="Times New Roman"/>
          <w:sz w:val="22"/>
          <w:szCs w:val="22"/>
          <w:lang w:val="sr-Latn-ME"/>
        </w:rPr>
        <w:t>je</w:t>
      </w:r>
      <w:r w:rsidRPr="00BD2023">
        <w:rPr>
          <w:rFonts w:ascii="Times New Roman" w:eastAsia="Times New Roman" w:hAnsi="Times New Roman"/>
          <w:sz w:val="22"/>
          <w:szCs w:val="22"/>
          <w:lang w:val="sr-Latn-ME"/>
        </w:rPr>
        <w:t>su imali značajan uticaj na farmakokinetiku risdiplama. Nakon oralne prim</w:t>
      </w:r>
      <w:r w:rsidR="00B21585" w:rsidRPr="00BD2023">
        <w:rPr>
          <w:rFonts w:ascii="Times New Roman" w:eastAsia="Times New Roman" w:hAnsi="Times New Roman"/>
          <w:sz w:val="22"/>
          <w:szCs w:val="22"/>
          <w:lang w:val="sr-Latn-ME"/>
        </w:rPr>
        <w:t>j</w:t>
      </w:r>
      <w:r w:rsidRPr="00BD2023">
        <w:rPr>
          <w:rFonts w:ascii="Times New Roman" w:eastAsia="Times New Roman" w:hAnsi="Times New Roman"/>
          <w:sz w:val="22"/>
          <w:szCs w:val="22"/>
          <w:lang w:val="sr-Latn-ME"/>
        </w:rPr>
        <w:t xml:space="preserve">ene </w:t>
      </w:r>
      <w:r w:rsidR="00F76645" w:rsidRPr="00BD2023">
        <w:rPr>
          <w:rFonts w:ascii="Times New Roman" w:eastAsia="Times New Roman" w:hAnsi="Times New Roman"/>
          <w:sz w:val="22"/>
          <w:szCs w:val="22"/>
          <w:lang w:val="sr-Latn-ME"/>
        </w:rPr>
        <w:t xml:space="preserve">jedne doze od </w:t>
      </w:r>
      <w:r w:rsidRPr="00BD2023">
        <w:rPr>
          <w:rFonts w:ascii="Times New Roman" w:eastAsia="Times New Roman" w:hAnsi="Times New Roman"/>
          <w:sz w:val="22"/>
          <w:szCs w:val="22"/>
          <w:lang w:val="sr-Latn-ME"/>
        </w:rPr>
        <w:t>5 mg risdiplama, srednj</w:t>
      </w:r>
      <w:r w:rsidR="00F76645" w:rsidRPr="00BD2023">
        <w:rPr>
          <w:rFonts w:ascii="Times New Roman" w:eastAsia="Times New Roman" w:hAnsi="Times New Roman"/>
          <w:sz w:val="22"/>
          <w:szCs w:val="22"/>
          <w:lang w:val="sr-Latn-ME"/>
        </w:rPr>
        <w:t>a vrijednost</w:t>
      </w:r>
      <w:r w:rsidRPr="00BD2023">
        <w:rPr>
          <w:rFonts w:ascii="Times New Roman" w:eastAsia="Times New Roman" w:hAnsi="Times New Roman"/>
          <w:sz w:val="22"/>
          <w:szCs w:val="22"/>
          <w:lang w:val="sr-Latn-ME"/>
        </w:rPr>
        <w:t xml:space="preserve"> </w:t>
      </w:r>
      <w:r w:rsidR="00F76645" w:rsidRPr="00BD2023">
        <w:rPr>
          <w:rFonts w:ascii="Times New Roman" w:eastAsia="Times New Roman" w:hAnsi="Times New Roman"/>
          <w:sz w:val="22"/>
          <w:szCs w:val="22"/>
          <w:lang w:val="sr-Latn-ME"/>
        </w:rPr>
        <w:t xml:space="preserve">odnosa </w:t>
      </w:r>
      <w:r w:rsidRPr="00BD2023">
        <w:rPr>
          <w:rFonts w:ascii="Times New Roman" w:eastAsia="Times New Roman" w:hAnsi="Times New Roman"/>
          <w:sz w:val="22"/>
          <w:szCs w:val="22"/>
          <w:lang w:val="sr-Latn-ME"/>
        </w:rPr>
        <w:t>za C</w:t>
      </w:r>
      <w:r w:rsidRPr="00BD2023">
        <w:rPr>
          <w:rFonts w:ascii="Times New Roman" w:eastAsia="Times New Roman" w:hAnsi="Times New Roman"/>
          <w:sz w:val="22"/>
          <w:szCs w:val="22"/>
          <w:vertAlign w:val="subscript"/>
          <w:lang w:val="sr-Latn-ME"/>
        </w:rPr>
        <w:t xml:space="preserve">max </w:t>
      </w:r>
      <w:r w:rsidRPr="00BD2023">
        <w:rPr>
          <w:rFonts w:ascii="Times New Roman" w:eastAsia="Times New Roman" w:hAnsi="Times New Roman"/>
          <w:sz w:val="22"/>
          <w:szCs w:val="22"/>
          <w:lang w:val="sr-Latn-ME"/>
        </w:rPr>
        <w:t>i AUC bili su 0,95 i 0,80 kod ispitanika sa blagim (n=8) i 1,20 i 1,08 kod onih sa um</w:t>
      </w:r>
      <w:r w:rsidR="00B21585" w:rsidRPr="00BD2023">
        <w:rPr>
          <w:rFonts w:ascii="Times New Roman" w:eastAsia="Times New Roman" w:hAnsi="Times New Roman"/>
          <w:sz w:val="22"/>
          <w:szCs w:val="22"/>
          <w:lang w:val="sr-Latn-ME"/>
        </w:rPr>
        <w:t>j</w:t>
      </w:r>
      <w:r w:rsidRPr="00BD2023">
        <w:rPr>
          <w:rFonts w:ascii="Times New Roman" w:eastAsia="Times New Roman" w:hAnsi="Times New Roman"/>
          <w:sz w:val="22"/>
          <w:szCs w:val="22"/>
          <w:lang w:val="sr-Latn-ME"/>
        </w:rPr>
        <w:t>erenim oštećenjem jetre (n=8) u poređenju sa odgovarajućim kontrolnim ispitanicima (n=10). Bezb</w:t>
      </w:r>
      <w:r w:rsidR="002A2448" w:rsidRPr="00BD2023">
        <w:rPr>
          <w:rFonts w:ascii="Times New Roman" w:eastAsia="Times New Roman" w:hAnsi="Times New Roman"/>
          <w:sz w:val="22"/>
          <w:szCs w:val="22"/>
          <w:lang w:val="sr-Latn-ME"/>
        </w:rPr>
        <w:t>j</w:t>
      </w:r>
      <w:r w:rsidRPr="00BD2023">
        <w:rPr>
          <w:rFonts w:ascii="Times New Roman" w:eastAsia="Times New Roman" w:hAnsi="Times New Roman"/>
          <w:sz w:val="22"/>
          <w:szCs w:val="22"/>
          <w:lang w:val="sr-Latn-ME"/>
        </w:rPr>
        <w:t>ednost i efikasnost risdiplama kod pacijenata sa teškim oštećenjem jetre ni</w:t>
      </w:r>
      <w:r w:rsidR="00F76645" w:rsidRPr="00BD2023">
        <w:rPr>
          <w:rFonts w:ascii="Times New Roman" w:eastAsia="Times New Roman" w:hAnsi="Times New Roman"/>
          <w:sz w:val="22"/>
          <w:szCs w:val="22"/>
          <w:lang w:val="sr-Latn-ME"/>
        </w:rPr>
        <w:t>je</w:t>
      </w:r>
      <w:r w:rsidRPr="00BD2023">
        <w:rPr>
          <w:rFonts w:ascii="Times New Roman" w:eastAsia="Times New Roman" w:hAnsi="Times New Roman"/>
          <w:sz w:val="22"/>
          <w:szCs w:val="22"/>
          <w:lang w:val="sr-Latn-ME"/>
        </w:rPr>
        <w:t>su ispitivani.</w:t>
      </w:r>
    </w:p>
    <w:p w14:paraId="0BEF60DA" w14:textId="77777777" w:rsidR="00F77D20" w:rsidRPr="00BD2023" w:rsidRDefault="00F77D20" w:rsidP="00BC480A">
      <w:pPr>
        <w:pStyle w:val="Paragraph"/>
        <w:spacing w:after="0"/>
        <w:jc w:val="both"/>
        <w:rPr>
          <w:rFonts w:ascii="Times New Roman" w:hAnsi="Times New Roman"/>
          <w:i/>
          <w:sz w:val="22"/>
          <w:szCs w:val="22"/>
          <w:lang w:val="sr-Latn-ME"/>
        </w:rPr>
      </w:pPr>
    </w:p>
    <w:p w14:paraId="796350F3" w14:textId="7FECB5B4" w:rsidR="00F77D20" w:rsidRPr="00BD2023" w:rsidRDefault="00F77D20" w:rsidP="00BC480A">
      <w:pPr>
        <w:pStyle w:val="Paragraph"/>
        <w:spacing w:after="0"/>
        <w:jc w:val="both"/>
        <w:rPr>
          <w:rFonts w:ascii="Times New Roman" w:hAnsi="Times New Roman"/>
          <w:i/>
          <w:sz w:val="22"/>
          <w:szCs w:val="22"/>
          <w:lang w:val="sr-Latn-ME"/>
        </w:rPr>
      </w:pPr>
      <w:r w:rsidRPr="00BD2023">
        <w:rPr>
          <w:rFonts w:ascii="Times New Roman" w:hAnsi="Times New Roman"/>
          <w:i/>
          <w:iCs/>
          <w:sz w:val="22"/>
          <w:szCs w:val="22"/>
          <w:lang w:val="sr-Latn-ME"/>
        </w:rPr>
        <w:t xml:space="preserve">Etničko </w:t>
      </w:r>
      <w:r w:rsidR="00BD39D9" w:rsidRPr="00BD2023">
        <w:rPr>
          <w:rFonts w:ascii="Times New Roman" w:hAnsi="Times New Roman"/>
          <w:i/>
          <w:iCs/>
          <w:sz w:val="22"/>
          <w:szCs w:val="22"/>
          <w:lang w:val="sr-Latn-ME"/>
        </w:rPr>
        <w:t>porijeklo</w:t>
      </w:r>
    </w:p>
    <w:p w14:paraId="72257E99" w14:textId="7E23F68D" w:rsidR="00F77D20" w:rsidRPr="00BD2023" w:rsidRDefault="00F77D20" w:rsidP="00BC480A">
      <w:pPr>
        <w:jc w:val="both"/>
        <w:rPr>
          <w:sz w:val="22"/>
          <w:szCs w:val="22"/>
          <w:lang w:val="sr-Latn-ME"/>
        </w:rPr>
      </w:pPr>
      <w:r w:rsidRPr="00BD2023">
        <w:rPr>
          <w:sz w:val="22"/>
          <w:szCs w:val="22"/>
          <w:lang w:val="sr-Latn-ME"/>
        </w:rPr>
        <w:t>Farmakokinetika risdiplama n</w:t>
      </w:r>
      <w:r w:rsidR="00200C42" w:rsidRPr="00BD2023">
        <w:rPr>
          <w:sz w:val="22"/>
          <w:szCs w:val="22"/>
          <w:lang w:val="sr-Latn-ME"/>
        </w:rPr>
        <w:t xml:space="preserve">ije se </w:t>
      </w:r>
      <w:r w:rsidRPr="00BD2023">
        <w:rPr>
          <w:sz w:val="22"/>
          <w:szCs w:val="22"/>
          <w:lang w:val="sr-Latn-ME"/>
        </w:rPr>
        <w:t>razlik</w:t>
      </w:r>
      <w:r w:rsidR="00200C42" w:rsidRPr="00BD2023">
        <w:rPr>
          <w:sz w:val="22"/>
          <w:szCs w:val="22"/>
          <w:lang w:val="sr-Latn-ME"/>
        </w:rPr>
        <w:t>ovala</w:t>
      </w:r>
      <w:r w:rsidRPr="00BD2023">
        <w:rPr>
          <w:sz w:val="22"/>
          <w:szCs w:val="22"/>
          <w:lang w:val="sr-Latn-ME"/>
        </w:rPr>
        <w:t xml:space="preserve"> između ispitanika japanskog por</w:t>
      </w:r>
      <w:r w:rsidR="002A2448" w:rsidRPr="00BD2023">
        <w:rPr>
          <w:sz w:val="22"/>
          <w:szCs w:val="22"/>
          <w:lang w:val="sr-Latn-ME"/>
        </w:rPr>
        <w:t>ij</w:t>
      </w:r>
      <w:r w:rsidRPr="00BD2023">
        <w:rPr>
          <w:sz w:val="22"/>
          <w:szCs w:val="22"/>
          <w:lang w:val="sr-Latn-ME"/>
        </w:rPr>
        <w:t>ekla i b</w:t>
      </w:r>
      <w:r w:rsidR="00BD39D9" w:rsidRPr="00BD2023">
        <w:rPr>
          <w:sz w:val="22"/>
          <w:szCs w:val="22"/>
          <w:lang w:val="sr-Latn-ME"/>
        </w:rPr>
        <w:t>i</w:t>
      </w:r>
      <w:r w:rsidR="002A2448" w:rsidRPr="00BD2023">
        <w:rPr>
          <w:sz w:val="22"/>
          <w:szCs w:val="22"/>
          <w:lang w:val="sr-Latn-ME"/>
        </w:rPr>
        <w:t>j</w:t>
      </w:r>
      <w:r w:rsidRPr="00BD2023">
        <w:rPr>
          <w:sz w:val="22"/>
          <w:szCs w:val="22"/>
          <w:lang w:val="sr-Latn-ME"/>
        </w:rPr>
        <w:t>elaca.</w:t>
      </w:r>
    </w:p>
    <w:p w14:paraId="2376AB65" w14:textId="77777777" w:rsidR="0072020E" w:rsidRPr="00BD2023" w:rsidRDefault="0072020E" w:rsidP="00BC480A">
      <w:pPr>
        <w:tabs>
          <w:tab w:val="left" w:pos="540"/>
          <w:tab w:val="left" w:pos="569"/>
        </w:tabs>
        <w:jc w:val="both"/>
        <w:rPr>
          <w:bCs/>
          <w:sz w:val="22"/>
          <w:szCs w:val="22"/>
          <w:lang w:val="sr-Latn-ME"/>
        </w:rPr>
      </w:pPr>
    </w:p>
    <w:p w14:paraId="1A9A0641" w14:textId="16298CEA" w:rsidR="0072020E" w:rsidRPr="00BD2023" w:rsidRDefault="0072020E" w:rsidP="00BC480A">
      <w:pPr>
        <w:tabs>
          <w:tab w:val="left" w:pos="540"/>
          <w:tab w:val="left" w:pos="569"/>
          <w:tab w:val="left" w:pos="5295"/>
        </w:tabs>
        <w:jc w:val="both"/>
        <w:rPr>
          <w:b/>
          <w:bCs/>
          <w:sz w:val="22"/>
          <w:szCs w:val="22"/>
          <w:lang w:val="sr-Latn-ME"/>
        </w:rPr>
      </w:pPr>
      <w:r w:rsidRPr="00BD2023">
        <w:rPr>
          <w:b/>
          <w:bCs/>
          <w:sz w:val="22"/>
          <w:szCs w:val="22"/>
          <w:lang w:val="sr-Latn-ME"/>
        </w:rPr>
        <w:t xml:space="preserve">5.3. </w:t>
      </w:r>
      <w:r w:rsidR="00480FB1" w:rsidRPr="00BD2023">
        <w:rPr>
          <w:b/>
          <w:bCs/>
          <w:sz w:val="22"/>
          <w:szCs w:val="22"/>
          <w:lang w:val="sr-Latn-ME"/>
        </w:rPr>
        <w:tab/>
      </w:r>
      <w:r w:rsidRPr="00BD2023">
        <w:rPr>
          <w:b/>
          <w:bCs/>
          <w:sz w:val="22"/>
          <w:szCs w:val="22"/>
          <w:lang w:val="sr-Latn-ME"/>
        </w:rPr>
        <w:t xml:space="preserve">Pretklinički podaci o bezbjednosti </w:t>
      </w:r>
      <w:r w:rsidR="00417092" w:rsidRPr="00BD2023">
        <w:rPr>
          <w:b/>
          <w:bCs/>
          <w:sz w:val="22"/>
          <w:szCs w:val="22"/>
          <w:lang w:val="sr-Latn-ME"/>
        </w:rPr>
        <w:tab/>
      </w:r>
    </w:p>
    <w:p w14:paraId="21EEA6CF" w14:textId="77777777" w:rsidR="00F77D20" w:rsidRPr="00BD2023" w:rsidRDefault="00F77D20" w:rsidP="00BC480A">
      <w:pPr>
        <w:tabs>
          <w:tab w:val="left" w:pos="540"/>
          <w:tab w:val="left" w:pos="569"/>
        </w:tabs>
        <w:jc w:val="both"/>
        <w:rPr>
          <w:bCs/>
          <w:sz w:val="22"/>
          <w:szCs w:val="22"/>
          <w:lang w:val="sr-Latn-ME"/>
        </w:rPr>
      </w:pPr>
    </w:p>
    <w:p w14:paraId="5B8219B5" w14:textId="77777777" w:rsidR="00F77D20" w:rsidRPr="00BD2023" w:rsidRDefault="00F77D20" w:rsidP="00BC480A">
      <w:pPr>
        <w:tabs>
          <w:tab w:val="left" w:pos="540"/>
          <w:tab w:val="left" w:pos="569"/>
        </w:tabs>
        <w:jc w:val="both"/>
        <w:rPr>
          <w:bCs/>
          <w:sz w:val="22"/>
          <w:szCs w:val="22"/>
          <w:u w:val="single"/>
          <w:lang w:val="sr-Latn-ME"/>
        </w:rPr>
      </w:pPr>
      <w:r w:rsidRPr="00BD2023">
        <w:rPr>
          <w:bCs/>
          <w:sz w:val="22"/>
          <w:szCs w:val="22"/>
          <w:u w:val="single"/>
          <w:lang w:val="sr-Latn-ME"/>
        </w:rPr>
        <w:t>Poremećaj fertiliteta</w:t>
      </w:r>
    </w:p>
    <w:p w14:paraId="29210BAC" w14:textId="77777777" w:rsidR="00F77D20" w:rsidRPr="00BD2023" w:rsidRDefault="00F77D20" w:rsidP="00BC480A">
      <w:pPr>
        <w:tabs>
          <w:tab w:val="left" w:pos="540"/>
          <w:tab w:val="left" w:pos="569"/>
        </w:tabs>
        <w:jc w:val="both"/>
        <w:rPr>
          <w:bCs/>
          <w:sz w:val="22"/>
          <w:szCs w:val="22"/>
          <w:lang w:val="sr-Latn-ME"/>
        </w:rPr>
      </w:pPr>
    </w:p>
    <w:p w14:paraId="73C993EE" w14:textId="3561ED9B" w:rsidR="00F77D20" w:rsidRPr="00BD2023" w:rsidRDefault="00F77D20" w:rsidP="00BC480A">
      <w:pPr>
        <w:tabs>
          <w:tab w:val="left" w:pos="540"/>
          <w:tab w:val="left" w:pos="569"/>
        </w:tabs>
        <w:jc w:val="both"/>
        <w:rPr>
          <w:bCs/>
          <w:sz w:val="22"/>
          <w:szCs w:val="22"/>
          <w:lang w:val="sr-Latn-ME"/>
        </w:rPr>
      </w:pPr>
      <w:r w:rsidRPr="00BD2023">
        <w:rPr>
          <w:bCs/>
          <w:sz w:val="22"/>
          <w:szCs w:val="22"/>
          <w:lang w:val="sr-Latn-ME"/>
        </w:rPr>
        <w:t>Terapija risdiplamom bila je povezana sa zastojem razvoja muških germinativnih ćelija kod pacova i majmuna bez bezb</w:t>
      </w:r>
      <w:r w:rsidR="002A2448" w:rsidRPr="00BD2023">
        <w:rPr>
          <w:bCs/>
          <w:sz w:val="22"/>
          <w:szCs w:val="22"/>
          <w:lang w:val="sr-Latn-ME"/>
        </w:rPr>
        <w:t>j</w:t>
      </w:r>
      <w:r w:rsidRPr="00BD2023">
        <w:rPr>
          <w:bCs/>
          <w:sz w:val="22"/>
          <w:szCs w:val="22"/>
          <w:lang w:val="sr-Latn-ME"/>
        </w:rPr>
        <w:t>ednosnih margina na osnovu sistemsk</w:t>
      </w:r>
      <w:r w:rsidR="00200C42" w:rsidRPr="00BD2023">
        <w:rPr>
          <w:bCs/>
          <w:sz w:val="22"/>
          <w:szCs w:val="22"/>
          <w:lang w:val="sr-Latn-ME"/>
        </w:rPr>
        <w:t>e</w:t>
      </w:r>
      <w:r w:rsidRPr="00BD2023">
        <w:rPr>
          <w:bCs/>
          <w:sz w:val="22"/>
          <w:szCs w:val="22"/>
          <w:lang w:val="sr-Latn-ME"/>
        </w:rPr>
        <w:t xml:space="preserve"> izloženosti </w:t>
      </w:r>
      <w:r w:rsidR="00200C42" w:rsidRPr="00BD2023">
        <w:rPr>
          <w:bCs/>
          <w:sz w:val="22"/>
          <w:szCs w:val="22"/>
          <w:lang w:val="sr-Latn-ME"/>
        </w:rPr>
        <w:t xml:space="preserve">pri kojima se ne bilježe štetni efekti </w:t>
      </w:r>
      <w:r w:rsidRPr="00BD2023">
        <w:rPr>
          <w:bCs/>
          <w:sz w:val="22"/>
          <w:szCs w:val="22"/>
          <w:lang w:val="sr-Latn-ME"/>
        </w:rPr>
        <w:t>(</w:t>
      </w:r>
      <w:r w:rsidR="00200C42" w:rsidRPr="00BD2023">
        <w:rPr>
          <w:bCs/>
          <w:sz w:val="22"/>
          <w:szCs w:val="22"/>
          <w:lang w:val="sr-Latn-ME"/>
        </w:rPr>
        <w:t xml:space="preserve">engl. </w:t>
      </w:r>
      <w:r w:rsidR="00200C42" w:rsidRPr="00BD2023">
        <w:rPr>
          <w:bCs/>
          <w:i/>
          <w:sz w:val="22"/>
          <w:szCs w:val="22"/>
          <w:lang w:val="sr-Latn-ME"/>
        </w:rPr>
        <w:t>no observed adverse effect level</w:t>
      </w:r>
      <w:r w:rsidR="00200C42" w:rsidRPr="00BD2023">
        <w:rPr>
          <w:bCs/>
          <w:sz w:val="22"/>
          <w:szCs w:val="22"/>
          <w:lang w:val="sr-Latn-ME"/>
        </w:rPr>
        <w:t>,</w:t>
      </w:r>
      <w:r w:rsidR="00200C42" w:rsidRPr="00BD2023">
        <w:rPr>
          <w:rStyle w:val="markedcontent"/>
          <w:sz w:val="35"/>
          <w:szCs w:val="35"/>
          <w:lang w:val="sr-Latn-ME"/>
        </w:rPr>
        <w:t xml:space="preserve"> </w:t>
      </w:r>
      <w:r w:rsidRPr="00BD2023">
        <w:rPr>
          <w:bCs/>
          <w:sz w:val="22"/>
          <w:szCs w:val="22"/>
          <w:lang w:val="sr-Latn-ME"/>
        </w:rPr>
        <w:t>NOAEL). T</w:t>
      </w:r>
      <w:r w:rsidR="00200C42" w:rsidRPr="00BD2023">
        <w:rPr>
          <w:bCs/>
          <w:sz w:val="22"/>
          <w:szCs w:val="22"/>
          <w:lang w:val="sr-Latn-ME"/>
        </w:rPr>
        <w:t>i</w:t>
      </w:r>
      <w:r w:rsidRPr="00BD2023">
        <w:rPr>
          <w:bCs/>
          <w:sz w:val="22"/>
          <w:szCs w:val="22"/>
          <w:lang w:val="sr-Latn-ME"/>
        </w:rPr>
        <w:t xml:space="preserve"> </w:t>
      </w:r>
      <w:r w:rsidR="00200C42" w:rsidRPr="00BD2023">
        <w:rPr>
          <w:bCs/>
          <w:sz w:val="22"/>
          <w:szCs w:val="22"/>
          <w:lang w:val="sr-Latn-ME"/>
        </w:rPr>
        <w:t xml:space="preserve">efekti </w:t>
      </w:r>
      <w:r w:rsidRPr="00BD2023">
        <w:rPr>
          <w:bCs/>
          <w:sz w:val="22"/>
          <w:szCs w:val="22"/>
          <w:lang w:val="sr-Latn-ME"/>
        </w:rPr>
        <w:t>dovel</w:t>
      </w:r>
      <w:r w:rsidR="00200C42" w:rsidRPr="00BD2023">
        <w:rPr>
          <w:bCs/>
          <w:sz w:val="22"/>
          <w:szCs w:val="22"/>
          <w:lang w:val="sr-Latn-ME"/>
        </w:rPr>
        <w:t>i</w:t>
      </w:r>
      <w:r w:rsidRPr="00BD2023">
        <w:rPr>
          <w:bCs/>
          <w:sz w:val="22"/>
          <w:szCs w:val="22"/>
          <w:lang w:val="sr-Latn-ME"/>
        </w:rPr>
        <w:t xml:space="preserve"> su do degener</w:t>
      </w:r>
      <w:r w:rsidR="00A80A94" w:rsidRPr="00BD2023">
        <w:rPr>
          <w:bCs/>
          <w:sz w:val="22"/>
          <w:szCs w:val="22"/>
          <w:lang w:val="sr-Latn-ME"/>
        </w:rPr>
        <w:t>acije</w:t>
      </w:r>
      <w:r w:rsidRPr="00BD2023">
        <w:rPr>
          <w:bCs/>
          <w:sz w:val="22"/>
          <w:szCs w:val="22"/>
          <w:lang w:val="sr-Latn-ME"/>
        </w:rPr>
        <w:t xml:space="preserve"> spermatocita, degeneracije/nekroze epitela</w:t>
      </w:r>
      <w:r w:rsidR="00A80A94" w:rsidRPr="00BD2023">
        <w:rPr>
          <w:bCs/>
          <w:sz w:val="22"/>
          <w:szCs w:val="22"/>
          <w:lang w:val="sr-Latn-ME"/>
        </w:rPr>
        <w:t xml:space="preserve"> sjemenih kanalića</w:t>
      </w:r>
      <w:r w:rsidRPr="00BD2023">
        <w:rPr>
          <w:bCs/>
          <w:sz w:val="22"/>
          <w:szCs w:val="22"/>
          <w:lang w:val="sr-Latn-ME"/>
        </w:rPr>
        <w:t xml:space="preserve"> i oligo</w:t>
      </w:r>
      <w:r w:rsidR="00A80A94" w:rsidRPr="00BD2023">
        <w:rPr>
          <w:bCs/>
          <w:sz w:val="22"/>
          <w:szCs w:val="22"/>
          <w:lang w:val="sr-Latn-ME"/>
        </w:rPr>
        <w:t>spermije</w:t>
      </w:r>
      <w:r w:rsidRPr="00BD2023">
        <w:rPr>
          <w:bCs/>
          <w:sz w:val="22"/>
          <w:szCs w:val="22"/>
          <w:lang w:val="sr-Latn-ME"/>
        </w:rPr>
        <w:t>/aspermije u pas</w:t>
      </w:r>
      <w:r w:rsidR="00BD39D9" w:rsidRPr="00BD2023">
        <w:rPr>
          <w:bCs/>
          <w:sz w:val="22"/>
          <w:szCs w:val="22"/>
          <w:lang w:val="sr-Latn-ME"/>
        </w:rPr>
        <w:t>j</w:t>
      </w:r>
      <w:r w:rsidRPr="00BD2023">
        <w:rPr>
          <w:bCs/>
          <w:sz w:val="22"/>
          <w:szCs w:val="22"/>
          <w:lang w:val="sr-Latn-ME"/>
        </w:rPr>
        <w:t>emeniku. Dejstva risdiplama na ćelije sperme najv</w:t>
      </w:r>
      <w:r w:rsidR="002A2448" w:rsidRPr="00BD2023">
        <w:rPr>
          <w:bCs/>
          <w:sz w:val="22"/>
          <w:szCs w:val="22"/>
          <w:lang w:val="sr-Latn-ME"/>
        </w:rPr>
        <w:t>j</w:t>
      </w:r>
      <w:r w:rsidRPr="00BD2023">
        <w:rPr>
          <w:bCs/>
          <w:sz w:val="22"/>
          <w:szCs w:val="22"/>
          <w:lang w:val="sr-Latn-ME"/>
        </w:rPr>
        <w:t xml:space="preserve">erovatnije su povezana sa ometanjem ćelijskog ciklusa </w:t>
      </w:r>
      <w:r w:rsidR="002A2448" w:rsidRPr="00BD2023">
        <w:rPr>
          <w:bCs/>
          <w:sz w:val="22"/>
          <w:szCs w:val="22"/>
          <w:lang w:val="sr-Latn-ME"/>
        </w:rPr>
        <w:t>di</w:t>
      </w:r>
      <w:r w:rsidRPr="00BD2023">
        <w:rPr>
          <w:bCs/>
          <w:sz w:val="22"/>
          <w:szCs w:val="22"/>
          <w:lang w:val="sr-Latn-ME"/>
        </w:rPr>
        <w:t>obe ćelija od strane risdiplama koje se javlja u određenim fazama i trebalo bi da bude reverzibilno. Ni</w:t>
      </w:r>
      <w:r w:rsidR="00A80A94" w:rsidRPr="00BD2023">
        <w:rPr>
          <w:bCs/>
          <w:sz w:val="22"/>
          <w:szCs w:val="22"/>
          <w:lang w:val="sr-Latn-ME"/>
        </w:rPr>
        <w:t>je</w:t>
      </w:r>
      <w:r w:rsidRPr="00BD2023">
        <w:rPr>
          <w:bCs/>
          <w:sz w:val="22"/>
          <w:szCs w:val="22"/>
          <w:lang w:val="sr-Latn-ME"/>
        </w:rPr>
        <w:t xml:space="preserve">su </w:t>
      </w:r>
      <w:r w:rsidR="00BD39D9" w:rsidRPr="00BD2023">
        <w:rPr>
          <w:bCs/>
          <w:sz w:val="22"/>
          <w:szCs w:val="22"/>
          <w:lang w:val="sr-Latn-ME"/>
        </w:rPr>
        <w:t xml:space="preserve">zabilježena </w:t>
      </w:r>
      <w:r w:rsidRPr="00BD2023">
        <w:rPr>
          <w:bCs/>
          <w:sz w:val="22"/>
          <w:szCs w:val="22"/>
          <w:lang w:val="sr-Latn-ME"/>
        </w:rPr>
        <w:t>dejstva na ženske reproduktivne organe kod pacova i majmuna l</w:t>
      </w:r>
      <w:r w:rsidR="002A2448" w:rsidRPr="00BD2023">
        <w:rPr>
          <w:bCs/>
          <w:sz w:val="22"/>
          <w:szCs w:val="22"/>
          <w:lang w:val="sr-Latn-ME"/>
        </w:rPr>
        <w:t>ij</w:t>
      </w:r>
      <w:r w:rsidRPr="00BD2023">
        <w:rPr>
          <w:bCs/>
          <w:sz w:val="22"/>
          <w:szCs w:val="22"/>
          <w:lang w:val="sr-Latn-ME"/>
        </w:rPr>
        <w:t>ečenih risdiplamom.</w:t>
      </w:r>
    </w:p>
    <w:p w14:paraId="173D187C" w14:textId="77777777" w:rsidR="00F77D20" w:rsidRPr="00BD2023" w:rsidRDefault="00F77D20" w:rsidP="00BC480A">
      <w:pPr>
        <w:tabs>
          <w:tab w:val="left" w:pos="540"/>
          <w:tab w:val="left" w:pos="569"/>
        </w:tabs>
        <w:jc w:val="both"/>
        <w:rPr>
          <w:bCs/>
          <w:sz w:val="22"/>
          <w:szCs w:val="22"/>
          <w:lang w:val="sr-Latn-ME"/>
        </w:rPr>
      </w:pPr>
    </w:p>
    <w:p w14:paraId="1DE10CD0" w14:textId="5A7DA26D" w:rsidR="00F77D20" w:rsidRPr="00BD2023" w:rsidRDefault="00F77D20" w:rsidP="00BC480A">
      <w:pPr>
        <w:tabs>
          <w:tab w:val="left" w:pos="540"/>
          <w:tab w:val="left" w:pos="569"/>
        </w:tabs>
        <w:jc w:val="both"/>
        <w:rPr>
          <w:bCs/>
          <w:sz w:val="22"/>
          <w:szCs w:val="22"/>
          <w:u w:val="single"/>
          <w:lang w:val="sr-Latn-ME"/>
        </w:rPr>
      </w:pPr>
      <w:r w:rsidRPr="00BD2023">
        <w:rPr>
          <w:bCs/>
          <w:sz w:val="22"/>
          <w:szCs w:val="22"/>
          <w:lang w:val="sr-Latn-ME"/>
        </w:rPr>
        <w:t>Ni</w:t>
      </w:r>
      <w:r w:rsidR="00A80A94" w:rsidRPr="00BD2023">
        <w:rPr>
          <w:bCs/>
          <w:sz w:val="22"/>
          <w:szCs w:val="22"/>
          <w:lang w:val="sr-Latn-ME"/>
        </w:rPr>
        <w:t>je</w:t>
      </w:r>
      <w:r w:rsidRPr="00BD2023">
        <w:rPr>
          <w:bCs/>
          <w:sz w:val="22"/>
          <w:szCs w:val="22"/>
          <w:lang w:val="sr-Latn-ME"/>
        </w:rPr>
        <w:t xml:space="preserve">su sprovedene studije plodnosti i ranog razvoja embriona uz istovremenu </w:t>
      </w:r>
      <w:r w:rsidR="004A4441" w:rsidRPr="00BD2023">
        <w:rPr>
          <w:bCs/>
          <w:sz w:val="22"/>
          <w:szCs w:val="22"/>
          <w:lang w:val="sr-Latn-ME"/>
        </w:rPr>
        <w:t>primjen</w:t>
      </w:r>
      <w:r w:rsidRPr="00BD2023">
        <w:rPr>
          <w:bCs/>
          <w:sz w:val="22"/>
          <w:szCs w:val="22"/>
          <w:lang w:val="sr-Latn-ME"/>
        </w:rPr>
        <w:t xml:space="preserve">u risdiplama, jer su zastoj razvoja ćelija spreme i embriotoksičan potencijal u okviru terapije već prepoznati tokom </w:t>
      </w:r>
      <w:r w:rsidR="004A4441" w:rsidRPr="00BD2023">
        <w:rPr>
          <w:bCs/>
          <w:sz w:val="22"/>
          <w:szCs w:val="22"/>
          <w:lang w:val="sr-Latn-ME"/>
        </w:rPr>
        <w:t>primjen</w:t>
      </w:r>
      <w:r w:rsidRPr="00BD2023">
        <w:rPr>
          <w:bCs/>
          <w:sz w:val="22"/>
          <w:szCs w:val="22"/>
          <w:lang w:val="sr-Latn-ME"/>
        </w:rPr>
        <w:t xml:space="preserve">e terapije na pacovima i majmunima u drugim studijama toksičnosti. U </w:t>
      </w:r>
      <w:r w:rsidR="00BD39D9" w:rsidRPr="00BD2023">
        <w:rPr>
          <w:bCs/>
          <w:sz w:val="22"/>
          <w:szCs w:val="22"/>
          <w:lang w:val="sr-Latn-ME"/>
        </w:rPr>
        <w:t>dvije</w:t>
      </w:r>
      <w:r w:rsidRPr="00BD2023">
        <w:rPr>
          <w:bCs/>
          <w:sz w:val="22"/>
          <w:szCs w:val="22"/>
          <w:lang w:val="sr-Latn-ME"/>
        </w:rPr>
        <w:t xml:space="preserve"> studije u kojima su pacovi pareni ni</w:t>
      </w:r>
      <w:r w:rsidR="00A80A94" w:rsidRPr="00BD2023">
        <w:rPr>
          <w:bCs/>
          <w:sz w:val="22"/>
          <w:szCs w:val="22"/>
          <w:lang w:val="sr-Latn-ME"/>
        </w:rPr>
        <w:t>je</w:t>
      </w:r>
      <w:r w:rsidRPr="00BD2023">
        <w:rPr>
          <w:bCs/>
          <w:sz w:val="22"/>
          <w:szCs w:val="22"/>
          <w:lang w:val="sr-Latn-ME"/>
        </w:rPr>
        <w:t xml:space="preserve">su </w:t>
      </w:r>
      <w:r w:rsidR="00DA48C3" w:rsidRPr="00BD2023">
        <w:rPr>
          <w:bCs/>
          <w:sz w:val="22"/>
          <w:szCs w:val="22"/>
          <w:lang w:val="sr-Latn-ME"/>
        </w:rPr>
        <w:t>zabilježen</w:t>
      </w:r>
      <w:r w:rsidRPr="00BD2023">
        <w:rPr>
          <w:bCs/>
          <w:sz w:val="22"/>
          <w:szCs w:val="22"/>
          <w:lang w:val="sr-Latn-ME"/>
        </w:rPr>
        <w:t xml:space="preserve">i negativni uticaji na mušku ili žensku plodnost, bilo nakon završetka perioda </w:t>
      </w:r>
      <w:r w:rsidR="00BD39D9" w:rsidRPr="00BD2023">
        <w:rPr>
          <w:bCs/>
          <w:sz w:val="22"/>
          <w:szCs w:val="22"/>
          <w:lang w:val="sr-Latn-ME"/>
        </w:rPr>
        <w:t>liječenj</w:t>
      </w:r>
      <w:r w:rsidRPr="00BD2023">
        <w:rPr>
          <w:bCs/>
          <w:sz w:val="22"/>
          <w:szCs w:val="22"/>
          <w:lang w:val="sr-Latn-ME"/>
        </w:rPr>
        <w:t xml:space="preserve">a od 13 </w:t>
      </w:r>
      <w:r w:rsidR="00C97F02" w:rsidRPr="00BD2023">
        <w:rPr>
          <w:bCs/>
          <w:sz w:val="22"/>
          <w:szCs w:val="22"/>
          <w:lang w:val="sr-Latn-ME"/>
        </w:rPr>
        <w:t>nedjelj</w:t>
      </w:r>
      <w:r w:rsidRPr="00BD2023">
        <w:rPr>
          <w:bCs/>
          <w:sz w:val="22"/>
          <w:szCs w:val="22"/>
          <w:lang w:val="sr-Latn-ME"/>
        </w:rPr>
        <w:t xml:space="preserve">a, </w:t>
      </w:r>
      <w:r w:rsidR="00A80A94" w:rsidRPr="00BD2023">
        <w:rPr>
          <w:bCs/>
          <w:sz w:val="22"/>
          <w:szCs w:val="22"/>
          <w:lang w:val="sr-Latn-ME"/>
        </w:rPr>
        <w:t xml:space="preserve">sa </w:t>
      </w:r>
      <w:r w:rsidRPr="00BD2023">
        <w:rPr>
          <w:bCs/>
          <w:sz w:val="22"/>
          <w:szCs w:val="22"/>
          <w:lang w:val="sr-Latn-ME"/>
        </w:rPr>
        <w:t>poč</w:t>
      </w:r>
      <w:r w:rsidR="00A80A94" w:rsidRPr="00BD2023">
        <w:rPr>
          <w:bCs/>
          <w:sz w:val="22"/>
          <w:szCs w:val="22"/>
          <w:lang w:val="sr-Latn-ME"/>
        </w:rPr>
        <w:t>etkom nakon prestanka sisanja</w:t>
      </w:r>
      <w:r w:rsidRPr="00BD2023">
        <w:rPr>
          <w:bCs/>
          <w:sz w:val="22"/>
          <w:szCs w:val="22"/>
          <w:lang w:val="sr-Latn-ME"/>
        </w:rPr>
        <w:t xml:space="preserve">, ili 8 </w:t>
      </w:r>
      <w:r w:rsidR="00C97F02" w:rsidRPr="00BD2023">
        <w:rPr>
          <w:bCs/>
          <w:sz w:val="22"/>
          <w:szCs w:val="22"/>
          <w:lang w:val="sr-Latn-ME"/>
        </w:rPr>
        <w:t>nedjelj</w:t>
      </w:r>
      <w:r w:rsidRPr="00BD2023">
        <w:rPr>
          <w:bCs/>
          <w:sz w:val="22"/>
          <w:szCs w:val="22"/>
          <w:lang w:val="sr-Latn-ME"/>
        </w:rPr>
        <w:t xml:space="preserve">a nakon završetka perioda </w:t>
      </w:r>
      <w:r w:rsidR="00BD39D9" w:rsidRPr="00BD2023">
        <w:rPr>
          <w:bCs/>
          <w:sz w:val="22"/>
          <w:szCs w:val="22"/>
          <w:lang w:val="sr-Latn-ME"/>
        </w:rPr>
        <w:t>liječenj</w:t>
      </w:r>
      <w:r w:rsidRPr="00BD2023">
        <w:rPr>
          <w:bCs/>
          <w:sz w:val="22"/>
          <w:szCs w:val="22"/>
          <w:lang w:val="sr-Latn-ME"/>
        </w:rPr>
        <w:t xml:space="preserve">a od 4 </w:t>
      </w:r>
      <w:r w:rsidR="00C97F02" w:rsidRPr="00BD2023">
        <w:rPr>
          <w:bCs/>
          <w:sz w:val="22"/>
          <w:szCs w:val="22"/>
          <w:lang w:val="sr-Latn-ME"/>
        </w:rPr>
        <w:t>nedjelj</w:t>
      </w:r>
      <w:r w:rsidRPr="00BD2023">
        <w:rPr>
          <w:bCs/>
          <w:sz w:val="22"/>
          <w:szCs w:val="22"/>
          <w:lang w:val="sr-Latn-ME"/>
        </w:rPr>
        <w:t xml:space="preserve">e </w:t>
      </w:r>
      <w:r w:rsidR="00A80A94" w:rsidRPr="00BD2023">
        <w:rPr>
          <w:bCs/>
          <w:sz w:val="22"/>
          <w:szCs w:val="22"/>
          <w:lang w:val="sr-Latn-ME"/>
        </w:rPr>
        <w:t xml:space="preserve">koje je počelo </w:t>
      </w:r>
      <w:r w:rsidRPr="00BD2023">
        <w:rPr>
          <w:bCs/>
          <w:sz w:val="22"/>
          <w:szCs w:val="22"/>
          <w:lang w:val="sr-Latn-ME"/>
        </w:rPr>
        <w:t>od 4. dana života.</w:t>
      </w:r>
    </w:p>
    <w:p w14:paraId="5DB55124" w14:textId="77777777" w:rsidR="00F77D20" w:rsidRPr="00BD2023" w:rsidRDefault="00F77D20" w:rsidP="00BC480A">
      <w:pPr>
        <w:tabs>
          <w:tab w:val="left" w:pos="540"/>
          <w:tab w:val="left" w:pos="569"/>
        </w:tabs>
        <w:jc w:val="both"/>
        <w:rPr>
          <w:bCs/>
          <w:sz w:val="22"/>
          <w:szCs w:val="22"/>
          <w:lang w:val="sr-Latn-ME"/>
        </w:rPr>
      </w:pPr>
    </w:p>
    <w:p w14:paraId="0FF6BA28" w14:textId="77777777" w:rsidR="00F77D20" w:rsidRPr="00BD2023" w:rsidRDefault="00F77D20" w:rsidP="00BC480A">
      <w:pPr>
        <w:tabs>
          <w:tab w:val="left" w:pos="540"/>
          <w:tab w:val="left" w:pos="569"/>
        </w:tabs>
        <w:jc w:val="both"/>
        <w:rPr>
          <w:bCs/>
          <w:sz w:val="22"/>
          <w:szCs w:val="22"/>
          <w:u w:val="single"/>
          <w:lang w:val="sr-Latn-ME"/>
        </w:rPr>
      </w:pPr>
      <w:r w:rsidRPr="00BD2023">
        <w:rPr>
          <w:bCs/>
          <w:sz w:val="22"/>
          <w:szCs w:val="22"/>
          <w:u w:val="single"/>
          <w:lang w:val="sr-Latn-ME"/>
        </w:rPr>
        <w:t>Uticaj na strukturu retine</w:t>
      </w:r>
    </w:p>
    <w:p w14:paraId="07504F7A" w14:textId="77777777" w:rsidR="00F77D20" w:rsidRPr="00BD2023" w:rsidRDefault="00F77D20" w:rsidP="00BC480A">
      <w:pPr>
        <w:tabs>
          <w:tab w:val="left" w:pos="540"/>
          <w:tab w:val="left" w:pos="569"/>
        </w:tabs>
        <w:jc w:val="both"/>
        <w:rPr>
          <w:bCs/>
          <w:i/>
          <w:sz w:val="22"/>
          <w:szCs w:val="22"/>
          <w:lang w:val="sr-Latn-ME"/>
        </w:rPr>
      </w:pPr>
    </w:p>
    <w:p w14:paraId="2F059E9D" w14:textId="21D42EA8" w:rsidR="00F77D20" w:rsidRPr="00DB4125" w:rsidRDefault="00F77D20" w:rsidP="00BC480A">
      <w:pPr>
        <w:tabs>
          <w:tab w:val="left" w:pos="540"/>
          <w:tab w:val="left" w:pos="569"/>
        </w:tabs>
        <w:jc w:val="both"/>
        <w:rPr>
          <w:bCs/>
          <w:sz w:val="22"/>
          <w:szCs w:val="22"/>
          <w:lang w:val="sr-Latn-RS"/>
        </w:rPr>
      </w:pPr>
      <w:r w:rsidRPr="00BD2023">
        <w:rPr>
          <w:bCs/>
          <w:sz w:val="22"/>
          <w:szCs w:val="22"/>
          <w:lang w:val="sr-Latn-ME"/>
        </w:rPr>
        <w:t xml:space="preserve">Hronično </w:t>
      </w:r>
      <w:r w:rsidR="00F73418" w:rsidRPr="00BD2023">
        <w:rPr>
          <w:bCs/>
          <w:sz w:val="22"/>
          <w:szCs w:val="22"/>
          <w:lang w:val="sr-Latn-ME"/>
        </w:rPr>
        <w:t>liječenje</w:t>
      </w:r>
      <w:r w:rsidRPr="00BD2023">
        <w:rPr>
          <w:bCs/>
          <w:sz w:val="22"/>
          <w:szCs w:val="22"/>
          <w:lang w:val="sr-Latn-ME"/>
        </w:rPr>
        <w:t xml:space="preserve"> majmuna risdiplamom obezb</w:t>
      </w:r>
      <w:r w:rsidR="002A2448" w:rsidRPr="00BD2023">
        <w:rPr>
          <w:bCs/>
          <w:sz w:val="22"/>
          <w:szCs w:val="22"/>
          <w:lang w:val="sr-Latn-ME"/>
        </w:rPr>
        <w:t>j</w:t>
      </w:r>
      <w:r w:rsidRPr="00BD2023">
        <w:rPr>
          <w:bCs/>
          <w:sz w:val="22"/>
          <w:szCs w:val="22"/>
          <w:lang w:val="sr-Latn-ME"/>
        </w:rPr>
        <w:t xml:space="preserve">edilo je dokaze o dejstvu na retinu u smislu degeneracije fotoreceptora koja </w:t>
      </w:r>
      <w:r w:rsidR="00235F5A" w:rsidRPr="00BD2023">
        <w:rPr>
          <w:bCs/>
          <w:sz w:val="22"/>
          <w:szCs w:val="22"/>
          <w:lang w:val="sr-Latn-ME"/>
        </w:rPr>
        <w:t>počinje</w:t>
      </w:r>
      <w:r w:rsidRPr="00BD2023">
        <w:rPr>
          <w:bCs/>
          <w:sz w:val="22"/>
          <w:szCs w:val="22"/>
          <w:lang w:val="sr-Latn-ME"/>
        </w:rPr>
        <w:t xml:space="preserve"> </w:t>
      </w:r>
      <w:r w:rsidR="00235F5A" w:rsidRPr="00BD2023">
        <w:rPr>
          <w:bCs/>
          <w:sz w:val="22"/>
          <w:szCs w:val="22"/>
          <w:lang w:val="sr-Latn-ME"/>
        </w:rPr>
        <w:t>u perifernom dijelu</w:t>
      </w:r>
      <w:r w:rsidRPr="00BD2023">
        <w:rPr>
          <w:bCs/>
          <w:sz w:val="22"/>
          <w:szCs w:val="22"/>
          <w:lang w:val="sr-Latn-ME"/>
        </w:rPr>
        <w:t xml:space="preserve"> retine. Nakon prestanka terapije </w:t>
      </w:r>
      <w:r w:rsidR="00235F5A" w:rsidRPr="00BD2023">
        <w:rPr>
          <w:bCs/>
          <w:sz w:val="22"/>
          <w:szCs w:val="22"/>
          <w:lang w:val="sr-Latn-ME"/>
        </w:rPr>
        <w:t xml:space="preserve">efekti </w:t>
      </w:r>
      <w:r w:rsidRPr="00BD2023">
        <w:rPr>
          <w:bCs/>
          <w:sz w:val="22"/>
          <w:szCs w:val="22"/>
          <w:lang w:val="sr-Latn-ME"/>
        </w:rPr>
        <w:t>na retinogram</w:t>
      </w:r>
      <w:r w:rsidR="00235F5A" w:rsidRPr="00BD2023">
        <w:rPr>
          <w:bCs/>
          <w:sz w:val="22"/>
          <w:szCs w:val="22"/>
          <w:lang w:val="sr-Latn-ME"/>
        </w:rPr>
        <w:t>u</w:t>
      </w:r>
      <w:r w:rsidRPr="00BD2023">
        <w:rPr>
          <w:bCs/>
          <w:sz w:val="22"/>
          <w:szCs w:val="22"/>
          <w:lang w:val="sr-Latn-ME"/>
        </w:rPr>
        <w:t xml:space="preserve"> bil</w:t>
      </w:r>
      <w:r w:rsidR="00235F5A" w:rsidRPr="00BD2023">
        <w:rPr>
          <w:bCs/>
          <w:sz w:val="22"/>
          <w:szCs w:val="22"/>
          <w:lang w:val="sr-Latn-ME"/>
        </w:rPr>
        <w:t>i</w:t>
      </w:r>
      <w:r w:rsidRPr="00BD2023">
        <w:rPr>
          <w:bCs/>
          <w:sz w:val="22"/>
          <w:szCs w:val="22"/>
          <w:lang w:val="sr-Latn-ME"/>
        </w:rPr>
        <w:t xml:space="preserve"> su d</w:t>
      </w:r>
      <w:r w:rsidR="002A2448" w:rsidRPr="00BD2023">
        <w:rPr>
          <w:bCs/>
          <w:sz w:val="22"/>
          <w:szCs w:val="22"/>
          <w:lang w:val="sr-Latn-ME"/>
        </w:rPr>
        <w:t>j</w:t>
      </w:r>
      <w:r w:rsidRPr="00BD2023">
        <w:rPr>
          <w:bCs/>
          <w:sz w:val="22"/>
          <w:szCs w:val="22"/>
          <w:lang w:val="sr-Latn-ME"/>
        </w:rPr>
        <w:t>elimično reverzibiln</w:t>
      </w:r>
      <w:r w:rsidR="00235F5A" w:rsidRPr="00BD2023">
        <w:rPr>
          <w:bCs/>
          <w:sz w:val="22"/>
          <w:szCs w:val="22"/>
          <w:lang w:val="sr-Latn-ME"/>
        </w:rPr>
        <w:t>i</w:t>
      </w:r>
      <w:r w:rsidRPr="00BD2023">
        <w:rPr>
          <w:bCs/>
          <w:sz w:val="22"/>
          <w:szCs w:val="22"/>
          <w:lang w:val="sr-Latn-ME"/>
        </w:rPr>
        <w:t xml:space="preserve">, ali nije bilo oporavka u slučaju degeneracije fotoreceptora. </w:t>
      </w:r>
      <w:r w:rsidR="00235F5A" w:rsidRPr="00BD2023">
        <w:rPr>
          <w:bCs/>
          <w:sz w:val="22"/>
          <w:szCs w:val="22"/>
          <w:lang w:val="sr-Latn-ME"/>
        </w:rPr>
        <w:t xml:space="preserve">Efekti </w:t>
      </w:r>
      <w:r w:rsidRPr="00BD2023">
        <w:rPr>
          <w:bCs/>
          <w:sz w:val="22"/>
          <w:szCs w:val="22"/>
          <w:lang w:val="sr-Latn-ME"/>
        </w:rPr>
        <w:t>su praćen</w:t>
      </w:r>
      <w:r w:rsidR="00235F5A" w:rsidRPr="00BD2023">
        <w:rPr>
          <w:bCs/>
          <w:sz w:val="22"/>
          <w:szCs w:val="22"/>
          <w:lang w:val="sr-Latn-ME"/>
        </w:rPr>
        <w:t>i</w:t>
      </w:r>
      <w:r w:rsidRPr="00BD2023">
        <w:rPr>
          <w:bCs/>
          <w:sz w:val="22"/>
          <w:szCs w:val="22"/>
          <w:lang w:val="sr-Latn-ME"/>
        </w:rPr>
        <w:t xml:space="preserve"> optičkom koherentnom tomografijom (</w:t>
      </w:r>
      <w:r w:rsidR="00235F5A" w:rsidRPr="00BD2023">
        <w:rPr>
          <w:bCs/>
          <w:sz w:val="22"/>
          <w:szCs w:val="22"/>
          <w:lang w:val="sr-Latn-ME"/>
        </w:rPr>
        <w:t xml:space="preserve">engl. </w:t>
      </w:r>
      <w:r w:rsidR="00235F5A" w:rsidRPr="00BD2023">
        <w:rPr>
          <w:bCs/>
          <w:i/>
          <w:sz w:val="22"/>
          <w:szCs w:val="22"/>
          <w:lang w:val="sr-Latn-ME"/>
        </w:rPr>
        <w:t>optical coherence tomography</w:t>
      </w:r>
      <w:r w:rsidR="00235F5A" w:rsidRPr="00BD2023">
        <w:rPr>
          <w:bCs/>
          <w:sz w:val="22"/>
          <w:szCs w:val="22"/>
          <w:lang w:val="sr-Latn-ME"/>
        </w:rPr>
        <w:t xml:space="preserve">, </w:t>
      </w:r>
      <w:r w:rsidRPr="00BD2023">
        <w:rPr>
          <w:bCs/>
          <w:sz w:val="22"/>
          <w:szCs w:val="22"/>
          <w:lang w:val="sr-Latn-ME"/>
        </w:rPr>
        <w:t xml:space="preserve">OCT) i elektroretinografijom (ERG). </w:t>
      </w:r>
      <w:r w:rsidR="00235F5A" w:rsidRPr="00BD2023">
        <w:rPr>
          <w:bCs/>
          <w:sz w:val="22"/>
          <w:szCs w:val="22"/>
          <w:lang w:val="sr-Latn-ME"/>
        </w:rPr>
        <w:t xml:space="preserve">Efekti </w:t>
      </w:r>
      <w:r w:rsidRPr="00BD2023">
        <w:rPr>
          <w:bCs/>
          <w:sz w:val="22"/>
          <w:szCs w:val="22"/>
          <w:lang w:val="sr-Latn-ME"/>
        </w:rPr>
        <w:t>su zab</w:t>
      </w:r>
      <w:r w:rsidR="002A2448" w:rsidRPr="00BD2023">
        <w:rPr>
          <w:bCs/>
          <w:sz w:val="22"/>
          <w:szCs w:val="22"/>
          <w:lang w:val="sr-Latn-ME"/>
        </w:rPr>
        <w:t>i</w:t>
      </w:r>
      <w:r w:rsidRPr="00BD2023">
        <w:rPr>
          <w:bCs/>
          <w:sz w:val="22"/>
          <w:szCs w:val="22"/>
          <w:lang w:val="sr-Latn-ME"/>
        </w:rPr>
        <w:t>l</w:t>
      </w:r>
      <w:r w:rsidR="002A2448" w:rsidRPr="00BD2023">
        <w:rPr>
          <w:bCs/>
          <w:sz w:val="22"/>
          <w:szCs w:val="22"/>
          <w:lang w:val="sr-Latn-ME"/>
        </w:rPr>
        <w:t>j</w:t>
      </w:r>
      <w:r w:rsidRPr="00BD2023">
        <w:rPr>
          <w:bCs/>
          <w:sz w:val="22"/>
          <w:szCs w:val="22"/>
          <w:lang w:val="sr-Latn-ME"/>
        </w:rPr>
        <w:t>ežen</w:t>
      </w:r>
      <w:r w:rsidR="00235F5A" w:rsidRPr="00BD2023">
        <w:rPr>
          <w:bCs/>
          <w:sz w:val="22"/>
          <w:szCs w:val="22"/>
          <w:lang w:val="sr-Latn-ME"/>
        </w:rPr>
        <w:t>i</w:t>
      </w:r>
      <w:r w:rsidRPr="00BD2023">
        <w:rPr>
          <w:bCs/>
          <w:sz w:val="22"/>
          <w:szCs w:val="22"/>
          <w:lang w:val="sr-Latn-ME"/>
        </w:rPr>
        <w:t xml:space="preserve"> pri </w:t>
      </w:r>
      <w:r w:rsidR="00235F5A" w:rsidRPr="00BD2023">
        <w:rPr>
          <w:bCs/>
          <w:sz w:val="22"/>
          <w:szCs w:val="22"/>
          <w:lang w:val="sr-Latn-ME"/>
        </w:rPr>
        <w:t xml:space="preserve">nivoima </w:t>
      </w:r>
      <w:r w:rsidRPr="00BD2023">
        <w:rPr>
          <w:bCs/>
          <w:sz w:val="22"/>
          <w:szCs w:val="22"/>
          <w:lang w:val="sr-Latn-ME"/>
        </w:rPr>
        <w:t>izloženosti</w:t>
      </w:r>
      <w:r w:rsidR="00235F5A" w:rsidRPr="00BD2023">
        <w:rPr>
          <w:bCs/>
          <w:sz w:val="22"/>
          <w:szCs w:val="22"/>
          <w:lang w:val="sr-Latn-ME"/>
        </w:rPr>
        <w:t xml:space="preserve"> koji su bili</w:t>
      </w:r>
      <w:r w:rsidRPr="00BD2023">
        <w:rPr>
          <w:bCs/>
          <w:sz w:val="22"/>
          <w:szCs w:val="22"/>
          <w:lang w:val="sr-Latn-ME"/>
        </w:rPr>
        <w:t xml:space="preserve"> više </w:t>
      </w:r>
      <w:r w:rsidR="00235F5A" w:rsidRPr="00BD2023">
        <w:rPr>
          <w:bCs/>
          <w:sz w:val="22"/>
          <w:szCs w:val="22"/>
          <w:lang w:val="sr-Latn-ME"/>
        </w:rPr>
        <w:t xml:space="preserve">nego dvostruko veći </w:t>
      </w:r>
      <w:r w:rsidRPr="00BD2023">
        <w:rPr>
          <w:bCs/>
          <w:sz w:val="22"/>
          <w:szCs w:val="22"/>
          <w:lang w:val="sr-Latn-ME"/>
        </w:rPr>
        <w:t>od izloženosti kod ljudi u terapijskoj dozi bez bezb</w:t>
      </w:r>
      <w:r w:rsidR="002A2448" w:rsidRPr="00BD2023">
        <w:rPr>
          <w:bCs/>
          <w:sz w:val="22"/>
          <w:szCs w:val="22"/>
          <w:lang w:val="sr-Latn-ME"/>
        </w:rPr>
        <w:t>j</w:t>
      </w:r>
      <w:r w:rsidRPr="00BD2023">
        <w:rPr>
          <w:bCs/>
          <w:sz w:val="22"/>
          <w:szCs w:val="22"/>
          <w:lang w:val="sr-Latn-ME"/>
        </w:rPr>
        <w:t>ednosn</w:t>
      </w:r>
      <w:r w:rsidR="00235F5A" w:rsidRPr="00BD2023">
        <w:rPr>
          <w:bCs/>
          <w:sz w:val="22"/>
          <w:szCs w:val="22"/>
          <w:lang w:val="sr-Latn-ME"/>
        </w:rPr>
        <w:t>ih</w:t>
      </w:r>
      <w:r w:rsidRPr="00BD2023">
        <w:rPr>
          <w:bCs/>
          <w:sz w:val="22"/>
          <w:szCs w:val="22"/>
          <w:lang w:val="sr-Latn-ME"/>
        </w:rPr>
        <w:t xml:space="preserve"> margin</w:t>
      </w:r>
      <w:r w:rsidR="00235F5A" w:rsidRPr="00BD2023">
        <w:rPr>
          <w:bCs/>
          <w:sz w:val="22"/>
          <w:szCs w:val="22"/>
          <w:lang w:val="sr-Latn-ME"/>
        </w:rPr>
        <w:t>a</w:t>
      </w:r>
      <w:r w:rsidRPr="00BD2023">
        <w:rPr>
          <w:bCs/>
          <w:sz w:val="22"/>
          <w:szCs w:val="22"/>
          <w:lang w:val="sr-Latn-ME"/>
        </w:rPr>
        <w:t xml:space="preserve"> na osnovu sistemsk</w:t>
      </w:r>
      <w:r w:rsidR="00277D8D" w:rsidRPr="00BD2023">
        <w:rPr>
          <w:bCs/>
          <w:sz w:val="22"/>
          <w:szCs w:val="22"/>
          <w:lang w:val="sr-Latn-ME"/>
        </w:rPr>
        <w:t>e</w:t>
      </w:r>
      <w:r w:rsidRPr="00BD2023">
        <w:rPr>
          <w:bCs/>
          <w:sz w:val="22"/>
          <w:szCs w:val="22"/>
          <w:lang w:val="sr-Latn-ME"/>
        </w:rPr>
        <w:t xml:space="preserve"> izloženosti </w:t>
      </w:r>
      <w:r w:rsidR="00277D8D" w:rsidRPr="00BD2023">
        <w:rPr>
          <w:bCs/>
          <w:sz w:val="22"/>
          <w:szCs w:val="22"/>
          <w:lang w:val="sr-Latn-ME"/>
        </w:rPr>
        <w:t>pri kojoj se bilježi</w:t>
      </w:r>
      <w:r w:rsidRPr="00BD2023">
        <w:rPr>
          <w:bCs/>
          <w:sz w:val="22"/>
          <w:szCs w:val="22"/>
          <w:lang w:val="sr-Latn-ME"/>
        </w:rPr>
        <w:t xml:space="preserve"> NOAEL. Takvi nalazi ni</w:t>
      </w:r>
      <w:r w:rsidR="00277D8D" w:rsidRPr="00BD2023">
        <w:rPr>
          <w:bCs/>
          <w:sz w:val="22"/>
          <w:szCs w:val="22"/>
          <w:lang w:val="sr-Latn-ME"/>
        </w:rPr>
        <w:t>je</w:t>
      </w:r>
      <w:r w:rsidRPr="00BD2023">
        <w:rPr>
          <w:bCs/>
          <w:sz w:val="22"/>
          <w:szCs w:val="22"/>
          <w:lang w:val="sr-Latn-ME"/>
        </w:rPr>
        <w:t>su zab</w:t>
      </w:r>
      <w:r w:rsidR="002A2448" w:rsidRPr="00BD2023">
        <w:rPr>
          <w:bCs/>
          <w:sz w:val="22"/>
          <w:szCs w:val="22"/>
          <w:lang w:val="sr-Latn-ME"/>
        </w:rPr>
        <w:t>i</w:t>
      </w:r>
      <w:r w:rsidRPr="00BD2023">
        <w:rPr>
          <w:bCs/>
          <w:sz w:val="22"/>
          <w:szCs w:val="22"/>
          <w:lang w:val="sr-Latn-ME"/>
        </w:rPr>
        <w:t>l</w:t>
      </w:r>
      <w:r w:rsidR="002A2448" w:rsidRPr="00BD2023">
        <w:rPr>
          <w:bCs/>
          <w:sz w:val="22"/>
          <w:szCs w:val="22"/>
          <w:lang w:val="sr-Latn-ME"/>
        </w:rPr>
        <w:t>j</w:t>
      </w:r>
      <w:r w:rsidRPr="00BD2023">
        <w:rPr>
          <w:bCs/>
          <w:sz w:val="22"/>
          <w:szCs w:val="22"/>
          <w:lang w:val="sr-Latn-ME"/>
        </w:rPr>
        <w:t>eženi kod albino ili pigmentisanih pacova tokom hroničnog doziranja risdiplama u izloženostima koje su premašivale izloženost kod majmuna.</w:t>
      </w:r>
      <w:r w:rsidR="00F4349E">
        <w:rPr>
          <w:bCs/>
          <w:sz w:val="22"/>
          <w:szCs w:val="22"/>
          <w:lang w:val="sr-Latn-ME"/>
        </w:rPr>
        <w:t xml:space="preserve"> </w:t>
      </w:r>
      <w:r w:rsidR="00F4349E" w:rsidRPr="00F4349E">
        <w:rPr>
          <w:bCs/>
          <w:sz w:val="22"/>
          <w:szCs w:val="22"/>
          <w:lang w:val="sr-Latn-RS"/>
        </w:rPr>
        <w:t>Takvi nalazi ni</w:t>
      </w:r>
      <w:r w:rsidR="00BF051A">
        <w:rPr>
          <w:bCs/>
          <w:sz w:val="22"/>
          <w:szCs w:val="22"/>
          <w:lang w:val="sr-Latn-RS"/>
        </w:rPr>
        <w:t>je</w:t>
      </w:r>
      <w:r w:rsidR="00F4349E" w:rsidRPr="00F4349E">
        <w:rPr>
          <w:bCs/>
          <w:sz w:val="22"/>
          <w:szCs w:val="22"/>
          <w:lang w:val="sr-Latn-RS"/>
        </w:rPr>
        <w:t>su zab</w:t>
      </w:r>
      <w:r w:rsidR="00180E37">
        <w:rPr>
          <w:bCs/>
          <w:sz w:val="22"/>
          <w:szCs w:val="22"/>
          <w:lang w:val="sr-Latn-RS"/>
        </w:rPr>
        <w:t>ilje</w:t>
      </w:r>
      <w:r w:rsidR="00F4349E" w:rsidRPr="00F4349E">
        <w:rPr>
          <w:bCs/>
          <w:sz w:val="22"/>
          <w:szCs w:val="22"/>
          <w:lang w:val="sr-Latn-RS"/>
        </w:rPr>
        <w:t xml:space="preserve">ženi tokom redovnog oftamološkog praćenja SMA pacijenata u kliničkim studijama (uključujući </w:t>
      </w:r>
      <w:r w:rsidR="00F4349E" w:rsidRPr="00F4349E">
        <w:rPr>
          <w:bCs/>
          <w:sz w:val="22"/>
          <w:szCs w:val="22"/>
          <w:lang w:val="hr-HR"/>
        </w:rPr>
        <w:t>SD-OCT</w:t>
      </w:r>
      <w:r w:rsidR="00F4349E" w:rsidRPr="00F4349E">
        <w:rPr>
          <w:bCs/>
          <w:sz w:val="22"/>
          <w:szCs w:val="22"/>
          <w:lang w:val="sr-Latn-RS"/>
        </w:rPr>
        <w:t xml:space="preserve"> </w:t>
      </w:r>
      <w:r w:rsidR="00F4349E" w:rsidRPr="00F4349E">
        <w:rPr>
          <w:bCs/>
          <w:sz w:val="22"/>
          <w:szCs w:val="22"/>
          <w:lang w:val="hr-HR"/>
        </w:rPr>
        <w:t xml:space="preserve">[engl. </w:t>
      </w:r>
      <w:r w:rsidR="00F4349E" w:rsidRPr="00F4349E">
        <w:rPr>
          <w:bCs/>
          <w:i/>
          <w:sz w:val="22"/>
          <w:szCs w:val="22"/>
          <w:lang w:val="hr-HR"/>
        </w:rPr>
        <w:t>Spectral Domain Optical Coherence Tomography</w:t>
      </w:r>
      <w:r w:rsidR="00F4349E" w:rsidRPr="00F4349E">
        <w:rPr>
          <w:bCs/>
          <w:sz w:val="22"/>
          <w:szCs w:val="22"/>
          <w:lang w:val="hr-HR"/>
        </w:rPr>
        <w:t>] i proc</w:t>
      </w:r>
      <w:r w:rsidR="00F4349E">
        <w:rPr>
          <w:bCs/>
          <w:sz w:val="22"/>
          <w:szCs w:val="22"/>
          <w:lang w:val="hr-HR"/>
        </w:rPr>
        <w:t>j</w:t>
      </w:r>
      <w:r w:rsidR="00F4349E" w:rsidRPr="00F4349E">
        <w:rPr>
          <w:bCs/>
          <w:sz w:val="22"/>
          <w:szCs w:val="22"/>
          <w:lang w:val="hr-HR"/>
        </w:rPr>
        <w:t>enu funkcije vida).</w:t>
      </w:r>
    </w:p>
    <w:p w14:paraId="05A2B5B8" w14:textId="77777777" w:rsidR="00F77D20" w:rsidRPr="00BD2023" w:rsidRDefault="00F77D20" w:rsidP="00BC480A">
      <w:pPr>
        <w:tabs>
          <w:tab w:val="left" w:pos="540"/>
          <w:tab w:val="left" w:pos="569"/>
        </w:tabs>
        <w:jc w:val="both"/>
        <w:rPr>
          <w:bCs/>
          <w:i/>
          <w:sz w:val="22"/>
          <w:szCs w:val="22"/>
          <w:lang w:val="sr-Latn-ME"/>
        </w:rPr>
      </w:pPr>
    </w:p>
    <w:p w14:paraId="4E220EA9" w14:textId="77777777" w:rsidR="00F77D20" w:rsidRPr="00BD2023" w:rsidRDefault="00F77D20" w:rsidP="00BC480A">
      <w:pPr>
        <w:tabs>
          <w:tab w:val="left" w:pos="540"/>
          <w:tab w:val="left" w:pos="569"/>
        </w:tabs>
        <w:jc w:val="both"/>
        <w:rPr>
          <w:bCs/>
          <w:sz w:val="22"/>
          <w:szCs w:val="22"/>
          <w:u w:val="single"/>
          <w:lang w:val="sr-Latn-ME"/>
        </w:rPr>
      </w:pPr>
      <w:r w:rsidRPr="00BD2023">
        <w:rPr>
          <w:bCs/>
          <w:sz w:val="22"/>
          <w:szCs w:val="22"/>
          <w:u w:val="single"/>
          <w:lang w:val="sr-Latn-ME"/>
        </w:rPr>
        <w:t>Uticaj na epitelna tkiva</w:t>
      </w:r>
    </w:p>
    <w:p w14:paraId="0B9959CA" w14:textId="77777777" w:rsidR="00F77D20" w:rsidRPr="00BD2023" w:rsidRDefault="00F77D20" w:rsidP="00BC480A">
      <w:pPr>
        <w:tabs>
          <w:tab w:val="left" w:pos="540"/>
          <w:tab w:val="left" w:pos="569"/>
        </w:tabs>
        <w:jc w:val="both"/>
        <w:rPr>
          <w:bCs/>
          <w:i/>
          <w:sz w:val="22"/>
          <w:szCs w:val="22"/>
          <w:lang w:val="sr-Latn-ME"/>
        </w:rPr>
      </w:pPr>
    </w:p>
    <w:p w14:paraId="15165F8B" w14:textId="4BD09279" w:rsidR="00F77D20" w:rsidRPr="00BD2023" w:rsidRDefault="00277D8D" w:rsidP="00BC480A">
      <w:pPr>
        <w:tabs>
          <w:tab w:val="left" w:pos="540"/>
          <w:tab w:val="left" w:pos="569"/>
        </w:tabs>
        <w:jc w:val="both"/>
        <w:rPr>
          <w:bCs/>
          <w:sz w:val="22"/>
          <w:szCs w:val="22"/>
          <w:lang w:val="sr-Latn-ME"/>
        </w:rPr>
      </w:pPr>
      <w:r w:rsidRPr="00BD2023">
        <w:rPr>
          <w:bCs/>
          <w:sz w:val="22"/>
          <w:szCs w:val="22"/>
          <w:lang w:val="sr-Latn-ME"/>
        </w:rPr>
        <w:t xml:space="preserve">Efekti </w:t>
      </w:r>
      <w:r w:rsidR="00F77D20" w:rsidRPr="00BD2023">
        <w:rPr>
          <w:bCs/>
          <w:sz w:val="22"/>
          <w:szCs w:val="22"/>
          <w:lang w:val="sr-Latn-ME"/>
        </w:rPr>
        <w:t>na histologiju kože, larinksa i očnih kapaka, kao i na gastrointestinalni trakt su bila očigledna kod pacova i majmuna l</w:t>
      </w:r>
      <w:r w:rsidR="002A2448" w:rsidRPr="00BD2023">
        <w:rPr>
          <w:bCs/>
          <w:sz w:val="22"/>
          <w:szCs w:val="22"/>
          <w:lang w:val="sr-Latn-ME"/>
        </w:rPr>
        <w:t>ij</w:t>
      </w:r>
      <w:r w:rsidR="00F77D20" w:rsidRPr="00BD2023">
        <w:rPr>
          <w:bCs/>
          <w:sz w:val="22"/>
          <w:szCs w:val="22"/>
          <w:lang w:val="sr-Latn-ME"/>
        </w:rPr>
        <w:t xml:space="preserve">ečenih risdiplamom. </w:t>
      </w:r>
      <w:r w:rsidR="00835D8C" w:rsidRPr="00BD2023">
        <w:rPr>
          <w:bCs/>
          <w:sz w:val="22"/>
          <w:szCs w:val="22"/>
          <w:lang w:val="sr-Latn-ME"/>
        </w:rPr>
        <w:t>Promjen</w:t>
      </w:r>
      <w:r w:rsidR="00F77D20" w:rsidRPr="00BD2023">
        <w:rPr>
          <w:bCs/>
          <w:sz w:val="22"/>
          <w:szCs w:val="22"/>
          <w:lang w:val="sr-Latn-ME"/>
        </w:rPr>
        <w:t xml:space="preserve">e su postale vidljive pri visokim dozama terapije koja je trajala 2 </w:t>
      </w:r>
      <w:r w:rsidR="00C97F02" w:rsidRPr="00BD2023">
        <w:rPr>
          <w:bCs/>
          <w:sz w:val="22"/>
          <w:szCs w:val="22"/>
          <w:lang w:val="sr-Latn-ME"/>
        </w:rPr>
        <w:t>nedjelj</w:t>
      </w:r>
      <w:r w:rsidR="00F77D20" w:rsidRPr="00BD2023">
        <w:rPr>
          <w:bCs/>
          <w:sz w:val="22"/>
          <w:szCs w:val="22"/>
          <w:lang w:val="sr-Latn-ME"/>
        </w:rPr>
        <w:t xml:space="preserve">e i duže. </w:t>
      </w:r>
      <w:r w:rsidRPr="00BD2023">
        <w:rPr>
          <w:bCs/>
          <w:sz w:val="22"/>
          <w:szCs w:val="22"/>
          <w:lang w:val="sr-Latn-ME"/>
        </w:rPr>
        <w:t xml:space="preserve">Kod </w:t>
      </w:r>
      <w:r w:rsidR="00F77D20" w:rsidRPr="00BD2023">
        <w:rPr>
          <w:bCs/>
          <w:sz w:val="22"/>
          <w:szCs w:val="22"/>
          <w:lang w:val="sr-Latn-ME"/>
        </w:rPr>
        <w:t>hroničn</w:t>
      </w:r>
      <w:r w:rsidRPr="00BD2023">
        <w:rPr>
          <w:bCs/>
          <w:sz w:val="22"/>
          <w:szCs w:val="22"/>
          <w:lang w:val="sr-Latn-ME"/>
        </w:rPr>
        <w:t>e</w:t>
      </w:r>
      <w:r w:rsidR="00F77D20" w:rsidRPr="00BD2023">
        <w:rPr>
          <w:bCs/>
          <w:sz w:val="22"/>
          <w:szCs w:val="22"/>
          <w:lang w:val="sr-Latn-ME"/>
        </w:rPr>
        <w:t xml:space="preserve"> </w:t>
      </w:r>
      <w:r w:rsidRPr="00BD2023">
        <w:rPr>
          <w:bCs/>
          <w:sz w:val="22"/>
          <w:szCs w:val="22"/>
          <w:lang w:val="sr-Latn-ME"/>
        </w:rPr>
        <w:t>39-nedjeljne primjene</w:t>
      </w:r>
      <w:r w:rsidR="00F77D20" w:rsidRPr="00BD2023">
        <w:rPr>
          <w:bCs/>
          <w:sz w:val="22"/>
          <w:szCs w:val="22"/>
          <w:lang w:val="sr-Latn-ME"/>
        </w:rPr>
        <w:t xml:space="preserve"> kod majmuna, NOAEL </w:t>
      </w:r>
      <w:r w:rsidRPr="00BD2023">
        <w:rPr>
          <w:bCs/>
          <w:sz w:val="22"/>
          <w:szCs w:val="22"/>
          <w:lang w:val="sr-Latn-ME"/>
        </w:rPr>
        <w:t>je</w:t>
      </w:r>
      <w:r w:rsidR="00F77D20" w:rsidRPr="00BD2023">
        <w:rPr>
          <w:bCs/>
          <w:sz w:val="22"/>
          <w:szCs w:val="22"/>
          <w:lang w:val="sr-Latn-ME"/>
        </w:rPr>
        <w:t xml:space="preserve"> </w:t>
      </w:r>
      <w:r w:rsidRPr="00BD2023">
        <w:rPr>
          <w:bCs/>
          <w:sz w:val="22"/>
          <w:szCs w:val="22"/>
          <w:lang w:val="sr-Latn-ME"/>
        </w:rPr>
        <w:t xml:space="preserve">zabilježen </w:t>
      </w:r>
      <w:r w:rsidR="00F77D20" w:rsidRPr="00BD2023">
        <w:rPr>
          <w:bCs/>
          <w:sz w:val="22"/>
          <w:szCs w:val="22"/>
          <w:lang w:val="sr-Latn-ME"/>
        </w:rPr>
        <w:t xml:space="preserve">pri izloženosti </w:t>
      </w:r>
      <w:r w:rsidRPr="00BD2023">
        <w:rPr>
          <w:bCs/>
          <w:sz w:val="22"/>
          <w:szCs w:val="22"/>
          <w:lang w:val="sr-Latn-ME"/>
        </w:rPr>
        <w:t xml:space="preserve">koja je bila </w:t>
      </w:r>
      <w:r w:rsidR="00F77D20" w:rsidRPr="00BD2023">
        <w:rPr>
          <w:bCs/>
          <w:sz w:val="22"/>
          <w:szCs w:val="22"/>
          <w:lang w:val="sr-Latn-ME"/>
        </w:rPr>
        <w:t>viš</w:t>
      </w:r>
      <w:r w:rsidRPr="00BD2023">
        <w:rPr>
          <w:bCs/>
          <w:sz w:val="22"/>
          <w:szCs w:val="22"/>
          <w:lang w:val="sr-Latn-ME"/>
        </w:rPr>
        <w:t>a nego dvostruko veća</w:t>
      </w:r>
      <w:r w:rsidR="00F77D20" w:rsidRPr="00BD2023">
        <w:rPr>
          <w:bCs/>
          <w:sz w:val="22"/>
          <w:szCs w:val="22"/>
          <w:lang w:val="sr-Latn-ME"/>
        </w:rPr>
        <w:t xml:space="preserve"> od pros</w:t>
      </w:r>
      <w:r w:rsidR="002A2448" w:rsidRPr="00BD2023">
        <w:rPr>
          <w:bCs/>
          <w:sz w:val="22"/>
          <w:szCs w:val="22"/>
          <w:lang w:val="sr-Latn-ME"/>
        </w:rPr>
        <w:t>j</w:t>
      </w:r>
      <w:r w:rsidR="00F77D20" w:rsidRPr="00BD2023">
        <w:rPr>
          <w:bCs/>
          <w:sz w:val="22"/>
          <w:szCs w:val="22"/>
          <w:lang w:val="sr-Latn-ME"/>
        </w:rPr>
        <w:t xml:space="preserve">ečne izloženosti kod ljudi u terapijskoj dozi. </w:t>
      </w:r>
    </w:p>
    <w:p w14:paraId="165C2413" w14:textId="77777777" w:rsidR="00F77D20" w:rsidRPr="00BD2023" w:rsidRDefault="00F77D20" w:rsidP="00BC480A">
      <w:pPr>
        <w:tabs>
          <w:tab w:val="left" w:pos="540"/>
          <w:tab w:val="left" w:pos="569"/>
        </w:tabs>
        <w:jc w:val="both"/>
        <w:rPr>
          <w:bCs/>
          <w:i/>
          <w:sz w:val="22"/>
          <w:szCs w:val="22"/>
          <w:lang w:val="sr-Latn-ME"/>
        </w:rPr>
      </w:pPr>
    </w:p>
    <w:p w14:paraId="67E0B8CD" w14:textId="1B9010F7" w:rsidR="00F77D20" w:rsidRPr="00BD2023" w:rsidRDefault="00561B53" w:rsidP="00BC480A">
      <w:pPr>
        <w:tabs>
          <w:tab w:val="left" w:pos="540"/>
          <w:tab w:val="left" w:pos="569"/>
        </w:tabs>
        <w:jc w:val="both"/>
        <w:rPr>
          <w:bCs/>
          <w:sz w:val="22"/>
          <w:szCs w:val="22"/>
          <w:u w:val="single"/>
          <w:lang w:val="sr-Latn-ME"/>
        </w:rPr>
      </w:pPr>
      <w:r w:rsidRPr="00BD2023">
        <w:rPr>
          <w:bCs/>
          <w:sz w:val="22"/>
          <w:szCs w:val="22"/>
          <w:u w:val="single"/>
          <w:lang w:val="sr-Latn-ME"/>
        </w:rPr>
        <w:t xml:space="preserve">Efekat </w:t>
      </w:r>
      <w:r w:rsidR="00F77D20" w:rsidRPr="00BD2023">
        <w:rPr>
          <w:bCs/>
          <w:sz w:val="22"/>
          <w:szCs w:val="22"/>
          <w:u w:val="single"/>
          <w:lang w:val="sr-Latn-ME"/>
        </w:rPr>
        <w:t>na hematološke parametre</w:t>
      </w:r>
    </w:p>
    <w:p w14:paraId="331E90C0" w14:textId="77777777" w:rsidR="00F77D20" w:rsidRPr="00BD2023" w:rsidRDefault="00F77D20" w:rsidP="00BC480A">
      <w:pPr>
        <w:tabs>
          <w:tab w:val="left" w:pos="540"/>
          <w:tab w:val="left" w:pos="569"/>
        </w:tabs>
        <w:jc w:val="both"/>
        <w:rPr>
          <w:bCs/>
          <w:sz w:val="22"/>
          <w:szCs w:val="22"/>
          <w:lang w:val="sr-Latn-ME"/>
        </w:rPr>
      </w:pPr>
    </w:p>
    <w:p w14:paraId="36A3EE64" w14:textId="3B433502" w:rsidR="00F77D20" w:rsidRPr="00BD2023" w:rsidRDefault="00F77D20" w:rsidP="00BC480A">
      <w:pPr>
        <w:tabs>
          <w:tab w:val="left" w:pos="540"/>
          <w:tab w:val="left" w:pos="569"/>
        </w:tabs>
        <w:jc w:val="both"/>
        <w:rPr>
          <w:bCs/>
          <w:sz w:val="22"/>
          <w:szCs w:val="22"/>
          <w:lang w:val="sr-Latn-ME"/>
        </w:rPr>
      </w:pPr>
      <w:r w:rsidRPr="00BD2023">
        <w:rPr>
          <w:bCs/>
          <w:sz w:val="22"/>
          <w:szCs w:val="22"/>
          <w:lang w:val="sr-Latn-ME"/>
        </w:rPr>
        <w:t>U mikronukleus</w:t>
      </w:r>
      <w:r w:rsidR="00561B53" w:rsidRPr="00BD2023">
        <w:rPr>
          <w:bCs/>
          <w:sz w:val="22"/>
          <w:szCs w:val="22"/>
          <w:lang w:val="sr-Latn-ME"/>
        </w:rPr>
        <w:t>nom testu na</w:t>
      </w:r>
      <w:r w:rsidRPr="00BD2023">
        <w:rPr>
          <w:bCs/>
          <w:sz w:val="22"/>
          <w:szCs w:val="22"/>
          <w:lang w:val="sr-Latn-ME"/>
        </w:rPr>
        <w:t xml:space="preserve"> ko</w:t>
      </w:r>
      <w:r w:rsidR="00A76607" w:rsidRPr="00BD2023">
        <w:rPr>
          <w:bCs/>
          <w:sz w:val="22"/>
          <w:szCs w:val="22"/>
          <w:lang w:val="sr-Latn-ME"/>
        </w:rPr>
        <w:t>štanoj</w:t>
      </w:r>
      <w:r w:rsidRPr="00BD2023">
        <w:rPr>
          <w:bCs/>
          <w:sz w:val="22"/>
          <w:szCs w:val="22"/>
          <w:lang w:val="sr-Latn-ME"/>
        </w:rPr>
        <w:t xml:space="preserve"> srži </w:t>
      </w:r>
      <w:r w:rsidR="00561B53" w:rsidRPr="00BD2023">
        <w:rPr>
          <w:bCs/>
          <w:sz w:val="22"/>
          <w:szCs w:val="22"/>
          <w:lang w:val="sr-Latn-ME"/>
        </w:rPr>
        <w:t>pacova nakon akutne primjene visokih doza</w:t>
      </w:r>
      <w:r w:rsidRPr="00BD2023">
        <w:rPr>
          <w:bCs/>
          <w:sz w:val="22"/>
          <w:szCs w:val="22"/>
          <w:lang w:val="sr-Latn-ME"/>
        </w:rPr>
        <w:t xml:space="preserve">, </w:t>
      </w:r>
      <w:r w:rsidR="007551B5" w:rsidRPr="00BD2023">
        <w:rPr>
          <w:bCs/>
          <w:sz w:val="22"/>
          <w:szCs w:val="22"/>
          <w:lang w:val="sr-Latn-ME"/>
        </w:rPr>
        <w:t>kojima se postiže izloženost</w:t>
      </w:r>
      <w:r w:rsidR="00561B53" w:rsidRPr="00BD2023">
        <w:rPr>
          <w:bCs/>
          <w:sz w:val="22"/>
          <w:szCs w:val="22"/>
          <w:lang w:val="sr-Latn-ME"/>
        </w:rPr>
        <w:t xml:space="preserve"> više od 15 puta veća od prosječne izloženosti kod ljudi kod primjene terapijske doze, </w:t>
      </w:r>
      <w:r w:rsidR="00BD39D9" w:rsidRPr="00BD2023">
        <w:rPr>
          <w:bCs/>
          <w:sz w:val="22"/>
          <w:szCs w:val="22"/>
          <w:lang w:val="sr-Latn-ME"/>
        </w:rPr>
        <w:t xml:space="preserve">zabiježeno </w:t>
      </w:r>
      <w:r w:rsidRPr="00BD2023">
        <w:rPr>
          <w:bCs/>
          <w:sz w:val="22"/>
          <w:szCs w:val="22"/>
          <w:lang w:val="sr-Latn-ME"/>
        </w:rPr>
        <w:t xml:space="preserve">je smanjenje </w:t>
      </w:r>
      <w:r w:rsidR="00561B53" w:rsidRPr="00BD2023">
        <w:rPr>
          <w:bCs/>
          <w:sz w:val="22"/>
          <w:szCs w:val="22"/>
          <w:lang w:val="sr-Latn-ME"/>
        </w:rPr>
        <w:t xml:space="preserve">odnosa </w:t>
      </w:r>
      <w:r w:rsidRPr="00BD2023">
        <w:rPr>
          <w:bCs/>
          <w:sz w:val="22"/>
          <w:szCs w:val="22"/>
          <w:lang w:val="sr-Latn-ME"/>
        </w:rPr>
        <w:t>polihromatskih (mladih) i normohromatskih (odraslih) eritrocita</w:t>
      </w:r>
      <w:r w:rsidR="00A77791" w:rsidRPr="00BD2023">
        <w:rPr>
          <w:bCs/>
          <w:sz w:val="22"/>
          <w:szCs w:val="22"/>
          <w:lang w:val="sr-Latn-ME"/>
        </w:rPr>
        <w:t xml:space="preserve"> za više od 50%</w:t>
      </w:r>
      <w:r w:rsidRPr="00BD2023">
        <w:rPr>
          <w:bCs/>
          <w:sz w:val="22"/>
          <w:szCs w:val="22"/>
          <w:lang w:val="sr-Latn-ME"/>
        </w:rPr>
        <w:t>, što ukazuje na zna</w:t>
      </w:r>
      <w:r w:rsidR="00A77791" w:rsidRPr="00BD2023">
        <w:rPr>
          <w:bCs/>
          <w:sz w:val="22"/>
          <w:szCs w:val="22"/>
          <w:lang w:val="sr-Latn-ME"/>
        </w:rPr>
        <w:t>čajnu</w:t>
      </w:r>
      <w:r w:rsidRPr="00BD2023">
        <w:rPr>
          <w:bCs/>
          <w:sz w:val="22"/>
          <w:szCs w:val="22"/>
          <w:lang w:val="sr-Latn-ME"/>
        </w:rPr>
        <w:t xml:space="preserve"> toksičnost za ko</w:t>
      </w:r>
      <w:r w:rsidR="00A76607" w:rsidRPr="00BD2023">
        <w:rPr>
          <w:bCs/>
          <w:sz w:val="22"/>
          <w:szCs w:val="22"/>
          <w:lang w:val="sr-Latn-ME"/>
        </w:rPr>
        <w:t>štanu</w:t>
      </w:r>
      <w:r w:rsidRPr="00BD2023">
        <w:rPr>
          <w:bCs/>
          <w:sz w:val="22"/>
          <w:szCs w:val="22"/>
          <w:lang w:val="sr-Latn-ME"/>
        </w:rPr>
        <w:t xml:space="preserve"> srž</w:t>
      </w:r>
      <w:r w:rsidR="00A77791" w:rsidRPr="00BD2023">
        <w:rPr>
          <w:bCs/>
          <w:sz w:val="22"/>
          <w:szCs w:val="22"/>
          <w:lang w:val="sr-Latn-ME"/>
        </w:rPr>
        <w:t>.</w:t>
      </w:r>
      <w:r w:rsidRPr="00BD2023">
        <w:rPr>
          <w:bCs/>
          <w:sz w:val="22"/>
          <w:szCs w:val="22"/>
          <w:lang w:val="sr-Latn-ME"/>
        </w:rPr>
        <w:t xml:space="preserve"> Tokom dužeg </w:t>
      </w:r>
      <w:r w:rsidR="00BD39D9" w:rsidRPr="00BD2023">
        <w:rPr>
          <w:bCs/>
          <w:sz w:val="22"/>
          <w:szCs w:val="22"/>
          <w:lang w:val="sr-Latn-ME"/>
        </w:rPr>
        <w:t>liječenj</w:t>
      </w:r>
      <w:r w:rsidRPr="00BD2023">
        <w:rPr>
          <w:bCs/>
          <w:sz w:val="22"/>
          <w:szCs w:val="22"/>
          <w:lang w:val="sr-Latn-ME"/>
        </w:rPr>
        <w:t xml:space="preserve">a pacova koje je trajalo </w:t>
      </w:r>
      <w:r w:rsidRPr="00BD2023">
        <w:rPr>
          <w:bCs/>
          <w:sz w:val="22"/>
          <w:szCs w:val="22"/>
          <w:lang w:val="sr-Latn-ME"/>
        </w:rPr>
        <w:lastRenderedPageBreak/>
        <w:t xml:space="preserve">26 </w:t>
      </w:r>
      <w:r w:rsidR="00C97F02" w:rsidRPr="00BD2023">
        <w:rPr>
          <w:bCs/>
          <w:sz w:val="22"/>
          <w:szCs w:val="22"/>
          <w:lang w:val="sr-Latn-ME"/>
        </w:rPr>
        <w:t>nedjelj</w:t>
      </w:r>
      <w:r w:rsidRPr="00BD2023">
        <w:rPr>
          <w:bCs/>
          <w:sz w:val="22"/>
          <w:szCs w:val="22"/>
          <w:lang w:val="sr-Latn-ME"/>
        </w:rPr>
        <w:t xml:space="preserve">a, NOAEL </w:t>
      </w:r>
      <w:r w:rsidR="00A77791" w:rsidRPr="00BD2023">
        <w:rPr>
          <w:bCs/>
          <w:sz w:val="22"/>
          <w:szCs w:val="22"/>
          <w:lang w:val="sr-Latn-ME"/>
        </w:rPr>
        <w:t>je bio</w:t>
      </w:r>
      <w:r w:rsidRPr="00BD2023">
        <w:rPr>
          <w:bCs/>
          <w:sz w:val="22"/>
          <w:szCs w:val="22"/>
          <w:lang w:val="sr-Latn-ME"/>
        </w:rPr>
        <w:t xml:space="preserve"> približno 4 puta već</w:t>
      </w:r>
      <w:r w:rsidR="00A77791" w:rsidRPr="00BD2023">
        <w:rPr>
          <w:bCs/>
          <w:sz w:val="22"/>
          <w:szCs w:val="22"/>
          <w:lang w:val="sr-Latn-ME"/>
        </w:rPr>
        <w:t>i</w:t>
      </w:r>
      <w:r w:rsidRPr="00BD2023">
        <w:rPr>
          <w:bCs/>
          <w:sz w:val="22"/>
          <w:szCs w:val="22"/>
          <w:lang w:val="sr-Latn-ME"/>
        </w:rPr>
        <w:t xml:space="preserve"> od pros</w:t>
      </w:r>
      <w:r w:rsidR="002A2448" w:rsidRPr="00BD2023">
        <w:rPr>
          <w:bCs/>
          <w:sz w:val="22"/>
          <w:szCs w:val="22"/>
          <w:lang w:val="sr-Latn-ME"/>
        </w:rPr>
        <w:t>j</w:t>
      </w:r>
      <w:r w:rsidRPr="00BD2023">
        <w:rPr>
          <w:bCs/>
          <w:sz w:val="22"/>
          <w:szCs w:val="22"/>
          <w:lang w:val="sr-Latn-ME"/>
        </w:rPr>
        <w:t xml:space="preserve">ečne izloženosti </w:t>
      </w:r>
      <w:r w:rsidR="00A77791" w:rsidRPr="00BD2023">
        <w:rPr>
          <w:bCs/>
          <w:sz w:val="22"/>
          <w:szCs w:val="22"/>
          <w:lang w:val="sr-Latn-ME"/>
        </w:rPr>
        <w:t xml:space="preserve">koja se postiže </w:t>
      </w:r>
      <w:r w:rsidRPr="00BD2023">
        <w:rPr>
          <w:bCs/>
          <w:sz w:val="22"/>
          <w:szCs w:val="22"/>
          <w:lang w:val="sr-Latn-ME"/>
        </w:rPr>
        <w:t xml:space="preserve">kod ljudi u terapijskoj dozi. </w:t>
      </w:r>
    </w:p>
    <w:p w14:paraId="4023DAF4" w14:textId="77777777" w:rsidR="00E43849" w:rsidRPr="00BD2023" w:rsidRDefault="00E43849" w:rsidP="00BC480A">
      <w:pPr>
        <w:tabs>
          <w:tab w:val="left" w:pos="540"/>
          <w:tab w:val="left" w:pos="569"/>
        </w:tabs>
        <w:jc w:val="both"/>
        <w:rPr>
          <w:bCs/>
          <w:sz w:val="22"/>
          <w:szCs w:val="22"/>
          <w:lang w:val="sr-Latn-ME"/>
        </w:rPr>
      </w:pPr>
    </w:p>
    <w:p w14:paraId="49FD4799" w14:textId="77777777" w:rsidR="00F77D20" w:rsidRPr="00BD2023" w:rsidRDefault="00F77D20" w:rsidP="00BC480A">
      <w:pPr>
        <w:tabs>
          <w:tab w:val="left" w:pos="540"/>
          <w:tab w:val="left" w:pos="569"/>
        </w:tabs>
        <w:jc w:val="both"/>
        <w:rPr>
          <w:bCs/>
          <w:sz w:val="22"/>
          <w:szCs w:val="22"/>
          <w:u w:val="single"/>
          <w:lang w:val="sr-Latn-ME"/>
        </w:rPr>
      </w:pPr>
      <w:r w:rsidRPr="00BD2023">
        <w:rPr>
          <w:bCs/>
          <w:sz w:val="22"/>
          <w:szCs w:val="22"/>
          <w:u w:val="single"/>
          <w:lang w:val="sr-Latn-ME"/>
        </w:rPr>
        <w:t>Genotoksičnost</w:t>
      </w:r>
    </w:p>
    <w:p w14:paraId="14B0872F" w14:textId="77777777" w:rsidR="00F77D20" w:rsidRPr="00BD2023" w:rsidRDefault="00F77D20" w:rsidP="00BC480A">
      <w:pPr>
        <w:tabs>
          <w:tab w:val="left" w:pos="540"/>
          <w:tab w:val="left" w:pos="569"/>
        </w:tabs>
        <w:jc w:val="both"/>
        <w:rPr>
          <w:bCs/>
          <w:sz w:val="22"/>
          <w:szCs w:val="22"/>
          <w:lang w:val="sr-Latn-ME"/>
        </w:rPr>
      </w:pPr>
    </w:p>
    <w:p w14:paraId="533EDE4E" w14:textId="75E93071" w:rsidR="00F77D20" w:rsidRPr="00BD2023" w:rsidRDefault="00F77D20" w:rsidP="00BC480A">
      <w:pPr>
        <w:tabs>
          <w:tab w:val="left" w:pos="540"/>
          <w:tab w:val="left" w:pos="569"/>
        </w:tabs>
        <w:jc w:val="both"/>
        <w:rPr>
          <w:bCs/>
          <w:sz w:val="22"/>
          <w:szCs w:val="22"/>
          <w:lang w:val="sr-Latn-ME"/>
        </w:rPr>
      </w:pPr>
      <w:r w:rsidRPr="00BD2023">
        <w:rPr>
          <w:bCs/>
          <w:sz w:val="22"/>
          <w:szCs w:val="22"/>
          <w:lang w:val="sr-Latn-ME"/>
        </w:rPr>
        <w:t xml:space="preserve">Risdiplam nije mutagen na bakterijskom testu reverzne mutacije. U ćelijama sisara </w:t>
      </w:r>
      <w:r w:rsidRPr="00BD2023">
        <w:rPr>
          <w:bCs/>
          <w:i/>
          <w:iCs/>
          <w:sz w:val="22"/>
          <w:szCs w:val="22"/>
          <w:lang w:val="sr-Latn-ME"/>
        </w:rPr>
        <w:t>in vitro</w:t>
      </w:r>
      <w:r w:rsidRPr="00BD2023">
        <w:rPr>
          <w:bCs/>
          <w:sz w:val="22"/>
          <w:szCs w:val="22"/>
          <w:lang w:val="sr-Latn-ME"/>
        </w:rPr>
        <w:t xml:space="preserve"> i ko</w:t>
      </w:r>
      <w:r w:rsidR="00E338BF" w:rsidRPr="00BD2023">
        <w:rPr>
          <w:bCs/>
          <w:sz w:val="22"/>
          <w:szCs w:val="22"/>
          <w:lang w:val="sr-Latn-ME"/>
        </w:rPr>
        <w:t>st</w:t>
      </w:r>
      <w:r w:rsidRPr="00BD2023">
        <w:rPr>
          <w:bCs/>
          <w:sz w:val="22"/>
          <w:szCs w:val="22"/>
          <w:lang w:val="sr-Latn-ME"/>
        </w:rPr>
        <w:t>noj srži pacova, risdiplam povećava učestalost mikronukle</w:t>
      </w:r>
      <w:r w:rsidR="00E338BF" w:rsidRPr="00BD2023">
        <w:rPr>
          <w:bCs/>
          <w:sz w:val="22"/>
          <w:szCs w:val="22"/>
          <w:lang w:val="sr-Latn-ME"/>
        </w:rPr>
        <w:t>usnih</w:t>
      </w:r>
      <w:r w:rsidRPr="00BD2023">
        <w:rPr>
          <w:bCs/>
          <w:sz w:val="22"/>
          <w:szCs w:val="22"/>
          <w:lang w:val="sr-Latn-ME"/>
        </w:rPr>
        <w:t xml:space="preserve"> ćelija. Indukcija mikronukleusa u ko</w:t>
      </w:r>
      <w:r w:rsidR="00E338BF" w:rsidRPr="00BD2023">
        <w:rPr>
          <w:bCs/>
          <w:sz w:val="22"/>
          <w:szCs w:val="22"/>
          <w:lang w:val="sr-Latn-ME"/>
        </w:rPr>
        <w:t>st</w:t>
      </w:r>
      <w:r w:rsidRPr="00BD2023">
        <w:rPr>
          <w:bCs/>
          <w:sz w:val="22"/>
          <w:szCs w:val="22"/>
          <w:lang w:val="sr-Latn-ME"/>
        </w:rPr>
        <w:t>n</w:t>
      </w:r>
      <w:r w:rsidR="00E338BF" w:rsidRPr="00BD2023">
        <w:rPr>
          <w:bCs/>
          <w:sz w:val="22"/>
          <w:szCs w:val="22"/>
          <w:lang w:val="sr-Latn-ME"/>
        </w:rPr>
        <w:t>oj</w:t>
      </w:r>
      <w:r w:rsidRPr="00BD2023">
        <w:rPr>
          <w:bCs/>
          <w:sz w:val="22"/>
          <w:szCs w:val="22"/>
          <w:lang w:val="sr-Latn-ME"/>
        </w:rPr>
        <w:t xml:space="preserve"> srž</w:t>
      </w:r>
      <w:r w:rsidR="00E338BF" w:rsidRPr="00BD2023">
        <w:rPr>
          <w:bCs/>
          <w:sz w:val="22"/>
          <w:szCs w:val="22"/>
          <w:lang w:val="sr-Latn-ME"/>
        </w:rPr>
        <w:t>i</w:t>
      </w:r>
      <w:r w:rsidRPr="00BD2023">
        <w:rPr>
          <w:bCs/>
          <w:sz w:val="22"/>
          <w:szCs w:val="22"/>
          <w:lang w:val="sr-Latn-ME"/>
        </w:rPr>
        <w:t xml:space="preserve"> </w:t>
      </w:r>
      <w:r w:rsidR="00DA48C3" w:rsidRPr="00BD2023">
        <w:rPr>
          <w:bCs/>
          <w:sz w:val="22"/>
          <w:szCs w:val="22"/>
          <w:lang w:val="sr-Latn-ME"/>
        </w:rPr>
        <w:t>zabilježen</w:t>
      </w:r>
      <w:r w:rsidRPr="00BD2023">
        <w:rPr>
          <w:bCs/>
          <w:sz w:val="22"/>
          <w:szCs w:val="22"/>
          <w:lang w:val="sr-Latn-ME"/>
        </w:rPr>
        <w:t xml:space="preserve">a je u nekoliko studija toksičnosti na pacovima (odraslim i juvenilnim životinjama). NOAEL </w:t>
      </w:r>
      <w:r w:rsidR="00E338BF" w:rsidRPr="00BD2023">
        <w:rPr>
          <w:bCs/>
          <w:sz w:val="22"/>
          <w:szCs w:val="22"/>
          <w:lang w:val="sr-Latn-ME"/>
        </w:rPr>
        <w:t>je</w:t>
      </w:r>
      <w:r w:rsidRPr="00BD2023">
        <w:rPr>
          <w:bCs/>
          <w:sz w:val="22"/>
          <w:szCs w:val="22"/>
          <w:lang w:val="sr-Latn-ME"/>
        </w:rPr>
        <w:t xml:space="preserve"> u različitim studijama </w:t>
      </w:r>
      <w:r w:rsidR="00E338BF" w:rsidRPr="00BD2023">
        <w:rPr>
          <w:bCs/>
          <w:sz w:val="22"/>
          <w:szCs w:val="22"/>
          <w:lang w:val="sr-Latn-ME"/>
        </w:rPr>
        <w:t xml:space="preserve">bio </w:t>
      </w:r>
      <w:r w:rsidRPr="00BD2023">
        <w:rPr>
          <w:bCs/>
          <w:sz w:val="22"/>
          <w:szCs w:val="22"/>
          <w:lang w:val="sr-Latn-ME"/>
        </w:rPr>
        <w:t>povez</w:t>
      </w:r>
      <w:r w:rsidR="00E338BF" w:rsidRPr="00BD2023">
        <w:rPr>
          <w:bCs/>
          <w:sz w:val="22"/>
          <w:szCs w:val="22"/>
          <w:lang w:val="sr-Latn-ME"/>
        </w:rPr>
        <w:t>an</w:t>
      </w:r>
      <w:r w:rsidRPr="00BD2023">
        <w:rPr>
          <w:bCs/>
          <w:sz w:val="22"/>
          <w:szCs w:val="22"/>
          <w:lang w:val="sr-Latn-ME"/>
        </w:rPr>
        <w:t xml:space="preserve"> sa izloženošću približno 1,5 puta </w:t>
      </w:r>
      <w:r w:rsidR="00E338BF" w:rsidRPr="00BD2023">
        <w:rPr>
          <w:bCs/>
          <w:sz w:val="22"/>
          <w:szCs w:val="22"/>
          <w:lang w:val="sr-Latn-ME"/>
        </w:rPr>
        <w:t xml:space="preserve">većom </w:t>
      </w:r>
      <w:r w:rsidRPr="00BD2023">
        <w:rPr>
          <w:bCs/>
          <w:sz w:val="22"/>
          <w:szCs w:val="22"/>
          <w:lang w:val="sr-Latn-ME"/>
        </w:rPr>
        <w:t xml:space="preserve">od one </w:t>
      </w:r>
      <w:r w:rsidR="00E338BF" w:rsidRPr="00BD2023">
        <w:rPr>
          <w:bCs/>
          <w:sz w:val="22"/>
          <w:szCs w:val="22"/>
          <w:lang w:val="sr-Latn-ME"/>
        </w:rPr>
        <w:t xml:space="preserve">koja se postiže </w:t>
      </w:r>
      <w:r w:rsidRPr="00BD2023">
        <w:rPr>
          <w:bCs/>
          <w:sz w:val="22"/>
          <w:szCs w:val="22"/>
          <w:lang w:val="sr-Latn-ME"/>
        </w:rPr>
        <w:t xml:space="preserve">kod ljudi u terapijskoj dozi. Podaci su pokazali da je to dejstvo indirektno i </w:t>
      </w:r>
      <w:r w:rsidR="00E338BF" w:rsidRPr="00BD2023">
        <w:rPr>
          <w:bCs/>
          <w:sz w:val="22"/>
          <w:szCs w:val="22"/>
          <w:lang w:val="sr-Latn-ME"/>
        </w:rPr>
        <w:t xml:space="preserve">da je posljedica interferencije </w:t>
      </w:r>
      <w:r w:rsidRPr="00BD2023">
        <w:rPr>
          <w:bCs/>
          <w:sz w:val="22"/>
          <w:szCs w:val="22"/>
          <w:lang w:val="sr-Latn-ME"/>
        </w:rPr>
        <w:t>risdiplama</w:t>
      </w:r>
      <w:r w:rsidR="00E338BF" w:rsidRPr="00BD2023">
        <w:rPr>
          <w:bCs/>
          <w:sz w:val="22"/>
          <w:szCs w:val="22"/>
          <w:lang w:val="sr-Latn-ME"/>
        </w:rPr>
        <w:t xml:space="preserve"> na ćelijski ciklus ćelija u diobi</w:t>
      </w:r>
      <w:r w:rsidRPr="00BD2023">
        <w:rPr>
          <w:bCs/>
          <w:sz w:val="22"/>
          <w:szCs w:val="22"/>
          <w:lang w:val="sr-Latn-ME"/>
        </w:rPr>
        <w:t xml:space="preserve">. Risdiplam ne </w:t>
      </w:r>
      <w:r w:rsidR="00BD39D9" w:rsidRPr="00BD2023">
        <w:rPr>
          <w:bCs/>
          <w:sz w:val="22"/>
          <w:szCs w:val="22"/>
          <w:lang w:val="sr-Latn-ME"/>
        </w:rPr>
        <w:t>posjeduj</w:t>
      </w:r>
      <w:r w:rsidRPr="00BD2023">
        <w:rPr>
          <w:bCs/>
          <w:sz w:val="22"/>
          <w:szCs w:val="22"/>
          <w:lang w:val="sr-Latn-ME"/>
        </w:rPr>
        <w:t>e potencijal da direktno ošteti DNK.</w:t>
      </w:r>
    </w:p>
    <w:p w14:paraId="2DE33413" w14:textId="77777777" w:rsidR="00F77D20" w:rsidRPr="00BD2023" w:rsidRDefault="00F77D20" w:rsidP="00BC480A">
      <w:pPr>
        <w:tabs>
          <w:tab w:val="left" w:pos="540"/>
          <w:tab w:val="left" w:pos="569"/>
        </w:tabs>
        <w:jc w:val="both"/>
        <w:rPr>
          <w:bCs/>
          <w:sz w:val="22"/>
          <w:szCs w:val="22"/>
          <w:lang w:val="sr-Latn-ME"/>
        </w:rPr>
      </w:pPr>
    </w:p>
    <w:p w14:paraId="0051794C" w14:textId="77777777" w:rsidR="00F77D20" w:rsidRPr="00BD2023" w:rsidRDefault="00F77D20" w:rsidP="00BC480A">
      <w:pPr>
        <w:tabs>
          <w:tab w:val="left" w:pos="540"/>
          <w:tab w:val="left" w:pos="569"/>
        </w:tabs>
        <w:jc w:val="both"/>
        <w:rPr>
          <w:bCs/>
          <w:sz w:val="22"/>
          <w:szCs w:val="22"/>
          <w:u w:val="single"/>
          <w:lang w:val="sr-Latn-ME"/>
        </w:rPr>
      </w:pPr>
      <w:r w:rsidRPr="00BD2023">
        <w:rPr>
          <w:bCs/>
          <w:sz w:val="22"/>
          <w:szCs w:val="22"/>
          <w:u w:val="single"/>
          <w:lang w:val="sr-Latn-ME"/>
        </w:rPr>
        <w:t>Reproduktivna toksičnost</w:t>
      </w:r>
    </w:p>
    <w:p w14:paraId="50A71B85" w14:textId="77777777" w:rsidR="00F77D20" w:rsidRPr="00BD2023" w:rsidRDefault="00F77D20" w:rsidP="00BC480A">
      <w:pPr>
        <w:tabs>
          <w:tab w:val="left" w:pos="540"/>
          <w:tab w:val="left" w:pos="569"/>
        </w:tabs>
        <w:jc w:val="both"/>
        <w:rPr>
          <w:bCs/>
          <w:sz w:val="22"/>
          <w:szCs w:val="22"/>
          <w:lang w:val="sr-Latn-ME"/>
        </w:rPr>
      </w:pPr>
    </w:p>
    <w:p w14:paraId="35D79F06" w14:textId="7FE13B04" w:rsidR="00F77D20" w:rsidRPr="00BD2023" w:rsidRDefault="00F77D20" w:rsidP="00BC480A">
      <w:pPr>
        <w:tabs>
          <w:tab w:val="left" w:pos="540"/>
          <w:tab w:val="left" w:pos="569"/>
        </w:tabs>
        <w:jc w:val="both"/>
        <w:rPr>
          <w:bCs/>
          <w:sz w:val="22"/>
          <w:szCs w:val="22"/>
          <w:lang w:val="sr-Latn-ME"/>
        </w:rPr>
      </w:pPr>
      <w:r w:rsidRPr="00BD2023">
        <w:rPr>
          <w:bCs/>
          <w:sz w:val="22"/>
          <w:szCs w:val="22"/>
          <w:lang w:val="sr-Latn-ME"/>
        </w:rPr>
        <w:t>U studijama sprovedenim na trudnim ženkama pacova l</w:t>
      </w:r>
      <w:r w:rsidR="002A2448" w:rsidRPr="00BD2023">
        <w:rPr>
          <w:bCs/>
          <w:sz w:val="22"/>
          <w:szCs w:val="22"/>
          <w:lang w:val="sr-Latn-ME"/>
        </w:rPr>
        <w:t>ij</w:t>
      </w:r>
      <w:r w:rsidRPr="00BD2023">
        <w:rPr>
          <w:bCs/>
          <w:sz w:val="22"/>
          <w:szCs w:val="22"/>
          <w:lang w:val="sr-Latn-ME"/>
        </w:rPr>
        <w:t xml:space="preserve">ečenih risdiplamom bila je evidentna embrio-fetalna toksičnost sa manjom težinom fetusa i </w:t>
      </w:r>
      <w:r w:rsidR="00CB08BB" w:rsidRPr="00BD2023">
        <w:rPr>
          <w:bCs/>
          <w:sz w:val="22"/>
          <w:szCs w:val="22"/>
          <w:lang w:val="sr-Latn-ME"/>
        </w:rPr>
        <w:t xml:space="preserve">zastojem u </w:t>
      </w:r>
      <w:r w:rsidRPr="00BD2023">
        <w:rPr>
          <w:bCs/>
          <w:sz w:val="22"/>
          <w:szCs w:val="22"/>
          <w:lang w:val="sr-Latn-ME"/>
        </w:rPr>
        <w:t>razvoj</w:t>
      </w:r>
      <w:r w:rsidR="00CB08BB" w:rsidRPr="00BD2023">
        <w:rPr>
          <w:bCs/>
          <w:sz w:val="22"/>
          <w:szCs w:val="22"/>
          <w:lang w:val="sr-Latn-ME"/>
        </w:rPr>
        <w:t>u</w:t>
      </w:r>
      <w:r w:rsidRPr="00BD2023">
        <w:rPr>
          <w:bCs/>
          <w:sz w:val="22"/>
          <w:szCs w:val="22"/>
          <w:lang w:val="sr-Latn-ME"/>
        </w:rPr>
        <w:t>. NOAEL za ov</w:t>
      </w:r>
      <w:r w:rsidR="00CB08BB" w:rsidRPr="00BD2023">
        <w:rPr>
          <w:bCs/>
          <w:sz w:val="22"/>
          <w:szCs w:val="22"/>
          <w:lang w:val="sr-Latn-ME"/>
        </w:rPr>
        <w:t>aj</w:t>
      </w:r>
      <w:r w:rsidRPr="00BD2023">
        <w:rPr>
          <w:bCs/>
          <w:sz w:val="22"/>
          <w:szCs w:val="22"/>
          <w:lang w:val="sr-Latn-ME"/>
        </w:rPr>
        <w:t xml:space="preserve"> </w:t>
      </w:r>
      <w:r w:rsidR="00CB08BB" w:rsidRPr="00BD2023">
        <w:rPr>
          <w:bCs/>
          <w:sz w:val="22"/>
          <w:szCs w:val="22"/>
          <w:lang w:val="sr-Latn-ME"/>
        </w:rPr>
        <w:t xml:space="preserve">efekat </w:t>
      </w:r>
      <w:r w:rsidRPr="00BD2023">
        <w:rPr>
          <w:bCs/>
          <w:sz w:val="22"/>
          <w:szCs w:val="22"/>
          <w:lang w:val="sr-Latn-ME"/>
        </w:rPr>
        <w:t>bio je približno dvostruko veći od nivo</w:t>
      </w:r>
      <w:r w:rsidR="00CB08BB" w:rsidRPr="00BD2023">
        <w:rPr>
          <w:bCs/>
          <w:sz w:val="22"/>
          <w:szCs w:val="22"/>
          <w:lang w:val="sr-Latn-ME"/>
        </w:rPr>
        <w:t>a</w:t>
      </w:r>
      <w:r w:rsidRPr="00BD2023">
        <w:rPr>
          <w:bCs/>
          <w:sz w:val="22"/>
          <w:szCs w:val="22"/>
          <w:lang w:val="sr-Latn-ME"/>
        </w:rPr>
        <w:t xml:space="preserve"> izloženosti dostignutih pri terapijskoj dozi risdiplama kod pacijenata. U studijama sa </w:t>
      </w:r>
      <w:r w:rsidR="00CB08BB" w:rsidRPr="00BD2023">
        <w:rPr>
          <w:bCs/>
          <w:sz w:val="22"/>
          <w:szCs w:val="22"/>
          <w:lang w:val="sr-Latn-ME"/>
        </w:rPr>
        <w:t xml:space="preserve">skotnim </w:t>
      </w:r>
      <w:r w:rsidRPr="00BD2023">
        <w:rPr>
          <w:bCs/>
          <w:sz w:val="22"/>
          <w:szCs w:val="22"/>
          <w:lang w:val="sr-Latn-ME"/>
        </w:rPr>
        <w:t xml:space="preserve">ženkama </w:t>
      </w:r>
      <w:r w:rsidR="00CB08BB" w:rsidRPr="00BD2023">
        <w:rPr>
          <w:bCs/>
          <w:sz w:val="22"/>
          <w:szCs w:val="22"/>
          <w:lang w:val="sr-Latn-ME"/>
        </w:rPr>
        <w:t xml:space="preserve">kunića </w:t>
      </w:r>
      <w:r w:rsidR="00DA48C3" w:rsidRPr="00BD2023">
        <w:rPr>
          <w:bCs/>
          <w:sz w:val="22"/>
          <w:szCs w:val="22"/>
          <w:lang w:val="sr-Latn-ME"/>
        </w:rPr>
        <w:t>zabilježen</w:t>
      </w:r>
      <w:r w:rsidRPr="00BD2023">
        <w:rPr>
          <w:bCs/>
          <w:sz w:val="22"/>
          <w:szCs w:val="22"/>
          <w:lang w:val="sr-Latn-ME"/>
        </w:rPr>
        <w:t xml:space="preserve">a su dismorfogena dejstva pri </w:t>
      </w:r>
      <w:r w:rsidR="00CB08BB" w:rsidRPr="00BD2023">
        <w:rPr>
          <w:bCs/>
          <w:sz w:val="22"/>
          <w:szCs w:val="22"/>
          <w:lang w:val="sr-Latn-ME"/>
        </w:rPr>
        <w:t xml:space="preserve">nivoima </w:t>
      </w:r>
      <w:r w:rsidRPr="00BD2023">
        <w:rPr>
          <w:bCs/>
          <w:sz w:val="22"/>
          <w:szCs w:val="22"/>
          <w:lang w:val="sr-Latn-ME"/>
        </w:rPr>
        <w:t>izloženosti koj</w:t>
      </w:r>
      <w:r w:rsidR="00CB08BB" w:rsidRPr="00BD2023">
        <w:rPr>
          <w:bCs/>
          <w:sz w:val="22"/>
          <w:szCs w:val="22"/>
          <w:lang w:val="sr-Latn-ME"/>
        </w:rPr>
        <w:t>e</w:t>
      </w:r>
      <w:r w:rsidRPr="00BD2023">
        <w:rPr>
          <w:bCs/>
          <w:sz w:val="22"/>
          <w:szCs w:val="22"/>
          <w:lang w:val="sr-Latn-ME"/>
        </w:rPr>
        <w:t xml:space="preserve"> s</w:t>
      </w:r>
      <w:r w:rsidR="00CB08BB" w:rsidRPr="00BD2023">
        <w:rPr>
          <w:bCs/>
          <w:sz w:val="22"/>
          <w:szCs w:val="22"/>
          <w:lang w:val="sr-Latn-ME"/>
        </w:rPr>
        <w:t>u bile</w:t>
      </w:r>
      <w:r w:rsidRPr="00BD2023">
        <w:rPr>
          <w:bCs/>
          <w:sz w:val="22"/>
          <w:szCs w:val="22"/>
          <w:lang w:val="sr-Latn-ME"/>
        </w:rPr>
        <w:t xml:space="preserve"> </w:t>
      </w:r>
      <w:r w:rsidR="00CB08BB" w:rsidRPr="00BD2023">
        <w:rPr>
          <w:bCs/>
          <w:sz w:val="22"/>
          <w:szCs w:val="22"/>
          <w:lang w:val="sr-Latn-ME"/>
        </w:rPr>
        <w:t>povezane</w:t>
      </w:r>
      <w:r w:rsidRPr="00BD2023">
        <w:rPr>
          <w:bCs/>
          <w:sz w:val="22"/>
          <w:szCs w:val="22"/>
          <w:lang w:val="sr-Latn-ME"/>
        </w:rPr>
        <w:t xml:space="preserve"> sa toksičnošću </w:t>
      </w:r>
      <w:r w:rsidR="00CB08BB" w:rsidRPr="00BD2023">
        <w:rPr>
          <w:bCs/>
          <w:sz w:val="22"/>
          <w:szCs w:val="22"/>
          <w:lang w:val="sr-Latn-ME"/>
        </w:rPr>
        <w:t>za</w:t>
      </w:r>
      <w:r w:rsidRPr="00BD2023">
        <w:rPr>
          <w:bCs/>
          <w:sz w:val="22"/>
          <w:szCs w:val="22"/>
          <w:lang w:val="sr-Latn-ME"/>
        </w:rPr>
        <w:t xml:space="preserve"> majk</w:t>
      </w:r>
      <w:r w:rsidR="00CB08BB" w:rsidRPr="00BD2023">
        <w:rPr>
          <w:bCs/>
          <w:sz w:val="22"/>
          <w:szCs w:val="22"/>
          <w:lang w:val="sr-Latn-ME"/>
        </w:rPr>
        <w:t>u</w:t>
      </w:r>
      <w:r w:rsidRPr="00BD2023">
        <w:rPr>
          <w:bCs/>
          <w:sz w:val="22"/>
          <w:szCs w:val="22"/>
          <w:lang w:val="sr-Latn-ME"/>
        </w:rPr>
        <w:t xml:space="preserve">. Radilo se o četiri fetusa (4%) </w:t>
      </w:r>
      <w:r w:rsidR="00CB08BB" w:rsidRPr="00BD2023">
        <w:rPr>
          <w:bCs/>
          <w:sz w:val="22"/>
          <w:szCs w:val="22"/>
          <w:lang w:val="sr-Latn-ME"/>
        </w:rPr>
        <w:t xml:space="preserve">sa hidrocefalijom </w:t>
      </w:r>
      <w:r w:rsidRPr="00BD2023">
        <w:rPr>
          <w:bCs/>
          <w:sz w:val="22"/>
          <w:szCs w:val="22"/>
          <w:lang w:val="sr-Latn-ME"/>
        </w:rPr>
        <w:t xml:space="preserve">iz 4 </w:t>
      </w:r>
      <w:r w:rsidR="00CB08BB" w:rsidRPr="00BD2023">
        <w:rPr>
          <w:bCs/>
          <w:sz w:val="22"/>
          <w:szCs w:val="22"/>
          <w:lang w:val="sr-Latn-ME"/>
        </w:rPr>
        <w:t xml:space="preserve">legla </w:t>
      </w:r>
      <w:r w:rsidRPr="00BD2023">
        <w:rPr>
          <w:bCs/>
          <w:sz w:val="22"/>
          <w:szCs w:val="22"/>
          <w:lang w:val="sr-Latn-ME"/>
        </w:rPr>
        <w:t xml:space="preserve">(22%). NOAEL je bio približno 4 puta veći od nivoa izloženosti dostignutih pri terapijskoj dozi risdiplama kod pacijenata. </w:t>
      </w:r>
    </w:p>
    <w:p w14:paraId="2BFC8C03" w14:textId="60A4D877" w:rsidR="00F77D20" w:rsidRPr="00BD2023" w:rsidRDefault="00F77D20" w:rsidP="00BC480A">
      <w:pPr>
        <w:tabs>
          <w:tab w:val="left" w:pos="540"/>
          <w:tab w:val="left" w:pos="569"/>
        </w:tabs>
        <w:jc w:val="both"/>
        <w:rPr>
          <w:bCs/>
          <w:sz w:val="22"/>
          <w:szCs w:val="22"/>
          <w:lang w:val="sr-Latn-ME"/>
        </w:rPr>
      </w:pPr>
      <w:r w:rsidRPr="00BD2023">
        <w:rPr>
          <w:bCs/>
          <w:sz w:val="22"/>
          <w:szCs w:val="22"/>
          <w:lang w:val="sr-Latn-ME"/>
        </w:rPr>
        <w:t xml:space="preserve">U studiji prenatalnog i postnatalnog razvoja na pacovima koji su </w:t>
      </w:r>
      <w:r w:rsidR="003118D9" w:rsidRPr="00BD2023">
        <w:rPr>
          <w:bCs/>
          <w:sz w:val="22"/>
          <w:szCs w:val="22"/>
          <w:lang w:val="sr-Latn-ME"/>
        </w:rPr>
        <w:t>svakodnevno</w:t>
      </w:r>
      <w:r w:rsidRPr="00BD2023">
        <w:rPr>
          <w:bCs/>
          <w:sz w:val="22"/>
          <w:szCs w:val="22"/>
          <w:lang w:val="sr-Latn-ME"/>
        </w:rPr>
        <w:t xml:space="preserve"> primali risdiplam, risdiplam je izazvao </w:t>
      </w:r>
      <w:r w:rsidR="003118D9" w:rsidRPr="00BD2023">
        <w:rPr>
          <w:bCs/>
          <w:sz w:val="22"/>
          <w:szCs w:val="22"/>
          <w:lang w:val="sr-Latn-ME"/>
        </w:rPr>
        <w:t>neznatno produženje perioda</w:t>
      </w:r>
      <w:r w:rsidRPr="00BD2023">
        <w:rPr>
          <w:bCs/>
          <w:sz w:val="22"/>
          <w:szCs w:val="22"/>
          <w:lang w:val="sr-Latn-ME"/>
        </w:rPr>
        <w:t xml:space="preserve"> gestacije. Studije na </w:t>
      </w:r>
      <w:r w:rsidR="003118D9" w:rsidRPr="00BD2023">
        <w:rPr>
          <w:bCs/>
          <w:sz w:val="22"/>
          <w:szCs w:val="22"/>
          <w:lang w:val="sr-Latn-ME"/>
        </w:rPr>
        <w:t xml:space="preserve">skotnim </w:t>
      </w:r>
      <w:r w:rsidRPr="00BD2023">
        <w:rPr>
          <w:bCs/>
          <w:sz w:val="22"/>
          <w:szCs w:val="22"/>
          <w:lang w:val="sr-Latn-ME"/>
        </w:rPr>
        <w:t xml:space="preserve">ženkama pacova i onima u </w:t>
      </w:r>
      <w:r w:rsidR="005B5F0A" w:rsidRPr="00BD2023">
        <w:rPr>
          <w:bCs/>
          <w:sz w:val="22"/>
          <w:szCs w:val="22"/>
          <w:lang w:val="sr-Latn-ME"/>
        </w:rPr>
        <w:t xml:space="preserve">laktaciji </w:t>
      </w:r>
      <w:r w:rsidRPr="00BD2023">
        <w:rPr>
          <w:bCs/>
          <w:sz w:val="22"/>
          <w:szCs w:val="22"/>
          <w:lang w:val="sr-Latn-ME"/>
        </w:rPr>
        <w:t xml:space="preserve">pokazale </w:t>
      </w:r>
      <w:r w:rsidR="003118D9" w:rsidRPr="00BD2023">
        <w:rPr>
          <w:bCs/>
          <w:sz w:val="22"/>
          <w:szCs w:val="22"/>
          <w:lang w:val="sr-Latn-ME"/>
        </w:rPr>
        <w:t xml:space="preserve">su </w:t>
      </w:r>
      <w:r w:rsidRPr="00BD2023">
        <w:rPr>
          <w:bCs/>
          <w:sz w:val="22"/>
          <w:szCs w:val="22"/>
          <w:lang w:val="sr-Latn-ME"/>
        </w:rPr>
        <w:t>da risdiplam prolazi kroz placentalnu barijeru i izlučuje se u m</w:t>
      </w:r>
      <w:r w:rsidR="00F73418" w:rsidRPr="00BD2023">
        <w:rPr>
          <w:bCs/>
          <w:sz w:val="22"/>
          <w:szCs w:val="22"/>
          <w:lang w:val="sr-Latn-ME"/>
        </w:rPr>
        <w:t>lijek</w:t>
      </w:r>
      <w:r w:rsidRPr="00BD2023">
        <w:rPr>
          <w:bCs/>
          <w:sz w:val="22"/>
          <w:szCs w:val="22"/>
          <w:lang w:val="sr-Latn-ME"/>
        </w:rPr>
        <w:t>o.</w:t>
      </w:r>
    </w:p>
    <w:p w14:paraId="129418F9" w14:textId="77777777" w:rsidR="00F77D20" w:rsidRPr="00BD2023" w:rsidRDefault="00F77D20" w:rsidP="00BC480A">
      <w:pPr>
        <w:tabs>
          <w:tab w:val="left" w:pos="540"/>
          <w:tab w:val="left" w:pos="569"/>
        </w:tabs>
        <w:jc w:val="both"/>
        <w:rPr>
          <w:bCs/>
          <w:sz w:val="22"/>
          <w:szCs w:val="22"/>
          <w:lang w:val="sr-Latn-ME"/>
        </w:rPr>
      </w:pPr>
    </w:p>
    <w:p w14:paraId="568EBFAE" w14:textId="77777777" w:rsidR="00F77D20" w:rsidRPr="00AE142D" w:rsidRDefault="00F77D20" w:rsidP="00BC480A">
      <w:pPr>
        <w:tabs>
          <w:tab w:val="left" w:pos="540"/>
          <w:tab w:val="left" w:pos="569"/>
        </w:tabs>
        <w:jc w:val="both"/>
        <w:rPr>
          <w:bCs/>
          <w:sz w:val="22"/>
          <w:szCs w:val="22"/>
          <w:u w:val="single"/>
          <w:lang w:val="sr-Latn-ME"/>
        </w:rPr>
      </w:pPr>
      <w:r w:rsidRPr="00AE142D">
        <w:rPr>
          <w:bCs/>
          <w:sz w:val="22"/>
          <w:szCs w:val="22"/>
          <w:u w:val="single"/>
          <w:lang w:val="sr-Latn-ME"/>
        </w:rPr>
        <w:t>Kancerogenost</w:t>
      </w:r>
    </w:p>
    <w:p w14:paraId="3D5C4B08" w14:textId="77777777" w:rsidR="00F77D20" w:rsidRPr="00AE142D" w:rsidRDefault="00F77D20" w:rsidP="00BC480A">
      <w:pPr>
        <w:tabs>
          <w:tab w:val="left" w:pos="540"/>
          <w:tab w:val="left" w:pos="569"/>
        </w:tabs>
        <w:jc w:val="both"/>
        <w:rPr>
          <w:bCs/>
          <w:sz w:val="22"/>
          <w:szCs w:val="22"/>
          <w:lang w:val="sr-Latn-ME"/>
        </w:rPr>
      </w:pPr>
    </w:p>
    <w:p w14:paraId="68ECB0E5" w14:textId="6C0402B6" w:rsidR="00D6108A" w:rsidRPr="00AE142D" w:rsidRDefault="00D6108A" w:rsidP="00D6108A">
      <w:pPr>
        <w:tabs>
          <w:tab w:val="left" w:pos="540"/>
          <w:tab w:val="left" w:pos="567"/>
        </w:tabs>
        <w:jc w:val="both"/>
        <w:rPr>
          <w:bCs/>
          <w:sz w:val="22"/>
          <w:szCs w:val="22"/>
          <w:lang w:val="sr-Latn-RS"/>
        </w:rPr>
      </w:pPr>
      <w:r w:rsidRPr="00AE142D">
        <w:rPr>
          <w:bCs/>
          <w:sz w:val="22"/>
          <w:szCs w:val="22"/>
          <w:lang w:val="sr-Latn-RS"/>
        </w:rPr>
        <w:t>Risdiplam nije pokazao kancerogeni potencijal kod rasH2 transgenih miševa tokom 6 mjeseci niti u dvogodišnjoj studiji na pacovima pri izloženostima ekvivalentnim onima kod ljudi koji su primali maksimalnu preporučenu dozu za ljude. Značajno povećanje tumora prepucijske žlezde kod mužjaka pacova i klitoralne žlezde kod ženki pacova pri izloženosti 4 puta većoj od izloženosti pri maksimalnoj preporučenoj dozi za ljude nije značajno za ljude jer su oba organa specifična za glodare.</w:t>
      </w:r>
    </w:p>
    <w:p w14:paraId="48AE4968" w14:textId="77777777" w:rsidR="00F77D20" w:rsidRPr="00AE142D" w:rsidRDefault="00F77D20" w:rsidP="00BC480A">
      <w:pPr>
        <w:tabs>
          <w:tab w:val="left" w:pos="540"/>
          <w:tab w:val="left" w:pos="569"/>
        </w:tabs>
        <w:jc w:val="both"/>
        <w:rPr>
          <w:bCs/>
          <w:sz w:val="22"/>
          <w:szCs w:val="22"/>
          <w:lang w:val="sr-Latn-ME"/>
        </w:rPr>
      </w:pPr>
    </w:p>
    <w:p w14:paraId="6142F644" w14:textId="77777777" w:rsidR="00F77D20" w:rsidRPr="00AE142D" w:rsidRDefault="00F77D20" w:rsidP="00BC480A">
      <w:pPr>
        <w:tabs>
          <w:tab w:val="left" w:pos="540"/>
          <w:tab w:val="left" w:pos="569"/>
        </w:tabs>
        <w:jc w:val="both"/>
        <w:rPr>
          <w:bCs/>
          <w:sz w:val="22"/>
          <w:szCs w:val="22"/>
          <w:u w:val="single"/>
          <w:lang w:val="sr-Latn-ME"/>
        </w:rPr>
      </w:pPr>
      <w:r w:rsidRPr="00AE142D">
        <w:rPr>
          <w:bCs/>
          <w:sz w:val="22"/>
          <w:szCs w:val="22"/>
          <w:u w:val="single"/>
          <w:lang w:val="sr-Latn-ME"/>
        </w:rPr>
        <w:t>Studije na juvenilnim životinjama</w:t>
      </w:r>
    </w:p>
    <w:p w14:paraId="60EE8696" w14:textId="77777777" w:rsidR="00F77D20" w:rsidRPr="00BD2023" w:rsidRDefault="00F77D20" w:rsidP="00BC480A">
      <w:pPr>
        <w:tabs>
          <w:tab w:val="left" w:pos="540"/>
          <w:tab w:val="left" w:pos="569"/>
        </w:tabs>
        <w:jc w:val="both"/>
        <w:rPr>
          <w:bCs/>
          <w:sz w:val="22"/>
          <w:szCs w:val="22"/>
          <w:u w:val="single"/>
          <w:lang w:val="sr-Latn-ME"/>
        </w:rPr>
      </w:pPr>
    </w:p>
    <w:p w14:paraId="39AE1A4F" w14:textId="77777777" w:rsidR="00F77D20" w:rsidRPr="00BD2023" w:rsidRDefault="00F77D20" w:rsidP="00BC480A">
      <w:pPr>
        <w:tabs>
          <w:tab w:val="left" w:pos="540"/>
          <w:tab w:val="left" w:pos="569"/>
        </w:tabs>
        <w:jc w:val="both"/>
        <w:rPr>
          <w:bCs/>
          <w:sz w:val="22"/>
          <w:szCs w:val="22"/>
          <w:lang w:val="sr-Latn-ME"/>
        </w:rPr>
      </w:pPr>
      <w:r w:rsidRPr="00BD2023">
        <w:rPr>
          <w:bCs/>
          <w:sz w:val="22"/>
          <w:szCs w:val="22"/>
          <w:lang w:val="sr-Latn-ME"/>
        </w:rPr>
        <w:t xml:space="preserve">Podaci o juvenilnim životinjama ne ukazuju na poseban rizik za ljude. </w:t>
      </w:r>
    </w:p>
    <w:p w14:paraId="67341F2A" w14:textId="77777777" w:rsidR="00836B35" w:rsidRPr="00BD2023" w:rsidRDefault="00836B35" w:rsidP="00BC480A">
      <w:pPr>
        <w:tabs>
          <w:tab w:val="left" w:pos="540"/>
          <w:tab w:val="left" w:pos="569"/>
        </w:tabs>
        <w:jc w:val="both"/>
        <w:rPr>
          <w:bCs/>
          <w:sz w:val="22"/>
          <w:szCs w:val="22"/>
          <w:lang w:val="sr-Latn-ME"/>
        </w:rPr>
      </w:pPr>
    </w:p>
    <w:p w14:paraId="559C7FA0" w14:textId="77777777" w:rsidR="00396DFD" w:rsidRPr="00BD2023" w:rsidRDefault="00396DFD" w:rsidP="00480FB1">
      <w:pPr>
        <w:tabs>
          <w:tab w:val="left" w:pos="540"/>
          <w:tab w:val="left" w:pos="569"/>
        </w:tabs>
        <w:rPr>
          <w:b/>
          <w:bCs/>
          <w:sz w:val="22"/>
          <w:szCs w:val="22"/>
          <w:lang w:val="sr-Latn-ME"/>
        </w:rPr>
      </w:pPr>
    </w:p>
    <w:p w14:paraId="6FD8F025" w14:textId="77777777" w:rsidR="0072020E" w:rsidRPr="00BD2023" w:rsidRDefault="0072020E" w:rsidP="00480FB1">
      <w:pPr>
        <w:tabs>
          <w:tab w:val="left" w:pos="540"/>
          <w:tab w:val="left" w:pos="569"/>
        </w:tabs>
        <w:rPr>
          <w:b/>
          <w:bCs/>
          <w:sz w:val="22"/>
          <w:szCs w:val="22"/>
          <w:lang w:val="sr-Latn-ME"/>
        </w:rPr>
      </w:pPr>
      <w:r w:rsidRPr="00BD2023">
        <w:rPr>
          <w:b/>
          <w:bCs/>
          <w:sz w:val="22"/>
          <w:szCs w:val="22"/>
          <w:lang w:val="sr-Latn-ME"/>
        </w:rPr>
        <w:t xml:space="preserve">6. </w:t>
      </w:r>
      <w:r w:rsidR="00480FB1" w:rsidRPr="00BD2023">
        <w:rPr>
          <w:b/>
          <w:bCs/>
          <w:sz w:val="22"/>
          <w:szCs w:val="22"/>
          <w:lang w:val="sr-Latn-ME"/>
        </w:rPr>
        <w:tab/>
      </w:r>
      <w:r w:rsidRPr="00BD2023">
        <w:rPr>
          <w:b/>
          <w:bCs/>
          <w:sz w:val="22"/>
          <w:szCs w:val="22"/>
          <w:lang w:val="sr-Latn-ME"/>
        </w:rPr>
        <w:t>FARMACEUTSKI PODACI</w:t>
      </w:r>
    </w:p>
    <w:p w14:paraId="70819F2B" w14:textId="77777777" w:rsidR="00836B35" w:rsidRPr="00BD2023" w:rsidRDefault="00836B35" w:rsidP="00480FB1">
      <w:pPr>
        <w:tabs>
          <w:tab w:val="left" w:pos="540"/>
          <w:tab w:val="left" w:pos="569"/>
        </w:tabs>
        <w:rPr>
          <w:bCs/>
          <w:sz w:val="22"/>
          <w:szCs w:val="22"/>
          <w:lang w:val="sr-Latn-ME"/>
        </w:rPr>
      </w:pPr>
    </w:p>
    <w:p w14:paraId="37C42BD5" w14:textId="77777777" w:rsidR="0072020E" w:rsidRPr="00BD2023" w:rsidRDefault="0072020E" w:rsidP="00480FB1">
      <w:pPr>
        <w:tabs>
          <w:tab w:val="left" w:pos="540"/>
          <w:tab w:val="left" w:pos="569"/>
        </w:tabs>
        <w:rPr>
          <w:b/>
          <w:bCs/>
          <w:sz w:val="22"/>
          <w:szCs w:val="22"/>
          <w:lang w:val="sr-Latn-ME"/>
        </w:rPr>
      </w:pPr>
      <w:r w:rsidRPr="00BD2023">
        <w:rPr>
          <w:b/>
          <w:bCs/>
          <w:sz w:val="22"/>
          <w:szCs w:val="22"/>
          <w:lang w:val="sr-Latn-ME"/>
        </w:rPr>
        <w:t xml:space="preserve">6.1. </w:t>
      </w:r>
      <w:r w:rsidR="00480FB1" w:rsidRPr="00BD2023">
        <w:rPr>
          <w:b/>
          <w:bCs/>
          <w:sz w:val="22"/>
          <w:szCs w:val="22"/>
          <w:lang w:val="sr-Latn-ME"/>
        </w:rPr>
        <w:tab/>
      </w:r>
      <w:r w:rsidRPr="00BD2023">
        <w:rPr>
          <w:b/>
          <w:bCs/>
          <w:sz w:val="22"/>
          <w:szCs w:val="22"/>
          <w:lang w:val="sr-Latn-ME"/>
        </w:rPr>
        <w:t>Lista pomoćnih supstanci</w:t>
      </w:r>
      <w:r w:rsidR="002E0135" w:rsidRPr="00BD2023">
        <w:rPr>
          <w:b/>
          <w:bCs/>
          <w:sz w:val="22"/>
          <w:szCs w:val="22"/>
          <w:lang w:val="sr-Latn-ME"/>
        </w:rPr>
        <w:t xml:space="preserve"> (ekscipijenasa)</w:t>
      </w:r>
    </w:p>
    <w:p w14:paraId="7BD263EA" w14:textId="77777777" w:rsidR="00F77D20" w:rsidRPr="00BD2023" w:rsidRDefault="00F77D20" w:rsidP="00480FB1">
      <w:pPr>
        <w:tabs>
          <w:tab w:val="left" w:pos="540"/>
          <w:tab w:val="left" w:pos="569"/>
        </w:tabs>
        <w:rPr>
          <w:b/>
          <w:bCs/>
          <w:sz w:val="22"/>
          <w:szCs w:val="22"/>
          <w:lang w:val="sr-Latn-ME"/>
        </w:rPr>
      </w:pPr>
    </w:p>
    <w:p w14:paraId="51500A88" w14:textId="45E76BA7" w:rsidR="00F77D20" w:rsidRPr="00BD2023" w:rsidRDefault="00D005C0" w:rsidP="00F77D20">
      <w:pPr>
        <w:tabs>
          <w:tab w:val="left" w:pos="540"/>
          <w:tab w:val="left" w:pos="569"/>
        </w:tabs>
        <w:rPr>
          <w:bCs/>
          <w:sz w:val="22"/>
          <w:szCs w:val="22"/>
          <w:lang w:val="sr-Latn-ME"/>
        </w:rPr>
      </w:pPr>
      <w:r>
        <w:rPr>
          <w:bCs/>
          <w:sz w:val="22"/>
          <w:szCs w:val="22"/>
          <w:lang w:val="sr-Latn-ME"/>
        </w:rPr>
        <w:t>M</w:t>
      </w:r>
      <w:r w:rsidR="00F77D20" w:rsidRPr="00BD2023">
        <w:rPr>
          <w:bCs/>
          <w:sz w:val="22"/>
          <w:szCs w:val="22"/>
          <w:lang w:val="sr-Latn-ME"/>
        </w:rPr>
        <w:t>anitol (E 421)</w:t>
      </w:r>
    </w:p>
    <w:p w14:paraId="06B0ED6F" w14:textId="579FC3F0" w:rsidR="00F77D20" w:rsidRPr="00BD2023" w:rsidRDefault="00D005C0" w:rsidP="00F77D20">
      <w:pPr>
        <w:tabs>
          <w:tab w:val="left" w:pos="540"/>
          <w:tab w:val="left" w:pos="569"/>
        </w:tabs>
        <w:rPr>
          <w:bCs/>
          <w:sz w:val="22"/>
          <w:szCs w:val="22"/>
          <w:lang w:val="sr-Latn-ME"/>
        </w:rPr>
      </w:pPr>
      <w:r>
        <w:rPr>
          <w:bCs/>
          <w:sz w:val="22"/>
          <w:szCs w:val="22"/>
          <w:lang w:val="sr-Latn-ME"/>
        </w:rPr>
        <w:t>I</w:t>
      </w:r>
      <w:r w:rsidR="00F77D20" w:rsidRPr="00BD2023">
        <w:rPr>
          <w:bCs/>
          <w:sz w:val="22"/>
          <w:szCs w:val="22"/>
          <w:lang w:val="sr-Latn-ME"/>
        </w:rPr>
        <w:t>zomalt (E 953)</w:t>
      </w:r>
    </w:p>
    <w:p w14:paraId="4C916FA0" w14:textId="17FD4187" w:rsidR="00F77D20" w:rsidRPr="00BD2023" w:rsidRDefault="00D005C0" w:rsidP="00F77D20">
      <w:pPr>
        <w:tabs>
          <w:tab w:val="left" w:pos="540"/>
          <w:tab w:val="left" w:pos="569"/>
        </w:tabs>
        <w:rPr>
          <w:bCs/>
          <w:sz w:val="22"/>
          <w:szCs w:val="22"/>
          <w:lang w:val="sr-Latn-ME"/>
        </w:rPr>
      </w:pPr>
      <w:r>
        <w:rPr>
          <w:bCs/>
          <w:sz w:val="22"/>
          <w:szCs w:val="22"/>
          <w:lang w:val="sr-Latn-ME"/>
        </w:rPr>
        <w:t>A</w:t>
      </w:r>
      <w:r w:rsidR="00E43849" w:rsidRPr="00BD2023">
        <w:rPr>
          <w:bCs/>
          <w:sz w:val="22"/>
          <w:szCs w:val="22"/>
          <w:lang w:val="sr-Latn-ME"/>
        </w:rPr>
        <w:t xml:space="preserve">roma </w:t>
      </w:r>
      <w:r w:rsidR="00F77D20" w:rsidRPr="00BD2023">
        <w:rPr>
          <w:bCs/>
          <w:sz w:val="22"/>
          <w:szCs w:val="22"/>
          <w:lang w:val="sr-Latn-ME"/>
        </w:rPr>
        <w:t>jagode</w:t>
      </w:r>
    </w:p>
    <w:p w14:paraId="02741EBA" w14:textId="4A065350" w:rsidR="00F77D20" w:rsidRPr="00BD2023" w:rsidRDefault="00D005C0" w:rsidP="00F77D20">
      <w:pPr>
        <w:tabs>
          <w:tab w:val="left" w:pos="540"/>
          <w:tab w:val="left" w:pos="569"/>
        </w:tabs>
        <w:rPr>
          <w:bCs/>
          <w:sz w:val="22"/>
          <w:szCs w:val="22"/>
          <w:lang w:val="sr-Latn-ME"/>
        </w:rPr>
      </w:pPr>
      <w:r>
        <w:rPr>
          <w:bCs/>
          <w:sz w:val="22"/>
          <w:szCs w:val="22"/>
          <w:lang w:val="sr-Latn-ME"/>
        </w:rPr>
        <w:t>V</w:t>
      </w:r>
      <w:r w:rsidR="00F77D20" w:rsidRPr="00BD2023">
        <w:rPr>
          <w:bCs/>
          <w:sz w:val="22"/>
          <w:szCs w:val="22"/>
          <w:lang w:val="sr-Latn-ME"/>
        </w:rPr>
        <w:t>inska kiselina (E 334)</w:t>
      </w:r>
    </w:p>
    <w:p w14:paraId="3BCB71A1" w14:textId="74D70F4E" w:rsidR="00F77D20" w:rsidRPr="00BD2023" w:rsidRDefault="00D005C0" w:rsidP="00F77D20">
      <w:pPr>
        <w:tabs>
          <w:tab w:val="left" w:pos="540"/>
          <w:tab w:val="left" w:pos="569"/>
        </w:tabs>
        <w:rPr>
          <w:bCs/>
          <w:sz w:val="22"/>
          <w:szCs w:val="22"/>
          <w:lang w:val="sr-Latn-ME"/>
        </w:rPr>
      </w:pPr>
      <w:r>
        <w:rPr>
          <w:bCs/>
          <w:sz w:val="22"/>
          <w:szCs w:val="22"/>
          <w:lang w:val="sr-Latn-ME"/>
        </w:rPr>
        <w:t>N</w:t>
      </w:r>
      <w:r w:rsidR="00F77D20" w:rsidRPr="00BD2023">
        <w:rPr>
          <w:bCs/>
          <w:sz w:val="22"/>
          <w:szCs w:val="22"/>
          <w:lang w:val="sr-Latn-ME"/>
        </w:rPr>
        <w:t>atrijum</w:t>
      </w:r>
      <w:r w:rsidR="005529FB" w:rsidRPr="00BD2023">
        <w:rPr>
          <w:bCs/>
          <w:sz w:val="22"/>
          <w:szCs w:val="22"/>
          <w:lang w:val="sr-Latn-ME"/>
        </w:rPr>
        <w:t xml:space="preserve"> </w:t>
      </w:r>
      <w:r w:rsidR="00F77D20" w:rsidRPr="00BD2023">
        <w:rPr>
          <w:bCs/>
          <w:sz w:val="22"/>
          <w:szCs w:val="22"/>
          <w:lang w:val="sr-Latn-ME"/>
        </w:rPr>
        <w:t>benzoat (E 211)</w:t>
      </w:r>
    </w:p>
    <w:p w14:paraId="06D2FFD7" w14:textId="656B031F" w:rsidR="00F77D20" w:rsidRPr="00BD2023" w:rsidRDefault="00D005C0" w:rsidP="00F77D20">
      <w:pPr>
        <w:tabs>
          <w:tab w:val="left" w:pos="540"/>
          <w:tab w:val="left" w:pos="569"/>
        </w:tabs>
        <w:rPr>
          <w:bCs/>
          <w:sz w:val="22"/>
          <w:szCs w:val="22"/>
          <w:lang w:val="sr-Latn-ME"/>
        </w:rPr>
      </w:pPr>
      <w:r>
        <w:rPr>
          <w:bCs/>
          <w:sz w:val="22"/>
          <w:szCs w:val="22"/>
          <w:lang w:val="sr-Latn-ME"/>
        </w:rPr>
        <w:t>M</w:t>
      </w:r>
      <w:r w:rsidR="00F77D20" w:rsidRPr="00BD2023">
        <w:rPr>
          <w:bCs/>
          <w:sz w:val="22"/>
          <w:szCs w:val="22"/>
          <w:lang w:val="sr-Latn-ME"/>
        </w:rPr>
        <w:t>akrogol/polietilen</w:t>
      </w:r>
      <w:r w:rsidR="005529FB" w:rsidRPr="00BD2023">
        <w:rPr>
          <w:bCs/>
          <w:sz w:val="22"/>
          <w:szCs w:val="22"/>
          <w:lang w:val="sr-Latn-ME"/>
        </w:rPr>
        <w:t xml:space="preserve"> </w:t>
      </w:r>
      <w:r w:rsidR="00F77D20" w:rsidRPr="00BD2023">
        <w:rPr>
          <w:bCs/>
          <w:sz w:val="22"/>
          <w:szCs w:val="22"/>
          <w:lang w:val="sr-Latn-ME"/>
        </w:rPr>
        <w:t>glikol 6000</w:t>
      </w:r>
    </w:p>
    <w:p w14:paraId="67AD971F" w14:textId="04806BC6" w:rsidR="00F77D20" w:rsidRPr="00BD2023" w:rsidRDefault="00D005C0" w:rsidP="00F77D20">
      <w:pPr>
        <w:tabs>
          <w:tab w:val="left" w:pos="540"/>
          <w:tab w:val="left" w:pos="569"/>
        </w:tabs>
        <w:rPr>
          <w:bCs/>
          <w:sz w:val="22"/>
          <w:szCs w:val="22"/>
          <w:lang w:val="sr-Latn-ME"/>
        </w:rPr>
      </w:pPr>
      <w:r>
        <w:rPr>
          <w:bCs/>
          <w:sz w:val="22"/>
          <w:szCs w:val="22"/>
          <w:lang w:val="sr-Latn-ME"/>
        </w:rPr>
        <w:t>S</w:t>
      </w:r>
      <w:r w:rsidR="00F77D20" w:rsidRPr="00BD2023">
        <w:rPr>
          <w:bCs/>
          <w:sz w:val="22"/>
          <w:szCs w:val="22"/>
          <w:lang w:val="sr-Latn-ME"/>
        </w:rPr>
        <w:t>ukraloza</w:t>
      </w:r>
    </w:p>
    <w:p w14:paraId="098B6D10" w14:textId="669C18BC" w:rsidR="00F77D20" w:rsidRPr="00BD2023" w:rsidRDefault="00D005C0" w:rsidP="00F77D20">
      <w:pPr>
        <w:tabs>
          <w:tab w:val="left" w:pos="540"/>
          <w:tab w:val="left" w:pos="569"/>
        </w:tabs>
        <w:rPr>
          <w:bCs/>
          <w:sz w:val="22"/>
          <w:szCs w:val="22"/>
          <w:lang w:val="sr-Latn-ME"/>
        </w:rPr>
      </w:pPr>
      <w:r>
        <w:rPr>
          <w:bCs/>
          <w:sz w:val="22"/>
          <w:szCs w:val="22"/>
          <w:lang w:val="sr-Latn-ME"/>
        </w:rPr>
        <w:t>A</w:t>
      </w:r>
      <w:r w:rsidR="00F77D20" w:rsidRPr="00BD2023">
        <w:rPr>
          <w:bCs/>
          <w:sz w:val="22"/>
          <w:szCs w:val="22"/>
          <w:lang w:val="sr-Latn-ME"/>
        </w:rPr>
        <w:t>skorbinska kiselina (E 300)</w:t>
      </w:r>
    </w:p>
    <w:p w14:paraId="44E3A866" w14:textId="378867E0" w:rsidR="00F77D20" w:rsidRPr="00BD2023" w:rsidRDefault="00D005C0" w:rsidP="00F77D20">
      <w:pPr>
        <w:tabs>
          <w:tab w:val="left" w:pos="540"/>
          <w:tab w:val="left" w:pos="569"/>
        </w:tabs>
        <w:rPr>
          <w:bCs/>
          <w:sz w:val="22"/>
          <w:szCs w:val="22"/>
          <w:lang w:val="sr-Latn-ME"/>
        </w:rPr>
      </w:pPr>
      <w:r>
        <w:rPr>
          <w:bCs/>
          <w:sz w:val="22"/>
          <w:szCs w:val="22"/>
          <w:lang w:val="sr-Latn-ME"/>
        </w:rPr>
        <w:t>D</w:t>
      </w:r>
      <w:r w:rsidR="00F77D20" w:rsidRPr="00BD2023">
        <w:rPr>
          <w:bCs/>
          <w:sz w:val="22"/>
          <w:szCs w:val="22"/>
          <w:lang w:val="sr-Latn-ME"/>
        </w:rPr>
        <w:t>inatrijum</w:t>
      </w:r>
      <w:r w:rsidR="005529FB" w:rsidRPr="00BD2023">
        <w:rPr>
          <w:bCs/>
          <w:sz w:val="22"/>
          <w:szCs w:val="22"/>
          <w:lang w:val="sr-Latn-ME"/>
        </w:rPr>
        <w:t xml:space="preserve"> </w:t>
      </w:r>
      <w:r w:rsidR="00F77D20" w:rsidRPr="00BD2023">
        <w:rPr>
          <w:bCs/>
          <w:sz w:val="22"/>
          <w:szCs w:val="22"/>
          <w:lang w:val="sr-Latn-ME"/>
        </w:rPr>
        <w:t>edetat</w:t>
      </w:r>
      <w:r w:rsidR="00E43849" w:rsidRPr="00BD2023">
        <w:rPr>
          <w:bCs/>
          <w:sz w:val="22"/>
          <w:szCs w:val="22"/>
          <w:lang w:val="sr-Latn-ME"/>
        </w:rPr>
        <w:t>,</w:t>
      </w:r>
      <w:r w:rsidR="005529FB" w:rsidRPr="00BD2023">
        <w:rPr>
          <w:bCs/>
          <w:sz w:val="22"/>
          <w:szCs w:val="22"/>
          <w:lang w:val="sr-Latn-ME"/>
        </w:rPr>
        <w:t xml:space="preserve"> </w:t>
      </w:r>
      <w:r w:rsidR="00F77D20" w:rsidRPr="00BD2023">
        <w:rPr>
          <w:bCs/>
          <w:sz w:val="22"/>
          <w:szCs w:val="22"/>
          <w:lang w:val="sr-Latn-ME"/>
        </w:rPr>
        <w:t>dihidrat</w:t>
      </w:r>
    </w:p>
    <w:p w14:paraId="6CC023A0" w14:textId="77777777" w:rsidR="00F77D20" w:rsidRPr="00BD2023" w:rsidRDefault="00F77D20" w:rsidP="00480FB1">
      <w:pPr>
        <w:tabs>
          <w:tab w:val="left" w:pos="540"/>
          <w:tab w:val="left" w:pos="569"/>
        </w:tabs>
        <w:rPr>
          <w:b/>
          <w:bCs/>
          <w:sz w:val="22"/>
          <w:szCs w:val="22"/>
          <w:lang w:val="sr-Latn-ME"/>
        </w:rPr>
      </w:pPr>
    </w:p>
    <w:p w14:paraId="498E2C5B" w14:textId="77777777" w:rsidR="0072020E" w:rsidRPr="00BD2023" w:rsidRDefault="0072020E" w:rsidP="00480FB1">
      <w:pPr>
        <w:tabs>
          <w:tab w:val="left" w:pos="540"/>
          <w:tab w:val="left" w:pos="569"/>
        </w:tabs>
        <w:rPr>
          <w:b/>
          <w:bCs/>
          <w:sz w:val="22"/>
          <w:szCs w:val="22"/>
          <w:lang w:val="sr-Latn-ME"/>
        </w:rPr>
      </w:pPr>
      <w:r w:rsidRPr="00BD2023">
        <w:rPr>
          <w:b/>
          <w:bCs/>
          <w:sz w:val="22"/>
          <w:szCs w:val="22"/>
          <w:lang w:val="sr-Latn-ME"/>
        </w:rPr>
        <w:t xml:space="preserve">6.2. </w:t>
      </w:r>
      <w:r w:rsidR="00480FB1" w:rsidRPr="00BD2023">
        <w:rPr>
          <w:b/>
          <w:bCs/>
          <w:sz w:val="22"/>
          <w:szCs w:val="22"/>
          <w:lang w:val="sr-Latn-ME"/>
        </w:rPr>
        <w:tab/>
      </w:r>
      <w:r w:rsidRPr="00BD2023">
        <w:rPr>
          <w:b/>
          <w:bCs/>
          <w:sz w:val="22"/>
          <w:szCs w:val="22"/>
          <w:lang w:val="sr-Latn-ME"/>
        </w:rPr>
        <w:t>Inkompatibilnost</w:t>
      </w:r>
      <w:r w:rsidR="002846DB" w:rsidRPr="00BD2023">
        <w:rPr>
          <w:b/>
          <w:bCs/>
          <w:sz w:val="22"/>
          <w:szCs w:val="22"/>
          <w:lang w:val="sr-Latn-ME"/>
        </w:rPr>
        <w:t>i</w:t>
      </w:r>
    </w:p>
    <w:p w14:paraId="6E487646" w14:textId="77777777" w:rsidR="00F77D20" w:rsidRPr="00BD2023" w:rsidRDefault="00F77D20" w:rsidP="00480FB1">
      <w:pPr>
        <w:tabs>
          <w:tab w:val="left" w:pos="540"/>
          <w:tab w:val="left" w:pos="569"/>
        </w:tabs>
        <w:rPr>
          <w:b/>
          <w:bCs/>
          <w:sz w:val="22"/>
          <w:szCs w:val="22"/>
          <w:lang w:val="sr-Latn-ME"/>
        </w:rPr>
      </w:pPr>
    </w:p>
    <w:p w14:paraId="6CEE45C0" w14:textId="4F298EA2" w:rsidR="00F77D20" w:rsidRPr="00BD2023" w:rsidRDefault="00F77D20" w:rsidP="00F77D20">
      <w:pPr>
        <w:rPr>
          <w:bCs/>
          <w:sz w:val="22"/>
          <w:szCs w:val="22"/>
          <w:lang w:val="sr-Latn-ME"/>
        </w:rPr>
      </w:pPr>
      <w:r w:rsidRPr="00BD2023">
        <w:rPr>
          <w:bCs/>
          <w:sz w:val="22"/>
          <w:szCs w:val="22"/>
          <w:lang w:val="sr-Latn-ME"/>
        </w:rPr>
        <w:t xml:space="preserve">Nije </w:t>
      </w:r>
      <w:r w:rsidR="000956D5" w:rsidRPr="00BD2023">
        <w:rPr>
          <w:bCs/>
          <w:sz w:val="22"/>
          <w:szCs w:val="22"/>
          <w:lang w:val="sr-Latn-ME"/>
        </w:rPr>
        <w:t>primjen</w:t>
      </w:r>
      <w:r w:rsidR="005529FB" w:rsidRPr="00BD2023">
        <w:rPr>
          <w:bCs/>
          <w:sz w:val="22"/>
          <w:szCs w:val="22"/>
          <w:lang w:val="sr-Latn-ME"/>
        </w:rPr>
        <w:t>l</w:t>
      </w:r>
      <w:r w:rsidR="000956D5" w:rsidRPr="00BD2023">
        <w:rPr>
          <w:bCs/>
          <w:sz w:val="22"/>
          <w:szCs w:val="22"/>
          <w:lang w:val="sr-Latn-ME"/>
        </w:rPr>
        <w:t>jivo</w:t>
      </w:r>
      <w:r w:rsidRPr="00BD2023">
        <w:rPr>
          <w:bCs/>
          <w:sz w:val="22"/>
          <w:szCs w:val="22"/>
          <w:lang w:val="sr-Latn-ME"/>
        </w:rPr>
        <w:t>.</w:t>
      </w:r>
    </w:p>
    <w:p w14:paraId="0BF6CD5D" w14:textId="77777777" w:rsidR="0072020E" w:rsidRPr="00BD2023" w:rsidRDefault="0072020E" w:rsidP="00480FB1">
      <w:pPr>
        <w:tabs>
          <w:tab w:val="left" w:pos="540"/>
          <w:tab w:val="left" w:pos="569"/>
        </w:tabs>
        <w:rPr>
          <w:bCs/>
          <w:sz w:val="22"/>
          <w:szCs w:val="22"/>
          <w:lang w:val="sr-Latn-ME"/>
        </w:rPr>
      </w:pPr>
    </w:p>
    <w:p w14:paraId="163130F2" w14:textId="77777777" w:rsidR="0072020E" w:rsidRPr="00BD2023" w:rsidRDefault="0072020E" w:rsidP="00480FB1">
      <w:pPr>
        <w:tabs>
          <w:tab w:val="left" w:pos="540"/>
          <w:tab w:val="left" w:pos="569"/>
        </w:tabs>
        <w:rPr>
          <w:b/>
          <w:bCs/>
          <w:sz w:val="22"/>
          <w:szCs w:val="22"/>
          <w:lang w:val="sr-Latn-ME"/>
        </w:rPr>
      </w:pPr>
      <w:r w:rsidRPr="00BD2023">
        <w:rPr>
          <w:b/>
          <w:bCs/>
          <w:sz w:val="22"/>
          <w:szCs w:val="22"/>
          <w:lang w:val="sr-Latn-ME"/>
        </w:rPr>
        <w:t>6.3.</w:t>
      </w:r>
      <w:r w:rsidR="00C05DF8" w:rsidRPr="00BD2023">
        <w:rPr>
          <w:b/>
          <w:bCs/>
          <w:sz w:val="22"/>
          <w:szCs w:val="22"/>
          <w:lang w:val="sr-Latn-ME"/>
        </w:rPr>
        <w:t xml:space="preserve"> </w:t>
      </w:r>
      <w:r w:rsidR="00480FB1" w:rsidRPr="00BD2023">
        <w:rPr>
          <w:b/>
          <w:bCs/>
          <w:sz w:val="22"/>
          <w:szCs w:val="22"/>
          <w:lang w:val="sr-Latn-ME"/>
        </w:rPr>
        <w:tab/>
      </w:r>
      <w:r w:rsidRPr="00BD2023">
        <w:rPr>
          <w:b/>
          <w:bCs/>
          <w:sz w:val="22"/>
          <w:szCs w:val="22"/>
          <w:lang w:val="sr-Latn-ME"/>
        </w:rPr>
        <w:t>Rok upotrebe</w:t>
      </w:r>
    </w:p>
    <w:p w14:paraId="782F6451" w14:textId="77777777" w:rsidR="00F77D20" w:rsidRPr="00BD2023" w:rsidRDefault="00F77D20" w:rsidP="00480FB1">
      <w:pPr>
        <w:tabs>
          <w:tab w:val="left" w:pos="540"/>
          <w:tab w:val="left" w:pos="569"/>
        </w:tabs>
        <w:rPr>
          <w:bCs/>
          <w:sz w:val="22"/>
          <w:szCs w:val="22"/>
          <w:lang w:val="sr-Latn-ME"/>
        </w:rPr>
      </w:pPr>
    </w:p>
    <w:p w14:paraId="4D285E4D" w14:textId="77777777" w:rsidR="00F77D20" w:rsidRPr="00BD2023" w:rsidRDefault="00F77D20" w:rsidP="00F77D20">
      <w:pPr>
        <w:tabs>
          <w:tab w:val="left" w:pos="540"/>
          <w:tab w:val="left" w:pos="569"/>
        </w:tabs>
        <w:rPr>
          <w:bCs/>
          <w:sz w:val="22"/>
          <w:szCs w:val="22"/>
          <w:u w:val="single"/>
          <w:lang w:val="sr-Latn-ME"/>
        </w:rPr>
      </w:pPr>
      <w:r w:rsidRPr="00BD2023">
        <w:rPr>
          <w:bCs/>
          <w:sz w:val="22"/>
          <w:szCs w:val="22"/>
          <w:u w:val="single"/>
          <w:lang w:val="sr-Latn-ME"/>
        </w:rPr>
        <w:t xml:space="preserve">Prašak za oralni rastvor </w:t>
      </w:r>
    </w:p>
    <w:p w14:paraId="20B698F3" w14:textId="77777777" w:rsidR="00F77D20" w:rsidRPr="00BD2023" w:rsidRDefault="00F77D20" w:rsidP="00F77D20">
      <w:pPr>
        <w:tabs>
          <w:tab w:val="left" w:pos="540"/>
          <w:tab w:val="left" w:pos="569"/>
        </w:tabs>
        <w:rPr>
          <w:bCs/>
          <w:sz w:val="22"/>
          <w:szCs w:val="22"/>
          <w:lang w:val="sr-Latn-ME"/>
        </w:rPr>
      </w:pPr>
    </w:p>
    <w:p w14:paraId="1816681D" w14:textId="77777777" w:rsidR="00F77D20" w:rsidRPr="00BD2023" w:rsidRDefault="00F77D20" w:rsidP="00F77D20">
      <w:pPr>
        <w:tabs>
          <w:tab w:val="left" w:pos="540"/>
          <w:tab w:val="left" w:pos="569"/>
        </w:tabs>
        <w:rPr>
          <w:bCs/>
          <w:sz w:val="22"/>
          <w:szCs w:val="22"/>
          <w:lang w:val="sr-Latn-ME"/>
        </w:rPr>
      </w:pPr>
      <w:r w:rsidRPr="00BD2023">
        <w:rPr>
          <w:bCs/>
          <w:sz w:val="22"/>
          <w:szCs w:val="22"/>
          <w:lang w:val="sr-Latn-ME"/>
        </w:rPr>
        <w:t>2 godine</w:t>
      </w:r>
    </w:p>
    <w:p w14:paraId="2EA4DF1A" w14:textId="77777777" w:rsidR="00F77D20" w:rsidRPr="00BD2023" w:rsidRDefault="00F77D20" w:rsidP="00F77D20">
      <w:pPr>
        <w:tabs>
          <w:tab w:val="left" w:pos="540"/>
          <w:tab w:val="left" w:pos="569"/>
        </w:tabs>
        <w:rPr>
          <w:bCs/>
          <w:sz w:val="22"/>
          <w:szCs w:val="22"/>
          <w:lang w:val="sr-Latn-ME"/>
        </w:rPr>
      </w:pPr>
    </w:p>
    <w:p w14:paraId="060FB5A0" w14:textId="5DD4A993" w:rsidR="00F77D20" w:rsidRPr="00BD2023" w:rsidRDefault="00CA44C1" w:rsidP="00F77D20">
      <w:pPr>
        <w:tabs>
          <w:tab w:val="left" w:pos="540"/>
          <w:tab w:val="left" w:pos="569"/>
        </w:tabs>
        <w:rPr>
          <w:bCs/>
          <w:sz w:val="22"/>
          <w:szCs w:val="22"/>
          <w:u w:val="single"/>
          <w:lang w:val="sr-Latn-ME"/>
        </w:rPr>
      </w:pPr>
      <w:r w:rsidRPr="00BD2023">
        <w:rPr>
          <w:bCs/>
          <w:sz w:val="22"/>
          <w:szCs w:val="22"/>
          <w:u w:val="single"/>
          <w:lang w:val="sr-Latn-ME"/>
        </w:rPr>
        <w:t>Rekonstituisan</w:t>
      </w:r>
      <w:r w:rsidR="005529FB" w:rsidRPr="00BD2023">
        <w:rPr>
          <w:bCs/>
          <w:sz w:val="22"/>
          <w:szCs w:val="22"/>
          <w:u w:val="single"/>
          <w:lang w:val="sr-Latn-ME"/>
        </w:rPr>
        <w:t>i</w:t>
      </w:r>
      <w:r w:rsidRPr="00BD2023">
        <w:rPr>
          <w:bCs/>
          <w:sz w:val="22"/>
          <w:szCs w:val="22"/>
          <w:u w:val="single"/>
          <w:lang w:val="sr-Latn-ME"/>
        </w:rPr>
        <w:t xml:space="preserve"> </w:t>
      </w:r>
      <w:r w:rsidR="00F77D20" w:rsidRPr="00BD2023">
        <w:rPr>
          <w:bCs/>
          <w:sz w:val="22"/>
          <w:szCs w:val="22"/>
          <w:u w:val="single"/>
          <w:lang w:val="sr-Latn-ME"/>
        </w:rPr>
        <w:t xml:space="preserve">oralni rastvor </w:t>
      </w:r>
    </w:p>
    <w:p w14:paraId="23B7720D" w14:textId="77777777" w:rsidR="00F77D20" w:rsidRPr="00BD2023" w:rsidRDefault="00F77D20" w:rsidP="00F77D20">
      <w:pPr>
        <w:tabs>
          <w:tab w:val="left" w:pos="540"/>
          <w:tab w:val="left" w:pos="569"/>
        </w:tabs>
        <w:rPr>
          <w:bCs/>
          <w:sz w:val="22"/>
          <w:szCs w:val="22"/>
          <w:lang w:val="sr-Latn-ME"/>
        </w:rPr>
      </w:pPr>
    </w:p>
    <w:p w14:paraId="4F9F15AB" w14:textId="058E93B3" w:rsidR="00F77D20" w:rsidRPr="00BD2023" w:rsidRDefault="00F77D20" w:rsidP="00480FB1">
      <w:pPr>
        <w:tabs>
          <w:tab w:val="left" w:pos="540"/>
          <w:tab w:val="left" w:pos="569"/>
        </w:tabs>
        <w:rPr>
          <w:bCs/>
          <w:sz w:val="22"/>
          <w:szCs w:val="22"/>
          <w:lang w:val="sr-Latn-ME"/>
        </w:rPr>
      </w:pPr>
      <w:r w:rsidRPr="00BD2023">
        <w:rPr>
          <w:bCs/>
          <w:sz w:val="22"/>
          <w:szCs w:val="22"/>
          <w:lang w:val="sr-Latn-ME"/>
        </w:rPr>
        <w:t xml:space="preserve">64 dana </w:t>
      </w:r>
      <w:r w:rsidR="00E43849" w:rsidRPr="00BD2023">
        <w:rPr>
          <w:bCs/>
          <w:sz w:val="22"/>
          <w:szCs w:val="22"/>
          <w:lang w:val="sr-Latn-ME"/>
        </w:rPr>
        <w:t xml:space="preserve">kada se </w:t>
      </w:r>
      <w:r w:rsidRPr="00BD2023">
        <w:rPr>
          <w:bCs/>
          <w:sz w:val="22"/>
          <w:szCs w:val="22"/>
          <w:lang w:val="sr-Latn-ME"/>
        </w:rPr>
        <w:t>čuva u frižideru (</w:t>
      </w:r>
      <w:r w:rsidR="005529FB" w:rsidRPr="00BD2023">
        <w:rPr>
          <w:bCs/>
          <w:sz w:val="22"/>
          <w:szCs w:val="22"/>
          <w:lang w:val="sr-Latn-ME"/>
        </w:rPr>
        <w:t xml:space="preserve">na temperaturi od </w:t>
      </w:r>
      <w:r w:rsidRPr="00BD2023">
        <w:rPr>
          <w:bCs/>
          <w:sz w:val="22"/>
          <w:szCs w:val="22"/>
          <w:lang w:val="sr-Latn-ME"/>
        </w:rPr>
        <w:t>2</w:t>
      </w:r>
      <w:r w:rsidR="005529FB" w:rsidRPr="00BD2023">
        <w:rPr>
          <w:bCs/>
          <w:sz w:val="22"/>
          <w:szCs w:val="22"/>
          <w:lang w:val="sr-Latn-ME"/>
        </w:rPr>
        <w:t>°C</w:t>
      </w:r>
      <w:r w:rsidRPr="00BD2023">
        <w:rPr>
          <w:bCs/>
          <w:sz w:val="22"/>
          <w:szCs w:val="22"/>
          <w:lang w:val="sr-Latn-ME"/>
        </w:rPr>
        <w:t xml:space="preserve"> do 8°C).</w:t>
      </w:r>
    </w:p>
    <w:p w14:paraId="49C4DE84" w14:textId="49D8AA23" w:rsidR="007B208C" w:rsidRPr="00BD2023" w:rsidRDefault="007B208C" w:rsidP="00480FB1">
      <w:pPr>
        <w:tabs>
          <w:tab w:val="left" w:pos="540"/>
          <w:tab w:val="left" w:pos="569"/>
        </w:tabs>
        <w:rPr>
          <w:bCs/>
          <w:sz w:val="22"/>
          <w:szCs w:val="22"/>
          <w:lang w:val="sr-Latn-ME"/>
        </w:rPr>
      </w:pPr>
    </w:p>
    <w:p w14:paraId="13691F90" w14:textId="18DA6BB3" w:rsidR="007B208C" w:rsidRPr="00BD2023" w:rsidRDefault="007B208C" w:rsidP="007B208C">
      <w:pPr>
        <w:tabs>
          <w:tab w:val="left" w:pos="540"/>
          <w:tab w:val="left" w:pos="567"/>
        </w:tabs>
        <w:rPr>
          <w:bCs/>
          <w:sz w:val="22"/>
          <w:szCs w:val="22"/>
          <w:lang w:val="sr-Latn-ME"/>
        </w:rPr>
      </w:pPr>
      <w:r w:rsidRPr="00BD2023">
        <w:rPr>
          <w:bCs/>
          <w:sz w:val="22"/>
          <w:szCs w:val="22"/>
          <w:lang w:val="sr-Latn-ME"/>
        </w:rPr>
        <w:t>P</w:t>
      </w:r>
      <w:r w:rsidR="00D035CF" w:rsidRPr="00BD2023">
        <w:rPr>
          <w:bCs/>
          <w:sz w:val="22"/>
          <w:szCs w:val="22"/>
          <w:lang w:val="sr-Latn-ME"/>
        </w:rPr>
        <w:t>rema</w:t>
      </w:r>
      <w:r w:rsidRPr="00BD2023">
        <w:rPr>
          <w:bCs/>
          <w:sz w:val="22"/>
          <w:szCs w:val="22"/>
          <w:lang w:val="sr-Latn-ME"/>
        </w:rPr>
        <w:t xml:space="preserve"> potreb</w:t>
      </w:r>
      <w:r w:rsidR="002C7804" w:rsidRPr="00BD2023">
        <w:rPr>
          <w:bCs/>
          <w:sz w:val="22"/>
          <w:szCs w:val="22"/>
          <w:lang w:val="sr-Latn-ME"/>
        </w:rPr>
        <w:t>i</w:t>
      </w:r>
      <w:r w:rsidRPr="00BD2023">
        <w:rPr>
          <w:bCs/>
          <w:sz w:val="22"/>
          <w:szCs w:val="22"/>
          <w:lang w:val="sr-Latn-ME"/>
        </w:rPr>
        <w:t>, pacijent ili njegov njegovatelj mogu čuvati oralni rastvor na sobnoj temepraturi (do 40°C), pri čemu ukupno vrijeme čuvanja na toj temperaturi ne sm</w:t>
      </w:r>
      <w:r w:rsidR="00604BBC" w:rsidRPr="00BD2023">
        <w:rPr>
          <w:bCs/>
          <w:sz w:val="22"/>
          <w:szCs w:val="22"/>
          <w:lang w:val="sr-Latn-ME"/>
        </w:rPr>
        <w:t>ij</w:t>
      </w:r>
      <w:r w:rsidRPr="00BD2023">
        <w:rPr>
          <w:bCs/>
          <w:sz w:val="22"/>
          <w:szCs w:val="22"/>
          <w:lang w:val="sr-Latn-ME"/>
        </w:rPr>
        <w:t>e biti duže od 120 sati (5 dana). Oralni rastvor treba vratiti u frižider čim više nije neophodno da boca stoji na sobnoj temperaturi. Potrebno je pratiti ukupno vrijeme čuvanja van frižidera (do 40°C).</w:t>
      </w:r>
    </w:p>
    <w:p w14:paraId="42ECA192" w14:textId="77777777" w:rsidR="007B208C" w:rsidRPr="00BD2023" w:rsidRDefault="007B208C" w:rsidP="007B208C">
      <w:pPr>
        <w:tabs>
          <w:tab w:val="left" w:pos="540"/>
          <w:tab w:val="left" w:pos="567"/>
        </w:tabs>
        <w:rPr>
          <w:bCs/>
          <w:sz w:val="22"/>
          <w:szCs w:val="22"/>
          <w:lang w:val="sr-Latn-ME"/>
        </w:rPr>
      </w:pPr>
    </w:p>
    <w:p w14:paraId="1803CB7F" w14:textId="35D21A83" w:rsidR="007B208C" w:rsidRPr="00BD2023" w:rsidRDefault="007B208C" w:rsidP="00480FB1">
      <w:pPr>
        <w:tabs>
          <w:tab w:val="left" w:pos="540"/>
          <w:tab w:val="left" w:pos="569"/>
        </w:tabs>
        <w:rPr>
          <w:bCs/>
          <w:sz w:val="22"/>
          <w:szCs w:val="22"/>
          <w:lang w:val="sr-Latn-ME"/>
        </w:rPr>
      </w:pPr>
      <w:r w:rsidRPr="00BD2023">
        <w:rPr>
          <w:bCs/>
          <w:sz w:val="22"/>
          <w:szCs w:val="22"/>
          <w:lang w:val="sr-Latn-ME"/>
        </w:rPr>
        <w:t>Oralni rastvor treba baciti, ako je ukupno vrijeme čuvanja na sobnoj temperaturi (do 40°C) bilo duže od 120 sati (5 dana) ili ako je u bilo kojem vremenskom periodu bio čuvan na temperaturi iznad 40°C.</w:t>
      </w:r>
    </w:p>
    <w:p w14:paraId="250F1CC3" w14:textId="77777777" w:rsidR="0072020E" w:rsidRPr="00BD2023" w:rsidRDefault="0072020E" w:rsidP="00480FB1">
      <w:pPr>
        <w:tabs>
          <w:tab w:val="left" w:pos="540"/>
          <w:tab w:val="left" w:pos="569"/>
        </w:tabs>
        <w:rPr>
          <w:bCs/>
          <w:sz w:val="22"/>
          <w:szCs w:val="22"/>
          <w:lang w:val="sr-Latn-ME"/>
        </w:rPr>
      </w:pPr>
    </w:p>
    <w:p w14:paraId="4FCF1DEF" w14:textId="77777777" w:rsidR="0072020E" w:rsidRPr="00BD2023" w:rsidRDefault="0072020E" w:rsidP="00480FB1">
      <w:pPr>
        <w:tabs>
          <w:tab w:val="left" w:pos="540"/>
          <w:tab w:val="left" w:pos="569"/>
        </w:tabs>
        <w:rPr>
          <w:b/>
          <w:bCs/>
          <w:sz w:val="22"/>
          <w:szCs w:val="22"/>
          <w:lang w:val="sr-Latn-ME"/>
        </w:rPr>
      </w:pPr>
      <w:r w:rsidRPr="00BD2023">
        <w:rPr>
          <w:b/>
          <w:bCs/>
          <w:sz w:val="22"/>
          <w:szCs w:val="22"/>
          <w:lang w:val="sr-Latn-ME"/>
        </w:rPr>
        <w:t xml:space="preserve">6.4. </w:t>
      </w:r>
      <w:r w:rsidR="00480FB1" w:rsidRPr="00BD2023">
        <w:rPr>
          <w:b/>
          <w:bCs/>
          <w:sz w:val="22"/>
          <w:szCs w:val="22"/>
          <w:lang w:val="sr-Latn-ME"/>
        </w:rPr>
        <w:tab/>
      </w:r>
      <w:r w:rsidRPr="00BD2023">
        <w:rPr>
          <w:b/>
          <w:bCs/>
          <w:sz w:val="22"/>
          <w:szCs w:val="22"/>
          <w:lang w:val="sr-Latn-ME"/>
        </w:rPr>
        <w:t>Posebne mjere upozorenja pri čuvanju</w:t>
      </w:r>
      <w:r w:rsidR="00F8570A" w:rsidRPr="00BD2023">
        <w:rPr>
          <w:b/>
          <w:bCs/>
          <w:sz w:val="22"/>
          <w:szCs w:val="22"/>
          <w:lang w:val="sr-Latn-ME"/>
        </w:rPr>
        <w:t xml:space="preserve"> lijeka</w:t>
      </w:r>
    </w:p>
    <w:p w14:paraId="57BC4366" w14:textId="77777777" w:rsidR="00F77D20" w:rsidRPr="00BD2023" w:rsidRDefault="00F77D20" w:rsidP="00480FB1">
      <w:pPr>
        <w:tabs>
          <w:tab w:val="left" w:pos="540"/>
          <w:tab w:val="left" w:pos="569"/>
        </w:tabs>
        <w:rPr>
          <w:b/>
          <w:bCs/>
          <w:sz w:val="22"/>
          <w:szCs w:val="22"/>
          <w:lang w:val="sr-Latn-ME"/>
        </w:rPr>
      </w:pPr>
    </w:p>
    <w:p w14:paraId="6C727745" w14:textId="77777777" w:rsidR="00F77D20" w:rsidRPr="00BD2023" w:rsidRDefault="00F77D20" w:rsidP="00F77D20">
      <w:pPr>
        <w:tabs>
          <w:tab w:val="left" w:pos="540"/>
          <w:tab w:val="left" w:pos="569"/>
        </w:tabs>
        <w:rPr>
          <w:bCs/>
          <w:sz w:val="22"/>
          <w:szCs w:val="22"/>
          <w:u w:val="single"/>
          <w:lang w:val="sr-Latn-ME"/>
        </w:rPr>
      </w:pPr>
      <w:r w:rsidRPr="00BD2023">
        <w:rPr>
          <w:bCs/>
          <w:sz w:val="22"/>
          <w:szCs w:val="22"/>
          <w:u w:val="single"/>
          <w:lang w:val="sr-Latn-ME"/>
        </w:rPr>
        <w:t xml:space="preserve">Prašak za oralni rastvor </w:t>
      </w:r>
    </w:p>
    <w:p w14:paraId="7E567C63" w14:textId="77777777" w:rsidR="00F77D20" w:rsidRPr="00BD2023" w:rsidRDefault="00F77D20" w:rsidP="00F77D20">
      <w:pPr>
        <w:tabs>
          <w:tab w:val="left" w:pos="540"/>
          <w:tab w:val="left" w:pos="569"/>
        </w:tabs>
        <w:rPr>
          <w:bCs/>
          <w:sz w:val="22"/>
          <w:szCs w:val="22"/>
          <w:u w:val="single"/>
          <w:lang w:val="sr-Latn-ME"/>
        </w:rPr>
      </w:pPr>
    </w:p>
    <w:p w14:paraId="56EED893" w14:textId="584DCC81" w:rsidR="00F77D20" w:rsidRPr="00BD2023" w:rsidRDefault="00F77D20" w:rsidP="00F77D20">
      <w:pPr>
        <w:tabs>
          <w:tab w:val="left" w:pos="540"/>
          <w:tab w:val="left" w:pos="569"/>
        </w:tabs>
        <w:rPr>
          <w:bCs/>
          <w:sz w:val="22"/>
          <w:szCs w:val="22"/>
          <w:lang w:val="sr-Latn-ME"/>
        </w:rPr>
      </w:pPr>
      <w:r w:rsidRPr="00BD2023">
        <w:rPr>
          <w:bCs/>
          <w:sz w:val="22"/>
          <w:szCs w:val="22"/>
          <w:lang w:val="sr-Latn-ME"/>
        </w:rPr>
        <w:t xml:space="preserve">Držati u originalnoj staklenoj </w:t>
      </w:r>
      <w:r w:rsidR="00AE0F3E" w:rsidRPr="00BD2023">
        <w:rPr>
          <w:bCs/>
          <w:sz w:val="22"/>
          <w:szCs w:val="22"/>
          <w:lang w:val="sr-Latn-ME"/>
        </w:rPr>
        <w:t>boc</w:t>
      </w:r>
      <w:r w:rsidRPr="00BD2023">
        <w:rPr>
          <w:bCs/>
          <w:sz w:val="22"/>
          <w:szCs w:val="22"/>
          <w:lang w:val="sr-Latn-ME"/>
        </w:rPr>
        <w:t>i boje ćilibara radi zaštite od sv</w:t>
      </w:r>
      <w:r w:rsidR="00E43849" w:rsidRPr="00BD2023">
        <w:rPr>
          <w:bCs/>
          <w:sz w:val="22"/>
          <w:szCs w:val="22"/>
          <w:lang w:val="sr-Latn-ME"/>
        </w:rPr>
        <w:t>j</w:t>
      </w:r>
      <w:r w:rsidRPr="00BD2023">
        <w:rPr>
          <w:bCs/>
          <w:sz w:val="22"/>
          <w:szCs w:val="22"/>
          <w:lang w:val="sr-Latn-ME"/>
        </w:rPr>
        <w:t>etlosti.</w:t>
      </w:r>
    </w:p>
    <w:p w14:paraId="23F76DEC" w14:textId="77777777" w:rsidR="00F77D20" w:rsidRPr="00BD2023" w:rsidRDefault="00F77D20" w:rsidP="00F77D20">
      <w:pPr>
        <w:tabs>
          <w:tab w:val="left" w:pos="540"/>
          <w:tab w:val="left" w:pos="569"/>
        </w:tabs>
        <w:rPr>
          <w:bCs/>
          <w:sz w:val="22"/>
          <w:szCs w:val="22"/>
          <w:lang w:val="sr-Latn-ME"/>
        </w:rPr>
      </w:pPr>
    </w:p>
    <w:p w14:paraId="6640CD80" w14:textId="33E2A51B" w:rsidR="00F77D20" w:rsidRPr="00BD2023" w:rsidRDefault="00CA44C1" w:rsidP="00F77D20">
      <w:pPr>
        <w:tabs>
          <w:tab w:val="left" w:pos="540"/>
          <w:tab w:val="left" w:pos="569"/>
        </w:tabs>
        <w:rPr>
          <w:bCs/>
          <w:sz w:val="22"/>
          <w:szCs w:val="22"/>
          <w:u w:val="single"/>
          <w:lang w:val="sr-Latn-ME"/>
        </w:rPr>
      </w:pPr>
      <w:r w:rsidRPr="00BD2023">
        <w:rPr>
          <w:bCs/>
          <w:sz w:val="22"/>
          <w:szCs w:val="22"/>
          <w:u w:val="single"/>
          <w:lang w:val="sr-Latn-ME"/>
        </w:rPr>
        <w:t xml:space="preserve">Rekonstituisan </w:t>
      </w:r>
      <w:r w:rsidR="00F77D20" w:rsidRPr="00BD2023">
        <w:rPr>
          <w:bCs/>
          <w:sz w:val="22"/>
          <w:szCs w:val="22"/>
          <w:u w:val="single"/>
          <w:lang w:val="sr-Latn-ME"/>
        </w:rPr>
        <w:t xml:space="preserve">oralni rastvor </w:t>
      </w:r>
    </w:p>
    <w:p w14:paraId="5F188E60" w14:textId="77777777" w:rsidR="00F77D20" w:rsidRPr="00BD2023" w:rsidRDefault="00F77D20" w:rsidP="00F77D20">
      <w:pPr>
        <w:tabs>
          <w:tab w:val="left" w:pos="540"/>
          <w:tab w:val="left" w:pos="569"/>
        </w:tabs>
        <w:rPr>
          <w:bCs/>
          <w:sz w:val="22"/>
          <w:szCs w:val="22"/>
          <w:lang w:val="sr-Latn-ME"/>
        </w:rPr>
      </w:pPr>
    </w:p>
    <w:p w14:paraId="4C1AE1C6" w14:textId="12CC3EDA" w:rsidR="00F77D20" w:rsidRPr="00BD2023" w:rsidRDefault="00F77D20" w:rsidP="00F77D20">
      <w:pPr>
        <w:tabs>
          <w:tab w:val="left" w:pos="540"/>
          <w:tab w:val="left" w:pos="569"/>
        </w:tabs>
        <w:rPr>
          <w:bCs/>
          <w:sz w:val="22"/>
          <w:szCs w:val="22"/>
          <w:lang w:val="sr-Latn-ME"/>
        </w:rPr>
      </w:pPr>
      <w:r w:rsidRPr="00BD2023">
        <w:rPr>
          <w:bCs/>
          <w:sz w:val="22"/>
          <w:szCs w:val="22"/>
          <w:lang w:val="sr-Latn-ME"/>
        </w:rPr>
        <w:t xml:space="preserve">Za uslove čuvanja nakon </w:t>
      </w:r>
      <w:r w:rsidR="00CA44C1" w:rsidRPr="00BD2023">
        <w:rPr>
          <w:bCs/>
          <w:sz w:val="22"/>
          <w:szCs w:val="22"/>
          <w:lang w:val="sr-Latn-ME"/>
        </w:rPr>
        <w:t xml:space="preserve">rekonstitucije </w:t>
      </w:r>
      <w:r w:rsidR="007E5CF0" w:rsidRPr="00BD2023">
        <w:rPr>
          <w:bCs/>
          <w:sz w:val="22"/>
          <w:szCs w:val="22"/>
          <w:lang w:val="sr-Latn-ME"/>
        </w:rPr>
        <w:t>lijek</w:t>
      </w:r>
      <w:r w:rsidRPr="00BD2023">
        <w:rPr>
          <w:bCs/>
          <w:sz w:val="22"/>
          <w:szCs w:val="22"/>
          <w:lang w:val="sr-Latn-ME"/>
        </w:rPr>
        <w:t xml:space="preserve">a pogledajte </w:t>
      </w:r>
      <w:r w:rsidR="00A76607" w:rsidRPr="00BD2023">
        <w:rPr>
          <w:bCs/>
          <w:sz w:val="22"/>
          <w:szCs w:val="22"/>
          <w:lang w:val="sr-Latn-ME"/>
        </w:rPr>
        <w:t xml:space="preserve">dio </w:t>
      </w:r>
      <w:r w:rsidRPr="00BD2023">
        <w:rPr>
          <w:bCs/>
          <w:sz w:val="22"/>
          <w:szCs w:val="22"/>
          <w:lang w:val="sr-Latn-ME"/>
        </w:rPr>
        <w:t>6.3.</w:t>
      </w:r>
    </w:p>
    <w:p w14:paraId="3E544E29" w14:textId="0DCBA531" w:rsidR="00F77D20" w:rsidRPr="00BD2023" w:rsidRDefault="00F77D20" w:rsidP="00F77D20">
      <w:pPr>
        <w:tabs>
          <w:tab w:val="left" w:pos="540"/>
          <w:tab w:val="left" w:pos="569"/>
        </w:tabs>
        <w:rPr>
          <w:bCs/>
          <w:sz w:val="22"/>
          <w:szCs w:val="22"/>
          <w:lang w:val="sr-Latn-ME"/>
        </w:rPr>
      </w:pPr>
      <w:r w:rsidRPr="00BD2023">
        <w:rPr>
          <w:bCs/>
          <w:sz w:val="22"/>
          <w:szCs w:val="22"/>
          <w:lang w:val="sr-Latn-ME"/>
        </w:rPr>
        <w:t xml:space="preserve">Oralni rastvor treba čuvati u originalnoj staklenoj </w:t>
      </w:r>
      <w:r w:rsidR="00AE0F3E" w:rsidRPr="00BD2023">
        <w:rPr>
          <w:bCs/>
          <w:sz w:val="22"/>
          <w:szCs w:val="22"/>
          <w:lang w:val="sr-Latn-ME"/>
        </w:rPr>
        <w:t>boc</w:t>
      </w:r>
      <w:r w:rsidRPr="00BD2023">
        <w:rPr>
          <w:bCs/>
          <w:sz w:val="22"/>
          <w:szCs w:val="22"/>
          <w:lang w:val="sr-Latn-ME"/>
        </w:rPr>
        <w:t>i boje ćilibara radi zaštite od sv</w:t>
      </w:r>
      <w:r w:rsidR="00E43849" w:rsidRPr="00BD2023">
        <w:rPr>
          <w:bCs/>
          <w:sz w:val="22"/>
          <w:szCs w:val="22"/>
          <w:lang w:val="sr-Latn-ME"/>
        </w:rPr>
        <w:t>j</w:t>
      </w:r>
      <w:r w:rsidRPr="00BD2023">
        <w:rPr>
          <w:bCs/>
          <w:sz w:val="22"/>
          <w:szCs w:val="22"/>
          <w:lang w:val="sr-Latn-ME"/>
        </w:rPr>
        <w:t xml:space="preserve">etlosti, a </w:t>
      </w:r>
      <w:r w:rsidR="00AE0F3E" w:rsidRPr="00BD2023">
        <w:rPr>
          <w:bCs/>
          <w:sz w:val="22"/>
          <w:szCs w:val="22"/>
          <w:lang w:val="sr-Latn-ME"/>
        </w:rPr>
        <w:t>boc</w:t>
      </w:r>
      <w:r w:rsidRPr="00BD2023">
        <w:rPr>
          <w:bCs/>
          <w:sz w:val="22"/>
          <w:szCs w:val="22"/>
          <w:lang w:val="sr-Latn-ME"/>
        </w:rPr>
        <w:t>u treba uv</w:t>
      </w:r>
      <w:r w:rsidR="005529FB" w:rsidRPr="00BD2023">
        <w:rPr>
          <w:bCs/>
          <w:sz w:val="22"/>
          <w:szCs w:val="22"/>
          <w:lang w:val="sr-Latn-ME"/>
        </w:rPr>
        <w:t>ij</w:t>
      </w:r>
      <w:r w:rsidRPr="00BD2023">
        <w:rPr>
          <w:bCs/>
          <w:sz w:val="22"/>
          <w:szCs w:val="22"/>
          <w:lang w:val="sr-Latn-ME"/>
        </w:rPr>
        <w:t>ek držati u uspravnom položaju sa čvrsto zatvorenim poklopcem.</w:t>
      </w:r>
    </w:p>
    <w:p w14:paraId="43473D95" w14:textId="77777777" w:rsidR="00EC2532" w:rsidRPr="00BD2023" w:rsidRDefault="00EC2532" w:rsidP="00480FB1">
      <w:pPr>
        <w:tabs>
          <w:tab w:val="left" w:pos="540"/>
          <w:tab w:val="left" w:pos="569"/>
        </w:tabs>
        <w:rPr>
          <w:bCs/>
          <w:sz w:val="22"/>
          <w:szCs w:val="22"/>
          <w:lang w:val="sr-Latn-ME"/>
        </w:rPr>
      </w:pPr>
    </w:p>
    <w:p w14:paraId="67CC0A2B" w14:textId="77777777" w:rsidR="00A0542C" w:rsidRPr="00BD2023" w:rsidRDefault="00A0542C" w:rsidP="00480FB1">
      <w:pPr>
        <w:tabs>
          <w:tab w:val="left" w:pos="540"/>
          <w:tab w:val="left" w:pos="569"/>
        </w:tabs>
        <w:rPr>
          <w:b/>
          <w:bCs/>
          <w:sz w:val="22"/>
          <w:szCs w:val="22"/>
          <w:lang w:val="sr-Latn-ME"/>
        </w:rPr>
      </w:pPr>
    </w:p>
    <w:p w14:paraId="1F1249EF" w14:textId="3921FBF7" w:rsidR="0072020E" w:rsidRPr="00BD2023" w:rsidRDefault="0072020E" w:rsidP="00480FB1">
      <w:pPr>
        <w:tabs>
          <w:tab w:val="left" w:pos="540"/>
          <w:tab w:val="left" w:pos="569"/>
        </w:tabs>
        <w:rPr>
          <w:b/>
          <w:bCs/>
          <w:sz w:val="22"/>
          <w:szCs w:val="22"/>
          <w:lang w:val="sr-Latn-ME"/>
        </w:rPr>
      </w:pPr>
      <w:r w:rsidRPr="00BD2023">
        <w:rPr>
          <w:b/>
          <w:bCs/>
          <w:sz w:val="22"/>
          <w:szCs w:val="22"/>
          <w:lang w:val="sr-Latn-ME"/>
        </w:rPr>
        <w:t xml:space="preserve">6.5. </w:t>
      </w:r>
      <w:r w:rsidR="00480FB1" w:rsidRPr="00BD2023">
        <w:rPr>
          <w:b/>
          <w:bCs/>
          <w:sz w:val="22"/>
          <w:szCs w:val="22"/>
          <w:lang w:val="sr-Latn-ME"/>
        </w:rPr>
        <w:tab/>
      </w:r>
      <w:r w:rsidR="002846DB" w:rsidRPr="00BD2023">
        <w:rPr>
          <w:b/>
          <w:bCs/>
          <w:sz w:val="22"/>
          <w:szCs w:val="22"/>
          <w:lang w:val="sr-Latn-ME"/>
        </w:rPr>
        <w:t xml:space="preserve">Vrsta i sadržaj </w:t>
      </w:r>
      <w:r w:rsidR="00F8570A" w:rsidRPr="00BD2023">
        <w:rPr>
          <w:b/>
          <w:bCs/>
          <w:sz w:val="22"/>
          <w:szCs w:val="22"/>
          <w:lang w:val="sr-Latn-ME"/>
        </w:rPr>
        <w:t>pakovanja</w:t>
      </w:r>
      <w:r w:rsidR="00C06864" w:rsidRPr="00BD2023">
        <w:rPr>
          <w:b/>
          <w:bCs/>
          <w:sz w:val="22"/>
          <w:szCs w:val="22"/>
          <w:lang w:val="sr-Latn-ME"/>
        </w:rPr>
        <w:t xml:space="preserve"> </w:t>
      </w:r>
    </w:p>
    <w:p w14:paraId="1BAB1045" w14:textId="77777777" w:rsidR="0072020E" w:rsidRPr="00BD2023" w:rsidRDefault="0072020E" w:rsidP="00480FB1">
      <w:pPr>
        <w:tabs>
          <w:tab w:val="left" w:pos="540"/>
          <w:tab w:val="left" w:pos="569"/>
        </w:tabs>
        <w:rPr>
          <w:bCs/>
          <w:sz w:val="22"/>
          <w:szCs w:val="22"/>
          <w:lang w:val="sr-Latn-ME"/>
        </w:rPr>
      </w:pPr>
    </w:p>
    <w:p w14:paraId="0C9BF49F" w14:textId="1000316C" w:rsidR="00F77D20" w:rsidRPr="00BD2023" w:rsidRDefault="00AE0F3E" w:rsidP="00F77D20">
      <w:pPr>
        <w:tabs>
          <w:tab w:val="left" w:pos="540"/>
          <w:tab w:val="left" w:pos="569"/>
        </w:tabs>
        <w:rPr>
          <w:bCs/>
          <w:sz w:val="22"/>
          <w:szCs w:val="22"/>
          <w:lang w:val="sr-Latn-ME"/>
        </w:rPr>
      </w:pPr>
      <w:r w:rsidRPr="00BD2023">
        <w:rPr>
          <w:bCs/>
          <w:sz w:val="22"/>
          <w:szCs w:val="22"/>
          <w:lang w:val="sr-Latn-ME"/>
        </w:rPr>
        <w:t>Boc</w:t>
      </w:r>
      <w:r w:rsidR="00F77D20" w:rsidRPr="00BD2023">
        <w:rPr>
          <w:bCs/>
          <w:sz w:val="22"/>
          <w:szCs w:val="22"/>
          <w:lang w:val="sr-Latn-ME"/>
        </w:rPr>
        <w:t>a od stakla tipa III boje ćilibara sa sigurnosnim zatvaračem</w:t>
      </w:r>
      <w:r w:rsidR="00FA73C7" w:rsidRPr="00BD2023">
        <w:rPr>
          <w:bCs/>
          <w:sz w:val="22"/>
          <w:szCs w:val="22"/>
          <w:lang w:val="sr-Latn-ME"/>
        </w:rPr>
        <w:t xml:space="preserve"> koji djeca ne mogu otvoriti</w:t>
      </w:r>
      <w:r w:rsidR="00F77D20" w:rsidRPr="00BD2023">
        <w:rPr>
          <w:bCs/>
          <w:sz w:val="22"/>
          <w:szCs w:val="22"/>
          <w:lang w:val="sr-Latn-ME"/>
        </w:rPr>
        <w:t>.</w:t>
      </w:r>
    </w:p>
    <w:p w14:paraId="56042B29" w14:textId="77777777" w:rsidR="00F77D20" w:rsidRPr="00BD2023" w:rsidRDefault="00F77D20" w:rsidP="00F77D20">
      <w:pPr>
        <w:tabs>
          <w:tab w:val="left" w:pos="540"/>
          <w:tab w:val="left" w:pos="569"/>
        </w:tabs>
        <w:rPr>
          <w:bCs/>
          <w:sz w:val="22"/>
          <w:szCs w:val="22"/>
          <w:lang w:val="sr-Latn-ME"/>
        </w:rPr>
      </w:pPr>
    </w:p>
    <w:p w14:paraId="78F8B4F5" w14:textId="09B58868" w:rsidR="00F77D20" w:rsidRPr="00BD2023" w:rsidRDefault="00F77D20" w:rsidP="00480FB1">
      <w:pPr>
        <w:tabs>
          <w:tab w:val="left" w:pos="540"/>
          <w:tab w:val="left" w:pos="569"/>
        </w:tabs>
        <w:rPr>
          <w:bCs/>
          <w:sz w:val="22"/>
          <w:szCs w:val="22"/>
          <w:lang w:val="sr-Latn-ME"/>
        </w:rPr>
      </w:pPr>
      <w:r w:rsidRPr="00BD2023">
        <w:rPr>
          <w:bCs/>
          <w:sz w:val="22"/>
          <w:szCs w:val="22"/>
          <w:lang w:val="sr-Latn-ME"/>
        </w:rPr>
        <w:t xml:space="preserve">Svaka kartonska kutija sadrži: jednu </w:t>
      </w:r>
      <w:r w:rsidR="00AE0F3E" w:rsidRPr="00BD2023">
        <w:rPr>
          <w:bCs/>
          <w:sz w:val="22"/>
          <w:szCs w:val="22"/>
          <w:lang w:val="sr-Latn-ME"/>
        </w:rPr>
        <w:t>boc</w:t>
      </w:r>
      <w:r w:rsidRPr="00BD2023">
        <w:rPr>
          <w:bCs/>
          <w:sz w:val="22"/>
          <w:szCs w:val="22"/>
          <w:lang w:val="sr-Latn-ME"/>
        </w:rPr>
        <w:t xml:space="preserve">u, jedan adapter za </w:t>
      </w:r>
      <w:r w:rsidR="00AE0F3E" w:rsidRPr="00BD2023">
        <w:rPr>
          <w:bCs/>
          <w:sz w:val="22"/>
          <w:szCs w:val="22"/>
          <w:lang w:val="sr-Latn-ME"/>
        </w:rPr>
        <w:t>boc</w:t>
      </w:r>
      <w:r w:rsidRPr="00BD2023">
        <w:rPr>
          <w:bCs/>
          <w:sz w:val="22"/>
          <w:szCs w:val="22"/>
          <w:lang w:val="sr-Latn-ME"/>
        </w:rPr>
        <w:t xml:space="preserve">u, dva šprica za višekratnu upotrebu od </w:t>
      </w:r>
      <w:r w:rsidR="00740B8C" w:rsidRPr="00BD2023">
        <w:rPr>
          <w:bCs/>
          <w:sz w:val="22"/>
          <w:szCs w:val="22"/>
          <w:lang w:val="sr-Latn-ME"/>
        </w:rPr>
        <w:t>1</w:t>
      </w:r>
      <w:r w:rsidRPr="00BD2023">
        <w:rPr>
          <w:bCs/>
          <w:sz w:val="22"/>
          <w:szCs w:val="22"/>
          <w:lang w:val="sr-Latn-ME"/>
        </w:rPr>
        <w:t xml:space="preserve"> </w:t>
      </w:r>
      <w:r w:rsidR="008C4153" w:rsidRPr="00BD2023">
        <w:rPr>
          <w:bCs/>
          <w:sz w:val="22"/>
          <w:szCs w:val="22"/>
          <w:lang w:val="sr-Latn-ME"/>
        </w:rPr>
        <w:t>ml</w:t>
      </w:r>
      <w:r w:rsidR="00740B8C" w:rsidRPr="00BD2023">
        <w:rPr>
          <w:bCs/>
          <w:sz w:val="22"/>
          <w:szCs w:val="22"/>
          <w:lang w:val="sr-Latn-ME"/>
        </w:rPr>
        <w:t>,</w:t>
      </w:r>
      <w:r w:rsidRPr="00BD2023">
        <w:rPr>
          <w:bCs/>
          <w:sz w:val="22"/>
          <w:szCs w:val="22"/>
          <w:lang w:val="sr-Latn-ME"/>
        </w:rPr>
        <w:t xml:space="preserve"> dva šprica za više</w:t>
      </w:r>
      <w:r w:rsidR="00FA73C7" w:rsidRPr="00BD2023">
        <w:rPr>
          <w:bCs/>
          <w:sz w:val="22"/>
          <w:szCs w:val="22"/>
          <w:lang w:val="sr-Latn-ME"/>
        </w:rPr>
        <w:t>kratnu</w:t>
      </w:r>
      <w:r w:rsidRPr="00BD2023">
        <w:rPr>
          <w:bCs/>
          <w:sz w:val="22"/>
          <w:szCs w:val="22"/>
          <w:lang w:val="sr-Latn-ME"/>
        </w:rPr>
        <w:t xml:space="preserve"> upotrebu od </w:t>
      </w:r>
      <w:r w:rsidR="00740B8C" w:rsidRPr="00BD2023">
        <w:rPr>
          <w:bCs/>
          <w:sz w:val="22"/>
          <w:szCs w:val="22"/>
          <w:lang w:val="sr-Latn-ME"/>
        </w:rPr>
        <w:t>6</w:t>
      </w:r>
      <w:r w:rsidRPr="00BD2023">
        <w:rPr>
          <w:bCs/>
          <w:sz w:val="22"/>
          <w:szCs w:val="22"/>
          <w:lang w:val="sr-Latn-ME"/>
        </w:rPr>
        <w:t xml:space="preserve"> </w:t>
      </w:r>
      <w:r w:rsidR="008C4153" w:rsidRPr="00BD2023">
        <w:rPr>
          <w:bCs/>
          <w:sz w:val="22"/>
          <w:szCs w:val="22"/>
          <w:lang w:val="sr-Latn-ME"/>
        </w:rPr>
        <w:t>ml</w:t>
      </w:r>
      <w:r w:rsidRPr="00BD2023">
        <w:rPr>
          <w:bCs/>
          <w:sz w:val="22"/>
          <w:szCs w:val="22"/>
          <w:lang w:val="sr-Latn-ME"/>
        </w:rPr>
        <w:t xml:space="preserve"> </w:t>
      </w:r>
      <w:r w:rsidR="00740B8C" w:rsidRPr="00BD2023">
        <w:rPr>
          <w:bCs/>
          <w:sz w:val="22"/>
          <w:szCs w:val="22"/>
          <w:lang w:val="sr-Latn-ME"/>
        </w:rPr>
        <w:t xml:space="preserve">i jedan špric za višekratnu upotrebu od 12 ml </w:t>
      </w:r>
      <w:r w:rsidRPr="00BD2023">
        <w:rPr>
          <w:bCs/>
          <w:sz w:val="22"/>
          <w:szCs w:val="22"/>
          <w:lang w:val="sr-Latn-ME"/>
        </w:rPr>
        <w:t xml:space="preserve">boje ćilibara, za oralnu </w:t>
      </w:r>
      <w:r w:rsidR="004A4441" w:rsidRPr="00BD2023">
        <w:rPr>
          <w:bCs/>
          <w:sz w:val="22"/>
          <w:szCs w:val="22"/>
          <w:lang w:val="sr-Latn-ME"/>
        </w:rPr>
        <w:t>primjen</w:t>
      </w:r>
      <w:r w:rsidRPr="00BD2023">
        <w:rPr>
          <w:bCs/>
          <w:sz w:val="22"/>
          <w:szCs w:val="22"/>
          <w:lang w:val="sr-Latn-ME"/>
        </w:rPr>
        <w:t xml:space="preserve">u. </w:t>
      </w:r>
    </w:p>
    <w:p w14:paraId="78431EE0" w14:textId="77777777" w:rsidR="00F77D20" w:rsidRPr="00BD2023" w:rsidRDefault="00F77D20" w:rsidP="00480FB1">
      <w:pPr>
        <w:tabs>
          <w:tab w:val="left" w:pos="540"/>
          <w:tab w:val="left" w:pos="569"/>
        </w:tabs>
        <w:rPr>
          <w:bCs/>
          <w:sz w:val="22"/>
          <w:szCs w:val="22"/>
          <w:lang w:val="sr-Latn-ME"/>
        </w:rPr>
      </w:pPr>
    </w:p>
    <w:p w14:paraId="42046B97" w14:textId="77777777" w:rsidR="002846DB" w:rsidRPr="00BD2023" w:rsidRDefault="0072020E" w:rsidP="00480FB1">
      <w:pPr>
        <w:tabs>
          <w:tab w:val="left" w:pos="540"/>
          <w:tab w:val="left" w:pos="569"/>
        </w:tabs>
        <w:rPr>
          <w:b/>
          <w:bCs/>
          <w:sz w:val="22"/>
          <w:szCs w:val="22"/>
          <w:lang w:val="sr-Latn-ME"/>
        </w:rPr>
      </w:pPr>
      <w:r w:rsidRPr="00BD2023">
        <w:rPr>
          <w:b/>
          <w:bCs/>
          <w:sz w:val="22"/>
          <w:szCs w:val="22"/>
          <w:lang w:val="sr-Latn-ME"/>
        </w:rPr>
        <w:t xml:space="preserve">6.6. </w:t>
      </w:r>
      <w:r w:rsidR="00480FB1" w:rsidRPr="00BD2023">
        <w:rPr>
          <w:b/>
          <w:bCs/>
          <w:sz w:val="22"/>
          <w:szCs w:val="22"/>
          <w:lang w:val="sr-Latn-ME"/>
        </w:rPr>
        <w:tab/>
      </w:r>
      <w:r w:rsidRPr="00BD2023">
        <w:rPr>
          <w:b/>
          <w:bCs/>
          <w:color w:val="000000"/>
          <w:sz w:val="22"/>
          <w:szCs w:val="22"/>
          <w:lang w:val="sr-Latn-ME"/>
        </w:rPr>
        <w:t>Posebne mjere opreza pri odlaganju materijala koji treba odbaciti nakon primjene lijeka</w:t>
      </w:r>
      <w:r w:rsidRPr="00BD2023">
        <w:rPr>
          <w:b/>
          <w:bCs/>
          <w:sz w:val="22"/>
          <w:szCs w:val="22"/>
          <w:lang w:val="sr-Latn-ME"/>
        </w:rPr>
        <w:t xml:space="preserve"> </w:t>
      </w:r>
      <w:r w:rsidR="00310F03" w:rsidRPr="00BD2023">
        <w:rPr>
          <w:b/>
          <w:bCs/>
          <w:sz w:val="22"/>
          <w:szCs w:val="22"/>
          <w:lang w:val="sr-Latn-ME"/>
        </w:rPr>
        <w:t>(i druga uputs</w:t>
      </w:r>
      <w:r w:rsidR="004109FA" w:rsidRPr="00BD2023">
        <w:rPr>
          <w:b/>
          <w:bCs/>
          <w:sz w:val="22"/>
          <w:szCs w:val="22"/>
          <w:lang w:val="sr-Latn-ME"/>
        </w:rPr>
        <w:t>t</w:t>
      </w:r>
      <w:r w:rsidR="00310F03" w:rsidRPr="00BD2023">
        <w:rPr>
          <w:b/>
          <w:bCs/>
          <w:sz w:val="22"/>
          <w:szCs w:val="22"/>
          <w:lang w:val="sr-Latn-ME"/>
        </w:rPr>
        <w:t xml:space="preserve">va za rukovanje lijekom) </w:t>
      </w:r>
    </w:p>
    <w:p w14:paraId="3EA04F34" w14:textId="77777777" w:rsidR="00B66A70" w:rsidRPr="00BD2023" w:rsidRDefault="00B66A70" w:rsidP="00480FB1">
      <w:pPr>
        <w:tabs>
          <w:tab w:val="left" w:pos="540"/>
          <w:tab w:val="left" w:pos="569"/>
        </w:tabs>
        <w:rPr>
          <w:b/>
          <w:bCs/>
          <w:sz w:val="22"/>
          <w:szCs w:val="22"/>
          <w:lang w:val="sr-Latn-ME"/>
        </w:rPr>
      </w:pPr>
    </w:p>
    <w:p w14:paraId="270B6572" w14:textId="7A44B6F8" w:rsidR="00F77D20" w:rsidRPr="00BD2023" w:rsidRDefault="00F77D20" w:rsidP="00F77D20">
      <w:pPr>
        <w:tabs>
          <w:tab w:val="left" w:pos="540"/>
          <w:tab w:val="left" w:pos="569"/>
        </w:tabs>
        <w:rPr>
          <w:bCs/>
          <w:sz w:val="22"/>
          <w:szCs w:val="22"/>
          <w:lang w:val="sr-Latn-ME"/>
        </w:rPr>
      </w:pPr>
      <w:r w:rsidRPr="00BD2023">
        <w:rPr>
          <w:bCs/>
          <w:sz w:val="22"/>
          <w:szCs w:val="22"/>
          <w:lang w:val="sr-Latn-ME"/>
        </w:rPr>
        <w:t>Pr</w:t>
      </w:r>
      <w:r w:rsidR="002A2448" w:rsidRPr="00BD2023">
        <w:rPr>
          <w:bCs/>
          <w:sz w:val="22"/>
          <w:szCs w:val="22"/>
          <w:lang w:val="sr-Latn-ME"/>
        </w:rPr>
        <w:t>ij</w:t>
      </w:r>
      <w:r w:rsidRPr="00BD2023">
        <w:rPr>
          <w:bCs/>
          <w:sz w:val="22"/>
          <w:szCs w:val="22"/>
          <w:lang w:val="sr-Latn-ME"/>
        </w:rPr>
        <w:t xml:space="preserve">e izdavanja, zdravstveni radnik (npr. farmaceut) mora </w:t>
      </w:r>
      <w:r w:rsidR="000F350A" w:rsidRPr="00BD2023">
        <w:rPr>
          <w:bCs/>
          <w:sz w:val="22"/>
          <w:szCs w:val="22"/>
          <w:lang w:val="sr-Latn-ME"/>
        </w:rPr>
        <w:t>rekonstituisati</w:t>
      </w:r>
      <w:r w:rsidRPr="00BD2023">
        <w:rPr>
          <w:bCs/>
          <w:sz w:val="22"/>
          <w:szCs w:val="22"/>
          <w:lang w:val="sr-Latn-ME"/>
        </w:rPr>
        <w:t xml:space="preserve"> </w:t>
      </w:r>
      <w:r w:rsidR="00FA73C7" w:rsidRPr="00BD2023">
        <w:rPr>
          <w:bCs/>
          <w:sz w:val="22"/>
          <w:szCs w:val="22"/>
          <w:lang w:val="sr-Latn-ME"/>
        </w:rPr>
        <w:t xml:space="preserve">prašak lijeka Evrysdi u </w:t>
      </w:r>
      <w:r w:rsidRPr="00BD2023">
        <w:rPr>
          <w:bCs/>
          <w:sz w:val="22"/>
          <w:szCs w:val="22"/>
          <w:lang w:val="sr-Latn-ME"/>
        </w:rPr>
        <w:t xml:space="preserve">oralni rastvor. </w:t>
      </w:r>
    </w:p>
    <w:p w14:paraId="7B3F7AEF" w14:textId="77777777" w:rsidR="00F77D20" w:rsidRPr="00BD2023" w:rsidRDefault="00F77D20" w:rsidP="00F77D20">
      <w:pPr>
        <w:tabs>
          <w:tab w:val="left" w:pos="540"/>
          <w:tab w:val="left" w:pos="569"/>
        </w:tabs>
        <w:rPr>
          <w:bCs/>
          <w:sz w:val="22"/>
          <w:szCs w:val="22"/>
          <w:lang w:val="sr-Latn-ME"/>
        </w:rPr>
      </w:pPr>
    </w:p>
    <w:p w14:paraId="4D5C2FB0" w14:textId="77777777" w:rsidR="00F77D20" w:rsidRPr="00BD2023" w:rsidRDefault="00F77D20" w:rsidP="00F77D20">
      <w:pPr>
        <w:tabs>
          <w:tab w:val="left" w:pos="540"/>
          <w:tab w:val="left" w:pos="569"/>
        </w:tabs>
        <w:rPr>
          <w:bCs/>
          <w:i/>
          <w:sz w:val="22"/>
          <w:szCs w:val="22"/>
          <w:lang w:val="sr-Latn-ME"/>
        </w:rPr>
      </w:pPr>
      <w:r w:rsidRPr="00BD2023">
        <w:rPr>
          <w:bCs/>
          <w:sz w:val="22"/>
          <w:szCs w:val="22"/>
          <w:u w:val="single"/>
          <w:lang w:val="sr-Latn-ME"/>
        </w:rPr>
        <w:t>Priprema</w:t>
      </w:r>
    </w:p>
    <w:p w14:paraId="649E5F5B" w14:textId="77777777" w:rsidR="00F77D20" w:rsidRPr="00BD2023" w:rsidRDefault="00F77D20" w:rsidP="00F77D20">
      <w:pPr>
        <w:tabs>
          <w:tab w:val="left" w:pos="540"/>
          <w:tab w:val="left" w:pos="569"/>
        </w:tabs>
        <w:rPr>
          <w:bCs/>
          <w:sz w:val="22"/>
          <w:szCs w:val="22"/>
          <w:lang w:val="sr-Latn-ME"/>
        </w:rPr>
      </w:pPr>
    </w:p>
    <w:p w14:paraId="2ABD1FE5" w14:textId="05FA5DAD" w:rsidR="00F77D20" w:rsidRPr="00BD2023" w:rsidRDefault="00F77D20" w:rsidP="00F77D20">
      <w:pPr>
        <w:tabs>
          <w:tab w:val="left" w:pos="540"/>
          <w:tab w:val="left" w:pos="569"/>
        </w:tabs>
        <w:rPr>
          <w:bCs/>
          <w:sz w:val="22"/>
          <w:szCs w:val="22"/>
          <w:lang w:val="sr-Latn-ME"/>
        </w:rPr>
      </w:pPr>
      <w:r w:rsidRPr="00BD2023">
        <w:rPr>
          <w:bCs/>
          <w:sz w:val="22"/>
          <w:szCs w:val="22"/>
          <w:lang w:val="sr-Latn-ME"/>
        </w:rPr>
        <w:t xml:space="preserve">Pri rukovanju </w:t>
      </w:r>
      <w:r w:rsidR="00FA73C7" w:rsidRPr="00BD2023">
        <w:rPr>
          <w:bCs/>
          <w:sz w:val="22"/>
          <w:szCs w:val="22"/>
          <w:lang w:val="sr-Latn-ME"/>
        </w:rPr>
        <w:t xml:space="preserve">Evrysdi </w:t>
      </w:r>
      <w:r w:rsidRPr="00BD2023">
        <w:rPr>
          <w:bCs/>
          <w:sz w:val="22"/>
          <w:szCs w:val="22"/>
          <w:lang w:val="sr-Latn-ME"/>
        </w:rPr>
        <w:t>praškom za oralni rastvor neophodno je postupati pažljivo (</w:t>
      </w:r>
      <w:r w:rsidR="005D411F" w:rsidRPr="00BD2023">
        <w:rPr>
          <w:bCs/>
          <w:sz w:val="22"/>
          <w:szCs w:val="22"/>
          <w:lang w:val="sr-Latn-ME"/>
        </w:rPr>
        <w:t>vidjeti</w:t>
      </w:r>
      <w:r w:rsidRPr="00BD2023">
        <w:rPr>
          <w:bCs/>
          <w:sz w:val="22"/>
          <w:szCs w:val="22"/>
          <w:lang w:val="sr-Latn-ME"/>
        </w:rPr>
        <w:t xml:space="preserve"> </w:t>
      </w:r>
      <w:r w:rsidR="00A76607" w:rsidRPr="00BD2023">
        <w:rPr>
          <w:bCs/>
          <w:sz w:val="22"/>
          <w:szCs w:val="22"/>
          <w:lang w:val="sr-Latn-ME"/>
        </w:rPr>
        <w:t xml:space="preserve">dio </w:t>
      </w:r>
      <w:r w:rsidRPr="00BD2023">
        <w:rPr>
          <w:bCs/>
          <w:sz w:val="22"/>
          <w:szCs w:val="22"/>
          <w:lang w:val="sr-Latn-ME"/>
        </w:rPr>
        <w:t xml:space="preserve">4.4). </w:t>
      </w:r>
      <w:r w:rsidR="005B5F0A" w:rsidRPr="00BD2023">
        <w:rPr>
          <w:bCs/>
          <w:sz w:val="22"/>
          <w:szCs w:val="22"/>
          <w:lang w:val="sr-Latn-ME"/>
        </w:rPr>
        <w:t>Izbjegavaj</w:t>
      </w:r>
      <w:r w:rsidRPr="00BD2023">
        <w:rPr>
          <w:bCs/>
          <w:sz w:val="22"/>
          <w:szCs w:val="22"/>
          <w:lang w:val="sr-Latn-ME"/>
        </w:rPr>
        <w:t xml:space="preserve">te udisanje suvog praška i </w:t>
      </w:r>
      <w:r w:rsidR="00FA73C7" w:rsidRPr="00BD2023">
        <w:rPr>
          <w:bCs/>
          <w:sz w:val="22"/>
          <w:szCs w:val="22"/>
          <w:lang w:val="sr-Latn-ME"/>
        </w:rPr>
        <w:t>rekonstituisanog</w:t>
      </w:r>
      <w:r w:rsidRPr="00BD2023">
        <w:rPr>
          <w:bCs/>
          <w:sz w:val="22"/>
          <w:szCs w:val="22"/>
          <w:lang w:val="sr-Latn-ME"/>
        </w:rPr>
        <w:t xml:space="preserve"> rastvora i njihov direktni kontakt sa kožom ili sluzokožom.</w:t>
      </w:r>
    </w:p>
    <w:p w14:paraId="347D5501" w14:textId="77777777" w:rsidR="00F77D20" w:rsidRPr="00BD2023" w:rsidRDefault="00F77D20" w:rsidP="00F77D20">
      <w:pPr>
        <w:tabs>
          <w:tab w:val="left" w:pos="540"/>
          <w:tab w:val="left" w:pos="569"/>
        </w:tabs>
        <w:rPr>
          <w:bCs/>
          <w:sz w:val="22"/>
          <w:szCs w:val="22"/>
          <w:lang w:val="sr-Latn-ME"/>
        </w:rPr>
      </w:pPr>
    </w:p>
    <w:p w14:paraId="4732E5C6" w14:textId="2F508950" w:rsidR="00F77D20" w:rsidRPr="00BD2023" w:rsidRDefault="00F77D20" w:rsidP="00F77D20">
      <w:pPr>
        <w:tabs>
          <w:tab w:val="left" w:pos="540"/>
          <w:tab w:val="left" w:pos="569"/>
        </w:tabs>
        <w:rPr>
          <w:bCs/>
          <w:sz w:val="22"/>
          <w:szCs w:val="22"/>
          <w:lang w:val="sr-Latn-ME"/>
        </w:rPr>
      </w:pPr>
      <w:r w:rsidRPr="00BD2023">
        <w:rPr>
          <w:bCs/>
          <w:sz w:val="22"/>
          <w:szCs w:val="22"/>
          <w:lang w:val="sr-Latn-ME"/>
        </w:rPr>
        <w:t xml:space="preserve">Nosite rukavice za jednokratnu upotrebu tokom rekonstituisanja i brisanja spoljnjeg </w:t>
      </w:r>
      <w:r w:rsidR="00B744E8" w:rsidRPr="00BD2023">
        <w:rPr>
          <w:bCs/>
          <w:sz w:val="22"/>
          <w:szCs w:val="22"/>
          <w:lang w:val="sr-Latn-ME"/>
        </w:rPr>
        <w:t>dijela</w:t>
      </w:r>
      <w:r w:rsidRPr="00BD2023">
        <w:rPr>
          <w:bCs/>
          <w:sz w:val="22"/>
          <w:szCs w:val="22"/>
          <w:lang w:val="sr-Latn-ME"/>
        </w:rPr>
        <w:t xml:space="preserve"> </w:t>
      </w:r>
      <w:r w:rsidR="00AE0F3E" w:rsidRPr="00BD2023">
        <w:rPr>
          <w:bCs/>
          <w:sz w:val="22"/>
          <w:szCs w:val="22"/>
          <w:lang w:val="sr-Latn-ME"/>
        </w:rPr>
        <w:t>boc</w:t>
      </w:r>
      <w:r w:rsidRPr="00BD2023">
        <w:rPr>
          <w:bCs/>
          <w:sz w:val="22"/>
          <w:szCs w:val="22"/>
          <w:lang w:val="sr-Latn-ME"/>
        </w:rPr>
        <w:t>e/zatvarača i čišćenja radne površine nakon rekonstituisanja. U slučaju kontakta</w:t>
      </w:r>
      <w:r w:rsidR="002A0CDF" w:rsidRPr="00BD2023">
        <w:rPr>
          <w:bCs/>
          <w:sz w:val="22"/>
          <w:szCs w:val="22"/>
          <w:lang w:val="sr-Latn-ME"/>
        </w:rPr>
        <w:t xml:space="preserve"> sa lijekom</w:t>
      </w:r>
      <w:r w:rsidRPr="00BD2023">
        <w:rPr>
          <w:bCs/>
          <w:sz w:val="22"/>
          <w:szCs w:val="22"/>
          <w:lang w:val="sr-Latn-ME"/>
        </w:rPr>
        <w:t xml:space="preserve">, dobro isperite </w:t>
      </w:r>
      <w:r w:rsidR="002A0CDF" w:rsidRPr="00BD2023">
        <w:rPr>
          <w:bCs/>
          <w:sz w:val="22"/>
          <w:szCs w:val="22"/>
          <w:lang w:val="sr-Latn-ME"/>
        </w:rPr>
        <w:t xml:space="preserve">zahvaćeno područje </w:t>
      </w:r>
      <w:r w:rsidRPr="00BD2023">
        <w:rPr>
          <w:bCs/>
          <w:sz w:val="22"/>
          <w:szCs w:val="22"/>
          <w:lang w:val="sr-Latn-ME"/>
        </w:rPr>
        <w:t xml:space="preserve">sapunom i vodom, a oči isperite vodom. </w:t>
      </w:r>
    </w:p>
    <w:p w14:paraId="06A5B1AD" w14:textId="77777777" w:rsidR="00F77D20" w:rsidRPr="00BD2023" w:rsidRDefault="00F77D20" w:rsidP="00F77D20">
      <w:pPr>
        <w:tabs>
          <w:tab w:val="left" w:pos="540"/>
          <w:tab w:val="left" w:pos="569"/>
        </w:tabs>
        <w:rPr>
          <w:bCs/>
          <w:i/>
          <w:sz w:val="22"/>
          <w:szCs w:val="22"/>
          <w:lang w:val="sr-Latn-ME"/>
        </w:rPr>
      </w:pPr>
    </w:p>
    <w:p w14:paraId="1D9DFE09" w14:textId="26E100BA" w:rsidR="00F77D20" w:rsidRPr="00BD2023" w:rsidRDefault="00F77D20" w:rsidP="00F77D20">
      <w:pPr>
        <w:tabs>
          <w:tab w:val="left" w:pos="540"/>
          <w:tab w:val="left" w:pos="569"/>
        </w:tabs>
        <w:rPr>
          <w:bCs/>
          <w:i/>
          <w:sz w:val="22"/>
          <w:szCs w:val="22"/>
          <w:lang w:val="sr-Latn-ME"/>
        </w:rPr>
      </w:pPr>
      <w:r w:rsidRPr="00BD2023">
        <w:rPr>
          <w:bCs/>
          <w:i/>
          <w:iCs/>
          <w:sz w:val="22"/>
          <w:szCs w:val="22"/>
          <w:lang w:val="sr-Latn-ME"/>
        </w:rPr>
        <w:t xml:space="preserve">Uputstva za </w:t>
      </w:r>
      <w:r w:rsidR="00CA44C1" w:rsidRPr="00BD2023">
        <w:rPr>
          <w:bCs/>
          <w:i/>
          <w:iCs/>
          <w:sz w:val="22"/>
          <w:szCs w:val="22"/>
          <w:lang w:val="sr-Latn-ME"/>
        </w:rPr>
        <w:t>rekonstituciju</w:t>
      </w:r>
      <w:r w:rsidRPr="00BD2023">
        <w:rPr>
          <w:bCs/>
          <w:i/>
          <w:iCs/>
          <w:sz w:val="22"/>
          <w:szCs w:val="22"/>
          <w:lang w:val="sr-Latn-ME"/>
        </w:rPr>
        <w:t>:</w:t>
      </w:r>
    </w:p>
    <w:p w14:paraId="51275DFC" w14:textId="77777777" w:rsidR="00F77D20" w:rsidRPr="00BD2023" w:rsidRDefault="00F77D20" w:rsidP="00F77D20">
      <w:pPr>
        <w:tabs>
          <w:tab w:val="left" w:pos="540"/>
          <w:tab w:val="left" w:pos="569"/>
        </w:tabs>
        <w:rPr>
          <w:bCs/>
          <w:i/>
          <w:sz w:val="22"/>
          <w:szCs w:val="22"/>
          <w:lang w:val="sr-Latn-ME"/>
        </w:rPr>
      </w:pPr>
    </w:p>
    <w:p w14:paraId="6E4D67A8" w14:textId="71D69241" w:rsidR="00F77D20" w:rsidRPr="00BD2023" w:rsidRDefault="00F77D20" w:rsidP="00F77D20">
      <w:pPr>
        <w:tabs>
          <w:tab w:val="left" w:pos="540"/>
          <w:tab w:val="left" w:pos="569"/>
        </w:tabs>
        <w:rPr>
          <w:bCs/>
          <w:sz w:val="22"/>
          <w:szCs w:val="22"/>
          <w:lang w:val="sr-Latn-ME"/>
        </w:rPr>
      </w:pPr>
      <w:r w:rsidRPr="00BD2023">
        <w:rPr>
          <w:bCs/>
          <w:sz w:val="22"/>
          <w:szCs w:val="22"/>
          <w:lang w:val="sr-Latn-ME"/>
        </w:rPr>
        <w:t>1.</w:t>
      </w:r>
      <w:r w:rsidRPr="00BD2023">
        <w:rPr>
          <w:bCs/>
          <w:sz w:val="22"/>
          <w:szCs w:val="22"/>
          <w:lang w:val="sr-Latn-ME"/>
        </w:rPr>
        <w:tab/>
        <w:t xml:space="preserve">Pažljivo lupnite </w:t>
      </w:r>
      <w:r w:rsidR="002A0CDF" w:rsidRPr="00BD2023">
        <w:rPr>
          <w:bCs/>
          <w:sz w:val="22"/>
          <w:szCs w:val="22"/>
          <w:lang w:val="sr-Latn-ME"/>
        </w:rPr>
        <w:t xml:space="preserve">o </w:t>
      </w:r>
      <w:r w:rsidRPr="00BD2023">
        <w:rPr>
          <w:bCs/>
          <w:sz w:val="22"/>
          <w:szCs w:val="22"/>
          <w:lang w:val="sr-Latn-ME"/>
        </w:rPr>
        <w:t xml:space="preserve">dno zatvorene staklene </w:t>
      </w:r>
      <w:r w:rsidR="00AE0F3E" w:rsidRPr="00BD2023">
        <w:rPr>
          <w:bCs/>
          <w:sz w:val="22"/>
          <w:szCs w:val="22"/>
          <w:lang w:val="sr-Latn-ME"/>
        </w:rPr>
        <w:t>boc</w:t>
      </w:r>
      <w:r w:rsidRPr="00BD2023">
        <w:rPr>
          <w:bCs/>
          <w:sz w:val="22"/>
          <w:szCs w:val="22"/>
          <w:lang w:val="sr-Latn-ME"/>
        </w:rPr>
        <w:t>e kako biste rastresli prašak.</w:t>
      </w:r>
    </w:p>
    <w:p w14:paraId="2A8E9371" w14:textId="77777777" w:rsidR="00F77D20" w:rsidRPr="00BD2023" w:rsidRDefault="00F77D20" w:rsidP="00F77D20">
      <w:pPr>
        <w:tabs>
          <w:tab w:val="left" w:pos="540"/>
          <w:tab w:val="left" w:pos="569"/>
        </w:tabs>
        <w:rPr>
          <w:bCs/>
          <w:sz w:val="22"/>
          <w:szCs w:val="22"/>
          <w:lang w:val="sr-Latn-ME"/>
        </w:rPr>
      </w:pPr>
      <w:r w:rsidRPr="00BD2023">
        <w:rPr>
          <w:bCs/>
          <w:sz w:val="22"/>
          <w:szCs w:val="22"/>
          <w:lang w:val="sr-Latn-ME"/>
        </w:rPr>
        <w:lastRenderedPageBreak/>
        <w:t>2.</w:t>
      </w:r>
      <w:r w:rsidRPr="00BD2023">
        <w:rPr>
          <w:bCs/>
          <w:sz w:val="22"/>
          <w:szCs w:val="22"/>
          <w:lang w:val="sr-Latn-ME"/>
        </w:rPr>
        <w:tab/>
        <w:t>Uklonite zaštitni poklopac. Ne bacajte zaštitni poklopac.</w:t>
      </w:r>
    </w:p>
    <w:p w14:paraId="3ABB0FD2" w14:textId="658A1F50" w:rsidR="00F77D20" w:rsidRPr="00BD2023" w:rsidRDefault="00F77D20" w:rsidP="00FA0989">
      <w:pPr>
        <w:tabs>
          <w:tab w:val="left" w:pos="540"/>
          <w:tab w:val="left" w:pos="569"/>
        </w:tabs>
        <w:ind w:left="540" w:hanging="540"/>
        <w:rPr>
          <w:bCs/>
          <w:sz w:val="22"/>
          <w:szCs w:val="22"/>
          <w:lang w:val="sr-Latn-ME"/>
        </w:rPr>
      </w:pPr>
      <w:r w:rsidRPr="00BD2023">
        <w:rPr>
          <w:bCs/>
          <w:sz w:val="22"/>
          <w:szCs w:val="22"/>
          <w:lang w:val="sr-Latn-ME"/>
        </w:rPr>
        <w:t>3.</w:t>
      </w:r>
      <w:r w:rsidRPr="00BD2023">
        <w:rPr>
          <w:bCs/>
          <w:sz w:val="22"/>
          <w:szCs w:val="22"/>
          <w:lang w:val="sr-Latn-ME"/>
        </w:rPr>
        <w:tab/>
        <w:t>Pažljivo sipajte 79 </w:t>
      </w:r>
      <w:r w:rsidR="008C4153" w:rsidRPr="00BD2023">
        <w:rPr>
          <w:bCs/>
          <w:sz w:val="22"/>
          <w:szCs w:val="22"/>
          <w:lang w:val="sr-Latn-ME"/>
        </w:rPr>
        <w:t>ml</w:t>
      </w:r>
      <w:r w:rsidRPr="00BD2023">
        <w:rPr>
          <w:bCs/>
          <w:sz w:val="22"/>
          <w:szCs w:val="22"/>
          <w:lang w:val="sr-Latn-ME"/>
        </w:rPr>
        <w:t xml:space="preserve"> prečišćene vode ili vode za injekcije u </w:t>
      </w:r>
      <w:r w:rsidR="00AE0F3E" w:rsidRPr="00BD2023">
        <w:rPr>
          <w:bCs/>
          <w:sz w:val="22"/>
          <w:szCs w:val="22"/>
          <w:lang w:val="sr-Latn-ME"/>
        </w:rPr>
        <w:t>boc</w:t>
      </w:r>
      <w:r w:rsidRPr="00BD2023">
        <w:rPr>
          <w:bCs/>
          <w:sz w:val="22"/>
          <w:szCs w:val="22"/>
          <w:lang w:val="sr-Latn-ME"/>
        </w:rPr>
        <w:t xml:space="preserve">u </w:t>
      </w:r>
      <w:r w:rsidR="007E5CF0" w:rsidRPr="00BD2023">
        <w:rPr>
          <w:bCs/>
          <w:sz w:val="22"/>
          <w:szCs w:val="22"/>
          <w:lang w:val="sr-Latn-ME"/>
        </w:rPr>
        <w:t>lijek</w:t>
      </w:r>
      <w:r w:rsidRPr="00BD2023">
        <w:rPr>
          <w:bCs/>
          <w:sz w:val="22"/>
          <w:szCs w:val="22"/>
          <w:lang w:val="sr-Latn-ME"/>
        </w:rPr>
        <w:t>a Evrysdi kako biste dobili</w:t>
      </w:r>
      <w:r w:rsidR="000F350A" w:rsidRPr="00BD2023">
        <w:rPr>
          <w:bCs/>
          <w:sz w:val="22"/>
          <w:szCs w:val="22"/>
          <w:lang w:val="sr-Latn-ME"/>
        </w:rPr>
        <w:t xml:space="preserve"> oralni rastvor koncentracije</w:t>
      </w:r>
      <w:r w:rsidRPr="00BD2023">
        <w:rPr>
          <w:bCs/>
          <w:sz w:val="22"/>
          <w:szCs w:val="22"/>
          <w:lang w:val="sr-Latn-ME"/>
        </w:rPr>
        <w:t xml:space="preserve"> 0,75 mg/</w:t>
      </w:r>
      <w:r w:rsidR="008C4153" w:rsidRPr="00BD2023">
        <w:rPr>
          <w:bCs/>
          <w:sz w:val="22"/>
          <w:szCs w:val="22"/>
          <w:lang w:val="sr-Latn-ME"/>
        </w:rPr>
        <w:t>ml</w:t>
      </w:r>
      <w:r w:rsidRPr="00BD2023">
        <w:rPr>
          <w:bCs/>
          <w:sz w:val="22"/>
          <w:szCs w:val="22"/>
          <w:lang w:val="sr-Latn-ME"/>
        </w:rPr>
        <w:t xml:space="preserve">. </w:t>
      </w:r>
    </w:p>
    <w:p w14:paraId="355AC6DA" w14:textId="6B5156DA" w:rsidR="00F77D20" w:rsidRPr="00BD2023" w:rsidRDefault="00F77D20" w:rsidP="00FA0989">
      <w:pPr>
        <w:tabs>
          <w:tab w:val="left" w:pos="540"/>
          <w:tab w:val="left" w:pos="569"/>
        </w:tabs>
        <w:ind w:left="540" w:hanging="540"/>
        <w:rPr>
          <w:bCs/>
          <w:sz w:val="22"/>
          <w:szCs w:val="22"/>
          <w:lang w:val="sr-Latn-ME"/>
        </w:rPr>
      </w:pPr>
      <w:r w:rsidRPr="00BD2023">
        <w:rPr>
          <w:bCs/>
          <w:sz w:val="22"/>
          <w:szCs w:val="22"/>
          <w:lang w:val="sr-Latn-ME"/>
        </w:rPr>
        <w:t>4.</w:t>
      </w:r>
      <w:r w:rsidRPr="00BD2023">
        <w:rPr>
          <w:bCs/>
          <w:sz w:val="22"/>
          <w:szCs w:val="22"/>
          <w:lang w:val="sr-Latn-ME"/>
        </w:rPr>
        <w:tab/>
        <w:t xml:space="preserve">Držite </w:t>
      </w:r>
      <w:r w:rsidR="00AE0F3E" w:rsidRPr="00BD2023">
        <w:rPr>
          <w:bCs/>
          <w:sz w:val="22"/>
          <w:szCs w:val="22"/>
          <w:lang w:val="sr-Latn-ME"/>
        </w:rPr>
        <w:t>boc</w:t>
      </w:r>
      <w:r w:rsidRPr="00BD2023">
        <w:rPr>
          <w:bCs/>
          <w:sz w:val="22"/>
          <w:szCs w:val="22"/>
          <w:lang w:val="sr-Latn-ME"/>
        </w:rPr>
        <w:t xml:space="preserve">u sa </w:t>
      </w:r>
      <w:r w:rsidR="007E5CF0" w:rsidRPr="00BD2023">
        <w:rPr>
          <w:bCs/>
          <w:sz w:val="22"/>
          <w:szCs w:val="22"/>
          <w:lang w:val="sr-Latn-ME"/>
        </w:rPr>
        <w:t>lijek</w:t>
      </w:r>
      <w:r w:rsidRPr="00BD2023">
        <w:rPr>
          <w:bCs/>
          <w:sz w:val="22"/>
          <w:szCs w:val="22"/>
          <w:lang w:val="sr-Latn-ME"/>
        </w:rPr>
        <w:t xml:space="preserve">om na stolu jednom rukom. Ubacite adapter za </w:t>
      </w:r>
      <w:r w:rsidR="00AE0F3E" w:rsidRPr="00BD2023">
        <w:rPr>
          <w:bCs/>
          <w:sz w:val="22"/>
          <w:szCs w:val="22"/>
          <w:lang w:val="sr-Latn-ME"/>
        </w:rPr>
        <w:t>boc</w:t>
      </w:r>
      <w:r w:rsidRPr="00BD2023">
        <w:rPr>
          <w:bCs/>
          <w:sz w:val="22"/>
          <w:szCs w:val="22"/>
          <w:lang w:val="sr-Latn-ME"/>
        </w:rPr>
        <w:t xml:space="preserve">e u otvor tako što ćete ga gurnuti </w:t>
      </w:r>
      <w:r w:rsidR="000956D5" w:rsidRPr="00BD2023">
        <w:rPr>
          <w:bCs/>
          <w:sz w:val="22"/>
          <w:szCs w:val="22"/>
          <w:lang w:val="sr-Latn-ME"/>
        </w:rPr>
        <w:t>nadolje</w:t>
      </w:r>
      <w:r w:rsidRPr="00BD2023">
        <w:rPr>
          <w:bCs/>
          <w:sz w:val="22"/>
          <w:szCs w:val="22"/>
          <w:lang w:val="sr-Latn-ME"/>
        </w:rPr>
        <w:t xml:space="preserve"> drugom rukom. Prov</w:t>
      </w:r>
      <w:r w:rsidR="002A0CDF" w:rsidRPr="00BD2023">
        <w:rPr>
          <w:bCs/>
          <w:sz w:val="22"/>
          <w:szCs w:val="22"/>
          <w:lang w:val="sr-Latn-ME"/>
        </w:rPr>
        <w:t>j</w:t>
      </w:r>
      <w:r w:rsidRPr="00BD2023">
        <w:rPr>
          <w:bCs/>
          <w:sz w:val="22"/>
          <w:szCs w:val="22"/>
          <w:lang w:val="sr-Latn-ME"/>
        </w:rPr>
        <w:t xml:space="preserve">erite da li je adapter dobro postavljen na grlo </w:t>
      </w:r>
      <w:r w:rsidR="00AE0F3E" w:rsidRPr="00BD2023">
        <w:rPr>
          <w:bCs/>
          <w:sz w:val="22"/>
          <w:szCs w:val="22"/>
          <w:lang w:val="sr-Latn-ME"/>
        </w:rPr>
        <w:t>boc</w:t>
      </w:r>
      <w:r w:rsidRPr="00BD2023">
        <w:rPr>
          <w:bCs/>
          <w:sz w:val="22"/>
          <w:szCs w:val="22"/>
          <w:lang w:val="sr-Latn-ME"/>
        </w:rPr>
        <w:t>e.</w:t>
      </w:r>
    </w:p>
    <w:p w14:paraId="768B71AF" w14:textId="73190A35" w:rsidR="00F77D20" w:rsidRPr="00BD2023" w:rsidRDefault="00F77D20" w:rsidP="00FA0989">
      <w:pPr>
        <w:tabs>
          <w:tab w:val="left" w:pos="540"/>
          <w:tab w:val="left" w:pos="569"/>
        </w:tabs>
        <w:ind w:left="540" w:hanging="540"/>
        <w:rPr>
          <w:bCs/>
          <w:sz w:val="22"/>
          <w:szCs w:val="22"/>
          <w:lang w:val="sr-Latn-ME"/>
        </w:rPr>
      </w:pPr>
      <w:r w:rsidRPr="00BD2023">
        <w:rPr>
          <w:bCs/>
          <w:sz w:val="22"/>
          <w:szCs w:val="22"/>
          <w:lang w:val="sr-Latn-ME"/>
        </w:rPr>
        <w:t>5.</w:t>
      </w:r>
      <w:r w:rsidRPr="00BD2023">
        <w:rPr>
          <w:bCs/>
          <w:sz w:val="22"/>
          <w:szCs w:val="22"/>
          <w:lang w:val="sr-Latn-ME"/>
        </w:rPr>
        <w:tab/>
        <w:t xml:space="preserve">Vratite zaštitni poklopac na </w:t>
      </w:r>
      <w:r w:rsidR="00AE0F3E" w:rsidRPr="00BD2023">
        <w:rPr>
          <w:bCs/>
          <w:sz w:val="22"/>
          <w:szCs w:val="22"/>
          <w:lang w:val="sr-Latn-ME"/>
        </w:rPr>
        <w:t>boc</w:t>
      </w:r>
      <w:r w:rsidRPr="00BD2023">
        <w:rPr>
          <w:bCs/>
          <w:sz w:val="22"/>
          <w:szCs w:val="22"/>
          <w:lang w:val="sr-Latn-ME"/>
        </w:rPr>
        <w:t xml:space="preserve">u i dobro zatvorite </w:t>
      </w:r>
      <w:r w:rsidR="00AE0F3E" w:rsidRPr="00BD2023">
        <w:rPr>
          <w:bCs/>
          <w:sz w:val="22"/>
          <w:szCs w:val="22"/>
          <w:lang w:val="sr-Latn-ME"/>
        </w:rPr>
        <w:t>boc</w:t>
      </w:r>
      <w:r w:rsidRPr="00BD2023">
        <w:rPr>
          <w:bCs/>
          <w:sz w:val="22"/>
          <w:szCs w:val="22"/>
          <w:lang w:val="sr-Latn-ME"/>
        </w:rPr>
        <w:t>u. Prov</w:t>
      </w:r>
      <w:r w:rsidR="002A0CDF" w:rsidRPr="00BD2023">
        <w:rPr>
          <w:bCs/>
          <w:sz w:val="22"/>
          <w:szCs w:val="22"/>
          <w:lang w:val="sr-Latn-ME"/>
        </w:rPr>
        <w:t>j</w:t>
      </w:r>
      <w:r w:rsidRPr="00BD2023">
        <w:rPr>
          <w:bCs/>
          <w:sz w:val="22"/>
          <w:szCs w:val="22"/>
          <w:lang w:val="sr-Latn-ME"/>
        </w:rPr>
        <w:t xml:space="preserve">erite da li je </w:t>
      </w:r>
      <w:r w:rsidR="002A0CDF" w:rsidRPr="00BD2023">
        <w:rPr>
          <w:bCs/>
          <w:sz w:val="22"/>
          <w:szCs w:val="22"/>
          <w:lang w:val="sr-Latn-ME"/>
        </w:rPr>
        <w:t xml:space="preserve">boca </w:t>
      </w:r>
      <w:r w:rsidRPr="00BD2023">
        <w:rPr>
          <w:bCs/>
          <w:sz w:val="22"/>
          <w:szCs w:val="22"/>
          <w:lang w:val="sr-Latn-ME"/>
        </w:rPr>
        <w:t xml:space="preserve">sasvim zatvorena i onda je dobro promućkajte tokom 15 sekundi. Sačekajte 10 minuta. Trebalo bi da dobijete bistar rastvor. Nakon toga ponovo dobro mućkajte </w:t>
      </w:r>
      <w:r w:rsidR="00AE0F3E" w:rsidRPr="00BD2023">
        <w:rPr>
          <w:bCs/>
          <w:sz w:val="22"/>
          <w:szCs w:val="22"/>
          <w:lang w:val="sr-Latn-ME"/>
        </w:rPr>
        <w:t>boc</w:t>
      </w:r>
      <w:r w:rsidRPr="00BD2023">
        <w:rPr>
          <w:bCs/>
          <w:sz w:val="22"/>
          <w:szCs w:val="22"/>
          <w:lang w:val="sr-Latn-ME"/>
        </w:rPr>
        <w:t xml:space="preserve">u još 15 sekundi. </w:t>
      </w:r>
    </w:p>
    <w:p w14:paraId="5E953445" w14:textId="27773D7A" w:rsidR="00F77D20" w:rsidRPr="00BD2023" w:rsidRDefault="00F77D20" w:rsidP="00FA0989">
      <w:pPr>
        <w:tabs>
          <w:tab w:val="left" w:pos="540"/>
          <w:tab w:val="left" w:pos="569"/>
        </w:tabs>
        <w:ind w:left="540" w:hanging="540"/>
        <w:rPr>
          <w:bCs/>
          <w:sz w:val="22"/>
          <w:szCs w:val="22"/>
          <w:lang w:val="sr-Latn-ME"/>
        </w:rPr>
      </w:pPr>
      <w:r w:rsidRPr="00BD2023">
        <w:rPr>
          <w:bCs/>
          <w:sz w:val="22"/>
          <w:szCs w:val="22"/>
          <w:lang w:val="sr-Latn-ME"/>
        </w:rPr>
        <w:t>6.</w:t>
      </w:r>
      <w:r w:rsidRPr="00BD2023">
        <w:rPr>
          <w:bCs/>
          <w:sz w:val="22"/>
          <w:szCs w:val="22"/>
          <w:lang w:val="sr-Latn-ME"/>
        </w:rPr>
        <w:tab/>
      </w:r>
      <w:r w:rsidR="002A0CDF" w:rsidRPr="00BD2023">
        <w:rPr>
          <w:bCs/>
          <w:sz w:val="22"/>
          <w:szCs w:val="22"/>
          <w:lang w:val="sr-Latn-ME"/>
        </w:rPr>
        <w:t>Na naljepnici boce i njenoj kutiji n</w:t>
      </w:r>
      <w:r w:rsidRPr="00BD2023">
        <w:rPr>
          <w:bCs/>
          <w:sz w:val="22"/>
          <w:szCs w:val="22"/>
          <w:lang w:val="sr-Latn-ME"/>
        </w:rPr>
        <w:t>apišite datum „baciti nakon” za rastvor (</w:t>
      </w:r>
      <w:r w:rsidR="002A0CDF" w:rsidRPr="00BD2023">
        <w:rPr>
          <w:bCs/>
          <w:sz w:val="22"/>
          <w:szCs w:val="22"/>
          <w:lang w:val="sr-Latn-ME"/>
        </w:rPr>
        <w:t>d</w:t>
      </w:r>
      <w:r w:rsidRPr="00BD2023">
        <w:rPr>
          <w:bCs/>
          <w:sz w:val="22"/>
          <w:szCs w:val="22"/>
          <w:lang w:val="sr-Latn-ME"/>
        </w:rPr>
        <w:t xml:space="preserve">atum „baciti nakon” računa se kao 64. dan nakon </w:t>
      </w:r>
      <w:r w:rsidR="00CA44C1" w:rsidRPr="00BD2023">
        <w:rPr>
          <w:bCs/>
          <w:sz w:val="22"/>
          <w:szCs w:val="22"/>
          <w:lang w:val="sr-Latn-ME"/>
        </w:rPr>
        <w:t>rekonstitucije</w:t>
      </w:r>
      <w:r w:rsidRPr="00BD2023">
        <w:rPr>
          <w:bCs/>
          <w:sz w:val="22"/>
          <w:szCs w:val="22"/>
          <w:lang w:val="sr-Latn-ME"/>
        </w:rPr>
        <w:t xml:space="preserve">, a dan </w:t>
      </w:r>
      <w:r w:rsidR="00CA44C1" w:rsidRPr="00BD2023">
        <w:rPr>
          <w:bCs/>
          <w:sz w:val="22"/>
          <w:szCs w:val="22"/>
          <w:lang w:val="sr-Latn-ME"/>
        </w:rPr>
        <w:t xml:space="preserve">rekonstitucije </w:t>
      </w:r>
      <w:r w:rsidRPr="00BD2023">
        <w:rPr>
          <w:bCs/>
          <w:sz w:val="22"/>
          <w:szCs w:val="22"/>
          <w:lang w:val="sr-Latn-ME"/>
        </w:rPr>
        <w:t xml:space="preserve">se računa kao nulti dan). Vratite </w:t>
      </w:r>
      <w:r w:rsidR="00AE0F3E" w:rsidRPr="00BD2023">
        <w:rPr>
          <w:bCs/>
          <w:sz w:val="22"/>
          <w:szCs w:val="22"/>
          <w:lang w:val="sr-Latn-ME"/>
        </w:rPr>
        <w:t>boc</w:t>
      </w:r>
      <w:r w:rsidRPr="00BD2023">
        <w:rPr>
          <w:bCs/>
          <w:sz w:val="22"/>
          <w:szCs w:val="22"/>
          <w:lang w:val="sr-Latn-ME"/>
        </w:rPr>
        <w:t xml:space="preserve">u u njeno originalno kartonsko pakovanje sa špricevima (u kesicama), uputstvom za </w:t>
      </w:r>
      <w:r w:rsidR="007E5CF0" w:rsidRPr="00BD2023">
        <w:rPr>
          <w:bCs/>
          <w:sz w:val="22"/>
          <w:szCs w:val="22"/>
          <w:lang w:val="sr-Latn-ME"/>
        </w:rPr>
        <w:t>lijek</w:t>
      </w:r>
      <w:r w:rsidRPr="00BD2023">
        <w:rPr>
          <w:bCs/>
          <w:sz w:val="22"/>
          <w:szCs w:val="22"/>
          <w:lang w:val="sr-Latn-ME"/>
        </w:rPr>
        <w:t xml:space="preserve"> i brošurom sa uputstvom za upotrebu.</w:t>
      </w:r>
      <w:r w:rsidR="00740B8C" w:rsidRPr="00BD2023">
        <w:rPr>
          <w:bCs/>
          <w:sz w:val="22"/>
          <w:szCs w:val="22"/>
          <w:lang w:val="sr-Latn-ME"/>
        </w:rPr>
        <w:t xml:space="preserve"> Čuvajte kartonsko pakovanje u frižideru (2°C do 8°C).</w:t>
      </w:r>
    </w:p>
    <w:p w14:paraId="1D0311E9" w14:textId="77777777" w:rsidR="00F77D20" w:rsidRPr="00BD2023" w:rsidRDefault="00F77D20" w:rsidP="00F77D20">
      <w:pPr>
        <w:tabs>
          <w:tab w:val="left" w:pos="540"/>
          <w:tab w:val="left" w:pos="569"/>
        </w:tabs>
        <w:rPr>
          <w:bCs/>
          <w:sz w:val="22"/>
          <w:szCs w:val="22"/>
          <w:lang w:val="sr-Latn-ME"/>
        </w:rPr>
      </w:pPr>
    </w:p>
    <w:p w14:paraId="19D2DF21" w14:textId="4231D853" w:rsidR="00F77D20" w:rsidRPr="00BD2023" w:rsidRDefault="00F77D20" w:rsidP="00F77D20">
      <w:pPr>
        <w:tabs>
          <w:tab w:val="left" w:pos="540"/>
          <w:tab w:val="left" w:pos="569"/>
        </w:tabs>
        <w:rPr>
          <w:bCs/>
          <w:sz w:val="22"/>
          <w:szCs w:val="22"/>
          <w:lang w:val="sr-Latn-ME"/>
        </w:rPr>
      </w:pPr>
      <w:r w:rsidRPr="00BD2023">
        <w:rPr>
          <w:bCs/>
          <w:sz w:val="22"/>
          <w:szCs w:val="22"/>
          <w:lang w:val="sr-Latn-ME"/>
        </w:rPr>
        <w:t xml:space="preserve">Bacite sav neiskorišćeni </w:t>
      </w:r>
      <w:r w:rsidR="002A0CDF" w:rsidRPr="00BD2023">
        <w:rPr>
          <w:bCs/>
          <w:sz w:val="22"/>
          <w:szCs w:val="22"/>
          <w:lang w:val="sr-Latn-ME"/>
        </w:rPr>
        <w:t>rastvor</w:t>
      </w:r>
      <w:r w:rsidRPr="00BD2023">
        <w:rPr>
          <w:bCs/>
          <w:sz w:val="22"/>
          <w:szCs w:val="22"/>
          <w:lang w:val="sr-Latn-ME"/>
        </w:rPr>
        <w:t xml:space="preserve"> 64 dana nakon </w:t>
      </w:r>
      <w:r w:rsidR="00CA44C1" w:rsidRPr="00BD2023">
        <w:rPr>
          <w:bCs/>
          <w:sz w:val="22"/>
          <w:szCs w:val="22"/>
          <w:lang w:val="sr-Latn-ME"/>
        </w:rPr>
        <w:t>rekonstitucije</w:t>
      </w:r>
      <w:r w:rsidRPr="00BD2023">
        <w:rPr>
          <w:bCs/>
          <w:sz w:val="22"/>
          <w:szCs w:val="22"/>
          <w:lang w:val="sr-Latn-ME"/>
        </w:rPr>
        <w:t>.</w:t>
      </w:r>
    </w:p>
    <w:p w14:paraId="49C6B367" w14:textId="77777777" w:rsidR="00F77D20" w:rsidRPr="00BD2023" w:rsidRDefault="00F77D20" w:rsidP="00F77D20">
      <w:pPr>
        <w:tabs>
          <w:tab w:val="left" w:pos="540"/>
          <w:tab w:val="left" w:pos="569"/>
        </w:tabs>
        <w:rPr>
          <w:bCs/>
          <w:sz w:val="22"/>
          <w:szCs w:val="22"/>
          <w:lang w:val="sr-Latn-ME"/>
        </w:rPr>
      </w:pPr>
    </w:p>
    <w:p w14:paraId="66DD5C05" w14:textId="6DA17ADC" w:rsidR="0072020E" w:rsidRPr="00BD2023" w:rsidRDefault="00F77D20" w:rsidP="00480FB1">
      <w:pPr>
        <w:tabs>
          <w:tab w:val="left" w:pos="540"/>
          <w:tab w:val="left" w:pos="569"/>
        </w:tabs>
        <w:rPr>
          <w:bCs/>
          <w:sz w:val="22"/>
          <w:szCs w:val="22"/>
          <w:lang w:val="sr-Latn-ME"/>
        </w:rPr>
      </w:pPr>
      <w:r w:rsidRPr="00BD2023">
        <w:rPr>
          <w:bCs/>
          <w:sz w:val="22"/>
          <w:szCs w:val="22"/>
          <w:lang w:val="sr-Latn-ME"/>
        </w:rPr>
        <w:t xml:space="preserve">Svu neiskorišćenu količinu </w:t>
      </w:r>
      <w:r w:rsidR="007E5CF0" w:rsidRPr="00BD2023">
        <w:rPr>
          <w:bCs/>
          <w:sz w:val="22"/>
          <w:szCs w:val="22"/>
          <w:lang w:val="sr-Latn-ME"/>
        </w:rPr>
        <w:t>lijek</w:t>
      </w:r>
      <w:r w:rsidRPr="00BD2023">
        <w:rPr>
          <w:bCs/>
          <w:sz w:val="22"/>
          <w:szCs w:val="22"/>
          <w:lang w:val="sr-Latn-ME"/>
        </w:rPr>
        <w:t>a ili otpadnog materijala treba ukloniti, u skladu sa važećim propisima.</w:t>
      </w:r>
    </w:p>
    <w:p w14:paraId="66F339F0" w14:textId="77777777" w:rsidR="004D51E0" w:rsidRPr="00BD2023" w:rsidRDefault="004D51E0" w:rsidP="00480FB1">
      <w:pPr>
        <w:tabs>
          <w:tab w:val="left" w:pos="540"/>
          <w:tab w:val="left" w:pos="569"/>
        </w:tabs>
        <w:rPr>
          <w:bCs/>
          <w:sz w:val="22"/>
          <w:szCs w:val="22"/>
          <w:lang w:val="sr-Latn-ME"/>
        </w:rPr>
      </w:pPr>
    </w:p>
    <w:p w14:paraId="55201158" w14:textId="77777777" w:rsidR="00F77D20" w:rsidRPr="00BD2023" w:rsidRDefault="00F77D20" w:rsidP="00480FB1">
      <w:pPr>
        <w:tabs>
          <w:tab w:val="left" w:pos="540"/>
          <w:tab w:val="left" w:pos="569"/>
        </w:tabs>
        <w:rPr>
          <w:bCs/>
          <w:sz w:val="22"/>
          <w:szCs w:val="22"/>
          <w:lang w:val="sr-Latn-ME"/>
        </w:rPr>
      </w:pPr>
    </w:p>
    <w:p w14:paraId="4A463B87" w14:textId="77777777" w:rsidR="00F8570A" w:rsidRPr="00BD2023" w:rsidRDefault="0072020E" w:rsidP="00480FB1">
      <w:pPr>
        <w:tabs>
          <w:tab w:val="left" w:pos="540"/>
          <w:tab w:val="left" w:pos="569"/>
        </w:tabs>
        <w:rPr>
          <w:b/>
          <w:bCs/>
          <w:sz w:val="22"/>
          <w:szCs w:val="22"/>
          <w:lang w:val="sr-Latn-ME"/>
        </w:rPr>
      </w:pPr>
      <w:r w:rsidRPr="00BD2023">
        <w:rPr>
          <w:b/>
          <w:bCs/>
          <w:sz w:val="22"/>
          <w:szCs w:val="22"/>
          <w:lang w:val="sr-Latn-ME"/>
        </w:rPr>
        <w:t xml:space="preserve">7. </w:t>
      </w:r>
      <w:r w:rsidR="00480FB1" w:rsidRPr="00BD2023">
        <w:rPr>
          <w:b/>
          <w:bCs/>
          <w:sz w:val="22"/>
          <w:szCs w:val="22"/>
          <w:lang w:val="sr-Latn-ME"/>
        </w:rPr>
        <w:tab/>
      </w:r>
      <w:r w:rsidRPr="00BD2023">
        <w:rPr>
          <w:b/>
          <w:bCs/>
          <w:sz w:val="22"/>
          <w:szCs w:val="22"/>
          <w:lang w:val="sr-Latn-ME"/>
        </w:rPr>
        <w:t>NOSILAC DOZVOLE</w:t>
      </w:r>
      <w:r w:rsidR="00483928" w:rsidRPr="00BD2023">
        <w:rPr>
          <w:b/>
          <w:bCs/>
          <w:sz w:val="22"/>
          <w:szCs w:val="22"/>
          <w:lang w:val="sr-Latn-ME"/>
        </w:rPr>
        <w:t xml:space="preserve"> </w:t>
      </w:r>
    </w:p>
    <w:p w14:paraId="03668CBA" w14:textId="77777777" w:rsidR="00C61BE0" w:rsidRPr="00BD2023" w:rsidRDefault="00C61BE0" w:rsidP="00480FB1">
      <w:pPr>
        <w:tabs>
          <w:tab w:val="left" w:pos="540"/>
          <w:tab w:val="left" w:pos="569"/>
        </w:tabs>
        <w:rPr>
          <w:bCs/>
          <w:sz w:val="22"/>
          <w:szCs w:val="22"/>
          <w:lang w:val="sr-Latn-ME"/>
        </w:rPr>
      </w:pPr>
    </w:p>
    <w:p w14:paraId="10317784" w14:textId="77777777" w:rsidR="00DD1335" w:rsidRPr="00BD2023" w:rsidRDefault="00DD1335" w:rsidP="00DD1335">
      <w:pPr>
        <w:tabs>
          <w:tab w:val="left" w:pos="540"/>
          <w:tab w:val="left" w:pos="569"/>
        </w:tabs>
        <w:rPr>
          <w:bCs/>
          <w:sz w:val="22"/>
          <w:szCs w:val="22"/>
          <w:lang w:val="sr-Latn-ME"/>
        </w:rPr>
      </w:pPr>
      <w:r w:rsidRPr="00BD2023">
        <w:rPr>
          <w:bCs/>
          <w:sz w:val="22"/>
          <w:szCs w:val="22"/>
          <w:lang w:val="sr-Latn-ME"/>
        </w:rPr>
        <w:t>Hoffmann – La Roche Ltd. DSD Podgorica</w:t>
      </w:r>
    </w:p>
    <w:p w14:paraId="54C2C26B" w14:textId="1C9ACA87" w:rsidR="00DD1335" w:rsidRPr="00BD2023" w:rsidRDefault="00C15E2B" w:rsidP="00DD1335">
      <w:pPr>
        <w:tabs>
          <w:tab w:val="left" w:pos="540"/>
          <w:tab w:val="left" w:pos="569"/>
        </w:tabs>
        <w:rPr>
          <w:bCs/>
          <w:sz w:val="22"/>
          <w:szCs w:val="22"/>
          <w:lang w:val="sr-Latn-ME"/>
        </w:rPr>
      </w:pPr>
      <w:r w:rsidRPr="00BD2023">
        <w:rPr>
          <w:bCs/>
          <w:sz w:val="22"/>
          <w:szCs w:val="22"/>
          <w:lang w:val="sr-Latn-ME"/>
        </w:rPr>
        <w:t xml:space="preserve">ul. </w:t>
      </w:r>
      <w:r w:rsidR="00DD1335" w:rsidRPr="00BD2023">
        <w:rPr>
          <w:bCs/>
          <w:sz w:val="22"/>
          <w:szCs w:val="22"/>
          <w:lang w:val="sr-Latn-ME"/>
        </w:rPr>
        <w:t>Cetinjska 11, 81000 Podgorica, Crna Gora</w:t>
      </w:r>
    </w:p>
    <w:p w14:paraId="79584E91" w14:textId="77777777" w:rsidR="004D51E0" w:rsidRPr="00BD2023" w:rsidRDefault="004D51E0" w:rsidP="00DD1335">
      <w:pPr>
        <w:tabs>
          <w:tab w:val="left" w:pos="540"/>
          <w:tab w:val="left" w:pos="569"/>
        </w:tabs>
        <w:rPr>
          <w:bCs/>
          <w:sz w:val="22"/>
          <w:szCs w:val="22"/>
          <w:lang w:val="sr-Latn-ME"/>
        </w:rPr>
      </w:pPr>
    </w:p>
    <w:p w14:paraId="4EA956F1" w14:textId="77777777" w:rsidR="00C37FD7" w:rsidRPr="00BD2023" w:rsidRDefault="00C37FD7" w:rsidP="00480FB1">
      <w:pPr>
        <w:tabs>
          <w:tab w:val="left" w:pos="540"/>
          <w:tab w:val="left" w:pos="569"/>
        </w:tabs>
        <w:rPr>
          <w:bCs/>
          <w:sz w:val="22"/>
          <w:szCs w:val="22"/>
          <w:lang w:val="sr-Latn-ME"/>
        </w:rPr>
      </w:pPr>
    </w:p>
    <w:p w14:paraId="51792DBF" w14:textId="3CB2087A" w:rsidR="0072020E" w:rsidRPr="00BD2023" w:rsidRDefault="0072020E" w:rsidP="00480FB1">
      <w:pPr>
        <w:tabs>
          <w:tab w:val="left" w:pos="540"/>
          <w:tab w:val="left" w:pos="569"/>
        </w:tabs>
        <w:rPr>
          <w:b/>
          <w:bCs/>
          <w:sz w:val="22"/>
          <w:szCs w:val="22"/>
          <w:lang w:val="sr-Latn-ME"/>
        </w:rPr>
      </w:pPr>
      <w:r w:rsidRPr="00BD2023">
        <w:rPr>
          <w:b/>
          <w:bCs/>
          <w:sz w:val="22"/>
          <w:szCs w:val="22"/>
          <w:lang w:val="sr-Latn-ME"/>
        </w:rPr>
        <w:t xml:space="preserve">8. </w:t>
      </w:r>
      <w:r w:rsidR="00480FB1" w:rsidRPr="00BD2023">
        <w:rPr>
          <w:b/>
          <w:bCs/>
          <w:sz w:val="22"/>
          <w:szCs w:val="22"/>
          <w:lang w:val="sr-Latn-ME"/>
        </w:rPr>
        <w:tab/>
      </w:r>
      <w:r w:rsidRPr="00BD2023">
        <w:rPr>
          <w:b/>
          <w:bCs/>
          <w:sz w:val="22"/>
          <w:szCs w:val="22"/>
          <w:lang w:val="sr-Latn-ME"/>
        </w:rPr>
        <w:t>BROJ DOZVOLE</w:t>
      </w:r>
      <w:r w:rsidR="008A6D43" w:rsidRPr="00BD2023">
        <w:rPr>
          <w:b/>
          <w:bCs/>
          <w:sz w:val="22"/>
          <w:szCs w:val="22"/>
          <w:lang w:val="sr-Latn-ME"/>
        </w:rPr>
        <w:t xml:space="preserve"> ZA STAVLJANJE LIJEKA U PROMET</w:t>
      </w:r>
    </w:p>
    <w:p w14:paraId="14FC13D4" w14:textId="07051B38" w:rsidR="004D51E0" w:rsidRPr="00BD2023" w:rsidRDefault="004D51E0" w:rsidP="00480FB1">
      <w:pPr>
        <w:tabs>
          <w:tab w:val="left" w:pos="540"/>
          <w:tab w:val="left" w:pos="569"/>
        </w:tabs>
        <w:rPr>
          <w:b/>
          <w:bCs/>
          <w:sz w:val="22"/>
          <w:szCs w:val="22"/>
          <w:lang w:val="sr-Latn-ME"/>
        </w:rPr>
      </w:pPr>
    </w:p>
    <w:p w14:paraId="7968FBBD" w14:textId="7A5C4447" w:rsidR="004D51E0" w:rsidRDefault="004D51E0" w:rsidP="00480FB1">
      <w:pPr>
        <w:tabs>
          <w:tab w:val="left" w:pos="540"/>
          <w:tab w:val="left" w:pos="569"/>
        </w:tabs>
        <w:rPr>
          <w:bCs/>
          <w:sz w:val="22"/>
          <w:szCs w:val="22"/>
          <w:lang w:val="sr-Latn-ME"/>
        </w:rPr>
      </w:pPr>
      <w:r w:rsidRPr="00BD2023">
        <w:rPr>
          <w:bCs/>
          <w:sz w:val="22"/>
          <w:szCs w:val="22"/>
          <w:lang w:val="sr-Latn-ME"/>
        </w:rPr>
        <w:t>2030/22/1201 - 4836 od 20.06.2022.</w:t>
      </w:r>
    </w:p>
    <w:p w14:paraId="40B443FD" w14:textId="77777777" w:rsidR="00CB3019" w:rsidRPr="00BD2023" w:rsidRDefault="00CB3019" w:rsidP="00480FB1">
      <w:pPr>
        <w:tabs>
          <w:tab w:val="left" w:pos="540"/>
          <w:tab w:val="left" w:pos="569"/>
        </w:tabs>
        <w:rPr>
          <w:bCs/>
          <w:sz w:val="22"/>
          <w:szCs w:val="22"/>
          <w:lang w:val="sr-Latn-ME"/>
        </w:rPr>
      </w:pPr>
    </w:p>
    <w:p w14:paraId="23F81B8B" w14:textId="77777777" w:rsidR="00F45F77" w:rsidRPr="00BD2023" w:rsidRDefault="00F45F77" w:rsidP="00480FB1">
      <w:pPr>
        <w:tabs>
          <w:tab w:val="left" w:pos="540"/>
          <w:tab w:val="left" w:pos="569"/>
        </w:tabs>
        <w:rPr>
          <w:bCs/>
          <w:sz w:val="22"/>
          <w:szCs w:val="22"/>
          <w:lang w:val="sr-Latn-ME"/>
        </w:rPr>
      </w:pPr>
    </w:p>
    <w:p w14:paraId="004571E0" w14:textId="77777777" w:rsidR="0072020E" w:rsidRPr="00BD2023" w:rsidRDefault="0072020E" w:rsidP="00480FB1">
      <w:pPr>
        <w:tabs>
          <w:tab w:val="left" w:pos="540"/>
          <w:tab w:val="left" w:pos="569"/>
        </w:tabs>
        <w:rPr>
          <w:b/>
          <w:bCs/>
          <w:sz w:val="22"/>
          <w:szCs w:val="22"/>
          <w:lang w:val="sr-Latn-ME"/>
        </w:rPr>
      </w:pPr>
      <w:r w:rsidRPr="00BD2023">
        <w:rPr>
          <w:b/>
          <w:bCs/>
          <w:sz w:val="22"/>
          <w:szCs w:val="22"/>
          <w:lang w:val="sr-Latn-ME"/>
        </w:rPr>
        <w:t xml:space="preserve">9. </w:t>
      </w:r>
      <w:r w:rsidR="00480FB1" w:rsidRPr="00BD2023">
        <w:rPr>
          <w:b/>
          <w:bCs/>
          <w:sz w:val="22"/>
          <w:szCs w:val="22"/>
          <w:lang w:val="sr-Latn-ME"/>
        </w:rPr>
        <w:tab/>
      </w:r>
      <w:r w:rsidRPr="00BD2023">
        <w:rPr>
          <w:b/>
          <w:bCs/>
          <w:sz w:val="22"/>
          <w:szCs w:val="22"/>
          <w:lang w:val="sr-Latn-ME"/>
        </w:rPr>
        <w:t xml:space="preserve">DATUM </w:t>
      </w:r>
      <w:r w:rsidR="00C05DF8" w:rsidRPr="00BD2023">
        <w:rPr>
          <w:b/>
          <w:bCs/>
          <w:sz w:val="22"/>
          <w:szCs w:val="22"/>
          <w:lang w:val="sr-Latn-ME"/>
        </w:rPr>
        <w:t xml:space="preserve">PRVE </w:t>
      </w:r>
      <w:r w:rsidR="008A6D43" w:rsidRPr="00BD2023">
        <w:rPr>
          <w:b/>
          <w:bCs/>
          <w:sz w:val="22"/>
          <w:szCs w:val="22"/>
          <w:lang w:val="sr-Latn-ME"/>
        </w:rPr>
        <w:t>DOZVOLE</w:t>
      </w:r>
      <w:r w:rsidR="00C05DF8" w:rsidRPr="00BD2023">
        <w:rPr>
          <w:b/>
          <w:bCs/>
          <w:sz w:val="22"/>
          <w:szCs w:val="22"/>
          <w:lang w:val="sr-Latn-ME"/>
        </w:rPr>
        <w:t>/OBNOVE DOZVOLE</w:t>
      </w:r>
      <w:r w:rsidR="008A6D43" w:rsidRPr="00BD2023">
        <w:rPr>
          <w:b/>
          <w:bCs/>
          <w:sz w:val="22"/>
          <w:szCs w:val="22"/>
          <w:lang w:val="sr-Latn-ME"/>
        </w:rPr>
        <w:t xml:space="preserve"> ZA STAVLJANJE LIJEKA U PROMET</w:t>
      </w:r>
    </w:p>
    <w:p w14:paraId="032E51B4" w14:textId="2273B9B2" w:rsidR="0072020E" w:rsidRPr="00BD2023" w:rsidRDefault="0072020E" w:rsidP="00480FB1">
      <w:pPr>
        <w:tabs>
          <w:tab w:val="left" w:pos="540"/>
          <w:tab w:val="left" w:pos="569"/>
        </w:tabs>
        <w:rPr>
          <w:bCs/>
          <w:sz w:val="22"/>
          <w:szCs w:val="22"/>
          <w:lang w:val="sr-Latn-ME"/>
        </w:rPr>
      </w:pPr>
    </w:p>
    <w:p w14:paraId="4CA7A420" w14:textId="4927107E" w:rsidR="004D51E0" w:rsidRPr="00BD2023" w:rsidRDefault="004D51E0" w:rsidP="00480FB1">
      <w:pPr>
        <w:tabs>
          <w:tab w:val="left" w:pos="540"/>
          <w:tab w:val="left" w:pos="569"/>
        </w:tabs>
        <w:rPr>
          <w:bCs/>
          <w:sz w:val="22"/>
          <w:szCs w:val="22"/>
          <w:lang w:val="sr-Latn-ME"/>
        </w:rPr>
      </w:pPr>
      <w:r w:rsidRPr="00BD2023">
        <w:rPr>
          <w:bCs/>
          <w:sz w:val="22"/>
          <w:szCs w:val="22"/>
          <w:lang w:val="sr-Latn-ME"/>
        </w:rPr>
        <w:t>20.06.2022. godine</w:t>
      </w:r>
    </w:p>
    <w:p w14:paraId="7AB07F2C" w14:textId="77777777" w:rsidR="004D51E0" w:rsidRPr="00BD2023" w:rsidRDefault="004D51E0" w:rsidP="00480FB1">
      <w:pPr>
        <w:tabs>
          <w:tab w:val="left" w:pos="540"/>
          <w:tab w:val="left" w:pos="569"/>
        </w:tabs>
        <w:rPr>
          <w:bCs/>
          <w:sz w:val="22"/>
          <w:szCs w:val="22"/>
          <w:lang w:val="sr-Latn-ME"/>
        </w:rPr>
      </w:pPr>
    </w:p>
    <w:p w14:paraId="23012A21" w14:textId="77777777" w:rsidR="00836B35" w:rsidRPr="00BD2023" w:rsidRDefault="00836B35" w:rsidP="00480FB1">
      <w:pPr>
        <w:tabs>
          <w:tab w:val="left" w:pos="540"/>
          <w:tab w:val="left" w:pos="569"/>
        </w:tabs>
        <w:rPr>
          <w:bCs/>
          <w:sz w:val="22"/>
          <w:szCs w:val="22"/>
          <w:lang w:val="sr-Latn-ME"/>
        </w:rPr>
      </w:pPr>
    </w:p>
    <w:p w14:paraId="7EB9FDA1" w14:textId="77777777" w:rsidR="003F6A59" w:rsidRPr="00BD2023" w:rsidRDefault="0072020E" w:rsidP="00C05DF8">
      <w:pPr>
        <w:tabs>
          <w:tab w:val="left" w:pos="540"/>
          <w:tab w:val="left" w:pos="569"/>
        </w:tabs>
        <w:ind w:left="540" w:hanging="540"/>
        <w:rPr>
          <w:bCs/>
          <w:sz w:val="22"/>
          <w:szCs w:val="22"/>
          <w:lang w:val="sr-Latn-ME"/>
        </w:rPr>
      </w:pPr>
      <w:r w:rsidRPr="00BD2023">
        <w:rPr>
          <w:b/>
          <w:bCs/>
          <w:sz w:val="22"/>
          <w:szCs w:val="22"/>
          <w:lang w:val="sr-Latn-ME"/>
        </w:rPr>
        <w:t xml:space="preserve">10. </w:t>
      </w:r>
      <w:r w:rsidR="00480FB1" w:rsidRPr="00BD2023">
        <w:rPr>
          <w:b/>
          <w:bCs/>
          <w:sz w:val="22"/>
          <w:szCs w:val="22"/>
          <w:lang w:val="sr-Latn-ME"/>
        </w:rPr>
        <w:tab/>
      </w:r>
      <w:r w:rsidR="002846DB" w:rsidRPr="00BD2023">
        <w:rPr>
          <w:b/>
          <w:bCs/>
          <w:sz w:val="22"/>
          <w:szCs w:val="22"/>
          <w:lang w:val="sr-Latn-ME"/>
        </w:rPr>
        <w:t>D</w:t>
      </w:r>
      <w:r w:rsidR="00EC2532" w:rsidRPr="00BD2023">
        <w:rPr>
          <w:b/>
          <w:bCs/>
          <w:sz w:val="22"/>
          <w:szCs w:val="22"/>
          <w:lang w:val="sr-Latn-ME"/>
        </w:rPr>
        <w:t xml:space="preserve">ATUM REVIZIJE TEKSTA </w:t>
      </w:r>
    </w:p>
    <w:p w14:paraId="4043F8A5" w14:textId="77777777" w:rsidR="003F6A59" w:rsidRPr="00BD2023" w:rsidRDefault="003F6A59" w:rsidP="00480FB1">
      <w:pPr>
        <w:tabs>
          <w:tab w:val="left" w:pos="540"/>
          <w:tab w:val="left" w:pos="569"/>
        </w:tabs>
        <w:rPr>
          <w:bCs/>
          <w:sz w:val="22"/>
          <w:szCs w:val="22"/>
          <w:lang w:val="sr-Latn-ME"/>
        </w:rPr>
      </w:pPr>
    </w:p>
    <w:p w14:paraId="0AA6AA6F" w14:textId="7AA070E0" w:rsidR="008A6D43" w:rsidRPr="00BD2023" w:rsidRDefault="002164C0" w:rsidP="00480FB1">
      <w:pPr>
        <w:tabs>
          <w:tab w:val="left" w:pos="540"/>
          <w:tab w:val="left" w:pos="569"/>
        </w:tabs>
        <w:rPr>
          <w:bCs/>
          <w:sz w:val="22"/>
          <w:szCs w:val="22"/>
          <w:lang w:val="sr-Latn-ME"/>
        </w:rPr>
      </w:pPr>
      <w:r>
        <w:rPr>
          <w:bCs/>
          <w:sz w:val="22"/>
          <w:szCs w:val="22"/>
          <w:lang w:val="sr-Latn-ME"/>
        </w:rPr>
        <w:t xml:space="preserve">Februar </w:t>
      </w:r>
      <w:r w:rsidR="007B23EC">
        <w:rPr>
          <w:bCs/>
          <w:sz w:val="22"/>
          <w:szCs w:val="22"/>
          <w:lang w:val="sr-Latn-ME"/>
        </w:rPr>
        <w:t>2025</w:t>
      </w:r>
      <w:r w:rsidR="004D51E0" w:rsidRPr="00BD2023">
        <w:rPr>
          <w:bCs/>
          <w:sz w:val="22"/>
          <w:szCs w:val="22"/>
          <w:lang w:val="sr-Latn-ME"/>
        </w:rPr>
        <w:t>. godine</w:t>
      </w:r>
    </w:p>
    <w:p w14:paraId="36E52BA8" w14:textId="628C9399" w:rsidR="003F6A59" w:rsidRPr="00BD2023" w:rsidRDefault="003F6A59" w:rsidP="00DE3F5C">
      <w:pPr>
        <w:rPr>
          <w:sz w:val="22"/>
          <w:szCs w:val="22"/>
          <w:lang w:val="sr-Latn-ME"/>
        </w:rPr>
      </w:pPr>
    </w:p>
    <w:sectPr w:rsidR="003F6A59" w:rsidRPr="00BD2023" w:rsidSect="00EF3B86">
      <w:footerReference w:type="default" r:id="rId18"/>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78DA9" w14:textId="77777777" w:rsidR="00F9693B" w:rsidRDefault="00F9693B">
      <w:r>
        <w:separator/>
      </w:r>
    </w:p>
  </w:endnote>
  <w:endnote w:type="continuationSeparator" w:id="0">
    <w:p w14:paraId="75E0651D" w14:textId="77777777" w:rsidR="00F9693B" w:rsidRDefault="00F9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086C2" w14:textId="451E0102" w:rsidR="005200CA" w:rsidRPr="00B23F69" w:rsidRDefault="005200CA"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005C0">
      <w:rPr>
        <w:noProof/>
        <w:sz w:val="22"/>
        <w:szCs w:val="22"/>
      </w:rPr>
      <w:t>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005C0">
      <w:rPr>
        <w:noProof/>
        <w:sz w:val="22"/>
        <w:szCs w:val="22"/>
      </w:rPr>
      <w:t>21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1FF12" w14:textId="77777777" w:rsidR="00F9693B" w:rsidRDefault="00F9693B">
      <w:r>
        <w:separator/>
      </w:r>
    </w:p>
  </w:footnote>
  <w:footnote w:type="continuationSeparator" w:id="0">
    <w:p w14:paraId="49852FB8" w14:textId="77777777" w:rsidR="00F9693B" w:rsidRDefault="00F96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6.9pt;height:13.1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D9C72C5"/>
    <w:multiLevelType w:val="hybridMultilevel"/>
    <w:tmpl w:val="32A8D606"/>
    <w:lvl w:ilvl="0" w:tplc="9DAAF990">
      <w:start w:val="1"/>
      <w:numFmt w:val="decimal"/>
      <w:lvlText w:val="%1."/>
      <w:lvlJc w:val="left"/>
      <w:pPr>
        <w:ind w:left="1260" w:hanging="360"/>
      </w:pPr>
      <w:rPr>
        <w:vertAlign w:val="superscript"/>
      </w:rPr>
    </w:lvl>
    <w:lvl w:ilvl="1" w:tplc="BBECC57A" w:tentative="1">
      <w:start w:val="1"/>
      <w:numFmt w:val="lowerLetter"/>
      <w:lvlText w:val="%2."/>
      <w:lvlJc w:val="left"/>
      <w:pPr>
        <w:ind w:left="1980" w:hanging="360"/>
      </w:pPr>
    </w:lvl>
    <w:lvl w:ilvl="2" w:tplc="7340EAD0" w:tentative="1">
      <w:start w:val="1"/>
      <w:numFmt w:val="lowerRoman"/>
      <w:lvlText w:val="%3."/>
      <w:lvlJc w:val="right"/>
      <w:pPr>
        <w:ind w:left="2700" w:hanging="180"/>
      </w:pPr>
    </w:lvl>
    <w:lvl w:ilvl="3" w:tplc="B2448438" w:tentative="1">
      <w:start w:val="1"/>
      <w:numFmt w:val="decimal"/>
      <w:lvlText w:val="%4."/>
      <w:lvlJc w:val="left"/>
      <w:pPr>
        <w:ind w:left="3420" w:hanging="360"/>
      </w:pPr>
    </w:lvl>
    <w:lvl w:ilvl="4" w:tplc="C082D97C" w:tentative="1">
      <w:start w:val="1"/>
      <w:numFmt w:val="lowerLetter"/>
      <w:lvlText w:val="%5."/>
      <w:lvlJc w:val="left"/>
      <w:pPr>
        <w:ind w:left="4140" w:hanging="360"/>
      </w:pPr>
    </w:lvl>
    <w:lvl w:ilvl="5" w:tplc="23DAB952" w:tentative="1">
      <w:start w:val="1"/>
      <w:numFmt w:val="lowerRoman"/>
      <w:lvlText w:val="%6."/>
      <w:lvlJc w:val="right"/>
      <w:pPr>
        <w:ind w:left="4860" w:hanging="180"/>
      </w:pPr>
    </w:lvl>
    <w:lvl w:ilvl="6" w:tplc="2182F262" w:tentative="1">
      <w:start w:val="1"/>
      <w:numFmt w:val="decimal"/>
      <w:lvlText w:val="%7."/>
      <w:lvlJc w:val="left"/>
      <w:pPr>
        <w:ind w:left="5580" w:hanging="360"/>
      </w:pPr>
    </w:lvl>
    <w:lvl w:ilvl="7" w:tplc="51A80D10" w:tentative="1">
      <w:start w:val="1"/>
      <w:numFmt w:val="lowerLetter"/>
      <w:lvlText w:val="%8."/>
      <w:lvlJc w:val="left"/>
      <w:pPr>
        <w:ind w:left="6300" w:hanging="360"/>
      </w:pPr>
    </w:lvl>
    <w:lvl w:ilvl="8" w:tplc="9ACE53E4" w:tentative="1">
      <w:start w:val="1"/>
      <w:numFmt w:val="lowerRoman"/>
      <w:lvlText w:val="%9."/>
      <w:lvlJc w:val="right"/>
      <w:pPr>
        <w:ind w:left="70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359B"/>
    <w:rsid w:val="000107F0"/>
    <w:rsid w:val="000176CA"/>
    <w:rsid w:val="00020525"/>
    <w:rsid w:val="00036FA0"/>
    <w:rsid w:val="0003793F"/>
    <w:rsid w:val="00047A14"/>
    <w:rsid w:val="00057E35"/>
    <w:rsid w:val="00072BD9"/>
    <w:rsid w:val="00076726"/>
    <w:rsid w:val="00077577"/>
    <w:rsid w:val="00080303"/>
    <w:rsid w:val="0008371A"/>
    <w:rsid w:val="000956D5"/>
    <w:rsid w:val="000A3F58"/>
    <w:rsid w:val="000A493D"/>
    <w:rsid w:val="000C39DC"/>
    <w:rsid w:val="000D2343"/>
    <w:rsid w:val="000D3449"/>
    <w:rsid w:val="000D425A"/>
    <w:rsid w:val="000D60CC"/>
    <w:rsid w:val="000D7A7C"/>
    <w:rsid w:val="000E2084"/>
    <w:rsid w:val="000E6F55"/>
    <w:rsid w:val="000F350A"/>
    <w:rsid w:val="000F648C"/>
    <w:rsid w:val="000F77FA"/>
    <w:rsid w:val="001051E0"/>
    <w:rsid w:val="00107BF7"/>
    <w:rsid w:val="00124A05"/>
    <w:rsid w:val="00126F53"/>
    <w:rsid w:val="001335CF"/>
    <w:rsid w:val="00134C11"/>
    <w:rsid w:val="00147504"/>
    <w:rsid w:val="0014766D"/>
    <w:rsid w:val="001536CC"/>
    <w:rsid w:val="00157768"/>
    <w:rsid w:val="001608C3"/>
    <w:rsid w:val="00171B32"/>
    <w:rsid w:val="00180E37"/>
    <w:rsid w:val="00197B81"/>
    <w:rsid w:val="001A0E71"/>
    <w:rsid w:val="001A3FBA"/>
    <w:rsid w:val="001A5518"/>
    <w:rsid w:val="001B1C6A"/>
    <w:rsid w:val="001B3FBB"/>
    <w:rsid w:val="001C1263"/>
    <w:rsid w:val="001C1417"/>
    <w:rsid w:val="001C7EFB"/>
    <w:rsid w:val="001D48CA"/>
    <w:rsid w:val="001D5409"/>
    <w:rsid w:val="001E12E1"/>
    <w:rsid w:val="001E390B"/>
    <w:rsid w:val="001E7128"/>
    <w:rsid w:val="001F42FB"/>
    <w:rsid w:val="001F719A"/>
    <w:rsid w:val="001F76B8"/>
    <w:rsid w:val="00200C42"/>
    <w:rsid w:val="002018B4"/>
    <w:rsid w:val="002031B3"/>
    <w:rsid w:val="00215931"/>
    <w:rsid w:val="002164C0"/>
    <w:rsid w:val="00227BDB"/>
    <w:rsid w:val="002325C8"/>
    <w:rsid w:val="00234CB1"/>
    <w:rsid w:val="002352F8"/>
    <w:rsid w:val="00235F5A"/>
    <w:rsid w:val="00236ECF"/>
    <w:rsid w:val="002510A5"/>
    <w:rsid w:val="00254A0A"/>
    <w:rsid w:val="00266046"/>
    <w:rsid w:val="00277D8D"/>
    <w:rsid w:val="002846DB"/>
    <w:rsid w:val="00284CCD"/>
    <w:rsid w:val="00284DDE"/>
    <w:rsid w:val="002A0CDF"/>
    <w:rsid w:val="002A2448"/>
    <w:rsid w:val="002B28A7"/>
    <w:rsid w:val="002C55BE"/>
    <w:rsid w:val="002C6637"/>
    <w:rsid w:val="002C7804"/>
    <w:rsid w:val="002D54E4"/>
    <w:rsid w:val="002E0135"/>
    <w:rsid w:val="002E37A5"/>
    <w:rsid w:val="002F58BF"/>
    <w:rsid w:val="00303DEE"/>
    <w:rsid w:val="00305007"/>
    <w:rsid w:val="00310F03"/>
    <w:rsid w:val="003118D9"/>
    <w:rsid w:val="00316828"/>
    <w:rsid w:val="003247D2"/>
    <w:rsid w:val="003330BB"/>
    <w:rsid w:val="003445C1"/>
    <w:rsid w:val="00355B61"/>
    <w:rsid w:val="00362686"/>
    <w:rsid w:val="0036543A"/>
    <w:rsid w:val="00371510"/>
    <w:rsid w:val="0039024B"/>
    <w:rsid w:val="00396DFD"/>
    <w:rsid w:val="003A07CF"/>
    <w:rsid w:val="003A7059"/>
    <w:rsid w:val="003B1B9B"/>
    <w:rsid w:val="003B6765"/>
    <w:rsid w:val="003B7A36"/>
    <w:rsid w:val="003C17AB"/>
    <w:rsid w:val="003C7823"/>
    <w:rsid w:val="003D0240"/>
    <w:rsid w:val="003E1DCC"/>
    <w:rsid w:val="003F0EC2"/>
    <w:rsid w:val="003F6A59"/>
    <w:rsid w:val="00402B76"/>
    <w:rsid w:val="004065C8"/>
    <w:rsid w:val="004109FA"/>
    <w:rsid w:val="00411B4B"/>
    <w:rsid w:val="00415BEE"/>
    <w:rsid w:val="00417092"/>
    <w:rsid w:val="00417DAA"/>
    <w:rsid w:val="00421E52"/>
    <w:rsid w:val="00427F85"/>
    <w:rsid w:val="00435851"/>
    <w:rsid w:val="00436F42"/>
    <w:rsid w:val="004378B4"/>
    <w:rsid w:val="004468D4"/>
    <w:rsid w:val="00450945"/>
    <w:rsid w:val="00451314"/>
    <w:rsid w:val="00452E9D"/>
    <w:rsid w:val="004534C7"/>
    <w:rsid w:val="004671AA"/>
    <w:rsid w:val="00480FB1"/>
    <w:rsid w:val="00483928"/>
    <w:rsid w:val="004902DB"/>
    <w:rsid w:val="004958F2"/>
    <w:rsid w:val="004A4441"/>
    <w:rsid w:val="004A5E70"/>
    <w:rsid w:val="004B1AE7"/>
    <w:rsid w:val="004C1537"/>
    <w:rsid w:val="004D2A06"/>
    <w:rsid w:val="004D51E0"/>
    <w:rsid w:val="004D6103"/>
    <w:rsid w:val="004E3BCE"/>
    <w:rsid w:val="004F0E97"/>
    <w:rsid w:val="004F6B33"/>
    <w:rsid w:val="00501DD1"/>
    <w:rsid w:val="00515C21"/>
    <w:rsid w:val="005200CA"/>
    <w:rsid w:val="00524786"/>
    <w:rsid w:val="00524FD5"/>
    <w:rsid w:val="00530BD7"/>
    <w:rsid w:val="00535CC7"/>
    <w:rsid w:val="00545CD2"/>
    <w:rsid w:val="005476F3"/>
    <w:rsid w:val="005529FB"/>
    <w:rsid w:val="005567CA"/>
    <w:rsid w:val="00560CBE"/>
    <w:rsid w:val="00561B53"/>
    <w:rsid w:val="00572527"/>
    <w:rsid w:val="00573E40"/>
    <w:rsid w:val="00576348"/>
    <w:rsid w:val="005A0B2E"/>
    <w:rsid w:val="005A23D2"/>
    <w:rsid w:val="005A36CB"/>
    <w:rsid w:val="005B49B8"/>
    <w:rsid w:val="005B5F0A"/>
    <w:rsid w:val="005B7CFB"/>
    <w:rsid w:val="005C0741"/>
    <w:rsid w:val="005C5EF4"/>
    <w:rsid w:val="005D411F"/>
    <w:rsid w:val="005E2E0B"/>
    <w:rsid w:val="005E3224"/>
    <w:rsid w:val="005E581A"/>
    <w:rsid w:val="005E7A7D"/>
    <w:rsid w:val="00602457"/>
    <w:rsid w:val="006029F7"/>
    <w:rsid w:val="00604BBC"/>
    <w:rsid w:val="00622570"/>
    <w:rsid w:val="0062553D"/>
    <w:rsid w:val="00646BD1"/>
    <w:rsid w:val="006475D4"/>
    <w:rsid w:val="00653EC1"/>
    <w:rsid w:val="00655571"/>
    <w:rsid w:val="006561C2"/>
    <w:rsid w:val="006642E4"/>
    <w:rsid w:val="00671B37"/>
    <w:rsid w:val="00671CB3"/>
    <w:rsid w:val="00674BAF"/>
    <w:rsid w:val="00682200"/>
    <w:rsid w:val="00692BF6"/>
    <w:rsid w:val="006940CD"/>
    <w:rsid w:val="006959F0"/>
    <w:rsid w:val="006A1497"/>
    <w:rsid w:val="006B0BD1"/>
    <w:rsid w:val="006D2082"/>
    <w:rsid w:val="006D20A5"/>
    <w:rsid w:val="006D37BF"/>
    <w:rsid w:val="006E0848"/>
    <w:rsid w:val="006E098A"/>
    <w:rsid w:val="006E601F"/>
    <w:rsid w:val="006F7002"/>
    <w:rsid w:val="00702E22"/>
    <w:rsid w:val="0072020E"/>
    <w:rsid w:val="0072503A"/>
    <w:rsid w:val="00737925"/>
    <w:rsid w:val="00740347"/>
    <w:rsid w:val="00740B8C"/>
    <w:rsid w:val="00741B68"/>
    <w:rsid w:val="007551B5"/>
    <w:rsid w:val="007642F3"/>
    <w:rsid w:val="00781531"/>
    <w:rsid w:val="00786071"/>
    <w:rsid w:val="007A0C1F"/>
    <w:rsid w:val="007A3ECB"/>
    <w:rsid w:val="007B208C"/>
    <w:rsid w:val="007B23EC"/>
    <w:rsid w:val="007B2B7A"/>
    <w:rsid w:val="007D0644"/>
    <w:rsid w:val="007E5CF0"/>
    <w:rsid w:val="007F0488"/>
    <w:rsid w:val="00801821"/>
    <w:rsid w:val="00801D6C"/>
    <w:rsid w:val="008106C8"/>
    <w:rsid w:val="00815E2C"/>
    <w:rsid w:val="00824AB9"/>
    <w:rsid w:val="00835D8C"/>
    <w:rsid w:val="00836B35"/>
    <w:rsid w:val="00843BDE"/>
    <w:rsid w:val="00865485"/>
    <w:rsid w:val="00880164"/>
    <w:rsid w:val="0089705C"/>
    <w:rsid w:val="008A6D43"/>
    <w:rsid w:val="008A7245"/>
    <w:rsid w:val="008B0720"/>
    <w:rsid w:val="008B491E"/>
    <w:rsid w:val="008B7571"/>
    <w:rsid w:val="008C113B"/>
    <w:rsid w:val="008C1A28"/>
    <w:rsid w:val="008C2E98"/>
    <w:rsid w:val="008C3B84"/>
    <w:rsid w:val="008C40C9"/>
    <w:rsid w:val="008C4153"/>
    <w:rsid w:val="008D074F"/>
    <w:rsid w:val="008D646E"/>
    <w:rsid w:val="008E49BD"/>
    <w:rsid w:val="008E53E9"/>
    <w:rsid w:val="008E5771"/>
    <w:rsid w:val="008F3BD6"/>
    <w:rsid w:val="008F4ACF"/>
    <w:rsid w:val="00905362"/>
    <w:rsid w:val="00913C83"/>
    <w:rsid w:val="00936ED2"/>
    <w:rsid w:val="00940B9B"/>
    <w:rsid w:val="009416CC"/>
    <w:rsid w:val="00945191"/>
    <w:rsid w:val="00955A5C"/>
    <w:rsid w:val="0095676E"/>
    <w:rsid w:val="00956983"/>
    <w:rsid w:val="00962241"/>
    <w:rsid w:val="00963CF0"/>
    <w:rsid w:val="009648A5"/>
    <w:rsid w:val="00964BB1"/>
    <w:rsid w:val="0097431F"/>
    <w:rsid w:val="009775D9"/>
    <w:rsid w:val="009804B3"/>
    <w:rsid w:val="00997175"/>
    <w:rsid w:val="009A041D"/>
    <w:rsid w:val="009A1847"/>
    <w:rsid w:val="009B062A"/>
    <w:rsid w:val="009E7C6F"/>
    <w:rsid w:val="009F0C52"/>
    <w:rsid w:val="009F1793"/>
    <w:rsid w:val="009F2D23"/>
    <w:rsid w:val="00A01D69"/>
    <w:rsid w:val="00A02335"/>
    <w:rsid w:val="00A02CCA"/>
    <w:rsid w:val="00A0542C"/>
    <w:rsid w:val="00A05FFD"/>
    <w:rsid w:val="00A40AA2"/>
    <w:rsid w:val="00A46C9A"/>
    <w:rsid w:val="00A5586C"/>
    <w:rsid w:val="00A61443"/>
    <w:rsid w:val="00A619F3"/>
    <w:rsid w:val="00A61F9C"/>
    <w:rsid w:val="00A6221C"/>
    <w:rsid w:val="00A62A73"/>
    <w:rsid w:val="00A71F5C"/>
    <w:rsid w:val="00A75C17"/>
    <w:rsid w:val="00A76607"/>
    <w:rsid w:val="00A77791"/>
    <w:rsid w:val="00A80A94"/>
    <w:rsid w:val="00A81932"/>
    <w:rsid w:val="00A87FF6"/>
    <w:rsid w:val="00A95681"/>
    <w:rsid w:val="00AA0A3B"/>
    <w:rsid w:val="00AA2763"/>
    <w:rsid w:val="00AA33B6"/>
    <w:rsid w:val="00AB50CA"/>
    <w:rsid w:val="00AB6D64"/>
    <w:rsid w:val="00AC36CD"/>
    <w:rsid w:val="00AC53CE"/>
    <w:rsid w:val="00AD2193"/>
    <w:rsid w:val="00AD4E63"/>
    <w:rsid w:val="00AE0F3E"/>
    <w:rsid w:val="00AE142D"/>
    <w:rsid w:val="00AE52E4"/>
    <w:rsid w:val="00AF2AC7"/>
    <w:rsid w:val="00AF74CE"/>
    <w:rsid w:val="00B208DB"/>
    <w:rsid w:val="00B21585"/>
    <w:rsid w:val="00B23567"/>
    <w:rsid w:val="00B23F69"/>
    <w:rsid w:val="00B255B3"/>
    <w:rsid w:val="00B4332F"/>
    <w:rsid w:val="00B55FCC"/>
    <w:rsid w:val="00B60619"/>
    <w:rsid w:val="00B63DD8"/>
    <w:rsid w:val="00B66A70"/>
    <w:rsid w:val="00B67366"/>
    <w:rsid w:val="00B744E8"/>
    <w:rsid w:val="00B80EE1"/>
    <w:rsid w:val="00B84135"/>
    <w:rsid w:val="00B8566D"/>
    <w:rsid w:val="00BA22A4"/>
    <w:rsid w:val="00BA63DD"/>
    <w:rsid w:val="00BB13E6"/>
    <w:rsid w:val="00BB6003"/>
    <w:rsid w:val="00BC480A"/>
    <w:rsid w:val="00BD2023"/>
    <w:rsid w:val="00BD39D9"/>
    <w:rsid w:val="00BF051A"/>
    <w:rsid w:val="00C02A23"/>
    <w:rsid w:val="00C03800"/>
    <w:rsid w:val="00C042EC"/>
    <w:rsid w:val="00C04D34"/>
    <w:rsid w:val="00C05DF8"/>
    <w:rsid w:val="00C06864"/>
    <w:rsid w:val="00C10F54"/>
    <w:rsid w:val="00C15E2B"/>
    <w:rsid w:val="00C23D8D"/>
    <w:rsid w:val="00C37AA3"/>
    <w:rsid w:val="00C37FD7"/>
    <w:rsid w:val="00C43419"/>
    <w:rsid w:val="00C44CF3"/>
    <w:rsid w:val="00C61A05"/>
    <w:rsid w:val="00C61BE0"/>
    <w:rsid w:val="00C70B0E"/>
    <w:rsid w:val="00C72E48"/>
    <w:rsid w:val="00C773CA"/>
    <w:rsid w:val="00C83785"/>
    <w:rsid w:val="00C94C0D"/>
    <w:rsid w:val="00C97F02"/>
    <w:rsid w:val="00CA0651"/>
    <w:rsid w:val="00CA1FEB"/>
    <w:rsid w:val="00CA44C1"/>
    <w:rsid w:val="00CB08BB"/>
    <w:rsid w:val="00CB3019"/>
    <w:rsid w:val="00CB7560"/>
    <w:rsid w:val="00CC7937"/>
    <w:rsid w:val="00CD153A"/>
    <w:rsid w:val="00CD4F85"/>
    <w:rsid w:val="00CD6F02"/>
    <w:rsid w:val="00CE22A9"/>
    <w:rsid w:val="00CE246D"/>
    <w:rsid w:val="00CF07A0"/>
    <w:rsid w:val="00CF3E03"/>
    <w:rsid w:val="00D005C0"/>
    <w:rsid w:val="00D0082A"/>
    <w:rsid w:val="00D035CF"/>
    <w:rsid w:val="00D21455"/>
    <w:rsid w:val="00D330B8"/>
    <w:rsid w:val="00D34F27"/>
    <w:rsid w:val="00D40EEB"/>
    <w:rsid w:val="00D47634"/>
    <w:rsid w:val="00D52180"/>
    <w:rsid w:val="00D6108A"/>
    <w:rsid w:val="00D709B3"/>
    <w:rsid w:val="00D9482A"/>
    <w:rsid w:val="00DA2ED6"/>
    <w:rsid w:val="00DA48C3"/>
    <w:rsid w:val="00DB4125"/>
    <w:rsid w:val="00DB4DDE"/>
    <w:rsid w:val="00DB76B8"/>
    <w:rsid w:val="00DC1D51"/>
    <w:rsid w:val="00DC2EA1"/>
    <w:rsid w:val="00DD1335"/>
    <w:rsid w:val="00DD6AAF"/>
    <w:rsid w:val="00DE3F5C"/>
    <w:rsid w:val="00DF1D20"/>
    <w:rsid w:val="00E032BD"/>
    <w:rsid w:val="00E05B95"/>
    <w:rsid w:val="00E21324"/>
    <w:rsid w:val="00E246B9"/>
    <w:rsid w:val="00E30E6F"/>
    <w:rsid w:val="00E31FEA"/>
    <w:rsid w:val="00E338BF"/>
    <w:rsid w:val="00E43849"/>
    <w:rsid w:val="00E45169"/>
    <w:rsid w:val="00E47787"/>
    <w:rsid w:val="00E51C30"/>
    <w:rsid w:val="00E630CA"/>
    <w:rsid w:val="00E64180"/>
    <w:rsid w:val="00E6573B"/>
    <w:rsid w:val="00E67E45"/>
    <w:rsid w:val="00E7182D"/>
    <w:rsid w:val="00E72EF5"/>
    <w:rsid w:val="00E74AEE"/>
    <w:rsid w:val="00E820E5"/>
    <w:rsid w:val="00E83F48"/>
    <w:rsid w:val="00E868E5"/>
    <w:rsid w:val="00E9237A"/>
    <w:rsid w:val="00E939FA"/>
    <w:rsid w:val="00EA5765"/>
    <w:rsid w:val="00EB55A1"/>
    <w:rsid w:val="00EC2532"/>
    <w:rsid w:val="00ED7812"/>
    <w:rsid w:val="00EE500C"/>
    <w:rsid w:val="00EF3B86"/>
    <w:rsid w:val="00F317E9"/>
    <w:rsid w:val="00F34554"/>
    <w:rsid w:val="00F4349E"/>
    <w:rsid w:val="00F45F77"/>
    <w:rsid w:val="00F5167F"/>
    <w:rsid w:val="00F52258"/>
    <w:rsid w:val="00F73418"/>
    <w:rsid w:val="00F76645"/>
    <w:rsid w:val="00F77D20"/>
    <w:rsid w:val="00F80C6C"/>
    <w:rsid w:val="00F8570A"/>
    <w:rsid w:val="00F91C7B"/>
    <w:rsid w:val="00F9693B"/>
    <w:rsid w:val="00FA0989"/>
    <w:rsid w:val="00FA73C7"/>
    <w:rsid w:val="00FB4017"/>
    <w:rsid w:val="00FC7F6A"/>
    <w:rsid w:val="00FD13E6"/>
    <w:rsid w:val="00FD5FAA"/>
    <w:rsid w:val="00FE49E2"/>
    <w:rsid w:val="00FF1A8C"/>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E629F"/>
  <w15:chartTrackingRefBased/>
  <w15:docId w15:val="{F60E824E-E087-4A32-A86D-76FBAEF0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aliases w:val="Annotationmark"/>
    <w:rsid w:val="005A0B2E"/>
    <w:rPr>
      <w:sz w:val="16"/>
      <w:szCs w:val="16"/>
    </w:rPr>
  </w:style>
  <w:style w:type="paragraph" w:styleId="CommentText">
    <w:name w:val="annotation text"/>
    <w:aliases w:val="Comment Text Char Char Char Char Char Char1 Ch,Comment Text Char Char1,Comment Text Char Char1 Char Char,Comment Text Char1 Char Char Char Char1 Char,Comment Text Char2,Comment Text Char2 Char Char"/>
    <w:basedOn w:val="Normal"/>
    <w:link w:val="CommentTextChar"/>
    <w:uiPriority w:val="99"/>
    <w:qFormat/>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aliases w:val="Comment Text Char Char Char Char Char Char1 Ch Char,Comment Text Char Char1 Char,Comment Text Char Char1 Char Char Char,Comment Text Char1 Char Char Char Char1 Char Char,Comment Text Char2 Char,Comment Text Char2 Char Char Char"/>
    <w:link w:val="CommentText"/>
    <w:uiPriority w:val="99"/>
    <w:rsid w:val="008A6D43"/>
    <w:rPr>
      <w:lang w:val="en-US" w:eastAsia="en-US"/>
    </w:rPr>
  </w:style>
  <w:style w:type="paragraph" w:customStyle="1" w:styleId="TableText10">
    <w:name w:val="TableText:10"/>
    <w:basedOn w:val="Normal"/>
    <w:link w:val="TableText10Char"/>
    <w:rsid w:val="007F0488"/>
    <w:rPr>
      <w:rFonts w:ascii="Arial" w:eastAsia="SimSun" w:hAnsi="Arial"/>
      <w:sz w:val="20"/>
      <w:szCs w:val="20"/>
      <w:lang w:eastAsia="ja-JP"/>
    </w:rPr>
  </w:style>
  <w:style w:type="character" w:customStyle="1" w:styleId="TableText10Char">
    <w:name w:val="TableText:10 Char"/>
    <w:link w:val="TableText10"/>
    <w:rsid w:val="007F0488"/>
    <w:rPr>
      <w:rFonts w:ascii="Arial" w:eastAsia="SimSun" w:hAnsi="Arial"/>
      <w:lang w:val="en-US" w:eastAsia="ja-JP"/>
    </w:rPr>
  </w:style>
  <w:style w:type="paragraph" w:customStyle="1" w:styleId="TableCell10Center">
    <w:name w:val="Table Cell 10 Center"/>
    <w:basedOn w:val="Normal"/>
    <w:link w:val="TableCell10CenterChar"/>
    <w:rsid w:val="00C61A05"/>
    <w:pPr>
      <w:keepNext/>
      <w:keepLines/>
      <w:spacing w:before="50" w:after="50" w:line="240" w:lineRule="exact"/>
      <w:jc w:val="center"/>
    </w:pPr>
    <w:rPr>
      <w:rFonts w:ascii="Arial" w:eastAsia="SimSun" w:hAnsi="Arial"/>
      <w:sz w:val="20"/>
      <w:lang w:eastAsia="zh-CN"/>
    </w:rPr>
  </w:style>
  <w:style w:type="character" w:customStyle="1" w:styleId="TableCell10CenterChar">
    <w:name w:val="Table Cell 10 Center Char"/>
    <w:link w:val="TableCell10Center"/>
    <w:locked/>
    <w:rsid w:val="00C61A05"/>
    <w:rPr>
      <w:rFonts w:ascii="Arial" w:eastAsia="SimSun" w:hAnsi="Arial"/>
      <w:szCs w:val="24"/>
      <w:lang w:val="en-US" w:eastAsia="zh-CN"/>
    </w:rPr>
  </w:style>
  <w:style w:type="paragraph" w:customStyle="1" w:styleId="TableCell10Left">
    <w:name w:val="Table Cell 10 Left"/>
    <w:basedOn w:val="Normal"/>
    <w:link w:val="TableCell10LeftChar"/>
    <w:qFormat/>
    <w:rsid w:val="00C61A05"/>
    <w:pPr>
      <w:keepNext/>
      <w:keepLines/>
      <w:spacing w:before="50" w:after="50" w:line="240" w:lineRule="exact"/>
    </w:pPr>
    <w:rPr>
      <w:rFonts w:ascii="Arial" w:eastAsia="SimSun" w:hAnsi="Arial"/>
      <w:sz w:val="20"/>
      <w:lang w:eastAsia="zh-CN"/>
    </w:rPr>
  </w:style>
  <w:style w:type="character" w:customStyle="1" w:styleId="TableCell10LeftChar">
    <w:name w:val="Table Cell 10 Left Char"/>
    <w:link w:val="TableCell10Left"/>
    <w:locked/>
    <w:rsid w:val="00C61A05"/>
    <w:rPr>
      <w:rFonts w:ascii="Arial" w:eastAsia="SimSun" w:hAnsi="Arial"/>
      <w:szCs w:val="24"/>
      <w:lang w:val="en-US" w:eastAsia="zh-CN"/>
    </w:rPr>
  </w:style>
  <w:style w:type="paragraph" w:customStyle="1" w:styleId="Paragraph">
    <w:name w:val="Paragraph"/>
    <w:basedOn w:val="Normal"/>
    <w:link w:val="ParagraphChar"/>
    <w:qFormat/>
    <w:rsid w:val="00F77D20"/>
    <w:pPr>
      <w:spacing w:after="170" w:line="280" w:lineRule="exact"/>
    </w:pPr>
    <w:rPr>
      <w:rFonts w:ascii="Arial" w:eastAsia="SimSun" w:hAnsi="Arial"/>
      <w:lang w:eastAsia="zh-CN"/>
    </w:rPr>
  </w:style>
  <w:style w:type="character" w:customStyle="1" w:styleId="ParagraphChar">
    <w:name w:val="Paragraph Char"/>
    <w:link w:val="Paragraph"/>
    <w:rsid w:val="00F77D20"/>
    <w:rPr>
      <w:rFonts w:ascii="Arial" w:eastAsia="SimSun" w:hAnsi="Arial"/>
      <w:sz w:val="24"/>
      <w:szCs w:val="24"/>
      <w:lang w:val="en-US" w:eastAsia="zh-CN"/>
    </w:rPr>
  </w:style>
  <w:style w:type="paragraph" w:customStyle="1" w:styleId="TabFigFooter">
    <w:name w:val="TabFig Footer"/>
    <w:basedOn w:val="Normal"/>
    <w:link w:val="TabFigFooterChar"/>
    <w:qFormat/>
    <w:rsid w:val="00F77D20"/>
    <w:pPr>
      <w:keepNext/>
      <w:keepLines/>
      <w:spacing w:before="40" w:line="240" w:lineRule="exact"/>
      <w:ind w:left="245" w:hanging="216"/>
    </w:pPr>
    <w:rPr>
      <w:rFonts w:ascii="Arial" w:eastAsia="SimSun" w:hAnsi="Arial"/>
      <w:sz w:val="20"/>
      <w:lang w:eastAsia="zh-CN"/>
    </w:rPr>
  </w:style>
  <w:style w:type="character" w:customStyle="1" w:styleId="TabFigFooterChar">
    <w:name w:val="TabFig Footer Char"/>
    <w:link w:val="TabFigFooter"/>
    <w:locked/>
    <w:rsid w:val="00F77D20"/>
    <w:rPr>
      <w:rFonts w:ascii="Arial" w:eastAsia="SimSun" w:hAnsi="Arial"/>
      <w:szCs w:val="24"/>
      <w:lang w:val="en-US" w:eastAsia="zh-CN"/>
    </w:rPr>
  </w:style>
  <w:style w:type="paragraph" w:customStyle="1" w:styleId="TabFigNote">
    <w:name w:val="TabFig Note"/>
    <w:basedOn w:val="Normal"/>
    <w:link w:val="TabFigNoteChar"/>
    <w:qFormat/>
    <w:rsid w:val="00F77D20"/>
    <w:pPr>
      <w:keepNext/>
      <w:keepLines/>
      <w:spacing w:before="40" w:line="240" w:lineRule="exact"/>
      <w:ind w:left="29"/>
    </w:pPr>
    <w:rPr>
      <w:rFonts w:ascii="Arial" w:eastAsia="SimSun" w:hAnsi="Arial"/>
      <w:sz w:val="20"/>
      <w:lang w:eastAsia="zh-CN"/>
    </w:rPr>
  </w:style>
  <w:style w:type="character" w:customStyle="1" w:styleId="TabFigNoteChar">
    <w:name w:val="TabFig Note Char"/>
    <w:link w:val="TabFigNote"/>
    <w:locked/>
    <w:rsid w:val="00F77D20"/>
    <w:rPr>
      <w:rFonts w:ascii="Arial" w:eastAsia="SimSun" w:hAnsi="Arial"/>
      <w:szCs w:val="24"/>
      <w:lang w:val="en-US" w:eastAsia="zh-CN"/>
    </w:rPr>
  </w:style>
  <w:style w:type="paragraph" w:styleId="Revision">
    <w:name w:val="Revision"/>
    <w:hidden/>
    <w:uiPriority w:val="99"/>
    <w:semiHidden/>
    <w:rsid w:val="00A5586C"/>
    <w:rPr>
      <w:sz w:val="24"/>
      <w:szCs w:val="24"/>
      <w:lang w:val="en-US" w:eastAsia="en-US"/>
    </w:rPr>
  </w:style>
  <w:style w:type="character" w:customStyle="1" w:styleId="markedcontent">
    <w:name w:val="markedcontent"/>
    <w:basedOn w:val="DefaultParagraphFont"/>
    <w:rsid w:val="00DC1D51"/>
  </w:style>
  <w:style w:type="character" w:styleId="Hyperlink">
    <w:name w:val="Hyperlink"/>
    <w:basedOn w:val="DefaultParagraphFont"/>
    <w:rsid w:val="001D5409"/>
    <w:rPr>
      <w:color w:val="0563C1" w:themeColor="hyperlink"/>
      <w:u w:val="single"/>
    </w:rPr>
  </w:style>
  <w:style w:type="table" w:styleId="TableGrid">
    <w:name w:val="Table Grid"/>
    <w:basedOn w:val="TableNormal"/>
    <w:uiPriority w:val="39"/>
    <w:rsid w:val="00E30E6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nezeljenadejstva@cinmed.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8CFCF-2B04-45B3-97E7-DBED91D71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8082</Words>
  <Characters>46069</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54043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dc:description/>
  <cp:lastModifiedBy>Tamara Dedejić</cp:lastModifiedBy>
  <cp:revision>3</cp:revision>
  <cp:lastPrinted>2024-10-23T21:42:00Z</cp:lastPrinted>
  <dcterms:created xsi:type="dcterms:W3CDTF">2025-02-19T15:50:00Z</dcterms:created>
  <dcterms:modified xsi:type="dcterms:W3CDTF">2025-02-25T08:31:00Z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